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72"/>
          <w:szCs w:val="72"/>
        </w:rPr>
      </w:pPr>
      <w:r>
        <w:rPr>
          <w:rFonts w:hint="eastAsia" w:ascii="仿宋" w:hAnsi="仿宋" w:eastAsia="仿宋" w:cs="仿宋"/>
          <w:b/>
          <w:sz w:val="72"/>
          <w:szCs w:val="72"/>
        </w:rPr>
        <w:t>政府采购</w:t>
      </w:r>
    </w:p>
    <w:p>
      <w:pPr>
        <w:jc w:val="center"/>
        <w:rPr>
          <w:rFonts w:ascii="仿宋" w:hAnsi="仿宋" w:eastAsia="仿宋" w:cs="仿宋"/>
          <w:b/>
          <w:sz w:val="84"/>
          <w:szCs w:val="84"/>
        </w:rPr>
      </w:pPr>
      <w:r>
        <w:rPr>
          <w:rFonts w:hint="eastAsia" w:ascii="仿宋" w:hAnsi="仿宋" w:eastAsia="仿宋" w:cs="仿宋"/>
          <w:b/>
          <w:sz w:val="72"/>
          <w:szCs w:val="72"/>
        </w:rPr>
        <w:t>竞争性磋商采购文件</w:t>
      </w:r>
    </w:p>
    <w:p>
      <w:pPr>
        <w:widowControl/>
        <w:jc w:val="center"/>
        <w:rPr>
          <w:rFonts w:ascii="仿宋" w:hAnsi="仿宋" w:eastAsia="仿宋" w:cs="仿宋"/>
          <w:b/>
          <w:sz w:val="44"/>
          <w:szCs w:val="44"/>
        </w:rPr>
      </w:pPr>
    </w:p>
    <w:p>
      <w:pPr>
        <w:widowControl/>
        <w:jc w:val="center"/>
        <w:rPr>
          <w:rFonts w:ascii="仿宋" w:hAnsi="仿宋" w:eastAsia="仿宋" w:cs="仿宋"/>
          <w:b/>
          <w:sz w:val="44"/>
          <w:szCs w:val="44"/>
        </w:rPr>
      </w:pPr>
      <w:r>
        <w:rPr>
          <w:rFonts w:hint="eastAsia" w:ascii="仿宋" w:hAnsi="仿宋" w:eastAsia="仿宋" w:cs="仿宋"/>
          <w:b/>
          <w:sz w:val="44"/>
          <w:szCs w:val="44"/>
        </w:rPr>
        <w:t>（电子采购）</w:t>
      </w:r>
    </w:p>
    <w:tbl>
      <w:tblPr>
        <w:tblStyle w:val="62"/>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5995"/>
      </w:tblGrid>
      <w:tr>
        <w:tblPrEx>
          <w:tblCellMar>
            <w:top w:w="0" w:type="dxa"/>
            <w:left w:w="108" w:type="dxa"/>
            <w:bottom w:w="0" w:type="dxa"/>
            <w:right w:w="108" w:type="dxa"/>
          </w:tblCellMar>
        </w:tblPrEx>
        <w:trPr>
          <w:trHeight w:val="1213" w:hRule="atLeast"/>
        </w:trPr>
        <w:tc>
          <w:tcPr>
            <w:tcW w:w="1864" w:type="dxa"/>
            <w:noWrap/>
            <w:vAlign w:val="center"/>
          </w:tcPr>
          <w:p>
            <w:pPr>
              <w:spacing w:line="440" w:lineRule="exact"/>
              <w:jc w:val="center"/>
              <w:rPr>
                <w:rFonts w:ascii="仿宋" w:hAnsi="仿宋" w:eastAsia="仿宋" w:cs="仿宋"/>
                <w:b/>
                <w:bCs/>
                <w:sz w:val="36"/>
                <w:szCs w:val="36"/>
              </w:rPr>
            </w:pPr>
            <w:r>
              <w:rPr>
                <w:rFonts w:hint="eastAsia" w:ascii="仿宋" w:hAnsi="仿宋" w:eastAsia="仿宋" w:cs="仿宋"/>
                <w:b/>
                <w:bCs/>
                <w:sz w:val="36"/>
                <w:szCs w:val="36"/>
              </w:rPr>
              <w:t>项目名称：</w:t>
            </w:r>
          </w:p>
        </w:tc>
        <w:tc>
          <w:tcPr>
            <w:tcW w:w="5995" w:type="dxa"/>
            <w:noWrap/>
            <w:vAlign w:val="center"/>
          </w:tcPr>
          <w:p>
            <w:pPr>
              <w:jc w:val="left"/>
              <w:rPr>
                <w:rFonts w:ascii="仿宋" w:hAnsi="仿宋" w:eastAsia="仿宋" w:cs="仿宋"/>
                <w:b/>
                <w:bCs/>
                <w:sz w:val="36"/>
                <w:szCs w:val="36"/>
              </w:rPr>
            </w:pPr>
            <w:r>
              <w:rPr>
                <w:rFonts w:hint="eastAsia" w:ascii="仿宋" w:hAnsi="仿宋" w:eastAsia="仿宋" w:cs="仿宋"/>
                <w:b/>
                <w:bCs/>
                <w:sz w:val="36"/>
                <w:szCs w:val="36"/>
              </w:rPr>
              <w:t>2022-2024年进化镇古建筑、河上镇东山村白蚁治理项目</w:t>
            </w:r>
          </w:p>
        </w:tc>
      </w:tr>
      <w:tr>
        <w:tblPrEx>
          <w:tblCellMar>
            <w:top w:w="0" w:type="dxa"/>
            <w:left w:w="108" w:type="dxa"/>
            <w:bottom w:w="0" w:type="dxa"/>
            <w:right w:w="108" w:type="dxa"/>
          </w:tblCellMar>
        </w:tblPrEx>
        <w:trPr>
          <w:trHeight w:val="1213" w:hRule="atLeast"/>
        </w:trPr>
        <w:tc>
          <w:tcPr>
            <w:tcW w:w="1864"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color w:val="0000FF"/>
                <w:sz w:val="36"/>
                <w:szCs w:val="36"/>
              </w:rPr>
              <w:t>项目编号：</w:t>
            </w:r>
          </w:p>
        </w:tc>
        <w:tc>
          <w:tcPr>
            <w:tcW w:w="5995"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HZGJ-XSZFG2022-02</w:t>
            </w:r>
          </w:p>
        </w:tc>
      </w:tr>
    </w:tbl>
    <w:p>
      <w:pPr>
        <w:spacing w:line="440" w:lineRule="exact"/>
        <w:jc w:val="center"/>
        <w:rPr>
          <w:rFonts w:ascii="仿宋" w:hAnsi="仿宋" w:eastAsia="仿宋" w:cs="仿宋"/>
          <w:b/>
          <w:sz w:val="24"/>
        </w:rPr>
      </w:pPr>
    </w:p>
    <w:p>
      <w:pPr>
        <w:spacing w:line="440" w:lineRule="exact"/>
        <w:jc w:val="center"/>
        <w:rPr>
          <w:rFonts w:ascii="仿宋" w:hAnsi="仿宋" w:eastAsia="仿宋" w:cs="仿宋"/>
          <w:kern w:val="0"/>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rPr>
          <w:rFonts w:ascii="仿宋" w:hAnsi="仿宋" w:eastAsia="仿宋" w:cs="仿宋"/>
          <w:sz w:val="24"/>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p>
      <w:pPr>
        <w:pStyle w:val="81"/>
        <w:spacing w:line="440" w:lineRule="exact"/>
        <w:rPr>
          <w:rFonts w:ascii="仿宋" w:hAnsi="仿宋" w:eastAsia="仿宋" w:cs="仿宋"/>
          <w:szCs w:val="24"/>
          <w:lang w:val="en-US"/>
        </w:rPr>
      </w:pPr>
    </w:p>
    <w:tbl>
      <w:tblPr>
        <w:tblStyle w:val="62"/>
        <w:tblW w:w="0" w:type="auto"/>
        <w:jc w:val="center"/>
        <w:tblLayout w:type="fixed"/>
        <w:tblCellMar>
          <w:top w:w="0" w:type="dxa"/>
          <w:left w:w="108" w:type="dxa"/>
          <w:bottom w:w="0" w:type="dxa"/>
          <w:right w:w="108" w:type="dxa"/>
        </w:tblCellMar>
      </w:tblPr>
      <w:tblGrid>
        <w:gridCol w:w="2030"/>
        <w:gridCol w:w="6591"/>
      </w:tblGrid>
      <w:tr>
        <w:tblPrEx>
          <w:tblCellMar>
            <w:top w:w="0" w:type="dxa"/>
            <w:left w:w="108" w:type="dxa"/>
            <w:bottom w:w="0" w:type="dxa"/>
            <w:right w:w="108" w:type="dxa"/>
          </w:tblCellMar>
        </w:tblPrEx>
        <w:trPr>
          <w:trHeight w:val="858" w:hRule="atLeast"/>
          <w:jc w:val="center"/>
        </w:trPr>
        <w:tc>
          <w:tcPr>
            <w:tcW w:w="2030" w:type="dxa"/>
            <w:noWrap/>
            <w:vAlign w:val="center"/>
          </w:tcPr>
          <w:p>
            <w:pPr>
              <w:spacing w:line="440" w:lineRule="exact"/>
              <w:ind w:left="105" w:leftChars="50"/>
              <w:jc w:val="left"/>
              <w:rPr>
                <w:rFonts w:ascii="仿宋" w:hAnsi="仿宋" w:eastAsia="仿宋" w:cs="仿宋"/>
                <w:sz w:val="36"/>
                <w:szCs w:val="36"/>
              </w:rPr>
            </w:pPr>
            <w:r>
              <w:rPr>
                <w:rFonts w:hint="eastAsia" w:ascii="仿宋" w:hAnsi="仿宋" w:eastAsia="仿宋" w:cs="仿宋"/>
                <w:b/>
                <w:bCs/>
                <w:sz w:val="36"/>
                <w:szCs w:val="36"/>
              </w:rPr>
              <w:t>采 购 人：</w:t>
            </w:r>
          </w:p>
        </w:tc>
        <w:tc>
          <w:tcPr>
            <w:tcW w:w="6591" w:type="dxa"/>
            <w:noWrap/>
            <w:vAlign w:val="center"/>
          </w:tcPr>
          <w:p>
            <w:pPr>
              <w:pStyle w:val="32"/>
              <w:snapToGrid w:val="0"/>
              <w:spacing w:line="440" w:lineRule="exact"/>
              <w:rPr>
                <w:rFonts w:ascii="仿宋" w:hAnsi="仿宋" w:eastAsia="仿宋" w:cs="仿宋"/>
                <w:b/>
                <w:bCs/>
                <w:sz w:val="36"/>
                <w:szCs w:val="36"/>
              </w:rPr>
            </w:pPr>
            <w:r>
              <w:rPr>
                <w:rFonts w:hint="eastAsia" w:ascii="仿宋" w:hAnsi="仿宋" w:eastAsia="仿宋" w:cs="仿宋"/>
                <w:b/>
                <w:bCs/>
                <w:sz w:val="36"/>
                <w:szCs w:val="36"/>
              </w:rPr>
              <w:t>杭州市萧山区住房保障和房产</w:t>
            </w:r>
          </w:p>
          <w:p>
            <w:pPr>
              <w:pStyle w:val="32"/>
              <w:snapToGrid w:val="0"/>
              <w:spacing w:line="440" w:lineRule="exact"/>
              <w:rPr>
                <w:rFonts w:ascii="仿宋" w:hAnsi="仿宋" w:eastAsia="仿宋" w:cs="仿宋"/>
                <w:sz w:val="36"/>
                <w:szCs w:val="36"/>
              </w:rPr>
            </w:pPr>
            <w:r>
              <w:rPr>
                <w:rFonts w:hint="eastAsia" w:ascii="仿宋" w:hAnsi="仿宋" w:eastAsia="仿宋" w:cs="仿宋"/>
                <w:b/>
                <w:bCs/>
                <w:sz w:val="36"/>
                <w:szCs w:val="36"/>
              </w:rPr>
              <w:t>管理服务中心</w:t>
            </w:r>
          </w:p>
        </w:tc>
      </w:tr>
      <w:tr>
        <w:tblPrEx>
          <w:tblCellMar>
            <w:top w:w="0" w:type="dxa"/>
            <w:left w:w="108" w:type="dxa"/>
            <w:bottom w:w="0" w:type="dxa"/>
            <w:right w:w="108" w:type="dxa"/>
          </w:tblCellMar>
        </w:tblPrEx>
        <w:trPr>
          <w:trHeight w:val="943" w:hRule="atLeast"/>
          <w:jc w:val="center"/>
        </w:trPr>
        <w:tc>
          <w:tcPr>
            <w:tcW w:w="2030" w:type="dxa"/>
            <w:noWrap/>
            <w:vAlign w:val="center"/>
          </w:tcPr>
          <w:p>
            <w:pPr>
              <w:spacing w:line="440" w:lineRule="exact"/>
              <w:rPr>
                <w:rFonts w:ascii="仿宋" w:hAnsi="仿宋" w:eastAsia="仿宋" w:cs="仿宋"/>
                <w:sz w:val="36"/>
                <w:szCs w:val="36"/>
              </w:rPr>
            </w:pPr>
            <w:r>
              <w:rPr>
                <w:rFonts w:hint="eastAsia" w:ascii="仿宋" w:hAnsi="仿宋" w:eastAsia="仿宋" w:cs="仿宋"/>
                <w:b/>
                <w:bCs/>
                <w:sz w:val="36"/>
                <w:szCs w:val="36"/>
              </w:rPr>
              <w:t>代理机构：</w:t>
            </w:r>
          </w:p>
        </w:tc>
        <w:tc>
          <w:tcPr>
            <w:tcW w:w="6591" w:type="dxa"/>
            <w:noWrap/>
            <w:vAlign w:val="center"/>
          </w:tcPr>
          <w:p>
            <w:pPr>
              <w:pStyle w:val="32"/>
              <w:snapToGrid w:val="0"/>
              <w:spacing w:line="440" w:lineRule="exact"/>
              <w:rPr>
                <w:rFonts w:ascii="仿宋" w:hAnsi="仿宋" w:eastAsia="仿宋" w:cs="仿宋"/>
                <w:sz w:val="36"/>
                <w:szCs w:val="36"/>
              </w:rPr>
            </w:pPr>
            <w:r>
              <w:rPr>
                <w:rFonts w:hint="eastAsia" w:ascii="仿宋" w:hAnsi="仿宋" w:eastAsia="仿宋" w:cs="仿宋"/>
                <w:b/>
                <w:bCs/>
                <w:sz w:val="36"/>
                <w:szCs w:val="36"/>
              </w:rPr>
              <w:t>杭州贯今工程咨询有限公司</w:t>
            </w:r>
          </w:p>
        </w:tc>
      </w:tr>
      <w:tr>
        <w:tblPrEx>
          <w:tblCellMar>
            <w:top w:w="0" w:type="dxa"/>
            <w:left w:w="108" w:type="dxa"/>
            <w:bottom w:w="0" w:type="dxa"/>
            <w:right w:w="108" w:type="dxa"/>
          </w:tblCellMar>
        </w:tblPrEx>
        <w:trPr>
          <w:trHeight w:val="929" w:hRule="atLeast"/>
          <w:jc w:val="center"/>
        </w:trPr>
        <w:tc>
          <w:tcPr>
            <w:tcW w:w="2030"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日    期：</w:t>
            </w:r>
          </w:p>
        </w:tc>
        <w:tc>
          <w:tcPr>
            <w:tcW w:w="6591"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color w:val="0000FF"/>
                <w:sz w:val="36"/>
                <w:szCs w:val="36"/>
              </w:rPr>
              <w:t>二〇二二年</w:t>
            </w:r>
            <w:r>
              <w:rPr>
                <w:rFonts w:hint="eastAsia" w:ascii="仿宋" w:hAnsi="仿宋" w:eastAsia="仿宋" w:cs="仿宋"/>
                <w:b/>
                <w:bCs/>
                <w:color w:val="0000FF"/>
                <w:sz w:val="36"/>
                <w:szCs w:val="36"/>
                <w:lang w:val="en-US" w:eastAsia="zh-CN"/>
              </w:rPr>
              <w:t>七</w:t>
            </w:r>
            <w:r>
              <w:rPr>
                <w:rFonts w:hint="eastAsia" w:ascii="仿宋" w:hAnsi="仿宋" w:eastAsia="仿宋" w:cs="仿宋"/>
                <w:b/>
                <w:bCs/>
                <w:color w:val="0000FF"/>
                <w:sz w:val="36"/>
                <w:szCs w:val="36"/>
              </w:rPr>
              <w:t>月</w:t>
            </w:r>
            <w:r>
              <w:rPr>
                <w:rFonts w:hint="eastAsia" w:ascii="仿宋" w:hAnsi="仿宋" w:eastAsia="仿宋" w:cs="仿宋"/>
                <w:b/>
                <w:bCs/>
                <w:color w:val="0000FF"/>
                <w:sz w:val="36"/>
                <w:szCs w:val="36"/>
                <w:lang w:val="en-US" w:eastAsia="zh-CN"/>
              </w:rPr>
              <w:t>二十六</w:t>
            </w:r>
            <w:r>
              <w:rPr>
                <w:rFonts w:hint="eastAsia" w:ascii="仿宋" w:hAnsi="仿宋" w:eastAsia="仿宋" w:cs="仿宋"/>
                <w:b/>
                <w:bCs/>
                <w:color w:val="0000FF"/>
                <w:sz w:val="36"/>
                <w:szCs w:val="36"/>
              </w:rPr>
              <w:t>日</w:t>
            </w:r>
          </w:p>
        </w:tc>
      </w:tr>
    </w:tbl>
    <w:p>
      <w:pPr>
        <w:spacing w:line="360" w:lineRule="auto"/>
        <w:jc w:val="center"/>
        <w:rPr>
          <w:rFonts w:ascii="仿宋" w:hAnsi="仿宋" w:eastAsia="仿宋" w:cs="仿宋"/>
          <w:sz w:val="30"/>
          <w:szCs w:val="30"/>
        </w:rPr>
        <w:sectPr>
          <w:headerReference r:id="rId4" w:type="first"/>
          <w:footerReference r:id="rId7" w:type="first"/>
          <w:headerReference r:id="rId3" w:type="default"/>
          <w:footerReference r:id="rId5" w:type="default"/>
          <w:footerReference r:id="rId6" w:type="even"/>
          <w:pgSz w:w="11905" w:h="16838"/>
          <w:pgMar w:top="1134" w:right="1417" w:bottom="1134" w:left="1417" w:header="454" w:footer="425" w:gutter="0"/>
          <w:pgNumType w:start="1"/>
          <w:cols w:space="0" w:num="1"/>
          <w:titlePg/>
          <w:docGrid w:linePitch="312" w:charSpace="0"/>
        </w:sectPr>
      </w:pPr>
    </w:p>
    <w:sdt>
      <w:sdtPr>
        <w:rPr>
          <w:rFonts w:hint="eastAsia" w:ascii="仿宋" w:hAnsi="仿宋" w:eastAsia="仿宋" w:cs="仿宋"/>
          <w:sz w:val="30"/>
          <w:szCs w:val="30"/>
        </w:rPr>
        <w:id w:val="147455103"/>
        <w:docPartObj>
          <w:docPartGallery w:val="Table of Contents"/>
          <w:docPartUnique/>
        </w:docPartObj>
      </w:sdtPr>
      <w:sdtEndPr>
        <w:rPr>
          <w:rFonts w:hint="eastAsia" w:ascii="仿宋" w:hAnsi="仿宋" w:eastAsia="仿宋" w:cs="仿宋"/>
          <w:sz w:val="32"/>
          <w:szCs w:val="32"/>
        </w:rPr>
      </w:sdtEndPr>
      <w:sdtContent>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目录</w:t>
          </w:r>
        </w:p>
        <w:p>
          <w:pPr>
            <w:pStyle w:val="42"/>
            <w:tabs>
              <w:tab w:val="right" w:leader="dot" w:pos="9061"/>
            </w:tabs>
            <w:spacing w:line="360" w:lineRule="auto"/>
            <w:rPr>
              <w:rFonts w:ascii="仿宋" w:hAnsi="仿宋" w:eastAsia="仿宋" w:cstheme="minorBidi"/>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"_Toc98147521" </w:instrText>
          </w:r>
          <w:r>
            <w:fldChar w:fldCharType="separate"/>
          </w:r>
          <w:r>
            <w:rPr>
              <w:rStyle w:val="76"/>
              <w:rFonts w:ascii="仿宋" w:hAnsi="仿宋" w:eastAsia="仿宋" w:cs="仿宋_GB2312"/>
              <w:b/>
              <w:sz w:val="32"/>
              <w:szCs w:val="32"/>
            </w:rPr>
            <w:t>第一部分 采购公告</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_Toc98147521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42"/>
            <w:tabs>
              <w:tab w:val="right" w:leader="dot" w:pos="9061"/>
            </w:tabs>
            <w:spacing w:line="360" w:lineRule="auto"/>
            <w:rPr>
              <w:rFonts w:ascii="仿宋" w:hAnsi="仿宋" w:eastAsia="仿宋" w:cstheme="minorBidi"/>
              <w:sz w:val="32"/>
              <w:szCs w:val="32"/>
            </w:rPr>
          </w:pPr>
          <w:r>
            <w:fldChar w:fldCharType="begin"/>
          </w:r>
          <w:r>
            <w:instrText xml:space="preserve"> HYPERLINK \l "_Toc98147522" </w:instrText>
          </w:r>
          <w:r>
            <w:fldChar w:fldCharType="separate"/>
          </w:r>
          <w:r>
            <w:rPr>
              <w:rStyle w:val="76"/>
              <w:rFonts w:ascii="仿宋" w:hAnsi="仿宋" w:eastAsia="仿宋" w:cs="仿宋_GB2312"/>
              <w:b/>
              <w:sz w:val="32"/>
              <w:szCs w:val="32"/>
            </w:rPr>
            <w:t>第二部分</w:t>
          </w:r>
          <w:r>
            <w:rPr>
              <w:rStyle w:val="76"/>
              <w:rFonts w:hint="eastAsia" w:ascii="仿宋" w:hAnsi="仿宋" w:eastAsia="仿宋" w:cs="仿宋_GB2312"/>
              <w:b/>
              <w:sz w:val="32"/>
              <w:szCs w:val="32"/>
            </w:rPr>
            <w:t xml:space="preserve"> </w:t>
          </w:r>
          <w:r>
            <w:rPr>
              <w:rStyle w:val="76"/>
              <w:rFonts w:ascii="仿宋" w:hAnsi="仿宋" w:eastAsia="仿宋" w:cs="仿宋_GB2312"/>
              <w:b/>
              <w:sz w:val="32"/>
              <w:szCs w:val="32"/>
            </w:rPr>
            <w:t>供应商须知</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_Toc98147522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42"/>
            <w:tabs>
              <w:tab w:val="right" w:leader="dot" w:pos="9061"/>
            </w:tabs>
            <w:spacing w:line="360" w:lineRule="auto"/>
            <w:rPr>
              <w:rFonts w:ascii="仿宋" w:hAnsi="仿宋" w:eastAsia="仿宋" w:cstheme="minorBidi"/>
              <w:sz w:val="32"/>
              <w:szCs w:val="32"/>
            </w:rPr>
          </w:pPr>
          <w:r>
            <w:fldChar w:fldCharType="begin"/>
          </w:r>
          <w:r>
            <w:instrText xml:space="preserve"> HYPERLINK \l "_Toc98147530" </w:instrText>
          </w:r>
          <w:r>
            <w:fldChar w:fldCharType="separate"/>
          </w:r>
          <w:r>
            <w:rPr>
              <w:rStyle w:val="76"/>
              <w:rFonts w:ascii="仿宋" w:hAnsi="仿宋" w:eastAsia="仿宋" w:cs="仿宋_GB2312"/>
              <w:b/>
              <w:sz w:val="32"/>
              <w:szCs w:val="32"/>
            </w:rPr>
            <w:t>第三部分 采购内容及需求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_Toc98147530 \h </w:instrText>
          </w:r>
          <w:r>
            <w:rPr>
              <w:rFonts w:ascii="仿宋" w:hAnsi="仿宋" w:eastAsia="仿宋"/>
              <w:sz w:val="32"/>
              <w:szCs w:val="32"/>
            </w:rPr>
            <w:fldChar w:fldCharType="separate"/>
          </w:r>
          <w:r>
            <w:rPr>
              <w:rFonts w:ascii="仿宋" w:hAnsi="仿宋" w:eastAsia="仿宋"/>
              <w:sz w:val="32"/>
              <w:szCs w:val="32"/>
            </w:rPr>
            <w:t>22</w:t>
          </w:r>
          <w:r>
            <w:rPr>
              <w:rFonts w:ascii="仿宋" w:hAnsi="仿宋" w:eastAsia="仿宋"/>
              <w:sz w:val="32"/>
              <w:szCs w:val="32"/>
            </w:rPr>
            <w:fldChar w:fldCharType="end"/>
          </w:r>
          <w:r>
            <w:rPr>
              <w:rFonts w:ascii="仿宋" w:hAnsi="仿宋" w:eastAsia="仿宋"/>
              <w:sz w:val="32"/>
              <w:szCs w:val="32"/>
            </w:rPr>
            <w:fldChar w:fldCharType="end"/>
          </w:r>
        </w:p>
        <w:p>
          <w:pPr>
            <w:pStyle w:val="42"/>
            <w:tabs>
              <w:tab w:val="right" w:leader="dot" w:pos="9061"/>
            </w:tabs>
            <w:spacing w:line="360" w:lineRule="auto"/>
            <w:rPr>
              <w:rFonts w:ascii="仿宋" w:hAnsi="仿宋" w:eastAsia="仿宋" w:cstheme="minorBidi"/>
              <w:sz w:val="32"/>
              <w:szCs w:val="32"/>
            </w:rPr>
          </w:pPr>
          <w:r>
            <w:fldChar w:fldCharType="begin"/>
          </w:r>
          <w:r>
            <w:instrText xml:space="preserve"> HYPERLINK \l "_Toc98147531" </w:instrText>
          </w:r>
          <w:r>
            <w:fldChar w:fldCharType="separate"/>
          </w:r>
          <w:r>
            <w:rPr>
              <w:rStyle w:val="76"/>
              <w:rFonts w:ascii="仿宋" w:hAnsi="仿宋" w:eastAsia="仿宋" w:cs="仿宋_GB2312"/>
              <w:b/>
              <w:sz w:val="32"/>
              <w:szCs w:val="32"/>
            </w:rPr>
            <w:t>第四部分 磋商评审办法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_Toc98147531 \h </w:instrText>
          </w:r>
          <w:r>
            <w:rPr>
              <w:rFonts w:ascii="仿宋" w:hAnsi="仿宋" w:eastAsia="仿宋"/>
              <w:sz w:val="32"/>
              <w:szCs w:val="32"/>
            </w:rPr>
            <w:fldChar w:fldCharType="separate"/>
          </w:r>
          <w:r>
            <w:rPr>
              <w:rFonts w:ascii="仿宋" w:hAnsi="仿宋" w:eastAsia="仿宋"/>
              <w:sz w:val="32"/>
              <w:szCs w:val="32"/>
            </w:rPr>
            <w:t>29</w:t>
          </w:r>
          <w:r>
            <w:rPr>
              <w:rFonts w:ascii="仿宋" w:hAnsi="仿宋" w:eastAsia="仿宋"/>
              <w:sz w:val="32"/>
              <w:szCs w:val="32"/>
            </w:rPr>
            <w:fldChar w:fldCharType="end"/>
          </w:r>
          <w:r>
            <w:rPr>
              <w:rFonts w:ascii="仿宋" w:hAnsi="仿宋" w:eastAsia="仿宋"/>
              <w:sz w:val="32"/>
              <w:szCs w:val="32"/>
            </w:rPr>
            <w:fldChar w:fldCharType="end"/>
          </w:r>
        </w:p>
        <w:p>
          <w:pPr>
            <w:pStyle w:val="42"/>
            <w:tabs>
              <w:tab w:val="right" w:leader="dot" w:pos="9061"/>
            </w:tabs>
            <w:spacing w:line="360" w:lineRule="auto"/>
            <w:rPr>
              <w:rFonts w:ascii="仿宋" w:hAnsi="仿宋" w:eastAsia="仿宋" w:cstheme="minorBidi"/>
              <w:sz w:val="32"/>
              <w:szCs w:val="32"/>
            </w:rPr>
          </w:pPr>
          <w:r>
            <w:fldChar w:fldCharType="begin"/>
          </w:r>
          <w:r>
            <w:instrText xml:space="preserve"> HYPERLINK \l "_Toc98147533" </w:instrText>
          </w:r>
          <w:r>
            <w:fldChar w:fldCharType="separate"/>
          </w:r>
          <w:r>
            <w:rPr>
              <w:rStyle w:val="76"/>
              <w:rFonts w:ascii="仿宋" w:hAnsi="仿宋" w:eastAsia="仿宋" w:cs="仿宋_GB2312"/>
              <w:b/>
              <w:sz w:val="32"/>
              <w:szCs w:val="32"/>
            </w:rPr>
            <w:t>第五部分 合同主要条款</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_Toc98147533 \h </w:instrText>
          </w:r>
          <w:r>
            <w:rPr>
              <w:rFonts w:ascii="仿宋" w:hAnsi="仿宋" w:eastAsia="仿宋"/>
              <w:sz w:val="32"/>
              <w:szCs w:val="32"/>
            </w:rPr>
            <w:fldChar w:fldCharType="separate"/>
          </w:r>
          <w:r>
            <w:rPr>
              <w:rFonts w:ascii="仿宋" w:hAnsi="仿宋" w:eastAsia="仿宋"/>
              <w:sz w:val="32"/>
              <w:szCs w:val="32"/>
            </w:rPr>
            <w:t>38</w:t>
          </w:r>
          <w:r>
            <w:rPr>
              <w:rFonts w:ascii="仿宋" w:hAnsi="仿宋" w:eastAsia="仿宋"/>
              <w:sz w:val="32"/>
              <w:szCs w:val="32"/>
            </w:rPr>
            <w:fldChar w:fldCharType="end"/>
          </w:r>
          <w:r>
            <w:rPr>
              <w:rFonts w:ascii="仿宋" w:hAnsi="仿宋" w:eastAsia="仿宋"/>
              <w:sz w:val="32"/>
              <w:szCs w:val="32"/>
            </w:rPr>
            <w:fldChar w:fldCharType="end"/>
          </w:r>
        </w:p>
        <w:p>
          <w:pPr>
            <w:pStyle w:val="42"/>
            <w:tabs>
              <w:tab w:val="right" w:leader="dot" w:pos="9061"/>
            </w:tabs>
            <w:spacing w:line="360" w:lineRule="auto"/>
            <w:rPr>
              <w:rFonts w:ascii="仿宋" w:hAnsi="仿宋" w:eastAsia="仿宋" w:cstheme="minorBidi"/>
              <w:sz w:val="32"/>
              <w:szCs w:val="32"/>
            </w:rPr>
          </w:pPr>
          <w:r>
            <w:fldChar w:fldCharType="begin"/>
          </w:r>
          <w:r>
            <w:instrText xml:space="preserve"> HYPERLINK \l "_Toc98147534" </w:instrText>
          </w:r>
          <w:r>
            <w:fldChar w:fldCharType="separate"/>
          </w:r>
          <w:r>
            <w:rPr>
              <w:rStyle w:val="76"/>
              <w:rFonts w:ascii="仿宋" w:hAnsi="仿宋" w:eastAsia="仿宋" w:cs="仿宋_GB2312"/>
              <w:b/>
              <w:sz w:val="32"/>
              <w:szCs w:val="32"/>
            </w:rPr>
            <w:t>第六部分 应提交的有关格式范例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_Toc98147534 \h </w:instrText>
          </w:r>
          <w:r>
            <w:rPr>
              <w:rFonts w:ascii="仿宋" w:hAnsi="仿宋" w:eastAsia="仿宋"/>
              <w:sz w:val="32"/>
              <w:szCs w:val="32"/>
            </w:rPr>
            <w:fldChar w:fldCharType="separate"/>
          </w:r>
          <w:r>
            <w:rPr>
              <w:rFonts w:ascii="仿宋" w:hAnsi="仿宋" w:eastAsia="仿宋"/>
              <w:sz w:val="32"/>
              <w:szCs w:val="32"/>
            </w:rPr>
            <w:t>52</w:t>
          </w:r>
          <w:r>
            <w:rPr>
              <w:rFonts w:ascii="仿宋" w:hAnsi="仿宋" w:eastAsia="仿宋"/>
              <w:sz w:val="32"/>
              <w:szCs w:val="32"/>
            </w:rPr>
            <w:fldChar w:fldCharType="end"/>
          </w:r>
          <w:r>
            <w:rPr>
              <w:rFonts w:ascii="仿宋" w:hAnsi="仿宋" w:eastAsia="仿宋"/>
              <w:sz w:val="32"/>
              <w:szCs w:val="32"/>
            </w:rPr>
            <w:fldChar w:fldCharType="end"/>
          </w:r>
        </w:p>
        <w:p>
          <w:pPr>
            <w:spacing w:line="360" w:lineRule="auto"/>
            <w:rPr>
              <w:rFonts w:ascii="仿宋" w:hAnsi="仿宋" w:eastAsia="仿宋"/>
              <w:sz w:val="32"/>
              <w:szCs w:val="32"/>
            </w:rPr>
          </w:pPr>
          <w:r>
            <w:rPr>
              <w:rFonts w:hint="eastAsia" w:ascii="仿宋" w:hAnsi="仿宋" w:eastAsia="仿宋" w:cs="仿宋"/>
              <w:sz w:val="32"/>
              <w:szCs w:val="32"/>
            </w:rPr>
            <w:fldChar w:fldCharType="end"/>
          </w:r>
        </w:p>
      </w:sdtContent>
    </w:sdt>
    <w:p>
      <w:pPr>
        <w:adjustRightInd/>
        <w:spacing w:line="360" w:lineRule="auto"/>
        <w:jc w:val="center"/>
        <w:outlineLvl w:val="0"/>
        <w:rPr>
          <w:rFonts w:ascii="仿宋" w:hAnsi="仿宋" w:eastAsia="仿宋" w:cs="仿宋_GB2312"/>
          <w:b/>
          <w:sz w:val="36"/>
          <w:szCs w:val="20"/>
        </w:rPr>
        <w:sectPr>
          <w:footerReference r:id="rId9" w:type="first"/>
          <w:footerReference r:id="rId8" w:type="default"/>
          <w:pgSz w:w="11905" w:h="16838"/>
          <w:pgMar w:top="1134" w:right="1417" w:bottom="1134" w:left="1417" w:header="454" w:footer="425" w:gutter="0"/>
          <w:pgNumType w:start="1"/>
          <w:cols w:space="0" w:num="1"/>
          <w:docGrid w:linePitch="312" w:charSpace="0"/>
        </w:sectPr>
      </w:pPr>
      <w:bookmarkStart w:id="0" w:name="_Toc98147521"/>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第一部分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项目概况</w:t>
      </w:r>
      <w:r>
        <w:rPr>
          <w:rFonts w:ascii="仿宋" w:hAnsi="仿宋" w:eastAsia="仿宋" w:cs="仿宋_GB2312"/>
          <w:snapToGrid w:val="0"/>
          <w:kern w:val="28"/>
          <w:sz w:val="24"/>
          <w:szCs w:val="20"/>
        </w:rPr>
        <w:t xml:space="preserve"> </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u w:val="single"/>
        </w:rPr>
        <w:t>2022-2024年进化镇古建筑、河上镇东山村白蚁治理项目</w:t>
      </w:r>
      <w:r>
        <w:rPr>
          <w:rFonts w:hint="eastAsia" w:ascii="仿宋" w:hAnsi="仿宋" w:eastAsia="仿宋" w:cs="仿宋_GB2312"/>
          <w:snapToGrid w:val="0"/>
          <w:kern w:val="28"/>
          <w:sz w:val="24"/>
          <w:szCs w:val="20"/>
        </w:rPr>
        <w:t>的潜在供应商应在</w:t>
      </w:r>
      <w:r>
        <w:rPr>
          <w:rFonts w:hint="eastAsia" w:ascii="仿宋" w:hAnsi="仿宋" w:eastAsia="仿宋" w:cs="仿宋_GB2312"/>
          <w:snapToGrid w:val="0"/>
          <w:kern w:val="28"/>
          <w:sz w:val="24"/>
          <w:szCs w:val="20"/>
          <w:u w:val="single"/>
        </w:rPr>
        <w:t>政采云平台（</w:t>
      </w:r>
      <w:r>
        <w:rPr>
          <w:rFonts w:ascii="仿宋" w:hAnsi="仿宋" w:eastAsia="仿宋" w:cs="仿宋_GB2312"/>
          <w:snapToGrid w:val="0"/>
          <w:kern w:val="28"/>
          <w:sz w:val="24"/>
          <w:szCs w:val="20"/>
          <w:u w:val="single"/>
        </w:rPr>
        <w:t>http://zfcg.czt.zj.gov.cn）获取（下载）采购文件，并于2022年</w:t>
      </w:r>
      <w:r>
        <w:rPr>
          <w:rFonts w:hint="eastAsia" w:ascii="仿宋" w:hAnsi="仿宋" w:eastAsia="仿宋" w:cs="仿宋_GB2312"/>
          <w:snapToGrid w:val="0"/>
          <w:color w:val="0000FF"/>
          <w:kern w:val="28"/>
          <w:sz w:val="24"/>
          <w:szCs w:val="20"/>
          <w:u w:val="single"/>
          <w:lang w:val="en-US" w:eastAsia="zh-CN"/>
        </w:rPr>
        <w:t>8</w:t>
      </w:r>
      <w:r>
        <w:rPr>
          <w:rFonts w:hint="eastAsia" w:ascii="仿宋" w:hAnsi="仿宋" w:eastAsia="仿宋" w:cs="仿宋_GB2312"/>
          <w:snapToGrid w:val="0"/>
          <w:color w:val="0000FF"/>
          <w:kern w:val="28"/>
          <w:sz w:val="24"/>
          <w:szCs w:val="20"/>
          <w:u w:val="single"/>
        </w:rPr>
        <w:t>月</w:t>
      </w:r>
      <w:r>
        <w:rPr>
          <w:rFonts w:hint="eastAsia" w:ascii="仿宋" w:hAnsi="仿宋" w:eastAsia="仿宋" w:cs="仿宋_GB2312"/>
          <w:snapToGrid w:val="0"/>
          <w:color w:val="0000FF"/>
          <w:kern w:val="28"/>
          <w:sz w:val="24"/>
          <w:szCs w:val="20"/>
          <w:u w:val="single"/>
          <w:lang w:val="en-US" w:eastAsia="zh-CN"/>
        </w:rPr>
        <w:t>5</w:t>
      </w:r>
      <w:r>
        <w:rPr>
          <w:rFonts w:hint="eastAsia" w:ascii="仿宋" w:hAnsi="仿宋" w:eastAsia="仿宋" w:cs="仿宋_GB2312"/>
          <w:snapToGrid w:val="0"/>
          <w:color w:val="0000FF"/>
          <w:kern w:val="28"/>
          <w:sz w:val="24"/>
          <w:szCs w:val="20"/>
          <w:u w:val="single"/>
        </w:rPr>
        <w:t>日</w:t>
      </w:r>
      <w:r>
        <w:rPr>
          <w:rFonts w:hint="eastAsia" w:ascii="仿宋" w:hAnsi="仿宋" w:eastAsia="仿宋" w:cs="仿宋_GB2312"/>
          <w:snapToGrid w:val="0"/>
          <w:color w:val="0000FF"/>
          <w:kern w:val="28"/>
          <w:sz w:val="24"/>
          <w:szCs w:val="20"/>
          <w:u w:val="single"/>
          <w:lang w:val="en-US" w:eastAsia="zh-CN"/>
        </w:rPr>
        <w:t>14</w:t>
      </w:r>
      <w:r>
        <w:rPr>
          <w:rFonts w:ascii="仿宋" w:hAnsi="仿宋" w:eastAsia="仿宋" w:cs="仿宋_GB2312"/>
          <w:snapToGrid w:val="0"/>
          <w:color w:val="0000FF"/>
          <w:kern w:val="28"/>
          <w:sz w:val="24"/>
          <w:szCs w:val="20"/>
          <w:u w:val="single"/>
        </w:rPr>
        <w:t>:</w:t>
      </w:r>
      <w:r>
        <w:rPr>
          <w:rFonts w:hint="eastAsia" w:ascii="仿宋" w:hAnsi="仿宋" w:eastAsia="仿宋" w:cs="仿宋_GB2312"/>
          <w:snapToGrid w:val="0"/>
          <w:color w:val="0000FF"/>
          <w:kern w:val="28"/>
          <w:sz w:val="24"/>
          <w:szCs w:val="20"/>
          <w:u w:val="single"/>
          <w:lang w:val="en-US" w:eastAsia="zh-CN"/>
        </w:rPr>
        <w:t>00</w:t>
      </w:r>
      <w:r>
        <w:rPr>
          <w:rFonts w:hint="eastAsia" w:ascii="仿宋" w:hAnsi="仿宋" w:eastAsia="仿宋" w:cs="仿宋_GB2312"/>
          <w:snapToGrid w:val="0"/>
          <w:kern w:val="28"/>
          <w:sz w:val="24"/>
          <w:szCs w:val="20"/>
        </w:rPr>
        <w:t>（北京时间）前提交（上传）响应文件。</w:t>
      </w:r>
    </w:p>
    <w:p>
      <w:pPr>
        <w:spacing w:line="360" w:lineRule="auto"/>
        <w:ind w:firstLine="482" w:firstLineChars="200"/>
        <w:rPr>
          <w:rFonts w:ascii="仿宋" w:hAnsi="仿宋" w:eastAsia="仿宋"/>
          <w:b/>
          <w:sz w:val="24"/>
        </w:rPr>
      </w:pPr>
      <w:r>
        <w:rPr>
          <w:rFonts w:hint="eastAsia" w:ascii="仿宋" w:hAnsi="仿宋" w:eastAsia="仿宋"/>
          <w:b/>
          <w:sz w:val="24"/>
        </w:rPr>
        <w:t>一、项目基本情况</w:t>
      </w:r>
    </w:p>
    <w:p>
      <w:pPr>
        <w:spacing w:line="360" w:lineRule="auto"/>
        <w:ind w:firstLine="480" w:firstLineChars="200"/>
        <w:rPr>
          <w:rFonts w:ascii="仿宋" w:hAnsi="仿宋" w:eastAsia="仿宋"/>
          <w:bCs/>
          <w:color w:val="0000FF"/>
          <w:sz w:val="24"/>
        </w:rPr>
      </w:pPr>
      <w:r>
        <w:rPr>
          <w:rFonts w:hint="eastAsia" w:ascii="仿宋" w:hAnsi="仿宋" w:eastAsia="仿宋"/>
          <w:bCs/>
          <w:color w:val="0000FF"/>
          <w:sz w:val="24"/>
        </w:rPr>
        <w:t>项目编号：HZGJ-XSZFG2022-02</w:t>
      </w:r>
    </w:p>
    <w:p>
      <w:pPr>
        <w:spacing w:line="360" w:lineRule="auto"/>
        <w:ind w:firstLine="480" w:firstLineChars="200"/>
        <w:rPr>
          <w:rFonts w:ascii="仿宋" w:hAnsi="仿宋" w:eastAsia="仿宋"/>
          <w:bCs/>
          <w:sz w:val="24"/>
        </w:rPr>
      </w:pPr>
      <w:r>
        <w:rPr>
          <w:rFonts w:hint="eastAsia" w:ascii="仿宋" w:hAnsi="仿宋" w:eastAsia="仿宋"/>
          <w:bCs/>
          <w:sz w:val="24"/>
        </w:rPr>
        <w:t>项目名称：2022-2024年进化镇古建筑、河上镇东山村白蚁治理项目</w:t>
      </w:r>
    </w:p>
    <w:p>
      <w:pPr>
        <w:spacing w:line="360" w:lineRule="auto"/>
        <w:ind w:firstLine="480" w:firstLineChars="200"/>
        <w:rPr>
          <w:rFonts w:ascii="仿宋" w:hAnsi="仿宋" w:eastAsia="仿宋"/>
          <w:bCs/>
          <w:sz w:val="24"/>
        </w:rPr>
      </w:pPr>
      <w:r>
        <w:rPr>
          <w:rFonts w:hint="eastAsia" w:ascii="仿宋" w:hAnsi="仿宋" w:eastAsia="仿宋"/>
          <w:bCs/>
          <w:sz w:val="24"/>
        </w:rPr>
        <w:t>预算金额（元）：678900</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hint="eastAsia" w:ascii="仿宋" w:hAnsi="仿宋" w:eastAsia="仿宋"/>
          <w:bCs/>
          <w:sz w:val="24"/>
        </w:rPr>
        <w:t>最高限价（元）：</w:t>
      </w:r>
      <w:r>
        <w:rPr>
          <w:rFonts w:hint="eastAsia" w:ascii="仿宋" w:hAnsi="仿宋" w:eastAsia="仿宋"/>
          <w:bCs/>
          <w:sz w:val="24"/>
          <w:highlight w:val="yellow"/>
        </w:rPr>
        <w:t>678900，</w:t>
      </w:r>
      <w:r>
        <w:rPr>
          <w:rFonts w:hint="eastAsia" w:ascii="仿宋" w:hAnsi="仿宋" w:eastAsia="仿宋" w:cs="仿宋"/>
          <w:bCs/>
          <w:sz w:val="24"/>
          <w:highlight w:val="yellow"/>
        </w:rPr>
        <w:t>综合单价响应报价最高限价详见采购需求。</w:t>
      </w:r>
    </w:p>
    <w:p>
      <w:pPr>
        <w:spacing w:line="360" w:lineRule="auto"/>
        <w:ind w:firstLine="480" w:firstLineChars="200"/>
        <w:rPr>
          <w:rFonts w:ascii="仿宋" w:hAnsi="仿宋" w:eastAsia="仿宋"/>
          <w:bCs/>
          <w:sz w:val="24"/>
        </w:rPr>
      </w:pPr>
      <w:r>
        <w:rPr>
          <w:rFonts w:hint="eastAsia" w:ascii="仿宋" w:hAnsi="仿宋" w:eastAsia="仿宋"/>
          <w:bCs/>
          <w:sz w:val="24"/>
        </w:rPr>
        <w:t>采购需求：</w:t>
      </w:r>
    </w:p>
    <w:p>
      <w:pPr>
        <w:spacing w:line="360" w:lineRule="auto"/>
        <w:ind w:firstLine="480" w:firstLineChars="200"/>
        <w:rPr>
          <w:rFonts w:ascii="仿宋" w:hAnsi="仿宋" w:eastAsia="仿宋"/>
          <w:bCs/>
          <w:sz w:val="24"/>
        </w:rPr>
      </w:pPr>
      <w:r>
        <w:rPr>
          <w:rFonts w:hint="eastAsia" w:ascii="仿宋" w:hAnsi="仿宋" w:eastAsia="仿宋"/>
          <w:bCs/>
          <w:sz w:val="24"/>
        </w:rPr>
        <w:t>标项一</w:t>
      </w:r>
    </w:p>
    <w:p>
      <w:pPr>
        <w:spacing w:line="360" w:lineRule="auto"/>
        <w:ind w:firstLine="480" w:firstLineChars="200"/>
        <w:rPr>
          <w:rFonts w:ascii="仿宋" w:hAnsi="仿宋" w:eastAsia="仿宋"/>
          <w:bCs/>
          <w:sz w:val="24"/>
        </w:rPr>
      </w:pPr>
      <w:r>
        <w:rPr>
          <w:rFonts w:hint="eastAsia" w:ascii="仿宋" w:hAnsi="仿宋" w:eastAsia="仿宋"/>
          <w:bCs/>
          <w:sz w:val="24"/>
        </w:rPr>
        <w:t>标项名称</w:t>
      </w:r>
      <w:r>
        <w:rPr>
          <w:rFonts w:ascii="仿宋" w:hAnsi="仿宋" w:eastAsia="仿宋"/>
          <w:bCs/>
          <w:sz w:val="24"/>
        </w:rPr>
        <w:t xml:space="preserve">: </w:t>
      </w:r>
      <w:r>
        <w:rPr>
          <w:rFonts w:hint="eastAsia" w:ascii="仿宋" w:hAnsi="仿宋" w:eastAsia="仿宋" w:cs="仿宋_GB2312"/>
          <w:snapToGrid w:val="0"/>
          <w:kern w:val="28"/>
          <w:sz w:val="24"/>
          <w:szCs w:val="20"/>
          <w:u w:val="single"/>
        </w:rPr>
        <w:t>2022-2024年进化镇古建筑、河上镇东山村白蚁治理项目</w:t>
      </w:r>
    </w:p>
    <w:p>
      <w:pPr>
        <w:spacing w:line="360" w:lineRule="auto"/>
        <w:ind w:firstLine="480" w:firstLineChars="200"/>
        <w:rPr>
          <w:rFonts w:ascii="仿宋" w:hAnsi="仿宋" w:eastAsia="仿宋"/>
          <w:bCs/>
          <w:sz w:val="24"/>
        </w:rPr>
      </w:pPr>
      <w:r>
        <w:rPr>
          <w:rFonts w:hint="eastAsia" w:ascii="仿宋" w:hAnsi="仿宋" w:eastAsia="仿宋"/>
          <w:bCs/>
          <w:sz w:val="24"/>
        </w:rPr>
        <w:t>数量</w:t>
      </w:r>
      <w:r>
        <w:rPr>
          <w:rFonts w:ascii="仿宋" w:hAnsi="仿宋" w:eastAsia="仿宋"/>
          <w:bCs/>
          <w:sz w:val="24"/>
        </w:rPr>
        <w:t xml:space="preserve">: 1  </w:t>
      </w:r>
    </w:p>
    <w:p>
      <w:pPr>
        <w:spacing w:line="360" w:lineRule="auto"/>
        <w:ind w:firstLine="480" w:firstLineChars="200"/>
        <w:rPr>
          <w:rFonts w:ascii="仿宋" w:hAnsi="仿宋" w:eastAsia="仿宋"/>
          <w:bCs/>
          <w:sz w:val="24"/>
        </w:rPr>
      </w:pPr>
      <w:r>
        <w:rPr>
          <w:rFonts w:hint="eastAsia" w:ascii="仿宋" w:hAnsi="仿宋" w:eastAsia="仿宋"/>
          <w:bCs/>
          <w:sz w:val="24"/>
        </w:rPr>
        <w:t>预算金额（元）</w:t>
      </w:r>
      <w:r>
        <w:rPr>
          <w:rFonts w:ascii="仿宋" w:hAnsi="仿宋" w:eastAsia="仿宋"/>
          <w:bCs/>
          <w:sz w:val="24"/>
        </w:rPr>
        <w:t xml:space="preserve">: </w:t>
      </w:r>
      <w:r>
        <w:rPr>
          <w:rFonts w:hint="eastAsia" w:ascii="仿宋" w:hAnsi="仿宋" w:eastAsia="仿宋"/>
          <w:bCs/>
          <w:sz w:val="24"/>
        </w:rPr>
        <w:t>678900</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hint="eastAsia" w:ascii="仿宋" w:hAnsi="仿宋" w:eastAsia="仿宋"/>
          <w:bCs/>
          <w:sz w:val="24"/>
        </w:rPr>
        <w:t>简要规格描述或项目基本概况介绍、用途：2022-2024年进化镇古建筑、河上镇东山村白蚁治理服务。具体要求详见磋商文件“第三部分 采购需求”。</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hint="eastAsia" w:ascii="仿宋" w:hAnsi="仿宋" w:eastAsia="仿宋"/>
          <w:bCs/>
          <w:sz w:val="24"/>
        </w:rPr>
        <w:t>备注：/</w:t>
      </w:r>
    </w:p>
    <w:p>
      <w:pPr>
        <w:spacing w:line="360" w:lineRule="auto"/>
        <w:ind w:firstLine="480" w:firstLineChars="200"/>
        <w:rPr>
          <w:rFonts w:ascii="仿宋" w:hAnsi="仿宋" w:eastAsia="仿宋"/>
          <w:bCs/>
          <w:sz w:val="24"/>
        </w:rPr>
      </w:pPr>
      <w:r>
        <w:rPr>
          <w:rFonts w:hint="eastAsia" w:ascii="仿宋" w:hAnsi="仿宋" w:eastAsia="仿宋"/>
          <w:bCs/>
          <w:sz w:val="24"/>
        </w:rPr>
        <w:t>合同履约期限：合同签订生效后至白蚁综合治理服务结束之日。</w:t>
      </w:r>
    </w:p>
    <w:p>
      <w:pP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bCs/>
          <w:sz w:val="24"/>
        </w:rPr>
        <w:t>本项目</w:t>
      </w:r>
      <w:r>
        <w:rPr>
          <w:rFonts w:ascii="仿宋" w:hAnsi="仿宋" w:eastAsia="仿宋"/>
          <w:bCs/>
          <w:sz w:val="24"/>
        </w:rPr>
        <w:t>是否</w:t>
      </w:r>
      <w:r>
        <w:rPr>
          <w:rFonts w:hint="eastAsia" w:ascii="仿宋" w:hAnsi="仿宋" w:eastAsia="仿宋"/>
          <w:bCs/>
          <w:sz w:val="24"/>
        </w:rPr>
        <w:t>联合体响应</w:t>
      </w:r>
      <w:r>
        <w:rPr>
          <w:rFonts w:ascii="仿宋" w:hAnsi="仿宋" w:eastAsia="仿宋"/>
          <w:bCs/>
          <w:sz w:val="24"/>
        </w:rPr>
        <w:t>：</w:t>
      </w:r>
      <w:r>
        <w:rPr>
          <w:rFonts w:ascii="仿宋" w:hAnsi="仿宋" w:eastAsia="仿宋"/>
          <w:bCs/>
          <w:sz w:val="24"/>
        </w:rPr>
        <w:sym w:font="Wingdings" w:char="00A8"/>
      </w:r>
      <w:r>
        <w:rPr>
          <w:rFonts w:ascii="仿宋" w:hAnsi="仿宋" w:eastAsia="仿宋"/>
          <w:bCs/>
          <w:sz w:val="24"/>
        </w:rPr>
        <w:t>是；</w:t>
      </w:r>
      <w:r>
        <w:rPr>
          <w:rFonts w:hint="eastAsia" w:ascii="仿宋" w:hAnsi="仿宋" w:eastAsia="仿宋"/>
          <w:bCs/>
          <w:sz w:val="24"/>
        </w:rPr>
        <w:t>☑</w:t>
      </w:r>
      <w:r>
        <w:rPr>
          <w:rFonts w:ascii="仿宋" w:hAnsi="仿宋" w:eastAsia="仿宋"/>
          <w:bCs/>
          <w:sz w:val="24"/>
        </w:rPr>
        <w:t>否。</w:t>
      </w:r>
    </w:p>
    <w:p>
      <w:pPr>
        <w:spacing w:line="360" w:lineRule="auto"/>
        <w:ind w:firstLine="482" w:firstLineChars="200"/>
        <w:rPr>
          <w:rFonts w:ascii="仿宋" w:hAnsi="仿宋" w:eastAsia="仿宋"/>
          <w:b/>
          <w:sz w:val="24"/>
        </w:rPr>
      </w:pPr>
      <w:r>
        <w:rPr>
          <w:rFonts w:hint="eastAsia" w:ascii="仿宋" w:hAnsi="仿宋" w:eastAsia="仿宋"/>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bookmarkStart w:id="1" w:name="_Hlk97157147"/>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
      <w:r>
        <w:rPr>
          <w:rFonts w:hint="eastAsia" w:ascii="仿宋" w:hAnsi="仿宋" w:eastAsia="仿宋" w:cs="仿宋_GB2312"/>
          <w:snapToGrid w:val="0"/>
          <w:kern w:val="28"/>
          <w:sz w:val="24"/>
          <w:szCs w:val="20"/>
        </w:rPr>
        <w:t>；</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71650476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cs="Arial"/>
          <w:kern w:val="0"/>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highlight w:val="yellow"/>
          </w:rPr>
          <w:id w:val="-115260493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yellow"/>
          </w:rPr>
        </w:sdtEndPr>
        <w:sdtContent>
          <w:r>
            <w:rPr>
              <w:rFonts w:hint="eastAsia" w:ascii="仿宋_GB2312" w:hAnsi="仿宋" w:eastAsia="仿宋_GB2312" w:cs="Arial"/>
              <w:kern w:val="0"/>
              <w:sz w:val="24"/>
              <w:highlight w:val="yellow"/>
            </w:rPr>
            <w:sym w:font="Wingdings" w:char="F0FE"/>
          </w:r>
        </w:sdtContent>
      </w:sdt>
      <w:r>
        <w:rPr>
          <w:rFonts w:hint="eastAsia" w:ascii="仿宋_GB2312" w:hAnsi="仿宋" w:eastAsia="仿宋_GB2312" w:cs="Arial"/>
          <w:kern w:val="0"/>
          <w:sz w:val="24"/>
          <w:highlight w:val="yellow"/>
        </w:rPr>
        <w:t>专</w:t>
      </w:r>
      <w:r>
        <w:rPr>
          <w:rFonts w:hint="eastAsia" w:ascii="仿宋_GB2312" w:hAnsi="仿宋" w:eastAsia="仿宋_GB2312"/>
          <w:sz w:val="24"/>
          <w:highlight w:val="yellow"/>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149541400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5917412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pPr>
      <w:sdt>
        <w:sdtPr>
          <w:rPr>
            <w:rFonts w:hint="eastAsia" w:ascii="仿宋_GB2312" w:hAnsi="仿宋" w:eastAsia="仿宋_GB2312" w:cs="Arial"/>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yellow"/>
          </w:rPr>
        </w:sdtEndPr>
        <w:sdtContent>
          <w:r>
            <w:rPr>
              <w:rFonts w:ascii="Wingdings" w:hAnsi="Wingdings" w:eastAsia="仿宋_GB2312" w:cs="Arial"/>
              <w:kern w:val="0"/>
              <w:sz w:val="24"/>
              <w:highlight w:val="yellow"/>
            </w:rPr>
            <w:t></w:t>
          </w:r>
        </w:sdtContent>
      </w:sdt>
      <w:r>
        <w:rPr>
          <w:rFonts w:hint="eastAsia" w:ascii="仿宋_GB2312" w:hAnsi="仿宋" w:eastAsia="仿宋_GB2312"/>
          <w:sz w:val="24"/>
          <w:highlight w:val="yellow"/>
        </w:rPr>
        <w:t>服务全部由符合政策要求的小微企业承接，提供中小企业声明函；</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_GB2312" w:cs="仿宋_GB2312"/>
          <w:snapToGrid w:val="0"/>
          <w:kern w:val="28"/>
          <w:sz w:val="24"/>
          <w:szCs w:val="20"/>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outlineLvl w:val="1"/>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rPr>
        <w:t>：</w:t>
      </w:r>
    </w:p>
    <w:p>
      <w:pPr>
        <w:spacing w:line="360" w:lineRule="auto"/>
        <w:ind w:firstLine="480" w:firstLineChars="200"/>
        <w:rPr>
          <w:rFonts w:ascii="仿宋" w:hAnsi="仿宋" w:eastAsia="仿宋_GB2312"/>
          <w:bCs/>
          <w:sz w:val="24"/>
        </w:rPr>
      </w:pPr>
      <w:bookmarkStart w:id="2" w:name="_Hlk97157160"/>
      <w:r>
        <w:rPr>
          <w:rFonts w:hint="eastAsia" w:ascii="仿宋_GB2312" w:hAnsi="仿宋" w:eastAsia="仿宋_GB2312"/>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
    </w:p>
    <w:p>
      <w:pPr>
        <w:spacing w:line="360" w:lineRule="auto"/>
        <w:ind w:firstLine="482" w:firstLineChars="200"/>
        <w:rPr>
          <w:rFonts w:ascii="仿宋" w:hAnsi="仿宋" w:eastAsia="仿宋"/>
          <w:b/>
          <w:sz w:val="24"/>
        </w:rPr>
      </w:pPr>
      <w:r>
        <w:rPr>
          <w:rFonts w:hint="eastAsia" w:ascii="仿宋" w:hAnsi="仿宋" w:eastAsia="仿宋"/>
          <w:b/>
          <w:sz w:val="24"/>
        </w:rPr>
        <w:t>三、获取（下载）采购文件</w:t>
      </w:r>
    </w:p>
    <w:p>
      <w:pPr>
        <w:spacing w:line="360" w:lineRule="auto"/>
        <w:ind w:firstLine="480" w:firstLineChars="200"/>
        <w:rPr>
          <w:rFonts w:ascii="仿宋" w:hAnsi="仿宋" w:eastAsia="仿宋"/>
          <w:bCs/>
          <w:sz w:val="24"/>
        </w:rPr>
      </w:pPr>
      <w:r>
        <w:rPr>
          <w:rFonts w:hint="eastAsia" w:ascii="仿宋" w:hAnsi="仿宋" w:eastAsia="仿宋"/>
          <w:bCs/>
          <w:sz w:val="24"/>
        </w:rPr>
        <w:t>时间：</w:t>
      </w:r>
      <w:r>
        <w:rPr>
          <w:rFonts w:ascii="仿宋" w:hAnsi="仿宋" w:eastAsia="仿宋"/>
          <w:bCs/>
          <w:sz w:val="24"/>
        </w:rPr>
        <w:t>/至</w:t>
      </w:r>
      <w:r>
        <w:rPr>
          <w:rFonts w:ascii="仿宋" w:hAnsi="仿宋" w:eastAsia="仿宋"/>
          <w:bCs/>
          <w:color w:val="0000FF"/>
          <w:sz w:val="24"/>
        </w:rPr>
        <w:t>2022年</w:t>
      </w:r>
      <w:r>
        <w:rPr>
          <w:rFonts w:hint="eastAsia" w:ascii="仿宋" w:hAnsi="仿宋" w:eastAsia="仿宋"/>
          <w:bCs/>
          <w:color w:val="0000FF"/>
          <w:sz w:val="24"/>
          <w:lang w:val="en-US" w:eastAsia="zh-CN"/>
        </w:rPr>
        <w:t>8</w:t>
      </w:r>
      <w:r>
        <w:rPr>
          <w:rFonts w:hint="eastAsia" w:ascii="仿宋" w:hAnsi="仿宋" w:eastAsia="仿宋"/>
          <w:bCs/>
          <w:color w:val="0000FF"/>
          <w:sz w:val="24"/>
        </w:rPr>
        <w:t>月</w:t>
      </w:r>
      <w:r>
        <w:rPr>
          <w:rFonts w:hint="eastAsia" w:ascii="仿宋" w:hAnsi="仿宋" w:eastAsia="仿宋"/>
          <w:bCs/>
          <w:color w:val="0000FF"/>
          <w:sz w:val="24"/>
          <w:lang w:val="en-US" w:eastAsia="zh-CN"/>
        </w:rPr>
        <w:t>5</w:t>
      </w:r>
      <w:r>
        <w:rPr>
          <w:rFonts w:hint="eastAsia" w:ascii="仿宋" w:hAnsi="仿宋" w:eastAsia="仿宋"/>
          <w:bCs/>
          <w:sz w:val="24"/>
        </w:rPr>
        <w:t>，每天上午</w:t>
      </w:r>
      <w:r>
        <w:rPr>
          <w:rFonts w:ascii="仿宋" w:hAnsi="仿宋" w:eastAsia="仿宋"/>
          <w:bCs/>
          <w:sz w:val="24"/>
        </w:rPr>
        <w:t>00:00至12:00，下午12:00至23:59（北京时间，线上获取法定节假日均可，线下获取文件法定节假日除外）</w:t>
      </w:r>
    </w:p>
    <w:p>
      <w:pPr>
        <w:spacing w:line="360" w:lineRule="auto"/>
        <w:ind w:firstLine="480" w:firstLineChars="200"/>
        <w:rPr>
          <w:rFonts w:ascii="仿宋" w:hAnsi="仿宋" w:eastAsia="仿宋"/>
          <w:bCs/>
          <w:sz w:val="24"/>
        </w:rPr>
      </w:pPr>
      <w:r>
        <w:rPr>
          <w:rFonts w:hint="eastAsia" w:ascii="仿宋" w:hAnsi="仿宋" w:eastAsia="仿宋"/>
          <w:bCs/>
          <w:sz w:val="24"/>
        </w:rPr>
        <w:t>地点（网址）：政采云平台（</w:t>
      </w:r>
      <w:r>
        <w:rPr>
          <w:rFonts w:ascii="仿宋" w:hAnsi="仿宋" w:eastAsia="仿宋"/>
          <w:bCs/>
          <w:sz w:val="24"/>
        </w:rPr>
        <w:t xml:space="preserve">http://zfcg.czt.zj.gov.cn） </w:t>
      </w:r>
    </w:p>
    <w:p>
      <w:pPr>
        <w:spacing w:line="360" w:lineRule="auto"/>
        <w:ind w:firstLine="480" w:firstLineChars="200"/>
        <w:rPr>
          <w:rFonts w:ascii="仿宋" w:hAnsi="仿宋" w:eastAsia="仿宋"/>
          <w:bCs/>
          <w:sz w:val="24"/>
        </w:rPr>
      </w:pPr>
      <w:r>
        <w:rPr>
          <w:rFonts w:hint="eastAsia" w:ascii="仿宋" w:hAnsi="仿宋" w:eastAsia="仿宋"/>
          <w:bCs/>
          <w:sz w:val="24"/>
        </w:rPr>
        <w:t>方式：供应商登录政采云平台</w:t>
      </w:r>
      <w:r>
        <w:rPr>
          <w:rFonts w:ascii="仿宋" w:hAnsi="仿宋" w:eastAsia="仿宋"/>
          <w:bCs/>
          <w:sz w:val="24"/>
        </w:rPr>
        <w:t xml:space="preserve">https://www.zcygov.cn/在线申请获取采购文件（进入“项目采购”应用，在获取采购文件菜单中选择项目，申请获取采购文件） </w:t>
      </w:r>
    </w:p>
    <w:p>
      <w:pPr>
        <w:spacing w:line="360" w:lineRule="auto"/>
        <w:ind w:firstLine="480" w:firstLineChars="200"/>
        <w:rPr>
          <w:rFonts w:ascii="仿宋" w:hAnsi="仿宋" w:eastAsia="仿宋"/>
          <w:bCs/>
          <w:sz w:val="24"/>
        </w:rPr>
      </w:pPr>
      <w:r>
        <w:rPr>
          <w:rFonts w:hint="eastAsia" w:ascii="仿宋" w:hAnsi="仿宋" w:eastAsia="仿宋"/>
          <w:bCs/>
          <w:sz w:val="24"/>
        </w:rPr>
        <w:t>售价（元）：</w:t>
      </w:r>
      <w:r>
        <w:rPr>
          <w:rFonts w:ascii="仿宋" w:hAnsi="仿宋" w:eastAsia="仿宋"/>
          <w:bCs/>
          <w:sz w:val="24"/>
        </w:rPr>
        <w:t xml:space="preserve">0 </w:t>
      </w:r>
    </w:p>
    <w:p>
      <w:pPr>
        <w:spacing w:line="360" w:lineRule="auto"/>
        <w:ind w:firstLine="482" w:firstLineChars="200"/>
        <w:rPr>
          <w:rFonts w:ascii="仿宋" w:hAnsi="仿宋" w:eastAsia="仿宋"/>
          <w:b/>
          <w:sz w:val="24"/>
        </w:rPr>
      </w:pPr>
      <w:r>
        <w:rPr>
          <w:rFonts w:hint="eastAsia" w:ascii="仿宋" w:hAnsi="仿宋" w:eastAsia="仿宋"/>
          <w:b/>
          <w:sz w:val="24"/>
        </w:rPr>
        <w:t xml:space="preserve">四、响应文件提交（上传） </w:t>
      </w:r>
    </w:p>
    <w:p>
      <w:pPr>
        <w:spacing w:line="360" w:lineRule="auto"/>
        <w:ind w:firstLine="480" w:firstLineChars="200"/>
        <w:rPr>
          <w:rFonts w:ascii="仿宋" w:hAnsi="仿宋" w:eastAsia="仿宋"/>
          <w:bCs/>
          <w:sz w:val="24"/>
        </w:rPr>
      </w:pPr>
      <w:r>
        <w:rPr>
          <w:rFonts w:hint="eastAsia" w:ascii="仿宋" w:hAnsi="仿宋" w:eastAsia="仿宋"/>
          <w:bCs/>
          <w:sz w:val="24"/>
        </w:rPr>
        <w:t>截止时间：</w:t>
      </w:r>
      <w:r>
        <w:rPr>
          <w:rFonts w:ascii="仿宋" w:hAnsi="仿宋" w:eastAsia="仿宋"/>
          <w:bCs/>
          <w:color w:val="0000FF"/>
          <w:sz w:val="24"/>
        </w:rPr>
        <w:t>2022年</w:t>
      </w:r>
      <w:r>
        <w:rPr>
          <w:rFonts w:hint="eastAsia" w:ascii="仿宋" w:hAnsi="仿宋" w:eastAsia="仿宋"/>
          <w:bCs/>
          <w:color w:val="0000FF"/>
          <w:sz w:val="24"/>
          <w:lang w:val="en-US" w:eastAsia="zh-CN"/>
        </w:rPr>
        <w:t>8</w:t>
      </w:r>
      <w:r>
        <w:rPr>
          <w:rFonts w:hint="eastAsia" w:ascii="仿宋" w:hAnsi="仿宋" w:eastAsia="仿宋"/>
          <w:bCs/>
          <w:color w:val="0000FF"/>
          <w:sz w:val="24"/>
        </w:rPr>
        <w:t>月</w:t>
      </w:r>
      <w:r>
        <w:rPr>
          <w:rFonts w:hint="eastAsia" w:ascii="仿宋" w:hAnsi="仿宋" w:eastAsia="仿宋"/>
          <w:bCs/>
          <w:color w:val="0000FF"/>
          <w:sz w:val="24"/>
          <w:lang w:val="en-US" w:eastAsia="zh-CN"/>
        </w:rPr>
        <w:t>5</w:t>
      </w:r>
      <w:r>
        <w:rPr>
          <w:rFonts w:hint="eastAsia" w:ascii="仿宋" w:hAnsi="仿宋" w:eastAsia="仿宋"/>
          <w:bCs/>
          <w:color w:val="0000FF"/>
          <w:sz w:val="24"/>
        </w:rPr>
        <w:t>日</w:t>
      </w:r>
      <w:r>
        <w:rPr>
          <w:rFonts w:hint="eastAsia" w:ascii="仿宋" w:hAnsi="仿宋" w:eastAsia="仿宋"/>
          <w:bCs/>
          <w:color w:val="0000FF"/>
          <w:sz w:val="24"/>
          <w:lang w:val="en-US" w:eastAsia="zh-CN"/>
        </w:rPr>
        <w:t>14</w:t>
      </w:r>
      <w:r>
        <w:rPr>
          <w:rFonts w:ascii="仿宋" w:hAnsi="仿宋" w:eastAsia="仿宋"/>
          <w:bCs/>
          <w:color w:val="0000FF"/>
          <w:sz w:val="24"/>
        </w:rPr>
        <w:t>:</w:t>
      </w:r>
      <w:r>
        <w:rPr>
          <w:rFonts w:hint="eastAsia" w:ascii="仿宋" w:hAnsi="仿宋" w:eastAsia="仿宋"/>
          <w:bCs/>
          <w:color w:val="0000FF"/>
          <w:sz w:val="24"/>
          <w:lang w:val="en-US" w:eastAsia="zh-CN"/>
        </w:rPr>
        <w:t>00</w:t>
      </w:r>
      <w:r>
        <w:rPr>
          <w:rFonts w:hint="eastAsia" w:ascii="仿宋" w:hAnsi="仿宋" w:eastAsia="仿宋"/>
          <w:bCs/>
          <w:sz w:val="24"/>
        </w:rPr>
        <w:t>（北京时间）</w:t>
      </w:r>
    </w:p>
    <w:p>
      <w:pPr>
        <w:spacing w:line="360" w:lineRule="auto"/>
        <w:ind w:firstLine="480" w:firstLineChars="200"/>
        <w:rPr>
          <w:rFonts w:ascii="仿宋" w:hAnsi="仿宋" w:eastAsia="仿宋"/>
          <w:bCs/>
          <w:sz w:val="24"/>
        </w:rPr>
      </w:pPr>
      <w:r>
        <w:rPr>
          <w:rFonts w:hint="eastAsia" w:ascii="仿宋" w:hAnsi="仿宋" w:eastAsia="仿宋"/>
          <w:bCs/>
          <w:sz w:val="24"/>
        </w:rPr>
        <w:t>地点（网址）：政府采购云平台（</w:t>
      </w:r>
      <w:r>
        <w:rPr>
          <w:rFonts w:ascii="仿宋" w:hAnsi="仿宋" w:eastAsia="仿宋"/>
          <w:bCs/>
          <w:sz w:val="24"/>
        </w:rPr>
        <w:t xml:space="preserve">https://www.zcygov.cn） </w:t>
      </w:r>
    </w:p>
    <w:p>
      <w:pPr>
        <w:spacing w:line="360" w:lineRule="auto"/>
        <w:ind w:firstLine="482" w:firstLineChars="200"/>
        <w:rPr>
          <w:rFonts w:ascii="仿宋" w:hAnsi="仿宋" w:eastAsia="仿宋"/>
          <w:b/>
          <w:sz w:val="24"/>
        </w:rPr>
      </w:pPr>
      <w:r>
        <w:rPr>
          <w:rFonts w:hint="eastAsia" w:ascii="仿宋" w:hAnsi="仿宋" w:eastAsia="仿宋"/>
          <w:b/>
          <w:sz w:val="24"/>
        </w:rPr>
        <w:t xml:space="preserve">五、响应文件开启 </w:t>
      </w:r>
    </w:p>
    <w:p>
      <w:pPr>
        <w:spacing w:line="360" w:lineRule="auto"/>
        <w:ind w:firstLine="480" w:firstLineChars="200"/>
        <w:rPr>
          <w:rFonts w:ascii="仿宋" w:hAnsi="仿宋" w:eastAsia="仿宋"/>
          <w:bCs/>
          <w:sz w:val="24"/>
        </w:rPr>
      </w:pPr>
      <w:r>
        <w:rPr>
          <w:rFonts w:hint="eastAsia" w:ascii="仿宋" w:hAnsi="仿宋" w:eastAsia="仿宋"/>
          <w:bCs/>
          <w:sz w:val="24"/>
        </w:rPr>
        <w:t>开启时间：</w:t>
      </w:r>
      <w:r>
        <w:rPr>
          <w:rFonts w:ascii="仿宋" w:hAnsi="仿宋" w:eastAsia="仿宋"/>
          <w:bCs/>
          <w:color w:val="0000FF"/>
          <w:sz w:val="24"/>
        </w:rPr>
        <w:t>2022年</w:t>
      </w:r>
      <w:r>
        <w:rPr>
          <w:rFonts w:hint="eastAsia" w:ascii="仿宋" w:hAnsi="仿宋" w:eastAsia="仿宋"/>
          <w:bCs/>
          <w:color w:val="0000FF"/>
          <w:sz w:val="24"/>
          <w:lang w:val="en-US" w:eastAsia="zh-CN"/>
        </w:rPr>
        <w:t>8</w:t>
      </w:r>
      <w:r>
        <w:rPr>
          <w:rFonts w:hint="eastAsia" w:ascii="仿宋" w:hAnsi="仿宋" w:eastAsia="仿宋"/>
          <w:bCs/>
          <w:color w:val="0000FF"/>
          <w:sz w:val="24"/>
        </w:rPr>
        <w:t>月</w:t>
      </w:r>
      <w:r>
        <w:rPr>
          <w:rFonts w:hint="eastAsia" w:ascii="仿宋" w:hAnsi="仿宋" w:eastAsia="仿宋"/>
          <w:bCs/>
          <w:color w:val="0000FF"/>
          <w:sz w:val="24"/>
          <w:lang w:val="en-US" w:eastAsia="zh-CN"/>
        </w:rPr>
        <w:t>5</w:t>
      </w:r>
      <w:r>
        <w:rPr>
          <w:rFonts w:hint="eastAsia" w:ascii="仿宋" w:hAnsi="仿宋" w:eastAsia="仿宋"/>
          <w:bCs/>
          <w:color w:val="0000FF"/>
          <w:sz w:val="24"/>
        </w:rPr>
        <w:t>日</w:t>
      </w:r>
      <w:r>
        <w:rPr>
          <w:rFonts w:hint="eastAsia" w:ascii="仿宋" w:hAnsi="仿宋" w:eastAsia="仿宋"/>
          <w:bCs/>
          <w:color w:val="0000FF"/>
          <w:sz w:val="24"/>
          <w:lang w:val="en-US" w:eastAsia="zh-CN"/>
        </w:rPr>
        <w:t>14</w:t>
      </w:r>
      <w:r>
        <w:rPr>
          <w:rFonts w:ascii="仿宋" w:hAnsi="仿宋" w:eastAsia="仿宋"/>
          <w:bCs/>
          <w:color w:val="0000FF"/>
          <w:sz w:val="24"/>
        </w:rPr>
        <w:t>:</w:t>
      </w:r>
      <w:r>
        <w:rPr>
          <w:rFonts w:hint="eastAsia" w:ascii="仿宋" w:hAnsi="仿宋" w:eastAsia="仿宋"/>
          <w:bCs/>
          <w:color w:val="0000FF"/>
          <w:sz w:val="24"/>
          <w:lang w:val="en-US" w:eastAsia="zh-CN"/>
        </w:rPr>
        <w:t>00</w:t>
      </w:r>
      <w:r>
        <w:rPr>
          <w:rFonts w:ascii="仿宋" w:hAnsi="仿宋" w:eastAsia="仿宋"/>
          <w:bCs/>
          <w:color w:val="0000FF"/>
          <w:sz w:val="24"/>
        </w:rPr>
        <w:t xml:space="preserve"> </w:t>
      </w:r>
      <w:r>
        <w:rPr>
          <w:rFonts w:hint="eastAsia" w:ascii="仿宋" w:hAnsi="仿宋" w:eastAsia="仿宋"/>
          <w:bCs/>
          <w:sz w:val="24"/>
        </w:rPr>
        <w:t>（北京时间）</w:t>
      </w:r>
    </w:p>
    <w:p>
      <w:pPr>
        <w:spacing w:line="360" w:lineRule="auto"/>
        <w:ind w:firstLine="480" w:firstLineChars="200"/>
        <w:rPr>
          <w:rFonts w:ascii="仿宋" w:hAnsi="仿宋" w:eastAsia="仿宋"/>
          <w:bCs/>
          <w:sz w:val="24"/>
        </w:rPr>
      </w:pPr>
      <w:r>
        <w:rPr>
          <w:rFonts w:hint="eastAsia" w:ascii="仿宋" w:hAnsi="仿宋" w:eastAsia="仿宋"/>
          <w:bCs/>
          <w:sz w:val="24"/>
        </w:rPr>
        <w:t>地点（网址）：政府采购云平台（</w:t>
      </w:r>
      <w:r>
        <w:rPr>
          <w:rFonts w:ascii="仿宋" w:hAnsi="仿宋" w:eastAsia="仿宋"/>
          <w:bCs/>
          <w:sz w:val="24"/>
        </w:rPr>
        <w:t>https://www.zcygov.cn）</w:t>
      </w:r>
    </w:p>
    <w:p>
      <w:pPr>
        <w:spacing w:line="360" w:lineRule="auto"/>
        <w:ind w:firstLine="482" w:firstLineChars="200"/>
        <w:rPr>
          <w:rFonts w:ascii="仿宋" w:hAnsi="仿宋" w:eastAsia="仿宋"/>
          <w:b/>
          <w:sz w:val="24"/>
        </w:rPr>
      </w:pPr>
      <w:r>
        <w:rPr>
          <w:rFonts w:hint="eastAsia" w:ascii="仿宋" w:hAnsi="仿宋" w:eastAsia="仿宋"/>
          <w:b/>
          <w:sz w:val="24"/>
        </w:rPr>
        <w:t>六、采购意向公开链接</w:t>
      </w:r>
    </w:p>
    <w:p>
      <w:pPr>
        <w:spacing w:line="360" w:lineRule="auto"/>
        <w:ind w:firstLine="420" w:firstLineChars="200"/>
        <w:rPr>
          <w:rFonts w:ascii="仿宋" w:hAnsi="仿宋" w:eastAsia="仿宋"/>
          <w:bCs/>
          <w:color w:val="0000FF"/>
          <w:sz w:val="24"/>
        </w:rPr>
      </w:pPr>
      <w:r>
        <w:fldChar w:fldCharType="begin"/>
      </w:r>
      <w:r>
        <w:instrText xml:space="preserve"> HYPERLINK "https://zfcg.czt.zj.gov.cn/innerUsed_noticeDetails/index.html?noticeId=8579730&amp;utm=web-government-front.2e418808.0.0.1833a350f53211ec9130974ce4d1ee9d" </w:instrText>
      </w:r>
      <w:r>
        <w:fldChar w:fldCharType="separate"/>
      </w:r>
      <w:r>
        <w:rPr>
          <w:rFonts w:ascii="仿宋" w:hAnsi="仿宋" w:eastAsia="仿宋"/>
          <w:bCs/>
          <w:color w:val="0000FF"/>
          <w:sz w:val="24"/>
        </w:rPr>
        <w:t>https://zfcg.czt.zj.gov.cn/innerUsed_noticeDetails/index.html?noticeId=8579730&amp;utm=web-government-front.2e418808.0.0.1833a350f53211ec9130974ce4d1ee9d</w:t>
      </w:r>
      <w:r>
        <w:rPr>
          <w:rFonts w:ascii="仿宋" w:hAnsi="仿宋" w:eastAsia="仿宋"/>
          <w:bCs/>
          <w:color w:val="0000FF"/>
          <w:sz w:val="24"/>
        </w:rPr>
        <w:fldChar w:fldCharType="end"/>
      </w:r>
    </w:p>
    <w:p>
      <w:pPr>
        <w:spacing w:line="360" w:lineRule="auto"/>
        <w:ind w:firstLine="482" w:firstLineChars="200"/>
        <w:rPr>
          <w:rFonts w:ascii="仿宋" w:hAnsi="仿宋" w:eastAsia="仿宋"/>
          <w:b/>
          <w:sz w:val="24"/>
        </w:rPr>
      </w:pPr>
      <w:r>
        <w:rPr>
          <w:rFonts w:hint="eastAsia" w:ascii="仿宋" w:hAnsi="仿宋" w:eastAsia="仿宋"/>
          <w:b/>
          <w:sz w:val="24"/>
        </w:rPr>
        <w:t>七、公告期限</w:t>
      </w:r>
    </w:p>
    <w:p>
      <w:pPr>
        <w:spacing w:line="360" w:lineRule="auto"/>
        <w:ind w:firstLine="480" w:firstLineChars="200"/>
        <w:rPr>
          <w:rFonts w:ascii="仿宋" w:hAnsi="仿宋" w:eastAsia="仿宋"/>
          <w:bCs/>
          <w:sz w:val="24"/>
        </w:rPr>
      </w:pPr>
      <w:r>
        <w:rPr>
          <w:rFonts w:hint="eastAsia" w:ascii="仿宋" w:hAnsi="仿宋" w:eastAsia="仿宋"/>
          <w:bCs/>
          <w:sz w:val="24"/>
        </w:rPr>
        <w:t>自本公告发布之日起</w:t>
      </w:r>
      <w:r>
        <w:rPr>
          <w:rFonts w:ascii="仿宋" w:hAnsi="仿宋" w:eastAsia="仿宋"/>
          <w:bCs/>
          <w:sz w:val="24"/>
        </w:rPr>
        <w:t>3个工作日。</w:t>
      </w:r>
    </w:p>
    <w:p>
      <w:pPr>
        <w:spacing w:line="360" w:lineRule="auto"/>
        <w:ind w:firstLine="482" w:firstLineChars="200"/>
        <w:rPr>
          <w:rFonts w:ascii="仿宋" w:hAnsi="仿宋" w:eastAsia="仿宋"/>
          <w:b/>
          <w:sz w:val="24"/>
        </w:rPr>
      </w:pPr>
      <w:r>
        <w:rPr>
          <w:rFonts w:hint="eastAsia" w:ascii="仿宋" w:hAnsi="仿宋" w:eastAsia="仿宋"/>
          <w:b/>
          <w:sz w:val="24"/>
        </w:rPr>
        <w:t xml:space="preserve">八、其他补充事宜 </w:t>
      </w:r>
    </w:p>
    <w:p>
      <w:pPr>
        <w:spacing w:line="360" w:lineRule="auto"/>
        <w:ind w:firstLine="480" w:firstLineChars="200"/>
        <w:rPr>
          <w:rFonts w:ascii="仿宋" w:hAnsi="仿宋" w:eastAsia="仿宋"/>
          <w:bCs/>
          <w:sz w:val="24"/>
        </w:rPr>
      </w:pPr>
      <w:r>
        <w:rPr>
          <w:rFonts w:ascii="仿宋" w:hAnsi="仿宋" w:eastAsia="仿宋"/>
          <w:bCs/>
          <w:sz w:val="24"/>
        </w:rPr>
        <w:t xml:space="preserve">1.《浙江省财政厅关于进一步发挥政府采购政策功能全力推动经济稳进提质的通知》 </w:t>
      </w:r>
      <w:r>
        <w:rPr>
          <w:rFonts w:hint="eastAsia" w:ascii="仿宋" w:hAnsi="仿宋" w:eastAsia="仿宋"/>
          <w:bCs/>
          <w:sz w:val="24"/>
        </w:rPr>
        <w:t>（浙财采监（</w:t>
      </w:r>
      <w:r>
        <w:rPr>
          <w:rFonts w:ascii="仿宋" w:hAnsi="仿宋" w:eastAsia="仿宋"/>
          <w:bCs/>
          <w:sz w:val="24"/>
        </w:rPr>
        <w:t>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bCs/>
          <w:sz w:val="24"/>
        </w:rPr>
      </w:pPr>
      <w:r>
        <w:rPr>
          <w:rFonts w:ascii="仿宋" w:hAnsi="仿宋" w:eastAsia="仿宋"/>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bCs/>
          <w:sz w:val="24"/>
        </w:rPr>
      </w:pPr>
      <w:r>
        <w:rPr>
          <w:rFonts w:ascii="仿宋" w:hAnsi="仿宋" w:eastAsia="仿宋"/>
          <w:bCs/>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bCs/>
          <w:sz w:val="24"/>
        </w:rPr>
      </w:pPr>
      <w:r>
        <w:rPr>
          <w:rFonts w:ascii="仿宋" w:hAnsi="仿宋" w:eastAsia="仿宋"/>
          <w:bCs/>
          <w:sz w:val="24"/>
        </w:rPr>
        <w:t>4.其他事项：</w:t>
      </w:r>
      <w:r>
        <w:rPr>
          <w:rFonts w:hint="eastAsia" w:ascii="仿宋" w:hAnsi="仿宋" w:eastAsia="仿宋"/>
          <w:bCs/>
          <w:sz w:val="24"/>
        </w:rPr>
        <w:t>（1）需要落实的政府采购政策：包括节约资源、保护环境、支持创新、促进中小企业发展等。详见采购文件的第二部分总则。（2）电子招投标的说明：①电子招投标：本项目以数据电文形式，依托“政府采购云平台（www.zcygov.cn）”进行采购活动，不接受纸质投标（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响应）文件的制作：在“政采云电</w:t>
      </w:r>
      <w:bookmarkStart w:id="504" w:name="_GoBack"/>
      <w:bookmarkEnd w:id="504"/>
      <w:r>
        <w:rPr>
          <w:rFonts w:hint="eastAsia" w:ascii="仿宋" w:hAnsi="仿宋" w:eastAsia="仿宋"/>
          <w:bCs/>
          <w:sz w:val="24"/>
        </w:rPr>
        <w:t>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响应）活动； ⑥对未按上述方式获取采购文件的供应商对该文件提出的质疑，采购人或采购代理机构将不予处理；⑦不提供采购文件纸质版；⑧投标（响应）文件的传输递交：供应商在投标（响应）截止时间前将加密的投标（响应）文件上传至政府采购云平台，还可以在投标（响应）截止时间前直接提交或者以邮政快递方式递交备份投标（响应）文件1份。备份投标（响应）文件的制作、存储、密封详见采购文件第二部分第15点—“备份响应文件”；⑨投标（响应）文件的解密：供应商按照平台提示和采购文件的规定在半小时内完成在线解密。通过“政府采购云平台”上传递交的投标（响应）文件无法按时解密，供应商递交了备份响应文件的，以备份响应文件为依据，否则视为投标（响应）文件撤回。通过“政府采购云平台”上传递交的投标（响应）文件已按时解密的，备份响应文件自动失效。供应商仅提交备份响应文件，没有在电子交易平台传输递交投标（响应）文件的，投标（响应）无效；⑩具体操作指南：详见政采云平台“服务中心-帮助文档-项目采购-操作流程-电子招投标-政府采购项目电子交易管理操作指南-供应商”。（3）事业单位、社会组织等非企业单位提供的货物、工程、服务，暂不享受政府采购支持中小企业的相关政策。</w:t>
      </w:r>
      <w:r>
        <w:rPr>
          <w:rFonts w:hint="eastAsia" w:ascii="仿宋" w:hAnsi="仿宋" w:eastAsia="仿宋"/>
          <w:bCs/>
          <w:color w:val="0000FF"/>
          <w:sz w:val="24"/>
        </w:rPr>
        <w:t>（4）采购文件公告期限与采购公告的公告期限一致，公告发布之日起至2022年</w:t>
      </w:r>
      <w:r>
        <w:rPr>
          <w:rFonts w:hint="eastAsia" w:ascii="仿宋" w:hAnsi="仿宋" w:eastAsia="仿宋"/>
          <w:bCs/>
          <w:color w:val="0000FF"/>
          <w:sz w:val="24"/>
          <w:lang w:val="en-US" w:eastAsia="zh-CN"/>
        </w:rPr>
        <w:t>7</w:t>
      </w:r>
      <w:r>
        <w:rPr>
          <w:rFonts w:hint="eastAsia" w:ascii="仿宋" w:hAnsi="仿宋" w:eastAsia="仿宋"/>
          <w:bCs/>
          <w:color w:val="0000FF"/>
          <w:sz w:val="24"/>
        </w:rPr>
        <w:t>月</w:t>
      </w:r>
      <w:r>
        <w:rPr>
          <w:rFonts w:hint="eastAsia" w:ascii="仿宋" w:hAnsi="仿宋" w:eastAsia="仿宋"/>
          <w:bCs/>
          <w:color w:val="0000FF"/>
          <w:sz w:val="24"/>
          <w:lang w:val="en-US" w:eastAsia="zh-CN"/>
        </w:rPr>
        <w:t>29</w:t>
      </w:r>
      <w:r>
        <w:rPr>
          <w:rFonts w:hint="eastAsia" w:ascii="仿宋" w:hAnsi="仿宋" w:eastAsia="仿宋"/>
          <w:bCs/>
          <w:color w:val="0000FF"/>
          <w:sz w:val="24"/>
        </w:rPr>
        <w:t>日。</w:t>
      </w:r>
    </w:p>
    <w:p>
      <w:pPr>
        <w:spacing w:line="360" w:lineRule="auto"/>
        <w:ind w:firstLine="482" w:firstLineChars="200"/>
        <w:rPr>
          <w:rFonts w:ascii="仿宋" w:hAnsi="仿宋" w:eastAsia="仿宋"/>
          <w:b/>
          <w:sz w:val="24"/>
        </w:rPr>
      </w:pPr>
      <w:r>
        <w:rPr>
          <w:rFonts w:hint="eastAsia" w:ascii="仿宋" w:hAnsi="仿宋" w:eastAsia="仿宋"/>
          <w:b/>
          <w:sz w:val="24"/>
        </w:rPr>
        <w:t>九、凡对本次采购提出询问、质疑、投诉，请按以下方式联系</w:t>
      </w:r>
    </w:p>
    <w:p>
      <w:pPr>
        <w:spacing w:line="360" w:lineRule="auto"/>
        <w:ind w:firstLine="480" w:firstLineChars="200"/>
        <w:rPr>
          <w:rFonts w:ascii="仿宋" w:hAnsi="仿宋" w:eastAsia="仿宋"/>
          <w:bCs/>
          <w:sz w:val="24"/>
        </w:rPr>
      </w:pPr>
      <w:r>
        <w:rPr>
          <w:rFonts w:hint="eastAsia" w:ascii="仿宋" w:hAnsi="仿宋" w:eastAsia="仿宋"/>
          <w:bCs/>
          <w:sz w:val="24"/>
        </w:rPr>
        <w:t>1.采购人信息</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名 称：杭州市萧山区住房保障和房产管理服务中心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地 址：杭州市萧山区蜀山路311号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项目联系人（询问）：杨老师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项目联系方式（询问）：0571-83519962</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质疑联系人：金老师</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质疑联系方式：0571-83519964</w:t>
      </w:r>
    </w:p>
    <w:p>
      <w:pPr>
        <w:spacing w:line="360" w:lineRule="auto"/>
        <w:ind w:firstLine="480" w:firstLineChars="200"/>
        <w:rPr>
          <w:rFonts w:ascii="仿宋" w:hAnsi="仿宋" w:eastAsia="仿宋"/>
          <w:bCs/>
          <w:sz w:val="24"/>
        </w:rPr>
      </w:pPr>
      <w:r>
        <w:rPr>
          <w:rFonts w:hint="eastAsia" w:ascii="仿宋" w:hAnsi="仿宋" w:eastAsia="仿宋"/>
          <w:bCs/>
          <w:sz w:val="24"/>
        </w:rPr>
        <w:t>2.采购代理机构信息</w:t>
      </w:r>
    </w:p>
    <w:p>
      <w:pPr>
        <w:spacing w:line="360" w:lineRule="auto"/>
        <w:ind w:firstLine="480" w:firstLineChars="200"/>
        <w:rPr>
          <w:rFonts w:ascii="仿宋" w:hAnsi="仿宋" w:eastAsia="仿宋"/>
          <w:bCs/>
          <w:sz w:val="24"/>
        </w:rPr>
      </w:pPr>
      <w:r>
        <w:rPr>
          <w:rFonts w:hint="eastAsia" w:ascii="仿宋" w:hAnsi="仿宋" w:eastAsia="仿宋"/>
          <w:bCs/>
          <w:sz w:val="24"/>
        </w:rPr>
        <w:t>名 称：杭州贯今工程咨询有限公司 　　　　　　　　　　　</w:t>
      </w:r>
    </w:p>
    <w:p>
      <w:pPr>
        <w:spacing w:line="360" w:lineRule="auto"/>
        <w:ind w:firstLine="480" w:firstLineChars="200"/>
        <w:rPr>
          <w:rFonts w:ascii="仿宋" w:hAnsi="仿宋" w:eastAsia="仿宋"/>
          <w:bCs/>
          <w:sz w:val="24"/>
        </w:rPr>
      </w:pPr>
      <w:r>
        <w:rPr>
          <w:rFonts w:hint="eastAsia" w:ascii="仿宋" w:hAnsi="仿宋" w:eastAsia="仿宋"/>
          <w:bCs/>
          <w:sz w:val="24"/>
        </w:rPr>
        <w:t>地 址：杭州市滨江区滨安路1180号7幢2层楼212室  　   　</w:t>
      </w:r>
    </w:p>
    <w:p>
      <w:pPr>
        <w:spacing w:line="360" w:lineRule="auto"/>
        <w:ind w:firstLine="480" w:firstLineChars="200"/>
        <w:rPr>
          <w:rFonts w:ascii="仿宋" w:hAnsi="仿宋" w:eastAsia="仿宋"/>
          <w:bCs/>
          <w:sz w:val="24"/>
        </w:rPr>
      </w:pPr>
      <w:r>
        <w:rPr>
          <w:rFonts w:hint="eastAsia" w:ascii="仿宋" w:hAnsi="仿宋" w:eastAsia="仿宋"/>
          <w:bCs/>
          <w:sz w:val="24"/>
        </w:rPr>
        <w:t>项目联系人（询问）：</w:t>
      </w:r>
      <w:r>
        <w:rPr>
          <w:rFonts w:hint="eastAsia" w:ascii="仿宋" w:hAnsi="仿宋" w:eastAsia="仿宋" w:cs="仿宋"/>
          <w:sz w:val="24"/>
          <w:lang w:val="en-US" w:eastAsia="zh-CN"/>
        </w:rPr>
        <w:t>李</w:t>
      </w:r>
      <w:r>
        <w:rPr>
          <w:rFonts w:hint="eastAsia" w:ascii="仿宋" w:hAnsi="仿宋" w:eastAsia="仿宋" w:cs="仿宋"/>
          <w:sz w:val="24"/>
        </w:rPr>
        <w:t>工</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17376513183</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质疑联系人：程晨</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质疑联系方式：15869199400　</w:t>
      </w:r>
    </w:p>
    <w:p>
      <w:pPr>
        <w:spacing w:line="360" w:lineRule="auto"/>
        <w:ind w:firstLine="480" w:firstLineChars="200"/>
        <w:rPr>
          <w:rFonts w:ascii="仿宋" w:hAnsi="仿宋" w:eastAsia="仿宋"/>
          <w:bCs/>
          <w:sz w:val="24"/>
        </w:rPr>
      </w:pPr>
      <w:r>
        <w:rPr>
          <w:rFonts w:ascii="仿宋" w:hAnsi="仿宋" w:eastAsia="仿宋"/>
          <w:bCs/>
          <w:sz w:val="24"/>
        </w:rPr>
        <w:t>3.同级政府采购监督管理部门</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名    称：萧山区财政局             </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地    址：杭州市萧山区人民路318号             </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传    真：0571-82752687             </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联系人 ：陈先生             </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监督投诉电话：0571-82752687   </w:t>
      </w:r>
    </w:p>
    <w:p>
      <w:pPr>
        <w:spacing w:line="360" w:lineRule="auto"/>
        <w:ind w:firstLine="480" w:firstLineChars="200"/>
        <w:rPr>
          <w:rFonts w:ascii="仿宋" w:hAnsi="仿宋" w:eastAsia="仿宋"/>
          <w:bCs/>
          <w:sz w:val="24"/>
        </w:rPr>
      </w:pPr>
      <w:r>
        <w:rPr>
          <w:rFonts w:hint="eastAsia" w:ascii="仿宋" w:hAnsi="仿宋" w:eastAsia="仿宋"/>
          <w:bCs/>
          <w:sz w:val="24"/>
        </w:rPr>
        <w:t>若对项目采购电子交易系统操作有疑问，可登录政采云（</w:t>
      </w:r>
      <w:r>
        <w:rPr>
          <w:rFonts w:ascii="仿宋" w:hAnsi="仿宋" w:eastAsia="仿宋"/>
          <w:bCs/>
          <w:sz w:val="24"/>
        </w:rPr>
        <w:t xml:space="preserve">https://www.zcygov.cn/），点击右侧咨询小采，获取采小蜜智能服务管家帮助，或拨打政采云服务热线400-881-7190获取热线服务帮助。        </w:t>
      </w:r>
    </w:p>
    <w:p>
      <w:pPr>
        <w:adjustRightInd/>
        <w:ind w:firstLine="480" w:firstLineChars="200"/>
        <w:jc w:val="left"/>
        <w:rPr>
          <w:rFonts w:ascii="仿宋" w:hAnsi="仿宋" w:eastAsia="仿宋" w:cs="仿宋_GB2312"/>
          <w:b/>
          <w:sz w:val="36"/>
          <w:szCs w:val="20"/>
        </w:rPr>
      </w:pPr>
      <w:r>
        <w:rPr>
          <w:rFonts w:ascii="仿宋" w:hAnsi="仿宋" w:eastAsia="仿宋"/>
          <w:bCs/>
          <w:sz w:val="24"/>
        </w:rPr>
        <w:t>CA问题联系电话（人工）：汇信CA 400-888-4636；天谷CA 400-087-8198。</w:t>
      </w:r>
      <w:r>
        <w:rPr>
          <w:rFonts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6"/>
          <w:szCs w:val="20"/>
        </w:rPr>
      </w:pPr>
      <w:bookmarkStart w:id="3" w:name="_Toc98147522"/>
      <w:r>
        <w:rPr>
          <w:rFonts w:hint="eastAsia" w:ascii="仿宋" w:hAnsi="仿宋" w:eastAsia="仿宋" w:cs="仿宋_GB2312"/>
          <w:b/>
          <w:sz w:val="36"/>
          <w:szCs w:val="20"/>
        </w:rPr>
        <w:t>第二部分供应商</w:t>
      </w:r>
      <w:r>
        <w:rPr>
          <w:rFonts w:ascii="仿宋" w:hAnsi="仿宋" w:eastAsia="仿宋" w:cs="仿宋_GB2312"/>
          <w:b/>
          <w:sz w:val="36"/>
          <w:szCs w:val="20"/>
        </w:rPr>
        <w:t>须知</w:t>
      </w:r>
      <w:bookmarkEnd w:id="3"/>
    </w:p>
    <w:p>
      <w:pPr>
        <w:snapToGrid w:val="0"/>
        <w:spacing w:line="360" w:lineRule="auto"/>
        <w:jc w:val="center"/>
        <w:outlineLvl w:val="0"/>
        <w:rPr>
          <w:rFonts w:ascii="仿宋" w:hAnsi="仿宋" w:eastAsia="仿宋" w:cs="仿宋_GB2312"/>
          <w:b/>
          <w:sz w:val="32"/>
          <w:szCs w:val="20"/>
        </w:rPr>
      </w:pPr>
      <w:bookmarkStart w:id="4" w:name="_Toc98147523"/>
      <w:r>
        <w:rPr>
          <w:rFonts w:hint="eastAsia" w:ascii="仿宋" w:hAnsi="仿宋" w:eastAsia="仿宋" w:cs="仿宋_GB2312"/>
          <w:b/>
          <w:sz w:val="32"/>
          <w:szCs w:val="20"/>
        </w:rPr>
        <w:t>前附表</w:t>
      </w:r>
      <w:bookmarkEnd w:id="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800"/>
        <w:gridCol w:w="59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59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1"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59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1、本项目应以人民币报价。</w:t>
            </w:r>
          </w:p>
          <w:p>
            <w:pPr>
              <w:spacing w:line="360" w:lineRule="auto"/>
              <w:rPr>
                <w:rFonts w:ascii="仿宋" w:hAnsi="仿宋" w:eastAsia="仿宋" w:cs="仿宋"/>
                <w:kern w:val="0"/>
                <w:sz w:val="24"/>
              </w:rPr>
            </w:pPr>
            <w:r>
              <w:rPr>
                <w:rFonts w:hint="eastAsia" w:ascii="仿宋" w:hAnsi="仿宋" w:eastAsia="仿宋" w:cs="仿宋"/>
                <w:kern w:val="0"/>
                <w:sz w:val="24"/>
                <w:lang w:val="zh-CN"/>
              </w:rPr>
              <w:t>2、</w:t>
            </w:r>
            <w:r>
              <w:rPr>
                <w:rFonts w:hint="eastAsia" w:ascii="仿宋" w:hAnsi="仿宋" w:eastAsia="仿宋" w:cs="仿宋"/>
                <w:sz w:val="24"/>
              </w:rPr>
              <w:t>响应报价应包含所有为完成本项目所产生的一切费用，具体包括技术方案设计费、施工图设计费、施工费（包工包料）、调试费、检测维护费、白蚁防治过程中必要的液剂和粉剂处理费以及修缮项目木构件液剂处理费、应急处置费、防汛防台等环境保障费、企业管理费、税金、利润、文明施工组织措施费、保险费以及其他与项目相关的各项费用。</w:t>
            </w:r>
          </w:p>
          <w:p>
            <w:pPr>
              <w:spacing w:line="360" w:lineRule="auto"/>
              <w:rPr>
                <w:rFonts w:ascii="仿宋" w:hAnsi="仿宋" w:eastAsia="仿宋" w:cs="仿宋"/>
                <w:kern w:val="0"/>
                <w:sz w:val="24"/>
                <w:lang w:val="zh-CN"/>
              </w:rPr>
            </w:pPr>
            <w:r>
              <w:rPr>
                <w:rFonts w:hint="eastAsia" w:ascii="仿宋" w:hAnsi="仿宋" w:eastAsia="仿宋" w:cs="仿宋"/>
                <w:kern w:val="0"/>
                <w:sz w:val="24"/>
              </w:rPr>
              <w:t>3.开启一览表（报价表）是报价的唯一载体。响应文件中价格全部采用人民币报价。</w:t>
            </w:r>
          </w:p>
          <w:p>
            <w:pPr>
              <w:snapToGrid w:val="0"/>
              <w:spacing w:line="360" w:lineRule="auto"/>
              <w:jc w:val="left"/>
              <w:rPr>
                <w:rFonts w:ascii="仿宋" w:hAnsi="仿宋" w:eastAsia="仿宋" w:cs="仿宋"/>
                <w:b/>
                <w:kern w:val="0"/>
                <w:sz w:val="24"/>
                <w:highlight w:val="yellow"/>
              </w:rPr>
            </w:pPr>
            <w:r>
              <w:rPr>
                <w:rFonts w:hint="eastAsia" w:ascii="仿宋_GB2312" w:hAnsi="仿宋" w:eastAsia="仿宋_GB2312" w:cs="仿宋_GB2312"/>
                <w:b/>
                <w:kern w:val="0"/>
                <w:sz w:val="24"/>
                <w:lang w:val="zh-CN"/>
              </w:rPr>
              <w:sym w:font="Wingdings" w:char="00A8"/>
            </w:r>
            <w:r>
              <w:rPr>
                <w:rFonts w:hint="eastAsia" w:ascii="仿宋_GB2312" w:hAnsi="仿宋" w:eastAsia="仿宋_GB2312" w:cs="仿宋_GB2312"/>
                <w:b/>
                <w:kern w:val="0"/>
                <w:sz w:val="24"/>
              </w:rPr>
              <w:t>本项目履约验收时委托第三方检测，</w:t>
            </w:r>
            <w:r>
              <w:rPr>
                <w:rFonts w:hint="eastAsia" w:ascii="仿宋_GB2312" w:hAnsi="仿宋" w:eastAsia="仿宋_GB2312" w:cs="仿宋_GB2312"/>
                <w:b/>
                <w:kern w:val="0"/>
                <w:sz w:val="24"/>
                <w:lang w:val="zh-CN"/>
              </w:rPr>
              <w:t>验收时检测费用由采购人承担，不包含在投标（响应）总价中。</w:t>
            </w:r>
            <w:r>
              <w:rPr>
                <w:rFonts w:hint="eastAsia" w:ascii="仿宋_GB2312" w:hAnsi="仿宋" w:eastAsia="仿宋_GB2312" w:cs="仿宋_GB2312"/>
                <w:b/>
                <w:kern w:val="0"/>
                <w:sz w:val="24"/>
                <w:highlight w:val="yellow"/>
                <w:lang w:val="zh-CN"/>
              </w:rPr>
              <w:sym w:font="Wingdings" w:char="00FE"/>
            </w:r>
            <w:r>
              <w:rPr>
                <w:rFonts w:hint="eastAsia" w:ascii="仿宋_GB2312" w:hAnsi="仿宋" w:eastAsia="仿宋_GB2312" w:cs="仿宋_GB2312"/>
                <w:b/>
                <w:kern w:val="0"/>
                <w:sz w:val="24"/>
                <w:highlight w:val="yellow"/>
              </w:rPr>
              <w:t>本项目履约验收时不委托第三方检测。</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响应报价出现下列情形的，响应无效：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1）响应文件出现不是唯一的、有选择性响应报价的；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kern w:val="0"/>
                <w:sz w:val="24"/>
                <w:lang w:val="zh-CN"/>
              </w:rPr>
              <w:t>2）响应报价超过采购文件中规定的预算金额或者最高限价的;</w:t>
            </w:r>
          </w:p>
          <w:p>
            <w:pPr>
              <w:spacing w:line="360" w:lineRule="auto"/>
              <w:rPr>
                <w:rFonts w:ascii="仿宋" w:hAnsi="仿宋" w:eastAsia="仿宋" w:cs="仿宋"/>
                <w:b/>
                <w:sz w:val="24"/>
              </w:rPr>
            </w:pPr>
            <w:r>
              <w:rPr>
                <w:rFonts w:hint="eastAsia" w:ascii="仿宋" w:hAnsi="仿宋" w:eastAsia="仿宋" w:cs="仿宋"/>
                <w:b/>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kern w:val="0"/>
                <w:sz w:val="24"/>
              </w:rPr>
              <w:t>4）供应商对根据修正原则修正后的报价不确认的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ind w:left="240" w:hanging="240" w:hangingChars="100"/>
              <w:rPr>
                <w:rFonts w:ascii="仿宋" w:hAnsi="仿宋" w:eastAsia="仿宋" w:cs="仿宋"/>
                <w:kern w:val="0"/>
                <w:sz w:val="24"/>
                <w:u w:val="single"/>
              </w:rPr>
            </w:pPr>
            <w:r>
              <w:rPr>
                <w:rFonts w:hint="eastAsia" w:ascii="仿宋" w:hAnsi="仿宋" w:eastAsia="仿宋" w:cs="仿宋"/>
                <w:kern w:val="0"/>
                <w:sz w:val="24"/>
              </w:rPr>
              <w:sym w:font="Wingdings" w:char="00A8"/>
            </w:r>
            <w:r>
              <w:rPr>
                <w:rFonts w:hint="eastAsia" w:ascii="仿宋" w:hAnsi="仿宋" w:eastAsia="仿宋" w:cs="仿宋"/>
                <w:kern w:val="0"/>
                <w:sz w:val="24"/>
              </w:rPr>
              <w:t>A同意分包，分包要求：</w:t>
            </w:r>
            <w:r>
              <w:rPr>
                <w:rFonts w:hint="eastAsia" w:ascii="仿宋" w:hAnsi="仿宋" w:eastAsia="仿宋" w:cs="仿宋"/>
                <w:kern w:val="0"/>
                <w:sz w:val="24"/>
                <w:u w:val="single"/>
              </w:rPr>
              <w:t>允许将非主体、非关键性的/工作分包 。</w:t>
            </w:r>
          </w:p>
          <w:p>
            <w:pPr>
              <w:spacing w:line="360" w:lineRule="auto"/>
              <w:rPr>
                <w:rFonts w:ascii="仿宋" w:hAnsi="仿宋" w:eastAsia="仿宋" w:cs="仿宋"/>
                <w:sz w:val="24"/>
              </w:rPr>
            </w:pPr>
            <w:r>
              <w:rPr>
                <w:rFonts w:hint="eastAsia" w:ascii="仿宋" w:hAnsi="仿宋" w:eastAsia="仿宋" w:cs="仿宋"/>
                <w:kern w:val="0"/>
                <w:sz w:val="24"/>
                <w:u w:val="single"/>
              </w:rPr>
              <w:t>▲注：分包单位须满足资格要求。供应商成交后以分包方式履行合同的，另行提供分包意向协议（附件7）；不以分包方式履行合同的，则不需要提供。</w:t>
            </w:r>
          </w:p>
          <w:p>
            <w:pPr>
              <w:spacing w:line="360" w:lineRule="auto"/>
              <w:rPr>
                <w:rFonts w:ascii="仿宋" w:hAnsi="仿宋" w:eastAsia="仿宋" w:cs="仿宋"/>
                <w:sz w:val="24"/>
              </w:rPr>
            </w:pPr>
            <w:sdt>
              <w:sdtPr>
                <w:rPr>
                  <w:rFonts w:hint="eastAsia" w:ascii="仿宋" w:hAnsi="仿宋" w:eastAsia="仿宋" w:cs="仿宋"/>
                  <w:kern w:val="0"/>
                  <w:sz w:val="24"/>
                </w:rPr>
                <w:id w:val="-1477286927"/>
                <w:showingPlcHdr/>
              </w:sdtPr>
              <w:sdtEndPr>
                <w:rPr>
                  <w:rFonts w:hint="eastAsia" w:ascii="仿宋" w:hAnsi="仿宋" w:eastAsia="仿宋" w:cs="仿宋"/>
                  <w:kern w:val="0"/>
                  <w:sz w:val="24"/>
                </w:rPr>
              </w:sdtEndPr>
              <w:sdtContent/>
            </w:sdt>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7" w:hRule="atLeast"/>
        </w:trPr>
        <w:tc>
          <w:tcPr>
            <w:tcW w:w="78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0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59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（1）资格证明文件：见采购文件第二部分11.1。</w:t>
            </w:r>
          </w:p>
          <w:p>
            <w:pPr>
              <w:spacing w:line="360" w:lineRule="auto"/>
              <w:rPr>
                <w:rFonts w:ascii="仿宋" w:hAnsi="仿宋" w:eastAsia="仿宋" w:cs="仿宋"/>
                <w:snapToGrid w:val="0"/>
                <w:kern w:val="0"/>
                <w:sz w:val="24"/>
              </w:rPr>
            </w:pPr>
            <w:r>
              <w:rPr>
                <w:rFonts w:hint="eastAsia" w:ascii="仿宋" w:hAnsi="仿宋" w:eastAsia="仿宋" w:cs="仿宋"/>
                <w:kern w:val="0"/>
                <w:sz w:val="24"/>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rPr>
        <w:tc>
          <w:tcPr>
            <w:tcW w:w="78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0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598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（2）资信证明文件：根据采购文件第四部分磋商评审标准提供。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磋商前答疑会或现场考察</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3" w:hRule="atLeast"/>
        </w:trPr>
        <w:tc>
          <w:tcPr>
            <w:tcW w:w="78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0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numPr>
                <w:ilvl w:val="0"/>
                <w:numId w:val="1"/>
              </w:numPr>
              <w:spacing w:line="360" w:lineRule="auto"/>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napToGrid w:val="0"/>
                <w:kern w:val="28"/>
                <w:sz w:val="24"/>
                <w:u w:val="single"/>
              </w:rPr>
              <w:t xml:space="preserve">  </w:t>
            </w:r>
            <w:r>
              <w:rPr>
                <w:rFonts w:hint="eastAsia" w:ascii="仿宋" w:hAnsi="仿宋" w:eastAsia="仿宋" w:cs="仿宋"/>
                <w:kern w:val="0"/>
                <w:sz w:val="24"/>
              </w:rPr>
              <w:t>；</w:t>
            </w:r>
          </w:p>
          <w:p>
            <w:pPr>
              <w:numPr>
                <w:ilvl w:val="0"/>
                <w:numId w:val="1"/>
              </w:numPr>
              <w:spacing w:line="360" w:lineRule="auto"/>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磋商评审办法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方案讲解</w:t>
            </w:r>
          </w:p>
          <w:p>
            <w:pPr>
              <w:snapToGrid w:val="0"/>
              <w:spacing w:line="360" w:lineRule="auto"/>
              <w:jc w:val="center"/>
              <w:rPr>
                <w:rFonts w:ascii="仿宋" w:hAnsi="仿宋" w:eastAsia="仿宋" w:cs="仿宋"/>
                <w:bCs/>
                <w:sz w:val="24"/>
              </w:rPr>
            </w:pPr>
            <w:r>
              <w:rPr>
                <w:rFonts w:hint="eastAsia" w:ascii="仿宋" w:hAnsi="仿宋" w:eastAsia="仿宋" w:cs="仿宋"/>
                <w:b/>
                <w:sz w:val="24"/>
              </w:rPr>
              <w:t>或产品演示</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（1）在磋商评审时安排每个供应商进行 </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讲解演示。每个供应商时间不超过</w:t>
            </w:r>
            <w:r>
              <w:rPr>
                <w:rFonts w:ascii="仿宋" w:hAnsi="仿宋" w:eastAsia="仿宋" w:cs="仿宋"/>
                <w:kern w:val="0"/>
                <w:sz w:val="24"/>
                <w:u w:val="single"/>
              </w:rPr>
              <w:t>10</w:t>
            </w:r>
            <w:r>
              <w:rPr>
                <w:rFonts w:hint="eastAsia" w:ascii="仿宋" w:hAnsi="仿宋" w:eastAsia="仿宋" w:cs="仿宋"/>
                <w:kern w:val="0"/>
                <w:sz w:val="24"/>
              </w:rPr>
              <w:t>分钟，讲解次序以响应文件递交先后次序为准，讲解、演示人员须为</w:t>
            </w:r>
            <w:r>
              <w:rPr>
                <w:rFonts w:hint="eastAsia" w:ascii="仿宋" w:hAnsi="仿宋" w:eastAsia="仿宋" w:cs="仿宋"/>
                <w:kern w:val="0"/>
                <w:sz w:val="24"/>
                <w:u w:val="single"/>
              </w:rPr>
              <w:t xml:space="preserve"> 项目组名单中的人员 </w:t>
            </w:r>
            <w:r>
              <w:rPr>
                <w:rFonts w:hint="eastAsia" w:ascii="仿宋" w:hAnsi="仿宋" w:eastAsia="仿宋" w:cs="仿宋"/>
                <w:kern w:val="0"/>
                <w:sz w:val="24"/>
              </w:rPr>
              <w:t>。讲解、演示结束后按要求解答磋商小组提问。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（2）方案讲解、产品演示选择以下第</w:t>
            </w:r>
            <w:r>
              <w:rPr>
                <w:rFonts w:hint="eastAsia" w:ascii="仿宋" w:hAnsi="仿宋" w:eastAsia="仿宋" w:cs="仿宋"/>
                <w:kern w:val="0"/>
                <w:sz w:val="24"/>
                <w:u w:val="single"/>
              </w:rPr>
              <w:t xml:space="preserve"> / </w:t>
            </w:r>
            <w:r>
              <w:rPr>
                <w:rFonts w:hint="eastAsia" w:ascii="仿宋" w:hAnsi="仿宋" w:eastAsia="仿宋" w:cs="仿宋"/>
                <w:kern w:val="0"/>
                <w:sz w:val="24"/>
              </w:rPr>
              <w:t>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方式一：磋商现场讲解、演示。现场地点为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供应商自备。方式二：采用视频录制方式，用U盘介质储存快递或邮寄至代理机构（公告中列明的地址），视频中讲解演示人员应出示身份证明。若因U盘损坏或打不开则按视为未提交。</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方式三：采用现场钉钉直播演示。开启后，讲解、演示人请加钉钉号</w:t>
            </w:r>
            <w:r>
              <w:rPr>
                <w:rFonts w:hint="eastAsia" w:ascii="仿宋" w:hAnsi="仿宋" w:eastAsia="仿宋" w:cs="仿宋"/>
                <w:kern w:val="0"/>
                <w:sz w:val="24"/>
                <w:u w:val="single"/>
              </w:rPr>
              <w:t>/</w:t>
            </w:r>
            <w:r>
              <w:rPr>
                <w:rFonts w:hint="eastAsia" w:ascii="仿宋" w:hAnsi="仿宋" w:eastAsia="仿宋" w:cs="仿宋"/>
                <w:kern w:val="0"/>
                <w:sz w:val="24"/>
              </w:rPr>
              <w:t xml:space="preserve"> ，请求发送后，代理工作人员将通过好友验证。</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注：因供应商自身原因导致无法演示或者演示效果不理想的，责任自负。现场直播讲解、演示人员应出示身份证明；未派遣响应文件要求的人员进行演示、讲解或未提供身份证明的，评分项不得分。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w:t>
            </w:r>
          </w:p>
          <w:p>
            <w:pPr>
              <w:snapToGrid w:val="0"/>
              <w:spacing w:line="360" w:lineRule="auto"/>
              <w:jc w:val="center"/>
              <w:rPr>
                <w:rFonts w:ascii="仿宋" w:hAnsi="仿宋" w:eastAsia="仿宋" w:cs="仿宋"/>
                <w:b/>
                <w:sz w:val="24"/>
              </w:rPr>
            </w:pPr>
            <w:r>
              <w:rPr>
                <w:rFonts w:hint="eastAsia" w:ascii="仿宋" w:hAnsi="仿宋" w:eastAsia="仿宋" w:cs="仿宋"/>
                <w:b/>
                <w:sz w:val="24"/>
              </w:rPr>
              <w:t>进口产品</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kern w:val="0"/>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_GB2312" w:hAnsi="仿宋" w:eastAsia="仿宋_GB2312" w:cs="仿宋_GB2312"/>
                <w:b/>
                <w:sz w:val="24"/>
              </w:rPr>
              <w:t>采购标的对应的中小企业划分标准所属行业</w:t>
            </w:r>
          </w:p>
        </w:tc>
        <w:tc>
          <w:tcPr>
            <w:tcW w:w="59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_GB2312" w:hAnsi="仿宋" w:eastAsia="仿宋_GB2312" w:cs="Arial"/>
                <w:kern w:val="0"/>
                <w:sz w:val="24"/>
              </w:rPr>
            </w:pPr>
            <w:r>
              <w:rPr>
                <w:rFonts w:hint="eastAsia" w:ascii="仿宋_GB2312" w:hAnsi="仿宋" w:eastAsia="仿宋_GB2312" w:cs="Arial"/>
                <w:kern w:val="0"/>
                <w:sz w:val="24"/>
              </w:rPr>
              <w:t>（1）标的：</w:t>
            </w:r>
            <w:r>
              <w:rPr>
                <w:rFonts w:hint="eastAsia" w:ascii="仿宋_GB2312" w:hAnsi="仿宋" w:eastAsia="仿宋_GB2312" w:cs="Arial"/>
                <w:kern w:val="0"/>
                <w:sz w:val="24"/>
                <w:u w:val="single"/>
              </w:rPr>
              <w:t>2022-2024年进化镇古建筑、河上镇东山村白蚁治理项目</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其他未列明行业 </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10</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节能产品、环境标志产品（服务类项目不适用）</w:t>
            </w:r>
          </w:p>
        </w:tc>
        <w:tc>
          <w:tcPr>
            <w:tcW w:w="59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b/>
                <w:bCs/>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180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auto"/>
              <w:jc w:val="center"/>
              <w:rPr>
                <w:rFonts w:ascii="仿宋" w:hAnsi="仿宋" w:eastAsia="仿宋" w:cs="仿宋"/>
                <w:b/>
                <w:sz w:val="24"/>
              </w:rPr>
            </w:pPr>
            <w:r>
              <w:rPr>
                <w:rFonts w:hint="eastAsia" w:ascii="仿宋" w:hAnsi="仿宋" w:eastAsia="仿宋" w:cs="仿宋"/>
                <w:b/>
                <w:sz w:val="24"/>
              </w:rPr>
              <w:t>融资</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w:t>
            </w:r>
          </w:p>
          <w:p>
            <w:pPr>
              <w:snapToGrid w:val="0"/>
              <w:spacing w:line="360" w:lineRule="auto"/>
              <w:rPr>
                <w:rFonts w:ascii="仿宋" w:hAnsi="仿宋" w:eastAsia="仿宋" w:cs="仿宋"/>
                <w:kern w:val="0"/>
                <w:sz w:val="24"/>
              </w:rPr>
            </w:pPr>
            <w:r>
              <w:rPr>
                <w:rFonts w:hint="eastAsia" w:ascii="仿宋_GB2312" w:hAnsi="仿宋" w:eastAsia="仿宋_GB2312"/>
                <w:snapToGrid w:val="0"/>
                <w:kern w:val="28"/>
                <w:sz w:val="24"/>
              </w:rPr>
              <w:t>gov.cn/art/2018/12/20/art_1229293109_1559514.html，查看信用融资政策文件及各相关银行服务方案。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p>
        </w:tc>
        <w:tc>
          <w:tcPr>
            <w:tcW w:w="1800"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59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_GB2312" w:hAnsi="仿宋" w:eastAsia="仿宋_GB2312"/>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12</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_GB2312" w:hAnsi="仿宋" w:eastAsia="仿宋_GB2312" w:cs="仿宋_GB2312"/>
                <w:b/>
                <w:sz w:val="24"/>
              </w:rPr>
            </w:pPr>
            <w:r>
              <w:rPr>
                <w:rFonts w:hint="eastAsia" w:ascii="仿宋_GB2312" w:hAnsi="仿宋" w:eastAsia="仿宋_GB2312" w:cs="仿宋_GB2312"/>
                <w:b/>
                <w:sz w:val="24"/>
              </w:rPr>
              <w:t>备份响应文件送达地点和签收</w:t>
            </w:r>
          </w:p>
          <w:p>
            <w:pPr>
              <w:snapToGrid w:val="0"/>
              <w:spacing w:line="360" w:lineRule="auto"/>
              <w:jc w:val="center"/>
              <w:rPr>
                <w:rFonts w:ascii="仿宋" w:hAnsi="仿宋" w:eastAsia="仿宋" w:cs="仿宋"/>
                <w:b/>
                <w:sz w:val="24"/>
              </w:rPr>
            </w:pPr>
            <w:r>
              <w:rPr>
                <w:rFonts w:hint="eastAsia" w:ascii="仿宋_GB2312" w:hAnsi="仿宋" w:eastAsia="仿宋_GB2312" w:cs="仿宋_GB2312"/>
                <w:b/>
                <w:sz w:val="24"/>
              </w:rPr>
              <w:t>人员</w:t>
            </w:r>
            <w:r>
              <w:rPr>
                <w:rFonts w:ascii="仿宋_GB2312" w:hAnsi="仿宋" w:eastAsia="仿宋_GB2312" w:cs="仿宋_GB2312"/>
                <w:b/>
                <w:sz w:val="24"/>
              </w:rPr>
              <w:t xml:space="preserve"> </w:t>
            </w:r>
          </w:p>
        </w:tc>
        <w:tc>
          <w:tcPr>
            <w:tcW w:w="5987"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_GB2312" w:cs="仿宋"/>
                <w:kern w:val="28"/>
                <w:sz w:val="24"/>
                <w:szCs w:val="24"/>
              </w:rPr>
            </w:pPr>
            <w:r>
              <w:rPr>
                <w:rFonts w:hint="eastAsia" w:ascii="仿宋_GB2312" w:hAnsi="仿宋" w:eastAsia="仿宋_GB2312" w:cs="Times New Roman"/>
                <w:kern w:val="28"/>
                <w:sz w:val="24"/>
                <w:szCs w:val="24"/>
              </w:rPr>
              <w:t>供应商如提交备份响应文件的，请送至</w:t>
            </w:r>
            <w:r>
              <w:rPr>
                <w:rFonts w:hint="eastAsia" w:ascii="仿宋_GB2312" w:hAnsi="仿宋" w:eastAsia="仿宋_GB2312"/>
                <w:sz w:val="24"/>
                <w:szCs w:val="24"/>
                <w:u w:val="single"/>
              </w:rPr>
              <w:t xml:space="preserve"> 杭州市滨江区滨安路1180号7幢2层楼212室</w:t>
            </w:r>
            <w:r>
              <w:rPr>
                <w:rFonts w:ascii="仿宋_GB2312" w:hAnsi="仿宋" w:eastAsia="仿宋_GB2312"/>
                <w:sz w:val="24"/>
                <w:szCs w:val="24"/>
                <w:u w:val="single"/>
              </w:rPr>
              <w:t xml:space="preserve"> </w:t>
            </w:r>
            <w:r>
              <w:rPr>
                <w:rFonts w:hint="eastAsia" w:ascii="仿宋_GB2312" w:hAnsi="仿宋" w:eastAsia="仿宋_GB2312" w:cs="Times New Roman"/>
                <w:kern w:val="28"/>
                <w:sz w:val="24"/>
                <w:szCs w:val="24"/>
              </w:rPr>
              <w:t>；备份响应文件签收人员：</w:t>
            </w:r>
            <w:r>
              <w:rPr>
                <w:rFonts w:hint="eastAsia" w:ascii="仿宋_GB2312" w:hAnsi="仿宋" w:eastAsia="仿宋_GB2312"/>
                <w:sz w:val="24"/>
                <w:szCs w:val="24"/>
                <w:u w:val="single"/>
              </w:rPr>
              <w:t>程晨</w:t>
            </w:r>
            <w:r>
              <w:rPr>
                <w:rFonts w:hint="eastAsia" w:ascii="仿宋_GB2312" w:hAnsi="仿宋" w:eastAsia="仿宋_GB2312"/>
                <w:sz w:val="24"/>
                <w:szCs w:val="24"/>
              </w:rPr>
              <w:t>，</w:t>
            </w:r>
            <w:r>
              <w:rPr>
                <w:rFonts w:hint="eastAsia" w:ascii="仿宋_GB2312" w:hAnsi="仿宋" w:eastAsia="仿宋_GB2312" w:cs="Times New Roman"/>
                <w:kern w:val="28"/>
                <w:sz w:val="24"/>
                <w:szCs w:val="24"/>
              </w:rPr>
              <w:t>联系电话：</w:t>
            </w:r>
            <w:r>
              <w:rPr>
                <w:rFonts w:hint="eastAsia" w:ascii="仿宋_GB2312" w:hAnsi="仿宋" w:eastAsia="仿宋_GB2312" w:cs="Times New Roman"/>
                <w:kern w:val="28"/>
                <w:sz w:val="24"/>
                <w:szCs w:val="24"/>
                <w:u w:val="single"/>
              </w:rPr>
              <w:t>17767198122</w:t>
            </w:r>
            <w:r>
              <w:rPr>
                <w:rFonts w:hint="eastAsia" w:ascii="仿宋_GB2312" w:hAnsi="仿宋" w:eastAsia="仿宋_GB2312"/>
                <w:sz w:val="24"/>
                <w:szCs w:val="24"/>
                <w:u w:val="single"/>
              </w:rPr>
              <w:t xml:space="preserve">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440" w:lineRule="exact"/>
              <w:jc w:val="center"/>
              <w:rPr>
                <w:rFonts w:ascii="仿宋" w:hAnsi="仿宋" w:eastAsia="仿宋" w:cs="仿宋"/>
                <w:sz w:val="24"/>
              </w:rPr>
            </w:pPr>
            <w:r>
              <w:rPr>
                <w:rFonts w:hint="eastAsia" w:ascii="仿宋" w:hAnsi="仿宋" w:eastAsia="仿宋" w:cs="仿宋"/>
                <w:b/>
                <w:bCs/>
                <w:sz w:val="24"/>
              </w:rPr>
              <w:t>成交候选人</w:t>
            </w:r>
          </w:p>
        </w:tc>
        <w:tc>
          <w:tcPr>
            <w:tcW w:w="5987" w:type="dxa"/>
            <w:tcBorders>
              <w:top w:val="single" w:color="000000" w:sz="8" w:space="0"/>
              <w:left w:val="single" w:color="000000" w:sz="2" w:space="0"/>
              <w:bottom w:val="single" w:color="000000" w:sz="8" w:space="0"/>
              <w:right w:val="single" w:color="000000" w:sz="8" w:space="0"/>
            </w:tcBorders>
            <w:vAlign w:val="center"/>
          </w:tcPr>
          <w:p>
            <w:pPr>
              <w:spacing w:line="440" w:lineRule="exact"/>
              <w:jc w:val="left"/>
              <w:rPr>
                <w:rFonts w:ascii="仿宋" w:hAnsi="仿宋" w:eastAsia="仿宋" w:cs="仿宋"/>
                <w:sz w:val="24"/>
                <w:lang w:val="zh-TW"/>
              </w:rPr>
            </w:pPr>
            <w:r>
              <w:rPr>
                <w:rFonts w:hint="eastAsia" w:ascii="仿宋" w:hAnsi="仿宋" w:eastAsia="仿宋" w:cs="仿宋"/>
                <w:sz w:val="24"/>
              </w:rPr>
              <w:sym w:font="Wingdings" w:char="00FE"/>
            </w:r>
            <w:r>
              <w:rPr>
                <w:rFonts w:hint="eastAsia" w:ascii="仿宋" w:hAnsi="仿宋" w:eastAsia="仿宋" w:cs="仿宋"/>
                <w:sz w:val="24"/>
              </w:rPr>
              <w:t>数量：3</w:t>
            </w:r>
            <w:r>
              <w:rPr>
                <w:rFonts w:hint="eastAsia" w:ascii="仿宋" w:hAnsi="仿宋" w:eastAsia="仿宋" w:cs="仿宋"/>
                <w:sz w:val="24"/>
                <w:lang w:val="zh-TW" w:eastAsia="zh-TW"/>
              </w:rPr>
              <w:t>名。</w:t>
            </w:r>
            <w:r>
              <w:rPr>
                <w:rFonts w:hint="eastAsia" w:ascii="仿宋" w:hAnsi="仿宋" w:eastAsia="仿宋" w:cs="仿宋"/>
                <w:sz w:val="24"/>
              </w:rPr>
              <w:t>评审小组推荐综合评分得分最高的前三名为成交候选人。综合评分得分相同的，按照最后报价由低到高的顺序推荐。综合评分得分且最后报价相同的，按照技术指标优劣顺序推荐</w:t>
            </w:r>
            <w:r>
              <w:rPr>
                <w:rFonts w:hint="eastAsia" w:ascii="仿宋" w:hAnsi="仿宋" w:eastAsia="仿宋" w:cs="仿宋"/>
                <w:sz w:val="24"/>
                <w:lang w:val="zh-TW" w:eastAsia="zh-TW"/>
              </w:rPr>
              <w:t>。报价和技术指标均相同的，采取随机抽取的方式确定</w:t>
            </w:r>
            <w:r>
              <w:rPr>
                <w:rFonts w:hint="eastAsia" w:ascii="仿宋" w:hAnsi="仿宋" w:eastAsia="仿宋" w:cs="仿宋"/>
                <w:sz w:val="24"/>
                <w:lang w:val="zh-TW"/>
              </w:rPr>
              <w:t>。</w:t>
            </w:r>
          </w:p>
          <w:p>
            <w:pPr>
              <w:spacing w:line="44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本项目为</w:t>
            </w:r>
            <w:r>
              <w:rPr>
                <w:rFonts w:hint="eastAsia" w:ascii="仿宋" w:hAnsi="仿宋" w:eastAsia="仿宋" w:cs="仿宋"/>
                <w:sz w:val="24"/>
                <w:lang w:val="zh-TW" w:eastAsia="zh-TW"/>
              </w:rPr>
              <w:t>市场竞争不充分的科研项目，以及需要扶持的科技成果转化项目</w:t>
            </w:r>
            <w:r>
              <w:rPr>
                <w:rFonts w:hint="eastAsia" w:ascii="仿宋" w:hAnsi="仿宋" w:eastAsia="仿宋" w:cs="仿宋"/>
                <w:sz w:val="24"/>
                <w:lang w:val="zh-TW"/>
              </w:rPr>
              <w:t>，</w:t>
            </w:r>
            <w:r>
              <w:rPr>
                <w:rFonts w:hint="eastAsia" w:ascii="仿宋" w:hAnsi="仿宋" w:eastAsia="仿宋" w:cs="仿宋"/>
                <w:sz w:val="24"/>
              </w:rPr>
              <w:t>成交候选人数量2名。</w:t>
            </w:r>
          </w:p>
          <w:p>
            <w:pPr>
              <w:spacing w:line="440" w:lineRule="exact"/>
              <w:jc w:val="left"/>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本项目为政府购买服务，提交最后报价的供应商可以为2家，成交候选人可推荐为2家。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8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4</w:t>
            </w:r>
          </w:p>
          <w:p>
            <w:pPr>
              <w:snapToGrid w:val="0"/>
              <w:spacing w:line="360" w:lineRule="auto"/>
              <w:jc w:val="center"/>
              <w:rPr>
                <w:rFonts w:ascii="仿宋" w:hAnsi="仿宋" w:eastAsia="仿宋" w:cs="仿宋"/>
                <w:sz w:val="24"/>
              </w:rPr>
            </w:pPr>
          </w:p>
        </w:tc>
        <w:tc>
          <w:tcPr>
            <w:tcW w:w="1800" w:type="dxa"/>
            <w:vMerge w:val="restart"/>
            <w:tcBorders>
              <w:top w:val="single" w:color="000000" w:sz="8" w:space="0"/>
              <w:left w:val="single" w:color="000000" w:sz="2" w:space="0"/>
              <w:right w:val="single" w:color="000000" w:sz="8" w:space="0"/>
            </w:tcBorders>
            <w:vAlign w:val="center"/>
          </w:tcPr>
          <w:p>
            <w:pPr>
              <w:spacing w:line="360" w:lineRule="auto"/>
              <w:jc w:val="center"/>
              <w:rPr>
                <w:rFonts w:ascii="仿宋" w:hAnsi="仿宋" w:eastAsia="仿宋" w:cs="仿宋"/>
                <w:sz w:val="24"/>
              </w:rPr>
            </w:pPr>
          </w:p>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p>
            <w:pPr>
              <w:snapToGrid w:val="0"/>
              <w:spacing w:line="360" w:lineRule="auto"/>
              <w:jc w:val="center"/>
              <w:rPr>
                <w:rFonts w:ascii="仿宋" w:hAnsi="仿宋" w:eastAsia="仿宋" w:cs="仿宋"/>
                <w:sz w:val="24"/>
              </w:rPr>
            </w:pPr>
          </w:p>
        </w:tc>
        <w:tc>
          <w:tcPr>
            <w:tcW w:w="5987" w:type="dxa"/>
            <w:tcBorders>
              <w:top w:val="single" w:color="000000" w:sz="8" w:space="0"/>
              <w:left w:val="single" w:color="000000" w:sz="2" w:space="0"/>
              <w:bottom w:val="single" w:color="000000" w:sz="8" w:space="0"/>
              <w:right w:val="single" w:color="000000" w:sz="8" w:space="0"/>
            </w:tcBorders>
            <w:vAlign w:val="center"/>
          </w:tcPr>
          <w:p>
            <w:pPr>
              <w:numPr>
                <w:ilvl w:val="255"/>
                <w:numId w:val="0"/>
              </w:numPr>
              <w:spacing w:line="360" w:lineRule="auto"/>
              <w:rPr>
                <w:rFonts w:ascii="仿宋" w:hAnsi="仿宋" w:eastAsia="仿宋" w:cs="仿宋"/>
                <w:sz w:val="24"/>
                <w:highlight w:val="yellow"/>
              </w:rPr>
            </w:pPr>
            <w:r>
              <w:rPr>
                <w:rFonts w:hint="eastAsia" w:ascii="仿宋" w:hAnsi="仿宋" w:eastAsia="仿宋" w:cs="仿宋"/>
                <w:sz w:val="24"/>
                <w:highlight w:val="yellow"/>
              </w:rPr>
              <w:t>采购代理服务费：</w:t>
            </w:r>
          </w:p>
          <w:p>
            <w:pPr>
              <w:numPr>
                <w:ilvl w:val="255"/>
                <w:numId w:val="0"/>
              </w:numPr>
              <w:spacing w:line="360" w:lineRule="auto"/>
              <w:rPr>
                <w:rFonts w:ascii="仿宋" w:hAnsi="仿宋" w:eastAsia="仿宋" w:cs="仿宋"/>
                <w:sz w:val="24"/>
                <w:highlight w:val="yellow"/>
              </w:rPr>
            </w:pPr>
            <w:r>
              <w:rPr>
                <w:rFonts w:hint="eastAsia" w:ascii="仿宋" w:hAnsi="仿宋" w:eastAsia="仿宋" w:cs="仿宋"/>
                <w:sz w:val="24"/>
                <w:highlight w:val="yellow"/>
              </w:rPr>
              <w:t>（1）金额：8100元整</w:t>
            </w:r>
          </w:p>
          <w:p>
            <w:pPr>
              <w:numPr>
                <w:ilvl w:val="255"/>
                <w:numId w:val="0"/>
              </w:numPr>
              <w:spacing w:line="360" w:lineRule="auto"/>
              <w:rPr>
                <w:rFonts w:ascii="仿宋" w:hAnsi="仿宋" w:eastAsia="仿宋" w:cs="仿宋"/>
                <w:sz w:val="24"/>
              </w:rPr>
            </w:pPr>
            <w:r>
              <w:rPr>
                <w:rFonts w:hint="eastAsia" w:ascii="仿宋" w:hAnsi="仿宋" w:eastAsia="仿宋" w:cs="仿宋"/>
                <w:sz w:val="24"/>
                <w:highlight w:val="yellow"/>
              </w:rPr>
              <w:t>（2）由成交人在成交通知书发出后7个工作日内一次性向采购代理机构支付。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780"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tc>
        <w:tc>
          <w:tcPr>
            <w:tcW w:w="1800"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p>
        </w:tc>
        <w:tc>
          <w:tcPr>
            <w:tcW w:w="5987"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jc w:val="left"/>
              <w:rPr>
                <w:rFonts w:ascii="仿宋" w:hAnsi="仿宋" w:eastAsia="仿宋" w:cs="仿宋"/>
                <w:snapToGrid/>
                <w:sz w:val="24"/>
                <w:szCs w:val="24"/>
              </w:rPr>
            </w:pPr>
            <w:r>
              <w:rPr>
                <w:rFonts w:hint="eastAsia" w:ascii="仿宋" w:hAnsi="仿宋" w:eastAsia="仿宋" w:cs="仿宋"/>
                <w:snapToGrid/>
                <w:sz w:val="24"/>
                <w:szCs w:val="24"/>
              </w:rPr>
              <w:t>2.投标（响应）文件存在下列情况之一的，视为撤回：</w:t>
            </w:r>
          </w:p>
          <w:p>
            <w:pPr>
              <w:spacing w:line="360" w:lineRule="auto"/>
              <w:rPr>
                <w:rFonts w:ascii="仿宋" w:hAnsi="仿宋" w:eastAsia="仿宋" w:cs="仿宋"/>
                <w:sz w:val="24"/>
              </w:rPr>
            </w:pPr>
            <w:r>
              <w:rPr>
                <w:rFonts w:hint="eastAsia" w:ascii="仿宋" w:hAnsi="仿宋" w:eastAsia="仿宋" w:cs="仿宋"/>
                <w:sz w:val="24"/>
              </w:rPr>
              <w:t>（1）电子投标文件（含备份文件）无法解密的；</w:t>
            </w:r>
          </w:p>
          <w:p>
            <w:pPr>
              <w:spacing w:line="360" w:lineRule="auto"/>
              <w:rPr>
                <w:rFonts w:ascii="仿宋" w:hAnsi="仿宋" w:eastAsia="仿宋" w:cs="仿宋"/>
                <w:sz w:val="24"/>
              </w:rPr>
            </w:pPr>
            <w:r>
              <w:rPr>
                <w:rFonts w:hint="eastAsia" w:ascii="仿宋" w:hAnsi="仿宋" w:eastAsia="仿宋" w:cs="仿宋"/>
                <w:sz w:val="24"/>
              </w:rPr>
              <w:t>（2）投标（响应）文件未按时解密或备份文件无法成功导入的；</w:t>
            </w:r>
          </w:p>
          <w:p>
            <w:pPr>
              <w:spacing w:line="360" w:lineRule="auto"/>
              <w:jc w:val="left"/>
              <w:rPr>
                <w:rFonts w:ascii="仿宋" w:hAnsi="仿宋" w:eastAsia="仿宋" w:cs="仿宋"/>
                <w:sz w:val="24"/>
              </w:rPr>
            </w:pPr>
            <w:r>
              <w:rPr>
                <w:rFonts w:hint="eastAsia" w:ascii="仿宋" w:hAnsi="仿宋" w:eastAsia="仿宋" w:cs="仿宋"/>
                <w:sz w:val="24"/>
              </w:rPr>
              <w:t>（3）投标（响应）截止时间前，供应商仅递交了“备份响应文件”而未将“电子加密投标文件”成功上传至“政府采购云平台”的。</w:t>
            </w:r>
          </w:p>
          <w:p>
            <w:pPr>
              <w:spacing w:line="360" w:lineRule="auto"/>
              <w:rPr>
                <w:rFonts w:ascii="仿宋" w:hAnsi="仿宋" w:eastAsia="仿宋" w:cs="仿宋"/>
                <w:sz w:val="24"/>
              </w:rPr>
            </w:pPr>
            <w:r>
              <w:rPr>
                <w:rFonts w:hint="eastAsia" w:ascii="仿宋" w:hAnsi="仿宋" w:eastAsia="仿宋" w:cs="仿宋"/>
                <w:sz w:val="24"/>
              </w:rPr>
              <w:t>3.政采云平台如对电子化开标及评审程序有调整的，按调整后的程序操作。</w:t>
            </w:r>
          </w:p>
          <w:p>
            <w:pPr>
              <w:spacing w:line="360" w:lineRule="auto"/>
              <w:rPr>
                <w:rFonts w:ascii="仿宋" w:hAnsi="仿宋" w:eastAsia="仿宋" w:cs="仿宋"/>
                <w:sz w:val="24"/>
              </w:rPr>
            </w:pPr>
            <w:r>
              <w:rPr>
                <w:rFonts w:hint="eastAsia" w:ascii="仿宋" w:hAnsi="仿宋" w:eastAsia="仿宋" w:cs="仿宋"/>
                <w:sz w:val="24"/>
              </w:rPr>
              <w:t>4.《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递交了响应文件并符合资格条件供应商不足3家的、或磋商过程中符合要求的供应商（社会资本）只有1家的，采购人（项目实施机构）或者采购代理机构应当终止竞争性磋商采购活动，发布项目终止公告并说明原因，重新开展采购活动。</w:t>
            </w:r>
          </w:p>
          <w:p>
            <w:pPr>
              <w:spacing w:line="360" w:lineRule="auto"/>
              <w:rPr>
                <w:rFonts w:ascii="仿宋" w:hAnsi="仿宋" w:eastAsia="仿宋" w:cs="仿宋"/>
                <w:sz w:val="24"/>
              </w:rPr>
            </w:pPr>
            <w:r>
              <w:rPr>
                <w:rFonts w:hint="eastAsia" w:ascii="仿宋" w:hAnsi="仿宋" w:eastAsia="仿宋" w:cs="仿宋"/>
                <w:sz w:val="24"/>
              </w:rPr>
              <w:t>本项目是否为浙江省政府购买服务目录内项目：</w:t>
            </w:r>
            <w:r>
              <w:rPr>
                <w:rFonts w:hint="eastAsia" w:ascii="仿宋" w:hAnsi="仿宋" w:eastAsia="仿宋" w:cs="仿宋"/>
                <w:sz w:val="24"/>
              </w:rPr>
              <w:sym w:font="Wingdings" w:char="00A8"/>
            </w:r>
            <w:r>
              <w:rPr>
                <w:rFonts w:hint="eastAsia" w:ascii="仿宋" w:hAnsi="仿宋" w:eastAsia="仿宋" w:cs="仿宋"/>
                <w:sz w:val="24"/>
              </w:rPr>
              <w:t>是，公益一类事业单位不得参与承接政府购买服务；</w:t>
            </w:r>
            <w:r>
              <w:rPr>
                <w:rFonts w:hint="eastAsia" w:ascii="仿宋" w:hAnsi="仿宋" w:eastAsia="仿宋" w:cs="仿宋"/>
                <w:sz w:val="24"/>
              </w:rPr>
              <w:sym w:font="Wingdings" w:char="00FE"/>
            </w:r>
            <w:r>
              <w:rPr>
                <w:rFonts w:hint="eastAsia" w:ascii="仿宋" w:hAnsi="仿宋" w:eastAsia="仿宋" w:cs="仿宋"/>
                <w:sz w:val="24"/>
              </w:rPr>
              <w:t>否。</w:t>
            </w:r>
          </w:p>
          <w:p>
            <w:pPr>
              <w:spacing w:line="360" w:lineRule="auto"/>
              <w:rPr>
                <w:rFonts w:ascii="仿宋" w:hAnsi="仿宋" w:eastAsia="仿宋" w:cs="仿宋"/>
                <w:sz w:val="24"/>
              </w:rPr>
            </w:pPr>
            <w:r>
              <w:rPr>
                <w:rFonts w:hint="eastAsia" w:ascii="仿宋" w:hAnsi="仿宋" w:eastAsia="仿宋" w:cs="仿宋"/>
                <w:sz w:val="24"/>
              </w:rPr>
              <w:t>4.采购人不集中组织响应供应商踏勘现场。磋商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磋商响应报价的需要。有关踏勘现场需要发生的一切费用由响应供应商自理，响应供应商自行负责在踏勘现场中所发生的任何风险责任和财产损失。</w:t>
            </w:r>
          </w:p>
        </w:tc>
      </w:tr>
    </w:tbl>
    <w:p>
      <w:pPr>
        <w:rPr>
          <w:rFonts w:ascii="仿宋" w:hAnsi="仿宋" w:eastAsia="仿宋" w:cs="仿宋_GB2312"/>
          <w:b/>
          <w:sz w:val="32"/>
          <w:szCs w:val="20"/>
        </w:rPr>
      </w:pPr>
      <w:bookmarkStart w:id="5" w:name="第三部分"/>
      <w:bookmarkStart w:id="6" w:name="_Toc164416483"/>
      <w:r>
        <w:rPr>
          <w:rFonts w:hint="eastAsia" w:ascii="仿宋" w:hAnsi="仿宋" w:eastAsia="仿宋" w:cs="仿宋_GB2312"/>
          <w:b/>
          <w:sz w:val="32"/>
          <w:szCs w:val="20"/>
        </w:rPr>
        <w:br w:type="page"/>
      </w:r>
    </w:p>
    <w:p>
      <w:pPr>
        <w:adjustRightInd/>
        <w:spacing w:line="360" w:lineRule="auto"/>
        <w:ind w:firstLine="3845" w:firstLineChars="1197"/>
        <w:outlineLvl w:val="1"/>
        <w:rPr>
          <w:rFonts w:ascii="仿宋" w:hAnsi="仿宋" w:eastAsia="仿宋" w:cs="仿宋_GB2312"/>
          <w:b/>
          <w:sz w:val="32"/>
          <w:szCs w:val="20"/>
        </w:rPr>
      </w:pPr>
      <w:bookmarkStart w:id="7" w:name="_Toc12545"/>
      <w:bookmarkStart w:id="8" w:name="_Toc14639"/>
      <w:bookmarkStart w:id="9" w:name="_Toc98147524"/>
      <w:r>
        <w:rPr>
          <w:rFonts w:hint="eastAsia" w:ascii="仿宋" w:hAnsi="仿宋" w:eastAsia="仿宋" w:cs="仿宋_GB2312"/>
          <w:b/>
          <w:sz w:val="32"/>
          <w:szCs w:val="20"/>
        </w:rPr>
        <w:t>一、总则</w:t>
      </w:r>
      <w:bookmarkEnd w:id="7"/>
      <w:bookmarkEnd w:id="8"/>
      <w:bookmarkEnd w:id="9"/>
    </w:p>
    <w:p>
      <w:pPr>
        <w:snapToGrid w:val="0"/>
        <w:spacing w:line="360" w:lineRule="auto"/>
        <w:ind w:firstLine="361" w:firstLineChars="150"/>
        <w:jc w:val="left"/>
        <w:outlineLvl w:val="2"/>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本采购文件适用于该项目的采购、响应、开标（开启）、资格审查及信用信息查询、评审、磋商、确定供应商、合同、验收等行为（法律、法规另有规定的，从其规定）。</w:t>
      </w:r>
    </w:p>
    <w:p>
      <w:pPr>
        <w:adjustRightInd/>
        <w:spacing w:line="360" w:lineRule="auto"/>
        <w:outlineLvl w:val="2"/>
        <w:rPr>
          <w:rFonts w:ascii="仿宋" w:hAnsi="仿宋" w:eastAsia="仿宋" w:cs="仿宋_GB2312"/>
          <w:b/>
          <w:sz w:val="24"/>
        </w:rPr>
      </w:pPr>
      <w:bookmarkStart w:id="10" w:name="_Toc24957"/>
      <w:bookmarkStart w:id="11" w:name="_Toc9404"/>
      <w:r>
        <w:rPr>
          <w:rFonts w:ascii="仿宋" w:hAnsi="仿宋" w:eastAsia="仿宋" w:cs="仿宋_GB2312"/>
          <w:b/>
          <w:sz w:val="24"/>
        </w:rPr>
        <w:t>2.定义</w:t>
      </w:r>
      <w:bookmarkEnd w:id="10"/>
      <w:bookmarkEnd w:id="11"/>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“采购人”系指采购公告中载明的本项目的采购人。</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“采购代理机构”系指采购公告中载明的本项目的采购代理机构。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“供应商”系指是指响应采购、参加磋商竞争的法人、其他组织或者自然人。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w:t>
      </w:r>
      <w:r>
        <w:rPr>
          <w:rFonts w:hint="eastAsia" w:ascii="仿宋" w:hAnsi="仿宋" w:eastAsia="仿宋"/>
          <w:sz w:val="24"/>
        </w:rPr>
        <w:t>盖章</w:t>
      </w:r>
      <w:r>
        <w:rPr>
          <w:rFonts w:ascii="仿宋" w:hAnsi="仿宋" w:eastAsia="仿宋"/>
          <w:sz w:val="24"/>
        </w:rPr>
        <w:t>”系指</w:t>
      </w:r>
      <w:r>
        <w:rPr>
          <w:rFonts w:hint="eastAsia" w:ascii="仿宋" w:hAnsi="仿宋" w:eastAsia="仿宋"/>
          <w:sz w:val="24"/>
        </w:rPr>
        <w:t>物理公章。</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6“▲”系指实质性要求条款，“★”系产品采购项目中单一产品或核心产品，“</w:t>
      </w:r>
      <w:r>
        <w:rPr>
          <w:rFonts w:ascii="仿宋" w:hAnsi="仿宋" w:eastAsia="仿宋"/>
          <w:sz w:val="24"/>
        </w:rPr>
        <w:sym w:font="Wingdings" w:char="00FE"/>
      </w:r>
      <w:r>
        <w:rPr>
          <w:rFonts w:hint="eastAsia" w:ascii="仿宋" w:hAnsi="仿宋" w:eastAsia="仿宋"/>
          <w:sz w:val="24"/>
        </w:rPr>
        <w:t>”系指适用本项目的要求，“</w:t>
      </w:r>
      <w:sdt>
        <w:sdtPr>
          <w:rPr>
            <w:rFonts w:hint="eastAsia" w:ascii="仿宋" w:hAnsi="仿宋" w:eastAsia="仿宋" w:cs="Arial"/>
            <w:kern w:val="0"/>
            <w:sz w:val="24"/>
          </w:rPr>
          <w:id w:val="404888855"/>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hint="eastAsia" w:ascii="仿宋" w:hAnsi="仿宋" w:eastAsia="仿宋"/>
          <w:sz w:val="24"/>
        </w:rPr>
        <w:t>”系指不适用本项目的要求。</w:t>
      </w:r>
    </w:p>
    <w:p>
      <w:pPr>
        <w:spacing w:line="360" w:lineRule="auto"/>
        <w:ind w:firstLine="241" w:firstLineChars="100"/>
        <w:rPr>
          <w:rFonts w:ascii="仿宋" w:hAnsi="仿宋" w:eastAsia="仿宋"/>
          <w:b/>
          <w:sz w:val="24"/>
        </w:rPr>
      </w:pPr>
      <w:r>
        <w:rPr>
          <w:rFonts w:ascii="仿宋" w:hAnsi="仿宋" w:eastAsia="仿宋"/>
          <w:b/>
          <w:sz w:val="24"/>
        </w:rPr>
        <w:t>3.</w:t>
      </w:r>
      <w:r>
        <w:rPr>
          <w:rFonts w:hint="eastAsia" w:ascii="仿宋" w:hAnsi="仿宋" w:eastAsia="仿宋"/>
          <w:b/>
          <w:sz w:val="24"/>
        </w:rPr>
        <w:t>采购项目需要落实的政府采购政策</w:t>
      </w:r>
    </w:p>
    <w:p>
      <w:pPr>
        <w:spacing w:line="360" w:lineRule="auto"/>
        <w:ind w:firstLine="240" w:firstLineChars="1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sz w:val="24"/>
        </w:rPr>
        <w:t>供应商</w:t>
      </w:r>
      <w:r>
        <w:rPr>
          <w:rFonts w:ascii="仿宋" w:hAnsi="仿宋" w:eastAsia="仿宋"/>
          <w:sz w:val="24"/>
        </w:rPr>
        <w:t>须按</w:t>
      </w:r>
      <w:r>
        <w:rPr>
          <w:rFonts w:hint="eastAsia" w:ascii="仿宋" w:hAnsi="仿宋" w:eastAsia="仿宋"/>
          <w:sz w:val="24"/>
        </w:rPr>
        <w:t>采购文件</w:t>
      </w:r>
      <w:r>
        <w:rPr>
          <w:rFonts w:ascii="仿宋" w:hAnsi="仿宋" w:eastAsia="仿宋"/>
          <w:sz w:val="24"/>
        </w:rPr>
        <w:t>要求提供相关产品认证证书。</w:t>
      </w:r>
      <w:r>
        <w:rPr>
          <w:rFonts w:hint="eastAsia" w:ascii="仿宋" w:hAnsi="仿宋" w:eastAsia="仿宋"/>
          <w:b/>
          <w:sz w:val="24"/>
        </w:rPr>
        <w:t>采购人拟采购的产品属于政府强制采购的节能产品品目清单范围的，供应商未按采购文件要求提供国家确定的认证机构出具的、处于有效期之内的节能产品认证证书的，响应无效。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修缮、装修类项目采购建材的，采购人应将绿色建筑和绿色建材性能、指标等作为实质性条件纳入采购文件和合同。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对于未预留份额专门面向中小企业的政府采购货物或服务项目，以及预留份额政府采购货物或服务项目中的非预留部分标项，对小型和微型企业的响应报价给予20%</w:t>
      </w:r>
      <w:r>
        <w:rPr>
          <w:rFonts w:ascii="仿宋" w:hAnsi="仿宋" w:eastAsia="仿宋"/>
          <w:sz w:val="24"/>
        </w:rPr>
        <w:t>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rPr>
        <w:t>6%</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3.3.7中小企业享受扶持政策获得采购合同的，小微企业不得将合同分包给大中型企业，中型企业不得将合同分包给大型企业</w:t>
      </w:r>
      <w:r>
        <w:rPr>
          <w:rFonts w:hint="eastAsia" w:ascii="仿宋" w:hAnsi="仿宋" w:eastAsia="仿宋"/>
          <w:sz w:val="24"/>
        </w:rPr>
        <w:t>。</w:t>
      </w:r>
    </w:p>
    <w:p>
      <w:pPr>
        <w:spacing w:line="360" w:lineRule="auto"/>
        <w:ind w:firstLine="240" w:firstLineChars="1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2年内视同已具备相应销售业绩，参加采购活动</w:t>
      </w:r>
      <w:r>
        <w:rPr>
          <w:rFonts w:hint="eastAsia" w:ascii="仿宋" w:hAnsi="仿宋" w:eastAsia="仿宋"/>
          <w:sz w:val="24"/>
        </w:rPr>
        <w:t>时业绩分值为满分。</w:t>
      </w:r>
    </w:p>
    <w:p>
      <w:pPr>
        <w:spacing w:line="360" w:lineRule="auto"/>
        <w:ind w:firstLine="480" w:firstLineChars="200"/>
        <w:rPr>
          <w:rFonts w:ascii="仿宋" w:hAnsi="仿宋" w:eastAsia="仿宋"/>
          <w:b/>
          <w:sz w:val="24"/>
        </w:rPr>
      </w:pPr>
      <w:r>
        <w:rPr>
          <w:rFonts w:ascii="仿宋"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rPr>
        <w:t>登录</w:t>
      </w:r>
      <w:r>
        <w:rPr>
          <w:rFonts w:ascii="仿宋" w:hAnsi="仿宋" w:eastAsia="仿宋"/>
          <w:sz w:val="24"/>
        </w:rPr>
        <w:t>杭州市政府采购网“中小企业信用融资”模块，查看信用融资政策文件及各相关银行服务方案。</w:t>
      </w:r>
      <w:r>
        <w:rPr>
          <w:rFonts w:ascii="仿宋" w:hAnsi="仿宋" w:eastAsia="仿宋"/>
          <w:sz w:val="24"/>
        </w:rPr>
        <w:cr/>
      </w:r>
      <w:r>
        <w:rPr>
          <w:rFonts w:ascii="仿宋" w:hAnsi="仿宋" w:eastAsia="仿宋"/>
          <w:b/>
          <w:sz w:val="24"/>
        </w:rPr>
        <w:t xml:space="preserve">4. </w:t>
      </w:r>
      <w:r>
        <w:rPr>
          <w:rFonts w:hint="eastAsia" w:ascii="仿宋" w:hAnsi="仿宋" w:eastAsia="仿宋"/>
          <w:b/>
          <w:sz w:val="24"/>
        </w:rPr>
        <w:t>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rPr>
      </w:pPr>
      <w:r>
        <w:rPr>
          <w:rFonts w:hint="eastAsia" w:ascii="仿宋" w:hAnsi="仿宋" w:eastAsia="仿宋" w:cs="微软雅黑"/>
          <w:kern w:val="0"/>
          <w:sz w:val="24"/>
          <w:lang w:val="zh-CN"/>
        </w:rPr>
        <w:t>供应商对采购活动事项有疑问的，可以提出询问，采购人或者采购代理机构应</w:t>
      </w:r>
      <w:r>
        <w:rPr>
          <w:rFonts w:hint="eastAsia" w:ascii="仿宋" w:hAnsi="仿宋" w:eastAsia="仿宋" w:cs="微软雅黑"/>
          <w:kern w:val="0"/>
          <w:sz w:val="24"/>
          <w:u w:val="single"/>
          <w:lang w:val="zh-CN"/>
        </w:rPr>
        <w:t>当在</w:t>
      </w:r>
      <w:r>
        <w:rPr>
          <w:rFonts w:ascii="仿宋" w:hAnsi="仿宋" w:eastAsia="仿宋" w:cs="微软雅黑"/>
          <w:kern w:val="0"/>
          <w:sz w:val="24"/>
          <w:u w:val="single"/>
          <w:lang w:val="zh-CN"/>
        </w:rPr>
        <w:t>3个工作日内对供应</w:t>
      </w:r>
      <w:r>
        <w:rPr>
          <w:rFonts w:hint="eastAsia" w:ascii="仿宋" w:hAnsi="仿宋" w:eastAsia="仿宋" w:cs="微软雅黑"/>
          <w:kern w:val="0"/>
          <w:sz w:val="24"/>
          <w:u w:val="single"/>
          <w:lang w:val="zh-CN"/>
        </w:rPr>
        <w:t>商依法提出的询问作出答复</w:t>
      </w:r>
      <w:r>
        <w:rPr>
          <w:rFonts w:hint="eastAsia" w:ascii="仿宋" w:hAnsi="仿宋" w:eastAsia="仿宋" w:cs="微软雅黑"/>
          <w:kern w:val="0"/>
          <w:sz w:val="24"/>
          <w:lang w:val="zh-CN"/>
        </w:rPr>
        <w:t>，但答复的内容不得涉及商业秘密。供应商提出的询问超出采购人对采购代理机构委托授权范围的，采购代理机构应当告知供应商向采购人提出。</w:t>
      </w:r>
      <w:r>
        <w:rPr>
          <w:rFonts w:hint="eastAsia" w:ascii="仿宋" w:hAnsi="仿宋" w:eastAsia="仿宋" w:cs="微软雅黑"/>
          <w:kern w:val="0"/>
          <w:sz w:val="24"/>
        </w:rPr>
        <w:t>询问提疑截止时间详见须知前附表。</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2"/>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w:t>
      </w:r>
      <w:r>
        <w:rPr>
          <w:rFonts w:hint="eastAsia" w:ascii="仿宋" w:hAnsi="仿宋" w:eastAsia="仿宋"/>
          <w:sz w:val="24"/>
        </w:rPr>
        <w:t>采购文件</w:t>
      </w:r>
      <w:r>
        <w:rPr>
          <w:rFonts w:ascii="仿宋" w:hAnsi="仿宋" w:eastAsia="仿宋"/>
          <w:sz w:val="24"/>
        </w:rPr>
        <w:t>的，可以对该文件提出质疑。</w:t>
      </w:r>
    </w:p>
    <w:p>
      <w:pPr>
        <w:pStyle w:val="32"/>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w:t>
      </w:r>
      <w:r>
        <w:rPr>
          <w:rFonts w:hint="eastAsia" w:ascii="仿宋" w:hAnsi="仿宋" w:eastAsia="仿宋"/>
          <w:sz w:val="24"/>
        </w:rPr>
        <w:t>采购文件</w:t>
      </w:r>
      <w:r>
        <w:rPr>
          <w:rFonts w:ascii="仿宋" w:hAnsi="仿宋" w:eastAsia="仿宋"/>
          <w:sz w:val="24"/>
        </w:rPr>
        <w:t>、采购过程和</w:t>
      </w:r>
      <w:r>
        <w:rPr>
          <w:rFonts w:hint="eastAsia" w:ascii="仿宋" w:hAnsi="仿宋" w:eastAsia="仿宋"/>
          <w:sz w:val="24"/>
        </w:rPr>
        <w:t>成交</w:t>
      </w:r>
      <w:r>
        <w:rPr>
          <w:rFonts w:ascii="仿宋" w:hAnsi="仿宋" w:eastAsia="仿宋"/>
          <w:sz w:val="24"/>
        </w:rPr>
        <w:t>结果使自己的权益受到损害的，可以在知道或者应知其权益受到损害之日起七个工作日内，以书面形式向采购人或者</w:t>
      </w:r>
      <w:r>
        <w:rPr>
          <w:rFonts w:hint="eastAsia" w:ascii="仿宋" w:hAnsi="仿宋" w:eastAsia="仿宋"/>
          <w:sz w:val="24"/>
        </w:rPr>
        <w:t>采购代理机构</w:t>
      </w:r>
      <w:r>
        <w:rPr>
          <w:rFonts w:ascii="仿宋" w:hAnsi="仿宋" w:eastAsia="仿宋"/>
          <w:sz w:val="24"/>
        </w:rPr>
        <w:t>提出质疑，否则，采购人或者</w:t>
      </w:r>
      <w:r>
        <w:rPr>
          <w:rFonts w:hint="eastAsia" w:ascii="仿宋" w:hAnsi="仿宋" w:eastAsia="仿宋"/>
          <w:sz w:val="24"/>
        </w:rPr>
        <w:t>采购代理机构</w:t>
      </w:r>
      <w:r>
        <w:rPr>
          <w:rFonts w:ascii="仿宋" w:hAnsi="仿宋" w:eastAsia="仿宋"/>
          <w:sz w:val="24"/>
        </w:rPr>
        <w:t>不予受理：</w:t>
      </w:r>
    </w:p>
    <w:p>
      <w:pPr>
        <w:pStyle w:val="15"/>
        <w:spacing w:line="360" w:lineRule="auto"/>
        <w:ind w:firstLine="480" w:firstLineChars="200"/>
        <w:rPr>
          <w:rFonts w:ascii="仿宋" w:hAnsi="仿宋" w:eastAsia="仿宋"/>
          <w:snapToGrid/>
          <w:color w:val="auto"/>
          <w:kern w:val="2"/>
          <w:sz w:val="24"/>
        </w:rPr>
      </w:pPr>
      <w:r>
        <w:rPr>
          <w:rFonts w:ascii="仿宋" w:hAnsi="仿宋" w:eastAsia="仿宋"/>
          <w:snapToGrid/>
          <w:color w:val="auto"/>
          <w:kern w:val="2"/>
          <w:sz w:val="24"/>
        </w:rPr>
        <w:t>4.2.2.1对</w:t>
      </w:r>
      <w:r>
        <w:rPr>
          <w:rFonts w:hint="eastAsia" w:ascii="仿宋" w:hAnsi="仿宋" w:eastAsia="仿宋"/>
          <w:snapToGrid/>
          <w:color w:val="auto"/>
          <w:kern w:val="2"/>
          <w:sz w:val="24"/>
        </w:rPr>
        <w:t>采购文件</w:t>
      </w:r>
      <w:r>
        <w:rPr>
          <w:rFonts w:ascii="仿宋" w:hAnsi="仿宋" w:eastAsia="仿宋"/>
          <w:snapToGrid/>
          <w:color w:val="auto"/>
          <w:kern w:val="2"/>
          <w:sz w:val="24"/>
        </w:rPr>
        <w:t>提出质疑的，质疑期限为供应商获得</w:t>
      </w:r>
      <w:r>
        <w:rPr>
          <w:rFonts w:hint="eastAsia" w:ascii="仿宋" w:hAnsi="仿宋" w:eastAsia="仿宋"/>
          <w:snapToGrid/>
          <w:color w:val="auto"/>
          <w:kern w:val="2"/>
          <w:sz w:val="24"/>
        </w:rPr>
        <w:t>采购文件</w:t>
      </w:r>
      <w:r>
        <w:rPr>
          <w:rFonts w:ascii="仿宋" w:hAnsi="仿宋" w:eastAsia="仿宋"/>
          <w:snapToGrid/>
          <w:color w:val="auto"/>
          <w:kern w:val="2"/>
          <w:sz w:val="24"/>
        </w:rPr>
        <w:t>之日或者</w:t>
      </w:r>
      <w:r>
        <w:rPr>
          <w:rFonts w:hint="eastAsia" w:ascii="仿宋" w:hAnsi="仿宋" w:eastAsia="仿宋"/>
          <w:snapToGrid/>
          <w:color w:val="auto"/>
          <w:kern w:val="2"/>
          <w:sz w:val="24"/>
        </w:rPr>
        <w:t>采购文件</w:t>
      </w:r>
      <w:r>
        <w:rPr>
          <w:rFonts w:ascii="仿宋" w:hAnsi="仿宋" w:eastAsia="仿宋"/>
          <w:snapToGrid/>
          <w:color w:val="auto"/>
          <w:kern w:val="2"/>
          <w:sz w:val="24"/>
        </w:rPr>
        <w:t>公告期限届满之日起计算。</w:t>
      </w:r>
    </w:p>
    <w:p>
      <w:pPr>
        <w:pStyle w:val="32"/>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2"/>
        <w:spacing w:line="360" w:lineRule="auto"/>
        <w:ind w:firstLine="480"/>
        <w:rPr>
          <w:rFonts w:ascii="仿宋" w:hAnsi="仿宋" w:eastAsia="仿宋" w:cs="微软雅黑"/>
          <w:kern w:val="0"/>
          <w:sz w:val="24"/>
          <w:lang w:val="zh-CN"/>
        </w:rPr>
      </w:pPr>
      <w:r>
        <w:rPr>
          <w:rFonts w:hint="eastAsia" w:ascii="仿宋" w:hAnsi="仿宋" w:eastAsia="仿宋" w:cs="微软雅黑"/>
          <w:kern w:val="0"/>
          <w:sz w:val="24"/>
          <w:lang w:val="zh-CN"/>
        </w:rPr>
        <w:t>4.2.3.4事实依据；</w:t>
      </w:r>
    </w:p>
    <w:p>
      <w:pPr>
        <w:pStyle w:val="32"/>
        <w:spacing w:line="360" w:lineRule="auto"/>
        <w:ind w:firstLine="480"/>
        <w:rPr>
          <w:rFonts w:ascii="仿宋" w:hAnsi="仿宋" w:eastAsia="仿宋" w:cs="微软雅黑"/>
          <w:kern w:val="0"/>
          <w:sz w:val="24"/>
          <w:lang w:val="zh-CN"/>
        </w:rPr>
      </w:pPr>
      <w:r>
        <w:rPr>
          <w:rFonts w:hint="eastAsia" w:ascii="仿宋" w:hAnsi="仿宋" w:eastAsia="仿宋" w:cs="微软雅黑"/>
          <w:kern w:val="0"/>
          <w:sz w:val="24"/>
          <w:lang w:val="zh-CN"/>
        </w:rPr>
        <w:t>4.2.3.5必要的法律依据；</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4.2.3.6提出质疑的日期。</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888"/>
        <w:shd w:val="clear" w:color="auto" w:fill="FFFFFF"/>
        <w:snapToGrid w:val="0"/>
        <w:spacing w:before="0" w:beforeAutospacing="0" w:after="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采购人或者采购代理机构应当在收到供应商的书面质疑后七个工作日内作出答复，并以书面形式通知质疑供应商和其他与质疑处理结果有利害关系的采购当事人，但答复的内容不得涉及商业秘密。</w:t>
      </w:r>
    </w:p>
    <w:p>
      <w:pPr>
        <w:pStyle w:val="888"/>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888"/>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w:t>
      </w:r>
      <w:r>
        <w:rPr>
          <w:rFonts w:hint="eastAsia" w:ascii="仿宋" w:hAnsi="仿宋" w:eastAsia="仿宋"/>
        </w:rPr>
        <w:t>采购代理机构</w:t>
      </w:r>
      <w:r>
        <w:rPr>
          <w:rFonts w:ascii="仿宋" w:hAnsi="仿宋" w:eastAsia="仿宋"/>
        </w:rPr>
        <w:t>的答复不满意或者采购人、</w:t>
      </w:r>
      <w:r>
        <w:rPr>
          <w:rFonts w:hint="eastAsia" w:ascii="仿宋" w:hAnsi="仿宋" w:eastAsia="仿宋"/>
        </w:rPr>
        <w:t>采购代理机构</w:t>
      </w:r>
      <w:r>
        <w:rPr>
          <w:rFonts w:ascii="仿宋" w:hAnsi="仿宋" w:eastAsia="仿宋"/>
        </w:rPr>
        <w:t>未在规定的时间内</w:t>
      </w:r>
      <w:r>
        <w:rPr>
          <w:rFonts w:hint="eastAsia" w:ascii="仿宋" w:hAnsi="仿宋" w:eastAsia="仿宋"/>
        </w:rPr>
        <w:t>作出答复的，可以在答复期满后十五个工作日内向采购人行政主管部门提出投诉。</w:t>
      </w:r>
    </w:p>
    <w:p>
      <w:pPr>
        <w:pStyle w:val="888"/>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888"/>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 xml:space="preserve">4.3.5 </w:t>
      </w:r>
      <w:r>
        <w:rPr>
          <w:rFonts w:hint="eastAsia" w:ascii="仿宋" w:hAnsi="仿宋" w:eastAsia="仿宋"/>
        </w:rPr>
        <w:t>以联合体形式参加采购活动的，其投诉应当由组成联合体的所有供应商共同提出。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adjustRightInd/>
        <w:spacing w:line="360" w:lineRule="auto"/>
        <w:jc w:val="center"/>
        <w:outlineLvl w:val="1"/>
        <w:rPr>
          <w:rFonts w:ascii="仿宋" w:hAnsi="仿宋" w:eastAsia="仿宋" w:cs="仿宋_GB2312"/>
          <w:b/>
          <w:sz w:val="32"/>
          <w:szCs w:val="20"/>
        </w:rPr>
      </w:pPr>
      <w:bookmarkStart w:id="12" w:name="_Toc11100"/>
      <w:bookmarkStart w:id="13" w:name="_Toc98147525"/>
      <w:bookmarkStart w:id="14" w:name="_Toc20036"/>
      <w:r>
        <w:rPr>
          <w:rFonts w:ascii="仿宋" w:hAnsi="仿宋" w:eastAsia="仿宋" w:cs="仿宋_GB2312"/>
          <w:b/>
          <w:sz w:val="32"/>
          <w:szCs w:val="20"/>
        </w:rPr>
        <w:t>二、</w:t>
      </w:r>
      <w:r>
        <w:rPr>
          <w:rFonts w:hint="eastAsia" w:ascii="仿宋" w:hAnsi="仿宋" w:eastAsia="仿宋" w:cs="仿宋_GB2312"/>
          <w:b/>
          <w:sz w:val="32"/>
          <w:szCs w:val="20"/>
        </w:rPr>
        <w:t>采购文件</w:t>
      </w:r>
      <w:r>
        <w:rPr>
          <w:rFonts w:ascii="仿宋" w:hAnsi="仿宋" w:eastAsia="仿宋" w:cs="仿宋_GB2312"/>
          <w:b/>
          <w:sz w:val="32"/>
          <w:szCs w:val="20"/>
        </w:rPr>
        <w:t>的构成、澄清、修改</w:t>
      </w:r>
      <w:bookmarkEnd w:id="12"/>
      <w:bookmarkEnd w:id="13"/>
      <w:bookmarkEnd w:id="14"/>
    </w:p>
    <w:p>
      <w:pPr>
        <w:pStyle w:val="32"/>
        <w:spacing w:line="360" w:lineRule="auto"/>
        <w:rPr>
          <w:rFonts w:ascii="仿宋" w:hAnsi="仿宋" w:eastAsia="仿宋" w:cs="仿宋_GB2312"/>
          <w:b/>
          <w:sz w:val="24"/>
          <w:szCs w:val="24"/>
        </w:rPr>
      </w:pPr>
      <w:r>
        <w:rPr>
          <w:rFonts w:ascii="仿宋" w:hAnsi="仿宋" w:eastAsia="仿宋" w:cs="仿宋_GB2312"/>
          <w:b/>
          <w:sz w:val="24"/>
          <w:szCs w:val="24"/>
        </w:rPr>
        <w:t>5．</w:t>
      </w:r>
      <w:r>
        <w:rPr>
          <w:rFonts w:hint="eastAsia" w:ascii="仿宋" w:hAnsi="仿宋" w:eastAsia="仿宋" w:cs="仿宋_GB2312"/>
          <w:b/>
          <w:sz w:val="24"/>
          <w:szCs w:val="24"/>
        </w:rPr>
        <w:t>采购文件</w:t>
      </w:r>
      <w:r>
        <w:rPr>
          <w:rFonts w:ascii="仿宋" w:hAnsi="仿宋" w:eastAsia="仿宋" w:cs="仿宋_GB2312"/>
          <w:b/>
          <w:sz w:val="24"/>
          <w:szCs w:val="24"/>
        </w:rPr>
        <w:t>的构成</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采购文件包括下列文件及附件：</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w:t>
      </w:r>
      <w:r>
        <w:rPr>
          <w:rFonts w:hint="eastAsia" w:ascii="仿宋" w:hAnsi="仿宋" w:eastAsia="仿宋" w:cs="仿宋_GB2312"/>
          <w:sz w:val="24"/>
          <w:szCs w:val="24"/>
        </w:rPr>
        <w:t>采购公告</w:t>
      </w:r>
      <w:r>
        <w:rPr>
          <w:rFonts w:ascii="仿宋" w:hAnsi="仿宋" w:eastAsia="仿宋" w:cs="仿宋_GB2312"/>
          <w:sz w:val="24"/>
          <w:szCs w:val="24"/>
        </w:rPr>
        <w:t>；</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w:t>
      </w:r>
      <w:r>
        <w:rPr>
          <w:rFonts w:hint="eastAsia" w:ascii="仿宋" w:hAnsi="仿宋" w:eastAsia="仿宋" w:cs="仿宋_GB2312"/>
          <w:sz w:val="24"/>
          <w:szCs w:val="24"/>
        </w:rPr>
        <w:t>供应商</w:t>
      </w:r>
      <w:r>
        <w:rPr>
          <w:rFonts w:ascii="仿宋" w:hAnsi="仿宋" w:eastAsia="仿宋" w:cs="仿宋_GB2312"/>
          <w:sz w:val="24"/>
          <w:szCs w:val="24"/>
        </w:rPr>
        <w:t>须知；</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w:t>
      </w:r>
      <w:r>
        <w:rPr>
          <w:rFonts w:hint="eastAsia" w:ascii="仿宋" w:hAnsi="仿宋" w:eastAsia="仿宋" w:cs="仿宋_GB2312"/>
          <w:sz w:val="24"/>
          <w:szCs w:val="24"/>
        </w:rPr>
        <w:t>采购内容及需求</w:t>
      </w:r>
      <w:r>
        <w:rPr>
          <w:rFonts w:ascii="仿宋" w:hAnsi="仿宋" w:eastAsia="仿宋" w:cs="仿宋_GB2312"/>
          <w:sz w:val="24"/>
          <w:szCs w:val="24"/>
        </w:rPr>
        <w:t>；</w:t>
      </w:r>
    </w:p>
    <w:p>
      <w:pPr>
        <w:pStyle w:val="32"/>
        <w:tabs>
          <w:tab w:val="left" w:pos="840"/>
        </w:tabs>
        <w:spacing w:line="360" w:lineRule="auto"/>
        <w:ind w:firstLine="960" w:firstLineChars="400"/>
        <w:rPr>
          <w:rFonts w:ascii="仿宋" w:hAnsi="仿宋" w:eastAsia="仿宋" w:cs="Times New Roman"/>
          <w:snapToGrid/>
          <w:sz w:val="24"/>
          <w:szCs w:val="24"/>
        </w:rPr>
      </w:pPr>
      <w:r>
        <w:rPr>
          <w:rFonts w:ascii="仿宋" w:hAnsi="仿宋" w:eastAsia="仿宋" w:cs="Times New Roman"/>
          <w:snapToGrid/>
          <w:sz w:val="24"/>
          <w:szCs w:val="24"/>
        </w:rPr>
        <w:t>5.1.4磋商评审办法；</w:t>
      </w:r>
    </w:p>
    <w:p>
      <w:pPr>
        <w:pStyle w:val="32"/>
        <w:tabs>
          <w:tab w:val="left" w:pos="840"/>
        </w:tabs>
        <w:spacing w:line="360" w:lineRule="auto"/>
        <w:ind w:firstLine="960" w:firstLineChars="400"/>
        <w:rPr>
          <w:rFonts w:ascii="仿宋" w:hAnsi="仿宋" w:eastAsia="仿宋" w:cs="Times New Roman"/>
          <w:snapToGrid/>
          <w:sz w:val="24"/>
          <w:szCs w:val="24"/>
        </w:rPr>
      </w:pPr>
      <w:r>
        <w:rPr>
          <w:rFonts w:ascii="仿宋" w:hAnsi="仿宋" w:eastAsia="仿宋" w:cs="Times New Roman"/>
          <w:snapToGrid/>
          <w:sz w:val="24"/>
          <w:szCs w:val="24"/>
        </w:rPr>
        <w:t>5.1.5合同主要条款；</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澄清或者修改的内容为采购文件的组成部分</w:t>
      </w:r>
      <w:r>
        <w:rPr>
          <w:rFonts w:hint="eastAsia" w:ascii="仿宋" w:hAnsi="仿宋" w:eastAsia="仿宋" w:cs="仿宋_GB2312"/>
          <w:sz w:val="24"/>
        </w:rPr>
        <w:t>。</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采购文件的澄清、修改</w:t>
      </w:r>
    </w:p>
    <w:p>
      <w:pPr>
        <w:pStyle w:val="133"/>
        <w:snapToGrid w:val="0"/>
        <w:spacing w:before="0"/>
        <w:ind w:firstLine="480"/>
        <w:rPr>
          <w:rFonts w:ascii="仿宋" w:hAnsi="仿宋" w:eastAsia="仿宋" w:cs="仿宋_GB2312"/>
        </w:rPr>
      </w:pPr>
      <w:r>
        <w:rPr>
          <w:rFonts w:ascii="仿宋" w:hAnsi="仿宋" w:eastAsia="仿宋" w:cs="仿宋_GB2312"/>
        </w:rPr>
        <w:t>6.1已获取</w:t>
      </w:r>
      <w:r>
        <w:rPr>
          <w:rFonts w:hint="eastAsia" w:ascii="仿宋" w:hAnsi="仿宋" w:eastAsia="仿宋" w:cs="仿宋_GB2312"/>
        </w:rPr>
        <w:t>采购文件</w:t>
      </w:r>
      <w:r>
        <w:rPr>
          <w:rFonts w:ascii="仿宋" w:hAnsi="仿宋" w:eastAsia="仿宋" w:cs="仿宋_GB2312"/>
        </w:rPr>
        <w:t>的潜在</w:t>
      </w:r>
      <w:r>
        <w:rPr>
          <w:rFonts w:hint="eastAsia" w:ascii="仿宋" w:hAnsi="仿宋" w:eastAsia="仿宋" w:cs="仿宋_GB2312"/>
        </w:rPr>
        <w:t>供应商</w:t>
      </w:r>
      <w:r>
        <w:rPr>
          <w:rFonts w:ascii="仿宋" w:hAnsi="仿宋" w:eastAsia="仿宋" w:cs="仿宋_GB2312"/>
        </w:rPr>
        <w:t>，若有问题需要澄清，应于</w:t>
      </w:r>
      <w:r>
        <w:rPr>
          <w:rFonts w:hint="eastAsia" w:ascii="仿宋" w:hAnsi="仿宋" w:eastAsia="仿宋" w:cs="仿宋_GB2312"/>
        </w:rPr>
        <w:t>须知前附表规定的</w:t>
      </w:r>
      <w:r>
        <w:rPr>
          <w:rFonts w:ascii="仿宋" w:hAnsi="仿宋" w:eastAsia="仿宋" w:cs="仿宋_GB2312"/>
        </w:rPr>
        <w:t>截止时间前，以</w:t>
      </w:r>
      <w:r>
        <w:rPr>
          <w:rFonts w:hint="eastAsia" w:ascii="仿宋" w:hAnsi="仿宋" w:eastAsia="仿宋" w:cs="仿宋_GB2312"/>
        </w:rPr>
        <w:t>规定的</w:t>
      </w:r>
      <w:r>
        <w:rPr>
          <w:rFonts w:ascii="仿宋" w:hAnsi="仿宋" w:eastAsia="仿宋" w:cs="仿宋_GB2312"/>
        </w:rPr>
        <w:t>形式向</w:t>
      </w:r>
      <w:r>
        <w:rPr>
          <w:rFonts w:hint="eastAsia" w:ascii="仿宋" w:hAnsi="仿宋" w:eastAsia="仿宋" w:cs="仿宋_GB2312"/>
        </w:rPr>
        <w:t>采购代理机构</w:t>
      </w:r>
      <w:r>
        <w:rPr>
          <w:rFonts w:ascii="仿宋" w:hAnsi="仿宋" w:eastAsia="仿宋" w:cs="仿宋_GB2312"/>
        </w:rPr>
        <w:t>提出。</w:t>
      </w:r>
    </w:p>
    <w:p>
      <w:pPr>
        <w:pStyle w:val="133"/>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采购代理机构对采购文件进行澄清或修改的，将同时向已获取采购文件的潜在供应商以电子邮件形式发送书面扫描件。该澄清或者修改的内容为采购文件的组成部分。</w:t>
      </w:r>
    </w:p>
    <w:p>
      <w:pPr>
        <w:adjustRightInd/>
        <w:spacing w:line="360" w:lineRule="auto"/>
        <w:jc w:val="center"/>
        <w:outlineLvl w:val="1"/>
        <w:rPr>
          <w:rFonts w:ascii="仿宋" w:hAnsi="仿宋" w:eastAsia="仿宋" w:cs="仿宋_GB2312"/>
          <w:b/>
          <w:sz w:val="30"/>
          <w:szCs w:val="20"/>
        </w:rPr>
      </w:pPr>
      <w:bookmarkStart w:id="15" w:name="_Toc98147526"/>
      <w:bookmarkStart w:id="16" w:name="_Toc29358"/>
      <w:bookmarkStart w:id="17" w:name="_Toc30804"/>
      <w:r>
        <w:rPr>
          <w:rFonts w:hint="eastAsia" w:ascii="仿宋" w:hAnsi="仿宋" w:eastAsia="仿宋" w:cs="仿宋_GB2312"/>
          <w:b/>
          <w:sz w:val="30"/>
          <w:szCs w:val="20"/>
        </w:rPr>
        <w:t>三、响应</w:t>
      </w:r>
      <w:bookmarkEnd w:id="15"/>
      <w:bookmarkEnd w:id="16"/>
      <w:bookmarkEnd w:id="17"/>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采购文件的获取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详见采购公告中获取采购文件的时间期限、地点、方式及采购文件售价。</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8.</w:t>
      </w:r>
      <w:r>
        <w:rPr>
          <w:rFonts w:hint="eastAsia" w:ascii="仿宋" w:hAnsi="仿宋" w:eastAsia="仿宋" w:cs="仿宋_GB2312"/>
          <w:b/>
          <w:sz w:val="24"/>
          <w:szCs w:val="24"/>
        </w:rPr>
        <w:t>磋商</w:t>
      </w:r>
      <w:r>
        <w:rPr>
          <w:rFonts w:ascii="仿宋" w:hAnsi="仿宋" w:eastAsia="仿宋" w:cs="仿宋_GB2312"/>
          <w:b/>
          <w:sz w:val="24"/>
          <w:szCs w:val="24"/>
        </w:rPr>
        <w:t>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采购人组织潜在供应商现场考察或者召开磋商前答疑会的，潜在供应商按第二部分供应商须知前附表的规定参加现场考察或者磋商前答疑会。</w:t>
      </w:r>
      <w:r>
        <w:rPr>
          <w:rFonts w:hint="eastAsia" w:ascii="仿宋" w:hAnsi="仿宋" w:eastAsia="仿宋"/>
          <w:b/>
          <w:bCs/>
          <w:sz w:val="24"/>
          <w:szCs w:val="24"/>
        </w:rPr>
        <w:t>（本项目不适用）</w:t>
      </w:r>
    </w:p>
    <w:p>
      <w:pPr>
        <w:pStyle w:val="32"/>
        <w:spacing w:line="360" w:lineRule="auto"/>
        <w:rPr>
          <w:rFonts w:ascii="仿宋" w:hAnsi="仿宋" w:eastAsia="仿宋" w:cs="仿宋_GB2312"/>
          <w:b/>
          <w:szCs w:val="24"/>
        </w:rPr>
      </w:pPr>
      <w:r>
        <w:rPr>
          <w:rFonts w:ascii="仿宋" w:hAnsi="仿宋" w:eastAsia="仿宋"/>
          <w:b/>
          <w:kern w:val="28"/>
          <w:sz w:val="24"/>
          <w:szCs w:val="24"/>
        </w:rPr>
        <w:t>9.</w:t>
      </w:r>
      <w:r>
        <w:rPr>
          <w:rFonts w:hint="eastAsia" w:ascii="仿宋" w:hAnsi="仿宋" w:eastAsia="仿宋"/>
          <w:b/>
          <w:kern w:val="28"/>
          <w:sz w:val="24"/>
          <w:szCs w:val="24"/>
        </w:rPr>
        <w:t>磋商保证金</w:t>
      </w:r>
    </w:p>
    <w:p>
      <w:pPr>
        <w:pStyle w:val="32"/>
        <w:spacing w:line="360" w:lineRule="auto"/>
        <w:ind w:firstLine="480" w:firstLineChars="200"/>
        <w:rPr>
          <w:rFonts w:ascii="仿宋" w:hAnsi="仿宋" w:eastAsia="仿宋"/>
          <w:sz w:val="24"/>
          <w:szCs w:val="24"/>
        </w:rPr>
      </w:pPr>
      <w:r>
        <w:rPr>
          <w:rFonts w:hint="eastAsia" w:ascii="仿宋" w:hAnsi="仿宋" w:eastAsia="仿宋" w:cs="仿宋_GB2312"/>
          <w:snapToGrid/>
          <w:sz w:val="24"/>
          <w:szCs w:val="24"/>
        </w:rPr>
        <w:t>本项目不需缴纳磋商保证金。</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响应文件的语言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响应文件及供应商与采购有关的来往通知、函件和文件均应使用中文。</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响应文件的组成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w:t>
      </w:r>
      <w:r>
        <w:rPr>
          <w:rFonts w:hint="eastAsia" w:ascii="仿宋" w:hAnsi="仿宋" w:eastAsia="仿宋" w:cs="仿宋_GB2312"/>
          <w:sz w:val="24"/>
        </w:rPr>
        <w:t>采购</w:t>
      </w:r>
      <w:r>
        <w:rPr>
          <w:rFonts w:ascii="仿宋" w:hAnsi="仿宋" w:eastAsia="仿宋" w:cs="仿宋_GB2312"/>
          <w:sz w:val="24"/>
        </w:rPr>
        <w:t>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11.1.2满足采购政策的资格要求证明材料；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11.1.3满足本项目特定资格要求的证明材料。</w:t>
      </w:r>
    </w:p>
    <w:p>
      <w:pPr>
        <w:snapToGrid w:val="0"/>
        <w:spacing w:line="360" w:lineRule="auto"/>
        <w:ind w:firstLine="482" w:firstLineChars="200"/>
        <w:rPr>
          <w:rFonts w:ascii="仿宋" w:hAnsi="仿宋" w:eastAsia="仿宋" w:cs="仿宋_GB2312"/>
          <w:b/>
          <w:bCs/>
          <w:sz w:val="24"/>
          <w:lang w:val="zh-CN"/>
        </w:rPr>
      </w:pPr>
      <w:r>
        <w:rPr>
          <w:rFonts w:ascii="仿宋" w:hAnsi="仿宋" w:eastAsia="仿宋" w:cs="仿宋_GB2312"/>
          <w:b/>
          <w:bCs/>
          <w:sz w:val="24"/>
          <w:lang w:val="zh-CN"/>
        </w:rPr>
        <w:t>11.</w:t>
      </w:r>
      <w:r>
        <w:rPr>
          <w:rFonts w:ascii="仿宋" w:hAnsi="仿宋" w:eastAsia="仿宋" w:cs="仿宋_GB2312"/>
          <w:b/>
          <w:bCs/>
          <w:sz w:val="24"/>
        </w:rPr>
        <w:t>2</w:t>
      </w:r>
      <w:r>
        <w:rPr>
          <w:rFonts w:hint="eastAsia" w:ascii="仿宋" w:hAnsi="仿宋" w:eastAsia="仿宋" w:cs="仿宋_GB2312"/>
          <w:b/>
          <w:bCs/>
          <w:sz w:val="24"/>
        </w:rPr>
        <w:t>商务技术</w:t>
      </w:r>
      <w:r>
        <w:rPr>
          <w:rFonts w:hint="eastAsia" w:ascii="仿宋" w:hAnsi="仿宋" w:eastAsia="仿宋" w:cs="仿宋_GB2312"/>
          <w:b/>
          <w:bCs/>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w:t>
      </w:r>
      <w:r>
        <w:rPr>
          <w:rFonts w:hint="eastAsia" w:ascii="仿宋" w:hAnsi="仿宋" w:eastAsia="仿宋" w:cs="仿宋_GB2312"/>
          <w:sz w:val="24"/>
        </w:rPr>
        <w:t>响应</w:t>
      </w:r>
      <w:r>
        <w:rPr>
          <w:rFonts w:ascii="仿宋" w:hAnsi="仿宋" w:eastAsia="仿宋" w:cs="仿宋_GB2312"/>
          <w:sz w:val="24"/>
        </w:rPr>
        <w:t>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11.2.3符合性审查资料；</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11.2.4评审标准相应的商务技术资料；</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11.2.5商务技术偏离表；</w:t>
      </w:r>
    </w:p>
    <w:p>
      <w:pPr>
        <w:snapToGrid w:val="0"/>
        <w:spacing w:line="360" w:lineRule="auto"/>
        <w:ind w:firstLine="960" w:firstLineChars="400"/>
      </w:pPr>
      <w:r>
        <w:rPr>
          <w:rFonts w:hint="eastAsia" w:ascii="仿宋" w:hAnsi="仿宋" w:eastAsia="仿宋" w:cs="仿宋_GB2312"/>
          <w:sz w:val="24"/>
        </w:rPr>
        <w:t>11.2.6政府采购供应商廉洁自律承诺书；</w:t>
      </w:r>
    </w:p>
    <w:p>
      <w:pPr>
        <w:snapToGrid w:val="0"/>
        <w:spacing w:line="360" w:lineRule="auto"/>
        <w:ind w:firstLine="964" w:firstLineChars="400"/>
        <w:rPr>
          <w:rFonts w:ascii="仿宋" w:hAnsi="仿宋" w:eastAsia="仿宋" w:cs="仿宋_GB2312"/>
          <w:b/>
          <w:bCs/>
          <w:sz w:val="24"/>
          <w:u w:val="single"/>
          <w:lang w:val="zh-CN"/>
        </w:rPr>
      </w:pPr>
      <w:r>
        <w:rPr>
          <w:rFonts w:ascii="仿宋" w:hAnsi="仿宋" w:eastAsia="仿宋" w:cs="仿宋_GB2312"/>
          <w:b/>
          <w:bCs/>
          <w:kern w:val="0"/>
          <w:sz w:val="24"/>
          <w:lang w:val="zh-CN"/>
        </w:rPr>
        <w:t>11.</w:t>
      </w:r>
      <w:r>
        <w:rPr>
          <w:rFonts w:ascii="仿宋" w:hAnsi="仿宋" w:eastAsia="仿宋" w:cs="仿宋_GB2312"/>
          <w:b/>
          <w:bCs/>
          <w:kern w:val="0"/>
          <w:sz w:val="24"/>
        </w:rPr>
        <w:t>3</w:t>
      </w:r>
      <w:r>
        <w:rPr>
          <w:rFonts w:hint="eastAsia" w:ascii="仿宋" w:hAnsi="仿宋" w:eastAsia="仿宋" w:cs="仿宋_GB2312"/>
          <w:b/>
          <w:bCs/>
          <w:sz w:val="24"/>
        </w:rPr>
        <w:t>报价文件：</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11.3.1</w:t>
      </w:r>
      <w:r>
        <w:rPr>
          <w:rFonts w:ascii="仿宋" w:hAnsi="仿宋" w:eastAsia="仿宋" w:cs="仿宋_GB2312"/>
          <w:sz w:val="24"/>
        </w:rPr>
        <w:t>初次报价一览表；</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11.3.2</w:t>
      </w:r>
      <w:r>
        <w:rPr>
          <w:rFonts w:ascii="仿宋" w:hAnsi="仿宋" w:eastAsia="仿宋" w:cs="仿宋_GB2312"/>
          <w:sz w:val="24"/>
        </w:rPr>
        <w:t>供应商针对报价需要说明的其他文件和说明（格式自拟）</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color w:val="0000FF"/>
          <w:sz w:val="24"/>
        </w:rPr>
      </w:pPr>
      <w:r>
        <w:rPr>
          <w:rFonts w:ascii="仿宋" w:hAnsi="仿宋" w:eastAsia="仿宋" w:cs="仿宋_GB2312"/>
          <w:color w:val="0000FF"/>
          <w:sz w:val="24"/>
        </w:rPr>
        <w:sym w:font="Wingdings" w:char="00A8"/>
      </w:r>
      <w:r>
        <w:rPr>
          <w:rFonts w:ascii="仿宋" w:hAnsi="仿宋" w:eastAsia="仿宋" w:cs="仿宋_GB2312"/>
          <w:color w:val="0000FF"/>
          <w:sz w:val="24"/>
        </w:rPr>
        <w:t>11.3.</w:t>
      </w:r>
      <w:r>
        <w:rPr>
          <w:rFonts w:hint="eastAsia" w:ascii="仿宋" w:hAnsi="仿宋" w:eastAsia="仿宋" w:cs="仿宋_GB2312"/>
          <w:color w:val="0000FF"/>
          <w:sz w:val="24"/>
        </w:rPr>
        <w:t>3</w:t>
      </w:r>
      <w:r>
        <w:rPr>
          <w:rFonts w:ascii="仿宋" w:hAnsi="仿宋" w:eastAsia="仿宋" w:cs="仿宋_GB2312"/>
          <w:color w:val="0000FF"/>
          <w:sz w:val="24"/>
        </w:rPr>
        <w:t>中小企业声明函。</w:t>
      </w:r>
    </w:p>
    <w:p>
      <w:pPr>
        <w:spacing w:line="360" w:lineRule="auto"/>
        <w:ind w:firstLine="482" w:firstLineChars="200"/>
        <w:rPr>
          <w:rFonts w:ascii="仿宋" w:hAnsi="仿宋" w:eastAsia="仿宋"/>
          <w:b/>
          <w:sz w:val="24"/>
        </w:rPr>
      </w:pPr>
      <w:r>
        <w:rPr>
          <w:rFonts w:hint="eastAsia" w:ascii="仿宋" w:hAnsi="仿宋" w:eastAsia="仿宋"/>
          <w:b/>
          <w:sz w:val="24"/>
        </w:rPr>
        <w:t>响应文件含有采购人不能接受的附加条件的，响应无效；</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供应商提供虚假材料响应的，响应无效。</w:t>
      </w:r>
    </w:p>
    <w:p>
      <w:pPr>
        <w:pStyle w:val="133"/>
        <w:snapToGrid w:val="0"/>
        <w:spacing w:before="0"/>
        <w:ind w:firstLine="0" w:firstLineChars="0"/>
        <w:outlineLvl w:val="1"/>
        <w:rPr>
          <w:rFonts w:ascii="仿宋" w:hAnsi="仿宋" w:eastAsia="仿宋" w:cs="仿宋_GB2312"/>
          <w:b/>
          <w:szCs w:val="24"/>
        </w:rPr>
      </w:pPr>
      <w:bookmarkStart w:id="18" w:name="_Toc98147527"/>
      <w:bookmarkStart w:id="19" w:name="_Toc21728"/>
      <w:bookmarkStart w:id="20" w:name="_Toc30927"/>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响应文件的编制</w:t>
      </w:r>
      <w:bookmarkEnd w:id="18"/>
      <w:bookmarkEnd w:id="19"/>
      <w:bookmarkEnd w:id="20"/>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rPr>
        <w:t>12.1</w:t>
      </w:r>
      <w:r>
        <w:rPr>
          <w:rFonts w:hint="eastAsia" w:ascii="仿宋" w:hAnsi="仿宋" w:eastAsia="仿宋" w:cs="仿宋_GB2312"/>
          <w:kern w:val="0"/>
          <w:sz w:val="24"/>
          <w:lang w:val="zh-CN"/>
        </w:rPr>
        <w:t>响应文件</w:t>
      </w:r>
      <w:r>
        <w:rPr>
          <w:rFonts w:ascii="仿宋" w:hAnsi="仿宋" w:eastAsia="仿宋" w:cs="仿宋_GB2312"/>
          <w:kern w:val="0"/>
          <w:sz w:val="24"/>
          <w:lang w:val="zh-CN"/>
        </w:rPr>
        <w:t>分为资格文件、商务技术文件、报价文件三部分。各</w:t>
      </w:r>
      <w:r>
        <w:rPr>
          <w:rFonts w:hint="eastAsia" w:ascii="仿宋" w:hAnsi="仿宋" w:eastAsia="仿宋" w:cs="仿宋_GB2312"/>
          <w:kern w:val="0"/>
          <w:sz w:val="24"/>
          <w:lang w:val="zh-CN"/>
        </w:rPr>
        <w:t>供应商</w:t>
      </w:r>
      <w:r>
        <w:rPr>
          <w:rFonts w:ascii="仿宋" w:hAnsi="仿宋" w:eastAsia="仿宋" w:cs="仿宋_GB2312"/>
          <w:kern w:val="0"/>
          <w:sz w:val="24"/>
          <w:lang w:val="zh-CN"/>
        </w:rPr>
        <w:t>在编制</w:t>
      </w:r>
      <w:r>
        <w:rPr>
          <w:rFonts w:hint="eastAsia" w:ascii="仿宋" w:hAnsi="仿宋" w:eastAsia="仿宋" w:cs="仿宋_GB2312"/>
          <w:kern w:val="0"/>
          <w:sz w:val="24"/>
          <w:lang w:val="zh-CN"/>
        </w:rPr>
        <w:t>响应文件</w:t>
      </w:r>
      <w:r>
        <w:rPr>
          <w:rFonts w:ascii="仿宋" w:hAnsi="仿宋" w:eastAsia="仿宋" w:cs="仿宋_GB2312"/>
          <w:kern w:val="0"/>
          <w:sz w:val="24"/>
          <w:lang w:val="zh-CN"/>
        </w:rPr>
        <w:t>时请按照</w:t>
      </w:r>
      <w:r>
        <w:rPr>
          <w:rFonts w:hint="eastAsia" w:ascii="仿宋" w:hAnsi="仿宋" w:eastAsia="仿宋" w:cs="仿宋_GB2312"/>
          <w:kern w:val="0"/>
          <w:sz w:val="24"/>
          <w:lang w:val="zh-CN"/>
        </w:rPr>
        <w:t>采购文件</w:t>
      </w:r>
      <w:r>
        <w:rPr>
          <w:rFonts w:ascii="仿宋" w:hAnsi="仿宋" w:eastAsia="仿宋" w:cs="仿宋_GB2312"/>
          <w:kern w:val="0"/>
          <w:sz w:val="24"/>
          <w:lang w:val="zh-CN"/>
        </w:rPr>
        <w:t>第六部</w:t>
      </w:r>
      <w:r>
        <w:rPr>
          <w:rFonts w:hint="eastAsia" w:ascii="仿宋" w:hAnsi="仿宋" w:eastAsia="仿宋" w:cs="仿宋_GB2312"/>
          <w:kern w:val="0"/>
          <w:sz w:val="24"/>
          <w:lang w:val="zh-CN"/>
        </w:rPr>
        <w:t>分规定的格式进行，混乱的编排导致响应文件被误读或磋商小组查找不到有效文件是供应商的风险。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w:t>
      </w:r>
      <w:r>
        <w:rPr>
          <w:rFonts w:hint="eastAsia" w:ascii="仿宋" w:hAnsi="仿宋" w:eastAsia="仿宋" w:cs="仿宋_GB2312"/>
          <w:kern w:val="0"/>
          <w:sz w:val="24"/>
        </w:rPr>
        <w:t>供应商</w:t>
      </w:r>
      <w:r>
        <w:rPr>
          <w:rFonts w:hint="eastAsia" w:ascii="仿宋" w:hAnsi="仿宋" w:eastAsia="仿宋" w:cs="仿宋_GB2312"/>
          <w:kern w:val="0"/>
          <w:sz w:val="24"/>
          <w:lang w:val="zh-CN"/>
        </w:rPr>
        <w:t>进行电子投标应安装客户端软件—“政采云电子交易客户端”，并按照</w:t>
      </w:r>
      <w:r>
        <w:rPr>
          <w:rFonts w:hint="eastAsia" w:ascii="仿宋" w:hAnsi="仿宋" w:eastAsia="仿宋" w:cs="仿宋_GB2312"/>
          <w:kern w:val="0"/>
          <w:sz w:val="24"/>
        </w:rPr>
        <w:t>采购</w:t>
      </w:r>
      <w:r>
        <w:rPr>
          <w:rFonts w:hint="eastAsia" w:ascii="仿宋" w:hAnsi="仿宋" w:eastAsia="仿宋" w:cs="仿宋_GB2312"/>
          <w:kern w:val="0"/>
          <w:sz w:val="24"/>
          <w:lang w:val="zh-CN"/>
        </w:rPr>
        <w:t>文件和电子交易平台的要求编制并加密投标（响应）文件。</w:t>
      </w:r>
      <w:r>
        <w:rPr>
          <w:rFonts w:hint="eastAsia" w:ascii="仿宋" w:hAnsi="仿宋" w:eastAsia="仿宋" w:cs="仿宋_GB2312"/>
          <w:kern w:val="0"/>
          <w:sz w:val="24"/>
        </w:rPr>
        <w:t>供应商</w:t>
      </w:r>
      <w:r>
        <w:rPr>
          <w:rFonts w:hint="eastAsia" w:ascii="仿宋" w:hAnsi="仿宋" w:eastAsia="仿宋" w:cs="仿宋_GB2312"/>
          <w:kern w:val="0"/>
          <w:sz w:val="24"/>
          <w:lang w:val="zh-CN"/>
        </w:rPr>
        <w:t>未按规定加密的</w:t>
      </w:r>
      <w:r>
        <w:rPr>
          <w:rFonts w:hint="eastAsia" w:ascii="仿宋" w:hAnsi="仿宋" w:eastAsia="仿宋" w:cs="仿宋_GB2312"/>
          <w:kern w:val="0"/>
          <w:sz w:val="24"/>
        </w:rPr>
        <w:t>响应</w:t>
      </w:r>
      <w:r>
        <w:rPr>
          <w:rFonts w:hint="eastAsia" w:ascii="仿宋" w:hAnsi="仿宋" w:eastAsia="仿宋" w:cs="仿宋_GB2312"/>
          <w:kern w:val="0"/>
          <w:sz w:val="24"/>
          <w:lang w:val="zh-CN"/>
        </w:rPr>
        <w:t>文件，电子交易平台将拒收并提示。</w:t>
      </w:r>
    </w:p>
    <w:p>
      <w:pPr>
        <w:spacing w:line="360" w:lineRule="auto"/>
        <w:ind w:firstLine="480" w:firstLineChars="200"/>
        <w:rPr>
          <w:rFonts w:ascii="仿宋" w:hAnsi="仿宋" w:eastAsia="仿宋" w:cs="仿宋_GB2312"/>
          <w:b/>
          <w:sz w:val="24"/>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b/>
          <w:sz w:val="24"/>
        </w:rPr>
      </w:pPr>
      <w:r>
        <w:rPr>
          <w:rFonts w:ascii="仿宋" w:hAnsi="仿宋" w:eastAsia="仿宋"/>
          <w:b/>
          <w:sz w:val="24"/>
        </w:rPr>
        <w:t>13.</w:t>
      </w:r>
      <w:r>
        <w:rPr>
          <w:rFonts w:hint="eastAsia" w:ascii="仿宋" w:hAnsi="仿宋" w:eastAsia="仿宋"/>
          <w:b/>
          <w:sz w:val="24"/>
        </w:rPr>
        <w:t>响应文件</w:t>
      </w:r>
      <w:r>
        <w:rPr>
          <w:rFonts w:ascii="仿宋" w:hAnsi="仿宋" w:eastAsia="仿宋"/>
          <w:b/>
          <w:sz w:val="24"/>
        </w:rPr>
        <w:t>的签署、盖章</w:t>
      </w:r>
    </w:p>
    <w:p>
      <w:pPr>
        <w:pStyle w:val="133"/>
        <w:snapToGrid w:val="0"/>
        <w:spacing w:before="0"/>
        <w:ind w:firstLine="480"/>
        <w:rPr>
          <w:rFonts w:ascii="仿宋" w:hAnsi="仿宋" w:eastAsia="仿宋" w:cs="仿宋_GB2312"/>
          <w:szCs w:val="24"/>
        </w:rPr>
      </w:pPr>
      <w:r>
        <w:rPr>
          <w:rFonts w:hint="eastAsia" w:ascii="仿宋" w:hAnsi="仿宋" w:eastAsia="仿宋" w:cs="仿宋_GB2312"/>
          <w:szCs w:val="24"/>
        </w:rPr>
        <w:t>13.1响应文件</w:t>
      </w:r>
      <w:r>
        <w:rPr>
          <w:rFonts w:ascii="仿宋" w:hAnsi="仿宋" w:eastAsia="仿宋" w:cs="仿宋_GB2312"/>
          <w:szCs w:val="24"/>
        </w:rPr>
        <w:t>按照</w:t>
      </w:r>
      <w:r>
        <w:rPr>
          <w:rFonts w:hint="eastAsia" w:ascii="仿宋" w:hAnsi="仿宋" w:eastAsia="仿宋" w:cs="仿宋_GB2312"/>
          <w:szCs w:val="24"/>
        </w:rPr>
        <w:t>采购文件</w:t>
      </w:r>
      <w:r>
        <w:rPr>
          <w:rFonts w:ascii="仿宋" w:hAnsi="仿宋" w:eastAsia="仿宋" w:cs="仿宋_GB2312"/>
          <w:szCs w:val="24"/>
        </w:rPr>
        <w:t>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供应商的响应文件未按照采购文件要求签署、盖章的，其响应无效</w:t>
      </w:r>
      <w:r>
        <w:rPr>
          <w:rFonts w:hint="eastAsia" w:ascii="仿宋" w:hAnsi="仿宋" w:eastAsia="仿宋" w:cs="仿宋_GB2312"/>
          <w:szCs w:val="24"/>
        </w:rPr>
        <w:t>。</w:t>
      </w:r>
    </w:p>
    <w:p>
      <w:pPr>
        <w:pStyle w:val="133"/>
        <w:snapToGrid w:val="0"/>
        <w:spacing w:before="0"/>
        <w:ind w:firstLine="480"/>
        <w:rPr>
          <w:rFonts w:ascii="仿宋" w:hAnsi="仿宋" w:eastAsia="仿宋" w:cs="仿宋_GB2312"/>
          <w:szCs w:val="24"/>
        </w:rPr>
      </w:pPr>
      <w:r>
        <w:rPr>
          <w:rFonts w:hint="eastAsia" w:ascii="仿宋" w:hAnsi="仿宋" w:eastAsia="仿宋" w:cs="仿宋_GB2312"/>
          <w:szCs w:val="24"/>
        </w:rPr>
        <w:t>13.2为确保网上操作合法、有效和安全，供应商应当在投标（响应）截止时间前完成在“政府采购云平台”的身份认证，确保在电子投标过程中能够对相关数据电文进行加密和使用电子签名。</w:t>
      </w:r>
    </w:p>
    <w:p>
      <w:pPr>
        <w:pStyle w:val="133"/>
        <w:snapToGrid w:val="0"/>
        <w:spacing w:before="0"/>
        <w:ind w:firstLine="480"/>
        <w:rPr>
          <w:rFonts w:ascii="仿宋" w:hAnsi="仿宋" w:eastAsia="仿宋" w:cs="仿宋_GB2312"/>
          <w:b/>
        </w:rPr>
      </w:pPr>
      <w:r>
        <w:rPr>
          <w:rFonts w:hint="eastAsia" w:ascii="仿宋" w:hAnsi="仿宋" w:eastAsia="仿宋" w:cs="仿宋_GB2312"/>
          <w:szCs w:val="24"/>
        </w:rPr>
        <w:t>13.3采购文件对响应文件签署、盖章的要求适用于电子签名。</w:t>
      </w:r>
    </w:p>
    <w:p>
      <w:pPr>
        <w:pStyle w:val="133"/>
        <w:spacing w:before="0"/>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响应文件的提交、补充、修改、撤回</w:t>
      </w:r>
    </w:p>
    <w:p>
      <w:pPr>
        <w:pStyle w:val="133"/>
        <w:ind w:firstLine="480"/>
        <w:rPr>
          <w:rFonts w:ascii="仿宋" w:hAnsi="仿宋" w:eastAsia="仿宋" w:cs="仿宋_GB2312"/>
          <w:szCs w:val="24"/>
        </w:rPr>
      </w:pPr>
      <w:r>
        <w:rPr>
          <w:rFonts w:hint="eastAsia" w:ascii="仿宋" w:hAnsi="仿宋" w:eastAsia="仿宋" w:cs="仿宋_GB2312"/>
          <w:szCs w:val="24"/>
        </w:rPr>
        <w:t>14.1 供应商应当在响应截止时间前完成响应文件的传输递交，并可以补充、修改或者撤回响应文件。补充或者修改响应文件的，应当先行撤回原文件，补充、修改后重新传输递交。投标（响应）截止时间前未完成传输的，视为撤回响应文件。响应截止时间后递交的响应文件，电子交易平台将拒收。</w:t>
      </w:r>
    </w:p>
    <w:p>
      <w:pPr>
        <w:pStyle w:val="133"/>
        <w:ind w:firstLine="480"/>
        <w:rPr>
          <w:rFonts w:ascii="仿宋" w:hAnsi="仿宋" w:eastAsia="仿宋" w:cs="仿宋_GB2312"/>
          <w:szCs w:val="24"/>
        </w:rPr>
      </w:pPr>
      <w:r>
        <w:rPr>
          <w:rFonts w:hint="eastAsia" w:ascii="仿宋" w:hAnsi="仿宋" w:eastAsia="仿宋" w:cs="仿宋_GB2312"/>
          <w:szCs w:val="24"/>
        </w:rPr>
        <w:t>14.2电子交易平台收到响应文件，将妥善保存并即时向供应商发出确认回执通知。响应截止时间前，除供应商补充、修改或者撤回响应文件外，任何单位和个人不得解密或提取响应文件。</w:t>
      </w:r>
    </w:p>
    <w:p>
      <w:pPr>
        <w:pStyle w:val="133"/>
        <w:spacing w:before="0"/>
        <w:ind w:firstLine="480"/>
        <w:rPr>
          <w:rFonts w:ascii="仿宋" w:hAnsi="仿宋" w:eastAsia="仿宋" w:cs="仿宋_GB2312"/>
          <w:szCs w:val="24"/>
        </w:rPr>
      </w:pPr>
      <w:r>
        <w:rPr>
          <w:rFonts w:hint="eastAsia" w:ascii="仿宋" w:hAnsi="仿宋" w:eastAsia="仿宋" w:cs="仿宋_GB2312"/>
          <w:szCs w:val="24"/>
        </w:rPr>
        <w:t>14.3采购人、采购代理机构可以视情况延长响应文件提交的截止时间。在上述情况下，采购代理机构与供应商以前在响应截止期方面的全部权利、责任和义务，将适用于延长至新的投标（响应）截止期。</w:t>
      </w:r>
    </w:p>
    <w:p>
      <w:pPr>
        <w:pStyle w:val="32"/>
        <w:spacing w:line="360" w:lineRule="auto"/>
        <w:ind w:firstLine="361" w:firstLineChars="150"/>
        <w:rPr>
          <w:rFonts w:ascii="仿宋" w:hAnsi="仿宋" w:eastAsia="仿宋" w:cs="仿宋_GB2312"/>
          <w:b/>
          <w:sz w:val="24"/>
          <w:szCs w:val="24"/>
        </w:rPr>
      </w:pPr>
      <w:r>
        <w:rPr>
          <w:rFonts w:ascii="仿宋" w:hAnsi="仿宋" w:eastAsia="仿宋" w:cs="仿宋_GB2312"/>
          <w:b/>
          <w:sz w:val="24"/>
          <w:szCs w:val="24"/>
        </w:rPr>
        <w:t>15.备份</w:t>
      </w:r>
      <w:r>
        <w:rPr>
          <w:rFonts w:hint="eastAsia" w:ascii="仿宋" w:hAnsi="仿宋" w:eastAsia="仿宋" w:cs="仿宋_GB2312"/>
          <w:b/>
          <w:sz w:val="24"/>
          <w:szCs w:val="24"/>
        </w:rPr>
        <w:t>响应文件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15.1</w:t>
      </w:r>
      <w:r>
        <w:rPr>
          <w:rFonts w:hint="eastAsia" w:ascii="仿宋_GB2312" w:hAnsi="仿宋" w:eastAsia="仿宋_GB2312" w:cs="仿宋_GB2312"/>
          <w:sz w:val="24"/>
          <w:szCs w:val="24"/>
        </w:rPr>
        <w:t>供应商</w:t>
      </w:r>
      <w:r>
        <w:rPr>
          <w:rFonts w:ascii="仿宋_GB2312" w:hAnsi="仿宋" w:eastAsia="仿宋_GB2312" w:cs="仿宋_GB2312"/>
          <w:sz w:val="24"/>
          <w:szCs w:val="24"/>
        </w:rPr>
        <w:t>在电子交易平台传输递交</w:t>
      </w:r>
      <w:r>
        <w:rPr>
          <w:rFonts w:hint="eastAsia" w:ascii="仿宋_GB2312" w:hAnsi="仿宋" w:eastAsia="仿宋_GB2312" w:cs="仿宋_GB2312"/>
          <w:sz w:val="24"/>
          <w:szCs w:val="24"/>
        </w:rPr>
        <w:t>响应文件</w:t>
      </w:r>
      <w:r>
        <w:rPr>
          <w:rFonts w:ascii="仿宋_GB2312" w:hAnsi="仿宋" w:eastAsia="仿宋_GB2312" w:cs="仿宋_GB2312"/>
          <w:sz w:val="24"/>
          <w:szCs w:val="24"/>
        </w:rPr>
        <w:t>后，可以在</w:t>
      </w:r>
      <w:r>
        <w:rPr>
          <w:rFonts w:hint="eastAsia" w:ascii="仿宋_GB2312" w:hAnsi="仿宋" w:eastAsia="仿宋_GB2312" w:cs="仿宋_GB2312"/>
          <w:sz w:val="24"/>
          <w:szCs w:val="24"/>
        </w:rPr>
        <w:t>响应</w:t>
      </w:r>
      <w:r>
        <w:rPr>
          <w:rFonts w:ascii="仿宋_GB2312" w:hAnsi="仿宋" w:eastAsia="仿宋_GB2312" w:cs="仿宋_GB2312"/>
          <w:sz w:val="24"/>
          <w:szCs w:val="24"/>
        </w:rPr>
        <w:t>截止时间前直接提交或者以邮政快递方式递交备份</w:t>
      </w:r>
      <w:r>
        <w:rPr>
          <w:rFonts w:hint="eastAsia" w:ascii="仿宋_GB2312" w:hAnsi="仿宋" w:eastAsia="仿宋_GB2312" w:cs="仿宋_GB2312"/>
          <w:sz w:val="24"/>
          <w:szCs w:val="24"/>
        </w:rPr>
        <w:t>响应文件</w:t>
      </w:r>
      <w:r>
        <w:rPr>
          <w:rFonts w:ascii="仿宋_GB2312" w:hAnsi="仿宋" w:eastAsia="仿宋_GB2312" w:cs="仿宋_GB2312"/>
          <w:sz w:val="24"/>
          <w:szCs w:val="24"/>
        </w:rPr>
        <w:t>1份</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非强制要求，供应商自行考虑，快递到付或包裹破损拒绝接受）。</w:t>
      </w:r>
    </w:p>
    <w:p>
      <w:pPr>
        <w:spacing w:line="360" w:lineRule="auto"/>
        <w:ind w:firstLine="480" w:firstLineChars="200"/>
        <w:rPr>
          <w:rFonts w:ascii="仿宋_GB2312" w:hAnsi="仿宋" w:eastAsia="仿宋_GB2312" w:cs="仿宋_GB2312"/>
          <w:b/>
          <w:snapToGrid w:val="0"/>
          <w:sz w:val="24"/>
        </w:rPr>
      </w:pPr>
      <w:r>
        <w:rPr>
          <w:rFonts w:ascii="仿宋_GB2312" w:hAnsi="仿宋" w:eastAsia="仿宋_GB2312" w:cs="仿宋_GB2312"/>
          <w:snapToGrid w:val="0"/>
          <w:sz w:val="24"/>
        </w:rPr>
        <w:t>15.2备份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须在“政</w:t>
      </w:r>
      <w:r>
        <w:rPr>
          <w:rFonts w:hint="eastAsia" w:ascii="仿宋_GB2312" w:hAnsi="仿宋" w:eastAsia="仿宋_GB2312" w:cs="仿宋_GB2312"/>
          <w:snapToGrid w:val="0"/>
          <w:sz w:val="24"/>
        </w:rPr>
        <w:t>采云投标客户端”制作生成，并储存在</w:t>
      </w:r>
      <w:r>
        <w:rPr>
          <w:rFonts w:ascii="仿宋_GB2312" w:hAnsi="仿宋" w:eastAsia="仿宋_GB2312" w:cs="Arial"/>
          <w:snapToGrid w:val="0"/>
          <w:sz w:val="24"/>
          <w:szCs w:val="21"/>
        </w:rPr>
        <w:t>DVD光盘</w:t>
      </w:r>
      <w:r>
        <w:rPr>
          <w:rFonts w:hint="eastAsia" w:ascii="仿宋_GB2312" w:hAnsi="仿宋" w:eastAsia="仿宋_GB2312" w:cs="Arial"/>
          <w:snapToGrid w:val="0"/>
          <w:sz w:val="24"/>
          <w:szCs w:val="21"/>
        </w:rPr>
        <w:t>或U盘</w:t>
      </w:r>
      <w:r>
        <w:rPr>
          <w:rFonts w:hint="eastAsia" w:ascii="仿宋_GB2312" w:hAnsi="仿宋" w:eastAsia="仿宋_GB2312" w:cs="仿宋_GB2312"/>
          <w:snapToGrid w:val="0"/>
          <w:sz w:val="24"/>
        </w:rPr>
        <w:t>中。备份响应文件应当密封包装并在包装上加盖公章并注明项目名称，供应商名称</w:t>
      </w:r>
      <w:r>
        <w:rPr>
          <w:rFonts w:ascii="仿宋_GB2312" w:hAnsi="仿宋" w:eastAsia="仿宋_GB2312" w:cs="仿宋_GB2312"/>
          <w:snapToGrid w:val="0"/>
          <w:sz w:val="24"/>
        </w:rPr>
        <w:t>(联合体</w:t>
      </w:r>
      <w:r>
        <w:rPr>
          <w:rFonts w:hint="eastAsia" w:ascii="仿宋_GB2312" w:hAnsi="仿宋" w:eastAsia="仿宋_GB2312" w:cs="仿宋_GB2312"/>
          <w:snapToGrid w:val="0"/>
          <w:sz w:val="24"/>
        </w:rPr>
        <w:t>参加</w:t>
      </w:r>
      <w:r>
        <w:rPr>
          <w:rFonts w:ascii="仿宋_GB2312" w:hAnsi="仿宋" w:eastAsia="仿宋_GB2312" w:cs="仿宋_GB2312"/>
          <w:snapToGrid w:val="0"/>
          <w:sz w:val="24"/>
        </w:rPr>
        <w:t>的，包装物封面需注明联合体</w:t>
      </w:r>
      <w:r>
        <w:rPr>
          <w:rFonts w:hint="eastAsia" w:ascii="仿宋_GB2312" w:hAnsi="仿宋" w:eastAsia="仿宋_GB2312" w:cs="仿宋_GB2312"/>
          <w:snapToGrid w:val="0"/>
          <w:sz w:val="24"/>
        </w:rPr>
        <w:t>参加</w:t>
      </w:r>
      <w:r>
        <w:rPr>
          <w:rFonts w:ascii="仿宋_GB2312" w:hAnsi="仿宋" w:eastAsia="仿宋_GB2312" w:cs="仿宋_GB2312"/>
          <w:snapToGrid w:val="0"/>
          <w:sz w:val="24"/>
        </w:rPr>
        <w:t>，并注明联合体成员各方的名称和联合协议中约定的牵头人的名称)。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rPr>
        <w:t>存储、密封规定的备份响应文件将被视为无效或者被拒绝接收。</w:t>
      </w:r>
    </w:p>
    <w:p>
      <w:pPr>
        <w:spacing w:line="360" w:lineRule="auto"/>
        <w:ind w:firstLine="480" w:firstLineChars="200"/>
        <w:rPr>
          <w:rFonts w:ascii="仿宋_GB2312" w:hAnsi="仿宋" w:eastAsia="仿宋_GB2312" w:cs="仿宋_GB2312"/>
          <w:snapToGrid w:val="0"/>
          <w:sz w:val="24"/>
        </w:rPr>
      </w:pPr>
      <w:r>
        <w:rPr>
          <w:rFonts w:ascii="仿宋_GB2312" w:hAnsi="仿宋" w:eastAsia="仿宋_GB2312" w:cs="仿宋_GB2312"/>
          <w:snapToGrid w:val="0"/>
          <w:sz w:val="24"/>
        </w:rPr>
        <w:t>15.3直接提交备份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的，</w:t>
      </w:r>
      <w:r>
        <w:rPr>
          <w:rFonts w:hint="eastAsia" w:ascii="仿宋_GB2312" w:hAnsi="仿宋" w:eastAsia="仿宋_GB2312" w:cs="仿宋_GB2312"/>
          <w:snapToGrid w:val="0"/>
          <w:sz w:val="24"/>
        </w:rPr>
        <w:t>供应商</w:t>
      </w:r>
      <w:r>
        <w:rPr>
          <w:rFonts w:ascii="仿宋_GB2312" w:hAnsi="仿宋" w:eastAsia="仿宋_GB2312" w:cs="仿宋_GB2312"/>
          <w:snapToGrid w:val="0"/>
          <w:sz w:val="24"/>
        </w:rPr>
        <w:t>应于</w:t>
      </w:r>
      <w:r>
        <w:rPr>
          <w:rFonts w:hint="eastAsia" w:ascii="仿宋_GB2312" w:hAnsi="仿宋" w:eastAsia="仿宋_GB2312" w:cs="仿宋_GB2312"/>
          <w:snapToGrid w:val="0"/>
          <w:sz w:val="24"/>
        </w:rPr>
        <w:t>响应</w:t>
      </w:r>
      <w:r>
        <w:rPr>
          <w:rFonts w:ascii="仿宋_GB2312" w:hAnsi="仿宋" w:eastAsia="仿宋_GB2312" w:cs="仿宋_GB2312"/>
          <w:snapToGrid w:val="0"/>
          <w:sz w:val="24"/>
        </w:rPr>
        <w:t>截止时间前在</w:t>
      </w:r>
      <w:r>
        <w:rPr>
          <w:rFonts w:hint="eastAsia" w:ascii="仿宋_GB2312" w:hAnsi="仿宋" w:eastAsia="仿宋_GB2312" w:cs="仿宋_GB2312"/>
          <w:snapToGrid w:val="0"/>
          <w:sz w:val="24"/>
        </w:rPr>
        <w:t>采购</w:t>
      </w:r>
      <w:r>
        <w:rPr>
          <w:rFonts w:ascii="仿宋_GB2312" w:hAnsi="仿宋" w:eastAsia="仿宋_GB2312" w:cs="仿宋_GB2312"/>
          <w:snapToGrid w:val="0"/>
          <w:sz w:val="24"/>
        </w:rPr>
        <w:t>公告中载明的开标地点将备份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提交给</w:t>
      </w:r>
      <w:r>
        <w:rPr>
          <w:rFonts w:hint="eastAsia" w:ascii="仿宋_GB2312" w:hAnsi="仿宋" w:eastAsia="仿宋_GB2312" w:cs="仿宋_GB2312"/>
          <w:snapToGrid w:val="0"/>
          <w:sz w:val="24"/>
        </w:rPr>
        <w:t>采购代理机构</w:t>
      </w:r>
      <w:r>
        <w:rPr>
          <w:rFonts w:ascii="仿宋_GB2312" w:hAnsi="仿宋" w:eastAsia="仿宋_GB2312" w:cs="仿宋_GB2312"/>
          <w:snapToGrid w:val="0"/>
          <w:sz w:val="24"/>
        </w:rPr>
        <w:t>，</w:t>
      </w:r>
      <w:r>
        <w:rPr>
          <w:rFonts w:hint="eastAsia" w:ascii="仿宋_GB2312" w:hAnsi="仿宋" w:eastAsia="仿宋_GB2312" w:cs="仿宋_GB2312"/>
          <w:snapToGrid w:val="0"/>
          <w:sz w:val="24"/>
        </w:rPr>
        <w:t>采购代理机构</w:t>
      </w:r>
      <w:r>
        <w:rPr>
          <w:rFonts w:ascii="仿宋_GB2312" w:hAnsi="仿宋" w:eastAsia="仿宋_GB2312" w:cs="仿宋_GB2312"/>
          <w:snapToGrid w:val="0"/>
          <w:sz w:val="24"/>
        </w:rPr>
        <w:t>将拒绝接受逾期送达的备份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w:t>
      </w:r>
    </w:p>
    <w:p>
      <w:pPr>
        <w:spacing w:line="360" w:lineRule="auto"/>
        <w:ind w:firstLine="480" w:firstLineChars="200"/>
        <w:rPr>
          <w:rFonts w:ascii="仿宋_GB2312" w:hAnsi="仿宋" w:eastAsia="仿宋_GB2312" w:cs="仿宋_GB2312"/>
          <w:snapToGrid w:val="0"/>
          <w:sz w:val="24"/>
        </w:rPr>
      </w:pPr>
      <w:r>
        <w:rPr>
          <w:rFonts w:ascii="仿宋_GB2312" w:hAnsi="仿宋" w:eastAsia="仿宋_GB2312" w:cs="仿宋_GB2312"/>
          <w:snapToGrid w:val="0"/>
          <w:sz w:val="24"/>
        </w:rPr>
        <w:t>15.4以邮政快递方式递交备份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的，</w:t>
      </w:r>
      <w:r>
        <w:rPr>
          <w:rFonts w:hint="eastAsia" w:ascii="仿宋_GB2312" w:hAnsi="仿宋" w:eastAsia="仿宋_GB2312" w:cs="仿宋_GB2312"/>
          <w:snapToGrid w:val="0"/>
          <w:sz w:val="24"/>
        </w:rPr>
        <w:t>供应商</w:t>
      </w:r>
      <w:r>
        <w:rPr>
          <w:rFonts w:ascii="仿宋_GB2312" w:hAnsi="仿宋" w:eastAsia="仿宋_GB2312" w:cs="仿宋_GB2312"/>
          <w:snapToGrid w:val="0"/>
          <w:sz w:val="24"/>
        </w:rPr>
        <w:t>应先将备份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按要求密封和标记，再进行邮政快递包装后邮寄。备份</w:t>
      </w:r>
      <w:r>
        <w:rPr>
          <w:rFonts w:hint="eastAsia" w:ascii="仿宋_GB2312" w:hAnsi="仿宋" w:eastAsia="仿宋_GB2312" w:cs="仿宋_GB2312"/>
          <w:snapToGrid w:val="0"/>
          <w:sz w:val="24"/>
        </w:rPr>
        <w:t>响应文件</w:t>
      </w:r>
      <w:r>
        <w:rPr>
          <w:rFonts w:ascii="仿宋_GB2312" w:hAnsi="仿宋" w:eastAsia="仿宋_GB2312" w:cs="仿宋_GB2312"/>
          <w:snapToGrid w:val="0"/>
          <w:sz w:val="24"/>
        </w:rPr>
        <w:t>须在</w:t>
      </w:r>
      <w:r>
        <w:rPr>
          <w:rFonts w:hint="eastAsia" w:ascii="仿宋_GB2312" w:hAnsi="仿宋" w:eastAsia="仿宋_GB2312" w:cs="仿宋_GB2312"/>
          <w:snapToGrid w:val="0"/>
          <w:sz w:val="24"/>
        </w:rPr>
        <w:t>响应</w:t>
      </w:r>
      <w:r>
        <w:rPr>
          <w:rFonts w:ascii="仿宋_GB2312" w:hAnsi="仿宋" w:eastAsia="仿宋_GB2312" w:cs="仿宋_GB2312"/>
          <w:snapToGrid w:val="0"/>
          <w:sz w:val="24"/>
        </w:rPr>
        <w:t>截止时间之前送达</w:t>
      </w:r>
      <w:r>
        <w:rPr>
          <w:rFonts w:hint="eastAsia" w:ascii="仿宋_GB2312" w:hAnsi="仿宋" w:eastAsia="仿宋_GB2312" w:cs="仿宋_GB2312"/>
          <w:sz w:val="24"/>
        </w:rPr>
        <w:t>采购文件第二部分供应商须知前附表规定的备份响应文件送达地点；</w:t>
      </w:r>
      <w:r>
        <w:rPr>
          <w:rFonts w:hint="eastAsia" w:ascii="仿宋_GB2312" w:hAnsi="仿宋" w:eastAsia="仿宋_GB2312" w:cs="仿宋_GB2312"/>
          <w:snapToGrid w:val="0"/>
          <w:sz w:val="24"/>
        </w:rPr>
        <w:t>送达时间以签收人签收时间为准。采购代理机构将拒绝接受逾期送达的备份响应文件。邮寄过程中，电子备份响应文件发生泄露、遗失、损坏或延期送达等情况的，由供应商自行负责。</w:t>
      </w:r>
    </w:p>
    <w:p>
      <w:pPr>
        <w:spacing w:line="360" w:lineRule="auto"/>
        <w:ind w:firstLine="479" w:firstLineChars="199"/>
        <w:rPr>
          <w:rFonts w:ascii="仿宋" w:hAnsi="仿宋" w:eastAsia="仿宋" w:cs="仿宋_GB2312"/>
          <w:b/>
          <w:sz w:val="24"/>
        </w:rPr>
      </w:pPr>
      <w:r>
        <w:rPr>
          <w:rFonts w:ascii="仿宋_GB2312" w:hAnsi="仿宋" w:eastAsia="仿宋_GB2312" w:cs="仿宋_GB2312"/>
          <w:b/>
          <w:snapToGrid w:val="0"/>
          <w:sz w:val="24"/>
        </w:rPr>
        <w:t>15.5</w:t>
      </w:r>
      <w:r>
        <w:rPr>
          <w:rFonts w:hint="eastAsia" w:ascii="仿宋_GB2312" w:hAnsi="仿宋" w:eastAsia="仿宋_GB2312" w:cs="仿宋_GB2312"/>
          <w:b/>
          <w:snapToGrid w:val="0"/>
          <w:sz w:val="24"/>
        </w:rPr>
        <w:t>供应商</w:t>
      </w:r>
      <w:r>
        <w:rPr>
          <w:rFonts w:ascii="仿宋_GB2312" w:hAnsi="仿宋" w:eastAsia="仿宋_GB2312" w:cs="仿宋_GB2312"/>
          <w:b/>
          <w:snapToGrid w:val="0"/>
          <w:sz w:val="24"/>
        </w:rPr>
        <w:t>仅提交备份</w:t>
      </w:r>
      <w:r>
        <w:rPr>
          <w:rFonts w:hint="eastAsia" w:ascii="仿宋_GB2312" w:hAnsi="仿宋" w:eastAsia="仿宋_GB2312" w:cs="仿宋_GB2312"/>
          <w:b/>
          <w:snapToGrid w:val="0"/>
          <w:sz w:val="24"/>
        </w:rPr>
        <w:t>响应文件</w:t>
      </w:r>
      <w:r>
        <w:rPr>
          <w:rFonts w:ascii="仿宋_GB2312" w:hAnsi="仿宋" w:eastAsia="仿宋_GB2312" w:cs="仿宋_GB2312"/>
          <w:b/>
          <w:snapToGrid w:val="0"/>
          <w:sz w:val="24"/>
        </w:rPr>
        <w:t>，</w:t>
      </w:r>
      <w:r>
        <w:rPr>
          <w:rFonts w:hint="eastAsia" w:ascii="仿宋_GB2312" w:hAnsi="仿宋" w:eastAsia="仿宋_GB2312" w:cs="仿宋_GB2312"/>
          <w:b/>
          <w:snapToGrid w:val="0"/>
          <w:sz w:val="24"/>
        </w:rPr>
        <w:t>未</w:t>
      </w:r>
      <w:r>
        <w:rPr>
          <w:rFonts w:ascii="仿宋_GB2312" w:hAnsi="仿宋" w:eastAsia="仿宋_GB2312" w:cs="仿宋_GB2312"/>
          <w:b/>
          <w:snapToGrid w:val="0"/>
          <w:sz w:val="24"/>
        </w:rPr>
        <w:t>在电子交易平台传输递交</w:t>
      </w:r>
      <w:r>
        <w:rPr>
          <w:rFonts w:hint="eastAsia" w:ascii="仿宋_GB2312" w:hAnsi="仿宋" w:eastAsia="仿宋_GB2312" w:cs="仿宋_GB2312"/>
          <w:b/>
          <w:snapToGrid w:val="0"/>
          <w:sz w:val="24"/>
        </w:rPr>
        <w:t>响应文件</w:t>
      </w:r>
      <w:r>
        <w:rPr>
          <w:rFonts w:ascii="仿宋_GB2312" w:hAnsi="仿宋" w:eastAsia="仿宋_GB2312" w:cs="仿宋_GB2312"/>
          <w:b/>
          <w:snapToGrid w:val="0"/>
          <w:sz w:val="24"/>
        </w:rPr>
        <w:t>的，投标</w:t>
      </w:r>
      <w:r>
        <w:rPr>
          <w:rFonts w:hint="eastAsia" w:ascii="仿宋_GB2312" w:hAnsi="仿宋" w:eastAsia="仿宋_GB2312" w:cs="仿宋_GB2312"/>
          <w:b/>
          <w:snapToGrid w:val="0"/>
          <w:sz w:val="24"/>
        </w:rPr>
        <w:t>（响应）</w:t>
      </w:r>
      <w:r>
        <w:rPr>
          <w:rFonts w:ascii="仿宋_GB2312" w:hAnsi="仿宋" w:eastAsia="仿宋_GB2312" w:cs="仿宋_GB2312"/>
          <w:b/>
          <w:snapToGrid w:val="0"/>
          <w:sz w:val="24"/>
        </w:rPr>
        <w:t>无效。</w:t>
      </w:r>
    </w:p>
    <w:p>
      <w:pPr>
        <w:pStyle w:val="133"/>
        <w:spacing w:before="0"/>
        <w:ind w:firstLine="0" w:firstLineChars="0"/>
        <w:rPr>
          <w:rFonts w:ascii="仿宋" w:hAnsi="仿宋" w:eastAsia="仿宋" w:cs="仿宋_GB2312"/>
          <w:b/>
          <w:szCs w:val="24"/>
        </w:rPr>
      </w:pPr>
      <w:r>
        <w:rPr>
          <w:rFonts w:ascii="仿宋" w:hAnsi="仿宋" w:eastAsia="仿宋" w:cs="仿宋_GB2312"/>
          <w:b/>
          <w:szCs w:val="24"/>
        </w:rPr>
        <w:t>16.</w:t>
      </w:r>
      <w:r>
        <w:rPr>
          <w:rFonts w:hint="eastAsia" w:ascii="仿宋" w:hAnsi="仿宋" w:eastAsia="仿宋" w:cs="仿宋_GB2312"/>
          <w:b/>
          <w:szCs w:val="24"/>
        </w:rPr>
        <w:t>响应文件</w:t>
      </w:r>
      <w:r>
        <w:rPr>
          <w:rFonts w:ascii="仿宋" w:hAnsi="仿宋" w:eastAsia="仿宋" w:cs="仿宋_GB2312"/>
          <w:b/>
          <w:szCs w:val="24"/>
        </w:rPr>
        <w:t>的无效处理</w:t>
      </w:r>
    </w:p>
    <w:p>
      <w:pPr>
        <w:pStyle w:val="24"/>
        <w:spacing w:line="360" w:lineRule="auto"/>
        <w:ind w:firstLine="360" w:firstLineChars="150"/>
        <w:rPr>
          <w:rFonts w:ascii="仿宋" w:hAnsi="仿宋" w:eastAsia="仿宋" w:cs="仿宋_GB2312"/>
          <w:szCs w:val="21"/>
        </w:rPr>
      </w:pPr>
      <w:r>
        <w:rPr>
          <w:rFonts w:hint="eastAsia" w:ascii="仿宋" w:hAnsi="仿宋" w:eastAsia="仿宋" w:cs="仿宋_GB2312"/>
          <w:szCs w:val="21"/>
        </w:rPr>
        <w:t>见采购文件第四部分。</w:t>
      </w:r>
    </w:p>
    <w:p>
      <w:pPr>
        <w:pStyle w:val="133"/>
        <w:spacing w:before="0"/>
        <w:ind w:firstLine="0" w:firstLineChars="0"/>
        <w:rPr>
          <w:rFonts w:ascii="仿宋" w:hAnsi="仿宋" w:eastAsia="仿宋" w:cs="仿宋_GB2312"/>
          <w:b/>
          <w:szCs w:val="24"/>
        </w:rPr>
      </w:pPr>
      <w:r>
        <w:rPr>
          <w:rFonts w:ascii="仿宋" w:hAnsi="仿宋" w:eastAsia="仿宋" w:cs="仿宋_GB2312"/>
          <w:b/>
          <w:szCs w:val="24"/>
        </w:rPr>
        <w:t>17.</w:t>
      </w:r>
      <w:r>
        <w:rPr>
          <w:rFonts w:hint="eastAsia" w:ascii="仿宋" w:hAnsi="仿宋" w:eastAsia="仿宋" w:cs="仿宋_GB2312"/>
          <w:b/>
          <w:szCs w:val="24"/>
        </w:rPr>
        <w:t>响应</w:t>
      </w:r>
      <w:r>
        <w:rPr>
          <w:rFonts w:ascii="仿宋" w:hAnsi="仿宋" w:eastAsia="仿宋" w:cs="仿宋_GB2312"/>
          <w:b/>
          <w:szCs w:val="24"/>
        </w:rPr>
        <w:t>有效期</w:t>
      </w:r>
    </w:p>
    <w:p>
      <w:pPr>
        <w:spacing w:line="360" w:lineRule="auto"/>
        <w:ind w:firstLine="480" w:firstLineChars="200"/>
        <w:rPr>
          <w:rFonts w:ascii="仿宋" w:hAnsi="仿宋" w:eastAsia="仿宋" w:cs="仿宋_GB2312"/>
          <w:b/>
          <w:sz w:val="24"/>
          <w:szCs w:val="21"/>
        </w:rPr>
      </w:pPr>
      <w:r>
        <w:rPr>
          <w:rFonts w:ascii="仿宋" w:hAnsi="仿宋" w:eastAsia="仿宋" w:cs="仿宋_GB2312"/>
          <w:sz w:val="24"/>
          <w:szCs w:val="20"/>
        </w:rPr>
        <w:t>17.1</w:t>
      </w:r>
      <w:r>
        <w:rPr>
          <w:rFonts w:hint="eastAsia" w:ascii="仿宋" w:hAnsi="仿宋" w:eastAsia="仿宋" w:cs="仿宋_GB2312"/>
          <w:sz w:val="24"/>
          <w:szCs w:val="20"/>
        </w:rPr>
        <w:t>响应</w:t>
      </w:r>
      <w:r>
        <w:rPr>
          <w:rFonts w:ascii="仿宋" w:hAnsi="仿宋" w:eastAsia="仿宋" w:cs="仿宋_GB2312"/>
          <w:sz w:val="24"/>
          <w:szCs w:val="20"/>
        </w:rPr>
        <w:t>有效期为从提交</w:t>
      </w:r>
      <w:r>
        <w:rPr>
          <w:rFonts w:hint="eastAsia" w:ascii="仿宋" w:hAnsi="仿宋" w:eastAsia="仿宋" w:cs="仿宋_GB2312"/>
          <w:sz w:val="24"/>
          <w:szCs w:val="20"/>
        </w:rPr>
        <w:t>响应文件</w:t>
      </w:r>
      <w:r>
        <w:rPr>
          <w:rFonts w:ascii="仿宋" w:hAnsi="仿宋" w:eastAsia="仿宋" w:cs="仿宋_GB2312"/>
          <w:sz w:val="24"/>
          <w:szCs w:val="20"/>
        </w:rPr>
        <w:t>的截止之日起90天。▲</w:t>
      </w:r>
      <w:r>
        <w:rPr>
          <w:rFonts w:hint="eastAsia" w:ascii="仿宋" w:hAnsi="仿宋" w:eastAsia="仿宋" w:cs="仿宋_GB2312"/>
          <w:b/>
          <w:sz w:val="24"/>
          <w:szCs w:val="20"/>
        </w:rPr>
        <w:t>供应商的响应文件中承</w:t>
      </w:r>
      <w:r>
        <w:rPr>
          <w:rFonts w:hint="eastAsia" w:ascii="仿宋" w:hAnsi="仿宋" w:eastAsia="仿宋" w:cs="仿宋_GB2312"/>
          <w:b/>
          <w:sz w:val="24"/>
          <w:szCs w:val="21"/>
        </w:rPr>
        <w:t>诺的响应有效期少于采购文件中载明的响应有效期的，响应无效。</w:t>
      </w:r>
    </w:p>
    <w:p>
      <w:pPr>
        <w:pStyle w:val="133"/>
        <w:spacing w:before="0"/>
        <w:ind w:firstLine="480"/>
        <w:rPr>
          <w:rFonts w:ascii="仿宋" w:hAnsi="仿宋" w:eastAsia="仿宋" w:cs="仿宋_GB2312"/>
        </w:rPr>
      </w:pPr>
      <w:r>
        <w:rPr>
          <w:rFonts w:ascii="仿宋" w:hAnsi="仿宋" w:eastAsia="仿宋" w:cs="仿宋_GB2312"/>
        </w:rPr>
        <w:t>17.2</w:t>
      </w:r>
      <w:r>
        <w:rPr>
          <w:rFonts w:hint="eastAsia" w:ascii="仿宋" w:hAnsi="仿宋" w:eastAsia="仿宋" w:cs="仿宋_GB2312"/>
        </w:rPr>
        <w:t>响应文件有效</w:t>
      </w:r>
      <w:r>
        <w:rPr>
          <w:rFonts w:ascii="仿宋" w:hAnsi="仿宋" w:eastAsia="仿宋" w:cs="仿宋_GB2312"/>
        </w:rPr>
        <w:t>投递后，自</w:t>
      </w:r>
      <w:r>
        <w:rPr>
          <w:rFonts w:hint="eastAsia" w:ascii="仿宋" w:hAnsi="仿宋" w:eastAsia="仿宋" w:cs="仿宋_GB2312"/>
        </w:rPr>
        <w:t>响应</w:t>
      </w:r>
      <w:r>
        <w:rPr>
          <w:rFonts w:ascii="仿宋" w:hAnsi="仿宋" w:eastAsia="仿宋" w:cs="仿宋_GB2312"/>
        </w:rPr>
        <w:t>截止日期起，在</w:t>
      </w:r>
      <w:r>
        <w:rPr>
          <w:rFonts w:hint="eastAsia" w:ascii="仿宋" w:hAnsi="仿宋" w:eastAsia="仿宋" w:cs="仿宋_GB2312"/>
        </w:rPr>
        <w:t>响应</w:t>
      </w:r>
      <w:r>
        <w:rPr>
          <w:rFonts w:ascii="仿宋" w:hAnsi="仿宋" w:eastAsia="仿宋" w:cs="仿宋_GB2312"/>
        </w:rPr>
        <w:t>有效期内有效。</w:t>
      </w:r>
    </w:p>
    <w:p>
      <w:pPr>
        <w:pStyle w:val="133"/>
        <w:spacing w:before="0"/>
        <w:ind w:firstLine="480"/>
        <w:rPr>
          <w:rFonts w:ascii="仿宋" w:hAnsi="仿宋" w:eastAsia="仿宋" w:cs="仿宋_GB2312"/>
        </w:rPr>
      </w:pPr>
      <w:r>
        <w:rPr>
          <w:rFonts w:ascii="仿宋" w:hAnsi="仿宋" w:eastAsia="仿宋" w:cs="仿宋_GB2312"/>
        </w:rPr>
        <w:t>17.3在原定</w:t>
      </w:r>
      <w:r>
        <w:rPr>
          <w:rFonts w:hint="eastAsia" w:ascii="仿宋" w:hAnsi="仿宋" w:eastAsia="仿宋" w:cs="仿宋_GB2312"/>
        </w:rPr>
        <w:t>响应</w:t>
      </w:r>
      <w:r>
        <w:rPr>
          <w:rFonts w:ascii="仿宋" w:hAnsi="仿宋" w:eastAsia="仿宋" w:cs="仿宋_GB2312"/>
        </w:rPr>
        <w:t>有效期满之前，如果出现特殊情况，</w:t>
      </w:r>
      <w:r>
        <w:rPr>
          <w:rFonts w:hint="eastAsia" w:ascii="仿宋" w:hAnsi="仿宋" w:eastAsia="仿宋" w:cs="仿宋_GB2312"/>
        </w:rPr>
        <w:t>采购代理机构</w:t>
      </w:r>
      <w:r>
        <w:rPr>
          <w:rFonts w:ascii="仿宋" w:hAnsi="仿宋" w:eastAsia="仿宋" w:cs="仿宋_GB2312"/>
        </w:rPr>
        <w:t>可以以书面形式通知</w:t>
      </w:r>
      <w:r>
        <w:rPr>
          <w:rFonts w:hint="eastAsia" w:ascii="仿宋" w:hAnsi="仿宋" w:eastAsia="仿宋" w:cs="仿宋_GB2312"/>
        </w:rPr>
        <w:t>供应商</w:t>
      </w:r>
      <w:r>
        <w:rPr>
          <w:rFonts w:ascii="仿宋" w:hAnsi="仿宋" w:eastAsia="仿宋" w:cs="仿宋_GB2312"/>
        </w:rPr>
        <w:t>延长</w:t>
      </w:r>
      <w:r>
        <w:rPr>
          <w:rFonts w:hint="eastAsia" w:ascii="仿宋" w:hAnsi="仿宋" w:eastAsia="仿宋" w:cs="仿宋_GB2312"/>
        </w:rPr>
        <w:t>响应</w:t>
      </w:r>
      <w:r>
        <w:rPr>
          <w:rFonts w:ascii="仿宋" w:hAnsi="仿宋" w:eastAsia="仿宋" w:cs="仿宋_GB2312"/>
        </w:rPr>
        <w:t>有效期。</w:t>
      </w:r>
      <w:r>
        <w:rPr>
          <w:rFonts w:hint="eastAsia" w:ascii="仿宋" w:hAnsi="仿宋" w:eastAsia="仿宋" w:cs="仿宋_GB2312"/>
        </w:rPr>
        <w:t>供应商</w:t>
      </w:r>
      <w:r>
        <w:rPr>
          <w:rFonts w:ascii="仿宋" w:hAnsi="仿宋" w:eastAsia="仿宋" w:cs="仿宋_GB2312"/>
        </w:rPr>
        <w:t>同意延长的，不得要求或被允许修改其</w:t>
      </w:r>
      <w:r>
        <w:rPr>
          <w:rFonts w:hint="eastAsia" w:ascii="仿宋" w:hAnsi="仿宋" w:eastAsia="仿宋" w:cs="仿宋_GB2312"/>
        </w:rPr>
        <w:t>响应文件</w:t>
      </w:r>
      <w:r>
        <w:rPr>
          <w:rFonts w:ascii="仿宋" w:hAnsi="仿宋" w:eastAsia="仿宋" w:cs="仿宋_GB2312"/>
        </w:rPr>
        <w:t>，</w:t>
      </w:r>
      <w:r>
        <w:rPr>
          <w:rFonts w:hint="eastAsia" w:ascii="仿宋" w:hAnsi="仿宋" w:eastAsia="仿宋" w:cs="仿宋_GB2312"/>
        </w:rPr>
        <w:t>供应商</w:t>
      </w:r>
      <w:r>
        <w:rPr>
          <w:rFonts w:ascii="仿宋" w:hAnsi="仿宋" w:eastAsia="仿宋" w:cs="仿宋_GB2312"/>
        </w:rPr>
        <w:t>拒绝延长的，其</w:t>
      </w:r>
      <w:r>
        <w:rPr>
          <w:rFonts w:hint="eastAsia" w:ascii="仿宋" w:hAnsi="仿宋" w:eastAsia="仿宋" w:cs="仿宋_GB2312"/>
        </w:rPr>
        <w:t>响应</w:t>
      </w:r>
      <w:r>
        <w:rPr>
          <w:rFonts w:ascii="仿宋" w:hAnsi="仿宋" w:eastAsia="仿宋" w:cs="仿宋_GB2312"/>
        </w:rPr>
        <w:t>无效。</w:t>
      </w:r>
    </w:p>
    <w:p>
      <w:pPr>
        <w:pStyle w:val="133"/>
        <w:spacing w:before="0"/>
        <w:ind w:firstLine="1928" w:firstLineChars="600"/>
        <w:rPr>
          <w:rFonts w:ascii="仿宋" w:hAnsi="仿宋" w:eastAsia="仿宋" w:cs="仿宋_GB2312"/>
          <w:b/>
          <w:sz w:val="32"/>
        </w:rPr>
      </w:pPr>
      <w:r>
        <w:rPr>
          <w:rFonts w:hint="eastAsia" w:ascii="仿宋" w:hAnsi="仿宋" w:eastAsia="仿宋" w:cs="仿宋_GB2312"/>
          <w:b/>
          <w:sz w:val="32"/>
        </w:rPr>
        <w:t>四、响应文件开启、资格审查与信用信息查询</w:t>
      </w:r>
    </w:p>
    <w:p>
      <w:pPr>
        <w:pStyle w:val="556"/>
        <w:spacing w:before="0" w:line="360" w:lineRule="auto"/>
        <w:ind w:left="0" w:firstLine="0"/>
        <w:contextualSpacing/>
        <w:rPr>
          <w:rFonts w:ascii="仿宋" w:hAnsi="仿宋" w:eastAsia="仿宋"/>
          <w:sz w:val="24"/>
        </w:rPr>
      </w:pPr>
      <w:r>
        <w:rPr>
          <w:rFonts w:ascii="仿宋" w:hAnsi="仿宋" w:eastAsia="仿宋" w:cs="仿宋_GB2312"/>
          <w:b/>
          <w:sz w:val="24"/>
          <w:szCs w:val="24"/>
        </w:rPr>
        <w:t>18.</w:t>
      </w:r>
      <w:r>
        <w:rPr>
          <w:rFonts w:hint="eastAsia" w:ascii="仿宋" w:hAnsi="仿宋" w:eastAsia="仿宋" w:cs="仿宋_GB2312"/>
          <w:b/>
          <w:sz w:val="24"/>
          <w:szCs w:val="24"/>
        </w:rPr>
        <w:t>响应文件开启</w:t>
      </w:r>
    </w:p>
    <w:p>
      <w:pPr>
        <w:pStyle w:val="55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w:t>
      </w:r>
      <w:r>
        <w:rPr>
          <w:rFonts w:hint="eastAsia" w:ascii="仿宋_GB2312" w:hAnsi="仿宋" w:eastAsia="仿宋_GB2312" w:cs="仿宋_GB2312"/>
          <w:sz w:val="24"/>
        </w:rPr>
        <w:t>采购代理机构</w:t>
      </w:r>
      <w:r>
        <w:rPr>
          <w:rFonts w:ascii="仿宋_GB2312" w:hAnsi="仿宋" w:eastAsia="仿宋_GB2312" w:cs="仿宋_GB2312"/>
          <w:sz w:val="24"/>
        </w:rPr>
        <w:t>按照</w:t>
      </w:r>
      <w:r>
        <w:rPr>
          <w:rFonts w:hint="eastAsia" w:ascii="仿宋_GB2312" w:hAnsi="仿宋" w:eastAsia="仿宋_GB2312" w:cs="仿宋_GB2312"/>
          <w:sz w:val="24"/>
        </w:rPr>
        <w:t>采购</w:t>
      </w:r>
      <w:r>
        <w:rPr>
          <w:rFonts w:ascii="仿宋_GB2312" w:hAnsi="仿宋" w:eastAsia="仿宋_GB2312" w:cs="仿宋_GB2312"/>
          <w:sz w:val="24"/>
        </w:rPr>
        <w:t>文件规定的时间通过电子交易平台组织开</w:t>
      </w:r>
      <w:r>
        <w:rPr>
          <w:rFonts w:hint="eastAsia" w:ascii="仿宋_GB2312" w:hAnsi="仿宋" w:eastAsia="仿宋_GB2312" w:cs="仿宋_GB2312"/>
          <w:sz w:val="24"/>
        </w:rPr>
        <w:t>启响应文件</w:t>
      </w:r>
      <w:r>
        <w:rPr>
          <w:rFonts w:ascii="仿宋_GB2312" w:hAnsi="仿宋" w:eastAsia="仿宋_GB2312" w:cs="仿宋_GB2312"/>
          <w:sz w:val="24"/>
        </w:rPr>
        <w:t>，所有</w:t>
      </w:r>
      <w:r>
        <w:rPr>
          <w:rFonts w:hint="eastAsia" w:ascii="仿宋_GB2312" w:hAnsi="仿宋" w:eastAsia="仿宋_GB2312" w:cs="仿宋_GB2312"/>
          <w:sz w:val="24"/>
        </w:rPr>
        <w:t>供应商</w:t>
      </w:r>
      <w:r>
        <w:rPr>
          <w:rFonts w:ascii="仿宋_GB2312" w:hAnsi="仿宋" w:eastAsia="仿宋_GB2312" w:cs="仿宋_GB2312"/>
          <w:sz w:val="24"/>
        </w:rPr>
        <w:t>均应当准时在线参加。</w:t>
      </w:r>
      <w:r>
        <w:rPr>
          <w:rFonts w:hint="eastAsia" w:ascii="仿宋_GB2312" w:hAnsi="仿宋" w:eastAsia="仿宋_GB2312" w:cs="仿宋_GB2312"/>
          <w:sz w:val="24"/>
        </w:rPr>
        <w:t>供应商</w:t>
      </w:r>
      <w:r>
        <w:rPr>
          <w:rFonts w:ascii="仿宋_GB2312" w:hAnsi="仿宋" w:eastAsia="仿宋_GB2312" w:cs="仿宋_GB2312"/>
          <w:sz w:val="24"/>
        </w:rPr>
        <w:t>不足3家的，不得开</w:t>
      </w:r>
      <w:r>
        <w:rPr>
          <w:rFonts w:hint="eastAsia" w:ascii="仿宋_GB2312" w:hAnsi="仿宋" w:eastAsia="仿宋_GB2312" w:cs="仿宋_GB2312"/>
          <w:sz w:val="24"/>
        </w:rPr>
        <w:t>启</w:t>
      </w:r>
      <w:r>
        <w:rPr>
          <w:rFonts w:ascii="仿宋_GB2312" w:hAnsi="仿宋" w:eastAsia="仿宋_GB2312" w:cs="仿宋_GB2312"/>
          <w:sz w:val="24"/>
        </w:rPr>
        <w:t>。</w:t>
      </w:r>
    </w:p>
    <w:p>
      <w:pPr>
        <w:pStyle w:val="55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w:t>
      </w:r>
      <w:r>
        <w:rPr>
          <w:rFonts w:hint="eastAsia" w:ascii="仿宋_GB2312" w:hAnsi="仿宋" w:eastAsia="仿宋_GB2312" w:cs="仿宋_GB2312"/>
          <w:sz w:val="24"/>
        </w:rPr>
        <w:t>启</w:t>
      </w:r>
      <w:r>
        <w:rPr>
          <w:rFonts w:ascii="仿宋_GB2312" w:hAnsi="仿宋" w:eastAsia="仿宋_GB2312" w:cs="仿宋_GB2312"/>
          <w:sz w:val="24"/>
        </w:rPr>
        <w:t>时，电子交易平台按开</w:t>
      </w:r>
      <w:r>
        <w:rPr>
          <w:rFonts w:hint="eastAsia" w:ascii="仿宋_GB2312" w:hAnsi="仿宋" w:eastAsia="仿宋_GB2312" w:cs="仿宋_GB2312"/>
          <w:sz w:val="24"/>
        </w:rPr>
        <w:t>启</w:t>
      </w:r>
      <w:r>
        <w:rPr>
          <w:rFonts w:ascii="仿宋_GB2312" w:hAnsi="仿宋" w:eastAsia="仿宋_GB2312" w:cs="仿宋_GB2312"/>
          <w:sz w:val="24"/>
        </w:rPr>
        <w:t>时间自动提取所有</w:t>
      </w:r>
      <w:r>
        <w:rPr>
          <w:rFonts w:hint="eastAsia" w:ascii="仿宋_GB2312" w:hAnsi="仿宋" w:eastAsia="仿宋_GB2312" w:cs="仿宋_GB2312"/>
          <w:sz w:val="24"/>
        </w:rPr>
        <w:t>响应</w:t>
      </w:r>
      <w:r>
        <w:rPr>
          <w:rFonts w:ascii="仿宋_GB2312" w:hAnsi="仿宋" w:eastAsia="仿宋_GB2312" w:cs="仿宋_GB2312"/>
          <w:sz w:val="24"/>
        </w:rPr>
        <w:t>文件。</w:t>
      </w:r>
      <w:r>
        <w:rPr>
          <w:rFonts w:hint="eastAsia" w:ascii="仿宋_GB2312" w:hAnsi="仿宋" w:eastAsia="仿宋_GB2312" w:cs="仿宋_GB2312"/>
          <w:sz w:val="24"/>
        </w:rPr>
        <w:t>采购代理机构</w:t>
      </w:r>
      <w:r>
        <w:rPr>
          <w:rFonts w:ascii="仿宋_GB2312" w:hAnsi="仿宋" w:eastAsia="仿宋_GB2312" w:cs="仿宋_GB2312"/>
          <w:sz w:val="24"/>
        </w:rPr>
        <w:t>依托电子交易平台发起开始解密指令，</w:t>
      </w:r>
      <w:r>
        <w:rPr>
          <w:rFonts w:hint="eastAsia" w:ascii="仿宋_GB2312" w:hAnsi="仿宋" w:eastAsia="仿宋_GB2312" w:cs="仿宋_GB2312"/>
          <w:sz w:val="24"/>
        </w:rPr>
        <w:t>供应商</w:t>
      </w:r>
      <w:r>
        <w:rPr>
          <w:rFonts w:ascii="仿宋_GB2312" w:hAnsi="仿宋" w:eastAsia="仿宋_GB2312" w:cs="仿宋_GB2312"/>
          <w:sz w:val="24"/>
        </w:rPr>
        <w:t>按照平台提示和</w:t>
      </w:r>
      <w:r>
        <w:rPr>
          <w:rFonts w:hint="eastAsia" w:ascii="仿宋_GB2312" w:hAnsi="仿宋" w:eastAsia="仿宋_GB2312" w:cs="仿宋_GB2312"/>
          <w:sz w:val="24"/>
        </w:rPr>
        <w:t>采购</w:t>
      </w:r>
      <w:r>
        <w:rPr>
          <w:rFonts w:ascii="仿宋_GB2312" w:hAnsi="仿宋" w:eastAsia="仿宋_GB2312" w:cs="仿宋_GB2312"/>
          <w:sz w:val="24"/>
        </w:rPr>
        <w:t>文件的规定在半小时内完成在线解密。</w:t>
      </w:r>
    </w:p>
    <w:p>
      <w:pPr>
        <w:pStyle w:val="55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xml:space="preserve">  </w:t>
      </w:r>
      <w:r>
        <w:rPr>
          <w:rFonts w:ascii="仿宋_GB2312" w:hAnsi="仿宋" w:eastAsia="仿宋_GB2312" w:cs="仿宋_GB2312"/>
          <w:sz w:val="24"/>
        </w:rPr>
        <w:t>18.3</w:t>
      </w:r>
      <w:r>
        <w:rPr>
          <w:rFonts w:hint="eastAsia" w:ascii="仿宋_GB2312" w:hAnsi="仿宋" w:eastAsia="仿宋_GB2312" w:cs="仿宋_GB2312"/>
          <w:sz w:val="24"/>
        </w:rPr>
        <w:t>响应</w:t>
      </w:r>
      <w:r>
        <w:rPr>
          <w:rFonts w:hint="eastAsia" w:ascii="仿宋_GB2312" w:hAnsi="仿宋" w:eastAsia="仿宋_GB2312" w:cs="仿宋_GB2312"/>
          <w:b/>
          <w:sz w:val="24"/>
        </w:rPr>
        <w:t>文件未按时解密，供应商提供了备份响应文件的，以备份响应文件作为依据，否则视为响应文件撤回。响应文件已按时解密的，备份响应文件自动失效。</w:t>
      </w:r>
    </w:p>
    <w:p>
      <w:pPr>
        <w:pStyle w:val="556"/>
        <w:spacing w:before="0" w:line="360" w:lineRule="auto"/>
        <w:ind w:left="0" w:firstLine="480" w:firstLineChars="200"/>
        <w:contextualSpacing/>
        <w:rPr>
          <w:rFonts w:ascii="仿宋" w:hAnsi="仿宋" w:eastAsia="仿宋" w:cs="仿宋_GB2312"/>
          <w:b/>
          <w:sz w:val="24"/>
        </w:rPr>
      </w:pPr>
      <w:r>
        <w:rPr>
          <w:rFonts w:hint="eastAsia" w:ascii="仿宋_GB2312" w:hAnsi="仿宋" w:eastAsia="仿宋_GB2312" w:cs="仿宋_GB2312"/>
          <w:sz w:val="24"/>
          <w:u w:val="single"/>
        </w:rPr>
        <w:t>18.4本项目开启顺序：</w:t>
      </w:r>
      <w:r>
        <w:rPr>
          <w:rFonts w:hint="eastAsia" w:ascii="仿宋_GB2312" w:hAnsi="仿宋" w:eastAsia="仿宋_GB2312" w:cs="仿宋_GB2312"/>
          <w:sz w:val="24"/>
          <w:u w:val="single"/>
        </w:rPr>
        <w:sym w:font="Wingdings" w:char="00A8"/>
      </w:r>
      <w:r>
        <w:rPr>
          <w:rFonts w:hint="eastAsia" w:ascii="仿宋_GB2312" w:hAnsi="仿宋" w:eastAsia="仿宋_GB2312" w:cs="仿宋_GB2312"/>
          <w:sz w:val="24"/>
          <w:u w:val="single"/>
        </w:rPr>
        <w:t>先技术商务后报价，</w:t>
      </w:r>
      <w:r>
        <w:rPr>
          <w:rFonts w:hint="eastAsia" w:ascii="仿宋_GB2312" w:hAnsi="仿宋" w:eastAsia="仿宋_GB2312" w:cs="仿宋_GB2312"/>
          <w:sz w:val="24"/>
          <w:u w:val="single"/>
        </w:rPr>
        <w:sym w:font="Wingdings" w:char="00FE"/>
      </w:r>
      <w:r>
        <w:rPr>
          <w:rFonts w:hint="eastAsia" w:ascii="仿宋_GB2312" w:hAnsi="仿宋" w:eastAsia="仿宋_GB2312" w:cs="仿宋_GB2312"/>
          <w:sz w:val="24"/>
          <w:u w:val="single"/>
        </w:rPr>
        <w:t>报价技术商务同时开启。</w:t>
      </w:r>
    </w:p>
    <w:p>
      <w:pPr>
        <w:widowControl/>
        <w:spacing w:line="360" w:lineRule="auto"/>
        <w:jc w:val="left"/>
        <w:rPr>
          <w:rFonts w:ascii="仿宋" w:hAnsi="仿宋" w:eastAsia="仿宋" w:cs="仿宋_GB2312"/>
          <w:b/>
          <w:sz w:val="24"/>
          <w:szCs w:val="20"/>
        </w:rPr>
      </w:pPr>
      <w:r>
        <w:rPr>
          <w:rFonts w:ascii="仿宋" w:hAnsi="仿宋" w:eastAsia="仿宋" w:cs="仿宋_GB2312"/>
          <w:b/>
          <w:sz w:val="24"/>
          <w:szCs w:val="20"/>
        </w:rPr>
        <w:t>19</w:t>
      </w:r>
      <w:r>
        <w:rPr>
          <w:rFonts w:hint="eastAsia" w:ascii="仿宋" w:hAnsi="仿宋" w:eastAsia="仿宋" w:cs="仿宋_GB2312"/>
          <w:b/>
          <w:sz w:val="24"/>
          <w:szCs w:val="20"/>
        </w:rPr>
        <w:t>.</w:t>
      </w:r>
      <w:r>
        <w:rPr>
          <w:rFonts w:ascii="仿宋" w:hAnsi="仿宋" w:eastAsia="仿宋" w:cs="仿宋_GB2312"/>
          <w:b/>
          <w:sz w:val="24"/>
          <w:szCs w:val="20"/>
        </w:rPr>
        <w:t>资格审查</w:t>
      </w:r>
    </w:p>
    <w:p>
      <w:pPr>
        <w:pStyle w:val="133"/>
        <w:spacing w:before="0"/>
        <w:ind w:firstLine="480"/>
        <w:rPr>
          <w:rFonts w:ascii="仿宋" w:hAnsi="仿宋" w:eastAsia="仿宋" w:cs="Arial"/>
          <w:kern w:val="0"/>
          <w:szCs w:val="24"/>
        </w:rPr>
      </w:pPr>
      <w:r>
        <w:rPr>
          <w:rFonts w:ascii="仿宋" w:hAnsi="仿宋" w:eastAsia="仿宋" w:cs="Arial"/>
          <w:kern w:val="0"/>
          <w:szCs w:val="24"/>
        </w:rPr>
        <w:t>19.1</w:t>
      </w:r>
      <w:r>
        <w:rPr>
          <w:rFonts w:hint="eastAsia" w:ascii="仿宋" w:hAnsi="仿宋" w:eastAsia="仿宋" w:cs="Arial"/>
          <w:kern w:val="0"/>
          <w:szCs w:val="24"/>
        </w:rPr>
        <w:t>开启</w:t>
      </w:r>
      <w:r>
        <w:rPr>
          <w:rFonts w:ascii="仿宋" w:hAnsi="仿宋" w:eastAsia="仿宋" w:cs="Arial"/>
          <w:kern w:val="0"/>
          <w:szCs w:val="24"/>
        </w:rPr>
        <w:t>后，采购人或采购代理机构将依法对</w:t>
      </w:r>
      <w:r>
        <w:rPr>
          <w:rFonts w:hint="eastAsia" w:ascii="仿宋" w:hAnsi="仿宋" w:eastAsia="仿宋" w:cs="Arial"/>
          <w:kern w:val="0"/>
          <w:szCs w:val="24"/>
        </w:rPr>
        <w:t>供应商</w:t>
      </w:r>
      <w:r>
        <w:rPr>
          <w:rFonts w:ascii="仿宋" w:hAnsi="仿宋" w:eastAsia="仿宋" w:cs="Arial"/>
          <w:kern w:val="0"/>
          <w:szCs w:val="24"/>
        </w:rPr>
        <w:t>的资格进行审查。</w:t>
      </w:r>
    </w:p>
    <w:p>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采购人或采购代理机构依据法律法规和采购文件的规定，对供应商的基本资格条件、特定资格条件进行审查。</w:t>
      </w:r>
    </w:p>
    <w:p>
      <w:pPr>
        <w:pStyle w:val="133"/>
        <w:spacing w:before="0"/>
        <w:ind w:firstLine="480"/>
        <w:rPr>
          <w:rFonts w:ascii="仿宋" w:hAnsi="仿宋" w:eastAsia="仿宋" w:cs="仿宋_GB2312"/>
        </w:rPr>
      </w:pPr>
      <w:r>
        <w:rPr>
          <w:rFonts w:ascii="仿宋" w:hAnsi="仿宋" w:eastAsia="仿宋" w:cs="Arial"/>
          <w:kern w:val="0"/>
          <w:szCs w:val="24"/>
        </w:rPr>
        <w:t>19.3</w:t>
      </w:r>
      <w:r>
        <w:rPr>
          <w:rFonts w:hint="eastAsia" w:ascii="仿宋" w:hAnsi="仿宋" w:eastAsia="仿宋" w:cs="Arial"/>
          <w:kern w:val="0"/>
          <w:szCs w:val="24"/>
        </w:rPr>
        <w:t>供应商</w:t>
      </w:r>
      <w:r>
        <w:rPr>
          <w:rFonts w:ascii="仿宋" w:hAnsi="仿宋" w:eastAsia="仿宋" w:cs="Arial"/>
          <w:kern w:val="0"/>
          <w:szCs w:val="24"/>
        </w:rPr>
        <w:t>未按照</w:t>
      </w:r>
      <w:r>
        <w:rPr>
          <w:rFonts w:hint="eastAsia" w:ascii="仿宋" w:hAnsi="仿宋" w:eastAsia="仿宋" w:cs="Arial"/>
          <w:kern w:val="0"/>
          <w:szCs w:val="24"/>
        </w:rPr>
        <w:t>采购文件</w:t>
      </w:r>
      <w:r>
        <w:rPr>
          <w:rFonts w:ascii="仿宋" w:hAnsi="仿宋" w:eastAsia="仿宋" w:cs="Arial"/>
          <w:kern w:val="0"/>
          <w:szCs w:val="24"/>
        </w:rPr>
        <w:t>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供应商不具备采购文件中规定的资格要求，其响应无效。</w:t>
      </w:r>
    </w:p>
    <w:p>
      <w:pPr>
        <w:pStyle w:val="133"/>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4对未通过资格审查的</w:t>
      </w:r>
      <w:r>
        <w:rPr>
          <w:rFonts w:hint="eastAsia" w:ascii="仿宋" w:hAnsi="仿宋" w:eastAsia="仿宋" w:cs="仿宋_GB2312"/>
        </w:rPr>
        <w:t>供应商</w:t>
      </w:r>
      <w:r>
        <w:rPr>
          <w:rFonts w:ascii="仿宋" w:hAnsi="仿宋" w:eastAsia="仿宋" w:cs="仿宋_GB2312"/>
        </w:rPr>
        <w:t>，采购人或</w:t>
      </w:r>
      <w:r>
        <w:rPr>
          <w:rFonts w:hint="eastAsia" w:ascii="仿宋" w:hAnsi="仿宋" w:eastAsia="仿宋" w:cs="仿宋_GB2312"/>
        </w:rPr>
        <w:t>采购代理机构</w:t>
      </w:r>
      <w:r>
        <w:rPr>
          <w:rFonts w:ascii="仿宋" w:hAnsi="仿宋" w:eastAsia="仿宋" w:cs="仿宋_GB2312"/>
        </w:rPr>
        <w:t>告知其未通过的原因。</w:t>
      </w:r>
    </w:p>
    <w:p>
      <w:pPr>
        <w:pStyle w:val="133"/>
        <w:spacing w:before="0"/>
        <w:ind w:firstLine="480"/>
        <w:rPr>
          <w:rFonts w:ascii="仿宋" w:hAnsi="仿宋" w:eastAsia="仿宋" w:cs="仿宋_GB2312"/>
        </w:rPr>
      </w:pPr>
      <w:r>
        <w:rPr>
          <w:rFonts w:hint="eastAsia" w:ascii="仿宋" w:hAnsi="仿宋" w:eastAsia="仿宋" w:cs="仿宋_GB2312"/>
        </w:rPr>
        <w:t>19.5满足资格条件的合格供应商不足3家的，不再继续评审。</w:t>
      </w:r>
    </w:p>
    <w:p>
      <w:pPr>
        <w:pStyle w:val="133"/>
        <w:spacing w:before="0"/>
        <w:ind w:firstLine="0" w:firstLineChars="0"/>
        <w:rPr>
          <w:rFonts w:ascii="仿宋" w:hAnsi="仿宋" w:eastAsia="仿宋" w:cs="仿宋_GB2312"/>
          <w:b/>
          <w:szCs w:val="24"/>
        </w:rPr>
      </w:pPr>
      <w:r>
        <w:rPr>
          <w:rFonts w:ascii="仿宋" w:hAnsi="仿宋" w:eastAsia="仿宋" w:cs="仿宋_GB2312"/>
          <w:b/>
          <w:szCs w:val="24"/>
        </w:rPr>
        <w:t>20</w:t>
      </w:r>
      <w:r>
        <w:rPr>
          <w:rFonts w:hint="eastAsia" w:ascii="仿宋" w:hAnsi="仿宋" w:eastAsia="仿宋" w:cs="仿宋_GB2312"/>
          <w:b/>
          <w:szCs w:val="24"/>
        </w:rPr>
        <w:t>.</w:t>
      </w:r>
      <w:r>
        <w:rPr>
          <w:rFonts w:ascii="仿宋" w:hAnsi="仿宋" w:eastAsia="仿宋" w:cs="仿宋_GB2312"/>
          <w:b/>
          <w:szCs w:val="24"/>
        </w:rPr>
        <w:t>信用信息查询</w:t>
      </w:r>
    </w:p>
    <w:p>
      <w:pPr>
        <w:pStyle w:val="133"/>
        <w:spacing w:before="0"/>
        <w:ind w:firstLine="495" w:firstLineChars="0"/>
        <w:rPr>
          <w:rFonts w:ascii="仿宋" w:hAnsi="仿宋" w:eastAsia="仿宋" w:cs="Arial"/>
          <w:kern w:val="0"/>
          <w:szCs w:val="24"/>
        </w:rPr>
      </w:pPr>
      <w:r>
        <w:rPr>
          <w:rFonts w:ascii="仿宋" w:hAnsi="仿宋" w:eastAsia="仿宋" w:cs="Arial"/>
          <w:kern w:val="0"/>
          <w:szCs w:val="24"/>
        </w:rPr>
        <w:t>20.1信用信息查询渠道及截止时间：</w:t>
      </w:r>
      <w:r>
        <w:rPr>
          <w:rFonts w:hint="eastAsia" w:ascii="仿宋" w:hAnsi="仿宋" w:eastAsia="仿宋" w:cs="Arial"/>
          <w:kern w:val="0"/>
          <w:szCs w:val="24"/>
        </w:rPr>
        <w:t>采购代理机构</w:t>
      </w:r>
      <w:r>
        <w:rPr>
          <w:rFonts w:ascii="仿宋" w:hAnsi="仿宋" w:eastAsia="仿宋" w:cs="Arial"/>
          <w:kern w:val="0"/>
          <w:szCs w:val="24"/>
        </w:rPr>
        <w:t>将通过“信用中国”网站(www.creditchina.gov.cn)、中国政府采购网(www.ccgp.gov.cn)渠道查询</w:t>
      </w:r>
      <w:r>
        <w:rPr>
          <w:rFonts w:hint="eastAsia" w:ascii="仿宋" w:hAnsi="仿宋" w:eastAsia="仿宋" w:cs="Arial"/>
          <w:kern w:val="0"/>
          <w:szCs w:val="24"/>
        </w:rPr>
        <w:t>供应商响应</w:t>
      </w:r>
      <w:r>
        <w:rPr>
          <w:rFonts w:ascii="仿宋" w:hAnsi="仿宋" w:eastAsia="仿宋" w:cs="Arial"/>
          <w:kern w:val="0"/>
          <w:szCs w:val="24"/>
        </w:rPr>
        <w:t>截止时间当天的信用记录。</w:t>
      </w:r>
    </w:p>
    <w:p>
      <w:pPr>
        <w:pStyle w:val="133"/>
        <w:spacing w:before="0"/>
        <w:ind w:firstLine="495" w:firstLineChars="0"/>
        <w:rPr>
          <w:rFonts w:ascii="仿宋" w:hAnsi="仿宋" w:eastAsia="仿宋" w:cs="Arial"/>
          <w:kern w:val="0"/>
          <w:szCs w:val="24"/>
        </w:rPr>
      </w:pPr>
      <w:r>
        <w:rPr>
          <w:rFonts w:ascii="仿宋" w:hAnsi="仿宋" w:eastAsia="仿宋" w:cs="Arial"/>
          <w:kern w:val="0"/>
          <w:szCs w:val="24"/>
        </w:rPr>
        <w:t>20.2信用信息查询记录和证据留存的具体方式：现场查询的</w:t>
      </w:r>
      <w:r>
        <w:rPr>
          <w:rFonts w:hint="eastAsia" w:ascii="仿宋" w:hAnsi="仿宋" w:eastAsia="仿宋" w:cs="Arial"/>
          <w:kern w:val="0"/>
          <w:szCs w:val="24"/>
        </w:rPr>
        <w:t>供应商</w:t>
      </w:r>
      <w:r>
        <w:rPr>
          <w:rFonts w:ascii="仿宋" w:hAnsi="仿宋" w:eastAsia="仿宋" w:cs="Arial"/>
          <w:kern w:val="0"/>
          <w:szCs w:val="24"/>
        </w:rPr>
        <w:t>的信用记录、查询结果经确认后将与采购文件一起存档。</w:t>
      </w:r>
    </w:p>
    <w:p>
      <w:pPr>
        <w:pStyle w:val="133"/>
        <w:spacing w:before="0"/>
        <w:ind w:firstLine="495" w:firstLineChars="0"/>
        <w:rPr>
          <w:rFonts w:ascii="仿宋" w:hAnsi="仿宋" w:eastAsia="仿宋" w:cs="Arial"/>
          <w:kern w:val="0"/>
          <w:szCs w:val="24"/>
        </w:rPr>
      </w:pPr>
      <w:r>
        <w:rPr>
          <w:rFonts w:ascii="仿宋" w:hAnsi="仿宋" w:eastAsia="仿宋" w:cs="Arial"/>
          <w:kern w:val="0"/>
          <w:szCs w:val="24"/>
        </w:rPr>
        <w:t>20.3信用信息的使用规则：经查询列入失信被执行人名单、重大税收违法案件当事人名单、政府采购严重违法失信行为记录名单的</w:t>
      </w:r>
      <w:r>
        <w:rPr>
          <w:rFonts w:hint="eastAsia" w:ascii="仿宋" w:hAnsi="仿宋" w:eastAsia="仿宋" w:cs="Arial"/>
          <w:kern w:val="0"/>
          <w:szCs w:val="24"/>
        </w:rPr>
        <w:t>供应商</w:t>
      </w:r>
      <w:r>
        <w:rPr>
          <w:rFonts w:ascii="仿宋" w:hAnsi="仿宋" w:eastAsia="仿宋" w:cs="Arial"/>
          <w:kern w:val="0"/>
          <w:szCs w:val="24"/>
        </w:rPr>
        <w:t>将被拒绝参与</w:t>
      </w:r>
      <w:r>
        <w:rPr>
          <w:rFonts w:hint="eastAsia" w:ascii="仿宋" w:hAnsi="仿宋" w:eastAsia="仿宋" w:cs="Arial"/>
          <w:kern w:val="0"/>
          <w:szCs w:val="24"/>
        </w:rPr>
        <w:t>采购</w:t>
      </w:r>
      <w:r>
        <w:rPr>
          <w:rFonts w:ascii="仿宋" w:hAnsi="仿宋" w:eastAsia="仿宋" w:cs="Arial"/>
          <w:kern w:val="0"/>
          <w:szCs w:val="24"/>
        </w:rPr>
        <w:t>活动。</w:t>
      </w:r>
    </w:p>
    <w:p>
      <w:pPr>
        <w:pStyle w:val="133"/>
        <w:spacing w:before="0"/>
        <w:ind w:firstLine="480"/>
        <w:rPr>
          <w:rFonts w:ascii="仿宋" w:hAnsi="仿宋" w:eastAsia="仿宋" w:cs="仿宋_GB2312"/>
        </w:rPr>
      </w:pPr>
      <w:r>
        <w:rPr>
          <w:rFonts w:ascii="仿宋" w:hAnsi="仿宋" w:eastAsia="仿宋" w:cs="Arial"/>
          <w:kern w:val="0"/>
          <w:szCs w:val="24"/>
        </w:rPr>
        <w:t>20.4联合体信用信息查询：两个以上的自然人、法人或者其他组织组成一个联合体，以一个供应商的身份共同参加</w:t>
      </w:r>
      <w:r>
        <w:rPr>
          <w:rFonts w:hint="eastAsia" w:ascii="仿宋" w:hAnsi="仿宋" w:eastAsia="仿宋" w:cs="Arial"/>
          <w:kern w:val="0"/>
          <w:szCs w:val="24"/>
        </w:rPr>
        <w:t>采购</w:t>
      </w:r>
      <w:r>
        <w:rPr>
          <w:rFonts w:ascii="仿宋" w:hAnsi="仿宋" w:eastAsia="仿宋" w:cs="Arial"/>
          <w:kern w:val="0"/>
          <w:szCs w:val="24"/>
        </w:rPr>
        <w:t>活动的，应当对所有联合体成员进行信用记录查询，联合体成员存在不良信用记录的，视同联合体存在不良信用记录</w:t>
      </w:r>
      <w:r>
        <w:rPr>
          <w:rFonts w:hint="eastAsia" w:ascii="仿宋" w:hAnsi="仿宋" w:eastAsia="仿宋" w:cs="仿宋_GB2312"/>
        </w:rPr>
        <w:t>。</w:t>
      </w:r>
    </w:p>
    <w:p>
      <w:pPr>
        <w:snapToGrid w:val="0"/>
        <w:spacing w:line="360" w:lineRule="auto"/>
        <w:jc w:val="center"/>
        <w:outlineLvl w:val="1"/>
        <w:rPr>
          <w:rFonts w:ascii="仿宋" w:hAnsi="仿宋" w:eastAsia="仿宋" w:cs="仿宋_GB2312"/>
          <w:b/>
          <w:sz w:val="36"/>
          <w:szCs w:val="36"/>
        </w:rPr>
      </w:pPr>
      <w:bookmarkStart w:id="21" w:name="_Toc25446"/>
      <w:bookmarkStart w:id="22" w:name="_Toc98147528"/>
      <w:bookmarkStart w:id="23" w:name="_Toc20715"/>
      <w:r>
        <w:rPr>
          <w:rFonts w:hint="eastAsia" w:ascii="仿宋" w:hAnsi="仿宋" w:eastAsia="仿宋" w:cs="仿宋_GB2312"/>
          <w:b/>
          <w:sz w:val="36"/>
          <w:szCs w:val="36"/>
        </w:rPr>
        <w:t>五、磋商评审</w:t>
      </w:r>
      <w:bookmarkEnd w:id="21"/>
      <w:bookmarkEnd w:id="22"/>
      <w:bookmarkEnd w:id="23"/>
    </w:p>
    <w:p>
      <w:pPr>
        <w:spacing w:line="360" w:lineRule="auto"/>
        <w:rPr>
          <w:rFonts w:ascii="仿宋" w:hAnsi="仿宋" w:eastAsia="仿宋" w:cs="仿宋_GB2312"/>
          <w:b/>
          <w:sz w:val="24"/>
        </w:rPr>
      </w:pPr>
      <w:bookmarkStart w:id="24" w:name="_Toc91899903"/>
      <w:r>
        <w:rPr>
          <w:rFonts w:ascii="仿宋" w:hAnsi="仿宋" w:eastAsia="仿宋" w:cs="仿宋_GB2312"/>
          <w:b/>
          <w:sz w:val="24"/>
        </w:rPr>
        <w:t>21.</w:t>
      </w:r>
      <w:r>
        <w:rPr>
          <w:rFonts w:hint="eastAsia" w:ascii="仿宋" w:hAnsi="仿宋" w:eastAsia="仿宋" w:cs="仿宋_GB2312"/>
          <w:sz w:val="24"/>
        </w:rPr>
        <w:t>磋商小组将根据采购文件和有关规定，履行磋商评审工作职责，并按照磋商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_GB2312"/>
          <w:b/>
          <w:sz w:val="24"/>
        </w:rPr>
        <w:t>详见采购文件第四部分磋商评审办法。</w:t>
      </w:r>
    </w:p>
    <w:p>
      <w:pPr>
        <w:snapToGrid w:val="0"/>
        <w:spacing w:line="360" w:lineRule="auto"/>
        <w:jc w:val="center"/>
        <w:outlineLvl w:val="1"/>
        <w:rPr>
          <w:rFonts w:ascii="仿宋" w:hAnsi="仿宋" w:eastAsia="仿宋" w:cs="仿宋_GB2312"/>
          <w:b/>
          <w:sz w:val="36"/>
          <w:szCs w:val="36"/>
        </w:rPr>
      </w:pPr>
      <w:bookmarkStart w:id="25" w:name="_Toc14586"/>
      <w:bookmarkStart w:id="26" w:name="_Toc98147529"/>
      <w:bookmarkStart w:id="27" w:name="_Toc534"/>
      <w:r>
        <w:rPr>
          <w:rFonts w:hint="eastAsia" w:ascii="仿宋" w:hAnsi="仿宋" w:eastAsia="仿宋" w:cs="仿宋_GB2312"/>
          <w:b/>
          <w:sz w:val="36"/>
          <w:szCs w:val="36"/>
        </w:rPr>
        <w:t>六、</w:t>
      </w:r>
      <w:bookmarkEnd w:id="25"/>
      <w:bookmarkEnd w:id="26"/>
      <w:bookmarkEnd w:id="27"/>
      <w:r>
        <w:rPr>
          <w:rFonts w:hint="eastAsia" w:ascii="仿宋" w:hAnsi="仿宋" w:eastAsia="仿宋" w:cs="仿宋_GB2312"/>
          <w:b/>
          <w:sz w:val="36"/>
          <w:szCs w:val="36"/>
        </w:rPr>
        <w:t>确定供应商</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确定成交供应商</w:t>
      </w:r>
    </w:p>
    <w:p>
      <w:pPr>
        <w:pStyle w:val="133"/>
        <w:snapToGrid w:val="0"/>
        <w:spacing w:before="0"/>
        <w:ind w:firstLine="480"/>
        <w:rPr>
          <w:rFonts w:ascii="仿宋" w:hAnsi="仿宋" w:eastAsia="仿宋" w:cs="仿宋_GB2312"/>
          <w:b/>
          <w:szCs w:val="24"/>
        </w:rPr>
      </w:pPr>
      <w:r>
        <w:rPr>
          <w:rFonts w:hint="eastAsia" w:ascii="仿宋_GB2312" w:hAnsi="仿宋" w:eastAsia="仿宋_GB2312" w:cs="仿宋_GB2312"/>
          <w:szCs w:val="24"/>
          <w:u w:val="singl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成交通知书和中标、成交结果公告应当在规定时间内同时发出。</w:t>
      </w:r>
    </w:p>
    <w:p>
      <w:pPr>
        <w:pStyle w:val="133"/>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成交通知与成交结果公告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23.1自</w:t>
      </w:r>
      <w:r>
        <w:rPr>
          <w:rFonts w:hint="eastAsia" w:ascii="仿宋" w:hAnsi="仿宋" w:eastAsia="仿宋" w:cs="仿宋_GB2312"/>
          <w:sz w:val="24"/>
        </w:rPr>
        <w:t>成交供应商</w:t>
      </w:r>
      <w:r>
        <w:rPr>
          <w:rFonts w:ascii="仿宋" w:hAnsi="仿宋" w:eastAsia="仿宋" w:cs="仿宋_GB2312"/>
          <w:sz w:val="24"/>
        </w:rPr>
        <w:t>确定之日起2个工作日内，</w:t>
      </w:r>
      <w:r>
        <w:rPr>
          <w:rFonts w:hint="eastAsia" w:ascii="仿宋" w:hAnsi="仿宋" w:eastAsia="仿宋" w:cs="仿宋_GB2312"/>
          <w:sz w:val="24"/>
        </w:rPr>
        <w:t>采购代理机构</w:t>
      </w:r>
      <w:r>
        <w:rPr>
          <w:rFonts w:ascii="仿宋" w:hAnsi="仿宋" w:eastAsia="仿宋" w:cs="仿宋_GB2312"/>
          <w:sz w:val="24"/>
        </w:rPr>
        <w:t>向</w:t>
      </w:r>
      <w:r>
        <w:rPr>
          <w:rFonts w:hint="eastAsia" w:ascii="仿宋" w:hAnsi="仿宋" w:eastAsia="仿宋" w:cs="仿宋_GB2312"/>
          <w:sz w:val="24"/>
        </w:rPr>
        <w:t>成交供应商</w:t>
      </w:r>
      <w:r>
        <w:rPr>
          <w:rFonts w:ascii="仿宋" w:hAnsi="仿宋" w:eastAsia="仿宋" w:cs="仿宋_GB2312"/>
          <w:sz w:val="24"/>
        </w:rPr>
        <w:t>发出</w:t>
      </w:r>
      <w:r>
        <w:rPr>
          <w:rFonts w:hint="eastAsia" w:ascii="仿宋" w:hAnsi="仿宋" w:eastAsia="仿宋" w:cs="仿宋_GB2312"/>
          <w:sz w:val="24"/>
        </w:rPr>
        <w:t>成交</w:t>
      </w:r>
      <w:r>
        <w:rPr>
          <w:rFonts w:ascii="仿宋" w:hAnsi="仿宋" w:eastAsia="仿宋" w:cs="仿宋_GB2312"/>
          <w:sz w:val="24"/>
        </w:rPr>
        <w:t>通知书，</w:t>
      </w:r>
      <w:r>
        <w:rPr>
          <w:rFonts w:hint="eastAsia" w:ascii="仿宋" w:hAnsi="仿宋" w:eastAsia="仿宋" w:cs="仿宋_GB2312"/>
          <w:sz w:val="24"/>
        </w:rPr>
        <w:t>同时编制发布采购结果公告。采购代理机构也可以以纸质形式进行成交通知。</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w:t>
      </w:r>
      <w:r>
        <w:rPr>
          <w:rFonts w:hint="eastAsia" w:ascii="仿宋" w:hAnsi="仿宋" w:eastAsia="仿宋" w:cs="仿宋_GB2312"/>
          <w:sz w:val="24"/>
        </w:rPr>
        <w:t>成交</w:t>
      </w:r>
      <w:r>
        <w:rPr>
          <w:rFonts w:ascii="仿宋" w:hAnsi="仿宋" w:eastAsia="仿宋" w:cs="仿宋_GB2312"/>
          <w:sz w:val="24"/>
        </w:rPr>
        <w:t>结果公告内容包括采购人及其委托的</w:t>
      </w:r>
      <w:r>
        <w:rPr>
          <w:rFonts w:hint="eastAsia" w:ascii="仿宋" w:hAnsi="仿宋" w:eastAsia="仿宋" w:cs="仿宋_GB2312"/>
          <w:sz w:val="24"/>
        </w:rPr>
        <w:t>采购代理机构</w:t>
      </w:r>
      <w:r>
        <w:rPr>
          <w:rFonts w:ascii="仿宋" w:hAnsi="仿宋" w:eastAsia="仿宋" w:cs="仿宋_GB2312"/>
          <w:sz w:val="24"/>
        </w:rPr>
        <w:t>的名称、地址、联系方式，项目名称和项目编号，</w:t>
      </w:r>
      <w:r>
        <w:rPr>
          <w:rFonts w:hint="eastAsia" w:ascii="仿宋" w:hAnsi="仿宋" w:eastAsia="仿宋" w:cs="仿宋_GB2312"/>
          <w:sz w:val="24"/>
        </w:rPr>
        <w:t>成交供应商</w:t>
      </w:r>
      <w:r>
        <w:rPr>
          <w:rFonts w:ascii="仿宋" w:hAnsi="仿宋" w:eastAsia="仿宋" w:cs="仿宋_GB2312"/>
          <w:sz w:val="24"/>
        </w:rPr>
        <w:t>名称、地址和</w:t>
      </w:r>
      <w:r>
        <w:rPr>
          <w:rFonts w:hint="eastAsia" w:ascii="仿宋" w:hAnsi="仿宋" w:eastAsia="仿宋" w:cs="仿宋_GB2312"/>
          <w:sz w:val="24"/>
        </w:rPr>
        <w:t>成交</w:t>
      </w:r>
      <w:r>
        <w:rPr>
          <w:rFonts w:ascii="仿宋" w:hAnsi="仿宋" w:eastAsia="仿宋" w:cs="仿宋_GB2312"/>
          <w:sz w:val="24"/>
        </w:rPr>
        <w:t>金额，主要</w:t>
      </w:r>
      <w:r>
        <w:rPr>
          <w:rFonts w:hint="eastAsia" w:ascii="仿宋" w:hAnsi="仿宋" w:eastAsia="仿宋" w:cs="仿宋_GB2312"/>
          <w:sz w:val="24"/>
        </w:rPr>
        <w:t>成交</w:t>
      </w:r>
      <w:r>
        <w:rPr>
          <w:rFonts w:ascii="仿宋" w:hAnsi="仿宋" w:eastAsia="仿宋" w:cs="仿宋_GB2312"/>
          <w:sz w:val="24"/>
        </w:rPr>
        <w:t>标的</w:t>
      </w:r>
      <w:r>
        <w:rPr>
          <w:rFonts w:hint="eastAsia" w:ascii="仿宋" w:hAnsi="仿宋" w:eastAsia="仿宋" w:cs="仿宋_GB2312"/>
          <w:sz w:val="24"/>
        </w:rPr>
        <w:t>的名称、数量、单价、服务要求，成交公告期限以及评审专家名单。</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23.3公告期限为1个工作日。</w:t>
      </w:r>
    </w:p>
    <w:p>
      <w:pPr>
        <w:snapToGrid w:val="0"/>
        <w:spacing w:line="360" w:lineRule="auto"/>
        <w:ind w:left="120" w:leftChars="57" w:firstLine="482" w:firstLineChars="150"/>
        <w:jc w:val="center"/>
        <w:outlineLvl w:val="1"/>
        <w:rPr>
          <w:rFonts w:ascii="仿宋" w:hAnsi="仿宋" w:eastAsia="仿宋" w:cs="仿宋_GB2312"/>
          <w:b/>
          <w:sz w:val="32"/>
        </w:rPr>
      </w:pPr>
      <w:r>
        <w:rPr>
          <w:rFonts w:hint="eastAsia" w:ascii="仿宋" w:hAnsi="仿宋" w:eastAsia="仿宋" w:cs="仿宋_GB2312"/>
          <w:b/>
          <w:sz w:val="32"/>
        </w:rPr>
        <w:t>七、合同授予</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w:t>
      </w:r>
      <w:r>
        <w:rPr>
          <w:rFonts w:hint="eastAsia" w:ascii="仿宋" w:hAnsi="仿宋" w:eastAsia="仿宋" w:cs="Arial"/>
          <w:kern w:val="0"/>
          <w:sz w:val="24"/>
        </w:rPr>
        <w:t>采购人与成交人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3"/>
        <w:snapToGrid w:val="0"/>
        <w:spacing w:before="0"/>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ascii="仿宋" w:hAnsi="仿宋" w:eastAsia="仿宋" w:cs="仿宋_GB2312"/>
        </w:rPr>
      </w:pPr>
      <w:r>
        <w:rPr>
          <w:rFonts w:ascii="仿宋" w:hAnsi="仿宋" w:eastAsia="仿宋" w:cs="仿宋_GB2312"/>
        </w:rPr>
        <w:t>25.3如签订合同并生效后，供应商无故拒绝或延期，除按照合同条款处理外，列入不良行为记录一次，并给予通报。</w:t>
      </w:r>
    </w:p>
    <w:p>
      <w:pPr>
        <w:pStyle w:val="133"/>
        <w:snapToGrid w:val="0"/>
        <w:spacing w:before="0"/>
        <w:ind w:firstLine="480"/>
        <w:rPr>
          <w:rFonts w:ascii="仿宋" w:hAnsi="仿宋" w:eastAsia="仿宋" w:cs="仿宋_GB2312"/>
        </w:rPr>
      </w:pPr>
      <w:r>
        <w:rPr>
          <w:rFonts w:ascii="仿宋" w:hAnsi="仿宋" w:eastAsia="仿宋" w:cs="仿宋_GB2312"/>
        </w:rPr>
        <w:t>25.4</w:t>
      </w:r>
      <w:r>
        <w:rPr>
          <w:rFonts w:hint="eastAsia" w:ascii="仿宋" w:hAnsi="仿宋" w:eastAsia="仿宋" w:cs="仿宋_GB2312"/>
        </w:rPr>
        <w:t>成交供应商拒绝与采购人签订合同的，采购人可以按照评审报告推荐的成交或者成交候选人名单排序，确定下一候选人为成交供应商，也可以重新开展采购活动。</w:t>
      </w:r>
    </w:p>
    <w:p>
      <w:pPr>
        <w:pStyle w:val="133"/>
        <w:snapToGrid w:val="0"/>
        <w:spacing w:before="0"/>
        <w:ind w:firstLine="480"/>
        <w:rPr>
          <w:rFonts w:ascii="仿宋" w:hAnsi="仿宋" w:eastAsia="仿宋" w:cs="仿宋_GB2312"/>
        </w:rPr>
      </w:pPr>
      <w:r>
        <w:rPr>
          <w:rFonts w:hint="eastAsia" w:ascii="仿宋" w:hAnsi="仿宋" w:eastAsia="仿宋" w:cs="仿宋_GB2312"/>
        </w:rPr>
        <w:t>25.5采购合同由采购人与成交供应商根据采购文件、响应文件等内容通过政府采购电子交易平台在线签订，自动备案。</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pacing w:line="360" w:lineRule="auto"/>
        <w:ind w:firstLine="482"/>
        <w:rPr>
          <w:rFonts w:ascii="仿宋" w:hAnsi="仿宋" w:eastAsia="仿宋"/>
          <w:b/>
          <w:sz w:val="24"/>
        </w:rPr>
      </w:pPr>
      <w:r>
        <w:rPr>
          <w:rFonts w:hint="eastAsia" w:ascii="仿宋" w:hAnsi="仿宋" w:eastAsia="仿宋" w:cs="Helvetica"/>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sz w:val="24"/>
        </w:rPr>
        <w:t>。履约保证金的数额不得超过合同价金额的1</w:t>
      </w:r>
      <w:r>
        <w:rPr>
          <w:rFonts w:ascii="仿宋" w:hAnsi="仿宋" w:eastAsia="仿宋"/>
          <w:sz w:val="24"/>
        </w:rPr>
        <w:t>%。</w:t>
      </w:r>
      <w:r>
        <w:rPr>
          <w:rFonts w:hint="eastAsia" w:ascii="仿宋" w:hAnsi="仿宋" w:eastAsia="仿宋"/>
          <w:sz w:val="24"/>
        </w:rPr>
        <w:t>鼓励和支持供应商以银行、保险公司出具的保函形式提供履约保证金。</w:t>
      </w:r>
      <w:r>
        <w:rPr>
          <w:rFonts w:hint="eastAsia" w:ascii="仿宋" w:hAnsi="仿宋" w:eastAsia="仿宋"/>
          <w:b/>
          <w:sz w:val="24"/>
        </w:rPr>
        <w:t>采购人不得拒收履约保函。</w:t>
      </w:r>
    </w:p>
    <w:p>
      <w:pPr>
        <w:tabs>
          <w:tab w:val="left" w:pos="0"/>
        </w:tabs>
        <w:spacing w:line="360" w:lineRule="auto"/>
        <w:ind w:firstLine="482"/>
        <w:rPr>
          <w:rFonts w:ascii="仿宋_GB2312" w:hAnsi="仿宋" w:eastAsia="仿宋_GB2312" w:cs="仿宋_GB2312"/>
          <w:sz w:val="24"/>
          <w:szCs w:val="20"/>
          <w:highlight w:val="yellow"/>
        </w:rPr>
      </w:pPr>
      <w:r>
        <w:rPr>
          <w:rFonts w:hint="eastAsia" w:ascii="仿宋_GB2312" w:hAnsi="仿宋" w:eastAsia="仿宋_GB2312" w:cs="仿宋_GB2312"/>
          <w:sz w:val="24"/>
          <w:szCs w:val="20"/>
          <w:highlight w:val="yellow"/>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w:t>
      </w:r>
      <w:r>
        <w:rPr>
          <w:rFonts w:ascii="仿宋_GB2312" w:hAnsi="仿宋" w:eastAsia="仿宋_GB2312" w:cs="仿宋_GB2312"/>
          <w:sz w:val="24"/>
          <w:szCs w:val="20"/>
          <w:highlight w:val="yellow"/>
        </w:rPr>
        <w:t>90</w:t>
      </w:r>
      <w:r>
        <w:rPr>
          <w:rFonts w:hint="eastAsia" w:ascii="仿宋_GB2312" w:hAnsi="仿宋" w:eastAsia="仿宋_GB2312" w:cs="仿宋_GB2312"/>
          <w:sz w:val="24"/>
          <w:szCs w:val="20"/>
          <w:highlight w:val="yellow"/>
        </w:rPr>
        <w:t>分以下或者暂无评分的，收取履约保证金不得高于合同金额1%。</w:t>
      </w:r>
    </w:p>
    <w:p>
      <w:pPr>
        <w:tabs>
          <w:tab w:val="left" w:pos="0"/>
        </w:tabs>
        <w:spacing w:line="360" w:lineRule="auto"/>
        <w:ind w:firstLine="482"/>
        <w:rPr>
          <w:rFonts w:ascii="仿宋" w:hAnsi="仿宋" w:eastAsia="仿宋"/>
          <w:b/>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outlineLvl w:val="1"/>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4"/>
        <w:spacing w:line="360" w:lineRule="auto"/>
        <w:ind w:firstLine="0" w:firstLineChars="0"/>
        <w:rPr>
          <w:rFonts w:ascii="仿宋" w:hAnsi="仿宋" w:eastAsia="仿宋" w:cs="仿宋_GB2312"/>
          <w:b/>
        </w:rPr>
      </w:pPr>
      <w:r>
        <w:rPr>
          <w:rFonts w:ascii="仿宋" w:hAnsi="仿宋" w:eastAsia="仿宋" w:cs="仿宋_GB2312"/>
          <w:b/>
        </w:rPr>
        <w:t>2</w:t>
      </w:r>
      <w:r>
        <w:rPr>
          <w:rFonts w:hint="eastAsia" w:ascii="仿宋" w:hAnsi="仿宋" w:eastAsia="仿宋" w:cs="仿宋_GB2312"/>
          <w:b/>
        </w:rPr>
        <w:t>9</w:t>
      </w:r>
      <w:r>
        <w:rPr>
          <w:rFonts w:ascii="仿宋" w:hAnsi="仿宋" w:eastAsia="仿宋" w:cs="仿宋_GB2312"/>
          <w:b/>
        </w:rPr>
        <w:t>.验收</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rPr>
        <w:t>9</w:t>
      </w:r>
      <w:r>
        <w:rPr>
          <w:rFonts w:ascii="仿宋" w:hAnsi="仿宋" w:eastAsia="仿宋" w:cs="Helvetica"/>
          <w:kern w:val="0"/>
          <w:sz w:val="24"/>
        </w:rPr>
        <w:t>.1采购人组织对供应商履约的验收。验收方成员应当在验收书上签字，并承担相应的法律责任。如果发现与合同中要求不符，供应商须承担由此发生的一切损失和费用，并接受相应的处理。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rPr>
        <w:t>9</w:t>
      </w:r>
      <w:r>
        <w:rPr>
          <w:rFonts w:ascii="仿宋" w:hAnsi="仿宋" w:eastAsia="仿宋" w:cs="Helvetica"/>
          <w:kern w:val="0"/>
          <w:sz w:val="24"/>
        </w:rPr>
        <w:t>.2采购人可以邀请参加本项目的其他</w:t>
      </w:r>
      <w:r>
        <w:rPr>
          <w:rFonts w:hint="eastAsia" w:ascii="仿宋" w:hAnsi="仿宋" w:eastAsia="仿宋" w:cs="Helvetica"/>
          <w:kern w:val="0"/>
          <w:sz w:val="24"/>
        </w:rPr>
        <w:t>供应商</w:t>
      </w:r>
      <w:r>
        <w:rPr>
          <w:rFonts w:ascii="仿宋" w:hAnsi="仿宋" w:eastAsia="仿宋" w:cs="Helvetica"/>
          <w:kern w:val="0"/>
          <w:sz w:val="24"/>
        </w:rPr>
        <w:t>或者第三方机构参与验收。参与验收的</w:t>
      </w:r>
      <w:r>
        <w:rPr>
          <w:rFonts w:hint="eastAsia" w:ascii="仿宋" w:hAnsi="仿宋" w:eastAsia="仿宋" w:cs="Helvetica"/>
          <w:kern w:val="0"/>
          <w:sz w:val="24"/>
        </w:rPr>
        <w:t>供应商</w:t>
      </w:r>
      <w:r>
        <w:rPr>
          <w:rFonts w:ascii="仿宋" w:hAnsi="仿宋" w:eastAsia="仿宋" w:cs="Helvetica"/>
          <w:kern w:val="0"/>
          <w:sz w:val="24"/>
        </w:rPr>
        <w:t>或者第三方机构的意见作为</w:t>
      </w:r>
      <w:r>
        <w:rPr>
          <w:rFonts w:hint="eastAsia" w:ascii="仿宋" w:hAnsi="仿宋" w:eastAsia="仿宋" w:cs="Helvetica"/>
          <w:kern w:val="0"/>
          <w:sz w:val="24"/>
        </w:rPr>
        <w:t>验收书的参考资料一并存档。</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rPr>
        <w:t>9</w:t>
      </w:r>
      <w:r>
        <w:rPr>
          <w:rFonts w:ascii="仿宋" w:hAnsi="仿宋" w:eastAsia="仿宋" w:cs="Helvetic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rPr>
        <w:t>9</w:t>
      </w:r>
      <w:r>
        <w:rPr>
          <w:rFonts w:ascii="仿宋" w:hAnsi="仿宋" w:eastAsia="仿宋" w:cs="Helvetic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行政主管部门。</w:t>
      </w:r>
    </w:p>
    <w:bookmarkEnd w:id="24"/>
    <w:p>
      <w:pPr>
        <w:tabs>
          <w:tab w:val="left" w:pos="0"/>
        </w:tabs>
        <w:spacing w:line="360" w:lineRule="auto"/>
        <w:ind w:firstLine="480"/>
        <w:rPr>
          <w:rFonts w:ascii="仿宋" w:hAnsi="仿宋" w:eastAsia="仿宋" w:cs="Helvetica"/>
          <w:kern w:val="0"/>
          <w:sz w:val="24"/>
        </w:rPr>
        <w:sectPr>
          <w:footerReference r:id="rId10" w:type="default"/>
          <w:pgSz w:w="11905" w:h="16838"/>
          <w:pgMar w:top="1134" w:right="1417" w:bottom="1134" w:left="1417" w:header="454" w:footer="425" w:gutter="0"/>
          <w:pgNumType w:start="1"/>
          <w:cols w:space="0" w:num="1"/>
          <w:docGrid w:linePitch="312" w:charSpace="0"/>
        </w:sectPr>
      </w:pPr>
      <w:bookmarkStart w:id="28" w:name="_Hlt68057669"/>
      <w:bookmarkEnd w:id="28"/>
      <w:bookmarkStart w:id="29" w:name="_Hlt75236101"/>
      <w:bookmarkEnd w:id="29"/>
      <w:bookmarkStart w:id="30" w:name="_Hlt68403820"/>
      <w:bookmarkEnd w:id="30"/>
      <w:bookmarkStart w:id="31" w:name="_Hlt68072990"/>
      <w:bookmarkEnd w:id="31"/>
      <w:bookmarkStart w:id="32" w:name="_Hlt68072998"/>
      <w:bookmarkEnd w:id="32"/>
      <w:bookmarkStart w:id="33" w:name="_Hlt74730295"/>
      <w:bookmarkEnd w:id="33"/>
      <w:bookmarkStart w:id="34" w:name="_Hlt75236290"/>
      <w:bookmarkEnd w:id="34"/>
      <w:bookmarkStart w:id="35" w:name="_Hlt74714665"/>
      <w:bookmarkEnd w:id="35"/>
      <w:bookmarkStart w:id="36" w:name="_Hlt74707468"/>
      <w:bookmarkEnd w:id="36"/>
      <w:bookmarkStart w:id="37" w:name="_Hlt74729768"/>
      <w:bookmarkEnd w:id="37"/>
      <w:bookmarkStart w:id="38" w:name="_Hlt75236011"/>
      <w:bookmarkEnd w:id="38"/>
      <w:bookmarkStart w:id="39" w:name="_Hlt68073093"/>
      <w:bookmarkEnd w:id="39"/>
    </w:p>
    <w:bookmarkEnd w:id="5"/>
    <w:bookmarkEnd w:id="6"/>
    <w:p>
      <w:pPr>
        <w:spacing w:line="360" w:lineRule="auto"/>
        <w:jc w:val="center"/>
        <w:outlineLvl w:val="0"/>
        <w:rPr>
          <w:rFonts w:ascii="仿宋" w:hAnsi="仿宋" w:eastAsia="仿宋" w:cs="仿宋_GB2312"/>
          <w:b/>
          <w:sz w:val="36"/>
          <w:szCs w:val="36"/>
        </w:rPr>
      </w:pPr>
      <w:bookmarkStart w:id="40" w:name="_Toc98147530"/>
      <w:bookmarkStart w:id="41" w:name="第四部分"/>
      <w:r>
        <w:rPr>
          <w:rFonts w:hint="eastAsia" w:ascii="仿宋" w:hAnsi="仿宋" w:eastAsia="仿宋" w:cs="仿宋_GB2312"/>
          <w:b/>
          <w:sz w:val="36"/>
          <w:szCs w:val="20"/>
        </w:rPr>
        <w:t>第三部分   采购内容及需求</w:t>
      </w:r>
      <w:bookmarkEnd w:id="40"/>
    </w:p>
    <w:p>
      <w:pPr>
        <w:spacing w:line="360" w:lineRule="auto"/>
        <w:ind w:firstLine="472" w:firstLineChars="196"/>
        <w:outlineLvl w:val="1"/>
        <w:rPr>
          <w:rFonts w:ascii="仿宋" w:hAnsi="仿宋" w:eastAsia="仿宋" w:cs="仿宋"/>
          <w:b/>
          <w:sz w:val="24"/>
        </w:rPr>
      </w:pPr>
      <w:r>
        <w:rPr>
          <w:rFonts w:hint="eastAsia" w:ascii="仿宋" w:hAnsi="仿宋" w:eastAsia="仿宋" w:cs="仿宋"/>
          <w:b/>
          <w:sz w:val="24"/>
          <w:lang w:bidi="ar"/>
        </w:rPr>
        <w:t>一、项目名称</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2022-2024进化镇古建筑及河上镇东山村白蚁综合治理</w:t>
      </w:r>
    </w:p>
    <w:p>
      <w:pPr>
        <w:pStyle w:val="60"/>
        <w:widowControl/>
        <w:spacing w:line="360" w:lineRule="auto"/>
        <w:ind w:firstLine="482" w:firstLineChars="200"/>
        <w:outlineLvl w:val="1"/>
        <w:rPr>
          <w:rFonts w:ascii="仿宋" w:hAnsi="仿宋" w:eastAsia="仿宋" w:cs="仿宋"/>
          <w:b/>
          <w:szCs w:val="24"/>
        </w:rPr>
      </w:pPr>
      <w:r>
        <w:rPr>
          <w:rFonts w:hint="eastAsia" w:ascii="仿宋" w:hAnsi="仿宋" w:eastAsia="仿宋" w:cs="仿宋"/>
          <w:b/>
          <w:szCs w:val="24"/>
        </w:rPr>
        <w:t>二、采购内容</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本项目采购内容为2022-2024进化镇古建筑及河上镇东山村白蚁综合治理，主要工作任务为完成甲方指定的进化镇古建筑和河上镇东山村的蚁害勘察、方案制作和综合治理工作。</w:t>
      </w:r>
    </w:p>
    <w:p>
      <w:pPr>
        <w:pStyle w:val="60"/>
        <w:widowControl/>
        <w:spacing w:line="360" w:lineRule="auto"/>
        <w:ind w:firstLine="482" w:firstLineChars="200"/>
        <w:outlineLvl w:val="1"/>
        <w:rPr>
          <w:rFonts w:ascii="仿宋" w:hAnsi="仿宋" w:eastAsia="仿宋" w:cs="仿宋"/>
          <w:szCs w:val="24"/>
        </w:rPr>
      </w:pPr>
      <w:r>
        <w:rPr>
          <w:rFonts w:hint="eastAsia" w:ascii="仿宋" w:hAnsi="仿宋" w:eastAsia="仿宋" w:cs="仿宋"/>
          <w:b/>
          <w:szCs w:val="24"/>
        </w:rPr>
        <w:t>三、服务期及工作安排要求</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本项目白蚁综合治理期限为合同签订次日起至2024年11月10日。其中：</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 xml:space="preserve">(1)合同签订次日起至2022年10月31日前,完成本项目首年白蚁治理、监测装置安装工作并通过中间验收； </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(2)项目通过中间验收之日起至2024年11月10日，对安装的监测装置进行检查、维护和处理以及清除治理区域内残留蚁患；通过为期三年治理，将防治对象的白蚁危害彻底消除，外围白蚁活动纳入监控。</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 xml:space="preserve">备注：作为白蚁监测控制技术治理古建筑白蚁的补充，为进一步确保治理效果，在本合同期限内，对甲方指定的需修缮的建筑，乙方应配合修缮进度进行液剂预防白蚁处理，同时乙方不向甲方收取任何费用； </w:t>
      </w:r>
    </w:p>
    <w:p>
      <w:pPr>
        <w:widowControl/>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四、工作内容</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（1）采购清单</w:t>
      </w:r>
    </w:p>
    <w:tbl>
      <w:tblPr>
        <w:tblStyle w:val="62"/>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4223"/>
        <w:gridCol w:w="650"/>
        <w:gridCol w:w="100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tcBorders>
              <w:top w:val="single" w:color="auto" w:sz="8" w:space="0"/>
              <w:left w:val="single" w:color="auto" w:sz="8" w:space="0"/>
              <w:bottom w:val="single" w:color="auto" w:sz="6" w:space="0"/>
              <w:right w:val="single" w:color="auto" w:sz="6" w:space="0"/>
            </w:tcBorders>
            <w:shd w:val="clear" w:color="auto" w:fill="auto"/>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lang w:bidi="ar"/>
              </w:rPr>
              <w:t>序号</w:t>
            </w:r>
          </w:p>
        </w:tc>
        <w:tc>
          <w:tcPr>
            <w:tcW w:w="4223" w:type="dxa"/>
            <w:tcBorders>
              <w:top w:val="single" w:color="auto" w:sz="8" w:space="0"/>
              <w:left w:val="nil"/>
              <w:bottom w:val="single" w:color="auto" w:sz="6" w:space="0"/>
              <w:right w:val="single" w:color="auto" w:sz="6" w:space="0"/>
            </w:tcBorders>
            <w:shd w:val="clear" w:color="auto" w:fill="auto"/>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lang w:bidi="ar"/>
              </w:rPr>
              <w:t>采购内容</w:t>
            </w:r>
          </w:p>
        </w:tc>
        <w:tc>
          <w:tcPr>
            <w:tcW w:w="650" w:type="dxa"/>
            <w:tcBorders>
              <w:top w:val="single" w:color="auto" w:sz="8" w:space="0"/>
              <w:left w:val="nil"/>
              <w:bottom w:val="single" w:color="auto" w:sz="6" w:space="0"/>
              <w:right w:val="single" w:color="auto" w:sz="4" w:space="0"/>
            </w:tcBorders>
            <w:shd w:val="clear" w:color="auto" w:fill="auto"/>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lang w:bidi="ar"/>
              </w:rPr>
              <w:t>单位</w:t>
            </w:r>
          </w:p>
        </w:tc>
        <w:tc>
          <w:tcPr>
            <w:tcW w:w="1000" w:type="dxa"/>
            <w:tcBorders>
              <w:top w:val="single" w:color="auto" w:sz="8" w:space="0"/>
              <w:left w:val="single" w:color="auto" w:sz="6" w:space="0"/>
              <w:bottom w:val="single" w:color="auto" w:sz="6" w:space="0"/>
              <w:right w:val="single" w:color="auto" w:sz="4" w:space="0"/>
            </w:tcBorders>
            <w:shd w:val="clear" w:color="auto" w:fill="auto"/>
            <w:vAlign w:val="center"/>
          </w:tcPr>
          <w:p>
            <w:pPr>
              <w:spacing w:line="360" w:lineRule="auto"/>
              <w:jc w:val="center"/>
              <w:rPr>
                <w:rFonts w:ascii="仿宋" w:hAnsi="仿宋" w:eastAsia="仿宋" w:cs="仿宋"/>
                <w:szCs w:val="21"/>
                <w:highlight w:val="none"/>
                <w:lang w:bidi="ar"/>
              </w:rPr>
            </w:pPr>
            <w:r>
              <w:rPr>
                <w:rFonts w:hint="eastAsia" w:ascii="仿宋" w:hAnsi="仿宋" w:eastAsia="仿宋" w:cs="仿宋"/>
                <w:szCs w:val="21"/>
                <w:highlight w:val="none"/>
                <w:lang w:bidi="ar"/>
              </w:rPr>
              <w:t>数量</w:t>
            </w:r>
          </w:p>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lang w:bidi="ar"/>
              </w:rPr>
              <w:t>（暂定）</w:t>
            </w:r>
          </w:p>
        </w:tc>
        <w:tc>
          <w:tcPr>
            <w:tcW w:w="2052" w:type="dxa"/>
            <w:tcBorders>
              <w:top w:val="single" w:color="auto" w:sz="8" w:space="0"/>
              <w:left w:val="single" w:color="auto" w:sz="6" w:space="0"/>
              <w:bottom w:val="single" w:color="auto" w:sz="6" w:space="0"/>
              <w:right w:val="single" w:color="auto" w:sz="4"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rPr>
            </w:pPr>
            <w:r>
              <w:rPr>
                <w:rFonts w:hint="eastAsia" w:ascii="仿宋" w:hAnsi="仿宋" w:eastAsia="仿宋" w:cs="仿宋"/>
                <w:sz w:val="21"/>
                <w:szCs w:val="21"/>
                <w:highlight w:val="none"/>
              </w:rPr>
              <w:t>综合单价</w:t>
            </w:r>
            <w:r>
              <w:rPr>
                <w:rFonts w:hint="eastAsia" w:ascii="仿宋" w:hAnsi="仿宋" w:eastAsia="仿宋" w:cs="仿宋"/>
                <w:sz w:val="21"/>
                <w:szCs w:val="21"/>
                <w:highlight w:val="none"/>
                <w:lang w:val="en-US"/>
              </w:rPr>
              <w:t>响应报价最高限价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73" w:type="dxa"/>
            <w:tcBorders>
              <w:top w:val="single" w:color="auto" w:sz="6" w:space="0"/>
              <w:left w:val="single" w:color="auto" w:sz="8" w:space="0"/>
              <w:right w:val="single" w:color="auto" w:sz="6" w:space="0"/>
            </w:tcBorders>
            <w:shd w:val="clear" w:color="auto" w:fill="auto"/>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lang w:bidi="ar"/>
              </w:rPr>
              <w:t>1</w:t>
            </w:r>
          </w:p>
        </w:tc>
        <w:tc>
          <w:tcPr>
            <w:tcW w:w="4223" w:type="dxa"/>
            <w:tcBorders>
              <w:top w:val="single" w:color="auto" w:sz="6" w:space="0"/>
              <w:left w:val="nil"/>
              <w:right w:val="single" w:color="auto" w:sz="6"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古建筑及村落白蚁监测控制技术治理地下型监测装置安装及检查维护和灭治</w:t>
            </w:r>
          </w:p>
        </w:tc>
        <w:tc>
          <w:tcPr>
            <w:tcW w:w="650" w:type="dxa"/>
            <w:tcBorders>
              <w:top w:val="single" w:color="auto" w:sz="6" w:space="0"/>
              <w:left w:val="nil"/>
              <w:right w:val="single" w:color="auto" w:sz="4"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lang w:bidi="ar"/>
              </w:rPr>
            </w:pPr>
            <w:r>
              <w:rPr>
                <w:rFonts w:hint="eastAsia" w:ascii="仿宋" w:hAnsi="仿宋" w:eastAsia="仿宋" w:cs="仿宋"/>
                <w:sz w:val="21"/>
                <w:szCs w:val="21"/>
                <w:highlight w:val="none"/>
                <w:lang w:val="en-US"/>
              </w:rPr>
              <w:t>点位</w:t>
            </w:r>
          </w:p>
        </w:tc>
        <w:tc>
          <w:tcPr>
            <w:tcW w:w="1000" w:type="dxa"/>
            <w:tcBorders>
              <w:top w:val="single" w:color="auto" w:sz="6" w:space="0"/>
              <w:left w:val="single" w:color="auto" w:sz="6" w:space="0"/>
              <w:right w:val="single" w:color="auto" w:sz="4"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lang w:bidi="ar"/>
              </w:rPr>
            </w:pPr>
            <w:r>
              <w:rPr>
                <w:rFonts w:hint="eastAsia" w:ascii="仿宋" w:hAnsi="仿宋" w:eastAsia="仿宋" w:cs="仿宋"/>
                <w:sz w:val="21"/>
                <w:szCs w:val="21"/>
                <w:highlight w:val="none"/>
              </w:rPr>
              <w:t>600</w:t>
            </w:r>
          </w:p>
        </w:tc>
        <w:tc>
          <w:tcPr>
            <w:tcW w:w="205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175.53元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73" w:type="dxa"/>
            <w:tcBorders>
              <w:top w:val="single" w:color="auto" w:sz="6" w:space="0"/>
              <w:left w:val="single" w:color="auto" w:sz="8" w:space="0"/>
              <w:right w:val="single" w:color="auto" w:sz="6" w:space="0"/>
            </w:tcBorders>
            <w:shd w:val="clear" w:color="auto" w:fill="auto"/>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lang w:bidi="ar"/>
              </w:rPr>
              <w:t>2</w:t>
            </w:r>
          </w:p>
        </w:tc>
        <w:tc>
          <w:tcPr>
            <w:tcW w:w="4223" w:type="dxa"/>
            <w:tcBorders>
              <w:top w:val="single" w:color="auto" w:sz="6" w:space="0"/>
              <w:left w:val="nil"/>
              <w:right w:val="single" w:color="auto" w:sz="6"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古建筑及村落白蚁监测控制技术治理地上型监测装置安装和检查维护灭治</w:t>
            </w:r>
          </w:p>
        </w:tc>
        <w:tc>
          <w:tcPr>
            <w:tcW w:w="650" w:type="dxa"/>
            <w:tcBorders>
              <w:top w:val="single" w:color="auto" w:sz="6" w:space="0"/>
              <w:left w:val="nil"/>
              <w:right w:val="single" w:color="auto" w:sz="4"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lang w:bidi="ar"/>
              </w:rPr>
            </w:pPr>
            <w:r>
              <w:rPr>
                <w:rFonts w:hint="eastAsia" w:ascii="仿宋" w:hAnsi="仿宋" w:eastAsia="仿宋" w:cs="仿宋"/>
                <w:sz w:val="21"/>
                <w:szCs w:val="21"/>
                <w:highlight w:val="none"/>
                <w:lang w:val="en-US"/>
              </w:rPr>
              <w:t>点位</w:t>
            </w:r>
          </w:p>
        </w:tc>
        <w:tc>
          <w:tcPr>
            <w:tcW w:w="1000" w:type="dxa"/>
            <w:tcBorders>
              <w:top w:val="single" w:color="auto" w:sz="6" w:space="0"/>
              <w:left w:val="single" w:color="auto" w:sz="6" w:space="0"/>
              <w:right w:val="single" w:color="auto" w:sz="4"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lang w:bidi="ar"/>
              </w:rPr>
            </w:pPr>
            <w:r>
              <w:rPr>
                <w:rFonts w:hint="eastAsia" w:ascii="仿宋" w:hAnsi="仿宋" w:eastAsia="仿宋" w:cs="仿宋"/>
                <w:sz w:val="21"/>
                <w:szCs w:val="21"/>
                <w:highlight w:val="none"/>
              </w:rPr>
              <w:t>470</w:t>
            </w:r>
          </w:p>
        </w:tc>
        <w:tc>
          <w:tcPr>
            <w:tcW w:w="2052"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1194.855元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73" w:type="dxa"/>
            <w:tcBorders>
              <w:left w:val="single" w:color="auto" w:sz="8" w:space="0"/>
              <w:right w:val="single" w:color="auto" w:sz="6" w:space="0"/>
            </w:tcBorders>
            <w:shd w:val="clear" w:color="auto" w:fill="auto"/>
            <w:vAlign w:val="center"/>
          </w:tcPr>
          <w:p>
            <w:pPr>
              <w:spacing w:line="360" w:lineRule="auto"/>
              <w:jc w:val="center"/>
              <w:rPr>
                <w:rFonts w:ascii="仿宋" w:hAnsi="仿宋" w:eastAsia="仿宋" w:cs="仿宋"/>
                <w:szCs w:val="21"/>
                <w:highlight w:val="none"/>
                <w:lang w:bidi="ar"/>
              </w:rPr>
            </w:pPr>
            <w:r>
              <w:rPr>
                <w:rFonts w:hint="eastAsia" w:ascii="仿宋" w:hAnsi="仿宋" w:eastAsia="仿宋" w:cs="仿宋"/>
                <w:szCs w:val="21"/>
                <w:highlight w:val="none"/>
                <w:lang w:bidi="ar"/>
              </w:rPr>
              <w:t>3</w:t>
            </w:r>
          </w:p>
        </w:tc>
        <w:tc>
          <w:tcPr>
            <w:tcW w:w="4223" w:type="dxa"/>
            <w:tcBorders>
              <w:left w:val="nil"/>
              <w:right w:val="single" w:color="auto" w:sz="6"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lang w:bidi="ar"/>
              </w:rPr>
            </w:pPr>
            <w:r>
              <w:rPr>
                <w:rFonts w:hint="eastAsia" w:ascii="仿宋" w:hAnsi="仿宋" w:eastAsia="仿宋" w:cs="仿宋"/>
                <w:sz w:val="21"/>
                <w:szCs w:val="21"/>
                <w:highlight w:val="none"/>
                <w:lang w:bidi="ar"/>
              </w:rPr>
              <w:t>村落砖混、钢混结构房屋白蚁治理</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60"/>
              <w:widowControl/>
              <w:spacing w:line="360" w:lineRule="auto"/>
              <w:ind w:firstLine="0"/>
              <w:jc w:val="center"/>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val="en-US" w:eastAsia="zh-CN"/>
              </w:rPr>
              <w:t>户</w:t>
            </w:r>
          </w:p>
        </w:tc>
        <w:tc>
          <w:tcPr>
            <w:tcW w:w="1000" w:type="dxa"/>
            <w:tcBorders>
              <w:top w:val="single" w:color="auto" w:sz="4" w:space="0"/>
              <w:left w:val="single" w:color="auto" w:sz="6" w:space="0"/>
              <w:bottom w:val="single" w:color="auto" w:sz="4" w:space="0"/>
              <w:right w:val="single" w:color="auto" w:sz="4" w:space="0"/>
            </w:tcBorders>
            <w:shd w:val="clear" w:color="auto" w:fill="auto"/>
            <w:vAlign w:val="center"/>
          </w:tcPr>
          <w:p>
            <w:pPr>
              <w:pStyle w:val="60"/>
              <w:widowControl/>
              <w:spacing w:line="360" w:lineRule="auto"/>
              <w:ind w:firstLine="0"/>
              <w:jc w:val="center"/>
              <w:rPr>
                <w:rFonts w:ascii="仿宋" w:hAnsi="仿宋" w:eastAsia="仿宋" w:cs="仿宋"/>
                <w:sz w:val="21"/>
                <w:szCs w:val="21"/>
                <w:highlight w:val="none"/>
                <w:lang w:bidi="ar"/>
              </w:rPr>
            </w:pPr>
            <w:r>
              <w:rPr>
                <w:rFonts w:hint="eastAsia" w:ascii="仿宋" w:hAnsi="仿宋" w:eastAsia="仿宋" w:cs="仿宋"/>
                <w:sz w:val="21"/>
                <w:szCs w:val="21"/>
                <w:highlight w:val="none"/>
              </w:rPr>
              <w:t>40</w:t>
            </w:r>
          </w:p>
        </w:tc>
        <w:tc>
          <w:tcPr>
            <w:tcW w:w="205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ascii="仿宋" w:hAnsi="仿宋" w:eastAsia="仿宋" w:cs="仿宋"/>
                <w:sz w:val="21"/>
                <w:szCs w:val="21"/>
                <w:highlight w:val="none"/>
                <w:lang w:val="en-US" w:bidi="ar"/>
              </w:rPr>
            </w:pPr>
            <w:r>
              <w:rPr>
                <w:rFonts w:hint="eastAsia" w:ascii="仿宋" w:hAnsi="仿宋" w:eastAsia="仿宋" w:cs="仿宋"/>
                <w:i w:val="0"/>
                <w:iCs w:val="0"/>
                <w:color w:val="000000"/>
                <w:kern w:val="0"/>
                <w:sz w:val="21"/>
                <w:szCs w:val="21"/>
                <w:u w:val="none"/>
                <w:lang w:val="en-US" w:eastAsia="zh-CN" w:bidi="ar"/>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446" w:type="dxa"/>
            <w:gridSpan w:val="4"/>
            <w:tcBorders>
              <w:left w:val="single" w:color="auto" w:sz="8" w:space="0"/>
              <w:bottom w:val="single" w:color="auto" w:sz="6" w:space="0"/>
              <w:right w:val="single" w:color="auto" w:sz="4" w:space="0"/>
            </w:tcBorders>
            <w:shd w:val="clear" w:color="auto" w:fill="auto"/>
            <w:vAlign w:val="center"/>
          </w:tcPr>
          <w:p>
            <w:pPr>
              <w:pStyle w:val="60"/>
              <w:widowControl/>
              <w:spacing w:line="360" w:lineRule="auto"/>
              <w:ind w:firstLine="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最高限价（合计）</w:t>
            </w:r>
          </w:p>
        </w:tc>
        <w:tc>
          <w:tcPr>
            <w:tcW w:w="2052" w:type="dxa"/>
            <w:tcBorders>
              <w:top w:val="single" w:color="auto" w:sz="4" w:space="0"/>
              <w:left w:val="single" w:color="auto" w:sz="6" w:space="0"/>
              <w:bottom w:val="single" w:color="auto" w:sz="6" w:space="0"/>
              <w:right w:val="single" w:color="auto" w:sz="4" w:space="0"/>
            </w:tcBorders>
            <w:shd w:val="clear" w:color="auto" w:fill="auto"/>
            <w:vAlign w:val="center"/>
          </w:tcPr>
          <w:p>
            <w:pPr>
              <w:pStyle w:val="60"/>
              <w:widowControl/>
              <w:spacing w:line="360" w:lineRule="auto"/>
              <w:ind w:firstLine="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678900</w:t>
            </w:r>
            <w:r>
              <w:rPr>
                <w:rFonts w:hint="eastAsia" w:ascii="仿宋" w:hAnsi="仿宋" w:eastAsia="仿宋" w:cs="仿宋"/>
                <w:sz w:val="21"/>
                <w:szCs w:val="21"/>
                <w:highlight w:val="none"/>
                <w:lang w:val="en-US" w:eastAsia="zh-CN"/>
              </w:rPr>
              <w:t>元</w:t>
            </w:r>
          </w:p>
        </w:tc>
      </w:tr>
    </w:tbl>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highlight w:val="none"/>
        </w:rPr>
        <w:t>注：1.采购清单中的数量仅供参考，具体以成交后甲方提出实际施工项目需</w:t>
      </w:r>
      <w:r>
        <w:rPr>
          <w:rFonts w:hint="eastAsia" w:ascii="仿宋" w:hAnsi="仿宋" w:eastAsia="仿宋" w:cs="仿宋"/>
          <w:b/>
          <w:szCs w:val="24"/>
        </w:rPr>
        <w:t>求为准。</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 xml:space="preserve">  </w:t>
      </w:r>
      <w:r>
        <w:rPr>
          <w:rFonts w:hint="eastAsia" w:ascii="仿宋" w:hAnsi="仿宋" w:eastAsia="仿宋" w:cs="仿宋"/>
          <w:b/>
          <w:szCs w:val="24"/>
          <w:lang w:val="en-US"/>
        </w:rPr>
        <w:t xml:space="preserve"> 2</w:t>
      </w:r>
      <w:r>
        <w:rPr>
          <w:rFonts w:hint="eastAsia" w:ascii="仿宋" w:hAnsi="仿宋" w:eastAsia="仿宋" w:cs="仿宋"/>
          <w:b/>
          <w:szCs w:val="24"/>
        </w:rPr>
        <w:t>.上表项目如因现场情况导致白蚁防治无法实施，采购人不向成交单位承担任何责任。</w:t>
      </w:r>
    </w:p>
    <w:p>
      <w:pPr>
        <w:pStyle w:val="60"/>
        <w:widowControl/>
        <w:spacing w:line="360" w:lineRule="auto"/>
        <w:ind w:firstLine="482" w:firstLineChars="200"/>
        <w:outlineLvl w:val="1"/>
        <w:rPr>
          <w:rFonts w:ascii="仿宋" w:hAnsi="仿宋" w:eastAsia="仿宋" w:cs="仿宋"/>
          <w:b/>
          <w:szCs w:val="24"/>
        </w:rPr>
      </w:pPr>
      <w:r>
        <w:rPr>
          <w:rFonts w:hint="eastAsia" w:ascii="仿宋" w:hAnsi="仿宋" w:eastAsia="仿宋" w:cs="仿宋"/>
          <w:b/>
          <w:szCs w:val="24"/>
        </w:rPr>
        <w:t>五、技术要求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为降低药剂对人体健康和环境安全的风险，减少人居环境白蚁防治药剂的使用,本项目应采用白蚁监测控制技术进行蚁害治理和白蚁活动监控，使用的灭治药剂应以饵剂为主。为确保治理效果，根据现场实际可局部使用粉剂或液剂处理为辅（例如在建筑修缮时对更换的木构件进行液剂处理等）。</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本项目实施的技术标准应符合《浙江省传统村落和历史文化名城名镇名村白蚁防治技术导则》，《DB33/T1108-2018房屋白蚁监测控制系统应用技术规程》，《DB33/T1017-2018药物屏障预防房屋白蚁技术规程》。</w:t>
      </w:r>
    </w:p>
    <w:p>
      <w:pPr>
        <w:pStyle w:val="60"/>
        <w:widowControl/>
        <w:spacing w:line="360" w:lineRule="auto"/>
        <w:ind w:firstLine="482" w:firstLineChars="200"/>
        <w:outlineLvl w:val="2"/>
        <w:rPr>
          <w:rFonts w:ascii="仿宋" w:hAnsi="仿宋" w:eastAsia="仿宋" w:cs="仿宋"/>
          <w:b/>
          <w:szCs w:val="24"/>
        </w:rPr>
      </w:pPr>
      <w:r>
        <w:rPr>
          <w:rFonts w:hint="eastAsia" w:ascii="仿宋" w:hAnsi="仿宋" w:eastAsia="仿宋" w:cs="仿宋"/>
          <w:b/>
          <w:szCs w:val="24"/>
        </w:rPr>
        <w:t>（一）白蚁监测控制技术</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1.产品要求（白蚁监测装置和饵剂）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本项目使用的白蚁监测装置应具有注册商标、说明书、合格证。本项目使用的白蚁监测装置应具有地上型、地下型两种装置。监测装置配套饵剂中的杀虫有效成分应为几丁质合成抑制剂。</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（1）地下型监测装置要求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 xml:space="preserve">地下型监测装置用于安装在建筑室外的土壤中。尺寸要求装置外观高度不小于180mm，埋入地下部分直径不小于80mm，内部结构适用于饵剂投放；外壳材质应为对白蚁无趋避作用，无毒无味的塑料；外壳安装后应耐老化，可重复使用。  </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（2）地上型监测装置要求</w:t>
      </w:r>
    </w:p>
    <w:p>
      <w:pPr>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地上型监测装置用于安装在白蚁活动的部位，引诱白蚁进入取食饵剂。应在各类形状表面具有良好的安装性能。体积规格：长：140mm—150mm;宽：85 mm—95 mm；高：45mm-55mm，外壳为硬塑料材质;内部可装填饵剂。</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w:t>
      </w:r>
      <w:r>
        <w:rPr>
          <w:rFonts w:hint="eastAsia" w:ascii="仿宋" w:hAnsi="仿宋" w:eastAsia="仿宋" w:cs="仿宋"/>
          <w:b/>
          <w:szCs w:val="24"/>
          <w:lang w:val="en-US"/>
        </w:rPr>
        <w:t>3</w:t>
      </w:r>
      <w:r>
        <w:rPr>
          <w:rFonts w:hint="eastAsia" w:ascii="仿宋" w:hAnsi="仿宋" w:eastAsia="仿宋" w:cs="仿宋"/>
          <w:b/>
          <w:szCs w:val="24"/>
        </w:rPr>
        <w:t>）饵剂要求</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应对白蚁具有良好的引诱性、适口性和杀灭效果，且有效成分为几丁质合成抑制剂（氟啶脲、除虫脲、氟螨脲、氟虫脲、氟铃脲、氟苯脲、杀铃脲、灭幼脲、噻嗪酮、灭蝇胺）中的一种或几种混合物。</w:t>
      </w:r>
    </w:p>
    <w:p>
      <w:pPr>
        <w:pStyle w:val="60"/>
        <w:widowControl/>
        <w:spacing w:line="360" w:lineRule="auto"/>
        <w:ind w:firstLine="482" w:firstLineChars="200"/>
        <w:outlineLvl w:val="2"/>
        <w:rPr>
          <w:rFonts w:ascii="仿宋" w:hAnsi="仿宋" w:eastAsia="仿宋" w:cs="仿宋"/>
          <w:b/>
          <w:szCs w:val="24"/>
        </w:rPr>
      </w:pPr>
      <w:r>
        <w:rPr>
          <w:rFonts w:hint="eastAsia" w:ascii="仿宋" w:hAnsi="仿宋" w:eastAsia="仿宋" w:cs="仿宋"/>
          <w:b/>
          <w:szCs w:val="24"/>
        </w:rPr>
        <w:t>▲根据政府采购项目要求，不接受进口产品。</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2.白蚁监测装置安装基本要求</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（1）建筑物地上部位有白蚁活动应安装地上型装置。</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（2）室内监测装置宜埋设在墙角、门后、楼梯等较隐蔽的位置，也可隐藏在地面砖下；</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（3）在房屋外围环境安装监测装置时，应贴近房屋外墙；</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 xml:space="preserve">（4）地下型监测装置应触及土壤层，装置外壳周边应填实土壤； </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（5）应对安装好的监测装置编号或作记号，并在施工图上标记安装位置。</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3.白蚁监测装置检查、维护和处理的基本要求</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（1）在项目治理期内应定期对治理区域的白蚁活动情况进行检查。</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（2）白蚁监测装置的检查、维护和处理宜在白蚁活动期进行，每月不少于两次。</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3）白蚁监测装置检查维护内容应包括：1）更换装置内发霉、腐烂的饵料；2）清除装置四周的灌木、杂草，清除装置内的泥土、树根、草根等；3）驱赶进入装置内的其他生物；4）根据安装环境的变化，调整松动、积水和遭破坏的装置的安装位置，重新安装，或增减装置的数量。通过中间验收后，服务期内监测装置损坏更新、或因未达到防治目标而增减装置数量的，结算价不予调整。</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 xml:space="preserve">（4）当检查发现监测装置有白蚁个体时，应投放饵剂，在其后每周（乳白蚁、土白蚁或大白蚁）或每2周（散白蚁）检查1次，直至白蚁群体被灭杀； </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（5）应定期检查房屋内部的白蚁活动情况，如发现白蚁的活动迹象应及时进行白蚁治理。</w:t>
      </w:r>
    </w:p>
    <w:p>
      <w:pPr>
        <w:pStyle w:val="60"/>
        <w:widowControl/>
        <w:spacing w:line="360" w:lineRule="auto"/>
        <w:ind w:firstLine="482" w:firstLineChars="200"/>
        <w:outlineLvl w:val="2"/>
        <w:rPr>
          <w:rFonts w:ascii="仿宋" w:hAnsi="仿宋" w:eastAsia="仿宋" w:cs="仿宋"/>
          <w:b/>
          <w:szCs w:val="24"/>
        </w:rPr>
      </w:pPr>
      <w:r>
        <w:rPr>
          <w:rFonts w:hint="eastAsia" w:ascii="仿宋" w:hAnsi="仿宋" w:eastAsia="仿宋" w:cs="仿宋"/>
          <w:b/>
          <w:szCs w:val="24"/>
        </w:rPr>
        <w:t>（二）木构件防白蚁液剂处理</w:t>
      </w:r>
    </w:p>
    <w:p>
      <w:pPr>
        <w:spacing w:line="360" w:lineRule="auto"/>
        <w:ind w:firstLine="480"/>
        <w:rPr>
          <w:rFonts w:ascii="仿宋" w:hAnsi="仿宋" w:eastAsia="仿宋" w:cs="仿宋"/>
          <w:sz w:val="24"/>
          <w:lang w:bidi="ar"/>
        </w:rPr>
      </w:pPr>
      <w:r>
        <w:rPr>
          <w:rFonts w:hint="eastAsia" w:ascii="仿宋" w:hAnsi="仿宋" w:eastAsia="仿宋" w:cs="仿宋"/>
          <w:sz w:val="24"/>
          <w:lang w:bidi="ar"/>
        </w:rPr>
        <w:t>建筑修缮和维护时对更换的木构件进行液剂预防处理。</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1.液剂要求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液剂应拥有农药登记证、生产许可证和产品质量技术标准，登记证上的防治对象应为白蚁，施用方法应为木材和土壤处理。液剂应具有在木材和土壤上附着力强，不易流失，难挥发和对环境和人员友好的特点。</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2.液剂处理部位和要求</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（1）建筑屋面处理符合下列规定：</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1）在望板（砖）铺设完毕后，进行药物屏障处理；</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2）在防滑木条铺钉完毕，铺屋面瓦件前进行药物屏障处理。</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（2）建筑木构件处理符合下列规定：</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1）完整保留的木构件，重点处理虫孔、虫蛀部位；</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2）剔朽修补的木构件，重点处理剔除截朽部位及修补的拼缝；</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3）槽朽替换的木构件，重点处理木构件与其他构件连接的部位；</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4）复制补配的木构件，重点处理木构件与其他构件连接的部位；</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 xml:space="preserve">5）木质柱应重点处理与柱础或地面接触的截面和着地端 1000mm 高度，墙包柱或贴墙柱应整体处理； </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 xml:space="preserve">6）木质梁应重点处理与柱或其他构件榫接部位，触墙或入墙的应重点处理触墙或入墙端500mm 长度； </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7）木质门框、窗框、墙板应重点处理着地周边和贴墙周边。</w:t>
      </w:r>
    </w:p>
    <w:p>
      <w:pPr>
        <w:pStyle w:val="60"/>
        <w:widowControl/>
        <w:spacing w:line="360" w:lineRule="auto"/>
        <w:ind w:firstLine="482" w:firstLineChars="200"/>
        <w:rPr>
          <w:rFonts w:ascii="仿宋" w:hAnsi="仿宋" w:eastAsia="仿宋" w:cs="仿宋"/>
          <w:b/>
          <w:bCs/>
          <w:szCs w:val="24"/>
        </w:rPr>
      </w:pPr>
      <w:r>
        <w:rPr>
          <w:rFonts w:hint="eastAsia" w:ascii="仿宋" w:hAnsi="仿宋" w:eastAsia="仿宋" w:cs="仿宋"/>
          <w:b/>
          <w:bCs/>
          <w:szCs w:val="24"/>
        </w:rPr>
        <w:t>（3）木构件处理在木构件落架修复完毕或制作完成后，或安装到位并嵌补腻子前，或木椽及遮椽板加工完成后，配合维修工程进行。</w:t>
      </w:r>
    </w:p>
    <w:p>
      <w:pPr>
        <w:pStyle w:val="60"/>
        <w:widowControl/>
        <w:spacing w:line="360" w:lineRule="auto"/>
        <w:ind w:firstLine="482" w:firstLineChars="200"/>
        <w:rPr>
          <w:rFonts w:ascii="仿宋" w:hAnsi="仿宋" w:eastAsia="仿宋" w:cs="仿宋"/>
          <w:b/>
          <w:bCs/>
          <w:szCs w:val="24"/>
        </w:rPr>
      </w:pPr>
      <w:r>
        <w:rPr>
          <w:rFonts w:hint="eastAsia" w:ascii="仿宋" w:hAnsi="仿宋" w:eastAsia="仿宋" w:cs="仿宋"/>
          <w:b/>
          <w:bCs/>
          <w:szCs w:val="24"/>
        </w:rPr>
        <w:t>（4）木构件处理可采用涂刷法、浸渍法或低压喷洒法，并符合下列规定：</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1）木构件表层及修补部位有一定的渗透深度，外露虫孔部位应有充足的药剂渗入，必要时作二次重复处理；</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2）触墙、着地、木构件交接等部位进行重点处理；</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3）药物处理过的木构件及时覆盖遮阴，避免长时间阳光暴晒而影响药效。</w:t>
      </w:r>
    </w:p>
    <w:p>
      <w:pPr>
        <w:pStyle w:val="60"/>
        <w:widowControl/>
        <w:spacing w:line="360" w:lineRule="auto"/>
        <w:ind w:firstLine="482" w:firstLineChars="200"/>
        <w:rPr>
          <w:rFonts w:ascii="仿宋" w:hAnsi="仿宋" w:eastAsia="仿宋" w:cs="仿宋"/>
          <w:b/>
          <w:bCs/>
          <w:szCs w:val="24"/>
        </w:rPr>
      </w:pPr>
      <w:r>
        <w:rPr>
          <w:rFonts w:hint="eastAsia" w:ascii="仿宋" w:hAnsi="仿宋" w:eastAsia="仿宋" w:cs="仿宋"/>
          <w:b/>
          <w:bCs/>
          <w:szCs w:val="24"/>
        </w:rPr>
        <w:t>（5）若清理原有地面及垫层，重铺室内地面的，进行白蚁防治药物屏障处理，并应符合下列规定：</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1）药物屏障处理宜在清理原有地面及垫层后，原土夯实前（最迟至铺墁地面砖前）进行；</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2）在进行地面药物屏障处理的同时，对内墙地面以上500mm墙体喷晒适量白蚁防治药剂。</w:t>
      </w:r>
    </w:p>
    <w:p>
      <w:pPr>
        <w:pStyle w:val="60"/>
        <w:widowControl/>
        <w:spacing w:line="360" w:lineRule="auto"/>
        <w:ind w:firstLine="482" w:firstLineChars="200"/>
        <w:outlineLvl w:val="2"/>
        <w:rPr>
          <w:rFonts w:ascii="仿宋" w:hAnsi="仿宋" w:eastAsia="仿宋" w:cs="仿宋"/>
          <w:b/>
          <w:szCs w:val="24"/>
        </w:rPr>
      </w:pPr>
      <w:r>
        <w:rPr>
          <w:rFonts w:hint="eastAsia" w:ascii="仿宋" w:hAnsi="仿宋" w:eastAsia="仿宋" w:cs="仿宋"/>
          <w:b/>
          <w:szCs w:val="24"/>
        </w:rPr>
        <w:t>（三）施工方案制作、审核和变更</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每个治理区域内的白蚁综合治理在施工前应制作施工方案，施工方案的内容应包括现场勘察情况、技术方法、施工组织、施工安全、施工图纸等内容。施工方案还应符合文物保护的要求。施工方案应经甲方审核通过后方可施工。</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如因现场情况变化，需要变更施工方案，应书面上报原因，得到甲方审核后方可施工。</w:t>
      </w:r>
    </w:p>
    <w:p>
      <w:pPr>
        <w:pStyle w:val="60"/>
        <w:widowControl/>
        <w:spacing w:line="360" w:lineRule="auto"/>
        <w:ind w:firstLine="482" w:firstLineChars="200"/>
        <w:outlineLvl w:val="2"/>
        <w:rPr>
          <w:rFonts w:ascii="仿宋" w:hAnsi="仿宋" w:eastAsia="仿宋" w:cs="仿宋"/>
          <w:b/>
          <w:szCs w:val="24"/>
        </w:rPr>
      </w:pPr>
      <w:r>
        <w:rPr>
          <w:rFonts w:hint="eastAsia" w:ascii="仿宋" w:hAnsi="仿宋" w:eastAsia="仿宋" w:cs="仿宋"/>
          <w:b/>
          <w:szCs w:val="24"/>
        </w:rPr>
        <w:t>（四）施工内容</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在房屋周围安装地下型监测装置。在建筑地面以上白蚁活动部位安装地上型监测装置。对安装的监测装置进行检查、维护和处理。为确保效果，必要时局部使用粉剂或液剂处理（例如在建筑修缮时对更换的木构件进行液剂处理等）。</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施工时应严格按施工方案和操作规程实施，不得损坏文保古建，不得损害环境安全和人体健康。</w:t>
      </w:r>
    </w:p>
    <w:p>
      <w:pPr>
        <w:pStyle w:val="60"/>
        <w:widowControl/>
        <w:spacing w:line="360" w:lineRule="auto"/>
        <w:ind w:firstLine="482" w:firstLineChars="200"/>
        <w:outlineLvl w:val="2"/>
        <w:rPr>
          <w:rFonts w:ascii="仿宋" w:hAnsi="仿宋" w:eastAsia="仿宋" w:cs="仿宋"/>
          <w:b/>
          <w:szCs w:val="24"/>
        </w:rPr>
      </w:pPr>
      <w:r>
        <w:rPr>
          <w:rFonts w:hint="eastAsia" w:ascii="仿宋" w:hAnsi="仿宋" w:eastAsia="仿宋" w:cs="仿宋"/>
          <w:b/>
          <w:szCs w:val="24"/>
        </w:rPr>
        <w:t>（五）验收</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1.中间验收</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白蚁综合治理项目在首年监测装置安装完成后或修缮项目在液剂处理完毕后进行中间验收，中间验收的内容为：</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1）蚁害检查情况。</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2）监测装置的种类、数量和安装位置是否符合技术标准和方案要求。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3）饵剂和投放质量是否符合技术标准和方案要求。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4）如使用液剂处理木构件的，液剂种类和质量、处理部位和使用剂量是否符合技术标准和方案要求。</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2.竣工验收</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竣工验收在项目实施期（第三年）结束前进行，竣工验收合格的标准为:</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1）房屋建筑用采用任何检查方法，检查不到任何白蚁活动迹象，包括建筑主体、装饰装修和内部物品无白蚁存在，无有翅成虫分飞迹象。</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2）建筑主体和外围安装的监测装置内无白蚁活动。建筑外围的监测装置完好无缺，其种类和数量、安装部位符合方案要求。</w:t>
      </w:r>
    </w:p>
    <w:p>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3）项目过程中产生的勘察、方案、施工、验收等资料完整。</w:t>
      </w:r>
    </w:p>
    <w:p>
      <w:pPr>
        <w:pStyle w:val="60"/>
        <w:widowControl/>
        <w:spacing w:line="360" w:lineRule="auto"/>
        <w:ind w:firstLine="482" w:firstLineChars="200"/>
        <w:outlineLvl w:val="1"/>
        <w:rPr>
          <w:rFonts w:ascii="仿宋" w:hAnsi="仿宋" w:eastAsia="仿宋" w:cs="仿宋"/>
          <w:b/>
          <w:szCs w:val="24"/>
        </w:rPr>
      </w:pPr>
      <w:r>
        <w:rPr>
          <w:rFonts w:hint="eastAsia" w:ascii="仿宋" w:hAnsi="仿宋" w:eastAsia="仿宋" w:cs="仿宋"/>
          <w:b/>
          <w:szCs w:val="24"/>
        </w:rPr>
        <w:t>六、项目组人员配备要求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1.项目负责人1人。拟派遣项目负责人应从事白蚁行业相关工作5年（含）以上经验，持有白蚁行业相关专业技能职业资格证书。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2.施工技术人员5人（含）以上，白蚁活动高峰期应随时增配施工技术人员。拟派施工技术人员应持有白蚁行业相关专业技能职业资格证书或技能培训与考核鉴定合格证书。</w:t>
      </w:r>
    </w:p>
    <w:p>
      <w:pPr>
        <w:pStyle w:val="60"/>
        <w:widowControl/>
        <w:spacing w:line="360" w:lineRule="auto"/>
        <w:ind w:firstLine="482" w:firstLineChars="200"/>
        <w:outlineLvl w:val="1"/>
        <w:rPr>
          <w:rFonts w:ascii="仿宋" w:hAnsi="仿宋" w:eastAsia="仿宋" w:cs="仿宋"/>
          <w:b/>
          <w:szCs w:val="24"/>
        </w:rPr>
      </w:pPr>
      <w:r>
        <w:rPr>
          <w:rFonts w:hint="eastAsia" w:ascii="仿宋" w:hAnsi="仿宋" w:eastAsia="仿宋" w:cs="仿宋"/>
          <w:b/>
          <w:szCs w:val="24"/>
        </w:rPr>
        <w:t>七、项目软硬件设施要求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1.场地及仓库要求：在萧山区行政区域内（不含大江东）设有固定场所（证明材料提供房产证或租赁合同）或</w:t>
      </w:r>
      <w:r>
        <w:rPr>
          <w:rFonts w:hint="eastAsia" w:ascii="仿宋" w:hAnsi="仿宋" w:eastAsia="仿宋" w:cs="仿宋"/>
          <w:color w:val="0000FF"/>
          <w:sz w:val="24"/>
          <w:lang w:bidi="ar"/>
        </w:rPr>
        <w:t>承诺成交通知书领取后7天内设置（未按规定设固定场所的视为主动放弃签订合同）</w:t>
      </w:r>
      <w:r>
        <w:rPr>
          <w:rFonts w:hint="eastAsia" w:ascii="仿宋" w:hAnsi="仿宋" w:eastAsia="仿宋" w:cs="仿宋"/>
          <w:sz w:val="24"/>
          <w:lang w:bidi="ar"/>
        </w:rPr>
        <w:t>。仓库配置不小于20㎡的药物专储仓库和监控装置专储仓库各一个。所使用的预防、灭治药物须存放在专用仓库内，仓库不得设置于普通居民楼内，须由专人严格管理。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2.设备配备要求：拟投入本项目的施工车辆不少于2辆（证明材料提供发票或购买合同或租赁合同），用于药物、喷洒的设备(容量不小 1000L)不少于1套（证明材料提供发票或购买合同或租赁合同）。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3.管理制度要求：具有健全的管理责任制度、施工安全管理制度、工程质量管理制度、药物管理制度以及档案管理制度。</w:t>
      </w:r>
    </w:p>
    <w:p>
      <w:pPr>
        <w:pStyle w:val="60"/>
        <w:widowControl/>
        <w:spacing w:line="360" w:lineRule="auto"/>
        <w:ind w:firstLine="482" w:firstLineChars="200"/>
        <w:outlineLvl w:val="1"/>
        <w:rPr>
          <w:rFonts w:ascii="仿宋" w:hAnsi="仿宋" w:eastAsia="仿宋" w:cs="仿宋"/>
          <w:b/>
          <w:szCs w:val="24"/>
        </w:rPr>
      </w:pPr>
      <w:r>
        <w:rPr>
          <w:rFonts w:hint="eastAsia" w:ascii="仿宋" w:hAnsi="仿宋" w:eastAsia="仿宋" w:cs="仿宋"/>
          <w:b/>
          <w:szCs w:val="24"/>
        </w:rPr>
        <w:t>八、工作质量检查考核</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1.乙方应设立项目组，配足相应的项目人员和施工设备，明确工作和职责分工，确保项目顺利实施。</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2.项目负责人应从事白蚁防治行业相关工作5年（含）以上经验，持有白蚁行业相关专业技能职业资格证书。施工技术人员应持有白蚁行业相关专业技能职业资格证书或技能培训与考核鉴定合格证书。</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3.在实施蚁害调查、白蚁综合治理施工时，项目负责人必须到岗。</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4.甲方指派专人负责质量监督，其主要工作职责如下：</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（1）检查施工是否符合相关标准和方案；</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（2）检查工作量是否达到合同要求；</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（3）检查治理效果是否符合方案要求；</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（4）每阶段施工结束后在相关技术资料上签字确认。</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5.白蚁综合治理过程中所采购使用的药物、监测装置由甲方专人查验，使用数量应记录备案。</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6.乙方严格按照方案组织实施，施工时间、施工区域、施工标准、用药数量、工作量等必须符合合同和综合治理方案要求。</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7.乙方按照流程和过程管理的要求，在施工的各个环节，认真、完整做好技术资料记录。</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8.白蚁综合治理施工资料的收集与管理由乙方负责。资料收集应及时、准确、完整和可靠，项目完工后归档管理。</w:t>
      </w:r>
    </w:p>
    <w:p>
      <w:pPr>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9.白蚁综合治理每阶段结束后乙方应填写白蚁综合治理施工记录表。</w:t>
      </w:r>
    </w:p>
    <w:p>
      <w:pPr>
        <w:pStyle w:val="60"/>
        <w:widowControl/>
        <w:spacing w:line="360" w:lineRule="auto"/>
        <w:ind w:firstLine="480" w:firstLineChars="200"/>
        <w:jc w:val="center"/>
        <w:rPr>
          <w:rFonts w:ascii="仿宋" w:hAnsi="仿宋" w:eastAsia="仿宋" w:cs="仿宋"/>
          <w:szCs w:val="24"/>
        </w:rPr>
      </w:pPr>
      <w:r>
        <w:rPr>
          <w:rFonts w:hint="eastAsia" w:ascii="仿宋" w:hAnsi="仿宋" w:eastAsia="仿宋" w:cs="仿宋"/>
          <w:szCs w:val="24"/>
        </w:rPr>
        <w:t>考核细则</w:t>
      </w:r>
    </w:p>
    <w:tbl>
      <w:tblPr>
        <w:tblStyle w:val="62"/>
        <w:tblW w:w="9828" w:type="dxa"/>
        <w:tblInd w:w="0" w:type="dxa"/>
        <w:tblLayout w:type="fixed"/>
        <w:tblCellMar>
          <w:top w:w="0" w:type="dxa"/>
          <w:left w:w="108" w:type="dxa"/>
          <w:bottom w:w="0" w:type="dxa"/>
          <w:right w:w="108" w:type="dxa"/>
        </w:tblCellMar>
      </w:tblPr>
      <w:tblGrid>
        <w:gridCol w:w="828"/>
        <w:gridCol w:w="5862"/>
        <w:gridCol w:w="3138"/>
      </w:tblGrid>
      <w:tr>
        <w:tblPrEx>
          <w:tblCellMar>
            <w:top w:w="0" w:type="dxa"/>
            <w:left w:w="108" w:type="dxa"/>
            <w:bottom w:w="0" w:type="dxa"/>
            <w:right w:w="108" w:type="dxa"/>
          </w:tblCellMar>
        </w:tblPrEx>
        <w:trPr>
          <w:trHeight w:val="2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项目</w:t>
            </w: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lang w:bidi="ar"/>
              </w:rPr>
              <w:t>考核内容</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lang w:bidi="ar"/>
              </w:rPr>
              <w:t>评分标准</w:t>
            </w:r>
          </w:p>
        </w:tc>
      </w:tr>
      <w:tr>
        <w:tblPrEx>
          <w:tblCellMar>
            <w:top w:w="0" w:type="dxa"/>
            <w:left w:w="108" w:type="dxa"/>
            <w:bottom w:w="0" w:type="dxa"/>
            <w:right w:w="108" w:type="dxa"/>
          </w:tblCellMar>
        </w:tblPrEx>
        <w:trPr>
          <w:trHeight w:val="23" w:hRule="atLeast"/>
        </w:trPr>
        <w:tc>
          <w:tcPr>
            <w:tcW w:w="828" w:type="dxa"/>
            <w:vMerge w:val="restart"/>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lang w:bidi="ar"/>
              </w:rPr>
              <w:t>项目管理（10分）</w:t>
            </w:r>
          </w:p>
        </w:tc>
        <w:tc>
          <w:tcPr>
            <w:tcW w:w="5862" w:type="dxa"/>
            <w:tcBorders>
              <w:top w:val="single" w:color="auto" w:sz="4" w:space="0"/>
              <w:left w:val="nil"/>
              <w:bottom w:val="nil"/>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 xml:space="preserve">1.收到甲方指令2个工作日内完成现场勘查和施工方案制作、并送达甲方审核。 </w:t>
            </w:r>
          </w:p>
        </w:tc>
        <w:tc>
          <w:tcPr>
            <w:tcW w:w="3138" w:type="dxa"/>
            <w:tcBorders>
              <w:top w:val="single" w:color="auto" w:sz="4" w:space="0"/>
              <w:left w:val="nil"/>
              <w:bottom w:val="nil"/>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未及时将施工方案送达甲方扣1分，方案有明显差错发现一处扣1分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2.组织白蚁防治施工应提前一天上报甲方。</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不上报一次扣1分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3.做到施工安全无事故，乙方项目负责人应及时向甲方说明安全事项，施工人员应严格执行安全操作规定</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不穿戴工作服安全帽的每人次扣0.5分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4.整理收集质量验收资料齐全，乙方应收集提供如下资料：(1)调查记录；(2)施工方案；(3)施工记录；(4)施工过程照片；</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缺一份资料扣1分，各项记录填写不详实扣0.5分，随意涂改一处扣0.5分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5.乙方按照流程和过程管理的要求，在施工的各个环节，认真、完整做好技术资料记录，纸质档案资料与数据应及时填写记录清楚。</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不及时填写和输入资料的扣0.5分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6.白蚁防治施工资料的收集与管理由乙方负责。资料收集应及时、准确、完整和可靠，项目完工后归档管理。</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资料收集不及时、不准确、不完整或不可靠得扣0.5分</w:t>
            </w:r>
          </w:p>
        </w:tc>
      </w:tr>
      <w:tr>
        <w:tblPrEx>
          <w:tblCellMar>
            <w:top w:w="0" w:type="dxa"/>
            <w:left w:w="108" w:type="dxa"/>
            <w:bottom w:w="0" w:type="dxa"/>
            <w:right w:w="108" w:type="dxa"/>
          </w:tblCellMar>
        </w:tblPrEx>
        <w:trPr>
          <w:trHeight w:val="23" w:hRule="atLeast"/>
        </w:trPr>
        <w:tc>
          <w:tcPr>
            <w:tcW w:w="828" w:type="dxa"/>
            <w:vMerge w:val="restart"/>
            <w:tcBorders>
              <w:top w:val="nil"/>
              <w:left w:val="single" w:color="auto" w:sz="4" w:space="0"/>
              <w:bottom w:val="nil"/>
              <w:right w:val="single" w:color="auto" w:sz="4"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lang w:bidi="ar"/>
              </w:rPr>
              <w:t>施工质量（40分）</w:t>
            </w: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1.建筑修复性保护、除危性保护、一般性维护白蚁预防结合白蚁治理过程进行，对传统建筑中易孳生白蚁的部位和触墙着地木构件进行药物屏障处理。</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未对建筑中易孳生白蚁的部位和触墙着地木构件进行药物屏障处理的扣1分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2.建筑屋面处理符合下列规定：</w:t>
            </w:r>
          </w:p>
          <w:p>
            <w:pPr>
              <w:widowControl/>
              <w:wordWrap w:val="0"/>
              <w:overflowPunct w:val="0"/>
              <w:spacing w:line="360" w:lineRule="auto"/>
              <w:jc w:val="left"/>
              <w:rPr>
                <w:rFonts w:ascii="仿宋" w:hAnsi="仿宋" w:eastAsia="仿宋" w:cs="仿宋"/>
                <w:szCs w:val="21"/>
              </w:rPr>
            </w:pPr>
            <w:r>
              <w:rPr>
                <w:rFonts w:hint="eastAsia" w:ascii="仿宋" w:hAnsi="仿宋" w:eastAsia="仿宋" w:cs="仿宋"/>
                <w:szCs w:val="21"/>
                <w:lang w:bidi="ar"/>
              </w:rPr>
              <w:t>（1）在望板（砖）铺设完毕后，进行药物屏障处理；</w:t>
            </w:r>
          </w:p>
          <w:p>
            <w:pPr>
              <w:widowControl/>
              <w:wordWrap w:val="0"/>
              <w:overflowPunct w:val="0"/>
              <w:spacing w:line="360" w:lineRule="auto"/>
              <w:jc w:val="left"/>
              <w:rPr>
                <w:rFonts w:ascii="仿宋" w:hAnsi="仿宋" w:eastAsia="仿宋" w:cs="仿宋"/>
                <w:szCs w:val="21"/>
              </w:rPr>
            </w:pPr>
            <w:r>
              <w:rPr>
                <w:rFonts w:hint="eastAsia" w:ascii="仿宋" w:hAnsi="仿宋" w:eastAsia="仿宋" w:cs="仿宋"/>
                <w:szCs w:val="21"/>
                <w:lang w:bidi="ar"/>
              </w:rPr>
              <w:t>（2）在防滑木条铺钉完毕，铺屋面瓦件前进行药物屏障处理。</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未按要求处理的，每一项内容扣1分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3.建筑木构件处理符合下列规定：</w:t>
            </w:r>
          </w:p>
          <w:p>
            <w:pPr>
              <w:spacing w:line="360" w:lineRule="auto"/>
              <w:rPr>
                <w:rFonts w:ascii="仿宋" w:hAnsi="仿宋" w:eastAsia="仿宋" w:cs="仿宋"/>
                <w:szCs w:val="21"/>
              </w:rPr>
            </w:pPr>
            <w:r>
              <w:rPr>
                <w:rFonts w:hint="eastAsia" w:ascii="仿宋" w:hAnsi="仿宋" w:eastAsia="仿宋" w:cs="仿宋"/>
                <w:szCs w:val="21"/>
                <w:lang w:bidi="ar"/>
              </w:rPr>
              <w:t>（1）完整保留的木构件，重点处理虫孔、虫蛀部位；</w:t>
            </w:r>
          </w:p>
          <w:p>
            <w:pPr>
              <w:spacing w:line="360" w:lineRule="auto"/>
              <w:rPr>
                <w:rFonts w:ascii="仿宋" w:hAnsi="仿宋" w:eastAsia="仿宋" w:cs="仿宋"/>
                <w:szCs w:val="21"/>
              </w:rPr>
            </w:pPr>
            <w:r>
              <w:rPr>
                <w:rFonts w:hint="eastAsia" w:ascii="仿宋" w:hAnsi="仿宋" w:eastAsia="仿宋" w:cs="仿宋"/>
                <w:szCs w:val="21"/>
                <w:lang w:bidi="ar"/>
              </w:rPr>
              <w:t>（2）剔朽修补的木构件，重点处理剔除截朽部位及修补的拼缝；</w:t>
            </w:r>
          </w:p>
          <w:p>
            <w:pPr>
              <w:spacing w:line="360" w:lineRule="auto"/>
              <w:rPr>
                <w:rFonts w:ascii="仿宋" w:hAnsi="仿宋" w:eastAsia="仿宋" w:cs="仿宋"/>
                <w:szCs w:val="21"/>
              </w:rPr>
            </w:pPr>
            <w:r>
              <w:rPr>
                <w:rFonts w:hint="eastAsia" w:ascii="仿宋" w:hAnsi="仿宋" w:eastAsia="仿宋" w:cs="仿宋"/>
                <w:szCs w:val="21"/>
                <w:lang w:bidi="ar"/>
              </w:rPr>
              <w:t>（3）槽朽替换的木构件，重点处理木构件与其他构件连接的部位；</w:t>
            </w:r>
          </w:p>
          <w:p>
            <w:pPr>
              <w:spacing w:line="360" w:lineRule="auto"/>
              <w:rPr>
                <w:rFonts w:ascii="仿宋" w:hAnsi="仿宋" w:eastAsia="仿宋" w:cs="仿宋"/>
                <w:szCs w:val="21"/>
              </w:rPr>
            </w:pPr>
            <w:r>
              <w:rPr>
                <w:rFonts w:hint="eastAsia" w:ascii="仿宋" w:hAnsi="仿宋" w:eastAsia="仿宋" w:cs="仿宋"/>
                <w:szCs w:val="21"/>
                <w:lang w:bidi="ar"/>
              </w:rPr>
              <w:t>（4）复制补配的木构件，重点处理木构件与其他构件连接的部位；</w:t>
            </w:r>
          </w:p>
          <w:p>
            <w:pPr>
              <w:spacing w:line="360" w:lineRule="auto"/>
              <w:rPr>
                <w:rFonts w:ascii="仿宋" w:hAnsi="仿宋" w:eastAsia="仿宋" w:cs="仿宋"/>
                <w:szCs w:val="21"/>
              </w:rPr>
            </w:pPr>
            <w:r>
              <w:rPr>
                <w:rFonts w:hint="eastAsia" w:ascii="仿宋" w:hAnsi="仿宋" w:eastAsia="仿宋" w:cs="仿宋"/>
                <w:szCs w:val="21"/>
                <w:lang w:bidi="ar"/>
              </w:rPr>
              <w:t xml:space="preserve">（5）木质柱应重点处理与柱础或地面接触的截面和着地端 1000mm 高度，墙包柱或贴墙柱应整体处理； </w:t>
            </w:r>
          </w:p>
          <w:p>
            <w:pPr>
              <w:spacing w:line="360" w:lineRule="auto"/>
              <w:rPr>
                <w:rFonts w:ascii="仿宋" w:hAnsi="仿宋" w:eastAsia="仿宋" w:cs="仿宋"/>
                <w:szCs w:val="21"/>
              </w:rPr>
            </w:pPr>
            <w:r>
              <w:rPr>
                <w:rFonts w:hint="eastAsia" w:ascii="仿宋" w:hAnsi="仿宋" w:eastAsia="仿宋" w:cs="仿宋"/>
                <w:szCs w:val="21"/>
                <w:lang w:bidi="ar"/>
              </w:rPr>
              <w:t xml:space="preserve">（6）木质梁应重点处理与柱或其他构件榫接部位，触墙或入墙的应重点处理触墙或入墙端500mm 长度； </w:t>
            </w:r>
          </w:p>
          <w:p>
            <w:pPr>
              <w:spacing w:line="360" w:lineRule="auto"/>
              <w:rPr>
                <w:rFonts w:ascii="仿宋" w:hAnsi="仿宋" w:eastAsia="仿宋" w:cs="仿宋"/>
                <w:szCs w:val="21"/>
              </w:rPr>
            </w:pPr>
            <w:r>
              <w:rPr>
                <w:rFonts w:hint="eastAsia" w:ascii="仿宋" w:hAnsi="仿宋" w:eastAsia="仿宋" w:cs="仿宋"/>
                <w:szCs w:val="21"/>
                <w:lang w:bidi="ar"/>
              </w:rPr>
              <w:t>（7）木质门框、窗框、墙板应重点处理着地周边和贴墙周边。</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未按建筑木构件相关规定处理的，每一项内容扣1分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4.传统建筑木构件处理在木构件落架修复完毕或制作完成后，或安装到位并嵌补腻子前，或木椽及遮椽板加工完成后，配合维修工程进行。</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未配合传统建筑木构件维修工程的扣1分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5.建筑木构件处理可采用涂刷法、浸渍法或低压喷洒法，并符合下列规定：</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（1）木构件表层及修补部位有一定的渗透深度，外露虫孔部位应有充足的药剂渗入，必要时作二次重复处理；</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（2）触墙、着地、木构件交接等部位进行重点处理；</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（3）药物处理过的木构件及时覆盖遮阴，避免长时间阳光暴晒而影响药效。</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传筑木构件未用涂刷法、浸渍法或低压喷洒法处理的扣1分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wordWrap w:val="0"/>
              <w:spacing w:line="360" w:lineRule="auto"/>
              <w:jc w:val="left"/>
              <w:rPr>
                <w:rFonts w:ascii="仿宋" w:hAnsi="仿宋" w:eastAsia="仿宋" w:cs="仿宋"/>
                <w:szCs w:val="21"/>
              </w:rPr>
            </w:pPr>
            <w:r>
              <w:rPr>
                <w:rFonts w:hint="eastAsia" w:ascii="仿宋" w:hAnsi="仿宋" w:eastAsia="仿宋" w:cs="仿宋"/>
                <w:szCs w:val="21"/>
                <w:lang w:bidi="ar"/>
              </w:rPr>
              <w:t>6.建筑若清理原有地面及垫层，重铺室内地面的，进行白蚁预防药物屏障处理，并应符合下列规定：</w:t>
            </w:r>
          </w:p>
          <w:p>
            <w:pPr>
              <w:widowControl/>
              <w:wordWrap w:val="0"/>
              <w:spacing w:line="360" w:lineRule="auto"/>
              <w:jc w:val="left"/>
              <w:rPr>
                <w:rFonts w:ascii="仿宋" w:hAnsi="仿宋" w:eastAsia="仿宋" w:cs="仿宋"/>
                <w:szCs w:val="21"/>
              </w:rPr>
            </w:pPr>
            <w:r>
              <w:rPr>
                <w:rFonts w:hint="eastAsia" w:ascii="仿宋" w:hAnsi="仿宋" w:eastAsia="仿宋" w:cs="仿宋"/>
                <w:szCs w:val="21"/>
                <w:lang w:bidi="ar"/>
              </w:rPr>
              <w:t>（1）药物屏障处理宜在清理原有地面及垫层后，原土夯实前（最迟至铺墁地面砖前）进行；</w:t>
            </w:r>
          </w:p>
          <w:p>
            <w:pPr>
              <w:widowControl/>
              <w:wordWrap w:val="0"/>
              <w:spacing w:line="360" w:lineRule="auto"/>
              <w:jc w:val="left"/>
              <w:rPr>
                <w:rFonts w:ascii="仿宋" w:hAnsi="仿宋" w:eastAsia="仿宋" w:cs="仿宋"/>
                <w:szCs w:val="21"/>
              </w:rPr>
            </w:pPr>
            <w:r>
              <w:rPr>
                <w:rFonts w:hint="eastAsia" w:ascii="仿宋" w:hAnsi="仿宋" w:eastAsia="仿宋" w:cs="仿宋"/>
                <w:szCs w:val="21"/>
                <w:lang w:bidi="ar"/>
              </w:rPr>
              <w:t>（2）在进行地面药物屏障处理的同时，对内墙地面以上500mm墙体喷晒适量白蚁预防药剂。</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建筑若清理原有地面及垫层，重铺室内地面的，未进行白蚁预防药物屏障处理扣1分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7.建筑监测控制白蚁防治符合下列规定：</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（1）建筑物地上有白蚁活动的部位安装地上型装置。地面安装地下型监测装置。</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（2）室内监测装置宜埋设在墙角、门后、楼梯等较隐蔽的位置，也可隐藏在地面砖下；</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（3）在房屋外围环境安装监测装置时，应贴近房屋外墙；</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 xml:space="preserve">（4）地下型监测装置应触及土壤层，装置外壳周边应填实土壤； </w:t>
            </w:r>
          </w:p>
          <w:p>
            <w:pPr>
              <w:widowControl/>
              <w:wordWrap w:val="0"/>
              <w:topLinePunct/>
              <w:spacing w:line="360" w:lineRule="auto"/>
              <w:jc w:val="left"/>
              <w:rPr>
                <w:rFonts w:ascii="仿宋" w:hAnsi="仿宋" w:eastAsia="仿宋" w:cs="仿宋"/>
                <w:szCs w:val="21"/>
              </w:rPr>
            </w:pPr>
            <w:r>
              <w:rPr>
                <w:rFonts w:hint="eastAsia" w:ascii="仿宋" w:hAnsi="仿宋" w:eastAsia="仿宋" w:cs="仿宋"/>
                <w:szCs w:val="21"/>
                <w:lang w:bidi="ar"/>
              </w:rPr>
              <w:t>（5）应对安装好的监测装置编号或作记号，并在施工图上标记安装位置。</w:t>
            </w:r>
          </w:p>
          <w:p>
            <w:pPr>
              <w:widowControl/>
              <w:wordWrap w:val="0"/>
              <w:topLinePunct/>
              <w:spacing w:line="360" w:lineRule="auto"/>
              <w:jc w:val="left"/>
              <w:rPr>
                <w:rFonts w:ascii="仿宋" w:hAnsi="仿宋" w:eastAsia="仿宋" w:cs="仿宋"/>
                <w:szCs w:val="21"/>
              </w:rPr>
            </w:pP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传统建筑未按要求安装监测装置的扣1分，监测装置未定期进行检查和维护的扣1分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8.乙方应设立白蚁综合治理项目组，配足相应的项目人员和施工设备，明确工作和职责分工，确保项目顺利实施。</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未按要求配足相应的项目人员和施工设备的扣1分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9.白蚁综合治理项目负责人（技术负责人）应从事白蚁行业相关工作5年（含）以上经验，持有白蚁行业相关专业技能职业资格证书。</w:t>
            </w:r>
          </w:p>
          <w:p>
            <w:pPr>
              <w:spacing w:line="360" w:lineRule="auto"/>
              <w:rPr>
                <w:rFonts w:ascii="仿宋" w:hAnsi="仿宋" w:eastAsia="仿宋" w:cs="仿宋"/>
                <w:szCs w:val="21"/>
              </w:rPr>
            </w:pPr>
            <w:r>
              <w:rPr>
                <w:rFonts w:hint="eastAsia" w:ascii="仿宋" w:hAnsi="仿宋" w:eastAsia="仿宋" w:cs="仿宋"/>
                <w:szCs w:val="21"/>
                <w:lang w:bidi="ar"/>
              </w:rPr>
              <w:t>在实施调查、白蚁综合治理施工时，项目负责人必须到岗。</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未按要求配项目负责人，及项目负责人未到岗的扣1分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10.白蚁综合治理过程中所采购使用的药物、监测装置等经过委托方质量监督人员的查验，使用数量应记录备案。</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使用的药物、监测装置等未经委托方质量监督人员的查验的扣1分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11.乙方严格按照方案组织实施，施工时间、施工区域、施工标准、用药数量、工作量等必须符合合同和综合治理方案要求。</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未按照方案组织施工的扣2分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nil"/>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12.安全管理</w:t>
            </w:r>
          </w:p>
          <w:p>
            <w:pPr>
              <w:spacing w:line="360" w:lineRule="auto"/>
              <w:rPr>
                <w:rFonts w:ascii="仿宋" w:hAnsi="仿宋" w:eastAsia="仿宋" w:cs="仿宋"/>
                <w:szCs w:val="21"/>
              </w:rPr>
            </w:pPr>
            <w:r>
              <w:rPr>
                <w:rFonts w:hint="eastAsia" w:ascii="仿宋" w:hAnsi="仿宋" w:eastAsia="仿宋" w:cs="仿宋"/>
                <w:szCs w:val="21"/>
                <w:lang w:bidi="ar"/>
              </w:rPr>
              <w:t>（1）白蚁防治单位在项目施工前进行安全教育，施工过程中采取适当的施工安全措施和个人防护，保障白蚁防治施工人员和公众的安全。</w:t>
            </w:r>
          </w:p>
          <w:p>
            <w:pPr>
              <w:spacing w:line="360" w:lineRule="auto"/>
              <w:rPr>
                <w:rFonts w:ascii="仿宋" w:hAnsi="仿宋" w:eastAsia="仿宋" w:cs="仿宋"/>
                <w:szCs w:val="21"/>
              </w:rPr>
            </w:pPr>
            <w:r>
              <w:rPr>
                <w:rFonts w:hint="eastAsia" w:ascii="仿宋" w:hAnsi="仿宋" w:eastAsia="仿宋" w:cs="仿宋"/>
                <w:szCs w:val="21"/>
                <w:lang w:bidi="ar"/>
              </w:rPr>
              <w:t>（2）白蚁防治单位加强环境安全管理，选用对环境友好的白蚁防治药物，严格控制药物的使用浓度和剂量，减少化学药物对自然环境的污染。</w:t>
            </w:r>
          </w:p>
          <w:p>
            <w:pPr>
              <w:spacing w:line="360" w:lineRule="auto"/>
              <w:rPr>
                <w:rFonts w:ascii="仿宋" w:hAnsi="仿宋" w:eastAsia="仿宋" w:cs="仿宋"/>
                <w:szCs w:val="21"/>
              </w:rPr>
            </w:pPr>
            <w:r>
              <w:rPr>
                <w:rFonts w:hint="eastAsia" w:ascii="仿宋" w:hAnsi="仿宋" w:eastAsia="仿宋" w:cs="仿宋"/>
                <w:szCs w:val="21"/>
                <w:lang w:bidi="ar"/>
              </w:rPr>
              <w:t>（3）防治过程中的安全生产事故责任由成交单位全部自负。</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未按要求安全管理的扣1分</w:t>
            </w:r>
          </w:p>
        </w:tc>
      </w:tr>
      <w:tr>
        <w:tblPrEx>
          <w:tblCellMar>
            <w:top w:w="0" w:type="dxa"/>
            <w:left w:w="108" w:type="dxa"/>
            <w:bottom w:w="0" w:type="dxa"/>
            <w:right w:w="108" w:type="dxa"/>
          </w:tblCellMar>
        </w:tblPrEx>
        <w:trPr>
          <w:trHeight w:val="23" w:hRule="atLeast"/>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药物管理（10分）</w:t>
            </w: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1.白蚁防治药物的使用符合《中华人民共和国农药管理条例》和国家现行有关产品标准的规定并应具有农药登记证，农药生产许可证或农药生产批准文件。药物应有专人管理和专用仓储</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不按国家标准使用药物扣1分，药物无专人管理和专用仓储扣1分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2.作好药物登记</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不作好药物登记一次扣1分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3.药物不能滞留车上和其它场所过夜，不能随意处置它人</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不按规定处置一次扣1分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4.药物容器集中处理，不得任意丢弃或作他用。剩余药物不得倒入池塘、河流、喷向花草等</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不按规定处置一次扣1分</w:t>
            </w:r>
          </w:p>
        </w:tc>
      </w:tr>
      <w:tr>
        <w:tblPrEx>
          <w:tblCellMar>
            <w:top w:w="0" w:type="dxa"/>
            <w:left w:w="108" w:type="dxa"/>
            <w:bottom w:w="0" w:type="dxa"/>
            <w:right w:w="108" w:type="dxa"/>
          </w:tblCellMar>
        </w:tblPrEx>
        <w:trPr>
          <w:trHeight w:val="23" w:hRule="atLeast"/>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企业质量保证体系（40分）</w:t>
            </w: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1.基础建设：有固定的办公地点及场所，有醒目的门牌号和公司名称，有明显的岗位标识</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门牌号很难叙说清楚，导致群众上门咨询困难的扣3分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2.成立一年以上的企业（公司）应有白蚁防治咨询平台和电话咨询热线，应设立工作前台（有公司乘坐、宣传图片、白蚁标本窗柜、白蚁防治动漫图解宣传墙等）</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缺一项扣1分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3.施工设施：</w:t>
            </w:r>
            <w:r>
              <w:rPr>
                <w:rFonts w:hint="eastAsia" w:ascii="仿宋" w:hAnsi="仿宋" w:eastAsia="仿宋" w:cs="仿宋"/>
                <w:kern w:val="0"/>
                <w:szCs w:val="21"/>
                <w:lang w:bidi="ar"/>
              </w:rPr>
              <w:t>专门的施工车辆两</w:t>
            </w:r>
            <w:r>
              <w:rPr>
                <w:rFonts w:hint="eastAsia" w:ascii="仿宋" w:hAnsi="仿宋" w:eastAsia="仿宋" w:cs="仿宋"/>
                <w:szCs w:val="21"/>
                <w:lang w:bidi="ar"/>
              </w:rPr>
              <w:t>辆</w:t>
            </w:r>
            <w:r>
              <w:rPr>
                <w:rFonts w:hint="eastAsia" w:ascii="仿宋" w:hAnsi="仿宋" w:eastAsia="仿宋" w:cs="仿宋"/>
                <w:kern w:val="0"/>
                <w:szCs w:val="21"/>
                <w:lang w:bidi="ar"/>
              </w:rPr>
              <w:t>，应配备低压力、大流量的喷洒设备及药物配置工具，应根据任务需要及时加配施工车辆，</w:t>
            </w:r>
            <w:r>
              <w:rPr>
                <w:rFonts w:hint="eastAsia" w:ascii="仿宋" w:hAnsi="仿宋" w:eastAsia="仿宋" w:cs="仿宋"/>
                <w:szCs w:val="21"/>
                <w:lang w:bidi="ar"/>
              </w:rPr>
              <w:t>确保任务完成</w:t>
            </w:r>
            <w:r>
              <w:rPr>
                <w:rFonts w:hint="eastAsia" w:ascii="仿宋" w:hAnsi="仿宋" w:eastAsia="仿宋" w:cs="仿宋"/>
                <w:kern w:val="0"/>
                <w:szCs w:val="21"/>
                <w:lang w:bidi="ar"/>
              </w:rPr>
              <w:t>，</w:t>
            </w:r>
            <w:r>
              <w:rPr>
                <w:rFonts w:hint="eastAsia" w:ascii="仿宋" w:hAnsi="仿宋" w:eastAsia="仿宋" w:cs="仿宋"/>
                <w:szCs w:val="21"/>
                <w:lang w:bidi="ar"/>
              </w:rPr>
              <w:t>照相机1部</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施工设施达不到标准配置的扣3分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b/>
                <w:szCs w:val="21"/>
              </w:rPr>
            </w:pPr>
            <w:r>
              <w:rPr>
                <w:rFonts w:hint="eastAsia" w:ascii="仿宋" w:hAnsi="仿宋" w:eastAsia="仿宋" w:cs="仿宋"/>
                <w:szCs w:val="21"/>
                <w:lang w:bidi="ar"/>
              </w:rPr>
              <w:t>4.技能培训，公司每季度开展一次理论和实际操作能力培训，同时公司员工应积极参加白蚁防治主管部门组织的理论和实际操作能力培训，不合格的应劝退或辞职，做到持证上岗，无证作业应责令其整改，并停止从事白蚁防治活动等事项</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缺一次扣1分，不参加上级主管部门技能培训的一人次扣1分，不合格的、不劝退的扣2分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5.规程规章：应有公司章程、公司理念，人员岗位职责  考勤管理制度，安全生产制度和</w:t>
            </w:r>
            <w:r>
              <w:rPr>
                <w:rFonts w:hint="eastAsia" w:ascii="仿宋" w:hAnsi="仿宋" w:eastAsia="仿宋" w:cs="仿宋"/>
                <w:kern w:val="0"/>
                <w:szCs w:val="21"/>
                <w:lang w:bidi="ar"/>
              </w:rPr>
              <w:t>措施，</w:t>
            </w:r>
            <w:r>
              <w:rPr>
                <w:rFonts w:hint="eastAsia" w:ascii="仿宋" w:hAnsi="仿宋" w:eastAsia="仿宋" w:cs="仿宋"/>
                <w:szCs w:val="21"/>
                <w:lang w:bidi="ar"/>
              </w:rPr>
              <w:t>白蚁防治项目台账，药物使用台帐、项目进度阅览表，服务质量承诺书等</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缺一项扣1分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6.企业（公司）每月工作情况和工作计划，应在25日前上报甲方，应及时上报年度工作总结，努力完成甲方交办的各项任务</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不及时上报的扣2分，不能按时完成交办的任务每项扣2分</w:t>
            </w:r>
          </w:p>
        </w:tc>
      </w:tr>
      <w:tr>
        <w:tblPrEx>
          <w:tblCellMar>
            <w:top w:w="0" w:type="dxa"/>
            <w:left w:w="108" w:type="dxa"/>
            <w:bottom w:w="0" w:type="dxa"/>
            <w:right w:w="108" w:type="dxa"/>
          </w:tblCellMar>
        </w:tblPrEx>
        <w:trPr>
          <w:trHeight w:val="23" w:hRule="atLeast"/>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p>
        </w:tc>
        <w:tc>
          <w:tcPr>
            <w:tcW w:w="5862" w:type="dxa"/>
            <w:tcBorders>
              <w:top w:val="single" w:color="auto" w:sz="4" w:space="0"/>
              <w:left w:val="nil"/>
              <w:bottom w:val="single" w:color="auto" w:sz="4" w:space="0"/>
              <w:right w:val="single" w:color="auto" w:sz="4" w:space="0"/>
            </w:tcBorders>
            <w:shd w:val="clear" w:color="auto" w:fill="auto"/>
            <w:vAlign w:val="center"/>
          </w:tcPr>
          <w:p>
            <w:pPr>
              <w:spacing w:line="360" w:lineRule="auto"/>
              <w:ind w:left="2"/>
              <w:rPr>
                <w:rFonts w:ascii="仿宋" w:hAnsi="仿宋" w:eastAsia="仿宋" w:cs="仿宋"/>
                <w:szCs w:val="21"/>
              </w:rPr>
            </w:pPr>
            <w:r>
              <w:rPr>
                <w:rFonts w:hint="eastAsia" w:ascii="仿宋" w:hAnsi="仿宋" w:eastAsia="仿宋" w:cs="仿宋"/>
                <w:szCs w:val="21"/>
                <w:lang w:bidi="ar"/>
              </w:rPr>
              <w:t>7.企业（公司）应注重社会效益和企业效益并举。做到遵纪守法，诚实守信，公平竞争，合法经营</w:t>
            </w:r>
          </w:p>
        </w:tc>
        <w:tc>
          <w:tcPr>
            <w:tcW w:w="313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产生严重负面影响的扣10分</w:t>
            </w:r>
          </w:p>
        </w:tc>
      </w:tr>
      <w:tr>
        <w:tblPrEx>
          <w:tblCellMar>
            <w:top w:w="0" w:type="dxa"/>
            <w:left w:w="108" w:type="dxa"/>
            <w:bottom w:w="0" w:type="dxa"/>
            <w:right w:w="108" w:type="dxa"/>
          </w:tblCellMar>
        </w:tblPrEx>
        <w:trPr>
          <w:trHeight w:val="23" w:hRule="atLeast"/>
        </w:trPr>
        <w:tc>
          <w:tcPr>
            <w:tcW w:w="98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lang w:bidi="ar"/>
              </w:rPr>
              <w:t>考核分满分100分，95分以上为合格；</w:t>
            </w:r>
            <w:r>
              <w:rPr>
                <w:rFonts w:hint="eastAsia" w:ascii="仿宋" w:hAnsi="仿宋" w:eastAsia="仿宋" w:cs="仿宋"/>
                <w:kern w:val="0"/>
                <w:szCs w:val="21"/>
                <w:lang w:bidi="ar"/>
              </w:rPr>
              <w:t xml:space="preserve"> 80分以下为不合格，扣除当年所有实际白蚁防治工作量的服务款，甲方有权终止合同</w:t>
            </w:r>
            <w:r>
              <w:rPr>
                <w:rFonts w:hint="eastAsia" w:ascii="仿宋" w:hAnsi="仿宋" w:eastAsia="仿宋" w:cs="仿宋"/>
                <w:szCs w:val="21"/>
                <w:lang w:bidi="ar"/>
              </w:rPr>
              <w:t>。当年度考核得分为95分（不含95分）至80分（不含60分）时，在当年应付服务款中扣除20%的服务款。</w:t>
            </w:r>
          </w:p>
        </w:tc>
      </w:tr>
    </w:tbl>
    <w:p>
      <w:pPr>
        <w:pStyle w:val="60"/>
        <w:widowControl/>
        <w:spacing w:line="360" w:lineRule="auto"/>
        <w:ind w:firstLine="482" w:firstLineChars="200"/>
        <w:outlineLvl w:val="1"/>
        <w:rPr>
          <w:rFonts w:ascii="仿宋" w:hAnsi="仿宋" w:eastAsia="仿宋" w:cs="仿宋"/>
          <w:b/>
          <w:szCs w:val="24"/>
        </w:rPr>
      </w:pPr>
      <w:r>
        <w:rPr>
          <w:rFonts w:hint="eastAsia" w:ascii="仿宋" w:hAnsi="仿宋" w:eastAsia="仿宋" w:cs="仿宋"/>
          <w:b/>
          <w:szCs w:val="24"/>
        </w:rPr>
        <w:t>九、处罚规定</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1.如按规定要求未完成业务的，每个项目罚款5000元。</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2.由于成交单位工作失误，造成客户不满意或投诉的，每次罚款500-2000元。</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3.乙方违反本合同规定，拒绝返工或未能达到双方约定的防治质量标准，甲方有权提前解除合同，并按合同签约价的20%处罚。</w:t>
      </w:r>
    </w:p>
    <w:p>
      <w:pPr>
        <w:snapToGrid w:val="0"/>
        <w:spacing w:line="360" w:lineRule="auto"/>
        <w:ind w:firstLine="480" w:firstLineChars="200"/>
        <w:rPr>
          <w:rFonts w:ascii="仿宋" w:hAnsi="仿宋" w:eastAsia="仿宋" w:cs="仿宋"/>
          <w:sz w:val="24"/>
        </w:rPr>
      </w:pPr>
      <w:r>
        <w:rPr>
          <w:rFonts w:hint="eastAsia" w:ascii="仿宋" w:hAnsi="仿宋" w:eastAsia="仿宋" w:cs="仿宋"/>
          <w:bCs/>
          <w:sz w:val="24"/>
          <w:lang w:bidi="ar"/>
        </w:rPr>
        <w:t>4.</w:t>
      </w:r>
      <w:r>
        <w:rPr>
          <w:rFonts w:hint="eastAsia" w:ascii="仿宋" w:hAnsi="仿宋" w:eastAsia="仿宋" w:cs="仿宋"/>
          <w:sz w:val="24"/>
          <w:lang w:bidi="ar"/>
        </w:rPr>
        <w:t xml:space="preserve">甲方组织人员进行施工现场验收。若服务期内若超过3次验收审核不通过重新施工的，按不通过项目费用合计的20%处罚，同时甲方有权提前解除合同。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5.由于成交单位工作失误，造成客户投诉或发生较大责任事故，导致采购人受上级部门问责或处分的，扣罚5000元，并中止合同，取消下一轮采购成交资格。</w:t>
      </w:r>
    </w:p>
    <w:p>
      <w:pPr>
        <w:pStyle w:val="60"/>
        <w:widowControl/>
        <w:spacing w:line="360" w:lineRule="auto"/>
        <w:ind w:firstLine="480" w:firstLineChars="200"/>
        <w:outlineLvl w:val="1"/>
        <w:rPr>
          <w:rFonts w:ascii="仿宋" w:hAnsi="仿宋" w:eastAsia="仿宋" w:cs="仿宋"/>
          <w:b/>
          <w:szCs w:val="24"/>
        </w:rPr>
      </w:pPr>
      <w:r>
        <w:rPr>
          <w:rFonts w:hint="eastAsia" w:ascii="仿宋" w:hAnsi="仿宋" w:eastAsia="仿宋" w:cs="仿宋"/>
          <w:szCs w:val="24"/>
        </w:rPr>
        <w:t>▲</w:t>
      </w:r>
      <w:r>
        <w:rPr>
          <w:rFonts w:hint="eastAsia" w:ascii="仿宋" w:hAnsi="仿宋" w:eastAsia="仿宋" w:cs="仿宋"/>
          <w:b/>
          <w:szCs w:val="24"/>
        </w:rPr>
        <w:t>十、费用支付方式</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1.服务费用按由施工方案确定的白蚁监测装置布点点位数（应和施工记录保持一致）按实结算（单价乘以数量）费用；村落砖混、钢混结构房屋建筑按灭治处理户数结算费用。</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2.支付方式</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2.1</w:t>
      </w:r>
      <w:r>
        <w:rPr>
          <w:rFonts w:hint="eastAsia" w:ascii="仿宋" w:hAnsi="仿宋" w:eastAsia="仿宋" w:cs="仿宋"/>
          <w:sz w:val="24"/>
          <w:highlight w:val="yellow"/>
          <w:lang w:bidi="ar"/>
        </w:rPr>
        <w:t>合同签订次日起15天内支付合同签约价的40%作为预付款</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2.2 2022年10月前支付已通过中间验收项目服务费的60%（同时扣除预付款）；</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2.3 2023年11月底支付至结算价的85%；</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2.4 竣工验收通过后15天内支付剩余款项。</w:t>
      </w:r>
    </w:p>
    <w:p>
      <w:pPr>
        <w:pStyle w:val="60"/>
        <w:widowControl/>
        <w:spacing w:line="360" w:lineRule="auto"/>
        <w:ind w:firstLine="480" w:firstLineChars="200"/>
        <w:outlineLvl w:val="1"/>
        <w:rPr>
          <w:rFonts w:ascii="仿宋" w:hAnsi="仿宋" w:eastAsia="仿宋" w:cs="仿宋"/>
          <w:szCs w:val="24"/>
        </w:rPr>
      </w:pPr>
      <w:r>
        <w:rPr>
          <w:rFonts w:hint="eastAsia" w:ascii="仿宋" w:hAnsi="仿宋" w:eastAsia="仿宋" w:cs="仿宋"/>
          <w:szCs w:val="24"/>
        </w:rPr>
        <w:t>3.除监测控制技术外，如为确保白蚁治理效果实施必要的其他技术（如对局部应用液剂处理、喷粉处理等，修缮项目的液剂预防处理），不再支付涉及该技术的一切费用。通过中间验收后，服务期内监测装置损坏更新、或因未达到防治目标而增减装置数量的，结算价不予调整。</w:t>
      </w:r>
    </w:p>
    <w:p>
      <w:pPr>
        <w:pStyle w:val="60"/>
        <w:widowControl/>
        <w:spacing w:line="360" w:lineRule="auto"/>
        <w:ind w:firstLine="480" w:firstLineChars="200"/>
        <w:outlineLvl w:val="1"/>
        <w:rPr>
          <w:rFonts w:ascii="仿宋" w:hAnsi="仿宋" w:eastAsia="仿宋" w:cs="仿宋"/>
          <w:b/>
          <w:szCs w:val="24"/>
        </w:rPr>
      </w:pPr>
      <w:r>
        <w:rPr>
          <w:rFonts w:hint="eastAsia" w:ascii="仿宋" w:hAnsi="仿宋" w:eastAsia="仿宋" w:cs="仿宋"/>
          <w:szCs w:val="24"/>
        </w:rPr>
        <w:t>▲</w:t>
      </w:r>
      <w:r>
        <w:rPr>
          <w:rFonts w:hint="eastAsia" w:ascii="仿宋" w:hAnsi="仿宋" w:eastAsia="仿宋" w:cs="仿宋"/>
          <w:b/>
          <w:szCs w:val="24"/>
          <w:lang w:val="en-US" w:bidi="ar"/>
        </w:rPr>
        <w:t>十一、</w:t>
      </w:r>
      <w:r>
        <w:rPr>
          <w:rFonts w:hint="eastAsia" w:ascii="仿宋" w:hAnsi="仿宋" w:eastAsia="仿宋" w:cs="仿宋"/>
          <w:b/>
          <w:szCs w:val="24"/>
          <w:lang w:bidi="ar"/>
        </w:rPr>
        <w:t>履约担保</w:t>
      </w:r>
    </w:p>
    <w:p>
      <w:pPr>
        <w:pStyle w:val="32"/>
        <w:adjustRightInd/>
        <w:spacing w:line="360" w:lineRule="auto"/>
        <w:ind w:firstLine="480" w:firstLineChars="200"/>
        <w:rPr>
          <w:rFonts w:ascii="仿宋" w:hAnsi="仿宋" w:eastAsia="仿宋" w:cs="仿宋"/>
          <w:color w:val="000000"/>
          <w:kern w:val="0"/>
          <w:sz w:val="24"/>
          <w:szCs w:val="24"/>
          <w:highlight w:val="yellow"/>
          <w:lang w:bidi="ar"/>
        </w:rPr>
      </w:pPr>
      <w:r>
        <w:rPr>
          <w:rFonts w:hint="eastAsia" w:ascii="仿宋" w:hAnsi="仿宋" w:eastAsia="仿宋" w:cs="仿宋"/>
          <w:color w:val="000000"/>
          <w:kern w:val="0"/>
          <w:sz w:val="24"/>
          <w:szCs w:val="24"/>
          <w:lang w:bidi="ar"/>
        </w:rPr>
        <w:t>合同签约价的1%。甲方根据杭州市政府采购网公布的供应商履约评价情况减免履约担保金的情形。乙方履约验收评价总分为100分及以上的，甲方免收履约担保金；评价总分在90分及以上不足100分的，甲方收取履约担保金为合同总价0.5%；评价总分在不满90分或者暂无评分的，收取履约担保金为合同总价1%。</w:t>
      </w:r>
    </w:p>
    <w:p>
      <w:pPr>
        <w:spacing w:line="360" w:lineRule="auto"/>
        <w:ind w:firstLine="480" w:firstLineChars="200"/>
        <w:rPr>
          <w:rFonts w:ascii="仿宋" w:hAnsi="仿宋" w:eastAsia="仿宋" w:cs="仿宋"/>
          <w:sz w:val="24"/>
        </w:rPr>
      </w:pPr>
      <w:r>
        <w:rPr>
          <w:rFonts w:hint="eastAsia" w:ascii="仿宋" w:hAnsi="仿宋" w:eastAsia="仿宋" w:cs="仿宋"/>
          <w:sz w:val="24"/>
        </w:rPr>
        <w:t>1.形式：</w:t>
      </w:r>
    </w:p>
    <w:p>
      <w:pPr>
        <w:spacing w:line="360" w:lineRule="auto"/>
        <w:ind w:firstLine="480" w:firstLineChars="200"/>
        <w:rPr>
          <w:rFonts w:ascii="仿宋" w:hAnsi="仿宋" w:eastAsia="仿宋" w:cs="仿宋"/>
          <w:sz w:val="24"/>
        </w:rPr>
      </w:pPr>
      <w:r>
        <w:rPr>
          <w:rFonts w:hint="eastAsia" w:ascii="仿宋" w:hAnsi="仿宋" w:eastAsia="仿宋" w:cs="仿宋"/>
          <w:sz w:val="24"/>
        </w:rPr>
        <w:t>1.1保函：杭州地区注册的银行（含总行、分行、支行）、保险公司出具的保函。保函的格式和内容须经甲方确认；</w:t>
      </w:r>
    </w:p>
    <w:p>
      <w:pPr>
        <w:spacing w:line="360" w:lineRule="auto"/>
        <w:ind w:firstLine="480" w:firstLineChars="200"/>
        <w:rPr>
          <w:rFonts w:ascii="仿宋" w:hAnsi="仿宋" w:eastAsia="仿宋" w:cs="仿宋"/>
          <w:sz w:val="24"/>
        </w:rPr>
      </w:pPr>
      <w:r>
        <w:rPr>
          <w:rFonts w:hint="eastAsia" w:ascii="仿宋" w:hAnsi="仿宋" w:eastAsia="仿宋" w:cs="仿宋"/>
          <w:sz w:val="24"/>
        </w:rPr>
        <w:t>1.2现金：必须通过乙方的基本账户以银行转账方式或支票、银行汇票的形式交缴纳。</w:t>
      </w:r>
    </w:p>
    <w:p>
      <w:pPr>
        <w:spacing w:line="360" w:lineRule="auto"/>
        <w:ind w:firstLine="480" w:firstLineChars="200"/>
        <w:rPr>
          <w:rFonts w:ascii="仿宋" w:hAnsi="仿宋" w:eastAsia="仿宋" w:cs="仿宋"/>
          <w:sz w:val="24"/>
        </w:rPr>
      </w:pPr>
      <w:r>
        <w:rPr>
          <w:rFonts w:hint="eastAsia" w:ascii="仿宋" w:hAnsi="仿宋" w:eastAsia="仿宋" w:cs="仿宋"/>
          <w:sz w:val="24"/>
        </w:rPr>
        <w:t>2.提交时间：合同签订后10个工作日内提交履约担保。</w:t>
      </w:r>
    </w:p>
    <w:p>
      <w:pPr>
        <w:spacing w:line="360" w:lineRule="auto"/>
        <w:ind w:firstLine="480" w:firstLineChars="200"/>
        <w:rPr>
          <w:rFonts w:ascii="仿宋" w:hAnsi="仿宋" w:eastAsia="仿宋" w:cs="仿宋"/>
          <w:sz w:val="24"/>
        </w:rPr>
      </w:pPr>
      <w:r>
        <w:rPr>
          <w:rFonts w:hint="eastAsia" w:ascii="仿宋" w:hAnsi="仿宋" w:eastAsia="仿宋" w:cs="仿宋"/>
          <w:sz w:val="24"/>
        </w:rPr>
        <w:t>3.退还时间：履约担保在合同期满（履约验收完毕）无违约的情况下，5个工作日内无息退还。</w:t>
      </w:r>
    </w:p>
    <w:p>
      <w:pPr>
        <w:tabs>
          <w:tab w:val="left" w:pos="0"/>
        </w:tabs>
        <w:spacing w:line="360" w:lineRule="auto"/>
        <w:ind w:firstLine="480"/>
        <w:rPr>
          <w:rFonts w:ascii="仿宋" w:hAnsi="仿宋" w:eastAsia="仿宋" w:cs="Helvetica"/>
          <w:kern w:val="0"/>
          <w:sz w:val="24"/>
        </w:rPr>
      </w:pPr>
    </w:p>
    <w:p>
      <w:pPr>
        <w:adjustRightInd/>
        <w:jc w:val="left"/>
        <w:rPr>
          <w:rFonts w:ascii="仿宋" w:hAnsi="仿宋" w:eastAsia="仿宋" w:cs="仿宋_GB2312"/>
          <w:b/>
          <w:sz w:val="36"/>
          <w:szCs w:val="20"/>
        </w:rPr>
      </w:pPr>
      <w:r>
        <w:rPr>
          <w:rFonts w:hint="eastAsia"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6"/>
          <w:szCs w:val="20"/>
        </w:rPr>
      </w:pPr>
      <w:bookmarkStart w:id="42" w:name="_Toc98147531"/>
      <w:r>
        <w:rPr>
          <w:rFonts w:hint="eastAsia" w:ascii="仿宋" w:hAnsi="仿宋" w:eastAsia="仿宋" w:cs="仿宋_GB2312"/>
          <w:b/>
          <w:sz w:val="36"/>
          <w:szCs w:val="20"/>
        </w:rPr>
        <w:t xml:space="preserve">第四部分   </w:t>
      </w:r>
      <w:bookmarkStart w:id="43" w:name="_Toc184308095"/>
      <w:bookmarkEnd w:id="43"/>
      <w:bookmarkStart w:id="44" w:name="_Toc184314418"/>
      <w:bookmarkEnd w:id="44"/>
      <w:bookmarkStart w:id="45" w:name="_Toc184312068"/>
      <w:bookmarkEnd w:id="45"/>
      <w:bookmarkStart w:id="46" w:name="_Toc184313300"/>
      <w:bookmarkEnd w:id="46"/>
      <w:bookmarkStart w:id="47" w:name="_Toc184313243"/>
      <w:bookmarkEnd w:id="47"/>
      <w:bookmarkStart w:id="48" w:name="_Toc184310279"/>
      <w:bookmarkEnd w:id="48"/>
      <w:bookmarkStart w:id="49" w:name="_Toc184310327"/>
      <w:bookmarkEnd w:id="49"/>
      <w:bookmarkStart w:id="50" w:name="_Toc184310330"/>
      <w:bookmarkEnd w:id="50"/>
      <w:bookmarkStart w:id="51" w:name="_Toc184313301"/>
      <w:bookmarkEnd w:id="51"/>
      <w:bookmarkStart w:id="52" w:name="_Toc184308090"/>
      <w:bookmarkEnd w:id="52"/>
      <w:bookmarkStart w:id="53" w:name="_Toc184310340"/>
      <w:bookmarkEnd w:id="53"/>
      <w:bookmarkStart w:id="54" w:name="_Toc184314443"/>
      <w:bookmarkEnd w:id="54"/>
      <w:bookmarkStart w:id="55" w:name="_Toc184312105"/>
      <w:bookmarkEnd w:id="55"/>
      <w:bookmarkStart w:id="56" w:name="_Toc184308048"/>
      <w:bookmarkEnd w:id="56"/>
      <w:bookmarkStart w:id="57" w:name="_Toc184314458"/>
      <w:bookmarkEnd w:id="57"/>
      <w:bookmarkStart w:id="58" w:name="_Toc184308086"/>
      <w:bookmarkEnd w:id="58"/>
      <w:bookmarkStart w:id="59" w:name="_Toc184308040"/>
      <w:bookmarkEnd w:id="59"/>
      <w:bookmarkStart w:id="60" w:name="_Toc184308066"/>
      <w:bookmarkEnd w:id="60"/>
      <w:bookmarkStart w:id="61" w:name="_Toc184313257"/>
      <w:bookmarkEnd w:id="61"/>
      <w:bookmarkStart w:id="62" w:name="_Toc184312122"/>
      <w:bookmarkEnd w:id="62"/>
      <w:bookmarkStart w:id="63" w:name="_Toc184314440"/>
      <w:bookmarkEnd w:id="63"/>
      <w:bookmarkStart w:id="64" w:name="_Toc184310299"/>
      <w:bookmarkEnd w:id="64"/>
      <w:bookmarkStart w:id="65" w:name="_Toc184314416"/>
      <w:bookmarkEnd w:id="65"/>
      <w:bookmarkStart w:id="66" w:name="_Toc184310311"/>
      <w:bookmarkEnd w:id="66"/>
      <w:bookmarkStart w:id="67" w:name="_Toc184313266"/>
      <w:bookmarkEnd w:id="67"/>
      <w:bookmarkStart w:id="68" w:name="_Toc184312134"/>
      <w:bookmarkEnd w:id="68"/>
      <w:bookmarkStart w:id="69" w:name="_Toc184308070"/>
      <w:bookmarkEnd w:id="69"/>
      <w:bookmarkStart w:id="70" w:name="_Toc184313309"/>
      <w:bookmarkEnd w:id="70"/>
      <w:bookmarkStart w:id="71" w:name="_Toc184308038"/>
      <w:bookmarkEnd w:id="71"/>
      <w:bookmarkStart w:id="72" w:name="_Toc184313272"/>
      <w:bookmarkEnd w:id="72"/>
      <w:bookmarkStart w:id="73" w:name="_Toc184310273"/>
      <w:bookmarkEnd w:id="73"/>
      <w:bookmarkStart w:id="74" w:name="_Toc184310316"/>
      <w:bookmarkEnd w:id="74"/>
      <w:bookmarkStart w:id="75" w:name="_Toc184308057"/>
      <w:bookmarkEnd w:id="75"/>
      <w:bookmarkStart w:id="76" w:name="_Toc184312115"/>
      <w:bookmarkEnd w:id="76"/>
      <w:bookmarkStart w:id="77" w:name="_Toc184313274"/>
      <w:bookmarkEnd w:id="77"/>
      <w:bookmarkStart w:id="78" w:name="_Toc184308046"/>
      <w:bookmarkEnd w:id="78"/>
      <w:bookmarkStart w:id="79" w:name="_Toc184313267"/>
      <w:bookmarkEnd w:id="79"/>
      <w:bookmarkStart w:id="80" w:name="_Toc184312126"/>
      <w:bookmarkEnd w:id="80"/>
      <w:bookmarkStart w:id="81" w:name="_Toc184308064"/>
      <w:bookmarkEnd w:id="81"/>
      <w:bookmarkStart w:id="82" w:name="_Toc184312116"/>
      <w:bookmarkEnd w:id="82"/>
      <w:bookmarkStart w:id="83" w:name="_Toc184314448"/>
      <w:bookmarkEnd w:id="83"/>
      <w:bookmarkStart w:id="84" w:name="_Toc184314447"/>
      <w:bookmarkEnd w:id="84"/>
      <w:bookmarkStart w:id="85" w:name="_Toc184313242"/>
      <w:bookmarkEnd w:id="85"/>
      <w:bookmarkStart w:id="86" w:name="_Toc184313286"/>
      <w:bookmarkEnd w:id="86"/>
      <w:bookmarkStart w:id="87" w:name="_Toc184310293"/>
      <w:bookmarkEnd w:id="87"/>
      <w:bookmarkStart w:id="88" w:name="_Toc184308107"/>
      <w:bookmarkEnd w:id="88"/>
      <w:bookmarkStart w:id="89" w:name="_Toc184308049"/>
      <w:bookmarkEnd w:id="89"/>
      <w:bookmarkStart w:id="90" w:name="_Toc184313253"/>
      <w:bookmarkEnd w:id="90"/>
      <w:bookmarkStart w:id="91" w:name="_Toc184308075"/>
      <w:bookmarkEnd w:id="91"/>
      <w:bookmarkStart w:id="92" w:name="_Toc184308093"/>
      <w:bookmarkEnd w:id="92"/>
      <w:bookmarkStart w:id="93" w:name="_Toc184314474"/>
      <w:bookmarkEnd w:id="93"/>
      <w:bookmarkStart w:id="94" w:name="_Toc184310306"/>
      <w:bookmarkEnd w:id="94"/>
      <w:bookmarkStart w:id="95" w:name="_Toc184313298"/>
      <w:bookmarkEnd w:id="95"/>
      <w:bookmarkStart w:id="96" w:name="_Toc184308078"/>
      <w:bookmarkEnd w:id="96"/>
      <w:bookmarkStart w:id="97" w:name="_Toc184310335"/>
      <w:bookmarkEnd w:id="97"/>
      <w:bookmarkStart w:id="98" w:name="_Toc184312082"/>
      <w:bookmarkEnd w:id="98"/>
      <w:bookmarkStart w:id="99" w:name="_Toc184313245"/>
      <w:bookmarkEnd w:id="99"/>
      <w:bookmarkStart w:id="100" w:name="_Toc184310308"/>
      <w:bookmarkEnd w:id="100"/>
      <w:bookmarkStart w:id="101" w:name="_Toc184313255"/>
      <w:bookmarkEnd w:id="101"/>
      <w:bookmarkStart w:id="102" w:name="_Toc184310272"/>
      <w:bookmarkEnd w:id="102"/>
      <w:bookmarkStart w:id="103" w:name="_Toc184313263"/>
      <w:bookmarkEnd w:id="103"/>
      <w:bookmarkStart w:id="104" w:name="_Toc184312072"/>
      <w:bookmarkEnd w:id="104"/>
      <w:bookmarkStart w:id="105" w:name="_Toc184314423"/>
      <w:bookmarkEnd w:id="105"/>
      <w:bookmarkStart w:id="106" w:name="_Toc184313280"/>
      <w:bookmarkEnd w:id="106"/>
      <w:bookmarkStart w:id="107" w:name="_Toc184313291"/>
      <w:bookmarkEnd w:id="107"/>
      <w:bookmarkStart w:id="108" w:name="_Toc184314415"/>
      <w:bookmarkEnd w:id="108"/>
      <w:bookmarkStart w:id="109" w:name="_Toc184313293"/>
      <w:bookmarkEnd w:id="109"/>
      <w:bookmarkStart w:id="110" w:name="_Toc184308073"/>
      <w:bookmarkEnd w:id="110"/>
      <w:bookmarkStart w:id="111" w:name="_Toc184314420"/>
      <w:bookmarkEnd w:id="111"/>
      <w:bookmarkStart w:id="112" w:name="_Toc184308105"/>
      <w:bookmarkEnd w:id="112"/>
      <w:bookmarkStart w:id="113" w:name="_Toc184308036"/>
      <w:bookmarkEnd w:id="113"/>
      <w:bookmarkStart w:id="114" w:name="_Toc184310342"/>
      <w:bookmarkEnd w:id="114"/>
      <w:bookmarkStart w:id="115" w:name="_Toc184314463"/>
      <w:bookmarkEnd w:id="115"/>
      <w:bookmarkStart w:id="116" w:name="_Toc184310292"/>
      <w:bookmarkEnd w:id="116"/>
      <w:bookmarkStart w:id="117" w:name="_Toc184314452"/>
      <w:bookmarkEnd w:id="117"/>
      <w:bookmarkStart w:id="118" w:name="_Toc184310280"/>
      <w:bookmarkEnd w:id="118"/>
      <w:bookmarkStart w:id="119" w:name="_Toc184313296"/>
      <w:bookmarkEnd w:id="119"/>
      <w:bookmarkStart w:id="120" w:name="_Toc184308104"/>
      <w:bookmarkEnd w:id="120"/>
      <w:bookmarkStart w:id="121" w:name="_Toc184313302"/>
      <w:bookmarkEnd w:id="121"/>
      <w:bookmarkStart w:id="122" w:name="_Toc184310285"/>
      <w:bookmarkEnd w:id="122"/>
      <w:bookmarkStart w:id="123" w:name="_Toc184312098"/>
      <w:bookmarkEnd w:id="123"/>
      <w:bookmarkStart w:id="124" w:name="_Toc184313281"/>
      <w:bookmarkEnd w:id="124"/>
      <w:bookmarkStart w:id="125" w:name="_Toc184308082"/>
      <w:bookmarkEnd w:id="125"/>
      <w:bookmarkStart w:id="126" w:name="_Toc184310322"/>
      <w:bookmarkEnd w:id="126"/>
      <w:bookmarkStart w:id="127" w:name="_Toc184310294"/>
      <w:bookmarkEnd w:id="127"/>
      <w:bookmarkStart w:id="128" w:name="_Toc184313275"/>
      <w:bookmarkEnd w:id="128"/>
      <w:bookmarkStart w:id="129" w:name="_Toc184312079"/>
      <w:bookmarkEnd w:id="129"/>
      <w:bookmarkStart w:id="130" w:name="_Toc184312095"/>
      <w:bookmarkEnd w:id="130"/>
      <w:bookmarkStart w:id="131" w:name="_Toc184313308"/>
      <w:bookmarkEnd w:id="131"/>
      <w:bookmarkStart w:id="132" w:name="_Toc184312097"/>
      <w:bookmarkEnd w:id="132"/>
      <w:bookmarkStart w:id="133" w:name="_Toc184312078"/>
      <w:bookmarkEnd w:id="133"/>
      <w:bookmarkStart w:id="134" w:name="_Toc184314442"/>
      <w:bookmarkEnd w:id="134"/>
      <w:bookmarkStart w:id="135" w:name="_Toc184310307"/>
      <w:bookmarkEnd w:id="135"/>
      <w:bookmarkStart w:id="136" w:name="_Toc184314427"/>
      <w:bookmarkEnd w:id="136"/>
      <w:bookmarkStart w:id="137" w:name="_Toc184314444"/>
      <w:bookmarkEnd w:id="137"/>
      <w:bookmarkStart w:id="138" w:name="_Toc184308097"/>
      <w:bookmarkEnd w:id="138"/>
      <w:bookmarkStart w:id="139" w:name="_Toc184310309"/>
      <w:bookmarkEnd w:id="139"/>
      <w:bookmarkStart w:id="140" w:name="_Toc184314479"/>
      <w:bookmarkEnd w:id="140"/>
      <w:bookmarkStart w:id="141" w:name="_Toc184314435"/>
      <w:bookmarkEnd w:id="141"/>
      <w:bookmarkStart w:id="142" w:name="_Toc184310333"/>
      <w:bookmarkEnd w:id="142"/>
      <w:bookmarkStart w:id="143" w:name="_Toc184312091"/>
      <w:bookmarkEnd w:id="143"/>
      <w:bookmarkStart w:id="144" w:name="_Toc184310286"/>
      <w:bookmarkEnd w:id="144"/>
      <w:bookmarkStart w:id="145" w:name="_Toc184313249"/>
      <w:bookmarkEnd w:id="145"/>
      <w:bookmarkStart w:id="146" w:name="_Toc184314428"/>
      <w:bookmarkEnd w:id="146"/>
      <w:bookmarkStart w:id="147" w:name="_Toc184308050"/>
      <w:bookmarkEnd w:id="147"/>
      <w:bookmarkStart w:id="148" w:name="_Toc184312106"/>
      <w:bookmarkEnd w:id="148"/>
      <w:bookmarkStart w:id="149" w:name="_Toc184312077"/>
      <w:bookmarkEnd w:id="149"/>
      <w:bookmarkStart w:id="150" w:name="_Toc184308058"/>
      <w:bookmarkEnd w:id="150"/>
      <w:bookmarkStart w:id="151" w:name="_Toc184313285"/>
      <w:bookmarkEnd w:id="151"/>
      <w:bookmarkStart w:id="152" w:name="_Toc184308041"/>
      <w:bookmarkEnd w:id="152"/>
      <w:bookmarkStart w:id="153" w:name="_Toc184312124"/>
      <w:bookmarkEnd w:id="153"/>
      <w:bookmarkStart w:id="154" w:name="_Toc184314429"/>
      <w:bookmarkEnd w:id="154"/>
      <w:bookmarkStart w:id="155" w:name="_Toc184312090"/>
      <w:bookmarkEnd w:id="155"/>
      <w:bookmarkStart w:id="156" w:name="_Toc184314482"/>
      <w:bookmarkEnd w:id="156"/>
      <w:bookmarkStart w:id="157" w:name="_Toc184310317"/>
      <w:bookmarkEnd w:id="157"/>
      <w:bookmarkStart w:id="158" w:name="_Toc184312100"/>
      <w:bookmarkEnd w:id="158"/>
      <w:bookmarkStart w:id="159" w:name="_Toc184314466"/>
      <w:bookmarkEnd w:id="159"/>
      <w:bookmarkStart w:id="160" w:name="_Toc184308042"/>
      <w:bookmarkEnd w:id="160"/>
      <w:bookmarkStart w:id="161" w:name="_Toc184312089"/>
      <w:bookmarkEnd w:id="161"/>
      <w:bookmarkStart w:id="162" w:name="_Toc184314455"/>
      <w:bookmarkEnd w:id="162"/>
      <w:bookmarkStart w:id="163" w:name="_Toc184313307"/>
      <w:bookmarkEnd w:id="163"/>
      <w:bookmarkStart w:id="164" w:name="_Toc184310295"/>
      <w:bookmarkEnd w:id="164"/>
      <w:bookmarkStart w:id="165" w:name="_Toc184310301"/>
      <w:bookmarkEnd w:id="165"/>
      <w:bookmarkStart w:id="166" w:name="_Toc184314451"/>
      <w:bookmarkEnd w:id="166"/>
      <w:bookmarkStart w:id="167" w:name="_Toc184314413"/>
      <w:bookmarkEnd w:id="167"/>
      <w:bookmarkStart w:id="168" w:name="_Toc184314421"/>
      <w:bookmarkEnd w:id="168"/>
      <w:bookmarkStart w:id="169" w:name="_Toc184314422"/>
      <w:bookmarkEnd w:id="169"/>
      <w:bookmarkStart w:id="170" w:name="_Toc184308074"/>
      <w:bookmarkEnd w:id="170"/>
      <w:bookmarkStart w:id="171" w:name="_Toc184314476"/>
      <w:bookmarkEnd w:id="171"/>
      <w:bookmarkStart w:id="172" w:name="_Toc184310275"/>
      <w:bookmarkEnd w:id="172"/>
      <w:bookmarkStart w:id="173" w:name="_Toc184312118"/>
      <w:bookmarkEnd w:id="173"/>
      <w:bookmarkStart w:id="174" w:name="_Toc184314457"/>
      <w:bookmarkEnd w:id="174"/>
      <w:bookmarkStart w:id="175" w:name="_Toc184310296"/>
      <w:bookmarkEnd w:id="175"/>
      <w:bookmarkStart w:id="176" w:name="_Toc184314412"/>
      <w:bookmarkEnd w:id="176"/>
      <w:bookmarkStart w:id="177" w:name="_Toc184310282"/>
      <w:bookmarkEnd w:id="177"/>
      <w:bookmarkStart w:id="178" w:name="_Toc184314465"/>
      <w:bookmarkEnd w:id="178"/>
      <w:bookmarkStart w:id="179" w:name="_Toc184308047"/>
      <w:bookmarkEnd w:id="179"/>
      <w:bookmarkStart w:id="180" w:name="_Toc184308084"/>
      <w:bookmarkEnd w:id="180"/>
      <w:bookmarkStart w:id="181" w:name="_Toc184313271"/>
      <w:bookmarkEnd w:id="181"/>
      <w:bookmarkStart w:id="182" w:name="_Toc184310312"/>
      <w:bookmarkEnd w:id="182"/>
      <w:bookmarkStart w:id="183" w:name="_Toc184313292"/>
      <w:bookmarkEnd w:id="183"/>
      <w:bookmarkStart w:id="184" w:name="_Toc184314410"/>
      <w:bookmarkEnd w:id="184"/>
      <w:bookmarkStart w:id="185" w:name="_Toc184314468"/>
      <w:bookmarkEnd w:id="185"/>
      <w:bookmarkStart w:id="186" w:name="_Toc184310283"/>
      <w:bookmarkEnd w:id="186"/>
      <w:bookmarkStart w:id="187" w:name="_Toc184313241"/>
      <w:bookmarkEnd w:id="187"/>
      <w:bookmarkStart w:id="188" w:name="_Toc184308051"/>
      <w:bookmarkEnd w:id="188"/>
      <w:bookmarkStart w:id="189" w:name="_Toc184312084"/>
      <w:bookmarkEnd w:id="189"/>
      <w:bookmarkStart w:id="190" w:name="_Toc184310324"/>
      <w:bookmarkEnd w:id="190"/>
      <w:bookmarkStart w:id="191" w:name="_Toc184310329"/>
      <w:bookmarkEnd w:id="191"/>
      <w:bookmarkStart w:id="192" w:name="_Toc184312075"/>
      <w:bookmarkEnd w:id="192"/>
      <w:bookmarkStart w:id="193" w:name="_Toc184312085"/>
      <w:bookmarkEnd w:id="193"/>
      <w:bookmarkStart w:id="194" w:name="_Toc184314454"/>
      <w:bookmarkEnd w:id="194"/>
      <w:bookmarkStart w:id="195" w:name="_Toc184313261"/>
      <w:bookmarkEnd w:id="195"/>
      <w:bookmarkStart w:id="196" w:name="_Toc184312112"/>
      <w:bookmarkEnd w:id="196"/>
      <w:bookmarkStart w:id="197" w:name="_Toc184314462"/>
      <w:bookmarkEnd w:id="197"/>
      <w:bookmarkStart w:id="198" w:name="_Toc184312131"/>
      <w:bookmarkEnd w:id="198"/>
      <w:bookmarkStart w:id="199" w:name="_Toc184314432"/>
      <w:bookmarkEnd w:id="199"/>
      <w:bookmarkStart w:id="200" w:name="_Toc184308072"/>
      <w:bookmarkEnd w:id="200"/>
      <w:bookmarkStart w:id="201" w:name="_Toc184310328"/>
      <w:bookmarkEnd w:id="201"/>
      <w:bookmarkStart w:id="202" w:name="_Toc184308108"/>
      <w:bookmarkEnd w:id="202"/>
      <w:bookmarkStart w:id="203" w:name="_Toc184313283"/>
      <w:bookmarkEnd w:id="203"/>
      <w:bookmarkStart w:id="204" w:name="_Toc184312080"/>
      <w:bookmarkEnd w:id="204"/>
      <w:bookmarkStart w:id="205" w:name="_Toc184312133"/>
      <w:bookmarkEnd w:id="205"/>
      <w:bookmarkStart w:id="206" w:name="_Toc184310288"/>
      <w:bookmarkEnd w:id="206"/>
      <w:bookmarkStart w:id="207" w:name="_Toc184310334"/>
      <w:bookmarkEnd w:id="207"/>
      <w:bookmarkStart w:id="208" w:name="_Toc184313287"/>
      <w:bookmarkEnd w:id="208"/>
      <w:bookmarkStart w:id="209" w:name="_Toc184313252"/>
      <w:bookmarkEnd w:id="209"/>
      <w:bookmarkStart w:id="210" w:name="_Toc184313310"/>
      <w:bookmarkEnd w:id="210"/>
      <w:bookmarkStart w:id="211" w:name="_Toc184308080"/>
      <w:bookmarkEnd w:id="211"/>
      <w:bookmarkStart w:id="212" w:name="_Toc184313250"/>
      <w:bookmarkEnd w:id="212"/>
      <w:bookmarkStart w:id="213" w:name="_Toc184310287"/>
      <w:bookmarkEnd w:id="213"/>
      <w:bookmarkStart w:id="214" w:name="_Toc184308088"/>
      <w:bookmarkEnd w:id="214"/>
      <w:bookmarkStart w:id="215" w:name="_Toc184310302"/>
      <w:bookmarkEnd w:id="215"/>
      <w:bookmarkStart w:id="216" w:name="_Toc184310291"/>
      <w:bookmarkEnd w:id="216"/>
      <w:bookmarkStart w:id="217" w:name="_Toc184312132"/>
      <w:bookmarkEnd w:id="217"/>
      <w:bookmarkStart w:id="218" w:name="_Toc184308085"/>
      <w:bookmarkEnd w:id="218"/>
      <w:bookmarkStart w:id="219" w:name="_Toc184312073"/>
      <w:bookmarkEnd w:id="219"/>
      <w:bookmarkStart w:id="220" w:name="_Toc184310318"/>
      <w:bookmarkEnd w:id="220"/>
      <w:bookmarkStart w:id="221" w:name="_Toc184313264"/>
      <w:bookmarkEnd w:id="221"/>
      <w:bookmarkStart w:id="222" w:name="_Toc184308102"/>
      <w:bookmarkEnd w:id="222"/>
      <w:bookmarkStart w:id="223" w:name="_Toc184310332"/>
      <w:bookmarkEnd w:id="223"/>
      <w:bookmarkStart w:id="224" w:name="_Toc184312137"/>
      <w:bookmarkEnd w:id="224"/>
      <w:bookmarkStart w:id="225" w:name="_Toc184308083"/>
      <w:bookmarkEnd w:id="225"/>
      <w:bookmarkStart w:id="226" w:name="_Toc184313278"/>
      <w:bookmarkEnd w:id="226"/>
      <w:bookmarkStart w:id="227" w:name="_Toc184313246"/>
      <w:bookmarkEnd w:id="227"/>
      <w:bookmarkStart w:id="228" w:name="_Toc184308079"/>
      <w:bookmarkEnd w:id="228"/>
      <w:bookmarkStart w:id="229" w:name="_Toc184310290"/>
      <w:bookmarkEnd w:id="229"/>
      <w:bookmarkStart w:id="230" w:name="_Toc184313268"/>
      <w:bookmarkEnd w:id="230"/>
      <w:bookmarkStart w:id="231" w:name="_Toc184314434"/>
      <w:bookmarkEnd w:id="231"/>
      <w:bookmarkStart w:id="232" w:name="_Toc184313288"/>
      <w:bookmarkEnd w:id="232"/>
      <w:bookmarkStart w:id="233" w:name="_Toc184312135"/>
      <w:bookmarkEnd w:id="233"/>
      <w:bookmarkStart w:id="234" w:name="_Toc184314433"/>
      <w:bookmarkEnd w:id="234"/>
      <w:bookmarkStart w:id="235" w:name="_Toc184314470"/>
      <w:bookmarkEnd w:id="235"/>
      <w:bookmarkStart w:id="236" w:name="_Toc184314411"/>
      <w:bookmarkEnd w:id="236"/>
      <w:bookmarkStart w:id="237" w:name="_Toc184312096"/>
      <w:bookmarkEnd w:id="237"/>
      <w:bookmarkStart w:id="238" w:name="_Toc184308059"/>
      <w:bookmarkEnd w:id="238"/>
      <w:bookmarkStart w:id="239" w:name="_Toc184308053"/>
      <w:bookmarkEnd w:id="239"/>
      <w:bookmarkStart w:id="240" w:name="_Toc184312125"/>
      <w:bookmarkEnd w:id="240"/>
      <w:bookmarkStart w:id="241" w:name="_Toc184313279"/>
      <w:bookmarkEnd w:id="241"/>
      <w:bookmarkStart w:id="242" w:name="_Toc184312130"/>
      <w:bookmarkEnd w:id="242"/>
      <w:bookmarkStart w:id="243" w:name="_Toc184314441"/>
      <w:bookmarkEnd w:id="243"/>
      <w:bookmarkStart w:id="244" w:name="_Toc184310320"/>
      <w:bookmarkEnd w:id="244"/>
      <w:bookmarkStart w:id="245" w:name="_Toc184313284"/>
      <w:bookmarkEnd w:id="245"/>
      <w:bookmarkStart w:id="246" w:name="_Toc184312120"/>
      <w:bookmarkEnd w:id="246"/>
      <w:bookmarkStart w:id="247" w:name="_Toc184310331"/>
      <w:bookmarkEnd w:id="247"/>
      <w:bookmarkStart w:id="248" w:name="_Toc184312136"/>
      <w:bookmarkEnd w:id="248"/>
      <w:bookmarkStart w:id="249" w:name="_Toc184314424"/>
      <w:bookmarkEnd w:id="249"/>
      <w:bookmarkStart w:id="250" w:name="_Toc184312094"/>
      <w:bookmarkEnd w:id="250"/>
      <w:bookmarkStart w:id="251" w:name="_Toc184310336"/>
      <w:bookmarkEnd w:id="251"/>
      <w:bookmarkStart w:id="252" w:name="_Toc184313265"/>
      <w:bookmarkEnd w:id="252"/>
      <w:bookmarkStart w:id="253" w:name="_Toc184314417"/>
      <w:bookmarkEnd w:id="253"/>
      <w:bookmarkStart w:id="254" w:name="_Toc184308052"/>
      <w:bookmarkEnd w:id="254"/>
      <w:bookmarkStart w:id="255" w:name="_Toc184310304"/>
      <w:bookmarkEnd w:id="255"/>
      <w:bookmarkStart w:id="256" w:name="_Toc184310297"/>
      <w:bookmarkEnd w:id="256"/>
      <w:bookmarkStart w:id="257" w:name="_Toc184313295"/>
      <w:bookmarkEnd w:id="257"/>
      <w:bookmarkStart w:id="258" w:name="_Toc184310314"/>
      <w:bookmarkEnd w:id="258"/>
      <w:bookmarkStart w:id="259" w:name="_Toc184314453"/>
      <w:bookmarkEnd w:id="259"/>
      <w:bookmarkStart w:id="260" w:name="_Toc184312081"/>
      <w:bookmarkEnd w:id="260"/>
      <w:bookmarkStart w:id="261" w:name="_Toc184308061"/>
      <w:bookmarkEnd w:id="261"/>
      <w:bookmarkStart w:id="262" w:name="_Toc184314478"/>
      <w:bookmarkEnd w:id="262"/>
      <w:bookmarkStart w:id="263" w:name="_Toc184310305"/>
      <w:bookmarkEnd w:id="263"/>
      <w:bookmarkStart w:id="264" w:name="_Toc184312069"/>
      <w:bookmarkEnd w:id="264"/>
      <w:bookmarkStart w:id="265" w:name="_Toc184312113"/>
      <w:bookmarkEnd w:id="265"/>
      <w:bookmarkStart w:id="266" w:name="_Toc184308096"/>
      <w:bookmarkEnd w:id="266"/>
      <w:bookmarkStart w:id="267" w:name="_Toc184310276"/>
      <w:bookmarkEnd w:id="267"/>
      <w:bookmarkStart w:id="268" w:name="_Toc184312127"/>
      <w:bookmarkEnd w:id="268"/>
      <w:bookmarkStart w:id="269" w:name="_Toc184310315"/>
      <w:bookmarkEnd w:id="269"/>
      <w:bookmarkStart w:id="270" w:name="_Toc184314430"/>
      <w:bookmarkEnd w:id="270"/>
      <w:bookmarkStart w:id="271" w:name="_Toc184312128"/>
      <w:bookmarkEnd w:id="271"/>
      <w:bookmarkStart w:id="272" w:name="_Toc184308077"/>
      <w:bookmarkEnd w:id="272"/>
      <w:bookmarkStart w:id="273" w:name="_Toc184314471"/>
      <w:bookmarkEnd w:id="273"/>
      <w:bookmarkStart w:id="274" w:name="_Toc184312071"/>
      <w:bookmarkEnd w:id="274"/>
      <w:bookmarkStart w:id="275" w:name="_Toc184313282"/>
      <w:bookmarkEnd w:id="275"/>
      <w:bookmarkStart w:id="276" w:name="_Toc184313270"/>
      <w:bookmarkEnd w:id="276"/>
      <w:bookmarkStart w:id="277" w:name="_Toc184308101"/>
      <w:bookmarkEnd w:id="277"/>
      <w:bookmarkStart w:id="278" w:name="_Toc184308091"/>
      <w:bookmarkEnd w:id="278"/>
      <w:bookmarkStart w:id="279" w:name="_Toc184308098"/>
      <w:bookmarkEnd w:id="279"/>
      <w:bookmarkStart w:id="280" w:name="_Toc184313290"/>
      <w:bookmarkEnd w:id="280"/>
      <w:bookmarkStart w:id="281" w:name="_Toc184312119"/>
      <w:bookmarkEnd w:id="281"/>
      <w:bookmarkStart w:id="282" w:name="_Toc184310337"/>
      <w:bookmarkEnd w:id="282"/>
      <w:bookmarkStart w:id="283" w:name="_Toc184310277"/>
      <w:bookmarkEnd w:id="283"/>
      <w:bookmarkStart w:id="284" w:name="_Toc184314469"/>
      <w:bookmarkEnd w:id="284"/>
      <w:bookmarkStart w:id="285" w:name="_Toc184308037"/>
      <w:bookmarkEnd w:id="285"/>
      <w:bookmarkStart w:id="286" w:name="_Toc184313256"/>
      <w:bookmarkEnd w:id="286"/>
      <w:bookmarkStart w:id="287" w:name="_Toc184310281"/>
      <w:bookmarkEnd w:id="287"/>
      <w:bookmarkStart w:id="288" w:name="_Toc184308039"/>
      <w:bookmarkEnd w:id="288"/>
      <w:bookmarkStart w:id="289" w:name="_Toc184308087"/>
      <w:bookmarkEnd w:id="289"/>
      <w:bookmarkStart w:id="290" w:name="_Toc184314446"/>
      <w:bookmarkEnd w:id="290"/>
      <w:bookmarkStart w:id="291" w:name="_Toc184313247"/>
      <w:bookmarkEnd w:id="291"/>
      <w:bookmarkStart w:id="292" w:name="_Toc184312111"/>
      <w:bookmarkEnd w:id="292"/>
      <w:bookmarkStart w:id="293" w:name="_Toc184312076"/>
      <w:bookmarkEnd w:id="293"/>
      <w:bookmarkStart w:id="294" w:name="_Toc184314445"/>
      <w:bookmarkEnd w:id="294"/>
      <w:bookmarkStart w:id="295" w:name="_Toc184310310"/>
      <w:bookmarkEnd w:id="295"/>
      <w:bookmarkStart w:id="296" w:name="_Toc184312121"/>
      <w:bookmarkEnd w:id="296"/>
      <w:bookmarkStart w:id="297" w:name="_Toc184313240"/>
      <w:bookmarkEnd w:id="297"/>
      <w:bookmarkStart w:id="298" w:name="_Toc184313297"/>
      <w:bookmarkEnd w:id="298"/>
      <w:bookmarkStart w:id="299" w:name="_Toc184312083"/>
      <w:bookmarkEnd w:id="299"/>
      <w:bookmarkStart w:id="300" w:name="_Toc184313254"/>
      <w:bookmarkEnd w:id="300"/>
      <w:bookmarkStart w:id="301" w:name="_Toc184312087"/>
      <w:bookmarkEnd w:id="301"/>
      <w:bookmarkStart w:id="302" w:name="_Toc184312070"/>
      <w:bookmarkEnd w:id="302"/>
      <w:bookmarkStart w:id="303" w:name="_Toc184313239"/>
      <w:bookmarkEnd w:id="303"/>
      <w:bookmarkStart w:id="304" w:name="_Toc184313289"/>
      <w:bookmarkEnd w:id="304"/>
      <w:bookmarkStart w:id="305" w:name="_Toc184312074"/>
      <w:bookmarkEnd w:id="305"/>
      <w:bookmarkStart w:id="306" w:name="_Toc184312129"/>
      <w:bookmarkEnd w:id="306"/>
      <w:bookmarkStart w:id="307" w:name="_Toc184312093"/>
      <w:bookmarkEnd w:id="307"/>
      <w:bookmarkStart w:id="308" w:name="_Toc184313262"/>
      <w:bookmarkEnd w:id="308"/>
      <w:bookmarkStart w:id="309" w:name="_Toc184312107"/>
      <w:bookmarkEnd w:id="309"/>
      <w:bookmarkStart w:id="310" w:name="_Toc184313269"/>
      <w:bookmarkEnd w:id="310"/>
      <w:bookmarkStart w:id="311" w:name="_Toc184310341"/>
      <w:bookmarkEnd w:id="311"/>
      <w:bookmarkStart w:id="312" w:name="_Toc184310298"/>
      <w:bookmarkEnd w:id="312"/>
      <w:bookmarkStart w:id="313" w:name="_Toc184310284"/>
      <w:bookmarkEnd w:id="313"/>
      <w:bookmarkStart w:id="314" w:name="_Toc184314425"/>
      <w:bookmarkEnd w:id="314"/>
      <w:bookmarkStart w:id="315" w:name="_Toc184313303"/>
      <w:bookmarkEnd w:id="315"/>
      <w:bookmarkStart w:id="316" w:name="_Toc184310339"/>
      <w:bookmarkEnd w:id="316"/>
      <w:bookmarkStart w:id="317" w:name="_Toc184310326"/>
      <w:bookmarkEnd w:id="317"/>
      <w:bookmarkStart w:id="318" w:name="_Toc184314438"/>
      <w:bookmarkEnd w:id="318"/>
      <w:bookmarkStart w:id="319" w:name="_Toc184314426"/>
      <w:bookmarkEnd w:id="319"/>
      <w:bookmarkStart w:id="320" w:name="_Toc184310274"/>
      <w:bookmarkEnd w:id="320"/>
      <w:bookmarkStart w:id="321" w:name="_Toc184308106"/>
      <w:bookmarkEnd w:id="321"/>
      <w:bookmarkStart w:id="322" w:name="_Toc184308044"/>
      <w:bookmarkEnd w:id="322"/>
      <w:bookmarkStart w:id="323" w:name="_Toc184308060"/>
      <w:bookmarkEnd w:id="323"/>
      <w:bookmarkStart w:id="324" w:name="_Toc184313304"/>
      <w:bookmarkEnd w:id="324"/>
      <w:bookmarkStart w:id="325" w:name="_Toc184313294"/>
      <w:bookmarkEnd w:id="325"/>
      <w:bookmarkStart w:id="326" w:name="_Toc184310289"/>
      <w:bookmarkEnd w:id="326"/>
      <w:bookmarkStart w:id="327" w:name="_Toc184312104"/>
      <w:bookmarkEnd w:id="327"/>
      <w:bookmarkStart w:id="328" w:name="_Toc184312101"/>
      <w:bookmarkEnd w:id="328"/>
      <w:bookmarkStart w:id="329" w:name="_Toc184312138"/>
      <w:bookmarkEnd w:id="329"/>
      <w:bookmarkStart w:id="330" w:name="_Toc184312108"/>
      <w:bookmarkEnd w:id="330"/>
      <w:bookmarkStart w:id="331" w:name="_Toc184310303"/>
      <w:bookmarkEnd w:id="331"/>
      <w:bookmarkStart w:id="332" w:name="_Toc184308071"/>
      <w:bookmarkEnd w:id="332"/>
      <w:bookmarkStart w:id="333" w:name="_Toc184310300"/>
      <w:bookmarkEnd w:id="333"/>
      <w:bookmarkStart w:id="334" w:name="_Toc184308103"/>
      <w:bookmarkEnd w:id="334"/>
      <w:bookmarkStart w:id="335" w:name="_Toc184308065"/>
      <w:bookmarkEnd w:id="335"/>
      <w:bookmarkStart w:id="336" w:name="_Toc184310313"/>
      <w:bookmarkEnd w:id="336"/>
      <w:bookmarkStart w:id="337" w:name="_Toc184314459"/>
      <w:bookmarkEnd w:id="337"/>
      <w:bookmarkStart w:id="338" w:name="_Toc184313258"/>
      <w:bookmarkEnd w:id="338"/>
      <w:bookmarkStart w:id="339" w:name="_Toc184308043"/>
      <w:bookmarkEnd w:id="339"/>
      <w:bookmarkStart w:id="340" w:name="_Toc184308092"/>
      <w:bookmarkEnd w:id="340"/>
      <w:bookmarkStart w:id="341" w:name="_Toc184312092"/>
      <w:bookmarkEnd w:id="341"/>
      <w:bookmarkStart w:id="342" w:name="_Toc184314437"/>
      <w:bookmarkEnd w:id="342"/>
      <w:bookmarkStart w:id="343" w:name="_Toc184314414"/>
      <w:bookmarkEnd w:id="343"/>
      <w:bookmarkStart w:id="344" w:name="_Toc184314477"/>
      <w:bookmarkEnd w:id="344"/>
      <w:bookmarkStart w:id="345" w:name="_Toc184314467"/>
      <w:bookmarkEnd w:id="345"/>
      <w:bookmarkStart w:id="346" w:name="_Toc184313305"/>
      <w:bookmarkEnd w:id="346"/>
      <w:bookmarkStart w:id="347" w:name="_Toc184314419"/>
      <w:bookmarkEnd w:id="347"/>
      <w:bookmarkStart w:id="348" w:name="_Toc184314464"/>
      <w:bookmarkEnd w:id="348"/>
      <w:bookmarkStart w:id="349" w:name="_Toc184308100"/>
      <w:bookmarkEnd w:id="349"/>
      <w:bookmarkStart w:id="350" w:name="_Toc184310319"/>
      <w:bookmarkEnd w:id="350"/>
      <w:bookmarkStart w:id="351" w:name="_Toc184314449"/>
      <w:bookmarkEnd w:id="351"/>
      <w:bookmarkStart w:id="352" w:name="_Toc184312117"/>
      <w:bookmarkEnd w:id="352"/>
      <w:bookmarkStart w:id="353" w:name="_Toc184312139"/>
      <w:bookmarkEnd w:id="353"/>
      <w:bookmarkStart w:id="354" w:name="_Toc184312099"/>
      <w:bookmarkEnd w:id="354"/>
      <w:bookmarkStart w:id="355" w:name="_Toc184312123"/>
      <w:bookmarkEnd w:id="355"/>
      <w:bookmarkStart w:id="356" w:name="_Toc184314481"/>
      <w:bookmarkEnd w:id="356"/>
      <w:bookmarkStart w:id="357" w:name="_Toc184308076"/>
      <w:bookmarkEnd w:id="357"/>
      <w:bookmarkStart w:id="358" w:name="_Toc184312114"/>
      <w:bookmarkEnd w:id="358"/>
      <w:bookmarkStart w:id="359" w:name="_Toc184308055"/>
      <w:bookmarkEnd w:id="359"/>
      <w:bookmarkStart w:id="360" w:name="_Toc184313244"/>
      <w:bookmarkEnd w:id="360"/>
      <w:bookmarkStart w:id="361" w:name="_Toc184312086"/>
      <w:bookmarkEnd w:id="361"/>
      <w:bookmarkStart w:id="362" w:name="_Toc184308056"/>
      <w:bookmarkEnd w:id="362"/>
      <w:bookmarkStart w:id="363" w:name="_Toc184308062"/>
      <w:bookmarkEnd w:id="363"/>
      <w:bookmarkStart w:id="364" w:name="_Toc184314461"/>
      <w:bookmarkEnd w:id="364"/>
      <w:bookmarkStart w:id="365" w:name="_Toc184308068"/>
      <w:bookmarkEnd w:id="365"/>
      <w:bookmarkStart w:id="366" w:name="_Toc184313260"/>
      <w:bookmarkEnd w:id="366"/>
      <w:bookmarkStart w:id="367" w:name="_Toc184308067"/>
      <w:bookmarkEnd w:id="367"/>
      <w:bookmarkStart w:id="368" w:name="_Toc184313273"/>
      <w:bookmarkEnd w:id="368"/>
      <w:bookmarkStart w:id="369" w:name="_Toc184313238"/>
      <w:bookmarkEnd w:id="369"/>
      <w:bookmarkStart w:id="370" w:name="_Toc184314460"/>
      <w:bookmarkEnd w:id="370"/>
      <w:bookmarkStart w:id="371" w:name="_Toc184313251"/>
      <w:bookmarkEnd w:id="371"/>
      <w:bookmarkStart w:id="372" w:name="_Toc184314431"/>
      <w:bookmarkEnd w:id="372"/>
      <w:bookmarkStart w:id="373" w:name="_Toc184310278"/>
      <w:bookmarkEnd w:id="373"/>
      <w:bookmarkStart w:id="374" w:name="_Toc184308045"/>
      <w:bookmarkEnd w:id="374"/>
      <w:bookmarkStart w:id="375" w:name="_Toc184314439"/>
      <w:bookmarkEnd w:id="375"/>
      <w:bookmarkStart w:id="376" w:name="_Toc184312102"/>
      <w:bookmarkEnd w:id="376"/>
      <w:bookmarkStart w:id="377" w:name="_Toc184313306"/>
      <w:bookmarkEnd w:id="377"/>
      <w:bookmarkStart w:id="378" w:name="_Toc184313248"/>
      <w:bookmarkEnd w:id="378"/>
      <w:bookmarkStart w:id="379" w:name="_Toc184313299"/>
      <w:bookmarkEnd w:id="379"/>
      <w:bookmarkStart w:id="380" w:name="_Toc184313277"/>
      <w:bookmarkEnd w:id="380"/>
      <w:bookmarkStart w:id="381" w:name="_Toc184308063"/>
      <w:bookmarkEnd w:id="381"/>
      <w:bookmarkStart w:id="382" w:name="_Toc184314456"/>
      <w:bookmarkEnd w:id="382"/>
      <w:bookmarkStart w:id="383" w:name="_Toc184314436"/>
      <w:bookmarkEnd w:id="383"/>
      <w:bookmarkStart w:id="384" w:name="_Toc184308089"/>
      <w:bookmarkEnd w:id="384"/>
      <w:bookmarkStart w:id="385" w:name="_Toc184308069"/>
      <w:bookmarkEnd w:id="385"/>
      <w:bookmarkStart w:id="386" w:name="_Toc184308054"/>
      <w:bookmarkEnd w:id="386"/>
      <w:bookmarkStart w:id="387" w:name="_Toc184314450"/>
      <w:bookmarkEnd w:id="387"/>
      <w:bookmarkStart w:id="388" w:name="_Toc184310338"/>
      <w:bookmarkEnd w:id="388"/>
      <w:bookmarkStart w:id="389" w:name="_Toc184308081"/>
      <w:bookmarkEnd w:id="389"/>
      <w:bookmarkStart w:id="390" w:name="_Toc184314473"/>
      <w:bookmarkEnd w:id="390"/>
      <w:bookmarkStart w:id="391" w:name="_Toc184310323"/>
      <w:bookmarkEnd w:id="391"/>
      <w:bookmarkStart w:id="392" w:name="_Toc184314472"/>
      <w:bookmarkEnd w:id="392"/>
      <w:bookmarkStart w:id="393" w:name="_Toc184312109"/>
      <w:bookmarkEnd w:id="393"/>
      <w:bookmarkStart w:id="394" w:name="_Toc184313259"/>
      <w:bookmarkEnd w:id="394"/>
      <w:bookmarkStart w:id="395" w:name="_Toc184312110"/>
      <w:bookmarkEnd w:id="395"/>
      <w:bookmarkStart w:id="396" w:name="_Toc184310325"/>
      <w:bookmarkEnd w:id="396"/>
      <w:bookmarkStart w:id="397" w:name="_Toc184308099"/>
      <w:bookmarkEnd w:id="397"/>
      <w:bookmarkStart w:id="398" w:name="_Toc184312067"/>
      <w:bookmarkEnd w:id="398"/>
      <w:bookmarkStart w:id="399" w:name="_Toc184310321"/>
      <w:bookmarkEnd w:id="399"/>
      <w:bookmarkStart w:id="400" w:name="_Toc184312088"/>
      <w:bookmarkEnd w:id="400"/>
      <w:bookmarkStart w:id="401" w:name="_Toc184314475"/>
      <w:bookmarkEnd w:id="401"/>
      <w:bookmarkStart w:id="402" w:name="_Toc184310343"/>
      <w:bookmarkEnd w:id="402"/>
      <w:bookmarkStart w:id="403" w:name="_Toc184312103"/>
      <w:bookmarkEnd w:id="403"/>
      <w:bookmarkStart w:id="404" w:name="_Toc184308094"/>
      <w:bookmarkEnd w:id="404"/>
      <w:bookmarkStart w:id="405" w:name="_Toc184310344"/>
      <w:bookmarkEnd w:id="405"/>
      <w:bookmarkStart w:id="406" w:name="_Toc184313276"/>
      <w:bookmarkEnd w:id="406"/>
      <w:bookmarkStart w:id="407" w:name="_Toc184314480"/>
      <w:bookmarkEnd w:id="407"/>
      <w:r>
        <w:rPr>
          <w:rFonts w:hint="eastAsia" w:ascii="仿宋" w:hAnsi="仿宋" w:eastAsia="仿宋" w:cs="仿宋_GB2312"/>
          <w:b/>
          <w:sz w:val="36"/>
          <w:szCs w:val="20"/>
        </w:rPr>
        <w:t>磋商评审办法</w:t>
      </w:r>
      <w:bookmarkEnd w:id="42"/>
    </w:p>
    <w:p>
      <w:pPr>
        <w:snapToGrid w:val="0"/>
        <w:spacing w:line="360" w:lineRule="auto"/>
        <w:jc w:val="center"/>
        <w:outlineLvl w:val="1"/>
        <w:rPr>
          <w:rFonts w:ascii="仿宋" w:hAnsi="仿宋" w:eastAsia="仿宋" w:cs="仿宋_GB2312"/>
          <w:b/>
          <w:sz w:val="32"/>
          <w:szCs w:val="20"/>
        </w:rPr>
      </w:pPr>
      <w:r>
        <w:rPr>
          <w:rFonts w:hint="eastAsia" w:ascii="仿宋" w:hAnsi="仿宋" w:eastAsia="仿宋" w:cs="仿宋_GB2312"/>
          <w:b/>
          <w:sz w:val="32"/>
          <w:szCs w:val="20"/>
        </w:rPr>
        <w:t>磋商评审办法前附表</w:t>
      </w:r>
    </w:p>
    <w:tbl>
      <w:tblPr>
        <w:tblStyle w:val="6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71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序号</w:t>
            </w:r>
          </w:p>
        </w:tc>
        <w:tc>
          <w:tcPr>
            <w:tcW w:w="1198"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名称</w:t>
            </w:r>
          </w:p>
        </w:tc>
        <w:tc>
          <w:tcPr>
            <w:tcW w:w="1003"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分值</w:t>
            </w:r>
          </w:p>
        </w:tc>
        <w:tc>
          <w:tcPr>
            <w:tcW w:w="4711"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评审因素</w:t>
            </w:r>
          </w:p>
        </w:tc>
        <w:tc>
          <w:tcPr>
            <w:tcW w:w="1242"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71" w:type="dxa"/>
            <w:vAlign w:val="center"/>
          </w:tcPr>
          <w:p>
            <w:pPr>
              <w:pStyle w:val="969"/>
              <w:spacing w:line="360" w:lineRule="auto"/>
              <w:jc w:val="center"/>
              <w:rPr>
                <w:rStyle w:val="78"/>
                <w:bCs/>
                <w:sz w:val="22"/>
                <w:szCs w:val="22"/>
              </w:rPr>
            </w:pPr>
            <w:r>
              <w:rPr>
                <w:rStyle w:val="78"/>
                <w:rFonts w:hint="eastAsia"/>
                <w:bCs/>
                <w:sz w:val="22"/>
                <w:szCs w:val="22"/>
              </w:rPr>
              <w:t>一</w:t>
            </w:r>
          </w:p>
        </w:tc>
        <w:tc>
          <w:tcPr>
            <w:tcW w:w="1198" w:type="dxa"/>
            <w:vAlign w:val="center"/>
          </w:tcPr>
          <w:p>
            <w:pPr>
              <w:autoSpaceDE w:val="0"/>
              <w:autoSpaceDN w:val="0"/>
              <w:spacing w:line="360" w:lineRule="auto"/>
              <w:jc w:val="center"/>
              <w:rPr>
                <w:rFonts w:ascii="仿宋" w:hAnsi="仿宋" w:eastAsia="仿宋" w:cs="仿宋"/>
                <w:snapToGrid w:val="0"/>
                <w:kern w:val="0"/>
                <w:sz w:val="22"/>
                <w:szCs w:val="22"/>
              </w:rPr>
            </w:pPr>
            <w:r>
              <w:rPr>
                <w:rStyle w:val="78"/>
                <w:rFonts w:hint="eastAsia" w:ascii="仿宋" w:hAnsi="仿宋" w:eastAsia="仿宋" w:cs="仿宋"/>
                <w:bCs/>
                <w:sz w:val="22"/>
                <w:szCs w:val="22"/>
              </w:rPr>
              <w:t>技术部分</w:t>
            </w:r>
          </w:p>
        </w:tc>
        <w:tc>
          <w:tcPr>
            <w:tcW w:w="1003" w:type="dxa"/>
            <w:vAlign w:val="center"/>
          </w:tcPr>
          <w:p>
            <w:pPr>
              <w:autoSpaceDE w:val="0"/>
              <w:autoSpaceDN w:val="0"/>
              <w:spacing w:line="360" w:lineRule="auto"/>
              <w:jc w:val="center"/>
              <w:rPr>
                <w:rStyle w:val="78"/>
                <w:rFonts w:ascii="仿宋" w:hAnsi="仿宋" w:eastAsia="仿宋" w:cs="仿宋"/>
                <w:bCs/>
                <w:strike/>
                <w:color w:val="FF0000"/>
                <w:sz w:val="22"/>
                <w:szCs w:val="22"/>
              </w:rPr>
            </w:pPr>
            <w:r>
              <w:rPr>
                <w:rStyle w:val="78"/>
                <w:rFonts w:hint="eastAsia" w:ascii="仿宋" w:hAnsi="仿宋" w:eastAsia="仿宋" w:cs="仿宋"/>
                <w:bCs/>
                <w:sz w:val="22"/>
                <w:szCs w:val="22"/>
              </w:rPr>
              <w:t>0-7</w:t>
            </w:r>
            <w:r>
              <w:rPr>
                <w:rStyle w:val="78"/>
                <w:rFonts w:ascii="仿宋" w:hAnsi="仿宋" w:eastAsia="仿宋" w:cs="仿宋"/>
                <w:bCs/>
                <w:sz w:val="22"/>
                <w:szCs w:val="22"/>
              </w:rPr>
              <w:t>6</w:t>
            </w:r>
          </w:p>
        </w:tc>
        <w:tc>
          <w:tcPr>
            <w:tcW w:w="4711" w:type="dxa"/>
            <w:vAlign w:val="center"/>
          </w:tcPr>
          <w:p>
            <w:pPr>
              <w:snapToGrid w:val="0"/>
              <w:spacing w:line="360" w:lineRule="auto"/>
              <w:rPr>
                <w:rFonts w:ascii="仿宋" w:hAnsi="仿宋" w:eastAsia="仿宋" w:cs="仿宋"/>
                <w:strike/>
                <w:color w:val="FF0000"/>
                <w:sz w:val="22"/>
                <w:szCs w:val="22"/>
              </w:rPr>
            </w:pPr>
          </w:p>
        </w:tc>
        <w:tc>
          <w:tcPr>
            <w:tcW w:w="1242" w:type="dxa"/>
            <w:vAlign w:val="center"/>
          </w:tcPr>
          <w:p>
            <w:pPr>
              <w:pStyle w:val="969"/>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71" w:type="dxa"/>
            <w:vAlign w:val="center"/>
          </w:tcPr>
          <w:p>
            <w:pPr>
              <w:autoSpaceDE w:val="0"/>
              <w:autoSpaceDN w:val="0"/>
              <w:spacing w:line="360" w:lineRule="auto"/>
              <w:jc w:val="center"/>
              <w:rPr>
                <w:rStyle w:val="78"/>
                <w:rFonts w:ascii="仿宋" w:hAnsi="仿宋" w:eastAsia="仿宋" w:cs="仿宋"/>
                <w:bCs/>
                <w:color w:val="0070C0"/>
                <w:sz w:val="22"/>
                <w:szCs w:val="22"/>
              </w:rPr>
            </w:pPr>
            <w:r>
              <w:rPr>
                <w:rStyle w:val="78"/>
                <w:rFonts w:hint="eastAsia" w:ascii="仿宋" w:hAnsi="仿宋" w:eastAsia="仿宋" w:cs="仿宋"/>
                <w:bCs/>
                <w:sz w:val="22"/>
                <w:szCs w:val="22"/>
              </w:rPr>
              <w:t>1</w:t>
            </w:r>
          </w:p>
        </w:tc>
        <w:tc>
          <w:tcPr>
            <w:tcW w:w="1198" w:type="dxa"/>
            <w:vAlign w:val="center"/>
          </w:tcPr>
          <w:p>
            <w:pPr>
              <w:pStyle w:val="969"/>
              <w:spacing w:line="360" w:lineRule="auto"/>
              <w:jc w:val="center"/>
              <w:rPr>
                <w:rFonts w:hint="eastAsia"/>
                <w:sz w:val="22"/>
                <w:szCs w:val="22"/>
              </w:rPr>
            </w:pPr>
            <w:r>
              <w:rPr>
                <w:rFonts w:hint="eastAsia"/>
                <w:sz w:val="22"/>
                <w:szCs w:val="22"/>
              </w:rPr>
              <w:t>拟投入本项目负责人情况</w:t>
            </w:r>
          </w:p>
          <w:p>
            <w:pPr>
              <w:pStyle w:val="969"/>
              <w:spacing w:line="360" w:lineRule="auto"/>
              <w:jc w:val="center"/>
              <w:rPr>
                <w:rFonts w:hint="eastAsia" w:eastAsia="仿宋"/>
                <w:color w:val="0070C0"/>
                <w:sz w:val="22"/>
                <w:szCs w:val="22"/>
                <w:lang w:eastAsia="zh-CN"/>
              </w:rPr>
            </w:pPr>
            <w:r>
              <w:rPr>
                <w:rFonts w:hint="eastAsia"/>
                <w:sz w:val="22"/>
                <w:szCs w:val="22"/>
                <w:lang w:eastAsia="zh-CN"/>
              </w:rPr>
              <w:t>（</w:t>
            </w:r>
            <w:r>
              <w:rPr>
                <w:rFonts w:hint="eastAsia"/>
                <w:sz w:val="22"/>
                <w:szCs w:val="22"/>
                <w:lang w:val="en-US" w:eastAsia="zh-CN"/>
              </w:rPr>
              <w:t>6分</w:t>
            </w:r>
            <w:r>
              <w:rPr>
                <w:rFonts w:hint="eastAsia"/>
                <w:sz w:val="22"/>
                <w:szCs w:val="22"/>
                <w:lang w:eastAsia="zh-CN"/>
              </w:rPr>
              <w:t>）</w:t>
            </w:r>
          </w:p>
        </w:tc>
        <w:tc>
          <w:tcPr>
            <w:tcW w:w="1003" w:type="dxa"/>
            <w:vAlign w:val="center"/>
          </w:tcPr>
          <w:p>
            <w:pPr>
              <w:snapToGrid w:val="0"/>
              <w:spacing w:line="360" w:lineRule="auto"/>
              <w:jc w:val="center"/>
              <w:rPr>
                <w:rFonts w:ascii="仿宋" w:hAnsi="仿宋" w:eastAsia="仿宋" w:cs="仿宋"/>
                <w:snapToGrid w:val="0"/>
                <w:kern w:val="0"/>
                <w:sz w:val="22"/>
                <w:szCs w:val="22"/>
              </w:rPr>
            </w:pPr>
            <w:r>
              <w:rPr>
                <w:rFonts w:hint="eastAsia" w:ascii="仿宋" w:hAnsi="仿宋" w:eastAsia="仿宋" w:cs="仿宋"/>
                <w:sz w:val="22"/>
                <w:szCs w:val="22"/>
              </w:rPr>
              <w:t>0-6</w:t>
            </w:r>
          </w:p>
        </w:tc>
        <w:tc>
          <w:tcPr>
            <w:tcW w:w="4711" w:type="dxa"/>
            <w:vAlign w:val="center"/>
          </w:tcPr>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项目负责人具有人力资源和社会保障部门颁发的职业技能证书（职业工种：有害生物防治员）三级（高级）及以上的得3分，四级（中级）的得2分；同时具备全国白蚁防治中心颁发的白蚁防治职业培训证书的得</w:t>
            </w:r>
            <w:r>
              <w:rPr>
                <w:rFonts w:ascii="仿宋" w:hAnsi="仿宋" w:eastAsia="仿宋" w:cs="仿宋"/>
                <w:sz w:val="22"/>
                <w:szCs w:val="22"/>
              </w:rPr>
              <w:t>3</w:t>
            </w:r>
            <w:r>
              <w:rPr>
                <w:rFonts w:hint="eastAsia" w:ascii="仿宋" w:hAnsi="仿宋" w:eastAsia="仿宋" w:cs="仿宋"/>
                <w:sz w:val="22"/>
                <w:szCs w:val="22"/>
              </w:rPr>
              <w:t>分；本项最高得6分。</w:t>
            </w:r>
          </w:p>
          <w:p>
            <w:pPr>
              <w:autoSpaceDE w:val="0"/>
              <w:autoSpaceDN w:val="0"/>
              <w:snapToGrid w:val="0"/>
              <w:spacing w:line="360" w:lineRule="auto"/>
              <w:jc w:val="left"/>
              <w:rPr>
                <w:rFonts w:ascii="仿宋" w:hAnsi="仿宋" w:eastAsia="仿宋" w:cs="仿宋"/>
                <w:color w:val="0070C0"/>
                <w:sz w:val="22"/>
                <w:szCs w:val="22"/>
              </w:rPr>
            </w:pPr>
            <w:r>
              <w:rPr>
                <w:rFonts w:hint="eastAsia" w:ascii="仿宋" w:hAnsi="仿宋" w:eastAsia="仿宋" w:cs="仿宋"/>
                <w:sz w:val="22"/>
                <w:szCs w:val="22"/>
              </w:rPr>
              <w:t>证明材料提供证书和开标前20天内社保局出具的单位专用社保证明（或社保局网站打印件），须有近3个月在供应商单位连续社保交纳记录。</w:t>
            </w:r>
          </w:p>
        </w:tc>
        <w:tc>
          <w:tcPr>
            <w:tcW w:w="1242" w:type="dxa"/>
            <w:vAlign w:val="center"/>
          </w:tcPr>
          <w:p>
            <w:pPr>
              <w:pStyle w:val="969"/>
              <w:spacing w:line="360" w:lineRule="auto"/>
              <w:jc w:val="center"/>
              <w:rPr>
                <w:sz w:val="22"/>
                <w:szCs w:val="22"/>
              </w:rPr>
            </w:pPr>
            <w:r>
              <w:rPr>
                <w:rFonts w:hint="eastAsia"/>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1"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2</w:t>
            </w:r>
          </w:p>
        </w:tc>
        <w:tc>
          <w:tcPr>
            <w:tcW w:w="1198" w:type="dxa"/>
            <w:vAlign w:val="center"/>
          </w:tcPr>
          <w:p>
            <w:pPr>
              <w:pStyle w:val="969"/>
              <w:spacing w:line="360" w:lineRule="auto"/>
              <w:jc w:val="center"/>
              <w:rPr>
                <w:rFonts w:hint="eastAsia" w:eastAsia="仿宋"/>
                <w:sz w:val="22"/>
                <w:szCs w:val="22"/>
                <w:lang w:eastAsia="zh-CN"/>
              </w:rPr>
            </w:pPr>
            <w:r>
              <w:rPr>
                <w:rFonts w:hint="eastAsia"/>
                <w:sz w:val="22"/>
                <w:szCs w:val="22"/>
              </w:rPr>
              <w:t>拟投入本项目的施工技术人员情况</w:t>
            </w:r>
            <w:r>
              <w:rPr>
                <w:rFonts w:hint="eastAsia"/>
                <w:sz w:val="22"/>
                <w:szCs w:val="22"/>
                <w:lang w:eastAsia="zh-CN"/>
              </w:rPr>
              <w:t>（</w:t>
            </w:r>
            <w:r>
              <w:rPr>
                <w:rFonts w:hint="eastAsia"/>
                <w:sz w:val="22"/>
                <w:szCs w:val="22"/>
                <w:lang w:val="en-US" w:eastAsia="zh-CN"/>
              </w:rPr>
              <w:t>13分</w:t>
            </w:r>
            <w:r>
              <w:rPr>
                <w:rFonts w:hint="eastAsia"/>
                <w:sz w:val="22"/>
                <w:szCs w:val="22"/>
                <w:lang w:eastAsia="zh-CN"/>
              </w:rPr>
              <w:t>）</w:t>
            </w:r>
          </w:p>
        </w:tc>
        <w:tc>
          <w:tcPr>
            <w:tcW w:w="1003" w:type="dxa"/>
            <w:vAlign w:val="center"/>
          </w:tcPr>
          <w:p>
            <w:pPr>
              <w:autoSpaceDE w:val="0"/>
              <w:autoSpaceDN w:val="0"/>
              <w:spacing w:line="360" w:lineRule="auto"/>
              <w:jc w:val="center"/>
              <w:rPr>
                <w:rFonts w:ascii="仿宋" w:hAnsi="仿宋" w:eastAsia="仿宋" w:cs="仿宋"/>
                <w:snapToGrid w:val="0"/>
                <w:kern w:val="0"/>
                <w:sz w:val="22"/>
                <w:szCs w:val="22"/>
              </w:rPr>
            </w:pPr>
            <w:r>
              <w:rPr>
                <w:rFonts w:hint="eastAsia" w:ascii="仿宋" w:hAnsi="仿宋" w:eastAsia="仿宋" w:cs="仿宋"/>
                <w:snapToGrid w:val="0"/>
                <w:kern w:val="0"/>
                <w:sz w:val="22"/>
                <w:szCs w:val="22"/>
              </w:rPr>
              <w:t>0-13</w:t>
            </w:r>
          </w:p>
        </w:tc>
        <w:tc>
          <w:tcPr>
            <w:tcW w:w="4711" w:type="dxa"/>
            <w:vAlign w:val="center"/>
          </w:tcPr>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拟投入本项目的施工技术人员：</w:t>
            </w:r>
          </w:p>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需持有白蚁行业相关专业技能职业资格证书或技能培训与考核鉴定合格证书。（0-13分）</w:t>
            </w:r>
          </w:p>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1.人数满足最低5人要求，每增加一个得1分，最多得8分；</w:t>
            </w:r>
          </w:p>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2.本项目提供的所有施工技术人员中（项目负责人除外）具有人力资源和社会保障部门颁发的职业技能证书（职业工种：有害生物防治员）四级（中级）及以上的每一人得1分，最高得5分。</w:t>
            </w:r>
          </w:p>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证明材料提供证书和开标前20天内社保局出具的单位专用社保证明（或社保局网站打印件），须有近3个月在供应商单位连续社保交纳记录。</w:t>
            </w:r>
          </w:p>
        </w:tc>
        <w:tc>
          <w:tcPr>
            <w:tcW w:w="1242" w:type="dxa"/>
            <w:vAlign w:val="center"/>
          </w:tcPr>
          <w:p>
            <w:pPr>
              <w:pStyle w:val="969"/>
              <w:spacing w:line="360" w:lineRule="auto"/>
              <w:jc w:val="center"/>
              <w:rPr>
                <w:sz w:val="22"/>
                <w:szCs w:val="22"/>
              </w:rPr>
            </w:pPr>
            <w:r>
              <w:rPr>
                <w:rFonts w:hint="eastAsia"/>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1" w:type="dxa"/>
            <w:vMerge w:val="restart"/>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3</w:t>
            </w:r>
          </w:p>
        </w:tc>
        <w:tc>
          <w:tcPr>
            <w:tcW w:w="1198" w:type="dxa"/>
            <w:vMerge w:val="restart"/>
            <w:vAlign w:val="center"/>
          </w:tcPr>
          <w:p>
            <w:pPr>
              <w:pStyle w:val="969"/>
              <w:spacing w:line="360" w:lineRule="auto"/>
              <w:jc w:val="center"/>
              <w:rPr>
                <w:rFonts w:hint="eastAsia"/>
                <w:sz w:val="22"/>
                <w:szCs w:val="22"/>
              </w:rPr>
            </w:pPr>
            <w:r>
              <w:rPr>
                <w:rFonts w:hint="eastAsia"/>
                <w:sz w:val="22"/>
                <w:szCs w:val="22"/>
              </w:rPr>
              <w:t>白蚁防治综合治理方案</w:t>
            </w:r>
          </w:p>
          <w:p>
            <w:pPr>
              <w:pStyle w:val="969"/>
              <w:spacing w:line="360" w:lineRule="auto"/>
              <w:jc w:val="center"/>
              <w:rPr>
                <w:rFonts w:hint="eastAsia" w:eastAsia="仿宋"/>
                <w:bCs/>
                <w:sz w:val="22"/>
                <w:szCs w:val="22"/>
                <w:lang w:eastAsia="zh-CN"/>
              </w:rPr>
            </w:pPr>
            <w:r>
              <w:rPr>
                <w:rFonts w:hint="eastAsia"/>
                <w:sz w:val="22"/>
                <w:szCs w:val="22"/>
                <w:lang w:eastAsia="zh-CN"/>
              </w:rPr>
              <w:t>（</w:t>
            </w:r>
            <w:r>
              <w:rPr>
                <w:rFonts w:hint="eastAsia"/>
                <w:sz w:val="22"/>
                <w:szCs w:val="22"/>
                <w:lang w:val="en-US" w:eastAsia="zh-CN"/>
              </w:rPr>
              <w:t>42分</w:t>
            </w:r>
            <w:r>
              <w:rPr>
                <w:rFonts w:hint="eastAsia"/>
                <w:sz w:val="22"/>
                <w:szCs w:val="22"/>
                <w:lang w:eastAsia="zh-CN"/>
              </w:rPr>
              <w:t>）</w:t>
            </w: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0-10</w:t>
            </w:r>
          </w:p>
        </w:tc>
        <w:tc>
          <w:tcPr>
            <w:tcW w:w="4711" w:type="dxa"/>
            <w:vAlign w:val="center"/>
          </w:tcPr>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白蚁防治综合治理方案完整、准确、详实，条理清晰得6-10分，方案基本完整、准确得2-5分，方案不完整、偏离严重不得分。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1" w:type="dxa"/>
            <w:vMerge w:val="continue"/>
            <w:vAlign w:val="center"/>
          </w:tcPr>
          <w:p>
            <w:pPr>
              <w:autoSpaceDE w:val="0"/>
              <w:autoSpaceDN w:val="0"/>
              <w:spacing w:line="360" w:lineRule="auto"/>
              <w:jc w:val="center"/>
              <w:rPr>
                <w:rStyle w:val="78"/>
                <w:rFonts w:ascii="仿宋" w:hAnsi="仿宋" w:eastAsia="仿宋" w:cs="仿宋"/>
                <w:bCs/>
                <w:sz w:val="22"/>
                <w:szCs w:val="22"/>
              </w:rPr>
            </w:pPr>
          </w:p>
        </w:tc>
        <w:tc>
          <w:tcPr>
            <w:tcW w:w="1198" w:type="dxa"/>
            <w:vMerge w:val="continue"/>
            <w:vAlign w:val="center"/>
          </w:tcPr>
          <w:p>
            <w:pPr>
              <w:pStyle w:val="969"/>
              <w:spacing w:line="360" w:lineRule="auto"/>
              <w:jc w:val="center"/>
              <w:rPr>
                <w:sz w:val="22"/>
                <w:szCs w:val="22"/>
              </w:rPr>
            </w:pP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0-10</w:t>
            </w:r>
          </w:p>
        </w:tc>
        <w:tc>
          <w:tcPr>
            <w:tcW w:w="4711" w:type="dxa"/>
            <w:vAlign w:val="center"/>
          </w:tcPr>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蚁害治理技术先进、科学、全面，具有有效性、经济性和环保性强的优点，完全符合项目需求得6-10分，基本符合得2-5分，不符合不得分。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71" w:type="dxa"/>
            <w:vMerge w:val="continue"/>
            <w:vAlign w:val="center"/>
          </w:tcPr>
          <w:p>
            <w:pPr>
              <w:autoSpaceDE w:val="0"/>
              <w:autoSpaceDN w:val="0"/>
              <w:spacing w:line="360" w:lineRule="auto"/>
              <w:jc w:val="center"/>
              <w:rPr>
                <w:rStyle w:val="78"/>
                <w:rFonts w:ascii="仿宋" w:hAnsi="仿宋" w:eastAsia="仿宋" w:cs="仿宋"/>
                <w:bCs/>
                <w:sz w:val="22"/>
                <w:szCs w:val="22"/>
              </w:rPr>
            </w:pPr>
          </w:p>
        </w:tc>
        <w:tc>
          <w:tcPr>
            <w:tcW w:w="1198" w:type="dxa"/>
            <w:vMerge w:val="continue"/>
            <w:vAlign w:val="center"/>
          </w:tcPr>
          <w:p>
            <w:pPr>
              <w:pStyle w:val="969"/>
              <w:spacing w:line="360" w:lineRule="auto"/>
              <w:jc w:val="center"/>
              <w:rPr>
                <w:sz w:val="22"/>
                <w:szCs w:val="22"/>
              </w:rPr>
            </w:pP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0-9</w:t>
            </w:r>
          </w:p>
        </w:tc>
        <w:tc>
          <w:tcPr>
            <w:tcW w:w="4711" w:type="dxa"/>
            <w:vAlign w:val="center"/>
          </w:tcPr>
          <w:p>
            <w:pPr>
              <w:spacing w:line="360" w:lineRule="auto"/>
              <w:jc w:val="left"/>
              <w:rPr>
                <w:rFonts w:ascii="仿宋" w:hAnsi="仿宋" w:eastAsia="仿宋" w:cs="仿宋"/>
                <w:sz w:val="22"/>
                <w:szCs w:val="22"/>
              </w:rPr>
            </w:pPr>
            <w:r>
              <w:rPr>
                <w:rFonts w:hint="eastAsia" w:ascii="仿宋" w:hAnsi="仿宋" w:eastAsia="仿宋" w:cs="仿宋"/>
                <w:sz w:val="22"/>
                <w:szCs w:val="22"/>
              </w:rPr>
              <w:t>施工组织，包括岗位、人员设置、设备配备、施工安排等全面、细致，符合项目实际需求，完全符合项目需求得得6-9分，基本符合得2-5分，不符合不得分。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71" w:type="dxa"/>
            <w:vMerge w:val="continue"/>
            <w:vAlign w:val="center"/>
          </w:tcPr>
          <w:p>
            <w:pPr>
              <w:autoSpaceDE w:val="0"/>
              <w:autoSpaceDN w:val="0"/>
              <w:spacing w:line="360" w:lineRule="auto"/>
              <w:jc w:val="center"/>
              <w:rPr>
                <w:rStyle w:val="78"/>
                <w:rFonts w:ascii="仿宋" w:hAnsi="仿宋" w:eastAsia="仿宋" w:cs="仿宋"/>
                <w:bCs/>
                <w:sz w:val="22"/>
                <w:szCs w:val="22"/>
              </w:rPr>
            </w:pPr>
          </w:p>
        </w:tc>
        <w:tc>
          <w:tcPr>
            <w:tcW w:w="1198" w:type="dxa"/>
            <w:vMerge w:val="continue"/>
            <w:vAlign w:val="center"/>
          </w:tcPr>
          <w:p>
            <w:pPr>
              <w:pStyle w:val="969"/>
              <w:spacing w:line="360" w:lineRule="auto"/>
              <w:jc w:val="center"/>
              <w:rPr>
                <w:sz w:val="22"/>
                <w:szCs w:val="22"/>
              </w:rPr>
            </w:pP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0-9</w:t>
            </w:r>
          </w:p>
        </w:tc>
        <w:tc>
          <w:tcPr>
            <w:tcW w:w="4711" w:type="dxa"/>
            <w:vAlign w:val="center"/>
          </w:tcPr>
          <w:p>
            <w:pPr>
              <w:spacing w:line="360" w:lineRule="auto"/>
              <w:jc w:val="left"/>
              <w:rPr>
                <w:rFonts w:ascii="仿宋" w:hAnsi="仿宋" w:eastAsia="仿宋" w:cs="仿宋"/>
                <w:sz w:val="22"/>
                <w:szCs w:val="22"/>
              </w:rPr>
            </w:pPr>
            <w:r>
              <w:rPr>
                <w:rFonts w:hint="eastAsia" w:ascii="仿宋" w:hAnsi="仿宋" w:eastAsia="仿宋" w:cs="仿宋"/>
                <w:sz w:val="22"/>
                <w:szCs w:val="22"/>
              </w:rPr>
              <w:t>有完善的质量控制、安全管理和验收措施，完全符合项目需求得得6-9分，基本符合得2-5分，不符合不得分。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71" w:type="dxa"/>
            <w:vMerge w:val="continue"/>
            <w:vAlign w:val="center"/>
          </w:tcPr>
          <w:p>
            <w:pPr>
              <w:autoSpaceDE w:val="0"/>
              <w:autoSpaceDN w:val="0"/>
              <w:spacing w:line="360" w:lineRule="auto"/>
              <w:jc w:val="center"/>
              <w:rPr>
                <w:rStyle w:val="78"/>
                <w:rFonts w:ascii="仿宋" w:hAnsi="仿宋" w:eastAsia="仿宋" w:cs="仿宋"/>
                <w:bCs/>
                <w:sz w:val="22"/>
                <w:szCs w:val="22"/>
              </w:rPr>
            </w:pPr>
          </w:p>
        </w:tc>
        <w:tc>
          <w:tcPr>
            <w:tcW w:w="1198" w:type="dxa"/>
            <w:vMerge w:val="continue"/>
            <w:vAlign w:val="center"/>
          </w:tcPr>
          <w:p>
            <w:pPr>
              <w:pStyle w:val="969"/>
              <w:spacing w:line="360" w:lineRule="auto"/>
              <w:jc w:val="center"/>
              <w:rPr>
                <w:sz w:val="22"/>
                <w:szCs w:val="22"/>
              </w:rPr>
            </w:pP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0-4</w:t>
            </w:r>
          </w:p>
        </w:tc>
        <w:tc>
          <w:tcPr>
            <w:tcW w:w="4711" w:type="dxa"/>
            <w:vAlign w:val="center"/>
          </w:tcPr>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对本项目的合理化建议。（0-4分）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1" w:type="dxa"/>
            <w:vMerge w:val="restart"/>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4</w:t>
            </w:r>
          </w:p>
        </w:tc>
        <w:tc>
          <w:tcPr>
            <w:tcW w:w="1198" w:type="dxa"/>
            <w:vMerge w:val="restart"/>
            <w:vAlign w:val="center"/>
          </w:tcPr>
          <w:p>
            <w:pPr>
              <w:pStyle w:val="969"/>
              <w:spacing w:line="360" w:lineRule="auto"/>
              <w:jc w:val="center"/>
              <w:rPr>
                <w:rFonts w:hint="eastAsia" w:eastAsia="仿宋"/>
                <w:bCs/>
                <w:sz w:val="22"/>
                <w:szCs w:val="22"/>
                <w:lang w:eastAsia="zh-CN"/>
              </w:rPr>
            </w:pPr>
            <w:r>
              <w:rPr>
                <w:rFonts w:hint="eastAsia"/>
                <w:bCs/>
                <w:sz w:val="22"/>
                <w:szCs w:val="22"/>
              </w:rPr>
              <w:t>拟投入使用产品</w:t>
            </w:r>
            <w:r>
              <w:rPr>
                <w:rFonts w:hint="eastAsia"/>
                <w:bCs/>
                <w:sz w:val="22"/>
                <w:szCs w:val="22"/>
                <w:lang w:eastAsia="zh-CN"/>
              </w:rPr>
              <w:t>（</w:t>
            </w:r>
            <w:r>
              <w:rPr>
                <w:rFonts w:hint="eastAsia"/>
                <w:bCs/>
                <w:sz w:val="22"/>
                <w:szCs w:val="22"/>
                <w:lang w:val="en-US" w:eastAsia="zh-CN"/>
              </w:rPr>
              <w:t>11分</w:t>
            </w:r>
            <w:r>
              <w:rPr>
                <w:rFonts w:hint="eastAsia"/>
                <w:bCs/>
                <w:sz w:val="22"/>
                <w:szCs w:val="22"/>
                <w:lang w:eastAsia="zh-CN"/>
              </w:rPr>
              <w:t>）</w:t>
            </w: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0-4</w:t>
            </w:r>
          </w:p>
        </w:tc>
        <w:tc>
          <w:tcPr>
            <w:tcW w:w="4711" w:type="dxa"/>
            <w:vAlign w:val="center"/>
          </w:tcPr>
          <w:p>
            <w:pPr>
              <w:pStyle w:val="60"/>
              <w:spacing w:line="360" w:lineRule="auto"/>
              <w:ind w:firstLine="0"/>
              <w:jc w:val="left"/>
              <w:rPr>
                <w:rFonts w:ascii="仿宋" w:hAnsi="仿宋" w:eastAsia="仿宋" w:cs="仿宋"/>
                <w:sz w:val="22"/>
                <w:szCs w:val="22"/>
              </w:rPr>
            </w:pPr>
            <w:r>
              <w:rPr>
                <w:rFonts w:hint="eastAsia" w:ascii="仿宋" w:hAnsi="仿宋" w:eastAsia="仿宋" w:cs="仿宋"/>
                <w:sz w:val="22"/>
                <w:szCs w:val="22"/>
              </w:rPr>
              <w:t>项目使用的地上型、地下型白蚁监测控制装置产品和需求的吻合度，是否适用于饵剂投放。（0-</w:t>
            </w:r>
            <w:r>
              <w:rPr>
                <w:rFonts w:hint="eastAsia" w:ascii="仿宋" w:hAnsi="仿宋" w:eastAsia="仿宋" w:cs="仿宋"/>
                <w:sz w:val="22"/>
                <w:szCs w:val="22"/>
                <w:lang w:val="en-US"/>
              </w:rPr>
              <w:t>4</w:t>
            </w:r>
            <w:r>
              <w:rPr>
                <w:rFonts w:hint="eastAsia" w:ascii="仿宋" w:hAnsi="仿宋" w:eastAsia="仿宋" w:cs="仿宋"/>
                <w:sz w:val="22"/>
                <w:szCs w:val="22"/>
              </w:rPr>
              <w:t>分）</w:t>
            </w:r>
          </w:p>
          <w:p>
            <w:pPr>
              <w:pStyle w:val="60"/>
              <w:spacing w:line="360" w:lineRule="auto"/>
              <w:ind w:firstLine="0"/>
              <w:jc w:val="left"/>
              <w:rPr>
                <w:rFonts w:ascii="仿宋" w:hAnsi="仿宋" w:eastAsia="仿宋" w:cs="仿宋"/>
                <w:sz w:val="22"/>
                <w:szCs w:val="22"/>
              </w:rPr>
            </w:pPr>
            <w:r>
              <w:rPr>
                <w:rFonts w:hint="eastAsia" w:ascii="仿宋" w:hAnsi="仿宋" w:eastAsia="仿宋" w:cs="仿宋"/>
                <w:sz w:val="22"/>
                <w:szCs w:val="22"/>
              </w:rPr>
              <w:t>证明材料提供监测控制装置的图片及说明。</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71" w:type="dxa"/>
            <w:vMerge w:val="continue"/>
            <w:vAlign w:val="center"/>
          </w:tcPr>
          <w:p>
            <w:pPr>
              <w:autoSpaceDE w:val="0"/>
              <w:autoSpaceDN w:val="0"/>
              <w:spacing w:line="360" w:lineRule="auto"/>
              <w:jc w:val="center"/>
              <w:rPr>
                <w:rStyle w:val="78"/>
                <w:rFonts w:ascii="仿宋" w:hAnsi="仿宋" w:eastAsia="仿宋" w:cs="仿宋"/>
                <w:bCs/>
                <w:sz w:val="22"/>
                <w:szCs w:val="22"/>
              </w:rPr>
            </w:pPr>
          </w:p>
        </w:tc>
        <w:tc>
          <w:tcPr>
            <w:tcW w:w="1198" w:type="dxa"/>
            <w:vMerge w:val="continue"/>
            <w:vAlign w:val="center"/>
          </w:tcPr>
          <w:p>
            <w:pPr>
              <w:pStyle w:val="969"/>
              <w:spacing w:line="360" w:lineRule="auto"/>
              <w:jc w:val="center"/>
              <w:rPr>
                <w:bCs/>
                <w:sz w:val="22"/>
                <w:szCs w:val="22"/>
              </w:rPr>
            </w:pP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0-4</w:t>
            </w:r>
          </w:p>
        </w:tc>
        <w:tc>
          <w:tcPr>
            <w:tcW w:w="4711" w:type="dxa"/>
            <w:vAlign w:val="center"/>
          </w:tcPr>
          <w:p>
            <w:pPr>
              <w:pStyle w:val="60"/>
              <w:spacing w:line="360" w:lineRule="auto"/>
              <w:ind w:firstLine="0"/>
              <w:jc w:val="left"/>
              <w:rPr>
                <w:rFonts w:ascii="仿宋" w:hAnsi="仿宋" w:eastAsia="仿宋" w:cs="仿宋"/>
                <w:sz w:val="22"/>
                <w:szCs w:val="22"/>
              </w:rPr>
            </w:pPr>
            <w:r>
              <w:rPr>
                <w:rFonts w:ascii="仿宋" w:hAnsi="仿宋" w:eastAsia="仿宋" w:cs="仿宋"/>
                <w:sz w:val="22"/>
                <w:szCs w:val="22"/>
              </w:rPr>
              <w:t>项目使用的白蚁防治饵剂产品和需求的吻合度。</w:t>
            </w:r>
            <w:r>
              <w:rPr>
                <w:rFonts w:hint="eastAsia" w:ascii="仿宋" w:hAnsi="仿宋" w:eastAsia="仿宋" w:cs="仿宋"/>
                <w:sz w:val="22"/>
                <w:szCs w:val="22"/>
              </w:rPr>
              <w:t>（0-4分）</w:t>
            </w:r>
          </w:p>
          <w:p>
            <w:pPr>
              <w:pStyle w:val="60"/>
              <w:spacing w:line="360" w:lineRule="auto"/>
              <w:ind w:firstLine="0"/>
              <w:jc w:val="left"/>
              <w:rPr>
                <w:rFonts w:ascii="仿宋" w:hAnsi="仿宋" w:eastAsia="仿宋" w:cs="仿宋"/>
                <w:sz w:val="22"/>
                <w:szCs w:val="22"/>
              </w:rPr>
            </w:pPr>
            <w:r>
              <w:rPr>
                <w:rFonts w:hint="eastAsia" w:ascii="仿宋" w:hAnsi="仿宋" w:eastAsia="仿宋" w:cs="仿宋"/>
                <w:sz w:val="22"/>
                <w:szCs w:val="22"/>
              </w:rPr>
              <w:t>证明材料</w:t>
            </w:r>
            <w:r>
              <w:rPr>
                <w:rFonts w:hint="eastAsia" w:ascii="仿宋" w:hAnsi="仿宋" w:eastAsia="仿宋" w:cs="仿宋"/>
                <w:sz w:val="22"/>
                <w:szCs w:val="22"/>
                <w:lang w:val="en-US"/>
              </w:rPr>
              <w:t>提供</w:t>
            </w:r>
            <w:r>
              <w:rPr>
                <w:rFonts w:hint="eastAsia" w:ascii="仿宋" w:hAnsi="仿宋" w:eastAsia="仿宋" w:cs="仿宋"/>
                <w:sz w:val="22"/>
                <w:szCs w:val="22"/>
              </w:rPr>
              <w:t>农药登记证、农药生产许可证、产品质量技术标准，缺少任何一项不得分</w:t>
            </w:r>
            <w:r>
              <w:rPr>
                <w:rFonts w:hint="eastAsia" w:ascii="仿宋" w:hAnsi="仿宋" w:eastAsia="仿宋" w:cs="仿宋"/>
                <w:sz w:val="22"/>
                <w:szCs w:val="22"/>
                <w:lang w:val="en-US"/>
              </w:rPr>
              <w:t>。如农药登记证上的剂型不是饵剂、或防治对象不是白蚁</w:t>
            </w:r>
            <w:r>
              <w:rPr>
                <w:rFonts w:hint="eastAsia" w:ascii="仿宋" w:hAnsi="仿宋" w:eastAsia="仿宋" w:cs="仿宋"/>
                <w:sz w:val="22"/>
                <w:szCs w:val="22"/>
                <w:lang w:val="en-US" w:eastAsia="zh-CN"/>
              </w:rPr>
              <w:t>、</w:t>
            </w:r>
            <w:r>
              <w:rPr>
                <w:rFonts w:hint="eastAsia" w:ascii="仿宋" w:hAnsi="仿宋" w:eastAsia="仿宋" w:cs="仿宋"/>
                <w:sz w:val="22"/>
                <w:szCs w:val="22"/>
                <w:lang w:val="en-US"/>
              </w:rPr>
              <w:t>或有效成分不是几丁质合成抑制剂（氟啶脲、除虫脲、氟螨脲、氟虫脲、氟铃脲、氟苯脲、杀铃脲、灭幼脲、噻嗪酮、灭蝇胺）中的一种或几种混合物，均不得分。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71" w:type="dxa"/>
            <w:vMerge w:val="continue"/>
            <w:vAlign w:val="center"/>
          </w:tcPr>
          <w:p>
            <w:pPr>
              <w:autoSpaceDE w:val="0"/>
              <w:autoSpaceDN w:val="0"/>
              <w:spacing w:line="360" w:lineRule="auto"/>
              <w:jc w:val="center"/>
              <w:rPr>
                <w:rStyle w:val="78"/>
                <w:rFonts w:ascii="仿宋" w:hAnsi="仿宋" w:eastAsia="仿宋" w:cs="仿宋"/>
                <w:bCs/>
                <w:sz w:val="22"/>
                <w:szCs w:val="22"/>
              </w:rPr>
            </w:pPr>
          </w:p>
        </w:tc>
        <w:tc>
          <w:tcPr>
            <w:tcW w:w="1198" w:type="dxa"/>
            <w:vMerge w:val="continue"/>
            <w:vAlign w:val="center"/>
          </w:tcPr>
          <w:p>
            <w:pPr>
              <w:pStyle w:val="969"/>
              <w:spacing w:line="360" w:lineRule="auto"/>
              <w:jc w:val="center"/>
              <w:rPr>
                <w:bCs/>
                <w:sz w:val="22"/>
                <w:szCs w:val="22"/>
              </w:rPr>
            </w:pP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0-3</w:t>
            </w:r>
          </w:p>
        </w:tc>
        <w:tc>
          <w:tcPr>
            <w:tcW w:w="4711" w:type="dxa"/>
            <w:vAlign w:val="center"/>
          </w:tcPr>
          <w:p>
            <w:pPr>
              <w:pStyle w:val="969"/>
              <w:spacing w:line="360" w:lineRule="auto"/>
              <w:rPr>
                <w:sz w:val="22"/>
                <w:szCs w:val="22"/>
              </w:rPr>
            </w:pPr>
            <w:r>
              <w:rPr>
                <w:rFonts w:hint="eastAsia"/>
                <w:sz w:val="22"/>
                <w:szCs w:val="22"/>
              </w:rPr>
              <w:t>项目使用的白蚁防治液剂和需求的吻合度。（0-</w:t>
            </w:r>
            <w:r>
              <w:rPr>
                <w:sz w:val="22"/>
                <w:szCs w:val="22"/>
              </w:rPr>
              <w:t>3</w:t>
            </w:r>
            <w:r>
              <w:rPr>
                <w:rFonts w:hint="eastAsia"/>
                <w:sz w:val="22"/>
                <w:szCs w:val="22"/>
              </w:rPr>
              <w:t>分）</w:t>
            </w:r>
          </w:p>
          <w:p>
            <w:pPr>
              <w:pStyle w:val="969"/>
              <w:spacing w:line="360" w:lineRule="auto"/>
              <w:rPr>
                <w:sz w:val="22"/>
                <w:szCs w:val="22"/>
              </w:rPr>
            </w:pPr>
            <w:r>
              <w:rPr>
                <w:rFonts w:hint="eastAsia"/>
                <w:sz w:val="22"/>
                <w:szCs w:val="22"/>
              </w:rPr>
              <w:t>证明材料需提供农药登记证、农药生产许可证、产品质量技术标准，缺项漏项不得分。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1"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5</w:t>
            </w:r>
          </w:p>
        </w:tc>
        <w:tc>
          <w:tcPr>
            <w:tcW w:w="1198" w:type="dxa"/>
            <w:vAlign w:val="center"/>
          </w:tcPr>
          <w:p>
            <w:pPr>
              <w:snapToGrid w:val="0"/>
              <w:spacing w:line="360" w:lineRule="auto"/>
              <w:jc w:val="center"/>
              <w:rPr>
                <w:rFonts w:ascii="仿宋" w:hAnsi="仿宋" w:eastAsia="仿宋" w:cs="仿宋"/>
                <w:sz w:val="22"/>
                <w:szCs w:val="22"/>
              </w:rPr>
            </w:pPr>
            <w:r>
              <w:rPr>
                <w:rFonts w:hint="eastAsia" w:ascii="仿宋" w:hAnsi="仿宋" w:eastAsia="仿宋" w:cs="仿宋"/>
                <w:sz w:val="22"/>
                <w:szCs w:val="22"/>
              </w:rPr>
              <w:t>档案管理</w:t>
            </w:r>
          </w:p>
          <w:p>
            <w:pPr>
              <w:pStyle w:val="969"/>
              <w:spacing w:line="360" w:lineRule="auto"/>
              <w:jc w:val="center"/>
              <w:rPr>
                <w:rFonts w:hint="eastAsia"/>
                <w:sz w:val="22"/>
                <w:szCs w:val="22"/>
              </w:rPr>
            </w:pPr>
            <w:r>
              <w:rPr>
                <w:rFonts w:hint="eastAsia"/>
                <w:sz w:val="22"/>
                <w:szCs w:val="22"/>
              </w:rPr>
              <w:t>制度</w:t>
            </w:r>
          </w:p>
          <w:p>
            <w:pPr>
              <w:pStyle w:val="969"/>
              <w:spacing w:line="360" w:lineRule="auto"/>
              <w:jc w:val="center"/>
              <w:rPr>
                <w:rFonts w:hint="eastAsia" w:eastAsia="仿宋"/>
                <w:bCs/>
                <w:sz w:val="22"/>
                <w:szCs w:val="22"/>
                <w:lang w:eastAsia="zh-CN"/>
              </w:rPr>
            </w:pPr>
            <w:r>
              <w:rPr>
                <w:rFonts w:hint="eastAsia"/>
                <w:sz w:val="22"/>
                <w:szCs w:val="22"/>
                <w:lang w:eastAsia="zh-CN"/>
              </w:rPr>
              <w:t>（</w:t>
            </w:r>
            <w:r>
              <w:rPr>
                <w:rFonts w:hint="eastAsia"/>
                <w:sz w:val="22"/>
                <w:szCs w:val="22"/>
                <w:lang w:val="en-US" w:eastAsia="zh-CN"/>
              </w:rPr>
              <w:t>4分</w:t>
            </w:r>
            <w:r>
              <w:rPr>
                <w:rFonts w:hint="eastAsia"/>
                <w:sz w:val="22"/>
                <w:szCs w:val="22"/>
                <w:lang w:eastAsia="zh-CN"/>
              </w:rPr>
              <w:t>）</w:t>
            </w:r>
          </w:p>
        </w:tc>
        <w:tc>
          <w:tcPr>
            <w:tcW w:w="1003"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0-4</w:t>
            </w:r>
          </w:p>
        </w:tc>
        <w:tc>
          <w:tcPr>
            <w:tcW w:w="4711" w:type="dxa"/>
            <w:vAlign w:val="center"/>
          </w:tcPr>
          <w:p>
            <w:pPr>
              <w:pStyle w:val="969"/>
              <w:spacing w:line="360" w:lineRule="auto"/>
              <w:rPr>
                <w:sz w:val="22"/>
                <w:szCs w:val="22"/>
              </w:rPr>
            </w:pPr>
            <w:r>
              <w:rPr>
                <w:rFonts w:hint="eastAsia"/>
                <w:sz w:val="22"/>
                <w:szCs w:val="22"/>
              </w:rPr>
              <w:t>响应人档案管理制度（针对本项目情况科学、合理的采取档案管理），档案制度合理详细、具有落地可行性得4分，基本合理、可行得2-3分，未提供不得分。</w:t>
            </w:r>
          </w:p>
        </w:tc>
        <w:tc>
          <w:tcPr>
            <w:tcW w:w="1242" w:type="dxa"/>
            <w:vAlign w:val="center"/>
          </w:tcPr>
          <w:p>
            <w:pPr>
              <w:pStyle w:val="969"/>
              <w:spacing w:line="360" w:lineRule="auto"/>
              <w:jc w:val="center"/>
              <w:rPr>
                <w:sz w:val="22"/>
                <w:szCs w:val="22"/>
              </w:rPr>
            </w:pPr>
            <w:r>
              <w:rPr>
                <w:rFonts w:hint="eastAsia"/>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二</w:t>
            </w:r>
          </w:p>
        </w:tc>
        <w:tc>
          <w:tcPr>
            <w:tcW w:w="1198"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资信部分</w:t>
            </w:r>
          </w:p>
        </w:tc>
        <w:tc>
          <w:tcPr>
            <w:tcW w:w="1003"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0-9</w:t>
            </w:r>
          </w:p>
        </w:tc>
        <w:tc>
          <w:tcPr>
            <w:tcW w:w="4711" w:type="dxa"/>
            <w:vAlign w:val="center"/>
          </w:tcPr>
          <w:p>
            <w:pPr>
              <w:autoSpaceDE w:val="0"/>
              <w:autoSpaceDN w:val="0"/>
              <w:spacing w:line="360" w:lineRule="auto"/>
              <w:rPr>
                <w:rStyle w:val="78"/>
                <w:rFonts w:ascii="仿宋" w:hAnsi="仿宋" w:eastAsia="仿宋" w:cs="仿宋"/>
                <w:bCs/>
                <w:sz w:val="22"/>
                <w:szCs w:val="22"/>
              </w:rPr>
            </w:pPr>
          </w:p>
        </w:tc>
        <w:tc>
          <w:tcPr>
            <w:tcW w:w="1242" w:type="dxa"/>
            <w:vAlign w:val="center"/>
          </w:tcPr>
          <w:p>
            <w:pPr>
              <w:autoSpaceDE w:val="0"/>
              <w:autoSpaceDN w:val="0"/>
              <w:spacing w:line="360" w:lineRule="auto"/>
              <w:rPr>
                <w:rFonts w:ascii="仿宋" w:hAnsi="仿宋" w:eastAsia="仿宋" w:cs="仿宋"/>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1" w:type="dxa"/>
            <w:vAlign w:val="center"/>
          </w:tcPr>
          <w:p>
            <w:pPr>
              <w:pStyle w:val="969"/>
              <w:spacing w:line="360" w:lineRule="auto"/>
              <w:jc w:val="center"/>
              <w:rPr>
                <w:rStyle w:val="78"/>
                <w:bCs/>
                <w:sz w:val="22"/>
                <w:szCs w:val="22"/>
              </w:rPr>
            </w:pPr>
            <w:r>
              <w:rPr>
                <w:rFonts w:hint="eastAsia"/>
                <w:sz w:val="22"/>
                <w:szCs w:val="22"/>
              </w:rPr>
              <w:t>1</w:t>
            </w:r>
          </w:p>
        </w:tc>
        <w:tc>
          <w:tcPr>
            <w:tcW w:w="1198" w:type="dxa"/>
            <w:vAlign w:val="center"/>
          </w:tcPr>
          <w:p>
            <w:pPr>
              <w:snapToGrid w:val="0"/>
              <w:spacing w:line="360" w:lineRule="auto"/>
              <w:jc w:val="center"/>
              <w:rPr>
                <w:rFonts w:hint="eastAsia" w:ascii="仿宋" w:hAnsi="仿宋" w:eastAsia="仿宋" w:cs="仿宋"/>
                <w:bCs/>
                <w:sz w:val="22"/>
                <w:szCs w:val="22"/>
              </w:rPr>
            </w:pPr>
            <w:r>
              <w:rPr>
                <w:rFonts w:hint="eastAsia" w:ascii="仿宋" w:hAnsi="仿宋" w:eastAsia="仿宋" w:cs="仿宋"/>
                <w:bCs/>
                <w:sz w:val="22"/>
                <w:szCs w:val="22"/>
              </w:rPr>
              <w:t>质量管理体系认证情况</w:t>
            </w:r>
          </w:p>
          <w:p>
            <w:pPr>
              <w:snapToGrid w:val="0"/>
              <w:spacing w:line="360" w:lineRule="auto"/>
              <w:jc w:val="center"/>
              <w:rPr>
                <w:rFonts w:ascii="仿宋" w:hAnsi="仿宋" w:eastAsia="仿宋" w:cs="仿宋"/>
                <w:snapToGrid w:val="0"/>
                <w:kern w:val="0"/>
                <w:sz w:val="22"/>
                <w:szCs w:val="22"/>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4.5分</w:t>
            </w:r>
            <w:r>
              <w:rPr>
                <w:rFonts w:hint="eastAsia" w:ascii="仿宋" w:hAnsi="仿宋" w:eastAsia="仿宋" w:cs="仿宋"/>
                <w:bCs/>
                <w:sz w:val="22"/>
                <w:szCs w:val="22"/>
                <w:lang w:eastAsia="zh-CN"/>
              </w:rPr>
              <w:t>）</w:t>
            </w:r>
            <w:r>
              <w:rPr>
                <w:rFonts w:hint="eastAsia" w:ascii="仿宋" w:hAnsi="仿宋" w:eastAsia="仿宋" w:cs="仿宋"/>
                <w:sz w:val="22"/>
                <w:szCs w:val="22"/>
              </w:rPr>
              <w:t xml:space="preserve">   </w:t>
            </w:r>
          </w:p>
        </w:tc>
        <w:tc>
          <w:tcPr>
            <w:tcW w:w="1003" w:type="dxa"/>
            <w:vAlign w:val="center"/>
          </w:tcPr>
          <w:p>
            <w:pPr>
              <w:pStyle w:val="60"/>
              <w:spacing w:line="360" w:lineRule="auto"/>
              <w:ind w:firstLine="0"/>
              <w:jc w:val="center"/>
              <w:rPr>
                <w:rStyle w:val="78"/>
                <w:rFonts w:ascii="仿宋" w:hAnsi="仿宋" w:eastAsia="仿宋" w:cs="仿宋"/>
                <w:bCs/>
                <w:sz w:val="22"/>
                <w:szCs w:val="22"/>
              </w:rPr>
            </w:pPr>
            <w:r>
              <w:rPr>
                <w:rFonts w:hint="eastAsia" w:ascii="仿宋" w:hAnsi="仿宋" w:eastAsia="仿宋" w:cs="仿宋"/>
                <w:bCs/>
                <w:sz w:val="22"/>
                <w:szCs w:val="22"/>
                <w:lang w:val="en-US"/>
              </w:rPr>
              <w:t>0-4.5</w:t>
            </w:r>
          </w:p>
        </w:tc>
        <w:tc>
          <w:tcPr>
            <w:tcW w:w="4711" w:type="dxa"/>
            <w:vAlign w:val="center"/>
          </w:tcPr>
          <w:p>
            <w:pPr>
              <w:spacing w:line="360" w:lineRule="auto"/>
              <w:rPr>
                <w:rFonts w:ascii="仿宋" w:hAnsi="仿宋" w:eastAsia="仿宋" w:cs="仿宋"/>
                <w:bCs/>
                <w:sz w:val="22"/>
                <w:szCs w:val="22"/>
              </w:rPr>
            </w:pPr>
            <w:r>
              <w:rPr>
                <w:rFonts w:hint="eastAsia" w:ascii="仿宋" w:hAnsi="仿宋" w:eastAsia="仿宋" w:cs="仿宋"/>
                <w:bCs/>
                <w:sz w:val="22"/>
                <w:szCs w:val="22"/>
              </w:rPr>
              <w:t>投标人通过ISO质量管理体系认证、环境管理体系认证、职业健康安全管理体系认证的，每具有1个得1.5分，最高得4.5分。</w:t>
            </w:r>
          </w:p>
          <w:p>
            <w:pPr>
              <w:spacing w:line="360" w:lineRule="auto"/>
              <w:rPr>
                <w:rFonts w:ascii="仿宋" w:hAnsi="仿宋" w:eastAsia="仿宋" w:cs="仿宋"/>
                <w:snapToGrid w:val="0"/>
                <w:kern w:val="0"/>
                <w:sz w:val="22"/>
                <w:szCs w:val="22"/>
              </w:rPr>
            </w:pPr>
            <w:r>
              <w:rPr>
                <w:rFonts w:hint="eastAsia" w:ascii="仿宋" w:hAnsi="仿宋" w:eastAsia="仿宋" w:cs="仿宋"/>
                <w:bCs/>
                <w:sz w:val="22"/>
                <w:szCs w:val="22"/>
              </w:rPr>
              <w:t>证明材料提供认证证书。</w:t>
            </w:r>
          </w:p>
        </w:tc>
        <w:tc>
          <w:tcPr>
            <w:tcW w:w="1242" w:type="dxa"/>
            <w:vAlign w:val="center"/>
          </w:tcPr>
          <w:p>
            <w:pPr>
              <w:pStyle w:val="969"/>
              <w:spacing w:line="360" w:lineRule="auto"/>
              <w:jc w:val="center"/>
              <w:rPr>
                <w:sz w:val="22"/>
                <w:szCs w:val="22"/>
              </w:rPr>
            </w:pPr>
            <w:r>
              <w:rPr>
                <w:rFonts w:hint="eastAsia"/>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1" w:type="dxa"/>
            <w:vAlign w:val="center"/>
          </w:tcPr>
          <w:p>
            <w:pPr>
              <w:pStyle w:val="969"/>
              <w:spacing w:line="360" w:lineRule="auto"/>
              <w:jc w:val="center"/>
              <w:rPr>
                <w:sz w:val="22"/>
                <w:szCs w:val="22"/>
              </w:rPr>
            </w:pPr>
            <w:r>
              <w:rPr>
                <w:rFonts w:hint="eastAsia"/>
                <w:sz w:val="22"/>
                <w:szCs w:val="22"/>
              </w:rPr>
              <w:t>2</w:t>
            </w:r>
          </w:p>
        </w:tc>
        <w:tc>
          <w:tcPr>
            <w:tcW w:w="1198" w:type="dxa"/>
            <w:vAlign w:val="center"/>
          </w:tcPr>
          <w:p>
            <w:pPr>
              <w:spacing w:line="360" w:lineRule="auto"/>
              <w:jc w:val="center"/>
              <w:rPr>
                <w:rFonts w:ascii="仿宋" w:hAnsi="仿宋" w:eastAsia="仿宋" w:cs="仿宋"/>
                <w:bCs/>
                <w:sz w:val="22"/>
                <w:szCs w:val="22"/>
              </w:rPr>
            </w:pPr>
            <w:r>
              <w:rPr>
                <w:rFonts w:hint="eastAsia" w:ascii="仿宋" w:hAnsi="仿宋" w:eastAsia="仿宋" w:cs="仿宋"/>
                <w:bCs/>
                <w:sz w:val="22"/>
                <w:szCs w:val="22"/>
              </w:rPr>
              <w:t>白蚁防治</w:t>
            </w:r>
          </w:p>
          <w:p>
            <w:pPr>
              <w:snapToGrid w:val="0"/>
              <w:spacing w:line="360" w:lineRule="auto"/>
              <w:jc w:val="center"/>
              <w:rPr>
                <w:rFonts w:hint="eastAsia" w:ascii="仿宋" w:hAnsi="仿宋" w:eastAsia="仿宋" w:cs="仿宋"/>
                <w:bCs/>
                <w:sz w:val="22"/>
                <w:szCs w:val="22"/>
              </w:rPr>
            </w:pPr>
            <w:r>
              <w:rPr>
                <w:rFonts w:hint="eastAsia" w:ascii="仿宋" w:hAnsi="仿宋" w:eastAsia="仿宋" w:cs="仿宋"/>
                <w:bCs/>
                <w:sz w:val="22"/>
                <w:szCs w:val="22"/>
              </w:rPr>
              <w:t>资质</w:t>
            </w:r>
          </w:p>
          <w:p>
            <w:pPr>
              <w:snapToGrid w:val="0"/>
              <w:spacing w:line="360" w:lineRule="auto"/>
              <w:jc w:val="center"/>
              <w:rPr>
                <w:rFonts w:hint="eastAsia" w:ascii="仿宋" w:hAnsi="仿宋" w:eastAsia="仿宋" w:cs="仿宋"/>
                <w:sz w:val="22"/>
                <w:szCs w:val="22"/>
                <w:lang w:eastAsia="zh-CN"/>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3分</w:t>
            </w:r>
            <w:r>
              <w:rPr>
                <w:rFonts w:hint="eastAsia" w:ascii="仿宋" w:hAnsi="仿宋" w:eastAsia="仿宋" w:cs="仿宋"/>
                <w:bCs/>
                <w:sz w:val="22"/>
                <w:szCs w:val="22"/>
                <w:lang w:eastAsia="zh-CN"/>
              </w:rPr>
              <w:t>）</w:t>
            </w:r>
          </w:p>
        </w:tc>
        <w:tc>
          <w:tcPr>
            <w:tcW w:w="1003" w:type="dxa"/>
            <w:vAlign w:val="center"/>
          </w:tcPr>
          <w:p>
            <w:pPr>
              <w:spacing w:line="360" w:lineRule="auto"/>
              <w:jc w:val="center"/>
              <w:rPr>
                <w:rStyle w:val="78"/>
                <w:rFonts w:ascii="仿宋" w:hAnsi="仿宋" w:eastAsia="仿宋" w:cs="仿宋"/>
                <w:bCs/>
                <w:sz w:val="22"/>
                <w:szCs w:val="22"/>
              </w:rPr>
            </w:pPr>
            <w:r>
              <w:rPr>
                <w:rFonts w:hint="eastAsia" w:ascii="仿宋" w:hAnsi="仿宋" w:eastAsia="仿宋" w:cs="仿宋"/>
                <w:bCs/>
                <w:sz w:val="22"/>
                <w:szCs w:val="22"/>
              </w:rPr>
              <w:t>0-3</w:t>
            </w:r>
          </w:p>
        </w:tc>
        <w:tc>
          <w:tcPr>
            <w:tcW w:w="4711" w:type="dxa"/>
            <w:vAlign w:val="center"/>
          </w:tcPr>
          <w:p>
            <w:pPr>
              <w:spacing w:line="360" w:lineRule="auto"/>
              <w:rPr>
                <w:rFonts w:ascii="仿宋" w:hAnsi="仿宋" w:eastAsia="仿宋" w:cs="仿宋"/>
                <w:bCs/>
                <w:sz w:val="22"/>
                <w:szCs w:val="22"/>
              </w:rPr>
            </w:pPr>
            <w:r>
              <w:rPr>
                <w:rFonts w:hint="eastAsia" w:ascii="仿宋" w:hAnsi="仿宋" w:eastAsia="仿宋" w:cs="仿宋"/>
                <w:bCs/>
                <w:sz w:val="22"/>
                <w:szCs w:val="22"/>
              </w:rPr>
              <w:t>拥有白蚁防治资质一级得3分；拥有白蚁防治资质二级得2分；拥有白蚁防治资质三级得1分。</w:t>
            </w:r>
          </w:p>
          <w:p>
            <w:pPr>
              <w:spacing w:line="360" w:lineRule="auto"/>
              <w:rPr>
                <w:rFonts w:ascii="仿宋" w:hAnsi="仿宋" w:eastAsia="仿宋" w:cs="仿宋"/>
                <w:sz w:val="22"/>
                <w:szCs w:val="22"/>
              </w:rPr>
            </w:pPr>
            <w:r>
              <w:rPr>
                <w:rFonts w:hint="eastAsia" w:ascii="仿宋" w:hAnsi="仿宋" w:eastAsia="仿宋" w:cs="仿宋"/>
                <w:bCs/>
                <w:sz w:val="22"/>
                <w:szCs w:val="22"/>
              </w:rPr>
              <w:t>证明材料提供证书。</w:t>
            </w:r>
          </w:p>
        </w:tc>
        <w:tc>
          <w:tcPr>
            <w:tcW w:w="1242" w:type="dxa"/>
            <w:vAlign w:val="center"/>
          </w:tcPr>
          <w:p>
            <w:pPr>
              <w:pStyle w:val="969"/>
              <w:spacing w:line="360" w:lineRule="auto"/>
              <w:jc w:val="center"/>
              <w:rPr>
                <w:sz w:val="22"/>
                <w:szCs w:val="22"/>
              </w:rPr>
            </w:pPr>
            <w:r>
              <w:rPr>
                <w:rFonts w:hint="eastAsia"/>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1" w:type="dxa"/>
            <w:vAlign w:val="center"/>
          </w:tcPr>
          <w:p>
            <w:pPr>
              <w:pStyle w:val="969"/>
              <w:spacing w:line="360" w:lineRule="auto"/>
              <w:jc w:val="center"/>
              <w:rPr>
                <w:sz w:val="22"/>
                <w:szCs w:val="22"/>
              </w:rPr>
            </w:pPr>
            <w:r>
              <w:rPr>
                <w:rFonts w:hint="eastAsia"/>
                <w:sz w:val="22"/>
                <w:szCs w:val="22"/>
              </w:rPr>
              <w:t>3</w:t>
            </w:r>
          </w:p>
        </w:tc>
        <w:tc>
          <w:tcPr>
            <w:tcW w:w="1198" w:type="dxa"/>
            <w:vAlign w:val="center"/>
          </w:tcPr>
          <w:p>
            <w:pPr>
              <w:autoSpaceDE w:val="0"/>
              <w:autoSpaceDN w:val="0"/>
              <w:spacing w:line="360" w:lineRule="auto"/>
              <w:jc w:val="center"/>
              <w:rPr>
                <w:rFonts w:ascii="仿宋" w:hAnsi="仿宋" w:eastAsia="仿宋" w:cs="仿宋"/>
                <w:sz w:val="22"/>
                <w:szCs w:val="22"/>
              </w:rPr>
            </w:pPr>
            <w:r>
              <w:rPr>
                <w:rFonts w:hint="eastAsia" w:ascii="仿宋" w:hAnsi="仿宋" w:eastAsia="仿宋" w:cs="仿宋"/>
                <w:sz w:val="22"/>
                <w:szCs w:val="22"/>
              </w:rPr>
              <w:t>类似项目</w:t>
            </w:r>
          </w:p>
          <w:p>
            <w:pPr>
              <w:autoSpaceDE w:val="0"/>
              <w:autoSpaceDN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业绩</w:t>
            </w:r>
          </w:p>
          <w:p>
            <w:pPr>
              <w:autoSpaceDE w:val="0"/>
              <w:autoSpaceDN w:val="0"/>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1.5分</w:t>
            </w:r>
            <w:r>
              <w:rPr>
                <w:rFonts w:hint="eastAsia" w:ascii="仿宋" w:hAnsi="仿宋" w:eastAsia="仿宋" w:cs="仿宋"/>
                <w:sz w:val="22"/>
                <w:szCs w:val="22"/>
                <w:lang w:eastAsia="zh-CN"/>
              </w:rPr>
              <w:t>）</w:t>
            </w:r>
          </w:p>
        </w:tc>
        <w:tc>
          <w:tcPr>
            <w:tcW w:w="1003" w:type="dxa"/>
            <w:vAlign w:val="center"/>
          </w:tcPr>
          <w:p>
            <w:pPr>
              <w:snapToGrid w:val="0"/>
              <w:spacing w:line="360" w:lineRule="auto"/>
              <w:jc w:val="center"/>
              <w:rPr>
                <w:rStyle w:val="78"/>
                <w:rFonts w:ascii="仿宋" w:hAnsi="仿宋" w:eastAsia="仿宋" w:cs="仿宋"/>
                <w:bCs/>
                <w:sz w:val="22"/>
                <w:szCs w:val="22"/>
              </w:rPr>
            </w:pPr>
            <w:r>
              <w:rPr>
                <w:rFonts w:hint="eastAsia" w:ascii="仿宋" w:hAnsi="仿宋" w:eastAsia="仿宋" w:cs="仿宋"/>
                <w:sz w:val="22"/>
                <w:szCs w:val="22"/>
              </w:rPr>
              <w:t>0-1.5</w:t>
            </w:r>
          </w:p>
        </w:tc>
        <w:tc>
          <w:tcPr>
            <w:tcW w:w="4711" w:type="dxa"/>
            <w:vAlign w:val="center"/>
          </w:tcPr>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 xml:space="preserve">2019年1月1日起（以合同签订之日为准）响应人具有文保建筑白蚁防治项目业绩的，每提供一个得0.5分，满分1.5分。 </w:t>
            </w:r>
          </w:p>
          <w:p>
            <w:pPr>
              <w:autoSpaceDE w:val="0"/>
              <w:autoSpaceDN w:val="0"/>
              <w:snapToGrid w:val="0"/>
              <w:spacing w:line="360" w:lineRule="auto"/>
              <w:jc w:val="left"/>
              <w:rPr>
                <w:rFonts w:ascii="仿宋" w:hAnsi="仿宋" w:eastAsia="仿宋" w:cs="仿宋"/>
                <w:sz w:val="22"/>
                <w:szCs w:val="22"/>
              </w:rPr>
            </w:pPr>
            <w:r>
              <w:rPr>
                <w:rFonts w:hint="eastAsia" w:ascii="仿宋" w:hAnsi="仿宋" w:eastAsia="仿宋" w:cs="仿宋"/>
                <w:sz w:val="22"/>
                <w:szCs w:val="22"/>
              </w:rPr>
              <w:t>证明材料提供合同、文物行政部门出具的证明。文物行政部门出具的证明应写明该项目防治对象属于</w:t>
            </w:r>
            <w:r>
              <w:rPr>
                <w:rFonts w:hint="eastAsia" w:ascii="仿宋" w:hAnsi="仿宋" w:eastAsia="仿宋" w:cs="仿宋"/>
                <w:sz w:val="22"/>
                <w:szCs w:val="22"/>
                <w:highlight w:val="yellow"/>
              </w:rPr>
              <w:t>文保单位或不可移动文物</w:t>
            </w:r>
            <w:r>
              <w:rPr>
                <w:rFonts w:hint="eastAsia" w:ascii="仿宋" w:hAnsi="仿宋" w:eastAsia="仿宋" w:cs="仿宋"/>
                <w:sz w:val="22"/>
                <w:szCs w:val="22"/>
              </w:rPr>
              <w:t>。</w:t>
            </w:r>
          </w:p>
        </w:tc>
        <w:tc>
          <w:tcPr>
            <w:tcW w:w="1242" w:type="dxa"/>
            <w:vAlign w:val="center"/>
          </w:tcPr>
          <w:p>
            <w:pPr>
              <w:pStyle w:val="969"/>
              <w:spacing w:line="360" w:lineRule="auto"/>
              <w:jc w:val="center"/>
              <w:rPr>
                <w:sz w:val="22"/>
                <w:szCs w:val="22"/>
              </w:rPr>
            </w:pPr>
            <w:r>
              <w:rPr>
                <w:rFonts w:hint="eastAsia"/>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autoSpaceDE w:val="0"/>
              <w:autoSpaceDN w:val="0"/>
              <w:spacing w:line="360" w:lineRule="auto"/>
              <w:jc w:val="center"/>
              <w:rPr>
                <w:rStyle w:val="78"/>
                <w:rFonts w:ascii="仿宋" w:hAnsi="仿宋" w:eastAsia="仿宋" w:cs="仿宋"/>
                <w:bCs/>
                <w:sz w:val="22"/>
                <w:szCs w:val="22"/>
              </w:rPr>
            </w:pPr>
            <w:r>
              <w:rPr>
                <w:rStyle w:val="78"/>
                <w:rFonts w:hint="eastAsia" w:ascii="仿宋" w:hAnsi="仿宋" w:eastAsia="仿宋" w:cs="仿宋"/>
                <w:bCs/>
                <w:sz w:val="22"/>
                <w:szCs w:val="22"/>
              </w:rPr>
              <w:t>三</w:t>
            </w:r>
          </w:p>
        </w:tc>
        <w:tc>
          <w:tcPr>
            <w:tcW w:w="6912" w:type="dxa"/>
            <w:gridSpan w:val="3"/>
            <w:vAlign w:val="center"/>
          </w:tcPr>
          <w:p>
            <w:pPr>
              <w:autoSpaceDE w:val="0"/>
              <w:autoSpaceDN w:val="0"/>
              <w:spacing w:line="360" w:lineRule="auto"/>
              <w:rPr>
                <w:rStyle w:val="78"/>
                <w:rFonts w:ascii="仿宋" w:hAnsi="仿宋" w:eastAsia="仿宋" w:cs="仿宋"/>
                <w:bCs/>
                <w:kern w:val="0"/>
                <w:sz w:val="22"/>
                <w:szCs w:val="22"/>
              </w:rPr>
            </w:pPr>
            <w:r>
              <w:rPr>
                <w:rStyle w:val="78"/>
                <w:rFonts w:hint="eastAsia" w:ascii="仿宋" w:hAnsi="仿宋" w:eastAsia="仿宋" w:cs="仿宋"/>
                <w:bCs/>
                <w:sz w:val="22"/>
                <w:szCs w:val="22"/>
              </w:rPr>
              <w:t>报价，15分</w:t>
            </w:r>
          </w:p>
        </w:tc>
        <w:tc>
          <w:tcPr>
            <w:tcW w:w="1242" w:type="dxa"/>
            <w:vAlign w:val="center"/>
          </w:tcPr>
          <w:p>
            <w:pPr>
              <w:autoSpaceDE w:val="0"/>
              <w:autoSpaceDN w:val="0"/>
              <w:spacing w:line="360" w:lineRule="auto"/>
              <w:rPr>
                <w:rStyle w:val="78"/>
                <w:rFonts w:ascii="仿宋" w:hAnsi="仿宋" w:eastAsia="仿宋" w:cs="仿宋"/>
                <w:bCs/>
                <w:color w:val="0000FF"/>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1" w:type="dxa"/>
            <w:vAlign w:val="center"/>
          </w:tcPr>
          <w:p>
            <w:pPr>
              <w:autoSpaceDE w:val="0"/>
              <w:autoSpaceDN w:val="0"/>
              <w:spacing w:line="360" w:lineRule="auto"/>
              <w:jc w:val="center"/>
              <w:rPr>
                <w:rStyle w:val="78"/>
                <w:rFonts w:ascii="仿宋" w:hAnsi="仿宋" w:eastAsia="仿宋" w:cs="仿宋"/>
                <w:bCs/>
                <w:sz w:val="22"/>
                <w:szCs w:val="22"/>
              </w:rPr>
            </w:pPr>
          </w:p>
        </w:tc>
        <w:tc>
          <w:tcPr>
            <w:tcW w:w="6912" w:type="dxa"/>
            <w:gridSpan w:val="3"/>
            <w:vAlign w:val="center"/>
          </w:tcPr>
          <w:p>
            <w:pPr>
              <w:widowControl/>
              <w:snapToGrid w:val="0"/>
              <w:spacing w:line="360" w:lineRule="auto"/>
              <w:rPr>
                <w:rFonts w:ascii="仿宋" w:hAnsi="仿宋" w:eastAsia="仿宋" w:cs="仿宋"/>
                <w:sz w:val="22"/>
                <w:szCs w:val="22"/>
              </w:rPr>
            </w:pPr>
            <w:r>
              <w:rPr>
                <w:rFonts w:hint="eastAsia" w:ascii="仿宋" w:hAnsi="仿宋" w:eastAsia="仿宋" w:cs="仿宋"/>
                <w:sz w:val="22"/>
                <w:szCs w:val="22"/>
              </w:rPr>
              <w:t>有效响应报价的最低价作为评标基准价，其最低报价为满分；按［响应报价得分=(评标基准价／响应报价)×价格权值×100］的计算公式计算。评标过程中，不得去掉报价中的最高报价和最低报价。</w:t>
            </w:r>
          </w:p>
          <w:p>
            <w:pPr>
              <w:widowControl/>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 xml:space="preserve">响应报价分数权值为15% </w:t>
            </w:r>
          </w:p>
          <w:p>
            <w:pPr>
              <w:widowControl/>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供应商的价格分统一按照下列公式计算：</w:t>
            </w:r>
          </w:p>
          <w:p>
            <w:pPr>
              <w:widowControl/>
              <w:snapToGrid w:val="0"/>
              <w:spacing w:line="360" w:lineRule="auto"/>
              <w:ind w:firstLine="440" w:firstLineChars="200"/>
              <w:rPr>
                <w:rStyle w:val="78"/>
                <w:rFonts w:ascii="仿宋" w:hAnsi="仿宋" w:eastAsia="仿宋" w:cs="仿宋"/>
                <w:bCs/>
                <w:kern w:val="0"/>
                <w:sz w:val="22"/>
                <w:szCs w:val="22"/>
              </w:rPr>
            </w:pPr>
            <w:r>
              <w:rPr>
                <w:rFonts w:hint="eastAsia" w:ascii="仿宋" w:hAnsi="仿宋" w:eastAsia="仿宋" w:cs="仿宋"/>
                <w:sz w:val="22"/>
                <w:szCs w:val="22"/>
              </w:rPr>
              <w:t xml:space="preserve">报价得分=(评标基准价／响应报价)×价格权值×100 </w:t>
            </w:r>
          </w:p>
        </w:tc>
        <w:tc>
          <w:tcPr>
            <w:tcW w:w="1242" w:type="dxa"/>
            <w:vAlign w:val="center"/>
          </w:tcPr>
          <w:p>
            <w:pPr>
              <w:autoSpaceDE w:val="0"/>
              <w:autoSpaceDN w:val="0"/>
              <w:spacing w:line="360" w:lineRule="auto"/>
              <w:rPr>
                <w:rStyle w:val="78"/>
                <w:rFonts w:ascii="仿宋" w:hAnsi="仿宋" w:eastAsia="仿宋" w:cs="仿宋"/>
                <w:bCs/>
                <w:kern w:val="0"/>
                <w:sz w:val="22"/>
                <w:szCs w:val="22"/>
              </w:rPr>
            </w:pPr>
          </w:p>
        </w:tc>
      </w:tr>
    </w:tbl>
    <w:p>
      <w:pPr>
        <w:snapToGrid w:val="0"/>
        <w:spacing w:line="360" w:lineRule="auto"/>
        <w:rPr>
          <w:rFonts w:ascii="仿宋" w:hAnsi="仿宋" w:eastAsia="仿宋" w:cs="仿宋_GB2312"/>
          <w:b/>
          <w:szCs w:val="21"/>
        </w:rPr>
      </w:pPr>
    </w:p>
    <w:p>
      <w:pPr>
        <w:snapToGrid w:val="0"/>
        <w:spacing w:line="360" w:lineRule="auto"/>
        <w:rPr>
          <w:rFonts w:ascii="仿宋" w:hAnsi="仿宋" w:eastAsia="仿宋" w:cs="仿宋_GB2312"/>
          <w:b/>
          <w:szCs w:val="21"/>
        </w:rPr>
      </w:pPr>
      <w:r>
        <w:rPr>
          <w:rFonts w:hint="eastAsia" w:ascii="仿宋" w:hAnsi="仿宋" w:eastAsia="仿宋" w:cs="仿宋_GB2312"/>
          <w:b/>
          <w:szCs w:val="21"/>
        </w:rPr>
        <w:t>备注：1.</w:t>
      </w:r>
      <w:r>
        <w:rPr>
          <w:rFonts w:hint="eastAsia" w:ascii="仿宋" w:hAnsi="仿宋" w:eastAsia="仿宋" w:cs="仿宋_GB2312"/>
          <w:szCs w:val="21"/>
        </w:rPr>
        <w:t>供应商编制响应文件（商务技术文件部分）时，建议按此目录（序号和内容）提供评审标准相应的商务技术资料。 </w:t>
      </w:r>
    </w:p>
    <w:p>
      <w:pP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t>2.证明材料提供扫描件或复制件，未提供或提供不全的不得分。</w:t>
      </w:r>
    </w:p>
    <w:p>
      <w:pP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sym w:font="Wingdings" w:char="00A8"/>
      </w:r>
      <w:r>
        <w:rPr>
          <w:rFonts w:hint="eastAsia" w:ascii="仿宋_GB2312" w:hAnsi="仿宋" w:eastAsia="仿宋_GB2312"/>
          <w:szCs w:val="21"/>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pP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t>4.评审小组将对实质上响应采购文件的供应商，各自独立记名打分，小数点后最多保留一位小数。供应商商务技术分=评审小组所有成员评分合计数/评审小组人员数（小数点后保留二位小数，第三位四舍五入）。</w:t>
      </w:r>
      <w:r>
        <w:rPr>
          <w:rFonts w:ascii="仿宋_GB2312" w:hAnsi="仿宋" w:eastAsia="仿宋_GB2312"/>
          <w:szCs w:val="21"/>
          <w:u w:val="single"/>
        </w:rPr>
        <w:t>供应商</w:t>
      </w:r>
      <w:r>
        <w:rPr>
          <w:rFonts w:hint="eastAsia" w:ascii="仿宋_GB2312" w:hAnsi="仿宋" w:eastAsia="仿宋_GB2312"/>
          <w:szCs w:val="21"/>
          <w:u w:val="single"/>
        </w:rPr>
        <w:t>价格得分小数点后保留两位小数。</w:t>
      </w:r>
    </w:p>
    <w:p>
      <w:pPr>
        <w:spacing w:line="360" w:lineRule="auto"/>
        <w:ind w:firstLine="422" w:firstLineChars="200"/>
        <w:rPr>
          <w:rFonts w:ascii="仿宋_GB2312" w:hAnsi="仿宋" w:eastAsia="仿宋_GB2312"/>
          <w:b/>
          <w:bCs/>
          <w:szCs w:val="21"/>
          <w:u w:val="single"/>
        </w:rPr>
      </w:pPr>
      <w:r>
        <w:rPr>
          <w:rFonts w:ascii="仿宋_GB2312" w:hAnsi="仿宋" w:eastAsia="仿宋_GB2312"/>
          <w:b/>
          <w:bCs/>
          <w:szCs w:val="21"/>
          <w:u w:val="single"/>
        </w:rPr>
        <w:sym w:font="Wingdings" w:char="00FE"/>
      </w:r>
      <w:r>
        <w:rPr>
          <w:rFonts w:hint="eastAsia" w:ascii="仿宋_GB2312" w:hAnsi="仿宋" w:eastAsia="仿宋_GB2312"/>
          <w:b/>
          <w:bCs/>
          <w:szCs w:val="21"/>
          <w:u w:val="single"/>
        </w:rPr>
        <w:t>5.拟派项目组人员同一人不得兼任两个岗位。</w:t>
      </w:r>
    </w:p>
    <w:p>
      <w:pPr>
        <w:spacing w:line="360" w:lineRule="auto"/>
        <w:ind w:firstLine="422" w:firstLineChars="200"/>
        <w:rPr>
          <w:rFonts w:ascii="仿宋_GB2312" w:hAnsi="仿宋" w:eastAsia="仿宋_GB2312"/>
          <w:b/>
          <w:bCs/>
          <w:szCs w:val="21"/>
          <w:u w:val="single"/>
        </w:rPr>
      </w:pPr>
      <w:r>
        <w:rPr>
          <w:rFonts w:ascii="仿宋_GB2312" w:hAnsi="仿宋" w:eastAsia="仿宋_GB2312"/>
          <w:b/>
          <w:bCs/>
          <w:szCs w:val="21"/>
          <w:u w:val="single"/>
        </w:rPr>
        <w:t>6.</w:t>
      </w:r>
      <w:r>
        <w:rPr>
          <w:rFonts w:hint="eastAsia" w:ascii="仿宋_GB2312" w:hAnsi="仿宋" w:eastAsia="仿宋_GB2312"/>
          <w:b/>
          <w:bCs/>
          <w:szCs w:val="21"/>
          <w:u w:val="single"/>
        </w:rPr>
        <w:t>员工在职证明为供应商社保缴纳记录，新入职截止投标（响应）截止日前不满1个月的可仅提供劳动合同，退休返聘的可仅提供退休证明和劳务合同。</w:t>
      </w:r>
    </w:p>
    <w:p>
      <w:pPr>
        <w:spacing w:line="360" w:lineRule="auto"/>
        <w:ind w:firstLine="420" w:firstLineChars="200"/>
        <w:rPr>
          <w:rFonts w:ascii="仿宋_GB2312" w:hAnsi="仿宋" w:eastAsia="仿宋_GB2312"/>
          <w:szCs w:val="21"/>
          <w:u w:val="single"/>
        </w:rPr>
      </w:pPr>
    </w:p>
    <w:p>
      <w:pPr>
        <w:ind w:firstLine="643" w:firstLineChars="200"/>
        <w:rPr>
          <w:rFonts w:ascii="仿宋" w:hAnsi="仿宋" w:eastAsia="仿宋" w:cs="仿宋_GB2312"/>
          <w:b/>
          <w:sz w:val="32"/>
        </w:rPr>
      </w:pPr>
      <w:r>
        <w:rPr>
          <w:rFonts w:hint="eastAsia" w:ascii="仿宋" w:hAnsi="仿宋" w:eastAsia="仿宋" w:cs="仿宋_GB2312"/>
          <w:b/>
          <w:sz w:val="32"/>
        </w:rPr>
        <w:br w:type="page"/>
      </w:r>
    </w:p>
    <w:p>
      <w:pPr>
        <w:spacing w:line="360" w:lineRule="auto"/>
        <w:outlineLvl w:val="1"/>
        <w:rPr>
          <w:rFonts w:ascii="仿宋" w:hAnsi="仿宋" w:eastAsia="仿宋"/>
          <w:b/>
          <w:sz w:val="28"/>
          <w:szCs w:val="28"/>
        </w:rPr>
      </w:pPr>
      <w:r>
        <w:rPr>
          <w:rFonts w:hint="eastAsia" w:ascii="仿宋" w:hAnsi="仿宋" w:eastAsia="仿宋" w:cs="仿宋_GB2312"/>
          <w:b/>
          <w:sz w:val="32"/>
        </w:rPr>
        <w:t>1.磋商评审方法</w:t>
      </w:r>
    </w:p>
    <w:p>
      <w:pPr>
        <w:adjustRightInd/>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综合评分法，是指响应文件满足采购文件全部实质性要求，且按照评审因素的量化指标评审得分最高的供应商为成交候选人的评审方法。综合评分在磋商的最终结果基础上评分。</w:t>
      </w:r>
    </w:p>
    <w:p>
      <w:pPr>
        <w:adjustRightInd/>
        <w:spacing w:line="360" w:lineRule="auto"/>
        <w:rPr>
          <w:rFonts w:ascii="仿宋" w:hAnsi="仿宋" w:eastAsia="仿宋" w:cs="Arial"/>
          <w:kern w:val="0"/>
          <w:sz w:val="24"/>
        </w:rPr>
      </w:pPr>
      <w:r>
        <w:rPr>
          <w:rFonts w:hint="eastAsia" w:ascii="仿宋" w:hAnsi="仿宋" w:eastAsia="仿宋" w:cs="仿宋_GB2312"/>
          <w:b/>
          <w:sz w:val="32"/>
        </w:rPr>
        <w:t>2.评审标准</w:t>
      </w:r>
    </w:p>
    <w:p>
      <w:pPr>
        <w:spacing w:line="360" w:lineRule="auto"/>
        <w:ind w:firstLine="470" w:firstLineChars="196"/>
        <w:rPr>
          <w:rFonts w:ascii="仿宋" w:hAnsi="仿宋" w:eastAsia="仿宋" w:cs="仿宋_GB2312"/>
          <w:b/>
          <w:sz w:val="24"/>
        </w:rPr>
      </w:pPr>
      <w:r>
        <w:rPr>
          <w:rFonts w:hint="eastAsia" w:ascii="仿宋" w:hAnsi="仿宋" w:eastAsia="仿宋" w:cs="Arial"/>
          <w:kern w:val="0"/>
          <w:sz w:val="24"/>
        </w:rPr>
        <w:t>见磋商评审办法前附表。</w:t>
      </w:r>
    </w:p>
    <w:p>
      <w:pPr>
        <w:spacing w:line="360" w:lineRule="auto"/>
        <w:outlineLvl w:val="0"/>
        <w:rPr>
          <w:rFonts w:ascii="仿宋" w:hAnsi="仿宋" w:eastAsia="仿宋" w:cs="仿宋_GB2312"/>
          <w:b/>
          <w:sz w:val="32"/>
          <w:szCs w:val="32"/>
        </w:rPr>
      </w:pPr>
      <w:bookmarkStart w:id="408" w:name="_Toc15495"/>
      <w:bookmarkStart w:id="409" w:name="_Toc98147532"/>
      <w:bookmarkStart w:id="410" w:name="_Toc64"/>
      <w:r>
        <w:rPr>
          <w:rFonts w:hint="eastAsia" w:ascii="仿宋" w:hAnsi="仿宋" w:eastAsia="仿宋" w:cs="仿宋_GB2312"/>
          <w:b/>
          <w:sz w:val="32"/>
          <w:szCs w:val="32"/>
        </w:rPr>
        <w:t>3.磋商程序</w:t>
      </w:r>
      <w:bookmarkEnd w:id="408"/>
      <w:bookmarkEnd w:id="409"/>
      <w:bookmarkEnd w:id="410"/>
    </w:p>
    <w:p>
      <w:pPr>
        <w:spacing w:line="360" w:lineRule="auto"/>
        <w:ind w:firstLine="470" w:firstLineChars="196"/>
        <w:rPr>
          <w:rFonts w:ascii="仿宋" w:hAnsi="仿宋" w:eastAsia="仿宋" w:cs="Arial"/>
          <w:kern w:val="0"/>
          <w:sz w:val="24"/>
        </w:rPr>
      </w:pPr>
      <w:r>
        <w:rPr>
          <w:rFonts w:hint="eastAsia" w:ascii="仿宋" w:hAnsi="仿宋" w:eastAsia="仿宋" w:cs="Arial"/>
          <w:kern w:val="0"/>
          <w:sz w:val="24"/>
        </w:rPr>
        <w:t>磋商程序依据本次项目采购文件规定的内容及相关法规、规章等执行。根据公开、公平、公正、诚信科学的原则，组织磋商采购。</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hint="eastAsia" w:ascii="仿宋" w:hAnsi="仿宋" w:eastAsia="仿宋" w:cs="Arial"/>
          <w:kern w:val="0"/>
          <w:sz w:val="24"/>
        </w:rPr>
        <w:t>磋商小组</w:t>
      </w:r>
      <w:r>
        <w:rPr>
          <w:rFonts w:ascii="仿宋" w:hAnsi="仿宋" w:eastAsia="仿宋" w:cs="Arial"/>
          <w:kern w:val="0"/>
          <w:sz w:val="24"/>
        </w:rPr>
        <w:t>应当对符合资格的</w:t>
      </w:r>
      <w:r>
        <w:rPr>
          <w:rFonts w:hint="eastAsia" w:ascii="仿宋" w:hAnsi="仿宋" w:eastAsia="仿宋" w:cs="Arial"/>
          <w:kern w:val="0"/>
          <w:sz w:val="24"/>
        </w:rPr>
        <w:t>供应商</w:t>
      </w:r>
      <w:r>
        <w:rPr>
          <w:rFonts w:ascii="仿宋" w:hAnsi="仿宋" w:eastAsia="仿宋" w:cs="Arial"/>
          <w:kern w:val="0"/>
          <w:sz w:val="24"/>
        </w:rPr>
        <w:t>的</w:t>
      </w:r>
      <w:r>
        <w:rPr>
          <w:rFonts w:hint="eastAsia" w:ascii="仿宋" w:hAnsi="仿宋" w:eastAsia="仿宋" w:cs="Arial"/>
          <w:kern w:val="0"/>
          <w:sz w:val="24"/>
        </w:rPr>
        <w:t>响应文件</w:t>
      </w:r>
      <w:r>
        <w:rPr>
          <w:rFonts w:ascii="仿宋" w:hAnsi="仿宋" w:eastAsia="仿宋" w:cs="Arial"/>
          <w:kern w:val="0"/>
          <w:sz w:val="24"/>
        </w:rPr>
        <w:t>进行符合性审查，以确定其是否满足</w:t>
      </w:r>
      <w:r>
        <w:rPr>
          <w:rFonts w:hint="eastAsia" w:ascii="仿宋" w:hAnsi="仿宋" w:eastAsia="仿宋" w:cs="Arial"/>
          <w:kern w:val="0"/>
          <w:sz w:val="24"/>
        </w:rPr>
        <w:t>采购文件</w:t>
      </w:r>
      <w:r>
        <w:rPr>
          <w:rFonts w:ascii="仿宋" w:hAnsi="仿宋" w:eastAsia="仿宋" w:cs="Arial"/>
          <w:kern w:val="0"/>
          <w:sz w:val="24"/>
        </w:rPr>
        <w:t>的实质性要求。</w:t>
      </w:r>
      <w:r>
        <w:rPr>
          <w:rFonts w:hint="eastAsia" w:ascii="仿宋" w:hAnsi="仿宋" w:eastAsia="仿宋" w:cs="Arial"/>
          <w:kern w:val="0"/>
          <w:sz w:val="24"/>
        </w:rPr>
        <w:t>不</w:t>
      </w:r>
      <w:r>
        <w:rPr>
          <w:rFonts w:ascii="仿宋" w:hAnsi="仿宋" w:eastAsia="仿宋" w:cs="Arial"/>
          <w:kern w:val="0"/>
          <w:sz w:val="24"/>
        </w:rPr>
        <w:t>满足</w:t>
      </w:r>
      <w:r>
        <w:rPr>
          <w:rFonts w:hint="eastAsia" w:ascii="仿宋" w:hAnsi="仿宋" w:eastAsia="仿宋" w:cs="Arial"/>
          <w:kern w:val="0"/>
          <w:sz w:val="24"/>
        </w:rPr>
        <w:t>采购文件</w:t>
      </w:r>
      <w:r>
        <w:rPr>
          <w:rFonts w:ascii="仿宋" w:hAnsi="仿宋" w:eastAsia="仿宋" w:cs="Arial"/>
          <w:kern w:val="0"/>
          <w:sz w:val="24"/>
        </w:rPr>
        <w:t>的实质性要求</w:t>
      </w:r>
      <w:r>
        <w:rPr>
          <w:rFonts w:hint="eastAsia" w:ascii="仿宋" w:hAnsi="仿宋" w:eastAsia="仿宋" w:cs="Arial"/>
          <w:kern w:val="0"/>
          <w:sz w:val="24"/>
        </w:rPr>
        <w:t>的，响应无效。</w:t>
      </w:r>
    </w:p>
    <w:p>
      <w:pPr>
        <w:spacing w:line="360" w:lineRule="auto"/>
        <w:ind w:firstLine="472" w:firstLineChars="196"/>
        <w:rPr>
          <w:rFonts w:ascii="仿宋" w:hAnsi="仿宋" w:eastAsia="仿宋" w:cs="Arial"/>
          <w:b/>
          <w:bCs/>
          <w:kern w:val="0"/>
          <w:sz w:val="24"/>
        </w:rPr>
      </w:pPr>
      <w:r>
        <w:rPr>
          <w:rFonts w:hint="eastAsia" w:ascii="仿宋" w:hAnsi="仿宋" w:eastAsia="仿宋" w:cs="Arial"/>
          <w:b/>
          <w:bCs/>
          <w:kern w:val="0"/>
          <w:sz w:val="24"/>
        </w:rPr>
        <w:t>3.2磋商评审</w:t>
      </w:r>
    </w:p>
    <w:p>
      <w:pPr>
        <w:spacing w:line="360" w:lineRule="auto"/>
        <w:ind w:firstLine="470" w:firstLineChars="196"/>
        <w:rPr>
          <w:rFonts w:ascii="仿宋" w:hAnsi="仿宋" w:eastAsia="仿宋" w:cs="Arial"/>
          <w:kern w:val="0"/>
          <w:sz w:val="24"/>
        </w:rPr>
      </w:pPr>
      <w:r>
        <w:rPr>
          <w:rFonts w:hint="eastAsia" w:ascii="仿宋" w:hAnsi="仿宋" w:eastAsia="仿宋" w:cs="Arial"/>
          <w:kern w:val="0"/>
          <w:sz w:val="24"/>
        </w:rPr>
        <w:t>（1）磋商小组将对确定为实质性响应本采购文件的响应文件进行详细评价和比较，主要就资信、服务方案内容、服务承诺等磋商小组认为与本次采购有关的因素与符合性审查合格的供应商逐一进行磋商。本项目按两阶段磋商评审：</w:t>
      </w:r>
    </w:p>
    <w:p>
      <w:pPr>
        <w:spacing w:line="360" w:lineRule="auto"/>
        <w:ind w:firstLine="470" w:firstLineChars="196"/>
        <w:rPr>
          <w:rFonts w:ascii="仿宋" w:hAnsi="仿宋" w:eastAsia="仿宋" w:cs="Arial"/>
          <w:kern w:val="0"/>
          <w:sz w:val="24"/>
        </w:rPr>
      </w:pPr>
      <w:r>
        <w:rPr>
          <w:rFonts w:hint="eastAsia" w:ascii="仿宋" w:hAnsi="仿宋" w:eastAsia="仿宋" w:cs="Arial"/>
          <w:kern w:val="0"/>
          <w:sz w:val="24"/>
        </w:rPr>
        <w:t>第一阶段：符合性审查、技术部分磋商评审、资信评审。</w:t>
      </w:r>
    </w:p>
    <w:p>
      <w:pPr>
        <w:spacing w:line="360" w:lineRule="auto"/>
        <w:ind w:firstLine="470" w:firstLineChars="196"/>
        <w:rPr>
          <w:rFonts w:ascii="仿宋" w:hAnsi="仿宋" w:eastAsia="仿宋" w:cs="Arial"/>
          <w:kern w:val="0"/>
          <w:sz w:val="24"/>
        </w:rPr>
      </w:pPr>
      <w:r>
        <w:rPr>
          <w:rFonts w:hint="eastAsia" w:ascii="仿宋" w:hAnsi="仿宋" w:eastAsia="仿宋" w:cs="Arial"/>
          <w:kern w:val="0"/>
          <w:sz w:val="24"/>
        </w:rPr>
        <w:t>第二阶段：价格磋商、评审。</w:t>
      </w:r>
    </w:p>
    <w:p>
      <w:pPr>
        <w:spacing w:line="360" w:lineRule="auto"/>
        <w:ind w:firstLine="470" w:firstLineChars="196"/>
        <w:rPr>
          <w:rFonts w:ascii="仿宋" w:hAnsi="仿宋" w:eastAsia="仿宋" w:cs="Arial"/>
          <w:bCs/>
          <w:kern w:val="0"/>
          <w:sz w:val="24"/>
        </w:rPr>
      </w:pPr>
      <w:r>
        <w:rPr>
          <w:rFonts w:hint="eastAsia" w:ascii="仿宋" w:hAnsi="仿宋" w:eastAsia="仿宋" w:cs="Arial"/>
          <w:bCs/>
          <w:kern w:val="0"/>
          <w:sz w:val="24"/>
        </w:rPr>
        <w:t>3.2.1 供应商逐家回答磋商小组的提问；逐家磋商一次为一个轮次，磋商轮次根据实际情况进行。</w:t>
      </w:r>
    </w:p>
    <w:p>
      <w:pPr>
        <w:spacing w:line="360" w:lineRule="auto"/>
        <w:ind w:firstLine="470" w:firstLineChars="196"/>
        <w:rPr>
          <w:rFonts w:ascii="仿宋" w:hAnsi="仿宋" w:eastAsia="仿宋" w:cs="Arial"/>
          <w:bCs/>
          <w:kern w:val="0"/>
          <w:sz w:val="24"/>
        </w:rPr>
      </w:pPr>
      <w:r>
        <w:rPr>
          <w:rFonts w:hint="eastAsia" w:ascii="仿宋" w:hAnsi="仿宋" w:eastAsia="仿宋" w:cs="Arial"/>
          <w:bCs/>
          <w:kern w:val="0"/>
          <w:sz w:val="24"/>
        </w:rPr>
        <w:t>3.2.2 供应商应按磋商小组通知的时间在线做出承诺或回复，承诺或回复的内容须加盖公章（物理章或电子章）或由供应商法定代表人或授权代表签署，并作为响应文件的补充部分。</w:t>
      </w:r>
    </w:p>
    <w:p>
      <w:pPr>
        <w:spacing w:line="360" w:lineRule="auto"/>
        <w:ind w:firstLine="470" w:firstLineChars="196"/>
        <w:rPr>
          <w:rFonts w:ascii="仿宋" w:hAnsi="仿宋" w:eastAsia="仿宋" w:cs="Arial"/>
          <w:bCs/>
          <w:kern w:val="0"/>
          <w:sz w:val="24"/>
        </w:rPr>
      </w:pPr>
      <w:r>
        <w:rPr>
          <w:rFonts w:hint="eastAsia" w:ascii="仿宋" w:hAnsi="仿宋" w:eastAsia="仿宋" w:cs="Arial"/>
          <w:bCs/>
          <w:kern w:val="0"/>
          <w:sz w:val="24"/>
        </w:rPr>
        <w:t xml:space="preserve">3.2.3 磋商过程中，磋商小组可以根据采购文件和磋商情况实质性变动采购需求中的技术、服务要求以及合同格式条款，但不得变动采购文件中的其他内容。实质性变动的内容，须经采购人代表确认。磋商文件有实质性变动的，磋商小组将以书面形式通知所有符合性审查合格的供应商。 </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3.3最后报价</w:t>
      </w:r>
    </w:p>
    <w:p>
      <w:pPr>
        <w:spacing w:line="360" w:lineRule="auto"/>
        <w:ind w:firstLine="470" w:firstLineChars="196"/>
        <w:rPr>
          <w:rFonts w:ascii="仿宋" w:hAnsi="仿宋" w:eastAsia="仿宋" w:cs="Arial"/>
          <w:bCs/>
          <w:kern w:val="0"/>
          <w:sz w:val="24"/>
        </w:rPr>
      </w:pPr>
      <w:r>
        <w:rPr>
          <w:rFonts w:hint="eastAsia" w:ascii="仿宋" w:hAnsi="仿宋" w:eastAsia="仿宋" w:cs="Arial"/>
          <w:bCs/>
          <w:kern w:val="0"/>
          <w:sz w:val="24"/>
        </w:rPr>
        <w:t>采购文件能够详细列明采购标的的技术、服务要求的，磋商结束后，磋商小组应当要求所有继续参加磋商的供应商在规定时间内提交最终报价，提交最终报价的供应商不得少于3家。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最终报价是供应商响应文件的有效组成部分。</w:t>
      </w:r>
      <w:r>
        <w:rPr>
          <w:rFonts w:hint="eastAsia" w:ascii="仿宋" w:hAnsi="仿宋" w:eastAsia="仿宋" w:cs="Arial"/>
          <w:bCs/>
          <w:kern w:val="0"/>
          <w:sz w:val="24"/>
          <w:u w:val="single"/>
        </w:rPr>
        <w:t>未在规定时间（30分钟）内提交最终报价的，以其前一轮报价为最终报价，经该供应商同意后由代理机构录入系统，如该供应商不接受的，退出磋商。</w:t>
      </w:r>
      <w:r>
        <w:rPr>
          <w:rFonts w:hint="eastAsia" w:ascii="仿宋" w:hAnsi="仿宋" w:eastAsia="仿宋" w:cs="Arial"/>
          <w:bCs/>
          <w:kern w:val="0"/>
          <w:sz w:val="24"/>
        </w:rPr>
        <w:t>最终报价符合市场竞争不充分的科研项目以及需要扶持的科技成果转化项目和政府购买服务项目（含政府和社会资格合作项目）情形的，提交最后报价的供应商可以为2家。</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 综合评分</w:t>
      </w:r>
    </w:p>
    <w:p>
      <w:pPr>
        <w:spacing w:line="360" w:lineRule="auto"/>
        <w:ind w:firstLine="470" w:firstLineChars="196"/>
        <w:rPr>
          <w:rFonts w:ascii="仿宋" w:hAnsi="仿宋" w:eastAsia="仿宋" w:cs="Arial"/>
          <w:bCs/>
          <w:kern w:val="0"/>
          <w:sz w:val="24"/>
        </w:rPr>
      </w:pPr>
      <w:r>
        <w:rPr>
          <w:rFonts w:hint="eastAsia" w:ascii="仿宋" w:hAnsi="仿宋" w:eastAsia="仿宋" w:cs="Arial"/>
          <w:bCs/>
          <w:kern w:val="0"/>
          <w:sz w:val="24"/>
        </w:rPr>
        <w:t>经磋商确定最终采购需求和提交最后报价的供应商后，磋商小组应当按照采购文件中规定的评审标准，对符合性审查合格的响应文件进行综合评分。磋商文件中没有规定的评审标准不得作为评审依据。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3.5汇总商务技术得分</w:t>
      </w:r>
    </w:p>
    <w:p>
      <w:pPr>
        <w:spacing w:line="360" w:lineRule="auto"/>
        <w:ind w:firstLine="470" w:firstLineChars="196"/>
        <w:rPr>
          <w:rFonts w:ascii="仿宋" w:hAnsi="仿宋" w:eastAsia="仿宋" w:cs="Arial"/>
          <w:bCs/>
          <w:kern w:val="0"/>
          <w:sz w:val="24"/>
        </w:rPr>
      </w:pPr>
      <w:r>
        <w:rPr>
          <w:rFonts w:hint="eastAsia" w:ascii="仿宋" w:hAnsi="仿宋" w:eastAsia="仿宋" w:cs="Arial"/>
          <w:bCs/>
          <w:kern w:val="0"/>
          <w:sz w:val="24"/>
        </w:rPr>
        <w:t>磋商小组各成员应当独立对每个供应商的商务和技术文件进行评价，并汇总商务技术得分情况。</w:t>
      </w:r>
    </w:p>
    <w:p>
      <w:pPr>
        <w:spacing w:line="360" w:lineRule="auto"/>
        <w:ind w:firstLine="472" w:firstLineChars="196"/>
        <w:rPr>
          <w:rFonts w:ascii="仿宋" w:hAnsi="仿宋" w:eastAsia="仿宋" w:cs="Arial"/>
          <w:b/>
          <w:kern w:val="0"/>
          <w:sz w:val="24"/>
        </w:rPr>
      </w:pPr>
      <w:r>
        <w:rPr>
          <w:rFonts w:ascii="仿宋" w:hAnsi="仿宋" w:eastAsia="仿宋" w:cs="Arial"/>
          <w:b/>
          <w:kern w:val="0"/>
          <w:sz w:val="24"/>
        </w:rPr>
        <w:t>3.6报价评审。</w:t>
      </w:r>
    </w:p>
    <w:p>
      <w:pPr>
        <w:pStyle w:val="133"/>
        <w:spacing w:before="0"/>
        <w:ind w:firstLine="508" w:firstLineChars="212"/>
        <w:rPr>
          <w:rFonts w:ascii="仿宋_GB2312" w:hAnsi="仿宋" w:eastAsia="仿宋_GB2312" w:cs="Arial"/>
          <w:kern w:val="0"/>
        </w:rPr>
      </w:pPr>
      <w:r>
        <w:rPr>
          <w:rFonts w:ascii="仿宋_GB2312" w:hAnsi="仿宋" w:eastAsia="仿宋_GB2312" w:cs="Arial"/>
          <w:kern w:val="0"/>
        </w:rPr>
        <w:t>3.6.1</w:t>
      </w:r>
      <w:r>
        <w:rPr>
          <w:rFonts w:hint="eastAsia" w:ascii="仿宋_GB2312" w:hAnsi="仿宋" w:eastAsia="仿宋_GB2312" w:cs="Arial"/>
          <w:kern w:val="0"/>
        </w:rPr>
        <w:t xml:space="preserve"> </w:t>
      </w:r>
      <w:r>
        <w:rPr>
          <w:rFonts w:hint="eastAsia" w:ascii="仿宋_GB2312" w:hAnsi="仿宋" w:eastAsia="仿宋_GB2312" w:cs="Arial"/>
          <w:kern w:val="0"/>
          <w:u w:val="single"/>
        </w:rPr>
        <w:t>报价文件开启后，如发现</w:t>
      </w:r>
      <w:r>
        <w:rPr>
          <w:rFonts w:hint="eastAsia" w:ascii="仿宋" w:hAnsi="仿宋" w:eastAsia="仿宋" w:cs="仿宋"/>
          <w:kern w:val="0"/>
          <w:szCs w:val="24"/>
          <w:u w:val="single"/>
        </w:rPr>
        <w:t>政采云系统显示的开标记录内容</w:t>
      </w:r>
      <w:r>
        <w:rPr>
          <w:rFonts w:hint="eastAsia" w:ascii="仿宋_GB2312" w:hAnsi="仿宋" w:eastAsia="仿宋_GB2312" w:cs="Arial"/>
          <w:kern w:val="0"/>
          <w:u w:val="single"/>
        </w:rPr>
        <w:t>与报价文件不一致者，以报价文件为准。由磋商小组根据报价文件内容进行修正。</w:t>
      </w:r>
    </w:p>
    <w:p>
      <w:pPr>
        <w:pStyle w:val="133"/>
        <w:spacing w:before="0"/>
        <w:ind w:firstLine="508" w:firstLineChars="212"/>
        <w:rPr>
          <w:rFonts w:ascii="仿宋" w:hAnsi="仿宋" w:eastAsia="仿宋" w:cs="Arial"/>
          <w:kern w:val="0"/>
        </w:rPr>
      </w:pPr>
      <w:r>
        <w:rPr>
          <w:rFonts w:ascii="仿宋" w:hAnsi="仿宋" w:eastAsia="仿宋" w:cs="Arial"/>
          <w:kern w:val="0"/>
        </w:rPr>
        <w:t>3.6.</w:t>
      </w:r>
      <w:r>
        <w:rPr>
          <w:rFonts w:hint="eastAsia" w:ascii="仿宋" w:hAnsi="仿宋" w:eastAsia="仿宋" w:cs="Arial"/>
          <w:kern w:val="0"/>
        </w:rPr>
        <w:t>2响应文件</w:t>
      </w:r>
      <w:r>
        <w:rPr>
          <w:rFonts w:ascii="仿宋" w:hAnsi="仿宋" w:eastAsia="仿宋" w:cs="Arial"/>
          <w:kern w:val="0"/>
        </w:rPr>
        <w:t>报价出现前后不一致的，按照下列规定</w:t>
      </w:r>
      <w:r>
        <w:rPr>
          <w:rFonts w:hint="eastAsia" w:ascii="仿宋" w:hAnsi="仿宋" w:eastAsia="仿宋" w:cs="Arial"/>
          <w:kern w:val="0"/>
        </w:rPr>
        <w:t>磋商、</w:t>
      </w:r>
      <w:r>
        <w:rPr>
          <w:rFonts w:ascii="仿宋" w:hAnsi="仿宋" w:eastAsia="仿宋" w:cs="Arial"/>
          <w:kern w:val="0"/>
        </w:rPr>
        <w:t>修正：</w:t>
      </w:r>
    </w:p>
    <w:p>
      <w:pPr>
        <w:pStyle w:val="133"/>
        <w:spacing w:before="0"/>
        <w:ind w:firstLine="480"/>
        <w:rPr>
          <w:rFonts w:ascii="仿宋" w:hAnsi="仿宋" w:eastAsia="仿宋" w:cs="仿宋"/>
          <w:kern w:val="0"/>
          <w:szCs w:val="24"/>
        </w:rPr>
      </w:pPr>
      <w:r>
        <w:rPr>
          <w:rFonts w:ascii="仿宋" w:hAnsi="仿宋" w:eastAsia="仿宋" w:cs="仿宋"/>
          <w:kern w:val="0"/>
          <w:szCs w:val="24"/>
        </w:rPr>
        <w:t>3.6.</w:t>
      </w:r>
      <w:r>
        <w:rPr>
          <w:rFonts w:hint="eastAsia" w:ascii="仿宋" w:hAnsi="仿宋" w:eastAsia="仿宋" w:cs="仿宋"/>
          <w:kern w:val="0"/>
          <w:szCs w:val="24"/>
        </w:rPr>
        <w:t>2</w:t>
      </w:r>
      <w:r>
        <w:rPr>
          <w:rFonts w:ascii="仿宋" w:hAnsi="仿宋" w:eastAsia="仿宋" w:cs="仿宋"/>
          <w:kern w:val="0"/>
          <w:szCs w:val="24"/>
        </w:rPr>
        <w:t>.</w:t>
      </w:r>
      <w:r>
        <w:rPr>
          <w:rFonts w:hint="eastAsia" w:ascii="仿宋" w:hAnsi="仿宋" w:eastAsia="仿宋" w:cs="仿宋"/>
          <w:kern w:val="0"/>
          <w:szCs w:val="24"/>
        </w:rPr>
        <w:t>1响应文件</w:t>
      </w:r>
      <w:r>
        <w:rPr>
          <w:rFonts w:ascii="仿宋" w:hAnsi="仿宋" w:eastAsia="仿宋" w:cs="仿宋"/>
          <w:kern w:val="0"/>
          <w:szCs w:val="24"/>
        </w:rPr>
        <w:t>中</w:t>
      </w:r>
      <w:r>
        <w:rPr>
          <w:rFonts w:hint="eastAsia" w:ascii="仿宋" w:hAnsi="仿宋" w:eastAsia="仿宋" w:cs="仿宋"/>
          <w:kern w:val="0"/>
          <w:szCs w:val="24"/>
        </w:rPr>
        <w:t>磋商报价</w:t>
      </w:r>
      <w:r>
        <w:rPr>
          <w:rFonts w:ascii="仿宋" w:hAnsi="仿宋" w:eastAsia="仿宋" w:cs="仿宋"/>
          <w:kern w:val="0"/>
          <w:szCs w:val="24"/>
        </w:rPr>
        <w:t>一览表(报价表)内容与</w:t>
      </w:r>
      <w:r>
        <w:rPr>
          <w:rFonts w:hint="eastAsia" w:ascii="仿宋" w:hAnsi="仿宋" w:eastAsia="仿宋" w:cs="仿宋"/>
          <w:kern w:val="0"/>
          <w:szCs w:val="24"/>
        </w:rPr>
        <w:t>响应文件</w:t>
      </w:r>
      <w:r>
        <w:rPr>
          <w:rFonts w:ascii="仿宋" w:hAnsi="仿宋" w:eastAsia="仿宋" w:cs="仿宋"/>
          <w:kern w:val="0"/>
          <w:szCs w:val="24"/>
        </w:rPr>
        <w:t>中相应内容不一致的，以</w:t>
      </w:r>
      <w:r>
        <w:rPr>
          <w:rFonts w:hint="eastAsia" w:ascii="仿宋" w:hAnsi="仿宋" w:eastAsia="仿宋" w:cs="仿宋"/>
          <w:kern w:val="0"/>
          <w:szCs w:val="24"/>
        </w:rPr>
        <w:t>磋商</w:t>
      </w:r>
      <w:r>
        <w:rPr>
          <w:rFonts w:ascii="仿宋" w:hAnsi="仿宋" w:eastAsia="仿宋" w:cs="仿宋"/>
          <w:kern w:val="0"/>
          <w:szCs w:val="24"/>
        </w:rPr>
        <w:t>一览表(报价表)为准;</w:t>
      </w:r>
      <w:r>
        <w:rPr>
          <w:rFonts w:hint="eastAsia" w:ascii="仿宋" w:hAnsi="仿宋" w:eastAsia="仿宋" w:cs="仿宋"/>
          <w:kern w:val="0"/>
          <w:szCs w:val="24"/>
        </w:rPr>
        <w:t>但磋商报价一览表(报价表)存在明显单位、文字错误的，则澄清、说明、补正；</w:t>
      </w:r>
    </w:p>
    <w:p>
      <w:pPr>
        <w:pStyle w:val="133"/>
        <w:spacing w:before="0"/>
        <w:ind w:firstLine="480"/>
        <w:rPr>
          <w:rFonts w:ascii="仿宋" w:hAnsi="仿宋" w:eastAsia="仿宋" w:cs="仿宋"/>
          <w:kern w:val="0"/>
          <w:szCs w:val="24"/>
        </w:rPr>
      </w:pPr>
      <w:r>
        <w:rPr>
          <w:rFonts w:ascii="仿宋" w:hAnsi="仿宋" w:eastAsia="仿宋" w:cs="仿宋"/>
          <w:kern w:val="0"/>
          <w:szCs w:val="24"/>
        </w:rPr>
        <w:t>3.6.</w:t>
      </w:r>
      <w:r>
        <w:rPr>
          <w:rFonts w:hint="eastAsia" w:ascii="仿宋" w:hAnsi="仿宋" w:eastAsia="仿宋" w:cs="仿宋"/>
          <w:kern w:val="0"/>
          <w:szCs w:val="24"/>
        </w:rPr>
        <w:t>2</w:t>
      </w:r>
      <w:r>
        <w:rPr>
          <w:rFonts w:ascii="仿宋" w:hAnsi="仿宋" w:eastAsia="仿宋" w:cs="仿宋"/>
          <w:kern w:val="0"/>
          <w:szCs w:val="24"/>
        </w:rPr>
        <w:t>.</w:t>
      </w:r>
      <w:r>
        <w:rPr>
          <w:rFonts w:hint="eastAsia" w:ascii="仿宋" w:hAnsi="仿宋" w:eastAsia="仿宋" w:cs="仿宋"/>
          <w:kern w:val="0"/>
          <w:szCs w:val="24"/>
        </w:rPr>
        <w:t>2</w:t>
      </w:r>
      <w:r>
        <w:rPr>
          <w:rFonts w:ascii="仿宋" w:hAnsi="仿宋" w:eastAsia="仿宋" w:cs="仿宋"/>
          <w:kern w:val="0"/>
          <w:szCs w:val="24"/>
        </w:rPr>
        <w:t>大写金额和小写金额不一致的，以大写金额为准;</w:t>
      </w:r>
      <w:r>
        <w:rPr>
          <w:rFonts w:hint="eastAsia" w:ascii="仿宋" w:hAnsi="仿宋" w:eastAsia="仿宋" w:cs="仿宋"/>
          <w:kern w:val="0"/>
          <w:szCs w:val="24"/>
        </w:rPr>
        <w:t>但大写有明显单位、文字错误外的除外;</w:t>
      </w:r>
    </w:p>
    <w:p>
      <w:pPr>
        <w:pStyle w:val="133"/>
        <w:spacing w:before="0"/>
        <w:ind w:firstLine="480"/>
        <w:rPr>
          <w:rFonts w:ascii="仿宋" w:hAnsi="仿宋" w:eastAsia="仿宋" w:cs="仿宋"/>
          <w:kern w:val="0"/>
          <w:szCs w:val="24"/>
        </w:rPr>
      </w:pPr>
      <w:r>
        <w:rPr>
          <w:rFonts w:ascii="仿宋" w:hAnsi="仿宋" w:eastAsia="仿宋" w:cs="仿宋"/>
          <w:kern w:val="0"/>
          <w:szCs w:val="24"/>
        </w:rPr>
        <w:t>3.6.</w:t>
      </w:r>
      <w:r>
        <w:rPr>
          <w:rFonts w:hint="eastAsia" w:ascii="仿宋" w:hAnsi="仿宋" w:eastAsia="仿宋" w:cs="仿宋"/>
          <w:kern w:val="0"/>
          <w:szCs w:val="24"/>
        </w:rPr>
        <w:t>2</w:t>
      </w:r>
      <w:r>
        <w:rPr>
          <w:rFonts w:ascii="仿宋" w:hAnsi="仿宋" w:eastAsia="仿宋" w:cs="仿宋"/>
          <w:kern w:val="0"/>
          <w:szCs w:val="24"/>
        </w:rPr>
        <w:t>.</w:t>
      </w:r>
      <w:r>
        <w:rPr>
          <w:rFonts w:hint="eastAsia" w:ascii="仿宋" w:hAnsi="仿宋" w:eastAsia="仿宋" w:cs="仿宋"/>
          <w:kern w:val="0"/>
          <w:szCs w:val="24"/>
        </w:rPr>
        <w:t>3</w:t>
      </w:r>
      <w:r>
        <w:rPr>
          <w:rFonts w:ascii="仿宋" w:hAnsi="仿宋" w:eastAsia="仿宋" w:cs="仿宋"/>
          <w:kern w:val="0"/>
          <w:szCs w:val="24"/>
        </w:rPr>
        <w:t>单价金额小数点或者百分比有明显错位的，以</w:t>
      </w:r>
      <w:r>
        <w:rPr>
          <w:rFonts w:hint="eastAsia" w:ascii="仿宋" w:hAnsi="仿宋" w:eastAsia="仿宋" w:cs="仿宋"/>
          <w:kern w:val="0"/>
          <w:szCs w:val="24"/>
        </w:rPr>
        <w:t>磋商</w:t>
      </w:r>
      <w:r>
        <w:rPr>
          <w:rFonts w:ascii="仿宋" w:hAnsi="仿宋" w:eastAsia="仿宋" w:cs="仿宋"/>
          <w:kern w:val="0"/>
          <w:szCs w:val="24"/>
        </w:rPr>
        <w:t>一</w:t>
      </w:r>
      <w:r>
        <w:rPr>
          <w:rFonts w:hint="eastAsia" w:ascii="仿宋" w:hAnsi="仿宋" w:eastAsia="仿宋" w:cs="仿宋"/>
          <w:kern w:val="0"/>
          <w:szCs w:val="24"/>
        </w:rPr>
        <w:t>报价</w:t>
      </w:r>
      <w:r>
        <w:rPr>
          <w:rFonts w:ascii="仿宋" w:hAnsi="仿宋" w:eastAsia="仿宋" w:cs="仿宋"/>
          <w:kern w:val="0"/>
          <w:szCs w:val="24"/>
        </w:rPr>
        <w:t>览表的总价为准，并修改单价;</w:t>
      </w:r>
    </w:p>
    <w:p>
      <w:pPr>
        <w:pStyle w:val="133"/>
        <w:spacing w:before="0"/>
        <w:ind w:firstLine="480"/>
        <w:rPr>
          <w:rFonts w:ascii="仿宋" w:hAnsi="仿宋" w:eastAsia="仿宋" w:cs="仿宋"/>
          <w:kern w:val="0"/>
          <w:szCs w:val="24"/>
        </w:rPr>
      </w:pPr>
      <w:r>
        <w:rPr>
          <w:rFonts w:ascii="仿宋" w:hAnsi="仿宋" w:eastAsia="仿宋" w:cs="仿宋"/>
          <w:kern w:val="0"/>
          <w:szCs w:val="24"/>
        </w:rPr>
        <w:t>3.6.</w:t>
      </w:r>
      <w:r>
        <w:rPr>
          <w:rFonts w:hint="eastAsia" w:ascii="仿宋" w:hAnsi="仿宋" w:eastAsia="仿宋" w:cs="仿宋"/>
          <w:kern w:val="0"/>
          <w:szCs w:val="24"/>
        </w:rPr>
        <w:t>2</w:t>
      </w:r>
      <w:r>
        <w:rPr>
          <w:rFonts w:ascii="仿宋" w:hAnsi="仿宋" w:eastAsia="仿宋" w:cs="仿宋"/>
          <w:kern w:val="0"/>
          <w:szCs w:val="24"/>
        </w:rPr>
        <w:t>.</w:t>
      </w:r>
      <w:r>
        <w:rPr>
          <w:rFonts w:hint="eastAsia" w:ascii="仿宋" w:hAnsi="仿宋" w:eastAsia="仿宋" w:cs="仿宋"/>
          <w:kern w:val="0"/>
          <w:szCs w:val="24"/>
        </w:rPr>
        <w:t>4</w:t>
      </w:r>
      <w:r>
        <w:rPr>
          <w:rFonts w:ascii="仿宋" w:hAnsi="仿宋" w:eastAsia="仿宋" w:cs="仿宋"/>
          <w:kern w:val="0"/>
          <w:szCs w:val="24"/>
        </w:rPr>
        <w:t>总价金额与按单价汇总金额不一致的，以单价金额计算结果为准。</w:t>
      </w:r>
    </w:p>
    <w:p>
      <w:pPr>
        <w:pStyle w:val="133"/>
        <w:spacing w:before="0"/>
        <w:ind w:firstLine="480"/>
        <w:rPr>
          <w:rFonts w:ascii="仿宋" w:hAnsi="仿宋" w:eastAsia="仿宋" w:cs="仿宋"/>
          <w:kern w:val="0"/>
          <w:szCs w:val="24"/>
        </w:rPr>
      </w:pPr>
      <w:r>
        <w:rPr>
          <w:rFonts w:ascii="仿宋" w:hAnsi="仿宋" w:eastAsia="仿宋" w:cs="仿宋"/>
          <w:kern w:val="0"/>
          <w:szCs w:val="24"/>
        </w:rPr>
        <w:t>3.6.</w:t>
      </w:r>
      <w:r>
        <w:rPr>
          <w:rFonts w:hint="eastAsia" w:ascii="仿宋" w:hAnsi="仿宋" w:eastAsia="仿宋" w:cs="仿宋"/>
          <w:kern w:val="0"/>
          <w:szCs w:val="24"/>
        </w:rPr>
        <w:t>2</w:t>
      </w:r>
      <w:r>
        <w:rPr>
          <w:rFonts w:ascii="仿宋" w:hAnsi="仿宋" w:eastAsia="仿宋" w:cs="仿宋"/>
          <w:kern w:val="0"/>
          <w:szCs w:val="24"/>
        </w:rPr>
        <w:t>.</w:t>
      </w:r>
      <w:r>
        <w:rPr>
          <w:rFonts w:hint="eastAsia" w:ascii="仿宋" w:hAnsi="仿宋" w:eastAsia="仿宋" w:cs="仿宋"/>
          <w:kern w:val="0"/>
          <w:szCs w:val="24"/>
        </w:rPr>
        <w:t>5</w:t>
      </w:r>
      <w:r>
        <w:rPr>
          <w:rFonts w:ascii="仿宋" w:hAnsi="仿宋" w:eastAsia="仿宋" w:cs="仿宋"/>
          <w:kern w:val="0"/>
          <w:szCs w:val="24"/>
        </w:rPr>
        <w:t>同时出现两种以上不一致的，按照3.4.1</w:t>
      </w:r>
      <w:r>
        <w:rPr>
          <w:rFonts w:hint="eastAsia" w:ascii="仿宋" w:hAnsi="仿宋" w:eastAsia="仿宋" w:cs="仿宋"/>
          <w:kern w:val="0"/>
          <w:szCs w:val="24"/>
        </w:rPr>
        <w:t>规定的顺序修正。修正后的报价经供应商确认后产生约束力。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3.6.</w:t>
      </w:r>
      <w:r>
        <w:rPr>
          <w:rFonts w:hint="eastAsia" w:ascii="仿宋" w:hAnsi="仿宋" w:eastAsia="仿宋" w:cs="仿宋"/>
          <w:kern w:val="0"/>
          <w:sz w:val="24"/>
        </w:rPr>
        <w:t>3响应文件出现不是唯一的、有选择性响应报价的，响应无效。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3.6.</w:t>
      </w:r>
      <w:r>
        <w:rPr>
          <w:rFonts w:hint="eastAsia" w:ascii="仿宋" w:hAnsi="仿宋" w:eastAsia="仿宋" w:cs="仿宋"/>
          <w:kern w:val="0"/>
          <w:sz w:val="24"/>
        </w:rPr>
        <w:t>4响应报价超过采购文件中规定的预算金额或者最高限价的，响应无效。</w:t>
      </w:r>
    </w:p>
    <w:p>
      <w:pPr>
        <w:pStyle w:val="133"/>
        <w:spacing w:before="0"/>
        <w:ind w:firstLine="480"/>
        <w:rPr>
          <w:rFonts w:ascii="仿宋" w:hAnsi="仿宋" w:eastAsia="仿宋" w:cs="仿宋"/>
          <w:kern w:val="0"/>
          <w:szCs w:val="24"/>
        </w:rPr>
      </w:pPr>
      <w:r>
        <w:rPr>
          <w:rFonts w:ascii="仿宋" w:hAnsi="仿宋" w:eastAsia="仿宋" w:cs="仿宋"/>
          <w:kern w:val="0"/>
          <w:szCs w:val="24"/>
        </w:rPr>
        <w:t>3.6.</w:t>
      </w:r>
      <w:r>
        <w:rPr>
          <w:rFonts w:hint="eastAsia" w:ascii="仿宋" w:hAnsi="仿宋" w:eastAsia="仿宋" w:cs="仿宋"/>
          <w:kern w:val="0"/>
          <w:szCs w:val="24"/>
        </w:rPr>
        <w:t>5磋商小组认为供应商的最终报价明显低于其他通过符合性审查供应商的报价，有可能影响产品质量或者不能诚信履约的，应当要求其在合理的时间内提供书面说明，必要时提交相关证明材料</w:t>
      </w:r>
      <w:r>
        <w:rPr>
          <w:rFonts w:ascii="仿宋" w:hAnsi="仿宋" w:eastAsia="仿宋" w:cs="仿宋"/>
          <w:kern w:val="0"/>
          <w:szCs w:val="24"/>
        </w:rPr>
        <w:t>;</w:t>
      </w:r>
      <w:r>
        <w:rPr>
          <w:rFonts w:hint="eastAsia" w:ascii="仿宋" w:hAnsi="仿宋" w:eastAsia="仿宋" w:cs="仿宋"/>
          <w:kern w:val="0"/>
          <w:szCs w:val="24"/>
        </w:rPr>
        <w:t>供应商</w:t>
      </w:r>
      <w:r>
        <w:rPr>
          <w:rFonts w:ascii="仿宋" w:hAnsi="仿宋" w:eastAsia="仿宋" w:cs="仿宋"/>
          <w:kern w:val="0"/>
          <w:szCs w:val="24"/>
        </w:rPr>
        <w:t>不能证明其报价合理性的，</w:t>
      </w:r>
      <w:r>
        <w:rPr>
          <w:rFonts w:hint="eastAsia" w:ascii="仿宋" w:hAnsi="仿宋" w:eastAsia="仿宋" w:cs="仿宋"/>
          <w:kern w:val="0"/>
          <w:szCs w:val="24"/>
        </w:rPr>
        <w:t>磋商小组</w:t>
      </w:r>
      <w:r>
        <w:rPr>
          <w:rFonts w:ascii="仿宋" w:hAnsi="仿宋" w:eastAsia="仿宋" w:cs="仿宋"/>
          <w:kern w:val="0"/>
          <w:szCs w:val="24"/>
        </w:rPr>
        <w:t>应当将其作为无效</w:t>
      </w:r>
      <w:r>
        <w:rPr>
          <w:rFonts w:hint="eastAsia" w:ascii="仿宋" w:hAnsi="仿宋" w:eastAsia="仿宋" w:cs="仿宋"/>
          <w:kern w:val="0"/>
          <w:szCs w:val="24"/>
        </w:rPr>
        <w:t>响应</w:t>
      </w:r>
      <w:r>
        <w:rPr>
          <w:rFonts w:ascii="仿宋" w:hAnsi="仿宋" w:eastAsia="仿宋" w:cs="仿宋"/>
          <w:kern w:val="0"/>
          <w:szCs w:val="24"/>
        </w:rPr>
        <w:t>处理。</w:t>
      </w:r>
    </w:p>
    <w:p>
      <w:pPr>
        <w:pStyle w:val="133"/>
        <w:spacing w:before="0"/>
        <w:ind w:firstLine="480"/>
        <w:rPr>
          <w:rFonts w:ascii="仿宋" w:hAnsi="仿宋" w:eastAsia="仿宋" w:cs="仿宋"/>
          <w:kern w:val="0"/>
          <w:szCs w:val="24"/>
        </w:rPr>
      </w:pPr>
      <w:r>
        <w:rPr>
          <w:rFonts w:ascii="仿宋" w:hAnsi="仿宋" w:eastAsia="仿宋" w:cs="仿宋"/>
          <w:kern w:val="0"/>
          <w:szCs w:val="24"/>
        </w:rPr>
        <w:sym w:font="Wingdings" w:char="00A8"/>
      </w:r>
      <w:r>
        <w:rPr>
          <w:rFonts w:ascii="仿宋" w:hAnsi="仿宋" w:eastAsia="仿宋" w:cs="仿宋"/>
          <w:kern w:val="0"/>
          <w:szCs w:val="24"/>
        </w:rPr>
        <w:t>3.6.</w:t>
      </w:r>
      <w:r>
        <w:rPr>
          <w:rFonts w:hint="eastAsia" w:ascii="仿宋" w:hAnsi="仿宋" w:eastAsia="仿宋" w:cs="仿宋"/>
          <w:kern w:val="0"/>
          <w:szCs w:val="24"/>
        </w:rPr>
        <w:t>6对于未预留份额专门面向中小企业的货物或服务项目，以及预留份额采购货物或服务项目中的非预留部分标项，对小型和微型企业的响应报价给予20%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仿宋"/>
          <w:sz w:val="24"/>
          <w:highlight w:val="yellow"/>
        </w:rPr>
      </w:pPr>
      <w:r>
        <w:rPr>
          <w:rFonts w:ascii="仿宋" w:hAnsi="仿宋" w:eastAsia="仿宋" w:cs="Arial"/>
          <w:b/>
          <w:kern w:val="0"/>
          <w:sz w:val="24"/>
        </w:rPr>
        <w:t>3.7</w:t>
      </w:r>
      <w:r>
        <w:rPr>
          <w:rFonts w:hint="eastAsia" w:ascii="仿宋" w:hAnsi="仿宋" w:eastAsia="仿宋" w:cs="Arial"/>
          <w:b/>
          <w:kern w:val="0"/>
          <w:sz w:val="24"/>
        </w:rPr>
        <w:t>排序与推荐。</w:t>
      </w:r>
      <w:r>
        <w:rPr>
          <w:rFonts w:ascii="仿宋" w:hAnsi="仿宋" w:eastAsia="仿宋" w:cs="Arial"/>
          <w:kern w:val="0"/>
          <w:sz w:val="24"/>
        </w:rPr>
        <w:t>采用综合评分法的，</w:t>
      </w:r>
      <w:r>
        <w:rPr>
          <w:rFonts w:hint="eastAsia" w:ascii="仿宋" w:hAnsi="仿宋" w:eastAsia="仿宋" w:cs="Arial"/>
          <w:kern w:val="0"/>
          <w:sz w:val="24"/>
        </w:rPr>
        <w:t>磋商评审</w:t>
      </w:r>
      <w:r>
        <w:rPr>
          <w:rFonts w:ascii="仿宋" w:hAnsi="仿宋" w:eastAsia="仿宋" w:cs="Arial"/>
          <w:kern w:val="0"/>
          <w:sz w:val="24"/>
        </w:rPr>
        <w:t>结果按评审后得分由高到低顺序排列。</w:t>
      </w:r>
      <w:r>
        <w:rPr>
          <w:rFonts w:hint="eastAsia" w:ascii="仿宋" w:hAnsi="仿宋" w:eastAsia="仿宋" w:cs="Arial"/>
          <w:kern w:val="0"/>
          <w:sz w:val="24"/>
        </w:rPr>
        <w:t>综合评分得分相同的，按照最后报价由低到高的顺序推荐。综合评分得分且最后报价相同的，按照技术指标优劣顺序推荐。报价和技术指标均相同的，采取随机抽取的方式确定。</w:t>
      </w:r>
    </w:p>
    <w:p>
      <w:pPr>
        <w:spacing w:line="360" w:lineRule="auto"/>
        <w:ind w:firstLine="480" w:firstLineChars="200"/>
        <w:rPr>
          <w:rFonts w:ascii="仿宋" w:hAnsi="仿宋" w:eastAsia="仿宋" w:cs="Arial"/>
          <w:b/>
          <w:bCs/>
          <w:kern w:val="0"/>
          <w:sz w:val="24"/>
        </w:rPr>
      </w:pPr>
      <w:r>
        <w:rPr>
          <w:rFonts w:hint="eastAsia" w:ascii="仿宋" w:hAnsi="仿宋" w:eastAsia="仿宋" w:cs="Arial"/>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r>
        <w:rPr>
          <w:rFonts w:hint="eastAsia" w:ascii="仿宋" w:hAnsi="仿宋" w:eastAsia="仿宋" w:cs="Arial"/>
          <w:b/>
          <w:bCs/>
          <w:kern w:val="0"/>
          <w:sz w:val="24"/>
        </w:rPr>
        <w:t>（服务项目不适用）</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3.8编写</w:t>
      </w:r>
      <w:r>
        <w:rPr>
          <w:rFonts w:hint="eastAsia" w:ascii="仿宋" w:hAnsi="仿宋" w:eastAsia="仿宋" w:cs="Arial"/>
          <w:b/>
          <w:kern w:val="0"/>
          <w:sz w:val="24"/>
        </w:rPr>
        <w:t>磋商评审</w:t>
      </w:r>
      <w:r>
        <w:rPr>
          <w:rFonts w:ascii="仿宋" w:hAnsi="仿宋" w:eastAsia="仿宋" w:cs="Arial"/>
          <w:b/>
          <w:kern w:val="0"/>
          <w:sz w:val="24"/>
        </w:rPr>
        <w:t>报告。</w:t>
      </w:r>
      <w:r>
        <w:rPr>
          <w:rFonts w:hint="eastAsia" w:ascii="仿宋" w:hAnsi="仿宋" w:eastAsia="仿宋" w:cs="Arial"/>
          <w:kern w:val="0"/>
          <w:sz w:val="24"/>
        </w:rPr>
        <w:t>磋商小组</w:t>
      </w:r>
      <w:r>
        <w:rPr>
          <w:rFonts w:ascii="仿宋" w:hAnsi="仿宋" w:eastAsia="仿宋" w:cs="Arial"/>
          <w:kern w:val="0"/>
          <w:sz w:val="24"/>
        </w:rPr>
        <w:t>根据全体</w:t>
      </w:r>
      <w:r>
        <w:rPr>
          <w:rFonts w:hint="eastAsia" w:ascii="仿宋" w:hAnsi="仿宋" w:eastAsia="仿宋" w:cs="Arial"/>
          <w:kern w:val="0"/>
          <w:sz w:val="24"/>
        </w:rPr>
        <w:t>磋商评审</w:t>
      </w:r>
      <w:r>
        <w:rPr>
          <w:rFonts w:ascii="仿宋" w:hAnsi="仿宋" w:eastAsia="仿宋" w:cs="Arial"/>
          <w:kern w:val="0"/>
          <w:sz w:val="24"/>
        </w:rPr>
        <w:t>成员签字的原始</w:t>
      </w:r>
      <w:r>
        <w:rPr>
          <w:rFonts w:hint="eastAsia" w:ascii="仿宋" w:hAnsi="仿宋" w:eastAsia="仿宋" w:cs="Arial"/>
          <w:kern w:val="0"/>
          <w:sz w:val="24"/>
        </w:rPr>
        <w:t>磋商评审</w:t>
      </w:r>
      <w:r>
        <w:rPr>
          <w:rFonts w:ascii="仿宋" w:hAnsi="仿宋" w:eastAsia="仿宋" w:cs="Arial"/>
          <w:kern w:val="0"/>
          <w:sz w:val="24"/>
        </w:rPr>
        <w:t>记录和</w:t>
      </w:r>
      <w:r>
        <w:rPr>
          <w:rFonts w:hint="eastAsia" w:ascii="仿宋" w:hAnsi="仿宋" w:eastAsia="仿宋" w:cs="Arial"/>
          <w:kern w:val="0"/>
          <w:sz w:val="24"/>
        </w:rPr>
        <w:t>磋商评审</w:t>
      </w:r>
      <w:r>
        <w:rPr>
          <w:rFonts w:ascii="仿宋" w:hAnsi="仿宋" w:eastAsia="仿宋" w:cs="Arial"/>
          <w:kern w:val="0"/>
          <w:sz w:val="24"/>
        </w:rPr>
        <w:t>结果编写</w:t>
      </w:r>
      <w:r>
        <w:rPr>
          <w:rFonts w:hint="eastAsia" w:ascii="仿宋" w:hAnsi="仿宋" w:eastAsia="仿宋" w:cs="Arial"/>
          <w:kern w:val="0"/>
          <w:sz w:val="24"/>
        </w:rPr>
        <w:t>磋商评审</w:t>
      </w:r>
      <w:r>
        <w:rPr>
          <w:rFonts w:ascii="仿宋" w:hAnsi="仿宋" w:eastAsia="仿宋" w:cs="Arial"/>
          <w:kern w:val="0"/>
          <w:sz w:val="24"/>
        </w:rPr>
        <w:t>报告。</w:t>
      </w:r>
      <w:r>
        <w:rPr>
          <w:rFonts w:hint="eastAsia" w:ascii="仿宋" w:hAnsi="仿宋" w:eastAsia="仿宋" w:cs="Arial"/>
          <w:kern w:val="0"/>
          <w:sz w:val="24"/>
        </w:rPr>
        <w:t>磋商小组成员对需要共同认定的事项存在争议的，应当按照少数服从多数的原则作出结论。持不同意见的磋商小组成员应当在磋商评审报告上签署不同意见及理由，否则视为同意磋商评审报告。</w:t>
      </w:r>
    </w:p>
    <w:p>
      <w:pPr>
        <w:widowControl/>
        <w:shd w:val="clear" w:color="auto" w:fill="FFFFFF"/>
        <w:adjustRightInd/>
        <w:spacing w:after="225" w:line="315" w:lineRule="atLeast"/>
        <w:jc w:val="left"/>
        <w:rPr>
          <w:rFonts w:ascii="仿宋" w:hAnsi="仿宋" w:eastAsia="仿宋" w:cs="仿宋_GB2312"/>
          <w:b/>
          <w:sz w:val="32"/>
        </w:rPr>
      </w:pPr>
      <w:r>
        <w:rPr>
          <w:rFonts w:hint="eastAsia" w:ascii="仿宋" w:hAnsi="仿宋" w:eastAsia="仿宋" w:cs="仿宋_GB2312"/>
          <w:b/>
          <w:sz w:val="32"/>
        </w:rPr>
        <w:t>4、磋商评审中的其他事项</w:t>
      </w:r>
    </w:p>
    <w:p>
      <w:pPr>
        <w:pStyle w:val="133"/>
        <w:spacing w:before="0"/>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供应商澄清、说明或者补正。</w:t>
      </w:r>
      <w:r>
        <w:rPr>
          <w:rFonts w:hint="eastAsia" w:ascii="仿宋" w:hAnsi="仿宋" w:eastAsia="仿宋" w:cs="Arial"/>
          <w:kern w:val="0"/>
          <w:szCs w:val="24"/>
        </w:rPr>
        <w:t>对于响应文件中含义不明确、同类问题表述不一致或者有明显文字和计算错误的内容需要供应商作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ascii="仿宋" w:hAnsi="仿宋" w:eastAsia="仿宋" w:cs="仿宋_GB2312"/>
          <w:szCs w:val="21"/>
        </w:rPr>
      </w:pPr>
      <w:r>
        <w:rPr>
          <w:rFonts w:ascii="仿宋" w:hAnsi="仿宋" w:eastAsia="仿宋" w:cs="Arial"/>
          <w:b/>
          <w:kern w:val="0"/>
        </w:rPr>
        <w:t>4.2</w:t>
      </w:r>
      <w:r>
        <w:rPr>
          <w:rFonts w:hint="eastAsia" w:ascii="仿宋" w:hAnsi="仿宋" w:eastAsia="仿宋" w:cs="Arial"/>
          <w:b/>
          <w:kern w:val="0"/>
        </w:rPr>
        <w:t>响应</w:t>
      </w:r>
      <w:r>
        <w:rPr>
          <w:rFonts w:ascii="仿宋" w:hAnsi="仿宋" w:eastAsia="仿宋" w:cs="Arial"/>
          <w:b/>
          <w:kern w:val="0"/>
        </w:rPr>
        <w:t>无效。</w:t>
      </w:r>
      <w:r>
        <w:rPr>
          <w:rFonts w:hint="eastAsia" w:ascii="仿宋" w:hAnsi="仿宋" w:eastAsia="仿宋" w:cs="仿宋_GB2312"/>
          <w:szCs w:val="21"/>
        </w:rPr>
        <w:t>有下列情况之一的，响应无效：</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供应商</w:t>
      </w:r>
      <w:r>
        <w:rPr>
          <w:rFonts w:ascii="仿宋" w:hAnsi="仿宋" w:eastAsia="仿宋" w:cs="Arial"/>
          <w:kern w:val="0"/>
          <w:sz w:val="24"/>
        </w:rPr>
        <w:t>不具备</w:t>
      </w:r>
      <w:r>
        <w:rPr>
          <w:rFonts w:hint="eastAsia" w:ascii="仿宋" w:hAnsi="仿宋" w:eastAsia="仿宋" w:cs="Arial"/>
          <w:kern w:val="0"/>
          <w:sz w:val="24"/>
        </w:rPr>
        <w:t>采购文件</w:t>
      </w:r>
      <w:r>
        <w:rPr>
          <w:rFonts w:ascii="仿宋" w:hAnsi="仿宋" w:eastAsia="仿宋" w:cs="Arial"/>
          <w:kern w:val="0"/>
          <w:sz w:val="24"/>
        </w:rPr>
        <w:t>中规定的资格要求的（</w:t>
      </w:r>
      <w:r>
        <w:rPr>
          <w:rFonts w:hint="eastAsia" w:ascii="仿宋" w:hAnsi="仿宋" w:eastAsia="仿宋" w:cs="Arial"/>
          <w:kern w:val="0"/>
          <w:sz w:val="24"/>
        </w:rPr>
        <w:t>供应商</w:t>
      </w:r>
      <w:r>
        <w:rPr>
          <w:rFonts w:ascii="仿宋" w:hAnsi="仿宋" w:eastAsia="仿宋" w:cs="Arial"/>
          <w:kern w:val="0"/>
          <w:sz w:val="24"/>
        </w:rPr>
        <w:t>未提供有效的资格文件的，视为</w:t>
      </w:r>
      <w:r>
        <w:rPr>
          <w:rFonts w:hint="eastAsia" w:ascii="仿宋" w:hAnsi="仿宋" w:eastAsia="仿宋" w:cs="Arial"/>
          <w:kern w:val="0"/>
          <w:sz w:val="24"/>
        </w:rPr>
        <w:t>供应商</w:t>
      </w:r>
      <w:r>
        <w:rPr>
          <w:rFonts w:ascii="仿宋" w:hAnsi="仿宋" w:eastAsia="仿宋" w:cs="Arial"/>
          <w:kern w:val="0"/>
          <w:sz w:val="24"/>
        </w:rPr>
        <w:t>不具备</w:t>
      </w:r>
      <w:r>
        <w:rPr>
          <w:rFonts w:hint="eastAsia" w:ascii="仿宋" w:hAnsi="仿宋" w:eastAsia="仿宋" w:cs="Arial"/>
          <w:kern w:val="0"/>
          <w:sz w:val="24"/>
        </w:rPr>
        <w:t>采购文件</w:t>
      </w:r>
      <w:r>
        <w:rPr>
          <w:rFonts w:ascii="仿宋" w:hAnsi="仿宋" w:eastAsia="仿宋" w:cs="Arial"/>
          <w:kern w:val="0"/>
          <w:sz w:val="24"/>
        </w:rPr>
        <w:t>中规定的资格要求）；</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4.2.2</w:t>
      </w:r>
      <w:r>
        <w:rPr>
          <w:rFonts w:hint="eastAsia" w:ascii="仿宋" w:hAnsi="仿宋" w:eastAsia="仿宋" w:cs="Arial"/>
          <w:kern w:val="0"/>
          <w:sz w:val="24"/>
        </w:rPr>
        <w:t>响应文件</w:t>
      </w:r>
      <w:r>
        <w:rPr>
          <w:rFonts w:ascii="仿宋" w:hAnsi="仿宋" w:eastAsia="仿宋" w:cs="Arial"/>
          <w:kern w:val="0"/>
          <w:sz w:val="24"/>
        </w:rPr>
        <w:t>未按照</w:t>
      </w:r>
      <w:r>
        <w:rPr>
          <w:rFonts w:hint="eastAsia" w:ascii="仿宋" w:hAnsi="仿宋" w:eastAsia="仿宋" w:cs="Arial"/>
          <w:kern w:val="0"/>
          <w:sz w:val="24"/>
        </w:rPr>
        <w:t>采购文件</w:t>
      </w:r>
      <w:r>
        <w:rPr>
          <w:rFonts w:ascii="仿宋" w:hAnsi="仿宋" w:eastAsia="仿宋" w:cs="Arial"/>
          <w:kern w:val="0"/>
          <w:sz w:val="24"/>
        </w:rPr>
        <w:t>要求签署、盖章的；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4.2.3采购人拟采购的产品属于政府强制采购的节能产品品目清单范围的，</w:t>
      </w:r>
      <w:r>
        <w:rPr>
          <w:rFonts w:hint="eastAsia" w:ascii="仿宋" w:hAnsi="仿宋" w:eastAsia="仿宋" w:cs="Arial"/>
          <w:kern w:val="0"/>
          <w:sz w:val="24"/>
        </w:rPr>
        <w:t>供应商</w:t>
      </w:r>
      <w:r>
        <w:rPr>
          <w:rFonts w:ascii="仿宋" w:hAnsi="仿宋" w:eastAsia="仿宋" w:cs="Arial"/>
          <w:kern w:val="0"/>
          <w:sz w:val="24"/>
        </w:rPr>
        <w:t>未按</w:t>
      </w:r>
      <w:r>
        <w:rPr>
          <w:rFonts w:hint="eastAsia" w:ascii="仿宋" w:hAnsi="仿宋" w:eastAsia="仿宋" w:cs="Arial"/>
          <w:kern w:val="0"/>
          <w:sz w:val="24"/>
        </w:rPr>
        <w:t>采购文件</w:t>
      </w:r>
      <w:r>
        <w:rPr>
          <w:rFonts w:ascii="仿宋" w:hAnsi="仿宋" w:eastAsia="仿宋" w:cs="Arial"/>
          <w:kern w:val="0"/>
          <w:sz w:val="24"/>
        </w:rPr>
        <w:t>要求提供国家确定的认证机构出具的、处于有效期之内的节能产品认证证书</w:t>
      </w:r>
      <w:r>
        <w:rPr>
          <w:rFonts w:hint="eastAsia" w:ascii="仿宋" w:hAnsi="仿宋" w:eastAsia="仿宋" w:cs="Arial"/>
          <w:kern w:val="0"/>
          <w:sz w:val="24"/>
        </w:rPr>
        <w:t>的；</w:t>
      </w:r>
      <w:r>
        <w:rPr>
          <w:rFonts w:hint="eastAsia" w:ascii="仿宋" w:hAnsi="仿宋" w:eastAsia="仿宋" w:cs="Arial"/>
          <w:b/>
          <w:bCs/>
          <w:kern w:val="0"/>
          <w:sz w:val="24"/>
        </w:rPr>
        <w:t>（服务项目不适用）</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4.2.4</w:t>
      </w:r>
      <w:r>
        <w:rPr>
          <w:rFonts w:hint="eastAsia" w:ascii="仿宋" w:hAnsi="仿宋" w:eastAsia="仿宋" w:cs="Arial"/>
          <w:kern w:val="0"/>
          <w:sz w:val="24"/>
        </w:rPr>
        <w:t>响应文件</w:t>
      </w:r>
      <w:r>
        <w:rPr>
          <w:rFonts w:ascii="仿宋" w:hAnsi="仿宋" w:eastAsia="仿宋" w:cs="Arial"/>
          <w:kern w:val="0"/>
          <w:sz w:val="24"/>
        </w:rPr>
        <w:t>含有采购人不能接受的附加条件的；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4.2.5</w:t>
      </w:r>
      <w:r>
        <w:rPr>
          <w:rFonts w:hint="eastAsia" w:ascii="仿宋" w:hAnsi="仿宋" w:eastAsia="仿宋" w:cs="Arial"/>
          <w:kern w:val="0"/>
          <w:sz w:val="24"/>
        </w:rPr>
        <w:t>响应文件</w:t>
      </w:r>
      <w:r>
        <w:rPr>
          <w:rFonts w:ascii="仿宋" w:hAnsi="仿宋" w:eastAsia="仿宋" w:cs="Arial"/>
          <w:kern w:val="0"/>
          <w:sz w:val="24"/>
        </w:rPr>
        <w:t>中承诺的</w:t>
      </w:r>
      <w:r>
        <w:rPr>
          <w:rFonts w:hint="eastAsia" w:ascii="仿宋" w:hAnsi="仿宋" w:eastAsia="仿宋" w:cs="Arial"/>
          <w:kern w:val="0"/>
          <w:sz w:val="24"/>
        </w:rPr>
        <w:t>响应</w:t>
      </w:r>
      <w:r>
        <w:rPr>
          <w:rFonts w:ascii="仿宋" w:hAnsi="仿宋" w:eastAsia="仿宋" w:cs="Arial"/>
          <w:kern w:val="0"/>
          <w:sz w:val="24"/>
        </w:rPr>
        <w:t>有效期少于</w:t>
      </w:r>
      <w:r>
        <w:rPr>
          <w:rFonts w:hint="eastAsia" w:ascii="仿宋" w:hAnsi="仿宋" w:eastAsia="仿宋" w:cs="Arial"/>
          <w:kern w:val="0"/>
          <w:sz w:val="24"/>
        </w:rPr>
        <w:t>采购文件</w:t>
      </w:r>
      <w:r>
        <w:rPr>
          <w:rFonts w:ascii="仿宋" w:hAnsi="仿宋" w:eastAsia="仿宋" w:cs="Arial"/>
          <w:kern w:val="0"/>
          <w:sz w:val="24"/>
        </w:rPr>
        <w:t>中载明的</w:t>
      </w:r>
      <w:r>
        <w:rPr>
          <w:rFonts w:hint="eastAsia" w:ascii="仿宋" w:hAnsi="仿宋" w:eastAsia="仿宋" w:cs="Arial"/>
          <w:kern w:val="0"/>
          <w:sz w:val="24"/>
        </w:rPr>
        <w:t>响应</w:t>
      </w:r>
      <w:r>
        <w:rPr>
          <w:rFonts w:ascii="仿宋" w:hAnsi="仿宋" w:eastAsia="仿宋" w:cs="Arial"/>
          <w:kern w:val="0"/>
          <w:sz w:val="24"/>
        </w:rPr>
        <w:t>有效期的；</w:t>
      </w:r>
    </w:p>
    <w:p>
      <w:pPr>
        <w:snapToGrid w:val="0"/>
        <w:spacing w:line="360" w:lineRule="auto"/>
        <w:ind w:firstLine="480" w:firstLineChars="200"/>
        <w:jc w:val="left"/>
        <w:rPr>
          <w:rFonts w:ascii="仿宋" w:hAnsi="仿宋" w:eastAsia="仿宋" w:cs="Arial"/>
          <w:kern w:val="0"/>
          <w:sz w:val="24"/>
        </w:rPr>
      </w:pPr>
      <w:r>
        <w:rPr>
          <w:rFonts w:ascii="仿宋" w:hAnsi="仿宋" w:eastAsia="仿宋" w:cs="Arial"/>
          <w:kern w:val="0"/>
          <w:sz w:val="24"/>
        </w:rPr>
        <w:t>4.2.6</w:t>
      </w:r>
      <w:r>
        <w:rPr>
          <w:rFonts w:hint="eastAsia" w:ascii="仿宋" w:hAnsi="仿宋" w:eastAsia="仿宋" w:cs="Arial"/>
          <w:kern w:val="0"/>
          <w:sz w:val="24"/>
        </w:rPr>
        <w:t>响应文件</w:t>
      </w:r>
      <w:r>
        <w:rPr>
          <w:rFonts w:ascii="仿宋" w:hAnsi="仿宋" w:eastAsia="仿宋" w:cs="Arial"/>
          <w:kern w:val="0"/>
          <w:sz w:val="24"/>
        </w:rPr>
        <w:t>出现不是唯一的、有选择性</w:t>
      </w:r>
      <w:r>
        <w:rPr>
          <w:rFonts w:hint="eastAsia" w:ascii="仿宋" w:hAnsi="仿宋" w:eastAsia="仿宋" w:cs="Arial"/>
          <w:kern w:val="0"/>
          <w:sz w:val="24"/>
        </w:rPr>
        <w:t>最后</w:t>
      </w:r>
      <w:r>
        <w:rPr>
          <w:rFonts w:ascii="仿宋" w:hAnsi="仿宋" w:eastAsia="仿宋" w:cs="Arial"/>
          <w:kern w:val="0"/>
          <w:sz w:val="24"/>
        </w:rPr>
        <w:t>报价的;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4.2.7</w:t>
      </w:r>
      <w:r>
        <w:rPr>
          <w:rFonts w:hint="eastAsia" w:ascii="仿宋" w:hAnsi="仿宋" w:eastAsia="仿宋" w:cs="Arial"/>
          <w:kern w:val="0"/>
          <w:sz w:val="24"/>
        </w:rPr>
        <w:t>响应</w:t>
      </w:r>
      <w:r>
        <w:rPr>
          <w:rFonts w:ascii="仿宋" w:hAnsi="仿宋" w:eastAsia="仿宋" w:cs="Arial"/>
          <w:kern w:val="0"/>
          <w:sz w:val="24"/>
        </w:rPr>
        <w:t>报价超过</w:t>
      </w:r>
      <w:r>
        <w:rPr>
          <w:rFonts w:hint="eastAsia" w:ascii="仿宋" w:hAnsi="仿宋" w:eastAsia="仿宋" w:cs="Arial"/>
          <w:kern w:val="0"/>
          <w:sz w:val="24"/>
        </w:rPr>
        <w:t>采购文件</w:t>
      </w:r>
      <w:r>
        <w:rPr>
          <w:rFonts w:ascii="仿宋" w:hAnsi="仿宋" w:eastAsia="仿宋" w:cs="Arial"/>
          <w:kern w:val="0"/>
          <w:sz w:val="24"/>
        </w:rPr>
        <w:t>中规定的预算金额或者最高限价的;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4.2.8报价明显低于其他通过符合性审查</w:t>
      </w:r>
      <w:r>
        <w:rPr>
          <w:rFonts w:hint="eastAsia" w:ascii="仿宋" w:hAnsi="仿宋" w:eastAsia="仿宋" w:cs="Arial"/>
          <w:kern w:val="0"/>
          <w:sz w:val="24"/>
        </w:rPr>
        <w:t>供应商</w:t>
      </w:r>
      <w:r>
        <w:rPr>
          <w:rFonts w:ascii="仿宋" w:hAnsi="仿宋" w:eastAsia="仿宋" w:cs="Arial"/>
          <w:kern w:val="0"/>
          <w:sz w:val="24"/>
        </w:rPr>
        <w:t>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4.2.9</w:t>
      </w:r>
      <w:r>
        <w:rPr>
          <w:rFonts w:hint="eastAsia" w:ascii="仿宋" w:hAnsi="仿宋" w:eastAsia="仿宋" w:cs="Arial"/>
          <w:kern w:val="0"/>
          <w:sz w:val="24"/>
        </w:rPr>
        <w:t>供应商</w:t>
      </w:r>
      <w:r>
        <w:rPr>
          <w:rFonts w:ascii="仿宋" w:hAnsi="仿宋" w:eastAsia="仿宋" w:cs="Arial"/>
          <w:kern w:val="0"/>
          <w:sz w:val="24"/>
        </w:rPr>
        <w:t>对根据修正原则修正后的报价不确认的；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4.2.10</w:t>
      </w:r>
      <w:r>
        <w:rPr>
          <w:rFonts w:hint="eastAsia" w:ascii="仿宋" w:hAnsi="仿宋" w:eastAsia="仿宋" w:cs="Arial"/>
          <w:kern w:val="0"/>
          <w:sz w:val="24"/>
        </w:rPr>
        <w:t>供应商</w:t>
      </w:r>
      <w:r>
        <w:rPr>
          <w:rFonts w:ascii="仿宋" w:hAnsi="仿宋" w:eastAsia="仿宋" w:cs="Arial"/>
          <w:kern w:val="0"/>
          <w:sz w:val="24"/>
        </w:rPr>
        <w:t>提供虚假材料</w:t>
      </w:r>
      <w:r>
        <w:rPr>
          <w:rFonts w:hint="eastAsia" w:ascii="仿宋" w:hAnsi="仿宋" w:eastAsia="仿宋" w:cs="Arial"/>
          <w:kern w:val="0"/>
          <w:sz w:val="24"/>
        </w:rPr>
        <w:t>响应</w:t>
      </w:r>
      <w:r>
        <w:rPr>
          <w:rFonts w:ascii="仿宋" w:hAnsi="仿宋" w:eastAsia="仿宋" w:cs="Arial"/>
          <w:kern w:val="0"/>
          <w:sz w:val="24"/>
        </w:rPr>
        <w:t>的；</w:t>
      </w:r>
    </w:p>
    <w:p>
      <w:pPr>
        <w:spacing w:line="360" w:lineRule="auto"/>
        <w:ind w:firstLine="240" w:firstLineChars="100"/>
        <w:rPr>
          <w:rFonts w:ascii="仿宋" w:hAnsi="仿宋" w:eastAsia="仿宋" w:cs="Arial"/>
          <w:kern w:val="0"/>
          <w:sz w:val="24"/>
        </w:rPr>
      </w:pPr>
      <w:r>
        <w:rPr>
          <w:rFonts w:ascii="仿宋" w:hAnsi="仿宋" w:eastAsia="仿宋" w:cs="Arial"/>
          <w:kern w:val="0"/>
          <w:sz w:val="24"/>
        </w:rPr>
        <w:t xml:space="preserve">  4.2.11</w:t>
      </w:r>
      <w:r>
        <w:rPr>
          <w:rFonts w:hint="eastAsia" w:ascii="仿宋" w:hAnsi="仿宋" w:eastAsia="仿宋" w:cs="Arial"/>
          <w:kern w:val="0"/>
          <w:sz w:val="24"/>
        </w:rPr>
        <w:t>供应商</w:t>
      </w:r>
      <w:r>
        <w:rPr>
          <w:rFonts w:ascii="仿宋" w:hAnsi="仿宋" w:eastAsia="仿宋" w:cs="Arial"/>
          <w:kern w:val="0"/>
          <w:sz w:val="24"/>
        </w:rPr>
        <w:t>有恶意串通、妨碍其他</w:t>
      </w:r>
      <w:r>
        <w:rPr>
          <w:rFonts w:hint="eastAsia" w:ascii="仿宋" w:hAnsi="仿宋" w:eastAsia="仿宋" w:cs="Arial"/>
          <w:kern w:val="0"/>
          <w:sz w:val="24"/>
        </w:rPr>
        <w:t>供应商</w:t>
      </w:r>
      <w:r>
        <w:rPr>
          <w:rFonts w:ascii="仿宋" w:hAnsi="仿宋" w:eastAsia="仿宋" w:cs="Arial"/>
          <w:kern w:val="0"/>
          <w:sz w:val="24"/>
        </w:rPr>
        <w:t>的竞争行为、损害采购人或者其他</w:t>
      </w:r>
      <w:r>
        <w:rPr>
          <w:rFonts w:hint="eastAsia" w:ascii="仿宋" w:hAnsi="仿宋" w:eastAsia="仿宋" w:cs="Arial"/>
          <w:kern w:val="0"/>
          <w:sz w:val="24"/>
        </w:rPr>
        <w:t>供应商</w:t>
      </w:r>
      <w:r>
        <w:rPr>
          <w:rFonts w:ascii="仿宋" w:hAnsi="仿宋" w:eastAsia="仿宋" w:cs="Arial"/>
          <w:kern w:val="0"/>
          <w:sz w:val="24"/>
        </w:rPr>
        <w:t>的合法权益情形的；</w:t>
      </w:r>
    </w:p>
    <w:p>
      <w:pPr>
        <w:pStyle w:val="3"/>
        <w:ind w:left="0" w:firstLine="480" w:firstLineChars="200"/>
        <w:rPr>
          <w:rFonts w:ascii="仿宋" w:eastAsia="仿宋" w:cs="Arial"/>
          <w:b w:val="0"/>
          <w:bCs w:val="0"/>
          <w:kern w:val="0"/>
          <w:sz w:val="24"/>
          <w:szCs w:val="24"/>
          <w:lang w:val="en-US"/>
        </w:rPr>
      </w:pPr>
      <w:r>
        <w:rPr>
          <w:rFonts w:ascii="仿宋" w:eastAsia="仿宋" w:cs="Arial"/>
          <w:b w:val="0"/>
          <w:bCs w:val="0"/>
          <w:kern w:val="0"/>
          <w:sz w:val="24"/>
          <w:szCs w:val="24"/>
          <w:lang w:val="en-US"/>
        </w:rPr>
        <w:t>4.2.1</w:t>
      </w:r>
      <w:r>
        <w:rPr>
          <w:rFonts w:hint="eastAsia" w:ascii="仿宋" w:eastAsia="仿宋" w:cs="Arial"/>
          <w:b w:val="0"/>
          <w:bCs w:val="0"/>
          <w:kern w:val="0"/>
          <w:sz w:val="24"/>
          <w:szCs w:val="24"/>
          <w:lang w:val="en-US"/>
        </w:rPr>
        <w:t>2</w:t>
      </w:r>
      <w:r>
        <w:rPr>
          <w:rFonts w:ascii="仿宋" w:eastAsia="仿宋" w:cs="Arial"/>
          <w:b w:val="0"/>
          <w:bCs w:val="0"/>
          <w:kern w:val="0"/>
          <w:sz w:val="24"/>
          <w:szCs w:val="24"/>
          <w:lang w:val="en-US"/>
        </w:rPr>
        <w:t xml:space="preserve"> 响应文件</w:t>
      </w:r>
      <w:r>
        <w:rPr>
          <w:rFonts w:hint="eastAsia" w:ascii="仿宋" w:eastAsia="仿宋" w:cs="Arial"/>
          <w:b w:val="0"/>
          <w:bCs w:val="0"/>
          <w:kern w:val="0"/>
          <w:sz w:val="24"/>
          <w:szCs w:val="24"/>
          <w:lang w:val="en-US"/>
        </w:rPr>
        <w:t>不满足</w:t>
      </w:r>
      <w:r>
        <w:rPr>
          <w:rFonts w:ascii="仿宋" w:eastAsia="仿宋" w:cs="Arial"/>
          <w:b w:val="0"/>
          <w:bCs w:val="0"/>
          <w:kern w:val="0"/>
          <w:sz w:val="24"/>
          <w:szCs w:val="24"/>
          <w:lang w:val="en-US"/>
        </w:rPr>
        <w:t>采购文件</w:t>
      </w:r>
      <w:r>
        <w:rPr>
          <w:rFonts w:hint="eastAsia" w:ascii="仿宋" w:eastAsia="仿宋" w:cs="Arial"/>
          <w:b w:val="0"/>
          <w:bCs w:val="0"/>
          <w:kern w:val="0"/>
          <w:sz w:val="24"/>
          <w:szCs w:val="24"/>
          <w:lang w:val="en-US"/>
        </w:rPr>
        <w:t>的其它实质性要求的；</w:t>
      </w:r>
    </w:p>
    <w:p>
      <w:pPr>
        <w:spacing w:line="360" w:lineRule="auto"/>
        <w:ind w:firstLine="480" w:firstLineChars="200"/>
        <w:rPr>
          <w:rFonts w:ascii="仿宋_GB2312" w:hAnsi="仿宋" w:eastAsia="仿宋_GB2312" w:cs="Arial"/>
          <w:kern w:val="0"/>
          <w:sz w:val="24"/>
          <w:u w:val="none"/>
        </w:rPr>
      </w:pPr>
      <w:r>
        <w:rPr>
          <w:rFonts w:ascii="仿宋" w:hAnsi="仿宋" w:eastAsia="仿宋" w:cs="Arial"/>
          <w:kern w:val="0"/>
          <w:sz w:val="24"/>
        </w:rPr>
        <w:t>4.2.1</w:t>
      </w:r>
      <w:r>
        <w:rPr>
          <w:rFonts w:hint="eastAsia" w:ascii="仿宋" w:hAnsi="仿宋" w:eastAsia="仿宋" w:cs="Arial"/>
          <w:kern w:val="0"/>
          <w:sz w:val="24"/>
          <w:u w:val="none"/>
        </w:rPr>
        <w:t>3</w:t>
      </w:r>
      <w:r>
        <w:rPr>
          <w:rFonts w:hint="eastAsia" w:ascii="仿宋" w:hAnsi="仿宋" w:eastAsia="仿宋" w:cs="仿宋"/>
          <w:sz w:val="24"/>
          <w:u w:val="none"/>
        </w:rPr>
        <w:t>响应文件未按规定的格式编制或文件组成严重漏项或关键内容严重不全；</w:t>
      </w:r>
    </w:p>
    <w:p>
      <w:pPr>
        <w:pStyle w:val="3"/>
        <w:ind w:left="0" w:firstLine="480" w:firstLineChars="200"/>
        <w:rPr>
          <w:rFonts w:ascii="仿宋" w:eastAsia="仿宋" w:cs="Arial"/>
          <w:b w:val="0"/>
          <w:bCs w:val="0"/>
          <w:kern w:val="0"/>
          <w:sz w:val="24"/>
          <w:szCs w:val="24"/>
          <w:lang w:val="en-US"/>
        </w:rPr>
      </w:pPr>
      <w:r>
        <w:rPr>
          <w:rFonts w:ascii="仿宋" w:eastAsia="仿宋" w:cs="Arial"/>
          <w:b w:val="0"/>
          <w:bCs w:val="0"/>
          <w:kern w:val="0"/>
          <w:sz w:val="24"/>
          <w:szCs w:val="24"/>
          <w:u w:val="none"/>
          <w:lang w:val="en-US"/>
        </w:rPr>
        <w:t>4.2.1</w:t>
      </w:r>
      <w:r>
        <w:rPr>
          <w:rFonts w:hint="eastAsia" w:ascii="仿宋" w:eastAsia="仿宋" w:cs="Arial"/>
          <w:b w:val="0"/>
          <w:bCs w:val="0"/>
          <w:kern w:val="0"/>
          <w:sz w:val="24"/>
          <w:szCs w:val="24"/>
          <w:u w:val="none"/>
          <w:lang w:val="en-US"/>
        </w:rPr>
        <w:t>4</w:t>
      </w:r>
      <w:r>
        <w:rPr>
          <w:rFonts w:ascii="仿宋" w:eastAsia="仿宋" w:cs="Arial"/>
          <w:b w:val="0"/>
          <w:bCs w:val="0"/>
          <w:kern w:val="0"/>
          <w:sz w:val="24"/>
          <w:szCs w:val="24"/>
          <w:u w:val="none"/>
          <w:lang w:val="en-US"/>
        </w:rPr>
        <w:t>法律、法规、规章</w:t>
      </w:r>
      <w:r>
        <w:rPr>
          <w:rFonts w:ascii="仿宋" w:eastAsia="仿宋" w:cs="Arial"/>
          <w:b w:val="0"/>
          <w:bCs w:val="0"/>
          <w:kern w:val="0"/>
          <w:sz w:val="24"/>
          <w:szCs w:val="24"/>
          <w:lang w:val="en-US"/>
        </w:rPr>
        <w:t>（适用本市的）及省级以上规范性文件（适用本市的）规定的其他无效情形。</w:t>
      </w:r>
    </w:p>
    <w:p>
      <w:pPr>
        <w:pStyle w:val="24"/>
        <w:snapToGrid w:val="0"/>
        <w:spacing w:line="36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rPr>
      </w:pPr>
      <w:r>
        <w:rPr>
          <w:rFonts w:ascii="仿宋" w:hAnsi="仿宋" w:eastAsia="仿宋" w:cs="仿宋_GB2312"/>
        </w:rPr>
        <w:t>5.1符合专业条件的供应商或者对</w:t>
      </w:r>
      <w:r>
        <w:rPr>
          <w:rFonts w:hint="eastAsia" w:ascii="仿宋" w:hAnsi="仿宋" w:eastAsia="仿宋" w:cs="仿宋_GB2312"/>
        </w:rPr>
        <w:t>采购文件</w:t>
      </w:r>
      <w:r>
        <w:rPr>
          <w:rFonts w:ascii="仿宋" w:hAnsi="仿宋" w:eastAsia="仿宋" w:cs="仿宋_GB2312"/>
        </w:rPr>
        <w:t>作实质响应的供应商不足3家的；</w:t>
      </w:r>
    </w:p>
    <w:p>
      <w:pPr>
        <w:pStyle w:val="24"/>
        <w:snapToGrid w:val="0"/>
        <w:spacing w:line="360" w:lineRule="auto"/>
        <w:rPr>
          <w:rFonts w:ascii="仿宋" w:hAnsi="仿宋" w:eastAsia="仿宋" w:cs="仿宋_GB2312"/>
        </w:rPr>
      </w:pPr>
      <w:r>
        <w:rPr>
          <w:rFonts w:ascii="仿宋" w:hAnsi="仿宋" w:eastAsia="仿宋" w:cs="仿宋_GB2312"/>
        </w:rPr>
        <w:t>5.2出现影响采购公正的违法、违规行为的；</w:t>
      </w:r>
    </w:p>
    <w:p>
      <w:pPr>
        <w:pStyle w:val="24"/>
        <w:snapToGrid w:val="0"/>
        <w:spacing w:line="360" w:lineRule="auto"/>
        <w:rPr>
          <w:rFonts w:ascii="仿宋" w:hAnsi="仿宋" w:eastAsia="仿宋" w:cs="仿宋_GB2312"/>
        </w:rPr>
      </w:pPr>
      <w:r>
        <w:rPr>
          <w:rFonts w:ascii="仿宋" w:hAnsi="仿宋" w:eastAsia="仿宋" w:cs="仿宋_GB2312"/>
        </w:rPr>
        <w:t>5.3</w:t>
      </w:r>
      <w:r>
        <w:rPr>
          <w:rFonts w:hint="eastAsia" w:ascii="仿宋" w:hAnsi="仿宋" w:eastAsia="仿宋" w:cs="仿宋_GB2312"/>
        </w:rPr>
        <w:t>供应商</w:t>
      </w:r>
      <w:r>
        <w:rPr>
          <w:rFonts w:ascii="仿宋" w:hAnsi="仿宋" w:eastAsia="仿宋" w:cs="仿宋_GB2312"/>
        </w:rPr>
        <w:t>的报价均超过了采购预算，采购人不能支付的；</w:t>
      </w:r>
    </w:p>
    <w:p>
      <w:pPr>
        <w:pStyle w:val="24"/>
        <w:snapToGrid w:val="0"/>
        <w:spacing w:line="360" w:lineRule="auto"/>
        <w:rPr>
          <w:rFonts w:ascii="仿宋" w:hAnsi="仿宋" w:eastAsia="仿宋" w:cs="仿宋_GB2312"/>
        </w:rPr>
      </w:pPr>
      <w:r>
        <w:rPr>
          <w:rFonts w:ascii="仿宋" w:hAnsi="仿宋" w:eastAsia="仿宋" w:cs="仿宋_GB2312"/>
        </w:rPr>
        <w:t>5.4因重大变故，采购任务取消的。</w:t>
      </w:r>
    </w:p>
    <w:p>
      <w:pPr>
        <w:pStyle w:val="24"/>
        <w:snapToGrid w:val="0"/>
        <w:spacing w:line="360" w:lineRule="auto"/>
        <w:rPr>
          <w:rFonts w:ascii="仿宋" w:hAnsi="仿宋" w:eastAsia="仿宋" w:cs="仿宋_GB2312"/>
        </w:rPr>
      </w:pPr>
      <w:r>
        <w:rPr>
          <w:rFonts w:hint="eastAsia" w:ascii="仿宋" w:hAnsi="仿宋" w:eastAsia="仿宋" w:cs="仿宋_GB2312"/>
        </w:rPr>
        <w:t>废标后，采购代理机构应当将废标理由通知所有供应商。</w:t>
      </w:r>
    </w:p>
    <w:p>
      <w:pPr>
        <w:pStyle w:val="24"/>
        <w:snapToGrid w:val="0"/>
        <w:spacing w:line="360" w:lineRule="auto"/>
        <w:ind w:firstLine="482"/>
        <w:rPr>
          <w:rFonts w:ascii="仿宋" w:hAnsi="仿宋" w:eastAsia="仿宋" w:cs="仿宋_GB2312"/>
        </w:rPr>
      </w:pPr>
      <w:r>
        <w:rPr>
          <w:rFonts w:ascii="仿宋" w:hAnsi="仿宋" w:eastAsia="仿宋" w:cs="仿宋_GB2312"/>
          <w:b/>
        </w:rPr>
        <w:t>6.修改</w:t>
      </w:r>
      <w:r>
        <w:rPr>
          <w:rFonts w:hint="eastAsia" w:ascii="仿宋" w:hAnsi="仿宋" w:eastAsia="仿宋" w:cs="仿宋_GB2312"/>
          <w:b/>
        </w:rPr>
        <w:t>采购文件</w:t>
      </w:r>
      <w:r>
        <w:rPr>
          <w:rFonts w:ascii="仿宋" w:hAnsi="仿宋" w:eastAsia="仿宋" w:cs="仿宋_GB2312"/>
          <w:b/>
        </w:rPr>
        <w:t>，重新组织采购活动。</w:t>
      </w:r>
      <w:r>
        <w:rPr>
          <w:rFonts w:hint="eastAsia" w:ascii="仿宋" w:hAnsi="仿宋" w:eastAsia="仿宋" w:cs="仿宋_GB2312"/>
        </w:rPr>
        <w:t>磋商小组发现采购文件存在歧义、重大缺陷导致磋商评审工作无法进行，或者采购文件内容违反国家有关强制性规定的，将停止磋商评审工作，并与采购人、采购代理机构沟通并作书面记录。采购人、采购代理机构确认后，将修改采购文件，重新组织采购活动。</w:t>
      </w:r>
    </w:p>
    <w:p>
      <w:pPr>
        <w:pStyle w:val="24"/>
        <w:snapToGrid w:val="0"/>
        <w:spacing w:line="360" w:lineRule="auto"/>
        <w:ind w:firstLine="590" w:firstLineChars="245"/>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有政府采购法第七十一条、第七十二条规定的违法行为之一，影响或者可能影响成交、成交结果的，依照下列规定处理：</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7.1未确定</w:t>
      </w:r>
      <w:r>
        <w:rPr>
          <w:rFonts w:hint="eastAsia" w:ascii="仿宋" w:hAnsi="仿宋" w:eastAsia="仿宋" w:cs="仿宋_GB2312"/>
        </w:rPr>
        <w:t>成交</w:t>
      </w:r>
      <w:r>
        <w:rPr>
          <w:rFonts w:ascii="仿宋" w:hAnsi="仿宋" w:eastAsia="仿宋" w:cs="仿宋_GB2312"/>
        </w:rPr>
        <w:t>或者</w:t>
      </w:r>
      <w:r>
        <w:rPr>
          <w:rFonts w:hint="eastAsia" w:ascii="仿宋" w:hAnsi="仿宋" w:eastAsia="仿宋" w:cs="仿宋_GB2312"/>
        </w:rPr>
        <w:t>成交供应商</w:t>
      </w:r>
      <w:r>
        <w:rPr>
          <w:rFonts w:ascii="仿宋" w:hAnsi="仿宋" w:eastAsia="仿宋" w:cs="仿宋_GB2312"/>
        </w:rPr>
        <w:t>的，终止本次</w:t>
      </w:r>
      <w:r>
        <w:rPr>
          <w:rFonts w:hint="eastAsia" w:ascii="仿宋" w:hAnsi="仿宋" w:eastAsia="仿宋" w:cs="仿宋_GB2312"/>
        </w:rPr>
        <w:t>采购</w:t>
      </w:r>
      <w:r>
        <w:rPr>
          <w:rFonts w:ascii="仿宋" w:hAnsi="仿宋" w:eastAsia="仿宋" w:cs="仿宋_GB2312"/>
        </w:rPr>
        <w:t>活动，重新开展</w:t>
      </w:r>
      <w:r>
        <w:rPr>
          <w:rFonts w:hint="eastAsia" w:ascii="仿宋" w:hAnsi="仿宋" w:eastAsia="仿宋" w:cs="仿宋_GB2312"/>
        </w:rPr>
        <w:t>采购活动。</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7.2已确定</w:t>
      </w:r>
      <w:r>
        <w:rPr>
          <w:rFonts w:hint="eastAsia" w:ascii="仿宋" w:hAnsi="仿宋" w:eastAsia="仿宋" w:cs="仿宋_GB2312"/>
        </w:rPr>
        <w:t>成交</w:t>
      </w:r>
      <w:r>
        <w:rPr>
          <w:rFonts w:ascii="仿宋" w:hAnsi="仿宋" w:eastAsia="仿宋" w:cs="仿宋_GB2312"/>
        </w:rPr>
        <w:t>或者</w:t>
      </w:r>
      <w:r>
        <w:rPr>
          <w:rFonts w:hint="eastAsia" w:ascii="仿宋" w:hAnsi="仿宋" w:eastAsia="仿宋" w:cs="仿宋_GB2312"/>
        </w:rPr>
        <w:t>成交供应商</w:t>
      </w:r>
      <w:r>
        <w:rPr>
          <w:rFonts w:ascii="仿宋" w:hAnsi="仿宋" w:eastAsia="仿宋" w:cs="仿宋_GB2312"/>
        </w:rPr>
        <w:t>但尚未签订采购合同的，</w:t>
      </w:r>
      <w:r>
        <w:rPr>
          <w:rFonts w:hint="eastAsia" w:ascii="仿宋" w:hAnsi="仿宋" w:eastAsia="仿宋" w:cs="仿宋_GB2312"/>
        </w:rPr>
        <w:t>成交</w:t>
      </w:r>
      <w:r>
        <w:rPr>
          <w:rFonts w:ascii="仿宋" w:hAnsi="仿宋" w:eastAsia="仿宋" w:cs="仿宋_GB2312"/>
        </w:rPr>
        <w:t>或者成交结果无效，从合格的</w:t>
      </w:r>
      <w:r>
        <w:rPr>
          <w:rFonts w:hint="eastAsia" w:ascii="仿宋" w:hAnsi="仿宋" w:eastAsia="仿宋" w:cs="仿宋_GB2312"/>
        </w:rPr>
        <w:t>成交</w:t>
      </w:r>
      <w:r>
        <w:rPr>
          <w:rFonts w:ascii="仿宋" w:hAnsi="仿宋" w:eastAsia="仿宋" w:cs="仿宋_GB2312"/>
        </w:rPr>
        <w:t>或者成交候选人中另行确定</w:t>
      </w:r>
      <w:r>
        <w:rPr>
          <w:rFonts w:hint="eastAsia" w:ascii="仿宋" w:hAnsi="仿宋" w:eastAsia="仿宋" w:cs="仿宋_GB2312"/>
        </w:rPr>
        <w:t>成交</w:t>
      </w:r>
      <w:r>
        <w:rPr>
          <w:rFonts w:ascii="仿宋" w:hAnsi="仿宋" w:eastAsia="仿宋" w:cs="仿宋_GB2312"/>
        </w:rPr>
        <w:t>或者</w:t>
      </w:r>
      <w:r>
        <w:rPr>
          <w:rFonts w:hint="eastAsia" w:ascii="仿宋" w:hAnsi="仿宋" w:eastAsia="仿宋" w:cs="仿宋_GB2312"/>
        </w:rPr>
        <w:t>成交供应商</w:t>
      </w:r>
      <w:r>
        <w:rPr>
          <w:rFonts w:ascii="仿宋" w:hAnsi="仿宋" w:eastAsia="仿宋" w:cs="仿宋_GB2312"/>
        </w:rPr>
        <w:t>；没有合格的</w:t>
      </w:r>
      <w:r>
        <w:rPr>
          <w:rFonts w:hint="eastAsia" w:ascii="仿宋" w:hAnsi="仿宋" w:eastAsia="仿宋" w:cs="仿宋_GB2312"/>
        </w:rPr>
        <w:t>成交</w:t>
      </w:r>
      <w:r>
        <w:rPr>
          <w:rFonts w:ascii="仿宋" w:hAnsi="仿宋" w:eastAsia="仿宋" w:cs="仿宋_GB2312"/>
        </w:rPr>
        <w:t>或者成交候选人的，重新开展</w:t>
      </w:r>
      <w:r>
        <w:rPr>
          <w:rFonts w:hint="eastAsia" w:ascii="仿宋" w:hAnsi="仿宋" w:eastAsia="仿宋" w:cs="仿宋_GB2312"/>
        </w:rPr>
        <w:t>采购</w:t>
      </w:r>
      <w:r>
        <w:rPr>
          <w:rFonts w:ascii="仿宋" w:hAnsi="仿宋" w:eastAsia="仿宋" w:cs="仿宋_GB2312"/>
        </w:rPr>
        <w:t>活动。</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7.3采购合同已签订但尚未履行的，撤销合同，从合格的</w:t>
      </w:r>
      <w:r>
        <w:rPr>
          <w:rFonts w:hint="eastAsia" w:ascii="仿宋" w:hAnsi="仿宋" w:eastAsia="仿宋" w:cs="仿宋_GB2312"/>
        </w:rPr>
        <w:t>成交</w:t>
      </w:r>
      <w:r>
        <w:rPr>
          <w:rFonts w:ascii="仿宋" w:hAnsi="仿宋" w:eastAsia="仿宋" w:cs="仿宋_GB2312"/>
        </w:rPr>
        <w:t>或者成交候选人中另行确定</w:t>
      </w:r>
      <w:r>
        <w:rPr>
          <w:rFonts w:hint="eastAsia" w:ascii="仿宋" w:hAnsi="仿宋" w:eastAsia="仿宋" w:cs="仿宋_GB2312"/>
        </w:rPr>
        <w:t>成交</w:t>
      </w:r>
      <w:r>
        <w:rPr>
          <w:rFonts w:ascii="仿宋" w:hAnsi="仿宋" w:eastAsia="仿宋" w:cs="仿宋_GB2312"/>
        </w:rPr>
        <w:t>或者</w:t>
      </w:r>
      <w:r>
        <w:rPr>
          <w:rFonts w:hint="eastAsia" w:ascii="仿宋" w:hAnsi="仿宋" w:eastAsia="仿宋" w:cs="仿宋_GB2312"/>
        </w:rPr>
        <w:t>成交供应商</w:t>
      </w:r>
      <w:r>
        <w:rPr>
          <w:rFonts w:ascii="仿宋" w:hAnsi="仿宋" w:eastAsia="仿宋" w:cs="仿宋_GB2312"/>
        </w:rPr>
        <w:t>；没有合格的</w:t>
      </w:r>
      <w:r>
        <w:rPr>
          <w:rFonts w:hint="eastAsia" w:ascii="仿宋" w:hAnsi="仿宋" w:eastAsia="仿宋" w:cs="仿宋_GB2312"/>
        </w:rPr>
        <w:t>成交</w:t>
      </w:r>
      <w:r>
        <w:rPr>
          <w:rFonts w:ascii="仿宋" w:hAnsi="仿宋" w:eastAsia="仿宋" w:cs="仿宋_GB2312"/>
        </w:rPr>
        <w:t>或者成交候选人的，重新开展</w:t>
      </w:r>
      <w:r>
        <w:rPr>
          <w:rFonts w:hint="eastAsia" w:ascii="仿宋" w:hAnsi="仿宋" w:eastAsia="仿宋" w:cs="仿宋_GB2312"/>
        </w:rPr>
        <w:t>采购</w:t>
      </w:r>
      <w:r>
        <w:rPr>
          <w:rFonts w:ascii="仿宋" w:hAnsi="仿宋" w:eastAsia="仿宋" w:cs="仿宋_GB2312"/>
        </w:rPr>
        <w:t>活动。</w:t>
      </w:r>
    </w:p>
    <w:p>
      <w:pPr>
        <w:pStyle w:val="24"/>
        <w:snapToGrid w:val="0"/>
        <w:spacing w:line="360" w:lineRule="auto"/>
        <w:rPr>
          <w:rFonts w:ascii="仿宋" w:hAnsi="仿宋" w:eastAsia="仿宋" w:cs="仿宋_GB2312"/>
        </w:rPr>
      </w:pPr>
      <w:r>
        <w:rPr>
          <w:rFonts w:ascii="仿宋" w:hAnsi="仿宋" w:eastAsia="仿宋" w:cs="仿宋_GB2312"/>
        </w:rPr>
        <w:t>7.4采购合同已经履行，给采购人、供应</w:t>
      </w:r>
      <w:r>
        <w:rPr>
          <w:rFonts w:hint="eastAsia" w:ascii="仿宋" w:hAnsi="仿宋" w:eastAsia="仿宋" w:cs="仿宋_GB2312"/>
        </w:rPr>
        <w:t>商造成损失的，由责任人承担赔偿责任。</w:t>
      </w:r>
    </w:p>
    <w:p>
      <w:pPr>
        <w:pStyle w:val="24"/>
        <w:snapToGrid w:val="0"/>
        <w:spacing w:line="360" w:lineRule="auto"/>
        <w:rPr>
          <w:rFonts w:ascii="仿宋" w:hAnsi="仿宋" w:eastAsia="仿宋" w:cs="仿宋_GB2312"/>
          <w:b/>
          <w:sz w:val="36"/>
          <w:szCs w:val="36"/>
        </w:rPr>
      </w:pPr>
      <w:r>
        <w:rPr>
          <w:rFonts w:ascii="仿宋" w:hAnsi="仿宋" w:eastAsia="仿宋" w:cs="仿宋_GB2312"/>
        </w:rPr>
        <w:t>7.5</w:t>
      </w:r>
      <w:r>
        <w:rPr>
          <w:rFonts w:hint="eastAsia" w:ascii="仿宋" w:hAnsi="仿宋" w:eastAsia="仿宋" w:cs="仿宋_GB2312"/>
        </w:rPr>
        <w:t>采购</w:t>
      </w:r>
      <w:r>
        <w:rPr>
          <w:rFonts w:ascii="仿宋" w:hAnsi="仿宋" w:eastAsia="仿宋" w:cs="仿宋_GB2312"/>
        </w:rPr>
        <w:t>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的行为，经改正后仍然影响或者可能影响成交、成交结果或者依法被认定为成交、成交无效的，依照</w:t>
      </w:r>
      <w:r>
        <w:rPr>
          <w:rFonts w:ascii="仿宋" w:hAnsi="仿宋" w:eastAsia="仿宋" w:cs="仿宋_GB2312"/>
        </w:rPr>
        <w:t>7.1-7.4规定处理。</w:t>
      </w:r>
      <w:bookmarkEnd w:id="41"/>
      <w:bookmarkStart w:id="411" w:name="第五部分"/>
      <w:bookmarkStart w:id="412" w:name="_Toc86217003"/>
      <w:r>
        <w:rPr>
          <w:rFonts w:hint="eastAsia" w:ascii="仿宋" w:hAnsi="仿宋" w:eastAsia="仿宋" w:cs="仿宋_GB2312"/>
          <w:b/>
          <w:sz w:val="36"/>
          <w:szCs w:val="36"/>
        </w:rPr>
        <w:br w:type="page"/>
      </w:r>
    </w:p>
    <w:p>
      <w:pPr>
        <w:adjustRightInd/>
        <w:spacing w:line="360" w:lineRule="auto"/>
        <w:jc w:val="center"/>
        <w:outlineLvl w:val="0"/>
        <w:rPr>
          <w:rFonts w:ascii="仿宋" w:hAnsi="仿宋" w:eastAsia="仿宋" w:cs="仿宋_GB2312"/>
          <w:b/>
          <w:sz w:val="36"/>
          <w:szCs w:val="20"/>
        </w:rPr>
      </w:pPr>
      <w:bookmarkStart w:id="413" w:name="_Toc98147533"/>
      <w:r>
        <w:rPr>
          <w:rFonts w:hint="eastAsia" w:ascii="仿宋" w:hAnsi="仿宋" w:eastAsia="仿宋" w:cs="仿宋_GB2312"/>
          <w:b/>
          <w:sz w:val="36"/>
          <w:szCs w:val="20"/>
        </w:rPr>
        <w:t>第五部分  合同（协议）</w:t>
      </w:r>
      <w:bookmarkEnd w:id="413"/>
    </w:p>
    <w:p>
      <w:pPr>
        <w:spacing w:line="360" w:lineRule="auto"/>
        <w:rPr>
          <w:rFonts w:ascii="仿宋" w:hAnsi="仿宋" w:eastAsia="仿宋" w:cs="仿宋"/>
          <w:b/>
          <w:sz w:val="24"/>
          <w:u w:val="single"/>
        </w:rPr>
      </w:pPr>
      <w:bookmarkStart w:id="414" w:name="_Toc24228"/>
      <w:bookmarkStart w:id="415" w:name="_Toc17221"/>
      <w:bookmarkStart w:id="416" w:name="_Toc58"/>
      <w:bookmarkStart w:id="417" w:name="_Toc18371"/>
      <w:bookmarkStart w:id="418" w:name="_Toc12002"/>
      <w:bookmarkStart w:id="419" w:name="_Toc12080"/>
      <w:bookmarkStart w:id="420" w:name="_Toc23643"/>
      <w:bookmarkStart w:id="421" w:name="_Toc14625"/>
      <w:bookmarkStart w:id="422" w:name="_Toc195"/>
      <w:bookmarkStart w:id="423" w:name="_Toc22649"/>
      <w:bookmarkStart w:id="424" w:name="_Toc20852"/>
      <w:bookmarkStart w:id="425" w:name="_Toc26975"/>
      <w:bookmarkStart w:id="426" w:name="_Toc2259"/>
      <w:bookmarkStart w:id="427" w:name="_Toc8969"/>
      <w:bookmarkStart w:id="428" w:name="_Toc23218"/>
      <w:bookmarkStart w:id="429" w:name="_Toc20186"/>
      <w:bookmarkStart w:id="430" w:name="_Toc11368"/>
      <w:bookmarkStart w:id="431" w:name="_Toc1648"/>
      <w:r>
        <w:rPr>
          <w:rFonts w:hint="eastAsia" w:ascii="仿宋" w:hAnsi="仿宋" w:eastAsia="仿宋" w:cs="仿宋"/>
          <w:b/>
          <w:sz w:val="24"/>
          <w:lang w:bidi="ar"/>
        </w:rPr>
        <w:t>甲方：</w:t>
      </w:r>
      <w:r>
        <w:rPr>
          <w:rFonts w:hint="eastAsia" w:ascii="仿宋" w:hAnsi="仿宋" w:eastAsia="仿宋" w:cs="仿宋"/>
          <w:b/>
          <w:sz w:val="24"/>
          <w:u w:val="single"/>
          <w:lang w:bidi="ar"/>
        </w:rPr>
        <w:t xml:space="preserve">                            （以下简称甲方）                          </w:t>
      </w:r>
    </w:p>
    <w:p>
      <w:pPr>
        <w:spacing w:line="360" w:lineRule="auto"/>
        <w:rPr>
          <w:rFonts w:ascii="仿宋" w:hAnsi="仿宋" w:eastAsia="仿宋" w:cs="仿宋"/>
          <w:b/>
          <w:sz w:val="24"/>
          <w:u w:val="single"/>
        </w:rPr>
      </w:pPr>
      <w:r>
        <w:rPr>
          <w:rFonts w:hint="eastAsia" w:ascii="仿宋" w:hAnsi="仿宋" w:eastAsia="仿宋" w:cs="仿宋"/>
          <w:b/>
          <w:sz w:val="24"/>
          <w:lang w:bidi="ar"/>
        </w:rPr>
        <w:t>乙方：</w:t>
      </w:r>
      <w:r>
        <w:rPr>
          <w:rFonts w:hint="eastAsia" w:ascii="仿宋" w:hAnsi="仿宋" w:eastAsia="仿宋" w:cs="仿宋"/>
          <w:b/>
          <w:sz w:val="24"/>
          <w:u w:val="single"/>
          <w:lang w:bidi="ar"/>
        </w:rPr>
        <w:t xml:space="preserve">                            （以下简称乙方）                          </w:t>
      </w:r>
    </w:p>
    <w:p>
      <w:pPr>
        <w:pStyle w:val="24"/>
        <w:widowControl/>
        <w:spacing w:line="360" w:lineRule="auto"/>
        <w:rPr>
          <w:rFonts w:ascii="仿宋" w:hAnsi="仿宋" w:eastAsia="仿宋" w:cs="仿宋"/>
        </w:rPr>
      </w:pPr>
      <w:r>
        <w:rPr>
          <w:rFonts w:ascii="仿宋" w:hAnsi="仿宋" w:eastAsia="仿宋" w:cs="仿宋"/>
        </w:rPr>
        <w:t>依据《中华人民共和国</w:t>
      </w:r>
      <w:r>
        <w:rPr>
          <w:rFonts w:hint="eastAsia" w:ascii="仿宋" w:hAnsi="仿宋" w:eastAsia="仿宋" w:cs="仿宋"/>
        </w:rPr>
        <w:t>民典</w:t>
      </w:r>
      <w:r>
        <w:rPr>
          <w:rFonts w:ascii="仿宋" w:hAnsi="仿宋" w:eastAsia="仿宋" w:cs="仿宋"/>
        </w:rPr>
        <w:t>法》的规定，甲、乙双方在平等、自愿、等价有偿、公平、诚实信用的基础上，合同双方就</w:t>
      </w:r>
      <w:r>
        <w:rPr>
          <w:rFonts w:hint="eastAsia" w:ascii="仿宋" w:hAnsi="仿宋" w:eastAsia="仿宋" w:cs="仿宋"/>
          <w:u w:val="single"/>
        </w:rPr>
        <w:t>2022-2024进化镇古建筑及河上镇东山村白蚁综合治理</w:t>
      </w:r>
      <w:r>
        <w:rPr>
          <w:rFonts w:ascii="仿宋" w:hAnsi="仿宋" w:eastAsia="仿宋" w:cs="仿宋"/>
          <w:u w:val="single"/>
        </w:rPr>
        <w:t>项目</w:t>
      </w:r>
      <w:r>
        <w:rPr>
          <w:rFonts w:ascii="仿宋" w:hAnsi="仿宋" w:eastAsia="仿宋" w:cs="仿宋"/>
        </w:rPr>
        <w:t>经协商一致，签订本合同。</w:t>
      </w:r>
    </w:p>
    <w:p>
      <w:pPr>
        <w:spacing w:line="360" w:lineRule="auto"/>
        <w:ind w:firstLine="482" w:firstLineChars="200"/>
        <w:rPr>
          <w:rFonts w:ascii="仿宋" w:hAnsi="仿宋" w:eastAsia="仿宋" w:cs="仿宋"/>
          <w:b/>
          <w:sz w:val="24"/>
        </w:rPr>
      </w:pPr>
      <w:r>
        <w:rPr>
          <w:rFonts w:hint="eastAsia" w:ascii="仿宋" w:hAnsi="仿宋" w:eastAsia="仿宋" w:cs="仿宋"/>
          <w:b/>
          <w:sz w:val="24"/>
          <w:lang w:bidi="ar"/>
        </w:rPr>
        <w:t>第一条  项目实施范围</w:t>
      </w:r>
    </w:p>
    <w:p>
      <w:pPr>
        <w:spacing w:line="360" w:lineRule="auto"/>
        <w:ind w:firstLine="480" w:firstLineChars="200"/>
        <w:rPr>
          <w:rFonts w:ascii="仿宋" w:hAnsi="仿宋" w:eastAsia="仿宋" w:cs="仿宋"/>
          <w:b/>
          <w:sz w:val="24"/>
        </w:rPr>
      </w:pPr>
      <w:r>
        <w:rPr>
          <w:rFonts w:hint="eastAsia" w:ascii="仿宋" w:hAnsi="仿宋" w:eastAsia="仿宋" w:cs="仿宋"/>
          <w:sz w:val="24"/>
          <w:lang w:bidi="ar"/>
        </w:rPr>
        <w:t>萧山行政区域内。</w:t>
      </w:r>
    </w:p>
    <w:p>
      <w:pPr>
        <w:spacing w:line="360" w:lineRule="auto"/>
        <w:ind w:firstLine="482" w:firstLineChars="200"/>
        <w:rPr>
          <w:rFonts w:ascii="仿宋" w:hAnsi="仿宋" w:eastAsia="仿宋" w:cs="仿宋"/>
          <w:b/>
          <w:sz w:val="24"/>
          <w:lang w:bidi="ar"/>
        </w:rPr>
      </w:pPr>
      <w:r>
        <w:rPr>
          <w:rFonts w:hint="eastAsia" w:ascii="仿宋" w:hAnsi="仿宋" w:eastAsia="仿宋" w:cs="仿宋"/>
          <w:b/>
          <w:sz w:val="24"/>
          <w:lang w:bidi="ar"/>
        </w:rPr>
        <w:t>第二条  项目内容、工期</w:t>
      </w:r>
    </w:p>
    <w:p>
      <w:pPr>
        <w:pStyle w:val="24"/>
        <w:spacing w:line="360" w:lineRule="auto"/>
        <w:rPr>
          <w:rFonts w:ascii="仿宋" w:hAnsi="仿宋" w:eastAsia="仿宋" w:cs="仿宋"/>
        </w:rPr>
      </w:pPr>
      <w:r>
        <w:rPr>
          <w:rFonts w:hint="eastAsia" w:ascii="仿宋" w:hAnsi="仿宋" w:eastAsia="仿宋" w:cs="仿宋"/>
        </w:rPr>
        <w:t>1.本项目采购内容为2022-2024进化镇古建筑及河上镇东山村白蚁综合治理，主要工作任务：完成甲方指定的萧山区进化镇古建筑及河上镇东山村蚁害勘察、方案制作和综合治理工作。</w:t>
      </w:r>
    </w:p>
    <w:p>
      <w:pPr>
        <w:spacing w:line="360" w:lineRule="auto"/>
        <w:ind w:firstLine="480" w:firstLineChars="200"/>
        <w:rPr>
          <w:rFonts w:ascii="仿宋" w:hAnsi="仿宋" w:eastAsia="仿宋" w:cs="仿宋"/>
          <w:color w:val="FF0000"/>
          <w:sz w:val="24"/>
        </w:rPr>
      </w:pPr>
      <w:r>
        <w:rPr>
          <w:rFonts w:hint="eastAsia" w:ascii="仿宋" w:hAnsi="仿宋" w:eastAsia="仿宋" w:cs="仿宋"/>
          <w:sz w:val="24"/>
          <w:lang w:bidi="ar"/>
        </w:rPr>
        <w:t>2.本项目白蚁综合治理期限为合同签订次日起至2024年11月10日，即</w:t>
      </w:r>
      <w:r>
        <w:rPr>
          <w:rFonts w:hint="eastAsia" w:ascii="仿宋" w:hAnsi="仿宋" w:eastAsia="仿宋" w:cs="仿宋"/>
          <w:color w:val="0000FF"/>
          <w:sz w:val="24"/>
          <w:lang w:bidi="ar"/>
        </w:rPr>
        <w:t>2022年</w:t>
      </w:r>
      <w:r>
        <w:rPr>
          <w:rFonts w:hint="eastAsia" w:ascii="仿宋" w:hAnsi="仿宋" w:eastAsia="仿宋" w:cs="仿宋"/>
          <w:color w:val="0000FF"/>
          <w:sz w:val="24"/>
          <w:u w:val="single"/>
          <w:lang w:bidi="ar"/>
        </w:rPr>
        <w:t xml:space="preserve">  </w:t>
      </w:r>
      <w:r>
        <w:rPr>
          <w:rFonts w:hint="eastAsia" w:ascii="仿宋" w:hAnsi="仿宋" w:eastAsia="仿宋" w:cs="仿宋"/>
          <w:color w:val="0000FF"/>
          <w:sz w:val="24"/>
          <w:lang w:bidi="ar"/>
        </w:rPr>
        <w:t>月  日-2024年11月10日</w:t>
      </w:r>
      <w:r>
        <w:rPr>
          <w:rFonts w:hint="eastAsia" w:ascii="仿宋" w:hAnsi="仿宋" w:eastAsia="仿宋" w:cs="仿宋"/>
          <w:sz w:val="24"/>
          <w:lang w:bidi="ar"/>
        </w:rPr>
        <w:t>。其中：</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 xml:space="preserve">(1)合同签订次日起至2021年10月31日前,完成首年白蚁灭治、监测装置安装工作并通过中间验收； </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(2)项目通过中间验收之日起至2023年11月30日，对安装的监测装置进行检查、维护和处理以及清除残留蚁患；</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 xml:space="preserve"> 作为白蚁监测控制技术治理古建筑白蚁的补充部分，为确保治理效果，如古建筑需修缮的，应配合修缮进度进行液剂预防处理，同时乙方不向甲方收取任何费用；通过为期三年治理，将治理区域内白蚁危害彻底消除，外围白蚁活动纳入监控。</w:t>
      </w:r>
    </w:p>
    <w:p>
      <w:pPr>
        <w:spacing w:line="360" w:lineRule="auto"/>
        <w:ind w:firstLine="482" w:firstLineChars="200"/>
        <w:rPr>
          <w:rFonts w:ascii="仿宋" w:hAnsi="仿宋" w:eastAsia="仿宋" w:cs="仿宋"/>
          <w:b/>
          <w:sz w:val="24"/>
        </w:rPr>
      </w:pPr>
      <w:r>
        <w:rPr>
          <w:rFonts w:hint="eastAsia" w:ascii="仿宋" w:hAnsi="仿宋" w:eastAsia="仿宋" w:cs="仿宋"/>
          <w:b/>
          <w:sz w:val="24"/>
          <w:lang w:bidi="ar"/>
        </w:rPr>
        <w:t>第三条 合同签约价</w:t>
      </w:r>
    </w:p>
    <w:p>
      <w:pPr>
        <w:pStyle w:val="24"/>
        <w:widowControl/>
        <w:spacing w:line="360" w:lineRule="auto"/>
        <w:ind w:left="420" w:leftChars="200" w:firstLine="482"/>
        <w:rPr>
          <w:rFonts w:ascii="仿宋" w:hAnsi="仿宋" w:eastAsia="仿宋" w:cs="仿宋"/>
          <w:b/>
        </w:rPr>
      </w:pPr>
      <w:r>
        <w:rPr>
          <w:rFonts w:ascii="仿宋" w:hAnsi="仿宋" w:eastAsia="仿宋" w:cs="仿宋"/>
          <w:b/>
        </w:rPr>
        <w:t>合同签约价：</w:t>
      </w:r>
      <w:r>
        <w:rPr>
          <w:rFonts w:ascii="仿宋" w:hAnsi="仿宋" w:eastAsia="仿宋" w:cs="仿宋"/>
          <w:b/>
          <w:u w:val="single"/>
        </w:rPr>
        <w:t xml:space="preserve">    </w:t>
      </w:r>
      <w:r>
        <w:rPr>
          <w:rFonts w:ascii="仿宋" w:hAnsi="仿宋" w:eastAsia="仿宋" w:cs="仿宋"/>
          <w:b/>
        </w:rPr>
        <w:t>万元。本合同为固定单价合同，按实结算。结算价=综合单价×实际完成工作量。</w:t>
      </w:r>
    </w:p>
    <w:tbl>
      <w:tblPr>
        <w:tblStyle w:val="62"/>
        <w:tblW w:w="4980" w:type="pct"/>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3498"/>
        <w:gridCol w:w="652"/>
        <w:gridCol w:w="1153"/>
        <w:gridCol w:w="1561"/>
        <w:gridCol w:w="951"/>
        <w:gridCol w:w="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序号</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采购内容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lang w:val="en-US"/>
              </w:rPr>
            </w:pPr>
            <w:r>
              <w:rPr>
                <w:rFonts w:hint="eastAsia" w:ascii="仿宋" w:hAnsi="仿宋" w:eastAsia="仿宋" w:cs="仿宋"/>
                <w:lang w:val="en-US"/>
              </w:rPr>
              <w:t>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数量</w:t>
            </w:r>
          </w:p>
          <w:p>
            <w:pPr>
              <w:pStyle w:val="60"/>
              <w:widowControl/>
              <w:spacing w:line="360" w:lineRule="auto"/>
              <w:ind w:firstLine="0"/>
              <w:jc w:val="center"/>
              <w:rPr>
                <w:rFonts w:ascii="仿宋" w:hAnsi="仿宋" w:eastAsia="仿宋" w:cs="仿宋"/>
              </w:rPr>
            </w:pPr>
            <w:r>
              <w:rPr>
                <w:rFonts w:hint="eastAsia" w:ascii="仿宋" w:hAnsi="仿宋" w:eastAsia="仿宋" w:cs="仿宋"/>
              </w:rPr>
              <w:t>（暂定）</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综合单价</w:t>
            </w:r>
          </w:p>
          <w:p>
            <w:pPr>
              <w:pStyle w:val="60"/>
              <w:widowControl/>
              <w:spacing w:line="360" w:lineRule="auto"/>
              <w:ind w:firstLine="0"/>
              <w:jc w:val="center"/>
              <w:rPr>
                <w:rFonts w:ascii="仿宋" w:hAnsi="仿宋" w:eastAsia="仿宋" w:cs="仿宋"/>
              </w:rPr>
            </w:pPr>
            <w:r>
              <w:rPr>
                <w:rFonts w:hint="eastAsia" w:ascii="仿宋" w:hAnsi="仿宋" w:eastAsia="仿宋" w:cs="仿宋"/>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小计</w:t>
            </w:r>
          </w:p>
          <w:p>
            <w:pPr>
              <w:pStyle w:val="60"/>
              <w:widowControl/>
              <w:spacing w:line="360" w:lineRule="auto"/>
              <w:ind w:firstLine="0"/>
              <w:jc w:val="center"/>
              <w:rPr>
                <w:rFonts w:ascii="仿宋" w:hAnsi="仿宋" w:eastAsia="仿宋" w:cs="仿宋"/>
              </w:rPr>
            </w:pPr>
            <w:r>
              <w:rPr>
                <w:rFonts w:hint="eastAsia" w:ascii="仿宋" w:hAnsi="仿宋" w:eastAsia="仿宋" w:cs="仿宋"/>
              </w:rPr>
              <w:t>（元）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lang w:bidi="ar"/>
              </w:rPr>
              <w:t>古建筑及村落白蚁监测控制技术治理地下型监测装置安装及检查维护和灭治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lang w:val="en-US"/>
              </w:rPr>
            </w:pPr>
            <w:r>
              <w:rPr>
                <w:rFonts w:hint="eastAsia" w:ascii="仿宋" w:hAnsi="仿宋" w:eastAsia="仿宋" w:cs="仿宋"/>
                <w:lang w:val="en-US"/>
              </w:rPr>
              <w:t>点位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600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360"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lang w:bidi="ar"/>
              </w:rPr>
              <w:t>古建筑及村落白蚁监测控制技术治理地上型监测装置安装和检查维护灭治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lang w:val="en-US"/>
              </w:rPr>
              <w:t>点位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470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80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lang w:bidi="ar"/>
              </w:rPr>
            </w:pPr>
            <w:r>
              <w:rPr>
                <w:rFonts w:hint="eastAsia" w:ascii="仿宋" w:hAnsi="仿宋" w:eastAsia="仿宋" w:cs="仿宋"/>
                <w:lang w:bidi="ar"/>
              </w:rPr>
              <w:t>村落砖混、钢混结构房屋白蚁治理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hint="eastAsia" w:ascii="仿宋" w:hAnsi="仿宋" w:eastAsia="仿宋" w:cs="仿宋"/>
                <w:lang w:eastAsia="zh-CN"/>
              </w:rPr>
            </w:pPr>
            <w:r>
              <w:rPr>
                <w:rFonts w:hint="eastAsia" w:ascii="仿宋" w:hAnsi="仿宋" w:eastAsia="仿宋" w:cs="仿宋"/>
                <w:lang w:val="en-US" w:eastAsia="zh-CN"/>
              </w:rPr>
              <w:t>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800" w:type="dxa"/>
            <w:tcBorders>
              <w:top w:val="nil"/>
              <w:left w:val="single" w:color="000000" w:sz="4" w:space="0"/>
              <w:bottom w:val="single" w:color="000000" w:sz="4" w:space="0"/>
              <w:right w:val="single" w:color="000000" w:sz="4" w:space="0"/>
            </w:tcBorders>
            <w:shd w:val="clear" w:color="auto" w:fill="auto"/>
            <w:vAlign w:val="center"/>
          </w:tcPr>
          <w:p>
            <w:pPr>
              <w:spacing w:line="360"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合  计（合同签约价）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p>
        </w:tc>
        <w:tc>
          <w:tcPr>
            <w:tcW w:w="4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widowControl/>
              <w:spacing w:line="360" w:lineRule="auto"/>
              <w:ind w:firstLine="0"/>
              <w:jc w:val="center"/>
              <w:rPr>
                <w:rFonts w:ascii="仿宋" w:hAnsi="仿宋" w:eastAsia="仿宋" w:cs="仿宋"/>
              </w:rPr>
            </w:pPr>
            <w:r>
              <w:rPr>
                <w:rFonts w:hint="eastAsia" w:ascii="仿宋" w:hAnsi="仿宋" w:eastAsia="仿宋" w:cs="仿宋"/>
              </w:rPr>
              <w:t>元（大写：        ）</w:t>
            </w:r>
          </w:p>
        </w:tc>
      </w:tr>
    </w:tbl>
    <w:p>
      <w:pPr>
        <w:spacing w:line="360" w:lineRule="auto"/>
        <w:ind w:firstLine="482" w:firstLineChars="200"/>
        <w:rPr>
          <w:rFonts w:ascii="仿宋" w:hAnsi="仿宋" w:eastAsia="仿宋" w:cs="仿宋"/>
          <w:b/>
          <w:sz w:val="24"/>
          <w:lang w:bidi="ar"/>
        </w:rPr>
      </w:pPr>
    </w:p>
    <w:p>
      <w:pPr>
        <w:spacing w:line="360" w:lineRule="auto"/>
        <w:ind w:firstLine="482" w:firstLineChars="200"/>
        <w:rPr>
          <w:rFonts w:ascii="仿宋" w:hAnsi="仿宋" w:eastAsia="仿宋" w:cs="仿宋"/>
          <w:b/>
          <w:sz w:val="24"/>
        </w:rPr>
      </w:pPr>
      <w:r>
        <w:rPr>
          <w:rFonts w:hint="eastAsia" w:ascii="仿宋" w:hAnsi="仿宋" w:eastAsia="仿宋" w:cs="仿宋"/>
          <w:b/>
          <w:sz w:val="24"/>
          <w:lang w:bidi="ar"/>
        </w:rPr>
        <w:t>第四条  质量要求及验收标准</w:t>
      </w:r>
    </w:p>
    <w:p>
      <w:pPr>
        <w:spacing w:line="360" w:lineRule="auto"/>
        <w:ind w:firstLine="360" w:firstLineChars="150"/>
        <w:rPr>
          <w:rFonts w:ascii="仿宋" w:hAnsi="仿宋" w:eastAsia="仿宋" w:cs="仿宋"/>
          <w:sz w:val="24"/>
        </w:rPr>
      </w:pPr>
      <w:r>
        <w:rPr>
          <w:rFonts w:hint="eastAsia" w:ascii="仿宋" w:hAnsi="仿宋" w:eastAsia="仿宋" w:cs="仿宋"/>
          <w:sz w:val="24"/>
          <w:lang w:bidi="ar"/>
        </w:rPr>
        <w:t>（一）质量要求</w:t>
      </w:r>
    </w:p>
    <w:p>
      <w:pPr>
        <w:widowControl/>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为降低药剂对人体健康和环境安全的风险，减少人居环境白蚁防治药剂的使用,本项目应采用白蚁监测控制技术进行蚁害治理和白蚁活动监控，使用的灭治药剂应以饵剂为主。为确保治理效果，根据甲方要求局部使用粉剂或液剂处理（例如在建筑修缮时对更换的木构件进行液剂处理等）。</w:t>
      </w:r>
    </w:p>
    <w:p>
      <w:pPr>
        <w:widowControl/>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本项目实施的技术标准应符合《浙江省传统村落和历史文化名城名镇名村白蚁防治技术导则》，《DB33/T1108-2018房屋白蚁监测控制系统应用技术规程》，《DB33/T1017-2018药物屏障预防房屋白蚁技术规程》。</w:t>
      </w:r>
    </w:p>
    <w:p>
      <w:pPr>
        <w:widowControl/>
        <w:spacing w:line="360" w:lineRule="auto"/>
        <w:ind w:firstLine="360" w:firstLineChars="150"/>
        <w:rPr>
          <w:rFonts w:ascii="仿宋" w:hAnsi="仿宋" w:eastAsia="仿宋" w:cs="仿宋"/>
          <w:sz w:val="24"/>
          <w:lang w:bidi="ar"/>
        </w:rPr>
      </w:pPr>
      <w:r>
        <w:rPr>
          <w:rFonts w:hint="eastAsia" w:ascii="仿宋" w:hAnsi="仿宋" w:eastAsia="仿宋" w:cs="仿宋"/>
          <w:sz w:val="24"/>
          <w:lang w:bidi="ar"/>
        </w:rPr>
        <w:t>（二）验收标准</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白蚁防治服务项目按省、市白蚁预防项目验收有关规定执行。本项目包括中间验收及竣工验收。</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1.中间验收</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白蚁综合治理项目在首次监测装置安装完成后或修缮项目在液剂处理完毕后进行中间验收，中间验收的内容为：</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1）蚁害检查情况。</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2）监测装置的种类、数量和安装位置是否符合技术标准和方案要求。</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3）饵剂和投放质量是否符合技术标准和方案要求。</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4）如使用液剂处理木构件的，液剂种类和质量、处理部位和使用剂量是否符合技术标准和方案要求。</w:t>
      </w:r>
    </w:p>
    <w:p>
      <w:pPr>
        <w:pStyle w:val="60"/>
        <w:widowControl/>
        <w:spacing w:line="360" w:lineRule="auto"/>
        <w:ind w:firstLine="482" w:firstLineChars="200"/>
        <w:rPr>
          <w:rFonts w:ascii="仿宋" w:hAnsi="仿宋" w:eastAsia="仿宋" w:cs="仿宋"/>
          <w:b/>
          <w:szCs w:val="24"/>
        </w:rPr>
      </w:pPr>
      <w:r>
        <w:rPr>
          <w:rFonts w:hint="eastAsia" w:ascii="仿宋" w:hAnsi="仿宋" w:eastAsia="仿宋" w:cs="仿宋"/>
          <w:b/>
          <w:szCs w:val="24"/>
        </w:rPr>
        <w:t>2.竣工验收</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竣工验收在项目实施期（第三年）结束前进行，竣工验收合格的标准为:</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1）房屋建筑用采用任何检查方法，检查不到任何白蚁活动迹象，包括建筑主体、装饰装修和内部物品无白蚁存在，无有翅成虫分飞迹象。</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2）建筑主体和外围安装的监测装置内无白蚁活动。建筑外围的监测装置完好无缺，其种类和数量、安装部位符合方案要求。</w:t>
      </w:r>
    </w:p>
    <w:p>
      <w:pPr>
        <w:widowControl/>
        <w:spacing w:line="360" w:lineRule="auto"/>
        <w:ind w:firstLine="480" w:firstLineChars="200"/>
        <w:rPr>
          <w:rFonts w:ascii="仿宋" w:hAnsi="仿宋" w:eastAsia="仿宋" w:cs="仿宋"/>
          <w:bCs/>
          <w:kern w:val="0"/>
          <w:lang w:bidi="ar"/>
        </w:rPr>
      </w:pPr>
      <w:r>
        <w:rPr>
          <w:rFonts w:hint="eastAsia" w:ascii="仿宋" w:hAnsi="仿宋" w:eastAsia="仿宋" w:cs="仿宋"/>
          <w:sz w:val="24"/>
        </w:rPr>
        <w:t>3）项目过程中产生的勘察、方案、施工、验收等资料完整。</w:t>
      </w:r>
    </w:p>
    <w:p>
      <w:pPr>
        <w:spacing w:line="360" w:lineRule="auto"/>
        <w:ind w:firstLine="361" w:firstLineChars="150"/>
        <w:rPr>
          <w:rFonts w:ascii="仿宋" w:hAnsi="仿宋" w:eastAsia="仿宋" w:cs="仿宋"/>
          <w:b/>
          <w:sz w:val="24"/>
        </w:rPr>
      </w:pPr>
      <w:r>
        <w:rPr>
          <w:rFonts w:hint="eastAsia" w:ascii="仿宋" w:hAnsi="仿宋" w:eastAsia="仿宋" w:cs="仿宋"/>
          <w:b/>
          <w:sz w:val="24"/>
          <w:lang w:bidi="ar"/>
        </w:rPr>
        <w:t>第五条  履约担保、付款方式</w:t>
      </w:r>
    </w:p>
    <w:p>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lang w:bidi="ar"/>
        </w:rPr>
        <w:t>1.履约担保</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乙方在杭州市政府采购网公布的履约评价为   分，履约担保金额为合同价的    %（金额：       元）。（供应商履约验收评价总分为100分的，采购单位应当免收履约保证金；评价总分在90分以上的，收取履约保证金不得高于合同金额0.5%；评价总分在90分以下或者暂无评分的，收取履约保证金不得高于合同金额1%。）</w:t>
      </w:r>
    </w:p>
    <w:p>
      <w:pPr>
        <w:spacing w:line="360" w:lineRule="auto"/>
        <w:ind w:firstLine="480" w:firstLineChars="200"/>
        <w:rPr>
          <w:rFonts w:ascii="仿宋" w:hAnsi="仿宋" w:eastAsia="仿宋" w:cs="仿宋"/>
          <w:sz w:val="24"/>
        </w:rPr>
      </w:pPr>
      <w:r>
        <w:rPr>
          <w:rFonts w:hint="eastAsia" w:ascii="仿宋" w:hAnsi="仿宋" w:eastAsia="仿宋" w:cs="仿宋"/>
          <w:sz w:val="24"/>
        </w:rPr>
        <w:t>1.形式：本合同采用以第（  ）种方式：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1.1保函：杭州地区注册的银行（含总行、分行、支行）、保险公司出具的保函。保函的格式和内容须经甲方确认；</w:t>
      </w:r>
    </w:p>
    <w:p>
      <w:pPr>
        <w:spacing w:line="360" w:lineRule="auto"/>
        <w:ind w:firstLine="480" w:firstLineChars="200"/>
        <w:rPr>
          <w:rFonts w:ascii="仿宋" w:hAnsi="仿宋" w:eastAsia="仿宋" w:cs="仿宋"/>
          <w:sz w:val="24"/>
        </w:rPr>
      </w:pPr>
      <w:r>
        <w:rPr>
          <w:rFonts w:hint="eastAsia" w:ascii="仿宋" w:hAnsi="仿宋" w:eastAsia="仿宋" w:cs="仿宋"/>
          <w:sz w:val="24"/>
        </w:rPr>
        <w:t>1.2现金：必须通过乙方的基本账户以银行转账方式或支票、银行汇票的形式交缴纳。</w:t>
      </w:r>
    </w:p>
    <w:p>
      <w:pPr>
        <w:spacing w:line="360" w:lineRule="auto"/>
        <w:ind w:firstLine="480" w:firstLineChars="200"/>
        <w:rPr>
          <w:rFonts w:ascii="仿宋" w:hAnsi="仿宋" w:eastAsia="仿宋" w:cs="仿宋"/>
          <w:sz w:val="24"/>
        </w:rPr>
      </w:pPr>
      <w:r>
        <w:rPr>
          <w:rFonts w:hint="eastAsia" w:ascii="仿宋" w:hAnsi="仿宋" w:eastAsia="仿宋" w:cs="仿宋"/>
          <w:sz w:val="24"/>
        </w:rPr>
        <w:t>2.提交时间：合同签订后10个工作日内提交履约担保。</w:t>
      </w:r>
    </w:p>
    <w:p>
      <w:pPr>
        <w:spacing w:line="360" w:lineRule="auto"/>
        <w:ind w:firstLine="480" w:firstLineChars="200"/>
        <w:rPr>
          <w:rFonts w:ascii="仿宋" w:hAnsi="仿宋" w:eastAsia="仿宋" w:cs="仿宋"/>
          <w:sz w:val="24"/>
        </w:rPr>
      </w:pPr>
      <w:r>
        <w:rPr>
          <w:rFonts w:hint="eastAsia" w:ascii="仿宋" w:hAnsi="仿宋" w:eastAsia="仿宋" w:cs="仿宋"/>
          <w:sz w:val="24"/>
        </w:rPr>
        <w:t>3.退还时间：履约担保在合同期满（履约验收完毕）无违约的情况下，5个工作日内无息退还。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 xml:space="preserve"> 2.付款方式</w:t>
      </w:r>
    </w:p>
    <w:p>
      <w:pPr>
        <w:spacing w:line="360" w:lineRule="auto"/>
        <w:ind w:firstLine="480" w:firstLineChars="200"/>
        <w:rPr>
          <w:rFonts w:ascii="仿宋" w:hAnsi="仿宋" w:eastAsia="仿宋" w:cs="仿宋"/>
          <w:sz w:val="24"/>
        </w:rPr>
      </w:pPr>
      <w:r>
        <w:rPr>
          <w:rFonts w:hint="eastAsia" w:ascii="仿宋" w:hAnsi="仿宋" w:eastAsia="仿宋" w:cs="仿宋"/>
          <w:sz w:val="24"/>
        </w:rPr>
        <w:t>2.1服务费用按由施工方案确定的“白蚁监测装置布点点位数”（应和施工记录保持一致）、“</w:t>
      </w:r>
      <w:r>
        <w:rPr>
          <w:rFonts w:hint="eastAsia" w:ascii="仿宋" w:hAnsi="仿宋" w:eastAsia="仿宋" w:cs="仿宋"/>
          <w:sz w:val="24"/>
          <w:lang w:bidi="ar"/>
        </w:rPr>
        <w:t>村落砖混、钢混结构房屋白蚁治理户数”</w:t>
      </w:r>
      <w:r>
        <w:rPr>
          <w:rFonts w:hint="eastAsia" w:ascii="仿宋" w:hAnsi="仿宋" w:eastAsia="仿宋" w:cs="仿宋"/>
          <w:sz w:val="24"/>
        </w:rPr>
        <w:t xml:space="preserve">按实结算（单价乘以数量）费用。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2.2支付方式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（1）合同签订次日起15天内支付合同签约价的</w:t>
      </w:r>
      <w:r>
        <w:rPr>
          <w:rFonts w:hint="eastAsia" w:ascii="仿宋" w:hAnsi="仿宋" w:eastAsia="仿宋" w:cs="仿宋"/>
          <w:sz w:val="24"/>
          <w:u w:val="single"/>
        </w:rPr>
        <w:t xml:space="preserve">  </w:t>
      </w:r>
      <w:r>
        <w:rPr>
          <w:rFonts w:hint="eastAsia" w:ascii="仿宋" w:hAnsi="仿宋" w:eastAsia="仿宋" w:cs="仿宋"/>
          <w:sz w:val="24"/>
        </w:rPr>
        <w:t>%作为预付款；</w:t>
      </w:r>
    </w:p>
    <w:p>
      <w:pPr>
        <w:spacing w:line="360" w:lineRule="auto"/>
        <w:ind w:firstLine="480" w:firstLineChars="200"/>
        <w:rPr>
          <w:rFonts w:ascii="仿宋" w:hAnsi="仿宋" w:eastAsia="仿宋" w:cs="仿宋"/>
          <w:sz w:val="24"/>
        </w:rPr>
      </w:pPr>
      <w:r>
        <w:rPr>
          <w:rFonts w:hint="eastAsia" w:ascii="仿宋" w:hAnsi="仿宋" w:eastAsia="仿宋" w:cs="仿宋"/>
          <w:sz w:val="24"/>
        </w:rPr>
        <w:t>（2）每三个月按实结算一次，支付已通过中间验收项目服务费的</w:t>
      </w:r>
      <w:r>
        <w:rPr>
          <w:rFonts w:hint="eastAsia" w:ascii="仿宋" w:hAnsi="仿宋" w:eastAsia="仿宋" w:cs="仿宋"/>
          <w:sz w:val="24"/>
          <w:u w:val="single"/>
        </w:rPr>
        <w:t xml:space="preserve">   </w:t>
      </w:r>
      <w:r>
        <w:rPr>
          <w:rFonts w:hint="eastAsia" w:ascii="仿宋" w:hAnsi="仿宋" w:eastAsia="仿宋" w:cs="仿宋"/>
          <w:sz w:val="24"/>
        </w:rPr>
        <w:t>%（同时扣除预付款）；</w:t>
      </w:r>
    </w:p>
    <w:p>
      <w:pPr>
        <w:spacing w:line="360" w:lineRule="auto"/>
        <w:ind w:firstLine="480" w:firstLineChars="200"/>
        <w:rPr>
          <w:rFonts w:ascii="仿宋" w:hAnsi="仿宋" w:eastAsia="仿宋" w:cs="仿宋"/>
          <w:sz w:val="24"/>
        </w:rPr>
      </w:pPr>
      <w:r>
        <w:rPr>
          <w:rFonts w:hint="eastAsia" w:ascii="仿宋" w:hAnsi="仿宋" w:eastAsia="仿宋" w:cs="仿宋"/>
          <w:sz w:val="24"/>
        </w:rPr>
        <w:t>（3）2022年11月底支付至结算价的</w:t>
      </w:r>
      <w:r>
        <w:rPr>
          <w:rFonts w:hint="eastAsia" w:ascii="仿宋" w:hAnsi="仿宋" w:eastAsia="仿宋" w:cs="仿宋"/>
          <w:sz w:val="24"/>
          <w:u w:val="single"/>
        </w:rPr>
        <w:t xml:space="preserve">   </w:t>
      </w:r>
      <w:r>
        <w:rPr>
          <w:rFonts w:hint="eastAsia" w:ascii="仿宋" w:hAnsi="仿宋" w:eastAsia="仿宋" w:cs="仿宋"/>
          <w:sz w:val="24"/>
        </w:rPr>
        <w:t>%；</w:t>
      </w:r>
    </w:p>
    <w:p>
      <w:pPr>
        <w:numPr>
          <w:ilvl w:val="255"/>
          <w:numId w:val="0"/>
        </w:numPr>
        <w:spacing w:line="360" w:lineRule="auto"/>
        <w:rPr>
          <w:rFonts w:ascii="仿宋" w:hAnsi="仿宋" w:eastAsia="仿宋" w:cs="仿宋"/>
          <w:sz w:val="24"/>
        </w:rPr>
      </w:pPr>
      <w:r>
        <w:rPr>
          <w:rFonts w:hint="eastAsia" w:ascii="仿宋" w:hAnsi="仿宋" w:eastAsia="仿宋" w:cs="仿宋"/>
          <w:sz w:val="24"/>
        </w:rPr>
        <w:t xml:space="preserve">    （4）竣工验收通过后15天内支付剩余款项。</w:t>
      </w:r>
    </w:p>
    <w:p>
      <w:pPr>
        <w:widowControl/>
        <w:spacing w:line="360" w:lineRule="auto"/>
        <w:ind w:firstLine="361" w:firstLineChars="150"/>
        <w:rPr>
          <w:rFonts w:ascii="仿宋" w:hAnsi="仿宋" w:eastAsia="仿宋" w:cs="仿宋"/>
          <w:b/>
          <w:sz w:val="24"/>
          <w:lang w:bidi="ar"/>
        </w:rPr>
      </w:pPr>
      <w:r>
        <w:rPr>
          <w:rFonts w:hint="eastAsia" w:ascii="仿宋" w:hAnsi="仿宋" w:eastAsia="仿宋" w:cs="仿宋"/>
          <w:b/>
          <w:sz w:val="24"/>
          <w:lang w:bidi="ar"/>
        </w:rPr>
        <w:t xml:space="preserve">  第六条  白蚁监测装置检查、维护和处理的基本要求</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（1）在项目治理期内乙方应定期对本项目范围的室内外白蚁活动情况进行检查。</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（2）白蚁监测装置的检查、维护和处理宜在白蚁活动期进行，每月不少于两次。</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3）白蚁监测装置检查维护内容应包括：1）更换装置内发霉、腐烂的饵料；2）清除装置四周的灌木、杂草，清除装置内的泥土、树根、草根等；3）驱赶进入装置内的其他生物；4）根据安装环境的变化，调整松动、积水和遭破坏的装置的安装位置，重新安装，或增减装置的数量。通过中间验收后，服务期内监测装置损坏更新、或因未达到防治目标而增减装置数量的，结算价不予调整。</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 xml:space="preserve">（4）当检查发现监测装置有白蚁个体时，应投放饵剂，在其后每周（乳白蚁、土白蚁或大白蚁）或每2周（散白蚁）检查1次，直至白蚁群体被灭杀； </w:t>
      </w:r>
    </w:p>
    <w:p>
      <w:pPr>
        <w:snapToGrid w:val="0"/>
        <w:spacing w:line="360" w:lineRule="auto"/>
        <w:ind w:firstLine="480" w:firstLineChars="200"/>
        <w:rPr>
          <w:rFonts w:ascii="仿宋" w:hAnsi="仿宋" w:eastAsia="仿宋" w:cs="仿宋"/>
          <w:bCs/>
          <w:kern w:val="0"/>
          <w:sz w:val="24"/>
          <w:lang w:bidi="ar"/>
        </w:rPr>
      </w:pPr>
      <w:r>
        <w:rPr>
          <w:rFonts w:hint="eastAsia" w:ascii="仿宋" w:hAnsi="仿宋" w:eastAsia="仿宋" w:cs="仿宋"/>
          <w:bCs/>
          <w:kern w:val="0"/>
          <w:sz w:val="24"/>
          <w:lang w:bidi="ar"/>
        </w:rPr>
        <w:t>（5）乙方应定期检查房屋内部的白蚁活动情况，如发现白蚁的活动迹象应及时进行白蚁治理。</w:t>
      </w:r>
    </w:p>
    <w:p>
      <w:pPr>
        <w:spacing w:line="360" w:lineRule="auto"/>
        <w:ind w:firstLine="480"/>
        <w:rPr>
          <w:rFonts w:ascii="仿宋" w:hAnsi="仿宋" w:eastAsia="仿宋" w:cs="仿宋"/>
          <w:b/>
          <w:sz w:val="24"/>
        </w:rPr>
      </w:pPr>
      <w:r>
        <w:rPr>
          <w:rFonts w:hint="eastAsia" w:ascii="仿宋" w:hAnsi="仿宋" w:eastAsia="仿宋" w:cs="仿宋"/>
          <w:b/>
          <w:sz w:val="24"/>
          <w:lang w:bidi="ar"/>
        </w:rPr>
        <w:t>第七条  双方义务</w:t>
      </w:r>
    </w:p>
    <w:p>
      <w:pPr>
        <w:spacing w:line="360" w:lineRule="auto"/>
        <w:ind w:firstLine="361" w:firstLineChars="150"/>
        <w:rPr>
          <w:rFonts w:ascii="仿宋" w:hAnsi="仿宋" w:eastAsia="仿宋" w:cs="仿宋"/>
          <w:b/>
          <w:bCs/>
          <w:sz w:val="24"/>
        </w:rPr>
      </w:pPr>
      <w:r>
        <w:rPr>
          <w:rFonts w:hint="eastAsia" w:ascii="仿宋" w:hAnsi="仿宋" w:eastAsia="仿宋" w:cs="仿宋"/>
          <w:b/>
          <w:bCs/>
          <w:sz w:val="24"/>
          <w:lang w:bidi="ar"/>
        </w:rPr>
        <w:t>（一）甲方义务</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1.甲方负责对白蚁综合治理项目进行全面管理，解决服务过程中出现的需要甲方协调的相关问题，并参与服务项目的各种验收工作。</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2.甲方负责组织白蚁综合治理项目交底。</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3.甲方负责审定乙方提交的白蚁防治施工方案。</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4.甲方负责审核乙方提交的工程量申报。</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5.甲方指派专人负责质量监督。</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6.白蚁综合治理过程中所采购使用的药物、监测装置由甲方专人查验，使用数量应记录备案。</w:t>
      </w:r>
    </w:p>
    <w:p>
      <w:pPr>
        <w:spacing w:line="360" w:lineRule="auto"/>
        <w:ind w:firstLine="241" w:firstLineChars="100"/>
        <w:rPr>
          <w:rFonts w:ascii="仿宋" w:hAnsi="仿宋" w:eastAsia="仿宋" w:cs="仿宋"/>
          <w:b/>
          <w:bCs/>
          <w:sz w:val="24"/>
        </w:rPr>
      </w:pPr>
      <w:r>
        <w:rPr>
          <w:rFonts w:hint="eastAsia" w:ascii="仿宋" w:hAnsi="仿宋" w:eastAsia="仿宋" w:cs="仿宋"/>
          <w:b/>
          <w:bCs/>
          <w:sz w:val="24"/>
          <w:lang w:bidi="ar"/>
        </w:rPr>
        <w:t>（二）乙方义务</w:t>
      </w:r>
    </w:p>
    <w:p>
      <w:pPr>
        <w:autoSpaceDE w:val="0"/>
        <w:autoSpaceDN w:val="0"/>
        <w:spacing w:line="360" w:lineRule="auto"/>
        <w:rPr>
          <w:rFonts w:ascii="仿宋" w:hAnsi="仿宋" w:eastAsia="仿宋" w:cs="仿宋"/>
          <w:sz w:val="24"/>
        </w:rPr>
      </w:pPr>
      <w:r>
        <w:rPr>
          <w:rFonts w:hint="eastAsia" w:ascii="仿宋" w:hAnsi="仿宋" w:eastAsia="仿宋" w:cs="仿宋"/>
          <w:sz w:val="24"/>
          <w:lang w:bidi="ar"/>
        </w:rPr>
        <w:t xml:space="preserve">    1.乙方委派项目负责人</w:t>
      </w:r>
      <w:r>
        <w:rPr>
          <w:rFonts w:hint="eastAsia" w:ascii="仿宋" w:hAnsi="仿宋" w:eastAsia="仿宋" w:cs="仿宋"/>
          <w:sz w:val="24"/>
          <w:u w:val="single"/>
          <w:lang w:bidi="ar"/>
        </w:rPr>
        <w:t xml:space="preserve">  （姓名）   </w:t>
      </w:r>
      <w:r>
        <w:rPr>
          <w:rFonts w:hint="eastAsia" w:ascii="仿宋" w:hAnsi="仿宋" w:eastAsia="仿宋" w:cs="仿宋"/>
          <w:sz w:val="24"/>
          <w:lang w:bidi="ar"/>
        </w:rPr>
        <w:t>负责白蚁综合治理期间的全面管理。在实施蚁害调查、白蚁综合治理施工时，项目负责人必须到岗。</w:t>
      </w:r>
    </w:p>
    <w:p>
      <w:pPr>
        <w:autoSpaceDE w:val="0"/>
        <w:autoSpaceDN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应根据工程项目情况和施工现场调查结果，编制设计方案、施工方案。严格按照国家、地方和本合同规定的防治规范、技术要求和操作程序进行综合治理，做好自检，确保服务质量，按照本合同约定完成承包范围内的施工工作，并按甲方要求的格式书面提请办理验收和确认手续。当施工现场与安装条件不符时，应根据实际情况变更施工方案，并经批准后再实施。</w:t>
      </w:r>
    </w:p>
    <w:p>
      <w:pPr>
        <w:autoSpaceDE w:val="0"/>
        <w:autoSpaceDN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3.乙方严格按照方案组织实施，施工时间、施工区域、施工标准、用药数量、工作量等必须符合合同和综合治理方案要求。</w:t>
      </w:r>
    </w:p>
    <w:p>
      <w:pPr>
        <w:autoSpaceDE w:val="0"/>
        <w:autoSpaceDN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4.乙方按照流程和过程管理的要求，在施工的各个环节，认真、完整做好技术资料记录。</w:t>
      </w:r>
    </w:p>
    <w:p>
      <w:pPr>
        <w:autoSpaceDE w:val="0"/>
        <w:autoSpaceDN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5.白蚁综合治理施工资料的收集与管理由乙方负责。资料收集应及时、准确、完整和可靠，项目完工后归档管理。</w:t>
      </w:r>
    </w:p>
    <w:p>
      <w:pPr>
        <w:autoSpaceDE w:val="0"/>
        <w:autoSpaceDN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6.白蚁综合治理每阶段结束后乙方应填写白蚁综合治理施工记录表。</w:t>
      </w:r>
    </w:p>
    <w:p>
      <w:pPr>
        <w:autoSpaceDE w:val="0"/>
        <w:autoSpaceDN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7.乙方将完成的工程量及时提交甲方审核。</w:t>
      </w:r>
    </w:p>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lang w:bidi="ar"/>
        </w:rPr>
        <w:t>第八条  违约责任</w:t>
      </w:r>
    </w:p>
    <w:p>
      <w:pPr>
        <w:spacing w:line="360" w:lineRule="auto"/>
        <w:ind w:firstLine="600" w:firstLineChars="250"/>
        <w:rPr>
          <w:rFonts w:ascii="仿宋" w:hAnsi="仿宋" w:eastAsia="仿宋" w:cs="仿宋"/>
          <w:sz w:val="24"/>
        </w:rPr>
      </w:pPr>
      <w:r>
        <w:rPr>
          <w:rFonts w:hint="eastAsia" w:ascii="仿宋" w:hAnsi="仿宋" w:eastAsia="仿宋" w:cs="仿宋"/>
          <w:sz w:val="24"/>
          <w:lang w:bidi="ar"/>
        </w:rPr>
        <w:t>1.如乙方未按规定要求完成业务的，每个项目罚款5000元。</w:t>
      </w:r>
    </w:p>
    <w:p>
      <w:pPr>
        <w:spacing w:line="360" w:lineRule="auto"/>
        <w:ind w:firstLine="600" w:firstLineChars="250"/>
        <w:rPr>
          <w:rFonts w:ascii="仿宋" w:hAnsi="仿宋" w:eastAsia="仿宋" w:cs="仿宋"/>
          <w:sz w:val="24"/>
        </w:rPr>
      </w:pPr>
      <w:r>
        <w:rPr>
          <w:rFonts w:hint="eastAsia" w:ascii="仿宋" w:hAnsi="仿宋" w:eastAsia="仿宋" w:cs="仿宋"/>
          <w:sz w:val="24"/>
          <w:lang w:bidi="ar"/>
        </w:rPr>
        <w:t>2.由于乙方工作失误，造成客户不满意或投诉的，每次罚款500-2000元。</w:t>
      </w:r>
    </w:p>
    <w:p>
      <w:pPr>
        <w:spacing w:line="360" w:lineRule="auto"/>
        <w:ind w:firstLine="600" w:firstLineChars="250"/>
        <w:rPr>
          <w:rFonts w:ascii="仿宋" w:hAnsi="仿宋" w:eastAsia="仿宋" w:cs="仿宋"/>
          <w:sz w:val="24"/>
        </w:rPr>
      </w:pPr>
      <w:r>
        <w:rPr>
          <w:rFonts w:hint="eastAsia" w:ascii="仿宋" w:hAnsi="仿宋" w:eastAsia="仿宋" w:cs="仿宋"/>
          <w:sz w:val="24"/>
          <w:lang w:bidi="ar"/>
        </w:rPr>
        <w:t>3.乙方违反本合同规定，拒绝返工或未能达到双方约定的防治质量标准，甲方有权提前解除合同，并按合同签约价的20%处罚。</w:t>
      </w:r>
    </w:p>
    <w:p>
      <w:pPr>
        <w:snapToGrid w:val="0"/>
        <w:spacing w:line="360" w:lineRule="auto"/>
        <w:ind w:firstLine="480" w:firstLineChars="200"/>
        <w:rPr>
          <w:rFonts w:ascii="仿宋" w:hAnsi="仿宋" w:eastAsia="仿宋" w:cs="仿宋"/>
          <w:sz w:val="24"/>
        </w:rPr>
      </w:pPr>
      <w:r>
        <w:rPr>
          <w:rFonts w:hint="eastAsia" w:ascii="仿宋" w:hAnsi="仿宋" w:eastAsia="仿宋" w:cs="仿宋"/>
          <w:bCs/>
          <w:sz w:val="24"/>
          <w:lang w:bidi="ar"/>
        </w:rPr>
        <w:t>4.</w:t>
      </w:r>
      <w:r>
        <w:rPr>
          <w:rFonts w:hint="eastAsia" w:ascii="仿宋" w:hAnsi="仿宋" w:eastAsia="仿宋" w:cs="仿宋"/>
          <w:sz w:val="24"/>
          <w:lang w:bidi="ar"/>
        </w:rPr>
        <w:t xml:space="preserve">甲方组织人员进行施工现场验收。若服务期内若超过3次验收审核不通过重新施工的，按不通过项目费用合计的20%处罚，同时甲方有权提前解除合同。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5.由于成交单位工作失误，造成客户投诉或发生较大责任事故，导致采购人受上级部门问责或处分的，扣罚5000元，并中止合同，取消下一轮采购成交资格。</w:t>
      </w:r>
    </w:p>
    <w:p>
      <w:pPr>
        <w:spacing w:line="360" w:lineRule="auto"/>
        <w:ind w:firstLine="514" w:firstLineChars="200"/>
        <w:rPr>
          <w:rFonts w:ascii="仿宋" w:hAnsi="仿宋" w:eastAsia="仿宋" w:cs="仿宋"/>
          <w:b/>
          <w:spacing w:val="8"/>
          <w:sz w:val="24"/>
        </w:rPr>
      </w:pPr>
      <w:r>
        <w:rPr>
          <w:rFonts w:hint="eastAsia" w:ascii="仿宋" w:hAnsi="仿宋" w:eastAsia="仿宋" w:cs="仿宋"/>
          <w:b/>
          <w:spacing w:val="8"/>
          <w:sz w:val="24"/>
          <w:lang w:bidi="ar"/>
        </w:rPr>
        <w:t>第九条  争议的解决</w:t>
      </w:r>
    </w:p>
    <w:p>
      <w:pPr>
        <w:spacing w:line="360" w:lineRule="auto"/>
        <w:ind w:firstLine="512" w:firstLineChars="200"/>
        <w:rPr>
          <w:rFonts w:ascii="仿宋" w:hAnsi="仿宋" w:eastAsia="仿宋" w:cs="仿宋"/>
          <w:spacing w:val="8"/>
          <w:sz w:val="24"/>
        </w:rPr>
      </w:pPr>
      <w:r>
        <w:rPr>
          <w:rFonts w:hint="eastAsia" w:ascii="仿宋" w:hAnsi="仿宋" w:eastAsia="仿宋" w:cs="仿宋"/>
          <w:spacing w:val="8"/>
          <w:sz w:val="24"/>
          <w:lang w:bidi="ar"/>
        </w:rPr>
        <w:t>凡因执行本合同所发生的或与本合同有关的一切争议，合同各方应通过友好协商解决；如果不能协商解决，可通过法律途径解决。</w:t>
      </w:r>
    </w:p>
    <w:p>
      <w:pPr>
        <w:spacing w:line="360" w:lineRule="auto"/>
        <w:ind w:firstLine="482" w:firstLineChars="200"/>
        <w:rPr>
          <w:rFonts w:ascii="仿宋" w:hAnsi="仿宋" w:eastAsia="仿宋" w:cs="仿宋"/>
          <w:b/>
          <w:sz w:val="24"/>
        </w:rPr>
      </w:pPr>
      <w:r>
        <w:rPr>
          <w:rFonts w:hint="eastAsia" w:ascii="仿宋" w:hAnsi="仿宋" w:eastAsia="仿宋" w:cs="仿宋"/>
          <w:b/>
          <w:sz w:val="24"/>
          <w:lang w:bidi="ar"/>
        </w:rPr>
        <w:t>第十条  其它</w:t>
      </w:r>
    </w:p>
    <w:p>
      <w:pPr>
        <w:spacing w:line="360" w:lineRule="auto"/>
        <w:ind w:firstLine="512" w:firstLineChars="200"/>
        <w:rPr>
          <w:rFonts w:ascii="仿宋" w:hAnsi="仿宋" w:eastAsia="仿宋" w:cs="仿宋"/>
          <w:sz w:val="24"/>
        </w:rPr>
      </w:pPr>
      <w:r>
        <w:rPr>
          <w:rFonts w:hint="eastAsia" w:ascii="仿宋" w:hAnsi="仿宋" w:eastAsia="仿宋" w:cs="仿宋"/>
          <w:spacing w:val="8"/>
          <w:sz w:val="24"/>
          <w:lang w:bidi="ar"/>
        </w:rPr>
        <w:t>1.</w:t>
      </w:r>
      <w:r>
        <w:rPr>
          <w:rFonts w:hint="eastAsia" w:ascii="仿宋" w:hAnsi="仿宋" w:eastAsia="仿宋" w:cs="仿宋"/>
          <w:sz w:val="24"/>
          <w:lang w:bidi="ar"/>
        </w:rPr>
        <w:t>本合同未尽事宜，由甲乙双方友好协商，另签订补充协议。补充协议与本合同具同等法律效力。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2.合同及其补充协议自双方签字、盖章之日起生效，并在保治期限届满，结清余款后终止，合同终止并不影响合同中有关保治条款的效力。</w:t>
      </w:r>
    </w:p>
    <w:p>
      <w:pPr>
        <w:snapToGrid w:val="0"/>
        <w:spacing w:line="360" w:lineRule="auto"/>
        <w:ind w:firstLine="540"/>
        <w:rPr>
          <w:rFonts w:ascii="仿宋" w:hAnsi="仿宋" w:eastAsia="仿宋" w:cs="仿宋"/>
          <w:sz w:val="24"/>
        </w:rPr>
      </w:pPr>
      <w:r>
        <w:rPr>
          <w:rFonts w:hint="eastAsia" w:ascii="仿宋" w:hAnsi="仿宋" w:eastAsia="仿宋" w:cs="仿宋"/>
          <w:sz w:val="24"/>
          <w:lang w:bidi="ar"/>
        </w:rPr>
        <w:t>3.本合同附件是本合同的组成部分，与本合同具有同等法律效力。</w:t>
      </w:r>
    </w:p>
    <w:p>
      <w:pPr>
        <w:snapToGrid w:val="0"/>
        <w:spacing w:line="360" w:lineRule="auto"/>
        <w:ind w:firstLine="540"/>
        <w:rPr>
          <w:rFonts w:ascii="仿宋" w:hAnsi="仿宋" w:eastAsia="仿宋" w:cs="仿宋"/>
          <w:b/>
          <w:sz w:val="24"/>
        </w:rPr>
      </w:pPr>
      <w:r>
        <w:rPr>
          <w:rFonts w:hint="eastAsia" w:ascii="仿宋" w:hAnsi="仿宋" w:eastAsia="仿宋" w:cs="仿宋"/>
          <w:sz w:val="24"/>
          <w:lang w:bidi="ar"/>
        </w:rPr>
        <w:t>4.本合同一式</w:t>
      </w:r>
      <w:r>
        <w:rPr>
          <w:rFonts w:hint="eastAsia" w:ascii="仿宋" w:hAnsi="仿宋" w:eastAsia="仿宋" w:cs="仿宋"/>
          <w:sz w:val="24"/>
          <w:u w:val="single"/>
          <w:lang w:bidi="ar"/>
        </w:rPr>
        <w:t xml:space="preserve">   伍  </w:t>
      </w:r>
      <w:r>
        <w:rPr>
          <w:rFonts w:hint="eastAsia" w:ascii="仿宋" w:hAnsi="仿宋" w:eastAsia="仿宋" w:cs="仿宋"/>
          <w:sz w:val="24"/>
          <w:lang w:bidi="ar"/>
        </w:rPr>
        <w:t>份，甲、乙双方各执</w:t>
      </w:r>
      <w:r>
        <w:rPr>
          <w:rFonts w:hint="eastAsia" w:ascii="仿宋" w:hAnsi="仿宋" w:eastAsia="仿宋" w:cs="仿宋"/>
          <w:sz w:val="24"/>
          <w:u w:val="single"/>
          <w:lang w:bidi="ar"/>
        </w:rPr>
        <w:t xml:space="preserve">  贰  </w:t>
      </w:r>
      <w:r>
        <w:rPr>
          <w:rFonts w:hint="eastAsia" w:ascii="仿宋" w:hAnsi="仿宋" w:eastAsia="仿宋" w:cs="仿宋"/>
          <w:sz w:val="24"/>
          <w:lang w:bidi="ar"/>
        </w:rPr>
        <w:t>份，鉴证方</w:t>
      </w:r>
      <w:r>
        <w:rPr>
          <w:rFonts w:hint="eastAsia" w:ascii="仿宋" w:hAnsi="仿宋" w:eastAsia="仿宋" w:cs="仿宋"/>
          <w:sz w:val="24"/>
          <w:u w:val="single"/>
          <w:lang w:bidi="ar"/>
        </w:rPr>
        <w:t xml:space="preserve">  壹  </w:t>
      </w:r>
      <w:r>
        <w:rPr>
          <w:rFonts w:hint="eastAsia" w:ascii="仿宋" w:hAnsi="仿宋" w:eastAsia="仿宋" w:cs="仿宋"/>
          <w:sz w:val="24"/>
          <w:lang w:bidi="ar"/>
        </w:rPr>
        <w:t>份每份均具同等法律效力。</w:t>
      </w:r>
    </w:p>
    <w:p>
      <w:pPr>
        <w:keepNext/>
        <w:spacing w:line="360" w:lineRule="auto"/>
        <w:ind w:firstLine="241" w:firstLineChars="100"/>
        <w:rPr>
          <w:rFonts w:ascii="仿宋" w:hAnsi="仿宋" w:eastAsia="仿宋" w:cs="仿宋"/>
          <w:b/>
          <w:sz w:val="24"/>
        </w:rPr>
      </w:pPr>
      <w:r>
        <w:rPr>
          <w:rFonts w:hint="eastAsia" w:ascii="仿宋" w:hAnsi="仿宋" w:eastAsia="仿宋" w:cs="仿宋"/>
          <w:b/>
          <w:sz w:val="24"/>
          <w:lang w:bidi="ar"/>
        </w:rPr>
        <w:t>甲方                            乙方</w:t>
      </w:r>
    </w:p>
    <w:p>
      <w:pPr>
        <w:spacing w:line="360" w:lineRule="auto"/>
        <w:rPr>
          <w:rFonts w:ascii="仿宋" w:hAnsi="仿宋" w:eastAsia="仿宋" w:cs="仿宋"/>
          <w:sz w:val="24"/>
        </w:rPr>
      </w:pPr>
      <w:r>
        <w:rPr>
          <w:rFonts w:hint="eastAsia" w:ascii="仿宋" w:hAnsi="仿宋" w:eastAsia="仿宋" w:cs="仿宋"/>
          <w:sz w:val="24"/>
          <w:lang w:bidi="ar"/>
        </w:rPr>
        <w:t>（盖章）：                      （盖章）：</w:t>
      </w:r>
    </w:p>
    <w:p>
      <w:pPr>
        <w:spacing w:line="360" w:lineRule="auto"/>
        <w:rPr>
          <w:rFonts w:ascii="仿宋" w:hAnsi="仿宋" w:eastAsia="仿宋" w:cs="仿宋"/>
          <w:sz w:val="24"/>
        </w:rPr>
      </w:pPr>
      <w:r>
        <w:rPr>
          <w:rFonts w:hint="eastAsia" w:ascii="仿宋" w:hAnsi="仿宋" w:eastAsia="仿宋" w:cs="仿宋"/>
          <w:sz w:val="24"/>
          <w:lang w:bidi="ar"/>
        </w:rPr>
        <w:t>法定代表人（签字或盖章）          法定代表人（签字或盖章）：</w:t>
      </w:r>
    </w:p>
    <w:p>
      <w:pPr>
        <w:spacing w:line="360" w:lineRule="auto"/>
        <w:rPr>
          <w:rFonts w:ascii="仿宋" w:hAnsi="仿宋" w:eastAsia="仿宋" w:cs="仿宋"/>
          <w:sz w:val="24"/>
        </w:rPr>
      </w:pPr>
      <w:r>
        <w:rPr>
          <w:rFonts w:hint="eastAsia" w:ascii="仿宋" w:hAnsi="仿宋" w:eastAsia="仿宋" w:cs="仿宋"/>
          <w:sz w:val="24"/>
          <w:lang w:bidi="ar"/>
        </w:rPr>
        <w:t>签约日期：                        签约日期：</w:t>
      </w:r>
    </w:p>
    <w:p>
      <w:pPr>
        <w:pStyle w:val="60"/>
        <w:widowControl/>
        <w:spacing w:beforeAutospacing="1" w:line="360" w:lineRule="auto"/>
        <w:ind w:firstLine="0"/>
        <w:rPr>
          <w:rFonts w:ascii="仿宋" w:hAnsi="仿宋" w:eastAsia="仿宋" w:cs="仿宋"/>
        </w:rPr>
      </w:pPr>
      <w:r>
        <w:rPr>
          <w:rFonts w:hint="eastAsia" w:ascii="仿宋" w:hAnsi="仿宋" w:eastAsia="仿宋" w:cs="仿宋"/>
        </w:rPr>
        <w:t xml:space="preserve"> </w:t>
      </w:r>
    </w:p>
    <w:p>
      <w:pPr>
        <w:pStyle w:val="3"/>
        <w:spacing w:line="360" w:lineRule="auto"/>
        <w:rPr>
          <w:rFonts w:eastAsia="仿宋"/>
          <w:b w:val="0"/>
          <w:bCs w:val="0"/>
          <w:lang w:val="en-US"/>
        </w:rPr>
      </w:pPr>
      <w:r>
        <w:rPr>
          <w:rFonts w:hint="eastAsia" w:ascii="仿宋" w:eastAsia="仿宋"/>
          <w:b w:val="0"/>
          <w:bCs w:val="0"/>
          <w:sz w:val="24"/>
          <w:lang w:val="en-US"/>
        </w:rPr>
        <w:t>附件1：</w:t>
      </w:r>
      <w:r>
        <w:rPr>
          <w:rFonts w:hint="eastAsia" w:ascii="仿宋" w:eastAsia="仿宋"/>
          <w:b w:val="0"/>
          <w:bCs w:val="0"/>
          <w:sz w:val="24"/>
        </w:rPr>
        <w:t>杭州市政府采购网公布</w:t>
      </w:r>
      <w:r>
        <w:rPr>
          <w:rFonts w:hint="eastAsia" w:ascii="仿宋" w:eastAsia="仿宋"/>
          <w:b w:val="0"/>
          <w:bCs w:val="0"/>
          <w:sz w:val="24"/>
          <w:lang w:val="en-US"/>
        </w:rPr>
        <w:t>的乙方</w:t>
      </w:r>
      <w:r>
        <w:rPr>
          <w:rFonts w:hint="eastAsia" w:ascii="仿宋" w:eastAsia="仿宋"/>
          <w:b w:val="0"/>
          <w:bCs w:val="0"/>
          <w:sz w:val="24"/>
        </w:rPr>
        <w:t>履约评价</w:t>
      </w:r>
      <w:r>
        <w:rPr>
          <w:rFonts w:hint="eastAsia" w:ascii="仿宋" w:eastAsia="仿宋"/>
          <w:b w:val="0"/>
          <w:bCs w:val="0"/>
          <w:sz w:val="24"/>
          <w:lang w:val="en-US"/>
        </w:rPr>
        <w:t>网页截图</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Pr>
        <w:spacing w:line="360" w:lineRule="auto"/>
        <w:ind w:firstLine="360" w:firstLineChars="150"/>
        <w:rPr>
          <w:rFonts w:ascii="仿宋" w:hAnsi="仿宋" w:eastAsia="仿宋" w:cs="仿宋"/>
          <w:sz w:val="24"/>
        </w:rPr>
      </w:pPr>
    </w:p>
    <w:p>
      <w:pPr>
        <w:spacing w:line="360" w:lineRule="auto"/>
        <w:ind w:left="-420" w:leftChars="-200" w:right="-420" w:rightChars="-200" w:firstLine="480" w:firstLineChars="200"/>
        <w:jc w:val="center"/>
        <w:rPr>
          <w:rFonts w:ascii="仿宋" w:hAnsi="仿宋" w:eastAsia="仿宋"/>
          <w:sz w:val="24"/>
        </w:rPr>
      </w:pPr>
    </w:p>
    <w:p>
      <w:pPr>
        <w:rPr>
          <w:rFonts w:ascii="仿宋" w:hAnsi="仿宋" w:eastAsia="仿宋" w:cs="仿宋_GB2312"/>
          <w:b/>
          <w:sz w:val="36"/>
          <w:szCs w:val="20"/>
        </w:rPr>
      </w:pPr>
      <w:r>
        <w:rPr>
          <w:rFonts w:hint="eastAsia" w:ascii="仿宋" w:hAnsi="仿宋" w:eastAsia="仿宋" w:cs="仿宋_GB2312"/>
          <w:b/>
          <w:sz w:val="36"/>
          <w:szCs w:val="20"/>
        </w:rPr>
        <w:br w:type="page"/>
      </w:r>
    </w:p>
    <w:p>
      <w:pPr>
        <w:jc w:val="left"/>
      </w:pPr>
    </w:p>
    <w:p>
      <w:pPr>
        <w:adjustRightInd/>
        <w:spacing w:line="360" w:lineRule="auto"/>
        <w:jc w:val="center"/>
        <w:outlineLvl w:val="0"/>
        <w:rPr>
          <w:rFonts w:ascii="仿宋" w:hAnsi="仿宋" w:eastAsia="仿宋" w:cs="仿宋_GB2312"/>
          <w:b/>
          <w:sz w:val="36"/>
          <w:szCs w:val="20"/>
        </w:rPr>
      </w:pPr>
      <w:bookmarkStart w:id="432" w:name="_Toc98147534"/>
      <w:r>
        <w:rPr>
          <w:rFonts w:hint="eastAsia" w:ascii="仿宋" w:hAnsi="仿宋" w:eastAsia="仿宋" w:cs="仿宋_GB2312"/>
          <w:b/>
          <w:sz w:val="36"/>
          <w:szCs w:val="20"/>
        </w:rPr>
        <w:t>第六部分</w:t>
      </w:r>
      <w:bookmarkEnd w:id="411"/>
      <w:bookmarkEnd w:id="412"/>
      <w:r>
        <w:rPr>
          <w:rFonts w:hint="eastAsia" w:ascii="仿宋" w:hAnsi="仿宋" w:eastAsia="仿宋" w:cs="仿宋_GB2312"/>
          <w:b/>
          <w:sz w:val="36"/>
          <w:szCs w:val="20"/>
        </w:rPr>
        <w:t xml:space="preserve">  应提交的有关格式范例</w:t>
      </w:r>
      <w:bookmarkEnd w:id="432"/>
    </w:p>
    <w:p>
      <w:pPr>
        <w:spacing w:line="360" w:lineRule="auto"/>
        <w:jc w:val="center"/>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bookmarkStart w:id="433" w:name="_Toc5288"/>
      <w:bookmarkStart w:id="434" w:name="_Toc19237"/>
      <w:bookmarkStart w:id="435" w:name="_Toc98147535"/>
      <w:r>
        <w:rPr>
          <w:rFonts w:hint="eastAsia" w:ascii="仿宋" w:hAnsi="仿宋" w:eastAsia="仿宋" w:cs="仿宋_GB2312"/>
          <w:b/>
          <w:kern w:val="0"/>
          <w:sz w:val="36"/>
          <w:szCs w:val="36"/>
        </w:rPr>
        <w:t>资格文件部分</w:t>
      </w:r>
      <w:bookmarkEnd w:id="433"/>
      <w:bookmarkEnd w:id="434"/>
      <w:bookmarkEnd w:id="435"/>
    </w:p>
    <w:p>
      <w:pPr>
        <w:spacing w:line="360" w:lineRule="auto"/>
        <w:jc w:val="center"/>
        <w:outlineLvl w:val="0"/>
        <w:rPr>
          <w:rFonts w:ascii="仿宋" w:hAnsi="仿宋" w:eastAsia="仿宋" w:cs="仿宋_GB2312"/>
          <w:b/>
          <w:kern w:val="0"/>
          <w:sz w:val="36"/>
          <w:szCs w:val="36"/>
        </w:rPr>
      </w:pPr>
      <w:bookmarkStart w:id="436" w:name="_Toc30035"/>
      <w:bookmarkStart w:id="437" w:name="_Toc9170"/>
      <w:bookmarkStart w:id="438" w:name="_Toc98147536"/>
      <w:r>
        <w:rPr>
          <w:rFonts w:hint="eastAsia" w:ascii="仿宋" w:hAnsi="仿宋" w:eastAsia="仿宋" w:cs="仿宋_GB2312"/>
          <w:b/>
          <w:kern w:val="0"/>
          <w:sz w:val="36"/>
          <w:szCs w:val="36"/>
        </w:rPr>
        <w:t>目录</w:t>
      </w:r>
      <w:bookmarkEnd w:id="436"/>
      <w:bookmarkEnd w:id="437"/>
      <w:bookmarkEnd w:id="438"/>
    </w:p>
    <w:p>
      <w:pPr>
        <w:spacing w:line="360" w:lineRule="auto"/>
        <w:jc w:val="center"/>
        <w:rPr>
          <w:rFonts w:ascii="仿宋" w:hAnsi="仿宋" w:eastAsia="仿宋" w:cs="仿宋_GB2312"/>
          <w:b/>
          <w:kern w:val="0"/>
          <w:sz w:val="36"/>
          <w:szCs w:val="36"/>
        </w:rPr>
      </w:pPr>
    </w:p>
    <w:p>
      <w:pPr>
        <w:snapToGrid w:val="0"/>
        <w:spacing w:line="360" w:lineRule="auto"/>
        <w:rPr>
          <w:rFonts w:ascii="仿宋" w:hAnsi="仿宋" w:eastAsia="仿宋" w:cs="仿宋_GB2312"/>
          <w:sz w:val="24"/>
        </w:rPr>
      </w:pPr>
      <w:bookmarkStart w:id="439" w:name="_Toc24462"/>
      <w:bookmarkStart w:id="440" w:name="_Toc984"/>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供应商（联合体参加的指联合体双方，拟采用分包的指总包方和分包方）的营业执照或者其他由国家相关部门出具的具有独立承担民事责任能力的证明文件（自然人参加的提供身份证复制件……………………………………………………………（页码）</w:t>
      </w:r>
    </w:p>
    <w:p>
      <w:pPr>
        <w:snapToGrid w:val="0"/>
        <w:spacing w:line="360" w:lineRule="auto"/>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符合参加</w:t>
      </w:r>
      <w:r>
        <w:rPr>
          <w:rFonts w:hint="eastAsia" w:ascii="仿宋" w:hAnsi="仿宋" w:eastAsia="仿宋" w:cs="仿宋_GB2312"/>
          <w:sz w:val="24"/>
        </w:rPr>
        <w:t>采购</w:t>
      </w:r>
      <w:r>
        <w:rPr>
          <w:rFonts w:ascii="仿宋" w:hAnsi="仿宋" w:eastAsia="仿宋" w:cs="仿宋_GB2312"/>
          <w:sz w:val="24"/>
        </w:rPr>
        <w:t>活动应当具备的一般条件的承诺函……</w:t>
      </w:r>
      <w:r>
        <w:rPr>
          <w:rFonts w:hint="eastAsia" w:ascii="仿宋" w:hAnsi="仿宋" w:eastAsia="仿宋" w:cs="仿宋_GB2312"/>
          <w:sz w:val="24"/>
        </w:rPr>
        <w:t>………………………（页码）</w:t>
      </w:r>
      <w:bookmarkEnd w:id="439"/>
      <w:bookmarkEnd w:id="440"/>
    </w:p>
    <w:p>
      <w:pPr>
        <w:snapToGrid w:val="0"/>
        <w:spacing w:line="360" w:lineRule="auto"/>
        <w:rPr>
          <w:rFonts w:ascii="仿宋" w:hAnsi="仿宋" w:eastAsia="仿宋" w:cs="仿宋_GB2312"/>
          <w:sz w:val="24"/>
        </w:rPr>
      </w:pPr>
      <w:bookmarkStart w:id="441" w:name="_Toc30250"/>
      <w:bookmarkStart w:id="442" w:name="_Toc22075"/>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）满足采购政策资格要求证明材料………………………………………………（页码）</w:t>
      </w:r>
      <w:bookmarkEnd w:id="441"/>
      <w:bookmarkEnd w:id="442"/>
    </w:p>
    <w:p>
      <w:pPr>
        <w:snapToGrid w:val="0"/>
        <w:spacing w:line="360" w:lineRule="auto"/>
        <w:rPr>
          <w:rFonts w:ascii="仿宋" w:hAnsi="仿宋" w:eastAsia="仿宋" w:cs="仿宋_GB2312"/>
          <w:sz w:val="24"/>
        </w:rPr>
      </w:pPr>
      <w:bookmarkStart w:id="443" w:name="_Toc17154"/>
      <w:bookmarkStart w:id="444" w:name="_Toc30529"/>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）满足本项目特定资格要求证明材料……………………………………………（页码）</w:t>
      </w:r>
      <w:bookmarkEnd w:id="443"/>
      <w:bookmarkEnd w:id="444"/>
    </w:p>
    <w:p>
      <w:pPr>
        <w:spacing w:line="360" w:lineRule="auto"/>
        <w:ind w:firstLine="480" w:firstLineChars="200"/>
        <w:rPr>
          <w:rFonts w:ascii="仿宋" w:hAnsi="仿宋" w:eastAsia="仿宋" w:cs="仿宋_GB2312"/>
          <w:sz w:val="24"/>
        </w:rPr>
      </w:pPr>
    </w:p>
    <w:p>
      <w:pPr>
        <w:overflowPunct w:val="0"/>
        <w:snapToGrid w:val="0"/>
        <w:spacing w:line="360" w:lineRule="auto"/>
        <w:ind w:right="480"/>
        <w:jc w:val="center"/>
        <w:rPr>
          <w:rFonts w:ascii="仿宋" w:hAnsi="仿宋" w:eastAsia="仿宋" w:cs="仿宋_GB2312"/>
          <w:b/>
          <w:kern w:val="0"/>
          <w:sz w:val="32"/>
          <w:szCs w:val="32"/>
        </w:rPr>
      </w:pPr>
      <w:r>
        <w:rPr>
          <w:rFonts w:ascii="仿宋" w:hAnsi="仿宋" w:eastAsia="仿宋" w:cs="仿宋_GB2312"/>
          <w:kern w:val="0"/>
          <w:sz w:val="24"/>
        </w:rPr>
        <w:br w:type="page"/>
      </w:r>
    </w:p>
    <w:p>
      <w:pPr>
        <w:snapToGrid w:val="0"/>
        <w:spacing w:line="360" w:lineRule="auto"/>
        <w:ind w:right="480"/>
        <w:jc w:val="center"/>
        <w:outlineLvl w:val="2"/>
        <w:rPr>
          <w:rFonts w:ascii="仿宋" w:hAnsi="仿宋" w:eastAsia="仿宋" w:cs="仿宋_GB2312"/>
          <w:b/>
          <w:kern w:val="0"/>
          <w:sz w:val="32"/>
          <w:szCs w:val="32"/>
        </w:rPr>
      </w:pPr>
      <w:r>
        <w:rPr>
          <w:rFonts w:ascii="仿宋" w:hAnsi="仿宋" w:eastAsia="仿宋" w:cs="仿宋_GB2312"/>
          <w:b/>
          <w:kern w:val="0"/>
          <w:sz w:val="32"/>
          <w:szCs w:val="32"/>
        </w:rPr>
        <w:t>一、 符合参加</w:t>
      </w:r>
      <w:r>
        <w:rPr>
          <w:rFonts w:hint="eastAsia" w:ascii="仿宋" w:hAnsi="仿宋" w:eastAsia="仿宋" w:cs="仿宋_GB2312"/>
          <w:b/>
          <w:kern w:val="0"/>
          <w:sz w:val="32"/>
          <w:szCs w:val="32"/>
        </w:rPr>
        <w:t>采购</w:t>
      </w:r>
      <w:r>
        <w:rPr>
          <w:rFonts w:ascii="仿宋" w:hAnsi="仿宋" w:eastAsia="仿宋" w:cs="仿宋_GB2312"/>
          <w:b/>
          <w:kern w:val="0"/>
          <w:sz w:val="32"/>
          <w:szCs w:val="32"/>
        </w:rPr>
        <w:t>活动应当具备的一般条件的承诺函</w:t>
      </w: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承诺函</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我方我方</w:t>
      </w:r>
      <w:r>
        <w:rPr>
          <w:rFonts w:hint="eastAsia" w:ascii="仿宋_GB2312" w:hAnsi="仿宋" w:eastAsia="仿宋_GB2312" w:cs="仿宋_GB2312"/>
          <w:sz w:val="24"/>
          <w:u w:val="single"/>
        </w:rPr>
        <w:t>（供应商名称。联合体参加的，填联合体所有成员名称。）</w:t>
      </w:r>
      <w:r>
        <w:rPr>
          <w:rFonts w:hint="eastAsia" w:ascii="仿宋_GB2312" w:hAnsi="仿宋" w:eastAsia="仿宋_GB2312" w:cs="仿宋_GB2312"/>
          <w:sz w:val="24"/>
        </w:rPr>
        <w:t>参与</w:t>
      </w:r>
      <w:r>
        <w:rPr>
          <w:rFonts w:hint="eastAsia" w:ascii="仿宋_GB2312" w:hAnsi="仿宋" w:eastAsia="仿宋_GB2312" w:cs="仿宋_GB2312"/>
          <w:sz w:val="24"/>
          <w:u w:val="single"/>
        </w:rPr>
        <w:t>（项目名称）【项目编号：】</w:t>
      </w:r>
      <w:r>
        <w:rPr>
          <w:rFonts w:hint="eastAsia" w:ascii="仿宋_GB2312" w:hAnsi="仿宋" w:eastAsia="仿宋_GB2312" w:cs="仿宋_GB2312"/>
          <w:sz w:val="24"/>
        </w:rPr>
        <w:t>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w:t>
      </w:r>
      <w:r>
        <w:rPr>
          <w:rFonts w:hint="eastAsia" w:ascii="仿宋_GB2312" w:hAnsi="仿宋" w:eastAsia="仿宋_GB2312"/>
          <w:sz w:val="24"/>
          <w:u w:val="single"/>
        </w:rPr>
        <w:t>本项目</w:t>
      </w:r>
      <w:r>
        <w:rPr>
          <w:rFonts w:hint="eastAsia" w:ascii="仿宋_GB2312" w:hAnsi="仿宋" w:eastAsia="仿宋_GB2312"/>
          <w:sz w:val="24"/>
        </w:rPr>
        <w:t>采购</w:t>
      </w:r>
      <w:r>
        <w:rPr>
          <w:rFonts w:ascii="仿宋_GB2312" w:hAnsi="仿宋" w:eastAsia="仿宋_GB2312"/>
          <w:sz w:val="24"/>
        </w:rPr>
        <w:t>活动前三年内，在经营活动中没有重大违法记录</w:t>
      </w:r>
      <w:r>
        <w:rPr>
          <w:rFonts w:hint="eastAsia" w:ascii="仿宋_GB2312" w:hAnsi="仿宋" w:eastAsia="仿宋_GB2312"/>
          <w:sz w:val="24"/>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ascii="仿宋_GB2312" w:hAnsi="仿宋" w:eastAsia="仿宋_GB2312"/>
          <w:sz w:val="24"/>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w:t>
      </w:r>
      <w:r>
        <w:rPr>
          <w:rFonts w:hint="eastAsia" w:ascii="仿宋_GB2312" w:hAnsi="仿宋" w:eastAsia="仿宋_GB2312" w:cs="仿宋_GB2312"/>
          <w:sz w:val="24"/>
        </w:rPr>
        <w:t>采购</w:t>
      </w:r>
      <w:r>
        <w:rPr>
          <w:rFonts w:ascii="仿宋_GB2312" w:hAnsi="仿宋" w:eastAsia="仿宋_GB2312" w:cs="仿宋_GB2312"/>
          <w:sz w:val="24"/>
        </w:rPr>
        <w:t>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3、本单位与采购人之间存在下列利害关系:</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A．投资关系，B．行政隶属关系，C．业务指导关系，D．其他可能影响采购公正的利害关系。</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4、因违法经营被禁止参加采购活动的期限内的。</w:t>
      </w:r>
    </w:p>
    <w:p>
      <w:pPr>
        <w:pStyle w:val="61"/>
        <w:ind w:firstLine="420"/>
        <w:rPr>
          <w:lang w:val="zh-CN"/>
        </w:rPr>
      </w:pPr>
    </w:p>
    <w:p>
      <w:pPr>
        <w:snapToGrid w:val="0"/>
        <w:spacing w:line="360" w:lineRule="auto"/>
        <w:ind w:right="480" w:firstLine="3120" w:firstLineChars="1300"/>
        <w:rPr>
          <w:rFonts w:ascii="仿宋" w:hAnsi="仿宋" w:eastAsia="仿宋" w:cs="仿宋_GB2312"/>
          <w:kern w:val="0"/>
          <w:sz w:val="24"/>
          <w:lang w:val="zh-CN"/>
        </w:rPr>
      </w:pPr>
      <w:r>
        <w:rPr>
          <w:rFonts w:hint="eastAsia" w:ascii="仿宋" w:hAnsi="仿宋" w:eastAsia="仿宋" w:cs="仿宋_GB2312"/>
          <w:kern w:val="0"/>
          <w:sz w:val="24"/>
          <w:lang w:val="zh-CN"/>
        </w:rPr>
        <w:t xml:space="preserve">供应商名称（单位电子公章或业务专用章）：                          </w:t>
      </w:r>
    </w:p>
    <w:p>
      <w:pPr>
        <w:pStyle w:val="61"/>
        <w:ind w:right="480" w:firstLine="3000" w:firstLineChars="1250"/>
        <w:rPr>
          <w:lang w:val="zh-CN"/>
        </w:rPr>
      </w:pPr>
      <w:r>
        <w:rPr>
          <w:rFonts w:hint="eastAsia" w:ascii="仿宋" w:hAnsi="仿宋" w:eastAsia="仿宋" w:cs="仿宋_GB2312"/>
          <w:kern w:val="0"/>
          <w:sz w:val="24"/>
          <w:lang w:val="zh-CN"/>
        </w:rPr>
        <w:t>日期：  年   月   日</w:t>
      </w: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line="360" w:lineRule="auto"/>
        <w:ind w:right="480"/>
        <w:jc w:val="center"/>
        <w:outlineLvl w:val="2"/>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ind w:firstLine="480" w:firstLineChars="200"/>
        <w:rPr>
          <w:rFonts w:ascii="仿宋" w:hAnsi="仿宋" w:eastAsia="仿宋" w:cs="仿宋_GB2312"/>
          <w:b/>
          <w:sz w:val="24"/>
        </w:rPr>
      </w:pPr>
      <w:sdt>
        <w:sdtPr>
          <w:rPr>
            <w:rFonts w:hint="eastAsia" w:ascii="仿宋_GB2312" w:hAnsi="仿宋" w:eastAsia="仿宋_GB2312" w:cs="Arial"/>
            <w:kern w:val="0"/>
            <w:sz w:val="24"/>
          </w:rPr>
          <w:id w:val="105659486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 w:hAnsi="仿宋" w:eastAsia="仿宋" w:cs="仿宋_GB2312"/>
          <w:b/>
          <w:sz w:val="24"/>
        </w:rPr>
        <w:t>A.专门面向中小企业，货物全部由符合政策要求的中小企业（或小微企业）制造或者服务全部由符合政策要求的中小企业（或小微企业）承接的，提供相应的中小企业声明函（附件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b/>
          <w:sz w:val="24"/>
        </w:rPr>
        <w:t>5</w:t>
      </w:r>
      <w:r>
        <w:rPr>
          <w:rFonts w:hint="eastAsia" w:ascii="仿宋" w:hAnsi="仿宋" w:eastAsia="仿宋" w:cs="仿宋_GB2312"/>
          <w:b/>
          <w:sz w:val="24"/>
        </w:rPr>
        <w:t xml:space="preserve">）。 </w:t>
      </w:r>
    </w:p>
    <w:p>
      <w:pPr>
        <w:snapToGrid w:val="0"/>
        <w:spacing w:before="50" w:after="50"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sym w:font="Wingdings" w:char="00A8"/>
      </w:r>
      <w:r>
        <w:rPr>
          <w:rFonts w:hint="eastAsia" w:ascii="仿宋" w:hAnsi="仿宋" w:eastAsia="仿宋" w:cs="仿宋_GB2312"/>
          <w:b/>
          <w:sz w:val="24"/>
        </w:rPr>
        <w:t>B.要求以联合体形式参加的，提供联合体协议（附件6）和中小企业声明函（附件</w:t>
      </w:r>
      <w:r>
        <w:rPr>
          <w:rFonts w:ascii="仿宋" w:hAnsi="仿宋" w:eastAsia="仿宋" w:cs="仿宋_GB2312"/>
          <w:b/>
          <w:sz w:val="24"/>
        </w:rPr>
        <w:t>5</w:t>
      </w:r>
      <w:r>
        <w:rPr>
          <w:rFonts w:hint="eastAsia" w:ascii="仿宋" w:hAnsi="仿宋" w:eastAsia="仿宋" w:cs="仿宋_GB2312"/>
          <w:b/>
          <w:sz w:val="24"/>
        </w:rPr>
        <w:t>），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firstLine="472" w:firstLineChars="196"/>
        <w:jc w:val="left"/>
        <w:rPr>
          <w:rFonts w:ascii="仿宋" w:hAnsi="仿宋" w:eastAsia="仿宋" w:cs="仿宋_GB2312"/>
          <w:sz w:val="24"/>
        </w:rPr>
      </w:pPr>
      <w:r>
        <w:rPr>
          <w:rFonts w:hint="eastAsia" w:ascii="仿宋" w:hAnsi="仿宋" w:eastAsia="仿宋" w:cs="仿宋_GB2312"/>
          <w:b/>
          <w:sz w:val="24"/>
        </w:rPr>
        <w:sym w:font="Wingdings" w:char="00A8"/>
      </w:r>
      <w:r>
        <w:rPr>
          <w:rFonts w:hint="eastAsia" w:ascii="仿宋" w:hAnsi="仿宋" w:eastAsia="仿宋" w:cs="仿宋_GB2312"/>
          <w:b/>
          <w:sz w:val="24"/>
        </w:rPr>
        <w:t>C.要求合同分包的，提供分包意向协议（附件</w:t>
      </w:r>
      <w:r>
        <w:rPr>
          <w:rFonts w:ascii="仿宋" w:hAnsi="仿宋" w:eastAsia="仿宋" w:cs="仿宋_GB2312"/>
          <w:b/>
          <w:sz w:val="24"/>
        </w:rPr>
        <w:t>7</w:t>
      </w:r>
      <w:r>
        <w:rPr>
          <w:rFonts w:hint="eastAsia" w:ascii="仿宋" w:hAnsi="仿宋" w:eastAsia="仿宋" w:cs="仿宋_GB2312"/>
          <w:b/>
          <w:sz w:val="24"/>
        </w:rPr>
        <w:t>）和中小企业声明函（附件</w:t>
      </w:r>
      <w:r>
        <w:rPr>
          <w:rFonts w:ascii="仿宋" w:hAnsi="仿宋" w:eastAsia="仿宋" w:cs="仿宋_GB2312"/>
          <w:b/>
          <w:sz w:val="24"/>
        </w:rPr>
        <w:t>5</w:t>
      </w:r>
      <w:r>
        <w:rPr>
          <w:rFonts w:hint="eastAsia" w:ascii="仿宋" w:hAnsi="仿宋" w:eastAsia="仿宋" w:cs="仿宋_GB2312"/>
          <w:b/>
          <w:sz w:val="24"/>
        </w:rPr>
        <w:t>），分包意向协议中中小企业合同金额应当达到采购公告载明的比例；如果供应商本身提供所有标的均由中小企业制造或承接，视同符合了资格条件，无需再向中小企业分包，无需提供分包意向协议。</w:t>
      </w:r>
    </w:p>
    <w:p>
      <w:pP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br w:type="page"/>
      </w:r>
    </w:p>
    <w:p>
      <w:pPr>
        <w:widowControl/>
        <w:jc w:val="center"/>
        <w:outlineLvl w:val="2"/>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三、本项目的特定资格要求证明材料</w:t>
      </w:r>
    </w:p>
    <w:p>
      <w:pPr>
        <w:spacing w:line="360" w:lineRule="auto"/>
        <w:jc w:val="center"/>
        <w:rPr>
          <w:rFonts w:ascii="仿宋" w:hAnsi="仿宋" w:eastAsia="仿宋" w:cs="仿宋_GB2312"/>
          <w:sz w:val="24"/>
        </w:rPr>
      </w:pPr>
    </w:p>
    <w:p>
      <w:pPr>
        <w:snapToGrid w:val="0"/>
        <w:spacing w:line="360" w:lineRule="auto"/>
        <w:ind w:firstLine="576"/>
        <w:rPr>
          <w:rFonts w:ascii="Calibri" w:hAnsi="Calibri" w:eastAsia="仿宋" w:cs="Calibri"/>
          <w:sz w:val="24"/>
        </w:rPr>
      </w:pPr>
      <w:r>
        <w:rPr>
          <w:rFonts w:hint="eastAsia" w:ascii="仿宋" w:hAnsi="仿宋" w:eastAsia="仿宋"/>
          <w:sz w:val="24"/>
        </w:rPr>
        <w:t>（1）承诺函(同符合参加政府采购活动应当具备的一般条件、特殊资格要求的承诺函，不用重复提供）。</w:t>
      </w:r>
    </w:p>
    <w:p>
      <w:pPr>
        <w:snapToGrid w:val="0"/>
        <w:spacing w:line="360" w:lineRule="auto"/>
        <w:ind w:firstLine="576"/>
        <w:rPr>
          <w:rFonts w:ascii="仿宋" w:hAnsi="仿宋" w:eastAsia="仿宋"/>
          <w:sz w:val="24"/>
        </w:rPr>
      </w:pPr>
      <w:r>
        <w:rPr>
          <w:rFonts w:hint="eastAsia" w:ascii="Calibri" w:hAnsi="Calibri" w:eastAsia="仿宋" w:cs="Calibri"/>
          <w:sz w:val="24"/>
        </w:rPr>
        <w:sym w:font="Wingdings" w:char="00A8"/>
      </w:r>
      <w:r>
        <w:rPr>
          <w:rFonts w:hint="eastAsia" w:ascii="Calibri" w:hAnsi="Calibri" w:eastAsia="仿宋" w:cs="Calibri"/>
          <w:sz w:val="24"/>
        </w:rPr>
        <w:t>（</w:t>
      </w:r>
      <w:r>
        <w:rPr>
          <w:rFonts w:hint="eastAsia" w:ascii="仿宋" w:hAnsi="仿宋" w:eastAsia="仿宋"/>
          <w:sz w:val="24"/>
        </w:rPr>
        <w:t>2）本项目接收联合体参加磋商，供应商若以联合体形式参加的，提供联合协议（附件6）。（不以联合体参加磋商的，则不需要提供。）</w:t>
      </w:r>
    </w:p>
    <w:p>
      <w:pPr>
        <w:snapToGrid w:val="0"/>
        <w:spacing w:line="360" w:lineRule="auto"/>
        <w:ind w:firstLine="576"/>
        <w:rPr>
          <w:rFonts w:ascii="仿宋" w:hAnsi="仿宋" w:eastAsia="仿宋"/>
          <w:sz w:val="24"/>
        </w:rPr>
      </w:pPr>
      <w:r>
        <w:rPr>
          <w:rFonts w:hint="eastAsia" w:ascii="仿宋" w:hAnsi="仿宋" w:eastAsia="仿宋"/>
          <w:sz w:val="24"/>
        </w:rPr>
        <w:sym w:font="Wingdings" w:char="00A8"/>
      </w:r>
      <w:r>
        <w:rPr>
          <w:rFonts w:hint="eastAsia" w:ascii="仿宋" w:hAnsi="仿宋" w:eastAsia="仿宋"/>
          <w:sz w:val="24"/>
        </w:rPr>
        <w:t>（3）本项目同意分包，供应商中标（成交）后以分包方式履行合同的，提供分包意向协议（附件7）。（中标（成交）后不以分包方式履行合同的，则不需要提供。）</w:t>
      </w:r>
    </w:p>
    <w:p>
      <w:pPr>
        <w:snapToGrid w:val="0"/>
        <w:spacing w:line="360" w:lineRule="auto"/>
        <w:ind w:firstLine="576"/>
        <w:rPr>
          <w:rFonts w:ascii="仿宋" w:hAnsi="仿宋" w:eastAsia="仿宋"/>
          <w:sz w:val="24"/>
        </w:rPr>
      </w:pPr>
    </w:p>
    <w:p>
      <w:pPr>
        <w:snapToGrid w:val="0"/>
        <w:spacing w:line="360" w:lineRule="auto"/>
        <w:ind w:firstLine="576"/>
        <w:rPr>
          <w:rFonts w:ascii="仿宋" w:hAnsi="仿宋" w:eastAsia="仿宋"/>
          <w:sz w:val="24"/>
        </w:rPr>
      </w:pPr>
      <w:r>
        <w:rPr>
          <w:rFonts w:hint="eastAsia" w:ascii="仿宋" w:hAnsi="仿宋" w:eastAsia="仿宋"/>
          <w:sz w:val="24"/>
        </w:rPr>
        <w:t>注：证明材料提供原件扫描件。</w:t>
      </w:r>
    </w:p>
    <w:p>
      <w:pPr>
        <w:snapToGrid w:val="0"/>
        <w:spacing w:line="360" w:lineRule="auto"/>
        <w:ind w:firstLine="576"/>
        <w:rPr>
          <w:rFonts w:ascii="仿宋" w:hAnsi="仿宋" w:eastAsia="仿宋"/>
          <w:sz w:val="24"/>
        </w:rPr>
      </w:pPr>
    </w:p>
    <w:p>
      <w:pPr>
        <w:rPr>
          <w:rFonts w:ascii="仿宋" w:hAnsi="仿宋" w:eastAsia="仿宋" w:cs="仿宋_GB2312"/>
          <w:b/>
          <w:kern w:val="0"/>
          <w:sz w:val="36"/>
          <w:szCs w:val="36"/>
        </w:rPr>
      </w:pPr>
      <w:r>
        <w:rPr>
          <w:rFonts w:hint="eastAsia" w:ascii="仿宋" w:hAnsi="仿宋" w:eastAsia="仿宋" w:cs="仿宋_GB2312"/>
          <w:b/>
          <w:kern w:val="0"/>
          <w:sz w:val="36"/>
          <w:szCs w:val="36"/>
        </w:rPr>
        <w:br w:type="page"/>
      </w:r>
    </w:p>
    <w:p>
      <w:pPr>
        <w:spacing w:line="360" w:lineRule="auto"/>
        <w:ind w:right="420"/>
        <w:jc w:val="center"/>
        <w:outlineLvl w:val="0"/>
        <w:rPr>
          <w:rFonts w:ascii="仿宋" w:hAnsi="仿宋" w:eastAsia="仿宋" w:cs="仿宋_GB2312"/>
          <w:b/>
          <w:kern w:val="0"/>
          <w:sz w:val="36"/>
          <w:szCs w:val="36"/>
        </w:rPr>
      </w:pPr>
      <w:bookmarkStart w:id="445" w:name="_Toc98147537"/>
      <w:bookmarkStart w:id="446" w:name="_Toc24311"/>
      <w:bookmarkStart w:id="447" w:name="_Toc5826"/>
      <w:r>
        <w:rPr>
          <w:rFonts w:hint="eastAsia" w:ascii="仿宋" w:hAnsi="仿宋" w:eastAsia="仿宋" w:cs="仿宋_GB2312"/>
          <w:b/>
          <w:kern w:val="0"/>
          <w:sz w:val="36"/>
          <w:szCs w:val="36"/>
        </w:rPr>
        <w:t>商务技术文件部分</w:t>
      </w:r>
      <w:bookmarkEnd w:id="445"/>
      <w:bookmarkEnd w:id="446"/>
      <w:bookmarkEnd w:id="447"/>
    </w:p>
    <w:p>
      <w:pPr>
        <w:spacing w:line="360" w:lineRule="auto"/>
        <w:jc w:val="center"/>
        <w:outlineLvl w:val="0"/>
        <w:rPr>
          <w:rFonts w:ascii="仿宋" w:hAnsi="仿宋" w:eastAsia="仿宋" w:cs="仿宋_GB2312"/>
          <w:b/>
          <w:kern w:val="0"/>
          <w:sz w:val="28"/>
          <w:szCs w:val="28"/>
        </w:rPr>
      </w:pPr>
      <w:bookmarkStart w:id="448" w:name="_Toc98147538"/>
      <w:bookmarkStart w:id="449" w:name="_Toc3869"/>
      <w:bookmarkStart w:id="450" w:name="_Toc9775"/>
      <w:r>
        <w:rPr>
          <w:rFonts w:hint="eastAsia" w:ascii="仿宋" w:hAnsi="仿宋" w:eastAsia="仿宋" w:cs="仿宋_GB2312"/>
          <w:b/>
          <w:kern w:val="0"/>
          <w:sz w:val="28"/>
          <w:szCs w:val="28"/>
        </w:rPr>
        <w:t>目录</w:t>
      </w:r>
      <w:bookmarkEnd w:id="448"/>
      <w:bookmarkEnd w:id="449"/>
      <w:bookmarkEnd w:id="450"/>
    </w:p>
    <w:p>
      <w:pPr>
        <w:spacing w:line="360" w:lineRule="auto"/>
        <w:jc w:val="center"/>
        <w:rPr>
          <w:rFonts w:ascii="仿宋" w:hAnsi="仿宋" w:eastAsia="仿宋" w:cs="仿宋_GB2312"/>
          <w:sz w:val="24"/>
        </w:rPr>
      </w:pPr>
      <w:bookmarkStart w:id="451" w:name="_Toc98147539"/>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）响应函…………………………………………………………………………（页码）（</w:t>
      </w:r>
      <w:r>
        <w:rPr>
          <w:rFonts w:ascii="仿宋" w:hAnsi="仿宋" w:eastAsia="仿宋" w:cs="仿宋_GB2312"/>
          <w:sz w:val="24"/>
        </w:rPr>
        <w:t>2</w:t>
      </w:r>
      <w:r>
        <w:rPr>
          <w:rFonts w:hint="eastAsia" w:ascii="仿宋" w:hAnsi="仿宋" w:eastAsia="仿宋" w:cs="仿宋_GB2312"/>
          <w:sz w:val="24"/>
        </w:rPr>
        <w:t>）授权委托书或法定代表人（单位负责人、自然人本人）身份证明………（页码）</w:t>
      </w:r>
      <w:bookmarkEnd w:id="451"/>
    </w:p>
    <w:p>
      <w:pPr>
        <w:spacing w:line="360" w:lineRule="auto"/>
        <w:jc w:val="center"/>
        <w:rPr>
          <w:rFonts w:ascii="仿宋" w:hAnsi="仿宋" w:eastAsia="仿宋" w:cs="仿宋_GB2312"/>
          <w:sz w:val="24"/>
        </w:rPr>
      </w:pPr>
      <w:bookmarkStart w:id="452" w:name="_Toc98147540"/>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）符合性审查资料………………………………………………………………（页码）</w:t>
      </w:r>
      <w:bookmarkEnd w:id="452"/>
    </w:p>
    <w:p>
      <w:pPr>
        <w:spacing w:line="360" w:lineRule="auto"/>
        <w:jc w:val="center"/>
        <w:rPr>
          <w:rFonts w:ascii="仿宋" w:hAnsi="仿宋" w:eastAsia="仿宋" w:cs="仿宋_GB2312"/>
          <w:sz w:val="24"/>
        </w:rPr>
      </w:pPr>
      <w:bookmarkStart w:id="453" w:name="_Toc98147541"/>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）评审标准相应的商务技术资料………………………………………………（页码）</w:t>
      </w:r>
      <w:bookmarkEnd w:id="453"/>
    </w:p>
    <w:p>
      <w:pPr>
        <w:snapToGrid w:val="0"/>
        <w:spacing w:line="360" w:lineRule="auto"/>
        <w:jc w:val="center"/>
        <w:rPr>
          <w:rFonts w:ascii="仿宋" w:hAnsi="仿宋" w:eastAsia="仿宋" w:cs="仿宋_GB2312"/>
        </w:rPr>
      </w:pPr>
      <w:bookmarkStart w:id="454" w:name="_Toc98147542"/>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w:t>
      </w:r>
      <w:bookmarkEnd w:id="454"/>
      <w:r>
        <w:rPr>
          <w:rFonts w:hint="eastAsia" w:ascii="仿宋" w:hAnsi="仿宋" w:eastAsia="仿宋" w:cs="仿宋_GB2312"/>
          <w:sz w:val="24"/>
        </w:rPr>
        <w:t>政府采购供应商廉洁自律承诺书……………………………………………（页码）</w:t>
      </w:r>
    </w:p>
    <w:p>
      <w:pPr>
        <w:snapToGrid w:val="0"/>
        <w:spacing w:line="360" w:lineRule="auto"/>
        <w:ind w:left="479" w:leftChars="228"/>
        <w:rPr>
          <w:rFonts w:ascii="仿宋" w:hAnsi="仿宋" w:eastAsia="仿宋" w:cs="仿宋_GB2312"/>
          <w:b/>
          <w:kern w:val="0"/>
          <w:sz w:val="32"/>
          <w:szCs w:val="32"/>
        </w:rPr>
      </w:pPr>
    </w:p>
    <w:p>
      <w:pPr>
        <w:snapToGrid w:val="0"/>
        <w:spacing w:line="360" w:lineRule="auto"/>
        <w:ind w:left="479" w:leftChars="228"/>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line="360" w:lineRule="auto"/>
        <w:jc w:val="center"/>
        <w:outlineLvl w:val="1"/>
        <w:rPr>
          <w:rFonts w:ascii="仿宋" w:hAnsi="仿宋" w:eastAsia="仿宋" w:cs="仿宋_GB2312"/>
          <w:b/>
          <w:sz w:val="32"/>
          <w:szCs w:val="32"/>
        </w:rPr>
      </w:pPr>
      <w:bookmarkStart w:id="455" w:name="_Toc9187"/>
      <w:bookmarkStart w:id="456" w:name="_Toc31084"/>
      <w:bookmarkStart w:id="457" w:name="_Toc98147543"/>
      <w:r>
        <w:rPr>
          <w:rFonts w:hint="eastAsia" w:ascii="仿宋" w:hAnsi="仿宋" w:eastAsia="仿宋" w:cs="仿宋_GB2312"/>
          <w:b/>
          <w:kern w:val="0"/>
          <w:sz w:val="32"/>
          <w:szCs w:val="32"/>
        </w:rPr>
        <w:t>一、响应</w:t>
      </w:r>
      <w:r>
        <w:rPr>
          <w:rFonts w:hint="eastAsia" w:ascii="仿宋" w:hAnsi="仿宋" w:eastAsia="仿宋" w:cs="仿宋_GB2312"/>
          <w:b/>
          <w:sz w:val="32"/>
          <w:szCs w:val="32"/>
        </w:rPr>
        <w:t>函</w:t>
      </w:r>
      <w:bookmarkEnd w:id="455"/>
      <w:bookmarkEnd w:id="456"/>
      <w:bookmarkEnd w:id="457"/>
    </w:p>
    <w:p>
      <w:pPr>
        <w:snapToGrid w:val="0"/>
        <w:spacing w:line="360" w:lineRule="auto"/>
        <w:rPr>
          <w:rFonts w:ascii="仿宋" w:hAnsi="仿宋" w:eastAsia="仿宋" w:cs="仿宋_GB2312"/>
          <w:sz w:val="24"/>
        </w:rPr>
      </w:pPr>
      <w:r>
        <w:rPr>
          <w:rFonts w:hint="eastAsia" w:ascii="仿宋" w:hAnsi="仿宋" w:eastAsia="仿宋" w:cs="仿宋_GB2312"/>
          <w:sz w:val="24"/>
          <w:u w:val="single"/>
        </w:rPr>
        <w:t>（采购人）、（采购代理机构）</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我方参加你方组织的（项目名称）（标项号-标项名称）【项目编号：】采购的有关活动，并对此项目进行响应。为此：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w:t>
      </w:r>
      <w:r>
        <w:rPr>
          <w:rFonts w:hint="eastAsia" w:ascii="仿宋" w:hAnsi="仿宋" w:eastAsia="仿宋" w:cs="仿宋_GB2312"/>
          <w:sz w:val="24"/>
        </w:rPr>
        <w:t>响应</w:t>
      </w:r>
      <w:r>
        <w:rPr>
          <w:rFonts w:ascii="仿宋" w:hAnsi="仿宋" w:eastAsia="仿宋" w:cs="仿宋_GB2312"/>
          <w:sz w:val="24"/>
        </w:rPr>
        <w:t>有效期从提交</w:t>
      </w:r>
      <w:r>
        <w:rPr>
          <w:rFonts w:hint="eastAsia" w:ascii="仿宋" w:hAnsi="仿宋" w:eastAsia="仿宋" w:cs="仿宋_GB2312"/>
          <w:sz w:val="24"/>
        </w:rPr>
        <w:t>响应文件</w:t>
      </w:r>
      <w:r>
        <w:rPr>
          <w:rFonts w:ascii="仿宋" w:hAnsi="仿宋" w:eastAsia="仿宋" w:cs="仿宋_GB2312"/>
          <w:sz w:val="24"/>
        </w:rPr>
        <w:t>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本响应文件在响应有效期满之前均具有约束力。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w:t>
      </w:r>
      <w:r>
        <w:rPr>
          <w:rFonts w:hint="eastAsia" w:ascii="仿宋" w:hAnsi="仿宋" w:eastAsia="仿宋" w:cs="仿宋_GB2312"/>
          <w:sz w:val="24"/>
        </w:rPr>
        <w:t>响应文件</w:t>
      </w:r>
      <w:r>
        <w:rPr>
          <w:rFonts w:ascii="仿宋" w:hAnsi="仿宋" w:eastAsia="仿宋" w:cs="仿宋_GB2312"/>
          <w:sz w:val="24"/>
        </w:rPr>
        <w:t>包括</w:t>
      </w:r>
      <w:r>
        <w:rPr>
          <w:rFonts w:hint="eastAsia" w:ascii="仿宋" w:hAnsi="仿宋" w:eastAsia="仿宋" w:cs="仿宋_GB2312"/>
          <w:sz w:val="24"/>
        </w:rPr>
        <w:t>资格文件、商务技术</w:t>
      </w:r>
      <w:r>
        <w:rPr>
          <w:rFonts w:hint="eastAsia" w:ascii="仿宋" w:hAnsi="仿宋" w:eastAsia="仿宋" w:cs="仿宋_GB2312"/>
          <w:sz w:val="24"/>
          <w:lang w:val="zh-CN"/>
        </w:rPr>
        <w:t>文件、</w:t>
      </w:r>
      <w:r>
        <w:rPr>
          <w:rFonts w:ascii="仿宋" w:hAnsi="仿宋" w:eastAsia="仿宋" w:cs="仿宋_GB2312"/>
          <w:sz w:val="24"/>
        </w:rPr>
        <w:t>报价文件</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我方承诺除商务技术偏离表列出的偏离外，我方响应</w:t>
      </w:r>
      <w:r>
        <w:rPr>
          <w:rFonts w:hint="eastAsia" w:ascii="仿宋" w:hAnsi="仿宋" w:eastAsia="仿宋" w:cs="仿宋_GB2312"/>
          <w:sz w:val="24"/>
        </w:rPr>
        <w:t>采购文件</w:t>
      </w:r>
      <w:r>
        <w:rPr>
          <w:rFonts w:ascii="仿宋" w:hAnsi="仿宋" w:eastAsia="仿宋" w:cs="仿宋_GB2312"/>
          <w:sz w:val="24"/>
        </w:rPr>
        <w:t>的全部要求。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、如我方</w:t>
      </w:r>
      <w:r>
        <w:rPr>
          <w:rFonts w:hint="eastAsia" w:ascii="仿宋" w:hAnsi="仿宋" w:eastAsia="仿宋" w:cs="仿宋_GB2312"/>
          <w:sz w:val="24"/>
        </w:rPr>
        <w:t>成交</w:t>
      </w:r>
      <w:r>
        <w:rPr>
          <w:rFonts w:ascii="仿宋" w:hAnsi="仿宋" w:eastAsia="仿宋" w:cs="仿宋_GB2312"/>
          <w:sz w:val="24"/>
        </w:rPr>
        <w:t>，我方承诺：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.1在收到</w:t>
      </w:r>
      <w:r>
        <w:rPr>
          <w:rFonts w:hint="eastAsia" w:ascii="仿宋" w:hAnsi="仿宋" w:eastAsia="仿宋" w:cs="仿宋_GB2312"/>
          <w:sz w:val="24"/>
        </w:rPr>
        <w:t>成交</w:t>
      </w:r>
      <w:r>
        <w:rPr>
          <w:rFonts w:ascii="仿宋" w:hAnsi="仿宋" w:eastAsia="仿宋" w:cs="仿宋_GB2312"/>
          <w:sz w:val="24"/>
        </w:rPr>
        <w:t>通知书后，在</w:t>
      </w:r>
      <w:r>
        <w:rPr>
          <w:rFonts w:hint="eastAsia" w:ascii="仿宋" w:hAnsi="仿宋" w:eastAsia="仿宋" w:cs="仿宋_GB2312"/>
          <w:sz w:val="24"/>
        </w:rPr>
        <w:t>成交</w:t>
      </w:r>
      <w:r>
        <w:rPr>
          <w:rFonts w:ascii="仿宋" w:hAnsi="仿宋" w:eastAsia="仿宋" w:cs="仿宋_GB2312"/>
          <w:sz w:val="24"/>
        </w:rPr>
        <w:t xml:space="preserve">通知书规定的期限内与你方签订合同；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 xml:space="preserve">.2在签订合同时不向你方提出附加条件；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.3按照</w:t>
      </w:r>
      <w:r>
        <w:rPr>
          <w:rFonts w:hint="eastAsia" w:ascii="仿宋" w:hAnsi="仿宋" w:eastAsia="仿宋" w:cs="仿宋_GB2312"/>
          <w:sz w:val="24"/>
        </w:rPr>
        <w:t>采购文件</w:t>
      </w:r>
      <w:r>
        <w:rPr>
          <w:rFonts w:ascii="仿宋" w:hAnsi="仿宋" w:eastAsia="仿宋" w:cs="仿宋_GB2312"/>
          <w:sz w:val="24"/>
        </w:rPr>
        <w:t xml:space="preserve">要求提交履约保证金；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 xml:space="preserve">.4在合同约定的期限内完成合同规定的全部义务。 </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5、其他补充说明:                                        。</w:t>
      </w:r>
    </w:p>
    <w:p>
      <w:pPr>
        <w:spacing w:line="360" w:lineRule="auto"/>
        <w:ind w:firstLine="3600" w:firstLineChars="1500"/>
        <w:rPr>
          <w:rFonts w:ascii="仿宋" w:hAnsi="仿宋" w:eastAsia="仿宋" w:cs="仿宋_GB2312"/>
          <w:sz w:val="24"/>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 xml:space="preserve">供应商名称（单位电子公章或业务专用章）：                          </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日期：  年   月   日</w:t>
      </w:r>
    </w:p>
    <w:p>
      <w:pPr>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pPr>
        <w:numPr>
          <w:ilvl w:val="0"/>
          <w:numId w:val="2"/>
        </w:numPr>
        <w:jc w:val="center"/>
        <w:outlineLvl w:val="1"/>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授权委托书或法定代表人</w:t>
      </w:r>
    </w:p>
    <w:p>
      <w:pPr>
        <w:numPr>
          <w:ilvl w:val="255"/>
          <w:numId w:val="0"/>
        </w:num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授权委托书（适用于非联合体响应）</w:t>
      </w:r>
    </w:p>
    <w:p>
      <w:pPr>
        <w:snapToGrid w:val="0"/>
        <w:spacing w:line="360" w:lineRule="auto"/>
        <w:rPr>
          <w:rFonts w:ascii="仿宋" w:hAnsi="仿宋" w:eastAsia="仿宋" w:cs="仿宋_GB2312"/>
          <w:kern w:val="0"/>
          <w:sz w:val="24"/>
        </w:rPr>
      </w:pPr>
      <w:r>
        <w:rPr>
          <w:rFonts w:hint="eastAsia" w:ascii="仿宋" w:hAnsi="仿宋" w:eastAsia="仿宋" w:cs="仿宋_GB2312"/>
          <w:sz w:val="24"/>
          <w:u w:val="single"/>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（项目名称）（标项号-标项名称）【项目编号：】</w:t>
      </w:r>
      <w:r>
        <w:rPr>
          <w:rFonts w:hint="eastAsia" w:ascii="仿宋" w:hAnsi="仿宋" w:eastAsia="仿宋" w:cs="仿宋_GB2312"/>
          <w:kern w:val="0"/>
          <w:sz w:val="24"/>
          <w:lang w:val="zh-CN"/>
        </w:rPr>
        <w:t>采购响应的一切事项，其法律后果由我方承担。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lang w:val="zh-CN"/>
        </w:rPr>
      </w:pP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供应商名称（单位电子公章或业务专用章）：                          </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日期：  年   月   日</w:t>
      </w:r>
    </w:p>
    <w:p>
      <w:pPr>
        <w:snapToGrid w:val="0"/>
        <w:spacing w:line="360" w:lineRule="auto"/>
        <w:rPr>
          <w:rFonts w:ascii="仿宋" w:hAnsi="仿宋" w:eastAsia="仿宋" w:cs="仿宋_GB2312"/>
          <w:sz w:val="24"/>
        </w:rPr>
      </w:pP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授权委托书（适用于联合体响应）</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（项目名称）（标项号-标项名称）【项目编号：】</w:t>
      </w:r>
      <w:r>
        <w:rPr>
          <w:rFonts w:hint="eastAsia" w:ascii="仿宋" w:hAnsi="仿宋" w:eastAsia="仿宋" w:cs="仿宋_GB2312"/>
          <w:kern w:val="0"/>
          <w:sz w:val="24"/>
          <w:lang w:val="zh-CN"/>
        </w:rPr>
        <w:t>采购响应的一切事项，其法律后果由我方承担。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rPr>
      </w:pP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联合体成员名称(单位电子公章或业务专用章)：</w:t>
      </w:r>
      <w:r>
        <w:rPr>
          <w:rFonts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(单位电子公章或业务专用章)：</w:t>
      </w:r>
      <w:r>
        <w:rPr>
          <w:rFonts w:ascii="仿宋" w:hAnsi="仿宋" w:eastAsia="仿宋" w:cs="仿宋_GB2312"/>
          <w:kern w:val="0"/>
          <w:sz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left"/>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br w:type="page"/>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的身份证明（适用于法定代表人、单位负责人或者自然人本人代表供应商参加响应）</w:t>
      </w:r>
    </w:p>
    <w:p>
      <w:pPr>
        <w:pStyle w:val="151"/>
        <w:spacing w:line="360" w:lineRule="auto"/>
        <w:rPr>
          <w:rFonts w:ascii="仿宋" w:hAnsi="仿宋" w:eastAsia="仿宋"/>
          <w:bCs/>
          <w:sz w:val="24"/>
        </w:rPr>
      </w:pPr>
      <w:r>
        <w:rPr>
          <w:rFonts w:hint="eastAsia" w:ascii="仿宋" w:hAnsi="仿宋" w:eastAsia="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bCs/>
                <w:sz w:val="24"/>
              </w:rPr>
            </w:pPr>
            <w:r>
              <w:rPr>
                <w:rFonts w:hint="eastAsia" w:ascii="仿宋" w:hAnsi="仿宋" w:eastAsia="仿宋"/>
                <w:bCs/>
                <w:sz w:val="24"/>
              </w:rPr>
              <w:t>正面：反面：</w:t>
            </w:r>
          </w:p>
          <w:p>
            <w:pPr>
              <w:pStyle w:val="151"/>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right="480" w:firstLine="3120" w:firstLineChars="1300"/>
        <w:rPr>
          <w:rFonts w:ascii="仿宋" w:hAnsi="仿宋" w:eastAsia="仿宋" w:cs="仿宋_GB2312"/>
          <w:kern w:val="0"/>
          <w:sz w:val="24"/>
          <w:lang w:val="zh-CN"/>
        </w:rPr>
      </w:pPr>
      <w:r>
        <w:rPr>
          <w:rFonts w:hint="eastAsia" w:ascii="仿宋" w:hAnsi="仿宋" w:eastAsia="仿宋" w:cs="仿宋_GB2312"/>
          <w:kern w:val="0"/>
          <w:sz w:val="24"/>
          <w:lang w:val="zh-CN"/>
        </w:rPr>
        <w:t xml:space="preserve">供应商名称（单位电子公章或业务专用章）：                          </w:t>
      </w:r>
    </w:p>
    <w:p>
      <w:pPr>
        <w:spacing w:after="120"/>
        <w:ind w:right="480" w:firstLine="3120" w:firstLineChars="1300"/>
        <w:rPr>
          <w:lang w:val="zh-CN"/>
        </w:rPr>
      </w:pPr>
      <w:r>
        <w:rPr>
          <w:rFonts w:hint="eastAsia" w:ascii="仿宋" w:hAnsi="仿宋" w:eastAsia="仿宋" w:cs="仿宋_GB2312"/>
          <w:kern w:val="0"/>
          <w:sz w:val="24"/>
          <w:lang w:val="zh-CN"/>
        </w:rPr>
        <w:t>日期：  年   月   日</w:t>
      </w:r>
    </w:p>
    <w:p>
      <w:pPr>
        <w:spacing w:after="120"/>
        <w:ind w:left="420" w:leftChars="200" w:firstLine="420" w:firstLineChars="200"/>
        <w:rPr>
          <w:lang w:val="zh-CN"/>
        </w:rPr>
      </w:pPr>
    </w:p>
    <w:p>
      <w:pPr>
        <w:rPr>
          <w:rFonts w:ascii="仿宋" w:hAnsi="仿宋" w:eastAsia="仿宋" w:cs="仿宋_GB2312"/>
          <w:b/>
          <w:kern w:val="0"/>
          <w:sz w:val="32"/>
          <w:szCs w:val="32"/>
        </w:rPr>
      </w:pPr>
      <w:r>
        <w:rPr>
          <w:rFonts w:hint="eastAsia" w:ascii="仿宋" w:hAnsi="仿宋" w:eastAsia="仿宋" w:cs="仿宋_GB2312"/>
          <w:kern w:val="0"/>
          <w:sz w:val="24"/>
          <w:lang w:val="zh-CN"/>
        </w:rPr>
        <w:t xml:space="preserve"> </w:t>
      </w:r>
    </w:p>
    <w:p>
      <w:pPr>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09"/>
        <w:gridCol w:w="34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序号</w:t>
            </w:r>
          </w:p>
        </w:tc>
        <w:tc>
          <w:tcPr>
            <w:tcW w:w="3809"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实质性要求</w:t>
            </w:r>
          </w:p>
        </w:tc>
        <w:tc>
          <w:tcPr>
            <w:tcW w:w="3450"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需要提供的符合性审查资料</w:t>
            </w:r>
          </w:p>
        </w:tc>
        <w:tc>
          <w:tcPr>
            <w:tcW w:w="1701"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响应文件中的</w:t>
            </w:r>
          </w:p>
          <w:p>
            <w:pPr>
              <w:snapToGrid w:val="0"/>
              <w:spacing w:line="400" w:lineRule="exac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sz w:val="24"/>
              </w:rPr>
            </w:pPr>
            <w:r>
              <w:rPr>
                <w:rFonts w:ascii="仿宋" w:hAnsi="仿宋" w:eastAsia="仿宋"/>
                <w:sz w:val="24"/>
              </w:rPr>
              <w:t>1</w:t>
            </w:r>
          </w:p>
        </w:tc>
        <w:tc>
          <w:tcPr>
            <w:tcW w:w="3809"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响应文件按照采购文件要求签署、盖章。</w:t>
            </w:r>
          </w:p>
        </w:tc>
        <w:tc>
          <w:tcPr>
            <w:tcW w:w="3450" w:type="dxa"/>
            <w:vAlign w:val="center"/>
          </w:tcPr>
          <w:p>
            <w:pPr>
              <w:spacing w:line="400" w:lineRule="exact"/>
              <w:rPr>
                <w:rFonts w:ascii="仿宋" w:hAnsi="仿宋" w:eastAsia="仿宋"/>
                <w:sz w:val="24"/>
              </w:rPr>
            </w:pPr>
            <w:r>
              <w:rPr>
                <w:rFonts w:hint="eastAsia" w:ascii="仿宋" w:hAnsi="仿宋" w:eastAsia="仿宋"/>
                <w:sz w:val="24"/>
              </w:rPr>
              <w:t>需要使用电子签名或者签字盖章的响应文件的组成部分</w:t>
            </w:r>
          </w:p>
        </w:tc>
        <w:tc>
          <w:tcPr>
            <w:tcW w:w="1701" w:type="dxa"/>
          </w:tcPr>
          <w:p>
            <w:pPr>
              <w:spacing w:line="400" w:lineRule="exact"/>
              <w:jc w:val="center"/>
              <w:rPr>
                <w:rFonts w:ascii="仿宋" w:hAnsi="仿宋" w:eastAsia="仿宋" w:cs="仿宋_GB2312"/>
                <w:sz w:val="24"/>
              </w:rPr>
            </w:pPr>
          </w:p>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spacing w:line="400" w:lineRule="exact"/>
              <w:jc w:val="center"/>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_GB2312" w:hAnsi="仿宋" w:eastAsia="仿宋_GB2312"/>
                <w:sz w:val="24"/>
              </w:rPr>
            </w:pPr>
            <w:r>
              <w:rPr>
                <w:rFonts w:ascii="仿宋_GB2312" w:hAnsi="仿宋" w:eastAsia="仿宋_GB2312"/>
                <w:sz w:val="24"/>
              </w:rPr>
              <w:t>2</w:t>
            </w:r>
          </w:p>
        </w:tc>
        <w:tc>
          <w:tcPr>
            <w:tcW w:w="3809" w:type="dxa"/>
          </w:tcPr>
          <w:p>
            <w:pPr>
              <w:spacing w:line="400" w:lineRule="exact"/>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采购人拟采购的产品属于政府强制采购的节能产品品目清单范围的，供应商按采购文件要求提供国家确定的认证机构出具的、处于有效期之内的节能产品认证证书。</w:t>
            </w:r>
          </w:p>
        </w:tc>
        <w:tc>
          <w:tcPr>
            <w:tcW w:w="3450" w:type="dxa"/>
            <w:vAlign w:val="center"/>
          </w:tcPr>
          <w:p>
            <w:pPr>
              <w:spacing w:line="400" w:lineRule="exact"/>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cs="仿宋_GB2312"/>
                <w:sz w:val="24"/>
                <w:u w:val="single"/>
              </w:rPr>
              <w:t>（本项目</w:t>
            </w:r>
            <w:r>
              <w:rPr>
                <w:rFonts w:hint="eastAsia" w:ascii="仿宋_GB2312" w:hAnsi="仿宋" w:eastAsia="仿宋_GB2312"/>
                <w:sz w:val="24"/>
                <w:u w:val="single"/>
              </w:rPr>
              <w:t>拟采购的产品不属于政府强制采购的节能产品品目清单范围的</w:t>
            </w:r>
            <w:r>
              <w:rPr>
                <w:rFonts w:hint="eastAsia" w:ascii="仿宋_GB2312" w:hAnsi="仿宋" w:eastAsia="仿宋_GB2312" w:cs="仿宋_GB2312"/>
                <w:sz w:val="24"/>
                <w:u w:val="single"/>
              </w:rPr>
              <w:t>，无需提供）</w:t>
            </w:r>
          </w:p>
        </w:tc>
        <w:tc>
          <w:tcPr>
            <w:tcW w:w="1701" w:type="dxa"/>
          </w:tcPr>
          <w:p>
            <w:pPr>
              <w:spacing w:line="400" w:lineRule="exact"/>
              <w:jc w:val="center"/>
              <w:rPr>
                <w:rFonts w:ascii="仿宋" w:hAnsi="仿宋" w:eastAsia="仿宋" w:cs="仿宋_GB2312"/>
                <w:sz w:val="24"/>
              </w:rPr>
            </w:pPr>
          </w:p>
          <w:p>
            <w:pPr>
              <w:spacing w:line="400" w:lineRule="exact"/>
              <w:jc w:val="center"/>
              <w:rPr>
                <w:rFonts w:ascii="仿宋" w:hAnsi="仿宋" w:eastAsia="仿宋" w:cs="仿宋_GB2312"/>
                <w:sz w:val="24"/>
              </w:rPr>
            </w:pPr>
          </w:p>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pStyle w:val="3"/>
              <w:spacing w:line="400" w:lineRule="exact"/>
              <w:jc w:val="center"/>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sz w:val="24"/>
              </w:rPr>
            </w:pPr>
            <w:r>
              <w:rPr>
                <w:rFonts w:ascii="仿宋" w:hAnsi="仿宋" w:eastAsia="仿宋"/>
                <w:sz w:val="24"/>
              </w:rPr>
              <w:t>3</w:t>
            </w:r>
          </w:p>
        </w:tc>
        <w:tc>
          <w:tcPr>
            <w:tcW w:w="3809" w:type="dxa"/>
          </w:tcPr>
          <w:p>
            <w:pPr>
              <w:spacing w:line="400" w:lineRule="exact"/>
              <w:rPr>
                <w:rFonts w:ascii="仿宋_GB2312" w:hAnsi="仿宋" w:eastAsia="仿宋_GB2312" w:cs="仿宋_GB2312"/>
                <w:sz w:val="24"/>
              </w:rPr>
            </w:pPr>
            <w:r>
              <w:rPr>
                <w:rFonts w:hint="eastAsia" w:ascii="仿宋_GB2312" w:hAnsi="仿宋" w:eastAsia="仿宋_GB2312"/>
                <w:sz w:val="24"/>
              </w:rPr>
              <w:t>响应文件中承诺的投标（响应）有效期不少于采购文件中载明的投标（响应）有效期。</w:t>
            </w:r>
          </w:p>
        </w:tc>
        <w:tc>
          <w:tcPr>
            <w:tcW w:w="3450" w:type="dxa"/>
            <w:vAlign w:val="center"/>
          </w:tcPr>
          <w:p>
            <w:pPr>
              <w:spacing w:line="400" w:lineRule="exact"/>
              <w:rPr>
                <w:rFonts w:ascii="仿宋" w:hAnsi="仿宋" w:eastAsia="仿宋"/>
                <w:sz w:val="24"/>
              </w:rPr>
            </w:pPr>
            <w:r>
              <w:rPr>
                <w:rFonts w:hint="eastAsia" w:ascii="仿宋" w:hAnsi="仿宋" w:eastAsia="仿宋"/>
                <w:sz w:val="24"/>
              </w:rPr>
              <w:t>响应函</w:t>
            </w:r>
          </w:p>
        </w:tc>
        <w:tc>
          <w:tcPr>
            <w:tcW w:w="1701" w:type="dxa"/>
          </w:tcPr>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spacing w:line="400" w:lineRule="exact"/>
              <w:jc w:val="cente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sz w:val="24"/>
              </w:rPr>
            </w:pPr>
            <w:r>
              <w:rPr>
                <w:rFonts w:ascii="仿宋" w:hAnsi="仿宋" w:eastAsia="仿宋"/>
                <w:sz w:val="24"/>
              </w:rPr>
              <w:t>4</w:t>
            </w:r>
          </w:p>
        </w:tc>
        <w:tc>
          <w:tcPr>
            <w:tcW w:w="3809" w:type="dxa"/>
          </w:tcPr>
          <w:p>
            <w:pPr>
              <w:spacing w:line="400" w:lineRule="exact"/>
              <w:rPr>
                <w:rFonts w:ascii="仿宋_GB2312" w:hAnsi="仿宋" w:eastAsia="仿宋_GB2312"/>
                <w:sz w:val="24"/>
              </w:rPr>
            </w:pPr>
            <w:r>
              <w:rPr>
                <w:rFonts w:hint="eastAsia" w:ascii="仿宋_GB2312" w:hAnsi="仿宋" w:eastAsia="仿宋_GB2312"/>
                <w:sz w:val="24"/>
              </w:rPr>
              <w:t>响应文件满足采购文件的其它实质性要求。</w:t>
            </w:r>
          </w:p>
        </w:tc>
        <w:tc>
          <w:tcPr>
            <w:tcW w:w="3450" w:type="dxa"/>
            <w:vAlign w:val="center"/>
          </w:tcPr>
          <w:p>
            <w:pPr>
              <w:spacing w:line="400" w:lineRule="exact"/>
              <w:rPr>
                <w:rFonts w:ascii="仿宋" w:hAnsi="仿宋" w:eastAsia="仿宋"/>
                <w:sz w:val="24"/>
              </w:rPr>
            </w:pPr>
            <w:r>
              <w:rPr>
                <w:rFonts w:hint="eastAsia" w:ascii="仿宋_GB2312" w:hAnsi="仿宋" w:eastAsia="仿宋_GB2312" w:cs="仿宋_GB2312"/>
                <w:kern w:val="0"/>
                <w:sz w:val="24"/>
              </w:rPr>
              <w:t>采购文件其它实质性要求相应的材料（“▲”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系指实质性要求条款，采购文件无其它实质性要求的，无需提供）</w:t>
            </w:r>
          </w:p>
        </w:tc>
        <w:tc>
          <w:tcPr>
            <w:tcW w:w="1701" w:type="dxa"/>
          </w:tcPr>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spacing w:line="400" w:lineRule="exact"/>
              <w:jc w:val="cente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sz w:val="24"/>
              </w:rPr>
            </w:pPr>
            <w:r>
              <w:rPr>
                <w:rFonts w:ascii="仿宋" w:hAnsi="仿宋" w:eastAsia="仿宋"/>
                <w:sz w:val="24"/>
              </w:rPr>
              <w:t>4.1</w:t>
            </w:r>
          </w:p>
        </w:tc>
        <w:tc>
          <w:tcPr>
            <w:tcW w:w="3809" w:type="dxa"/>
          </w:tcPr>
          <w:p>
            <w:pPr>
              <w:tabs>
                <w:tab w:val="left" w:pos="0"/>
              </w:tabs>
              <w:spacing w:line="400" w:lineRule="exact"/>
              <w:rPr>
                <w:rFonts w:ascii="仿宋_GB2312" w:hAnsi="仿宋" w:eastAsia="仿宋_GB2312"/>
                <w:sz w:val="24"/>
              </w:rPr>
            </w:pPr>
            <w:r>
              <w:rPr>
                <w:rFonts w:hint="eastAsia" w:ascii="仿宋" w:hAnsi="仿宋" w:eastAsia="仿宋" w:cs="仿宋"/>
                <w:b/>
                <w:sz w:val="24"/>
              </w:rPr>
              <w:t>根据政府采购项目要求，不接受进口产品。</w:t>
            </w:r>
          </w:p>
        </w:tc>
        <w:tc>
          <w:tcPr>
            <w:tcW w:w="3450" w:type="dxa"/>
            <w:vAlign w:val="center"/>
          </w:tcPr>
          <w:p>
            <w:pPr>
              <w:tabs>
                <w:tab w:val="left" w:pos="0"/>
              </w:tabs>
              <w:spacing w:line="400" w:lineRule="exact"/>
              <w:rPr>
                <w:rFonts w:ascii="仿宋_GB2312" w:hAnsi="仿宋" w:eastAsia="仿宋_GB2312" w:cs="仿宋_GB2312"/>
                <w:kern w:val="0"/>
                <w:sz w:val="24"/>
              </w:rPr>
            </w:pPr>
            <w:r>
              <w:rPr>
                <w:rFonts w:hint="eastAsia" w:ascii="仿宋" w:hAnsi="仿宋" w:eastAsia="仿宋"/>
                <w:sz w:val="24"/>
              </w:rPr>
              <w:t>技术偏离表</w:t>
            </w:r>
          </w:p>
        </w:tc>
        <w:tc>
          <w:tcPr>
            <w:tcW w:w="1701" w:type="dxa"/>
          </w:tcPr>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spacing w:line="400" w:lineRule="exact"/>
              <w:jc w:val="center"/>
              <w:rPr>
                <w:rFonts w:ascii="仿宋" w:hAnsi="仿宋" w:eastAsia="仿宋" w:cs="仿宋_GB2312"/>
                <w:sz w:val="24"/>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spacing w:line="400" w:lineRule="exact"/>
              <w:rPr>
                <w:rFonts w:ascii="仿宋" w:hAnsi="仿宋" w:eastAsia="仿宋"/>
                <w:sz w:val="24"/>
              </w:rPr>
            </w:pPr>
            <w:r>
              <w:rPr>
                <w:rFonts w:hint="eastAsia" w:ascii="仿宋" w:hAnsi="仿宋" w:eastAsia="仿宋"/>
                <w:sz w:val="24"/>
              </w:rPr>
              <w:t>4</w:t>
            </w:r>
            <w:r>
              <w:rPr>
                <w:rFonts w:ascii="仿宋" w:hAnsi="仿宋" w:eastAsia="仿宋"/>
                <w:sz w:val="24"/>
              </w:rPr>
              <w:t>.2</w:t>
            </w:r>
          </w:p>
        </w:tc>
        <w:tc>
          <w:tcPr>
            <w:tcW w:w="3809" w:type="dxa"/>
          </w:tcPr>
          <w:p>
            <w:pPr>
              <w:spacing w:line="288" w:lineRule="auto"/>
              <w:rPr>
                <w:rFonts w:ascii="仿宋" w:hAnsi="仿宋" w:eastAsia="仿宋" w:cs="仿宋"/>
                <w:b/>
                <w:sz w:val="24"/>
              </w:rPr>
            </w:pPr>
            <w:r>
              <w:rPr>
                <w:rFonts w:hint="eastAsia" w:ascii="仿宋" w:hAnsi="仿宋" w:eastAsia="仿宋" w:cs="仿宋"/>
                <w:b/>
                <w:sz w:val="24"/>
              </w:rPr>
              <w:t>费用支付方式：</w:t>
            </w:r>
          </w:p>
          <w:p>
            <w:pPr>
              <w:spacing w:line="288" w:lineRule="auto"/>
              <w:rPr>
                <w:rFonts w:ascii="仿宋" w:hAnsi="仿宋" w:eastAsia="仿宋" w:cs="仿宋"/>
                <w:sz w:val="24"/>
              </w:rPr>
            </w:pPr>
            <w:r>
              <w:rPr>
                <w:rFonts w:hint="eastAsia" w:ascii="仿宋" w:hAnsi="仿宋" w:eastAsia="仿宋" w:cs="仿宋"/>
                <w:sz w:val="24"/>
                <w:lang w:bidi="ar"/>
              </w:rPr>
              <w:t>1.服务费用按由施工方案确定的白蚁监测装置布点点位数（应和施工记录保持一致）按实结算（单价乘以数量）费用；村落砖混、钢混结构房屋建筑按灭治处理户数结算费用。</w:t>
            </w:r>
          </w:p>
          <w:p>
            <w:pPr>
              <w:spacing w:line="288" w:lineRule="auto"/>
              <w:rPr>
                <w:rFonts w:ascii="仿宋" w:hAnsi="仿宋" w:eastAsia="仿宋" w:cs="仿宋"/>
                <w:sz w:val="24"/>
              </w:rPr>
            </w:pPr>
            <w:r>
              <w:rPr>
                <w:rFonts w:hint="eastAsia" w:ascii="仿宋" w:hAnsi="仿宋" w:eastAsia="仿宋" w:cs="仿宋"/>
                <w:sz w:val="24"/>
                <w:lang w:bidi="ar"/>
              </w:rPr>
              <w:t>2.支付方式</w:t>
            </w:r>
          </w:p>
          <w:p>
            <w:pPr>
              <w:spacing w:line="288" w:lineRule="auto"/>
              <w:rPr>
                <w:rFonts w:ascii="仿宋" w:hAnsi="仿宋" w:eastAsia="仿宋" w:cs="仿宋"/>
                <w:sz w:val="24"/>
              </w:rPr>
            </w:pPr>
            <w:r>
              <w:rPr>
                <w:rFonts w:hint="eastAsia" w:ascii="仿宋" w:hAnsi="仿宋" w:eastAsia="仿宋" w:cs="仿宋"/>
                <w:sz w:val="24"/>
                <w:lang w:bidi="ar"/>
              </w:rPr>
              <w:t>2.1</w:t>
            </w:r>
            <w:r>
              <w:rPr>
                <w:rFonts w:hint="eastAsia" w:ascii="仿宋" w:hAnsi="仿宋" w:eastAsia="仿宋" w:cs="仿宋"/>
                <w:sz w:val="24"/>
                <w:highlight w:val="yellow"/>
                <w:lang w:bidi="ar"/>
              </w:rPr>
              <w:t>合同签订次日起15天内支付合同签约价的40%作为预付款</w:t>
            </w:r>
            <w:r>
              <w:rPr>
                <w:rFonts w:hint="eastAsia" w:ascii="仿宋" w:hAnsi="仿宋" w:eastAsia="仿宋" w:cs="仿宋"/>
                <w:sz w:val="24"/>
                <w:lang w:bidi="ar"/>
              </w:rPr>
              <w:t>；</w:t>
            </w:r>
          </w:p>
          <w:p>
            <w:pPr>
              <w:spacing w:line="288" w:lineRule="auto"/>
              <w:rPr>
                <w:rFonts w:ascii="仿宋" w:hAnsi="仿宋" w:eastAsia="仿宋" w:cs="仿宋"/>
                <w:sz w:val="24"/>
              </w:rPr>
            </w:pPr>
            <w:r>
              <w:rPr>
                <w:rFonts w:hint="eastAsia" w:ascii="仿宋" w:hAnsi="仿宋" w:eastAsia="仿宋" w:cs="仿宋"/>
                <w:sz w:val="24"/>
                <w:lang w:bidi="ar"/>
              </w:rPr>
              <w:t>2.2 2022年10月前支付已通过中间验收项目服务费的60%（同时扣除预付款）；</w:t>
            </w:r>
          </w:p>
          <w:p>
            <w:pPr>
              <w:spacing w:line="288" w:lineRule="auto"/>
              <w:rPr>
                <w:rFonts w:ascii="仿宋" w:hAnsi="仿宋" w:eastAsia="仿宋" w:cs="仿宋"/>
                <w:sz w:val="24"/>
              </w:rPr>
            </w:pPr>
            <w:r>
              <w:rPr>
                <w:rFonts w:hint="eastAsia" w:ascii="仿宋" w:hAnsi="仿宋" w:eastAsia="仿宋" w:cs="仿宋"/>
                <w:sz w:val="24"/>
                <w:lang w:bidi="ar"/>
              </w:rPr>
              <w:t>2.3 2023年11月底支付至结算价的85%；</w:t>
            </w:r>
          </w:p>
          <w:p>
            <w:pPr>
              <w:spacing w:line="288" w:lineRule="auto"/>
              <w:rPr>
                <w:rFonts w:ascii="仿宋" w:hAnsi="仿宋" w:eastAsia="仿宋" w:cs="仿宋"/>
                <w:sz w:val="24"/>
              </w:rPr>
            </w:pPr>
            <w:r>
              <w:rPr>
                <w:rFonts w:hint="eastAsia" w:ascii="仿宋" w:hAnsi="仿宋" w:eastAsia="仿宋" w:cs="仿宋"/>
                <w:sz w:val="24"/>
                <w:lang w:bidi="ar"/>
              </w:rPr>
              <w:t>2.4 竣工验收通过后15天内支付剩余款项。</w:t>
            </w:r>
          </w:p>
          <w:p>
            <w:pPr>
              <w:spacing w:line="400" w:lineRule="exact"/>
              <w:rPr>
                <w:rFonts w:ascii="仿宋_GB2312" w:hAnsi="仿宋" w:eastAsia="仿宋_GB2312"/>
                <w:sz w:val="24"/>
              </w:rPr>
            </w:pPr>
            <w:r>
              <w:rPr>
                <w:rFonts w:hint="eastAsia" w:ascii="仿宋" w:hAnsi="仿宋" w:eastAsia="仿宋" w:cs="仿宋"/>
                <w:sz w:val="24"/>
              </w:rPr>
              <w:t>3.除监测控制技术外，如为确保白蚁治理效果实施必要的其他技术（如对局部应用液剂处理、喷粉处理等，修缮项目的液剂预防处理），不再支付涉及该技术的一切费用。通过中间验收后，服务期内监测装置损坏更新、或因未达到防治目标而增减装置数量的，结算价不予调整。</w:t>
            </w:r>
          </w:p>
        </w:tc>
        <w:tc>
          <w:tcPr>
            <w:tcW w:w="3450" w:type="dxa"/>
            <w:vAlign w:val="center"/>
          </w:tcPr>
          <w:p>
            <w:pPr>
              <w:spacing w:line="400" w:lineRule="exact"/>
              <w:rPr>
                <w:rFonts w:ascii="仿宋" w:hAnsi="仿宋" w:eastAsia="仿宋"/>
                <w:sz w:val="24"/>
              </w:rPr>
            </w:pPr>
            <w:r>
              <w:rPr>
                <w:rFonts w:hint="eastAsia" w:ascii="仿宋" w:hAnsi="仿宋" w:eastAsia="仿宋"/>
                <w:sz w:val="24"/>
              </w:rPr>
              <w:t>商务偏离表</w:t>
            </w:r>
          </w:p>
        </w:tc>
        <w:tc>
          <w:tcPr>
            <w:tcW w:w="1701" w:type="dxa"/>
          </w:tcPr>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spacing w:line="400" w:lineRule="exact"/>
              <w:jc w:val="center"/>
              <w:rPr>
                <w:rFonts w:ascii="仿宋" w:hAnsi="仿宋" w:eastAsia="仿宋" w:cs="仿宋_GB2312"/>
                <w:sz w:val="24"/>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8" w:hRule="atLeast"/>
        </w:trPr>
        <w:tc>
          <w:tcPr>
            <w:tcW w:w="646" w:type="dxa"/>
            <w:vAlign w:val="center"/>
          </w:tcPr>
          <w:p>
            <w:pPr>
              <w:spacing w:line="400" w:lineRule="exact"/>
              <w:rPr>
                <w:rFonts w:ascii="仿宋" w:hAnsi="仿宋" w:eastAsia="仿宋"/>
                <w:sz w:val="24"/>
              </w:rPr>
            </w:pPr>
            <w:r>
              <w:rPr>
                <w:rFonts w:hint="eastAsia" w:ascii="仿宋" w:hAnsi="仿宋" w:eastAsia="仿宋"/>
                <w:sz w:val="24"/>
              </w:rPr>
              <w:t>4.3</w:t>
            </w:r>
          </w:p>
        </w:tc>
        <w:tc>
          <w:tcPr>
            <w:tcW w:w="3809" w:type="dxa"/>
          </w:tcPr>
          <w:p>
            <w:pPr>
              <w:rPr>
                <w:rFonts w:ascii="仿宋" w:hAnsi="仿宋" w:eastAsia="仿宋" w:cs="仿宋"/>
                <w:b/>
                <w:sz w:val="24"/>
              </w:rPr>
            </w:pPr>
            <w:r>
              <w:rPr>
                <w:rFonts w:hint="eastAsia" w:ascii="仿宋" w:hAnsi="仿宋" w:eastAsia="仿宋" w:cs="仿宋"/>
                <w:b/>
                <w:sz w:val="24"/>
                <w:lang w:bidi="ar"/>
              </w:rPr>
              <w:t>履约担保：</w:t>
            </w:r>
          </w:p>
          <w:p>
            <w:pPr>
              <w:rPr>
                <w:rFonts w:ascii="仿宋" w:hAnsi="仿宋" w:eastAsia="仿宋" w:cs="仿宋"/>
                <w:color w:val="000000"/>
                <w:kern w:val="0"/>
                <w:sz w:val="24"/>
                <w:highlight w:val="yellow"/>
                <w:lang w:bidi="ar"/>
              </w:rPr>
            </w:pPr>
            <w:r>
              <w:rPr>
                <w:rFonts w:hint="eastAsia" w:ascii="仿宋" w:hAnsi="仿宋" w:eastAsia="仿宋" w:cs="仿宋"/>
                <w:color w:val="000000"/>
                <w:kern w:val="0"/>
                <w:sz w:val="24"/>
                <w:lang w:bidi="ar"/>
              </w:rPr>
              <w:t>合同签约价的1%。甲方根据杭州市政府采购网公布的供应商履约评价情况减免履约担保金的情形。乙方履约验收评价总分为100分及以上的，甲方免收履约担保金；评价总分在90分及以上不足100分的，甲方收取履约担保金为合同总价0.5%；评价总分在不满90分或者暂无评分的，收取履约担保金为合同总价1%。</w:t>
            </w:r>
          </w:p>
          <w:p>
            <w:pPr>
              <w:spacing w:line="288" w:lineRule="auto"/>
              <w:rPr>
                <w:rFonts w:ascii="仿宋" w:hAnsi="仿宋" w:eastAsia="仿宋" w:cs="仿宋"/>
                <w:sz w:val="24"/>
              </w:rPr>
            </w:pPr>
            <w:r>
              <w:rPr>
                <w:rFonts w:hint="eastAsia" w:ascii="仿宋" w:hAnsi="仿宋" w:eastAsia="仿宋" w:cs="仿宋"/>
                <w:sz w:val="24"/>
              </w:rPr>
              <w:t>1.形式：</w:t>
            </w:r>
          </w:p>
          <w:p>
            <w:pPr>
              <w:spacing w:line="288" w:lineRule="auto"/>
              <w:rPr>
                <w:rFonts w:ascii="仿宋" w:hAnsi="仿宋" w:eastAsia="仿宋" w:cs="仿宋"/>
                <w:sz w:val="24"/>
              </w:rPr>
            </w:pPr>
            <w:r>
              <w:rPr>
                <w:rFonts w:hint="eastAsia" w:ascii="仿宋" w:hAnsi="仿宋" w:eastAsia="仿宋" w:cs="仿宋"/>
                <w:sz w:val="24"/>
              </w:rPr>
              <w:t>1.1保函：杭州地区注册的银行（含总行、分行、支行）、保险公司出具的保函。保函的格式和内容须经甲方确认；</w:t>
            </w:r>
          </w:p>
          <w:p>
            <w:pPr>
              <w:spacing w:line="288" w:lineRule="auto"/>
              <w:rPr>
                <w:rFonts w:ascii="仿宋" w:hAnsi="仿宋" w:eastAsia="仿宋" w:cs="仿宋"/>
                <w:sz w:val="24"/>
              </w:rPr>
            </w:pPr>
            <w:r>
              <w:rPr>
                <w:rFonts w:hint="eastAsia" w:ascii="仿宋" w:hAnsi="仿宋" w:eastAsia="仿宋" w:cs="仿宋"/>
                <w:sz w:val="24"/>
              </w:rPr>
              <w:t>1.2现金：必须通过乙方的基本账户以银行转账方式或支票、银行汇票的形式交缴纳。</w:t>
            </w:r>
          </w:p>
          <w:p>
            <w:pPr>
              <w:spacing w:line="288" w:lineRule="auto"/>
              <w:rPr>
                <w:rFonts w:ascii="仿宋" w:hAnsi="仿宋" w:eastAsia="仿宋" w:cs="仿宋"/>
                <w:sz w:val="24"/>
              </w:rPr>
            </w:pPr>
            <w:r>
              <w:rPr>
                <w:rFonts w:hint="eastAsia" w:ascii="仿宋" w:hAnsi="仿宋" w:eastAsia="仿宋" w:cs="仿宋"/>
                <w:sz w:val="24"/>
              </w:rPr>
              <w:t>2.提交时间：合同签订后10个工作日内提交履约担保。</w:t>
            </w:r>
          </w:p>
          <w:p>
            <w:pPr>
              <w:spacing w:line="288" w:lineRule="auto"/>
              <w:rPr>
                <w:rFonts w:ascii="仿宋_GB2312" w:hAnsi="仿宋" w:eastAsia="仿宋_GB2312" w:cs="仿宋_GB2312"/>
                <w:kern w:val="0"/>
                <w:sz w:val="24"/>
              </w:rPr>
            </w:pPr>
            <w:r>
              <w:rPr>
                <w:rFonts w:hint="eastAsia" w:ascii="仿宋" w:hAnsi="仿宋" w:eastAsia="仿宋" w:cs="仿宋"/>
                <w:sz w:val="24"/>
              </w:rPr>
              <w:t>3.退还时间：履约担保在合同期满（履约验收完毕）无违约的情况下，5个工作日内无息退还。</w:t>
            </w:r>
          </w:p>
        </w:tc>
        <w:tc>
          <w:tcPr>
            <w:tcW w:w="3450" w:type="dxa"/>
            <w:vAlign w:val="center"/>
          </w:tcPr>
          <w:p>
            <w:pPr>
              <w:spacing w:line="400" w:lineRule="exact"/>
              <w:rPr>
                <w:rFonts w:ascii="仿宋_GB2312" w:hAnsi="仿宋" w:eastAsia="仿宋_GB2312" w:cs="仿宋_GB2312"/>
                <w:kern w:val="0"/>
                <w:sz w:val="24"/>
              </w:rPr>
            </w:pPr>
            <w:r>
              <w:rPr>
                <w:rFonts w:hint="eastAsia" w:ascii="仿宋" w:hAnsi="仿宋" w:eastAsia="仿宋"/>
                <w:sz w:val="24"/>
              </w:rPr>
              <w:t>商务偏离表</w:t>
            </w:r>
          </w:p>
        </w:tc>
        <w:tc>
          <w:tcPr>
            <w:tcW w:w="1701" w:type="dxa"/>
          </w:tcPr>
          <w:p>
            <w:pPr>
              <w:spacing w:line="400" w:lineRule="exact"/>
              <w:jc w:val="center"/>
              <w:rPr>
                <w:rFonts w:ascii="仿宋" w:hAnsi="仿宋" w:eastAsia="仿宋" w:cs="仿宋_GB2312"/>
                <w:sz w:val="24"/>
              </w:rPr>
            </w:pPr>
            <w:r>
              <w:rPr>
                <w:rFonts w:hint="eastAsia" w:ascii="仿宋" w:hAnsi="仿宋" w:eastAsia="仿宋" w:cs="仿宋_GB2312"/>
                <w:sz w:val="24"/>
              </w:rPr>
              <w:t>见响应文件</w:t>
            </w:r>
          </w:p>
          <w:p>
            <w:pPr>
              <w:spacing w:line="400" w:lineRule="exact"/>
              <w:jc w:val="center"/>
              <w:rPr>
                <w:rFonts w:ascii="仿宋" w:hAnsi="仿宋" w:eastAsia="仿宋" w:cs="仿宋_GB2312"/>
                <w:sz w:val="24"/>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outlineLvl w:val="1"/>
        <w:rPr>
          <w:rFonts w:ascii="仿宋_GB2312" w:hAnsi="仿宋" w:eastAsia="仿宋_GB2312" w:cs="仿宋_GB2312"/>
          <w:b/>
          <w:kern w:val="0"/>
          <w:sz w:val="32"/>
          <w:szCs w:val="32"/>
        </w:rPr>
        <w:sectPr>
          <w:headerReference r:id="rId12" w:type="first"/>
          <w:footerReference r:id="rId14" w:type="first"/>
          <w:headerReference r:id="rId11" w:type="default"/>
          <w:footerReference r:id="rId13" w:type="default"/>
          <w:pgSz w:w="11905" w:h="16838"/>
          <w:pgMar w:top="652" w:right="1417" w:bottom="680" w:left="1417" w:header="539" w:footer="482" w:gutter="0"/>
          <w:cols w:space="0" w:num="1"/>
          <w:titlePg/>
          <w:docGrid w:linePitch="312" w:charSpace="0"/>
        </w:sectPr>
      </w:pPr>
    </w:p>
    <w:p>
      <w:pPr>
        <w:jc w:val="center"/>
        <w:rPr>
          <w:rFonts w:ascii="仿宋_GB2312" w:hAnsi="仿宋" w:eastAsia="仿宋_GB2312" w:cs="仿宋_GB2312"/>
          <w:b/>
          <w:kern w:val="0"/>
          <w:sz w:val="32"/>
          <w:szCs w:val="32"/>
        </w:rPr>
      </w:pPr>
    </w:p>
    <w:p>
      <w:pPr>
        <w:jc w:val="center"/>
        <w:outlineLvl w:val="1"/>
      </w:pPr>
      <w:r>
        <w:rPr>
          <w:rFonts w:hint="eastAsia" w:ascii="仿宋_GB2312" w:hAnsi="仿宋" w:eastAsia="仿宋_GB2312" w:cs="仿宋_GB2312"/>
          <w:b/>
          <w:kern w:val="0"/>
          <w:sz w:val="32"/>
          <w:szCs w:val="32"/>
        </w:rPr>
        <w:t>四、评审标准相应的商务技术资料</w:t>
      </w:r>
    </w:p>
    <w:p>
      <w:pPr>
        <w:snapToGrid w:val="0"/>
        <w:spacing w:line="360" w:lineRule="auto"/>
        <w:ind w:firstLine="361" w:firstLineChars="150"/>
        <w:jc w:val="left"/>
        <w:rPr>
          <w:rFonts w:ascii="仿宋_GB2312" w:hAnsi="仿宋" w:eastAsia="仿宋_GB2312" w:cs="仿宋_GB2312"/>
          <w:b/>
          <w:sz w:val="24"/>
        </w:rPr>
      </w:pPr>
    </w:p>
    <w:p>
      <w:pPr>
        <w:snapToGrid w:val="0"/>
        <w:spacing w:line="360" w:lineRule="auto"/>
        <w:ind w:firstLine="361" w:firstLineChars="150"/>
        <w:jc w:val="left"/>
        <w:rPr>
          <w:rFonts w:ascii="仿宋_GB2312" w:hAnsi="仿宋" w:eastAsia="仿宋_GB2312" w:cs="仿宋_GB2312"/>
          <w:b/>
          <w:sz w:val="24"/>
        </w:rPr>
      </w:pPr>
      <w:r>
        <w:rPr>
          <w:rFonts w:hint="eastAsia" w:ascii="仿宋_GB2312" w:hAnsi="仿宋" w:eastAsia="仿宋_GB2312" w:cs="仿宋_GB2312"/>
          <w:b/>
          <w:sz w:val="24"/>
        </w:rPr>
        <w:t>详细评审索引</w:t>
      </w:r>
    </w:p>
    <w:p>
      <w:pPr>
        <w:numPr>
          <w:ilvl w:val="255"/>
          <w:numId w:val="0"/>
        </w:num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仿宋_GB2312"/>
          <w:b/>
          <w:sz w:val="24"/>
        </w:rPr>
        <w:t>（一）技术部分</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1</w:t>
      </w:r>
      <w:r>
        <w:rPr>
          <w:rFonts w:ascii="仿宋_GB2312" w:hAnsi="仿宋" w:eastAsia="仿宋_GB2312" w:cs="仿宋_GB2312"/>
          <w:b/>
          <w:sz w:val="24"/>
        </w:rPr>
        <w:t>.</w:t>
      </w:r>
      <w:r>
        <w:rPr>
          <w:rFonts w:hint="eastAsia" w:ascii="仿宋_GB2312" w:hAnsi="仿宋" w:eastAsia="仿宋_GB2312" w:cs="仿宋_GB2312"/>
          <w:b/>
          <w:sz w:val="24"/>
        </w:rPr>
        <w:t>白蚁防治综合治理方案</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2</w:t>
      </w:r>
      <w:r>
        <w:rPr>
          <w:rFonts w:ascii="仿宋_GB2312" w:hAnsi="仿宋" w:eastAsia="仿宋_GB2312" w:cs="仿宋_GB2312"/>
          <w:b/>
          <w:sz w:val="24"/>
        </w:rPr>
        <w:t>.</w:t>
      </w:r>
      <w:r>
        <w:rPr>
          <w:rFonts w:hint="eastAsia" w:ascii="仿宋_GB2312" w:hAnsi="仿宋" w:eastAsia="仿宋_GB2312" w:cs="仿宋_GB2312"/>
          <w:b/>
          <w:sz w:val="24"/>
        </w:rPr>
        <w:t>拟投入使用产品方案</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3</w:t>
      </w:r>
      <w:r>
        <w:rPr>
          <w:rFonts w:ascii="仿宋_GB2312" w:hAnsi="仿宋" w:eastAsia="仿宋_GB2312" w:cs="仿宋_GB2312"/>
          <w:b/>
          <w:sz w:val="24"/>
        </w:rPr>
        <w:t>.</w:t>
      </w:r>
      <w:r>
        <w:rPr>
          <w:rFonts w:hint="eastAsia" w:ascii="仿宋_GB2312" w:hAnsi="仿宋" w:eastAsia="仿宋_GB2312" w:cs="仿宋_GB2312"/>
          <w:b/>
          <w:sz w:val="24"/>
        </w:rPr>
        <w:t>档案管理制度</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4</w:t>
      </w:r>
      <w:r>
        <w:rPr>
          <w:rFonts w:ascii="仿宋_GB2312" w:hAnsi="仿宋" w:eastAsia="仿宋_GB2312" w:cs="仿宋_GB2312"/>
          <w:b/>
          <w:sz w:val="24"/>
        </w:rPr>
        <w:t>.</w:t>
      </w:r>
      <w:r>
        <w:rPr>
          <w:rFonts w:hint="eastAsia" w:ascii="仿宋_GB2312" w:hAnsi="仿宋" w:eastAsia="仿宋_GB2312" w:cs="仿宋_GB2312"/>
          <w:b/>
          <w:sz w:val="24"/>
        </w:rPr>
        <w:t>供应商为完成本项目组建的工作小组名单，每个专业人员的情况应该明确表示，在提交的标书中安排的人员，须为公司的固定职员</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5.技术偏离表</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6.供应商认为需要提供的其他资料。</w:t>
      </w:r>
    </w:p>
    <w:p>
      <w:pPr>
        <w:numPr>
          <w:ilvl w:val="255"/>
          <w:numId w:val="0"/>
        </w:num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 xml:space="preserve">  （二）资信部分</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1.单位介绍（联合体参加的，提供联合体各成员的单位介绍）</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2.资格、资质、获得的荣誉等证明文件（如有）</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3.企业类似项目业绩证明材料（如有）</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4.商务偏离表</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5.供应商认为需要提供的其他资料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 w:hAnsi="仿宋" w:eastAsia="仿宋" w:cs="仿宋"/>
          <w:b/>
          <w:kern w:val="0"/>
          <w:sz w:val="32"/>
          <w:szCs w:val="32"/>
        </w:rPr>
        <w:sectPr>
          <w:pgSz w:w="11905" w:h="16838"/>
          <w:pgMar w:top="652" w:right="1417" w:bottom="680" w:left="1417" w:header="539" w:footer="482" w:gutter="0"/>
          <w:cols w:space="0" w:num="1"/>
          <w:titlePg/>
          <w:docGrid w:linePitch="312" w:charSpace="0"/>
        </w:sectPr>
      </w:pPr>
    </w:p>
    <w:p>
      <w:pPr>
        <w:rPr>
          <w:rFonts w:ascii="仿宋" w:hAnsi="仿宋" w:eastAsia="仿宋" w:cs="仿宋"/>
          <w:b/>
          <w:kern w:val="0"/>
          <w:sz w:val="32"/>
          <w:szCs w:val="32"/>
        </w:rPr>
      </w:pPr>
      <w:r>
        <w:rPr>
          <w:rFonts w:hint="eastAsia" w:ascii="仿宋" w:hAnsi="仿宋" w:eastAsia="仿宋" w:cs="仿宋"/>
          <w:b/>
          <w:kern w:val="0"/>
          <w:sz w:val="32"/>
          <w:szCs w:val="32"/>
        </w:rPr>
        <w:t>附：</w:t>
      </w:r>
    </w:p>
    <w:p>
      <w:pPr>
        <w:snapToGrid w:val="0"/>
        <w:spacing w:line="360" w:lineRule="auto"/>
        <w:ind w:left="479" w:leftChars="228"/>
        <w:rPr>
          <w:rFonts w:ascii="仿宋" w:hAnsi="仿宋" w:eastAsia="仿宋" w:cs="仿宋_GB2312"/>
          <w:b/>
          <w:kern w:val="0"/>
          <w:sz w:val="32"/>
          <w:szCs w:val="32"/>
        </w:rPr>
      </w:pPr>
    </w:p>
    <w:p>
      <w:pPr>
        <w:adjustRightInd/>
        <w:spacing w:line="360" w:lineRule="auto"/>
        <w:jc w:val="center"/>
        <w:outlineLvl w:val="2"/>
        <w:rPr>
          <w:rFonts w:ascii="仿宋" w:hAnsi="仿宋" w:eastAsia="仿宋" w:cs="仿宋"/>
          <w:b/>
          <w:bCs/>
          <w:sz w:val="32"/>
          <w:szCs w:val="32"/>
        </w:rPr>
      </w:pPr>
      <w:r>
        <w:rPr>
          <w:rFonts w:hint="eastAsia" w:ascii="仿宋" w:hAnsi="仿宋" w:eastAsia="仿宋" w:cs="仿宋"/>
          <w:b/>
          <w:bCs/>
          <w:sz w:val="32"/>
          <w:szCs w:val="32"/>
        </w:rPr>
        <w:t>详细评审索引</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5356" w:type="dxa"/>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评分/评审细则</w:t>
            </w:r>
          </w:p>
        </w:tc>
        <w:tc>
          <w:tcPr>
            <w:tcW w:w="1276" w:type="dxa"/>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ind w:left="-2" w:leftChars="-1" w:firstLine="2"/>
              <w:rPr>
                <w:rFonts w:ascii="仿宋" w:hAnsi="仿宋" w:eastAsia="仿宋" w:cs="仿宋"/>
                <w:b/>
                <w:color w:val="000000"/>
                <w:sz w:val="24"/>
              </w:rPr>
            </w:pPr>
          </w:p>
        </w:tc>
        <w:tc>
          <w:tcPr>
            <w:tcW w:w="1276" w:type="dxa"/>
            <w:vAlign w:val="center"/>
          </w:tcPr>
          <w:p>
            <w:pPr>
              <w:snapToGrid w:val="0"/>
              <w:jc w:val="center"/>
              <w:rPr>
                <w:rFonts w:ascii="仿宋" w:hAnsi="仿宋" w:eastAsia="仿宋" w:cs="仿宋"/>
                <w:b/>
                <w:color w:val="000000"/>
                <w:sz w:val="24"/>
              </w:rPr>
            </w:pPr>
          </w:p>
        </w:tc>
      </w:tr>
    </w:tbl>
    <w:p>
      <w:pPr>
        <w:adjustRightInd/>
        <w:spacing w:line="440" w:lineRule="exact"/>
        <w:rPr>
          <w:rFonts w:ascii="仿宋" w:hAnsi="仿宋" w:eastAsia="仿宋" w:cs="仿宋"/>
        </w:rPr>
      </w:pPr>
      <w:r>
        <w:rPr>
          <w:rFonts w:hint="eastAsia" w:ascii="仿宋" w:hAnsi="仿宋" w:eastAsia="仿宋" w:cs="仿宋"/>
          <w:color w:val="000000"/>
          <w:szCs w:val="21"/>
        </w:rPr>
        <w:t>注：供应商根据评审办法的“评审因素”条款一一对应填写本表。</w:t>
      </w:r>
    </w:p>
    <w:p>
      <w:pPr>
        <w:snapToGrid w:val="0"/>
        <w:spacing w:line="360" w:lineRule="auto"/>
        <w:ind w:left="479" w:leftChars="228"/>
        <w:rPr>
          <w:rFonts w:ascii="仿宋" w:hAnsi="仿宋" w:eastAsia="仿宋" w:cs="仿宋_GB2312"/>
          <w:b/>
          <w:kern w:val="0"/>
          <w:sz w:val="32"/>
          <w:szCs w:val="32"/>
        </w:rPr>
      </w:pPr>
    </w:p>
    <w:p>
      <w:pPr>
        <w:rPr>
          <w:rFonts w:ascii="仿宋" w:hAnsi="仿宋" w:eastAsia="仿宋" w:cs="仿宋"/>
          <w:b/>
          <w:kern w:val="0"/>
          <w:sz w:val="32"/>
          <w:szCs w:val="32"/>
        </w:rPr>
      </w:pPr>
    </w:p>
    <w:p>
      <w:pPr>
        <w:outlineLvl w:val="3"/>
        <w:rPr>
          <w:rFonts w:ascii="仿宋" w:hAnsi="仿宋" w:eastAsia="仿宋" w:cs="仿宋"/>
          <w:b/>
          <w:kern w:val="0"/>
          <w:sz w:val="32"/>
          <w:szCs w:val="32"/>
          <w:lang w:val="zh-CN"/>
        </w:rPr>
      </w:pPr>
      <w:r>
        <w:rPr>
          <w:rFonts w:ascii="仿宋" w:hAnsi="仿宋" w:eastAsia="仿宋" w:cs="仿宋"/>
          <w:b/>
          <w:kern w:val="0"/>
          <w:sz w:val="32"/>
          <w:szCs w:val="32"/>
          <w:lang w:val="zh-CN"/>
        </w:rPr>
        <w:br w:type="page"/>
      </w:r>
    </w:p>
    <w:p>
      <w:pPr>
        <w:outlineLvl w:val="3"/>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一</w:t>
      </w:r>
      <w:r>
        <w:rPr>
          <w:rFonts w:hint="eastAsia" w:ascii="仿宋" w:hAnsi="仿宋" w:eastAsia="仿宋" w:cs="仿宋"/>
          <w:b/>
          <w:kern w:val="0"/>
          <w:sz w:val="32"/>
          <w:szCs w:val="32"/>
          <w:lang w:val="zh-CN"/>
        </w:rPr>
        <w:t>）供应商情况表</w:t>
      </w:r>
    </w:p>
    <w:p>
      <w:pPr>
        <w:rPr>
          <w:rFonts w:ascii="仿宋" w:hAnsi="仿宋" w:eastAsia="仿宋" w:cs="仿宋"/>
          <w:b/>
          <w:bCs/>
          <w:sz w:val="36"/>
          <w:szCs w:val="36"/>
        </w:rPr>
      </w:pPr>
    </w:p>
    <w:p>
      <w:pPr>
        <w:ind w:firstLine="3900" w:firstLineChars="1300"/>
        <w:rPr>
          <w:rFonts w:ascii="仿宋" w:hAnsi="仿宋" w:eastAsia="仿宋" w:cs="仿宋"/>
          <w:sz w:val="30"/>
          <w:szCs w:val="30"/>
        </w:rPr>
      </w:pPr>
      <w:r>
        <w:rPr>
          <w:rFonts w:hint="eastAsia" w:ascii="仿宋" w:hAnsi="仿宋" w:eastAsia="仿宋" w:cs="仿宋"/>
          <w:sz w:val="30"/>
          <w:szCs w:val="30"/>
        </w:rPr>
        <w:t>供应商情况表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单位名称</w:t>
            </w:r>
          </w:p>
        </w:tc>
        <w:tc>
          <w:tcPr>
            <w:tcW w:w="3052" w:type="dxa"/>
            <w:vAlign w:val="center"/>
          </w:tcPr>
          <w:p>
            <w:pPr>
              <w:spacing w:line="360" w:lineRule="auto"/>
              <w:rPr>
                <w:rFonts w:ascii="仿宋" w:hAnsi="仿宋" w:eastAsia="仿宋" w:cs="仿宋"/>
                <w:szCs w:val="21"/>
              </w:rPr>
            </w:pPr>
          </w:p>
        </w:tc>
        <w:tc>
          <w:tcPr>
            <w:tcW w:w="1527" w:type="dxa"/>
            <w:gridSpan w:val="2"/>
            <w:vAlign w:val="center"/>
          </w:tcPr>
          <w:p>
            <w:pPr>
              <w:spacing w:line="360" w:lineRule="auto"/>
              <w:jc w:val="center"/>
              <w:rPr>
                <w:rFonts w:ascii="仿宋" w:hAnsi="仿宋" w:eastAsia="仿宋" w:cs="仿宋"/>
                <w:b/>
                <w:szCs w:val="21"/>
              </w:rPr>
            </w:pPr>
            <w:r>
              <w:rPr>
                <w:rFonts w:hint="eastAsia" w:ascii="仿宋" w:hAnsi="仿宋" w:eastAsia="仿宋" w:cs="仿宋"/>
                <w:b/>
                <w:szCs w:val="21"/>
              </w:rPr>
              <w:t>注册资金</w:t>
            </w:r>
          </w:p>
        </w:tc>
        <w:tc>
          <w:tcPr>
            <w:tcW w:w="2104" w:type="dxa"/>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单位详细地址</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营业执照注册号</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单位成立时间</w:t>
            </w:r>
          </w:p>
        </w:tc>
        <w:tc>
          <w:tcPr>
            <w:tcW w:w="3929" w:type="dxa"/>
            <w:gridSpan w:val="2"/>
            <w:vAlign w:val="center"/>
          </w:tcPr>
          <w:p>
            <w:pPr>
              <w:spacing w:line="360" w:lineRule="auto"/>
              <w:rPr>
                <w:rFonts w:ascii="仿宋" w:hAnsi="仿宋" w:eastAsia="仿宋" w:cs="仿宋"/>
                <w:szCs w:val="21"/>
              </w:rPr>
            </w:pPr>
          </w:p>
        </w:tc>
        <w:tc>
          <w:tcPr>
            <w:tcW w:w="2754" w:type="dxa"/>
            <w:gridSpan w:val="2"/>
            <w:vAlign w:val="center"/>
          </w:tcPr>
          <w:p>
            <w:pPr>
              <w:spacing w:line="360" w:lineRule="auto"/>
              <w:rPr>
                <w:rFonts w:ascii="仿宋" w:hAnsi="仿宋" w:eastAsia="仿宋" w:cs="仿宋"/>
                <w:b/>
                <w:szCs w:val="21"/>
              </w:rPr>
            </w:pPr>
            <w:r>
              <w:rPr>
                <w:rFonts w:hint="eastAsia" w:ascii="仿宋" w:hAnsi="仿宋" w:eastAsia="仿宋" w:cs="仿宋"/>
                <w:b/>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法定代表人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主要负责人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职工人数</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具有中高级以上职称的人数</w:t>
            </w:r>
          </w:p>
        </w:tc>
        <w:tc>
          <w:tcPr>
            <w:tcW w:w="6683" w:type="dxa"/>
            <w:gridSpan w:val="4"/>
            <w:vAlign w:val="center"/>
          </w:tcPr>
          <w:p>
            <w:pPr>
              <w:spacing w:line="360" w:lineRule="auto"/>
              <w:rPr>
                <w:rFonts w:ascii="仿宋" w:hAnsi="仿宋" w:eastAsia="仿宋" w:cs="仿宋"/>
                <w:b/>
                <w:szCs w:val="21"/>
              </w:rPr>
            </w:pPr>
            <w:r>
              <w:rPr>
                <w:rFonts w:hint="eastAsia" w:ascii="仿宋" w:hAnsi="仿宋" w:eastAsia="仿宋" w:cs="仿宋"/>
                <w:b/>
                <w:szCs w:val="21"/>
              </w:rPr>
              <w:t>中级职称的人数:</w:t>
            </w:r>
          </w:p>
          <w:p>
            <w:pPr>
              <w:spacing w:line="360" w:lineRule="auto"/>
              <w:rPr>
                <w:rFonts w:ascii="仿宋" w:hAnsi="仿宋" w:eastAsia="仿宋" w:cs="仿宋"/>
                <w:szCs w:val="21"/>
              </w:rPr>
            </w:pPr>
            <w:r>
              <w:rPr>
                <w:rFonts w:hint="eastAsia" w:ascii="仿宋" w:hAnsi="仿宋" w:eastAsia="仿宋" w:cs="仿宋"/>
                <w:b/>
                <w:szCs w:val="21"/>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2020、2021年度</w:t>
            </w:r>
          </w:p>
          <w:p>
            <w:pPr>
              <w:spacing w:line="360" w:lineRule="auto"/>
              <w:jc w:val="center"/>
              <w:rPr>
                <w:rFonts w:ascii="仿宋" w:hAnsi="仿宋" w:eastAsia="仿宋" w:cs="仿宋"/>
                <w:b/>
                <w:szCs w:val="21"/>
              </w:rPr>
            </w:pPr>
            <w:r>
              <w:rPr>
                <w:rFonts w:hint="eastAsia" w:ascii="仿宋" w:hAnsi="仿宋" w:eastAsia="仿宋" w:cs="仿宋"/>
                <w:b/>
                <w:szCs w:val="21"/>
              </w:rPr>
              <w:t>主营业务收入</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联系方式</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地址：            邮编：           电话：</w:t>
            </w:r>
          </w:p>
          <w:p>
            <w:pPr>
              <w:spacing w:line="360" w:lineRule="auto"/>
              <w:rPr>
                <w:rFonts w:ascii="仿宋" w:hAnsi="仿宋" w:eastAsia="仿宋" w:cs="仿宋"/>
                <w:szCs w:val="21"/>
              </w:rPr>
            </w:pPr>
            <w:r>
              <w:rPr>
                <w:rFonts w:hint="eastAsia" w:ascii="仿宋" w:hAnsi="仿宋" w:eastAsia="仿宋" w:cs="仿宋"/>
                <w:szCs w:val="21"/>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开户银行</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名称：</w:t>
            </w:r>
          </w:p>
          <w:p>
            <w:pPr>
              <w:spacing w:line="360" w:lineRule="auto"/>
              <w:rPr>
                <w:rFonts w:ascii="仿宋" w:hAnsi="仿宋" w:eastAsia="仿宋" w:cs="仿宋"/>
                <w:szCs w:val="21"/>
              </w:rPr>
            </w:pPr>
            <w:r>
              <w:rPr>
                <w:rFonts w:hint="eastAsia" w:ascii="仿宋" w:hAnsi="仿宋" w:eastAsia="仿宋" w:cs="仿宋"/>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  位</w:t>
            </w:r>
          </w:p>
          <w:p>
            <w:pPr>
              <w:spacing w:line="360" w:lineRule="auto"/>
              <w:jc w:val="center"/>
              <w:rPr>
                <w:rFonts w:ascii="仿宋" w:hAnsi="仿宋" w:eastAsia="仿宋" w:cs="仿宋"/>
                <w:b/>
                <w:szCs w:val="21"/>
              </w:rPr>
            </w:pPr>
            <w:r>
              <w:rPr>
                <w:rFonts w:hint="eastAsia" w:ascii="仿宋" w:hAnsi="仿宋" w:eastAsia="仿宋" w:cs="仿宋"/>
                <w:b/>
                <w:szCs w:val="21"/>
              </w:rPr>
              <w:t>组  织</w:t>
            </w:r>
          </w:p>
          <w:p>
            <w:pPr>
              <w:spacing w:line="360" w:lineRule="auto"/>
              <w:jc w:val="center"/>
              <w:rPr>
                <w:rFonts w:ascii="仿宋" w:hAnsi="仿宋" w:eastAsia="仿宋" w:cs="仿宋"/>
                <w:b/>
                <w:szCs w:val="21"/>
              </w:rPr>
            </w:pPr>
            <w:r>
              <w:rPr>
                <w:rFonts w:hint="eastAsia" w:ascii="仿宋" w:hAnsi="仿宋" w:eastAsia="仿宋" w:cs="仿宋"/>
                <w:b/>
                <w:szCs w:val="21"/>
              </w:rPr>
              <w:t>机  构</w:t>
            </w:r>
          </w:p>
          <w:p>
            <w:pPr>
              <w:spacing w:line="360" w:lineRule="auto"/>
              <w:jc w:val="center"/>
              <w:rPr>
                <w:rFonts w:ascii="仿宋" w:hAnsi="仿宋" w:eastAsia="仿宋" w:cs="仿宋"/>
                <w:b/>
                <w:szCs w:val="21"/>
              </w:rPr>
            </w:pPr>
            <w:r>
              <w:rPr>
                <w:rFonts w:hint="eastAsia" w:ascii="仿宋" w:hAnsi="仿宋" w:eastAsia="仿宋" w:cs="仿宋"/>
                <w:b/>
                <w:szCs w:val="21"/>
              </w:rPr>
              <w:t>框  图</w:t>
            </w:r>
          </w:p>
        </w:tc>
        <w:tc>
          <w:tcPr>
            <w:tcW w:w="6683" w:type="dxa"/>
            <w:gridSpan w:val="4"/>
            <w:vAlign w:val="center"/>
          </w:tcPr>
          <w:p>
            <w:pPr>
              <w:spacing w:line="360" w:lineRule="auto"/>
              <w:jc w:val="center"/>
              <w:rPr>
                <w:rFonts w:ascii="仿宋" w:hAnsi="仿宋" w:eastAsia="仿宋" w:cs="仿宋"/>
                <w:szCs w:val="21"/>
              </w:rPr>
            </w:pPr>
          </w:p>
        </w:tc>
      </w:tr>
    </w:tbl>
    <w:p>
      <w:pPr>
        <w:spacing w:line="360" w:lineRule="auto"/>
        <w:rPr>
          <w:rFonts w:ascii="仿宋" w:hAnsi="仿宋" w:eastAsia="仿宋" w:cs="仿宋"/>
          <w:sz w:val="24"/>
        </w:rPr>
      </w:pPr>
      <w:r>
        <w:rPr>
          <w:rFonts w:hint="eastAsia" w:ascii="仿宋" w:hAnsi="仿宋" w:eastAsia="仿宋" w:cs="仿宋"/>
          <w:sz w:val="24"/>
        </w:rPr>
        <w:t>注：1、本表所述“职工”应为供应商的正式员工。</w:t>
      </w:r>
    </w:p>
    <w:p>
      <w:pPr>
        <w:spacing w:line="360" w:lineRule="auto"/>
        <w:rPr>
          <w:rFonts w:ascii="仿宋" w:hAnsi="仿宋" w:eastAsia="仿宋" w:cs="仿宋"/>
          <w:sz w:val="24"/>
        </w:rPr>
      </w:pPr>
    </w:p>
    <w:p>
      <w:pPr>
        <w:rPr>
          <w:rFonts w:ascii="仿宋" w:hAnsi="仿宋" w:eastAsia="仿宋" w:cs="仿宋"/>
          <w:sz w:val="24"/>
          <w:lang w:val="zh-CN"/>
        </w:rPr>
      </w:pPr>
      <w:r>
        <w:rPr>
          <w:rFonts w:hint="eastAsia" w:ascii="仿宋" w:hAnsi="仿宋" w:eastAsia="仿宋" w:cs="仿宋"/>
          <w:sz w:val="24"/>
          <w:lang w:val="zh-CN"/>
        </w:rPr>
        <w:t>供应商名称（单位电子公章或业务专用章）：</w:t>
      </w:r>
      <w:r>
        <w:rPr>
          <w:rFonts w:hint="eastAsia" w:ascii="仿宋" w:hAnsi="仿宋" w:eastAsia="仿宋" w:cs="仿宋"/>
          <w:sz w:val="24"/>
        </w:rPr>
        <w:t xml:space="preserve"> </w:t>
      </w:r>
      <w:r>
        <w:rPr>
          <w:rFonts w:hint="eastAsia" w:ascii="仿宋" w:hAnsi="仿宋" w:eastAsia="仿宋" w:cs="仿宋"/>
          <w:sz w:val="24"/>
          <w:lang w:val="zh-CN"/>
        </w:rPr>
        <w:t xml:space="preserve">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日期：</w:t>
      </w:r>
    </w:p>
    <w:p>
      <w:pPr>
        <w:pStyle w:val="61"/>
        <w:ind w:firstLine="420"/>
      </w:pPr>
    </w:p>
    <w:p>
      <w:pPr>
        <w:jc w:val="center"/>
        <w:rPr>
          <w:rFonts w:ascii="仿宋" w:hAnsi="仿宋" w:eastAsia="仿宋" w:cs="仿宋"/>
          <w:b/>
          <w:kern w:val="0"/>
          <w:sz w:val="32"/>
          <w:szCs w:val="32"/>
        </w:rPr>
        <w:sectPr>
          <w:pgSz w:w="11905" w:h="16838"/>
          <w:pgMar w:top="652" w:right="1417" w:bottom="680" w:left="1417" w:header="539" w:footer="482" w:gutter="0"/>
          <w:cols w:space="0" w:num="1"/>
          <w:titlePg/>
          <w:docGrid w:linePitch="312" w:charSpace="0"/>
        </w:sectPr>
      </w:pPr>
    </w:p>
    <w:p>
      <w:pPr>
        <w:pStyle w:val="61"/>
        <w:ind w:firstLine="420"/>
        <w:rPr>
          <w:rFonts w:ascii="仿宋" w:hAnsi="仿宋" w:eastAsia="仿宋" w:cs="仿宋"/>
        </w:rPr>
      </w:pPr>
    </w:p>
    <w:p>
      <w:pPr>
        <w:outlineLvl w:val="3"/>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）类似项目业绩情况表及证明材料</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类似项目</w:t>
      </w:r>
      <w:r>
        <w:rPr>
          <w:rFonts w:hint="eastAsia" w:ascii="仿宋" w:hAnsi="仿宋" w:eastAsia="仿宋" w:cs="仿宋"/>
          <w:b/>
          <w:sz w:val="32"/>
          <w:szCs w:val="32"/>
          <w:lang w:val="zh-CN"/>
        </w:rPr>
        <w:t>业绩</w:t>
      </w:r>
      <w:r>
        <w:rPr>
          <w:rFonts w:hint="eastAsia" w:ascii="仿宋" w:hAnsi="仿宋" w:eastAsia="仿宋" w:cs="仿宋"/>
          <w:b/>
          <w:sz w:val="32"/>
          <w:szCs w:val="32"/>
        </w:rPr>
        <w:t>情况表</w:t>
      </w:r>
    </w:p>
    <w:p>
      <w:pPr>
        <w:spacing w:line="360" w:lineRule="auto"/>
        <w:ind w:firstLine="315" w:firstLineChars="150"/>
        <w:rPr>
          <w:rFonts w:ascii="仿宋" w:hAnsi="仿宋" w:eastAsia="仿宋" w:cs="仿宋"/>
          <w:szCs w:val="21"/>
          <w:u w:val="single"/>
        </w:rPr>
      </w:pPr>
    </w:p>
    <w:p>
      <w:pPr>
        <w:spacing w:line="360" w:lineRule="auto"/>
        <w:ind w:firstLine="360" w:firstLineChars="150"/>
        <w:rPr>
          <w:rFonts w:ascii="仿宋" w:hAnsi="仿宋" w:eastAsia="仿宋" w:cs="仿宋"/>
          <w:sz w:val="24"/>
        </w:rPr>
      </w:pPr>
      <w:r>
        <w:rPr>
          <w:rFonts w:hint="eastAsia" w:ascii="仿宋" w:hAnsi="仿宋" w:eastAsia="仿宋" w:cs="仿宋"/>
          <w:sz w:val="24"/>
        </w:rPr>
        <w:t>项目名称：</w:t>
      </w:r>
    </w:p>
    <w:p>
      <w:pPr>
        <w:spacing w:line="360" w:lineRule="auto"/>
        <w:ind w:firstLine="360" w:firstLineChars="150"/>
        <w:rPr>
          <w:rFonts w:ascii="仿宋" w:hAnsi="仿宋" w:eastAsia="仿宋" w:cs="仿宋"/>
          <w:sz w:val="24"/>
        </w:rPr>
      </w:pPr>
      <w:r>
        <w:rPr>
          <w:rFonts w:hint="eastAsia" w:ascii="仿宋" w:hAnsi="仿宋" w:eastAsia="仿宋" w:cs="仿宋"/>
          <w:sz w:val="24"/>
        </w:rPr>
        <w:t>项目编号：</w:t>
      </w:r>
    </w:p>
    <w:p>
      <w:pPr>
        <w:spacing w:line="360" w:lineRule="auto"/>
        <w:ind w:firstLine="360" w:firstLineChars="150"/>
        <w:rPr>
          <w:rFonts w:ascii="仿宋" w:hAnsi="仿宋" w:eastAsia="仿宋" w:cs="仿宋"/>
          <w:sz w:val="24"/>
        </w:rPr>
      </w:pPr>
      <w:r>
        <w:rPr>
          <w:rFonts w:hint="eastAsia" w:ascii="仿宋" w:hAnsi="仿宋" w:eastAsia="仿宋" w:cs="仿宋"/>
          <w:sz w:val="24"/>
        </w:rPr>
        <w:t>标项号：</w:t>
      </w:r>
    </w:p>
    <w:p>
      <w:pPr>
        <w:spacing w:line="360" w:lineRule="auto"/>
        <w:ind w:firstLine="360" w:firstLineChars="150"/>
        <w:rPr>
          <w:rFonts w:ascii="仿宋" w:hAnsi="仿宋" w:eastAsia="仿宋" w:cs="仿宋"/>
          <w:sz w:val="24"/>
        </w:rPr>
      </w:pPr>
      <w:r>
        <w:rPr>
          <w:rFonts w:hint="eastAsia" w:ascii="仿宋" w:hAnsi="仿宋" w:eastAsia="仿宋" w:cs="仿宋"/>
          <w:sz w:val="24"/>
        </w:rPr>
        <w:t>标项名称：</w:t>
      </w:r>
    </w:p>
    <w:tbl>
      <w:tblPr>
        <w:tblStyle w:val="62"/>
        <w:tblW w:w="8435" w:type="dxa"/>
        <w:tblInd w:w="0" w:type="dxa"/>
        <w:tblLayout w:type="fixed"/>
        <w:tblCellMar>
          <w:top w:w="0" w:type="dxa"/>
          <w:left w:w="108" w:type="dxa"/>
          <w:bottom w:w="0" w:type="dxa"/>
          <w:right w:w="108" w:type="dxa"/>
        </w:tblCellMar>
      </w:tblPr>
      <w:tblGrid>
        <w:gridCol w:w="1498"/>
        <w:gridCol w:w="1411"/>
        <w:gridCol w:w="1364"/>
        <w:gridCol w:w="1119"/>
        <w:gridCol w:w="1119"/>
        <w:gridCol w:w="1924"/>
      </w:tblGrid>
      <w:tr>
        <w:tblPrEx>
          <w:tblCellMar>
            <w:top w:w="0" w:type="dxa"/>
            <w:left w:w="108" w:type="dxa"/>
            <w:bottom w:w="0" w:type="dxa"/>
            <w:right w:w="108" w:type="dxa"/>
          </w:tblCellMar>
        </w:tblPrEx>
        <w:trPr>
          <w:trHeight w:val="1253" w:hRule="atLeast"/>
        </w:trPr>
        <w:tc>
          <w:tcPr>
            <w:tcW w:w="1498"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41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合同内容</w:t>
            </w:r>
          </w:p>
        </w:tc>
        <w:tc>
          <w:tcPr>
            <w:tcW w:w="13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合同金额</w:t>
            </w:r>
          </w:p>
        </w:tc>
        <w:tc>
          <w:tcPr>
            <w:tcW w:w="11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项目负责人</w:t>
            </w:r>
          </w:p>
        </w:tc>
        <w:tc>
          <w:tcPr>
            <w:tcW w:w="1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落款日期</w:t>
            </w:r>
          </w:p>
        </w:tc>
        <w:tc>
          <w:tcPr>
            <w:tcW w:w="19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采购方联系人及电话</w:t>
            </w:r>
          </w:p>
        </w:tc>
      </w:tr>
      <w:tr>
        <w:tblPrEx>
          <w:tblCellMar>
            <w:top w:w="0" w:type="dxa"/>
            <w:left w:w="108" w:type="dxa"/>
            <w:bottom w:w="0" w:type="dxa"/>
            <w:right w:w="108" w:type="dxa"/>
          </w:tblCellMar>
        </w:tblPrEx>
        <w:trPr>
          <w:trHeight w:val="955" w:hRule="atLeast"/>
        </w:trPr>
        <w:tc>
          <w:tcPr>
            <w:tcW w:w="149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1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6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83" w:hRule="atLeast"/>
        </w:trPr>
        <w:tc>
          <w:tcPr>
            <w:tcW w:w="149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1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6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96" w:hRule="atLeast"/>
        </w:trPr>
        <w:tc>
          <w:tcPr>
            <w:tcW w:w="149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1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6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96" w:hRule="atLeast"/>
        </w:trPr>
        <w:tc>
          <w:tcPr>
            <w:tcW w:w="149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1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6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1006" w:hRule="atLeast"/>
        </w:trPr>
        <w:tc>
          <w:tcPr>
            <w:tcW w:w="149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1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6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1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注：供应商可按上述的格式自行编制，须随表提交资格要求或评审办法要求的证明材料。</w:t>
      </w:r>
    </w:p>
    <w:p>
      <w:pPr>
        <w:autoSpaceDE w:val="0"/>
        <w:autoSpaceDN w:val="0"/>
        <w:spacing w:line="360" w:lineRule="auto"/>
        <w:rPr>
          <w:rFonts w:ascii="仿宋" w:hAnsi="仿宋" w:eastAsia="仿宋" w:cs="仿宋"/>
          <w:sz w:val="24"/>
        </w:rPr>
      </w:pPr>
    </w:p>
    <w:p>
      <w:pPr>
        <w:pStyle w:val="32"/>
        <w:spacing w:line="360" w:lineRule="auto"/>
        <w:rPr>
          <w:rFonts w:ascii="仿宋" w:hAnsi="仿宋" w:eastAsia="仿宋" w:cs="仿宋"/>
          <w:sz w:val="24"/>
          <w:szCs w:val="24"/>
        </w:rPr>
      </w:pPr>
      <w:r>
        <w:rPr>
          <w:rFonts w:hint="eastAsia" w:ascii="仿宋" w:hAnsi="仿宋" w:eastAsia="仿宋" w:cs="仿宋"/>
          <w:sz w:val="24"/>
          <w:szCs w:val="24"/>
        </w:rPr>
        <w:t>供应商名称（单位电子公章或业务专用章）：</w:t>
      </w:r>
    </w:p>
    <w:p>
      <w:pPr>
        <w:pStyle w:val="32"/>
        <w:spacing w:line="360" w:lineRule="auto"/>
        <w:rPr>
          <w:rFonts w:ascii="仿宋" w:hAnsi="仿宋" w:eastAsia="仿宋" w:cs="仿宋"/>
          <w:sz w:val="24"/>
          <w:szCs w:val="24"/>
        </w:rPr>
      </w:pPr>
      <w:r>
        <w:rPr>
          <w:rFonts w:hint="eastAsia" w:ascii="仿宋" w:hAnsi="仿宋" w:eastAsia="仿宋" w:cs="仿宋"/>
          <w:sz w:val="24"/>
          <w:szCs w:val="24"/>
        </w:rPr>
        <w:t>日  期：</w:t>
      </w:r>
    </w:p>
    <w:p>
      <w:pPr>
        <w:jc w:val="center"/>
        <w:rPr>
          <w:rFonts w:ascii="仿宋" w:hAnsi="仿宋" w:eastAsia="仿宋" w:cs="仿宋"/>
          <w:b/>
          <w:kern w:val="0"/>
          <w:sz w:val="32"/>
          <w:szCs w:val="32"/>
        </w:rPr>
      </w:pPr>
    </w:p>
    <w:p>
      <w:pPr>
        <w:jc w:val="center"/>
        <w:outlineLvl w:val="3"/>
        <w:rPr>
          <w:rFonts w:ascii="仿宋" w:hAnsi="仿宋" w:eastAsia="仿宋" w:cs="仿宋"/>
          <w:b/>
          <w:kern w:val="0"/>
          <w:sz w:val="32"/>
          <w:szCs w:val="32"/>
        </w:rPr>
        <w:sectPr>
          <w:pgSz w:w="11905" w:h="16838"/>
          <w:pgMar w:top="652" w:right="1417" w:bottom="680" w:left="1417" w:header="539" w:footer="482" w:gutter="0"/>
          <w:cols w:space="0" w:num="1"/>
          <w:titlePg/>
          <w:docGrid w:linePitch="312" w:charSpace="0"/>
        </w:sectPr>
      </w:pPr>
    </w:p>
    <w:p>
      <w:pPr>
        <w:outlineLvl w:val="3"/>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）供应商为完成本项目组建的工作小组名单</w:t>
      </w:r>
    </w:p>
    <w:p>
      <w:pPr>
        <w:keepNext/>
        <w:autoSpaceDE w:val="0"/>
        <w:autoSpaceDN w:val="0"/>
        <w:spacing w:line="360" w:lineRule="auto"/>
        <w:ind w:firstLine="477"/>
        <w:rPr>
          <w:rFonts w:ascii="仿宋" w:hAnsi="仿宋" w:eastAsia="仿宋" w:cs="仿宋"/>
          <w:b/>
          <w:sz w:val="24"/>
        </w:rPr>
      </w:pP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bl>
    <w:p>
      <w:pPr>
        <w:spacing w:line="360" w:lineRule="auto"/>
        <w:rPr>
          <w:rFonts w:ascii="仿宋" w:hAnsi="仿宋" w:cs="仿宋"/>
          <w:b/>
          <w:sz w:val="24"/>
        </w:rPr>
      </w:pPr>
      <w:r>
        <w:rPr>
          <w:rFonts w:hint="eastAsia" w:ascii="仿宋" w:hAnsi="仿宋" w:eastAsia="仿宋" w:cs="仿宋"/>
          <w:b/>
          <w:sz w:val="24"/>
        </w:rPr>
        <w:t>注：随表提交在职证明（员工在职证明为供应商社保缴纳记录，新入职截止投标（响应）截止日前不满1个月的可仅提供劳动合同，退休返聘的可仅提供退休证明和劳务合同）和评标办法要求的其他材料。</w:t>
      </w:r>
    </w:p>
    <w:p>
      <w:pPr>
        <w:autoSpaceDE w:val="0"/>
        <w:autoSpaceDN w:val="0"/>
        <w:spacing w:line="360" w:lineRule="auto"/>
        <w:rPr>
          <w:rFonts w:ascii="仿宋" w:hAnsi="仿宋" w:eastAsia="仿宋" w:cs="仿宋"/>
          <w:b/>
          <w:sz w:val="24"/>
        </w:rPr>
      </w:pP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附表B:本项目的其它服务工作人员配备表</w:t>
      </w:r>
      <w:r>
        <w:rPr>
          <w:rFonts w:hint="eastAsia" w:ascii="仿宋" w:hAnsi="仿宋" w:eastAsia="仿宋" w:cs="仿宋"/>
          <w:sz w:val="24"/>
        </w:rPr>
        <w:t xml:space="preserve"> </w:t>
      </w:r>
    </w:p>
    <w:tbl>
      <w:tblPr>
        <w:tblStyle w:val="62"/>
        <w:tblW w:w="9381" w:type="dxa"/>
        <w:jc w:val="center"/>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9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9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tc>
        <w:tc>
          <w:tcPr>
            <w:tcW w:w="9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13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工作经验</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注：随表提交在职证明（员工在职证明为供应商社保缴纳记录，新入职截止投标（响应）截止日前不满1个月的可仅提供劳动合同，退休返聘的可仅提供退休证明和劳务合同）和评标办法要求的其他材料。</w:t>
      </w:r>
    </w:p>
    <w:p>
      <w:pPr>
        <w:ind w:firstLine="480" w:firstLineChars="200"/>
        <w:rPr>
          <w:rFonts w:ascii="仿宋" w:hAnsi="仿宋" w:eastAsia="仿宋" w:cs="仿宋"/>
          <w:sz w:val="24"/>
        </w:rPr>
      </w:pPr>
    </w:p>
    <w:p>
      <w:pPr>
        <w:pStyle w:val="61"/>
        <w:ind w:left="0" w:leftChars="0"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供应商名称（</w:t>
      </w:r>
      <w:r>
        <w:rPr>
          <w:rFonts w:hint="eastAsia" w:ascii="仿宋_GB2312" w:hAnsi="仿宋" w:eastAsia="仿宋_GB2312" w:cs="仿宋_GB2312"/>
          <w:kern w:val="0"/>
          <w:sz w:val="24"/>
        </w:rPr>
        <w:t>单位电子公章或业务专用章</w:t>
      </w:r>
      <w:r>
        <w:rPr>
          <w:rFonts w:hint="eastAsia" w:ascii="仿宋_GB2312" w:hAnsi="仿宋_GB2312" w:eastAsia="仿宋_GB2312" w:cs="仿宋_GB2312"/>
          <w:kern w:val="0"/>
          <w:sz w:val="24"/>
          <w:lang w:val="zh-CN"/>
        </w:rPr>
        <w:t>）：</w:t>
      </w:r>
    </w:p>
    <w:p>
      <w:pPr>
        <w:pStyle w:val="61"/>
        <w:ind w:left="0" w:leftChars="0" w:firstLine="480"/>
        <w:sectPr>
          <w:pgSz w:w="11905" w:h="16838"/>
          <w:pgMar w:top="652" w:right="1417" w:bottom="680" w:left="1417" w:header="539" w:footer="482" w:gutter="0"/>
          <w:cols w:space="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p>
    <w:p>
      <w:pPr>
        <w:jc w:val="left"/>
        <w:outlineLvl w:val="3"/>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四</w:t>
      </w:r>
      <w:r>
        <w:rPr>
          <w:rFonts w:hint="eastAsia" w:ascii="仿宋" w:hAnsi="仿宋" w:eastAsia="仿宋" w:cs="仿宋"/>
          <w:b/>
          <w:kern w:val="0"/>
          <w:sz w:val="32"/>
          <w:szCs w:val="32"/>
          <w:lang w:val="zh-CN"/>
        </w:rPr>
        <w:t>）</w:t>
      </w:r>
      <w:r>
        <w:rPr>
          <w:rFonts w:hint="eastAsia" w:ascii="仿宋" w:hAnsi="仿宋" w:eastAsia="仿宋" w:cs="仿宋"/>
          <w:b/>
          <w:kern w:val="0"/>
          <w:sz w:val="32"/>
          <w:szCs w:val="32"/>
        </w:rPr>
        <w:t>技术</w:t>
      </w:r>
      <w:r>
        <w:rPr>
          <w:rFonts w:hint="eastAsia" w:ascii="仿宋" w:hAnsi="仿宋" w:eastAsia="仿宋" w:cs="仿宋"/>
          <w:b/>
          <w:kern w:val="0"/>
          <w:sz w:val="32"/>
          <w:szCs w:val="32"/>
          <w:lang w:val="zh-CN"/>
        </w:rPr>
        <w:t>偏离表</w:t>
      </w: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300" w:type="dxa"/>
          </w:tcPr>
          <w:p>
            <w:pPr>
              <w:jc w:val="center"/>
              <w:rPr>
                <w:rFonts w:ascii="仿宋_GB2312" w:hAnsi="仿宋" w:eastAsia="仿宋_GB2312"/>
                <w:b/>
                <w:bCs/>
                <w:sz w:val="24"/>
              </w:rPr>
            </w:pPr>
            <w:r>
              <w:rPr>
                <w:rFonts w:hint="eastAsia" w:ascii="仿宋_GB2312" w:hAnsi="仿宋" w:eastAsia="仿宋_GB2312"/>
                <w:b/>
                <w:bCs/>
                <w:sz w:val="24"/>
              </w:rPr>
              <w:t>采购文件章节及具体内容</w:t>
            </w:r>
          </w:p>
        </w:tc>
        <w:tc>
          <w:tcPr>
            <w:tcW w:w="3177" w:type="dxa"/>
          </w:tcPr>
          <w:p>
            <w:pPr>
              <w:jc w:val="center"/>
              <w:rPr>
                <w:rFonts w:ascii="仿宋_GB2312" w:hAnsi="仿宋" w:eastAsia="仿宋_GB2312"/>
                <w:b/>
                <w:bCs/>
                <w:sz w:val="24"/>
              </w:rPr>
            </w:pPr>
            <w:r>
              <w:rPr>
                <w:rFonts w:hint="eastAsia" w:ascii="仿宋_GB2312" w:hAnsi="仿宋" w:eastAsia="仿宋_GB2312"/>
                <w:b/>
                <w:bCs/>
                <w:sz w:val="24"/>
              </w:rPr>
              <w:t>响应文件章节及具体内容</w:t>
            </w:r>
          </w:p>
        </w:tc>
        <w:tc>
          <w:tcPr>
            <w:tcW w:w="143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供应商保证：除商务技术偏离表列出的偏离外，供应商响应采购文件的全部要求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left"/>
        <w:outlineLvl w:val="3"/>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五</w:t>
      </w:r>
      <w:r>
        <w:rPr>
          <w:rFonts w:hint="eastAsia" w:ascii="仿宋" w:hAnsi="仿宋" w:eastAsia="仿宋" w:cs="仿宋"/>
          <w:b/>
          <w:kern w:val="0"/>
          <w:sz w:val="32"/>
          <w:szCs w:val="32"/>
          <w:lang w:val="zh-CN"/>
        </w:rPr>
        <w:t>）商务偏离表</w:t>
      </w: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50"/>
        <w:gridCol w:w="221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4"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4450" w:type="dxa"/>
          </w:tcPr>
          <w:p>
            <w:pPr>
              <w:jc w:val="center"/>
              <w:rPr>
                <w:rFonts w:ascii="仿宋_GB2312" w:hAnsi="仿宋" w:eastAsia="仿宋_GB2312"/>
                <w:b/>
                <w:bCs/>
                <w:sz w:val="24"/>
              </w:rPr>
            </w:pPr>
            <w:r>
              <w:rPr>
                <w:rFonts w:hint="eastAsia" w:ascii="仿宋_GB2312" w:hAnsi="仿宋" w:eastAsia="仿宋_GB2312"/>
                <w:b/>
                <w:bCs/>
                <w:sz w:val="24"/>
              </w:rPr>
              <w:t>采购文件章节及具体内容</w:t>
            </w:r>
          </w:p>
        </w:tc>
        <w:tc>
          <w:tcPr>
            <w:tcW w:w="2212" w:type="dxa"/>
          </w:tcPr>
          <w:p>
            <w:pPr>
              <w:jc w:val="center"/>
              <w:rPr>
                <w:rFonts w:ascii="仿宋_GB2312" w:hAnsi="仿宋" w:eastAsia="仿宋_GB2312"/>
                <w:b/>
                <w:bCs/>
                <w:sz w:val="24"/>
              </w:rPr>
            </w:pPr>
            <w:r>
              <w:rPr>
                <w:rFonts w:hint="eastAsia" w:ascii="仿宋_GB2312" w:hAnsi="仿宋" w:eastAsia="仿宋_GB2312"/>
                <w:b/>
                <w:bCs/>
                <w:sz w:val="24"/>
              </w:rPr>
              <w:t>响应文件章节及具体内容</w:t>
            </w:r>
          </w:p>
        </w:tc>
        <w:tc>
          <w:tcPr>
            <w:tcW w:w="143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74"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1</w:t>
            </w:r>
          </w:p>
        </w:tc>
        <w:tc>
          <w:tcPr>
            <w:tcW w:w="4450" w:type="dxa"/>
          </w:tcPr>
          <w:p>
            <w:pPr>
              <w:spacing w:line="288" w:lineRule="auto"/>
              <w:rPr>
                <w:rFonts w:ascii="仿宋" w:hAnsi="仿宋" w:eastAsia="仿宋" w:cs="仿宋"/>
                <w:b/>
                <w:sz w:val="24"/>
              </w:rPr>
            </w:pPr>
            <w:r>
              <w:rPr>
                <w:rFonts w:hint="eastAsia" w:ascii="仿宋" w:hAnsi="仿宋" w:eastAsia="仿宋" w:cs="仿宋"/>
                <w:b/>
                <w:sz w:val="24"/>
              </w:rPr>
              <w:t>费用支付方式：</w:t>
            </w:r>
          </w:p>
          <w:p>
            <w:pPr>
              <w:spacing w:line="288" w:lineRule="auto"/>
              <w:rPr>
                <w:rFonts w:ascii="仿宋" w:hAnsi="仿宋" w:eastAsia="仿宋" w:cs="仿宋"/>
                <w:sz w:val="24"/>
              </w:rPr>
            </w:pPr>
            <w:r>
              <w:rPr>
                <w:rFonts w:hint="eastAsia" w:ascii="仿宋" w:hAnsi="仿宋" w:eastAsia="仿宋" w:cs="仿宋"/>
                <w:sz w:val="24"/>
                <w:lang w:bidi="ar"/>
              </w:rPr>
              <w:t>1.服务费用按由施工方案确定的白蚁监测装置布点点位数（应和施工记录保持一致）按实结算（单价乘以数量）费用；村落砖混、钢混结构房屋建筑按灭治处理户数结算费用。</w:t>
            </w:r>
          </w:p>
          <w:p>
            <w:pPr>
              <w:spacing w:line="288" w:lineRule="auto"/>
              <w:rPr>
                <w:rFonts w:ascii="仿宋" w:hAnsi="仿宋" w:eastAsia="仿宋" w:cs="仿宋"/>
                <w:sz w:val="24"/>
              </w:rPr>
            </w:pPr>
            <w:r>
              <w:rPr>
                <w:rFonts w:hint="eastAsia" w:ascii="仿宋" w:hAnsi="仿宋" w:eastAsia="仿宋" w:cs="仿宋"/>
                <w:sz w:val="24"/>
                <w:lang w:bidi="ar"/>
              </w:rPr>
              <w:t>2.支付方式</w:t>
            </w:r>
          </w:p>
          <w:p>
            <w:pPr>
              <w:spacing w:line="288" w:lineRule="auto"/>
              <w:rPr>
                <w:rFonts w:ascii="仿宋" w:hAnsi="仿宋" w:eastAsia="仿宋" w:cs="仿宋"/>
                <w:sz w:val="24"/>
              </w:rPr>
            </w:pPr>
            <w:r>
              <w:rPr>
                <w:rFonts w:hint="eastAsia" w:ascii="仿宋" w:hAnsi="仿宋" w:eastAsia="仿宋" w:cs="仿宋"/>
                <w:sz w:val="24"/>
                <w:lang w:bidi="ar"/>
              </w:rPr>
              <w:t>2.1</w:t>
            </w:r>
            <w:r>
              <w:rPr>
                <w:rFonts w:hint="eastAsia" w:ascii="仿宋" w:hAnsi="仿宋" w:eastAsia="仿宋" w:cs="仿宋"/>
                <w:sz w:val="24"/>
                <w:highlight w:val="yellow"/>
                <w:lang w:bidi="ar"/>
              </w:rPr>
              <w:t>合同签订次日起15天内支付合同签约价的40%作为预付款</w:t>
            </w:r>
            <w:r>
              <w:rPr>
                <w:rFonts w:hint="eastAsia" w:ascii="仿宋" w:hAnsi="仿宋" w:eastAsia="仿宋" w:cs="仿宋"/>
                <w:sz w:val="24"/>
                <w:lang w:bidi="ar"/>
              </w:rPr>
              <w:t>；</w:t>
            </w:r>
          </w:p>
          <w:p>
            <w:pPr>
              <w:spacing w:line="288" w:lineRule="auto"/>
              <w:rPr>
                <w:rFonts w:ascii="仿宋" w:hAnsi="仿宋" w:eastAsia="仿宋" w:cs="仿宋"/>
                <w:sz w:val="24"/>
              </w:rPr>
            </w:pPr>
            <w:r>
              <w:rPr>
                <w:rFonts w:hint="eastAsia" w:ascii="仿宋" w:hAnsi="仿宋" w:eastAsia="仿宋" w:cs="仿宋"/>
                <w:sz w:val="24"/>
                <w:lang w:bidi="ar"/>
              </w:rPr>
              <w:t>2.2 2022年10月前支付已通过中间验收项目服务费的60%（同时扣除预付款）；</w:t>
            </w:r>
          </w:p>
          <w:p>
            <w:pPr>
              <w:spacing w:line="288" w:lineRule="auto"/>
              <w:rPr>
                <w:rFonts w:ascii="仿宋" w:hAnsi="仿宋" w:eastAsia="仿宋" w:cs="仿宋"/>
                <w:sz w:val="24"/>
              </w:rPr>
            </w:pPr>
            <w:r>
              <w:rPr>
                <w:rFonts w:hint="eastAsia" w:ascii="仿宋" w:hAnsi="仿宋" w:eastAsia="仿宋" w:cs="仿宋"/>
                <w:sz w:val="24"/>
                <w:lang w:bidi="ar"/>
              </w:rPr>
              <w:t>2.3 2023年11月底支付至结算价的85%；</w:t>
            </w:r>
          </w:p>
          <w:p>
            <w:pPr>
              <w:spacing w:line="288" w:lineRule="auto"/>
              <w:rPr>
                <w:rFonts w:ascii="仿宋" w:hAnsi="仿宋" w:eastAsia="仿宋" w:cs="仿宋"/>
                <w:sz w:val="24"/>
              </w:rPr>
            </w:pPr>
            <w:r>
              <w:rPr>
                <w:rFonts w:hint="eastAsia" w:ascii="仿宋" w:hAnsi="仿宋" w:eastAsia="仿宋" w:cs="仿宋"/>
                <w:sz w:val="24"/>
                <w:lang w:bidi="ar"/>
              </w:rPr>
              <w:t>2.4 竣工验收通过后15天内支付剩余款项。</w:t>
            </w:r>
          </w:p>
          <w:p>
            <w:pPr>
              <w:rPr>
                <w:rFonts w:ascii="仿宋_GB2312" w:hAnsi="仿宋" w:eastAsia="仿宋_GB2312" w:cs="仿宋_GB2312"/>
                <w:b/>
                <w:kern w:val="0"/>
                <w:sz w:val="32"/>
                <w:szCs w:val="32"/>
              </w:rPr>
            </w:pPr>
            <w:r>
              <w:rPr>
                <w:rFonts w:hint="eastAsia" w:ascii="仿宋" w:hAnsi="仿宋" w:eastAsia="仿宋" w:cs="仿宋"/>
                <w:sz w:val="24"/>
              </w:rPr>
              <w:t>3.除监测控制技术外，如为确保白蚁治理效果实施必要的其他技术（如对局部应用液剂处理、喷粉处理等，修缮项目的液剂预防处理），不再支付涉及该技术的一切费用。通过中间验收后，服务期内监测装置损坏更新、或因未达到防治目标而增减装置数量的，结算价不予调整。</w:t>
            </w:r>
          </w:p>
        </w:tc>
        <w:tc>
          <w:tcPr>
            <w:tcW w:w="2212"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74"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2</w:t>
            </w:r>
          </w:p>
        </w:tc>
        <w:tc>
          <w:tcPr>
            <w:tcW w:w="4450" w:type="dxa"/>
          </w:tcPr>
          <w:p>
            <w:pPr>
              <w:spacing w:line="288" w:lineRule="auto"/>
              <w:rPr>
                <w:rFonts w:ascii="仿宋" w:hAnsi="仿宋" w:eastAsia="仿宋" w:cs="仿宋"/>
                <w:bCs/>
                <w:kern w:val="0"/>
                <w:sz w:val="24"/>
              </w:rPr>
            </w:pPr>
            <w:r>
              <w:rPr>
                <w:rFonts w:hint="eastAsia" w:ascii="仿宋" w:hAnsi="仿宋" w:eastAsia="仿宋" w:cs="仿宋"/>
                <w:bCs/>
                <w:kern w:val="0"/>
                <w:sz w:val="24"/>
                <w:lang w:bidi="ar"/>
              </w:rPr>
              <w:t>履约担保</w:t>
            </w:r>
          </w:p>
          <w:p>
            <w:pPr>
              <w:rPr>
                <w:rFonts w:ascii="仿宋" w:hAnsi="仿宋" w:eastAsia="仿宋" w:cs="仿宋"/>
                <w:color w:val="000000"/>
                <w:kern w:val="0"/>
                <w:sz w:val="24"/>
                <w:highlight w:val="yellow"/>
                <w:lang w:bidi="ar"/>
              </w:rPr>
            </w:pPr>
            <w:r>
              <w:rPr>
                <w:rFonts w:hint="eastAsia" w:ascii="仿宋" w:hAnsi="仿宋" w:eastAsia="仿宋" w:cs="仿宋"/>
                <w:color w:val="000000"/>
                <w:kern w:val="0"/>
                <w:sz w:val="24"/>
                <w:lang w:bidi="ar"/>
              </w:rPr>
              <w:t>合同签约价的1%。甲方根据杭州市政府采购网公布的供应商履约评价情况减免履约担保金的情形。乙方履约验收评价总分为100分及以上的，甲方免收履约担保金；评价总分在90分及以上不足100分的，甲方收取履约担保金为合同总价0.5%；评价总分在不满90分或者暂无评分的，收取履约担保金为合同总价1%。</w:t>
            </w:r>
          </w:p>
          <w:p>
            <w:pPr>
              <w:spacing w:line="288" w:lineRule="auto"/>
              <w:rPr>
                <w:rFonts w:ascii="仿宋" w:hAnsi="仿宋" w:eastAsia="仿宋" w:cs="仿宋"/>
                <w:sz w:val="24"/>
              </w:rPr>
            </w:pPr>
            <w:r>
              <w:rPr>
                <w:rFonts w:hint="eastAsia" w:ascii="仿宋" w:hAnsi="仿宋" w:eastAsia="仿宋" w:cs="仿宋"/>
                <w:sz w:val="24"/>
              </w:rPr>
              <w:t>1.形式：</w:t>
            </w:r>
          </w:p>
          <w:p>
            <w:pPr>
              <w:spacing w:line="288" w:lineRule="auto"/>
              <w:rPr>
                <w:rFonts w:ascii="仿宋" w:hAnsi="仿宋" w:eastAsia="仿宋" w:cs="仿宋"/>
                <w:sz w:val="24"/>
              </w:rPr>
            </w:pPr>
            <w:r>
              <w:rPr>
                <w:rFonts w:hint="eastAsia" w:ascii="仿宋" w:hAnsi="仿宋" w:eastAsia="仿宋" w:cs="仿宋"/>
                <w:sz w:val="24"/>
              </w:rPr>
              <w:t>1.1保函：杭州地区注册的银行（含总行、分行、支行）、保险公司出具的保函。保函的格式和内容须经甲方确认；</w:t>
            </w:r>
          </w:p>
          <w:p>
            <w:pPr>
              <w:spacing w:line="288" w:lineRule="auto"/>
              <w:rPr>
                <w:rFonts w:ascii="仿宋" w:hAnsi="仿宋" w:eastAsia="仿宋" w:cs="仿宋"/>
                <w:sz w:val="24"/>
              </w:rPr>
            </w:pPr>
            <w:r>
              <w:rPr>
                <w:rFonts w:hint="eastAsia" w:ascii="仿宋" w:hAnsi="仿宋" w:eastAsia="仿宋" w:cs="仿宋"/>
                <w:sz w:val="24"/>
              </w:rPr>
              <w:t>1.2现金：必须通过乙方的基本账户以银行转账方式或支票、银行汇票的形式交缴纳。</w:t>
            </w:r>
          </w:p>
          <w:p>
            <w:pPr>
              <w:spacing w:line="288" w:lineRule="auto"/>
              <w:rPr>
                <w:rFonts w:ascii="仿宋" w:hAnsi="仿宋" w:eastAsia="仿宋" w:cs="仿宋"/>
                <w:sz w:val="24"/>
              </w:rPr>
            </w:pPr>
            <w:r>
              <w:rPr>
                <w:rFonts w:hint="eastAsia" w:ascii="仿宋" w:hAnsi="仿宋" w:eastAsia="仿宋" w:cs="仿宋"/>
                <w:sz w:val="24"/>
              </w:rPr>
              <w:t>2.提交时间：合同签订后10个工作日内提交履约担保。</w:t>
            </w:r>
          </w:p>
          <w:p>
            <w:pPr>
              <w:spacing w:line="288" w:lineRule="auto"/>
              <w:jc w:val="left"/>
              <w:rPr>
                <w:rFonts w:ascii="仿宋_GB2312" w:hAnsi="仿宋" w:eastAsia="仿宋_GB2312" w:cs="仿宋_GB2312"/>
                <w:b/>
                <w:kern w:val="0"/>
                <w:sz w:val="32"/>
                <w:szCs w:val="32"/>
              </w:rPr>
            </w:pPr>
            <w:r>
              <w:rPr>
                <w:rFonts w:hint="eastAsia" w:ascii="仿宋" w:hAnsi="仿宋" w:eastAsia="仿宋" w:cs="仿宋"/>
                <w:sz w:val="24"/>
              </w:rPr>
              <w:t>3.退还时间：履约担保在合同期满（履约验收完毕）无违约的情况下，5个工作日内无息退还。</w:t>
            </w:r>
          </w:p>
        </w:tc>
        <w:tc>
          <w:tcPr>
            <w:tcW w:w="2212"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供应商保证：除商务技术偏离表列出的偏离外，供应商响应采购文件的全部要求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428" w:firstLineChars="595"/>
        <w:rPr>
          <w:rFonts w:ascii="仿宋" w:hAnsi="仿宋" w:eastAsia="仿宋" w:cs="仿宋_GB2312"/>
          <w:kern w:val="0"/>
          <w:sz w:val="24"/>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四、</w:t>
      </w:r>
      <w:r>
        <w:rPr>
          <w:rFonts w:hint="eastAsia" w:ascii="仿宋" w:hAnsi="仿宋" w:eastAsia="仿宋" w:cs="仿宋_GB2312"/>
          <w:b/>
          <w:kern w:val="0"/>
          <w:sz w:val="32"/>
          <w:szCs w:val="32"/>
          <w:lang w:val="zh-CN"/>
        </w:rPr>
        <w:t>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u w:val="single"/>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有权立即取消我单位响应、成交或在建项目的建设资格，有权拒绝我单位在一定时期内进入你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w:t>
      </w:r>
      <w:r>
        <w:rPr>
          <w:rFonts w:hint="eastAsia" w:ascii="仿宋" w:hAnsi="仿宋" w:eastAsia="仿宋" w:cs="仿宋_GB2312"/>
          <w:kern w:val="0"/>
          <w:sz w:val="24"/>
        </w:rPr>
        <w:t>采购人行政主管单位和</w:t>
      </w:r>
      <w:r>
        <w:rPr>
          <w:rFonts w:hint="eastAsia" w:ascii="仿宋" w:hAnsi="仿宋" w:eastAsia="仿宋" w:cs="仿宋_GB2312"/>
          <w:kern w:val="0"/>
          <w:sz w:val="24"/>
          <w:lang w:val="zh-CN"/>
        </w:rPr>
        <w:t>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供应商名称（</w:t>
      </w:r>
      <w:r>
        <w:rPr>
          <w:rFonts w:hint="eastAsia" w:ascii="仿宋" w:hAnsi="仿宋" w:eastAsia="仿宋" w:cs="仿宋_GB2312"/>
          <w:sz w:val="24"/>
        </w:rPr>
        <w:t>盖章</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spacing w:line="360" w:lineRule="auto"/>
        <w:jc w:val="center"/>
        <w:rPr>
          <w:rFonts w:ascii="仿宋" w:hAnsi="仿宋" w:eastAsia="仿宋" w:cs="仿宋_GB2312"/>
          <w:b/>
          <w:bCs/>
          <w:sz w:val="24"/>
        </w:rPr>
        <w:sectPr>
          <w:footerReference r:id="rId16" w:type="first"/>
          <w:footerReference r:id="rId15" w:type="default"/>
          <w:pgSz w:w="11905" w:h="16838"/>
          <w:pgMar w:top="680" w:right="1417" w:bottom="471" w:left="1417" w:header="454" w:footer="425" w:gutter="0"/>
          <w:pgNumType w:start="23"/>
          <w:cols w:space="0" w:num="1"/>
          <w:titlePg/>
          <w:docGrid w:linePitch="312" w:charSpace="0"/>
        </w:sectPr>
      </w:pPr>
    </w:p>
    <w:p>
      <w:pPr>
        <w:spacing w:line="360" w:lineRule="auto"/>
        <w:jc w:val="center"/>
        <w:outlineLvl w:val="0"/>
        <w:rPr>
          <w:rFonts w:ascii="仿宋" w:hAnsi="仿宋" w:eastAsia="仿宋" w:cs="仿宋_GB2312"/>
          <w:b/>
          <w:kern w:val="0"/>
          <w:sz w:val="36"/>
          <w:szCs w:val="36"/>
        </w:rPr>
      </w:pPr>
      <w:bookmarkStart w:id="458" w:name="_Toc98147544"/>
      <w:bookmarkStart w:id="459" w:name="_Toc9406"/>
      <w:bookmarkStart w:id="460" w:name="_Toc22134"/>
      <w:r>
        <w:rPr>
          <w:rFonts w:hint="eastAsia" w:ascii="仿宋" w:hAnsi="仿宋" w:eastAsia="仿宋" w:cs="仿宋_GB2312"/>
          <w:b/>
          <w:kern w:val="0"/>
          <w:sz w:val="36"/>
          <w:szCs w:val="36"/>
        </w:rPr>
        <w:t>报价文件部分</w:t>
      </w:r>
      <w:bookmarkEnd w:id="458"/>
      <w:bookmarkEnd w:id="459"/>
      <w:bookmarkEnd w:id="460"/>
    </w:p>
    <w:p>
      <w:pPr>
        <w:spacing w:line="360" w:lineRule="auto"/>
        <w:jc w:val="center"/>
        <w:outlineLvl w:val="0"/>
        <w:rPr>
          <w:rFonts w:ascii="仿宋" w:hAnsi="仿宋" w:eastAsia="仿宋" w:cs="仿宋_GB2312"/>
          <w:b/>
          <w:kern w:val="0"/>
          <w:sz w:val="36"/>
          <w:szCs w:val="36"/>
        </w:rPr>
      </w:pPr>
      <w:bookmarkStart w:id="461" w:name="_Toc1739"/>
      <w:bookmarkStart w:id="462" w:name="_Toc98147545"/>
      <w:bookmarkStart w:id="463" w:name="_Toc31384"/>
      <w:r>
        <w:rPr>
          <w:rFonts w:hint="eastAsia" w:ascii="仿宋" w:hAnsi="仿宋" w:eastAsia="仿宋" w:cs="仿宋_GB2312"/>
          <w:b/>
          <w:kern w:val="0"/>
          <w:sz w:val="36"/>
          <w:szCs w:val="36"/>
        </w:rPr>
        <w:t>目录</w:t>
      </w:r>
      <w:bookmarkEnd w:id="461"/>
      <w:bookmarkEnd w:id="462"/>
      <w:bookmarkEnd w:id="463"/>
    </w:p>
    <w:p>
      <w:pPr>
        <w:spacing w:line="360" w:lineRule="auto"/>
        <w:jc w:val="center"/>
        <w:rPr>
          <w:rFonts w:ascii="仿宋" w:hAnsi="仿宋" w:eastAsia="仿宋" w:cs="仿宋_GB2312"/>
          <w:b/>
          <w:kern w:val="0"/>
          <w:sz w:val="36"/>
          <w:szCs w:val="36"/>
        </w:rPr>
      </w:pPr>
    </w:p>
    <w:p>
      <w:pPr>
        <w:numPr>
          <w:ilvl w:val="0"/>
          <w:numId w:val="3"/>
        </w:numPr>
        <w:snapToGrid w:val="0"/>
        <w:spacing w:line="360" w:lineRule="auto"/>
        <w:outlineLvl w:val="0"/>
        <w:rPr>
          <w:rFonts w:ascii="仿宋" w:hAnsi="仿宋" w:eastAsia="仿宋" w:cs="仿宋_GB2312"/>
          <w:sz w:val="24"/>
        </w:rPr>
      </w:pPr>
      <w:bookmarkStart w:id="464" w:name="_Toc98147546"/>
      <w:bookmarkStart w:id="465" w:name="_Toc31845"/>
      <w:bookmarkStart w:id="466" w:name="_Toc28156"/>
      <w:r>
        <w:rPr>
          <w:rFonts w:ascii="仿宋" w:hAnsi="仿宋" w:eastAsia="仿宋" w:cs="仿宋_GB2312"/>
          <w:sz w:val="24"/>
        </w:rPr>
        <w:t>初次报价一览表……</w:t>
      </w:r>
      <w:r>
        <w:rPr>
          <w:rFonts w:hint="eastAsia" w:ascii="仿宋" w:hAnsi="仿宋" w:eastAsia="仿宋" w:cs="仿宋_GB2312"/>
          <w:sz w:val="24"/>
        </w:rPr>
        <w:t>……………………………………………………………（页码）</w:t>
      </w:r>
      <w:bookmarkEnd w:id="464"/>
      <w:bookmarkEnd w:id="465"/>
      <w:bookmarkEnd w:id="466"/>
    </w:p>
    <w:p>
      <w:pPr>
        <w:adjustRightInd/>
        <w:snapToGrid w:val="0"/>
        <w:spacing w:line="360" w:lineRule="auto"/>
        <w:jc w:val="left"/>
      </w:pPr>
      <w:r>
        <w:rPr>
          <w:rFonts w:hint="eastAsia" w:ascii="仿宋" w:hAnsi="仿宋" w:eastAsia="仿宋" w:cs="仿宋_GB2312"/>
          <w:sz w:val="24"/>
        </w:rPr>
        <w:t>（2）</w:t>
      </w:r>
      <w:r>
        <w:rPr>
          <w:rFonts w:ascii="仿宋" w:hAnsi="仿宋" w:eastAsia="仿宋" w:cs="仿宋_GB2312"/>
          <w:sz w:val="24"/>
        </w:rPr>
        <w:t>供应商针对报价需要说明的其他文件和说明</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sym w:font="Wingdings" w:char="00A8"/>
      </w:r>
      <w:r>
        <w:rPr>
          <w:rFonts w:hint="eastAsia" w:ascii="仿宋" w:hAnsi="仿宋" w:eastAsia="仿宋" w:cs="仿宋_GB2312"/>
          <w:sz w:val="24"/>
        </w:rPr>
        <w:t>（3</w:t>
      </w:r>
      <w:r>
        <w:rPr>
          <w:rFonts w:ascii="仿宋" w:hAnsi="仿宋" w:eastAsia="仿宋" w:cs="仿宋_GB2312"/>
          <w:sz w:val="24"/>
        </w:rPr>
        <w:t>）中小企业声明函……</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footerReference r:id="rId19" w:type="first"/>
          <w:headerReference r:id="rId17" w:type="default"/>
          <w:footerReference r:id="rId18" w:type="default"/>
          <w:pgSz w:w="11905" w:h="16838"/>
          <w:pgMar w:top="680" w:right="1417" w:bottom="471" w:left="1417" w:header="454" w:footer="425" w:gutter="0"/>
          <w:cols w:space="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bookmarkStart w:id="467" w:name="_Toc31335"/>
      <w:bookmarkStart w:id="468" w:name="_Toc12541"/>
      <w:r>
        <w:rPr>
          <w:rFonts w:hint="eastAsia" w:ascii="仿宋" w:hAnsi="仿宋" w:eastAsia="仿宋" w:cs="仿宋_GB2312"/>
          <w:kern w:val="2"/>
          <w:sz w:val="32"/>
          <w:szCs w:val="32"/>
        </w:rPr>
        <w:t>一、磋商报价一览表（报价表）</w:t>
      </w:r>
      <w:bookmarkEnd w:id="467"/>
      <w:bookmarkEnd w:id="468"/>
    </w:p>
    <w:p>
      <w:pPr>
        <w:widowControl/>
        <w:spacing w:before="100" w:beforeAutospacing="1" w:after="100" w:afterAutospacing="1" w:line="276" w:lineRule="auto"/>
        <w:ind w:firstLine="141" w:firstLineChars="50"/>
        <w:jc w:val="center"/>
        <w:rPr>
          <w:rFonts w:ascii="仿宋" w:hAnsi="仿宋" w:eastAsia="仿宋" w:cs="仿宋"/>
          <w:b/>
          <w:bCs/>
          <w:kern w:val="0"/>
          <w:sz w:val="28"/>
          <w:szCs w:val="28"/>
        </w:rPr>
      </w:pPr>
      <w:r>
        <w:rPr>
          <w:rFonts w:hint="eastAsia" w:ascii="仿宋" w:hAnsi="仿宋" w:eastAsia="仿宋" w:cs="仿宋"/>
          <w:b/>
          <w:bCs/>
          <w:kern w:val="0"/>
          <w:sz w:val="28"/>
          <w:szCs w:val="28"/>
        </w:rPr>
        <w:t>初次报价一览表</w:t>
      </w:r>
    </w:p>
    <w:p>
      <w:pPr>
        <w:spacing w:line="360" w:lineRule="auto"/>
        <w:jc w:val="right"/>
        <w:rPr>
          <w:rFonts w:ascii="仿宋" w:hAnsi="仿宋" w:eastAsia="仿宋" w:cs="仿宋"/>
          <w:b/>
          <w:bCs/>
          <w:kern w:val="0"/>
          <w:sz w:val="24"/>
        </w:rPr>
      </w:pPr>
      <w:r>
        <w:rPr>
          <w:rFonts w:hint="eastAsia" w:ascii="仿宋" w:hAnsi="仿宋" w:eastAsia="仿宋" w:cs="仿宋"/>
          <w:b/>
          <w:bCs/>
          <w:kern w:val="0"/>
          <w:sz w:val="24"/>
        </w:rPr>
        <w:t xml:space="preserve"> (单位均为人民币元)</w:t>
      </w:r>
    </w:p>
    <w:tbl>
      <w:tblPr>
        <w:tblStyle w:val="62"/>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071"/>
        <w:gridCol w:w="807"/>
        <w:gridCol w:w="762"/>
        <w:gridCol w:w="1108"/>
        <w:gridCol w:w="1327"/>
        <w:gridCol w:w="141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0"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序号</w:t>
            </w:r>
          </w:p>
        </w:tc>
        <w:tc>
          <w:tcPr>
            <w:tcW w:w="1554"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采购内容</w:t>
            </w:r>
          </w:p>
        </w:tc>
        <w:tc>
          <w:tcPr>
            <w:tcW w:w="408" w:type="pct"/>
            <w:vAlign w:val="center"/>
          </w:tcPr>
          <w:p>
            <w:pPr>
              <w:spacing w:line="240" w:lineRule="exact"/>
              <w:jc w:val="center"/>
              <w:rPr>
                <w:rFonts w:ascii="仿宋" w:hAnsi="仿宋" w:eastAsia="仿宋" w:cs="仿宋"/>
                <w:b/>
                <w:szCs w:val="21"/>
              </w:rPr>
            </w:pPr>
            <w:r>
              <w:rPr>
                <w:rFonts w:hint="eastAsia" w:ascii="仿宋" w:hAnsi="仿宋" w:eastAsia="仿宋" w:cs="仿宋"/>
                <w:b/>
                <w:bCs/>
                <w:kern w:val="0"/>
                <w:szCs w:val="21"/>
              </w:rPr>
              <w:t>单位</w:t>
            </w:r>
          </w:p>
        </w:tc>
        <w:tc>
          <w:tcPr>
            <w:tcW w:w="385" w:type="pct"/>
            <w:vAlign w:val="center"/>
          </w:tcPr>
          <w:p>
            <w:pPr>
              <w:spacing w:line="240" w:lineRule="exact"/>
              <w:jc w:val="center"/>
              <w:rPr>
                <w:rFonts w:ascii="仿宋" w:hAnsi="仿宋" w:eastAsia="仿宋" w:cs="仿宋"/>
                <w:b/>
                <w:szCs w:val="21"/>
              </w:rPr>
            </w:pPr>
            <w:r>
              <w:rPr>
                <w:rFonts w:hint="eastAsia" w:ascii="仿宋" w:hAnsi="仿宋" w:eastAsia="仿宋" w:cs="仿宋"/>
                <w:b/>
                <w:bCs/>
                <w:kern w:val="0"/>
                <w:szCs w:val="21"/>
              </w:rPr>
              <w:t>数量</w:t>
            </w:r>
          </w:p>
        </w:tc>
        <w:tc>
          <w:tcPr>
            <w:tcW w:w="559" w:type="pct"/>
            <w:vAlign w:val="center"/>
          </w:tcPr>
          <w:p>
            <w:pPr>
              <w:spacing w:line="240" w:lineRule="exact"/>
              <w:jc w:val="center"/>
              <w:rPr>
                <w:rFonts w:ascii="仿宋" w:hAnsi="仿宋" w:eastAsia="仿宋" w:cs="仿宋"/>
                <w:b/>
                <w:kern w:val="0"/>
                <w:szCs w:val="21"/>
              </w:rPr>
            </w:pPr>
            <w:r>
              <w:rPr>
                <w:rFonts w:hint="eastAsia" w:ascii="仿宋" w:hAnsi="仿宋" w:eastAsia="仿宋" w:cs="仿宋"/>
                <w:b/>
                <w:kern w:val="0"/>
                <w:szCs w:val="21"/>
              </w:rPr>
              <w:t>综合单价（元）</w:t>
            </w:r>
          </w:p>
        </w:tc>
        <w:tc>
          <w:tcPr>
            <w:tcW w:w="672"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合计（元）</w:t>
            </w:r>
          </w:p>
        </w:tc>
        <w:tc>
          <w:tcPr>
            <w:tcW w:w="715"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综合单价响应报价最高限价（元）</w:t>
            </w:r>
          </w:p>
        </w:tc>
        <w:tc>
          <w:tcPr>
            <w:tcW w:w="504"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备注</w:t>
            </w:r>
          </w:p>
          <w:p>
            <w:pPr>
              <w:spacing w:line="240" w:lineRule="exact"/>
              <w:jc w:val="center"/>
              <w:rPr>
                <w:rFonts w:ascii="仿宋" w:hAnsi="仿宋" w:eastAsia="仿宋" w:cs="仿宋"/>
                <w:b/>
                <w:szCs w:val="21"/>
              </w:rPr>
            </w:pPr>
            <w:r>
              <w:rPr>
                <w:rFonts w:hint="eastAsia" w:ascii="仿宋" w:hAnsi="仿宋" w:eastAsia="仿宋" w:cs="仿宋"/>
                <w:b/>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0"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1</w:t>
            </w:r>
          </w:p>
        </w:tc>
        <w:tc>
          <w:tcPr>
            <w:tcW w:w="1554" w:type="pct"/>
            <w:vAlign w:val="center"/>
          </w:tcPr>
          <w:p>
            <w:pPr>
              <w:pStyle w:val="60"/>
              <w:widowControl/>
              <w:spacing w:beforeAutospacing="1"/>
              <w:ind w:firstLine="0"/>
              <w:jc w:val="center"/>
              <w:rPr>
                <w:rFonts w:ascii="仿宋" w:hAnsi="仿宋" w:eastAsia="仿宋" w:cs="仿宋"/>
              </w:rPr>
            </w:pPr>
            <w:r>
              <w:rPr>
                <w:rFonts w:hint="eastAsia" w:ascii="仿宋" w:hAnsi="仿宋" w:eastAsia="仿宋" w:cs="仿宋"/>
                <w:lang w:bidi="ar"/>
              </w:rPr>
              <w:t>古建筑及村落白蚁监测控制技术治理地下型监测装置安装及检查维护和灭治</w:t>
            </w:r>
          </w:p>
        </w:tc>
        <w:tc>
          <w:tcPr>
            <w:tcW w:w="408" w:type="pct"/>
            <w:vAlign w:val="center"/>
          </w:tcPr>
          <w:p>
            <w:pPr>
              <w:pStyle w:val="60"/>
              <w:widowControl/>
              <w:spacing w:beforeAutospacing="1"/>
              <w:ind w:firstLine="0"/>
              <w:jc w:val="center"/>
              <w:rPr>
                <w:rFonts w:ascii="仿宋" w:hAnsi="仿宋" w:eastAsia="仿宋" w:cs="仿宋"/>
                <w:lang w:val="en-US"/>
              </w:rPr>
            </w:pPr>
            <w:r>
              <w:rPr>
                <w:rFonts w:hint="eastAsia" w:ascii="仿宋" w:hAnsi="仿宋" w:eastAsia="仿宋" w:cs="仿宋"/>
                <w:lang w:val="en-US"/>
              </w:rPr>
              <w:t>点位</w:t>
            </w:r>
          </w:p>
        </w:tc>
        <w:tc>
          <w:tcPr>
            <w:tcW w:w="385" w:type="pct"/>
            <w:vAlign w:val="center"/>
          </w:tcPr>
          <w:p>
            <w:pPr>
              <w:pStyle w:val="60"/>
              <w:widowControl/>
              <w:spacing w:beforeAutospacing="1"/>
              <w:ind w:firstLine="0"/>
              <w:jc w:val="center"/>
              <w:rPr>
                <w:rFonts w:ascii="仿宋" w:hAnsi="仿宋" w:eastAsia="仿宋" w:cs="仿宋"/>
                <w:lang w:val="en-US"/>
              </w:rPr>
            </w:pPr>
            <w:r>
              <w:rPr>
                <w:rFonts w:hint="eastAsia" w:ascii="仿宋" w:hAnsi="仿宋" w:eastAsia="仿宋" w:cs="仿宋"/>
              </w:rPr>
              <w:t>600</w:t>
            </w:r>
          </w:p>
        </w:tc>
        <w:tc>
          <w:tcPr>
            <w:tcW w:w="559" w:type="pct"/>
            <w:vAlign w:val="center"/>
          </w:tcPr>
          <w:p>
            <w:pPr>
              <w:spacing w:line="240" w:lineRule="exact"/>
              <w:jc w:val="center"/>
              <w:rPr>
                <w:rFonts w:ascii="仿宋" w:hAnsi="仿宋" w:eastAsia="仿宋" w:cs="仿宋"/>
                <w:b/>
                <w:kern w:val="0"/>
                <w:szCs w:val="21"/>
              </w:rPr>
            </w:pPr>
          </w:p>
        </w:tc>
        <w:tc>
          <w:tcPr>
            <w:tcW w:w="672" w:type="pct"/>
            <w:vAlign w:val="center"/>
          </w:tcPr>
          <w:p>
            <w:pPr>
              <w:spacing w:line="240" w:lineRule="exact"/>
              <w:jc w:val="center"/>
              <w:rPr>
                <w:rFonts w:ascii="仿宋" w:hAnsi="仿宋" w:eastAsia="仿宋" w:cs="仿宋"/>
                <w:b/>
                <w:szCs w:val="21"/>
              </w:rPr>
            </w:pPr>
          </w:p>
        </w:tc>
        <w:tc>
          <w:tcPr>
            <w:tcW w:w="1412" w:type="dxa"/>
            <w:vAlign w:val="center"/>
          </w:tcPr>
          <w:p>
            <w:pPr>
              <w:keepNext w:val="0"/>
              <w:keepLines w:val="0"/>
              <w:widowControl/>
              <w:suppressLineNumbers w:val="0"/>
              <w:jc w:val="center"/>
              <w:textAlignment w:val="center"/>
              <w:rPr>
                <w:rFonts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175.53</w:t>
            </w:r>
          </w:p>
        </w:tc>
        <w:tc>
          <w:tcPr>
            <w:tcW w:w="504" w:type="pct"/>
            <w:vAlign w:val="center"/>
          </w:tcPr>
          <w:p>
            <w:pPr>
              <w:spacing w:line="24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0"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2</w:t>
            </w:r>
          </w:p>
        </w:tc>
        <w:tc>
          <w:tcPr>
            <w:tcW w:w="1554" w:type="pct"/>
            <w:vAlign w:val="center"/>
          </w:tcPr>
          <w:p>
            <w:pPr>
              <w:pStyle w:val="60"/>
              <w:widowControl/>
              <w:spacing w:beforeAutospacing="1"/>
              <w:ind w:firstLine="0"/>
              <w:jc w:val="center"/>
              <w:rPr>
                <w:rFonts w:ascii="仿宋" w:hAnsi="仿宋" w:eastAsia="仿宋" w:cs="仿宋"/>
                <w:lang w:val="en-US"/>
              </w:rPr>
            </w:pPr>
            <w:r>
              <w:rPr>
                <w:rFonts w:hint="eastAsia" w:ascii="仿宋" w:hAnsi="仿宋" w:eastAsia="仿宋" w:cs="仿宋"/>
                <w:lang w:bidi="ar"/>
              </w:rPr>
              <w:t>古建筑及村落白蚁监测控制技术治理地上型监测装置安装和检查维护灭治</w:t>
            </w:r>
          </w:p>
        </w:tc>
        <w:tc>
          <w:tcPr>
            <w:tcW w:w="408" w:type="pct"/>
            <w:vAlign w:val="center"/>
          </w:tcPr>
          <w:p>
            <w:pPr>
              <w:pStyle w:val="60"/>
              <w:widowControl/>
              <w:spacing w:beforeAutospacing="1"/>
              <w:ind w:firstLine="0"/>
              <w:jc w:val="center"/>
              <w:rPr>
                <w:rFonts w:ascii="仿宋" w:hAnsi="仿宋" w:eastAsia="仿宋" w:cs="仿宋"/>
                <w:lang w:val="en-US"/>
              </w:rPr>
            </w:pPr>
            <w:r>
              <w:rPr>
                <w:rFonts w:hint="eastAsia" w:ascii="仿宋" w:hAnsi="仿宋" w:eastAsia="仿宋" w:cs="仿宋"/>
                <w:lang w:val="en-US"/>
              </w:rPr>
              <w:t>点位</w:t>
            </w:r>
          </w:p>
        </w:tc>
        <w:tc>
          <w:tcPr>
            <w:tcW w:w="385" w:type="pct"/>
            <w:vAlign w:val="center"/>
          </w:tcPr>
          <w:p>
            <w:pPr>
              <w:pStyle w:val="60"/>
              <w:widowControl/>
              <w:spacing w:beforeAutospacing="1"/>
              <w:ind w:firstLine="0"/>
              <w:jc w:val="center"/>
              <w:rPr>
                <w:rFonts w:ascii="仿宋" w:hAnsi="仿宋" w:eastAsia="仿宋" w:cs="仿宋"/>
                <w:lang w:val="en-US"/>
              </w:rPr>
            </w:pPr>
            <w:r>
              <w:rPr>
                <w:rFonts w:hint="eastAsia" w:ascii="仿宋" w:hAnsi="仿宋" w:eastAsia="仿宋" w:cs="仿宋"/>
              </w:rPr>
              <w:t>470</w:t>
            </w:r>
          </w:p>
        </w:tc>
        <w:tc>
          <w:tcPr>
            <w:tcW w:w="559" w:type="pct"/>
            <w:vAlign w:val="center"/>
          </w:tcPr>
          <w:p>
            <w:pPr>
              <w:spacing w:line="240" w:lineRule="exact"/>
              <w:jc w:val="center"/>
              <w:rPr>
                <w:rFonts w:ascii="仿宋" w:hAnsi="仿宋" w:eastAsia="仿宋" w:cs="仿宋"/>
                <w:b/>
                <w:kern w:val="0"/>
                <w:szCs w:val="21"/>
              </w:rPr>
            </w:pPr>
          </w:p>
        </w:tc>
        <w:tc>
          <w:tcPr>
            <w:tcW w:w="672" w:type="pct"/>
            <w:vAlign w:val="center"/>
          </w:tcPr>
          <w:p>
            <w:pPr>
              <w:spacing w:line="240" w:lineRule="exact"/>
              <w:jc w:val="center"/>
              <w:rPr>
                <w:rFonts w:ascii="仿宋" w:hAnsi="仿宋" w:eastAsia="仿宋" w:cs="仿宋"/>
                <w:b/>
                <w:szCs w:val="21"/>
              </w:rPr>
            </w:pPr>
          </w:p>
        </w:tc>
        <w:tc>
          <w:tcPr>
            <w:tcW w:w="1412" w:type="dxa"/>
            <w:vAlign w:val="center"/>
          </w:tcPr>
          <w:p>
            <w:pPr>
              <w:keepNext w:val="0"/>
              <w:keepLines w:val="0"/>
              <w:widowControl/>
              <w:suppressLineNumbers w:val="0"/>
              <w:jc w:val="center"/>
              <w:textAlignment w:val="center"/>
              <w:rPr>
                <w:rFonts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1194.855</w:t>
            </w:r>
          </w:p>
        </w:tc>
        <w:tc>
          <w:tcPr>
            <w:tcW w:w="504" w:type="pct"/>
            <w:vAlign w:val="center"/>
          </w:tcPr>
          <w:p>
            <w:pPr>
              <w:spacing w:line="24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0" w:type="pct"/>
            <w:vAlign w:val="center"/>
          </w:tcPr>
          <w:p>
            <w:pPr>
              <w:spacing w:line="240" w:lineRule="exact"/>
              <w:jc w:val="center"/>
              <w:rPr>
                <w:rFonts w:ascii="仿宋" w:hAnsi="仿宋" w:eastAsia="仿宋" w:cs="仿宋"/>
                <w:b/>
                <w:szCs w:val="21"/>
              </w:rPr>
            </w:pPr>
          </w:p>
        </w:tc>
        <w:tc>
          <w:tcPr>
            <w:tcW w:w="1554" w:type="pct"/>
            <w:vAlign w:val="center"/>
          </w:tcPr>
          <w:p>
            <w:pPr>
              <w:pStyle w:val="60"/>
              <w:widowControl/>
              <w:spacing w:beforeAutospacing="1"/>
              <w:ind w:firstLine="0"/>
              <w:jc w:val="center"/>
              <w:rPr>
                <w:rFonts w:ascii="仿宋" w:hAnsi="仿宋" w:eastAsia="仿宋" w:cs="仿宋"/>
                <w:lang w:val="en-US" w:bidi="ar"/>
              </w:rPr>
            </w:pPr>
            <w:r>
              <w:rPr>
                <w:rFonts w:hint="eastAsia" w:ascii="仿宋" w:hAnsi="仿宋" w:eastAsia="仿宋" w:cs="仿宋"/>
                <w:lang w:bidi="ar"/>
              </w:rPr>
              <w:t>村落砖混、钢混结构房屋白蚁治理</w:t>
            </w:r>
          </w:p>
        </w:tc>
        <w:tc>
          <w:tcPr>
            <w:tcW w:w="408" w:type="pct"/>
            <w:vAlign w:val="center"/>
          </w:tcPr>
          <w:p>
            <w:pPr>
              <w:pStyle w:val="60"/>
              <w:widowControl/>
              <w:spacing w:beforeAutospacing="1"/>
              <w:ind w:firstLine="0"/>
              <w:jc w:val="center"/>
              <w:rPr>
                <w:rFonts w:hint="eastAsia" w:ascii="仿宋" w:hAnsi="仿宋" w:eastAsia="仿宋" w:cs="仿宋"/>
                <w:lang w:val="en-US" w:eastAsia="zh-CN"/>
              </w:rPr>
            </w:pPr>
            <w:r>
              <w:rPr>
                <w:rFonts w:hint="eastAsia" w:ascii="仿宋" w:hAnsi="仿宋" w:eastAsia="仿宋" w:cs="仿宋"/>
                <w:lang w:val="en-US" w:eastAsia="zh-CN"/>
              </w:rPr>
              <w:t>户</w:t>
            </w:r>
          </w:p>
        </w:tc>
        <w:tc>
          <w:tcPr>
            <w:tcW w:w="385" w:type="pct"/>
            <w:vAlign w:val="center"/>
          </w:tcPr>
          <w:p>
            <w:pPr>
              <w:pStyle w:val="60"/>
              <w:widowControl/>
              <w:spacing w:beforeAutospacing="1"/>
              <w:ind w:firstLine="0"/>
              <w:jc w:val="center"/>
              <w:rPr>
                <w:rFonts w:ascii="仿宋" w:hAnsi="仿宋" w:eastAsia="仿宋" w:cs="仿宋"/>
                <w:lang w:val="en-US"/>
              </w:rPr>
            </w:pPr>
            <w:r>
              <w:rPr>
                <w:rFonts w:hint="eastAsia" w:ascii="仿宋" w:hAnsi="仿宋" w:eastAsia="仿宋" w:cs="仿宋"/>
              </w:rPr>
              <w:t>40</w:t>
            </w:r>
          </w:p>
        </w:tc>
        <w:tc>
          <w:tcPr>
            <w:tcW w:w="559" w:type="pct"/>
            <w:vAlign w:val="center"/>
          </w:tcPr>
          <w:p>
            <w:pPr>
              <w:spacing w:line="240" w:lineRule="exact"/>
              <w:jc w:val="center"/>
              <w:rPr>
                <w:rFonts w:ascii="仿宋" w:hAnsi="仿宋" w:eastAsia="仿宋" w:cs="仿宋"/>
                <w:b/>
                <w:kern w:val="0"/>
                <w:szCs w:val="21"/>
              </w:rPr>
            </w:pPr>
          </w:p>
        </w:tc>
        <w:tc>
          <w:tcPr>
            <w:tcW w:w="672" w:type="pct"/>
            <w:vAlign w:val="center"/>
          </w:tcPr>
          <w:p>
            <w:pPr>
              <w:spacing w:line="240" w:lineRule="exact"/>
              <w:jc w:val="center"/>
              <w:rPr>
                <w:rFonts w:ascii="仿宋" w:hAnsi="仿宋" w:eastAsia="仿宋" w:cs="仿宋"/>
                <w:b/>
                <w:szCs w:val="21"/>
              </w:rPr>
            </w:pPr>
          </w:p>
        </w:tc>
        <w:tc>
          <w:tcPr>
            <w:tcW w:w="1412" w:type="dxa"/>
            <w:vAlign w:val="center"/>
          </w:tcPr>
          <w:p>
            <w:pPr>
              <w:keepNext w:val="0"/>
              <w:keepLines w:val="0"/>
              <w:widowControl/>
              <w:suppressLineNumbers w:val="0"/>
              <w:jc w:val="center"/>
              <w:textAlignment w:val="center"/>
              <w:rPr>
                <w:rFonts w:ascii="仿宋" w:hAnsi="仿宋" w:eastAsia="仿宋" w:cs="仿宋"/>
                <w:sz w:val="21"/>
                <w:szCs w:val="21"/>
                <w:lang w:val="en-US" w:bidi="ar"/>
              </w:rPr>
            </w:pPr>
            <w:r>
              <w:rPr>
                <w:rFonts w:hint="eastAsia" w:ascii="仿宋" w:hAnsi="仿宋" w:eastAsia="仿宋" w:cs="仿宋"/>
                <w:i w:val="0"/>
                <w:iCs w:val="0"/>
                <w:color w:val="000000"/>
                <w:kern w:val="0"/>
                <w:sz w:val="21"/>
                <w:szCs w:val="21"/>
                <w:u w:val="none"/>
                <w:lang w:val="en-US" w:eastAsia="zh-CN" w:bidi="ar"/>
              </w:rPr>
              <w:t>300</w:t>
            </w:r>
          </w:p>
        </w:tc>
        <w:tc>
          <w:tcPr>
            <w:tcW w:w="504" w:type="pct"/>
            <w:vAlign w:val="center"/>
          </w:tcPr>
          <w:p>
            <w:pPr>
              <w:spacing w:line="24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8" w:type="pct"/>
            <w:gridSpan w:val="5"/>
            <w:vAlign w:val="center"/>
          </w:tcPr>
          <w:p>
            <w:pPr>
              <w:spacing w:line="240" w:lineRule="exact"/>
              <w:jc w:val="center"/>
              <w:rPr>
                <w:rFonts w:ascii="仿宋" w:hAnsi="仿宋" w:eastAsia="仿宋" w:cs="仿宋"/>
                <w:b/>
                <w:szCs w:val="21"/>
              </w:rPr>
            </w:pPr>
            <w:r>
              <w:rPr>
                <w:rFonts w:hint="eastAsia" w:ascii="仿宋" w:hAnsi="仿宋" w:eastAsia="仿宋" w:cs="仿宋"/>
                <w:b/>
                <w:szCs w:val="21"/>
              </w:rPr>
              <w:t>合计</w:t>
            </w:r>
          </w:p>
        </w:tc>
        <w:tc>
          <w:tcPr>
            <w:tcW w:w="672" w:type="pct"/>
            <w:vAlign w:val="center"/>
          </w:tcPr>
          <w:p>
            <w:pPr>
              <w:spacing w:line="240" w:lineRule="exact"/>
              <w:jc w:val="center"/>
              <w:rPr>
                <w:rFonts w:ascii="仿宋" w:hAnsi="仿宋" w:eastAsia="仿宋" w:cs="仿宋"/>
                <w:b/>
                <w:szCs w:val="21"/>
              </w:rPr>
            </w:pPr>
          </w:p>
        </w:tc>
        <w:tc>
          <w:tcPr>
            <w:tcW w:w="715" w:type="pct"/>
            <w:vAlign w:val="center"/>
          </w:tcPr>
          <w:p>
            <w:pPr>
              <w:spacing w:line="240" w:lineRule="exact"/>
              <w:jc w:val="center"/>
              <w:rPr>
                <w:rFonts w:ascii="仿宋" w:hAnsi="仿宋" w:eastAsia="仿宋" w:cs="仿宋"/>
                <w:b/>
                <w:szCs w:val="21"/>
              </w:rPr>
            </w:pPr>
            <w:r>
              <w:rPr>
                <w:rFonts w:hint="eastAsia" w:ascii="仿宋" w:hAnsi="仿宋" w:eastAsia="仿宋" w:cs="仿宋"/>
                <w:b/>
                <w:szCs w:val="21"/>
              </w:rPr>
              <w:t>678900</w:t>
            </w:r>
          </w:p>
        </w:tc>
        <w:tc>
          <w:tcPr>
            <w:tcW w:w="504" w:type="pct"/>
            <w:vAlign w:val="center"/>
          </w:tcPr>
          <w:p>
            <w:pPr>
              <w:spacing w:line="240" w:lineRule="exact"/>
              <w:jc w:val="center"/>
              <w:rPr>
                <w:rFonts w:ascii="仿宋" w:hAnsi="仿宋" w:eastAsia="仿宋" w:cs="仿宋"/>
                <w:b/>
                <w:szCs w:val="21"/>
              </w:rPr>
            </w:pPr>
          </w:p>
        </w:tc>
      </w:tr>
    </w:tbl>
    <w:p>
      <w:pPr>
        <w:spacing w:line="360" w:lineRule="auto"/>
        <w:jc w:val="right"/>
        <w:rPr>
          <w:rFonts w:ascii="仿宋" w:hAnsi="仿宋" w:eastAsia="仿宋" w:cs="仿宋"/>
          <w:b/>
          <w:bCs/>
          <w:kern w:val="0"/>
          <w:sz w:val="24"/>
        </w:rPr>
      </w:pPr>
    </w:p>
    <w:p>
      <w:pPr>
        <w:spacing w:line="360" w:lineRule="auto"/>
        <w:ind w:left="-2" w:leftChars="-1" w:firstLine="480" w:firstLineChars="200"/>
        <w:rPr>
          <w:rFonts w:ascii="仿宋" w:hAnsi="仿宋" w:eastAsia="仿宋" w:cs="仿宋"/>
          <w:kern w:val="0"/>
          <w:sz w:val="24"/>
        </w:rPr>
      </w:pPr>
    </w:p>
    <w:p>
      <w:pPr>
        <w:spacing w:line="360" w:lineRule="auto"/>
        <w:ind w:left="-2" w:leftChars="-1" w:firstLine="480" w:firstLineChars="200"/>
        <w:rPr>
          <w:rFonts w:ascii="仿宋" w:hAnsi="仿宋" w:eastAsia="仿宋" w:cs="仿宋"/>
          <w:kern w:val="0"/>
          <w:sz w:val="24"/>
        </w:rPr>
      </w:pPr>
      <w:r>
        <w:rPr>
          <w:rFonts w:hint="eastAsia" w:ascii="仿宋" w:hAnsi="仿宋" w:eastAsia="仿宋" w:cs="仿宋"/>
          <w:kern w:val="0"/>
          <w:sz w:val="24"/>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磋商供应商需按本表格式填写，不得自行更改。报价明细组成表（如有）附后。</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lang w:val="zh-CN"/>
        </w:rPr>
        <w:t>2、有关本项目实施所涉及的一切费用（详见总则）均计入报价。</w:t>
      </w:r>
      <w:r>
        <w:rPr>
          <w:rFonts w:hint="eastAsia" w:ascii="仿宋" w:hAnsi="仿宋" w:eastAsia="仿宋" w:cs="仿宋"/>
          <w:kern w:val="0"/>
          <w:sz w:val="24"/>
        </w:rPr>
        <w:t>合同价不因审计服务时间延长而调整。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tabs>
          <w:tab w:val="left" w:pos="0"/>
        </w:tabs>
        <w:spacing w:line="360" w:lineRule="auto"/>
        <w:ind w:firstLine="48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、采购代理机构将对项目名称和项目编号，成交供应商名称、地址和成交报价，主要成交标的的名称、规格型号、数量、单价、服务要求等予以公示。</w:t>
      </w:r>
    </w:p>
    <w:p>
      <w:pPr>
        <w:snapToGrid w:val="0"/>
        <w:spacing w:line="360" w:lineRule="auto"/>
        <w:ind w:left="480"/>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jc w:val="right"/>
        <w:rPr>
          <w:rFonts w:ascii="仿宋" w:hAnsi="仿宋" w:eastAsia="仿宋" w:cs="仿宋"/>
          <w:bCs/>
          <w:kern w:val="0"/>
          <w:sz w:val="24"/>
          <w:lang w:bidi="en-US"/>
        </w:rPr>
      </w:pPr>
      <w:r>
        <w:rPr>
          <w:rFonts w:hint="eastAsia" w:ascii="仿宋" w:hAnsi="仿宋" w:eastAsia="仿宋" w:cs="仿宋"/>
          <w:bCs/>
          <w:kern w:val="0"/>
          <w:sz w:val="24"/>
          <w:lang w:bidi="en-US"/>
        </w:rPr>
        <w:t xml:space="preserve">供应商名称（单位电子公章或业务专用章）：                                                                                                                                                                                                               </w:t>
      </w:r>
    </w:p>
    <w:p>
      <w:pPr>
        <w:pStyle w:val="61"/>
        <w:ind w:left="0" w:leftChars="0" w:firstLine="0" w:firstLineChars="0"/>
        <w:jc w:val="right"/>
        <w:rPr>
          <w:lang w:bidi="en-US"/>
        </w:rPr>
      </w:pPr>
      <w:r>
        <w:rPr>
          <w:rFonts w:hint="eastAsia" w:ascii="仿宋" w:hAnsi="仿宋" w:eastAsia="仿宋" w:cs="仿宋"/>
          <w:bCs/>
          <w:kern w:val="0"/>
          <w:sz w:val="24"/>
          <w:lang w:bidi="en-US"/>
        </w:rPr>
        <w:t>日期：   年   月   日</w:t>
      </w:r>
    </w:p>
    <w:p>
      <w:pPr>
        <w:rPr>
          <w:rFonts w:ascii="仿宋" w:hAnsi="仿宋" w:eastAsia="仿宋" w:cs="仿宋_GB2312"/>
          <w:sz w:val="32"/>
          <w:szCs w:val="32"/>
          <w:lang w:val="zh-CN"/>
        </w:rPr>
      </w:pPr>
      <w:bookmarkStart w:id="469" w:name="_Toc18957"/>
      <w:bookmarkStart w:id="470" w:name="_Toc2640"/>
      <w:r>
        <w:rPr>
          <w:rFonts w:hint="eastAsia" w:ascii="仿宋" w:hAnsi="仿宋" w:eastAsia="仿宋" w:cs="仿宋_GB2312"/>
          <w:sz w:val="32"/>
          <w:szCs w:val="32"/>
          <w:lang w:val="zh-CN"/>
        </w:rPr>
        <w:br w:type="page"/>
      </w:r>
    </w:p>
    <w:bookmarkEnd w:id="469"/>
    <w:bookmarkEnd w:id="470"/>
    <w:p>
      <w:pPr>
        <w:pStyle w:val="692"/>
        <w:keepNext w:val="0"/>
        <w:pageBreakBefore w:val="0"/>
        <w:tabs>
          <w:tab w:val="clear" w:pos="720"/>
        </w:tabs>
        <w:snapToGrid w:val="0"/>
        <w:spacing w:before="120" w:after="120"/>
        <w:ind w:firstLine="643"/>
        <w:outlineLvl w:val="9"/>
        <w:rPr>
          <w:rFonts w:ascii="仿宋" w:hAnsi="仿宋" w:eastAsia="仿宋"/>
          <w:sz w:val="32"/>
          <w:szCs w:val="32"/>
        </w:rPr>
      </w:pPr>
      <w:bookmarkStart w:id="471" w:name="_Toc21519"/>
      <w:bookmarkStart w:id="472" w:name="_Toc26685"/>
      <w:r>
        <w:rPr>
          <w:rFonts w:ascii="仿宋_GB2312" w:hAnsi="仿宋" w:eastAsia="仿宋_GB2312" w:cs="仿宋_GB2312"/>
          <w:sz w:val="24"/>
        </w:rPr>
        <w:sym w:font="Wingdings" w:char="00A8"/>
      </w:r>
      <w:r>
        <w:rPr>
          <w:rFonts w:hint="eastAsia" w:ascii="仿宋" w:hAnsi="仿宋" w:eastAsia="仿宋" w:cs="仿宋_GB2312"/>
          <w:kern w:val="2"/>
          <w:sz w:val="32"/>
          <w:szCs w:val="32"/>
        </w:rPr>
        <w:t>二、</w:t>
      </w:r>
      <w:r>
        <w:rPr>
          <w:rFonts w:hint="eastAsia" w:ascii="仿宋" w:hAnsi="仿宋" w:eastAsia="仿宋"/>
          <w:sz w:val="32"/>
          <w:szCs w:val="32"/>
        </w:rPr>
        <w:t>中小企业声明函</w:t>
      </w:r>
      <w:bookmarkEnd w:id="471"/>
      <w:bookmarkEnd w:id="472"/>
    </w:p>
    <w:p>
      <w:pPr>
        <w:widowControl/>
        <w:spacing w:line="360" w:lineRule="auto"/>
        <w:ind w:firstLine="602" w:firstLineChars="250"/>
        <w:jc w:val="left"/>
        <w:rPr>
          <w:rFonts w:ascii="仿宋" w:hAnsi="仿宋" w:eastAsia="仿宋" w:cs="仿宋_GB2312"/>
          <w:b/>
          <w:sz w:val="24"/>
        </w:rPr>
      </w:pPr>
      <w:r>
        <w:rPr>
          <w:rFonts w:hint="eastAsia" w:ascii="仿宋" w:hAnsi="仿宋" w:eastAsia="仿宋" w:cs="仿宋_GB2312"/>
          <w:b/>
          <w:sz w:val="24"/>
        </w:rPr>
        <w:t>（本项目专门面向中小企业，中小企业声明函需在资格文件部分提供）</w:t>
      </w:r>
    </w:p>
    <w:p>
      <w:pPr>
        <w:rPr>
          <w:rFonts w:ascii="仿宋" w:hAnsi="仿宋" w:eastAsia="仿宋" w:cs="仿宋_GB2312"/>
          <w:b/>
          <w:kern w:val="0"/>
          <w:sz w:val="36"/>
          <w:szCs w:val="36"/>
        </w:rPr>
      </w:pPr>
      <w:r>
        <w:rPr>
          <w:rFonts w:ascii="仿宋" w:hAnsi="仿宋" w:eastAsia="仿宋" w:cs="仿宋_GB2312"/>
          <w:b/>
          <w:kern w:val="0"/>
          <w:sz w:val="36"/>
          <w:szCs w:val="36"/>
        </w:rPr>
        <w:br w:type="page"/>
      </w:r>
    </w:p>
    <w:p>
      <w:pPr>
        <w:pStyle w:val="2"/>
        <w:keepNext w:val="0"/>
        <w:keepLines w:val="0"/>
        <w:widowControl/>
        <w:spacing w:before="100" w:beforeAutospacing="1" w:after="100" w:afterAutospacing="1" w:line="360" w:lineRule="auto"/>
        <w:ind w:left="0" w:firstLine="0"/>
        <w:rPr>
          <w:rFonts w:ascii="仿宋" w:hAnsi="仿宋" w:eastAsia="仿宋"/>
        </w:rPr>
      </w:pPr>
      <w:bookmarkStart w:id="473" w:name="_Toc98147547"/>
      <w:bookmarkStart w:id="474" w:name="_Toc465665161"/>
      <w:bookmarkStart w:id="475" w:name="_Toc29649"/>
      <w:bookmarkStart w:id="476" w:name="_Toc20152"/>
      <w:r>
        <w:rPr>
          <w:rFonts w:hint="eastAsia" w:ascii="仿宋" w:hAnsi="仿宋" w:eastAsia="仿宋"/>
        </w:rPr>
        <w:t>附件</w:t>
      </w:r>
      <w:bookmarkEnd w:id="473"/>
      <w:bookmarkEnd w:id="474"/>
      <w:bookmarkEnd w:id="475"/>
      <w:bookmarkEnd w:id="476"/>
    </w:p>
    <w:p>
      <w:pPr>
        <w:spacing w:line="360" w:lineRule="auto"/>
        <w:outlineLvl w:val="0"/>
        <w:rPr>
          <w:rFonts w:ascii="仿宋" w:hAnsi="仿宋" w:eastAsia="仿宋"/>
          <w:b/>
          <w:spacing w:val="6"/>
          <w:sz w:val="32"/>
          <w:szCs w:val="32"/>
        </w:rPr>
      </w:pPr>
      <w:bookmarkStart w:id="477" w:name="_Toc11708"/>
      <w:bookmarkStart w:id="478" w:name="_Toc98147548"/>
      <w:bookmarkStart w:id="479" w:name="_Toc17947"/>
      <w:r>
        <w:rPr>
          <w:rFonts w:hint="eastAsia" w:ascii="仿宋" w:hAnsi="仿宋" w:eastAsia="仿宋"/>
          <w:b/>
          <w:spacing w:val="6"/>
          <w:sz w:val="32"/>
          <w:szCs w:val="32"/>
        </w:rPr>
        <w:t>附件</w:t>
      </w:r>
      <w:r>
        <w:rPr>
          <w:rFonts w:ascii="仿宋" w:hAnsi="仿宋" w:eastAsia="仿宋"/>
          <w:b/>
          <w:spacing w:val="6"/>
          <w:sz w:val="32"/>
          <w:szCs w:val="32"/>
        </w:rPr>
        <w:t>1：</w:t>
      </w:r>
      <w:bookmarkEnd w:id="477"/>
      <w:bookmarkEnd w:id="478"/>
      <w:bookmarkEnd w:id="479"/>
    </w:p>
    <w:p>
      <w:pPr>
        <w:spacing w:line="360" w:lineRule="auto"/>
        <w:jc w:val="center"/>
        <w:rPr>
          <w:rFonts w:ascii="仿宋" w:hAnsi="仿宋" w:eastAsia="仿宋"/>
          <w:b/>
          <w:spacing w:val="6"/>
          <w:sz w:val="32"/>
          <w:szCs w:val="32"/>
        </w:rPr>
      </w:pPr>
      <w:bookmarkStart w:id="480" w:name="OLE_LINK13"/>
      <w:bookmarkStart w:id="481" w:name="OLE_LINK14"/>
      <w:r>
        <w:rPr>
          <w:rFonts w:hint="eastAsia" w:ascii="仿宋" w:hAnsi="仿宋" w:eastAsia="仿宋"/>
          <w:b/>
          <w:spacing w:val="6"/>
          <w:sz w:val="32"/>
          <w:szCs w:val="32"/>
        </w:rPr>
        <w:t>残疾人福利性单位声明函</w:t>
      </w:r>
    </w:p>
    <w:bookmarkEnd w:id="480"/>
    <w:bookmarkEnd w:id="481"/>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本单位郑重声明，根据《财政部民政部中国残疾人联合会关于促进残疾人就业政府采购政策的通知》（财库〔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w:t>
      </w:r>
      <w:r>
        <w:rPr>
          <w:rFonts w:hint="eastAsia" w:ascii="仿宋" w:hAnsi="仿宋" w:eastAsia="仿宋" w:cs="仿宋_GB2312"/>
          <w:sz w:val="24"/>
        </w:rPr>
        <w:t>（标项号-标项名称）</w:t>
      </w:r>
      <w:r>
        <w:rPr>
          <w:rFonts w:ascii="仿宋" w:hAnsi="仿宋" w:eastAsia="仿宋"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供应商名称（电子签名）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tabs>
          <w:tab w:val="left" w:pos="4860"/>
        </w:tabs>
        <w:spacing w:line="360" w:lineRule="auto"/>
        <w:ind w:right="1560" w:firstLine="480" w:firstLineChars="200"/>
        <w:jc w:val="center"/>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jc w:val="left"/>
        <w:rPr>
          <w:rFonts w:ascii="仿宋" w:hAnsi="仿宋" w:eastAsia="仿宋"/>
          <w:b/>
          <w:spacing w:val="6"/>
          <w:sz w:val="32"/>
          <w:szCs w:val="32"/>
        </w:rPr>
      </w:pPr>
      <w:r>
        <w:rPr>
          <w:rFonts w:hint="eastAsia" w:ascii="仿宋" w:hAnsi="仿宋" w:eastAsia="仿宋"/>
          <w:b/>
          <w:spacing w:val="6"/>
          <w:sz w:val="32"/>
          <w:szCs w:val="32"/>
        </w:rPr>
        <w:br w:type="page"/>
      </w:r>
    </w:p>
    <w:p>
      <w:pPr>
        <w:spacing w:line="360" w:lineRule="auto"/>
        <w:jc w:val="left"/>
        <w:outlineLvl w:val="0"/>
        <w:rPr>
          <w:rFonts w:ascii="仿宋" w:hAnsi="仿宋" w:eastAsia="仿宋"/>
          <w:b/>
          <w:spacing w:val="6"/>
          <w:sz w:val="32"/>
          <w:szCs w:val="32"/>
        </w:rPr>
      </w:pPr>
      <w:bookmarkStart w:id="482" w:name="_Toc24486"/>
      <w:bookmarkStart w:id="483" w:name="_Toc14810"/>
      <w:bookmarkStart w:id="484" w:name="_Toc98147549"/>
      <w:r>
        <w:rPr>
          <w:rFonts w:hint="eastAsia" w:ascii="仿宋" w:hAnsi="仿宋" w:eastAsia="仿宋"/>
          <w:b/>
          <w:spacing w:val="6"/>
          <w:sz w:val="32"/>
          <w:szCs w:val="32"/>
        </w:rPr>
        <w:t>附件</w:t>
      </w:r>
      <w:r>
        <w:rPr>
          <w:rFonts w:ascii="仿宋" w:hAnsi="仿宋" w:eastAsia="仿宋"/>
          <w:b/>
          <w:spacing w:val="6"/>
          <w:sz w:val="32"/>
          <w:szCs w:val="32"/>
        </w:rPr>
        <w:t>2：质疑函范本及制作说明</w:t>
      </w:r>
      <w:bookmarkEnd w:id="482"/>
      <w:bookmarkEnd w:id="483"/>
      <w:bookmarkEnd w:id="484"/>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rPr>
          <w:rFonts w:ascii="仿宋" w:hAnsi="仿宋" w:eastAsia="仿宋"/>
          <w:b/>
          <w:sz w:val="24"/>
        </w:rPr>
      </w:pPr>
      <w:r>
        <w:rPr>
          <w:rFonts w:hint="eastAsia" w:ascii="仿宋" w:hAnsi="仿宋" w:eastAsia="仿宋"/>
          <w:b/>
          <w:sz w:val="24"/>
        </w:rPr>
        <w:br w:type="page"/>
      </w: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jc w:val="left"/>
        <w:rPr>
          <w:rFonts w:ascii="仿宋" w:hAnsi="仿宋" w:eastAsia="仿宋"/>
          <w:b/>
          <w:spacing w:val="6"/>
          <w:sz w:val="32"/>
          <w:szCs w:val="32"/>
        </w:rPr>
      </w:pPr>
      <w:r>
        <w:rPr>
          <w:rFonts w:hint="eastAsia" w:ascii="仿宋" w:hAnsi="仿宋" w:eastAsia="仿宋"/>
          <w:b/>
          <w:spacing w:val="6"/>
          <w:sz w:val="32"/>
          <w:szCs w:val="32"/>
        </w:rPr>
        <w:br w:type="page"/>
      </w:r>
    </w:p>
    <w:p>
      <w:pPr>
        <w:spacing w:line="360" w:lineRule="auto"/>
        <w:jc w:val="left"/>
        <w:outlineLvl w:val="0"/>
        <w:rPr>
          <w:rFonts w:ascii="仿宋" w:hAnsi="仿宋" w:eastAsia="仿宋"/>
          <w:b/>
          <w:spacing w:val="6"/>
          <w:sz w:val="32"/>
          <w:szCs w:val="32"/>
        </w:rPr>
      </w:pPr>
      <w:bookmarkStart w:id="485" w:name="_Toc26936"/>
      <w:bookmarkStart w:id="486" w:name="_Toc441"/>
      <w:bookmarkStart w:id="487" w:name="_Toc98147550"/>
      <w:r>
        <w:rPr>
          <w:rFonts w:hint="eastAsia" w:ascii="仿宋" w:hAnsi="仿宋" w:eastAsia="仿宋"/>
          <w:b/>
          <w:spacing w:val="6"/>
          <w:sz w:val="32"/>
          <w:szCs w:val="32"/>
        </w:rPr>
        <w:t>附件</w:t>
      </w:r>
      <w:r>
        <w:rPr>
          <w:rFonts w:ascii="仿宋" w:hAnsi="仿宋" w:eastAsia="仿宋"/>
          <w:b/>
          <w:spacing w:val="6"/>
          <w:sz w:val="32"/>
          <w:szCs w:val="32"/>
        </w:rPr>
        <w:t>3：投诉书范本及制作说明</w:t>
      </w:r>
      <w:bookmarkEnd w:id="485"/>
      <w:bookmarkEnd w:id="486"/>
      <w:bookmarkEnd w:id="487"/>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w:t>
      </w:r>
    </w:p>
    <w:p>
      <w:pPr>
        <w:spacing w:line="360" w:lineRule="auto"/>
        <w:rPr>
          <w:rFonts w:ascii="仿宋" w:hAnsi="仿宋" w:eastAsia="仿宋"/>
          <w:sz w:val="24"/>
          <w:u w:val="dotted"/>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w:t>
      </w:r>
      <w:r>
        <w:rPr>
          <w:rFonts w:ascii="仿宋" w:hAnsi="仿宋" w:eastAsia="仿宋"/>
          <w:sz w:val="24"/>
        </w:rPr>
        <w:t>,向</w:t>
      </w:r>
      <w:r>
        <w:rPr>
          <w:rFonts w:hint="eastAsia" w:ascii="仿宋" w:hAnsi="仿宋" w:eastAsia="仿宋"/>
          <w:sz w:val="24"/>
        </w:rPr>
        <w:t>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于年月日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jc w:val="left"/>
        <w:outlineLvl w:val="0"/>
        <w:rPr>
          <w:rFonts w:ascii="仿宋" w:hAnsi="仿宋" w:eastAsia="仿宋"/>
          <w:b/>
          <w:bCs/>
          <w:sz w:val="32"/>
          <w:szCs w:val="32"/>
        </w:rPr>
      </w:pPr>
      <w:bookmarkStart w:id="488" w:name="_Toc98147551"/>
      <w:bookmarkStart w:id="489" w:name="_Toc2561"/>
      <w:bookmarkStart w:id="490" w:name="_Toc22521"/>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bookmarkEnd w:id="488"/>
    </w:p>
    <w:p>
      <w:pPr>
        <w:spacing w:line="360" w:lineRule="auto"/>
        <w:rPr>
          <w:rFonts w:ascii="仿宋" w:hAnsi="仿宋" w:eastAsia="仿宋" w:cs="仿宋_GB2312"/>
          <w:sz w:val="24"/>
          <w:u w:val="single"/>
        </w:rPr>
      </w:pP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(供应商全称)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 xml:space="preserve">【项目编号： </w:t>
      </w:r>
      <w:r>
        <w:rPr>
          <w:rFonts w:ascii="仿宋" w:hAnsi="仿宋" w:eastAsia="仿宋" w:cs="仿宋_GB2312"/>
          <w:sz w:val="24"/>
        </w:rPr>
        <w:t>】</w:t>
      </w:r>
      <w:r>
        <w:rPr>
          <w:rFonts w:hint="eastAsia" w:ascii="仿宋" w:hAnsi="仿宋" w:eastAsia="仿宋" w:cs="宋体"/>
          <w:bCs/>
          <w:sz w:val="24"/>
        </w:rPr>
        <w:t>投标（响应）活动中作如下说明：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Q/s5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P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Q/s5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w:t>
      </w:r>
      <w:r>
        <w:rPr>
          <w:rFonts w:ascii="仿宋" w:hAnsi="仿宋" w:eastAsia="仿宋" w:cs="宋体"/>
          <w:sz w:val="24"/>
        </w:rPr>
        <w:t xml:space="preserve">                </w:t>
      </w:r>
      <w:r>
        <w:rPr>
          <w:rFonts w:hint="eastAsia" w:ascii="仿宋" w:hAnsi="仿宋" w:eastAsia="仿宋" w:cs="宋体"/>
          <w:sz w:val="24"/>
        </w:rPr>
        <w:t>供应商“</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outlineLvl w:val="0"/>
        <w:rPr>
          <w:rFonts w:ascii="仿宋" w:hAnsi="仿宋" w:eastAsia="仿宋"/>
          <w:b/>
          <w:bCs/>
          <w:sz w:val="32"/>
          <w:szCs w:val="32"/>
        </w:rPr>
      </w:pPr>
      <w:bookmarkStart w:id="491" w:name="_Toc98147552"/>
      <w:r>
        <w:rPr>
          <w:rFonts w:hint="eastAsia" w:ascii="仿宋" w:hAnsi="仿宋" w:eastAsia="仿宋"/>
          <w:b/>
          <w:sz w:val="32"/>
          <w:szCs w:val="32"/>
        </w:rPr>
        <w:t>附件5：中小企业声明函</w:t>
      </w:r>
      <w:bookmarkEnd w:id="489"/>
      <w:bookmarkEnd w:id="490"/>
      <w:bookmarkEnd w:id="491"/>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sym w:font="Wingdings" w:char="00A8"/>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w:t>
      </w:r>
      <w:r>
        <w:rPr>
          <w:rFonts w:hint="eastAsia" w:ascii="仿宋_GB2312" w:hAnsi="宋体" w:eastAsia="仿宋_GB2312"/>
          <w:sz w:val="24"/>
          <w:u w:val="single"/>
        </w:rPr>
        <w:t>（单位名称。联合体参加的，联合体所有成员名称）</w:t>
      </w:r>
      <w:r>
        <w:rPr>
          <w:rFonts w:hint="eastAsia" w:ascii="仿宋_GB2312" w:hAnsi="宋体" w:eastAsia="仿宋_GB2312"/>
          <w:sz w:val="24"/>
        </w:rPr>
        <w:t>参加</w:t>
      </w:r>
      <w:r>
        <w:rPr>
          <w:rFonts w:ascii="仿宋_GB2312" w:hAnsi="宋体" w:eastAsia="仿宋_GB2312"/>
          <w:sz w:val="24"/>
        </w:rPr>
        <w:t xml:space="preserve"> </w:t>
      </w:r>
      <w:r>
        <w:rPr>
          <w:rFonts w:hint="eastAsia" w:ascii="仿宋_GB2312" w:hAnsi="宋体" w:eastAsia="仿宋_GB2312"/>
          <w:sz w:val="24"/>
          <w:u w:val="single"/>
        </w:rPr>
        <w:t>（采购人单位名称）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供应商名称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422" w:firstLineChars="200"/>
        <w:jc w:val="left"/>
        <w:rPr>
          <w:rFonts w:ascii="仿宋_GB2312" w:hAnsi="宋体" w:eastAsia="仿宋_GB2312"/>
          <w:b/>
          <w:bCs/>
          <w:szCs w:val="21"/>
        </w:rPr>
      </w:pPr>
      <w:r>
        <w:rPr>
          <w:rFonts w:hint="eastAsia" w:ascii="仿宋_GB2312" w:hAnsi="宋体" w:eastAsia="仿宋_GB2312"/>
          <w:b/>
          <w:bCs/>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155" w:rightChars="74" w:firstLine="480" w:firstLineChars="200"/>
        <w:rPr>
          <w:rFonts w:ascii="仿宋_GB2312" w:hAnsi="仿宋" w:eastAsia="仿宋_GB2312" w:cs="仿宋_GB2312"/>
          <w:sz w:val="24"/>
        </w:rPr>
      </w:pPr>
      <w:r>
        <w:rPr>
          <w:rFonts w:hint="eastAsia" w:ascii="仿宋_GB2312" w:hAnsi="仿宋" w:eastAsia="仿宋_GB2312" w:cs="仿宋_GB2312"/>
          <w:sz w:val="24"/>
        </w:rPr>
        <w:t>注：1.符合《关于促进残疾人就业政府采购政策的通知》（财库〔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right="155" w:rightChars="74" w:firstLine="480" w:firstLineChars="200"/>
        <w:rPr>
          <w:rFonts w:ascii="仿宋_GB2312" w:hAnsi="仿宋" w:eastAsia="仿宋_GB2312" w:cs="仿宋_GB2312"/>
          <w:sz w:val="24"/>
          <w:u w:val="single"/>
        </w:rPr>
      </w:pPr>
      <w:r>
        <w:rPr>
          <w:rFonts w:hint="eastAsia" w:ascii="仿宋_GB2312" w:hAnsi="仿宋" w:eastAsia="仿宋_GB2312" w:cs="仿宋_GB2312"/>
          <w:sz w:val="24"/>
          <w:u w:val="single"/>
        </w:rPr>
        <w:t xml:space="preserve">2.采购文件提供的货物清单中每样货物（配件、辅料等材料除外）的制造商均要求为中小企业，即每样货物（配件、辅料等材料除外）的制造商均应在声明中填写。标的所属行业中小企业划分标准如下：                </w:t>
      </w:r>
    </w:p>
    <w:p>
      <w:pPr>
        <w:spacing w:line="360" w:lineRule="auto"/>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sym w:font="Wingdings" w:char="00A8"/>
      </w: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w:t>
      </w:r>
      <w:r>
        <w:rPr>
          <w:rFonts w:hint="eastAsia" w:ascii="仿宋_GB2312" w:hAnsi="宋体" w:eastAsia="仿宋_GB2312"/>
          <w:sz w:val="24"/>
          <w:u w:val="single"/>
        </w:rPr>
        <w:t>（单位名称。联合体参加的，联合体所有成员名称）</w:t>
      </w:r>
      <w:r>
        <w:rPr>
          <w:rFonts w:hint="eastAsia" w:ascii="仿宋_GB2312" w:hAnsi="宋体" w:eastAsia="仿宋_GB2312"/>
          <w:sz w:val="24"/>
        </w:rPr>
        <w:t>参加</w:t>
      </w:r>
      <w:r>
        <w:rPr>
          <w:rFonts w:ascii="仿宋_GB2312" w:hAnsi="宋体" w:eastAsia="仿宋_GB2312"/>
          <w:sz w:val="24"/>
        </w:rPr>
        <w:t xml:space="preserve"> </w:t>
      </w:r>
      <w:r>
        <w:rPr>
          <w:rFonts w:hint="eastAsia" w:ascii="仿宋_GB2312" w:hAnsi="宋体" w:eastAsia="仿宋_GB2312"/>
          <w:sz w:val="24"/>
          <w:u w:val="single"/>
        </w:rPr>
        <w:t>（采购人单位名称）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供应商</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w:t>
      </w:r>
      <w:r>
        <w:rPr>
          <w:rFonts w:hint="eastAsia" w:ascii="仿宋_GB2312" w:hAnsi="仿宋" w:eastAsia="仿宋_GB2312" w:cs="仿宋_GB2312"/>
          <w:sz w:val="24"/>
        </w:rPr>
        <w:t>1.</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right="420" w:firstLine="720" w:firstLineChars="300"/>
        <w:rPr>
          <w:rFonts w:ascii="仿宋_GB2312" w:hAnsi="仿宋" w:eastAsia="仿宋_GB2312" w:cs="仿宋_GB2312"/>
          <w:sz w:val="24"/>
          <w:u w:val="single"/>
        </w:rPr>
      </w:pPr>
      <w:r>
        <w:rPr>
          <w:rFonts w:hint="eastAsia" w:ascii="仿宋_GB2312" w:hAnsi="仿宋" w:eastAsia="仿宋_GB2312" w:cs="仿宋_GB2312"/>
          <w:sz w:val="24"/>
        </w:rPr>
        <w:t>2.标的所属行业中小企业划分标准：</w:t>
      </w:r>
      <w:r>
        <w:rPr>
          <w:rFonts w:hint="eastAsia" w:ascii="仿宋_GB2312" w:hAnsi="仿宋" w:eastAsia="仿宋_GB2312" w:cs="仿宋_GB2312"/>
          <w:sz w:val="24"/>
          <w:u w:val="single"/>
        </w:rPr>
        <w:t xml:space="preserve">              </w:t>
      </w:r>
    </w:p>
    <w:p>
      <w:pPr>
        <w:spacing w:line="360" w:lineRule="auto"/>
        <w:ind w:right="420"/>
      </w:pPr>
    </w:p>
    <w:p>
      <w:pPr>
        <w:spacing w:line="360" w:lineRule="auto"/>
        <w:jc w:val="center"/>
        <w:rPr>
          <w:rFonts w:ascii="仿宋" w:hAnsi="仿宋" w:eastAsia="仿宋"/>
          <w:bCs/>
          <w:sz w:val="24"/>
        </w:rPr>
        <w:sectPr>
          <w:footerReference r:id="rId23" w:type="first"/>
          <w:headerReference r:id="rId20" w:type="default"/>
          <w:footerReference r:id="rId21" w:type="default"/>
          <w:footerReference r:id="rId22" w:type="even"/>
          <w:pgSz w:w="11905" w:h="16838"/>
          <w:pgMar w:top="652" w:right="1417" w:bottom="680" w:left="1417" w:header="539" w:footer="482" w:gutter="0"/>
          <w:cols w:space="0" w:num="1"/>
          <w:titlePg/>
          <w:docGrid w:linePitch="312" w:charSpace="0"/>
        </w:sectPr>
      </w:pPr>
    </w:p>
    <w:p>
      <w:pPr>
        <w:spacing w:line="360" w:lineRule="auto"/>
        <w:jc w:val="center"/>
        <w:rPr>
          <w:rFonts w:ascii="仿宋_GB2312" w:hAnsi="宋体" w:eastAsia="仿宋_GB2312"/>
          <w:b/>
          <w:sz w:val="32"/>
          <w:szCs w:val="32"/>
        </w:rPr>
      </w:pPr>
      <w:r>
        <w:rPr>
          <w:rFonts w:ascii="仿宋" w:hAnsi="仿宋" w:eastAsia="仿宋"/>
          <w:bCs/>
          <w:sz w:val="24"/>
        </w:rPr>
        <w:sym w:font="Wingdings" w:char="00FE"/>
      </w: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w:t>
      </w:r>
      <w:r>
        <w:rPr>
          <w:rFonts w:hint="eastAsia" w:ascii="仿宋_GB2312" w:hAnsi="宋体" w:eastAsia="仿宋_GB2312"/>
          <w:sz w:val="24"/>
          <w:u w:val="single"/>
        </w:rPr>
        <w:t>（单位名称。联合体参加的，联合体所有成员名称）</w:t>
      </w:r>
      <w:r>
        <w:rPr>
          <w:rFonts w:hint="eastAsia" w:ascii="仿宋_GB2312" w:hAnsi="宋体" w:eastAsia="仿宋_GB2312"/>
          <w:sz w:val="24"/>
        </w:rPr>
        <w:t>参加</w:t>
      </w:r>
      <w:r>
        <w:rPr>
          <w:rFonts w:ascii="仿宋_GB2312" w:hAnsi="宋体" w:eastAsia="仿宋_GB2312"/>
          <w:sz w:val="24"/>
        </w:rPr>
        <w:t xml:space="preserve"> </w:t>
      </w:r>
      <w:r>
        <w:rPr>
          <w:rFonts w:hint="eastAsia" w:ascii="仿宋_GB2312" w:hAnsi="宋体" w:eastAsia="仿宋_GB2312"/>
          <w:sz w:val="24"/>
          <w:u w:val="single"/>
        </w:rPr>
        <w:t>（采购人单位名称）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（项目名称）（标项号-标项名称）</w:t>
      </w:r>
      <w:r>
        <w:rPr>
          <w:rFonts w:ascii="仿宋_GB2312" w:hAnsi="宋体" w:eastAsia="仿宋_GB2312"/>
          <w:sz w:val="24"/>
          <w:u w:val="single"/>
        </w:rPr>
        <w:t xml:space="preserve"> </w:t>
      </w:r>
      <w:r>
        <w:rPr>
          <w:rFonts w:hint="eastAsia" w:ascii="仿宋_GB2312" w:hAnsi="宋体" w:eastAsia="仿宋_GB2312"/>
          <w:sz w:val="24"/>
        </w:rPr>
        <w:t>采购活动，服务全部由符合政策要求的中小企业承接。相关企业</w:t>
      </w:r>
      <w:r>
        <w:rPr>
          <w:rFonts w:hint="eastAsia" w:ascii="仿宋_GB2312" w:hAnsi="宋体" w:eastAsia="仿宋_GB2312"/>
          <w:b/>
          <w:bCs/>
          <w:sz w:val="24"/>
        </w:rPr>
        <w:t>（含联合体中的中小企业、签订分包意向协议的中小企业</w:t>
      </w:r>
      <w:r>
        <w:rPr>
          <w:rFonts w:hint="eastAsia" w:ascii="仿宋_GB2312" w:hAnsi="宋体" w:eastAsia="仿宋_GB2312"/>
          <w:sz w:val="24"/>
        </w:rPr>
        <w:t>）的具体情况如下：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供应商</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w:t>
      </w:r>
      <w:r>
        <w:rPr>
          <w:rFonts w:hint="eastAsia" w:ascii="仿宋_GB2312" w:hAnsi="仿宋" w:eastAsia="仿宋_GB2312" w:cs="仿宋_GB2312"/>
          <w:sz w:val="24"/>
        </w:rPr>
        <w:t>1.</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right="420" w:firstLine="720" w:firstLineChars="300"/>
        <w:rPr>
          <w:rFonts w:ascii="仿宋_GB2312" w:hAnsi="仿宋" w:eastAsia="仿宋_GB2312" w:cs="仿宋_GB2312"/>
          <w:sz w:val="24"/>
          <w:u w:val="single"/>
        </w:rPr>
      </w:pPr>
      <w:r>
        <w:rPr>
          <w:rFonts w:hint="eastAsia" w:ascii="仿宋_GB2312" w:hAnsi="仿宋" w:eastAsia="仿宋_GB2312" w:cs="仿宋_GB2312"/>
          <w:sz w:val="24"/>
        </w:rPr>
        <w:t>2.标的所属行业中小企业划分标准：</w:t>
      </w:r>
      <w:r>
        <w:rPr>
          <w:rFonts w:hint="eastAsia" w:ascii="仿宋_GB2312" w:hAnsi="仿宋" w:eastAsia="仿宋_GB2312" w:cs="仿宋_GB2312"/>
          <w:sz w:val="24"/>
          <w:u w:val="single"/>
        </w:rPr>
        <w:t xml:space="preserve"> </w:t>
      </w:r>
      <w:r>
        <w:rPr>
          <w:rFonts w:hint="eastAsia" w:ascii="仿宋" w:hAnsi="仿宋" w:eastAsia="仿宋" w:cs="仿宋"/>
          <w:b/>
          <w:bCs/>
          <w:sz w:val="24"/>
          <w:u w:val="single"/>
        </w:rPr>
        <w:t>其他未列明行业</w:t>
      </w:r>
      <w:r>
        <w:rPr>
          <w:rFonts w:hint="eastAsia" w:ascii="仿宋" w:hAnsi="仿宋" w:eastAsia="仿宋" w:cs="仿宋"/>
          <w:sz w:val="24"/>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sz w:val="24"/>
          <w:u w:val="single"/>
        </w:rPr>
        <w:t>其中，从业人员10人及以上的为小型企业；从业人员10人以下的为微型企业</w:t>
      </w:r>
      <w:r>
        <w:rPr>
          <w:rFonts w:hint="eastAsia" w:ascii="仿宋_GB2312" w:hAnsi="仿宋" w:eastAsia="仿宋_GB2312" w:cs="仿宋_GB2312"/>
          <w:sz w:val="24"/>
          <w:u w:val="single"/>
        </w:rPr>
        <w:t>。</w:t>
      </w:r>
    </w:p>
    <w:p>
      <w:pPr>
        <w:pStyle w:val="61"/>
        <w:ind w:firstLine="420"/>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before="50" w:after="50" w:line="360" w:lineRule="auto"/>
        <w:outlineLvl w:val="0"/>
        <w:rPr>
          <w:rFonts w:ascii="仿宋_GB2312" w:hAnsi="仿宋" w:eastAsia="仿宋_GB2312" w:cs="仿宋_GB2312"/>
          <w:b/>
          <w:kern w:val="0"/>
          <w:sz w:val="32"/>
          <w:szCs w:val="32"/>
        </w:rPr>
      </w:pPr>
      <w:bookmarkStart w:id="492" w:name="_Toc8013"/>
      <w:bookmarkStart w:id="493" w:name="_Toc16741"/>
      <w:bookmarkStart w:id="494" w:name="_Toc15498"/>
      <w:bookmarkStart w:id="495" w:name="_Toc98147553"/>
      <w:bookmarkStart w:id="496" w:name="_Toc6576"/>
      <w:r>
        <w:rPr>
          <w:rFonts w:hint="eastAsia" w:ascii="仿宋_GB2312" w:hAnsi="仿宋" w:eastAsia="仿宋_GB2312" w:cs="仿宋_GB2312"/>
          <w:b/>
          <w:kern w:val="0"/>
          <w:sz w:val="32"/>
          <w:szCs w:val="32"/>
        </w:rPr>
        <w:t>附件6</w:t>
      </w:r>
      <w:bookmarkEnd w:id="492"/>
      <w:bookmarkEnd w:id="493"/>
      <w:bookmarkEnd w:id="494"/>
      <w:r>
        <w:rPr>
          <w:rFonts w:hint="eastAsia" w:ascii="仿宋_GB2312" w:hAnsi="仿宋" w:eastAsia="仿宋_GB2312" w:cs="仿宋_GB2312"/>
          <w:b/>
          <w:kern w:val="0"/>
          <w:sz w:val="32"/>
          <w:szCs w:val="32"/>
        </w:rPr>
        <w:t xml:space="preserve"> 联合体协议</w:t>
      </w:r>
      <w:bookmarkEnd w:id="495"/>
      <w:bookmarkEnd w:id="496"/>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w:t>
      </w:r>
      <w:r>
        <w:rPr>
          <w:rFonts w:hint="eastAsia" w:ascii="仿宋_GB2312" w:hAnsi="仿宋" w:eastAsia="仿宋_GB2312" w:cs="仿宋_GB2312"/>
          <w:b/>
          <w:kern w:val="0"/>
          <w:sz w:val="32"/>
          <w:szCs w:val="32"/>
        </w:rPr>
        <w:t>体</w:t>
      </w:r>
      <w:r>
        <w:rPr>
          <w:rFonts w:hint="eastAsia" w:ascii="仿宋_GB2312" w:hAnsi="仿宋" w:eastAsia="仿宋_GB2312" w:cs="仿宋_GB2312"/>
          <w:b/>
          <w:kern w:val="0"/>
          <w:sz w:val="32"/>
          <w:szCs w:val="32"/>
          <w:lang w:val="zh-CN"/>
        </w:rPr>
        <w:t>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组成一个联合体，以一个供应商的身份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（项目名称）【项目编号：</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投标（响应）。</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，代表所有联合体成员负责投标（响应）和合同实施阶段的主办、协调工作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授权代表根据采购文件规定及投标（响应）内容而对采购人、采购代理机构所作的任何合法承诺，包括书面澄清及相应等均对联合投标（响应）各方产生约束力。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bookmarkStart w:id="497" w:name="_Hlk103788096"/>
      <w:r>
        <w:rPr>
          <w:rFonts w:hint="eastAsia" w:ascii="仿宋_GB2312" w:hAnsi="仿宋" w:eastAsia="仿宋_GB2312" w:cs="仿宋_GB2312"/>
          <w:kern w:val="0"/>
          <w:sz w:val="24"/>
          <w:lang w:val="zh-CN"/>
        </w:rPr>
        <w:t>合同金额分配：</w:t>
      </w:r>
      <w:r>
        <w:rPr>
          <w:rFonts w:hint="eastAsia" w:ascii="仿宋_GB2312" w:hAnsi="仿宋" w:eastAsia="仿宋_GB2312" w:cs="仿宋_GB2312"/>
          <w:kern w:val="0"/>
          <w:sz w:val="24"/>
          <w:u w:val="single"/>
          <w:lang w:val="zh-CN"/>
        </w:rPr>
        <w:t xml:space="preserve"> </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zh-CN"/>
        </w:rPr>
        <w:t>（联合体其中一方成员名称）</w:t>
      </w:r>
      <w:r>
        <w:rPr>
          <w:rFonts w:ascii="仿宋_GB2312" w:hAnsi="仿宋" w:eastAsia="仿宋_GB2312" w:cs="仿宋_GB2312"/>
          <w:kern w:val="0"/>
          <w:sz w:val="24"/>
          <w:u w:val="single"/>
          <w:lang w:val="zh-CN"/>
        </w:rPr>
        <w:t xml:space="preserve">    </w:t>
      </w:r>
      <w:r>
        <w:rPr>
          <w:rFonts w:hint="eastAsia" w:ascii="仿宋_GB2312" w:hAnsi="仿宋" w:eastAsia="仿宋_GB2312"/>
          <w:sz w:val="24"/>
        </w:rPr>
        <w:t>所承担的合同金额达到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w:t>
      </w:r>
      <w:r>
        <w:rPr>
          <w:rFonts w:hint="eastAsia" w:ascii="仿宋_GB2312" w:hAnsi="仿宋" w:eastAsia="仿宋_GB2312"/>
          <w:sz w:val="24"/>
          <w:u w:val="single"/>
        </w:rPr>
        <w:t xml:space="preserve">（联合体其中一方成员名称）    </w:t>
      </w:r>
      <w:r>
        <w:rPr>
          <w:rFonts w:hint="eastAsia" w:ascii="仿宋_GB2312" w:hAnsi="仿宋" w:eastAsia="仿宋_GB2312"/>
          <w:sz w:val="24"/>
        </w:rPr>
        <w:t>所承担的合同金额达到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bookmarkEnd w:id="497"/>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六、有关本次联合投标（响应）的其他事宜：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rPr>
          <w:rFonts w:ascii="仿宋_GB2312" w:hAnsi="仿宋" w:eastAsia="仿宋_GB2312" w:cs="仿宋_GB2312"/>
          <w:b/>
          <w:sz w:val="24"/>
        </w:rPr>
      </w:pPr>
      <w:r>
        <w:rPr>
          <w:rFonts w:ascii="仿宋_GB2312" w:hAnsi="仿宋" w:eastAsia="仿宋_GB2312" w:cs="仿宋_GB2312"/>
          <w:b/>
          <w:sz w:val="24"/>
        </w:rPr>
        <w:br w:type="page"/>
      </w:r>
    </w:p>
    <w:p>
      <w:pPr>
        <w:snapToGrid w:val="0"/>
        <w:spacing w:line="360" w:lineRule="auto"/>
        <w:outlineLvl w:val="0"/>
        <w:rPr>
          <w:rFonts w:ascii="仿宋_GB2312" w:hAnsi="仿宋" w:eastAsia="仿宋_GB2312" w:cs="仿宋_GB2312"/>
          <w:b/>
          <w:kern w:val="0"/>
          <w:sz w:val="32"/>
          <w:szCs w:val="32"/>
        </w:rPr>
      </w:pPr>
      <w:bookmarkStart w:id="498" w:name="_Toc3992"/>
      <w:bookmarkStart w:id="499" w:name="_Toc30868"/>
      <w:bookmarkStart w:id="500" w:name="_Toc32513"/>
      <w:bookmarkStart w:id="501" w:name="_Toc25388"/>
      <w:bookmarkStart w:id="502" w:name="_Toc98147554"/>
      <w:r>
        <w:rPr>
          <w:rFonts w:hint="eastAsia" w:ascii="仿宋_GB2312" w:hAnsi="仿宋" w:eastAsia="仿宋_GB2312" w:cs="仿宋_GB2312"/>
          <w:b/>
          <w:kern w:val="0"/>
          <w:sz w:val="32"/>
          <w:szCs w:val="32"/>
        </w:rPr>
        <w:t>附件7</w:t>
      </w:r>
      <w:bookmarkEnd w:id="498"/>
      <w:bookmarkEnd w:id="499"/>
      <w:bookmarkEnd w:id="500"/>
      <w:r>
        <w:rPr>
          <w:rFonts w:hint="eastAsia" w:ascii="仿宋_GB2312" w:hAnsi="仿宋" w:eastAsia="仿宋_GB2312" w:cs="仿宋_GB2312"/>
          <w:b/>
          <w:kern w:val="0"/>
          <w:sz w:val="32"/>
          <w:szCs w:val="32"/>
        </w:rPr>
        <w:t xml:space="preserve"> 分包意向协议</w:t>
      </w:r>
      <w:bookmarkEnd w:id="501"/>
      <w:bookmarkEnd w:id="502"/>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bookmarkStart w:id="503" w:name="_Hlk97981007"/>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中标后以分包方式履行合同的，提供分包意向协议；采购人不同意分包或者供应商中标后不以分包方式履行合同的，则不需要提供。</w:t>
      </w:r>
      <w:r>
        <w:rPr>
          <w:rFonts w:hint="eastAsia" w:ascii="仿宋_GB2312" w:hAnsi="仿宋" w:eastAsia="仿宋_GB2312" w:cs="仿宋_GB2312"/>
          <w:sz w:val="24"/>
        </w:rPr>
        <w:t>）</w:t>
      </w:r>
    </w:p>
    <w:bookmarkEnd w:id="503"/>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（供应商名称）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（项目名称）【项目编号：</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（供应商名称）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（供应商名称）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tabs>
          <w:tab w:val="left" w:pos="432"/>
        </w:tabs>
        <w:ind w:left="664" w:leftChars="316" w:firstLine="228" w:firstLineChars="95"/>
      </w:pPr>
      <w:r>
        <w:rPr>
          <w:rFonts w:hint="eastAsia" w:cs="仿宋_GB2312"/>
          <w:kern w:val="0"/>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420" w:left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合同金额分配：</w:t>
      </w:r>
      <w:r>
        <w:rPr>
          <w:rFonts w:hint="eastAsia" w:ascii="仿宋_GB2312" w:hAnsi="仿宋" w:eastAsia="仿宋_GB2312" w:cs="仿宋_GB2312"/>
          <w:kern w:val="0"/>
          <w:sz w:val="24"/>
          <w:u w:val="single"/>
          <w:lang w:val="zh-CN"/>
        </w:rPr>
        <w:t xml:space="preserve"> </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zh-CN"/>
        </w:rPr>
        <w:t>（总包单位名称）</w:t>
      </w:r>
      <w:r>
        <w:rPr>
          <w:rFonts w:ascii="仿宋_GB2312" w:hAnsi="仿宋" w:eastAsia="仿宋_GB2312" w:cs="仿宋_GB2312"/>
          <w:kern w:val="0"/>
          <w:sz w:val="24"/>
          <w:u w:val="single"/>
          <w:lang w:val="zh-CN"/>
        </w:rPr>
        <w:t xml:space="preserve">    </w:t>
      </w:r>
      <w:r>
        <w:rPr>
          <w:rFonts w:hint="eastAsia" w:ascii="仿宋_GB2312" w:hAnsi="仿宋" w:eastAsia="仿宋_GB2312"/>
          <w:sz w:val="24"/>
        </w:rPr>
        <w:t>所承担的合同金额达到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w:t>
      </w:r>
      <w:r>
        <w:rPr>
          <w:rFonts w:hint="eastAsia" w:ascii="仿宋_GB2312" w:hAnsi="仿宋" w:eastAsia="仿宋_GB2312"/>
          <w:sz w:val="24"/>
          <w:u w:val="single"/>
        </w:rPr>
        <w:t xml:space="preserve">（分包单位名称） </w:t>
      </w:r>
      <w:r>
        <w:rPr>
          <w:rFonts w:hint="eastAsia" w:ascii="仿宋_GB2312" w:hAnsi="仿宋" w:eastAsia="仿宋_GB2312"/>
          <w:sz w:val="24"/>
        </w:rPr>
        <w:t>所承担的合同金额达到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left="5749" w:leftChars="2052" w:hanging="1440" w:hangingChars="600"/>
        <w:jc w:val="left"/>
        <w:rPr>
          <w:rFonts w:ascii="仿宋_GB2312" w:hAnsi="仿宋" w:eastAsia="仿宋_GB2312" w:cs="仿宋_GB2312"/>
          <w:kern w:val="0"/>
          <w:sz w:val="24"/>
          <w:lang w:val="zh-CN"/>
        </w:rPr>
      </w:pPr>
    </w:p>
    <w:p>
      <w:pPr>
        <w:snapToGrid w:val="0"/>
        <w:spacing w:line="360" w:lineRule="auto"/>
        <w:ind w:left="5749" w:leftChars="2052" w:hanging="1440" w:hangingChars="6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供应商(</w:t>
      </w:r>
      <w:r>
        <w:rPr>
          <w:rFonts w:hint="eastAsia" w:ascii="仿宋_GB2312" w:hAnsi="仿宋" w:eastAsia="仿宋_GB2312" w:cs="仿宋_GB2312"/>
          <w:kern w:val="0"/>
          <w:sz w:val="24"/>
        </w:rPr>
        <w:t>单位</w:t>
      </w:r>
      <w:r>
        <w:rPr>
          <w:rFonts w:hint="eastAsia" w:ascii="仿宋_GB2312" w:hAnsi="仿宋" w:eastAsia="仿宋_GB2312" w:cs="仿宋_GB2312"/>
          <w:kern w:val="0"/>
          <w:sz w:val="24"/>
          <w:lang w:val="zh-CN"/>
        </w:rPr>
        <w:t>电子公章</w:t>
      </w:r>
      <w:r>
        <w:rPr>
          <w:rFonts w:hint="eastAsia" w:ascii="仿宋_GB2312" w:hAnsi="仿宋" w:eastAsia="仿宋_GB2312" w:cs="仿宋_GB2312"/>
          <w:kern w:val="0"/>
          <w:sz w:val="24"/>
        </w:rPr>
        <w:t>或业务专用章</w:t>
      </w:r>
      <w:r>
        <w:rPr>
          <w:rFonts w:ascii="仿宋_GB2312" w:hAnsi="仿宋" w:eastAsia="仿宋_GB2312" w:cs="仿宋_GB2312"/>
          <w:kern w:val="0"/>
          <w:sz w:val="24"/>
          <w:lang w:val="zh-CN"/>
        </w:rPr>
        <w:t>)：</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rPr>
          <w:rFonts w:ascii="仿宋_GB2312" w:hAnsi="仿宋" w:eastAsia="仿宋_GB2312" w:cs="仿宋_GB2312"/>
          <w:kern w:val="0"/>
          <w:sz w:val="24"/>
          <w:lang w:val="zh-CN"/>
        </w:rPr>
      </w:pPr>
    </w:p>
    <w:p/>
    <w:sectPr>
      <w:pgSz w:w="11905" w:h="16838"/>
      <w:pgMar w:top="680" w:right="1417" w:bottom="471" w:left="1417" w:header="454"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brEMIBAACP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7CixHGLEz///HH+9ef8+ztZ&#10;llmgLkCFeY8BM1P/wfeYPPsBnZl3r6LNX2REMI7yni7yyj4RkR+Vq7IsMCQwNl8Qnz09DxHSR+kt&#10;yUZNI85vkJUf7yGNqXNKrub8nTZmmKFx/zgQM3tY7n3sMVup3/UToZ1vTsinw9HX1OGmU2I+OVQ2&#10;b8lsxNnYTUauAeH2kLDw0E9GHaGmYjingdG0U3kRnt+HrKf/a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Im6xDCAQAAjwMAAA4AAAAAAAAAAQAgAAAAHgEAAGRycy9lMm9Eb2MueG1sUEsF&#10;BgAAAAAGAAYAWQEAAFI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gtWXvCAQAAjgMAAA4AAAAAAAAAAQAgAAAAHgEAAGRycy9lMm9Eb2MueG1sUEsF&#10;BgAAAAAGAAYAWQEAAFI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MsB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MDLAXCAQAAjgMAAA4AAAAAAAAAAQAgAAAAHgEAAGRycy9lMm9Eb2MueG1sUEsF&#10;BgAAAAAGAAYAWQEAAFI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26</w:t>
                    </w:r>
                    <w: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jc w:val="center"/>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jc w:val="center"/>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uMn8IBAACP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4CSOG5x4uefP86//px/fyfL&#10;MgvUBagw7zFgZuo/+B6TZz+gM/PuVbT5i4wIxhHrdJFX9omI/KhclWWBIYGx+YL47Ol5iJA+Sm9J&#10;NmoacX6DrPx4D2lMnVNyNefvtDHDDI37x4GY2cNy72OP2Ur9rp8I7XxzQj4djr6mDjedEvPJobLY&#10;X5qNOBu7ycg1INweEhYe+smoI9RUDOc0MJp2Ki/C8/uQ9fQf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YrjJ/CAQAAjwMAAA4AAAAAAAAAAQAgAAAAHgEAAGRycy9lMm9Eb2MueG1sUEsF&#10;BgAAAAAGAAYAWQEAAFI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posOffset>2853055</wp:posOffset>
              </wp:positionH>
              <wp:positionV relativeFrom="paragraph">
                <wp:posOffset>0</wp:posOffset>
              </wp:positionV>
              <wp:extent cx="228600" cy="1524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228600" cy="152400"/>
                      </a:xfrm>
                      <a:prstGeom prst="rect">
                        <a:avLst/>
                      </a:prstGeom>
                      <a:noFill/>
                      <a:ln>
                        <a:noFill/>
                      </a:ln>
                    </wps:spPr>
                    <wps:txbx>
                      <w:txbxContent>
                        <w:p>
                          <w:pPr>
                            <w:pStyle w:val="39"/>
                          </w:pPr>
                          <w:r>
                            <w:fldChar w:fldCharType="begin"/>
                          </w:r>
                          <w:r>
                            <w:instrText xml:space="preserve"> PAGE  \* MERGEFORMAT </w:instrText>
                          </w:r>
                          <w:r>
                            <w:fldChar w:fldCharType="separate"/>
                          </w:r>
                          <w:r>
                            <w:t>21</w:t>
                          </w:r>
                          <w:r>
                            <w:fldChar w:fldCharType="end"/>
                          </w:r>
                        </w:p>
                      </w:txbxContent>
                    </wps:txbx>
                    <wps:bodyPr wrap="square" lIns="0" tIns="0" rIns="0" bIns="0">
                      <a:noAutofit/>
                    </wps:bodyPr>
                  </wps:wsp>
                </a:graphicData>
              </a:graphic>
            </wp:anchor>
          </w:drawing>
        </mc:Choice>
        <mc:Fallback>
          <w:pict>
            <v:shape id="文本框 17" o:spid="_x0000_s1026" o:spt="202" type="#_x0000_t202" style="position:absolute;left:0pt;margin-left:224.65pt;margin-top:0pt;height:12pt;width:18pt;mso-position-horizontal-relative:margin;z-index:251670528;mso-width-relative:page;mso-height-relative:page;" filled="f" stroked="f" coordsize="21600,21600" o:gfxdata="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EXga1gAAAAcBAAAPAAAAAAAAAAEAIAAAACIAAABkcnMvZG93bnJl&#10;di54bWxQSwECFAAUAAAACACHTuJA0FonX8YBAACPAwAADgAAAAAAAAABACAAAAAlAQAAZHJzL2Uy&#10;b0RvYy54bWxQSwUGAAAAAAYABgBZAQAAXQUAAAAA&#10;">
              <v:fill on="f" focussize="0,0"/>
              <v:stroke on="f"/>
              <v:imagedata o:title=""/>
              <o:lock v:ext="edit" aspectratio="f"/>
              <v:textbox inset="0mm,0mm,0mm,0mm">
                <w:txbxContent>
                  <w:p>
                    <w:pPr>
                      <w:pStyle w:val="3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125" w:lineRule="exact"/>
      <w:ind w:firstLine="4690"/>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1"/>
        <w:left w:val="none" w:color="auto" w:sz="0" w:space="4"/>
        <w:bottom w:val="none" w:color="auto" w:sz="0" w:space="0"/>
        <w:right w:val="none" w:color="auto" w:sz="0" w:space="4"/>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33869"/>
    <w:multiLevelType w:val="singleLevel"/>
    <w:tmpl w:val="D5633869"/>
    <w:lvl w:ilvl="0" w:tentative="0">
      <w:start w:val="2"/>
      <w:numFmt w:val="chineseCounting"/>
      <w:suff w:val="nothing"/>
      <w:lvlText w:val="%1、"/>
      <w:lvlJc w:val="left"/>
      <w:rPr>
        <w:rFonts w:hint="eastAsia"/>
      </w:rPr>
    </w:lvl>
  </w:abstractNum>
  <w:abstractNum w:abstractNumId="1">
    <w:nsid w:val="13B83CAD"/>
    <w:multiLevelType w:val="singleLevel"/>
    <w:tmpl w:val="13B83CAD"/>
    <w:lvl w:ilvl="0" w:tentative="0">
      <w:start w:val="1"/>
      <w:numFmt w:val="decimal"/>
      <w:suff w:val="nothing"/>
      <w:lvlText w:val="（%1）"/>
      <w:lvlJc w:val="left"/>
    </w:lvl>
  </w:abstractNum>
  <w:abstractNum w:abstractNumId="2">
    <w:nsid w:val="43F56DAD"/>
    <w:multiLevelType w:val="singleLevel"/>
    <w:tmpl w:val="43F56DA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NzZjYThkMjQ2NGY1NWI4ZTYzMzRhNzkyMjE2YzgifQ=="/>
  </w:docVars>
  <w:rsids>
    <w:rsidRoot w:val="00172A27"/>
    <w:rsid w:val="00000451"/>
    <w:rsid w:val="000004E2"/>
    <w:rsid w:val="0000081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FA"/>
    <w:rsid w:val="0002207B"/>
    <w:rsid w:val="000232FD"/>
    <w:rsid w:val="00023323"/>
    <w:rsid w:val="000233E4"/>
    <w:rsid w:val="00023495"/>
    <w:rsid w:val="00023777"/>
    <w:rsid w:val="00023F82"/>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00C"/>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04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3F9"/>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9B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E2A"/>
    <w:rsid w:val="000E5FF9"/>
    <w:rsid w:val="000E6AE1"/>
    <w:rsid w:val="000E7142"/>
    <w:rsid w:val="000E7632"/>
    <w:rsid w:val="000E7737"/>
    <w:rsid w:val="000E7739"/>
    <w:rsid w:val="000E77EE"/>
    <w:rsid w:val="000F1604"/>
    <w:rsid w:val="000F287A"/>
    <w:rsid w:val="000F2894"/>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A6C"/>
    <w:rsid w:val="00111C7D"/>
    <w:rsid w:val="00112038"/>
    <w:rsid w:val="001127FF"/>
    <w:rsid w:val="00112B0B"/>
    <w:rsid w:val="00112EB5"/>
    <w:rsid w:val="0011383E"/>
    <w:rsid w:val="00113EE3"/>
    <w:rsid w:val="00114847"/>
    <w:rsid w:val="0011585B"/>
    <w:rsid w:val="00115B1A"/>
    <w:rsid w:val="001160FF"/>
    <w:rsid w:val="001164F4"/>
    <w:rsid w:val="001168F8"/>
    <w:rsid w:val="001172DC"/>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5AD"/>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42"/>
    <w:rsid w:val="001C4A7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5E2A"/>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12E"/>
    <w:rsid w:val="00222494"/>
    <w:rsid w:val="00222775"/>
    <w:rsid w:val="00222A31"/>
    <w:rsid w:val="00222CF6"/>
    <w:rsid w:val="00224037"/>
    <w:rsid w:val="002244E4"/>
    <w:rsid w:val="00224D2A"/>
    <w:rsid w:val="00224D8D"/>
    <w:rsid w:val="0022555A"/>
    <w:rsid w:val="00227214"/>
    <w:rsid w:val="00227DDC"/>
    <w:rsid w:val="0023079F"/>
    <w:rsid w:val="00231135"/>
    <w:rsid w:val="00231728"/>
    <w:rsid w:val="00231B0B"/>
    <w:rsid w:val="0023243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CC"/>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51C"/>
    <w:rsid w:val="002D47F2"/>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68"/>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F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B7"/>
    <w:rsid w:val="00310EDB"/>
    <w:rsid w:val="00311C51"/>
    <w:rsid w:val="00311D56"/>
    <w:rsid w:val="00312016"/>
    <w:rsid w:val="00312340"/>
    <w:rsid w:val="00312C60"/>
    <w:rsid w:val="00312DFC"/>
    <w:rsid w:val="0031318C"/>
    <w:rsid w:val="00313C9D"/>
    <w:rsid w:val="0031430C"/>
    <w:rsid w:val="00314919"/>
    <w:rsid w:val="00314C5A"/>
    <w:rsid w:val="0031531A"/>
    <w:rsid w:val="00315394"/>
    <w:rsid w:val="00315D77"/>
    <w:rsid w:val="00315D8E"/>
    <w:rsid w:val="00316002"/>
    <w:rsid w:val="0031695F"/>
    <w:rsid w:val="00316CDE"/>
    <w:rsid w:val="0031752D"/>
    <w:rsid w:val="00317709"/>
    <w:rsid w:val="00320688"/>
    <w:rsid w:val="00320B75"/>
    <w:rsid w:val="00321DB7"/>
    <w:rsid w:val="00321E7A"/>
    <w:rsid w:val="0032226D"/>
    <w:rsid w:val="003235E6"/>
    <w:rsid w:val="00323F6F"/>
    <w:rsid w:val="00324038"/>
    <w:rsid w:val="00324951"/>
    <w:rsid w:val="003249F6"/>
    <w:rsid w:val="00324B2F"/>
    <w:rsid w:val="00325FCC"/>
    <w:rsid w:val="00326106"/>
    <w:rsid w:val="00326805"/>
    <w:rsid w:val="003269B7"/>
    <w:rsid w:val="00326C0E"/>
    <w:rsid w:val="0032710D"/>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3A"/>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30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8EF"/>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DF"/>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9F"/>
    <w:rsid w:val="003B0A3A"/>
    <w:rsid w:val="003B0D79"/>
    <w:rsid w:val="003B2930"/>
    <w:rsid w:val="003B31A7"/>
    <w:rsid w:val="003B4587"/>
    <w:rsid w:val="003B4660"/>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4D"/>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BA0"/>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F6D"/>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829"/>
    <w:rsid w:val="00434900"/>
    <w:rsid w:val="0043554E"/>
    <w:rsid w:val="004355D4"/>
    <w:rsid w:val="004357B1"/>
    <w:rsid w:val="00435821"/>
    <w:rsid w:val="0043583E"/>
    <w:rsid w:val="00436CCE"/>
    <w:rsid w:val="00436EAD"/>
    <w:rsid w:val="004375E1"/>
    <w:rsid w:val="00437A2F"/>
    <w:rsid w:val="00440262"/>
    <w:rsid w:val="004406BF"/>
    <w:rsid w:val="00440814"/>
    <w:rsid w:val="0044105D"/>
    <w:rsid w:val="004410E1"/>
    <w:rsid w:val="00441424"/>
    <w:rsid w:val="00442731"/>
    <w:rsid w:val="00442C12"/>
    <w:rsid w:val="004433F6"/>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515"/>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D7"/>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24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32"/>
    <w:rsid w:val="004A1AFA"/>
    <w:rsid w:val="004A1EA7"/>
    <w:rsid w:val="004A26F5"/>
    <w:rsid w:val="004A2EF8"/>
    <w:rsid w:val="004A3A21"/>
    <w:rsid w:val="004A407A"/>
    <w:rsid w:val="004A4E3B"/>
    <w:rsid w:val="004A5E9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FDB"/>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E7F"/>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5A"/>
    <w:rsid w:val="0050079C"/>
    <w:rsid w:val="0050106A"/>
    <w:rsid w:val="005010BC"/>
    <w:rsid w:val="00501848"/>
    <w:rsid w:val="00502B31"/>
    <w:rsid w:val="0050434C"/>
    <w:rsid w:val="0050537D"/>
    <w:rsid w:val="0050591C"/>
    <w:rsid w:val="005059BD"/>
    <w:rsid w:val="005060AE"/>
    <w:rsid w:val="0050686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8C5"/>
    <w:rsid w:val="00517AC8"/>
    <w:rsid w:val="00517C3E"/>
    <w:rsid w:val="005207D8"/>
    <w:rsid w:val="0052091D"/>
    <w:rsid w:val="005212F4"/>
    <w:rsid w:val="00521908"/>
    <w:rsid w:val="005224BC"/>
    <w:rsid w:val="00522928"/>
    <w:rsid w:val="00522FF1"/>
    <w:rsid w:val="00523902"/>
    <w:rsid w:val="00523946"/>
    <w:rsid w:val="0052397A"/>
    <w:rsid w:val="00524032"/>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555"/>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043"/>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B2"/>
    <w:rsid w:val="005C6AAB"/>
    <w:rsid w:val="005C6D5D"/>
    <w:rsid w:val="005C6FD0"/>
    <w:rsid w:val="005D01C3"/>
    <w:rsid w:val="005D05FF"/>
    <w:rsid w:val="005D0FB4"/>
    <w:rsid w:val="005D1176"/>
    <w:rsid w:val="005D1747"/>
    <w:rsid w:val="005D266D"/>
    <w:rsid w:val="005D2C43"/>
    <w:rsid w:val="005D306D"/>
    <w:rsid w:val="005D3327"/>
    <w:rsid w:val="005D4854"/>
    <w:rsid w:val="005D5BCF"/>
    <w:rsid w:val="005D65BF"/>
    <w:rsid w:val="005D6D84"/>
    <w:rsid w:val="005D70A1"/>
    <w:rsid w:val="005D79F2"/>
    <w:rsid w:val="005D7CB1"/>
    <w:rsid w:val="005D7F57"/>
    <w:rsid w:val="005E0067"/>
    <w:rsid w:val="005E0141"/>
    <w:rsid w:val="005E0237"/>
    <w:rsid w:val="005E09CA"/>
    <w:rsid w:val="005E1AB4"/>
    <w:rsid w:val="005E255B"/>
    <w:rsid w:val="005E2CF7"/>
    <w:rsid w:val="005E4543"/>
    <w:rsid w:val="005E456C"/>
    <w:rsid w:val="005E4A1C"/>
    <w:rsid w:val="005E56C9"/>
    <w:rsid w:val="005E5CF7"/>
    <w:rsid w:val="005E5FF0"/>
    <w:rsid w:val="005E642A"/>
    <w:rsid w:val="005E65A7"/>
    <w:rsid w:val="005E721E"/>
    <w:rsid w:val="005E7C7B"/>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05"/>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AA0"/>
    <w:rsid w:val="00622B22"/>
    <w:rsid w:val="00622F67"/>
    <w:rsid w:val="00623571"/>
    <w:rsid w:val="006235E8"/>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459"/>
    <w:rsid w:val="006536BB"/>
    <w:rsid w:val="0065398F"/>
    <w:rsid w:val="00653C7C"/>
    <w:rsid w:val="00654252"/>
    <w:rsid w:val="006543B7"/>
    <w:rsid w:val="00654EA5"/>
    <w:rsid w:val="0065587E"/>
    <w:rsid w:val="006558CD"/>
    <w:rsid w:val="00655C26"/>
    <w:rsid w:val="0065637A"/>
    <w:rsid w:val="00656998"/>
    <w:rsid w:val="00656E4D"/>
    <w:rsid w:val="006576BA"/>
    <w:rsid w:val="00657B13"/>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A2E"/>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A92"/>
    <w:rsid w:val="00695C78"/>
    <w:rsid w:val="00695E6C"/>
    <w:rsid w:val="00695EAC"/>
    <w:rsid w:val="00696C79"/>
    <w:rsid w:val="00697068"/>
    <w:rsid w:val="006977DE"/>
    <w:rsid w:val="00697D5F"/>
    <w:rsid w:val="006A035B"/>
    <w:rsid w:val="006A04F9"/>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85"/>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3D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07A"/>
    <w:rsid w:val="0071230A"/>
    <w:rsid w:val="00712893"/>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2EB"/>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AC5"/>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2A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9AB"/>
    <w:rsid w:val="008052CE"/>
    <w:rsid w:val="008058D0"/>
    <w:rsid w:val="00806A4C"/>
    <w:rsid w:val="0080705B"/>
    <w:rsid w:val="0080723C"/>
    <w:rsid w:val="00807F71"/>
    <w:rsid w:val="0081000F"/>
    <w:rsid w:val="00812529"/>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0D2F"/>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637"/>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529"/>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6F"/>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B84"/>
    <w:rsid w:val="00904DC3"/>
    <w:rsid w:val="0090534A"/>
    <w:rsid w:val="00905469"/>
    <w:rsid w:val="00906078"/>
    <w:rsid w:val="0090629C"/>
    <w:rsid w:val="00906EA2"/>
    <w:rsid w:val="00907278"/>
    <w:rsid w:val="00907B26"/>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79C"/>
    <w:rsid w:val="00923E1A"/>
    <w:rsid w:val="009245CC"/>
    <w:rsid w:val="0092490A"/>
    <w:rsid w:val="00925A3E"/>
    <w:rsid w:val="009261DB"/>
    <w:rsid w:val="00926939"/>
    <w:rsid w:val="00926F4C"/>
    <w:rsid w:val="00927330"/>
    <w:rsid w:val="00927710"/>
    <w:rsid w:val="009307CA"/>
    <w:rsid w:val="00930EB3"/>
    <w:rsid w:val="009312F9"/>
    <w:rsid w:val="00931445"/>
    <w:rsid w:val="00931AB8"/>
    <w:rsid w:val="00931C19"/>
    <w:rsid w:val="00931C63"/>
    <w:rsid w:val="00931D10"/>
    <w:rsid w:val="0093218A"/>
    <w:rsid w:val="0093386D"/>
    <w:rsid w:val="00934C8E"/>
    <w:rsid w:val="00934D43"/>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E32"/>
    <w:rsid w:val="00964007"/>
    <w:rsid w:val="00964283"/>
    <w:rsid w:val="009642A4"/>
    <w:rsid w:val="009643F4"/>
    <w:rsid w:val="009645A6"/>
    <w:rsid w:val="00964F5A"/>
    <w:rsid w:val="0096527F"/>
    <w:rsid w:val="009653ED"/>
    <w:rsid w:val="00966A21"/>
    <w:rsid w:val="00966AD2"/>
    <w:rsid w:val="00966DE9"/>
    <w:rsid w:val="00971415"/>
    <w:rsid w:val="009716D8"/>
    <w:rsid w:val="00971F54"/>
    <w:rsid w:val="00972057"/>
    <w:rsid w:val="0097227B"/>
    <w:rsid w:val="00972509"/>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DA1"/>
    <w:rsid w:val="009B66F5"/>
    <w:rsid w:val="009B7505"/>
    <w:rsid w:val="009C0020"/>
    <w:rsid w:val="009C03F7"/>
    <w:rsid w:val="009C10DA"/>
    <w:rsid w:val="009C19FC"/>
    <w:rsid w:val="009C1CA3"/>
    <w:rsid w:val="009C23A2"/>
    <w:rsid w:val="009C27F7"/>
    <w:rsid w:val="009C2BF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3D"/>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A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A23"/>
    <w:rsid w:val="00A02EA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05B"/>
    <w:rsid w:val="00A54909"/>
    <w:rsid w:val="00A54DC0"/>
    <w:rsid w:val="00A550C9"/>
    <w:rsid w:val="00A55228"/>
    <w:rsid w:val="00A55410"/>
    <w:rsid w:val="00A55A04"/>
    <w:rsid w:val="00A564DE"/>
    <w:rsid w:val="00A6005C"/>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4A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E03"/>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934"/>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180"/>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9B1"/>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C62"/>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D5"/>
    <w:rsid w:val="00B31246"/>
    <w:rsid w:val="00B32295"/>
    <w:rsid w:val="00B33AB5"/>
    <w:rsid w:val="00B3412E"/>
    <w:rsid w:val="00B343E0"/>
    <w:rsid w:val="00B35B6D"/>
    <w:rsid w:val="00B35D53"/>
    <w:rsid w:val="00B36571"/>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6C"/>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F6"/>
    <w:rsid w:val="00BA583B"/>
    <w:rsid w:val="00BA5DF2"/>
    <w:rsid w:val="00BA5EC7"/>
    <w:rsid w:val="00BA6319"/>
    <w:rsid w:val="00BA63CE"/>
    <w:rsid w:val="00BA676E"/>
    <w:rsid w:val="00BA6980"/>
    <w:rsid w:val="00BA6EF2"/>
    <w:rsid w:val="00BA7227"/>
    <w:rsid w:val="00BA763C"/>
    <w:rsid w:val="00BA784D"/>
    <w:rsid w:val="00BA7CD7"/>
    <w:rsid w:val="00BB00E5"/>
    <w:rsid w:val="00BB05A4"/>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53"/>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22E"/>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766"/>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3E2"/>
    <w:rsid w:val="00C07C11"/>
    <w:rsid w:val="00C07E10"/>
    <w:rsid w:val="00C10015"/>
    <w:rsid w:val="00C1110A"/>
    <w:rsid w:val="00C11689"/>
    <w:rsid w:val="00C12414"/>
    <w:rsid w:val="00C12ECB"/>
    <w:rsid w:val="00C148B2"/>
    <w:rsid w:val="00C14ABD"/>
    <w:rsid w:val="00C151E0"/>
    <w:rsid w:val="00C1523D"/>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74F"/>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D7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10"/>
    <w:rsid w:val="00D04F01"/>
    <w:rsid w:val="00D04F8B"/>
    <w:rsid w:val="00D054EF"/>
    <w:rsid w:val="00D05637"/>
    <w:rsid w:val="00D05BA9"/>
    <w:rsid w:val="00D05EB1"/>
    <w:rsid w:val="00D0650B"/>
    <w:rsid w:val="00D068AA"/>
    <w:rsid w:val="00D06E71"/>
    <w:rsid w:val="00D06E9C"/>
    <w:rsid w:val="00D0714B"/>
    <w:rsid w:val="00D0764E"/>
    <w:rsid w:val="00D07D82"/>
    <w:rsid w:val="00D100AD"/>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07"/>
    <w:rsid w:val="00D74247"/>
    <w:rsid w:val="00D743F1"/>
    <w:rsid w:val="00D744CF"/>
    <w:rsid w:val="00D7456E"/>
    <w:rsid w:val="00D753A9"/>
    <w:rsid w:val="00D755F7"/>
    <w:rsid w:val="00D75DDB"/>
    <w:rsid w:val="00D75E4B"/>
    <w:rsid w:val="00D76352"/>
    <w:rsid w:val="00D7690F"/>
    <w:rsid w:val="00D774F4"/>
    <w:rsid w:val="00D77687"/>
    <w:rsid w:val="00D77AF6"/>
    <w:rsid w:val="00D804C5"/>
    <w:rsid w:val="00D815E6"/>
    <w:rsid w:val="00D81A28"/>
    <w:rsid w:val="00D81BDE"/>
    <w:rsid w:val="00D82012"/>
    <w:rsid w:val="00D8201D"/>
    <w:rsid w:val="00D82B00"/>
    <w:rsid w:val="00D82B04"/>
    <w:rsid w:val="00D82BE4"/>
    <w:rsid w:val="00D82E05"/>
    <w:rsid w:val="00D8373B"/>
    <w:rsid w:val="00D83C0D"/>
    <w:rsid w:val="00D83C80"/>
    <w:rsid w:val="00D83F5B"/>
    <w:rsid w:val="00D85FDE"/>
    <w:rsid w:val="00D86626"/>
    <w:rsid w:val="00D8665E"/>
    <w:rsid w:val="00D869C1"/>
    <w:rsid w:val="00D86EC6"/>
    <w:rsid w:val="00D87418"/>
    <w:rsid w:val="00D87A39"/>
    <w:rsid w:val="00D87FE6"/>
    <w:rsid w:val="00D90293"/>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34F"/>
    <w:rsid w:val="00DE5563"/>
    <w:rsid w:val="00DE5C19"/>
    <w:rsid w:val="00DE5D48"/>
    <w:rsid w:val="00DE6E4D"/>
    <w:rsid w:val="00DE7498"/>
    <w:rsid w:val="00DE75EF"/>
    <w:rsid w:val="00DE7611"/>
    <w:rsid w:val="00DE7D19"/>
    <w:rsid w:val="00DF05A0"/>
    <w:rsid w:val="00DF1162"/>
    <w:rsid w:val="00DF1348"/>
    <w:rsid w:val="00DF1BA8"/>
    <w:rsid w:val="00DF1F63"/>
    <w:rsid w:val="00DF28F2"/>
    <w:rsid w:val="00DF2BFF"/>
    <w:rsid w:val="00DF3798"/>
    <w:rsid w:val="00DF4FF1"/>
    <w:rsid w:val="00DF56A3"/>
    <w:rsid w:val="00DF5AB5"/>
    <w:rsid w:val="00DF5B33"/>
    <w:rsid w:val="00DF6FD2"/>
    <w:rsid w:val="00DF72EF"/>
    <w:rsid w:val="00DF743D"/>
    <w:rsid w:val="00DF7724"/>
    <w:rsid w:val="00DF7A08"/>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E82"/>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A73"/>
    <w:rsid w:val="00E8231F"/>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CAE"/>
    <w:rsid w:val="00E96E91"/>
    <w:rsid w:val="00E9751D"/>
    <w:rsid w:val="00E97DC6"/>
    <w:rsid w:val="00E97F7A"/>
    <w:rsid w:val="00EA0010"/>
    <w:rsid w:val="00EA0143"/>
    <w:rsid w:val="00EA089B"/>
    <w:rsid w:val="00EA1ACC"/>
    <w:rsid w:val="00EA21F7"/>
    <w:rsid w:val="00EA2E21"/>
    <w:rsid w:val="00EA2EAA"/>
    <w:rsid w:val="00EA380C"/>
    <w:rsid w:val="00EA5B9E"/>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78"/>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88F"/>
    <w:rsid w:val="00EC6B30"/>
    <w:rsid w:val="00EC6B8F"/>
    <w:rsid w:val="00EC7154"/>
    <w:rsid w:val="00EC7371"/>
    <w:rsid w:val="00EC73F5"/>
    <w:rsid w:val="00EC7894"/>
    <w:rsid w:val="00EC7A28"/>
    <w:rsid w:val="00EC7B48"/>
    <w:rsid w:val="00ED0151"/>
    <w:rsid w:val="00ED0257"/>
    <w:rsid w:val="00ED071B"/>
    <w:rsid w:val="00ED18B1"/>
    <w:rsid w:val="00ED1ADE"/>
    <w:rsid w:val="00ED364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DDB"/>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F2D"/>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796"/>
    <w:rsid w:val="00F97A34"/>
    <w:rsid w:val="00F97E4A"/>
    <w:rsid w:val="00F97EA1"/>
    <w:rsid w:val="00FA003A"/>
    <w:rsid w:val="00FA05C8"/>
    <w:rsid w:val="00FA0678"/>
    <w:rsid w:val="00FA0DB6"/>
    <w:rsid w:val="00FA2276"/>
    <w:rsid w:val="00FA23F7"/>
    <w:rsid w:val="00FA27EB"/>
    <w:rsid w:val="00FA2E31"/>
    <w:rsid w:val="00FA35B6"/>
    <w:rsid w:val="00FA3EBC"/>
    <w:rsid w:val="00FA423C"/>
    <w:rsid w:val="00FA44D0"/>
    <w:rsid w:val="00FA4590"/>
    <w:rsid w:val="00FA55A2"/>
    <w:rsid w:val="00FA672F"/>
    <w:rsid w:val="00FA6A0E"/>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98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24A04"/>
    <w:rsid w:val="019F722A"/>
    <w:rsid w:val="019F7441"/>
    <w:rsid w:val="01A31373"/>
    <w:rsid w:val="01AA30C3"/>
    <w:rsid w:val="01B37585"/>
    <w:rsid w:val="01D55165"/>
    <w:rsid w:val="01DE7795"/>
    <w:rsid w:val="01DF6BF8"/>
    <w:rsid w:val="01EC2C57"/>
    <w:rsid w:val="02186A33"/>
    <w:rsid w:val="024535A0"/>
    <w:rsid w:val="026B2E25"/>
    <w:rsid w:val="02824D4D"/>
    <w:rsid w:val="02DC4B10"/>
    <w:rsid w:val="02DD76CE"/>
    <w:rsid w:val="02F36323"/>
    <w:rsid w:val="02F5619C"/>
    <w:rsid w:val="030A5E8F"/>
    <w:rsid w:val="03166B78"/>
    <w:rsid w:val="0326446A"/>
    <w:rsid w:val="032D5555"/>
    <w:rsid w:val="036634D2"/>
    <w:rsid w:val="03DD35E4"/>
    <w:rsid w:val="03F83124"/>
    <w:rsid w:val="04076900"/>
    <w:rsid w:val="041A5A3B"/>
    <w:rsid w:val="042311BA"/>
    <w:rsid w:val="042B157A"/>
    <w:rsid w:val="048F763B"/>
    <w:rsid w:val="049F330E"/>
    <w:rsid w:val="04AA775C"/>
    <w:rsid w:val="04AF1889"/>
    <w:rsid w:val="04F66F48"/>
    <w:rsid w:val="050444D9"/>
    <w:rsid w:val="05251E14"/>
    <w:rsid w:val="05917228"/>
    <w:rsid w:val="05A16594"/>
    <w:rsid w:val="05A7762D"/>
    <w:rsid w:val="05C313AC"/>
    <w:rsid w:val="05CD470A"/>
    <w:rsid w:val="05FC4982"/>
    <w:rsid w:val="060E5941"/>
    <w:rsid w:val="06110FAF"/>
    <w:rsid w:val="06493CA7"/>
    <w:rsid w:val="065A6178"/>
    <w:rsid w:val="066F1CF3"/>
    <w:rsid w:val="067A7CBC"/>
    <w:rsid w:val="06930BB8"/>
    <w:rsid w:val="06D21D6E"/>
    <w:rsid w:val="070F21DB"/>
    <w:rsid w:val="07245D42"/>
    <w:rsid w:val="07264C62"/>
    <w:rsid w:val="07591FC8"/>
    <w:rsid w:val="0779354C"/>
    <w:rsid w:val="07DB478B"/>
    <w:rsid w:val="07E166CE"/>
    <w:rsid w:val="08061376"/>
    <w:rsid w:val="08147C9D"/>
    <w:rsid w:val="08452D77"/>
    <w:rsid w:val="084632FA"/>
    <w:rsid w:val="08470072"/>
    <w:rsid w:val="085D4012"/>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B5382"/>
    <w:rsid w:val="09E04166"/>
    <w:rsid w:val="0A1C0718"/>
    <w:rsid w:val="0A3E7710"/>
    <w:rsid w:val="0A5B7E63"/>
    <w:rsid w:val="0AA374A5"/>
    <w:rsid w:val="0AAB7649"/>
    <w:rsid w:val="0ABC5606"/>
    <w:rsid w:val="0B30404E"/>
    <w:rsid w:val="0B4C6C14"/>
    <w:rsid w:val="0B631A88"/>
    <w:rsid w:val="0B683D45"/>
    <w:rsid w:val="0B7F3F11"/>
    <w:rsid w:val="0B884417"/>
    <w:rsid w:val="0B8A0504"/>
    <w:rsid w:val="0BD82645"/>
    <w:rsid w:val="0BF6188C"/>
    <w:rsid w:val="0BF73C91"/>
    <w:rsid w:val="0BF91683"/>
    <w:rsid w:val="0C170175"/>
    <w:rsid w:val="0C236700"/>
    <w:rsid w:val="0C37664F"/>
    <w:rsid w:val="0C474AE5"/>
    <w:rsid w:val="0C571A41"/>
    <w:rsid w:val="0C5C1171"/>
    <w:rsid w:val="0C5E1CBC"/>
    <w:rsid w:val="0C615B50"/>
    <w:rsid w:val="0C6C30D3"/>
    <w:rsid w:val="0C8445DA"/>
    <w:rsid w:val="0C87121B"/>
    <w:rsid w:val="0CC007F7"/>
    <w:rsid w:val="0CC71781"/>
    <w:rsid w:val="0CFE707A"/>
    <w:rsid w:val="0D063BDA"/>
    <w:rsid w:val="0D08375F"/>
    <w:rsid w:val="0D136775"/>
    <w:rsid w:val="0D184CFB"/>
    <w:rsid w:val="0D4A7419"/>
    <w:rsid w:val="0D4E59FF"/>
    <w:rsid w:val="0D827401"/>
    <w:rsid w:val="0D84094E"/>
    <w:rsid w:val="0D8A00E9"/>
    <w:rsid w:val="0D8D589E"/>
    <w:rsid w:val="0DA01C73"/>
    <w:rsid w:val="0DD63300"/>
    <w:rsid w:val="0DD71E98"/>
    <w:rsid w:val="0DF50604"/>
    <w:rsid w:val="0DF702FE"/>
    <w:rsid w:val="0DFB7557"/>
    <w:rsid w:val="0E060E51"/>
    <w:rsid w:val="0E5604B2"/>
    <w:rsid w:val="0E6D5D79"/>
    <w:rsid w:val="0E9D0089"/>
    <w:rsid w:val="0EAC50D3"/>
    <w:rsid w:val="0EB803EE"/>
    <w:rsid w:val="0EF94D4B"/>
    <w:rsid w:val="0F4958DC"/>
    <w:rsid w:val="0F515DF7"/>
    <w:rsid w:val="0F596BA8"/>
    <w:rsid w:val="0F6248D2"/>
    <w:rsid w:val="0F693536"/>
    <w:rsid w:val="0F7B0511"/>
    <w:rsid w:val="0F7B76D9"/>
    <w:rsid w:val="0F816ACD"/>
    <w:rsid w:val="0F9832DB"/>
    <w:rsid w:val="0FBF3FD2"/>
    <w:rsid w:val="0FBF7FF3"/>
    <w:rsid w:val="100705AD"/>
    <w:rsid w:val="10646583"/>
    <w:rsid w:val="107D4B15"/>
    <w:rsid w:val="108A3C80"/>
    <w:rsid w:val="10B9383C"/>
    <w:rsid w:val="10C26171"/>
    <w:rsid w:val="10F33360"/>
    <w:rsid w:val="10FC16EA"/>
    <w:rsid w:val="110F1D40"/>
    <w:rsid w:val="11266F33"/>
    <w:rsid w:val="118963A1"/>
    <w:rsid w:val="11C6522A"/>
    <w:rsid w:val="11E104CC"/>
    <w:rsid w:val="11E20309"/>
    <w:rsid w:val="11FA43A7"/>
    <w:rsid w:val="12255233"/>
    <w:rsid w:val="122D46DF"/>
    <w:rsid w:val="12530213"/>
    <w:rsid w:val="127723A9"/>
    <w:rsid w:val="12862074"/>
    <w:rsid w:val="12883966"/>
    <w:rsid w:val="129E45B4"/>
    <w:rsid w:val="12D81596"/>
    <w:rsid w:val="13072A44"/>
    <w:rsid w:val="134747F7"/>
    <w:rsid w:val="135F4BE2"/>
    <w:rsid w:val="13710699"/>
    <w:rsid w:val="139441F0"/>
    <w:rsid w:val="139B1A0A"/>
    <w:rsid w:val="139D25C7"/>
    <w:rsid w:val="13BF3CE4"/>
    <w:rsid w:val="13FF5CA5"/>
    <w:rsid w:val="141008D8"/>
    <w:rsid w:val="14125FE6"/>
    <w:rsid w:val="146D271E"/>
    <w:rsid w:val="147321EF"/>
    <w:rsid w:val="147C10A3"/>
    <w:rsid w:val="14982588"/>
    <w:rsid w:val="149A5AD9"/>
    <w:rsid w:val="14A7619D"/>
    <w:rsid w:val="150536C3"/>
    <w:rsid w:val="150C1963"/>
    <w:rsid w:val="151447A0"/>
    <w:rsid w:val="153C4C48"/>
    <w:rsid w:val="154A6454"/>
    <w:rsid w:val="15762120"/>
    <w:rsid w:val="15945CB1"/>
    <w:rsid w:val="15CE7FDF"/>
    <w:rsid w:val="15D373E9"/>
    <w:rsid w:val="16305EEC"/>
    <w:rsid w:val="16557DFE"/>
    <w:rsid w:val="16A8729C"/>
    <w:rsid w:val="16B33777"/>
    <w:rsid w:val="16BC70A7"/>
    <w:rsid w:val="16BE1E47"/>
    <w:rsid w:val="16C6339E"/>
    <w:rsid w:val="172F2D79"/>
    <w:rsid w:val="174F6F43"/>
    <w:rsid w:val="17557BEF"/>
    <w:rsid w:val="17D349C1"/>
    <w:rsid w:val="1830729E"/>
    <w:rsid w:val="1870062C"/>
    <w:rsid w:val="18817102"/>
    <w:rsid w:val="18830A15"/>
    <w:rsid w:val="18852B28"/>
    <w:rsid w:val="188B5321"/>
    <w:rsid w:val="18950986"/>
    <w:rsid w:val="18C7014D"/>
    <w:rsid w:val="1942192F"/>
    <w:rsid w:val="19932372"/>
    <w:rsid w:val="19A20DD5"/>
    <w:rsid w:val="19AE03F1"/>
    <w:rsid w:val="1A071A03"/>
    <w:rsid w:val="1A1F16AE"/>
    <w:rsid w:val="1A3B5C77"/>
    <w:rsid w:val="1A5605E9"/>
    <w:rsid w:val="1A984BAD"/>
    <w:rsid w:val="1AB8220E"/>
    <w:rsid w:val="1AE4166C"/>
    <w:rsid w:val="1AF06CFB"/>
    <w:rsid w:val="1AF11B8D"/>
    <w:rsid w:val="1B11359C"/>
    <w:rsid w:val="1B2A271F"/>
    <w:rsid w:val="1B2F26AC"/>
    <w:rsid w:val="1B520EBA"/>
    <w:rsid w:val="1B530544"/>
    <w:rsid w:val="1B6F5FBB"/>
    <w:rsid w:val="1B713184"/>
    <w:rsid w:val="1BA209CF"/>
    <w:rsid w:val="1BA23AE5"/>
    <w:rsid w:val="1BB4777D"/>
    <w:rsid w:val="1BD75AB8"/>
    <w:rsid w:val="1BE469B0"/>
    <w:rsid w:val="1C0459C2"/>
    <w:rsid w:val="1C1B3B4A"/>
    <w:rsid w:val="1C4E5AD9"/>
    <w:rsid w:val="1C7D1E5D"/>
    <w:rsid w:val="1C88086E"/>
    <w:rsid w:val="1D22539B"/>
    <w:rsid w:val="1D266CE1"/>
    <w:rsid w:val="1D3963AF"/>
    <w:rsid w:val="1D6A673C"/>
    <w:rsid w:val="1D9247AE"/>
    <w:rsid w:val="1DB4008A"/>
    <w:rsid w:val="1DB567EC"/>
    <w:rsid w:val="1DF51A98"/>
    <w:rsid w:val="1E3D060F"/>
    <w:rsid w:val="1E3F7D2E"/>
    <w:rsid w:val="1E4134E4"/>
    <w:rsid w:val="1E5062B3"/>
    <w:rsid w:val="1E523514"/>
    <w:rsid w:val="1E714A66"/>
    <w:rsid w:val="1E802593"/>
    <w:rsid w:val="1EA703CC"/>
    <w:rsid w:val="1EB340DE"/>
    <w:rsid w:val="1EB7330C"/>
    <w:rsid w:val="1F0A0FF3"/>
    <w:rsid w:val="1F5771FF"/>
    <w:rsid w:val="1F5F4D43"/>
    <w:rsid w:val="1F884DA0"/>
    <w:rsid w:val="1FBD2F4C"/>
    <w:rsid w:val="1FD11845"/>
    <w:rsid w:val="1FE868A9"/>
    <w:rsid w:val="1FF0287B"/>
    <w:rsid w:val="20034907"/>
    <w:rsid w:val="20146634"/>
    <w:rsid w:val="20173E4B"/>
    <w:rsid w:val="204E48BC"/>
    <w:rsid w:val="206550AA"/>
    <w:rsid w:val="208921B3"/>
    <w:rsid w:val="20973DEB"/>
    <w:rsid w:val="20B26522"/>
    <w:rsid w:val="20B44310"/>
    <w:rsid w:val="20E93F65"/>
    <w:rsid w:val="20EA218E"/>
    <w:rsid w:val="211116EB"/>
    <w:rsid w:val="212E7BC9"/>
    <w:rsid w:val="21350C64"/>
    <w:rsid w:val="216133FC"/>
    <w:rsid w:val="21CF4F08"/>
    <w:rsid w:val="21D56769"/>
    <w:rsid w:val="21E52EF3"/>
    <w:rsid w:val="21FB5D7B"/>
    <w:rsid w:val="220B1C3D"/>
    <w:rsid w:val="221D1D20"/>
    <w:rsid w:val="22334A87"/>
    <w:rsid w:val="22BE6801"/>
    <w:rsid w:val="22D84EDE"/>
    <w:rsid w:val="233500BF"/>
    <w:rsid w:val="23377FF7"/>
    <w:rsid w:val="235A6A54"/>
    <w:rsid w:val="2361236D"/>
    <w:rsid w:val="236B425F"/>
    <w:rsid w:val="23812E13"/>
    <w:rsid w:val="23836192"/>
    <w:rsid w:val="23901F29"/>
    <w:rsid w:val="239C0061"/>
    <w:rsid w:val="23B908A4"/>
    <w:rsid w:val="23E95BEF"/>
    <w:rsid w:val="23F5510E"/>
    <w:rsid w:val="23FD0064"/>
    <w:rsid w:val="24431BDE"/>
    <w:rsid w:val="245375B0"/>
    <w:rsid w:val="24642C0A"/>
    <w:rsid w:val="24944EE3"/>
    <w:rsid w:val="24977834"/>
    <w:rsid w:val="24B22173"/>
    <w:rsid w:val="24B95AD9"/>
    <w:rsid w:val="24BE24DA"/>
    <w:rsid w:val="24CF5825"/>
    <w:rsid w:val="24D663E6"/>
    <w:rsid w:val="24D77F2B"/>
    <w:rsid w:val="25113A8A"/>
    <w:rsid w:val="25165F2D"/>
    <w:rsid w:val="258B00E2"/>
    <w:rsid w:val="25A917A6"/>
    <w:rsid w:val="25B03145"/>
    <w:rsid w:val="25BB1F40"/>
    <w:rsid w:val="25BE27CC"/>
    <w:rsid w:val="25F74A5C"/>
    <w:rsid w:val="25FC3DF2"/>
    <w:rsid w:val="2628662C"/>
    <w:rsid w:val="262D45DE"/>
    <w:rsid w:val="26317A42"/>
    <w:rsid w:val="26A53EF9"/>
    <w:rsid w:val="26A94201"/>
    <w:rsid w:val="26AC274F"/>
    <w:rsid w:val="27044A29"/>
    <w:rsid w:val="270E7A26"/>
    <w:rsid w:val="271D34C8"/>
    <w:rsid w:val="274E7C63"/>
    <w:rsid w:val="276142BF"/>
    <w:rsid w:val="27783712"/>
    <w:rsid w:val="27907362"/>
    <w:rsid w:val="27A358FB"/>
    <w:rsid w:val="27CD2409"/>
    <w:rsid w:val="27DF5795"/>
    <w:rsid w:val="28333E1D"/>
    <w:rsid w:val="28454BD6"/>
    <w:rsid w:val="28455253"/>
    <w:rsid w:val="28551971"/>
    <w:rsid w:val="285B1C53"/>
    <w:rsid w:val="285D76F7"/>
    <w:rsid w:val="289F7086"/>
    <w:rsid w:val="28C32028"/>
    <w:rsid w:val="28CC490F"/>
    <w:rsid w:val="28DE40AA"/>
    <w:rsid w:val="28DF17A9"/>
    <w:rsid w:val="28FB3228"/>
    <w:rsid w:val="290A7E1B"/>
    <w:rsid w:val="29272A74"/>
    <w:rsid w:val="29345E77"/>
    <w:rsid w:val="294C65AD"/>
    <w:rsid w:val="29806583"/>
    <w:rsid w:val="298B3C4C"/>
    <w:rsid w:val="298D6E83"/>
    <w:rsid w:val="29F26D24"/>
    <w:rsid w:val="2A15033F"/>
    <w:rsid w:val="2A1662C1"/>
    <w:rsid w:val="2A1C7367"/>
    <w:rsid w:val="2A2815FA"/>
    <w:rsid w:val="2A2E29E8"/>
    <w:rsid w:val="2A6D6092"/>
    <w:rsid w:val="2A7D76B4"/>
    <w:rsid w:val="2AEC2BAF"/>
    <w:rsid w:val="2AFA28CA"/>
    <w:rsid w:val="2B437463"/>
    <w:rsid w:val="2B7807EE"/>
    <w:rsid w:val="2B8E05BB"/>
    <w:rsid w:val="2BBC2DC2"/>
    <w:rsid w:val="2BBF00EC"/>
    <w:rsid w:val="2BC37CFD"/>
    <w:rsid w:val="2BD5237F"/>
    <w:rsid w:val="2BE536CE"/>
    <w:rsid w:val="2BE758D9"/>
    <w:rsid w:val="2C09049E"/>
    <w:rsid w:val="2C0A653C"/>
    <w:rsid w:val="2C191F85"/>
    <w:rsid w:val="2C862667"/>
    <w:rsid w:val="2CBA0563"/>
    <w:rsid w:val="2CE82D6F"/>
    <w:rsid w:val="2D343236"/>
    <w:rsid w:val="2D7C1CBC"/>
    <w:rsid w:val="2DD15014"/>
    <w:rsid w:val="2DF72DE4"/>
    <w:rsid w:val="2E0220AF"/>
    <w:rsid w:val="2E4B082A"/>
    <w:rsid w:val="2E5D4E86"/>
    <w:rsid w:val="2E5D790B"/>
    <w:rsid w:val="2E8C5F2F"/>
    <w:rsid w:val="2E9A3C18"/>
    <w:rsid w:val="2EBB0FEE"/>
    <w:rsid w:val="2EC1207D"/>
    <w:rsid w:val="2EC63002"/>
    <w:rsid w:val="2F0A6B38"/>
    <w:rsid w:val="2F2B1FA0"/>
    <w:rsid w:val="2F430CE4"/>
    <w:rsid w:val="2F946CCB"/>
    <w:rsid w:val="2FD25781"/>
    <w:rsid w:val="2FFD7934"/>
    <w:rsid w:val="302573B0"/>
    <w:rsid w:val="30273B58"/>
    <w:rsid w:val="303F42C3"/>
    <w:rsid w:val="30733ACD"/>
    <w:rsid w:val="308C3862"/>
    <w:rsid w:val="309379D8"/>
    <w:rsid w:val="30A270F7"/>
    <w:rsid w:val="30A47560"/>
    <w:rsid w:val="30DF1478"/>
    <w:rsid w:val="30EC586F"/>
    <w:rsid w:val="318178A1"/>
    <w:rsid w:val="319C6071"/>
    <w:rsid w:val="31AC537E"/>
    <w:rsid w:val="31E3679B"/>
    <w:rsid w:val="31E732FD"/>
    <w:rsid w:val="32517576"/>
    <w:rsid w:val="326E7FE0"/>
    <w:rsid w:val="32BE5C2C"/>
    <w:rsid w:val="32FB6478"/>
    <w:rsid w:val="33263B3F"/>
    <w:rsid w:val="335214F5"/>
    <w:rsid w:val="336963EB"/>
    <w:rsid w:val="33816EEB"/>
    <w:rsid w:val="33B158EA"/>
    <w:rsid w:val="33EB55CD"/>
    <w:rsid w:val="33EC4C02"/>
    <w:rsid w:val="340D2360"/>
    <w:rsid w:val="3410665D"/>
    <w:rsid w:val="34211214"/>
    <w:rsid w:val="342E63AB"/>
    <w:rsid w:val="34355450"/>
    <w:rsid w:val="348148AF"/>
    <w:rsid w:val="34950E68"/>
    <w:rsid w:val="34986E94"/>
    <w:rsid w:val="34AF62C9"/>
    <w:rsid w:val="34CB4388"/>
    <w:rsid w:val="34FA6E12"/>
    <w:rsid w:val="358D5588"/>
    <w:rsid w:val="35D407EB"/>
    <w:rsid w:val="363A3B40"/>
    <w:rsid w:val="365302AE"/>
    <w:rsid w:val="36607A0A"/>
    <w:rsid w:val="366B28CE"/>
    <w:rsid w:val="366E227C"/>
    <w:rsid w:val="366F2E0D"/>
    <w:rsid w:val="367B6A5C"/>
    <w:rsid w:val="369D0649"/>
    <w:rsid w:val="36A74ADA"/>
    <w:rsid w:val="36AD60D5"/>
    <w:rsid w:val="36B224F9"/>
    <w:rsid w:val="36B7726F"/>
    <w:rsid w:val="36DC0094"/>
    <w:rsid w:val="36EC0CC9"/>
    <w:rsid w:val="372506C1"/>
    <w:rsid w:val="373F410B"/>
    <w:rsid w:val="379F3EED"/>
    <w:rsid w:val="37EE7094"/>
    <w:rsid w:val="38296C89"/>
    <w:rsid w:val="383002EB"/>
    <w:rsid w:val="38586797"/>
    <w:rsid w:val="3870364C"/>
    <w:rsid w:val="38AC16A8"/>
    <w:rsid w:val="38BC0149"/>
    <w:rsid w:val="38D87D1C"/>
    <w:rsid w:val="38FC7FC9"/>
    <w:rsid w:val="39636459"/>
    <w:rsid w:val="396B7F6C"/>
    <w:rsid w:val="399E3129"/>
    <w:rsid w:val="39AF2488"/>
    <w:rsid w:val="39B417A9"/>
    <w:rsid w:val="39FC5695"/>
    <w:rsid w:val="3A006D8E"/>
    <w:rsid w:val="3A3651E5"/>
    <w:rsid w:val="3A744481"/>
    <w:rsid w:val="3A8C7BEF"/>
    <w:rsid w:val="3A906246"/>
    <w:rsid w:val="3B2349B7"/>
    <w:rsid w:val="3B510614"/>
    <w:rsid w:val="3B616CFF"/>
    <w:rsid w:val="3B6259F6"/>
    <w:rsid w:val="3B976654"/>
    <w:rsid w:val="3BC01EFC"/>
    <w:rsid w:val="3BCA786A"/>
    <w:rsid w:val="3BD31E2F"/>
    <w:rsid w:val="3BF15831"/>
    <w:rsid w:val="3C105946"/>
    <w:rsid w:val="3C471448"/>
    <w:rsid w:val="3C5F759A"/>
    <w:rsid w:val="3C6C525A"/>
    <w:rsid w:val="3C734355"/>
    <w:rsid w:val="3CBC5CAE"/>
    <w:rsid w:val="3CCE23CB"/>
    <w:rsid w:val="3CD17D17"/>
    <w:rsid w:val="3D3C7F39"/>
    <w:rsid w:val="3D440F09"/>
    <w:rsid w:val="3D4504A0"/>
    <w:rsid w:val="3D7B5AED"/>
    <w:rsid w:val="3D8734BB"/>
    <w:rsid w:val="3D9A11D4"/>
    <w:rsid w:val="3DA16D89"/>
    <w:rsid w:val="3DA364BE"/>
    <w:rsid w:val="3DE041CB"/>
    <w:rsid w:val="3E01023B"/>
    <w:rsid w:val="3E0D48F6"/>
    <w:rsid w:val="3E1868B4"/>
    <w:rsid w:val="3E377251"/>
    <w:rsid w:val="3E42664B"/>
    <w:rsid w:val="3E4C4948"/>
    <w:rsid w:val="3E5A7334"/>
    <w:rsid w:val="3E7B5D6B"/>
    <w:rsid w:val="3E843E66"/>
    <w:rsid w:val="3E8F51FE"/>
    <w:rsid w:val="3E926F87"/>
    <w:rsid w:val="3E9A59DE"/>
    <w:rsid w:val="3EAF4836"/>
    <w:rsid w:val="3EB05C6A"/>
    <w:rsid w:val="3EC33DFA"/>
    <w:rsid w:val="3ECD371D"/>
    <w:rsid w:val="3F060E16"/>
    <w:rsid w:val="3F0C4AD9"/>
    <w:rsid w:val="3F1D1096"/>
    <w:rsid w:val="3F2F0234"/>
    <w:rsid w:val="3F6363FE"/>
    <w:rsid w:val="3F756B8F"/>
    <w:rsid w:val="3F95482B"/>
    <w:rsid w:val="3FDE4D0A"/>
    <w:rsid w:val="3FF948DF"/>
    <w:rsid w:val="4019356B"/>
    <w:rsid w:val="40592157"/>
    <w:rsid w:val="406E1CAE"/>
    <w:rsid w:val="409757D5"/>
    <w:rsid w:val="40A0133A"/>
    <w:rsid w:val="40C31A53"/>
    <w:rsid w:val="40D2307A"/>
    <w:rsid w:val="40FF545D"/>
    <w:rsid w:val="410067C8"/>
    <w:rsid w:val="418F0D2A"/>
    <w:rsid w:val="41D01505"/>
    <w:rsid w:val="422C1E81"/>
    <w:rsid w:val="42474939"/>
    <w:rsid w:val="424C3C57"/>
    <w:rsid w:val="42613FF3"/>
    <w:rsid w:val="42660D96"/>
    <w:rsid w:val="428667D2"/>
    <w:rsid w:val="42CD1CE0"/>
    <w:rsid w:val="42E1381E"/>
    <w:rsid w:val="42ED6459"/>
    <w:rsid w:val="42FE58DD"/>
    <w:rsid w:val="43174B3D"/>
    <w:rsid w:val="434B790E"/>
    <w:rsid w:val="4360274F"/>
    <w:rsid w:val="43670FED"/>
    <w:rsid w:val="43977AB6"/>
    <w:rsid w:val="43A3342B"/>
    <w:rsid w:val="43C77C27"/>
    <w:rsid w:val="43DE09EE"/>
    <w:rsid w:val="44002FAD"/>
    <w:rsid w:val="449101DD"/>
    <w:rsid w:val="44BF6C07"/>
    <w:rsid w:val="44DE1391"/>
    <w:rsid w:val="44E64193"/>
    <w:rsid w:val="45102FBE"/>
    <w:rsid w:val="451B225C"/>
    <w:rsid w:val="452410C9"/>
    <w:rsid w:val="45317DFB"/>
    <w:rsid w:val="456D3CE4"/>
    <w:rsid w:val="45717F01"/>
    <w:rsid w:val="4579042C"/>
    <w:rsid w:val="457F0571"/>
    <w:rsid w:val="45851176"/>
    <w:rsid w:val="45A632BE"/>
    <w:rsid w:val="45C63B94"/>
    <w:rsid w:val="460E7DA5"/>
    <w:rsid w:val="46422483"/>
    <w:rsid w:val="4659254A"/>
    <w:rsid w:val="465B0637"/>
    <w:rsid w:val="465E3F0D"/>
    <w:rsid w:val="466A16E6"/>
    <w:rsid w:val="46893F2B"/>
    <w:rsid w:val="46C4686E"/>
    <w:rsid w:val="47290367"/>
    <w:rsid w:val="472B0583"/>
    <w:rsid w:val="477B778F"/>
    <w:rsid w:val="478203EC"/>
    <w:rsid w:val="47961EA1"/>
    <w:rsid w:val="47B025FA"/>
    <w:rsid w:val="4809698F"/>
    <w:rsid w:val="4811697D"/>
    <w:rsid w:val="485A4A7C"/>
    <w:rsid w:val="487A3E25"/>
    <w:rsid w:val="488B5503"/>
    <w:rsid w:val="48937E21"/>
    <w:rsid w:val="489A0361"/>
    <w:rsid w:val="48B167FC"/>
    <w:rsid w:val="48B94FF3"/>
    <w:rsid w:val="48E37AAB"/>
    <w:rsid w:val="48FD4B4C"/>
    <w:rsid w:val="490A68E0"/>
    <w:rsid w:val="491055FE"/>
    <w:rsid w:val="495F5B3E"/>
    <w:rsid w:val="496F0BFB"/>
    <w:rsid w:val="496F77D7"/>
    <w:rsid w:val="497654FD"/>
    <w:rsid w:val="49B64211"/>
    <w:rsid w:val="49F6167F"/>
    <w:rsid w:val="4A064FA0"/>
    <w:rsid w:val="4A16615C"/>
    <w:rsid w:val="4A4424D7"/>
    <w:rsid w:val="4A655FBC"/>
    <w:rsid w:val="4AB82D0F"/>
    <w:rsid w:val="4AEB7664"/>
    <w:rsid w:val="4AFD7C19"/>
    <w:rsid w:val="4B0567D1"/>
    <w:rsid w:val="4B236AAE"/>
    <w:rsid w:val="4B3D3C19"/>
    <w:rsid w:val="4B707271"/>
    <w:rsid w:val="4B9739F7"/>
    <w:rsid w:val="4BC6087B"/>
    <w:rsid w:val="4BEE2503"/>
    <w:rsid w:val="4C245A30"/>
    <w:rsid w:val="4CB56F18"/>
    <w:rsid w:val="4CB6685F"/>
    <w:rsid w:val="4CC367FE"/>
    <w:rsid w:val="4D077F3C"/>
    <w:rsid w:val="4D123355"/>
    <w:rsid w:val="4D161798"/>
    <w:rsid w:val="4D2A3B31"/>
    <w:rsid w:val="4D312C52"/>
    <w:rsid w:val="4D7D140D"/>
    <w:rsid w:val="4D8A33BD"/>
    <w:rsid w:val="4D905305"/>
    <w:rsid w:val="4D964A72"/>
    <w:rsid w:val="4D9C1254"/>
    <w:rsid w:val="4E793892"/>
    <w:rsid w:val="4E800872"/>
    <w:rsid w:val="4EC569ED"/>
    <w:rsid w:val="4ED50EA1"/>
    <w:rsid w:val="4EEC050C"/>
    <w:rsid w:val="4F104EC3"/>
    <w:rsid w:val="4F47354A"/>
    <w:rsid w:val="4F675ED1"/>
    <w:rsid w:val="4F7A3E56"/>
    <w:rsid w:val="4F911C54"/>
    <w:rsid w:val="4FE625E0"/>
    <w:rsid w:val="5021480F"/>
    <w:rsid w:val="50962ECB"/>
    <w:rsid w:val="50A42E38"/>
    <w:rsid w:val="50A4577F"/>
    <w:rsid w:val="50B73D1F"/>
    <w:rsid w:val="50BD5BC9"/>
    <w:rsid w:val="50C11EEE"/>
    <w:rsid w:val="50D43A3A"/>
    <w:rsid w:val="50E97CFC"/>
    <w:rsid w:val="50FA4028"/>
    <w:rsid w:val="510D65B7"/>
    <w:rsid w:val="511157AB"/>
    <w:rsid w:val="513162E1"/>
    <w:rsid w:val="5142540C"/>
    <w:rsid w:val="515D4367"/>
    <w:rsid w:val="516C3C72"/>
    <w:rsid w:val="518832C8"/>
    <w:rsid w:val="51A0432A"/>
    <w:rsid w:val="51A86090"/>
    <w:rsid w:val="51B7396D"/>
    <w:rsid w:val="51C25640"/>
    <w:rsid w:val="51DA6E2E"/>
    <w:rsid w:val="522E4CC3"/>
    <w:rsid w:val="5244713B"/>
    <w:rsid w:val="524B1B4A"/>
    <w:rsid w:val="52615633"/>
    <w:rsid w:val="52750905"/>
    <w:rsid w:val="52977FD4"/>
    <w:rsid w:val="52A25790"/>
    <w:rsid w:val="52A96B6F"/>
    <w:rsid w:val="52B45975"/>
    <w:rsid w:val="52BC623B"/>
    <w:rsid w:val="52D94AA4"/>
    <w:rsid w:val="52EA3A62"/>
    <w:rsid w:val="52F50BB8"/>
    <w:rsid w:val="53097272"/>
    <w:rsid w:val="53163E96"/>
    <w:rsid w:val="53544462"/>
    <w:rsid w:val="5382152B"/>
    <w:rsid w:val="5397158E"/>
    <w:rsid w:val="53F07CE6"/>
    <w:rsid w:val="54013861"/>
    <w:rsid w:val="54487265"/>
    <w:rsid w:val="544D6070"/>
    <w:rsid w:val="54605E1E"/>
    <w:rsid w:val="547C74AB"/>
    <w:rsid w:val="54B3506A"/>
    <w:rsid w:val="54CA0D16"/>
    <w:rsid w:val="54DD4057"/>
    <w:rsid w:val="54E7490F"/>
    <w:rsid w:val="550764A4"/>
    <w:rsid w:val="550B2BF6"/>
    <w:rsid w:val="551B1F3B"/>
    <w:rsid w:val="55214EB5"/>
    <w:rsid w:val="55364EFD"/>
    <w:rsid w:val="555D4828"/>
    <w:rsid w:val="557A4C8B"/>
    <w:rsid w:val="558931E1"/>
    <w:rsid w:val="55923347"/>
    <w:rsid w:val="55925180"/>
    <w:rsid w:val="55983B1B"/>
    <w:rsid w:val="55A8376B"/>
    <w:rsid w:val="55DC29B6"/>
    <w:rsid w:val="55DD4241"/>
    <w:rsid w:val="56504935"/>
    <w:rsid w:val="566B6D1E"/>
    <w:rsid w:val="57032A2C"/>
    <w:rsid w:val="570F5219"/>
    <w:rsid w:val="575D12B5"/>
    <w:rsid w:val="57610A87"/>
    <w:rsid w:val="577B1140"/>
    <w:rsid w:val="577B7F21"/>
    <w:rsid w:val="577F181B"/>
    <w:rsid w:val="57921984"/>
    <w:rsid w:val="57947A7F"/>
    <w:rsid w:val="579737F0"/>
    <w:rsid w:val="579B67FA"/>
    <w:rsid w:val="57AB7B30"/>
    <w:rsid w:val="57AF5251"/>
    <w:rsid w:val="57B26373"/>
    <w:rsid w:val="57B63F04"/>
    <w:rsid w:val="57BD2906"/>
    <w:rsid w:val="57CD20C2"/>
    <w:rsid w:val="57D675AB"/>
    <w:rsid w:val="57D95FDD"/>
    <w:rsid w:val="57E511E5"/>
    <w:rsid w:val="58085FC4"/>
    <w:rsid w:val="582B2191"/>
    <w:rsid w:val="58917D2F"/>
    <w:rsid w:val="5894085C"/>
    <w:rsid w:val="58AE4F0C"/>
    <w:rsid w:val="58B85899"/>
    <w:rsid w:val="58E363A9"/>
    <w:rsid w:val="59090D3D"/>
    <w:rsid w:val="59103683"/>
    <w:rsid w:val="5932186C"/>
    <w:rsid w:val="595E1678"/>
    <w:rsid w:val="596A6CE9"/>
    <w:rsid w:val="596D5BD4"/>
    <w:rsid w:val="597E3DD8"/>
    <w:rsid w:val="59BE0DE3"/>
    <w:rsid w:val="59F80043"/>
    <w:rsid w:val="5A09252F"/>
    <w:rsid w:val="5A0B2778"/>
    <w:rsid w:val="5A2A7C7B"/>
    <w:rsid w:val="5A3B2A7A"/>
    <w:rsid w:val="5A3E2560"/>
    <w:rsid w:val="5A5D3B6E"/>
    <w:rsid w:val="5A637A76"/>
    <w:rsid w:val="5A6D33BA"/>
    <w:rsid w:val="5A792B1F"/>
    <w:rsid w:val="5A874767"/>
    <w:rsid w:val="5AAD6F28"/>
    <w:rsid w:val="5AD63A24"/>
    <w:rsid w:val="5AE1122D"/>
    <w:rsid w:val="5B2E1A1D"/>
    <w:rsid w:val="5B843A1C"/>
    <w:rsid w:val="5B873E3F"/>
    <w:rsid w:val="5BCB39E8"/>
    <w:rsid w:val="5C02690E"/>
    <w:rsid w:val="5C196DA7"/>
    <w:rsid w:val="5C2A048C"/>
    <w:rsid w:val="5C2A2760"/>
    <w:rsid w:val="5C3D511E"/>
    <w:rsid w:val="5C6E4D42"/>
    <w:rsid w:val="5C80234E"/>
    <w:rsid w:val="5C8A680C"/>
    <w:rsid w:val="5D0C4701"/>
    <w:rsid w:val="5D0F0395"/>
    <w:rsid w:val="5D221076"/>
    <w:rsid w:val="5D397964"/>
    <w:rsid w:val="5D5A391C"/>
    <w:rsid w:val="5D5F10C0"/>
    <w:rsid w:val="5D755C5D"/>
    <w:rsid w:val="5D891B7B"/>
    <w:rsid w:val="5DAD38EE"/>
    <w:rsid w:val="5DE1497B"/>
    <w:rsid w:val="5E006862"/>
    <w:rsid w:val="5E0207B9"/>
    <w:rsid w:val="5E1834A1"/>
    <w:rsid w:val="5E261785"/>
    <w:rsid w:val="5E2E4308"/>
    <w:rsid w:val="5E4A7017"/>
    <w:rsid w:val="5E550596"/>
    <w:rsid w:val="5E552BBA"/>
    <w:rsid w:val="5E611C10"/>
    <w:rsid w:val="5EFC7377"/>
    <w:rsid w:val="5F06174D"/>
    <w:rsid w:val="5F3A3602"/>
    <w:rsid w:val="5F6277C6"/>
    <w:rsid w:val="5F6D0B1D"/>
    <w:rsid w:val="5F8D0B82"/>
    <w:rsid w:val="5FCC5339"/>
    <w:rsid w:val="5FE34A5B"/>
    <w:rsid w:val="5FFE1E36"/>
    <w:rsid w:val="60232584"/>
    <w:rsid w:val="60251BBC"/>
    <w:rsid w:val="606B311B"/>
    <w:rsid w:val="60710552"/>
    <w:rsid w:val="607330CE"/>
    <w:rsid w:val="60825176"/>
    <w:rsid w:val="609F2AC4"/>
    <w:rsid w:val="60B62814"/>
    <w:rsid w:val="60FA2EE8"/>
    <w:rsid w:val="61054A27"/>
    <w:rsid w:val="610A52BC"/>
    <w:rsid w:val="611D2366"/>
    <w:rsid w:val="61421856"/>
    <w:rsid w:val="615227C4"/>
    <w:rsid w:val="61654E3F"/>
    <w:rsid w:val="61677FB2"/>
    <w:rsid w:val="6182292A"/>
    <w:rsid w:val="619F7F92"/>
    <w:rsid w:val="61D902B3"/>
    <w:rsid w:val="61F94C26"/>
    <w:rsid w:val="62000E56"/>
    <w:rsid w:val="624F3E49"/>
    <w:rsid w:val="62632286"/>
    <w:rsid w:val="627A1FEB"/>
    <w:rsid w:val="62885958"/>
    <w:rsid w:val="6292105F"/>
    <w:rsid w:val="62F40B65"/>
    <w:rsid w:val="62FC2CFE"/>
    <w:rsid w:val="63024505"/>
    <w:rsid w:val="63484D3C"/>
    <w:rsid w:val="63560FEA"/>
    <w:rsid w:val="635B1DB5"/>
    <w:rsid w:val="63657FF5"/>
    <w:rsid w:val="63711FED"/>
    <w:rsid w:val="63880DDC"/>
    <w:rsid w:val="638D750D"/>
    <w:rsid w:val="63AC6CC0"/>
    <w:rsid w:val="63C17E4E"/>
    <w:rsid w:val="63DA0F0F"/>
    <w:rsid w:val="63F1703A"/>
    <w:rsid w:val="64055776"/>
    <w:rsid w:val="64240056"/>
    <w:rsid w:val="643E143A"/>
    <w:rsid w:val="648B6EEF"/>
    <w:rsid w:val="64C158BF"/>
    <w:rsid w:val="64CE2EAA"/>
    <w:rsid w:val="64F55A2C"/>
    <w:rsid w:val="65363F24"/>
    <w:rsid w:val="653C3090"/>
    <w:rsid w:val="65404DA2"/>
    <w:rsid w:val="656E7BE6"/>
    <w:rsid w:val="657B5D06"/>
    <w:rsid w:val="65854376"/>
    <w:rsid w:val="658767BE"/>
    <w:rsid w:val="65892531"/>
    <w:rsid w:val="66195831"/>
    <w:rsid w:val="662E75B1"/>
    <w:rsid w:val="66342C2E"/>
    <w:rsid w:val="663E784C"/>
    <w:rsid w:val="668B6A45"/>
    <w:rsid w:val="66901AD8"/>
    <w:rsid w:val="66C8504F"/>
    <w:rsid w:val="672F3F24"/>
    <w:rsid w:val="673E055F"/>
    <w:rsid w:val="67551CE3"/>
    <w:rsid w:val="679817AB"/>
    <w:rsid w:val="67A22552"/>
    <w:rsid w:val="67B22DCC"/>
    <w:rsid w:val="67BE71AA"/>
    <w:rsid w:val="67CE48E7"/>
    <w:rsid w:val="67D90273"/>
    <w:rsid w:val="67DE5875"/>
    <w:rsid w:val="67E55852"/>
    <w:rsid w:val="67EB1AB4"/>
    <w:rsid w:val="67FA1285"/>
    <w:rsid w:val="68551F4F"/>
    <w:rsid w:val="687C10C9"/>
    <w:rsid w:val="68840C16"/>
    <w:rsid w:val="68876EFB"/>
    <w:rsid w:val="68884654"/>
    <w:rsid w:val="689F444F"/>
    <w:rsid w:val="68B96DBB"/>
    <w:rsid w:val="68CA2805"/>
    <w:rsid w:val="68E22182"/>
    <w:rsid w:val="68E937A3"/>
    <w:rsid w:val="68F3246E"/>
    <w:rsid w:val="690F51B7"/>
    <w:rsid w:val="693E15D3"/>
    <w:rsid w:val="69627681"/>
    <w:rsid w:val="6977531D"/>
    <w:rsid w:val="699D6C67"/>
    <w:rsid w:val="69BE0825"/>
    <w:rsid w:val="69CC2BFF"/>
    <w:rsid w:val="69FD55B8"/>
    <w:rsid w:val="6A0B1C62"/>
    <w:rsid w:val="6A1A02B8"/>
    <w:rsid w:val="6A2406C8"/>
    <w:rsid w:val="6A3069F7"/>
    <w:rsid w:val="6AA264DC"/>
    <w:rsid w:val="6ADE0BD1"/>
    <w:rsid w:val="6AE96859"/>
    <w:rsid w:val="6AFF5CC5"/>
    <w:rsid w:val="6B147746"/>
    <w:rsid w:val="6B24787C"/>
    <w:rsid w:val="6B573233"/>
    <w:rsid w:val="6B5B6274"/>
    <w:rsid w:val="6B6535FA"/>
    <w:rsid w:val="6B8359E9"/>
    <w:rsid w:val="6B935D53"/>
    <w:rsid w:val="6BBC62C7"/>
    <w:rsid w:val="6C196F71"/>
    <w:rsid w:val="6C226FCB"/>
    <w:rsid w:val="6C31226F"/>
    <w:rsid w:val="6C552F0B"/>
    <w:rsid w:val="6C6B7394"/>
    <w:rsid w:val="6C8C67B7"/>
    <w:rsid w:val="6C9D744C"/>
    <w:rsid w:val="6CAF5739"/>
    <w:rsid w:val="6CBA18DE"/>
    <w:rsid w:val="6CD24E7A"/>
    <w:rsid w:val="6D167928"/>
    <w:rsid w:val="6D26299B"/>
    <w:rsid w:val="6D4772EC"/>
    <w:rsid w:val="6D9078AF"/>
    <w:rsid w:val="6DAA3FEF"/>
    <w:rsid w:val="6DC0172B"/>
    <w:rsid w:val="6DCB690C"/>
    <w:rsid w:val="6DD41A5B"/>
    <w:rsid w:val="6DF43C2E"/>
    <w:rsid w:val="6DF51CA3"/>
    <w:rsid w:val="6E8335BD"/>
    <w:rsid w:val="6E873A42"/>
    <w:rsid w:val="6E8E12EF"/>
    <w:rsid w:val="6E8F6B1E"/>
    <w:rsid w:val="6E972936"/>
    <w:rsid w:val="6ED446C5"/>
    <w:rsid w:val="6EE87111"/>
    <w:rsid w:val="6F2A7D94"/>
    <w:rsid w:val="6F3620D6"/>
    <w:rsid w:val="6F8331F1"/>
    <w:rsid w:val="6FAE1A09"/>
    <w:rsid w:val="6FD75BF8"/>
    <w:rsid w:val="707723D0"/>
    <w:rsid w:val="70912956"/>
    <w:rsid w:val="70CB44E6"/>
    <w:rsid w:val="70DE0A73"/>
    <w:rsid w:val="70DE2439"/>
    <w:rsid w:val="70E016E4"/>
    <w:rsid w:val="70F5661B"/>
    <w:rsid w:val="71360107"/>
    <w:rsid w:val="713B688E"/>
    <w:rsid w:val="71A128C0"/>
    <w:rsid w:val="71D43752"/>
    <w:rsid w:val="71F1796A"/>
    <w:rsid w:val="72154626"/>
    <w:rsid w:val="72262B5D"/>
    <w:rsid w:val="72283FF7"/>
    <w:rsid w:val="722E7212"/>
    <w:rsid w:val="723A0474"/>
    <w:rsid w:val="723F63AD"/>
    <w:rsid w:val="725923E4"/>
    <w:rsid w:val="72864BF7"/>
    <w:rsid w:val="729023FC"/>
    <w:rsid w:val="72A44BC2"/>
    <w:rsid w:val="72D57472"/>
    <w:rsid w:val="72D6715D"/>
    <w:rsid w:val="73350970"/>
    <w:rsid w:val="73590D77"/>
    <w:rsid w:val="7367125C"/>
    <w:rsid w:val="73C0646E"/>
    <w:rsid w:val="742222F5"/>
    <w:rsid w:val="74454183"/>
    <w:rsid w:val="74476126"/>
    <w:rsid w:val="74706664"/>
    <w:rsid w:val="747F3682"/>
    <w:rsid w:val="749C4185"/>
    <w:rsid w:val="74AA048A"/>
    <w:rsid w:val="74F015A7"/>
    <w:rsid w:val="75067759"/>
    <w:rsid w:val="752E6DCD"/>
    <w:rsid w:val="7551380D"/>
    <w:rsid w:val="75600BE5"/>
    <w:rsid w:val="7564475C"/>
    <w:rsid w:val="7583797F"/>
    <w:rsid w:val="75D20F1D"/>
    <w:rsid w:val="75DA2C18"/>
    <w:rsid w:val="75F54412"/>
    <w:rsid w:val="761D08E0"/>
    <w:rsid w:val="765D347C"/>
    <w:rsid w:val="76826699"/>
    <w:rsid w:val="76B542E2"/>
    <w:rsid w:val="76C87133"/>
    <w:rsid w:val="76CD08D5"/>
    <w:rsid w:val="76D335CF"/>
    <w:rsid w:val="76D80293"/>
    <w:rsid w:val="76DB4B92"/>
    <w:rsid w:val="77052AA4"/>
    <w:rsid w:val="770A01B8"/>
    <w:rsid w:val="77136511"/>
    <w:rsid w:val="77340A39"/>
    <w:rsid w:val="77351FD0"/>
    <w:rsid w:val="77472422"/>
    <w:rsid w:val="777F31F2"/>
    <w:rsid w:val="77D1700D"/>
    <w:rsid w:val="77EC04CC"/>
    <w:rsid w:val="780B5268"/>
    <w:rsid w:val="78775729"/>
    <w:rsid w:val="78A42DB0"/>
    <w:rsid w:val="78A656AB"/>
    <w:rsid w:val="78B2245C"/>
    <w:rsid w:val="78E172CC"/>
    <w:rsid w:val="78EA1D1F"/>
    <w:rsid w:val="78EF259F"/>
    <w:rsid w:val="7904172F"/>
    <w:rsid w:val="79052133"/>
    <w:rsid w:val="790C526F"/>
    <w:rsid w:val="790F7E27"/>
    <w:rsid w:val="792A231A"/>
    <w:rsid w:val="792C492B"/>
    <w:rsid w:val="79316829"/>
    <w:rsid w:val="79570BE0"/>
    <w:rsid w:val="797E66A9"/>
    <w:rsid w:val="79A97383"/>
    <w:rsid w:val="79B7335B"/>
    <w:rsid w:val="79E27E8B"/>
    <w:rsid w:val="79F850CE"/>
    <w:rsid w:val="79FD443C"/>
    <w:rsid w:val="7A1D1975"/>
    <w:rsid w:val="7A3E5150"/>
    <w:rsid w:val="7A4670D6"/>
    <w:rsid w:val="7A534B63"/>
    <w:rsid w:val="7A615382"/>
    <w:rsid w:val="7A67303B"/>
    <w:rsid w:val="7A9121A0"/>
    <w:rsid w:val="7AAB1D04"/>
    <w:rsid w:val="7ABA4368"/>
    <w:rsid w:val="7AD05746"/>
    <w:rsid w:val="7B002BB2"/>
    <w:rsid w:val="7B257FFD"/>
    <w:rsid w:val="7B343476"/>
    <w:rsid w:val="7B5A2978"/>
    <w:rsid w:val="7B5A7E4C"/>
    <w:rsid w:val="7B667AF9"/>
    <w:rsid w:val="7B7468F8"/>
    <w:rsid w:val="7BAD3149"/>
    <w:rsid w:val="7BEB4301"/>
    <w:rsid w:val="7BEE0103"/>
    <w:rsid w:val="7C0A0FE4"/>
    <w:rsid w:val="7C254906"/>
    <w:rsid w:val="7C590818"/>
    <w:rsid w:val="7C7C10F6"/>
    <w:rsid w:val="7C853BEA"/>
    <w:rsid w:val="7C881368"/>
    <w:rsid w:val="7CAF663E"/>
    <w:rsid w:val="7CE27788"/>
    <w:rsid w:val="7D0C32F1"/>
    <w:rsid w:val="7D0F408D"/>
    <w:rsid w:val="7D491C6C"/>
    <w:rsid w:val="7D4A24F6"/>
    <w:rsid w:val="7D5429C0"/>
    <w:rsid w:val="7D6E6D43"/>
    <w:rsid w:val="7D9677FD"/>
    <w:rsid w:val="7DB57A34"/>
    <w:rsid w:val="7DE60973"/>
    <w:rsid w:val="7DEF0916"/>
    <w:rsid w:val="7E0F5F1D"/>
    <w:rsid w:val="7E1E5218"/>
    <w:rsid w:val="7E9A4E1F"/>
    <w:rsid w:val="7EA7723A"/>
    <w:rsid w:val="7EF56FBB"/>
    <w:rsid w:val="7F0768EB"/>
    <w:rsid w:val="7F143BEC"/>
    <w:rsid w:val="7F715AF2"/>
    <w:rsid w:val="7F886E69"/>
    <w:rsid w:val="7FCE772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7"/>
    <w:qFormat/>
    <w:uiPriority w:val="0"/>
    <w:rPr>
      <w:rFonts w:ascii="宋体" w:hAnsi="Courier New" w:cs="Arial"/>
      <w:snapToGrid w:val="0"/>
      <w:szCs w:val="21"/>
    </w:rPr>
  </w:style>
  <w:style w:type="paragraph" w:styleId="33">
    <w:name w:val="Date"/>
    <w:basedOn w:val="1"/>
    <w:next w:val="1"/>
    <w:link w:val="183"/>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next w:val="50"/>
    <w:link w:val="321"/>
    <w:qFormat/>
    <w:uiPriority w:val="0"/>
    <w:pPr>
      <w:ind w:firstLine="420"/>
    </w:pPr>
    <w:rPr>
      <w:rFonts w:hAnsi="Calibri"/>
      <w:szCs w:val="20"/>
    </w:rPr>
  </w:style>
  <w:style w:type="paragraph" w:styleId="61">
    <w:name w:val="Body Text First Indent 2"/>
    <w:basedOn w:val="24"/>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paragraph" w:customStyle="1" w:styleId="80">
    <w:name w:val="Char"/>
    <w:basedOn w:val="1"/>
    <w:qFormat/>
    <w:uiPriority w:val="0"/>
    <w:rPr>
      <w:rFonts w:ascii="仿宋_GB2312" w:eastAsia="仿宋_GB2312"/>
      <w:b/>
      <w:sz w:val="32"/>
      <w:szCs w:val="32"/>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标题 4 Char"/>
    <w:qFormat/>
    <w:uiPriority w:val="0"/>
    <w:rPr>
      <w:rFonts w:ascii="Arial" w:hAnsi="Arial" w:eastAsia="黑体"/>
      <w:b/>
      <w:kern w:val="2"/>
      <w:sz w:val="28"/>
    </w:rPr>
  </w:style>
  <w:style w:type="character" w:customStyle="1" w:styleId="84">
    <w:name w:val="标题 1 字符1"/>
    <w:link w:val="2"/>
    <w:qFormat/>
    <w:uiPriority w:val="9"/>
    <w:rPr>
      <w:b/>
      <w:bCs/>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3"/>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basedOn w:val="69"/>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正文3.8"/>
    <w:basedOn w:val="1"/>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64">
    <w:name w:val="WPSOffice手动目录 1"/>
    <w:qFormat/>
    <w:uiPriority w:val="0"/>
    <w:rPr>
      <w:rFonts w:ascii="Times New Roman" w:hAnsi="Times New Roman" w:eastAsia="宋体" w:cs="Times New Roman"/>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character" w:customStyle="1" w:styleId="966">
    <w:name w:val="未处理的提及2"/>
    <w:basedOn w:val="69"/>
    <w:semiHidden/>
    <w:unhideWhenUsed/>
    <w:qFormat/>
    <w:uiPriority w:val="99"/>
    <w:rPr>
      <w:color w:val="605E5C"/>
      <w:shd w:val="clear" w:color="auto" w:fill="E1DFDD"/>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未处理的提及3"/>
    <w:basedOn w:val="69"/>
    <w:semiHidden/>
    <w:unhideWhenUsed/>
    <w:qFormat/>
    <w:uiPriority w:val="99"/>
    <w:rPr>
      <w:color w:val="605E5C"/>
      <w:shd w:val="clear" w:color="auto" w:fill="E1DFDD"/>
    </w:rPr>
  </w:style>
  <w:style w:type="paragraph" w:customStyle="1" w:styleId="969">
    <w:name w:val="d表格内容"/>
    <w:basedOn w:val="1"/>
    <w:qFormat/>
    <w:uiPriority w:val="0"/>
    <w:pPr>
      <w:spacing w:line="360" w:lineRule="exact"/>
    </w:pPr>
    <w:rPr>
      <w:rFonts w:ascii="仿宋" w:hAnsi="仿宋" w:eastAsia="仿宋" w:cs="仿宋"/>
      <w:szCs w:val="21"/>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21B88-4624-41D5-99C3-5FB3A62CEB5C}">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42433</Words>
  <Characters>44763</Characters>
  <Lines>350</Lines>
  <Paragraphs>98</Paragraphs>
  <TotalTime>4</TotalTime>
  <ScaleCrop>false</ScaleCrop>
  <LinksUpToDate>false</LinksUpToDate>
  <CharactersWithSpaces>46938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2022-06-29T09:28:00Z</dcterms:created>
  <dc:creator>玥</dc:creator>
  <cp:lastModifiedBy>-</cp:lastModifiedBy>
  <cp:lastPrinted>2022-02-11T08:53:00Z</cp:lastPrinted>
  <dcterms:modified xsi:type="dcterms:W3CDTF">2022-07-26T05:02:35Z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1981056896DF44B0BEA6811634F1C60A</vt:lpwstr>
  </property>
</Properties>
</file>