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关于重大林业有害生物监测及防治调查采购的申请</w:t>
      </w:r>
    </w:p>
    <w:p>
      <w:pPr>
        <w:ind w:firstLine="420" w:firstLineChars="200"/>
        <w:rPr>
          <w:rFonts w:hint="eastAsia"/>
          <w:lang w:val="en-US" w:eastAsia="zh-CN"/>
        </w:rPr>
      </w:pPr>
    </w:p>
    <w:p>
      <w:pPr>
        <w:rPr>
          <w:rFonts w:hint="default"/>
          <w:lang w:val="en-US" w:eastAsia="zh-CN"/>
        </w:rPr>
      </w:pPr>
    </w:p>
    <w:p>
      <w:pPr>
        <w:ind w:firstLine="420" w:firstLineChars="200"/>
        <w:rPr>
          <w:rFonts w:hint="eastAsia"/>
          <w:lang w:val="en-US" w:eastAsia="zh-CN"/>
        </w:rPr>
      </w:pPr>
      <w:r>
        <w:rPr>
          <w:rFonts w:hint="eastAsia"/>
          <w:lang w:val="en-US" w:eastAsia="zh-CN"/>
        </w:rPr>
        <w:t>为切实做好岳阳铁山水库等重点区域重大林业有害生物监测防控关键技术研究的相关事宜，项目急需开展重大林业有害生物监测及防治调查，但是考虑到我所参与人员较少，专业程度不够，拟将防治相关事宜承包给专业公司，预估价格为：柒万陆仟元整（76000元）。</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一、技术要求</w:t>
      </w:r>
    </w:p>
    <w:p>
      <w:pPr>
        <w:ind w:firstLine="420" w:firstLineChars="200"/>
        <w:rPr>
          <w:rFonts w:hint="eastAsia"/>
          <w:lang w:val="en-US" w:eastAsia="zh-CN"/>
        </w:rPr>
      </w:pPr>
      <w:r>
        <w:rPr>
          <w:rFonts w:hint="eastAsia"/>
          <w:lang w:val="en-US" w:eastAsia="zh-CN"/>
        </w:rPr>
        <w:t>1）开展岳阳市铁山水库、石牛寨森林公园、五尖山</w:t>
      </w:r>
      <w:bookmarkStart w:id="0" w:name="_GoBack"/>
      <w:bookmarkEnd w:id="0"/>
      <w:r>
        <w:rPr>
          <w:rFonts w:hint="default"/>
          <w:lang w:val="en-US" w:eastAsia="zh-CN"/>
        </w:rPr>
        <w:t>森林公园</w:t>
      </w:r>
      <w:r>
        <w:rPr>
          <w:rFonts w:hint="eastAsia"/>
          <w:lang w:val="en-US" w:eastAsia="zh-CN"/>
        </w:rPr>
        <w:t>3个项目监测点的实时调查；</w:t>
      </w:r>
    </w:p>
    <w:p>
      <w:pPr>
        <w:ind w:firstLine="420" w:firstLineChars="200"/>
        <w:rPr>
          <w:rFonts w:hint="eastAsia"/>
          <w:lang w:val="en-US" w:eastAsia="zh-CN"/>
        </w:rPr>
      </w:pPr>
      <w:r>
        <w:rPr>
          <w:rFonts w:hint="eastAsia"/>
          <w:lang w:val="en-US" w:eastAsia="zh-CN"/>
        </w:rPr>
        <w:t>2）在上述区域开展松材线虫病防控效果调查及林地生物多样性调查共计20次；</w:t>
      </w:r>
    </w:p>
    <w:p>
      <w:pPr>
        <w:ind w:firstLine="420" w:firstLineChars="200"/>
        <w:rPr>
          <w:rFonts w:hint="eastAsia"/>
          <w:lang w:val="en-US" w:eastAsia="zh-CN"/>
        </w:rPr>
      </w:pPr>
      <w:r>
        <w:rPr>
          <w:rFonts w:hint="eastAsia"/>
          <w:lang w:val="en-US" w:eastAsia="zh-CN"/>
        </w:rPr>
        <w:t>3）购置美国白蛾引诱剂、松褐天牛诱捕器、检测材料等；</w:t>
      </w:r>
    </w:p>
    <w:p>
      <w:pPr>
        <w:ind w:firstLine="420" w:firstLineChars="200"/>
        <w:rPr>
          <w:rFonts w:hint="eastAsia"/>
          <w:lang w:val="en-US" w:eastAsia="zh-CN"/>
        </w:rPr>
      </w:pPr>
      <w:r>
        <w:rPr>
          <w:rFonts w:hint="eastAsia"/>
          <w:lang w:val="en-US" w:eastAsia="zh-CN"/>
        </w:rPr>
        <w:t>4）收集所有监测和调查数据。</w:t>
      </w:r>
    </w:p>
    <w:p>
      <w:pPr>
        <w:rPr>
          <w:rFonts w:hint="eastAsia"/>
          <w:lang w:val="en-US" w:eastAsia="zh-CN"/>
        </w:rPr>
      </w:pPr>
    </w:p>
    <w:p>
      <w:pPr>
        <w:rPr>
          <w:rFonts w:hint="default"/>
          <w:lang w:val="en-US" w:eastAsia="zh-CN"/>
        </w:rPr>
      </w:pPr>
      <w:r>
        <w:rPr>
          <w:rFonts w:hint="eastAsia"/>
          <w:lang w:val="en-US" w:eastAsia="zh-CN"/>
        </w:rPr>
        <w:t>二、商务要求</w:t>
      </w:r>
    </w:p>
    <w:p>
      <w:pPr>
        <w:ind w:firstLine="420" w:firstLineChars="200"/>
        <w:rPr>
          <w:rFonts w:hint="eastAsia"/>
          <w:lang w:val="en-US" w:eastAsia="zh-CN"/>
        </w:rPr>
      </w:pPr>
      <w:r>
        <w:rPr>
          <w:rFonts w:hint="eastAsia"/>
          <w:lang w:val="en-US" w:eastAsia="zh-CN"/>
        </w:rPr>
        <w:t>1）营业执照具有林业有害生物防治服务范围</w:t>
      </w:r>
    </w:p>
    <w:p>
      <w:pPr>
        <w:ind w:firstLine="420" w:firstLineChars="200"/>
        <w:rPr>
          <w:rFonts w:hint="eastAsia"/>
          <w:lang w:val="en-US" w:eastAsia="zh-CN"/>
        </w:rPr>
      </w:pPr>
      <w:r>
        <w:rPr>
          <w:rFonts w:hint="eastAsia"/>
          <w:lang w:val="en-US" w:eastAsia="zh-CN"/>
        </w:rPr>
        <w:t>2）供应商具有林业有害生物防治监理资质；</w:t>
      </w:r>
    </w:p>
    <w:p>
      <w:pPr>
        <w:ind w:firstLine="420" w:firstLineChars="200"/>
        <w:rPr>
          <w:rFonts w:hint="eastAsia"/>
          <w:lang w:val="en-US" w:eastAsia="zh-CN"/>
        </w:rPr>
      </w:pPr>
      <w:r>
        <w:rPr>
          <w:rFonts w:hint="eastAsia"/>
          <w:lang w:val="en-US" w:eastAsia="zh-CN"/>
        </w:rPr>
        <w:t>3）具有相关防治验收相关业绩。</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三、预算</w:t>
      </w: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593"/>
        <w:gridCol w:w="1392"/>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6" w:type="dxa"/>
          </w:tcPr>
          <w:p>
            <w:pPr>
              <w:numPr>
                <w:ilvl w:val="0"/>
                <w:numId w:val="0"/>
              </w:numPr>
              <w:rPr>
                <w:rFonts w:hint="default"/>
                <w:vertAlign w:val="baseline"/>
                <w:lang w:val="en-US" w:eastAsia="zh-CN"/>
              </w:rPr>
            </w:pPr>
            <w:r>
              <w:rPr>
                <w:rFonts w:hint="eastAsia"/>
                <w:vertAlign w:val="baseline"/>
                <w:lang w:val="en-US" w:eastAsia="zh-CN"/>
              </w:rPr>
              <w:t>内容</w:t>
            </w:r>
          </w:p>
        </w:tc>
        <w:tc>
          <w:tcPr>
            <w:tcW w:w="1593" w:type="dxa"/>
          </w:tcPr>
          <w:p>
            <w:pPr>
              <w:numPr>
                <w:ilvl w:val="0"/>
                <w:numId w:val="0"/>
              </w:numPr>
              <w:rPr>
                <w:rFonts w:hint="default"/>
                <w:vertAlign w:val="baseline"/>
                <w:lang w:val="en-US" w:eastAsia="zh-CN"/>
              </w:rPr>
            </w:pPr>
            <w:r>
              <w:rPr>
                <w:rFonts w:hint="eastAsia"/>
                <w:vertAlign w:val="baseline"/>
                <w:lang w:val="en-US" w:eastAsia="zh-CN"/>
              </w:rPr>
              <w:t>单价</w:t>
            </w:r>
          </w:p>
        </w:tc>
        <w:tc>
          <w:tcPr>
            <w:tcW w:w="1392" w:type="dxa"/>
          </w:tcPr>
          <w:p>
            <w:pPr>
              <w:numPr>
                <w:ilvl w:val="0"/>
                <w:numId w:val="0"/>
              </w:numPr>
              <w:rPr>
                <w:rFonts w:hint="default"/>
                <w:vertAlign w:val="baseline"/>
                <w:lang w:val="en-US" w:eastAsia="zh-CN"/>
              </w:rPr>
            </w:pPr>
            <w:r>
              <w:rPr>
                <w:rFonts w:hint="eastAsia"/>
                <w:vertAlign w:val="baseline"/>
                <w:lang w:val="en-US" w:eastAsia="zh-CN"/>
              </w:rPr>
              <w:t>数量</w:t>
            </w:r>
          </w:p>
        </w:tc>
        <w:tc>
          <w:tcPr>
            <w:tcW w:w="1704" w:type="dxa"/>
          </w:tcPr>
          <w:p>
            <w:pPr>
              <w:numPr>
                <w:ilvl w:val="0"/>
                <w:numId w:val="0"/>
              </w:numPr>
              <w:rPr>
                <w:rFonts w:hint="eastAsia"/>
                <w:vertAlign w:val="baseline"/>
                <w:lang w:val="en-US" w:eastAsia="zh-CN"/>
              </w:rPr>
            </w:pPr>
            <w:r>
              <w:rPr>
                <w:rFonts w:hint="eastAsia"/>
                <w:vertAlign w:val="baseline"/>
                <w:lang w:val="en-US" w:eastAsia="zh-CN"/>
              </w:rPr>
              <w:t>总价（元）</w:t>
            </w:r>
          </w:p>
        </w:tc>
        <w:tc>
          <w:tcPr>
            <w:tcW w:w="1704" w:type="dxa"/>
          </w:tcPr>
          <w:p>
            <w:pPr>
              <w:numPr>
                <w:ilvl w:val="0"/>
                <w:numId w:val="0"/>
              </w:numP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numPr>
                <w:ilvl w:val="0"/>
                <w:numId w:val="0"/>
              </w:numPr>
              <w:rPr>
                <w:rFonts w:hint="default"/>
                <w:vertAlign w:val="baseline"/>
                <w:lang w:val="en-US" w:eastAsia="zh-CN"/>
              </w:rPr>
            </w:pPr>
            <w:r>
              <w:rPr>
                <w:rFonts w:hint="eastAsia"/>
                <w:vertAlign w:val="baseline"/>
                <w:lang w:val="en-US" w:eastAsia="zh-CN"/>
              </w:rPr>
              <w:t>监测调查</w:t>
            </w:r>
          </w:p>
        </w:tc>
        <w:tc>
          <w:tcPr>
            <w:tcW w:w="1593" w:type="dxa"/>
          </w:tcPr>
          <w:p>
            <w:pPr>
              <w:numPr>
                <w:ilvl w:val="0"/>
                <w:numId w:val="0"/>
              </w:numPr>
              <w:rPr>
                <w:rFonts w:hint="default"/>
                <w:vertAlign w:val="baseline"/>
                <w:lang w:val="en-US" w:eastAsia="zh-CN"/>
              </w:rPr>
            </w:pPr>
            <w:r>
              <w:rPr>
                <w:rFonts w:hint="eastAsia"/>
                <w:vertAlign w:val="baseline"/>
                <w:lang w:val="en-US" w:eastAsia="zh-CN"/>
              </w:rPr>
              <w:t>0.3万元/点</w:t>
            </w:r>
          </w:p>
        </w:tc>
        <w:tc>
          <w:tcPr>
            <w:tcW w:w="1392" w:type="dxa"/>
          </w:tcPr>
          <w:p>
            <w:pPr>
              <w:numPr>
                <w:ilvl w:val="0"/>
                <w:numId w:val="0"/>
              </w:numPr>
              <w:rPr>
                <w:rFonts w:hint="default"/>
                <w:vertAlign w:val="baseline"/>
                <w:lang w:val="en-US" w:eastAsia="zh-CN"/>
              </w:rPr>
            </w:pPr>
            <w:r>
              <w:rPr>
                <w:rFonts w:hint="eastAsia"/>
                <w:vertAlign w:val="baseline"/>
                <w:lang w:val="en-US" w:eastAsia="zh-CN"/>
              </w:rPr>
              <w:t>3个点</w:t>
            </w:r>
          </w:p>
        </w:tc>
        <w:tc>
          <w:tcPr>
            <w:tcW w:w="1704" w:type="dxa"/>
            <w:vAlign w:val="center"/>
          </w:tcPr>
          <w:p>
            <w:pPr>
              <w:numPr>
                <w:ilvl w:val="0"/>
                <w:numId w:val="0"/>
              </w:numPr>
              <w:rPr>
                <w:rFonts w:hint="default"/>
                <w:vertAlign w:val="baseline"/>
                <w:lang w:val="en-US" w:eastAsia="zh-CN"/>
              </w:rPr>
            </w:pPr>
            <w:r>
              <w:rPr>
                <w:rFonts w:hint="eastAsia"/>
                <w:vertAlign w:val="baseline"/>
                <w:lang w:val="en-US" w:eastAsia="zh-CN"/>
              </w:rPr>
              <w:t>9000</w:t>
            </w:r>
          </w:p>
        </w:tc>
        <w:tc>
          <w:tcPr>
            <w:tcW w:w="1704" w:type="dxa"/>
            <w:vMerge w:val="restart"/>
          </w:tcPr>
          <w:p>
            <w:pPr>
              <w:numPr>
                <w:ilvl w:val="0"/>
                <w:numId w:val="0"/>
              </w:numPr>
              <w:rPr>
                <w:rFonts w:hint="eastAsia"/>
                <w:vertAlign w:val="baseline"/>
                <w:lang w:val="en-US" w:eastAsia="zh-CN"/>
              </w:rPr>
            </w:pPr>
            <w:r>
              <w:rPr>
                <w:rFonts w:hint="eastAsia"/>
                <w:vertAlign w:val="baseline"/>
                <w:lang w:val="en-US" w:eastAsia="zh-CN"/>
              </w:rPr>
              <w:t>食宿自理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numPr>
                <w:ilvl w:val="0"/>
                <w:numId w:val="0"/>
              </w:numPr>
              <w:rPr>
                <w:rFonts w:hint="default"/>
                <w:vertAlign w:val="baseline"/>
                <w:lang w:val="en-US" w:eastAsia="zh-CN"/>
              </w:rPr>
            </w:pPr>
            <w:r>
              <w:rPr>
                <w:rFonts w:hint="eastAsia"/>
                <w:vertAlign w:val="baseline"/>
                <w:lang w:val="en-US" w:eastAsia="zh-CN"/>
              </w:rPr>
              <w:t>防效调查</w:t>
            </w:r>
          </w:p>
        </w:tc>
        <w:tc>
          <w:tcPr>
            <w:tcW w:w="1593" w:type="dxa"/>
          </w:tcPr>
          <w:p>
            <w:pPr>
              <w:numPr>
                <w:ilvl w:val="0"/>
                <w:numId w:val="0"/>
              </w:numPr>
              <w:rPr>
                <w:rFonts w:hint="default"/>
                <w:vertAlign w:val="baseline"/>
                <w:lang w:val="en-US" w:eastAsia="zh-CN"/>
              </w:rPr>
            </w:pPr>
            <w:r>
              <w:rPr>
                <w:rFonts w:hint="eastAsia"/>
                <w:vertAlign w:val="baseline"/>
                <w:lang w:val="en-US" w:eastAsia="zh-CN"/>
              </w:rPr>
              <w:t>0.25万元/次</w:t>
            </w:r>
          </w:p>
        </w:tc>
        <w:tc>
          <w:tcPr>
            <w:tcW w:w="1392" w:type="dxa"/>
          </w:tcPr>
          <w:p>
            <w:pPr>
              <w:numPr>
                <w:ilvl w:val="0"/>
                <w:numId w:val="0"/>
              </w:numPr>
              <w:rPr>
                <w:rFonts w:hint="default"/>
                <w:vertAlign w:val="baseline"/>
                <w:lang w:val="en-US" w:eastAsia="zh-CN"/>
              </w:rPr>
            </w:pPr>
            <w:r>
              <w:rPr>
                <w:rFonts w:hint="eastAsia"/>
                <w:vertAlign w:val="baseline"/>
                <w:lang w:val="en-US" w:eastAsia="zh-CN"/>
              </w:rPr>
              <w:t>20次</w:t>
            </w:r>
          </w:p>
        </w:tc>
        <w:tc>
          <w:tcPr>
            <w:tcW w:w="1704" w:type="dxa"/>
            <w:vAlign w:val="center"/>
          </w:tcPr>
          <w:p>
            <w:pPr>
              <w:numPr>
                <w:ilvl w:val="0"/>
                <w:numId w:val="0"/>
              </w:numPr>
              <w:rPr>
                <w:rFonts w:hint="default"/>
                <w:vertAlign w:val="baseline"/>
                <w:lang w:val="en-US" w:eastAsia="zh-CN"/>
              </w:rPr>
            </w:pPr>
            <w:r>
              <w:rPr>
                <w:rFonts w:hint="eastAsia"/>
                <w:vertAlign w:val="baseline"/>
                <w:lang w:val="en-US" w:eastAsia="zh-CN"/>
              </w:rPr>
              <w:t>50000</w:t>
            </w:r>
          </w:p>
        </w:tc>
        <w:tc>
          <w:tcPr>
            <w:tcW w:w="1704"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numPr>
                <w:ilvl w:val="0"/>
                <w:numId w:val="0"/>
              </w:numPr>
              <w:rPr>
                <w:rFonts w:hint="default"/>
                <w:vertAlign w:val="baseline"/>
                <w:lang w:val="en-US" w:eastAsia="zh-CN"/>
              </w:rPr>
            </w:pPr>
            <w:r>
              <w:rPr>
                <w:rFonts w:hint="eastAsia"/>
                <w:vertAlign w:val="baseline"/>
                <w:lang w:val="en-US" w:eastAsia="zh-CN"/>
              </w:rPr>
              <w:t>调查材料</w:t>
            </w:r>
          </w:p>
        </w:tc>
        <w:tc>
          <w:tcPr>
            <w:tcW w:w="1593" w:type="dxa"/>
          </w:tcPr>
          <w:p>
            <w:pPr>
              <w:numPr>
                <w:ilvl w:val="0"/>
                <w:numId w:val="0"/>
              </w:numPr>
              <w:rPr>
                <w:rFonts w:hint="default"/>
                <w:vertAlign w:val="baseline"/>
                <w:lang w:val="en-US" w:eastAsia="zh-CN"/>
              </w:rPr>
            </w:pPr>
            <w:r>
              <w:rPr>
                <w:rFonts w:hint="eastAsia"/>
                <w:vertAlign w:val="baseline"/>
                <w:lang w:val="en-US" w:eastAsia="zh-CN"/>
              </w:rPr>
              <w:t>0.05万元/套</w:t>
            </w:r>
          </w:p>
        </w:tc>
        <w:tc>
          <w:tcPr>
            <w:tcW w:w="1392" w:type="dxa"/>
          </w:tcPr>
          <w:p>
            <w:pPr>
              <w:numPr>
                <w:ilvl w:val="0"/>
                <w:numId w:val="0"/>
              </w:numPr>
              <w:rPr>
                <w:rFonts w:hint="default"/>
                <w:vertAlign w:val="baseline"/>
                <w:lang w:val="en-US" w:eastAsia="zh-CN"/>
              </w:rPr>
            </w:pPr>
            <w:r>
              <w:rPr>
                <w:rFonts w:hint="eastAsia"/>
                <w:vertAlign w:val="baseline"/>
                <w:lang w:val="en-US" w:eastAsia="zh-CN"/>
              </w:rPr>
              <w:t>10套</w:t>
            </w:r>
          </w:p>
        </w:tc>
        <w:tc>
          <w:tcPr>
            <w:tcW w:w="1704" w:type="dxa"/>
            <w:vAlign w:val="center"/>
          </w:tcPr>
          <w:p>
            <w:pPr>
              <w:numPr>
                <w:ilvl w:val="0"/>
                <w:numId w:val="0"/>
              </w:numPr>
              <w:rPr>
                <w:rFonts w:hint="default"/>
                <w:vertAlign w:val="baseline"/>
                <w:lang w:val="en-US" w:eastAsia="zh-CN"/>
              </w:rPr>
            </w:pPr>
            <w:r>
              <w:rPr>
                <w:rFonts w:hint="eastAsia"/>
                <w:vertAlign w:val="baseline"/>
                <w:lang w:val="en-US" w:eastAsia="zh-CN"/>
              </w:rPr>
              <w:t>5000</w:t>
            </w:r>
          </w:p>
        </w:tc>
        <w:tc>
          <w:tcPr>
            <w:tcW w:w="1704"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numPr>
                <w:ilvl w:val="0"/>
                <w:numId w:val="0"/>
              </w:numPr>
              <w:rPr>
                <w:rFonts w:hint="default"/>
                <w:vertAlign w:val="baseline"/>
                <w:lang w:val="en-US" w:eastAsia="zh-CN"/>
              </w:rPr>
            </w:pPr>
            <w:r>
              <w:rPr>
                <w:rFonts w:hint="eastAsia"/>
                <w:vertAlign w:val="baseline"/>
                <w:lang w:val="en-US" w:eastAsia="zh-CN"/>
              </w:rPr>
              <w:t>设备损耗</w:t>
            </w:r>
          </w:p>
        </w:tc>
        <w:tc>
          <w:tcPr>
            <w:tcW w:w="1593" w:type="dxa"/>
          </w:tcPr>
          <w:p>
            <w:pPr>
              <w:numPr>
                <w:ilvl w:val="0"/>
                <w:numId w:val="0"/>
              </w:numPr>
              <w:rPr>
                <w:rFonts w:hint="default"/>
                <w:vertAlign w:val="baseline"/>
                <w:lang w:val="en-US" w:eastAsia="zh-CN"/>
              </w:rPr>
            </w:pPr>
            <w:r>
              <w:rPr>
                <w:rFonts w:hint="eastAsia"/>
                <w:vertAlign w:val="baseline"/>
                <w:lang w:val="en-US" w:eastAsia="zh-CN"/>
              </w:rPr>
              <w:t>0.06万元/次</w:t>
            </w:r>
          </w:p>
        </w:tc>
        <w:tc>
          <w:tcPr>
            <w:tcW w:w="1392" w:type="dxa"/>
          </w:tcPr>
          <w:p>
            <w:pPr>
              <w:numPr>
                <w:ilvl w:val="0"/>
                <w:numId w:val="0"/>
              </w:numPr>
              <w:rPr>
                <w:rFonts w:hint="default"/>
                <w:vertAlign w:val="baseline"/>
                <w:lang w:val="en-US" w:eastAsia="zh-CN"/>
              </w:rPr>
            </w:pPr>
            <w:r>
              <w:rPr>
                <w:rFonts w:hint="eastAsia"/>
                <w:vertAlign w:val="baseline"/>
                <w:lang w:val="en-US" w:eastAsia="zh-CN"/>
              </w:rPr>
              <w:t>20次</w:t>
            </w:r>
          </w:p>
        </w:tc>
        <w:tc>
          <w:tcPr>
            <w:tcW w:w="1704" w:type="dxa"/>
            <w:vAlign w:val="center"/>
          </w:tcPr>
          <w:p>
            <w:pPr>
              <w:numPr>
                <w:ilvl w:val="0"/>
                <w:numId w:val="0"/>
              </w:numPr>
              <w:rPr>
                <w:rFonts w:hint="default"/>
                <w:vertAlign w:val="baseline"/>
                <w:lang w:val="en-US" w:eastAsia="zh-CN"/>
              </w:rPr>
            </w:pPr>
            <w:r>
              <w:rPr>
                <w:rFonts w:hint="eastAsia"/>
                <w:vertAlign w:val="baseline"/>
                <w:lang w:val="en-US" w:eastAsia="zh-CN"/>
              </w:rPr>
              <w:t>12000</w:t>
            </w:r>
          </w:p>
        </w:tc>
        <w:tc>
          <w:tcPr>
            <w:tcW w:w="1704"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numPr>
                <w:ilvl w:val="0"/>
                <w:numId w:val="0"/>
              </w:numPr>
              <w:rPr>
                <w:rFonts w:hint="default"/>
                <w:vertAlign w:val="baseline"/>
                <w:lang w:val="en-US" w:eastAsia="zh-CN"/>
              </w:rPr>
            </w:pPr>
            <w:r>
              <w:rPr>
                <w:rFonts w:hint="eastAsia"/>
                <w:vertAlign w:val="baseline"/>
                <w:lang w:val="en-US" w:eastAsia="zh-CN"/>
              </w:rPr>
              <w:t>共计</w:t>
            </w:r>
          </w:p>
        </w:tc>
        <w:tc>
          <w:tcPr>
            <w:tcW w:w="1593" w:type="dxa"/>
          </w:tcPr>
          <w:p>
            <w:pPr>
              <w:numPr>
                <w:ilvl w:val="0"/>
                <w:numId w:val="0"/>
              </w:numPr>
              <w:rPr>
                <w:rFonts w:hint="default"/>
                <w:vertAlign w:val="baseline"/>
                <w:lang w:val="en-US" w:eastAsia="zh-CN"/>
              </w:rPr>
            </w:pPr>
          </w:p>
        </w:tc>
        <w:tc>
          <w:tcPr>
            <w:tcW w:w="1392" w:type="dxa"/>
          </w:tcPr>
          <w:p>
            <w:pPr>
              <w:numPr>
                <w:ilvl w:val="0"/>
                <w:numId w:val="0"/>
              </w:numPr>
              <w:rPr>
                <w:rFonts w:hint="default"/>
                <w:vertAlign w:val="baseline"/>
                <w:lang w:val="en-US" w:eastAsia="zh-CN"/>
              </w:rPr>
            </w:pPr>
          </w:p>
        </w:tc>
        <w:tc>
          <w:tcPr>
            <w:tcW w:w="1704" w:type="dxa"/>
            <w:vAlign w:val="center"/>
          </w:tcPr>
          <w:p>
            <w:pPr>
              <w:numPr>
                <w:ilvl w:val="0"/>
                <w:numId w:val="0"/>
              </w:numPr>
              <w:rPr>
                <w:rFonts w:hint="default"/>
                <w:vertAlign w:val="baseline"/>
                <w:lang w:val="en-US" w:eastAsia="zh-CN"/>
              </w:rPr>
            </w:pPr>
            <w:r>
              <w:rPr>
                <w:rFonts w:hint="eastAsia"/>
                <w:vertAlign w:val="baseline"/>
                <w:lang w:val="en-US" w:eastAsia="zh-CN"/>
              </w:rPr>
              <w:t>76000</w:t>
            </w:r>
          </w:p>
        </w:tc>
        <w:tc>
          <w:tcPr>
            <w:tcW w:w="1704" w:type="dxa"/>
          </w:tcPr>
          <w:p>
            <w:pPr>
              <w:numPr>
                <w:ilvl w:val="0"/>
                <w:numId w:val="0"/>
              </w:numPr>
              <w:rPr>
                <w:rFonts w:hint="eastAsia"/>
                <w:vertAlign w:val="baseline"/>
                <w:lang w:val="en-US" w:eastAsia="zh-CN"/>
              </w:rPr>
            </w:pPr>
          </w:p>
        </w:tc>
      </w:tr>
    </w:tbl>
    <w:p>
      <w:pPr>
        <w:rPr>
          <w:rFonts w:hint="eastAsia"/>
          <w:lang w:val="en-US" w:eastAsia="zh-CN"/>
        </w:rPr>
      </w:pPr>
    </w:p>
    <w:p>
      <w:pPr>
        <w:rPr>
          <w:rFonts w:hint="default"/>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NzcyZjY4ZDNmZjRkNDdiMzU0ZTljNmMxZWU5YmMifQ=="/>
  </w:docVars>
  <w:rsids>
    <w:rsidRoot w:val="324D5EDC"/>
    <w:rsid w:val="04D973D2"/>
    <w:rsid w:val="18161216"/>
    <w:rsid w:val="1ECF4848"/>
    <w:rsid w:val="324D5EDC"/>
    <w:rsid w:val="325523DD"/>
    <w:rsid w:val="371223CE"/>
    <w:rsid w:val="4F444C0B"/>
    <w:rsid w:val="7860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华文仿宋" w:eastAsiaTheme="minorEastAsia"/>
      <w:snapToGrid w:val="0"/>
      <w:kern w:val="0"/>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429</Characters>
  <Lines>0</Lines>
  <Paragraphs>0</Paragraphs>
  <TotalTime>5</TotalTime>
  <ScaleCrop>false</ScaleCrop>
  <LinksUpToDate>false</LinksUpToDate>
  <CharactersWithSpaces>429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2021-05-07T00:17:00Z</dcterms:created>
  <dc:creator>李密</dc:creator>
  <cp:lastModifiedBy>李密</cp:lastModifiedBy>
  <dcterms:modified xsi:type="dcterms:W3CDTF">2022-07-19T09:47:07Z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41297A2642194290850DD0F9B4348F19</vt:lpwstr>
  </property>
</Properties>
</file>