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441900025-2022-00569</w:t>
      </w:r>
    </w:p>
    <w:p>
      <w:pPr>
        <w:jc w:val="center"/>
      </w:pPr>
      <w:r>
        <w:rPr>
          <w:b/>
          <w:sz w:val="24"/>
        </w:rPr>
        <w:t>采购项目编号：</w:t>
      </w:r>
      <w:r>
        <w:rPr>
          <w:b/>
          <w:sz w:val="24"/>
        </w:rPr>
        <w:t>441900025-2022-00569</w:t>
      </w:r>
    </w:p>
    <w:p>
      <w:pPr>
        <w:jc w:val="center"/>
      </w:pPr>
      <w:r>
        <w:rPr>
          <w:b/>
          <w:sz w:val="24"/>
        </w:rPr>
        <w:t>项目名称：</w:t>
      </w:r>
      <w:r>
        <w:rPr>
          <w:b/>
          <w:sz w:val="24"/>
        </w:rPr>
        <w:t>东莞市凤岗镇公用事业服务中心全镇范围内除“四害”项目</w:t>
      </w:r>
    </w:p>
    <w:p>
      <w:pPr>
        <w:jc w:val="center"/>
      </w:pPr>
      <w:r>
        <w:rPr>
          <w:b/>
          <w:sz w:val="24"/>
        </w:rPr>
        <w:t>采购人：</w:t>
      </w:r>
      <w:r>
        <w:rPr>
          <w:b/>
          <w:sz w:val="24"/>
        </w:rPr>
        <w:t>东莞市凤岗镇公用事业服务中心</w:t>
      </w:r>
    </w:p>
    <w:p>
      <w:pPr>
        <w:jc w:val="center"/>
      </w:pPr>
      <w:r>
        <w:rPr>
          <w:b/>
          <w:sz w:val="24"/>
        </w:rPr>
        <w:t>采购代理机构：</w:t>
      </w:r>
      <w:r>
        <w:rPr>
          <w:b/>
          <w:sz w:val="24"/>
        </w:rPr>
        <w:t>三方诚信招标有限公司东莞分公司</w:t>
      </w:r>
    </w:p>
    <w:p>
      <w:pPr>
        <w:ind w:firstLine="480"/>
      </w:pPr>
    </w:p>
    <w:p>
      <w:r>
        <w:rPr/>
        <w:t xml:space="preserve"> </w:t>
      </w:r>
    </w:p>
    <w:p/>
    <w:p>
      <w:pPr>
        <w:jc w:val="center"/>
      </w:pPr>
      <w:r>
        <w:rPr>
          <w:b/>
          <w:sz w:val="36"/>
        </w:rPr>
        <w:t>第一章投标邀请</w:t>
      </w:r>
    </w:p>
    <w:p>
      <w:pPr>
        <w:ind w:firstLine="480"/>
      </w:pPr>
      <w:r>
        <w:rPr/>
        <w:t>三方诚信招标有限公司东莞分公司</w:t>
      </w:r>
      <w:r>
        <w:rPr/>
        <w:t>受</w:t>
      </w:r>
      <w:r>
        <w:rPr/>
        <w:t>东莞市凤岗镇公用事业服务中心</w:t>
      </w:r>
      <w:r>
        <w:rPr/>
        <w:t>的委托，采用</w:t>
      </w:r>
      <w:r>
        <w:rPr/>
        <w:t>公开招标</w:t>
      </w:r>
      <w:r>
        <w:rPr/>
        <w:t>方式组织采购</w:t>
      </w:r>
      <w:r>
        <w:rPr/>
        <w:t>东莞市凤岗镇公用事业服务中心全镇范围内除“四害”项目</w:t>
      </w:r>
      <w:r>
        <w:rPr/>
        <w:t>。欢迎符合资格条件的国内供应商参加投标。</w:t>
      </w:r>
    </w:p>
    <w:p>
      <w:r>
        <w:rPr>
          <w:b/>
          <w:sz w:val="28"/>
        </w:rPr>
        <w:t>一.项目概述</w:t>
      </w:r>
    </w:p>
    <w:p>
      <w:r>
        <w:rPr>
          <w:b/>
          <w:sz w:val="24"/>
        </w:rPr>
        <w:t>1.名称与编号</w:t>
      </w:r>
    </w:p>
    <w:p>
      <w:pPr>
        <w:ind w:firstLine="480"/>
      </w:pPr>
      <w:r>
        <w:rPr/>
        <w:t>项目名称：</w:t>
      </w:r>
      <w:r>
        <w:rPr/>
        <w:t>东莞市凤岗镇公用事业服务中心全镇范围内除“四害”项目</w:t>
      </w:r>
    </w:p>
    <w:p>
      <w:pPr>
        <w:ind w:firstLine="480"/>
      </w:pPr>
      <w:r>
        <w:rPr/>
        <w:t>采购计划编号：</w:t>
      </w:r>
      <w:r>
        <w:rPr/>
        <w:t>441900025-2022-00569</w:t>
      </w:r>
    </w:p>
    <w:p>
      <w:pPr>
        <w:ind w:firstLine="480"/>
      </w:pPr>
      <w:r>
        <w:rPr/>
        <w:t>采购项目编号：</w:t>
      </w:r>
      <w:r>
        <w:rPr/>
        <w:t>441900025-2022-00569</w:t>
      </w:r>
    </w:p>
    <w:p>
      <w:pPr>
        <w:ind w:firstLine="480"/>
      </w:pPr>
      <w:r>
        <w:rPr/>
        <w:t>采购方式：</w:t>
      </w:r>
      <w:r>
        <w:rPr/>
        <w:t>公开招标</w:t>
      </w:r>
    </w:p>
    <w:p>
      <w:pPr>
        <w:ind w:firstLine="480"/>
      </w:pPr>
      <w:r>
        <w:rPr/>
        <w:t>预算金额：</w:t>
      </w:r>
      <w:r>
        <w:rPr/>
        <w:t>10,962,800.00</w:t>
      </w:r>
      <w:r>
        <w:rPr/>
        <w:t>元</w:t>
      </w:r>
    </w:p>
    <w:p>
      <w:r>
        <w:rPr>
          <w:b/>
          <w:sz w:val="24"/>
        </w:rPr>
        <w:t>2.项目内容及需求情况（采购项目技术规格、参数及要求）</w:t>
      </w:r>
    </w:p>
    <w:p>
      <w:pPr>
        <w:ind w:firstLine="480"/>
      </w:pPr>
    </w:p>
    <w:p/>
    <w:p>
      <w:r>
        <w:rPr/>
        <w:t>采购包1(标段一):</w:t>
      </w:r>
    </w:p>
    <w:p>
      <w:r>
        <w:rPr/>
        <w:t>采购包预算金额：3,020,630.00元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标段一</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合同履行期限：2022年9月1日至2025年8月31日，共计3年</w:t>
      </w:r>
    </w:p>
    <w:p/>
    <w:p>
      <w:r>
        <w:rPr/>
        <w:t>采购包2(标段二):</w:t>
      </w:r>
    </w:p>
    <w:p>
      <w:r>
        <w:rPr/>
        <w:t>采购包预算金额：3,619,290.00元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其他服务</w:t>
            </w:r>
          </w:p>
        </w:tc>
        <w:tc>
          <w:tcPr>
            <w:tcW w:type="dxa" w:w="2136"/>
          </w:tcPr>
          <w:p>
            <w:r>
              <w:rPr/>
              <w:t>标段二</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合同履行期限：2022年9月1日至2025年8月31日，共计3年</w:t>
      </w:r>
    </w:p>
    <w:p/>
    <w:p>
      <w:r>
        <w:rPr/>
        <w:t>采购包3(标段三):</w:t>
      </w:r>
    </w:p>
    <w:p>
      <w:r>
        <w:rPr/>
        <w:t>采购包预算金额：4,322,880.00元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其他服务</w:t>
            </w:r>
          </w:p>
        </w:tc>
        <w:tc>
          <w:tcPr>
            <w:tcW w:type="dxa" w:w="2136"/>
          </w:tcPr>
          <w:p>
            <w:r>
              <w:rPr/>
              <w:t>标段三</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合同履行期限：2022年9月1日至2025年8月31日，共计3年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提供相应证明材料。(或提供相关承诺函）</w:t>
      </w:r>
    </w:p>
    <w:p/>
    <w:p>
      <w:r>
        <w:rPr/>
        <w:t>3）具有良好的商业信誉和健全的财务会计制度：供应商必须具有良好的商业信誉和健全的财务会计制度（提供2020年度财务状况报告或2021年度财务状况报告或基本开户行出具的资信证明或提供相关承诺函） 。</w:t>
      </w:r>
    </w:p>
    <w:p/>
    <w:p>
      <w:r>
        <w:rPr/>
        <w:t>4）履行合同所必需的设备和专业技术能力：按投标（响应）文件格式填报设备及专业技术能力情况。(或提供相关承诺函）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采购包1（标段一）：</w:t>
      </w:r>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jc w:val="left"/>
      </w:pPr>
    </w:p>
    <w:p>
      <w:r>
        <w:rPr/>
        <w:t>采购包2（标段二）：</w:t>
      </w:r>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jc w:val="left"/>
      </w:pPr>
    </w:p>
    <w:p>
      <w:r>
        <w:rPr/>
        <w:t>采购包3（标段三）：</w:t>
      </w:r>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采购包1（标段一）：</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采购包2（标段二）：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采购包3（标段三）：</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东莞市凤岗镇公用事业服务中心</w:t>
      </w:r>
    </w:p>
    <w:p>
      <w:pPr>
        <w:ind w:firstLine="480"/>
      </w:pPr>
      <w:r>
        <w:rPr/>
        <w:t>地址：</w:t>
      </w:r>
      <w:r>
        <w:rPr/>
        <w:t>凤岗镇康佳路19号</w:t>
      </w:r>
    </w:p>
    <w:p>
      <w:pPr>
        <w:ind w:firstLine="480"/>
      </w:pPr>
      <w:r>
        <w:rPr/>
        <w:t>联系方式：</w:t>
      </w:r>
      <w:r>
        <w:rPr/>
        <w:t>0769--87751930</w:t>
      </w:r>
    </w:p>
    <w:p>
      <w:r>
        <w:rPr>
          <w:b/>
          <w:sz w:val="24"/>
        </w:rPr>
        <w:t>2.采购代理机构信息</w:t>
      </w:r>
    </w:p>
    <w:p>
      <w:pPr>
        <w:ind w:firstLine="480"/>
      </w:pPr>
      <w:r>
        <w:rPr/>
        <w:t>名称：</w:t>
      </w:r>
      <w:r>
        <w:rPr/>
        <w:t>三方诚信招标有限公司东莞分公司</w:t>
      </w:r>
    </w:p>
    <w:p>
      <w:pPr>
        <w:ind w:firstLine="480"/>
      </w:pPr>
      <w:r>
        <w:rPr/>
        <w:t>地址：</w:t>
      </w:r>
      <w:r>
        <w:rPr/>
        <w:t>广东省东莞市南城街道鸿福西路81号国际商会大厦706室</w:t>
      </w:r>
    </w:p>
    <w:p>
      <w:pPr>
        <w:ind w:firstLine="480"/>
      </w:pPr>
      <w:r>
        <w:rPr/>
        <w:t>联系方式：</w:t>
      </w:r>
      <w:r>
        <w:rPr/>
        <w:t>0769-21682660-815</w:t>
      </w:r>
    </w:p>
    <w:p>
      <w:r>
        <w:rPr>
          <w:b/>
          <w:sz w:val="24"/>
        </w:rPr>
        <w:t>3.项目联系方式</w:t>
      </w:r>
    </w:p>
    <w:p>
      <w:pPr>
        <w:ind w:firstLine="480"/>
      </w:pPr>
      <w:r>
        <w:rPr/>
        <w:t>项目联系人：</w:t>
      </w:r>
      <w:r>
        <w:rPr/>
        <w:t>谭杰滨</w:t>
      </w:r>
    </w:p>
    <w:p>
      <w:pPr>
        <w:ind w:firstLine="480"/>
      </w:pPr>
      <w:r>
        <w:rPr/>
        <w:t>电话：</w:t>
      </w:r>
      <w:r>
        <w:rPr/>
        <w:t>0769-21682660-815</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三方诚信招标有限公司东莞分公司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（一）概况：东莞市凤岗镇全镇范围内公共环境除</w:t>
      </w:r>
      <w:r>
        <w:rPr>
          <w:sz w:val="21"/>
        </w:rPr>
        <w:t>“四害”消杀作业，“四害”监控及防治工作。凤岗镇现建成区面积约43.45平方公里。以上概况如与实际不符，以实际情况为准。</w:t>
      </w:r>
    </w:p>
    <w:p>
      <w:pPr>
        <w:ind w:firstLine="420"/>
      </w:pPr>
      <w:r>
        <w:rPr>
          <w:sz w:val="21"/>
        </w:rPr>
        <w:t>（二）项目范围：</w:t>
      </w:r>
    </w:p>
    <w:p>
      <w:pPr>
        <w:ind w:firstLine="420"/>
      </w:pPr>
      <w:r>
        <w:rPr>
          <w:sz w:val="21"/>
        </w:rPr>
        <w:t>1、地域范围：凤岗镇全镇范围内建成区内公共环境（包含镇中心区，三联、居委、雁田、油甘埔、官井头、凤德岭、塘沥、黄洞、五联、竹尾田、竹塘、天堂围12个村（居）以及金凤凰、宏盈、玉泉、大龙各工业区等）；包括所有人行道、广场、绿化带、居民住宅区、工厂周边、内街小巷、闲置地、下水道、沟渠、垃圾中转站、垃圾房、公厕、垃圾桶等室外环境。项目分三个标段范围，分别为：</w:t>
      </w:r>
    </w:p>
    <w:p>
      <w:pPr>
        <w:ind w:firstLine="420"/>
      </w:pPr>
      <w:r>
        <w:rPr>
          <w:sz w:val="21"/>
        </w:rPr>
        <w:t>（</w:t>
      </w:r>
      <w:r>
        <w:rPr>
          <w:sz w:val="21"/>
        </w:rPr>
        <w:t>1）标段一：以东深路、龙平西路为界，建成区面积约11.91平方公里，范围包括镇中心区（部分）、三联村（部分）、居委会（部分）、五联村、竹尾田村（部分）、竹塘村（部分）、塘沥村（部分）、天堂围村、宏盈工业区</w:t>
      </w:r>
      <w:r>
        <w:rPr>
          <w:sz w:val="21"/>
        </w:rPr>
        <w:t>、人民公园</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61"/>
        <w:gridCol w:w="2761"/>
        <w:gridCol w:w="2781"/>
      </w:tblGrid>
      <w:tr>
        <w:tc>
          <w:tcPr>
            <w:tcW w:type="dxa" w:w="2761"/>
            <w:tcBorders>
              <w:top w:val="single" w:color="000000" w:sz="4"/>
              <w:left w:val="single" w:color="000000" w:sz="4"/>
              <w:bottom w:val="single" w:color="000000" w:sz="4"/>
              <w:right w:val="single" w:color="000000" w:sz="4"/>
            </w:tcBorders>
            <w:shd w:fill="BFBFBF"/>
            <w:vAlign w:val="top"/>
          </w:tcPr>
          <w:p>
            <w:pPr>
              <w:jc w:val="center"/>
            </w:pPr>
            <w:r>
              <w:rPr>
                <w:b/>
                <w:color w:val="000000"/>
                <w:sz w:val="24"/>
              </w:rPr>
              <w:t>项目</w:t>
            </w:r>
          </w:p>
        </w:tc>
        <w:tc>
          <w:tcPr>
            <w:tcW w:type="dxa" w:w="2761"/>
            <w:tcBorders>
              <w:top w:val="single" w:color="000000" w:sz="4"/>
              <w:left w:val="none" w:color="000000" w:sz="4"/>
              <w:bottom w:val="single" w:color="000000" w:sz="4"/>
              <w:right w:val="single" w:color="000000" w:sz="4"/>
            </w:tcBorders>
            <w:shd w:fill="BFBFBF"/>
            <w:vAlign w:val="top"/>
          </w:tcPr>
          <w:p>
            <w:pPr>
              <w:jc w:val="center"/>
            </w:pPr>
            <w:r>
              <w:rPr>
                <w:b/>
                <w:color w:val="000000"/>
                <w:sz w:val="24"/>
              </w:rPr>
              <w:t>主区域</w:t>
            </w:r>
            <w:r>
              <w:br/>
            </w:r>
            <w:r>
              <w:rPr>
                <w:b/>
                <w:color w:val="000000"/>
                <w:sz w:val="24"/>
              </w:rPr>
              <w:t>（平方米）</w:t>
            </w:r>
          </w:p>
        </w:tc>
        <w:tc>
          <w:tcPr>
            <w:tcW w:type="dxa" w:w="2781"/>
            <w:tcBorders>
              <w:top w:val="single" w:color="000000" w:sz="4"/>
              <w:left w:val="none" w:color="000000" w:sz="4"/>
              <w:bottom w:val="single" w:color="000000" w:sz="4"/>
              <w:right w:val="single" w:color="000000" w:sz="4"/>
            </w:tcBorders>
            <w:shd w:fill="BFBFBF"/>
            <w:vAlign w:val="top"/>
          </w:tcPr>
          <w:p>
            <w:pPr>
              <w:jc w:val="center"/>
            </w:pPr>
            <w:r>
              <w:rPr>
                <w:b/>
                <w:color w:val="000000"/>
                <w:sz w:val="24"/>
              </w:rPr>
              <w:t>合计</w:t>
            </w:r>
            <w:r>
              <w:br/>
            </w:r>
            <w:r>
              <w:rPr>
                <w:b/>
                <w:color w:val="000000"/>
                <w:sz w:val="24"/>
              </w:rPr>
              <w:t>（平方米）</w:t>
            </w:r>
          </w:p>
        </w:tc>
      </w:tr>
      <w:tr>
        <w:tc>
          <w:tcPr>
            <w:tcW w:type="dxa" w:w="2761"/>
            <w:tcBorders>
              <w:top w:val="none" w:color="000000" w:sz="4"/>
              <w:left w:val="single" w:color="000000" w:sz="4"/>
              <w:bottom w:val="none" w:color="000000" w:sz="4"/>
              <w:right w:val="single" w:color="000000" w:sz="4"/>
            </w:tcBorders>
            <w:vAlign w:val="top"/>
          </w:tcPr>
          <w:p>
            <w:pPr>
              <w:jc w:val="center"/>
            </w:pPr>
            <w:r>
              <w:rPr>
                <w:color w:val="000000"/>
                <w:sz w:val="24"/>
              </w:rPr>
              <w:t>标段一</w:t>
            </w:r>
          </w:p>
        </w:tc>
        <w:tc>
          <w:tcPr>
            <w:tcW w:type="dxa" w:w="2761"/>
            <w:tcBorders>
              <w:top w:val="none" w:color="000000" w:sz="4"/>
              <w:left w:val="none" w:color="000000" w:sz="4"/>
              <w:bottom w:val="none" w:color="000000" w:sz="4"/>
              <w:right w:val="single" w:color="000000" w:sz="4"/>
            </w:tcBorders>
            <w:vAlign w:val="top"/>
          </w:tcPr>
          <w:p>
            <w:pPr>
              <w:jc w:val="center"/>
            </w:pPr>
            <w:r>
              <w:rPr>
                <w:color w:val="000000"/>
                <w:sz w:val="24"/>
              </w:rPr>
              <w:t>11912305.78</w:t>
            </w:r>
          </w:p>
        </w:tc>
        <w:tc>
          <w:tcPr>
            <w:tcW w:type="dxa" w:w="2781"/>
            <w:tcBorders>
              <w:top w:val="none" w:color="000000" w:sz="4"/>
              <w:left w:val="none" w:color="000000" w:sz="4"/>
              <w:bottom w:val="none" w:color="000000" w:sz="4"/>
              <w:right w:val="single" w:color="000000" w:sz="4"/>
            </w:tcBorders>
            <w:vAlign w:val="top"/>
          </w:tcPr>
          <w:p>
            <w:pPr>
              <w:jc w:val="center"/>
            </w:pPr>
            <w:r>
              <w:rPr>
                <w:color w:val="000000"/>
                <w:sz w:val="24"/>
              </w:rPr>
              <w:t>11912305.78</w:t>
            </w:r>
          </w:p>
        </w:tc>
      </w:tr>
      <w:tr>
        <w:tc>
          <w:tcPr>
            <w:tcW w:type="dxa" w:w="8303"/>
            <w:gridSpan w:val="3"/>
            <w:tcBorders>
              <w:top w:val="single" w:color="000000" w:sz="4"/>
              <w:left w:val="single" w:color="000000" w:sz="4"/>
              <w:bottom w:val="single" w:color="000000" w:sz="4"/>
              <w:right w:val="single" w:color="000000" w:sz="4"/>
            </w:tcBorders>
            <w:vAlign w:val="top"/>
          </w:tcPr>
          <w:p>
            <w:pPr>
              <w:jc w:val="left"/>
            </w:pPr>
            <w:r>
              <w:rPr>
                <w:color w:val="000000"/>
                <w:sz w:val="22"/>
              </w:rPr>
              <w:t>标段范围：镇中心区（部分）、三联村（部分）、居委会（部分）、五联村、竹尾田村（部分）、竹塘村（部分）、塘沥村（部分）、天堂围村、宏盈工业区、人民公园</w:t>
            </w:r>
          </w:p>
        </w:tc>
      </w:tr>
    </w:tbl>
    <w:p>
      <w:pPr>
        <w:ind w:firstLine="420"/>
      </w:pPr>
      <w:r>
        <w:rPr>
          <w:sz w:val="21"/>
        </w:rPr>
        <w:t>（</w:t>
      </w:r>
      <w:r>
        <w:rPr>
          <w:sz w:val="21"/>
        </w:rPr>
        <w:t>2）标段二：以东深路、凤德路、同富路、金龙路为界，建成区面积约14平方公里，范围包括镇中心区（部分）、三联村（部分）、居委会（部分）、竹尾田村（部分）、竹塘村（部分）、塘沥村（部分）、黄洞村、凤德岭村（部分）、玉泉工业区、金凤凰工业区、南门山村</w:t>
      </w:r>
      <w:r>
        <w:rPr>
          <w:sz w:val="21"/>
        </w:rPr>
        <w:t>、烈士陵园</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072"/>
        <w:gridCol w:w="2072"/>
        <w:gridCol w:w="2087"/>
        <w:gridCol w:w="2072"/>
      </w:tblGrid>
      <w:tr>
        <w:tc>
          <w:tcPr>
            <w:tcW w:type="dxa" w:w="2072"/>
            <w:tcBorders>
              <w:top w:val="single" w:color="000000" w:sz="4"/>
              <w:left w:val="single" w:color="000000" w:sz="4"/>
              <w:bottom w:val="single" w:color="000000" w:sz="4"/>
              <w:right w:val="single" w:color="000000" w:sz="4"/>
            </w:tcBorders>
            <w:shd w:fill="BFBFBF"/>
            <w:vAlign w:val="top"/>
          </w:tcPr>
          <w:p>
            <w:pPr>
              <w:jc w:val="center"/>
            </w:pPr>
            <w:r>
              <w:rPr>
                <w:b/>
                <w:color w:val="000000"/>
                <w:sz w:val="24"/>
              </w:rPr>
              <w:t>项目</w:t>
            </w:r>
          </w:p>
        </w:tc>
        <w:tc>
          <w:tcPr>
            <w:tcW w:type="dxa" w:w="2072"/>
            <w:tcBorders>
              <w:top w:val="single" w:color="000000" w:sz="4"/>
              <w:left w:val="none" w:color="000000" w:sz="4"/>
              <w:bottom w:val="single" w:color="000000" w:sz="4"/>
              <w:right w:val="single" w:color="000000" w:sz="4"/>
            </w:tcBorders>
            <w:shd w:fill="BFBFBF"/>
            <w:vAlign w:val="top"/>
          </w:tcPr>
          <w:p>
            <w:pPr>
              <w:jc w:val="center"/>
            </w:pPr>
            <w:r>
              <w:rPr>
                <w:b/>
                <w:color w:val="000000"/>
                <w:sz w:val="24"/>
              </w:rPr>
              <w:t>主区域</w:t>
            </w:r>
            <w:r>
              <w:br/>
            </w:r>
            <w:r>
              <w:rPr>
                <w:b/>
                <w:color w:val="000000"/>
                <w:sz w:val="24"/>
              </w:rPr>
              <w:t>（平方米）</w:t>
            </w:r>
          </w:p>
        </w:tc>
        <w:tc>
          <w:tcPr>
            <w:tcW w:type="dxa" w:w="2087"/>
            <w:tcBorders>
              <w:top w:val="single" w:color="000000" w:sz="4"/>
              <w:left w:val="none" w:color="000000" w:sz="4"/>
              <w:bottom w:val="single" w:color="000000" w:sz="4"/>
              <w:right w:val="single" w:color="000000" w:sz="4"/>
            </w:tcBorders>
            <w:shd w:fill="BFBFBF"/>
            <w:vAlign w:val="top"/>
          </w:tcPr>
          <w:p>
            <w:pPr>
              <w:jc w:val="center"/>
            </w:pPr>
            <w:r>
              <w:rPr>
                <w:b/>
                <w:color w:val="000000"/>
                <w:sz w:val="24"/>
              </w:rPr>
              <w:t>南门山村</w:t>
            </w:r>
            <w:r>
              <w:br/>
            </w:r>
            <w:r>
              <w:rPr>
                <w:b/>
                <w:color w:val="000000"/>
                <w:sz w:val="24"/>
              </w:rPr>
              <w:t>（平方米）</w:t>
            </w:r>
          </w:p>
        </w:tc>
        <w:tc>
          <w:tcPr>
            <w:tcW w:type="dxa" w:w="2072"/>
            <w:tcBorders>
              <w:top w:val="single" w:color="000000" w:sz="4"/>
              <w:left w:val="none" w:color="000000" w:sz="4"/>
              <w:bottom w:val="single" w:color="000000" w:sz="4"/>
              <w:right w:val="single" w:color="000000" w:sz="4"/>
            </w:tcBorders>
            <w:shd w:fill="BFBFBF"/>
            <w:vAlign w:val="top"/>
          </w:tcPr>
          <w:p>
            <w:pPr>
              <w:jc w:val="center"/>
            </w:pPr>
            <w:r>
              <w:rPr>
                <w:b/>
                <w:color w:val="000000"/>
                <w:sz w:val="24"/>
              </w:rPr>
              <w:t>合计</w:t>
            </w:r>
            <w:r>
              <w:br/>
            </w:r>
            <w:r>
              <w:rPr>
                <w:b/>
                <w:color w:val="000000"/>
                <w:sz w:val="24"/>
              </w:rPr>
              <w:t>（平方米）</w:t>
            </w:r>
          </w:p>
        </w:tc>
      </w:tr>
      <w:tr>
        <w:tc>
          <w:tcPr>
            <w:tcW w:type="dxa" w:w="2072"/>
            <w:tcBorders>
              <w:top w:val="none" w:color="000000" w:sz="4"/>
              <w:left w:val="single" w:color="000000" w:sz="4"/>
              <w:bottom w:val="single" w:color="000000" w:sz="4"/>
              <w:right w:val="single" w:color="000000" w:sz="4"/>
            </w:tcBorders>
            <w:vAlign w:val="top"/>
          </w:tcPr>
          <w:p>
            <w:pPr>
              <w:jc w:val="center"/>
            </w:pPr>
            <w:r>
              <w:rPr>
                <w:color w:val="000000"/>
                <w:sz w:val="24"/>
              </w:rPr>
              <w:t>标段二</w:t>
            </w:r>
          </w:p>
        </w:tc>
        <w:tc>
          <w:tcPr>
            <w:tcW w:type="dxa" w:w="2072"/>
            <w:tcBorders>
              <w:top w:val="none" w:color="000000" w:sz="4"/>
              <w:left w:val="none" w:color="000000" w:sz="4"/>
              <w:bottom w:val="single" w:color="000000" w:sz="4"/>
              <w:right w:val="single" w:color="000000" w:sz="4"/>
            </w:tcBorders>
            <w:vAlign w:val="top"/>
          </w:tcPr>
          <w:p>
            <w:pPr>
              <w:jc w:val="center"/>
            </w:pPr>
            <w:r>
              <w:rPr>
                <w:color w:val="000000"/>
                <w:sz w:val="24"/>
              </w:rPr>
              <w:t>13956319.98</w:t>
            </w:r>
          </w:p>
        </w:tc>
        <w:tc>
          <w:tcPr>
            <w:tcW w:type="dxa" w:w="2087"/>
            <w:tcBorders>
              <w:top w:val="none" w:color="000000" w:sz="4"/>
              <w:left w:val="none" w:color="000000" w:sz="4"/>
              <w:bottom w:val="single" w:color="000000" w:sz="4"/>
              <w:right w:val="single" w:color="000000" w:sz="4"/>
            </w:tcBorders>
            <w:vAlign w:val="top"/>
          </w:tcPr>
          <w:p>
            <w:pPr>
              <w:jc w:val="center"/>
            </w:pPr>
            <w:r>
              <w:rPr>
                <w:color w:val="000000"/>
                <w:sz w:val="24"/>
              </w:rPr>
              <w:t>38942.84</w:t>
            </w:r>
          </w:p>
        </w:tc>
        <w:tc>
          <w:tcPr>
            <w:tcW w:type="dxa" w:w="2072"/>
            <w:tcBorders>
              <w:top w:val="none" w:color="000000" w:sz="4"/>
              <w:left w:val="none" w:color="000000" w:sz="4"/>
              <w:bottom w:val="single" w:color="000000" w:sz="4"/>
              <w:right w:val="single" w:color="000000" w:sz="4"/>
            </w:tcBorders>
            <w:vAlign w:val="top"/>
          </w:tcPr>
          <w:p>
            <w:pPr>
              <w:jc w:val="center"/>
            </w:pPr>
            <w:r>
              <w:rPr>
                <w:color w:val="000000"/>
                <w:sz w:val="24"/>
              </w:rPr>
              <w:t>13995262.82</w:t>
            </w:r>
          </w:p>
        </w:tc>
      </w:tr>
      <w:tr>
        <w:tc>
          <w:tcPr>
            <w:tcW w:type="dxa" w:w="8303"/>
            <w:gridSpan w:val="4"/>
            <w:tcBorders>
              <w:top w:val="none" w:color="000000" w:sz="4"/>
              <w:left w:val="single" w:color="000000" w:sz="4"/>
              <w:bottom w:val="single" w:color="000000" w:sz="4"/>
              <w:right w:val="single" w:color="000000" w:sz="4"/>
            </w:tcBorders>
            <w:vAlign w:val="top"/>
          </w:tcPr>
          <w:p>
            <w:pPr>
              <w:jc w:val="left"/>
            </w:pPr>
            <w:r>
              <w:rPr>
                <w:color w:val="000000"/>
                <w:sz w:val="22"/>
              </w:rPr>
              <w:t>标段范围：镇中心区（部分）、三联村（部分）、居委会（部分）、竹尾田村（部分）、竹塘村（部分）、塘沥村（部分）、黄洞村、凤德岭村（部分）、玉泉工业区、金凤凰工业区、南门山村、烈士陵园</w:t>
            </w:r>
          </w:p>
        </w:tc>
      </w:tr>
    </w:tbl>
    <w:p>
      <w:pPr>
        <w:ind w:firstLine="420"/>
      </w:pPr>
      <w:r>
        <w:rPr>
          <w:sz w:val="21"/>
        </w:rPr>
        <w:t>（</w:t>
      </w:r>
      <w:r>
        <w:rPr>
          <w:sz w:val="21"/>
        </w:rPr>
        <w:t>3）标段三：以龙平西路、东深路、凤德路、同富路、金龙路为界，建成区面积约17.54平方公里，范围包括凤德岭村（部分）、官井头村、油甘埔村、雁田村、大龙工业区。</w:t>
      </w:r>
    </w:p>
    <w:tbl>
      <w:tblPr>
        <w:tblW w:w="0" w:type="auto"/>
        <w:tblBorders>
          <w:top w:val="none" w:color="000000" w:sz="4"/>
          <w:left w:val="none" w:color="000000" w:sz="4"/>
          <w:bottom w:val="none" w:color="000000" w:sz="4"/>
          <w:right w:val="none" w:color="000000" w:sz="4"/>
          <w:insideH w:val="none"/>
          <w:insideV w:val="none"/>
        </w:tblBorders>
      </w:tblPr>
      <w:tblGrid>
        <w:gridCol w:w="1659"/>
        <w:gridCol w:w="1659"/>
        <w:gridCol w:w="1670"/>
        <w:gridCol w:w="1659"/>
        <w:gridCol w:w="1659"/>
      </w:tblGrid>
      <w:tr>
        <w:tc>
          <w:tcPr>
            <w:tcW w:type="dxa" w:w="1659"/>
            <w:tcBorders>
              <w:top w:val="single" w:color="000000" w:sz="4"/>
              <w:left w:val="single" w:color="000000" w:sz="4"/>
              <w:bottom w:val="single" w:color="000000" w:sz="4"/>
              <w:right w:val="single" w:color="000000" w:sz="4"/>
            </w:tcBorders>
            <w:shd w:fill="BFBFBF"/>
            <w:vAlign w:val="top"/>
          </w:tcPr>
          <w:p>
            <w:pPr>
              <w:jc w:val="center"/>
            </w:pPr>
            <w:r>
              <w:rPr>
                <w:b/>
                <w:color w:val="000000"/>
                <w:sz w:val="24"/>
              </w:rPr>
              <w:t>项目</w:t>
            </w:r>
          </w:p>
        </w:tc>
        <w:tc>
          <w:tcPr>
            <w:tcW w:type="dxa" w:w="1659"/>
            <w:tcBorders>
              <w:top w:val="single" w:color="000000" w:sz="4"/>
              <w:left w:val="none" w:color="000000" w:sz="4"/>
              <w:bottom w:val="single" w:color="000000" w:sz="4"/>
              <w:right w:val="single" w:color="000000" w:sz="4"/>
            </w:tcBorders>
            <w:shd w:fill="BFBFBF"/>
            <w:vAlign w:val="top"/>
          </w:tcPr>
          <w:p>
            <w:pPr>
              <w:jc w:val="center"/>
            </w:pPr>
            <w:r>
              <w:rPr>
                <w:b/>
                <w:color w:val="000000"/>
                <w:sz w:val="24"/>
              </w:rPr>
              <w:t>主区域</w:t>
            </w:r>
            <w:r>
              <w:br/>
            </w:r>
            <w:r>
              <w:rPr>
                <w:b/>
                <w:color w:val="000000"/>
                <w:sz w:val="24"/>
              </w:rPr>
              <w:t>（平方米）</w:t>
            </w:r>
          </w:p>
        </w:tc>
        <w:tc>
          <w:tcPr>
            <w:tcW w:type="dxa" w:w="1670"/>
            <w:tcBorders>
              <w:top w:val="single" w:color="000000" w:sz="4"/>
              <w:left w:val="none" w:color="000000" w:sz="4"/>
              <w:bottom w:val="single" w:color="000000" w:sz="4"/>
              <w:right w:val="single" w:color="000000" w:sz="4"/>
            </w:tcBorders>
            <w:shd w:fill="BFBFBF"/>
            <w:vAlign w:val="top"/>
          </w:tcPr>
          <w:p>
            <w:pPr>
              <w:jc w:val="center"/>
            </w:pPr>
            <w:r>
              <w:rPr>
                <w:b/>
                <w:color w:val="000000"/>
                <w:sz w:val="24"/>
              </w:rPr>
              <w:t>嶂厦</w:t>
            </w:r>
            <w:r>
              <w:br/>
            </w:r>
            <w:r>
              <w:rPr>
                <w:b/>
                <w:color w:val="000000"/>
                <w:sz w:val="24"/>
              </w:rPr>
              <w:t>（平方米）</w:t>
            </w:r>
          </w:p>
        </w:tc>
        <w:tc>
          <w:tcPr>
            <w:tcW w:type="dxa" w:w="1659"/>
            <w:tcBorders>
              <w:top w:val="single" w:color="000000" w:sz="4"/>
              <w:left w:val="none" w:color="000000" w:sz="4"/>
              <w:bottom w:val="single" w:color="000000" w:sz="4"/>
              <w:right w:val="single" w:color="000000" w:sz="4"/>
            </w:tcBorders>
            <w:shd w:fill="BFBFBF"/>
            <w:vAlign w:val="top"/>
          </w:tcPr>
          <w:p>
            <w:pPr>
              <w:jc w:val="center"/>
            </w:pPr>
            <w:r>
              <w:rPr>
                <w:b/>
                <w:color w:val="000000"/>
                <w:sz w:val="24"/>
              </w:rPr>
              <w:t>长表</w:t>
            </w:r>
            <w:r>
              <w:br/>
            </w:r>
            <w:r>
              <w:rPr>
                <w:b/>
                <w:color w:val="000000"/>
                <w:sz w:val="24"/>
              </w:rPr>
              <w:t>（平方米）</w:t>
            </w:r>
          </w:p>
        </w:tc>
        <w:tc>
          <w:tcPr>
            <w:tcW w:type="dxa" w:w="1659"/>
            <w:tcBorders>
              <w:top w:val="single" w:color="000000" w:sz="4"/>
              <w:left w:val="none" w:color="000000" w:sz="4"/>
              <w:bottom w:val="single" w:color="000000" w:sz="4"/>
              <w:right w:val="single" w:color="000000" w:sz="4"/>
            </w:tcBorders>
            <w:shd w:fill="BFBFBF"/>
            <w:vAlign w:val="top"/>
          </w:tcPr>
          <w:p>
            <w:pPr>
              <w:jc w:val="center"/>
            </w:pPr>
            <w:r>
              <w:rPr>
                <w:b/>
                <w:color w:val="000000"/>
                <w:sz w:val="24"/>
              </w:rPr>
              <w:t>合计</w:t>
            </w:r>
            <w:r>
              <w:br/>
            </w:r>
            <w:r>
              <w:rPr>
                <w:b/>
                <w:color w:val="000000"/>
                <w:sz w:val="24"/>
              </w:rPr>
              <w:t>（平方米）</w:t>
            </w:r>
          </w:p>
        </w:tc>
      </w:tr>
      <w:tr>
        <w:tc>
          <w:tcPr>
            <w:tcW w:type="dxa" w:w="1659"/>
            <w:tcBorders>
              <w:top w:val="none" w:color="000000" w:sz="4"/>
              <w:left w:val="single" w:color="000000" w:sz="4"/>
              <w:bottom w:val="single" w:color="000000" w:sz="4"/>
              <w:right w:val="single" w:color="000000" w:sz="4"/>
            </w:tcBorders>
            <w:vAlign w:val="top"/>
          </w:tcPr>
          <w:p>
            <w:pPr>
              <w:jc w:val="center"/>
            </w:pPr>
            <w:r>
              <w:rPr>
                <w:color w:val="000000"/>
                <w:sz w:val="24"/>
              </w:rPr>
              <w:t>标段三</w:t>
            </w:r>
          </w:p>
        </w:tc>
        <w:tc>
          <w:tcPr>
            <w:tcW w:type="dxa" w:w="1659"/>
            <w:tcBorders>
              <w:top w:val="none" w:color="000000" w:sz="4"/>
              <w:left w:val="none" w:color="000000" w:sz="4"/>
              <w:bottom w:val="none" w:color="000000" w:sz="4"/>
              <w:right w:val="none" w:color="000000" w:sz="4"/>
            </w:tcBorders>
            <w:vAlign w:val="top"/>
          </w:tcPr>
          <w:p>
            <w:pPr>
              <w:jc w:val="center"/>
            </w:pPr>
            <w:r>
              <w:rPr>
                <w:color w:val="000000"/>
                <w:sz w:val="24"/>
              </w:rPr>
              <w:t>17335585.61</w:t>
            </w:r>
          </w:p>
        </w:tc>
        <w:tc>
          <w:tcPr>
            <w:tcW w:type="dxa" w:w="1670"/>
            <w:tcBorders>
              <w:top w:val="none" w:color="000000" w:sz="4"/>
              <w:left w:val="single" w:color="000000" w:sz="4"/>
              <w:bottom w:val="single" w:color="000000" w:sz="4"/>
              <w:right w:val="single" w:color="000000" w:sz="4"/>
            </w:tcBorders>
            <w:vAlign w:val="top"/>
          </w:tcPr>
          <w:p>
            <w:pPr>
              <w:jc w:val="center"/>
            </w:pPr>
            <w:r>
              <w:rPr>
                <w:color w:val="000000"/>
                <w:sz w:val="24"/>
              </w:rPr>
              <w:t>56743.39</w:t>
            </w:r>
          </w:p>
        </w:tc>
        <w:tc>
          <w:tcPr>
            <w:tcW w:type="dxa" w:w="1659"/>
            <w:tcBorders>
              <w:top w:val="none" w:color="000000" w:sz="4"/>
              <w:left w:val="none" w:color="000000" w:sz="4"/>
              <w:bottom w:val="none" w:color="000000" w:sz="4"/>
              <w:right w:val="none" w:color="000000" w:sz="4"/>
            </w:tcBorders>
            <w:vAlign w:val="top"/>
          </w:tcPr>
          <w:p>
            <w:pPr>
              <w:jc w:val="center"/>
            </w:pPr>
            <w:r>
              <w:rPr>
                <w:color w:val="000000"/>
                <w:sz w:val="24"/>
              </w:rPr>
              <w:t>144219.53</w:t>
            </w:r>
          </w:p>
        </w:tc>
        <w:tc>
          <w:tcPr>
            <w:tcW w:type="dxa" w:w="1659"/>
            <w:tcBorders>
              <w:top w:val="none" w:color="000000" w:sz="4"/>
              <w:left w:val="single" w:color="000000" w:sz="4"/>
              <w:bottom w:val="single" w:color="000000" w:sz="4"/>
              <w:right w:val="single" w:color="000000" w:sz="4"/>
            </w:tcBorders>
            <w:vAlign w:val="top"/>
          </w:tcPr>
          <w:p>
            <w:pPr>
              <w:jc w:val="center"/>
            </w:pPr>
            <w:r>
              <w:rPr>
                <w:color w:val="000000"/>
                <w:sz w:val="24"/>
              </w:rPr>
              <w:t>17536548.53</w:t>
            </w:r>
          </w:p>
        </w:tc>
      </w:tr>
      <w:tr>
        <w:tc>
          <w:tcPr>
            <w:tcW w:type="dxa" w:w="8306"/>
            <w:gridSpan w:val="5"/>
            <w:tcBorders>
              <w:top w:val="none" w:color="000000" w:sz="4"/>
              <w:left w:val="single" w:color="000000" w:sz="4"/>
              <w:bottom w:val="single" w:color="000000" w:sz="4"/>
              <w:right w:val="single" w:color="000000" w:sz="4"/>
            </w:tcBorders>
            <w:vAlign w:val="top"/>
          </w:tcPr>
          <w:p>
            <w:pPr>
              <w:jc w:val="left"/>
            </w:pPr>
            <w:r>
              <w:rPr>
                <w:color w:val="000000"/>
                <w:sz w:val="22"/>
              </w:rPr>
              <w:t>标段范围：凤德岭村（部分）、官井头村、油甘埔村、雁田村、大龙工业区</w:t>
            </w:r>
          </w:p>
        </w:tc>
      </w:tr>
    </w:tbl>
    <w:p>
      <w:pPr>
        <w:ind w:firstLine="420"/>
      </w:pPr>
      <w:r>
        <w:rPr>
          <w:sz w:val="21"/>
        </w:rPr>
        <w:t>2、业务范围：负责鼠、蚊、蝇、蟑螂等“四害”的消杀作业，监控及防治工作，确保不低于国家卫生镇标准和要求，确保鼠、蚊、蝇、蟑螂密度达到国家病媒生物密度控制标准C级以上。</w:t>
      </w:r>
    </w:p>
    <w:p/>
    <w:p>
      <w:pPr>
        <w:ind w:firstLine="480"/>
      </w:pPr>
    </w:p>
    <w:p/>
    <w:p>
      <w:r>
        <w:rPr/>
        <w:t>采购包1（标段一）：</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2022年9月1日至2025年8月31日，共计3年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单位按照先作业后拨付的拨款方式，逐月将承包款拨付给中标单位，每月15日前拨付上月的承包费(具体支付时间以财政下拨款项的时间为准)；每月承包费须经采购单位现场考核评分，根据评分结果是否须扣除违约金的情形确定实际应付款数额后支付；中标单位必须在每月5日前出具与实际应付款数额相符的发票给采购单位。</w:t>
            </w:r>
          </w:p>
        </w:tc>
      </w:tr>
      <w:tr>
        <w:tc>
          <w:tcPr>
            <w:tcW w:type="dxa" w:w="4153"/>
          </w:tcPr>
          <w:p>
            <w:r>
              <w:rPr/>
              <w:t>验收要求</w:t>
            </w:r>
          </w:p>
        </w:tc>
        <w:tc>
          <w:tcPr>
            <w:tcW w:type="dxa" w:w="4153"/>
          </w:tcPr>
          <w:p>
            <w:pPr>
              <w:jc w:val="left"/>
            </w:pPr>
          </w:p>
          <w:p/>
          <w:p/>
          <w:p>
            <w:r>
              <w:rPr/>
              <w:t>1期：按国家及相关行业标准进行验收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1、报价要求：:投标报价采取打包报价的方式，投标报价包括材料、工具、人工、管理费、利润、税金、风险、招标代理费用等一切因素所有应该和可能发生的费用因素。</w:t>
            </w:r>
          </w:p>
          <w:p/>
          <w:p>
            <w:r>
              <w:rPr/>
              <w:t>2、合同条款：:供应商实质响应合同条款。</w:t>
            </w:r>
          </w:p>
          <w:p/>
          <w:p>
            <w:r>
              <w:rPr/>
              <w:t>3、其他要求：:投标人应充分结合本招标文件上下文了解项目招标需求、采购文件未尽事宜，将在合同签订或项目执行过程中双方协商确定，供应商须无条件满足采购单位的合理要求。</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标段一</w:t>
            </w:r>
          </w:p>
        </w:tc>
        <w:tc>
          <w:tcPr>
            <w:tcW w:type="dxa" w:w="385"/>
          </w:tcPr>
          <w:p>
            <w:r>
              <w:rPr/>
              <w:t>项</w:t>
            </w:r>
          </w:p>
        </w:tc>
        <w:tc>
          <w:tcPr>
            <w:tcW w:type="dxa" w:w="769"/>
          </w:tcPr>
          <w:p>
            <w:pPr>
              <w:jc w:val="right"/>
            </w:pPr>
            <w:r>
              <w:rPr/>
              <w:t>1.0000</w:t>
            </w:r>
          </w:p>
        </w:tc>
        <w:tc>
          <w:tcPr>
            <w:tcW w:type="dxa" w:w="769"/>
          </w:tcPr>
          <w:p>
            <w:pPr>
              <w:jc w:val="right"/>
            </w:pPr>
            <w:r>
              <w:rPr/>
              <w:t>3,020,630.00</w:t>
            </w:r>
          </w:p>
        </w:tc>
        <w:tc>
          <w:tcPr>
            <w:tcW w:type="dxa" w:w="769"/>
          </w:tcPr>
          <w:p>
            <w:pPr>
              <w:jc w:val="right"/>
            </w:pPr>
            <w:r>
              <w:rPr/>
              <w:t>3,020,630.00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标段一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pPr>
            <w:r>
              <w:rPr>
                <w:b/>
                <w:sz w:val="21"/>
              </w:rPr>
              <w:t>一</w:t>
            </w:r>
            <w:r>
              <w:rPr>
                <w:b/>
                <w:sz w:val="21"/>
              </w:rPr>
              <w:t>、除</w:t>
            </w:r>
            <w:r>
              <w:rPr>
                <w:b/>
                <w:sz w:val="21"/>
              </w:rPr>
              <w:t>“四害”质量标准</w:t>
            </w:r>
          </w:p>
          <w:p>
            <w:pPr>
              <w:ind w:firstLine="420"/>
            </w:pPr>
            <w:r>
              <w:rPr>
                <w:sz w:val="21"/>
              </w:rPr>
              <w:t>1、灭鼠：粉迹法（每15平方米房间布放20×20厘米粉板两块）检测鼠足印阳性率低于2%；鼠迹（鼠洞、鼠粪、鼠路、鼠咬痕），有鼠迹房间不超过2%；2000米外环境鼠迹不超过5处；重点单位防鼠设施（仓库、厨房等的门窗、出水口等部位有防鼠设施），合格率95%。现场检查，无可见鼠迹。鼠类根据中国人民共和国国家标准GB/T23798-2009《病媒生物密度监测方法  鼠类》标准执行。</w:t>
            </w:r>
          </w:p>
          <w:p>
            <w:pPr>
              <w:ind w:firstLine="420"/>
            </w:pPr>
            <w:r>
              <w:rPr>
                <w:sz w:val="21"/>
              </w:rPr>
              <w:t>2、灭蚊：区域内公共地域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蚊类根据中国人民共和国国家标准GB/T23797-2009《病媒生物密度监测方法  蚊虫》标准执行。</w:t>
            </w:r>
          </w:p>
          <w:p>
            <w:pPr>
              <w:ind w:firstLine="420"/>
            </w:pPr>
            <w:r>
              <w:rPr>
                <w:sz w:val="21"/>
              </w:rPr>
              <w:t>3、灭蝇：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蝇类根据中国人民共和国国家标准GB/T23796-2009《病媒生物密度监测方法  蝇类》标准执行。</w:t>
            </w:r>
          </w:p>
          <w:p>
            <w:pPr>
              <w:ind w:firstLine="420"/>
            </w:pPr>
            <w:r>
              <w:rPr>
                <w:sz w:val="21"/>
              </w:rPr>
              <w:t>4、灭蟑螂：查室内蟑螂成虫或幼虫，阳性房间不超过3%；有活蟑螂卵鞘房间，阳性房间不超过5%；蟑螂孳生栖息场所的清理，查墙的孔洞、缝隙蟑迹：粪便、蜕皮、蟑尸、空卵鞘等，阳性房间不超过5%。蜚蠊根据中国人民共和国国家标准GB/T23795-2009《病媒生物密度监测方法  蜚蠊》标准执行。</w:t>
            </w:r>
          </w:p>
          <w:p>
            <w:pPr>
              <w:ind w:firstLine="422"/>
            </w:pPr>
            <w:r>
              <w:rPr>
                <w:b/>
                <w:sz w:val="21"/>
              </w:rPr>
              <w:t>二</w:t>
            </w:r>
            <w:r>
              <w:rPr>
                <w:b/>
                <w:sz w:val="21"/>
              </w:rPr>
              <w:t>、除</w:t>
            </w:r>
            <w:r>
              <w:rPr>
                <w:b/>
                <w:sz w:val="21"/>
              </w:rPr>
              <w:t>“四害”作业要求</w:t>
            </w:r>
          </w:p>
          <w:p>
            <w:pPr>
              <w:ind w:firstLine="420"/>
            </w:pPr>
            <w:r>
              <w:rPr>
                <w:sz w:val="21"/>
              </w:rPr>
              <w:t>1、中标单位必须落实全镇病媒生物消杀工作，</w:t>
            </w:r>
            <w:r>
              <w:rPr>
                <w:sz w:val="21"/>
              </w:rPr>
              <w:t>每年</w:t>
            </w:r>
            <w:r>
              <w:rPr>
                <w:sz w:val="21"/>
              </w:rPr>
              <w:t>1、2、3、4、7、8、9和12月</w:t>
            </w:r>
            <w:r>
              <w:rPr>
                <w:sz w:val="21"/>
              </w:rPr>
              <w:t>确保各区域每月</w:t>
            </w:r>
            <w:r>
              <w:rPr>
                <w:sz w:val="21"/>
              </w:rPr>
              <w:t>至少</w:t>
            </w:r>
            <w:r>
              <w:rPr>
                <w:sz w:val="21"/>
              </w:rPr>
              <w:t>1次的灭鼠、灭蚊、灭蝇、灭蟑螂作业，达到国家标准C级以上。</w:t>
            </w:r>
            <w:r>
              <w:rPr>
                <w:sz w:val="21"/>
              </w:rPr>
              <w:t>如遇每年蚊虫高峰期</w:t>
            </w:r>
            <w:r>
              <w:rPr>
                <w:sz w:val="21"/>
              </w:rPr>
              <w:t>5、6、10和11月</w:t>
            </w:r>
            <w:r>
              <w:rPr>
                <w:sz w:val="21"/>
              </w:rPr>
              <w:t>确保各区域每月</w:t>
            </w:r>
            <w:r>
              <w:rPr>
                <w:sz w:val="21"/>
              </w:rPr>
              <w:t>至少</w:t>
            </w:r>
            <w:r>
              <w:rPr>
                <w:sz w:val="21"/>
              </w:rPr>
              <w:t>2</w:t>
            </w:r>
            <w:r>
              <w:rPr>
                <w:sz w:val="21"/>
              </w:rPr>
              <w:t>次的灭鼠、灭蚊、灭蝇、灭蟑螂作业，达到国家标准</w:t>
            </w:r>
            <w:r>
              <w:rPr>
                <w:sz w:val="21"/>
              </w:rPr>
              <w:t>C级以上。如遇病媒生物密度超出标准时，中标单位必须服从采购单位的工作安排，</w:t>
            </w:r>
            <w:r>
              <w:rPr>
                <w:sz w:val="21"/>
              </w:rPr>
              <w:t>免费</w:t>
            </w:r>
            <w:r>
              <w:rPr>
                <w:sz w:val="21"/>
              </w:rPr>
              <w:t>增加病媒生物的消杀次数。</w:t>
            </w:r>
          </w:p>
          <w:p>
            <w:pPr>
              <w:ind w:firstLine="420"/>
            </w:pPr>
            <w:r>
              <w:rPr>
                <w:sz w:val="21"/>
              </w:rPr>
              <w:t>2、中标单位必须坚持“预防为主，综合防制”的消杀方针，使用国家规定或爱卫会认定和推荐的药物。病媒生物药物要建立进出登记台账，并取得“三证”。病媒生物作业时要注意安全用药，废弃药物要妥善处理，防止污染。</w:t>
            </w:r>
          </w:p>
          <w:p>
            <w:pPr>
              <w:ind w:firstLine="420"/>
            </w:pPr>
            <w:r>
              <w:rPr>
                <w:sz w:val="21"/>
              </w:rPr>
              <w:t>3、必须在凤岗镇设立固定办公场所和仓库。</w:t>
            </w:r>
          </w:p>
          <w:p>
            <w:pPr>
              <w:ind w:firstLine="420"/>
            </w:pPr>
            <w:r>
              <w:rPr>
                <w:sz w:val="21"/>
              </w:rPr>
              <w:t>4、病媒生物防制工作人员需经培训后上岗，按照东莞市爱国卫生运动委员会关于病媒生物防制工作的法规标准，规范操作。作业时必须统一服装、统一标准，做到文明作业。</w:t>
            </w:r>
          </w:p>
          <w:p>
            <w:pPr>
              <w:ind w:firstLine="420"/>
            </w:pPr>
            <w:r>
              <w:rPr>
                <w:sz w:val="21"/>
              </w:rPr>
              <w:t>5、在各村（社区）进行病媒生物作业时，要建立服务单位签字制度，按照社区、村小组的指引开展工作，重点解决基层群众反映的病媒生物问题。完成工作后要经过村小组、村委签字确认并给予评价。</w:t>
            </w:r>
          </w:p>
          <w:p>
            <w:pPr>
              <w:ind w:firstLine="420"/>
            </w:pPr>
            <w:r>
              <w:rPr>
                <w:sz w:val="21"/>
              </w:rPr>
              <w:t>6、做好每次病媒生物工作的记录，登记天气、时间、处理位置、用药量等数据，并拍摄现场照片。</w:t>
            </w:r>
          </w:p>
          <w:p>
            <w:pPr>
              <w:ind w:firstLine="420"/>
            </w:pPr>
            <w:r>
              <w:rPr>
                <w:sz w:val="21"/>
              </w:rPr>
              <w:t>7、安排专人负责巡查和选点监测病媒生物防制效果，并根据实际效果调整用药时间、配方。</w:t>
            </w:r>
          </w:p>
          <w:p>
            <w:pPr>
              <w:ind w:firstLine="420"/>
            </w:pPr>
            <w:r>
              <w:rPr>
                <w:sz w:val="21"/>
              </w:rPr>
              <w:t>8、中标单位需按甲方要求投入相关技术人员和监测设备，每月开展“四害”密度监测，检测结果以书面报告形式在每月月底前上报甲方。</w:t>
            </w:r>
          </w:p>
          <w:p>
            <w:pPr>
              <w:ind w:firstLine="420"/>
            </w:pPr>
            <w:r>
              <w:rPr>
                <w:sz w:val="21"/>
              </w:rPr>
              <w:t>9、每季度由第三方机构开展“四害”密度监测并出具相关报告，监测费用由中标单位承担，每年3月、6月、9月、12月底前检测结果以书面报告形式上报甲方。</w:t>
            </w:r>
          </w:p>
          <w:p>
            <w:pPr>
              <w:ind w:firstLine="422"/>
            </w:pPr>
            <w:r>
              <w:rPr>
                <w:b/>
                <w:sz w:val="21"/>
              </w:rPr>
              <w:t>三</w:t>
            </w:r>
            <w:r>
              <w:rPr>
                <w:b/>
                <w:sz w:val="21"/>
              </w:rPr>
              <w:t>、除四害项目人员、设备配置</w:t>
            </w:r>
          </w:p>
          <w:p>
            <w:pPr>
              <w:ind w:firstLine="420"/>
            </w:pPr>
            <w:r>
              <w:rPr>
                <w:sz w:val="21"/>
              </w:rPr>
              <w:t>（一）项目人员、设备、用药配置要求</w:t>
            </w:r>
          </w:p>
          <w:p>
            <w:pPr>
              <w:ind w:firstLine="420"/>
            </w:pPr>
            <w:r>
              <w:rPr>
                <w:sz w:val="21"/>
              </w:rPr>
              <w:t>（</w:t>
            </w:r>
            <w:r>
              <w:rPr>
                <w:sz w:val="21"/>
              </w:rPr>
              <w:t>1）人员配置数量</w:t>
            </w:r>
          </w:p>
          <w:tbl>
            <w:tblPr>
              <w:tblBorders>
                <w:top w:val="none" w:color="000000" w:sz="4"/>
                <w:left w:val="none" w:color="000000" w:sz="4"/>
                <w:bottom w:val="none" w:color="000000" w:sz="4"/>
                <w:right w:val="none" w:color="000000" w:sz="4"/>
                <w:insideH w:val="none"/>
                <w:insideV w:val="none"/>
              </w:tblBorders>
            </w:tblPr>
            <w:tblGrid>
              <w:gridCol w:w="534"/>
              <w:gridCol w:w="1116"/>
              <w:gridCol w:w="872"/>
              <w:gridCol w:w="2512"/>
            </w:tblGrid>
            <w:tr>
              <w:tc>
                <w:tcPr>
                  <w:tcW w:type="dxa" w:w="534"/>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1116"/>
                  <w:tcBorders>
                    <w:top w:val="single" w:color="000000" w:sz="4"/>
                    <w:left w:val="single" w:color="000000" w:sz="4"/>
                    <w:bottom w:val="single" w:color="000000" w:sz="4"/>
                    <w:right w:val="single" w:color="000000" w:sz="4"/>
                  </w:tcBorders>
                  <w:shd w:fill="F2F2F2"/>
                  <w:vAlign w:val="top"/>
                </w:tcPr>
                <w:p>
                  <w:pPr>
                    <w:jc w:val="center"/>
                  </w:pPr>
                  <w:r>
                    <w:rPr>
                      <w:sz w:val="21"/>
                    </w:rPr>
                    <w:t>岗位</w:t>
                  </w:r>
                </w:p>
              </w:tc>
              <w:tc>
                <w:tcPr>
                  <w:tcW w:type="dxa" w:w="872"/>
                  <w:tcBorders>
                    <w:top w:val="single" w:color="000000" w:sz="4"/>
                    <w:left w:val="single" w:color="000000" w:sz="4"/>
                    <w:bottom w:val="single" w:color="000000" w:sz="4"/>
                    <w:right w:val="single" w:color="000000" w:sz="4"/>
                  </w:tcBorders>
                  <w:shd w:fill="F2F2F2"/>
                  <w:vAlign w:val="top"/>
                </w:tcPr>
                <w:p>
                  <w:pPr>
                    <w:jc w:val="center"/>
                  </w:pPr>
                  <w:r>
                    <w:rPr>
                      <w:sz w:val="21"/>
                    </w:rPr>
                    <w:t>人数</w:t>
                  </w:r>
                </w:p>
              </w:tc>
              <w:tc>
                <w:tcPr>
                  <w:tcW w:type="dxa" w:w="2512"/>
                  <w:tcBorders>
                    <w:top w:val="single" w:color="000000" w:sz="4"/>
                    <w:left w:val="single" w:color="000000" w:sz="4"/>
                    <w:bottom w:val="single" w:color="000000" w:sz="4"/>
                    <w:right w:val="single" w:color="000000" w:sz="4"/>
                  </w:tcBorders>
                  <w:shd w:fill="F2F2F2"/>
                  <w:vAlign w:val="top"/>
                </w:tcPr>
                <w:p>
                  <w:pPr>
                    <w:jc w:val="center"/>
                  </w:pPr>
                  <w:r>
                    <w:rPr>
                      <w:sz w:val="21"/>
                    </w:rPr>
                    <w:t>备注</w:t>
                  </w:r>
                </w:p>
              </w:tc>
            </w:tr>
            <w:tr>
              <w:tc>
                <w:tcPr>
                  <w:tcW w:type="dxa" w:w="53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16"/>
                  <w:tcBorders>
                    <w:top w:val="none" w:color="000000" w:sz="4"/>
                    <w:left w:val="single" w:color="000000" w:sz="4"/>
                    <w:bottom w:val="single" w:color="000000" w:sz="4"/>
                    <w:right w:val="single" w:color="000000" w:sz="4"/>
                  </w:tcBorders>
                  <w:vAlign w:val="top"/>
                </w:tcPr>
                <w:p>
                  <w:pPr>
                    <w:jc w:val="center"/>
                  </w:pPr>
                  <w:r>
                    <w:rPr>
                      <w:sz w:val="21"/>
                    </w:rPr>
                    <w:t>负责人</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负责全面工作</w:t>
                  </w:r>
                </w:p>
              </w:tc>
            </w:tr>
            <w:tr>
              <w:tc>
                <w:tcPr>
                  <w:tcW w:type="dxa" w:w="53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16"/>
                  <w:tcBorders>
                    <w:top w:val="none" w:color="000000" w:sz="4"/>
                    <w:left w:val="single" w:color="000000" w:sz="4"/>
                    <w:bottom w:val="single" w:color="000000" w:sz="4"/>
                    <w:right w:val="single" w:color="000000" w:sz="4"/>
                  </w:tcBorders>
                  <w:vAlign w:val="top"/>
                </w:tcPr>
                <w:p>
                  <w:pPr>
                    <w:jc w:val="center"/>
                  </w:pPr>
                  <w:r>
                    <w:rPr>
                      <w:sz w:val="21"/>
                    </w:rPr>
                    <w:t>组长</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负责统筹安排全组施工人员作业</w:t>
                  </w:r>
                </w:p>
              </w:tc>
            </w:tr>
            <w:tr>
              <w:tc>
                <w:tcPr>
                  <w:tcW w:type="dxa" w:w="53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16"/>
                  <w:tcBorders>
                    <w:top w:val="none" w:color="000000" w:sz="4"/>
                    <w:left w:val="single" w:color="000000" w:sz="4"/>
                    <w:bottom w:val="single" w:color="000000" w:sz="4"/>
                    <w:right w:val="single" w:color="000000" w:sz="4"/>
                  </w:tcBorders>
                  <w:vAlign w:val="top"/>
                </w:tcPr>
                <w:p>
                  <w:pPr>
                    <w:jc w:val="center"/>
                  </w:pPr>
                  <w:r>
                    <w:rPr>
                      <w:sz w:val="21"/>
                    </w:rPr>
                    <w:t>文员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负责仓管、每日作业记录及资料整理</w:t>
                  </w:r>
                </w:p>
              </w:tc>
            </w:tr>
            <w:tr>
              <w:tc>
                <w:tcPr>
                  <w:tcW w:type="dxa" w:w="53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16"/>
                  <w:tcBorders>
                    <w:top w:val="none" w:color="000000" w:sz="4"/>
                    <w:left w:val="single" w:color="000000" w:sz="4"/>
                    <w:bottom w:val="single" w:color="000000" w:sz="4"/>
                    <w:right w:val="single" w:color="000000" w:sz="4"/>
                  </w:tcBorders>
                  <w:vAlign w:val="top"/>
                </w:tcPr>
                <w:p>
                  <w:pPr>
                    <w:jc w:val="center"/>
                  </w:pPr>
                  <w:r>
                    <w:rPr>
                      <w:sz w:val="21"/>
                    </w:rPr>
                    <w:t>施工员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5</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负责现场作业</w:t>
                  </w:r>
                </w:p>
              </w:tc>
            </w:tr>
            <w:tr>
              <w:tc>
                <w:tcPr>
                  <w:tcW w:type="dxa" w:w="1650"/>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8</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p>
              </w:tc>
            </w:tr>
          </w:tbl>
          <w:p>
            <w:pPr>
              <w:ind w:firstLine="420"/>
            </w:pPr>
            <w:r>
              <w:rPr>
                <w:sz w:val="21"/>
              </w:rPr>
              <w:t>（</w:t>
            </w:r>
            <w:r>
              <w:rPr>
                <w:sz w:val="21"/>
              </w:rPr>
              <w:t>2）机械设备及工具数量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热烟机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4</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背负式机动喷雾机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7</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手提式喷雾机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5</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超低容量电动喷雾机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4</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病媒生物消杀作业</w:t>
                  </w:r>
                  <w:r>
                    <w:rPr>
                      <w:sz w:val="21"/>
                    </w:rPr>
                    <w:t>轻型货车</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辆</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w:t>
                  </w:r>
                </w:p>
              </w:tc>
            </w:tr>
          </w:tbl>
          <w:p>
            <w:pPr>
              <w:ind w:firstLine="405"/>
            </w:pPr>
            <w:r>
              <w:rPr>
                <w:sz w:val="21"/>
              </w:rPr>
              <w:t>（</w:t>
            </w:r>
            <w:r>
              <w:rPr>
                <w:sz w:val="21"/>
              </w:rPr>
              <w:t>3）每年每平方公里需施用的药物品种及数量：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灭蚊幼颗粒剂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75</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鼠药</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240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left"/>
                  </w:pPr>
                  <w:r>
                    <w:rPr>
                      <w:sz w:val="21"/>
                    </w:rPr>
                    <w:t>灭蚊药（</w:t>
                  </w:r>
                  <w:r>
                    <w:rPr>
                      <w:sz w:val="21"/>
                    </w:rPr>
                    <w:t>5%氯氰菊酯悬浮剂、10.4%氯菊酯烯丙菊酯水乳剂、10%高氯残杀威悬浮剂三种药物各</w:t>
                  </w:r>
                  <w:r>
                    <w:rPr>
                      <w:sz w:val="21"/>
                    </w:rPr>
                    <w:t>33</w:t>
                  </w:r>
                  <w:r>
                    <w:rPr>
                      <w:sz w:val="21"/>
                    </w:rPr>
                    <w:t>L）</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99</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烟雾剂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鼠饵站</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bl>
          <w:p>
            <w:pPr>
              <w:ind w:firstLine="420"/>
            </w:pPr>
          </w:p>
          <w:p>
            <w:pPr>
              <w:ind w:firstLine="420"/>
            </w:pPr>
            <w:r>
              <w:rPr>
                <w:sz w:val="21"/>
              </w:rPr>
              <w:t>（二）人员、设备管理要求</w:t>
            </w:r>
          </w:p>
          <w:p>
            <w:pPr>
              <w:ind w:firstLine="405"/>
            </w:pPr>
            <w:r>
              <w:rPr>
                <w:sz w:val="21"/>
              </w:rPr>
              <w:t>1、本项目的设备、车辆在合同签订后30天内要经采购人验收认定，要求出具证明该批设备为中标供应商所有的文件或发票。如数量不符，则作违约处理，采购人有权取消中标人中标资格。</w:t>
            </w:r>
          </w:p>
          <w:p>
            <w:pPr>
              <w:ind w:firstLine="405"/>
            </w:pPr>
            <w:r>
              <w:rPr>
                <w:sz w:val="21"/>
              </w:rPr>
              <w:t>2、实际进场的项目工作人员必须与投标中列明的人员数量相符，每少1个人在每月考核评分中扣1分。</w:t>
            </w:r>
          </w:p>
          <w:p>
            <w:pPr>
              <w:ind w:firstLine="405"/>
            </w:pPr>
            <w:r>
              <w:rPr>
                <w:sz w:val="21"/>
              </w:rPr>
              <w:t>3、项目所使用设备、车辆须做好维护保养，保持外观整洁。</w:t>
            </w:r>
          </w:p>
          <w:p>
            <w:pPr>
              <w:ind w:firstLine="310"/>
            </w:pPr>
          </w:p>
          <w:p>
            <w:pPr>
              <w:ind w:firstLine="310"/>
            </w:pPr>
            <w:r>
              <w:rPr>
                <w:b/>
                <w:sz w:val="21"/>
              </w:rPr>
              <w:t>四</w:t>
            </w:r>
            <w:r>
              <w:rPr>
                <w:b/>
                <w:sz w:val="21"/>
              </w:rPr>
              <w:t>、双方责任</w:t>
            </w:r>
          </w:p>
          <w:p>
            <w:pPr>
              <w:ind w:firstLine="420"/>
            </w:pPr>
            <w:r>
              <w:rPr>
                <w:sz w:val="21"/>
              </w:rPr>
              <w:t>（一）采购单位责任</w:t>
            </w:r>
          </w:p>
          <w:p>
            <w:pPr>
              <w:ind w:firstLine="420"/>
            </w:pPr>
            <w:r>
              <w:rPr>
                <w:sz w:val="21"/>
              </w:rPr>
              <w:t>1、采购单位应配合中标单位做好环境卫生科学知识及环境卫生管理有关规定的宣传工作，提高居民的环境卫生意识，要求居民遵守环境卫生管理规定，指导中标单位搞好病媒生物工作。</w:t>
            </w:r>
          </w:p>
          <w:p>
            <w:pPr>
              <w:ind w:firstLine="420"/>
            </w:pPr>
            <w:r>
              <w:rPr>
                <w:sz w:val="21"/>
              </w:rPr>
              <w:t>2、采购单位应按合同规定的时间，及时足额支付给中标单位承包费，具体支付时间以财政下拨款项的时间为准。由于承包费用未及时支付而致使病媒生物任务无法完成的，由采购单位承担全部责任。</w:t>
            </w:r>
          </w:p>
          <w:p>
            <w:pPr>
              <w:ind w:firstLine="420"/>
            </w:pPr>
            <w:r>
              <w:rPr>
                <w:sz w:val="21"/>
              </w:rPr>
              <w:t>（二）中标单位责任</w:t>
            </w:r>
          </w:p>
          <w:p>
            <w:pPr>
              <w:ind w:firstLine="420"/>
            </w:pPr>
            <w:r>
              <w:rPr>
                <w:sz w:val="21"/>
              </w:rPr>
              <w:t>1、中标单位病媒生物工作必须做好安全措施，若出现损害中标单位人员或第三人财产损失、人员伤亡安全事故由中标单位负责。</w:t>
            </w:r>
          </w:p>
          <w:p>
            <w:pPr>
              <w:ind w:firstLine="420"/>
            </w:pPr>
            <w:r>
              <w:rPr>
                <w:sz w:val="21"/>
              </w:rPr>
              <w:t>2、中标单位必须根据中标方案中作出的承诺、作业方案及招标文件中的各项任务，组织员工履行各项职责，使承包后东莞市凤岗镇的病媒生物质量有明显提高。</w:t>
            </w:r>
          </w:p>
          <w:p>
            <w:pPr>
              <w:ind w:firstLine="420"/>
            </w:pPr>
            <w:r>
              <w:rPr>
                <w:sz w:val="21"/>
              </w:rPr>
              <w:t>3、中标单位必须随时接受并配合采购单位、专项检查小组、上级爱卫管理部门以及其它相关部门的监督、检查和指导，必须无条件服从采购单位组织的一些突击性任务及迎检活动，按时、按标准、按要求完成所分配的工作。</w:t>
            </w:r>
          </w:p>
          <w:p>
            <w:pPr>
              <w:ind w:firstLine="420"/>
            </w:pPr>
            <w:r>
              <w:rPr>
                <w:sz w:val="21"/>
              </w:rPr>
              <w:t>4、中标单位必须提供足够的人手、工具和物料实施承包方案。</w:t>
            </w:r>
          </w:p>
          <w:p>
            <w:pPr>
              <w:ind w:firstLine="420"/>
            </w:pPr>
            <w:r>
              <w:rPr>
                <w:sz w:val="21"/>
              </w:rPr>
              <w:t>5、采购单位有权对中标单位进行随机检查，如发现中标单位组织措施不当、计划不落实、管理不严，方案中所列人员、机械设备（工具）与现场实际不符，导致病媒生物质量达不到规定标准，中标单位在接到采购单位的书面通知后，一个星期内必须整改，否则当月考核评分为“不合格”。</w:t>
            </w:r>
          </w:p>
          <w:p>
            <w:pPr>
              <w:ind w:firstLine="420"/>
            </w:pPr>
            <w:r>
              <w:rPr>
                <w:sz w:val="21"/>
              </w:rPr>
              <w:t>6、中标单位根据所承担的作业内容，按实际上岗人数自行到有关部门申办用工手续</w:t>
            </w:r>
            <w:r>
              <w:rPr>
                <w:sz w:val="21"/>
              </w:rPr>
              <w:t>（包括履行签订劳动合同、购买社保等法定义务）</w:t>
            </w:r>
            <w:r>
              <w:rPr>
                <w:sz w:val="21"/>
              </w:rPr>
              <w:t>，安排好属下人员的住宿和教育管理工作。</w:t>
            </w:r>
          </w:p>
          <w:p>
            <w:pPr>
              <w:ind w:firstLine="420"/>
            </w:pPr>
            <w:r>
              <w:rPr>
                <w:sz w:val="21"/>
              </w:rPr>
              <w:t>7、在服务期间，中标单位需做好安全教育，否则出现的一切安全事故由中标单位负责。</w:t>
            </w:r>
          </w:p>
          <w:p>
            <w:pPr>
              <w:ind w:firstLine="420"/>
            </w:pPr>
            <w:r>
              <w:rPr>
                <w:sz w:val="21"/>
              </w:rPr>
              <w:t>8、在服务期间，在“三防”设施达到的情况下，中标单位当月未达到中国人民共和国国家标准GB/T23798-2009《病媒生物密度监测方法》标准C级以上，扣除当月全部承包款；中标单位连续两个月未达到中国人民共和国国家标准GB/T23798-2009《病媒生物密度监测方法》标准C级以上，本项目合同自动终止并扣除当月全部承包款。</w:t>
            </w:r>
          </w:p>
          <w:p>
            <w:pPr>
              <w:ind w:firstLine="420"/>
            </w:pPr>
            <w:r>
              <w:rPr>
                <w:sz w:val="21"/>
              </w:rPr>
              <w:t>9、在服务期间，若凤岗镇</w:t>
            </w:r>
            <w:r>
              <w:rPr>
                <w:sz w:val="21"/>
              </w:rPr>
              <w:t>因该项目的</w:t>
            </w:r>
            <w:r>
              <w:rPr>
                <w:sz w:val="21"/>
              </w:rPr>
              <w:t>病媒生物防制效果不达标导致未能通过国家卫生镇或其他重大事项除“四害”相关检查，本项目合同自动终止并扣除当月全部承包款。</w:t>
            </w:r>
          </w:p>
          <w:p>
            <w:pPr>
              <w:ind w:firstLine="405"/>
            </w:pPr>
            <w:r>
              <w:rPr>
                <w:b/>
                <w:sz w:val="21"/>
              </w:rPr>
              <w:t>五</w:t>
            </w:r>
            <w:r>
              <w:rPr>
                <w:b/>
                <w:sz w:val="21"/>
              </w:rPr>
              <w:t>、考核标准</w:t>
            </w:r>
          </w:p>
          <w:p>
            <w:pPr>
              <w:ind w:firstLine="420"/>
            </w:pPr>
            <w:r>
              <w:rPr>
                <w:sz w:val="21"/>
              </w:rPr>
              <w:t>（一）检查验收制度</w:t>
            </w:r>
          </w:p>
          <w:p>
            <w:pPr>
              <w:ind w:firstLine="420"/>
            </w:pPr>
            <w:r>
              <w:rPr>
                <w:sz w:val="21"/>
              </w:rPr>
              <w:t>1、以镇村检查相结合的方式对全镇除“四害”工作进行定期不定期检查。由镇公用事业服务中心根据实际除“四害”工作开展情况及“四害”消杀成效，结合各村（居）在除“四害”工作卡上的签字和评价，对中标公司进行综合评分。</w:t>
            </w:r>
          </w:p>
          <w:p>
            <w:pPr>
              <w:ind w:firstLine="420"/>
            </w:pPr>
            <w:r>
              <w:rPr>
                <w:sz w:val="21"/>
              </w:rPr>
              <w:t>2、每月按照评分情况向中标公司支付承包款项，每月的扣分罚款从当月承包款中扣除。</w:t>
            </w:r>
          </w:p>
          <w:p>
            <w:pPr>
              <w:ind w:firstLine="420"/>
            </w:pPr>
            <w:r>
              <w:rPr>
                <w:sz w:val="21"/>
              </w:rPr>
              <w:t>3、镇、村检查人员必须严格遵守标准进行实际操作，不能以权谋私，玩忽职守。</w:t>
            </w:r>
          </w:p>
          <w:p>
            <w:pPr>
              <w:ind w:firstLine="420"/>
            </w:pPr>
            <w:r>
              <w:rPr>
                <w:sz w:val="21"/>
              </w:rPr>
              <w:t>（二）考核评分办法</w:t>
            </w:r>
          </w:p>
          <w:p>
            <w:pPr>
              <w:ind w:firstLine="420"/>
            </w:pPr>
            <w:r>
              <w:rPr>
                <w:sz w:val="21"/>
              </w:rPr>
              <w:t>除</w:t>
            </w:r>
            <w:r>
              <w:rPr>
                <w:sz w:val="21"/>
              </w:rPr>
              <w:t>“四害”评分考核采用百分制，满分为100分，分好（100分—90分），中（89分—80分），差（80分以下）三个档次。</w:t>
            </w:r>
          </w:p>
          <w:p>
            <w:pPr>
              <w:ind w:firstLine="420"/>
            </w:pPr>
            <w:r>
              <w:rPr>
                <w:sz w:val="21"/>
              </w:rPr>
              <w:t>1、中标公司得分低于90分（不含90分），以90分为基数，每减少1分，扣减当月承包款￥2000.00元；</w:t>
            </w:r>
          </w:p>
          <w:p>
            <w:pPr>
              <w:ind w:firstLine="420"/>
            </w:pPr>
            <w:r>
              <w:rPr>
                <w:sz w:val="21"/>
              </w:rPr>
              <w:t>2、中标公司得分在80分以下（不含80分），以80分为基数，每减少1分，扣减当月承包款￥3000.00元。</w:t>
            </w:r>
          </w:p>
          <w:p>
            <w:pPr>
              <w:ind w:firstLine="420"/>
            </w:pPr>
            <w:r>
              <w:rPr>
                <w:sz w:val="21"/>
              </w:rPr>
              <w:t>3、中标公司得分在70分以下（不含70分），以70分为基数，每减少1分，扣减当月承包款￥5000.00元。</w:t>
            </w:r>
          </w:p>
          <w:p>
            <w:pPr>
              <w:ind w:firstLine="420"/>
            </w:pPr>
            <w:r>
              <w:rPr>
                <w:sz w:val="21"/>
              </w:rPr>
              <w:t>合同期内连续出现</w:t>
            </w:r>
            <w:r>
              <w:rPr>
                <w:sz w:val="21"/>
              </w:rPr>
              <w:t>3次检查评分在70以下的，除按规定扣款外，采购人有权中止合同。</w:t>
            </w:r>
          </w:p>
          <w:p>
            <w:pPr>
              <w:jc w:val="center"/>
            </w:pPr>
            <w:r>
              <w:rPr>
                <w:b/>
                <w:color w:val="000000"/>
                <w:sz w:val="28"/>
              </w:rPr>
              <w:t>凤岗镇除</w:t>
            </w:r>
            <w:r>
              <w:rPr>
                <w:b/>
                <w:color w:val="000000"/>
                <w:sz w:val="28"/>
              </w:rPr>
              <w:t>“四害”考核评分表</w:t>
            </w:r>
          </w:p>
          <w:tbl>
            <w:tblPr>
              <w:tblBorders>
                <w:top w:val="none" w:color="000000" w:sz="4"/>
                <w:left w:val="none" w:color="000000" w:sz="4"/>
                <w:bottom w:val="none" w:color="000000" w:sz="4"/>
                <w:right w:val="none" w:color="000000" w:sz="4"/>
                <w:insideH w:val="none"/>
                <w:insideV w:val="none"/>
              </w:tblBorders>
            </w:tblPr>
            <w:tblGrid>
              <w:gridCol w:w="561"/>
              <w:gridCol w:w="358"/>
              <w:gridCol w:w="2566"/>
              <w:gridCol w:w="1268"/>
              <w:gridCol w:w="455"/>
              <w:gridCol w:w="358"/>
            </w:tblGrid>
            <w:tr>
              <w:tc>
                <w:tcPr>
                  <w:tcW w:type="dxa" w:w="561"/>
                  <w:tcBorders>
                    <w:top w:val="single" w:color="000000" w:sz="4"/>
                    <w:left w:val="single" w:color="000000" w:sz="4"/>
                    <w:bottom w:val="single" w:color="000000" w:sz="4"/>
                    <w:right w:val="single" w:color="000000" w:sz="4"/>
                  </w:tcBorders>
                  <w:vAlign w:val="top"/>
                </w:tcPr>
                <w:p>
                  <w:pPr>
                    <w:jc w:val="left"/>
                  </w:pPr>
                  <w:r>
                    <w:rPr>
                      <w:b/>
                      <w:color w:val="000000"/>
                      <w:sz w:val="21"/>
                    </w:rPr>
                    <w:t>总</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项</w:t>
                  </w:r>
                </w:p>
                <w:p>
                  <w:pPr>
                    <w:jc w:val="left"/>
                  </w:pPr>
                  <w:r>
                    <w:rPr>
                      <w:b/>
                      <w:color w:val="000000"/>
                      <w:sz w:val="21"/>
                    </w:rPr>
                    <w:t>目</w:t>
                  </w:r>
                </w:p>
              </w:tc>
              <w:tc>
                <w:tcPr>
                  <w:tcW w:type="dxa" w:w="2566"/>
                  <w:tcBorders>
                    <w:top w:val="single" w:color="000000" w:sz="4"/>
                    <w:left w:val="none" w:color="000000" w:sz="4"/>
                    <w:bottom w:val="single" w:color="000000" w:sz="4"/>
                    <w:right w:val="single" w:color="000000" w:sz="4"/>
                  </w:tcBorders>
                  <w:vAlign w:val="top"/>
                </w:tcPr>
                <w:p>
                  <w:pPr>
                    <w:jc w:val="center"/>
                  </w:pPr>
                  <w:r>
                    <w:rPr>
                      <w:b/>
                      <w:color w:val="000000"/>
                      <w:sz w:val="21"/>
                    </w:rPr>
                    <w:t>考核检查方法及评价依据</w:t>
                  </w:r>
                </w:p>
              </w:tc>
              <w:tc>
                <w:tcPr>
                  <w:tcW w:type="dxa" w:w="1268"/>
                  <w:tcBorders>
                    <w:top w:val="single" w:color="000000" w:sz="4"/>
                    <w:left w:val="none" w:color="000000" w:sz="4"/>
                    <w:bottom w:val="single" w:color="000000" w:sz="4"/>
                    <w:right w:val="single" w:color="000000" w:sz="4"/>
                  </w:tcBorders>
                  <w:vAlign w:val="top"/>
                </w:tcPr>
                <w:p>
                  <w:pPr>
                    <w:jc w:val="center"/>
                  </w:pPr>
                  <w:r>
                    <w:rPr>
                      <w:b/>
                      <w:color w:val="000000"/>
                      <w:sz w:val="21"/>
                    </w:rPr>
                    <w:t>扣分方法</w:t>
                  </w:r>
                </w:p>
              </w:tc>
              <w:tc>
                <w:tcPr>
                  <w:tcW w:type="dxa" w:w="455"/>
                  <w:tcBorders>
                    <w:top w:val="single" w:color="000000" w:sz="4"/>
                    <w:left w:val="none" w:color="000000" w:sz="4"/>
                    <w:bottom w:val="single" w:color="000000" w:sz="4"/>
                    <w:right w:val="single" w:color="000000" w:sz="4"/>
                  </w:tcBorders>
                  <w:vAlign w:val="top"/>
                </w:tcPr>
                <w:p>
                  <w:pPr>
                    <w:jc w:val="left"/>
                  </w:pPr>
                  <w:r>
                    <w:rPr>
                      <w:b/>
                      <w:color w:val="000000"/>
                      <w:sz w:val="21"/>
                    </w:rPr>
                    <w:t>应</w:t>
                  </w:r>
                </w:p>
                <w:p>
                  <w:pPr>
                    <w:jc w:val="left"/>
                  </w:pPr>
                  <w:r>
                    <w:rPr>
                      <w:b/>
                      <w:color w:val="000000"/>
                      <w:sz w:val="21"/>
                    </w:rPr>
                    <w:t>得</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实</w:t>
                  </w:r>
                </w:p>
                <w:p>
                  <w:pPr>
                    <w:jc w:val="left"/>
                  </w:pPr>
                  <w:r>
                    <w:rPr>
                      <w:b/>
                      <w:color w:val="000000"/>
                      <w:sz w:val="21"/>
                    </w:rPr>
                    <w:t>得</w:t>
                  </w:r>
                </w:p>
                <w:p>
                  <w:pPr>
                    <w:jc w:val="left"/>
                  </w:pPr>
                  <w:r>
                    <w:rPr>
                      <w:b/>
                      <w:color w:val="000000"/>
                      <w:sz w:val="21"/>
                    </w:rPr>
                    <w:t>分</w:t>
                  </w:r>
                </w:p>
              </w:tc>
            </w:tr>
            <w:tr>
              <w:tc>
                <w:tcPr>
                  <w:tcW w:type="dxa" w:w="561"/>
                  <w:vMerge w:val="restart"/>
                  <w:tcBorders>
                    <w:top w:val="none" w:color="000000" w:sz="4"/>
                    <w:left w:val="single" w:color="000000" w:sz="4"/>
                    <w:bottom w:val="single" w:color="000000" w:sz="4"/>
                    <w:right w:val="single" w:color="000000" w:sz="4"/>
                  </w:tcBorders>
                  <w:vAlign w:val="top"/>
                </w:tcPr>
                <w:p>
                  <w:pPr>
                    <w:jc w:val="center"/>
                  </w:pPr>
                  <w:r>
                    <w:rPr>
                      <w:color w:val="000000"/>
                      <w:sz w:val="21"/>
                    </w:rPr>
                    <w:t>100分</w:t>
                  </w: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鼠</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1、粉迹法（每15平方米房间布放20*20厘米粉板两块）监测鼠足印阳率低于2%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2、鼠迹（鼠洞、鼠粪、鼠路、鼠咬痕），有鼠迹房间不超过2%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3、2000米外环境鼠迹不超过5处</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3、每超过1处扣2分，扣完为止。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蚊</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1、居民区、单位内外环境各种存水容器和积水中的幼蚊及蛹，阳性率低于3%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2、用500ML收集勺采集城区内大中型水体中的蚊幼虫或蛹，阳性率低于1%，阳性勺内幼虫或蛹的平均数不超过3只</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2、每超出1只扣1分，扣完为止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3、在特殊场所白天人诱蚊60分钟，平均诱获成蚊不超过1只/人次</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3、每超过1只/人次扣1分，扣完为止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蝇</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w:t>
                  </w:r>
                  <w:r>
                    <w:rPr>
                      <w:sz w:val="21"/>
                    </w:rPr>
                    <w:t>重点单位（如饮食、食品加工、销售业）</w:t>
                  </w:r>
                  <w:r>
                    <w:rPr>
                      <w:color w:val="000000"/>
                      <w:sz w:val="21"/>
                    </w:rPr>
                    <w:t>有蝇房间不超过</w:t>
                  </w:r>
                  <w:r>
                    <w:rPr>
                      <w:color w:val="000000"/>
                      <w:sz w:val="21"/>
                    </w:rPr>
                    <w:t>1%</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2、加工、销售、存放直接入口食品的场所，不得有蝇</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2、每发现1只扣0.2分，扣完为止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w:t>
                  </w:r>
                  <w:r>
                    <w:rPr>
                      <w:sz w:val="21"/>
                    </w:rPr>
                    <w:t>一般单位（如机关、学校、工厂）</w:t>
                  </w:r>
                  <w:r>
                    <w:rPr>
                      <w:color w:val="000000"/>
                      <w:sz w:val="21"/>
                    </w:rPr>
                    <w:t>有蝇房间不超过</w:t>
                  </w:r>
                  <w:r>
                    <w:rPr>
                      <w:color w:val="000000"/>
                      <w:sz w:val="21"/>
                    </w:rPr>
                    <w:t>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4、蝇类孳生地（外环境、垃圾容器、垃圾存放地等），得到有效治理，幼虫和蛹的检出率不超过3%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蟑</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1、检查室内蟑螂成虫或幼虫，阳性房间不超过3%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2、有活蟑螂卵鞘房间，阳性房间不超过5%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3、蟑螂孳生栖息场所的清理，查墙的孔洞、缝隙蟑迹：粪便、蜕皮、蟑尸、空卵鞘等，阳性房间不超过5%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其</w:t>
                  </w:r>
                </w:p>
                <w:p>
                  <w:pPr>
                    <w:jc w:val="left"/>
                  </w:pPr>
                  <w:r>
                    <w:rPr>
                      <w:color w:val="000000"/>
                      <w:sz w:val="21"/>
                    </w:rPr>
                    <w:t>他</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1、工作人员要持证上岗，并要与群众保持良好关系</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1、没有持证上岗的，每人次扣0.5分，被群众投诉，情况属实的，每次扣1分，扣完为止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2、工作人员数量与投标文件承诺的数量不符</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2、每少1人扣1分，扣完为止。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3、每月除“四害”消杀行动要达1次以上</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3、达不到要求的，每少1次扣3分，扣完为止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4、除“四害”工作要确保使用的药物有质量合格证明，作业方式正确</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4、达不到要求的，每次扣1分，扣完为止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5、配合甲方做好相关的检查工作，能及时处理突发事件。不发生</w:t>
                  </w:r>
                  <w:r>
                    <w:rPr>
                      <w:sz w:val="21"/>
                    </w:rPr>
                    <w:t>被市、区领导批评或被媒体曝光情况。</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5、未按要求配合的，或出现批评、投诉、曝光情况属实的每次扣1分，扣完为止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bl>
          <w:p>
            <w:pPr>
              <w:jc w:val="left"/>
            </w:pPr>
          </w:p>
          <w:p>
            <w:pPr>
              <w:jc w:val="left"/>
            </w:pPr>
            <w:r>
              <w:rPr>
                <w:sz w:val="21"/>
              </w:rPr>
              <w:t>备注：甲方可根据管理需要与</w:t>
            </w:r>
            <w:r>
              <w:rPr>
                <w:sz w:val="21"/>
              </w:rPr>
              <w:t>乙方</w:t>
            </w:r>
            <w:r>
              <w:rPr>
                <w:sz w:val="21"/>
              </w:rPr>
              <w:t>协商制定村（社区）级考核机制。</w:t>
            </w:r>
          </w:p>
          <w:p>
            <w:pPr>
              <w:jc w:val="left"/>
            </w:pPr>
            <w:r>
              <w:rPr>
                <w:b/>
                <w:sz w:val="22"/>
              </w:rPr>
              <w:t xml:space="preserve"> </w:t>
            </w:r>
          </w:p>
          <w:p>
            <w:pPr>
              <w:jc w:val="left"/>
            </w:pPr>
            <w:r>
              <w:rPr>
                <w:b/>
                <w:sz w:val="21"/>
              </w:rPr>
              <w:t>合计：实际得分（</w:t>
            </w:r>
            <w:r>
              <w:rPr>
                <w:b/>
                <w:sz w:val="21"/>
              </w:rPr>
              <w:t xml:space="preserve">     </w:t>
            </w:r>
            <w:r>
              <w:rPr>
                <w:b/>
                <w:sz w:val="21"/>
              </w:rPr>
              <w:t>）</w:t>
            </w:r>
            <w:r>
              <w:rPr>
                <w:b/>
                <w:sz w:val="21"/>
              </w:rPr>
              <w:t>=总分（100）－检查扣分（       ）</w:t>
            </w:r>
          </w:p>
          <w:p>
            <w:pPr>
              <w:jc w:val="left"/>
            </w:pPr>
            <w:r>
              <w:rPr>
                <w:sz w:val="22"/>
              </w:rPr>
              <w:t xml:space="preserve"> </w:t>
            </w:r>
          </w:p>
          <w:p>
            <w:pPr>
              <w:jc w:val="left"/>
            </w:pPr>
            <w:r>
              <w:rPr>
                <w:sz w:val="21"/>
              </w:rPr>
              <w:t>检查人员签名</w:t>
            </w:r>
            <w:r>
              <w:rPr>
                <w:sz w:val="21"/>
              </w:rPr>
              <w:t>:                                    市场化公司签名确认：</w:t>
            </w:r>
          </w:p>
          <w:p>
            <w:pPr>
              <w:jc w:val="left"/>
            </w:pPr>
            <w:r>
              <w:rPr>
                <w:sz w:val="22"/>
              </w:rPr>
              <w:t xml:space="preserve"> </w:t>
            </w:r>
          </w:p>
          <w:p>
            <w:pPr>
              <w:jc w:val="left"/>
            </w:pPr>
            <w:r>
              <w:rPr>
                <w:sz w:val="21"/>
              </w:rPr>
              <w:t>检查时间</w:t>
            </w:r>
            <w:r>
              <w:rPr>
                <w:sz w:val="21"/>
              </w:rPr>
              <w:t>:        年    月    日</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采购包2（标段二）：</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2022年9月1日至2025年8月31日，共计3年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单位按照先作业后拨付的拨款方式，逐月将承包款拨付给中标单位，每月15日前拨付上月的承包费(具体支付时间以财政下拨款项的时间为准)；每月承包费须经采购单位现场考核评分，根据评分结果是否须扣除违约金的情形确定实际应付款数额后支付；中标单位必须在每月5日前出具与实际应付款数额相符的发票给采购单位。</w:t>
            </w:r>
          </w:p>
        </w:tc>
      </w:tr>
      <w:tr>
        <w:tc>
          <w:tcPr>
            <w:tcW w:type="dxa" w:w="4153"/>
          </w:tcPr>
          <w:p>
            <w:r>
              <w:rPr/>
              <w:t>验收要求</w:t>
            </w:r>
          </w:p>
        </w:tc>
        <w:tc>
          <w:tcPr>
            <w:tcW w:type="dxa" w:w="4153"/>
          </w:tcPr>
          <w:p>
            <w:pPr>
              <w:jc w:val="left"/>
            </w:pPr>
          </w:p>
          <w:p/>
          <w:p/>
          <w:p>
            <w:r>
              <w:rPr/>
              <w:t>1期：按国家及相关行业标准进行验收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1、报价要求：:投标报价采取打包报价的方式，投标报价包括材料、工具、人工、管理费、利润、税金、风险、招标代理费用等一切因素所有应该和可能发生的费用因素。</w:t>
            </w:r>
          </w:p>
          <w:p/>
          <w:p>
            <w:r>
              <w:rPr/>
              <w:t>2、合同条款：:供应商实质响应合同条款。</w:t>
            </w:r>
          </w:p>
          <w:p/>
          <w:p>
            <w:r>
              <w:rPr/>
              <w:t>3、其他要求：:投标人应充分结合本招标文件上下文了解项目招标需求、采购文件未尽事宜，将在合同签订或项目执行过程中双方协商确定，供应商须无条件满足采购单位的合理要求。</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标段二</w:t>
            </w:r>
          </w:p>
        </w:tc>
        <w:tc>
          <w:tcPr>
            <w:tcW w:type="dxa" w:w="385"/>
          </w:tcPr>
          <w:p>
            <w:r>
              <w:rPr/>
              <w:t>项</w:t>
            </w:r>
          </w:p>
        </w:tc>
        <w:tc>
          <w:tcPr>
            <w:tcW w:type="dxa" w:w="769"/>
          </w:tcPr>
          <w:p>
            <w:pPr>
              <w:jc w:val="right"/>
            </w:pPr>
            <w:r>
              <w:rPr/>
              <w:t>1.0000</w:t>
            </w:r>
          </w:p>
        </w:tc>
        <w:tc>
          <w:tcPr>
            <w:tcW w:type="dxa" w:w="769"/>
          </w:tcPr>
          <w:p>
            <w:pPr>
              <w:jc w:val="right"/>
            </w:pPr>
            <w:r>
              <w:rPr/>
              <w:t>3,619,290.00</w:t>
            </w:r>
          </w:p>
        </w:tc>
        <w:tc>
          <w:tcPr>
            <w:tcW w:type="dxa" w:w="769"/>
          </w:tcPr>
          <w:p>
            <w:pPr>
              <w:jc w:val="right"/>
            </w:pPr>
            <w:r>
              <w:rPr/>
              <w:t>3,619,290.00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标段二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pPr>
            <w:r>
              <w:rPr>
                <w:b/>
                <w:sz w:val="21"/>
              </w:rPr>
              <w:t>一</w:t>
            </w:r>
            <w:r>
              <w:rPr>
                <w:b/>
                <w:sz w:val="21"/>
              </w:rPr>
              <w:t>、除</w:t>
            </w:r>
            <w:r>
              <w:rPr>
                <w:b/>
                <w:sz w:val="21"/>
              </w:rPr>
              <w:t>“四害”质量标准</w:t>
            </w:r>
          </w:p>
          <w:p>
            <w:pPr>
              <w:ind w:firstLine="420"/>
            </w:pPr>
            <w:r>
              <w:rPr>
                <w:sz w:val="21"/>
              </w:rPr>
              <w:t>1、灭鼠：粉迹法（每15平方米房间布放20×20厘米粉板两块）检测鼠足印阳性率低于2%；鼠迹（鼠洞、鼠粪、鼠路、鼠咬痕），有鼠迹房间不超过2%；2000米外环境鼠迹不超过5处；重点单位防鼠设施（仓库、厨房等的门窗、出水口等部位有防鼠设施），合格率95%。现场检查，无可见鼠迹。鼠类根据中国人民共和国国家标准GB/T23798-2009《病媒生物密度监测方法  鼠类》标准执行。</w:t>
            </w:r>
          </w:p>
          <w:p>
            <w:pPr>
              <w:ind w:firstLine="420"/>
            </w:pPr>
            <w:r>
              <w:rPr>
                <w:sz w:val="21"/>
              </w:rPr>
              <w:t>2、灭蚊：区域内公共地域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蚊类根据中国人民共和国国家标准GB/T23797-2009《病媒生物密度监测方法  蚊虫》标准执行。</w:t>
            </w:r>
          </w:p>
          <w:p>
            <w:pPr>
              <w:ind w:firstLine="420"/>
            </w:pPr>
            <w:r>
              <w:rPr>
                <w:sz w:val="21"/>
              </w:rPr>
              <w:t>3、灭蝇：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蝇类根据中国人民共和国国家标准GB/T23796-2009《病媒生物密度监测方法  蝇类》标准执行。</w:t>
            </w:r>
          </w:p>
          <w:p>
            <w:pPr>
              <w:ind w:firstLine="420"/>
            </w:pPr>
            <w:r>
              <w:rPr>
                <w:sz w:val="21"/>
              </w:rPr>
              <w:t>4、灭蟑螂：查室内蟑螂成虫或幼虫，阳性房间不超过3%；有活蟑螂卵鞘房间，阳性房间不超过5%；蟑螂孳生栖息场所的清理，查墙的孔洞、缝隙蟑迹：粪便、蜕皮、蟑尸、空卵鞘等，阳性房间不超过5%。蜚蠊根据中国人民共和国国家标准GB/T23795-2009《病媒生物密度监测方法  蜚蠊》标准执行。</w:t>
            </w:r>
          </w:p>
          <w:p>
            <w:pPr>
              <w:ind w:firstLine="422"/>
            </w:pPr>
            <w:r>
              <w:rPr>
                <w:b/>
                <w:sz w:val="21"/>
              </w:rPr>
              <w:t>二</w:t>
            </w:r>
            <w:r>
              <w:rPr>
                <w:b/>
                <w:sz w:val="21"/>
              </w:rPr>
              <w:t>、除</w:t>
            </w:r>
            <w:r>
              <w:rPr>
                <w:b/>
                <w:sz w:val="21"/>
              </w:rPr>
              <w:t>“四害”作业要求</w:t>
            </w:r>
          </w:p>
          <w:p>
            <w:pPr>
              <w:ind w:firstLine="420"/>
            </w:pPr>
            <w:r>
              <w:rPr>
                <w:sz w:val="21"/>
              </w:rPr>
              <w:t>1、中标单位必须落实全镇病媒生物消杀工作，</w:t>
            </w:r>
            <w:r>
              <w:rPr>
                <w:sz w:val="21"/>
              </w:rPr>
              <w:t>每年</w:t>
            </w:r>
            <w:r>
              <w:rPr>
                <w:sz w:val="21"/>
              </w:rPr>
              <w:t>1、2、3、4、7、8、9和12月</w:t>
            </w:r>
            <w:r>
              <w:rPr>
                <w:sz w:val="21"/>
              </w:rPr>
              <w:t>确保各区域每月</w:t>
            </w:r>
            <w:r>
              <w:rPr>
                <w:sz w:val="21"/>
              </w:rPr>
              <w:t>至少</w:t>
            </w:r>
            <w:r>
              <w:rPr>
                <w:sz w:val="21"/>
              </w:rPr>
              <w:t>1次的灭鼠、灭蚊、灭蝇、灭蟑螂作业，达到国家标准C级以上。</w:t>
            </w:r>
            <w:r>
              <w:rPr>
                <w:sz w:val="21"/>
              </w:rPr>
              <w:t>如遇每年蚊虫高峰期</w:t>
            </w:r>
            <w:r>
              <w:rPr>
                <w:sz w:val="21"/>
              </w:rPr>
              <w:t>5、6、10和11月</w:t>
            </w:r>
            <w:r>
              <w:rPr>
                <w:sz w:val="21"/>
              </w:rPr>
              <w:t>确保各区域每月</w:t>
            </w:r>
            <w:r>
              <w:rPr>
                <w:sz w:val="21"/>
              </w:rPr>
              <w:t>至少</w:t>
            </w:r>
            <w:r>
              <w:rPr>
                <w:sz w:val="21"/>
              </w:rPr>
              <w:t>2</w:t>
            </w:r>
            <w:r>
              <w:rPr>
                <w:sz w:val="21"/>
              </w:rPr>
              <w:t>次的灭鼠、灭蚊、灭蝇、灭蟑螂作业，达到国家标准</w:t>
            </w:r>
            <w:r>
              <w:rPr>
                <w:sz w:val="21"/>
              </w:rPr>
              <w:t>C级以上。如遇病媒生物密度超出标准时，中标单位必须服从采购单位的工作安排，</w:t>
            </w:r>
            <w:r>
              <w:rPr>
                <w:sz w:val="21"/>
              </w:rPr>
              <w:t>免费</w:t>
            </w:r>
            <w:r>
              <w:rPr>
                <w:sz w:val="21"/>
              </w:rPr>
              <w:t>增加病媒生物的消杀次数。</w:t>
            </w:r>
          </w:p>
          <w:p>
            <w:pPr>
              <w:ind w:firstLine="420"/>
            </w:pPr>
            <w:r>
              <w:rPr>
                <w:sz w:val="21"/>
              </w:rPr>
              <w:t>2、中标单位必须坚持“预防为主，综合防制”的消杀方针，使用国家规定或爱卫会认定和推荐的药物。病媒生物药物要建立进出登记台账，并取得“三证”。病媒生物作业时要注意安全用药，废弃药物要妥善处理，防止污染。</w:t>
            </w:r>
          </w:p>
          <w:p>
            <w:pPr>
              <w:ind w:firstLine="420"/>
            </w:pPr>
            <w:r>
              <w:rPr>
                <w:sz w:val="21"/>
              </w:rPr>
              <w:t>3、必须在凤岗镇设立固定办公场所和仓库。</w:t>
            </w:r>
          </w:p>
          <w:p>
            <w:pPr>
              <w:ind w:firstLine="420"/>
            </w:pPr>
            <w:r>
              <w:rPr>
                <w:sz w:val="21"/>
              </w:rPr>
              <w:t>4、病媒生物防制工作人员需经培训后上岗，按照东莞市爱国卫生运动委员会关于病媒生物防制工作的法规标准，规范操作。作业时必须统一服装、统一标准，做到文明作业。</w:t>
            </w:r>
          </w:p>
          <w:p>
            <w:pPr>
              <w:ind w:firstLine="420"/>
            </w:pPr>
            <w:r>
              <w:rPr>
                <w:sz w:val="21"/>
              </w:rPr>
              <w:t>5、在各村（社区）进行病媒生物作业时，要建立服务单位签字制度，按照社区、村小组的指引开展工作，重点解决基层群众反映的病媒生物问题。完成工作后要经过村小组、村委签字确认并给予评价。</w:t>
            </w:r>
          </w:p>
          <w:p>
            <w:pPr>
              <w:ind w:firstLine="420"/>
            </w:pPr>
            <w:r>
              <w:rPr>
                <w:sz w:val="21"/>
              </w:rPr>
              <w:t>6、做好每次病媒生物工作的记录，登记天气、时间、处理位置、用药量等数据，并拍摄现场照片。</w:t>
            </w:r>
          </w:p>
          <w:p>
            <w:pPr>
              <w:ind w:firstLine="420"/>
            </w:pPr>
            <w:r>
              <w:rPr>
                <w:sz w:val="21"/>
              </w:rPr>
              <w:t>7、安排专人负责巡查和选点监测病媒生物防制效果，并根据实际效果调整用药时间、配方。</w:t>
            </w:r>
          </w:p>
          <w:p>
            <w:pPr>
              <w:ind w:firstLine="420"/>
            </w:pPr>
            <w:r>
              <w:rPr>
                <w:sz w:val="21"/>
              </w:rPr>
              <w:t>8、中标单位需按甲方要求投入相关技术人员和监测设备，每月开展“四害”密度监测，检测结果以书面报告形式在每月月底前上报甲方。</w:t>
            </w:r>
          </w:p>
          <w:p>
            <w:pPr>
              <w:ind w:firstLine="420"/>
            </w:pPr>
            <w:r>
              <w:rPr>
                <w:sz w:val="21"/>
              </w:rPr>
              <w:t>9、每季度由第三方机构开展“四害”密度监测并出具相关报告，监测费用由中标单位承担，每年3月、6月、9月、12月底前检测结果以书面报告形式上报甲方。</w:t>
            </w:r>
          </w:p>
          <w:p>
            <w:pPr>
              <w:ind w:firstLine="422"/>
            </w:pPr>
            <w:r>
              <w:rPr>
                <w:b/>
                <w:sz w:val="21"/>
              </w:rPr>
              <w:t>三</w:t>
            </w:r>
            <w:r>
              <w:rPr>
                <w:b/>
                <w:sz w:val="21"/>
              </w:rPr>
              <w:t>、除四害项目人员、设备配置</w:t>
            </w:r>
          </w:p>
          <w:p>
            <w:pPr>
              <w:ind w:firstLine="420"/>
            </w:pPr>
            <w:r>
              <w:rPr>
                <w:sz w:val="21"/>
              </w:rPr>
              <w:t>（一）项目人员、设备、用药配置要求</w:t>
            </w:r>
          </w:p>
          <w:p>
            <w:pPr>
              <w:ind w:firstLine="420"/>
            </w:pPr>
            <w:r>
              <w:rPr>
                <w:sz w:val="21"/>
              </w:rPr>
              <w:t>（</w:t>
            </w:r>
            <w:r>
              <w:rPr>
                <w:sz w:val="21"/>
              </w:rPr>
              <w:t>1）人员配置数量</w:t>
            </w:r>
          </w:p>
          <w:tbl>
            <w:tblPr>
              <w:tblBorders>
                <w:top w:val="none" w:color="000000" w:sz="4"/>
                <w:left w:val="none" w:color="000000" w:sz="4"/>
                <w:bottom w:val="none" w:color="000000" w:sz="4"/>
                <w:right w:val="none" w:color="000000" w:sz="4"/>
                <w:insideH w:val="none"/>
                <w:insideV w:val="none"/>
              </w:tblBorders>
            </w:tblPr>
            <w:tblGrid>
              <w:gridCol w:w="535"/>
              <w:gridCol w:w="1117"/>
              <w:gridCol w:w="872"/>
              <w:gridCol w:w="2512"/>
            </w:tblGrid>
            <w:tr>
              <w:tc>
                <w:tcPr>
                  <w:tcW w:type="dxa" w:w="535"/>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1117"/>
                  <w:tcBorders>
                    <w:top w:val="single" w:color="000000" w:sz="4"/>
                    <w:left w:val="single" w:color="000000" w:sz="4"/>
                    <w:bottom w:val="single" w:color="000000" w:sz="4"/>
                    <w:right w:val="single" w:color="000000" w:sz="4"/>
                  </w:tcBorders>
                  <w:shd w:fill="F2F2F2"/>
                  <w:vAlign w:val="top"/>
                </w:tcPr>
                <w:p>
                  <w:pPr>
                    <w:jc w:val="center"/>
                  </w:pPr>
                  <w:r>
                    <w:rPr>
                      <w:sz w:val="21"/>
                    </w:rPr>
                    <w:t>岗位</w:t>
                  </w:r>
                </w:p>
              </w:tc>
              <w:tc>
                <w:tcPr>
                  <w:tcW w:type="dxa" w:w="872"/>
                  <w:tcBorders>
                    <w:top w:val="single" w:color="000000" w:sz="4"/>
                    <w:left w:val="single" w:color="000000" w:sz="4"/>
                    <w:bottom w:val="single" w:color="000000" w:sz="4"/>
                    <w:right w:val="single" w:color="000000" w:sz="4"/>
                  </w:tcBorders>
                  <w:shd w:fill="F2F2F2"/>
                  <w:vAlign w:val="top"/>
                </w:tcPr>
                <w:p>
                  <w:pPr>
                    <w:jc w:val="center"/>
                  </w:pPr>
                  <w:r>
                    <w:rPr>
                      <w:sz w:val="21"/>
                    </w:rPr>
                    <w:t>人数</w:t>
                  </w:r>
                </w:p>
              </w:tc>
              <w:tc>
                <w:tcPr>
                  <w:tcW w:type="dxa" w:w="2512"/>
                  <w:tcBorders>
                    <w:top w:val="single" w:color="000000" w:sz="4"/>
                    <w:left w:val="single" w:color="000000" w:sz="4"/>
                    <w:bottom w:val="single" w:color="000000" w:sz="4"/>
                    <w:right w:val="single" w:color="000000" w:sz="4"/>
                  </w:tcBorders>
                  <w:shd w:fill="F2F2F2"/>
                  <w:vAlign w:val="top"/>
                </w:tcPr>
                <w:p>
                  <w:pPr>
                    <w:jc w:val="center"/>
                  </w:pPr>
                  <w:r>
                    <w:rPr>
                      <w:sz w:val="21"/>
                    </w:rPr>
                    <w:t>备注</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负责人</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负责全面工作</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组长</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负责统筹安排全组施工人员作业</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文员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负责仓管、每日作业记录及资料整理</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施工员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7</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负责现场作业</w:t>
                  </w:r>
                </w:p>
              </w:tc>
            </w:tr>
            <w:tr>
              <w:tc>
                <w:tcPr>
                  <w:tcW w:type="dxa" w:w="1652"/>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10</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p>
              </w:tc>
            </w:tr>
          </w:tbl>
          <w:p>
            <w:pPr>
              <w:ind w:firstLine="420"/>
            </w:pPr>
            <w:r>
              <w:rPr>
                <w:sz w:val="21"/>
              </w:rPr>
              <w:t>（</w:t>
            </w:r>
            <w:r>
              <w:rPr>
                <w:sz w:val="21"/>
              </w:rPr>
              <w:t>2）机械设备及工具数量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热烟机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5</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背负式机动喷雾机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8</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手提式喷雾机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6</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超低容量电动喷雾机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4</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病媒生物消杀作业</w:t>
                  </w:r>
                  <w:r>
                    <w:rPr>
                      <w:sz w:val="21"/>
                    </w:rPr>
                    <w:t>轻型货车</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辆</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w:t>
                  </w:r>
                </w:p>
              </w:tc>
            </w:tr>
          </w:tbl>
          <w:p>
            <w:pPr>
              <w:ind w:firstLine="405"/>
            </w:pPr>
            <w:r>
              <w:rPr>
                <w:sz w:val="21"/>
              </w:rPr>
              <w:t>（</w:t>
            </w:r>
            <w:r>
              <w:rPr>
                <w:sz w:val="21"/>
              </w:rPr>
              <w:t>3）每年每平方公里需施用的药物品种及数量：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灭蚊幼颗粒剂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75</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鼠药</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240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left"/>
                  </w:pPr>
                  <w:r>
                    <w:rPr>
                      <w:sz w:val="21"/>
                    </w:rPr>
                    <w:t>灭蚊药（</w:t>
                  </w:r>
                  <w:r>
                    <w:rPr>
                      <w:sz w:val="21"/>
                    </w:rPr>
                    <w:t>5%氯氰菊酯悬浮剂、10.4%氯菊酯烯丙菊酯水乳剂、10%高氯残杀威悬浮剂三种药物各</w:t>
                  </w:r>
                  <w:r>
                    <w:rPr>
                      <w:sz w:val="21"/>
                    </w:rPr>
                    <w:t>33</w:t>
                  </w:r>
                  <w:r>
                    <w:rPr>
                      <w:sz w:val="21"/>
                    </w:rPr>
                    <w:t>L）</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99</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烟雾剂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鼠饵站</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bl>
          <w:p>
            <w:pPr>
              <w:ind w:firstLine="420"/>
            </w:pPr>
          </w:p>
          <w:p>
            <w:pPr>
              <w:ind w:firstLine="420"/>
            </w:pPr>
            <w:r>
              <w:rPr>
                <w:sz w:val="21"/>
              </w:rPr>
              <w:t>（二）人员、设备管理要求</w:t>
            </w:r>
          </w:p>
          <w:p>
            <w:pPr>
              <w:ind w:firstLine="405"/>
            </w:pPr>
            <w:r>
              <w:rPr>
                <w:sz w:val="21"/>
              </w:rPr>
              <w:t>1、本项目的设备、车辆在合同签订后30天内要经采购人验收认定，要求出具证明该批设备为中标供应商所有的文件或发票。如数量不符，则作违约处理，采购人有权取消中标人中标资格。</w:t>
            </w:r>
          </w:p>
          <w:p>
            <w:pPr>
              <w:ind w:firstLine="405"/>
            </w:pPr>
            <w:r>
              <w:rPr>
                <w:sz w:val="21"/>
              </w:rPr>
              <w:t>2、实际进场的项目工作人员必须与投标中列明的人员数量相符，每少1个人在每月考核评分中扣1分。</w:t>
            </w:r>
          </w:p>
          <w:p>
            <w:pPr>
              <w:ind w:firstLine="405"/>
            </w:pPr>
            <w:r>
              <w:rPr>
                <w:sz w:val="21"/>
              </w:rPr>
              <w:t>3、项目所使用设备、车辆须做好维护保养，保持外观整洁。</w:t>
            </w:r>
          </w:p>
          <w:p>
            <w:pPr>
              <w:ind w:firstLine="310"/>
            </w:pPr>
          </w:p>
          <w:p>
            <w:pPr>
              <w:ind w:firstLine="310"/>
            </w:pPr>
            <w:r>
              <w:rPr>
                <w:b/>
                <w:sz w:val="21"/>
              </w:rPr>
              <w:t>四</w:t>
            </w:r>
            <w:r>
              <w:rPr>
                <w:b/>
                <w:sz w:val="21"/>
              </w:rPr>
              <w:t>、双方责任</w:t>
            </w:r>
          </w:p>
          <w:p>
            <w:pPr>
              <w:ind w:firstLine="420"/>
            </w:pPr>
            <w:r>
              <w:rPr>
                <w:sz w:val="21"/>
              </w:rPr>
              <w:t>（一）采购单位责任</w:t>
            </w:r>
          </w:p>
          <w:p>
            <w:pPr>
              <w:ind w:firstLine="420"/>
            </w:pPr>
            <w:r>
              <w:rPr>
                <w:sz w:val="21"/>
              </w:rPr>
              <w:t>1、采购单位应配合中标单位做好环境卫生科学知识及环境卫生管理有关规定的宣传工作，提高居民的环境卫生意识，要求居民遵守环境卫生管理规定，指导中标单位搞好病媒生物工作。</w:t>
            </w:r>
          </w:p>
          <w:p>
            <w:pPr>
              <w:ind w:firstLine="420"/>
            </w:pPr>
            <w:r>
              <w:rPr>
                <w:sz w:val="21"/>
              </w:rPr>
              <w:t>2、采购单位应按合同规定的时间，及时足额支付给中标单位承包费，具体支付时间以财政下拨款项的时间为准。由于承包费用未及时支付而致使病媒生物任务无法完成的，由采购单位承担全部责任。</w:t>
            </w:r>
          </w:p>
          <w:p>
            <w:pPr>
              <w:ind w:firstLine="420"/>
            </w:pPr>
            <w:r>
              <w:rPr>
                <w:sz w:val="21"/>
              </w:rPr>
              <w:t>（二）中标单位责任</w:t>
            </w:r>
          </w:p>
          <w:p>
            <w:pPr>
              <w:ind w:firstLine="420"/>
            </w:pPr>
            <w:r>
              <w:rPr>
                <w:sz w:val="21"/>
              </w:rPr>
              <w:t>1、中标单位病媒生物工作必须做好安全措施，若出现损害中标单位人员或第三人财产损失、人员伤亡安全事故由中标单位负责。</w:t>
            </w:r>
          </w:p>
          <w:p>
            <w:pPr>
              <w:ind w:firstLine="420"/>
            </w:pPr>
            <w:r>
              <w:rPr>
                <w:sz w:val="21"/>
              </w:rPr>
              <w:t>2、中标单位必须根据中标方案中作出的承诺、作业方案及招标文件中的各项任务，组织员工履行各项职责，使承包后东莞市凤岗镇的病媒生物质量有明显提高。</w:t>
            </w:r>
          </w:p>
          <w:p>
            <w:pPr>
              <w:ind w:firstLine="420"/>
            </w:pPr>
            <w:r>
              <w:rPr>
                <w:sz w:val="21"/>
              </w:rPr>
              <w:t>3、中标单位必须随时接受并配合采购单位、专项检查小组、上级爱卫管理部门以及其它相关部门的监督、检查和指导，必须无条件服从采购单位组织的一些突击性任务及迎检活动，按时、按标准、按要求完成所分配的工作。</w:t>
            </w:r>
          </w:p>
          <w:p>
            <w:pPr>
              <w:ind w:firstLine="420"/>
            </w:pPr>
            <w:r>
              <w:rPr>
                <w:sz w:val="21"/>
              </w:rPr>
              <w:t>4、中标单位必须提供足够的人手、工具和物料实施承包方案。</w:t>
            </w:r>
          </w:p>
          <w:p>
            <w:pPr>
              <w:ind w:firstLine="420"/>
            </w:pPr>
            <w:r>
              <w:rPr>
                <w:sz w:val="21"/>
              </w:rPr>
              <w:t>5、采购单位有权对中标单位进行随机检查，如发现中标单位组织措施不当、计划不落实、管理不严，方案中所列人员、机械设备（工具）与现场实际不符，导致病媒生物质量达不到规定标准，中标单位在接到采购单位的书面通知后，一个星期内必须整改，否则当月考核评分为“不合格”。</w:t>
            </w:r>
          </w:p>
          <w:p>
            <w:pPr>
              <w:ind w:firstLine="420"/>
            </w:pPr>
            <w:r>
              <w:rPr>
                <w:sz w:val="21"/>
              </w:rPr>
              <w:t>6、中标单位根据所承担的作业内容，按实际上岗人数自行到有关部门申办用工手续</w:t>
            </w:r>
            <w:r>
              <w:rPr>
                <w:sz w:val="21"/>
              </w:rPr>
              <w:t>（包括履行签订劳动合同、购买社保等法定义务）</w:t>
            </w:r>
            <w:r>
              <w:rPr>
                <w:sz w:val="21"/>
              </w:rPr>
              <w:t>，安排好属下人员的住宿和教育管理工作。</w:t>
            </w:r>
          </w:p>
          <w:p>
            <w:pPr>
              <w:ind w:firstLine="420"/>
            </w:pPr>
            <w:r>
              <w:rPr>
                <w:sz w:val="21"/>
              </w:rPr>
              <w:t>7、在服务期间，中标单位需做好安全教育，否则出现的一切安全事故由中标单位负责。</w:t>
            </w:r>
          </w:p>
          <w:p>
            <w:pPr>
              <w:ind w:firstLine="420"/>
            </w:pPr>
            <w:r>
              <w:rPr>
                <w:sz w:val="21"/>
              </w:rPr>
              <w:t>8、在服务期间，在“三防”设施达到的情况下，中标单位当月未达到中国人民共和国国家标准GB/T23798-2009《病媒生物密度监测方法》标准C级以上，扣除当月全部承包款；中标单位连续两个月未达到中国人民共和国国家标准GB/T23798-2009《病媒生物密度监测方法》标准C级以上，本项目合同自动终止并扣除当月全部承包款。</w:t>
            </w:r>
          </w:p>
          <w:p>
            <w:pPr>
              <w:ind w:firstLine="420"/>
            </w:pPr>
            <w:r>
              <w:rPr>
                <w:sz w:val="21"/>
              </w:rPr>
              <w:t>9、在服务期间，若凤岗镇</w:t>
            </w:r>
            <w:r>
              <w:rPr>
                <w:sz w:val="21"/>
              </w:rPr>
              <w:t>因该项目的</w:t>
            </w:r>
            <w:r>
              <w:rPr>
                <w:sz w:val="21"/>
              </w:rPr>
              <w:t>病媒生物防制效果不达标导致未能通过国家卫生镇或其他重大事项除“四害”相关检查，本项目合同自动终止并扣除当月全部承包款。</w:t>
            </w:r>
          </w:p>
          <w:p>
            <w:pPr>
              <w:ind w:firstLine="405"/>
            </w:pPr>
            <w:r>
              <w:rPr>
                <w:b/>
                <w:sz w:val="21"/>
              </w:rPr>
              <w:t>五</w:t>
            </w:r>
            <w:r>
              <w:rPr>
                <w:b/>
                <w:sz w:val="21"/>
              </w:rPr>
              <w:t>、考核标准</w:t>
            </w:r>
          </w:p>
          <w:p>
            <w:pPr>
              <w:ind w:firstLine="420"/>
            </w:pPr>
            <w:r>
              <w:rPr>
                <w:sz w:val="21"/>
              </w:rPr>
              <w:t>（一）检查验收制度</w:t>
            </w:r>
          </w:p>
          <w:p>
            <w:pPr>
              <w:ind w:firstLine="420"/>
            </w:pPr>
            <w:r>
              <w:rPr>
                <w:sz w:val="21"/>
              </w:rPr>
              <w:t>1、以镇村检查相结合的方式对全镇除“四害”工作进行定期不定期检查。由镇公用事业服务中心根据实际除“四害”工作开展情况及“四害”消杀成效，结合各村（居）在除“四害”工作卡上的签字和评价，对中标公司进行综合评分。</w:t>
            </w:r>
          </w:p>
          <w:p>
            <w:pPr>
              <w:ind w:firstLine="420"/>
            </w:pPr>
            <w:r>
              <w:rPr>
                <w:sz w:val="21"/>
              </w:rPr>
              <w:t>2、每月按照评分情况向中标公司支付承包款项，每月的扣分罚款从当月承包款中扣除。</w:t>
            </w:r>
          </w:p>
          <w:p>
            <w:pPr>
              <w:ind w:firstLine="420"/>
            </w:pPr>
            <w:r>
              <w:rPr>
                <w:sz w:val="21"/>
              </w:rPr>
              <w:t>3、镇、村检查人员必须严格遵守标准进行实际操作，不能以权谋私，玩忽职守。</w:t>
            </w:r>
          </w:p>
          <w:p>
            <w:pPr>
              <w:ind w:firstLine="420"/>
            </w:pPr>
            <w:r>
              <w:rPr>
                <w:sz w:val="21"/>
              </w:rPr>
              <w:t>（二）考核评分办法</w:t>
            </w:r>
          </w:p>
          <w:p>
            <w:pPr>
              <w:ind w:firstLine="420"/>
            </w:pPr>
            <w:r>
              <w:rPr>
                <w:sz w:val="21"/>
              </w:rPr>
              <w:t>除</w:t>
            </w:r>
            <w:r>
              <w:rPr>
                <w:sz w:val="21"/>
              </w:rPr>
              <w:t>“四害”评分考核采用百分制，满分为100分，分好（100分—90分），中（89分—80分），差（80分以下）三个档次。</w:t>
            </w:r>
          </w:p>
          <w:p>
            <w:pPr>
              <w:ind w:firstLine="420"/>
            </w:pPr>
            <w:r>
              <w:rPr>
                <w:sz w:val="21"/>
              </w:rPr>
              <w:t>1、中标公司得分低于90分（不含90分），以90分为基数，每减少1分，扣减当月承包款￥2000.00元；</w:t>
            </w:r>
          </w:p>
          <w:p>
            <w:pPr>
              <w:ind w:firstLine="420"/>
            </w:pPr>
            <w:r>
              <w:rPr>
                <w:sz w:val="21"/>
              </w:rPr>
              <w:t>2、中标公司得分在80分以下（不含80分），以80分为基数，每减少1分，扣减当月承包款￥3000.00元。</w:t>
            </w:r>
          </w:p>
          <w:p>
            <w:pPr>
              <w:ind w:firstLine="420"/>
            </w:pPr>
            <w:r>
              <w:rPr>
                <w:sz w:val="21"/>
              </w:rPr>
              <w:t>3、中标公司得分在70分以下（不含70分），以70分为基数，每减少1分，扣减当月承包款￥5000.00元。</w:t>
            </w:r>
          </w:p>
          <w:p>
            <w:pPr>
              <w:ind w:firstLine="420"/>
            </w:pPr>
            <w:r>
              <w:rPr>
                <w:sz w:val="21"/>
              </w:rPr>
              <w:t>合同期内连续出现</w:t>
            </w:r>
            <w:r>
              <w:rPr>
                <w:sz w:val="21"/>
              </w:rPr>
              <w:t>3次检查评分在70以下的，除按规定扣款外，采购人有权中止合同。</w:t>
            </w:r>
          </w:p>
          <w:p>
            <w:pPr>
              <w:jc w:val="center"/>
            </w:pPr>
            <w:r>
              <w:rPr>
                <w:b/>
                <w:color w:val="000000"/>
                <w:sz w:val="28"/>
              </w:rPr>
              <w:t>凤岗镇除</w:t>
            </w:r>
            <w:r>
              <w:rPr>
                <w:b/>
                <w:color w:val="000000"/>
                <w:sz w:val="28"/>
              </w:rPr>
              <w:t>“四害”考核评分表</w:t>
            </w:r>
          </w:p>
          <w:tbl>
            <w:tblPr>
              <w:tblBorders>
                <w:top w:val="none" w:color="000000" w:sz="4"/>
                <w:left w:val="none" w:color="000000" w:sz="4"/>
                <w:bottom w:val="none" w:color="000000" w:sz="4"/>
                <w:right w:val="none" w:color="000000" w:sz="4"/>
                <w:insideH w:val="none"/>
                <w:insideV w:val="none"/>
              </w:tblBorders>
            </w:tblPr>
            <w:tblGrid>
              <w:gridCol w:w="561"/>
              <w:gridCol w:w="358"/>
              <w:gridCol w:w="2566"/>
              <w:gridCol w:w="1268"/>
              <w:gridCol w:w="455"/>
              <w:gridCol w:w="358"/>
            </w:tblGrid>
            <w:tr>
              <w:tc>
                <w:tcPr>
                  <w:tcW w:type="dxa" w:w="561"/>
                  <w:tcBorders>
                    <w:top w:val="single" w:color="000000" w:sz="4"/>
                    <w:left w:val="single" w:color="000000" w:sz="4"/>
                    <w:bottom w:val="single" w:color="000000" w:sz="4"/>
                    <w:right w:val="single" w:color="000000" w:sz="4"/>
                  </w:tcBorders>
                  <w:vAlign w:val="top"/>
                </w:tcPr>
                <w:p>
                  <w:pPr>
                    <w:jc w:val="left"/>
                  </w:pPr>
                  <w:r>
                    <w:rPr>
                      <w:b/>
                      <w:color w:val="000000"/>
                      <w:sz w:val="21"/>
                    </w:rPr>
                    <w:t>总</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项</w:t>
                  </w:r>
                </w:p>
                <w:p>
                  <w:pPr>
                    <w:jc w:val="left"/>
                  </w:pPr>
                  <w:r>
                    <w:rPr>
                      <w:b/>
                      <w:color w:val="000000"/>
                      <w:sz w:val="21"/>
                    </w:rPr>
                    <w:t>目</w:t>
                  </w:r>
                </w:p>
              </w:tc>
              <w:tc>
                <w:tcPr>
                  <w:tcW w:type="dxa" w:w="2566"/>
                  <w:tcBorders>
                    <w:top w:val="single" w:color="000000" w:sz="4"/>
                    <w:left w:val="none" w:color="000000" w:sz="4"/>
                    <w:bottom w:val="single" w:color="000000" w:sz="4"/>
                    <w:right w:val="single" w:color="000000" w:sz="4"/>
                  </w:tcBorders>
                  <w:vAlign w:val="top"/>
                </w:tcPr>
                <w:p>
                  <w:pPr>
                    <w:jc w:val="center"/>
                  </w:pPr>
                  <w:r>
                    <w:rPr>
                      <w:b/>
                      <w:color w:val="000000"/>
                      <w:sz w:val="21"/>
                    </w:rPr>
                    <w:t>考核检查方法及评价依据</w:t>
                  </w:r>
                </w:p>
              </w:tc>
              <w:tc>
                <w:tcPr>
                  <w:tcW w:type="dxa" w:w="1268"/>
                  <w:tcBorders>
                    <w:top w:val="single" w:color="000000" w:sz="4"/>
                    <w:left w:val="none" w:color="000000" w:sz="4"/>
                    <w:bottom w:val="single" w:color="000000" w:sz="4"/>
                    <w:right w:val="single" w:color="000000" w:sz="4"/>
                  </w:tcBorders>
                  <w:vAlign w:val="top"/>
                </w:tcPr>
                <w:p>
                  <w:pPr>
                    <w:jc w:val="center"/>
                  </w:pPr>
                  <w:r>
                    <w:rPr>
                      <w:b/>
                      <w:color w:val="000000"/>
                      <w:sz w:val="21"/>
                    </w:rPr>
                    <w:t>扣分方法</w:t>
                  </w:r>
                </w:p>
              </w:tc>
              <w:tc>
                <w:tcPr>
                  <w:tcW w:type="dxa" w:w="455"/>
                  <w:tcBorders>
                    <w:top w:val="single" w:color="000000" w:sz="4"/>
                    <w:left w:val="none" w:color="000000" w:sz="4"/>
                    <w:bottom w:val="single" w:color="000000" w:sz="4"/>
                    <w:right w:val="single" w:color="000000" w:sz="4"/>
                  </w:tcBorders>
                  <w:vAlign w:val="top"/>
                </w:tcPr>
                <w:p>
                  <w:pPr>
                    <w:jc w:val="left"/>
                  </w:pPr>
                  <w:r>
                    <w:rPr>
                      <w:b/>
                      <w:color w:val="000000"/>
                      <w:sz w:val="21"/>
                    </w:rPr>
                    <w:t>应</w:t>
                  </w:r>
                </w:p>
                <w:p>
                  <w:pPr>
                    <w:jc w:val="left"/>
                  </w:pPr>
                  <w:r>
                    <w:rPr>
                      <w:b/>
                      <w:color w:val="000000"/>
                      <w:sz w:val="21"/>
                    </w:rPr>
                    <w:t>得</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实</w:t>
                  </w:r>
                </w:p>
                <w:p>
                  <w:pPr>
                    <w:jc w:val="left"/>
                  </w:pPr>
                  <w:r>
                    <w:rPr>
                      <w:b/>
                      <w:color w:val="000000"/>
                      <w:sz w:val="21"/>
                    </w:rPr>
                    <w:t>得</w:t>
                  </w:r>
                </w:p>
                <w:p>
                  <w:pPr>
                    <w:jc w:val="left"/>
                  </w:pPr>
                  <w:r>
                    <w:rPr>
                      <w:b/>
                      <w:color w:val="000000"/>
                      <w:sz w:val="21"/>
                    </w:rPr>
                    <w:t>分</w:t>
                  </w:r>
                </w:p>
              </w:tc>
            </w:tr>
            <w:tr>
              <w:tc>
                <w:tcPr>
                  <w:tcW w:type="dxa" w:w="561"/>
                  <w:vMerge w:val="restart"/>
                  <w:tcBorders>
                    <w:top w:val="none" w:color="000000" w:sz="4"/>
                    <w:left w:val="single" w:color="000000" w:sz="4"/>
                    <w:bottom w:val="single" w:color="000000" w:sz="4"/>
                    <w:right w:val="single" w:color="000000" w:sz="4"/>
                  </w:tcBorders>
                  <w:vAlign w:val="top"/>
                </w:tcPr>
                <w:p>
                  <w:pPr>
                    <w:jc w:val="center"/>
                  </w:pPr>
                  <w:r>
                    <w:rPr>
                      <w:color w:val="000000"/>
                      <w:sz w:val="21"/>
                    </w:rPr>
                    <w:t>100分</w:t>
                  </w: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鼠</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1、粉迹法（每15平方米房间布放20*20厘米粉板两块）监测鼠足印阳率低于2%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2、鼠迹（鼠洞、鼠粪、鼠路、鼠咬痕），有鼠迹房间不超过2%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3、2000米外环境鼠迹不超过5处</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3、每超过1处扣2分，扣完为止。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蚊</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1、居民区、单位内外环境各种存水容器和积水中的幼蚊及蛹，阳性率低于3%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2、用500ML收集勺采集城区内大中型水体中的蚊幼虫或蛹，阳性率低于1%，阳性勺内幼虫或蛹的平均数不超过3只</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2、每超出1只扣1分，扣完为止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3、在特殊场所白天人诱蚊60分钟，平均诱获成蚊不超过1只/人次</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3、每超过1只/人次扣1分，扣完为止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蝇</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w:t>
                  </w:r>
                  <w:r>
                    <w:rPr>
                      <w:sz w:val="21"/>
                    </w:rPr>
                    <w:t>重点单位（如饮食、食品加工、销售业）</w:t>
                  </w:r>
                  <w:r>
                    <w:rPr>
                      <w:color w:val="000000"/>
                      <w:sz w:val="21"/>
                    </w:rPr>
                    <w:t>有蝇房间不超过</w:t>
                  </w:r>
                  <w:r>
                    <w:rPr>
                      <w:color w:val="000000"/>
                      <w:sz w:val="21"/>
                    </w:rPr>
                    <w:t>1%</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2、加工、销售、存放直接入口食品的场所，不得有蝇</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2、每发现1只扣0.2分，扣完为止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w:t>
                  </w:r>
                  <w:r>
                    <w:rPr>
                      <w:sz w:val="21"/>
                    </w:rPr>
                    <w:t>一般单位（如机关、学校、工厂）</w:t>
                  </w:r>
                  <w:r>
                    <w:rPr>
                      <w:color w:val="000000"/>
                      <w:sz w:val="21"/>
                    </w:rPr>
                    <w:t>有蝇房间不超过</w:t>
                  </w:r>
                  <w:r>
                    <w:rPr>
                      <w:color w:val="000000"/>
                      <w:sz w:val="21"/>
                    </w:rPr>
                    <w:t>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4、蝇类孳生地（外环境、垃圾容器、垃圾存放地等），得到有效治理，幼虫和蛹的检出率不超过3%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蟑</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1、检查室内蟑螂成虫或幼虫，阳性房间不超过3%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2、有活蟑螂卵鞘房间，阳性房间不超过5%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3、蟑螂孳生栖息场所的清理，查墙的孔洞、缝隙蟑迹：粪便、蜕皮、蟑尸、空卵鞘等，阳性房间不超过5%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其</w:t>
                  </w:r>
                </w:p>
                <w:p>
                  <w:pPr>
                    <w:jc w:val="left"/>
                  </w:pPr>
                  <w:r>
                    <w:rPr>
                      <w:color w:val="000000"/>
                      <w:sz w:val="21"/>
                    </w:rPr>
                    <w:t>他</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1、工作人员要持证上岗，并要与群众保持良好关系</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1、没有持证上岗的，每人次扣0.5分，被群众投诉，情况属实的，每次扣1分，扣完为止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2、工作人员数量与投标文件承诺的数量不符</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2、每少1人扣1分，扣完为止。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3、每月除“四害”消杀行动要达1次以上</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3、达不到要求的，每少1次扣3分，扣完为止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4、除“四害”工作要确保使用的药物有质量合格证明，作业方式正确</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4、达不到要求的，每次扣1分，扣完为止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5、配合甲方做好相关的检查工作，能及时处理突发事件。不发生</w:t>
                  </w:r>
                  <w:r>
                    <w:rPr>
                      <w:sz w:val="21"/>
                    </w:rPr>
                    <w:t>被市、区领导批评或被媒体曝光情况。</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5、未按要求配合的，或出现批评、投诉、曝光情况属实的每次扣1分，扣完为止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bl>
          <w:p>
            <w:pPr>
              <w:jc w:val="left"/>
            </w:pPr>
          </w:p>
          <w:p>
            <w:pPr>
              <w:jc w:val="left"/>
            </w:pPr>
            <w:r>
              <w:rPr>
                <w:sz w:val="21"/>
              </w:rPr>
              <w:t>备注：甲方可根据管理需要与</w:t>
            </w:r>
            <w:r>
              <w:rPr>
                <w:sz w:val="21"/>
              </w:rPr>
              <w:t>乙方</w:t>
            </w:r>
            <w:r>
              <w:rPr>
                <w:sz w:val="21"/>
              </w:rPr>
              <w:t>协商制定村（社区）级考核机制。</w:t>
            </w:r>
          </w:p>
          <w:p>
            <w:pPr>
              <w:jc w:val="left"/>
            </w:pPr>
            <w:r>
              <w:rPr>
                <w:b/>
                <w:sz w:val="22"/>
              </w:rPr>
              <w:t xml:space="preserve"> </w:t>
            </w:r>
          </w:p>
          <w:p>
            <w:pPr>
              <w:jc w:val="left"/>
            </w:pPr>
            <w:r>
              <w:rPr>
                <w:b/>
                <w:sz w:val="21"/>
              </w:rPr>
              <w:t>合计：实际得分（</w:t>
            </w:r>
            <w:r>
              <w:rPr>
                <w:b/>
                <w:sz w:val="21"/>
              </w:rPr>
              <w:t xml:space="preserve">     </w:t>
            </w:r>
            <w:r>
              <w:rPr>
                <w:b/>
                <w:sz w:val="21"/>
              </w:rPr>
              <w:t>）</w:t>
            </w:r>
            <w:r>
              <w:rPr>
                <w:b/>
                <w:sz w:val="21"/>
              </w:rPr>
              <w:t>=总分（100）－检查扣分（       ）</w:t>
            </w:r>
          </w:p>
          <w:p>
            <w:pPr>
              <w:jc w:val="left"/>
            </w:pPr>
            <w:r>
              <w:rPr>
                <w:sz w:val="22"/>
              </w:rPr>
              <w:t xml:space="preserve"> </w:t>
            </w:r>
          </w:p>
          <w:p>
            <w:pPr>
              <w:jc w:val="left"/>
            </w:pPr>
            <w:r>
              <w:rPr>
                <w:sz w:val="21"/>
              </w:rPr>
              <w:t>检查人员签名</w:t>
            </w:r>
            <w:r>
              <w:rPr>
                <w:sz w:val="21"/>
              </w:rPr>
              <w:t>:                                    市场化公司签名确认：</w:t>
            </w:r>
          </w:p>
          <w:p>
            <w:pPr>
              <w:jc w:val="left"/>
            </w:pPr>
            <w:r>
              <w:rPr>
                <w:sz w:val="22"/>
              </w:rPr>
              <w:t xml:space="preserve"> </w:t>
            </w:r>
          </w:p>
          <w:p>
            <w:pPr>
              <w:jc w:val="left"/>
            </w:pPr>
            <w:r>
              <w:rPr>
                <w:sz w:val="21"/>
              </w:rPr>
              <w:t>检查时间</w:t>
            </w:r>
            <w:r>
              <w:rPr>
                <w:sz w:val="21"/>
              </w:rPr>
              <w:t>:        年    月    日</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采购包3（标段三）：</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2022年9月1日至2025年8月31日，共计3年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单位按照先作业后拨付的拨款方式，逐月将承包款拨付给中标单位，每月15日前拨付上月的承包费(具体支付时间以财政下拨款项的时间为准)；每月承包费须经采购单位现场考核评分，根据评分结果是否须扣除违约金的情形确定实际应付款数额后支付；中标单位必须在每月5日前出具与实际应付款数额相符的发票给采购单位。</w:t>
            </w:r>
          </w:p>
        </w:tc>
      </w:tr>
      <w:tr>
        <w:tc>
          <w:tcPr>
            <w:tcW w:type="dxa" w:w="4153"/>
          </w:tcPr>
          <w:p>
            <w:r>
              <w:rPr/>
              <w:t>验收要求</w:t>
            </w:r>
          </w:p>
        </w:tc>
        <w:tc>
          <w:tcPr>
            <w:tcW w:type="dxa" w:w="4153"/>
          </w:tcPr>
          <w:p>
            <w:pPr>
              <w:jc w:val="left"/>
            </w:pPr>
          </w:p>
          <w:p/>
          <w:p/>
          <w:p>
            <w:r>
              <w:rPr/>
              <w:t>1期：按国家及相关行业标准进行验收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1、报价要求：:投标报价采取打包报价的方式，投标报价包括材料、工具、人工、管理费、利润、税金、风险、招标代理费用等一切因素所有应该和可能发生的费用因素。</w:t>
            </w:r>
          </w:p>
          <w:p/>
          <w:p>
            <w:r>
              <w:rPr/>
              <w:t>2、合同条款：:供应商实质响应合同条款。</w:t>
            </w:r>
          </w:p>
          <w:p/>
          <w:p>
            <w:r>
              <w:rPr/>
              <w:t>3、其他要求：:投标人应充分结合本招标文件上下文了解项目招标需求、采购文件未尽事宜，将在合同签订或项目执行过程中双方协商确定，供应商须无条件满足采购单位的合理要求。</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标段三</w:t>
            </w:r>
          </w:p>
        </w:tc>
        <w:tc>
          <w:tcPr>
            <w:tcW w:type="dxa" w:w="385"/>
          </w:tcPr>
          <w:p>
            <w:r>
              <w:rPr/>
              <w:t>项</w:t>
            </w:r>
          </w:p>
        </w:tc>
        <w:tc>
          <w:tcPr>
            <w:tcW w:type="dxa" w:w="769"/>
          </w:tcPr>
          <w:p>
            <w:pPr>
              <w:jc w:val="right"/>
            </w:pPr>
            <w:r>
              <w:rPr/>
              <w:t>1.0000</w:t>
            </w:r>
          </w:p>
        </w:tc>
        <w:tc>
          <w:tcPr>
            <w:tcW w:type="dxa" w:w="769"/>
          </w:tcPr>
          <w:p>
            <w:pPr>
              <w:jc w:val="right"/>
            </w:pPr>
            <w:r>
              <w:rPr/>
              <w:t>4,322,880.00</w:t>
            </w:r>
          </w:p>
        </w:tc>
        <w:tc>
          <w:tcPr>
            <w:tcW w:type="dxa" w:w="769"/>
          </w:tcPr>
          <w:p>
            <w:pPr>
              <w:jc w:val="right"/>
            </w:pPr>
            <w:r>
              <w:rPr/>
              <w:t>4,322,880.00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标段三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pPr>
            <w:r>
              <w:rPr>
                <w:b/>
                <w:sz w:val="21"/>
              </w:rPr>
              <w:t>一</w:t>
            </w:r>
            <w:r>
              <w:rPr>
                <w:b/>
                <w:sz w:val="21"/>
              </w:rPr>
              <w:t>、除</w:t>
            </w:r>
            <w:r>
              <w:rPr>
                <w:b/>
                <w:sz w:val="21"/>
              </w:rPr>
              <w:t>“四害”质量标准</w:t>
            </w:r>
          </w:p>
          <w:p>
            <w:pPr>
              <w:ind w:firstLine="420"/>
            </w:pPr>
            <w:r>
              <w:rPr>
                <w:sz w:val="21"/>
              </w:rPr>
              <w:t>1、灭鼠：粉迹法（每15平方米房间布放20×20厘米粉板两块）检测鼠足印阳性率低于2%；鼠迹（鼠洞、鼠粪、鼠路、鼠咬痕），有鼠迹房间不超过2%；2000米外环境鼠迹不超过5处；重点单位防鼠设施（仓库、厨房等的门窗、出水口等部位有防鼠设施），合格率95%。现场检查，无可见鼠迹。鼠类根据中国人民共和国国家标准GB/T23798-2009《病媒生物密度监测方法  鼠类》标准执行。</w:t>
            </w:r>
          </w:p>
          <w:p>
            <w:pPr>
              <w:ind w:firstLine="420"/>
            </w:pPr>
            <w:r>
              <w:rPr>
                <w:sz w:val="21"/>
              </w:rPr>
              <w:t>2、灭蚊：区域内公共地域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蚊类根据中国人民共和国国家标准GB/T23797-2009《病媒生物密度监测方法  蚊虫》标准执行。</w:t>
            </w:r>
          </w:p>
          <w:p>
            <w:pPr>
              <w:ind w:firstLine="420"/>
            </w:pPr>
            <w:r>
              <w:rPr>
                <w:sz w:val="21"/>
              </w:rPr>
              <w:t>3、灭蝇：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蝇类根据中国人民共和国国家标准GB/T23796-2009《病媒生物密度监测方法  蝇类》标准执行。</w:t>
            </w:r>
          </w:p>
          <w:p>
            <w:pPr>
              <w:ind w:firstLine="420"/>
            </w:pPr>
            <w:r>
              <w:rPr>
                <w:sz w:val="21"/>
              </w:rPr>
              <w:t>4、灭蟑螂：查室内蟑螂成虫或幼虫，阳性房间不超过3%；有活蟑螂卵鞘房间，阳性房间不超过5%；蟑螂孳生栖息场所的清理，查墙的孔洞、缝隙蟑迹：粪便、蜕皮、蟑尸、空卵鞘等，阳性房间不超过5%。蜚蠊根据中国人民共和国国家标准GB/T23795-2009《病媒生物密度监测方法  蜚蠊》标准执行。</w:t>
            </w:r>
          </w:p>
          <w:p>
            <w:pPr>
              <w:ind w:firstLine="422"/>
            </w:pPr>
            <w:r>
              <w:rPr>
                <w:b/>
                <w:sz w:val="21"/>
              </w:rPr>
              <w:t>二</w:t>
            </w:r>
            <w:r>
              <w:rPr>
                <w:b/>
                <w:sz w:val="21"/>
              </w:rPr>
              <w:t>、除</w:t>
            </w:r>
            <w:r>
              <w:rPr>
                <w:b/>
                <w:sz w:val="21"/>
              </w:rPr>
              <w:t>“四害”作业要求</w:t>
            </w:r>
          </w:p>
          <w:p>
            <w:pPr>
              <w:ind w:firstLine="420"/>
            </w:pPr>
            <w:r>
              <w:rPr>
                <w:sz w:val="21"/>
              </w:rPr>
              <w:t>1、中标单位必须落实全镇病媒生物消杀工作，</w:t>
            </w:r>
            <w:r>
              <w:rPr>
                <w:sz w:val="21"/>
              </w:rPr>
              <w:t>每年</w:t>
            </w:r>
            <w:r>
              <w:rPr>
                <w:sz w:val="21"/>
              </w:rPr>
              <w:t>1、2、3、4、7、8、9和12月</w:t>
            </w:r>
            <w:r>
              <w:rPr>
                <w:sz w:val="21"/>
              </w:rPr>
              <w:t>确保各区域每月</w:t>
            </w:r>
            <w:r>
              <w:rPr>
                <w:sz w:val="21"/>
              </w:rPr>
              <w:t>至少</w:t>
            </w:r>
            <w:r>
              <w:rPr>
                <w:sz w:val="21"/>
              </w:rPr>
              <w:t>1次的灭鼠、灭蚊、灭蝇、灭蟑螂作业，达到国家标准C级以上。</w:t>
            </w:r>
            <w:r>
              <w:rPr>
                <w:sz w:val="21"/>
              </w:rPr>
              <w:t>如遇每年蚊虫高峰期</w:t>
            </w:r>
            <w:r>
              <w:rPr>
                <w:sz w:val="21"/>
              </w:rPr>
              <w:t>5、6、10和11月</w:t>
            </w:r>
            <w:r>
              <w:rPr>
                <w:sz w:val="21"/>
              </w:rPr>
              <w:t>确保各区域每月</w:t>
            </w:r>
            <w:r>
              <w:rPr>
                <w:sz w:val="21"/>
              </w:rPr>
              <w:t>至少</w:t>
            </w:r>
            <w:r>
              <w:rPr>
                <w:sz w:val="21"/>
              </w:rPr>
              <w:t>2</w:t>
            </w:r>
            <w:r>
              <w:rPr>
                <w:sz w:val="21"/>
              </w:rPr>
              <w:t>次的灭鼠、灭蚊、灭蝇、灭蟑螂作业，达到国家标准</w:t>
            </w:r>
            <w:r>
              <w:rPr>
                <w:sz w:val="21"/>
              </w:rPr>
              <w:t>C级以上。如遇病媒生物密度超出标准时，中标单位必须服从采购单位的工作安排，</w:t>
            </w:r>
            <w:r>
              <w:rPr>
                <w:sz w:val="21"/>
              </w:rPr>
              <w:t>免费</w:t>
            </w:r>
            <w:r>
              <w:rPr>
                <w:sz w:val="21"/>
              </w:rPr>
              <w:t>增加病媒生物的消杀次数。</w:t>
            </w:r>
          </w:p>
          <w:p>
            <w:pPr>
              <w:ind w:firstLine="420"/>
            </w:pPr>
            <w:r>
              <w:rPr>
                <w:sz w:val="21"/>
              </w:rPr>
              <w:t>2、中标单位必须坚持“预防为主，综合防制”的消杀方针，使用国家规定或爱卫会认定和推荐的药物。病媒生物药物要建立进出登记台账，并取得“三证”。病媒生物作业时要注意安全用药，废弃药物要妥善处理，防止污染。</w:t>
            </w:r>
          </w:p>
          <w:p>
            <w:pPr>
              <w:ind w:firstLine="420"/>
            </w:pPr>
            <w:r>
              <w:rPr>
                <w:sz w:val="21"/>
              </w:rPr>
              <w:t>3、必须在凤岗镇设立固定办公场所和仓库。</w:t>
            </w:r>
          </w:p>
          <w:p>
            <w:pPr>
              <w:ind w:firstLine="420"/>
            </w:pPr>
            <w:r>
              <w:rPr>
                <w:sz w:val="21"/>
              </w:rPr>
              <w:t>4、病媒生物防制工作人员需经培训后上岗，按照东莞市爱国卫生运动委员会关于病媒生物防制工作的法规标准，规范操作。作业时必须统一服装、统一标准，做到文明作业。</w:t>
            </w:r>
          </w:p>
          <w:p>
            <w:pPr>
              <w:ind w:firstLine="420"/>
            </w:pPr>
            <w:r>
              <w:rPr>
                <w:sz w:val="21"/>
              </w:rPr>
              <w:t>5、在各村（社区）进行病媒生物作业时，要建立服务单位签字制度，按照社区、村小组的指引开展工作，重点解决基层群众反映的病媒生物问题。完成工作后要经过村小组、村委签字确认并给予评价。</w:t>
            </w:r>
          </w:p>
          <w:p>
            <w:pPr>
              <w:ind w:firstLine="420"/>
            </w:pPr>
            <w:r>
              <w:rPr>
                <w:sz w:val="21"/>
              </w:rPr>
              <w:t>6、做好每次病媒生物工作的记录，登记天气、时间、处理位置、用药量等数据，并拍摄现场照片。</w:t>
            </w:r>
          </w:p>
          <w:p>
            <w:pPr>
              <w:ind w:firstLine="420"/>
            </w:pPr>
            <w:r>
              <w:rPr>
                <w:sz w:val="21"/>
              </w:rPr>
              <w:t>7、安排专人负责巡查和选点监测病媒生物防制效果，并根据实际效果调整用药时间、配方。</w:t>
            </w:r>
          </w:p>
          <w:p>
            <w:pPr>
              <w:ind w:firstLine="420"/>
            </w:pPr>
            <w:r>
              <w:rPr>
                <w:sz w:val="21"/>
              </w:rPr>
              <w:t>8、中标单位需按甲方要求投入相关技术人员和监测设备，每月开展“四害”密度监测，检测结果以书面报告形式在每月月底前上报甲方。</w:t>
            </w:r>
          </w:p>
          <w:p>
            <w:pPr>
              <w:ind w:firstLine="420"/>
            </w:pPr>
            <w:r>
              <w:rPr>
                <w:sz w:val="21"/>
              </w:rPr>
              <w:t>9、每季度由第三方机构开展“四害”密度监测并出具相关报告，监测费用由中标单位承担，每年3月、6月、9月、12月底前检测结果以书面报告形式上报甲方。</w:t>
            </w:r>
          </w:p>
          <w:p>
            <w:pPr>
              <w:ind w:firstLine="422"/>
            </w:pPr>
            <w:r>
              <w:rPr>
                <w:b/>
                <w:sz w:val="21"/>
              </w:rPr>
              <w:t>三</w:t>
            </w:r>
            <w:r>
              <w:rPr>
                <w:b/>
                <w:sz w:val="21"/>
              </w:rPr>
              <w:t>、除四害项目人员、设备配置</w:t>
            </w:r>
          </w:p>
          <w:p>
            <w:pPr>
              <w:ind w:firstLine="420"/>
            </w:pPr>
            <w:r>
              <w:rPr>
                <w:sz w:val="21"/>
              </w:rPr>
              <w:t>（一）项目人员、设备、用药配置要求</w:t>
            </w:r>
          </w:p>
          <w:p>
            <w:pPr>
              <w:ind w:firstLine="420"/>
            </w:pPr>
            <w:r>
              <w:rPr>
                <w:sz w:val="21"/>
              </w:rPr>
              <w:t>（</w:t>
            </w:r>
            <w:r>
              <w:rPr>
                <w:sz w:val="21"/>
              </w:rPr>
              <w:t>1）人员配置数量</w:t>
            </w:r>
          </w:p>
          <w:tbl>
            <w:tblPr>
              <w:tblBorders>
                <w:top w:val="none" w:color="000000" w:sz="4"/>
                <w:left w:val="none" w:color="000000" w:sz="4"/>
                <w:bottom w:val="none" w:color="000000" w:sz="4"/>
                <w:right w:val="none" w:color="000000" w:sz="4"/>
                <w:insideH w:val="none"/>
                <w:insideV w:val="none"/>
              </w:tblBorders>
            </w:tblPr>
            <w:tblGrid>
              <w:gridCol w:w="535"/>
              <w:gridCol w:w="1117"/>
              <w:gridCol w:w="872"/>
              <w:gridCol w:w="2512"/>
            </w:tblGrid>
            <w:tr>
              <w:tc>
                <w:tcPr>
                  <w:tcW w:type="dxa" w:w="535"/>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1117"/>
                  <w:tcBorders>
                    <w:top w:val="single" w:color="000000" w:sz="4"/>
                    <w:left w:val="single" w:color="000000" w:sz="4"/>
                    <w:bottom w:val="single" w:color="000000" w:sz="4"/>
                    <w:right w:val="single" w:color="000000" w:sz="4"/>
                  </w:tcBorders>
                  <w:shd w:fill="F2F2F2"/>
                  <w:vAlign w:val="top"/>
                </w:tcPr>
                <w:p>
                  <w:pPr>
                    <w:jc w:val="center"/>
                  </w:pPr>
                  <w:r>
                    <w:rPr>
                      <w:sz w:val="21"/>
                    </w:rPr>
                    <w:t>岗位</w:t>
                  </w:r>
                </w:p>
              </w:tc>
              <w:tc>
                <w:tcPr>
                  <w:tcW w:type="dxa" w:w="872"/>
                  <w:tcBorders>
                    <w:top w:val="single" w:color="000000" w:sz="4"/>
                    <w:left w:val="single" w:color="000000" w:sz="4"/>
                    <w:bottom w:val="single" w:color="000000" w:sz="4"/>
                    <w:right w:val="single" w:color="000000" w:sz="4"/>
                  </w:tcBorders>
                  <w:shd w:fill="F2F2F2"/>
                  <w:vAlign w:val="top"/>
                </w:tcPr>
                <w:p>
                  <w:pPr>
                    <w:jc w:val="center"/>
                  </w:pPr>
                  <w:r>
                    <w:rPr>
                      <w:sz w:val="21"/>
                    </w:rPr>
                    <w:t>人数</w:t>
                  </w:r>
                </w:p>
              </w:tc>
              <w:tc>
                <w:tcPr>
                  <w:tcW w:type="dxa" w:w="2512"/>
                  <w:tcBorders>
                    <w:top w:val="single" w:color="000000" w:sz="4"/>
                    <w:left w:val="single" w:color="000000" w:sz="4"/>
                    <w:bottom w:val="single" w:color="000000" w:sz="4"/>
                    <w:right w:val="single" w:color="000000" w:sz="4"/>
                  </w:tcBorders>
                  <w:shd w:fill="F2F2F2"/>
                  <w:vAlign w:val="top"/>
                </w:tcPr>
                <w:p>
                  <w:pPr>
                    <w:jc w:val="center"/>
                  </w:pPr>
                  <w:r>
                    <w:rPr>
                      <w:sz w:val="21"/>
                    </w:rPr>
                    <w:t>备注</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负责人</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负责全面工作</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组长</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负责统筹安排全组施工人员作业</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文员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负责仓管、每日作业记录及资料整理</w:t>
                  </w:r>
                </w:p>
              </w:tc>
            </w:tr>
            <w:tr>
              <w:tc>
                <w:tcPr>
                  <w:tcW w:type="dxa" w:w="53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17"/>
                  <w:tcBorders>
                    <w:top w:val="none" w:color="000000" w:sz="4"/>
                    <w:left w:val="single" w:color="000000" w:sz="4"/>
                    <w:bottom w:val="single" w:color="000000" w:sz="4"/>
                    <w:right w:val="single" w:color="000000" w:sz="4"/>
                  </w:tcBorders>
                  <w:vAlign w:val="top"/>
                </w:tcPr>
                <w:p>
                  <w:pPr>
                    <w:jc w:val="center"/>
                  </w:pPr>
                  <w:r>
                    <w:rPr>
                      <w:sz w:val="21"/>
                    </w:rPr>
                    <w:t>施工员</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9</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r>
                    <w:rPr>
                      <w:sz w:val="21"/>
                    </w:rPr>
                    <w:t>负责现场作业</w:t>
                  </w:r>
                </w:p>
              </w:tc>
            </w:tr>
            <w:tr>
              <w:tc>
                <w:tcPr>
                  <w:tcW w:type="dxa" w:w="1652"/>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872"/>
                  <w:tcBorders>
                    <w:top w:val="none" w:color="000000" w:sz="4"/>
                    <w:left w:val="single" w:color="000000" w:sz="4"/>
                    <w:bottom w:val="single" w:color="000000" w:sz="4"/>
                    <w:right w:val="single" w:color="000000" w:sz="4"/>
                  </w:tcBorders>
                  <w:vAlign w:val="top"/>
                </w:tcPr>
                <w:p>
                  <w:pPr>
                    <w:jc w:val="center"/>
                  </w:pPr>
                  <w:r>
                    <w:rPr>
                      <w:sz w:val="21"/>
                    </w:rPr>
                    <w:t>12</w:t>
                  </w:r>
                  <w:r>
                    <w:rPr>
                      <w:sz w:val="21"/>
                    </w:rPr>
                    <w:t>人</w:t>
                  </w:r>
                </w:p>
              </w:tc>
              <w:tc>
                <w:tcPr>
                  <w:tcW w:type="dxa" w:w="2512"/>
                  <w:tcBorders>
                    <w:top w:val="none" w:color="000000" w:sz="4"/>
                    <w:left w:val="single" w:color="000000" w:sz="4"/>
                    <w:bottom w:val="single" w:color="000000" w:sz="4"/>
                    <w:right w:val="single" w:color="000000" w:sz="4"/>
                  </w:tcBorders>
                  <w:vAlign w:val="top"/>
                </w:tcPr>
                <w:p>
                  <w:pPr>
                    <w:jc w:val="center"/>
                  </w:pPr>
                </w:p>
              </w:tc>
            </w:tr>
          </w:tbl>
          <w:p>
            <w:pPr>
              <w:ind w:firstLine="420"/>
            </w:pPr>
            <w:r>
              <w:rPr>
                <w:sz w:val="21"/>
              </w:rPr>
              <w:t>（</w:t>
            </w:r>
            <w:r>
              <w:rPr>
                <w:sz w:val="21"/>
              </w:rPr>
              <w:t>2）机械设备及工具数量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热烟机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6</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背负式机动喷雾机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9</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手提式喷雾机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7</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超低容量电动喷雾机</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4</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病媒生物消杀作业</w:t>
                  </w:r>
                  <w:r>
                    <w:rPr>
                      <w:sz w:val="21"/>
                    </w:rPr>
                    <w:t>轻型货车</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辆</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w:t>
                  </w:r>
                </w:p>
              </w:tc>
            </w:tr>
          </w:tbl>
          <w:p>
            <w:pPr>
              <w:ind w:firstLine="405"/>
            </w:pPr>
            <w:r>
              <w:rPr>
                <w:sz w:val="21"/>
              </w:rPr>
              <w:t>（</w:t>
            </w:r>
            <w:r>
              <w:rPr>
                <w:sz w:val="21"/>
              </w:rPr>
              <w:t>3）每年每平方公里需施用的药物品种及数量：</w:t>
            </w:r>
          </w:p>
          <w:tbl>
            <w:tblPr>
              <w:tblBorders>
                <w:top w:val="none" w:color="000000" w:sz="4"/>
                <w:left w:val="none" w:color="000000" w:sz="4"/>
                <w:bottom w:val="none" w:color="000000" w:sz="4"/>
                <w:right w:val="none" w:color="000000" w:sz="4"/>
                <w:insideH w:val="none"/>
                <w:insideV w:val="none"/>
              </w:tblBorders>
            </w:tblPr>
            <w:tblGrid>
              <w:gridCol w:w="696"/>
              <w:gridCol w:w="2297"/>
              <w:gridCol w:w="1243"/>
              <w:gridCol w:w="1362"/>
            </w:tblGrid>
            <w:tr>
              <w:tc>
                <w:tcPr>
                  <w:tcW w:type="dxa" w:w="696"/>
                  <w:tcBorders>
                    <w:top w:val="single" w:color="000000" w:sz="4"/>
                    <w:left w:val="single" w:color="000000" w:sz="4"/>
                    <w:bottom w:val="single" w:color="000000" w:sz="4"/>
                    <w:right w:val="single" w:color="000000" w:sz="4"/>
                  </w:tcBorders>
                  <w:shd w:fill="F2F2F2"/>
                  <w:vAlign w:val="top"/>
                </w:tcPr>
                <w:p>
                  <w:pPr>
                    <w:jc w:val="center"/>
                  </w:pPr>
                  <w:r>
                    <w:rPr>
                      <w:sz w:val="21"/>
                    </w:rPr>
                    <w:t>序号</w:t>
                  </w:r>
                </w:p>
              </w:tc>
              <w:tc>
                <w:tcPr>
                  <w:tcW w:type="dxa" w:w="2297"/>
                  <w:tcBorders>
                    <w:top w:val="single" w:color="000000" w:sz="4"/>
                    <w:left w:val="single" w:color="000000" w:sz="4"/>
                    <w:bottom w:val="single" w:color="000000" w:sz="4"/>
                    <w:right w:val="single" w:color="000000" w:sz="4"/>
                  </w:tcBorders>
                  <w:shd w:fill="F2F2F2"/>
                  <w:vAlign w:val="top"/>
                </w:tcPr>
                <w:p>
                  <w:pPr>
                    <w:jc w:val="center"/>
                  </w:pPr>
                  <w:r>
                    <w:rPr>
                      <w:sz w:val="21"/>
                    </w:rPr>
                    <w:t>项目</w:t>
                  </w:r>
                </w:p>
              </w:tc>
              <w:tc>
                <w:tcPr>
                  <w:tcW w:type="dxa" w:w="1243"/>
                  <w:tcBorders>
                    <w:top w:val="single" w:color="000000" w:sz="4"/>
                    <w:left w:val="single" w:color="000000" w:sz="4"/>
                    <w:bottom w:val="single" w:color="000000" w:sz="4"/>
                    <w:right w:val="single" w:color="000000" w:sz="4"/>
                  </w:tcBorders>
                  <w:shd w:fill="F2F2F2"/>
                  <w:vAlign w:val="top"/>
                </w:tcPr>
                <w:p>
                  <w:pPr>
                    <w:jc w:val="center"/>
                  </w:pPr>
                  <w:r>
                    <w:rPr>
                      <w:sz w:val="21"/>
                    </w:rPr>
                    <w:t>单位</w:t>
                  </w:r>
                </w:p>
              </w:tc>
              <w:tc>
                <w:tcPr>
                  <w:tcW w:type="dxa" w:w="1362"/>
                  <w:tcBorders>
                    <w:top w:val="single" w:color="000000" w:sz="4"/>
                    <w:left w:val="single" w:color="000000" w:sz="4"/>
                    <w:bottom w:val="single" w:color="000000" w:sz="4"/>
                    <w:right w:val="single" w:color="000000" w:sz="4"/>
                  </w:tcBorders>
                  <w:shd w:fill="F2F2F2"/>
                  <w:vAlign w:val="top"/>
                </w:tcPr>
                <w:p>
                  <w:pPr>
                    <w:jc w:val="center"/>
                  </w:pPr>
                  <w:r>
                    <w:rPr>
                      <w:sz w:val="21"/>
                    </w:rPr>
                    <w:t>数量</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灭蚊幼颗粒剂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75</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鼠药</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公斤</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240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297"/>
                  <w:tcBorders>
                    <w:top w:val="none" w:color="000000" w:sz="4"/>
                    <w:left w:val="single" w:color="000000" w:sz="4"/>
                    <w:bottom w:val="single" w:color="000000" w:sz="4"/>
                    <w:right w:val="single" w:color="000000" w:sz="4"/>
                  </w:tcBorders>
                  <w:vAlign w:val="top"/>
                </w:tcPr>
                <w:p>
                  <w:pPr>
                    <w:jc w:val="left"/>
                  </w:pPr>
                  <w:r>
                    <w:rPr>
                      <w:sz w:val="21"/>
                    </w:rPr>
                    <w:t>灭蚊药（</w:t>
                  </w:r>
                  <w:r>
                    <w:rPr>
                      <w:sz w:val="21"/>
                    </w:rPr>
                    <w:t>5%氯氰菊酯悬浮剂、10.4%氯菊酯烯丙菊酯水乳剂、10%高氯残杀威悬浮剂三种药物各</w:t>
                  </w:r>
                  <w:r>
                    <w:rPr>
                      <w:sz w:val="21"/>
                    </w:rPr>
                    <w:t>33</w:t>
                  </w:r>
                  <w:r>
                    <w:rPr>
                      <w:sz w:val="21"/>
                    </w:rPr>
                    <w:t>L）</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99</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烟雾剂</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升</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297"/>
                  <w:tcBorders>
                    <w:top w:val="none" w:color="000000" w:sz="4"/>
                    <w:left w:val="single" w:color="000000" w:sz="4"/>
                    <w:bottom w:val="single" w:color="000000" w:sz="4"/>
                    <w:right w:val="single" w:color="000000" w:sz="4"/>
                  </w:tcBorders>
                  <w:vAlign w:val="top"/>
                </w:tcPr>
                <w:p>
                  <w:pPr>
                    <w:jc w:val="center"/>
                  </w:pPr>
                  <w:r>
                    <w:rPr>
                      <w:sz w:val="21"/>
                    </w:rPr>
                    <w:t>鼠饵站</w:t>
                  </w:r>
                </w:p>
              </w:tc>
              <w:tc>
                <w:tcPr>
                  <w:tcW w:type="dxa" w:w="1243"/>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362"/>
                  <w:tcBorders>
                    <w:top w:val="none" w:color="000000" w:sz="4"/>
                    <w:left w:val="single" w:color="000000" w:sz="4"/>
                    <w:bottom w:val="single" w:color="000000" w:sz="4"/>
                    <w:right w:val="single" w:color="000000" w:sz="4"/>
                  </w:tcBorders>
                  <w:vAlign w:val="top"/>
                </w:tcPr>
                <w:p>
                  <w:pPr>
                    <w:jc w:val="center"/>
                  </w:pPr>
                  <w:r>
                    <w:rPr>
                      <w:sz w:val="21"/>
                    </w:rPr>
                    <w:t>100</w:t>
                  </w:r>
                </w:p>
              </w:tc>
            </w:tr>
          </w:tbl>
          <w:p>
            <w:pPr>
              <w:ind w:firstLine="405"/>
            </w:pPr>
          </w:p>
          <w:p>
            <w:pPr>
              <w:ind w:firstLine="405"/>
            </w:pPr>
            <w:r>
              <w:rPr>
                <w:sz w:val="21"/>
              </w:rPr>
              <w:t>（二）人员、设备管理要求</w:t>
            </w:r>
          </w:p>
          <w:p>
            <w:pPr>
              <w:ind w:firstLine="405"/>
            </w:pPr>
            <w:r>
              <w:rPr>
                <w:sz w:val="21"/>
              </w:rPr>
              <w:t>1、本项目的设备、车辆在合同签订后30天内要经采购人验收认定，要求出具证明该批设备为中标供应商所有的文件或发票。如数量不符，则作违约处理，采购人有权取消中标人中标资格。</w:t>
            </w:r>
          </w:p>
          <w:p>
            <w:pPr>
              <w:ind w:firstLine="405"/>
            </w:pPr>
            <w:r>
              <w:rPr>
                <w:sz w:val="21"/>
              </w:rPr>
              <w:t>2、实际进场的项目工作人员必须与投标中列明的人员数量相符，每少1个人在每月考核评分中扣1分。</w:t>
            </w:r>
          </w:p>
          <w:p>
            <w:pPr>
              <w:ind w:firstLine="405"/>
            </w:pPr>
            <w:r>
              <w:rPr>
                <w:sz w:val="21"/>
              </w:rPr>
              <w:t>3、项目所使用设备、车辆须做好维护保养，保持外观整洁。</w:t>
            </w:r>
          </w:p>
          <w:p>
            <w:pPr>
              <w:ind w:firstLine="310"/>
            </w:pPr>
          </w:p>
          <w:p>
            <w:pPr>
              <w:ind w:firstLine="310"/>
            </w:pPr>
            <w:r>
              <w:rPr>
                <w:b/>
                <w:sz w:val="21"/>
              </w:rPr>
              <w:t>四</w:t>
            </w:r>
            <w:r>
              <w:rPr>
                <w:b/>
                <w:sz w:val="21"/>
              </w:rPr>
              <w:t>、双方责任</w:t>
            </w:r>
          </w:p>
          <w:p>
            <w:pPr>
              <w:ind w:firstLine="420"/>
            </w:pPr>
            <w:r>
              <w:rPr>
                <w:sz w:val="21"/>
              </w:rPr>
              <w:t>（一）采购单位责任</w:t>
            </w:r>
          </w:p>
          <w:p>
            <w:pPr>
              <w:ind w:firstLine="420"/>
            </w:pPr>
            <w:r>
              <w:rPr>
                <w:sz w:val="21"/>
              </w:rPr>
              <w:t>1、采购单位应配合中标单位做好环境卫生科学知识及环境卫生管理有关规定的宣传工作，提高居民的环境卫生意识，要求居民遵守环境卫生管理规定，指导中标单位搞好病媒生物工作。</w:t>
            </w:r>
          </w:p>
          <w:p>
            <w:pPr>
              <w:ind w:firstLine="420"/>
            </w:pPr>
            <w:r>
              <w:rPr>
                <w:sz w:val="21"/>
              </w:rPr>
              <w:t>2、采购单位应按合同规定的时间，及时足额支付给中标单位承包费，具体支付时间以财政下拨款项的时间为准。由于承包费用未及时支付而致使病媒生物任务无法完成的，由采购单位承担全部责任。</w:t>
            </w:r>
          </w:p>
          <w:p>
            <w:pPr>
              <w:ind w:firstLine="420"/>
            </w:pPr>
            <w:r>
              <w:rPr>
                <w:sz w:val="21"/>
              </w:rPr>
              <w:t>（二）中标单位责任</w:t>
            </w:r>
          </w:p>
          <w:p>
            <w:pPr>
              <w:ind w:firstLine="420"/>
            </w:pPr>
            <w:r>
              <w:rPr>
                <w:sz w:val="21"/>
              </w:rPr>
              <w:t>1、中标单位病媒生物工作必须做好安全措施，若出现损害中标单位人员或第三人财产损失、人员伤亡安全事故由中标单位负责。</w:t>
            </w:r>
          </w:p>
          <w:p>
            <w:pPr>
              <w:ind w:firstLine="420"/>
            </w:pPr>
            <w:r>
              <w:rPr>
                <w:sz w:val="21"/>
              </w:rPr>
              <w:t>2、中标单位必须根据中标方案中作出的承诺、作业方案及招标文件中的各项任务，组织员工履行各项职责，使承包后东莞市凤岗镇的病媒生物质量有明显提高。</w:t>
            </w:r>
          </w:p>
          <w:p>
            <w:pPr>
              <w:ind w:firstLine="420"/>
            </w:pPr>
            <w:r>
              <w:rPr>
                <w:sz w:val="21"/>
              </w:rPr>
              <w:t>3、中标单位必须随时接受并配合采购单位、专项检查小组、上级爱卫管理部门以及其它相关部门的监督、检查和指导，必须无条件服从采购单位组织的一些突击性任务及迎检活动，按时、按标准、按要求完成所分配的工作。</w:t>
            </w:r>
          </w:p>
          <w:p>
            <w:pPr>
              <w:ind w:firstLine="420"/>
            </w:pPr>
            <w:r>
              <w:rPr>
                <w:sz w:val="21"/>
              </w:rPr>
              <w:t>4、中标单位必须提供足够的人手、工具和物料实施承包方案。</w:t>
            </w:r>
          </w:p>
          <w:p>
            <w:pPr>
              <w:ind w:firstLine="420"/>
            </w:pPr>
            <w:r>
              <w:rPr>
                <w:sz w:val="21"/>
              </w:rPr>
              <w:t>5、采购单位有权对中标单位进行随机检查，如发现中标单位组织措施不当、计划不落实、管理不严，方案中所列人员、机械设备（工具）与现场实际不符，导致病媒生物质量达不到规定标准，中标单位在接到采购单位的书面通知后，一个星期内必须整改，否则当月考核评分为“不合格”。</w:t>
            </w:r>
          </w:p>
          <w:p>
            <w:pPr>
              <w:ind w:firstLine="420"/>
            </w:pPr>
            <w:r>
              <w:rPr>
                <w:sz w:val="21"/>
              </w:rPr>
              <w:t>6、中标单位根据所承担的作业内容，按实际上岗人数自行到有关部门申办用工手续</w:t>
            </w:r>
            <w:r>
              <w:rPr>
                <w:sz w:val="21"/>
              </w:rPr>
              <w:t>（包括履行签订劳动合同、购买社保等法定义务）</w:t>
            </w:r>
            <w:r>
              <w:rPr>
                <w:sz w:val="21"/>
              </w:rPr>
              <w:t>，安排好属下人员的住宿和教育管理工作。</w:t>
            </w:r>
          </w:p>
          <w:p>
            <w:pPr>
              <w:ind w:firstLine="420"/>
            </w:pPr>
            <w:r>
              <w:rPr>
                <w:sz w:val="21"/>
              </w:rPr>
              <w:t>7、在服务期间，中标单位需做好安全教育，否则出现的一切安全事故由中标单位负责。</w:t>
            </w:r>
          </w:p>
          <w:p>
            <w:pPr>
              <w:ind w:firstLine="420"/>
            </w:pPr>
            <w:r>
              <w:rPr>
                <w:sz w:val="21"/>
              </w:rPr>
              <w:t>8、在服务期间，在“三防”设施达到的情况下，中标单位当月未达到中国人民共和国国家标准GB/T23798-2009《病媒生物密度监测方法》标准C级以上，扣除当月全部承包款；中标单位连续两个月未达到中国人民共和国国家标准GB/T23798-2009《病媒生物密度监测方法》标准C级以上，本项目合同自动终止并扣除当月全部承包款。</w:t>
            </w:r>
          </w:p>
          <w:p>
            <w:pPr>
              <w:ind w:firstLine="420"/>
            </w:pPr>
            <w:r>
              <w:rPr>
                <w:sz w:val="21"/>
              </w:rPr>
              <w:t>9、在服务期间，若凤岗镇</w:t>
            </w:r>
            <w:r>
              <w:rPr>
                <w:sz w:val="21"/>
              </w:rPr>
              <w:t>因该项目的</w:t>
            </w:r>
            <w:r>
              <w:rPr>
                <w:sz w:val="21"/>
              </w:rPr>
              <w:t>病媒生物防制效果不达标导致未能通过国家卫生镇或其他重大事项除“四害”相关检查，本项目合同自动终止并扣除当月全部承包款。</w:t>
            </w:r>
          </w:p>
          <w:p>
            <w:pPr>
              <w:ind w:firstLine="405"/>
            </w:pPr>
            <w:r>
              <w:rPr>
                <w:b/>
                <w:sz w:val="21"/>
              </w:rPr>
              <w:t>五</w:t>
            </w:r>
            <w:r>
              <w:rPr>
                <w:b/>
                <w:sz w:val="21"/>
              </w:rPr>
              <w:t>、考核标准</w:t>
            </w:r>
          </w:p>
          <w:p>
            <w:pPr>
              <w:ind w:firstLine="420"/>
            </w:pPr>
            <w:r>
              <w:rPr>
                <w:sz w:val="21"/>
              </w:rPr>
              <w:t>（一）检查验收制度</w:t>
            </w:r>
          </w:p>
          <w:p>
            <w:pPr>
              <w:ind w:firstLine="420"/>
            </w:pPr>
            <w:r>
              <w:rPr>
                <w:sz w:val="21"/>
              </w:rPr>
              <w:t>1、以镇村检查相结合的方式对全镇除“四害”工作进行定期不定期检查。由镇公用事业服务中心根据实际除“四害”工作开展情况及“四害”消杀成效，结合各村（居）在除“四害”工作卡上的签字和评价，对中标公司进行综合评分。</w:t>
            </w:r>
          </w:p>
          <w:p>
            <w:pPr>
              <w:ind w:firstLine="420"/>
            </w:pPr>
            <w:r>
              <w:rPr>
                <w:sz w:val="21"/>
              </w:rPr>
              <w:t>2、每月按照评分情况向中标公司支付承包款项，每月的扣分罚款从当月承包款中扣除。</w:t>
            </w:r>
          </w:p>
          <w:p>
            <w:pPr>
              <w:ind w:firstLine="420"/>
            </w:pPr>
            <w:r>
              <w:rPr>
                <w:sz w:val="21"/>
              </w:rPr>
              <w:t>3、镇、村检查人员必须严格遵守标准进行实际操作，不能以权谋私，玩忽职守。</w:t>
            </w:r>
          </w:p>
          <w:p>
            <w:pPr>
              <w:ind w:firstLine="420"/>
            </w:pPr>
            <w:r>
              <w:rPr>
                <w:sz w:val="21"/>
              </w:rPr>
              <w:t>（二）考核评分办法</w:t>
            </w:r>
          </w:p>
          <w:p>
            <w:pPr>
              <w:ind w:firstLine="420"/>
            </w:pPr>
            <w:r>
              <w:rPr>
                <w:sz w:val="21"/>
              </w:rPr>
              <w:t>除</w:t>
            </w:r>
            <w:r>
              <w:rPr>
                <w:sz w:val="21"/>
              </w:rPr>
              <w:t>“四害”评分考核采用百分制，满分为100分，分好（100分—90分），中（89分—80分），差（80分以下）三个档次。</w:t>
            </w:r>
          </w:p>
          <w:p>
            <w:pPr>
              <w:ind w:firstLine="420"/>
            </w:pPr>
            <w:r>
              <w:rPr>
                <w:sz w:val="21"/>
              </w:rPr>
              <w:t>1、中标公司得分低于90分（不含90分），以90分为基数，每减少1分，扣减当月承包款￥2000.00元；</w:t>
            </w:r>
          </w:p>
          <w:p>
            <w:pPr>
              <w:ind w:firstLine="420"/>
            </w:pPr>
            <w:r>
              <w:rPr>
                <w:sz w:val="21"/>
              </w:rPr>
              <w:t>2、中标公司得分在80分以下（不含80分），以80分为基数，每减少1分，扣减当月承包款￥3000.00元。</w:t>
            </w:r>
          </w:p>
          <w:p>
            <w:pPr>
              <w:ind w:firstLine="420"/>
            </w:pPr>
            <w:r>
              <w:rPr>
                <w:sz w:val="21"/>
              </w:rPr>
              <w:t>3、中标公司得分在70分以下（不含70分），以70分为基数，每减少1分，扣减当月承包款￥5000.00元。</w:t>
            </w:r>
          </w:p>
          <w:p>
            <w:pPr>
              <w:ind w:firstLine="420"/>
            </w:pPr>
            <w:r>
              <w:rPr>
                <w:sz w:val="21"/>
              </w:rPr>
              <w:t>合同期内连续出现</w:t>
            </w:r>
            <w:r>
              <w:rPr>
                <w:sz w:val="21"/>
              </w:rPr>
              <w:t>3次检查评分在70以下的，除按规定扣款外，采购人有权中止合同。</w:t>
            </w:r>
          </w:p>
          <w:p>
            <w:pPr>
              <w:jc w:val="center"/>
            </w:pPr>
            <w:r>
              <w:rPr>
                <w:b/>
                <w:color w:val="000000"/>
                <w:sz w:val="28"/>
              </w:rPr>
              <w:t>凤岗镇除</w:t>
            </w:r>
            <w:r>
              <w:rPr>
                <w:b/>
                <w:color w:val="000000"/>
                <w:sz w:val="28"/>
              </w:rPr>
              <w:t>“四害”考核评分表</w:t>
            </w:r>
          </w:p>
          <w:tbl>
            <w:tblPr>
              <w:tblBorders>
                <w:top w:val="none" w:color="000000" w:sz="4"/>
                <w:left w:val="none" w:color="000000" w:sz="4"/>
                <w:bottom w:val="none" w:color="000000" w:sz="4"/>
                <w:right w:val="none" w:color="000000" w:sz="4"/>
                <w:insideH w:val="none"/>
                <w:insideV w:val="none"/>
              </w:tblBorders>
            </w:tblPr>
            <w:tblGrid>
              <w:gridCol w:w="561"/>
              <w:gridCol w:w="358"/>
              <w:gridCol w:w="2566"/>
              <w:gridCol w:w="1268"/>
              <w:gridCol w:w="455"/>
              <w:gridCol w:w="358"/>
            </w:tblGrid>
            <w:tr>
              <w:tc>
                <w:tcPr>
                  <w:tcW w:type="dxa" w:w="561"/>
                  <w:tcBorders>
                    <w:top w:val="single" w:color="000000" w:sz="4"/>
                    <w:left w:val="single" w:color="000000" w:sz="4"/>
                    <w:bottom w:val="single" w:color="000000" w:sz="4"/>
                    <w:right w:val="single" w:color="000000" w:sz="4"/>
                  </w:tcBorders>
                  <w:vAlign w:val="top"/>
                </w:tcPr>
                <w:p>
                  <w:pPr>
                    <w:jc w:val="left"/>
                  </w:pPr>
                  <w:r>
                    <w:rPr>
                      <w:b/>
                      <w:color w:val="000000"/>
                      <w:sz w:val="21"/>
                    </w:rPr>
                    <w:t>总</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项</w:t>
                  </w:r>
                </w:p>
                <w:p>
                  <w:pPr>
                    <w:jc w:val="left"/>
                  </w:pPr>
                  <w:r>
                    <w:rPr>
                      <w:b/>
                      <w:color w:val="000000"/>
                      <w:sz w:val="21"/>
                    </w:rPr>
                    <w:t>目</w:t>
                  </w:r>
                </w:p>
              </w:tc>
              <w:tc>
                <w:tcPr>
                  <w:tcW w:type="dxa" w:w="2566"/>
                  <w:tcBorders>
                    <w:top w:val="single" w:color="000000" w:sz="4"/>
                    <w:left w:val="none" w:color="000000" w:sz="4"/>
                    <w:bottom w:val="single" w:color="000000" w:sz="4"/>
                    <w:right w:val="single" w:color="000000" w:sz="4"/>
                  </w:tcBorders>
                  <w:vAlign w:val="top"/>
                </w:tcPr>
                <w:p>
                  <w:pPr>
                    <w:jc w:val="center"/>
                  </w:pPr>
                  <w:r>
                    <w:rPr>
                      <w:b/>
                      <w:color w:val="000000"/>
                      <w:sz w:val="21"/>
                    </w:rPr>
                    <w:t>考核检查方法及评价依据</w:t>
                  </w:r>
                </w:p>
              </w:tc>
              <w:tc>
                <w:tcPr>
                  <w:tcW w:type="dxa" w:w="1268"/>
                  <w:tcBorders>
                    <w:top w:val="single" w:color="000000" w:sz="4"/>
                    <w:left w:val="none" w:color="000000" w:sz="4"/>
                    <w:bottom w:val="single" w:color="000000" w:sz="4"/>
                    <w:right w:val="single" w:color="000000" w:sz="4"/>
                  </w:tcBorders>
                  <w:vAlign w:val="top"/>
                </w:tcPr>
                <w:p>
                  <w:pPr>
                    <w:jc w:val="center"/>
                  </w:pPr>
                  <w:r>
                    <w:rPr>
                      <w:b/>
                      <w:color w:val="000000"/>
                      <w:sz w:val="21"/>
                    </w:rPr>
                    <w:t>扣分方法</w:t>
                  </w:r>
                </w:p>
              </w:tc>
              <w:tc>
                <w:tcPr>
                  <w:tcW w:type="dxa" w:w="455"/>
                  <w:tcBorders>
                    <w:top w:val="single" w:color="000000" w:sz="4"/>
                    <w:left w:val="none" w:color="000000" w:sz="4"/>
                    <w:bottom w:val="single" w:color="000000" w:sz="4"/>
                    <w:right w:val="single" w:color="000000" w:sz="4"/>
                  </w:tcBorders>
                  <w:vAlign w:val="top"/>
                </w:tcPr>
                <w:p>
                  <w:pPr>
                    <w:jc w:val="left"/>
                  </w:pPr>
                  <w:r>
                    <w:rPr>
                      <w:b/>
                      <w:color w:val="000000"/>
                      <w:sz w:val="21"/>
                    </w:rPr>
                    <w:t>应</w:t>
                  </w:r>
                </w:p>
                <w:p>
                  <w:pPr>
                    <w:jc w:val="left"/>
                  </w:pPr>
                  <w:r>
                    <w:rPr>
                      <w:b/>
                      <w:color w:val="000000"/>
                      <w:sz w:val="21"/>
                    </w:rPr>
                    <w:t>得</w:t>
                  </w:r>
                </w:p>
                <w:p>
                  <w:pPr>
                    <w:jc w:val="left"/>
                  </w:pPr>
                  <w:r>
                    <w:rPr>
                      <w:b/>
                      <w:color w:val="000000"/>
                      <w:sz w:val="21"/>
                    </w:rPr>
                    <w:t>分</w:t>
                  </w:r>
                </w:p>
              </w:tc>
              <w:tc>
                <w:tcPr>
                  <w:tcW w:type="dxa" w:w="358"/>
                  <w:tcBorders>
                    <w:top w:val="single" w:color="000000" w:sz="4"/>
                    <w:left w:val="none" w:color="000000" w:sz="4"/>
                    <w:bottom w:val="single" w:color="000000" w:sz="4"/>
                    <w:right w:val="single" w:color="000000" w:sz="4"/>
                  </w:tcBorders>
                  <w:vAlign w:val="top"/>
                </w:tcPr>
                <w:p>
                  <w:pPr>
                    <w:jc w:val="left"/>
                  </w:pPr>
                  <w:r>
                    <w:rPr>
                      <w:b/>
                      <w:color w:val="000000"/>
                      <w:sz w:val="21"/>
                    </w:rPr>
                    <w:t>实</w:t>
                  </w:r>
                </w:p>
                <w:p>
                  <w:pPr>
                    <w:jc w:val="left"/>
                  </w:pPr>
                  <w:r>
                    <w:rPr>
                      <w:b/>
                      <w:color w:val="000000"/>
                      <w:sz w:val="21"/>
                    </w:rPr>
                    <w:t>得</w:t>
                  </w:r>
                </w:p>
                <w:p>
                  <w:pPr>
                    <w:jc w:val="left"/>
                  </w:pPr>
                  <w:r>
                    <w:rPr>
                      <w:b/>
                      <w:color w:val="000000"/>
                      <w:sz w:val="21"/>
                    </w:rPr>
                    <w:t>分</w:t>
                  </w:r>
                </w:p>
              </w:tc>
            </w:tr>
            <w:tr>
              <w:tc>
                <w:tcPr>
                  <w:tcW w:type="dxa" w:w="561"/>
                  <w:vMerge w:val="restart"/>
                  <w:tcBorders>
                    <w:top w:val="none" w:color="000000" w:sz="4"/>
                    <w:left w:val="single" w:color="000000" w:sz="4"/>
                    <w:bottom w:val="single" w:color="000000" w:sz="4"/>
                    <w:right w:val="single" w:color="000000" w:sz="4"/>
                  </w:tcBorders>
                  <w:vAlign w:val="top"/>
                </w:tcPr>
                <w:p>
                  <w:pPr>
                    <w:jc w:val="center"/>
                  </w:pPr>
                  <w:r>
                    <w:rPr>
                      <w:color w:val="000000"/>
                      <w:sz w:val="21"/>
                    </w:rPr>
                    <w:t>100分</w:t>
                  </w: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鼠</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1、粉迹法（每15平方米房间布放20*20厘米粉板两块）监测鼠足印阳率低于2%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2、鼠迹（鼠洞、鼠粪、鼠路、鼠咬痕），有鼠迹房间不超过2%</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3、2000米外环境鼠迹不超过5处</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3、每超过1处扣2分，扣完为止。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蚊</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1、居民区、单位内外环境各种存水容器和积水中的幼蚊及蛹，阳性率低于3%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2、用500ML收集勺采集城区内大中型水体中的蚊幼虫或蛹，阳性率低于1%，阳性勺内幼虫或蛹的平均数不超过3只</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2、每超出1只扣1分，扣完为止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3、在特殊场所白天人诱蚊60分钟，平均诱获成蚊不超过1只/人次</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3、每超过1只/人次扣1分，扣完为止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蝇</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w:t>
                  </w:r>
                  <w:r>
                    <w:rPr>
                      <w:sz w:val="21"/>
                    </w:rPr>
                    <w:t>重点单位（如饮食、食品加工、销售业）</w:t>
                  </w:r>
                  <w:r>
                    <w:rPr>
                      <w:color w:val="000000"/>
                      <w:sz w:val="21"/>
                    </w:rPr>
                    <w:t>有蝇房间不超过</w:t>
                  </w:r>
                  <w:r>
                    <w:rPr>
                      <w:color w:val="000000"/>
                      <w:sz w:val="21"/>
                    </w:rPr>
                    <w:t>1%</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2、加工、销售、存放直接入口食品的场所，不得有蝇</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2、每发现1只扣0.2分，扣完为止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w:t>
                  </w:r>
                  <w:r>
                    <w:rPr>
                      <w:sz w:val="21"/>
                    </w:rPr>
                    <w:t>一般单位（如机关、学校、工厂）</w:t>
                  </w:r>
                  <w:r>
                    <w:rPr>
                      <w:color w:val="000000"/>
                      <w:sz w:val="21"/>
                    </w:rPr>
                    <w:t>有蝇房间不超过</w:t>
                  </w:r>
                  <w:r>
                    <w:rPr>
                      <w:color w:val="000000"/>
                      <w:sz w:val="21"/>
                    </w:rPr>
                    <w:t>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4、蝇类孳生地（外环境、垃圾容器、垃圾存放地等），得到有效治理，幼虫和蛹的检出率不超过3%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灭</w:t>
                  </w:r>
                </w:p>
                <w:p>
                  <w:pPr>
                    <w:jc w:val="left"/>
                  </w:pPr>
                  <w:r>
                    <w:rPr>
                      <w:color w:val="000000"/>
                      <w:sz w:val="21"/>
                    </w:rPr>
                    <w:t>蟑</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1、检查室内蟑螂成虫或幼虫，阳性房间不超过3%</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2、有活蟑螂卵鞘房间，阳性房间不超过5%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3、蟑螂孳生栖息场所的清理，查墙的孔洞、缝隙蟑迹：粪便、蜕皮、蟑尸、空卵鞘等，阳性房间不超过5%</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3、每超出0.1%扣1分，扣完为止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vAlign w:val="top"/>
                </w:tcPr>
                <w:p>
                  <w:pPr>
                    <w:jc w:val="left"/>
                  </w:pPr>
                  <w:r>
                    <w:rPr>
                      <w:color w:val="000000"/>
                      <w:sz w:val="21"/>
                    </w:rPr>
                    <w:t>其</w:t>
                  </w:r>
                </w:p>
                <w:p>
                  <w:pPr>
                    <w:jc w:val="left"/>
                  </w:pPr>
                  <w:r>
                    <w:rPr>
                      <w:color w:val="000000"/>
                      <w:sz w:val="21"/>
                    </w:rPr>
                    <w:t>他</w:t>
                  </w: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1、工作人员要持证上岗，并要与群众保持良好关系</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1、没有持证上岗的，每人次扣0.5分，被群众投诉，情况属实的，每次扣1分，扣完为止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2、工作人员数量与投标文件承诺的数量不符</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2、每少1人扣1分，扣完为止。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3、每月除“四害”消杀行动要达1次以上</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3、达不到要求的，每少1次扣3分，扣完为止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4、除“四害”工作要确保使用的药物有质量合格证明，作业方式正确</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4、达不到要求的，每次扣1分，扣完为止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58"/>
                  <w:tcBorders>
                    <w:top w:val="none" w:color="000000" w:sz="4"/>
                    <w:left w:val="none" w:color="000000" w:sz="4"/>
                    <w:bottom w:val="single" w:color="000000" w:sz="4"/>
                    <w:right w:val="single" w:color="000000" w:sz="4"/>
                  </w:tcBorders>
                  <w:vAlign w:val="top"/>
                </w:tcPr>
                <w:p>
                  <w:pPr>
                    <w:jc w:val="left"/>
                  </w:pPr>
                </w:p>
              </w:tc>
            </w:tr>
            <w:tr>
              <w:tc>
                <w:tcPr>
                  <w:tcW w:type="dxa" w:w="56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vAlign w:val="top"/>
                </w:tcPr>
                <w:p>
                  <w:pPr>
                    <w:jc w:val="left"/>
                  </w:pPr>
                  <w:r>
                    <w:rPr>
                      <w:color w:val="000000"/>
                      <w:sz w:val="21"/>
                    </w:rPr>
                    <w:t>5、配合甲方做好相关的检查工作，能及时处理突发事件。不发生</w:t>
                  </w:r>
                  <w:r>
                    <w:rPr>
                      <w:sz w:val="21"/>
                    </w:rPr>
                    <w:t>被市、区领导批评或被媒体曝光情况。</w:t>
                  </w:r>
                </w:p>
              </w:tc>
              <w:tc>
                <w:tcPr>
                  <w:tcW w:type="dxa" w:w="1268"/>
                  <w:tcBorders>
                    <w:top w:val="none" w:color="000000" w:sz="4"/>
                    <w:left w:val="none" w:color="000000" w:sz="4"/>
                    <w:bottom w:val="single" w:color="000000" w:sz="4"/>
                    <w:right w:val="single" w:color="000000" w:sz="4"/>
                  </w:tcBorders>
                  <w:vAlign w:val="top"/>
                </w:tcPr>
                <w:p>
                  <w:pPr>
                    <w:jc w:val="left"/>
                  </w:pPr>
                  <w:r>
                    <w:rPr>
                      <w:color w:val="000000"/>
                      <w:sz w:val="21"/>
                    </w:rPr>
                    <w:t>5、未按要求配合的，或出现批评、投诉、曝光情况属实的每次扣1分，扣完为止</w:t>
                  </w:r>
                </w:p>
              </w:tc>
              <w:tc>
                <w:tcPr>
                  <w:tcW w:type="dxa" w:w="45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58"/>
                  <w:tcBorders>
                    <w:top w:val="none" w:color="000000" w:sz="4"/>
                    <w:left w:val="none" w:color="000000" w:sz="4"/>
                    <w:bottom w:val="single" w:color="000000" w:sz="4"/>
                    <w:right w:val="single" w:color="000000" w:sz="4"/>
                  </w:tcBorders>
                  <w:vAlign w:val="top"/>
                </w:tcPr>
                <w:p>
                  <w:pPr>
                    <w:jc w:val="left"/>
                  </w:pPr>
                </w:p>
              </w:tc>
            </w:tr>
          </w:tbl>
          <w:p>
            <w:pPr>
              <w:jc w:val="left"/>
            </w:pPr>
          </w:p>
          <w:p>
            <w:pPr>
              <w:jc w:val="left"/>
            </w:pPr>
            <w:r>
              <w:rPr>
                <w:sz w:val="21"/>
              </w:rPr>
              <w:t>备注：甲方可根据管理需要与</w:t>
            </w:r>
            <w:r>
              <w:rPr>
                <w:sz w:val="21"/>
              </w:rPr>
              <w:t>乙方</w:t>
            </w:r>
            <w:r>
              <w:rPr>
                <w:sz w:val="21"/>
              </w:rPr>
              <w:t>协商制定村（社区）级考核机制。</w:t>
            </w:r>
          </w:p>
          <w:p>
            <w:pPr>
              <w:jc w:val="left"/>
            </w:pPr>
            <w:r>
              <w:rPr>
                <w:b/>
                <w:sz w:val="22"/>
              </w:rPr>
              <w:t xml:space="preserve"> </w:t>
            </w:r>
          </w:p>
          <w:p>
            <w:pPr>
              <w:jc w:val="left"/>
            </w:pPr>
            <w:r>
              <w:rPr>
                <w:b/>
                <w:sz w:val="21"/>
              </w:rPr>
              <w:t>合计：实际得分（</w:t>
            </w:r>
            <w:r>
              <w:rPr>
                <w:b/>
                <w:sz w:val="21"/>
              </w:rPr>
              <w:t xml:space="preserve">     </w:t>
            </w:r>
            <w:r>
              <w:rPr>
                <w:b/>
                <w:sz w:val="21"/>
              </w:rPr>
              <w:t>）</w:t>
            </w:r>
            <w:r>
              <w:rPr>
                <w:b/>
                <w:sz w:val="21"/>
              </w:rPr>
              <w:t>=总分（100）－检查扣分（       ）</w:t>
            </w:r>
          </w:p>
          <w:p>
            <w:pPr>
              <w:jc w:val="left"/>
            </w:pPr>
            <w:r>
              <w:rPr>
                <w:sz w:val="22"/>
              </w:rPr>
              <w:t xml:space="preserve"> </w:t>
            </w:r>
          </w:p>
          <w:p>
            <w:pPr>
              <w:jc w:val="left"/>
            </w:pPr>
            <w:r>
              <w:rPr>
                <w:sz w:val="21"/>
              </w:rPr>
              <w:t>检查人员签名</w:t>
            </w:r>
            <w:r>
              <w:rPr>
                <w:sz w:val="21"/>
              </w:rPr>
              <w:t>:                                    市场化公司签名确认：</w:t>
            </w:r>
          </w:p>
          <w:p>
            <w:pPr>
              <w:jc w:val="left"/>
            </w:pPr>
            <w:r>
              <w:rPr>
                <w:sz w:val="22"/>
              </w:rPr>
              <w:t xml:space="preserve"> </w:t>
            </w:r>
          </w:p>
          <w:p>
            <w:pPr>
              <w:jc w:val="left"/>
            </w:pPr>
            <w:r>
              <w:rPr>
                <w:sz w:val="21"/>
              </w:rPr>
              <w:t>检查时间</w:t>
            </w:r>
            <w:r>
              <w:rPr>
                <w:sz w:val="21"/>
              </w:rPr>
              <w:t>:        年    月    日</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1.采购代理机构：本项目是指三方诚信招标有限公司东莞分公司，负责整个采购活动的组织，依法负责编制和发布招标文件，对招标文件拥有最终的解释权，不以任何身份出任评标委员会成员。</w:t>
      </w:r>
    </w:p>
    <w:p>
      <w:pPr>
        <w:ind w:firstLine="480"/>
      </w:pPr>
      <w:r>
        <w:rPr/>
        <w:t>2.采购人：本项目是指</w:t>
      </w:r>
      <w:r>
        <w:rPr/>
        <w:t>东莞市凤岗镇公用事业服务中心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3</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采购包1：保证金人民币：30,000.00元整。</w:t>
            </w:r>
            <w:r>
              <w:rPr/>
              <w:t>采购包2：保证金人民币：35,000.00元整。</w:t>
            </w:r>
            <w:r>
              <w:rPr/>
              <w:t>采购包3：保证金人民币：40,000.00元整。</w:t>
            </w:r>
          </w:p>
          <w:p>
            <w:r>
              <w:rPr/>
              <w:t>开户单位：</w:t>
            </w:r>
            <w:r>
              <w:rPr/>
              <w:t>三方诚信招标有限公司东莞分公司</w:t>
            </w:r>
          </w:p>
          <w:p>
            <w:r>
              <w:rPr/>
              <w:t>开户账号：</w:t>
            </w:r>
            <w:r>
              <w:rPr/>
              <w:t>6232590699050049426</w:t>
            </w:r>
          </w:p>
          <w:p>
            <w:r>
              <w:rPr/>
              <w:t>开户银行：</w:t>
            </w:r>
            <w:r>
              <w:rPr/>
              <w:t>广发银行股份有限公司东莞南城支行</w:t>
            </w:r>
          </w:p>
          <w:p>
            <w:r>
              <w:rPr/>
              <w:t>支票提交方式：</w:t>
            </w:r>
            <w:r>
              <w:rPr/>
              <w:t>/</w:t>
            </w:r>
          </w:p>
          <w:p>
            <w:r>
              <w:rPr/>
              <w:t>汇票、本票提交方式：</w:t>
            </w:r>
            <w:r>
              <w:rPr/>
              <w:t>/</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p>
            <w:r>
              <w:rPr/>
              <w:t>采购包3：</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中标（成交）服务费参照国家计委[计价格[2002]1980号]文和国家发改委[发改价格[2011]534号]文及相关规定向中标单位收取，按差额定率累进法计算，以中标（成交）通知书中确定的中标（成交）总价作为收费的计算依据。</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p>
            <w:pPr>
              <w:jc w:val="left"/>
            </w:pPr>
            <w:r>
              <w:rPr/>
              <w:t>采购包2：是</w:t>
            </w:r>
          </w:p>
          <w:p>
            <w:pPr>
              <w:jc w:val="left"/>
            </w:pPr>
            <w:r>
              <w:rPr/>
              <w:t>采购包3：是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三方诚信招标有限公司东莞分公司</w:t>
      </w:r>
      <w:r>
        <w:rPr/>
        <w:t>代收。具体操作要求详见</w:t>
      </w:r>
      <w:r>
        <w:rPr/>
        <w:t>三方诚信招标有限公司东莞分公司</w:t>
      </w:r>
      <w:r>
        <w:rPr/>
        <w:t>有关指引，递交事宜请自行咨询</w:t>
      </w:r>
      <w:r>
        <w:rPr/>
        <w:t>三方诚信招标有限公司东莞分公司</w:t>
      </w:r>
      <w:r>
        <w:rPr/>
        <w:t>；请各投标人在投标文件递交截止时间前按须知前附表规定的金额递交至</w:t>
      </w:r>
      <w:r>
        <w:rPr/>
        <w:t>三方诚信招标有限公司东莞分公司</w:t>
      </w:r>
      <w:r>
        <w:rPr/>
        <w:t>，到账情况以开标时</w:t>
      </w:r>
      <w:r>
        <w:rPr/>
        <w:t>三方诚信招标有限公司东莞分公司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谭杰滨</w:t>
      </w:r>
    </w:p>
    <w:p>
      <w:pPr>
        <w:ind w:firstLine="480"/>
      </w:pPr>
      <w:r>
        <w:rPr/>
        <w:t>电话：</w:t>
      </w:r>
      <w:r>
        <w:rPr/>
        <w:t>0769-21682660-815</w:t>
      </w:r>
    </w:p>
    <w:p>
      <w:pPr>
        <w:ind w:firstLine="480"/>
      </w:pPr>
      <w:r>
        <w:rPr/>
        <w:t>传真：</w:t>
      </w:r>
      <w:r>
        <w:rPr/>
        <w:t>0769-21682660-815</w:t>
      </w:r>
    </w:p>
    <w:p>
      <w:pPr>
        <w:ind w:firstLine="480"/>
      </w:pPr>
      <w:r>
        <w:rPr/>
        <w:t>邮箱：</w:t>
      </w:r>
      <w:r>
        <w:rPr/>
        <w:t>562968310@qq.com</w:t>
      </w:r>
    </w:p>
    <w:p>
      <w:pPr>
        <w:ind w:firstLine="480"/>
      </w:pPr>
      <w:r>
        <w:rPr/>
        <w:t>地址：</w:t>
      </w:r>
      <w:r>
        <w:rPr/>
        <w:t>东莞市南城区鸿福西路81号国际商会大厦706室</w:t>
      </w:r>
    </w:p>
    <w:p>
      <w:pPr>
        <w:ind w:firstLine="480"/>
      </w:pPr>
      <w:r>
        <w:rPr/>
        <w:t>邮编：</w:t>
      </w:r>
      <w:r>
        <w:rPr/>
        <w:t>523000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政府采购监督管理机构名称：东莞市财政局政府采购监管科</w:t>
      </w:r>
    </w:p>
    <w:p>
      <w:r>
        <w:rPr/>
        <w:t>地  址：东莞市南城区鸿福路99号行政办事中心主楼12楼28室</w:t>
      </w:r>
    </w:p>
    <w:p>
      <w:r>
        <w:rPr/>
        <w:t>电  话：0769-22831025、0769-22830161</w:t>
      </w:r>
    </w:p>
    <w:p>
      <w:r>
        <w:rPr/>
        <w:t>邮  编：523000</w:t>
      </w:r>
    </w:p>
    <w:p>
      <w:r>
        <w:rPr/>
        <w:t>传  真：-</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采购包1(标段一)：综合评分法,是指投标文件满足招标文件全部实质性要求，且按照评审因素的量化指标评审得分最高的投标人为中标候选人的评标方法。（最低报价不是中标的唯一依据。）</w:t>
      </w:r>
    </w:p>
    <w:p/>
    <w:p>
      <w:r>
        <w:rPr/>
        <w:t>采购包2(标段二)：综合评分法,是指投标文件满足招标文件全部实质性要求，且按照评审因素的量化指标评审得分最高的投标人为中标候选人的评标方法。（最低报价不是中标的唯一依据。）</w:t>
      </w:r>
    </w:p>
    <w:p/>
    <w:p>
      <w:r>
        <w:rPr/>
        <w:t>采购包3(标段三)：综合评分法,是指投标文件满足招标文件全部实质性要求，且按照评审因素的量化指标评审得分最高的投标人为中标候选人的评标方法。（最低报价不是中标的唯一依据。）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三方诚信招标有限公司东莞分公司</w:t>
      </w:r>
      <w:r>
        <w:rPr/>
        <w:t>统一对外发布。</w:t>
      </w:r>
    </w:p>
    <w:p>
      <w:pPr>
        <w:ind w:firstLine="480"/>
      </w:pPr>
      <w:r>
        <w:rPr/>
        <w:t>（2）对</w:t>
      </w:r>
      <w:r>
        <w:rPr/>
        <w:t>三方诚信招标有限公司东莞分公司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采购包1（标段一）：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采购包2（标段二）：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采购包3（标段三）：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采购包1（标段一）：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提供相应证明材料。(或提供相关承诺函）</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供应商必须具有良好的商业信誉和健全的财务会计制度（提供2020年度财务状况报告或2021年度财务状况报告或基本开户行出具的资信证明或提供相关承诺函）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按投标（响应）文件格式填报设备及专业技术能力情况。(或提供相关承诺函）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r>
        <w:rPr/>
        <w:t>采购包2（标段二）：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提供相应证明材料。(或提供相关承诺函）</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供应商必须具有良好的商业信誉和健全的财务会计制度（提供2020年度财务状况报告或2021年度财务状况报告或基本开户行出具的资信证明或提供相关承诺函）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按投标（响应）文件格式填报设备及专业技术能力情况。(或提供相关承诺函）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r>
        <w:rPr/>
        <w:t>采购包3（标段三）：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提供相应证明材料。(或提供相关承诺函）</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供应商必须具有良好的商业信誉和健全的财务会计制度（提供2020年度财务状况报告或2021年度财务状况报告或基本开户行出具的资信证明或提供相关承诺函）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按投标（响应）文件格式填报设备及专业技术能力情况。(或提供相关承诺函）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采购包整体专门面向中小企业。投标人须符合本项目采购标的对应行业的政策划分标准。监狱企业、残疾人福利单位视同小型、微型企业。 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采购包1（标段一）：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已经盖章、签署，授权有效期。</w:t>
            </w:r>
          </w:p>
        </w:tc>
      </w:tr>
      <w:tr>
        <w:tc>
          <w:tcPr>
            <w:tcW w:type="dxa" w:w="890"/>
          </w:tcPr>
          <w:p>
            <w:r>
              <w:rPr/>
              <w:t>3</w:t>
            </w:r>
          </w:p>
        </w:tc>
        <w:tc>
          <w:tcPr>
            <w:tcW w:type="dxa" w:w="3178"/>
          </w:tcPr>
          <w:p>
            <w:r>
              <w:rPr/>
              <w:t>投标文件内容、签署、盖章</w:t>
            </w:r>
          </w:p>
        </w:tc>
        <w:tc>
          <w:tcPr>
            <w:tcW w:type="dxa" w:w="4238"/>
          </w:tcPr>
          <w:p>
            <w:r>
              <w:rPr/>
              <w:t>投标文件内容完整，无重大错漏，并已按招标文件要求盖章、签署。</w:t>
            </w:r>
          </w:p>
        </w:tc>
      </w:tr>
      <w:tr>
        <w:tc>
          <w:tcPr>
            <w:tcW w:type="dxa" w:w="890"/>
          </w:tcPr>
          <w:p>
            <w:r>
              <w:rPr/>
              <w:t>4</w:t>
            </w:r>
          </w:p>
        </w:tc>
        <w:tc>
          <w:tcPr>
            <w:tcW w:type="dxa" w:w="3178"/>
          </w:tcPr>
          <w:p>
            <w:r>
              <w:rPr/>
              <w:t>投标报价</w:t>
            </w:r>
          </w:p>
        </w:tc>
        <w:tc>
          <w:tcPr>
            <w:tcW w:type="dxa" w:w="4238"/>
          </w:tcPr>
          <w:p>
            <w:r>
              <w:rPr/>
              <w:t>投标人的投标报价无超出项目预算金额。</w:t>
            </w:r>
          </w:p>
        </w:tc>
      </w:tr>
      <w:tr>
        <w:tc>
          <w:tcPr>
            <w:tcW w:type="dxa" w:w="890"/>
          </w:tcPr>
          <w:p>
            <w:r>
              <w:rPr/>
              <w:t>5</w:t>
            </w:r>
          </w:p>
        </w:tc>
        <w:tc>
          <w:tcPr>
            <w:tcW w:type="dxa" w:w="3178"/>
          </w:tcPr>
          <w:p>
            <w:r>
              <w:rPr/>
              <w:t>商务审查</w:t>
            </w:r>
          </w:p>
        </w:tc>
        <w:tc>
          <w:tcPr>
            <w:tcW w:type="dxa" w:w="4238"/>
          </w:tcPr>
          <w:p>
            <w:r>
              <w:rPr/>
              <w:t>商务条款满足招标文件要求。</w:t>
            </w:r>
          </w:p>
        </w:tc>
      </w:tr>
      <w:tr>
        <w:tc>
          <w:tcPr>
            <w:tcW w:type="dxa" w:w="890"/>
          </w:tcPr>
          <w:p>
            <w:r>
              <w:rPr/>
              <w:t>6</w:t>
            </w:r>
          </w:p>
        </w:tc>
        <w:tc>
          <w:tcPr>
            <w:tcW w:type="dxa" w:w="3178"/>
          </w:tcPr>
          <w:p>
            <w:r>
              <w:rPr/>
              <w:t>技术审查</w:t>
            </w:r>
          </w:p>
        </w:tc>
        <w:tc>
          <w:tcPr>
            <w:tcW w:type="dxa" w:w="4238"/>
          </w:tcPr>
          <w:p>
            <w:r>
              <w:rPr/>
              <w:t>技术条款满足招标文件要求。</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无效情形</w:t>
            </w:r>
          </w:p>
        </w:tc>
        <w:tc>
          <w:tcPr>
            <w:tcW w:type="dxa" w:w="4238"/>
          </w:tcPr>
          <w:p>
            <w:r>
              <w:rPr/>
              <w:t>投标文件中未有法律、法规和招标文件规定的其他无效情形。</w:t>
            </w:r>
          </w:p>
        </w:tc>
      </w:tr>
    </w:tbl>
    <w:p/>
    <w:p>
      <w:r>
        <w:rPr/>
        <w:t>采购包2（标段二）：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已经盖章、签署，授权有效期。</w:t>
            </w:r>
          </w:p>
        </w:tc>
      </w:tr>
      <w:tr>
        <w:tc>
          <w:tcPr>
            <w:tcW w:type="dxa" w:w="890"/>
          </w:tcPr>
          <w:p>
            <w:r>
              <w:rPr/>
              <w:t>3</w:t>
            </w:r>
          </w:p>
        </w:tc>
        <w:tc>
          <w:tcPr>
            <w:tcW w:type="dxa" w:w="3178"/>
          </w:tcPr>
          <w:p>
            <w:r>
              <w:rPr/>
              <w:t>投标文件内容、签署、盖章</w:t>
            </w:r>
          </w:p>
        </w:tc>
        <w:tc>
          <w:tcPr>
            <w:tcW w:type="dxa" w:w="4238"/>
          </w:tcPr>
          <w:p>
            <w:r>
              <w:rPr/>
              <w:t>投标文件内容完整，无重大错漏，并已按招标文件要求盖章、签署。</w:t>
            </w:r>
          </w:p>
        </w:tc>
      </w:tr>
      <w:tr>
        <w:tc>
          <w:tcPr>
            <w:tcW w:type="dxa" w:w="890"/>
          </w:tcPr>
          <w:p>
            <w:r>
              <w:rPr/>
              <w:t>4</w:t>
            </w:r>
          </w:p>
        </w:tc>
        <w:tc>
          <w:tcPr>
            <w:tcW w:type="dxa" w:w="3178"/>
          </w:tcPr>
          <w:p>
            <w:r>
              <w:rPr/>
              <w:t>投标报价</w:t>
            </w:r>
          </w:p>
        </w:tc>
        <w:tc>
          <w:tcPr>
            <w:tcW w:type="dxa" w:w="4238"/>
          </w:tcPr>
          <w:p>
            <w:r>
              <w:rPr/>
              <w:t>投标人的投标报价无超出项目预算金额。</w:t>
            </w:r>
          </w:p>
        </w:tc>
      </w:tr>
      <w:tr>
        <w:tc>
          <w:tcPr>
            <w:tcW w:type="dxa" w:w="890"/>
          </w:tcPr>
          <w:p>
            <w:r>
              <w:rPr/>
              <w:t>5</w:t>
            </w:r>
          </w:p>
        </w:tc>
        <w:tc>
          <w:tcPr>
            <w:tcW w:type="dxa" w:w="3178"/>
          </w:tcPr>
          <w:p>
            <w:r>
              <w:rPr/>
              <w:t>商务审查</w:t>
            </w:r>
          </w:p>
        </w:tc>
        <w:tc>
          <w:tcPr>
            <w:tcW w:type="dxa" w:w="4238"/>
          </w:tcPr>
          <w:p>
            <w:r>
              <w:rPr/>
              <w:t>商务条款满足招标文件要求。</w:t>
            </w:r>
          </w:p>
        </w:tc>
      </w:tr>
      <w:tr>
        <w:tc>
          <w:tcPr>
            <w:tcW w:type="dxa" w:w="890"/>
          </w:tcPr>
          <w:p>
            <w:r>
              <w:rPr/>
              <w:t>6</w:t>
            </w:r>
          </w:p>
        </w:tc>
        <w:tc>
          <w:tcPr>
            <w:tcW w:type="dxa" w:w="3178"/>
          </w:tcPr>
          <w:p>
            <w:r>
              <w:rPr/>
              <w:t>技术审查</w:t>
            </w:r>
          </w:p>
        </w:tc>
        <w:tc>
          <w:tcPr>
            <w:tcW w:type="dxa" w:w="4238"/>
          </w:tcPr>
          <w:p>
            <w:r>
              <w:rPr/>
              <w:t>技术条款满足招标文件要求。</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无效情形</w:t>
            </w:r>
          </w:p>
        </w:tc>
        <w:tc>
          <w:tcPr>
            <w:tcW w:type="dxa" w:w="4238"/>
          </w:tcPr>
          <w:p>
            <w:r>
              <w:rPr/>
              <w:t>投标文件中未有法律、法规和招标文件规定的其他无效情形。</w:t>
            </w:r>
          </w:p>
        </w:tc>
      </w:tr>
    </w:tbl>
    <w:p/>
    <w:p>
      <w:r>
        <w:rPr/>
        <w:t>采购包3（标段三）：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已经盖章、签署，授权有效期。</w:t>
            </w:r>
          </w:p>
        </w:tc>
      </w:tr>
      <w:tr>
        <w:tc>
          <w:tcPr>
            <w:tcW w:type="dxa" w:w="890"/>
          </w:tcPr>
          <w:p>
            <w:r>
              <w:rPr/>
              <w:t>3</w:t>
            </w:r>
          </w:p>
        </w:tc>
        <w:tc>
          <w:tcPr>
            <w:tcW w:type="dxa" w:w="3178"/>
          </w:tcPr>
          <w:p>
            <w:r>
              <w:rPr/>
              <w:t>投标文件内容、签署、盖章</w:t>
            </w:r>
          </w:p>
        </w:tc>
        <w:tc>
          <w:tcPr>
            <w:tcW w:type="dxa" w:w="4238"/>
          </w:tcPr>
          <w:p>
            <w:r>
              <w:rPr/>
              <w:t>投标文件内容完整，无重大错漏，并已按招标文件要求盖章、签署。</w:t>
            </w:r>
          </w:p>
        </w:tc>
      </w:tr>
      <w:tr>
        <w:tc>
          <w:tcPr>
            <w:tcW w:type="dxa" w:w="890"/>
          </w:tcPr>
          <w:p>
            <w:r>
              <w:rPr/>
              <w:t>4</w:t>
            </w:r>
          </w:p>
        </w:tc>
        <w:tc>
          <w:tcPr>
            <w:tcW w:type="dxa" w:w="3178"/>
          </w:tcPr>
          <w:p>
            <w:r>
              <w:rPr/>
              <w:t>投标报价</w:t>
            </w:r>
          </w:p>
        </w:tc>
        <w:tc>
          <w:tcPr>
            <w:tcW w:type="dxa" w:w="4238"/>
          </w:tcPr>
          <w:p>
            <w:r>
              <w:rPr/>
              <w:t>投标人的投标报价无超出项目预算金额。</w:t>
            </w:r>
          </w:p>
        </w:tc>
      </w:tr>
      <w:tr>
        <w:tc>
          <w:tcPr>
            <w:tcW w:type="dxa" w:w="890"/>
          </w:tcPr>
          <w:p>
            <w:r>
              <w:rPr/>
              <w:t>5</w:t>
            </w:r>
          </w:p>
        </w:tc>
        <w:tc>
          <w:tcPr>
            <w:tcW w:type="dxa" w:w="3178"/>
          </w:tcPr>
          <w:p>
            <w:r>
              <w:rPr/>
              <w:t>商务审查</w:t>
            </w:r>
          </w:p>
        </w:tc>
        <w:tc>
          <w:tcPr>
            <w:tcW w:type="dxa" w:w="4238"/>
          </w:tcPr>
          <w:p>
            <w:r>
              <w:rPr/>
              <w:t>商务条款满足招标文件要求。</w:t>
            </w:r>
          </w:p>
        </w:tc>
      </w:tr>
      <w:tr>
        <w:tc>
          <w:tcPr>
            <w:tcW w:type="dxa" w:w="890"/>
          </w:tcPr>
          <w:p>
            <w:r>
              <w:rPr/>
              <w:t>6</w:t>
            </w:r>
          </w:p>
        </w:tc>
        <w:tc>
          <w:tcPr>
            <w:tcW w:type="dxa" w:w="3178"/>
          </w:tcPr>
          <w:p>
            <w:r>
              <w:rPr/>
              <w:t>技术审查</w:t>
            </w:r>
          </w:p>
        </w:tc>
        <w:tc>
          <w:tcPr>
            <w:tcW w:type="dxa" w:w="4238"/>
          </w:tcPr>
          <w:p>
            <w:r>
              <w:rPr/>
              <w:t>技术条款满足招标文件要求。</w:t>
            </w:r>
          </w:p>
        </w:tc>
      </w:tr>
      <w:tr>
        <w:tc>
          <w:tcPr>
            <w:tcW w:type="dxa" w:w="890"/>
          </w:tcPr>
          <w:p>
            <w:r>
              <w:rPr/>
              <w:t>7</w:t>
            </w:r>
          </w:p>
        </w:tc>
        <w:tc>
          <w:tcPr>
            <w:tcW w:type="dxa" w:w="3178"/>
          </w:tcPr>
          <w:p>
            <w:r>
              <w:rPr/>
              <w:t>附加条件</w:t>
            </w:r>
          </w:p>
        </w:tc>
        <w:tc>
          <w:tcPr>
            <w:tcW w:type="dxa" w:w="4238"/>
          </w:tcPr>
          <w:p>
            <w:r>
              <w:rPr/>
              <w:t>投标文件未含有采购人不能接受的附加条件。</w:t>
            </w:r>
          </w:p>
        </w:tc>
      </w:tr>
      <w:tr>
        <w:tc>
          <w:tcPr>
            <w:tcW w:type="dxa" w:w="890"/>
          </w:tcPr>
          <w:p>
            <w:r>
              <w:rPr/>
              <w:t>8</w:t>
            </w:r>
          </w:p>
        </w:tc>
        <w:tc>
          <w:tcPr>
            <w:tcW w:type="dxa" w:w="3178"/>
          </w:tcPr>
          <w:p>
            <w:r>
              <w:rPr/>
              <w:t>无效情形</w:t>
            </w:r>
          </w:p>
        </w:tc>
        <w:tc>
          <w:tcPr>
            <w:tcW w:type="dxa" w:w="4238"/>
          </w:tcPr>
          <w:p>
            <w:r>
              <w:rPr/>
              <w:t>投标文件中未有法律、法规和招标文件规定的其他无效情形。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标段一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技术部分60.0分</w:t>
            </w:r>
          </w:p>
          <w:p>
            <w:r>
              <w:rPr/>
              <w:t>报价得分15.0分</w:t>
            </w:r>
          </w:p>
        </w:tc>
      </w:tr>
      <w:tr>
        <w:tc>
          <w:tcPr>
            <w:tcW w:type="dxa" w:w="922"/>
            <w:gridSpan w:val="2"/>
            <w:vMerge w:val="restart"/>
          </w:tcPr>
          <w:p>
            <w:pPr>
              <w:jc w:val="center"/>
            </w:pPr>
            <w:r>
              <w:rPr/>
              <w:t>技术部分</w:t>
            </w:r>
          </w:p>
        </w:tc>
        <w:tc>
          <w:tcPr>
            <w:tcW w:type="dxa" w:w="2307"/>
          </w:tcPr>
          <w:p>
            <w:pPr>
              <w:jc w:val="left"/>
            </w:pPr>
            <w:r>
              <w:rPr/>
              <w:t>对本项目的背景了解及现状分析 (15.0分)</w:t>
            </w:r>
          </w:p>
        </w:tc>
        <w:tc>
          <w:tcPr>
            <w:tcW w:type="dxa" w:w="5076"/>
          </w:tcPr>
          <w:p>
            <w:pPr>
              <w:jc w:val="left"/>
            </w:pPr>
            <w:r>
              <w:rPr/>
              <w:t>针对本项目的背景、现状进行调查，能抓住重点，有支撑资料，进行综合评审：  调查深入、了解全面，很好的抓住重点，有充分的资料支撑项目的开展，得15分； 调查较为深入、了解全面，抓住重点，有较为充分的资料支撑项目的开展，得10分； 调查一般、基本了解，抓住重点，有资料支撑项目的开展，得5分； 有开展调查，没能抓住重点，得1分； 无提供相应方案不得分。</w:t>
            </w:r>
          </w:p>
        </w:tc>
      </w:tr>
      <w:tr>
        <w:tc>
          <w:tcPr>
            <w:tcW w:type="dxa" w:w="922"/>
            <w:gridSpan w:val="2"/>
            <w:vMerge/>
          </w:tcPr>
          <w:p/>
        </w:tc>
        <w:tc>
          <w:tcPr>
            <w:tcW w:type="dxa" w:w="2307"/>
          </w:tcPr>
          <w:p>
            <w:pPr>
              <w:jc w:val="left"/>
            </w:pPr>
            <w:r>
              <w:rPr/>
              <w:t>项目的总体实施方案 (10.0分)</w:t>
            </w:r>
          </w:p>
        </w:tc>
        <w:tc>
          <w:tcPr>
            <w:tcW w:type="dxa" w:w="5076"/>
          </w:tcPr>
          <w:p>
            <w:pPr>
              <w:jc w:val="left"/>
            </w:pPr>
            <w:r>
              <w:rPr/>
              <w:t>根据投标人拟投入本项目的方案科学，依据充分，措施明确、合理，施工组织严密，运作流程清晰进行综合评审： 技术方案科学，依据十分充分，措施非常明确、合理，施工组织十分严密，运作流程十分清晰的，得10分； 技术方案科学，现场调查资料详细，依据充分，措施明确、合理，施工组织严密，运作流程清晰的，得6分； 技术方案科学，现场调查资料一般，依据一般，措施含糊，施工组织松弛，运作流程含混，得3分； 有方案，调查比较简单，依据混乱，得1分； 无提供相应方案不得分。</w:t>
            </w:r>
          </w:p>
        </w:tc>
      </w:tr>
      <w:tr>
        <w:tc>
          <w:tcPr>
            <w:tcW w:type="dxa" w:w="922"/>
            <w:gridSpan w:val="2"/>
            <w:vMerge/>
          </w:tcPr>
          <w:p/>
        </w:tc>
        <w:tc>
          <w:tcPr>
            <w:tcW w:type="dxa" w:w="2307"/>
          </w:tcPr>
          <w:p>
            <w:pPr>
              <w:jc w:val="left"/>
            </w:pPr>
            <w:r>
              <w:rPr/>
              <w:t>针对本项目的培训方案 (10.0分)</w:t>
            </w:r>
          </w:p>
        </w:tc>
        <w:tc>
          <w:tcPr>
            <w:tcW w:type="dxa" w:w="5076"/>
          </w:tcPr>
          <w:p>
            <w:pPr>
              <w:jc w:val="left"/>
            </w:pPr>
            <w:r>
              <w:rPr/>
              <w:t>根据投标人提供针对本项目制定的项目服务人员培训方案进行综合评审： 投标人提供针对本项目制定的项目服务人员培训方案十分明确、清晰、合理的，得10分； 投标人提供针对本项目制定的项目服务人员培训方案较明确、清晰、合理的，得6分； 投标人提供针对本项目制定的项目服务人员培训方案较明确、清晰、合理的，得3分； 投标人提供针对本项目制定的项目服务人员培训方案不明确、含糊、不合理的，得1分； 无提供相应方案不得分。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根据投标人对现场作业过程的管理方案及质量保证措施进行综合评审： 投标人对现场作业过程严谨，管理方案十分清晰及质量保证措施十分明确、合理的，得10分； 投标人对现场作业过程较严谨，管理方案较清晰及质量保证措施较明确、合理的，得6分； 投标人对现场作业过程不够严谨，管理方案一般及质量保证措施一般的，得3分； 投标人对现场作业过程随便，管理方案含糊及质量保证措施含糊的，得1分； 无提供相应方案不得分。</w:t>
            </w:r>
          </w:p>
        </w:tc>
      </w:tr>
      <w:tr>
        <w:tc>
          <w:tcPr>
            <w:tcW w:type="dxa" w:w="922"/>
            <w:gridSpan w:val="2"/>
            <w:vMerge/>
          </w:tcPr>
          <w:p/>
        </w:tc>
        <w:tc>
          <w:tcPr>
            <w:tcW w:type="dxa" w:w="2307"/>
          </w:tcPr>
          <w:p>
            <w:pPr>
              <w:jc w:val="left"/>
            </w:pPr>
            <w:r>
              <w:rPr/>
              <w:t>应急方案 (10.0分)</w:t>
            </w:r>
          </w:p>
        </w:tc>
        <w:tc>
          <w:tcPr>
            <w:tcW w:type="dxa" w:w="5076"/>
          </w:tcPr>
          <w:p>
            <w:pPr>
              <w:jc w:val="left"/>
            </w:pPr>
            <w:r>
              <w:rPr/>
              <w:t>根据投标人所提供针对台风、暴风等天气影响，重大节假日或活动，四害疫情等特殊情况制定应急处置方案，包括传达机制、人员和设备调配、责任分工等做出的应急方案进行综合评审： 应急方案非常明确、清晰，传达机制十分完善、人员和设备调配非常明确、合理，责任分工十分明确的，得10分。 应急方案较明确清晰，传达机制较完善、人员和设备调配较明确合理，责任分工较明确，得6分。 应急方案一般，传达机制、人员和设备调配较明确，责任分工较一般的，得3分。 应急方案简单，传达机制简单、人员和设备调配不合理，责任分工不明确的，得1分。 无提供相应方案不得分。</w:t>
            </w:r>
          </w:p>
        </w:tc>
      </w:tr>
      <w:tr>
        <w:tc>
          <w:tcPr>
            <w:tcW w:type="dxa" w:w="922"/>
            <w:gridSpan w:val="2"/>
            <w:vMerge/>
          </w:tcPr>
          <w:p/>
        </w:tc>
        <w:tc>
          <w:tcPr>
            <w:tcW w:type="dxa" w:w="2307"/>
          </w:tcPr>
          <w:p>
            <w:pPr>
              <w:jc w:val="left"/>
            </w:pPr>
            <w:r>
              <w:rPr/>
              <w:t>药物投入计划及安全保证措施 (5.0分)</w:t>
            </w:r>
          </w:p>
        </w:tc>
        <w:tc>
          <w:tcPr>
            <w:tcW w:type="dxa" w:w="5076"/>
          </w:tcPr>
          <w:p>
            <w:pPr>
              <w:jc w:val="left"/>
            </w:pPr>
            <w:r>
              <w:rPr/>
              <w:t>根据各投标人的药物投入计划及安全保证措施进行综合评审： 药物投入计划合理完善、安全保证措施具体详细，操作性强，得5分； 药物投入计划较合理完善、安全保证措施较详细，操作性较强，得3分； 药物投入计划不够完善、安全保证措施针对性不强，操作性一般，得2分； 药物投入计划、安全保证措施欠缺，得1分。 无提供相应方案不得分。</w:t>
            </w:r>
          </w:p>
        </w:tc>
      </w:tr>
      <w:tr>
        <w:tc>
          <w:tcPr>
            <w:tcW w:type="dxa" w:w="922"/>
            <w:gridSpan w:val="2"/>
            <w:vMerge w:val="restart"/>
          </w:tcPr>
          <w:p>
            <w:pPr>
              <w:jc w:val="center"/>
            </w:pPr>
            <w:r>
              <w:rPr/>
              <w:t>商务部分</w:t>
            </w:r>
          </w:p>
        </w:tc>
        <w:tc>
          <w:tcPr>
            <w:tcW w:type="dxa" w:w="2307"/>
          </w:tcPr>
          <w:p>
            <w:pPr>
              <w:jc w:val="left"/>
            </w:pPr>
            <w:r>
              <w:rPr/>
              <w:t>业绩 (14.0分)</w:t>
            </w:r>
          </w:p>
        </w:tc>
        <w:tc>
          <w:tcPr>
            <w:tcW w:type="dxa" w:w="5076"/>
          </w:tcPr>
          <w:p>
            <w:pPr>
              <w:jc w:val="left"/>
            </w:pPr>
            <w:r>
              <w:rPr/>
              <w:t>投标人具有的除“四害”服务的项目业绩：每提供1个得2分，无不得分，本项最高得14分。 注：须提供业绩合同复印件并加盖投标人公章。</w:t>
            </w:r>
          </w:p>
        </w:tc>
      </w:tr>
      <w:tr>
        <w:tc>
          <w:tcPr>
            <w:tcW w:type="dxa" w:w="922"/>
            <w:gridSpan w:val="2"/>
            <w:vMerge/>
          </w:tcPr>
          <w:p/>
        </w:tc>
        <w:tc>
          <w:tcPr>
            <w:tcW w:type="dxa" w:w="2307"/>
          </w:tcPr>
          <w:p>
            <w:pPr>
              <w:jc w:val="left"/>
            </w:pPr>
            <w:r>
              <w:rPr/>
              <w:t>企业实力 (7.0分)</w:t>
            </w:r>
          </w:p>
        </w:tc>
        <w:tc>
          <w:tcPr>
            <w:tcW w:type="dxa" w:w="5076"/>
          </w:tcPr>
          <w:p>
            <w:pPr>
              <w:jc w:val="left"/>
            </w:pPr>
            <w:r>
              <w:rPr/>
              <w:t>投标人具备防治（制）员的，每提供一个证书得1分，本项最高得7分。 投标人须提供相关人员证书复印件，同时提供最近一年任意三个月在本单位连续缴纳社保的有效凭证的复印件；</w:t>
            </w:r>
          </w:p>
        </w:tc>
      </w:tr>
      <w:tr>
        <w:tc>
          <w:tcPr>
            <w:tcW w:type="dxa" w:w="922"/>
            <w:gridSpan w:val="2"/>
            <w:vMerge/>
          </w:tcPr>
          <w:p/>
        </w:tc>
        <w:tc>
          <w:tcPr>
            <w:tcW w:type="dxa" w:w="2307"/>
          </w:tcPr>
          <w:p>
            <w:pPr>
              <w:jc w:val="left"/>
            </w:pPr>
            <w:r>
              <w:rPr/>
              <w:t>售后服务 (4.0分)</w:t>
            </w:r>
          </w:p>
        </w:tc>
        <w:tc>
          <w:tcPr>
            <w:tcW w:type="dxa" w:w="5076"/>
          </w:tcPr>
          <w:p>
            <w:pPr>
              <w:jc w:val="left"/>
            </w:pPr>
            <w:r>
              <w:rPr/>
              <w:t>根据投标人提供的服务响应时间承诺进行评分。 投标人承诺在接到采购人通知后1小时内到现场，得4分； 投标人承诺在接到采购人通知后2小时内到现场，得2分； 投标人承诺在接到采购人通知后4小时内到现场，得1分； 投标人承诺在接到采购人通知后超过4小时到现场，不得分。 提供服务承诺书并加盖投标人公章。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标段二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技术部分60.0分</w:t>
            </w:r>
          </w:p>
          <w:p>
            <w:r>
              <w:rPr/>
              <w:t>报价得分15.0分</w:t>
            </w:r>
          </w:p>
        </w:tc>
      </w:tr>
      <w:tr>
        <w:tc>
          <w:tcPr>
            <w:tcW w:type="dxa" w:w="922"/>
            <w:gridSpan w:val="2"/>
            <w:vMerge w:val="restart"/>
          </w:tcPr>
          <w:p>
            <w:pPr>
              <w:jc w:val="center"/>
            </w:pPr>
            <w:r>
              <w:rPr/>
              <w:t>技术部分</w:t>
            </w:r>
          </w:p>
        </w:tc>
        <w:tc>
          <w:tcPr>
            <w:tcW w:type="dxa" w:w="2307"/>
          </w:tcPr>
          <w:p>
            <w:pPr>
              <w:jc w:val="left"/>
            </w:pPr>
            <w:r>
              <w:rPr/>
              <w:t>对本项目的背景了解及现状分析 (15.0分)</w:t>
            </w:r>
          </w:p>
        </w:tc>
        <w:tc>
          <w:tcPr>
            <w:tcW w:type="dxa" w:w="5076"/>
          </w:tcPr>
          <w:p>
            <w:pPr>
              <w:jc w:val="left"/>
            </w:pPr>
            <w:r>
              <w:rPr/>
              <w:t>针对本项目的背景、现状进行调查，能抓住重点，有支撑资料，进行综合评审：  调查深入、了解全面，很好的抓住重点，有充分的资料支撑项目的开展，得15分； 调查较为深入、了解全面，抓住重点，有较为充分的资料支撑项目的开展，得10分； 调查一般、基本了解，抓住重点，有资料支撑项目的开展，得5分； 有开展调查，没能抓住重点，得1分； 无提供相应方案不得分。</w:t>
            </w:r>
          </w:p>
        </w:tc>
      </w:tr>
      <w:tr>
        <w:tc>
          <w:tcPr>
            <w:tcW w:type="dxa" w:w="922"/>
            <w:gridSpan w:val="2"/>
            <w:vMerge/>
          </w:tcPr>
          <w:p/>
        </w:tc>
        <w:tc>
          <w:tcPr>
            <w:tcW w:type="dxa" w:w="2307"/>
          </w:tcPr>
          <w:p>
            <w:pPr>
              <w:jc w:val="left"/>
            </w:pPr>
            <w:r>
              <w:rPr/>
              <w:t>项目的总体实施方案 (10.0分)</w:t>
            </w:r>
          </w:p>
        </w:tc>
        <w:tc>
          <w:tcPr>
            <w:tcW w:type="dxa" w:w="5076"/>
          </w:tcPr>
          <w:p>
            <w:pPr>
              <w:jc w:val="left"/>
            </w:pPr>
            <w:r>
              <w:rPr/>
              <w:t>根据投标人拟投入本项目的方案科学，依据充分，措施明确、合理，施工组织严密，运作流程清晰进行综合评审： 技术方案科学，依据十分充分，措施非常明确、合理，施工组织十分严密，运作流程十分清晰的，得10分； 技术方案科学，现场调查资料详细，依据充分，措施明确、合理，施工组织严密，运作流程清晰的，得6分； 技术方案科学，现场调查资料一般，依据一般，措施含糊，施工组织松弛，运作流程含混，得3分； 有方案，调查比较简单，依据混乱，得1分； 无提供相应方案不得分。</w:t>
            </w:r>
          </w:p>
        </w:tc>
      </w:tr>
      <w:tr>
        <w:tc>
          <w:tcPr>
            <w:tcW w:type="dxa" w:w="922"/>
            <w:gridSpan w:val="2"/>
            <w:vMerge/>
          </w:tcPr>
          <w:p/>
        </w:tc>
        <w:tc>
          <w:tcPr>
            <w:tcW w:type="dxa" w:w="2307"/>
          </w:tcPr>
          <w:p>
            <w:pPr>
              <w:jc w:val="left"/>
            </w:pPr>
            <w:r>
              <w:rPr/>
              <w:t>针对本项目的培训方案 (10.0分)</w:t>
            </w:r>
          </w:p>
        </w:tc>
        <w:tc>
          <w:tcPr>
            <w:tcW w:type="dxa" w:w="5076"/>
          </w:tcPr>
          <w:p>
            <w:pPr>
              <w:jc w:val="left"/>
            </w:pPr>
            <w:r>
              <w:rPr/>
              <w:t>根据投标人提供针对本项目制定的项目服务人员培训方案进行综合评审： 投标人提供针对本项目制定的项目服务人员培训方案十分明确、清晰、合理的，得10分； 投标人提供针对本项目制定的项目服务人员培训方案较明确、清晰、合理的，得6分； 投标人提供针对本项目制定的项目服务人员培训方案较明确、清晰、合理的，得3分； 投标人提供针对本项目制定的项目服务人员培训方案不明确、含糊、不合理的，得1分； 无提供相应方案不得分。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根据投标人对现场作业过程的管理方案及质量保证措施进行综合评审： 投标人对现场作业过程严谨，管理方案十分清晰及质量保证措施十分明确、合理的，得10分； 投标人对现场作业过程较严谨，管理方案较清晰及质量保证措施较明确、合理的，得6分； 投标人对现场作业过程不够严谨，管理方案一般及质量保证措施一般的，得3分； 投标人对现场作业过程随便，管理方案含糊及质量保证措施含糊的，得1分； 无提供相应方案不得分。</w:t>
            </w:r>
          </w:p>
        </w:tc>
      </w:tr>
      <w:tr>
        <w:tc>
          <w:tcPr>
            <w:tcW w:type="dxa" w:w="922"/>
            <w:gridSpan w:val="2"/>
            <w:vMerge/>
          </w:tcPr>
          <w:p/>
        </w:tc>
        <w:tc>
          <w:tcPr>
            <w:tcW w:type="dxa" w:w="2307"/>
          </w:tcPr>
          <w:p>
            <w:pPr>
              <w:jc w:val="left"/>
            </w:pPr>
            <w:r>
              <w:rPr/>
              <w:t>应急方案 (10.0分)</w:t>
            </w:r>
          </w:p>
        </w:tc>
        <w:tc>
          <w:tcPr>
            <w:tcW w:type="dxa" w:w="5076"/>
          </w:tcPr>
          <w:p>
            <w:pPr>
              <w:jc w:val="left"/>
            </w:pPr>
            <w:r>
              <w:rPr/>
              <w:t>根据投标人所提供针对台风、暴风等天气影响，重大节假日或活动，四害疫情等特殊情况制定应急处置方案，包括传达机制、人员和设备调配、责任分工等做出的应急方案进行综合评审： 应急方案非常明确、清晰，传达机制十分完善、人员和设备调配非常明确、合理，责任分工十分明确的，得10分。 应急方案较明确清晰，传达机制较完善、人员和设备调配较明确合理，责任分工较明确，得6分。 应急方案一般，传达机制、人员和设备调配较明确，责任分工较一般的，得3分。 应急方案简单，传达机制简单、人员和设备调配不合理，责任分工不明确的，得1分。 无提供相应方案不得分。</w:t>
            </w:r>
          </w:p>
        </w:tc>
      </w:tr>
      <w:tr>
        <w:tc>
          <w:tcPr>
            <w:tcW w:type="dxa" w:w="922"/>
            <w:gridSpan w:val="2"/>
            <w:vMerge/>
          </w:tcPr>
          <w:p/>
        </w:tc>
        <w:tc>
          <w:tcPr>
            <w:tcW w:type="dxa" w:w="2307"/>
          </w:tcPr>
          <w:p>
            <w:pPr>
              <w:jc w:val="left"/>
            </w:pPr>
            <w:r>
              <w:rPr/>
              <w:t>药物投入计划及安全保证措施 (5.0分)</w:t>
            </w:r>
          </w:p>
        </w:tc>
        <w:tc>
          <w:tcPr>
            <w:tcW w:type="dxa" w:w="5076"/>
          </w:tcPr>
          <w:p>
            <w:pPr>
              <w:jc w:val="left"/>
            </w:pPr>
            <w:r>
              <w:rPr/>
              <w:t>根据各投标人的药物投入计划及安全保证措施进行综合评审： 药物投入计划合理完善、安全保证措施具体详细，操作性强，得5分； 药物投入计划较合理完善、安全保证措施较详细，操作性较强，得3分； 药物投入计划不够完善、安全保证措施针对性不强，操作性一般，得2分； 药物投入计划、安全保证措施欠缺，得1分。 无提供相应方案不得分。</w:t>
            </w:r>
          </w:p>
        </w:tc>
      </w:tr>
      <w:tr>
        <w:tc>
          <w:tcPr>
            <w:tcW w:type="dxa" w:w="922"/>
            <w:gridSpan w:val="2"/>
            <w:vMerge w:val="restart"/>
          </w:tcPr>
          <w:p>
            <w:pPr>
              <w:jc w:val="center"/>
            </w:pPr>
            <w:r>
              <w:rPr/>
              <w:t>商务部分</w:t>
            </w:r>
          </w:p>
        </w:tc>
        <w:tc>
          <w:tcPr>
            <w:tcW w:type="dxa" w:w="2307"/>
          </w:tcPr>
          <w:p>
            <w:pPr>
              <w:jc w:val="left"/>
            </w:pPr>
            <w:r>
              <w:rPr/>
              <w:t>业绩 (14.0分)</w:t>
            </w:r>
          </w:p>
        </w:tc>
        <w:tc>
          <w:tcPr>
            <w:tcW w:type="dxa" w:w="5076"/>
          </w:tcPr>
          <w:p>
            <w:pPr>
              <w:jc w:val="left"/>
            </w:pPr>
            <w:r>
              <w:rPr/>
              <w:t>投标人具有的除“四害”服务的项目业绩：每提供1个得2分，无不得分，本项最高得14分。 注：须提供业绩合同复印件并加盖投标人公章。</w:t>
            </w:r>
          </w:p>
        </w:tc>
      </w:tr>
      <w:tr>
        <w:tc>
          <w:tcPr>
            <w:tcW w:type="dxa" w:w="922"/>
            <w:gridSpan w:val="2"/>
            <w:vMerge/>
          </w:tcPr>
          <w:p/>
        </w:tc>
        <w:tc>
          <w:tcPr>
            <w:tcW w:type="dxa" w:w="2307"/>
          </w:tcPr>
          <w:p>
            <w:pPr>
              <w:jc w:val="left"/>
            </w:pPr>
            <w:r>
              <w:rPr/>
              <w:t>企业实力 (7.0分)</w:t>
            </w:r>
          </w:p>
        </w:tc>
        <w:tc>
          <w:tcPr>
            <w:tcW w:type="dxa" w:w="5076"/>
          </w:tcPr>
          <w:p>
            <w:pPr>
              <w:jc w:val="left"/>
            </w:pPr>
            <w:r>
              <w:rPr/>
              <w:t>投标人具备防治（制）员的，每提供一个证书得1分，本项最高得7分。 投标人须提供相关人员证书复印件，同时提供最近一年任意三个月在本单位连续缴纳社保的有效凭证的复印件；</w:t>
            </w:r>
          </w:p>
        </w:tc>
      </w:tr>
      <w:tr>
        <w:tc>
          <w:tcPr>
            <w:tcW w:type="dxa" w:w="922"/>
            <w:gridSpan w:val="2"/>
            <w:vMerge/>
          </w:tcPr>
          <w:p/>
        </w:tc>
        <w:tc>
          <w:tcPr>
            <w:tcW w:type="dxa" w:w="2307"/>
          </w:tcPr>
          <w:p>
            <w:pPr>
              <w:jc w:val="left"/>
            </w:pPr>
            <w:r>
              <w:rPr/>
              <w:t>售后服务 (4.0分)</w:t>
            </w:r>
          </w:p>
        </w:tc>
        <w:tc>
          <w:tcPr>
            <w:tcW w:type="dxa" w:w="5076"/>
          </w:tcPr>
          <w:p>
            <w:pPr>
              <w:jc w:val="left"/>
            </w:pPr>
            <w:r>
              <w:rPr/>
              <w:t>根据投标人提供的服务响应时间承诺进行评分。 投标人承诺在接到采购人通知后1小时内到现场，得4分； 投标人承诺在接到采购人通知后2小时内到现场，得2分； 投标人承诺在接到采购人通知后4小时内到现场，得1分； 投标人承诺在接到采购人通知后超过4小时到现场，不得分。 提供服务承诺书并加盖投标人公章。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标段三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技术部分60.0分</w:t>
            </w:r>
          </w:p>
          <w:p>
            <w:r>
              <w:rPr/>
              <w:t>报价得分15.0分</w:t>
            </w:r>
          </w:p>
        </w:tc>
      </w:tr>
      <w:tr>
        <w:tc>
          <w:tcPr>
            <w:tcW w:type="dxa" w:w="922"/>
            <w:gridSpan w:val="2"/>
            <w:vMerge w:val="restart"/>
          </w:tcPr>
          <w:p>
            <w:pPr>
              <w:jc w:val="center"/>
            </w:pPr>
            <w:r>
              <w:rPr/>
              <w:t>技术部分</w:t>
            </w:r>
          </w:p>
        </w:tc>
        <w:tc>
          <w:tcPr>
            <w:tcW w:type="dxa" w:w="2307"/>
          </w:tcPr>
          <w:p>
            <w:pPr>
              <w:jc w:val="left"/>
            </w:pPr>
            <w:r>
              <w:rPr/>
              <w:t>对本项目的背景了解及现状分析 (15.0分)</w:t>
            </w:r>
          </w:p>
        </w:tc>
        <w:tc>
          <w:tcPr>
            <w:tcW w:type="dxa" w:w="5076"/>
          </w:tcPr>
          <w:p>
            <w:pPr>
              <w:jc w:val="left"/>
            </w:pPr>
            <w:r>
              <w:rPr/>
              <w:t>针对本项目的背景、现状进行调查，能抓住重点，有支撑资料，进行综合评审：  调查深入、了解全面，很好的抓住重点，有充分的资料支撑项目的开展，得15分； 调查较为深入、了解全面，抓住重点，有较为充分的资料支撑项目的开展，得10分； 调查一般、基本了解，抓住重点，有资料支撑项目的开展，得5分； 有开展调查，没能抓住重点，得1分； 无提供相应方案不得分。</w:t>
            </w:r>
          </w:p>
        </w:tc>
      </w:tr>
      <w:tr>
        <w:tc>
          <w:tcPr>
            <w:tcW w:type="dxa" w:w="922"/>
            <w:gridSpan w:val="2"/>
            <w:vMerge/>
          </w:tcPr>
          <w:p/>
        </w:tc>
        <w:tc>
          <w:tcPr>
            <w:tcW w:type="dxa" w:w="2307"/>
          </w:tcPr>
          <w:p>
            <w:pPr>
              <w:jc w:val="left"/>
            </w:pPr>
            <w:r>
              <w:rPr/>
              <w:t>项目的总体实施方案 (10.0分)</w:t>
            </w:r>
          </w:p>
        </w:tc>
        <w:tc>
          <w:tcPr>
            <w:tcW w:type="dxa" w:w="5076"/>
          </w:tcPr>
          <w:p>
            <w:pPr>
              <w:jc w:val="left"/>
            </w:pPr>
            <w:r>
              <w:rPr/>
              <w:t>根据投标人拟投入本项目的方案科学，依据充分，措施明确、合理，施工组织严密，运作流程清晰进行综合评审： 技术方案科学，依据十分充分，措施非常明确、合理，施工组织十分严密，运作流程十分清晰的，得10分； 技术方案科学，现场调查资料详细，依据充分，措施明确、合理，施工组织严密，运作流程清晰的，得6分； 技术方案科学，现场调查资料一般，依据一般，措施含糊，施工组织松弛，运作流程含混，得3分； 有方案，调查比较简单，依据混乱，得1分； 无提供相应方案不得分。</w:t>
            </w:r>
          </w:p>
        </w:tc>
      </w:tr>
      <w:tr>
        <w:tc>
          <w:tcPr>
            <w:tcW w:type="dxa" w:w="922"/>
            <w:gridSpan w:val="2"/>
            <w:vMerge/>
          </w:tcPr>
          <w:p/>
        </w:tc>
        <w:tc>
          <w:tcPr>
            <w:tcW w:type="dxa" w:w="2307"/>
          </w:tcPr>
          <w:p>
            <w:pPr>
              <w:jc w:val="left"/>
            </w:pPr>
            <w:r>
              <w:rPr/>
              <w:t>针对本项目的培训方案 (10.0分)</w:t>
            </w:r>
          </w:p>
        </w:tc>
        <w:tc>
          <w:tcPr>
            <w:tcW w:type="dxa" w:w="5076"/>
          </w:tcPr>
          <w:p>
            <w:pPr>
              <w:jc w:val="left"/>
            </w:pPr>
            <w:r>
              <w:rPr/>
              <w:t>根据投标人提供针对本项目制定的项目服务人员培训方案进行综合评审： 投标人提供针对本项目制定的项目服务人员培训方案十分明确、清晰、合理的，得10分； 投标人提供针对本项目制定的项目服务人员培训方案较明确、清晰、合理的，得6分； 投标人提供针对本项目制定的项目服务人员培训方案较明确、清晰、合理的，得3分； 投标人提供针对本项目制定的项目服务人员培训方案不明确、含糊、不合理的，得1分； 无提供相应方案不得分。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根据投标人对现场作业过程的管理方案及质量保证措施进行综合评审： 投标人对现场作业过程严谨，管理方案十分清晰及质量保证措施十分明确、合理的，得10分； 投标人对现场作业过程较严谨，管理方案较清晰及质量保证措施较明确、合理的，得6分； 投标人对现场作业过程不够严谨，管理方案一般及质量保证措施一般的，得3分； 投标人对现场作业过程随便，管理方案含糊及质量保证措施含糊的，得1分； 无提供相应方案不得分。</w:t>
            </w:r>
          </w:p>
        </w:tc>
      </w:tr>
      <w:tr>
        <w:tc>
          <w:tcPr>
            <w:tcW w:type="dxa" w:w="922"/>
            <w:gridSpan w:val="2"/>
            <w:vMerge/>
          </w:tcPr>
          <w:p/>
        </w:tc>
        <w:tc>
          <w:tcPr>
            <w:tcW w:type="dxa" w:w="2307"/>
          </w:tcPr>
          <w:p>
            <w:pPr>
              <w:jc w:val="left"/>
            </w:pPr>
            <w:r>
              <w:rPr/>
              <w:t>应急方案 (10.0分)</w:t>
            </w:r>
          </w:p>
        </w:tc>
        <w:tc>
          <w:tcPr>
            <w:tcW w:type="dxa" w:w="5076"/>
          </w:tcPr>
          <w:p>
            <w:pPr>
              <w:jc w:val="left"/>
            </w:pPr>
            <w:r>
              <w:rPr/>
              <w:t>根据投标人所提供针对台风、暴风等天气影响，重大节假日或活动，四害疫情等特殊情况制定应急处置方案，包括传达机制、人员和设备调配、责任分工等做出的应急方案进行综合评审： 应急方案非常明确、清晰，传达机制十分完善、人员和设备调配非常明确、合理，责任分工十分明确的，得10分。 应急方案较明确清晰，传达机制较完善、人员和设备调配较明确合理，责任分工较明确，得6分。 应急方案一般，传达机制、人员和设备调配较明确，责任分工较一般的，得3分。 应急方案简单，传达机制简单、人员和设备调配不合理，责任分工不明确的，得1分。 无提供相应方案不得分。</w:t>
            </w:r>
          </w:p>
        </w:tc>
      </w:tr>
      <w:tr>
        <w:tc>
          <w:tcPr>
            <w:tcW w:type="dxa" w:w="922"/>
            <w:gridSpan w:val="2"/>
            <w:vMerge/>
          </w:tcPr>
          <w:p/>
        </w:tc>
        <w:tc>
          <w:tcPr>
            <w:tcW w:type="dxa" w:w="2307"/>
          </w:tcPr>
          <w:p>
            <w:pPr>
              <w:jc w:val="left"/>
            </w:pPr>
            <w:r>
              <w:rPr/>
              <w:t>药物投入计划及安全保证措施 (5.0分)</w:t>
            </w:r>
          </w:p>
        </w:tc>
        <w:tc>
          <w:tcPr>
            <w:tcW w:type="dxa" w:w="5076"/>
          </w:tcPr>
          <w:p>
            <w:pPr>
              <w:jc w:val="left"/>
            </w:pPr>
            <w:r>
              <w:rPr/>
              <w:t>根据各投标人的药物投入计划及安全保证措施进行综合评审： 药物投入计划合理完善、安全保证措施具体详细，操作性强，得5分； 药物投入计划较合理完善、安全保证措施较详细，操作性较强，得3分； 药物投入计划不够完善、安全保证措施针对性不强，操作性一般，得2分； 药物投入计划、安全保证措施欠缺，得1分。 无提供相应方案不得分。</w:t>
            </w:r>
          </w:p>
        </w:tc>
      </w:tr>
      <w:tr>
        <w:tc>
          <w:tcPr>
            <w:tcW w:type="dxa" w:w="922"/>
            <w:gridSpan w:val="2"/>
            <w:vMerge w:val="restart"/>
          </w:tcPr>
          <w:p>
            <w:pPr>
              <w:jc w:val="center"/>
            </w:pPr>
            <w:r>
              <w:rPr/>
              <w:t>商务部分</w:t>
            </w:r>
          </w:p>
        </w:tc>
        <w:tc>
          <w:tcPr>
            <w:tcW w:type="dxa" w:w="2307"/>
          </w:tcPr>
          <w:p>
            <w:pPr>
              <w:jc w:val="left"/>
            </w:pPr>
            <w:r>
              <w:rPr/>
              <w:t>业绩 (14.0分)</w:t>
            </w:r>
          </w:p>
        </w:tc>
        <w:tc>
          <w:tcPr>
            <w:tcW w:type="dxa" w:w="5076"/>
          </w:tcPr>
          <w:p>
            <w:pPr>
              <w:jc w:val="left"/>
            </w:pPr>
            <w:r>
              <w:rPr/>
              <w:t>投标人具有的除“四害”服务的项目业绩：每提供1个得2分，无不得分，本项最高得14分。 注：须提供业绩合同复印件并加盖投标人公章。</w:t>
            </w:r>
          </w:p>
        </w:tc>
      </w:tr>
      <w:tr>
        <w:tc>
          <w:tcPr>
            <w:tcW w:type="dxa" w:w="922"/>
            <w:gridSpan w:val="2"/>
            <w:vMerge/>
          </w:tcPr>
          <w:p/>
        </w:tc>
        <w:tc>
          <w:tcPr>
            <w:tcW w:type="dxa" w:w="2307"/>
          </w:tcPr>
          <w:p>
            <w:pPr>
              <w:jc w:val="left"/>
            </w:pPr>
            <w:r>
              <w:rPr/>
              <w:t>企业实力 (7.0分)</w:t>
            </w:r>
          </w:p>
        </w:tc>
        <w:tc>
          <w:tcPr>
            <w:tcW w:type="dxa" w:w="5076"/>
          </w:tcPr>
          <w:p>
            <w:pPr>
              <w:jc w:val="left"/>
            </w:pPr>
            <w:r>
              <w:rPr/>
              <w:t>投标人具备防治（制）员的，每提供一个证书得1分，本项最高得7分。 投标人须提供相关人员证书复印件，同时提供最近一年任意三个月在本单位连续缴纳社保的有效凭证的复印件；</w:t>
            </w:r>
          </w:p>
        </w:tc>
      </w:tr>
      <w:tr>
        <w:tc>
          <w:tcPr>
            <w:tcW w:type="dxa" w:w="922"/>
            <w:gridSpan w:val="2"/>
            <w:vMerge/>
          </w:tcPr>
          <w:p/>
        </w:tc>
        <w:tc>
          <w:tcPr>
            <w:tcW w:type="dxa" w:w="2307"/>
          </w:tcPr>
          <w:p>
            <w:pPr>
              <w:jc w:val="left"/>
            </w:pPr>
            <w:r>
              <w:rPr/>
              <w:t>售后服务 (4.0分)</w:t>
            </w:r>
          </w:p>
        </w:tc>
        <w:tc>
          <w:tcPr>
            <w:tcW w:type="dxa" w:w="5076"/>
          </w:tcPr>
          <w:p>
            <w:pPr>
              <w:jc w:val="left"/>
            </w:pPr>
            <w:r>
              <w:rPr/>
              <w:t>根据投标人提供的服务响应时间承诺进行评分。 投标人承诺在接到采购人通知后1小时内到现场，得4分； 投标人承诺在接到采购人通知后2小时内到现场，得2分； 投标人承诺在接到采购人通知后4小时内到现场，得1分； 投标人承诺在接到采购人通知后超过4小时到现场，不得分。 提供服务承诺书并加盖投标人公章。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签定地点：</w:t>
      </w:r>
    </w:p>
    <w:p>
      <w:pPr>
        <w:shd w:fill="FFFFFF"/>
        <w:jc w:val="both"/>
      </w:pPr>
      <w:r>
        <w:rPr>
          <w:rFonts w:ascii="宋体" w:hAnsi="宋体" w:cs="宋体" w:eastAsia="宋体"/>
          <w:color w:val="222222"/>
          <w:sz w:val="27"/>
        </w:rPr>
        <w:t>签定日期：　　　年　　月　　日</w:t>
      </w:r>
      <w:r>
        <w:rPr>
          <w:rFonts w:ascii="宋体" w:hAnsi="宋体" w:cs="宋体" w:eastAsia="宋体"/>
          <w:color w:val="222222"/>
          <w:sz w:val="27"/>
        </w:rPr>
        <w:t xml:space="preserve"> </w:t>
      </w:r>
      <w:r>
        <w:rPr>
          <w:rFonts w:ascii="宋体" w:hAnsi="宋体" w:cs="宋体" w:eastAsia="宋体"/>
          <w:color w:val="222222"/>
          <w:sz w:val="27"/>
        </w:rPr>
        <w:t>签定日期：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441900025-2022-00569</w:t>
      </w:r>
    </w:p>
    <w:p>
      <w:pPr>
        <w:jc w:val="center"/>
      </w:pPr>
      <w:r>
        <w:rPr>
          <w:b/>
          <w:sz w:val="24"/>
        </w:rPr>
        <w:t>采购项目编号：</w:t>
      </w:r>
      <w:r>
        <w:rPr>
          <w:b/>
          <w:sz w:val="24"/>
        </w:rPr>
        <w:t>441900025-2022-00569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三方诚信招标有限公司东莞分公司</w:t>
      </w:r>
    </w:p>
    <w:p>
      <w:pPr>
        <w:ind w:firstLine="480"/>
      </w:pPr>
      <w:r>
        <w:rPr/>
        <w:t>你方组织的</w:t>
      </w:r>
      <w:r>
        <w:rPr>
          <w:u w:val="single"/>
        </w:rPr>
        <w:t>东莞市凤岗镇公用事业服务中心全镇范围内除“四害”项目</w:t>
      </w:r>
      <w:r>
        <w:rPr/>
        <w:t>项目的招标[采购项目编号为：</w:t>
      </w:r>
      <w:r>
        <w:rPr>
          <w:u w:val="single"/>
        </w:rPr>
        <w:t>441900025-2022-00569</w:t>
      </w:r>
      <w:r>
        <w:rPr/>
        <w:t>]，我方愿参与投标。</w:t>
      </w:r>
    </w:p>
    <w:p>
      <w:pPr>
        <w:ind w:firstLine="480"/>
      </w:pPr>
      <w:r>
        <w:rPr/>
        <w:t>我方确认收到贵方提供的</w:t>
      </w:r>
      <w:r>
        <w:rPr>
          <w:u w:val="single"/>
        </w:rPr>
        <w:t>东莞市凤岗镇公用事业服务中心全镇范围内除“四害”项目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三方诚信招标有限公司东莞分公司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东莞市凤岗镇公用事业服务中心全镇范围内除“四害”项目</w:t>
      </w:r>
      <w:r>
        <w:rPr/>
        <w:t>项目采购[采购项目编号为</w:t>
      </w:r>
      <w:r>
        <w:rPr/>
        <w:t>441900025-2022-00569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三方诚信招标有限公司东莞分公司</w:t>
      </w:r>
    </w:p>
    <w:p>
      <w:pPr>
        <w:ind w:firstLine="480"/>
      </w:pPr>
      <w:r>
        <w:rPr/>
        <w:t>如果我方在贵采购代理机构组织的</w:t>
      </w:r>
      <w:r>
        <w:rPr/>
        <w:t>东莞市凤岗镇公用事业服务中心全镇范围内除“四害”项目</w:t>
      </w:r>
      <w:r>
        <w:rPr/>
        <w:t>招标中获中标（采购项目编号：</w:t>
      </w:r>
      <w:r>
        <w:rPr/>
        <w:t>441900025-2022-00569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三方诚信招标有限公司东莞分公司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三方诚信招标有限公司东莞分公司</w:t>
      </w:r>
    </w:p>
    <w:p>
      <w:pPr>
        <w:ind w:firstLine="480"/>
      </w:pPr>
      <w:r>
        <w:rPr/>
        <w:t>我单位已登记并准备参与</w:t>
      </w:r>
      <w:r>
        <w:rPr/>
        <w:t>东莞市凤岗镇公用事业服务中心全镇范围内除“四害”项目</w:t>
      </w:r>
      <w:r>
        <w:rPr/>
        <w:t>项目（采购项目编号：</w:t>
      </w:r>
      <w:r>
        <w:rPr/>
        <w:t>441900025-2022-00569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