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441781-2022-01810</w:t>
      </w:r>
    </w:p>
    <w:p>
      <w:pPr>
        <w:jc w:val="center"/>
      </w:pPr>
      <w:r>
        <w:rPr>
          <w:b/>
          <w:sz w:val="24"/>
        </w:rPr>
        <w:t>采购项目编号：</w:t>
      </w:r>
      <w:r>
        <w:rPr>
          <w:b/>
          <w:sz w:val="24"/>
        </w:rPr>
        <w:t>GDZY20220623012</w:t>
      </w:r>
    </w:p>
    <w:p>
      <w:pPr>
        <w:jc w:val="center"/>
      </w:pPr>
      <w:r>
        <w:rPr>
          <w:b/>
          <w:sz w:val="24"/>
        </w:rPr>
        <w:t>项目名称：</w:t>
      </w:r>
      <w:r>
        <w:rPr>
          <w:b/>
          <w:sz w:val="24"/>
        </w:rPr>
        <w:t>2022年阳春市林业有害生物薇甘菊综合防治（第一标段）项目</w:t>
      </w:r>
    </w:p>
    <w:p>
      <w:pPr>
        <w:jc w:val="center"/>
      </w:pPr>
      <w:r>
        <w:rPr>
          <w:b/>
          <w:sz w:val="24"/>
        </w:rPr>
        <w:t>采购人：</w:t>
      </w:r>
      <w:r>
        <w:rPr>
          <w:b/>
          <w:sz w:val="24"/>
        </w:rPr>
        <w:t>阳春市林业局</w:t>
      </w:r>
    </w:p>
    <w:p>
      <w:pPr>
        <w:jc w:val="center"/>
      </w:pPr>
      <w:r>
        <w:rPr>
          <w:b/>
          <w:sz w:val="24"/>
        </w:rPr>
        <w:t>采购代理机构：</w:t>
      </w:r>
      <w:r>
        <w:rPr>
          <w:b/>
          <w:sz w:val="24"/>
        </w:rPr>
        <w:t>广东正渝工程管理有限公司</w:t>
      </w:r>
    </w:p>
    <w:p>
      <w:pPr>
        <w:ind w:firstLine="480"/>
      </w:pPr>
    </w:p>
    <w:p>
      <w:r>
        <w:rPr/>
        <w:t xml:space="preserve"> </w:t>
      </w:r>
    </w:p>
    <w:p/>
    <w:p>
      <w:pPr>
        <w:jc w:val="center"/>
      </w:pPr>
      <w:r>
        <w:rPr>
          <w:b/>
          <w:sz w:val="36"/>
        </w:rPr>
        <w:t>第一章 磋商邀请</w:t>
      </w:r>
    </w:p>
    <w:p>
      <w:pPr>
        <w:ind w:firstLine="480"/>
      </w:pPr>
      <w:r>
        <w:rPr/>
        <w:t>广东正渝工程管理有限公司</w:t>
      </w:r>
      <w:r>
        <w:rPr/>
        <w:t>受</w:t>
      </w:r>
      <w:r>
        <w:rPr/>
        <w:t>阳春市林业局</w:t>
      </w:r>
      <w:r>
        <w:rPr/>
        <w:t>的委托，采用</w:t>
      </w:r>
      <w:r>
        <w:rPr/>
        <w:t>竞争性磋商</w:t>
      </w:r>
      <w:r>
        <w:rPr/>
        <w:t>方式组织采购</w:t>
      </w:r>
      <w:r>
        <w:rPr/>
        <w:t>2022年阳春市林业有害生物薇甘菊综合防治（第一标段）项目</w:t>
      </w:r>
      <w:r>
        <w:rPr/>
        <w:t>。欢迎符合资格条件的供应商参加。</w:t>
      </w:r>
    </w:p>
    <w:p>
      <w:r>
        <w:rPr>
          <w:b/>
          <w:sz w:val="28"/>
        </w:rPr>
        <w:t>一.项目概述</w:t>
      </w:r>
    </w:p>
    <w:p>
      <w:r>
        <w:rPr>
          <w:b/>
          <w:sz w:val="24"/>
        </w:rPr>
        <w:t>1.名称与编号</w:t>
      </w:r>
    </w:p>
    <w:p>
      <w:pPr>
        <w:ind w:firstLine="480"/>
      </w:pPr>
      <w:r>
        <w:rPr/>
        <w:t>采购项目名称：</w:t>
      </w:r>
      <w:r>
        <w:rPr/>
        <w:t>2022年阳春市林业有害生物薇甘菊综合防治（第一标段）项目</w:t>
      </w:r>
    </w:p>
    <w:p>
      <w:pPr>
        <w:ind w:firstLine="480"/>
      </w:pPr>
      <w:r>
        <w:rPr/>
        <w:t>采购计划编号：</w:t>
      </w:r>
      <w:r>
        <w:rPr/>
        <w:t>441781-2022-01810</w:t>
      </w:r>
    </w:p>
    <w:p>
      <w:pPr>
        <w:ind w:firstLine="480"/>
      </w:pPr>
      <w:r>
        <w:rPr/>
        <w:t>采购项目编号：</w:t>
      </w:r>
      <w:r>
        <w:rPr/>
        <w:t>GDZY20220623012</w:t>
      </w:r>
    </w:p>
    <w:p>
      <w:pPr>
        <w:ind w:firstLine="480"/>
      </w:pPr>
      <w:r>
        <w:rPr/>
        <w:t>采购方式：</w:t>
      </w:r>
      <w:r>
        <w:rPr/>
        <w:t>竞争性磋商</w:t>
      </w:r>
    </w:p>
    <w:p>
      <w:pPr>
        <w:ind w:firstLine="480"/>
      </w:pPr>
      <w:r>
        <w:rPr/>
        <w:t>预算金额：</w:t>
      </w:r>
      <w:r>
        <w:rPr/>
        <w:t>1,174,900.00</w:t>
      </w:r>
      <w:r>
        <w:rPr/>
        <w:t>元</w:t>
      </w:r>
    </w:p>
    <w:p>
      <w:r>
        <w:rPr>
          <w:b/>
          <w:sz w:val="24"/>
        </w:rPr>
        <w:t>2.项目内容及需求情况（采购项目技术规格、参数及要求）</w:t>
      </w:r>
    </w:p>
    <w:p>
      <w:pPr>
        <w:ind w:firstLine="480"/>
      </w:pPr>
    </w:p>
    <w:p/>
    <w:p>
      <w:r>
        <w:rPr/>
        <w:t>采购包1(2022年阳春市林业有害生物薇甘菊综合防治（第一标段）项目):</w:t>
      </w:r>
    </w:p>
    <w:p>
      <w:r>
        <w:rPr/>
        <w:t>采购包预算金额：1,174,900.00元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林业有害生物防治服务</w:t>
            </w:r>
          </w:p>
        </w:tc>
        <w:tc>
          <w:tcPr>
            <w:tcW w:type="dxa" w:w="2136"/>
          </w:tcPr>
          <w:p>
            <w:r>
              <w:rPr/>
              <w:t>2022年阳春市林业有害生物薇甘菊综合防治（第一标段）</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3）具有良好的商业信誉和健全的财务会计制度：具有良好的商业信誉和健全的财务会计制度：供应商必须具有良好的商业信誉和健全的财务会计制度（提供2021年度财务状况报告或基本开户行出具的资信证明）。</w:t>
      </w:r>
    </w:p>
    <w:p/>
    <w:p>
      <w:r>
        <w:rPr/>
        <w:t>4）履行合同所必需的设备和专业技术能力：履行合同所必须的设备和专业技术能力：按投标（响应）文件格式填报设备及专业技术能力情况。</w:t>
      </w:r>
    </w:p>
    <w:p/>
    <w:p>
      <w:r>
        <w:rPr/>
        <w:t>5）参加采购活动前3年内，在经营活动中没有重大违法记录：参加采购活动前3年内，在经营活动中没有重大违法记录：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
      <w:r>
        <w:rPr>
          <w:b/>
          <w:sz w:val="24"/>
        </w:rPr>
        <w:t>2.落实政府采购政策需满足的资格要求：</w:t>
      </w:r>
    </w:p>
    <w:p>
      <w:pPr>
        <w:ind w:firstLine="480"/>
      </w:pPr>
    </w:p>
    <w:p>
      <w:pPr>
        <w:jc w:val="left"/>
      </w:pPr>
    </w:p>
    <w:p>
      <w:r>
        <w:rPr/>
        <w:t>采购包1（2022年阳春市林业有害生物薇甘菊综合防治（第一标段）项目）：</w:t>
      </w:r>
      <w:r>
        <w:rPr/>
        <w:t>采购包整体专门面向中小企业</w:t>
      </w:r>
    </w:p>
    <w:p/>
    <w:p>
      <w:r>
        <w:rPr>
          <w:b/>
          <w:sz w:val="24"/>
        </w:rPr>
        <w:t>3.本项目特定的资格要求：</w:t>
      </w:r>
    </w:p>
    <w:p>
      <w:pPr>
        <w:ind w:firstLine="480"/>
      </w:pPr>
    </w:p>
    <w:p/>
    <w:p>
      <w:r>
        <w:rPr/>
        <w:t>采购包1（2022年阳春市林业有害生物薇甘菊综合防治（第一标段）项目）：</w:t>
      </w:r>
    </w:p>
    <w:p/>
    <w:p>
      <w:r>
        <w:rPr/>
        <w:t>1)响应供应商须具备有效的《林业有害生物防治组织资质证书》。</w:t>
      </w:r>
    </w:p>
    <w:p/>
    <w:p>
      <w:r>
        <w:rPr/>
        <w:t>2)响应供应商未被列入“信用中国”网站(www.creditchina.gov.cn)以下任意记录名单之一：①失信被执行人；②重大税收违法案件当事人名单；③政府采购严重违法失信名单。同时，不处于中国政府采购网(www.ccgp.gov.cn)“政府采购严重违法失信行为信息记录”中的禁止参加政府采购活动期间。(以采购代理机构于开标时间当天在“信用中国”网站（www.creditchina.gov.cn）及中国政府采购网(www.ccgp.gov.cn)查询结果为准，如相关记录信息已失效，供应商必须提供由该记录信息的执行或列入单位出具的相关证明材料。)；代理机构根据评审时“信用中国”网站（www.creditchina.gov.cn）、中国政府采购网 （www.ccgp.gov.cn）查询的主体信用记录信息，对列入失信被执行人、税收、政府采购、环境保护、知识产权等领域严重失信行为的主体，依法拒绝其参与政府采购活动。如查询结果未显示存在失信记录，视为评审时未发现不良信用记录。</w:t>
      </w:r>
    </w:p>
    <w:p/>
    <w:p>
      <w:r>
        <w:rPr/>
        <w:t>3)前期为采购项目提供整体设计、规范编制或者项目管理、监理、检测等服务的供应商，不得再参加同一采购项目的其他采购活动的书面声明。（可参照投标（响应）文件格式的相关声明格式内容）。 单位负责人为同一人或者存在直接控股、管理关系的不同供应商，不得参加同一合同项下的政府采购活动的承诺函。（可参照投标（响应）文件格式的相关声明格式内容）。</w:t>
      </w:r>
    </w:p>
    <w:p/>
    <w:p>
      <w:r>
        <w:rPr/>
        <w:t>4)本项目不接受联合体参加磋商。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广东正渝工程管理有限公司（http://www.gdzhengyu.vip/）</w:t>
      </w:r>
    </w:p>
    <w:p>
      <w:r>
        <w:rPr>
          <w:b/>
          <w:sz w:val="28"/>
        </w:rPr>
        <w:t>六.本项目联系方式：</w:t>
      </w:r>
    </w:p>
    <w:p>
      <w:r>
        <w:rPr>
          <w:b/>
          <w:sz w:val="24"/>
        </w:rPr>
        <w:t>1.采购人信息</w:t>
      </w:r>
    </w:p>
    <w:p>
      <w:pPr>
        <w:ind w:firstLine="480"/>
      </w:pPr>
      <w:r>
        <w:rPr/>
        <w:t>名称：</w:t>
      </w:r>
      <w:r>
        <w:rPr/>
        <w:t>阳春市林业局</w:t>
      </w:r>
    </w:p>
    <w:p>
      <w:pPr>
        <w:ind w:firstLine="480"/>
      </w:pPr>
      <w:r>
        <w:rPr/>
        <w:t>地址：</w:t>
      </w:r>
      <w:r>
        <w:rPr/>
        <w:t>广东省阳春市春城梅城街北六巷13号</w:t>
      </w:r>
    </w:p>
    <w:p>
      <w:pPr>
        <w:ind w:firstLine="480"/>
      </w:pPr>
      <w:r>
        <w:rPr/>
        <w:t>联系方式：</w:t>
      </w:r>
      <w:r>
        <w:rPr/>
        <w:t>0662-7744282</w:t>
      </w:r>
    </w:p>
    <w:p>
      <w:r>
        <w:rPr>
          <w:b/>
          <w:sz w:val="24"/>
        </w:rPr>
        <w:t>2.采购代理机构信息</w:t>
      </w:r>
    </w:p>
    <w:p>
      <w:pPr>
        <w:ind w:firstLine="480"/>
      </w:pPr>
      <w:r>
        <w:rPr/>
        <w:t>名称：</w:t>
      </w:r>
      <w:r>
        <w:rPr/>
        <w:t>广东正渝工程管理有限公司</w:t>
      </w:r>
    </w:p>
    <w:p>
      <w:pPr>
        <w:ind w:firstLine="480"/>
      </w:pPr>
      <w:r>
        <w:rPr/>
        <w:t>地址：</w:t>
      </w:r>
      <w:r>
        <w:rPr/>
        <w:t>阳春市春城街道育才中路畅达新城一期2幢22卡商铺</w:t>
      </w:r>
    </w:p>
    <w:p>
      <w:pPr>
        <w:ind w:firstLine="480"/>
      </w:pPr>
      <w:r>
        <w:rPr/>
        <w:t>联系方式：</w:t>
      </w:r>
      <w:r>
        <w:rPr/>
        <w:t>0662-7555233</w:t>
      </w:r>
    </w:p>
    <w:p>
      <w:r>
        <w:rPr>
          <w:b/>
          <w:sz w:val="24"/>
        </w:rPr>
        <w:t>3.项目联系方式</w:t>
      </w:r>
    </w:p>
    <w:p>
      <w:pPr>
        <w:ind w:firstLine="480"/>
      </w:pPr>
      <w:r>
        <w:rPr/>
        <w:t>项目联系人：</w:t>
      </w:r>
      <w:r>
        <w:rPr/>
        <w:t>赖小姐</w:t>
      </w:r>
    </w:p>
    <w:p>
      <w:pPr>
        <w:ind w:firstLine="480"/>
      </w:pPr>
      <w:r>
        <w:rPr/>
        <w:t>电话：</w:t>
      </w:r>
      <w:r>
        <w:rPr/>
        <w:t>0662-7555233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广东正渝工程管理有限公司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 xml:space="preserve">    林业有害生物薇甘菊于</w:t>
      </w:r>
      <w:r>
        <w:rPr>
          <w:sz w:val="24"/>
        </w:rPr>
        <w:t>2007年在我市省道S113线八甲路段被发现，近几年在我市扩散蔓延，既破坏生态环境，又造成农林业直接经济损失，如果任其发展下去，将会对我市农林业造成不可估量的损失，采取科学方法防治薇甘菊十分必要。本项目</w:t>
      </w:r>
      <w:r>
        <w:rPr>
          <w:sz w:val="24"/>
        </w:rPr>
        <w:t>服务地点、对象及要求：</w:t>
      </w:r>
      <w:r>
        <w:rPr>
          <w:sz w:val="24"/>
        </w:rPr>
        <w:t>主要是罗阳高速阳春境内全线、汕湛高速阳春境内全线及部分县道、乡道、村道等重要道路两旁外</w:t>
      </w:r>
      <w:r>
        <w:rPr>
          <w:sz w:val="24"/>
        </w:rPr>
        <w:t>100米范围内，部分圩镇、森林公园等重要地方的周边，涉及防治范围面积544735亩，需要喷药防治的面积6000亩。</w:t>
      </w:r>
    </w:p>
    <w:p/>
    <w:p>
      <w:pPr>
        <w:ind w:firstLine="480"/>
      </w:pPr>
    </w:p>
    <w:p/>
    <w:p>
      <w:r>
        <w:rPr/>
        <w:t>采购包1（2022年阳春市林业有害生物薇甘菊综合防治（第一标段）项目）：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2023年10月31日前完成</w:t>
            </w:r>
          </w:p>
        </w:tc>
      </w:tr>
      <w:tr>
        <w:tc>
          <w:tcPr>
            <w:tcW w:type="dxa" w:w="4153"/>
          </w:tcPr>
          <w:p>
            <w:r>
              <w:rPr/>
              <w:t>标的提供的地点</w:t>
            </w:r>
          </w:p>
        </w:tc>
        <w:tc>
          <w:tcPr>
            <w:tcW w:type="dxa" w:w="4153"/>
          </w:tcPr>
          <w:p>
            <w:pPr>
              <w:jc w:val="left"/>
            </w:pPr>
          </w:p>
          <w:p>
            <w:r>
              <w:rPr/>
              <w:t>主要是罗阳高速阳春境内全线、汕湛高速阳春境内全线及部分县道、乡道、村道等重要道路两旁外100米范围内，部分圩镇、森林公园等重要地方的周边。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1期：支付比例30%，1. 合同签订后中标供应商进场正常作业15天后支付合同总价30%的预付款。</w:t>
            </w:r>
          </w:p>
          <w:p/>
          <w:p>
            <w:r>
              <w:rPr/>
              <w:t>2期：支付比例40%，2.2022年11月底至12月中进行中期验收，验收合格支付合同总价40%的进度款。</w:t>
            </w:r>
          </w:p>
          <w:p/>
          <w:p>
            <w:r>
              <w:rPr/>
              <w:t>3期：支付比例30%，3.项目整体验收合格支付合同余款。</w:t>
            </w:r>
          </w:p>
        </w:tc>
      </w:tr>
      <w:tr>
        <w:tc>
          <w:tcPr>
            <w:tcW w:type="dxa" w:w="4153"/>
          </w:tcPr>
          <w:p>
            <w:r>
              <w:rPr/>
              <w:t>验收要求</w:t>
            </w:r>
          </w:p>
        </w:tc>
        <w:tc>
          <w:tcPr>
            <w:tcW w:type="dxa" w:w="4153"/>
          </w:tcPr>
          <w:p>
            <w:pPr>
              <w:jc w:val="left"/>
            </w:pPr>
          </w:p>
          <w:p/>
          <w:p/>
          <w:p>
            <w:r>
              <w:rPr/>
              <w:t>1期：严格按设计规划验收（包括但不限于以下内容） 1）该项目由监理公司与阳春市林业局验收组、实施单位共同进行验收，并出具验收报告。 2）验收时要提供薇甘菊防治前、中、后的对比照片及薇甘菊防治效果自查表。</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一、项目一览表:项目内容：2022年阳春市林业有害生物薇甘菊综合防治（第一标段）项目</w:t>
              <w:tab/>
              <w:t xml:space="preserve"> 完工期：2023年10月31日前完成 数量：1项</w:t>
              <w:tab/>
              <w:t xml:space="preserve"> 最高限价：人民币117.49万元</w:t>
            </w:r>
          </w:p>
          <w:p/>
          <w:p>
            <w:r>
              <w:rPr/>
              <w:t>二、服务地点、对象及要求:以广州宏大林业有限公司编制的《2022年阳春市林业有害生物薇甘菊综合防治（第一标段）作业设计书》为准。主要是罗阳高速阳春境内全线、汕湛高速阳春境内全线及部分县道、乡道、村道等重要道路两旁外100米范围内，部分圩镇、森林公园等重要地方的周边，涉及防治范围面积544735亩，需要喷药防治的面积6000亩，各个防治地点、面积及长度等情况详见《2022年阳春市林业有害生物薇甘菊综合防治（第一标段）作业设计书》。</w:t>
            </w:r>
          </w:p>
          <w:p/>
          <w:p>
            <w:r>
              <w:rPr/>
              <w:t>三、服务能力要求:    响应供应商要具有较强的项目管理和组织实施能力，具备薇甘菊防治能力，能够独立承担本项目实施。     要求响应供应商针对本项目，须组建一支完整的服务队伍，其中本项目负责人需具有林业（中级）工程师或以上职称。本项目负责人允许同时兼任其他项目负责人，但其兼任负责人的其他项目不能超过2个。技术负责人一名，需同时具有林业（中级）工程师或以上职称和“有害生物防治员”证书。另需投入的林业相关专业技术人员5人或以上。项目实施的整个过程，采购人有权核实中标供应商派驻的项目负责人和技术人员与投标文件提供的人员及相关证件的一致性。如有弄虚作假，或中途不经采购人同意，擅自更换相关人员，将视为虚假应标，采购人将取消中标供应商的中标资格，并追究中标供应商的法律责任。     服务于本项目的薇甘菊防治工作，要求薇甘菊防治队伍具有科学合理的组织机构体系，实行层级管理体系，保证管理、指挥、质量控制要求在组织架构上实现。     要求制定内部管理和考核办法，考核办法包括：技术人员考核办法、管理人员考核办法；考核内容设定科学、合理，能够将本项目的服务内容分解至全体组员，切忌重量轻质；要求服务商完成采购人规定的服务要求的治理和数量，并在考核办法以及人员分布等制度设定中，具有保证薇甘菊防治的相关举措和措施。</w:t>
            </w:r>
          </w:p>
          <w:p/>
          <w:p>
            <w:r>
              <w:rPr/>
              <w:t>四、质量控制要求:    中标服务商应提供良好的服务质量，包括但不限于良好的薇甘菊防治工具、足够的专业人员投入，确保按期完成本项目的薇甘菊防治工作。     采购人有权对中标服务商的薇甘菊防治成果进行抽查核验，对发现的服务商弄虚作假行为有权从应付服务款项中进行扣款；情节严重者，采购人有权取消中标人的中标资格，拒付任何费用，并追究中标人的经济及法律责任。</w:t>
            </w:r>
          </w:p>
          <w:p/>
          <w:p>
            <w:r>
              <w:rPr/>
              <w:t>五、报价、验收:1.报价要求 1）响应供应商的投标报价须以人民币为单位。本项目最高限价人民币117.49万元（超出该报价上限将作无效投标处理）。 2）投标报价应为人民币含税全包价，包括:药费、机械损耗及油费、喷施防治人工费、验收费、投标服务费等合同实施过程中应预见和不可预见的全部相应费用。响应供应商应根据实际情况，结合项目实施现场条件及招标文件等要求进行投标报价。项目实施现场所有临时设施以及影响项目实施的各类障碍所发生的费用都被认为包含在报价中。响应供应商应考虑并承担一定的风险，如物价、气候、安全等情况的变化及其他意外困难等。 2.验收要求: 严格按设计规划验收（包括但不限于以下内容） 1）该项目由监理公司与阳春市林业局验收组、实施单位共同进行验收，并出具验收报告。 2）验收时要提供薇甘菊防治前、中、后的对比照片及薇甘菊防治效果自查表。</w:t>
            </w:r>
          </w:p>
          <w:p/>
          <w:p>
            <w:r>
              <w:rPr/>
              <w:t>六、安全责任:    中标供应商应严格按照服务方案和安全防范措施要求实施薇甘菊综合防治作业，做到服务文明规范，做好安全防范工作，并按采购人的要求实施薇甘菊综合防治作业，其费用由中标供应商负责。薇甘菊综合防治作业前必须做好调查分析和四邻安全工作，不得损害国家、他人利益及公共设施设备，不得有野蛮行为，如因此产生的一切经济和法律责任由中标供应商负责。     中标供应商须服从采购人管理，确保薇甘菊综合防治作业服务顺利完成。如本项目在实施过程中所发生的一切安全事故以及事故产生的经济和法律责任，全部由中标供应商负责。</w:t>
            </w:r>
          </w:p>
          <w:p/>
          <w:p>
            <w:r>
              <w:rPr/>
              <w:t>七、付款方式:1. 合同签订后中标供应商进场正常作业15天后支付合同总价30%的预付款。 2.2022年11月底至12月中进行中期验收，验收合格支付合同总价40%的进度款。 3.项目整体验收合格支付合同余款。 采购人在上述支付时间完成请款即可，款项具体到账时间以阳春市财政局划账为准。</w:t>
            </w:r>
          </w:p>
          <w:p/>
          <w:p>
            <w:r>
              <w:rPr/>
              <w:t>八、其他:1、★项目实施过程中成交人必须严格按广州宏大林业有限公司编制的《2022年阳春市林业有害生物薇甘菊综合防治（第一标段）作业设计书》执行。 2、无论发生何种情形（包括但不限于合同提前终止或解除），采购人均有权利用成交人的阶段性工作成果，并且采购人引用成交人的阶段性工作成果所完成的技术成果，属于采购人所有，采购人可依法享有就该项技术成果取得的精神权利、经济权利和其他权利。</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林业有害生物防治服务</w:t>
            </w:r>
          </w:p>
        </w:tc>
        <w:tc>
          <w:tcPr>
            <w:tcW w:type="dxa" w:w="1923"/>
          </w:tcPr>
          <w:p>
            <w:r>
              <w:rPr/>
              <w:t>2022年阳春市林业有害生物薇甘菊综合防治（第一标段）</w:t>
            </w:r>
          </w:p>
        </w:tc>
        <w:tc>
          <w:tcPr>
            <w:tcW w:type="dxa" w:w="385"/>
          </w:tcPr>
          <w:p>
            <w:r>
              <w:rPr/>
              <w:t>项</w:t>
            </w:r>
          </w:p>
        </w:tc>
        <w:tc>
          <w:tcPr>
            <w:tcW w:type="dxa" w:w="769"/>
          </w:tcPr>
          <w:p>
            <w:pPr>
              <w:jc w:val="right"/>
            </w:pPr>
            <w:r>
              <w:rPr/>
              <w:t>1.0000</w:t>
            </w:r>
          </w:p>
        </w:tc>
        <w:tc>
          <w:tcPr>
            <w:tcW w:type="dxa" w:w="769"/>
          </w:tcPr>
          <w:p>
            <w:pPr>
              <w:jc w:val="right"/>
            </w:pPr>
            <w:r>
              <w:rPr/>
              <w:t>1,174,900.00</w:t>
            </w:r>
          </w:p>
        </w:tc>
        <w:tc>
          <w:tcPr>
            <w:tcW w:type="dxa" w:w="769"/>
          </w:tcPr>
          <w:p>
            <w:pPr>
              <w:jc w:val="right"/>
            </w:pPr>
            <w:r>
              <w:rPr/>
              <w:t>1,174,900.00</w:t>
            </w:r>
          </w:p>
        </w:tc>
        <w:tc>
          <w:tcPr>
            <w:tcW w:type="dxa" w:w="769"/>
          </w:tcPr>
          <w:p>
            <w:r>
              <w:rPr/>
              <w:t>农、林、牧、渔业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2022年阳春市林业有害生物薇甘菊综合防治（第一标段）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center"/>
            </w:pPr>
            <w:r>
              <w:rPr>
                <w:b/>
                <w:sz w:val="28"/>
              </w:rPr>
              <w:t>第</w:t>
            </w:r>
            <w:r>
              <w:rPr>
                <w:b/>
                <w:sz w:val="28"/>
              </w:rPr>
              <w:t xml:space="preserve">1章  </w:t>
            </w:r>
            <w:r>
              <w:rPr>
                <w:b/>
                <w:sz w:val="28"/>
              </w:rPr>
              <w:t>基本情况</w:t>
            </w:r>
          </w:p>
          <w:p>
            <w:pPr>
              <w:jc w:val="both"/>
            </w:pPr>
          </w:p>
          <w:p>
            <w:pPr>
              <w:jc w:val="both"/>
            </w:pPr>
            <w:r>
              <w:rPr>
                <w:b/>
                <w:sz w:val="24"/>
              </w:rPr>
              <w:t>1.1    自然地理概况</w:t>
            </w:r>
          </w:p>
          <w:p>
            <w:pPr>
              <w:jc w:val="both"/>
            </w:pPr>
            <w:r>
              <w:rPr>
                <w:sz w:val="21"/>
              </w:rPr>
              <w:t xml:space="preserve">  </w:t>
            </w:r>
            <w:r>
              <w:rPr>
                <w:b/>
                <w:sz w:val="24"/>
              </w:rPr>
              <w:t>1、 地理位置</w:t>
            </w:r>
            <w:r>
              <w:rPr>
                <w:sz w:val="24"/>
              </w:rPr>
              <w:t xml:space="preserve">  </w:t>
            </w:r>
            <w:r>
              <w:rPr>
                <w:sz w:val="24"/>
              </w:rPr>
              <w:t>阳春市位于广东省西南部，地处云雾山脉、天露山脉中段与河尾山的八甲大山之间，漠阳江中上游。地理坐标为北纬</w:t>
            </w:r>
            <w:r>
              <w:rPr>
                <w:sz w:val="24"/>
              </w:rPr>
              <w:t>21°50′36″～22°41′01″，东经111°16′27″～112°09′22″。东与恩平市相接，南与阳东区、江城区、阳西县、电白县相连，西与高州市、信宜市接壤，北与罗定市、云安区、新兴县为邻，南北长104公里，东西宽91公里。</w:t>
            </w:r>
          </w:p>
          <w:p>
            <w:pPr>
              <w:jc w:val="both"/>
            </w:pPr>
            <w:r>
              <w:rPr>
                <w:b/>
                <w:sz w:val="24"/>
              </w:rPr>
              <w:t>2、 地形地貌</w:t>
            </w:r>
            <w:r>
              <w:rPr>
                <w:sz w:val="24"/>
              </w:rPr>
              <w:t xml:space="preserve"> </w:t>
            </w:r>
            <w:r>
              <w:rPr>
                <w:sz w:val="24"/>
              </w:rPr>
              <w:t>漠阳江从北向南纵贯市境，构成以漠阳江流域为中心的狭长低洼地带</w:t>
            </w:r>
            <w:r>
              <w:rPr>
                <w:sz w:val="24"/>
              </w:rPr>
              <w:t>——阳春盆地。本市属山地丘陵区，主要分为中低山地、丘陵、平原及岩溶地貌。</w:t>
            </w:r>
          </w:p>
          <w:p>
            <w:pPr>
              <w:jc w:val="both"/>
            </w:pPr>
            <w:r>
              <w:rPr>
                <w:b/>
                <w:sz w:val="24"/>
              </w:rPr>
              <w:t xml:space="preserve">3、 土壤  </w:t>
            </w:r>
            <w:r>
              <w:rPr>
                <w:sz w:val="24"/>
              </w:rPr>
              <w:t>阳春市境内的土壤分为水稻土、旱地土和自然土壤三大类，遍布各乡镇。</w:t>
            </w:r>
          </w:p>
          <w:p>
            <w:pPr>
              <w:jc w:val="both"/>
            </w:pPr>
            <w:r>
              <w:rPr>
                <w:b/>
                <w:sz w:val="24"/>
              </w:rPr>
              <w:t xml:space="preserve">4、 气候  </w:t>
            </w:r>
            <w:r>
              <w:rPr>
                <w:sz w:val="24"/>
              </w:rPr>
              <w:t>阳春市属亚热带季风气候区，海陆性气候明显，气候温和。年平均气温</w:t>
            </w:r>
            <w:r>
              <w:rPr>
                <w:sz w:val="24"/>
              </w:rPr>
              <w:t>22℃，平均日照2000小时，光照时间长，热量丰富；雨量充沛，雨季长，年平均降水量2380毫米，主要雨季是4-9月；季风活动明显，冬季盛行东北风，夏季偏南风居多，主导风向是东北风；冬春易旱，夏季易涝。</w:t>
            </w:r>
          </w:p>
          <w:p>
            <w:pPr>
              <w:jc w:val="both"/>
            </w:pPr>
            <w:r>
              <w:rPr>
                <w:b/>
                <w:sz w:val="24"/>
              </w:rPr>
              <w:t>1.2    林业概况</w:t>
            </w:r>
          </w:p>
          <w:p>
            <w:pPr>
              <w:ind w:firstLine="480"/>
              <w:jc w:val="both"/>
            </w:pPr>
            <w:r>
              <w:rPr>
                <w:sz w:val="24"/>
              </w:rPr>
              <w:t>根据</w:t>
            </w:r>
            <w:r>
              <w:rPr>
                <w:sz w:val="24"/>
              </w:rPr>
              <w:t>2021年度森林资源档案数据，阳春市森林面积413.9万亩，森林覆盖率为68.33%，森林活立木蓄积量为1939.5万立方米。在林业用地中，有林地面积365.7万亩，占93%；疏林地0.15万亩，灌木林地7.65万亩，占2%；未成林地1.65万亩，占1%；无林地（迹地）13.65万亩，占1%；其它林地2.4万亩，占1%。</w:t>
            </w:r>
          </w:p>
          <w:p>
            <w:pPr>
              <w:jc w:val="both"/>
            </w:pPr>
            <w:r>
              <w:rPr>
                <w:b/>
                <w:sz w:val="24"/>
              </w:rPr>
              <w:t>1.3    薇甘菊基本情况</w:t>
            </w:r>
          </w:p>
          <w:p>
            <w:pPr>
              <w:jc w:val="both"/>
            </w:pPr>
            <w:r>
              <w:rPr>
                <w:sz w:val="24"/>
              </w:rPr>
              <w:t>林业有害生物薇甘菊于</w:t>
            </w:r>
            <w:r>
              <w:rPr>
                <w:sz w:val="24"/>
              </w:rPr>
              <w:t>2007年在我市省道S113线八甲路段被发现，近几年在我市扩散蔓延，既破坏生态环境，又造成农林业直接经济损失，如果任其发展下去，将会对我市农林业造成不可估量的损失，采取科学方法防治薇甘菊十分必要。根据2021年普查，2021年阳春市薇甘菊分布面积5万多亩，发生面积3万多亩，全市17个镇、街均有分布。</w:t>
            </w:r>
          </w:p>
          <w:p>
            <w:pPr>
              <w:jc w:val="center"/>
            </w:pPr>
            <w:r>
              <w:rPr/>
              <w:t xml:space="preserve"> </w:t>
            </w:r>
          </w:p>
          <w:p>
            <w:pPr>
              <w:jc w:val="center"/>
            </w:pPr>
            <w:r>
              <w:rPr>
                <w:b/>
                <w:sz w:val="28"/>
              </w:rPr>
              <w:t>第</w:t>
            </w:r>
            <w:r>
              <w:rPr>
                <w:b/>
                <w:sz w:val="28"/>
              </w:rPr>
              <w:t>2章  设计指导思想、依据及原则</w:t>
            </w:r>
          </w:p>
          <w:p>
            <w:pPr>
              <w:jc w:val="both"/>
            </w:pPr>
          </w:p>
          <w:p>
            <w:pPr>
              <w:jc w:val="both"/>
            </w:pPr>
            <w:r>
              <w:rPr>
                <w:b/>
                <w:sz w:val="24"/>
              </w:rPr>
              <w:t>2.1    指导思想</w:t>
            </w:r>
          </w:p>
          <w:p>
            <w:pPr>
              <w:ind w:firstLine="480"/>
              <w:jc w:val="both"/>
            </w:pPr>
            <w:r>
              <w:rPr>
                <w:sz w:val="24"/>
              </w:rPr>
              <w:t>薇甘菊是林业重大有害生物，</w:t>
            </w:r>
            <w:r>
              <w:rPr>
                <w:sz w:val="24"/>
              </w:rPr>
              <w:t>传播途径多、危害严重且治理难度大，</w:t>
            </w:r>
            <w:r>
              <w:rPr>
                <w:sz w:val="24"/>
              </w:rPr>
              <w:t>它们危害林业生产，损害林木产值，严重阻碍着林业发展，破坏生物多样性，制约着生态环境建设，</w:t>
            </w:r>
            <w:r>
              <w:rPr>
                <w:sz w:val="24"/>
              </w:rPr>
              <w:t>被世界上多个国家和组织列为检疫对象。该病</w:t>
            </w:r>
            <w:r>
              <w:rPr>
                <w:sz w:val="24"/>
              </w:rPr>
              <w:t>入侵我国以来</w:t>
            </w:r>
            <w:r>
              <w:rPr>
                <w:sz w:val="24"/>
              </w:rPr>
              <w:t>发展蔓延速度迅猛</w:t>
            </w:r>
            <w:r>
              <w:rPr>
                <w:sz w:val="24"/>
              </w:rPr>
              <w:t>、</w:t>
            </w:r>
            <w:r>
              <w:rPr>
                <w:sz w:val="24"/>
              </w:rPr>
              <w:t>危害日趋严重，对林业</w:t>
            </w:r>
            <w:r>
              <w:rPr>
                <w:sz w:val="24"/>
              </w:rPr>
              <w:t>发展和生态安全</w:t>
            </w:r>
            <w:r>
              <w:rPr>
                <w:sz w:val="24"/>
              </w:rPr>
              <w:t>造成了非常严重的威胁</w:t>
            </w:r>
            <w:r>
              <w:rPr>
                <w:sz w:val="24"/>
              </w:rPr>
              <w:t>。薇甘菊多年前传入，加强它们的监测和防治，已迫在眉睫。本项目就是对薇甘菊进行综合防治，控制它们的</w:t>
            </w:r>
            <w:r>
              <w:rPr>
                <w:sz w:val="24"/>
              </w:rPr>
              <w:t>蔓延速度</w:t>
            </w:r>
            <w:r>
              <w:rPr>
                <w:sz w:val="24"/>
              </w:rPr>
              <w:t>，维护阳春市的生态平衡。</w:t>
            </w:r>
          </w:p>
          <w:p>
            <w:pPr>
              <w:jc w:val="both"/>
            </w:pPr>
            <w:r>
              <w:rPr>
                <w:b/>
                <w:sz w:val="24"/>
              </w:rPr>
              <w:t>2.2    依据</w:t>
            </w:r>
          </w:p>
          <w:p>
            <w:pPr>
              <w:jc w:val="both"/>
            </w:pPr>
            <w:r>
              <w:rPr>
                <w:sz w:val="24"/>
              </w:rPr>
              <w:t xml:space="preserve">1、  </w:t>
            </w:r>
            <w:r>
              <w:rPr>
                <w:sz w:val="21"/>
              </w:rPr>
              <w:t xml:space="preserve"> </w:t>
            </w:r>
            <w:r>
              <w:rPr>
                <w:sz w:val="24"/>
              </w:rPr>
              <w:t>广东省林业局办公室关于印发广东省松材线虫病除治技术等工作指引（试行）的通知（粤林办函〔</w:t>
            </w:r>
            <w:r>
              <w:rPr>
                <w:sz w:val="24"/>
              </w:rPr>
              <w:t>2020〕54号）</w:t>
            </w:r>
          </w:p>
          <w:p>
            <w:pPr>
              <w:jc w:val="both"/>
            </w:pPr>
            <w:r>
              <w:rPr>
                <w:sz w:val="24"/>
              </w:rPr>
              <w:t>2、  薇甘菊防治技术规程LY/T2422-2015</w:t>
            </w:r>
          </w:p>
          <w:p>
            <w:pPr>
              <w:jc w:val="both"/>
            </w:pPr>
            <w:r>
              <w:rPr>
                <w:b/>
                <w:sz w:val="24"/>
              </w:rPr>
              <w:t>2.3    原则</w:t>
            </w:r>
          </w:p>
          <w:p>
            <w:pPr>
              <w:jc w:val="both"/>
            </w:pPr>
            <w:r>
              <w:rPr>
                <w:sz w:val="24"/>
              </w:rPr>
              <w:t xml:space="preserve">  1、  </w:t>
            </w:r>
            <w:r>
              <w:rPr>
                <w:sz w:val="24"/>
              </w:rPr>
              <w:t>坚持预防为主、科学防控、落实责任、依法治理原则。</w:t>
            </w:r>
          </w:p>
          <w:p>
            <w:pPr>
              <w:jc w:val="both"/>
            </w:pPr>
            <w:r>
              <w:rPr>
                <w:sz w:val="24"/>
              </w:rPr>
              <w:t xml:space="preserve">  2、  </w:t>
            </w:r>
            <w:r>
              <w:rPr>
                <w:sz w:val="24"/>
              </w:rPr>
              <w:t>坚持突出重点，全面兼顾的原则。</w:t>
            </w:r>
          </w:p>
          <w:p>
            <w:pPr>
              <w:jc w:val="both"/>
            </w:pPr>
            <w:r>
              <w:rPr>
                <w:sz w:val="24"/>
              </w:rPr>
              <w:t xml:space="preserve">  3、  </w:t>
            </w:r>
            <w:r>
              <w:rPr>
                <w:sz w:val="24"/>
              </w:rPr>
              <w:t>坚持部门联动，责任到人的原则。</w:t>
            </w:r>
          </w:p>
          <w:p>
            <w:pPr>
              <w:jc w:val="both"/>
            </w:pPr>
            <w:r>
              <w:rPr>
                <w:sz w:val="24"/>
              </w:rPr>
              <w:t xml:space="preserve">  4、  </w:t>
            </w:r>
            <w:r>
              <w:rPr>
                <w:sz w:val="24"/>
              </w:rPr>
              <w:t>以维护生物多样性为原则。在防治</w:t>
            </w:r>
            <w:r>
              <w:rPr>
                <w:sz w:val="24"/>
              </w:rPr>
              <w:t>薇甘菊时，尽量保护其它的植物。</w:t>
            </w:r>
          </w:p>
          <w:p>
            <w:pPr>
              <w:jc w:val="center"/>
            </w:pPr>
            <w:r>
              <w:rPr/>
              <w:t xml:space="preserve"> </w:t>
            </w:r>
          </w:p>
          <w:p>
            <w:pPr>
              <w:jc w:val="center"/>
            </w:pPr>
            <w:r>
              <w:rPr>
                <w:b/>
                <w:color w:val="000000"/>
                <w:sz w:val="28"/>
              </w:rPr>
              <w:t>第</w:t>
            </w:r>
            <w:r>
              <w:rPr>
                <w:b/>
                <w:color w:val="000000"/>
                <w:sz w:val="28"/>
              </w:rPr>
              <w:t>3章  防治的技术措施</w:t>
            </w:r>
          </w:p>
          <w:p>
            <w:pPr>
              <w:jc w:val="both"/>
            </w:pPr>
          </w:p>
          <w:p>
            <w:pPr>
              <w:ind w:firstLine="480"/>
              <w:jc w:val="both"/>
            </w:pPr>
            <w:r>
              <w:rPr>
                <w:sz w:val="24"/>
              </w:rPr>
              <w:t>应用药物益霖薇净或紫薇清专门针对除治薇甘菊等藤本恶性杂草而研制，用于喷洒薇甘菊表面，彻底杀死薇甘菊根部和茎部，从而达到完全杀灭薇甘菊种群的目标。</w:t>
            </w:r>
          </w:p>
          <w:p>
            <w:pPr>
              <w:jc w:val="both"/>
            </w:pPr>
            <w:r>
              <w:rPr>
                <w:sz w:val="24"/>
              </w:rPr>
              <w:t xml:space="preserve">3.1   </w:t>
            </w:r>
            <w:r>
              <w:rPr>
                <w:sz w:val="24"/>
              </w:rPr>
              <w:t>药物除治。对部分只攀缘地表的薇甘菊，直接用益霖薇净或紫薇清</w:t>
            </w:r>
            <w:r>
              <w:rPr>
                <w:sz w:val="24"/>
              </w:rPr>
              <w:t>1500-2000倍液进行喷洒。</w:t>
            </w:r>
          </w:p>
          <w:p>
            <w:pPr>
              <w:jc w:val="both"/>
            </w:pPr>
            <w:r>
              <w:rPr>
                <w:sz w:val="24"/>
              </w:rPr>
              <w:t>3.2   人工清除。对部分攀缘上果树或其它乔木的薇甘菊受灾地，为了保护原物种不受药害，采用人工结合药物除治方式进行薇甘菊除治。</w:t>
            </w:r>
          </w:p>
          <w:p>
            <w:pPr>
              <w:jc w:val="both"/>
            </w:pPr>
            <w:r>
              <w:rPr>
                <w:sz w:val="24"/>
              </w:rPr>
              <w:t>3.3   除治时间。项目实行绩效承包，在今年10月前喷完或人工除治一遍，11月前补喷或人工除治一遍，11月进行期中验收。2023年8月完成补喷，10月份达到防治质量要求的，进行完工验收。</w:t>
            </w:r>
          </w:p>
          <w:p>
            <w:pPr>
              <w:jc w:val="both"/>
            </w:pPr>
            <w:r>
              <w:rPr>
                <w:sz w:val="24"/>
              </w:rPr>
              <w:t>3.4   施药方法。</w:t>
            </w:r>
          </w:p>
          <w:p>
            <w:pPr>
              <w:jc w:val="both"/>
            </w:pPr>
            <w:r>
              <w:rPr>
                <w:sz w:val="24"/>
              </w:rPr>
              <w:t>（</w:t>
            </w:r>
            <w:r>
              <w:rPr>
                <w:sz w:val="24"/>
              </w:rPr>
              <w:t>1</w:t>
            </w:r>
            <w:r>
              <w:rPr>
                <w:sz w:val="24"/>
              </w:rPr>
              <w:t>）</w:t>
            </w:r>
            <w:r>
              <w:rPr>
                <w:sz w:val="21"/>
              </w:rPr>
              <w:t xml:space="preserve"> </w:t>
            </w:r>
            <w:r>
              <w:rPr>
                <w:sz w:val="24"/>
              </w:rPr>
              <w:t>非定向喷雾法：</w:t>
            </w:r>
            <w:r>
              <w:rPr>
                <w:sz w:val="24"/>
              </w:rPr>
              <w:t>对几乎没有其它植物生长的大面积薇甘菊区域，采用非定向施药法，对茎和叶面喷洒法，直到薇甘菊的茎或叶片</w:t>
            </w:r>
            <w:r>
              <w:rPr>
                <w:sz w:val="24"/>
              </w:rPr>
              <w:t>喷湿为止</w:t>
            </w:r>
            <w:r>
              <w:rPr>
                <w:sz w:val="24"/>
              </w:rPr>
              <w:t>。</w:t>
            </w:r>
          </w:p>
          <w:p>
            <w:pPr>
              <w:jc w:val="both"/>
            </w:pPr>
            <w:r>
              <w:rPr>
                <w:sz w:val="24"/>
              </w:rPr>
              <w:t>（</w:t>
            </w:r>
            <w:r>
              <w:rPr>
                <w:sz w:val="24"/>
              </w:rPr>
              <w:t>2</w:t>
            </w:r>
            <w:r>
              <w:rPr>
                <w:sz w:val="24"/>
              </w:rPr>
              <w:t>）</w:t>
            </w:r>
            <w:r>
              <w:rPr>
                <w:sz w:val="21"/>
              </w:rPr>
              <w:t xml:space="preserve"> </w:t>
            </w:r>
            <w:r>
              <w:rPr>
                <w:sz w:val="24"/>
              </w:rPr>
              <w:t>定向喷雾法：对薇甘菊覆盖其它植物或与其他植物混合生长在一起的区域，采用只对薇甘菊的茎叶定向喷药方法。对于被薇甘菊攀援的灌木和乔木，在攀援树干离地面</w:t>
            </w:r>
            <w:r>
              <w:rPr>
                <w:sz w:val="24"/>
              </w:rPr>
              <w:t>50cm以上的约为30cm宽的薇甘菊茎部内均匀喷洒药液，</w:t>
            </w:r>
            <w:r>
              <w:rPr>
                <w:sz w:val="24"/>
              </w:rPr>
              <w:t>以喷湿薇甘菊茎叶为止</w:t>
            </w:r>
            <w:r>
              <w:rPr>
                <w:sz w:val="24"/>
              </w:rPr>
              <w:t>。</w:t>
            </w:r>
          </w:p>
          <w:p>
            <w:pPr>
              <w:jc w:val="both"/>
            </w:pPr>
            <w:r>
              <w:rPr>
                <w:sz w:val="24"/>
              </w:rPr>
              <w:t>（</w:t>
            </w:r>
            <w:r>
              <w:rPr>
                <w:sz w:val="24"/>
              </w:rPr>
              <w:t>3</w:t>
            </w:r>
            <w:r>
              <w:rPr>
                <w:sz w:val="24"/>
              </w:rPr>
              <w:t>）</w:t>
            </w:r>
            <w:r>
              <w:rPr>
                <w:sz w:val="21"/>
              </w:rPr>
              <w:t xml:space="preserve"> </w:t>
            </w:r>
            <w:r>
              <w:rPr>
                <w:sz w:val="24"/>
              </w:rPr>
              <w:t>根部施药法：对薇甘菊攀上高大乔木或灌木的树冠层，可以在地面寻找薇甘菊的地面茎和根，对其根和地面老茎进行喷药来回</w:t>
            </w:r>
            <w:r>
              <w:rPr>
                <w:sz w:val="24"/>
              </w:rPr>
              <w:t>3次喷洒，直到茎上</w:t>
            </w:r>
            <w:r>
              <w:rPr>
                <w:sz w:val="24"/>
              </w:rPr>
              <w:t>喷湿</w:t>
            </w:r>
            <w:r>
              <w:rPr>
                <w:sz w:val="24"/>
              </w:rPr>
              <w:t>为止，也可以对其根部的土壤喷药，直到土壤表面湿润为止。</w:t>
            </w:r>
          </w:p>
          <w:p>
            <w:pPr>
              <w:jc w:val="both"/>
            </w:pPr>
            <w:r>
              <w:rPr>
                <w:sz w:val="24"/>
              </w:rPr>
              <w:t>（</w:t>
            </w:r>
            <w:r>
              <w:rPr>
                <w:sz w:val="24"/>
              </w:rPr>
              <w:t>4</w:t>
            </w:r>
            <w:r>
              <w:rPr>
                <w:sz w:val="24"/>
              </w:rPr>
              <w:t>）</w:t>
            </w:r>
            <w:r>
              <w:rPr>
                <w:sz w:val="21"/>
              </w:rPr>
              <w:t xml:space="preserve"> </w:t>
            </w:r>
            <w:r>
              <w:rPr>
                <w:sz w:val="24"/>
              </w:rPr>
              <w:t>对于果园绿化树的薇甘菊除治：先人工把攀延上果树的薇甘菊割断，再将药剂喷洒地面薇甘菊上，防止药剂对果树造成药害；食用水取水源头上的薇甘菊实行人工拨除。</w:t>
            </w:r>
          </w:p>
          <w:p>
            <w:pPr>
              <w:jc w:val="both"/>
            </w:pPr>
            <w:r>
              <w:rPr>
                <w:sz w:val="24"/>
              </w:rPr>
              <w:t>（</w:t>
            </w:r>
            <w:r>
              <w:rPr>
                <w:sz w:val="24"/>
              </w:rPr>
              <w:t>5）</w:t>
            </w:r>
            <w:r>
              <w:rPr>
                <w:sz w:val="24"/>
              </w:rPr>
              <w:t>施药时间：最佳用药时间是在薇甘菊生长最旺盛的时期。施药前注意天气预报，选择无风或微风无雨的天气施药，施药后</w:t>
            </w:r>
            <w:r>
              <w:rPr>
                <w:sz w:val="24"/>
              </w:rPr>
              <w:t>4小时内不</w:t>
            </w:r>
            <w:r>
              <w:rPr>
                <w:sz w:val="24"/>
              </w:rPr>
              <w:t>能下雨，下雨则要重喷</w:t>
            </w:r>
            <w:r>
              <w:rPr>
                <w:sz w:val="24"/>
              </w:rPr>
              <w:t>。</w:t>
            </w:r>
          </w:p>
          <w:p>
            <w:pPr>
              <w:jc w:val="both"/>
            </w:pPr>
            <w:r>
              <w:rPr>
                <w:sz w:val="24"/>
              </w:rPr>
              <w:t>（</w:t>
            </w:r>
            <w:r>
              <w:rPr>
                <w:sz w:val="24"/>
              </w:rPr>
              <w:t>6</w:t>
            </w:r>
            <w:r>
              <w:rPr>
                <w:sz w:val="24"/>
              </w:rPr>
              <w:t>）</w:t>
            </w:r>
            <w:r>
              <w:rPr>
                <w:sz w:val="21"/>
              </w:rPr>
              <w:t xml:space="preserve"> </w:t>
            </w:r>
            <w:r>
              <w:rPr>
                <w:sz w:val="24"/>
              </w:rPr>
              <w:t>施药工具：要达到既防除薇甘菊又对生态环境影响最小，且工作高效，一般使用机器动力喷雾机结合型背负式手动喷雾器。</w:t>
            </w:r>
          </w:p>
          <w:p>
            <w:pPr>
              <w:jc w:val="center"/>
            </w:pPr>
            <w:r>
              <w:rPr/>
              <w:t xml:space="preserve"> </w:t>
            </w:r>
          </w:p>
          <w:p>
            <w:pPr>
              <w:jc w:val="center"/>
            </w:pPr>
            <w:r>
              <w:rPr>
                <w:b/>
                <w:color w:val="000000"/>
                <w:sz w:val="28"/>
              </w:rPr>
              <w:t>第</w:t>
            </w:r>
            <w:r>
              <w:rPr>
                <w:b/>
                <w:color w:val="000000"/>
                <w:sz w:val="28"/>
              </w:rPr>
              <w:t>4章  防治地点及内容</w:t>
            </w:r>
          </w:p>
          <w:p>
            <w:pPr>
              <w:jc w:val="both"/>
            </w:pPr>
          </w:p>
          <w:p>
            <w:pPr>
              <w:ind w:firstLine="480"/>
              <w:jc w:val="both"/>
            </w:pPr>
            <w:r>
              <w:rPr>
                <w:sz w:val="24"/>
              </w:rPr>
              <w:t>经调查，我市辖区内及多条重点道路两侧的薇甘菊呈点多面广的特点，本次薇甘菊防治主要选取上述地区对群众生产生活影响较大的重点区域进行防治。为便于薇甘菊防治的实施和管理，今年防治薇甘菊分为</w:t>
            </w:r>
            <w:r>
              <w:rPr>
                <w:sz w:val="24"/>
              </w:rPr>
              <w:t>2个标段来操作。本作业设计是对第一个标段进行设计，防治地点是：主要是罗阳高速阳春境内全线、汕湛高速阳春境内全线及部分县道、乡道、村道等重要道路两旁外100米范围内，部分圩镇、森林公园等重要地方的周边，涉及防治范围面积</w:t>
            </w:r>
            <w:r>
              <w:rPr>
                <w:sz w:val="24"/>
              </w:rPr>
              <w:t>544735</w:t>
            </w:r>
            <w:r>
              <w:rPr>
                <w:sz w:val="24"/>
              </w:rPr>
              <w:t>亩，需要喷药防治的面积</w:t>
            </w:r>
            <w:r>
              <w:rPr>
                <w:sz w:val="24"/>
              </w:rPr>
              <w:t>6000亩，各个防治地点、面积及长度等情况详见附表1。</w:t>
            </w:r>
          </w:p>
          <w:p>
            <w:pPr>
              <w:jc w:val="center"/>
            </w:pPr>
            <w:r>
              <w:rPr/>
              <w:t xml:space="preserve"> </w:t>
            </w:r>
          </w:p>
          <w:p>
            <w:pPr>
              <w:jc w:val="center"/>
            </w:pPr>
            <w:r>
              <w:rPr>
                <w:b/>
                <w:sz w:val="28"/>
              </w:rPr>
              <w:t>第</w:t>
            </w:r>
            <w:r>
              <w:rPr>
                <w:b/>
                <w:sz w:val="28"/>
              </w:rPr>
              <w:t>5章  防治的工程量及物资需要量</w:t>
            </w:r>
          </w:p>
          <w:p>
            <w:pPr>
              <w:jc w:val="both"/>
            </w:pPr>
          </w:p>
          <w:p>
            <w:pPr>
              <w:jc w:val="both"/>
            </w:pPr>
            <w:r>
              <w:rPr>
                <w:b/>
                <w:color w:val="000000"/>
                <w:sz w:val="24"/>
              </w:rPr>
              <w:t>5.1    防治工程量</w:t>
            </w:r>
          </w:p>
          <w:p>
            <w:pPr>
              <w:jc w:val="both"/>
            </w:pPr>
            <w:r>
              <w:rPr>
                <w:sz w:val="24"/>
              </w:rPr>
              <w:t xml:space="preserve">     防治薇甘菊，面积</w:t>
            </w:r>
            <w:r>
              <w:rPr>
                <w:sz w:val="24"/>
              </w:rPr>
              <w:t>6000亩。</w:t>
            </w:r>
          </w:p>
          <w:p>
            <w:pPr>
              <w:jc w:val="both"/>
            </w:pPr>
            <w:r>
              <w:rPr>
                <w:b/>
                <w:sz w:val="24"/>
              </w:rPr>
              <w:t>5.2    防治物资需要量</w:t>
            </w:r>
          </w:p>
          <w:p>
            <w:pPr>
              <w:jc w:val="both"/>
            </w:pPr>
            <w:r>
              <w:rPr>
                <w:sz w:val="24"/>
              </w:rPr>
              <w:t xml:space="preserve">        防治薇甘菊</w:t>
            </w:r>
            <w:r>
              <w:rPr>
                <w:sz w:val="24"/>
              </w:rPr>
              <w:t>6000亩，每亩需要益霖薇净或</w:t>
            </w:r>
            <w:r>
              <w:rPr>
                <w:sz w:val="24"/>
              </w:rPr>
              <w:t>紫薇清</w:t>
            </w:r>
            <w:r>
              <w:rPr>
                <w:sz w:val="24"/>
              </w:rPr>
              <w:t>药物</w:t>
            </w:r>
            <w:r>
              <w:rPr>
                <w:sz w:val="24"/>
              </w:rPr>
              <w:t>0.1</w:t>
            </w:r>
            <w:r>
              <w:rPr>
                <w:sz w:val="24"/>
              </w:rPr>
              <w:t>公斤，</w:t>
            </w:r>
            <w:r>
              <w:rPr>
                <w:sz w:val="24"/>
              </w:rPr>
              <w:t>防治</w:t>
            </w:r>
            <w:r>
              <w:rPr>
                <w:sz w:val="24"/>
              </w:rPr>
              <w:t>6000</w:t>
            </w:r>
            <w:r>
              <w:rPr>
                <w:sz w:val="24"/>
              </w:rPr>
              <w:t>亩共需要药物</w:t>
            </w:r>
            <w:r>
              <w:rPr>
                <w:sz w:val="24"/>
              </w:rPr>
              <w:t>600公斤。</w:t>
            </w:r>
          </w:p>
          <w:p>
            <w:pPr>
              <w:jc w:val="center"/>
            </w:pPr>
            <w:r>
              <w:rPr/>
              <w:t xml:space="preserve"> </w:t>
            </w:r>
          </w:p>
          <w:p>
            <w:pPr>
              <w:jc w:val="center"/>
            </w:pPr>
            <w:r>
              <w:rPr>
                <w:b/>
                <w:sz w:val="28"/>
              </w:rPr>
              <w:t>第</w:t>
            </w:r>
            <w:r>
              <w:rPr>
                <w:b/>
                <w:sz w:val="28"/>
              </w:rPr>
              <w:t>6章  投资概算</w:t>
            </w:r>
          </w:p>
          <w:p>
            <w:pPr>
              <w:jc w:val="center"/>
            </w:pPr>
          </w:p>
          <w:p>
            <w:pPr>
              <w:jc w:val="both"/>
            </w:pPr>
            <w:r>
              <w:rPr>
                <w:b/>
                <w:sz w:val="24"/>
              </w:rPr>
              <w:t>6.1    概算指标</w:t>
            </w:r>
          </w:p>
          <w:p>
            <w:pPr>
              <w:ind w:firstLine="480"/>
              <w:jc w:val="left"/>
            </w:pPr>
            <w:r>
              <w:rPr>
                <w:sz w:val="24"/>
              </w:rPr>
              <w:t>根据阳春市经济水平和有关的定额标准，参照阳春市相似项目的投资水平，确定</w:t>
            </w:r>
            <w:r>
              <w:rPr>
                <w:sz w:val="24"/>
              </w:rPr>
              <w:t>2022年阳春市林业有害生物薇甘菊综合防治（第一标段）</w:t>
            </w:r>
            <w:r>
              <w:rPr>
                <w:sz w:val="24"/>
              </w:rPr>
              <w:t>项目</w:t>
            </w:r>
            <w:r>
              <w:rPr>
                <w:sz w:val="24"/>
              </w:rPr>
              <w:t>概算经济指标，详见下表</w:t>
            </w:r>
            <w:r>
              <w:rPr>
                <w:sz w:val="24"/>
              </w:rPr>
              <w:t>1。</w:t>
            </w:r>
          </w:p>
          <w:tbl>
            <w:tblPr>
              <w:tblInd w:type="dxa" w:w="90"/>
              <w:tblBorders>
                <w:top w:val="none" w:color="000000" w:sz="4"/>
                <w:left w:val="none" w:color="000000" w:sz="4"/>
                <w:bottom w:val="none" w:color="000000" w:sz="4"/>
                <w:right w:val="none" w:color="000000" w:sz="4"/>
                <w:insideH w:val="none"/>
                <w:insideV w:val="none"/>
              </w:tblBorders>
            </w:tblPr>
            <w:tblGrid>
              <w:gridCol w:w="1227"/>
              <w:gridCol w:w="1602"/>
              <w:gridCol w:w="689"/>
              <w:gridCol w:w="669"/>
              <w:gridCol w:w="1409"/>
            </w:tblGrid>
            <w:tr>
              <w:tc>
                <w:tcPr>
                  <w:tcW w:type="dxa" w:w="5596"/>
                  <w:gridSpan w:val="5"/>
                  <w:tcBorders>
                    <w:top w:val="none" w:color="000000" w:sz="4"/>
                    <w:left w:val="none" w:color="000000" w:sz="4"/>
                    <w:bottom w:val="single" w:color="000000" w:sz="4"/>
                    <w:right w:val="none" w:color="000000" w:sz="4"/>
                  </w:tcBorders>
                  <w:vAlign w:val="top"/>
                </w:tcPr>
                <w:p>
                  <w:pPr>
                    <w:jc w:val="both"/>
                  </w:pPr>
                  <w:r>
                    <w:rPr>
                      <w:sz w:val="21"/>
                    </w:rPr>
                    <w:t>表</w:t>
                  </w:r>
                  <w:r>
                    <w:rPr>
                      <w:sz w:val="21"/>
                    </w:rPr>
                    <w:t>1  2022年阳春市林业有害生物薇甘菊综合防治（第一标段）项目概算经济指标</w:t>
                  </w:r>
                </w:p>
              </w:tc>
            </w:tr>
            <w:tr>
              <w:tc>
                <w:tcPr>
                  <w:tcW w:type="dxa" w:w="1227"/>
                  <w:tcBorders>
                    <w:top w:val="none" w:color="000000" w:sz="4"/>
                    <w:left w:val="single" w:color="000000" w:sz="4"/>
                    <w:bottom w:val="single" w:color="000000" w:sz="4"/>
                    <w:right w:val="single" w:color="000000" w:sz="4"/>
                  </w:tcBorders>
                  <w:vAlign w:val="top"/>
                </w:tcPr>
                <w:p>
                  <w:pPr>
                    <w:jc w:val="center"/>
                  </w:pPr>
                  <w:r>
                    <w:rPr>
                      <w:sz w:val="21"/>
                    </w:rPr>
                    <w:t>项目类型</w:t>
                  </w:r>
                </w:p>
              </w:tc>
              <w:tc>
                <w:tcPr>
                  <w:tcW w:type="dxa" w:w="1602"/>
                  <w:tcBorders>
                    <w:top w:val="none" w:color="000000" w:sz="4"/>
                    <w:left w:val="none" w:color="000000" w:sz="4"/>
                    <w:bottom w:val="single" w:color="000000" w:sz="4"/>
                    <w:right w:val="single" w:color="000000" w:sz="4"/>
                  </w:tcBorders>
                  <w:vAlign w:val="top"/>
                </w:tcPr>
                <w:p>
                  <w:pPr>
                    <w:jc w:val="center"/>
                  </w:pPr>
                  <w:r>
                    <w:rPr>
                      <w:sz w:val="21"/>
                    </w:rPr>
                    <w:t>内容</w:t>
                  </w:r>
                </w:p>
              </w:tc>
              <w:tc>
                <w:tcPr>
                  <w:tcW w:type="dxa" w:w="689"/>
                  <w:tcBorders>
                    <w:top w:val="none" w:color="000000" w:sz="4"/>
                    <w:left w:val="none" w:color="000000" w:sz="4"/>
                    <w:bottom w:val="single" w:color="000000" w:sz="4"/>
                    <w:right w:val="single" w:color="000000" w:sz="4"/>
                  </w:tcBorders>
                  <w:vAlign w:val="top"/>
                </w:tcPr>
                <w:p>
                  <w:pPr>
                    <w:jc w:val="center"/>
                  </w:pPr>
                  <w:r>
                    <w:rPr>
                      <w:sz w:val="21"/>
                    </w:rPr>
                    <w:t>单位</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指标</w:t>
                  </w:r>
                </w:p>
              </w:tc>
              <w:tc>
                <w:tcPr>
                  <w:tcW w:type="dxa" w:w="1409"/>
                  <w:tcBorders>
                    <w:top w:val="none" w:color="000000" w:sz="4"/>
                    <w:left w:val="none" w:color="000000" w:sz="4"/>
                    <w:bottom w:val="single" w:color="000000" w:sz="4"/>
                    <w:right w:val="single" w:color="000000" w:sz="4"/>
                  </w:tcBorders>
                  <w:vAlign w:val="top"/>
                </w:tcPr>
                <w:p>
                  <w:pPr>
                    <w:jc w:val="center"/>
                  </w:pPr>
                  <w:r>
                    <w:rPr>
                      <w:sz w:val="21"/>
                    </w:rPr>
                    <w:t>备注</w:t>
                  </w:r>
                </w:p>
              </w:tc>
            </w:tr>
            <w:tr>
              <w:tc>
                <w:tcPr>
                  <w:tcW w:type="dxa" w:w="1227"/>
                  <w:vMerge w:val="restart"/>
                  <w:tcBorders>
                    <w:top w:val="none" w:color="000000" w:sz="4"/>
                    <w:left w:val="single" w:color="000000" w:sz="4"/>
                    <w:bottom w:val="single" w:color="000000" w:sz="4"/>
                    <w:right w:val="single" w:color="000000" w:sz="4"/>
                  </w:tcBorders>
                  <w:vAlign w:val="top"/>
                </w:tcPr>
                <w:p>
                  <w:pPr>
                    <w:jc w:val="center"/>
                  </w:pPr>
                  <w:r>
                    <w:rPr>
                      <w:sz w:val="21"/>
                    </w:rPr>
                    <w:t>薇甘菊药物防治</w:t>
                  </w:r>
                </w:p>
              </w:tc>
              <w:tc>
                <w:tcPr>
                  <w:tcW w:type="dxa" w:w="1602"/>
                  <w:tcBorders>
                    <w:top w:val="none" w:color="000000" w:sz="4"/>
                    <w:left w:val="none" w:color="000000" w:sz="4"/>
                    <w:bottom w:val="single" w:color="000000" w:sz="4"/>
                    <w:right w:val="single" w:color="000000" w:sz="4"/>
                  </w:tcBorders>
                  <w:vAlign w:val="top"/>
                </w:tcPr>
                <w:p>
                  <w:pPr>
                    <w:jc w:val="center"/>
                  </w:pPr>
                  <w:r>
                    <w:rPr>
                      <w:sz w:val="21"/>
                    </w:rPr>
                    <w:t>药物</w:t>
                  </w:r>
                </w:p>
              </w:tc>
              <w:tc>
                <w:tcPr>
                  <w:tcW w:type="dxa" w:w="689"/>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669"/>
                  <w:tcBorders>
                    <w:top w:val="none" w:color="000000" w:sz="4"/>
                    <w:left w:val="none" w:color="000000" w:sz="4"/>
                    <w:bottom w:val="single" w:color="000000" w:sz="4"/>
                    <w:right w:val="single" w:color="000000" w:sz="4"/>
                  </w:tcBorders>
                  <w:vAlign w:val="top"/>
                </w:tcPr>
                <w:p>
                  <w:pPr>
                    <w:jc w:val="center"/>
                  </w:pPr>
                  <w:r>
                    <w:rPr>
                      <w:sz w:val="21"/>
                    </w:rPr>
                    <w:t>16</w:t>
                  </w:r>
                </w:p>
              </w:tc>
              <w:tc>
                <w:tcPr>
                  <w:tcW w:type="dxa" w:w="1409"/>
                  <w:tcBorders>
                    <w:top w:val="none" w:color="000000" w:sz="4"/>
                    <w:left w:val="none" w:color="000000" w:sz="4"/>
                    <w:bottom w:val="single" w:color="000000" w:sz="4"/>
                    <w:right w:val="single" w:color="000000" w:sz="4"/>
                  </w:tcBorders>
                  <w:vAlign w:val="top"/>
                </w:tcPr>
                <w:p>
                  <w:pPr>
                    <w:jc w:val="center"/>
                  </w:pPr>
                  <w:r>
                    <w:rPr>
                      <w:sz w:val="21"/>
                    </w:rPr>
                    <w:t>每亩需要益霖薇净</w:t>
                  </w:r>
                </w:p>
                <w:p>
                  <w:pPr>
                    <w:jc w:val="center"/>
                  </w:pPr>
                  <w:r>
                    <w:rPr>
                      <w:sz w:val="21"/>
                    </w:rPr>
                    <w:t>或紫薇清</w:t>
                  </w:r>
                  <w:r>
                    <w:rPr>
                      <w:sz w:val="21"/>
                    </w:rPr>
                    <w:t>0.1公斤</w:t>
                  </w:r>
                </w:p>
              </w:tc>
            </w:tr>
            <w:tr>
              <w:tc>
                <w:tcPr>
                  <w:tcW w:type="dxa" w:w="1227"/>
                  <w:vMerge/>
                  <w:tcBorders>
                    <w:top w:val="none" w:color="000000" w:sz="4"/>
                    <w:left w:val="single" w:color="000000" w:sz="4"/>
                    <w:bottom w:val="single" w:color="000000" w:sz="4"/>
                    <w:right w:val="single" w:color="000000" w:sz="4"/>
                  </w:tcBorders>
                </w:tcPr>
                <w:p/>
              </w:tc>
              <w:tc>
                <w:tcPr>
                  <w:tcW w:type="dxa" w:w="1602"/>
                  <w:tcBorders>
                    <w:top w:val="none" w:color="000000" w:sz="4"/>
                    <w:left w:val="none" w:color="000000" w:sz="4"/>
                    <w:bottom w:val="single" w:color="000000" w:sz="4"/>
                    <w:right w:val="single" w:color="000000" w:sz="4"/>
                  </w:tcBorders>
                  <w:vAlign w:val="top"/>
                </w:tcPr>
                <w:p>
                  <w:pPr>
                    <w:jc w:val="center"/>
                  </w:pPr>
                  <w:r>
                    <w:rPr>
                      <w:sz w:val="21"/>
                    </w:rPr>
                    <w:t>机械损耗及油费</w:t>
                  </w:r>
                </w:p>
              </w:tc>
              <w:tc>
                <w:tcPr>
                  <w:tcW w:type="dxa" w:w="689"/>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669"/>
                  <w:tcBorders>
                    <w:top w:val="none" w:color="000000" w:sz="4"/>
                    <w:left w:val="none" w:color="000000" w:sz="4"/>
                    <w:bottom w:val="single" w:color="000000" w:sz="4"/>
                    <w:right w:val="single" w:color="000000" w:sz="4"/>
                  </w:tcBorders>
                  <w:vAlign w:val="top"/>
                </w:tcPr>
                <w:p>
                  <w:pPr>
                    <w:jc w:val="center"/>
                  </w:pPr>
                  <w:r>
                    <w:rPr>
                      <w:sz w:val="21"/>
                    </w:rPr>
                    <w:t>11</w:t>
                  </w:r>
                </w:p>
              </w:tc>
              <w:tc>
                <w:tcPr>
                  <w:tcW w:type="dxa" w:w="1409"/>
                  <w:tcBorders>
                    <w:top w:val="none" w:color="000000" w:sz="4"/>
                    <w:left w:val="none" w:color="000000" w:sz="4"/>
                    <w:bottom w:val="single" w:color="000000" w:sz="4"/>
                    <w:right w:val="single" w:color="000000" w:sz="4"/>
                  </w:tcBorders>
                  <w:vAlign w:val="top"/>
                </w:tcPr>
                <w:p>
                  <w:pPr>
                    <w:jc w:val="center"/>
                  </w:pPr>
                </w:p>
              </w:tc>
            </w:tr>
            <w:tr>
              <w:tc>
                <w:tcPr>
                  <w:tcW w:type="dxa" w:w="1227"/>
                  <w:vMerge/>
                  <w:tcBorders>
                    <w:top w:val="none" w:color="000000" w:sz="4"/>
                    <w:left w:val="single" w:color="000000" w:sz="4"/>
                    <w:bottom w:val="single" w:color="000000" w:sz="4"/>
                    <w:right w:val="single" w:color="000000" w:sz="4"/>
                  </w:tcBorders>
                </w:tcPr>
                <w:p/>
              </w:tc>
              <w:tc>
                <w:tcPr>
                  <w:tcW w:type="dxa" w:w="1602"/>
                  <w:tcBorders>
                    <w:top w:val="none" w:color="000000" w:sz="4"/>
                    <w:left w:val="none" w:color="000000" w:sz="4"/>
                    <w:bottom w:val="single" w:color="000000" w:sz="4"/>
                    <w:right w:val="single" w:color="000000" w:sz="4"/>
                  </w:tcBorders>
                  <w:vAlign w:val="top"/>
                </w:tcPr>
                <w:p>
                  <w:pPr>
                    <w:jc w:val="center"/>
                  </w:pPr>
                  <w:r>
                    <w:rPr>
                      <w:sz w:val="21"/>
                    </w:rPr>
                    <w:t>喷施防治的人工费</w:t>
                  </w:r>
                </w:p>
              </w:tc>
              <w:tc>
                <w:tcPr>
                  <w:tcW w:type="dxa" w:w="689"/>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669"/>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1409"/>
                  <w:tcBorders>
                    <w:top w:val="none" w:color="000000" w:sz="4"/>
                    <w:left w:val="none" w:color="000000" w:sz="4"/>
                    <w:bottom w:val="single" w:color="000000" w:sz="4"/>
                    <w:right w:val="single" w:color="000000" w:sz="4"/>
                  </w:tcBorders>
                  <w:vAlign w:val="top"/>
                </w:tcPr>
                <w:p>
                  <w:pPr>
                    <w:jc w:val="center"/>
                  </w:pPr>
                  <w:r>
                    <w:rPr>
                      <w:sz w:val="21"/>
                    </w:rPr>
                    <w:t>含工伤保险</w:t>
                  </w:r>
                </w:p>
              </w:tc>
            </w:tr>
            <w:tr>
              <w:tc>
                <w:tcPr>
                  <w:tcW w:type="dxa" w:w="1227"/>
                  <w:vMerge/>
                  <w:tcBorders>
                    <w:top w:val="none" w:color="000000" w:sz="4"/>
                    <w:left w:val="single" w:color="000000" w:sz="4"/>
                    <w:bottom w:val="single" w:color="000000" w:sz="4"/>
                    <w:right w:val="single" w:color="000000" w:sz="4"/>
                  </w:tcBorders>
                </w:tcPr>
                <w:p/>
              </w:tc>
              <w:tc>
                <w:tcPr>
                  <w:tcW w:type="dxa" w:w="1602"/>
                  <w:tcBorders>
                    <w:top w:val="none" w:color="000000" w:sz="4"/>
                    <w:left w:val="none" w:color="000000" w:sz="4"/>
                    <w:bottom w:val="single" w:color="000000" w:sz="4"/>
                    <w:right w:val="single" w:color="000000" w:sz="4"/>
                  </w:tcBorders>
                  <w:vAlign w:val="top"/>
                </w:tcPr>
                <w:p>
                  <w:pPr>
                    <w:jc w:val="center"/>
                  </w:pPr>
                  <w:r>
                    <w:rPr>
                      <w:sz w:val="21"/>
                    </w:rPr>
                    <w:t>装运水兑药人工费</w:t>
                  </w:r>
                </w:p>
              </w:tc>
              <w:tc>
                <w:tcPr>
                  <w:tcW w:type="dxa" w:w="689"/>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669"/>
                  <w:tcBorders>
                    <w:top w:val="none" w:color="000000" w:sz="4"/>
                    <w:left w:val="none" w:color="000000" w:sz="4"/>
                    <w:bottom w:val="single" w:color="000000" w:sz="4"/>
                    <w:right w:val="single" w:color="000000" w:sz="4"/>
                  </w:tcBorders>
                  <w:vAlign w:val="top"/>
                </w:tcPr>
                <w:p>
                  <w:pPr>
                    <w:jc w:val="center"/>
                  </w:pPr>
                  <w:r>
                    <w:rPr>
                      <w:sz w:val="21"/>
                    </w:rPr>
                    <w:t>66</w:t>
                  </w:r>
                </w:p>
              </w:tc>
              <w:tc>
                <w:tcPr>
                  <w:tcW w:type="dxa" w:w="1409"/>
                  <w:tcBorders>
                    <w:top w:val="none" w:color="000000" w:sz="4"/>
                    <w:left w:val="none" w:color="000000" w:sz="4"/>
                    <w:bottom w:val="single" w:color="000000" w:sz="4"/>
                    <w:right w:val="single" w:color="000000" w:sz="4"/>
                  </w:tcBorders>
                  <w:vAlign w:val="top"/>
                </w:tcPr>
                <w:p>
                  <w:pPr>
                    <w:jc w:val="center"/>
                  </w:pPr>
                  <w:r>
                    <w:rPr>
                      <w:sz w:val="21"/>
                    </w:rPr>
                    <w:t>含工伤保险</w:t>
                  </w:r>
                </w:p>
              </w:tc>
            </w:tr>
            <w:tr>
              <w:tc>
                <w:tcPr>
                  <w:tcW w:type="dxa" w:w="1227"/>
                  <w:vMerge/>
                  <w:tcBorders>
                    <w:top w:val="none" w:color="000000" w:sz="4"/>
                    <w:left w:val="single" w:color="000000" w:sz="4"/>
                    <w:bottom w:val="single" w:color="000000" w:sz="4"/>
                    <w:right w:val="single" w:color="000000" w:sz="4"/>
                  </w:tcBorders>
                </w:tcPr>
                <w:p/>
              </w:tc>
              <w:tc>
                <w:tcPr>
                  <w:tcW w:type="dxa" w:w="1602"/>
                  <w:tcBorders>
                    <w:top w:val="none" w:color="000000" w:sz="4"/>
                    <w:left w:val="none" w:color="000000" w:sz="4"/>
                    <w:bottom w:val="single" w:color="000000" w:sz="4"/>
                    <w:right w:val="single" w:color="000000" w:sz="4"/>
                  </w:tcBorders>
                  <w:vAlign w:val="top"/>
                </w:tcPr>
                <w:p>
                  <w:pPr>
                    <w:jc w:val="center"/>
                  </w:pPr>
                  <w:r>
                    <w:rPr>
                      <w:sz w:val="21"/>
                    </w:rPr>
                    <w:t>合计</w:t>
                  </w:r>
                </w:p>
              </w:tc>
              <w:tc>
                <w:tcPr>
                  <w:tcW w:type="dxa" w:w="689"/>
                  <w:tcBorders>
                    <w:top w:val="none" w:color="000000" w:sz="4"/>
                    <w:left w:val="none" w:color="000000" w:sz="4"/>
                    <w:bottom w:val="single" w:color="000000" w:sz="4"/>
                    <w:right w:val="single" w:color="000000" w:sz="4"/>
                  </w:tcBorders>
                  <w:vAlign w:val="top"/>
                </w:tcPr>
                <w:p>
                  <w:pPr>
                    <w:jc w:val="center"/>
                  </w:pPr>
                </w:p>
              </w:tc>
              <w:tc>
                <w:tcPr>
                  <w:tcW w:type="dxa" w:w="669"/>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1409"/>
                  <w:tcBorders>
                    <w:top w:val="none" w:color="000000" w:sz="4"/>
                    <w:left w:val="none" w:color="000000" w:sz="4"/>
                    <w:bottom w:val="single" w:color="000000" w:sz="4"/>
                    <w:right w:val="single" w:color="000000" w:sz="4"/>
                  </w:tcBorders>
                  <w:vAlign w:val="top"/>
                </w:tcPr>
                <w:p>
                  <w:pPr>
                    <w:jc w:val="center"/>
                  </w:pPr>
                </w:p>
              </w:tc>
            </w:tr>
          </w:tbl>
          <w:p>
            <w:pPr>
              <w:jc w:val="left"/>
            </w:pPr>
            <w:r>
              <w:rPr>
                <w:b/>
                <w:sz w:val="24"/>
              </w:rPr>
              <w:t>6.2    概算模型</w:t>
            </w:r>
          </w:p>
          <w:p>
            <w:pPr>
              <w:jc w:val="left"/>
            </w:pPr>
            <w:r>
              <w:rPr>
                <w:sz w:val="24"/>
              </w:rPr>
              <w:t xml:space="preserve">    </w:t>
            </w:r>
            <w:r>
              <w:rPr>
                <w:sz w:val="24"/>
              </w:rPr>
              <w:t>用上述概算指标为依据，设计了</w:t>
            </w:r>
            <w:r>
              <w:rPr>
                <w:sz w:val="24"/>
              </w:rPr>
              <w:t>2022年阳春市林业有害生物薇甘菊综合防治（第一标段）项目</w:t>
            </w:r>
            <w:r>
              <w:rPr>
                <w:sz w:val="24"/>
              </w:rPr>
              <w:t>直接投资概算模型，见下表</w:t>
            </w:r>
            <w:r>
              <w:rPr>
                <w:sz w:val="24"/>
              </w:rPr>
              <w:t>2。</w:t>
            </w:r>
          </w:p>
          <w:p>
            <w:pPr>
              <w:jc w:val="left"/>
            </w:pPr>
            <w:r>
              <w:rPr>
                <w:sz w:val="21"/>
              </w:rPr>
              <w:t>表</w:t>
            </w:r>
            <w:r>
              <w:rPr>
                <w:sz w:val="21"/>
              </w:rPr>
              <w:t>2   2022年阳春市林业有害生物薇甘菊综合防治（第一标段）项目概算模型</w:t>
            </w:r>
          </w:p>
          <w:tbl>
            <w:tblPr>
              <w:tblInd w:type="dxa" w:w="90"/>
              <w:tblBorders>
                <w:top w:val="none" w:color="000000" w:sz="4"/>
                <w:left w:val="none" w:color="000000" w:sz="4"/>
                <w:bottom w:val="none" w:color="000000" w:sz="4"/>
                <w:right w:val="none" w:color="000000" w:sz="4"/>
                <w:insideH w:val="none"/>
                <w:insideV w:val="none"/>
              </w:tblBorders>
            </w:tblPr>
            <w:tblGrid>
              <w:gridCol w:w="1859"/>
              <w:gridCol w:w="1859"/>
              <w:gridCol w:w="1859"/>
            </w:tblGrid>
            <w:tr>
              <w:tc>
                <w:tcPr>
                  <w:tcW w:type="dxa" w:w="1859"/>
                  <w:tcBorders>
                    <w:top w:val="single" w:color="000000" w:sz="4"/>
                    <w:left w:val="single" w:color="000000" w:sz="4"/>
                    <w:bottom w:val="single" w:color="000000" w:sz="4"/>
                    <w:right w:val="single" w:color="000000" w:sz="4"/>
                  </w:tcBorders>
                  <w:vAlign w:val="top"/>
                </w:tcPr>
                <w:p>
                  <w:pPr>
                    <w:jc w:val="center"/>
                  </w:pPr>
                  <w:r>
                    <w:rPr>
                      <w:sz w:val="21"/>
                    </w:rPr>
                    <w:t>内容</w:t>
                  </w:r>
                </w:p>
              </w:tc>
              <w:tc>
                <w:tcPr>
                  <w:tcW w:type="dxa" w:w="1859"/>
                  <w:tcBorders>
                    <w:top w:val="single" w:color="000000" w:sz="4"/>
                    <w:left w:val="none" w:color="000000" w:sz="4"/>
                    <w:bottom w:val="single" w:color="000000" w:sz="4"/>
                    <w:right w:val="single" w:color="000000" w:sz="4"/>
                  </w:tcBorders>
                  <w:vAlign w:val="top"/>
                </w:tcPr>
                <w:p>
                  <w:pPr>
                    <w:jc w:val="center"/>
                  </w:pPr>
                  <w:r>
                    <w:rPr>
                      <w:sz w:val="21"/>
                    </w:rPr>
                    <w:t>薇甘菊药物防治（元</w:t>
                  </w:r>
                  <w:r>
                    <w:rPr>
                      <w:sz w:val="21"/>
                    </w:rPr>
                    <w:t>/亩）</w:t>
                  </w:r>
                </w:p>
              </w:tc>
              <w:tc>
                <w:tcPr>
                  <w:tcW w:type="dxa" w:w="1859"/>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859"/>
                  <w:tcBorders>
                    <w:top w:val="none" w:color="000000" w:sz="4"/>
                    <w:left w:val="single" w:color="000000" w:sz="4"/>
                    <w:bottom w:val="single" w:color="000000" w:sz="4"/>
                    <w:right w:val="single" w:color="000000" w:sz="4"/>
                  </w:tcBorders>
                  <w:vAlign w:val="top"/>
                </w:tcPr>
                <w:p>
                  <w:pPr>
                    <w:jc w:val="center"/>
                  </w:pPr>
                  <w:r>
                    <w:rPr>
                      <w:sz w:val="21"/>
                    </w:rPr>
                    <w:t>药物</w:t>
                  </w:r>
                </w:p>
              </w:tc>
              <w:tc>
                <w:tcPr>
                  <w:tcW w:type="dxa" w:w="1859"/>
                  <w:tcBorders>
                    <w:top w:val="none" w:color="000000" w:sz="4"/>
                    <w:left w:val="none" w:color="000000" w:sz="4"/>
                    <w:bottom w:val="single" w:color="000000" w:sz="4"/>
                    <w:right w:val="single" w:color="000000" w:sz="4"/>
                  </w:tcBorders>
                  <w:vAlign w:val="top"/>
                </w:tcPr>
                <w:p>
                  <w:pPr>
                    <w:jc w:val="center"/>
                  </w:pPr>
                  <w:r>
                    <w:rPr>
                      <w:sz w:val="21"/>
                    </w:rPr>
                    <w:t>16</w:t>
                  </w:r>
                </w:p>
              </w:tc>
              <w:tc>
                <w:tcPr>
                  <w:tcW w:type="dxa" w:w="1859"/>
                  <w:tcBorders>
                    <w:top w:val="none" w:color="000000" w:sz="4"/>
                    <w:left w:val="none" w:color="000000" w:sz="4"/>
                    <w:bottom w:val="single" w:color="000000" w:sz="4"/>
                    <w:right w:val="single" w:color="000000" w:sz="4"/>
                  </w:tcBorders>
                  <w:vAlign w:val="top"/>
                </w:tcPr>
                <w:p>
                  <w:pPr>
                    <w:jc w:val="left"/>
                  </w:pPr>
                </w:p>
              </w:tc>
            </w:tr>
            <w:tr>
              <w:tc>
                <w:tcPr>
                  <w:tcW w:type="dxa" w:w="1859"/>
                  <w:tcBorders>
                    <w:top w:val="none" w:color="000000" w:sz="4"/>
                    <w:left w:val="single" w:color="000000" w:sz="4"/>
                    <w:bottom w:val="single" w:color="000000" w:sz="4"/>
                    <w:right w:val="single" w:color="000000" w:sz="4"/>
                  </w:tcBorders>
                  <w:vAlign w:val="top"/>
                </w:tcPr>
                <w:p>
                  <w:pPr>
                    <w:jc w:val="center"/>
                  </w:pPr>
                  <w:r>
                    <w:rPr>
                      <w:sz w:val="21"/>
                    </w:rPr>
                    <w:t>机械损耗及油费</w:t>
                  </w:r>
                </w:p>
              </w:tc>
              <w:tc>
                <w:tcPr>
                  <w:tcW w:type="dxa" w:w="1859"/>
                  <w:tcBorders>
                    <w:top w:val="none" w:color="000000" w:sz="4"/>
                    <w:left w:val="none" w:color="000000" w:sz="4"/>
                    <w:bottom w:val="single" w:color="000000" w:sz="4"/>
                    <w:right w:val="single" w:color="000000" w:sz="4"/>
                  </w:tcBorders>
                  <w:vAlign w:val="top"/>
                </w:tcPr>
                <w:p>
                  <w:pPr>
                    <w:jc w:val="center"/>
                  </w:pPr>
                  <w:r>
                    <w:rPr>
                      <w:sz w:val="21"/>
                    </w:rPr>
                    <w:t>11</w:t>
                  </w:r>
                </w:p>
              </w:tc>
              <w:tc>
                <w:tcPr>
                  <w:tcW w:type="dxa" w:w="1859"/>
                  <w:tcBorders>
                    <w:top w:val="none" w:color="000000" w:sz="4"/>
                    <w:left w:val="none" w:color="000000" w:sz="4"/>
                    <w:bottom w:val="single" w:color="000000" w:sz="4"/>
                    <w:right w:val="single" w:color="000000" w:sz="4"/>
                  </w:tcBorders>
                  <w:vAlign w:val="top"/>
                </w:tcPr>
                <w:p>
                  <w:pPr>
                    <w:jc w:val="left"/>
                  </w:pPr>
                </w:p>
              </w:tc>
            </w:tr>
            <w:tr>
              <w:tc>
                <w:tcPr>
                  <w:tcW w:type="dxa" w:w="1859"/>
                  <w:tcBorders>
                    <w:top w:val="none" w:color="000000" w:sz="4"/>
                    <w:left w:val="single" w:color="000000" w:sz="4"/>
                    <w:bottom w:val="single" w:color="000000" w:sz="4"/>
                    <w:right w:val="single" w:color="000000" w:sz="4"/>
                  </w:tcBorders>
                  <w:vAlign w:val="top"/>
                </w:tcPr>
                <w:p>
                  <w:pPr>
                    <w:jc w:val="center"/>
                  </w:pPr>
                  <w:r>
                    <w:rPr>
                      <w:sz w:val="21"/>
                    </w:rPr>
                    <w:t>喷施防治的人工费</w:t>
                  </w:r>
                </w:p>
              </w:tc>
              <w:tc>
                <w:tcPr>
                  <w:tcW w:type="dxa" w:w="1859"/>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1859"/>
                  <w:tcBorders>
                    <w:top w:val="none" w:color="000000" w:sz="4"/>
                    <w:left w:val="none" w:color="000000" w:sz="4"/>
                    <w:bottom w:val="single" w:color="000000" w:sz="4"/>
                    <w:right w:val="single" w:color="000000" w:sz="4"/>
                  </w:tcBorders>
                  <w:vAlign w:val="top"/>
                </w:tcPr>
                <w:p>
                  <w:pPr>
                    <w:jc w:val="left"/>
                  </w:pPr>
                </w:p>
              </w:tc>
            </w:tr>
            <w:tr>
              <w:tc>
                <w:tcPr>
                  <w:tcW w:type="dxa" w:w="1859"/>
                  <w:tcBorders>
                    <w:top w:val="none" w:color="000000" w:sz="4"/>
                    <w:left w:val="single" w:color="000000" w:sz="4"/>
                    <w:bottom w:val="single" w:color="000000" w:sz="4"/>
                    <w:right w:val="single" w:color="000000" w:sz="4"/>
                  </w:tcBorders>
                  <w:vAlign w:val="top"/>
                </w:tcPr>
                <w:p>
                  <w:pPr>
                    <w:jc w:val="center"/>
                  </w:pPr>
                  <w:r>
                    <w:rPr>
                      <w:sz w:val="21"/>
                    </w:rPr>
                    <w:t>装运水兑药人工费</w:t>
                  </w:r>
                </w:p>
              </w:tc>
              <w:tc>
                <w:tcPr>
                  <w:tcW w:type="dxa" w:w="1859"/>
                  <w:tcBorders>
                    <w:top w:val="none" w:color="000000" w:sz="4"/>
                    <w:left w:val="none" w:color="000000" w:sz="4"/>
                    <w:bottom w:val="single" w:color="000000" w:sz="4"/>
                    <w:right w:val="single" w:color="000000" w:sz="4"/>
                  </w:tcBorders>
                  <w:vAlign w:val="top"/>
                </w:tcPr>
                <w:p>
                  <w:pPr>
                    <w:jc w:val="center"/>
                  </w:pPr>
                  <w:r>
                    <w:rPr>
                      <w:sz w:val="21"/>
                    </w:rPr>
                    <w:t>66</w:t>
                  </w:r>
                </w:p>
              </w:tc>
              <w:tc>
                <w:tcPr>
                  <w:tcW w:type="dxa" w:w="1859"/>
                  <w:tcBorders>
                    <w:top w:val="none" w:color="000000" w:sz="4"/>
                    <w:left w:val="none" w:color="000000" w:sz="4"/>
                    <w:bottom w:val="single" w:color="000000" w:sz="4"/>
                    <w:right w:val="single" w:color="000000" w:sz="4"/>
                  </w:tcBorders>
                  <w:vAlign w:val="top"/>
                </w:tcPr>
                <w:p>
                  <w:pPr>
                    <w:jc w:val="right"/>
                  </w:pPr>
                </w:p>
              </w:tc>
            </w:tr>
            <w:tr>
              <w:tc>
                <w:tcPr>
                  <w:tcW w:type="dxa" w:w="1859"/>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859"/>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1859"/>
                  <w:tcBorders>
                    <w:top w:val="none" w:color="000000" w:sz="4"/>
                    <w:left w:val="none" w:color="000000" w:sz="4"/>
                    <w:bottom w:val="single" w:color="000000" w:sz="4"/>
                    <w:right w:val="single" w:color="000000" w:sz="4"/>
                  </w:tcBorders>
                  <w:vAlign w:val="top"/>
                </w:tcPr>
                <w:p>
                  <w:pPr>
                    <w:jc w:val="right"/>
                  </w:pPr>
                </w:p>
              </w:tc>
            </w:tr>
          </w:tbl>
          <w:p>
            <w:pPr>
              <w:jc w:val="both"/>
            </w:pPr>
            <w:r>
              <w:rPr>
                <w:b/>
                <w:color w:val="000000"/>
                <w:sz w:val="24"/>
              </w:rPr>
              <w:t>6.3    概算结果</w:t>
            </w:r>
          </w:p>
          <w:p>
            <w:pPr>
              <w:ind w:firstLine="480"/>
              <w:jc w:val="both"/>
            </w:pPr>
            <w:r>
              <w:rPr>
                <w:sz w:val="24"/>
              </w:rPr>
              <w:t>根据概算经济指标，概算模型，得出</w:t>
            </w:r>
            <w:r>
              <w:rPr>
                <w:sz w:val="24"/>
              </w:rPr>
              <w:t>2022年阳春市林业有害生物薇甘菊综合防治（第一标段）项目</w:t>
            </w:r>
            <w:r>
              <w:rPr>
                <w:sz w:val="24"/>
              </w:rPr>
              <w:t>直接投资概算费用</w:t>
            </w:r>
            <w:r>
              <w:rPr>
                <w:sz w:val="24"/>
              </w:rPr>
              <w:t>117.49万元，详见下表3。</w:t>
            </w:r>
          </w:p>
          <w:p>
            <w:pPr>
              <w:jc w:val="both"/>
            </w:pPr>
            <w:r>
              <w:rPr>
                <w:sz w:val="21"/>
              </w:rPr>
              <w:t>表</w:t>
            </w:r>
            <w:r>
              <w:rPr>
                <w:sz w:val="21"/>
              </w:rPr>
              <w:t>3   2022年阳春市林业有害生物薇甘菊综合防治项目（第一标段）直接投资概算结果</w:t>
            </w:r>
          </w:p>
          <w:tbl>
            <w:tblPr>
              <w:tblInd w:type="dxa" w:w="90"/>
              <w:tblBorders>
                <w:top w:val="none" w:color="000000" w:sz="4"/>
                <w:left w:val="none" w:color="000000" w:sz="4"/>
                <w:bottom w:val="none" w:color="000000" w:sz="4"/>
                <w:right w:val="none" w:color="000000" w:sz="4"/>
                <w:insideH w:val="none"/>
                <w:insideV w:val="none"/>
              </w:tblBorders>
            </w:tblPr>
            <w:tblGrid>
              <w:gridCol w:w="1295"/>
              <w:gridCol w:w="1613"/>
              <w:gridCol w:w="696"/>
              <w:gridCol w:w="721"/>
              <w:gridCol w:w="1271"/>
            </w:tblGrid>
            <w:tr>
              <w:tc>
                <w:tcPr>
                  <w:tcW w:type="dxa" w:w="1295"/>
                  <w:tcBorders>
                    <w:top w:val="single" w:color="000000" w:sz="4"/>
                    <w:left w:val="single" w:color="000000" w:sz="4"/>
                    <w:bottom w:val="single" w:color="000000" w:sz="4"/>
                    <w:right w:val="single" w:color="000000" w:sz="4"/>
                  </w:tcBorders>
                  <w:vAlign w:val="top"/>
                </w:tcPr>
                <w:p>
                  <w:pPr>
                    <w:jc w:val="center"/>
                  </w:pPr>
                  <w:r>
                    <w:rPr>
                      <w:sz w:val="21"/>
                    </w:rPr>
                    <w:t>项目类型</w:t>
                  </w:r>
                </w:p>
              </w:tc>
              <w:tc>
                <w:tcPr>
                  <w:tcW w:type="dxa" w:w="1613"/>
                  <w:tcBorders>
                    <w:top w:val="single" w:color="000000" w:sz="4"/>
                    <w:left w:val="none" w:color="000000" w:sz="4"/>
                    <w:bottom w:val="single" w:color="000000" w:sz="4"/>
                    <w:right w:val="single" w:color="000000" w:sz="4"/>
                  </w:tcBorders>
                  <w:vAlign w:val="top"/>
                </w:tcPr>
                <w:p>
                  <w:pPr>
                    <w:jc w:val="center"/>
                  </w:pPr>
                  <w:r>
                    <w:rPr>
                      <w:sz w:val="21"/>
                    </w:rPr>
                    <w:t>内容</w:t>
                  </w:r>
                </w:p>
              </w:tc>
              <w:tc>
                <w:tcPr>
                  <w:tcW w:type="dxa" w:w="696"/>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721"/>
                  <w:tcBorders>
                    <w:top w:val="single" w:color="000000" w:sz="4"/>
                    <w:left w:val="none" w:color="000000" w:sz="4"/>
                    <w:bottom w:val="single" w:color="000000" w:sz="4"/>
                    <w:right w:val="single" w:color="000000" w:sz="4"/>
                  </w:tcBorders>
                  <w:vAlign w:val="top"/>
                </w:tcPr>
                <w:p>
                  <w:pPr>
                    <w:jc w:val="center"/>
                  </w:pPr>
                  <w:r>
                    <w:rPr>
                      <w:sz w:val="21"/>
                    </w:rPr>
                    <w:t>指标</w:t>
                  </w:r>
                </w:p>
              </w:tc>
              <w:tc>
                <w:tcPr>
                  <w:tcW w:type="dxa" w:w="1271"/>
                  <w:tcBorders>
                    <w:top w:val="single" w:color="000000" w:sz="4"/>
                    <w:left w:val="none" w:color="000000" w:sz="4"/>
                    <w:bottom w:val="single" w:color="000000" w:sz="4"/>
                    <w:right w:val="single" w:color="000000" w:sz="4"/>
                  </w:tcBorders>
                  <w:vAlign w:val="top"/>
                </w:tcPr>
                <w:p>
                  <w:pPr>
                    <w:jc w:val="center"/>
                  </w:pPr>
                  <w:r>
                    <w:rPr>
                      <w:sz w:val="21"/>
                    </w:rPr>
                    <w:t>防治面积（亩）</w:t>
                  </w:r>
                </w:p>
              </w:tc>
            </w:tr>
            <w:tr>
              <w:tc>
                <w:tcPr>
                  <w:tcW w:type="dxa" w:w="1295"/>
                  <w:vMerge w:val="restart"/>
                  <w:tcBorders>
                    <w:top w:val="none" w:color="000000" w:sz="4"/>
                    <w:left w:val="single" w:color="000000" w:sz="4"/>
                    <w:bottom w:val="none" w:color="000000" w:sz="4"/>
                    <w:right w:val="single" w:color="000000" w:sz="4"/>
                  </w:tcBorders>
                  <w:vAlign w:val="top"/>
                </w:tcPr>
                <w:p>
                  <w:pPr>
                    <w:jc w:val="center"/>
                  </w:pPr>
                  <w:r>
                    <w:rPr>
                      <w:sz w:val="21"/>
                    </w:rPr>
                    <w:t>薇甘菊药物防治</w:t>
                  </w:r>
                </w:p>
              </w:tc>
              <w:tc>
                <w:tcPr>
                  <w:tcW w:type="dxa" w:w="1613"/>
                  <w:tcBorders>
                    <w:top w:val="none" w:color="000000" w:sz="4"/>
                    <w:left w:val="none" w:color="000000" w:sz="4"/>
                    <w:bottom w:val="single" w:color="000000" w:sz="4"/>
                    <w:right w:val="single" w:color="000000" w:sz="4"/>
                  </w:tcBorders>
                  <w:vAlign w:val="top"/>
                </w:tcPr>
                <w:p>
                  <w:pPr>
                    <w:jc w:val="center"/>
                  </w:pPr>
                  <w:r>
                    <w:rPr>
                      <w:sz w:val="21"/>
                    </w:rPr>
                    <w:t>药物</w:t>
                  </w:r>
                </w:p>
              </w:tc>
              <w:tc>
                <w:tcPr>
                  <w:tcW w:type="dxa" w:w="696"/>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21"/>
                  <w:tcBorders>
                    <w:top w:val="none" w:color="000000" w:sz="4"/>
                    <w:left w:val="none" w:color="000000" w:sz="4"/>
                    <w:bottom w:val="single" w:color="000000" w:sz="4"/>
                    <w:right w:val="single" w:color="000000" w:sz="4"/>
                  </w:tcBorders>
                  <w:vAlign w:val="top"/>
                </w:tcPr>
                <w:p>
                  <w:pPr>
                    <w:jc w:val="center"/>
                  </w:pPr>
                  <w:r>
                    <w:rPr>
                      <w:sz w:val="21"/>
                    </w:rPr>
                    <w:t>16</w:t>
                  </w:r>
                </w:p>
              </w:tc>
              <w:tc>
                <w:tcPr>
                  <w:tcW w:type="dxa" w:w="1271"/>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1295"/>
                  <w:vMerge/>
                  <w:tcBorders>
                    <w:top w:val="none" w:color="000000" w:sz="4"/>
                    <w:left w:val="single" w:color="000000" w:sz="4"/>
                    <w:bottom w:val="none" w:color="000000" w:sz="4"/>
                    <w:right w:val="single" w:color="000000" w:sz="4"/>
                  </w:tcBorders>
                </w:tcPr>
                <w:p/>
              </w:tc>
              <w:tc>
                <w:tcPr>
                  <w:tcW w:type="dxa" w:w="1613"/>
                  <w:tcBorders>
                    <w:top w:val="none" w:color="000000" w:sz="4"/>
                    <w:left w:val="none" w:color="000000" w:sz="4"/>
                    <w:bottom w:val="single" w:color="000000" w:sz="4"/>
                    <w:right w:val="single" w:color="000000" w:sz="4"/>
                  </w:tcBorders>
                  <w:vAlign w:val="top"/>
                </w:tcPr>
                <w:p>
                  <w:pPr>
                    <w:jc w:val="center"/>
                  </w:pPr>
                  <w:r>
                    <w:rPr>
                      <w:sz w:val="21"/>
                    </w:rPr>
                    <w:t>机械损耗及油费</w:t>
                  </w:r>
                </w:p>
              </w:tc>
              <w:tc>
                <w:tcPr>
                  <w:tcW w:type="dxa" w:w="696"/>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21"/>
                  <w:tcBorders>
                    <w:top w:val="none" w:color="000000" w:sz="4"/>
                    <w:left w:val="none" w:color="000000" w:sz="4"/>
                    <w:bottom w:val="single" w:color="000000" w:sz="4"/>
                    <w:right w:val="single" w:color="000000" w:sz="4"/>
                  </w:tcBorders>
                  <w:vAlign w:val="top"/>
                </w:tcPr>
                <w:p>
                  <w:pPr>
                    <w:jc w:val="center"/>
                  </w:pPr>
                  <w:r>
                    <w:rPr>
                      <w:sz w:val="21"/>
                    </w:rPr>
                    <w:t>11</w:t>
                  </w:r>
                </w:p>
              </w:tc>
              <w:tc>
                <w:tcPr>
                  <w:tcW w:type="dxa" w:w="1271"/>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1295"/>
                  <w:vMerge/>
                  <w:tcBorders>
                    <w:top w:val="none" w:color="000000" w:sz="4"/>
                    <w:left w:val="single" w:color="000000" w:sz="4"/>
                    <w:bottom w:val="none" w:color="000000" w:sz="4"/>
                    <w:right w:val="single" w:color="000000" w:sz="4"/>
                  </w:tcBorders>
                </w:tcPr>
                <w:p/>
              </w:tc>
              <w:tc>
                <w:tcPr>
                  <w:tcW w:type="dxa" w:w="1613"/>
                  <w:tcBorders>
                    <w:top w:val="none" w:color="000000" w:sz="4"/>
                    <w:left w:val="none" w:color="000000" w:sz="4"/>
                    <w:bottom w:val="single" w:color="000000" w:sz="4"/>
                    <w:right w:val="single" w:color="000000" w:sz="4"/>
                  </w:tcBorders>
                  <w:vAlign w:val="top"/>
                </w:tcPr>
                <w:p>
                  <w:pPr>
                    <w:jc w:val="center"/>
                  </w:pPr>
                  <w:r>
                    <w:rPr>
                      <w:sz w:val="21"/>
                    </w:rPr>
                    <w:t>喷施防治的人工费</w:t>
                  </w:r>
                </w:p>
              </w:tc>
              <w:tc>
                <w:tcPr>
                  <w:tcW w:type="dxa" w:w="696"/>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21"/>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1271"/>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1295"/>
                  <w:vMerge/>
                  <w:tcBorders>
                    <w:top w:val="none" w:color="000000" w:sz="4"/>
                    <w:left w:val="single" w:color="000000" w:sz="4"/>
                    <w:bottom w:val="none" w:color="000000" w:sz="4"/>
                    <w:right w:val="single" w:color="000000" w:sz="4"/>
                  </w:tcBorders>
                </w:tcPr>
                <w:p/>
              </w:tc>
              <w:tc>
                <w:tcPr>
                  <w:tcW w:type="dxa" w:w="1613"/>
                  <w:tcBorders>
                    <w:top w:val="none" w:color="000000" w:sz="4"/>
                    <w:left w:val="none" w:color="000000" w:sz="4"/>
                    <w:bottom w:val="single" w:color="000000" w:sz="4"/>
                    <w:right w:val="single" w:color="000000" w:sz="4"/>
                  </w:tcBorders>
                  <w:vAlign w:val="top"/>
                </w:tcPr>
                <w:p>
                  <w:pPr>
                    <w:jc w:val="center"/>
                  </w:pPr>
                  <w:r>
                    <w:rPr>
                      <w:sz w:val="21"/>
                    </w:rPr>
                    <w:t>装运水兑药人工费</w:t>
                  </w:r>
                </w:p>
              </w:tc>
              <w:tc>
                <w:tcPr>
                  <w:tcW w:type="dxa" w:w="696"/>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21"/>
                  <w:tcBorders>
                    <w:top w:val="none" w:color="000000" w:sz="4"/>
                    <w:left w:val="none" w:color="000000" w:sz="4"/>
                    <w:bottom w:val="single" w:color="000000" w:sz="4"/>
                    <w:right w:val="single" w:color="000000" w:sz="4"/>
                  </w:tcBorders>
                  <w:vAlign w:val="top"/>
                </w:tcPr>
                <w:p>
                  <w:pPr>
                    <w:jc w:val="center"/>
                  </w:pPr>
                  <w:r>
                    <w:rPr>
                      <w:sz w:val="21"/>
                    </w:rPr>
                    <w:t>66</w:t>
                  </w:r>
                </w:p>
              </w:tc>
              <w:tc>
                <w:tcPr>
                  <w:tcW w:type="dxa" w:w="1271"/>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1295"/>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613"/>
                  <w:tcBorders>
                    <w:top w:val="none" w:color="000000" w:sz="4"/>
                    <w:left w:val="none" w:color="000000" w:sz="4"/>
                    <w:bottom w:val="single" w:color="000000" w:sz="4"/>
                    <w:right w:val="single" w:color="000000" w:sz="4"/>
                  </w:tcBorders>
                  <w:vAlign w:val="top"/>
                </w:tcPr>
                <w:p>
                  <w:pPr>
                    <w:jc w:val="left"/>
                  </w:pPr>
                </w:p>
              </w:tc>
              <w:tc>
                <w:tcPr>
                  <w:tcW w:type="dxa" w:w="696"/>
                  <w:tcBorders>
                    <w:top w:val="none" w:color="000000" w:sz="4"/>
                    <w:left w:val="none" w:color="000000" w:sz="4"/>
                    <w:bottom w:val="single" w:color="000000" w:sz="4"/>
                    <w:right w:val="single" w:color="000000" w:sz="4"/>
                  </w:tcBorders>
                  <w:vAlign w:val="top"/>
                </w:tcPr>
                <w:p>
                  <w:pPr>
                    <w:jc w:val="center"/>
                  </w:pPr>
                </w:p>
              </w:tc>
              <w:tc>
                <w:tcPr>
                  <w:tcW w:type="dxa" w:w="721"/>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1271"/>
                  <w:tcBorders>
                    <w:top w:val="none" w:color="000000" w:sz="4"/>
                    <w:left w:val="none" w:color="000000" w:sz="4"/>
                    <w:bottom w:val="single" w:color="000000" w:sz="4"/>
                    <w:right w:val="single" w:color="000000" w:sz="4"/>
                  </w:tcBorders>
                  <w:vAlign w:val="top"/>
                </w:tcPr>
                <w:p>
                  <w:pPr>
                    <w:jc w:val="center"/>
                  </w:pPr>
                  <w:r>
                    <w:rPr>
                      <w:sz w:val="21"/>
                    </w:rPr>
                    <w:t>6000</w:t>
                  </w:r>
                </w:p>
              </w:tc>
            </w:tr>
          </w:tbl>
          <w:p>
            <w:pPr>
              <w:ind w:firstLine="480"/>
              <w:jc w:val="both"/>
            </w:pPr>
            <w:r>
              <w:rPr>
                <w:sz w:val="24"/>
              </w:rPr>
              <w:t>根据概算经济指标，得出</w:t>
            </w:r>
            <w:r>
              <w:rPr>
                <w:sz w:val="24"/>
              </w:rPr>
              <w:t>2022年阳春市林业有害生物薇甘菊综合防治（第一标段）项目</w:t>
            </w:r>
            <w:r>
              <w:rPr>
                <w:sz w:val="24"/>
              </w:rPr>
              <w:t>直接投资概算费用</w:t>
            </w:r>
            <w:r>
              <w:rPr>
                <w:sz w:val="24"/>
              </w:rPr>
              <w:t>117.49万元，间接投资8.51万元，总投资126万元，详见下表4。</w:t>
            </w:r>
          </w:p>
          <w:p>
            <w:pPr>
              <w:jc w:val="both"/>
            </w:pPr>
            <w:r>
              <w:rPr>
                <w:sz w:val="21"/>
              </w:rPr>
              <w:t>表</w:t>
            </w:r>
            <w:r>
              <w:rPr>
                <w:sz w:val="21"/>
              </w:rPr>
              <w:t xml:space="preserve">4   </w:t>
            </w:r>
            <w:r>
              <w:rPr>
                <w:sz w:val="21"/>
              </w:rPr>
              <w:t>2022年阳春市林业有害生物薇甘菊综合防治（第一标段）项目</w:t>
            </w:r>
            <w:r>
              <w:rPr>
                <w:sz w:val="21"/>
              </w:rPr>
              <w:t>投资汇总表</w:t>
            </w:r>
          </w:p>
          <w:tbl>
            <w:tblPr>
              <w:tblInd w:type="dxa" w:w="90"/>
              <w:tblBorders>
                <w:top w:val="none" w:color="000000" w:sz="4"/>
                <w:left w:val="none" w:color="000000" w:sz="4"/>
                <w:bottom w:val="none" w:color="000000" w:sz="4"/>
                <w:right w:val="none" w:color="000000" w:sz="4"/>
                <w:insideH w:val="none"/>
                <w:insideV w:val="none"/>
              </w:tblBorders>
            </w:tblPr>
            <w:tblGrid>
              <w:gridCol w:w="399"/>
              <w:gridCol w:w="1235"/>
              <w:gridCol w:w="1502"/>
              <w:gridCol w:w="751"/>
              <w:gridCol w:w="751"/>
              <w:gridCol w:w="908"/>
            </w:tblGrid>
            <w:tr>
              <w:tc>
                <w:tcPr>
                  <w:tcW w:type="dxa" w:w="399"/>
                  <w:tcBorders>
                    <w:top w:val="single" w:color="000000" w:sz="4"/>
                    <w:left w:val="single" w:color="000000" w:sz="4"/>
                    <w:bottom w:val="single" w:color="000000" w:sz="4"/>
                    <w:right w:val="single" w:color="000000" w:sz="4"/>
                  </w:tcBorders>
                  <w:vAlign w:val="top"/>
                </w:tcPr>
                <w:p>
                  <w:pPr>
                    <w:jc w:val="center"/>
                  </w:pPr>
                  <w:r>
                    <w:rPr>
                      <w:sz w:val="21"/>
                    </w:rPr>
                    <w:t>类型</w:t>
                  </w:r>
                </w:p>
              </w:tc>
              <w:tc>
                <w:tcPr>
                  <w:tcW w:type="dxa" w:w="2737"/>
                  <w:gridSpan w:val="2"/>
                  <w:tcBorders>
                    <w:top w:val="single" w:color="000000" w:sz="4"/>
                    <w:left w:val="none" w:color="000000" w:sz="4"/>
                    <w:bottom w:val="single" w:color="000000" w:sz="4"/>
                    <w:right w:val="single" w:color="000000" w:sz="4"/>
                  </w:tcBorders>
                  <w:vAlign w:val="top"/>
                </w:tcPr>
                <w:p>
                  <w:pPr>
                    <w:jc w:val="center"/>
                  </w:pPr>
                  <w:r>
                    <w:rPr>
                      <w:sz w:val="21"/>
                    </w:rPr>
                    <w:t>内容</w:t>
                  </w:r>
                </w:p>
              </w:tc>
              <w:tc>
                <w:tcPr>
                  <w:tcW w:type="dxa" w:w="751"/>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751"/>
                  <w:tcBorders>
                    <w:top w:val="single" w:color="000000" w:sz="4"/>
                    <w:left w:val="none" w:color="000000" w:sz="4"/>
                    <w:bottom w:val="single" w:color="000000" w:sz="4"/>
                    <w:right w:val="single" w:color="000000" w:sz="4"/>
                  </w:tcBorders>
                  <w:vAlign w:val="top"/>
                </w:tcPr>
                <w:p>
                  <w:pPr>
                    <w:jc w:val="center"/>
                  </w:pPr>
                  <w:r>
                    <w:rPr>
                      <w:sz w:val="21"/>
                    </w:rPr>
                    <w:t>指标</w:t>
                  </w:r>
                </w:p>
              </w:tc>
              <w:tc>
                <w:tcPr>
                  <w:tcW w:type="dxa" w:w="908"/>
                  <w:tcBorders>
                    <w:top w:val="single" w:color="000000" w:sz="4"/>
                    <w:left w:val="none" w:color="000000" w:sz="4"/>
                    <w:bottom w:val="single" w:color="000000" w:sz="4"/>
                    <w:right w:val="single" w:color="000000" w:sz="4"/>
                  </w:tcBorders>
                  <w:vAlign w:val="top"/>
                </w:tcPr>
                <w:p>
                  <w:pPr>
                    <w:jc w:val="center"/>
                  </w:pPr>
                  <w:r>
                    <w:rPr>
                      <w:sz w:val="21"/>
                    </w:rPr>
                    <w:t>防治面积（亩）</w:t>
                  </w:r>
                </w:p>
              </w:tc>
            </w:tr>
            <w:tr>
              <w:tc>
                <w:tcPr>
                  <w:tcW w:type="dxa" w:w="399"/>
                  <w:vMerge w:val="restart"/>
                  <w:tcBorders>
                    <w:top w:val="none" w:color="000000" w:sz="4"/>
                    <w:left w:val="single" w:color="000000" w:sz="4"/>
                    <w:bottom w:val="single" w:color="000000" w:sz="4"/>
                    <w:right w:val="single" w:color="000000" w:sz="4"/>
                  </w:tcBorders>
                  <w:vAlign w:val="top"/>
                </w:tcPr>
                <w:p>
                  <w:pPr>
                    <w:jc w:val="center"/>
                  </w:pPr>
                  <w:r>
                    <w:rPr>
                      <w:sz w:val="21"/>
                    </w:rPr>
                    <w:t>直接投资</w:t>
                  </w:r>
                </w:p>
              </w:tc>
              <w:tc>
                <w:tcPr>
                  <w:tcW w:type="dxa" w:w="1235"/>
                  <w:vMerge w:val="restart"/>
                  <w:tcBorders>
                    <w:top w:val="none" w:color="000000" w:sz="4"/>
                    <w:left w:val="none" w:color="000000" w:sz="4"/>
                    <w:bottom w:val="single" w:color="000000" w:sz="4"/>
                    <w:right w:val="single" w:color="000000" w:sz="4"/>
                  </w:tcBorders>
                  <w:vAlign w:val="top"/>
                </w:tcPr>
                <w:p>
                  <w:pPr>
                    <w:jc w:val="center"/>
                  </w:pPr>
                  <w:r>
                    <w:rPr>
                      <w:sz w:val="21"/>
                    </w:rPr>
                    <w:t>薇甘菊药物防治</w:t>
                  </w:r>
                </w:p>
              </w:tc>
              <w:tc>
                <w:tcPr>
                  <w:tcW w:type="dxa" w:w="1502"/>
                  <w:tcBorders>
                    <w:top w:val="none" w:color="000000" w:sz="4"/>
                    <w:left w:val="none" w:color="000000" w:sz="4"/>
                    <w:bottom w:val="single" w:color="000000" w:sz="4"/>
                    <w:right w:val="single" w:color="000000" w:sz="4"/>
                  </w:tcBorders>
                  <w:vAlign w:val="top"/>
                </w:tcPr>
                <w:p>
                  <w:pPr>
                    <w:jc w:val="center"/>
                  </w:pPr>
                  <w:r>
                    <w:rPr>
                      <w:sz w:val="21"/>
                    </w:rPr>
                    <w:t>药物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16</w:t>
                  </w:r>
                </w:p>
              </w:tc>
              <w:tc>
                <w:tcPr>
                  <w:tcW w:type="dxa" w:w="908"/>
                  <w:tcBorders>
                    <w:top w:val="singl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399"/>
                  <w:vMerge/>
                  <w:tcBorders>
                    <w:top w:val="none" w:color="000000" w:sz="4"/>
                    <w:left w:val="single" w:color="000000" w:sz="4"/>
                    <w:bottom w:val="single" w:color="000000" w:sz="4"/>
                    <w:right w:val="single" w:color="000000" w:sz="4"/>
                  </w:tcBorders>
                </w:tcPr>
                <w:p/>
              </w:tc>
              <w:tc>
                <w:tcPr>
                  <w:tcW w:type="dxa" w:w="1235"/>
                  <w:vMerge/>
                  <w:tcBorders>
                    <w:top w:val="none" w:color="000000" w:sz="4"/>
                    <w:left w:val="none" w:color="000000" w:sz="4"/>
                    <w:bottom w:val="single" w:color="000000" w:sz="4"/>
                    <w:right w:val="single" w:color="000000" w:sz="4"/>
                  </w:tcBorders>
                </w:tcPr>
                <w:p/>
              </w:tc>
              <w:tc>
                <w:tcPr>
                  <w:tcW w:type="dxa" w:w="1502"/>
                  <w:tcBorders>
                    <w:top w:val="none" w:color="000000" w:sz="4"/>
                    <w:left w:val="none" w:color="000000" w:sz="4"/>
                    <w:bottom w:val="single" w:color="000000" w:sz="4"/>
                    <w:right w:val="single" w:color="000000" w:sz="4"/>
                  </w:tcBorders>
                  <w:vAlign w:val="top"/>
                </w:tcPr>
                <w:p>
                  <w:pPr>
                    <w:jc w:val="center"/>
                  </w:pPr>
                  <w:r>
                    <w:rPr>
                      <w:sz w:val="21"/>
                    </w:rPr>
                    <w:t>机械损耗及油费</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11</w:t>
                  </w:r>
                </w:p>
              </w:tc>
              <w:tc>
                <w:tcPr>
                  <w:tcW w:type="dxa" w:w="908"/>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399"/>
                  <w:vMerge/>
                  <w:tcBorders>
                    <w:top w:val="none" w:color="000000" w:sz="4"/>
                    <w:left w:val="single" w:color="000000" w:sz="4"/>
                    <w:bottom w:val="single" w:color="000000" w:sz="4"/>
                    <w:right w:val="single" w:color="000000" w:sz="4"/>
                  </w:tcBorders>
                </w:tcPr>
                <w:p/>
              </w:tc>
              <w:tc>
                <w:tcPr>
                  <w:tcW w:type="dxa" w:w="1235"/>
                  <w:vMerge/>
                  <w:tcBorders>
                    <w:top w:val="none" w:color="000000" w:sz="4"/>
                    <w:left w:val="none" w:color="000000" w:sz="4"/>
                    <w:bottom w:val="single" w:color="000000" w:sz="4"/>
                    <w:right w:val="single" w:color="000000" w:sz="4"/>
                  </w:tcBorders>
                </w:tcPr>
                <w:p/>
              </w:tc>
              <w:tc>
                <w:tcPr>
                  <w:tcW w:type="dxa" w:w="1502"/>
                  <w:tcBorders>
                    <w:top w:val="none" w:color="000000" w:sz="4"/>
                    <w:left w:val="none" w:color="000000" w:sz="4"/>
                    <w:bottom w:val="single" w:color="000000" w:sz="4"/>
                    <w:right w:val="single" w:color="000000" w:sz="4"/>
                  </w:tcBorders>
                  <w:vAlign w:val="top"/>
                </w:tcPr>
                <w:p>
                  <w:pPr>
                    <w:jc w:val="center"/>
                  </w:pPr>
                  <w:r>
                    <w:rPr>
                      <w:sz w:val="21"/>
                    </w:rPr>
                    <w:t>喷施防治的人工费</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908"/>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399"/>
                  <w:vMerge/>
                  <w:tcBorders>
                    <w:top w:val="none" w:color="000000" w:sz="4"/>
                    <w:left w:val="single" w:color="000000" w:sz="4"/>
                    <w:bottom w:val="single" w:color="000000" w:sz="4"/>
                    <w:right w:val="single" w:color="000000" w:sz="4"/>
                  </w:tcBorders>
                </w:tcPr>
                <w:p/>
              </w:tc>
              <w:tc>
                <w:tcPr>
                  <w:tcW w:type="dxa" w:w="1235"/>
                  <w:vMerge/>
                  <w:tcBorders>
                    <w:top w:val="none" w:color="000000" w:sz="4"/>
                    <w:left w:val="none" w:color="000000" w:sz="4"/>
                    <w:bottom w:val="single" w:color="000000" w:sz="4"/>
                    <w:right w:val="single" w:color="000000" w:sz="4"/>
                  </w:tcBorders>
                </w:tcPr>
                <w:p/>
              </w:tc>
              <w:tc>
                <w:tcPr>
                  <w:tcW w:type="dxa" w:w="1502"/>
                  <w:tcBorders>
                    <w:top w:val="none" w:color="000000" w:sz="4"/>
                    <w:left w:val="none" w:color="000000" w:sz="4"/>
                    <w:bottom w:val="single" w:color="000000" w:sz="4"/>
                    <w:right w:val="single" w:color="000000" w:sz="4"/>
                  </w:tcBorders>
                  <w:vAlign w:val="top"/>
                </w:tcPr>
                <w:p>
                  <w:pPr>
                    <w:jc w:val="center"/>
                  </w:pPr>
                  <w:r>
                    <w:rPr>
                      <w:sz w:val="21"/>
                    </w:rPr>
                    <w:t>装运水兑药人工费</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66</w:t>
                  </w:r>
                </w:p>
              </w:tc>
              <w:tc>
                <w:tcPr>
                  <w:tcW w:type="dxa" w:w="908"/>
                  <w:tcBorders>
                    <w:top w:val="none" w:color="000000" w:sz="4"/>
                    <w:left w:val="none" w:color="000000" w:sz="4"/>
                    <w:bottom w:val="single" w:color="000000" w:sz="4"/>
                    <w:right w:val="single" w:color="000000" w:sz="4"/>
                  </w:tcBorders>
                  <w:vAlign w:val="top"/>
                </w:tcPr>
                <w:p>
                  <w:pPr>
                    <w:jc w:val="center"/>
                  </w:pPr>
                  <w:r>
                    <w:rPr>
                      <w:color w:val="000000"/>
                      <w:sz w:val="21"/>
                    </w:rPr>
                    <w:t>6000</w:t>
                  </w:r>
                </w:p>
              </w:tc>
            </w:tr>
            <w:tr>
              <w:tc>
                <w:tcPr>
                  <w:tcW w:type="dxa" w:w="399"/>
                  <w:vMerge/>
                  <w:tcBorders>
                    <w:top w:val="none" w:color="000000" w:sz="4"/>
                    <w:left w:val="single" w:color="000000" w:sz="4"/>
                    <w:bottom w:val="single" w:color="000000" w:sz="4"/>
                    <w:right w:val="single" w:color="000000" w:sz="4"/>
                  </w:tcBorders>
                </w:tcPr>
                <w:p/>
              </w:tc>
              <w:tc>
                <w:tcPr>
                  <w:tcW w:type="dxa" w:w="1235"/>
                  <w:vMerge/>
                  <w:tcBorders>
                    <w:top w:val="none" w:color="000000" w:sz="4"/>
                    <w:left w:val="none" w:color="000000" w:sz="4"/>
                    <w:bottom w:val="single" w:color="000000" w:sz="4"/>
                    <w:right w:val="single" w:color="000000" w:sz="4"/>
                  </w:tcBorders>
                </w:tcPr>
                <w:p/>
              </w:tc>
              <w:tc>
                <w:tcPr>
                  <w:tcW w:type="dxa" w:w="1502"/>
                  <w:tcBorders>
                    <w:top w:val="none" w:color="000000" w:sz="4"/>
                    <w:left w:val="none" w:color="000000" w:sz="4"/>
                    <w:bottom w:val="single" w:color="000000" w:sz="4"/>
                    <w:right w:val="single" w:color="000000" w:sz="4"/>
                  </w:tcBorders>
                  <w:vAlign w:val="top"/>
                </w:tcPr>
                <w:p>
                  <w:pPr>
                    <w:jc w:val="center"/>
                  </w:pPr>
                  <w:r>
                    <w:rPr>
                      <w:sz w:val="21"/>
                    </w:rPr>
                    <w:t>小计</w:t>
                  </w:r>
                </w:p>
              </w:tc>
              <w:tc>
                <w:tcPr>
                  <w:tcW w:type="dxa" w:w="751"/>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908"/>
                  <w:tcBorders>
                    <w:top w:val="none" w:color="000000" w:sz="4"/>
                    <w:left w:val="none" w:color="000000" w:sz="4"/>
                    <w:bottom w:val="single" w:color="000000" w:sz="4"/>
                    <w:right w:val="single" w:color="000000" w:sz="4"/>
                  </w:tcBorders>
                  <w:vAlign w:val="top"/>
                </w:tcPr>
                <w:p>
                  <w:pPr>
                    <w:jc w:val="center"/>
                  </w:pPr>
                  <w:r>
                    <w:rPr>
                      <w:sz w:val="21"/>
                    </w:rPr>
                    <w:t>6000</w:t>
                  </w:r>
                </w:p>
              </w:tc>
            </w:tr>
            <w:tr>
              <w:tc>
                <w:tcPr>
                  <w:tcW w:type="dxa" w:w="399"/>
                  <w:vMerge w:val="restart"/>
                  <w:tcBorders>
                    <w:top w:val="none" w:color="000000" w:sz="4"/>
                    <w:left w:val="single" w:color="000000" w:sz="4"/>
                    <w:bottom w:val="single" w:color="000000" w:sz="4"/>
                    <w:right w:val="single" w:color="000000" w:sz="4"/>
                  </w:tcBorders>
                  <w:vAlign w:val="top"/>
                </w:tcPr>
                <w:p>
                  <w:pPr>
                    <w:jc w:val="center"/>
                  </w:pPr>
                  <w:r>
                    <w:rPr>
                      <w:sz w:val="21"/>
                    </w:rPr>
                    <w:t>间接投资</w:t>
                  </w:r>
                </w:p>
              </w:tc>
              <w:tc>
                <w:tcPr>
                  <w:tcW w:type="dxa" w:w="1235"/>
                  <w:tcBorders>
                    <w:top w:val="none" w:color="000000" w:sz="4"/>
                    <w:left w:val="none" w:color="000000" w:sz="4"/>
                    <w:bottom w:val="single" w:color="000000" w:sz="4"/>
                    <w:right w:val="single" w:color="000000" w:sz="4"/>
                  </w:tcBorders>
                  <w:vAlign w:val="top"/>
                </w:tcPr>
                <w:p>
                  <w:pPr>
                    <w:jc w:val="center"/>
                  </w:pPr>
                  <w:r>
                    <w:rPr>
                      <w:sz w:val="21"/>
                    </w:rPr>
                    <w:t>①设计费</w:t>
                  </w:r>
                </w:p>
              </w:tc>
              <w:tc>
                <w:tcPr>
                  <w:tcW w:type="dxa" w:w="1502"/>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center"/>
                  </w:pPr>
                  <w:r>
                    <w:rPr>
                      <w:sz w:val="21"/>
                    </w:rPr>
                    <w:t>3.75%</w:t>
                  </w:r>
                </w:p>
              </w:tc>
              <w:tc>
                <w:tcPr>
                  <w:tcW w:type="dxa" w:w="908"/>
                  <w:tcBorders>
                    <w:top w:val="none" w:color="000000" w:sz="4"/>
                    <w:left w:val="none" w:color="000000" w:sz="4"/>
                    <w:bottom w:val="single" w:color="000000" w:sz="4"/>
                    <w:right w:val="single" w:color="000000" w:sz="4"/>
                  </w:tcBorders>
                  <w:vAlign w:val="top"/>
                </w:tcPr>
                <w:p>
                  <w:pPr>
                    <w:jc w:val="right"/>
                  </w:pPr>
                </w:p>
              </w:tc>
            </w:tr>
            <w:tr>
              <w:tc>
                <w:tcPr>
                  <w:tcW w:type="dxa" w:w="399"/>
                  <w:vMerge/>
                  <w:tcBorders>
                    <w:top w:val="none" w:color="000000" w:sz="4"/>
                    <w:left w:val="single" w:color="000000" w:sz="4"/>
                    <w:bottom w:val="single" w:color="000000" w:sz="4"/>
                    <w:right w:val="single" w:color="000000" w:sz="4"/>
                  </w:tcBorders>
                </w:tcPr>
                <w:p/>
              </w:tc>
              <w:tc>
                <w:tcPr>
                  <w:tcW w:type="dxa" w:w="1235"/>
                  <w:tcBorders>
                    <w:top w:val="none" w:color="000000" w:sz="4"/>
                    <w:left w:val="none" w:color="000000" w:sz="4"/>
                    <w:bottom w:val="single" w:color="000000" w:sz="4"/>
                    <w:right w:val="single" w:color="000000" w:sz="4"/>
                  </w:tcBorders>
                  <w:vAlign w:val="top"/>
                </w:tcPr>
                <w:p>
                  <w:pPr>
                    <w:jc w:val="center"/>
                  </w:pPr>
                  <w:r>
                    <w:rPr>
                      <w:sz w:val="21"/>
                    </w:rPr>
                    <w:t>②监理费</w:t>
                  </w:r>
                </w:p>
              </w:tc>
              <w:tc>
                <w:tcPr>
                  <w:tcW w:type="dxa" w:w="1502"/>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center"/>
                  </w:pPr>
                  <w:r>
                    <w:rPr>
                      <w:sz w:val="21"/>
                    </w:rPr>
                    <w:t>3%</w:t>
                  </w:r>
                </w:p>
              </w:tc>
              <w:tc>
                <w:tcPr>
                  <w:tcW w:type="dxa" w:w="908"/>
                  <w:tcBorders>
                    <w:top w:val="none" w:color="000000" w:sz="4"/>
                    <w:left w:val="none" w:color="000000" w:sz="4"/>
                    <w:bottom w:val="single" w:color="000000" w:sz="4"/>
                    <w:right w:val="single" w:color="000000" w:sz="4"/>
                  </w:tcBorders>
                  <w:vAlign w:val="top"/>
                </w:tcPr>
                <w:p>
                  <w:pPr>
                    <w:jc w:val="right"/>
                  </w:pPr>
                </w:p>
              </w:tc>
            </w:tr>
            <w:tr>
              <w:tc>
                <w:tcPr>
                  <w:tcW w:type="dxa" w:w="399"/>
                  <w:vMerge/>
                  <w:tcBorders>
                    <w:top w:val="none" w:color="000000" w:sz="4"/>
                    <w:left w:val="single" w:color="000000" w:sz="4"/>
                    <w:bottom w:val="single" w:color="000000" w:sz="4"/>
                    <w:right w:val="single" w:color="000000" w:sz="4"/>
                  </w:tcBorders>
                </w:tcPr>
                <w:p/>
              </w:tc>
              <w:tc>
                <w:tcPr>
                  <w:tcW w:type="dxa" w:w="1235"/>
                  <w:tcBorders>
                    <w:top w:val="none" w:color="000000" w:sz="4"/>
                    <w:left w:val="none" w:color="000000" w:sz="4"/>
                    <w:bottom w:val="single" w:color="000000" w:sz="4"/>
                    <w:right w:val="single" w:color="000000" w:sz="4"/>
                  </w:tcBorders>
                  <w:vAlign w:val="top"/>
                </w:tcPr>
                <w:p>
                  <w:pPr>
                    <w:jc w:val="center"/>
                  </w:pPr>
                  <w:r>
                    <w:rPr>
                      <w:sz w:val="21"/>
                    </w:rPr>
                    <w:t>①--②小计</w:t>
                  </w:r>
                </w:p>
              </w:tc>
              <w:tc>
                <w:tcPr>
                  <w:tcW w:type="dxa" w:w="1502"/>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right"/>
                  </w:pPr>
                </w:p>
              </w:tc>
              <w:tc>
                <w:tcPr>
                  <w:tcW w:type="dxa" w:w="908"/>
                  <w:tcBorders>
                    <w:top w:val="none" w:color="000000" w:sz="4"/>
                    <w:left w:val="none" w:color="000000" w:sz="4"/>
                    <w:bottom w:val="single" w:color="000000" w:sz="4"/>
                    <w:right w:val="single" w:color="000000" w:sz="4"/>
                  </w:tcBorders>
                  <w:vAlign w:val="top"/>
                </w:tcPr>
                <w:p>
                  <w:pPr>
                    <w:jc w:val="right"/>
                  </w:pPr>
                </w:p>
              </w:tc>
            </w:tr>
            <w:tr>
              <w:tc>
                <w:tcPr>
                  <w:tcW w:type="dxa" w:w="1634"/>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502"/>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left"/>
                  </w:pPr>
                </w:p>
              </w:tc>
              <w:tc>
                <w:tcPr>
                  <w:tcW w:type="dxa" w:w="751"/>
                  <w:tcBorders>
                    <w:top w:val="none" w:color="000000" w:sz="4"/>
                    <w:left w:val="none" w:color="000000" w:sz="4"/>
                    <w:bottom w:val="single" w:color="000000" w:sz="4"/>
                    <w:right w:val="single" w:color="000000" w:sz="4"/>
                  </w:tcBorders>
                  <w:vAlign w:val="top"/>
                </w:tcPr>
                <w:p>
                  <w:pPr>
                    <w:jc w:val="left"/>
                  </w:pPr>
                </w:p>
              </w:tc>
              <w:tc>
                <w:tcPr>
                  <w:tcW w:type="dxa" w:w="908"/>
                  <w:tcBorders>
                    <w:top w:val="none" w:color="000000" w:sz="4"/>
                    <w:left w:val="none" w:color="000000" w:sz="4"/>
                    <w:bottom w:val="single" w:color="000000" w:sz="4"/>
                    <w:right w:val="single" w:color="000000" w:sz="4"/>
                  </w:tcBorders>
                  <w:vAlign w:val="top"/>
                </w:tcPr>
                <w:p>
                  <w:pPr>
                    <w:jc w:val="right"/>
                  </w:pPr>
                </w:p>
              </w:tc>
            </w:tr>
          </w:tbl>
          <w:p>
            <w:pPr>
              <w:jc w:val="both"/>
            </w:pPr>
            <w:r>
              <w:rPr>
                <w:b/>
                <w:color w:val="000000"/>
                <w:sz w:val="24"/>
              </w:rPr>
              <w:t>6.4    资金来源</w:t>
            </w:r>
          </w:p>
          <w:p>
            <w:pPr>
              <w:ind w:firstLine="480"/>
              <w:jc w:val="both"/>
            </w:pPr>
            <w:r>
              <w:rPr>
                <w:sz w:val="24"/>
              </w:rPr>
              <w:t>2022年阳春市林业有害生物薇甘菊综合防治（第一标段）项目总投资126万元，拟在阳春市2022年省级涉农统筹整合转移支付资金中列支，不足部分在2023年省级涉农统筹整合转移支付资金项目续建中列支。</w:t>
            </w:r>
          </w:p>
          <w:p>
            <w:pPr>
              <w:jc w:val="both"/>
            </w:pPr>
          </w:p>
          <w:p>
            <w:pPr>
              <w:jc w:val="center"/>
            </w:pPr>
            <w:r>
              <w:rPr/>
              <w:t xml:space="preserve"> </w:t>
            </w:r>
          </w:p>
          <w:p>
            <w:pPr>
              <w:jc w:val="center"/>
            </w:pPr>
            <w:r>
              <w:rPr>
                <w:b/>
                <w:color w:val="000000"/>
                <w:sz w:val="28"/>
              </w:rPr>
              <w:t xml:space="preserve">第七章  </w:t>
            </w:r>
            <w:r>
              <w:rPr>
                <w:b/>
                <w:color w:val="000000"/>
                <w:sz w:val="28"/>
              </w:rPr>
              <w:t>工程绩效预期目标</w:t>
            </w:r>
          </w:p>
          <w:p>
            <w:pPr>
              <w:jc w:val="both"/>
            </w:pPr>
            <w:r>
              <w:rPr>
                <w:sz w:val="24"/>
              </w:rPr>
              <w:t>7.1  薇甘菊防治面积6000亩；</w:t>
            </w:r>
          </w:p>
          <w:p>
            <w:pPr>
              <w:jc w:val="both"/>
            </w:pPr>
            <w:r>
              <w:rPr>
                <w:sz w:val="24"/>
              </w:rPr>
              <w:t>7.2  成灾率低于8.2‰；</w:t>
            </w:r>
          </w:p>
          <w:p>
            <w:pPr>
              <w:jc w:val="both"/>
            </w:pPr>
            <w:r>
              <w:rPr>
                <w:sz w:val="24"/>
              </w:rPr>
              <w:t>7.3  辖区民众满意度80%以上；</w:t>
            </w:r>
          </w:p>
          <w:p>
            <w:pPr>
              <w:jc w:val="both"/>
            </w:pPr>
            <w:r>
              <w:rPr>
                <w:sz w:val="24"/>
              </w:rPr>
              <w:t>7.4  除害处理效果95％以上。</w:t>
            </w:r>
          </w:p>
          <w:p>
            <w:pPr>
              <w:jc w:val="center"/>
            </w:pPr>
            <w:r>
              <w:rPr/>
              <w:t xml:space="preserve"> </w:t>
            </w:r>
          </w:p>
          <w:p>
            <w:pPr>
              <w:jc w:val="center"/>
            </w:pPr>
            <w:r>
              <w:rPr>
                <w:b/>
                <w:color w:val="000000"/>
                <w:sz w:val="28"/>
              </w:rPr>
              <w:t xml:space="preserve">第八章  </w:t>
            </w:r>
            <w:r>
              <w:rPr>
                <w:b/>
                <w:color w:val="000000"/>
                <w:sz w:val="28"/>
              </w:rPr>
              <w:t>工程管理</w:t>
            </w:r>
          </w:p>
          <w:p>
            <w:pPr>
              <w:jc w:val="both"/>
            </w:pPr>
            <w:r>
              <w:rPr>
                <w:sz w:val="24"/>
              </w:rPr>
              <w:t xml:space="preserve">8.1   </w:t>
            </w:r>
            <w:r>
              <w:rPr>
                <w:sz w:val="24"/>
              </w:rPr>
              <w:t>项目实施单位为阳春市林业局，林业局项目实施工作领导小组负责监督实施，生态修复股负责防治技术指导及现场作业监管。</w:t>
            </w:r>
          </w:p>
          <w:p>
            <w:pPr>
              <w:jc w:val="both"/>
            </w:pPr>
            <w:r>
              <w:rPr>
                <w:sz w:val="24"/>
              </w:rPr>
              <w:t>8.2   该项目选定具有营业执照、林业有害生物防治资质证等条件的施工单位进行选定。</w:t>
            </w:r>
          </w:p>
          <w:p>
            <w:pPr>
              <w:jc w:val="both"/>
            </w:pPr>
            <w:r>
              <w:rPr>
                <w:sz w:val="24"/>
              </w:rPr>
              <w:t>8.3   项目完成后由监理公司与局验收组、项目实施单位共同进行验收，并出具验收报告，施工单位提交税票及施工过程相关资料办理请款手续，</w:t>
            </w:r>
            <w:r>
              <w:rPr>
                <w:sz w:val="24"/>
              </w:rPr>
              <w:t>财政</w:t>
            </w:r>
            <w:r>
              <w:rPr>
                <w:sz w:val="24"/>
              </w:rPr>
              <w:t>局</w:t>
            </w:r>
            <w:r>
              <w:rPr>
                <w:sz w:val="24"/>
              </w:rPr>
              <w:t>报账</w:t>
            </w:r>
            <w:r>
              <w:rPr>
                <w:sz w:val="24"/>
              </w:rPr>
              <w:t>，经市财政局审批后付款。</w:t>
            </w:r>
          </w:p>
          <w:p>
            <w:pPr>
              <w:jc w:val="both"/>
            </w:pPr>
            <w:r>
              <w:rPr>
                <w:sz w:val="24"/>
              </w:rPr>
              <w:t>8.4   防治工程建设项目验收要求：</w:t>
            </w:r>
            <w:r>
              <w:rPr>
                <w:sz w:val="24"/>
              </w:rPr>
              <w:t>防治项目验收要求：</w:t>
            </w:r>
            <w:r>
              <w:rPr>
                <w:sz w:val="24"/>
              </w:rPr>
              <w:t>项目实行绩效承包，</w:t>
            </w:r>
            <w:r>
              <w:rPr>
                <w:sz w:val="24"/>
              </w:rPr>
              <w:t>在今年</w:t>
            </w:r>
            <w:r>
              <w:rPr>
                <w:sz w:val="24"/>
              </w:rPr>
              <w:t>10月前喷完或人工除治一遍，11月前补喷或人工除治一遍，</w:t>
            </w:r>
            <w:r>
              <w:rPr>
                <w:sz w:val="24"/>
              </w:rPr>
              <w:t>11月进行期中验收</w:t>
            </w:r>
            <w:r>
              <w:rPr>
                <w:sz w:val="24"/>
              </w:rPr>
              <w:t>。</w:t>
            </w:r>
            <w:r>
              <w:rPr>
                <w:sz w:val="24"/>
              </w:rPr>
              <w:t>202</w:t>
            </w:r>
            <w:r>
              <w:rPr>
                <w:sz w:val="24"/>
              </w:rPr>
              <w:t>3</w:t>
            </w:r>
            <w:r>
              <w:rPr>
                <w:sz w:val="24"/>
              </w:rPr>
              <w:t>年</w:t>
            </w:r>
            <w:r>
              <w:rPr>
                <w:sz w:val="24"/>
              </w:rPr>
              <w:t>8月完成补喷，10月份达到防治质量要求的，进行完工验收。</w:t>
            </w:r>
            <w:r>
              <w:rPr>
                <w:sz w:val="24"/>
              </w:rPr>
              <w:t>验收时要提供薇甘菊防治前、中、后的对比照片及薇甘菊防治效果自查表。</w:t>
            </w:r>
          </w:p>
          <w:p>
            <w:pPr>
              <w:jc w:val="both"/>
            </w:pPr>
            <w:r>
              <w:rPr>
                <w:sz w:val="24"/>
              </w:rPr>
              <w:t>8.5   项目资金实行财政报账制管理，由施工单位根据项目实施计划方案和项目施工进度，向阳春市林业局提出用款申请，提供合法有效支出凭证，经局审核确认后，报市财政局审批后拨款给施工单位。</w:t>
            </w:r>
          </w:p>
          <w:tbl>
            <w:tblPr>
              <w:tblBorders>
                <w:top w:val="none" w:color="000000" w:sz="4"/>
                <w:left w:val="none" w:color="000000" w:sz="4"/>
                <w:bottom w:val="none" w:color="000000" w:sz="4"/>
                <w:right w:val="none" w:color="000000" w:sz="4"/>
                <w:insideH w:val="none"/>
                <w:insideV w:val="none"/>
              </w:tblBorders>
            </w:tblPr>
            <w:tblGrid>
              <w:gridCol w:w="359"/>
              <w:gridCol w:w="1883"/>
              <w:gridCol w:w="429"/>
              <w:gridCol w:w="797"/>
              <w:gridCol w:w="595"/>
              <w:gridCol w:w="1533"/>
            </w:tblGrid>
            <w:tr>
              <w:tc>
                <w:tcPr>
                  <w:tcW w:type="dxa" w:w="2242"/>
                  <w:gridSpan w:val="2"/>
                  <w:tcBorders>
                    <w:top w:val="none" w:color="000000" w:sz="4"/>
                    <w:left w:val="none" w:color="000000" w:sz="4"/>
                    <w:bottom w:val="none" w:color="000000" w:sz="4"/>
                    <w:right w:val="none" w:color="000000" w:sz="4"/>
                  </w:tcBorders>
                  <w:vAlign w:val="top"/>
                </w:tcPr>
                <w:p>
                  <w:pPr>
                    <w:jc w:val="both"/>
                  </w:pPr>
                  <w:r>
                    <w:rPr>
                      <w:color w:val="000000"/>
                      <w:sz w:val="21"/>
                    </w:rPr>
                    <w:t>附表</w:t>
                  </w:r>
                  <w:r>
                    <w:rPr>
                      <w:color w:val="000000"/>
                      <w:sz w:val="21"/>
                    </w:rPr>
                    <w:t>1</w:t>
                  </w:r>
                </w:p>
              </w:tc>
              <w:tc>
                <w:tcPr>
                  <w:tcW w:type="dxa" w:w="429"/>
                  <w:tcBorders>
                    <w:top w:val="none" w:color="000000" w:sz="4"/>
                    <w:left w:val="none" w:color="000000" w:sz="4"/>
                    <w:bottom w:val="none" w:color="000000" w:sz="4"/>
                    <w:right w:val="none" w:color="000000" w:sz="4"/>
                  </w:tcBorders>
                  <w:vAlign w:val="top"/>
                </w:tcPr>
                <w:p>
                  <w:pPr>
                    <w:jc w:val="both"/>
                  </w:pPr>
                </w:p>
              </w:tc>
              <w:tc>
                <w:tcPr>
                  <w:tcW w:type="dxa" w:w="797"/>
                  <w:tcBorders>
                    <w:top w:val="none" w:color="000000" w:sz="4"/>
                    <w:left w:val="none" w:color="000000" w:sz="4"/>
                    <w:bottom w:val="none" w:color="000000" w:sz="4"/>
                    <w:right w:val="none" w:color="000000" w:sz="4"/>
                  </w:tcBorders>
                  <w:vAlign w:val="top"/>
                </w:tcPr>
                <w:p>
                  <w:pPr>
                    <w:jc w:val="both"/>
                  </w:pPr>
                </w:p>
              </w:tc>
              <w:tc>
                <w:tcPr>
                  <w:tcW w:type="dxa" w:w="595"/>
                  <w:tcBorders>
                    <w:top w:val="none" w:color="000000" w:sz="4"/>
                    <w:left w:val="none" w:color="000000" w:sz="4"/>
                    <w:bottom w:val="none" w:color="000000" w:sz="4"/>
                    <w:right w:val="none" w:color="000000" w:sz="4"/>
                  </w:tcBorders>
                  <w:vAlign w:val="top"/>
                </w:tcPr>
                <w:p>
                  <w:pPr>
                    <w:jc w:val="both"/>
                  </w:pPr>
                </w:p>
              </w:tc>
              <w:tc>
                <w:tcPr>
                  <w:tcW w:type="dxa" w:w="1533"/>
                  <w:tcBorders>
                    <w:top w:val="none" w:color="000000" w:sz="4"/>
                    <w:left w:val="none" w:color="000000" w:sz="4"/>
                    <w:bottom w:val="none" w:color="000000" w:sz="4"/>
                    <w:right w:val="none" w:color="000000" w:sz="4"/>
                  </w:tcBorders>
                  <w:vAlign w:val="top"/>
                </w:tcPr>
                <w:p>
                  <w:pPr>
                    <w:jc w:val="both"/>
                  </w:pPr>
                </w:p>
              </w:tc>
            </w:tr>
            <w:tr>
              <w:tc>
                <w:tcPr>
                  <w:tcW w:type="dxa" w:w="5596"/>
                  <w:gridSpan w:val="6"/>
                  <w:tcBorders>
                    <w:top w:val="none" w:color="000000" w:sz="4"/>
                    <w:left w:val="none" w:color="000000" w:sz="4"/>
                    <w:bottom w:val="none" w:color="000000" w:sz="4"/>
                    <w:right w:val="none" w:color="000000" w:sz="4"/>
                  </w:tcBorders>
                  <w:vAlign w:val="top"/>
                </w:tcPr>
                <w:p>
                  <w:pPr>
                    <w:jc w:val="center"/>
                  </w:pPr>
                  <w:r>
                    <w:rPr>
                      <w:b/>
                      <w:color w:val="000000"/>
                      <w:sz w:val="24"/>
                    </w:rPr>
                    <w:t>2022年阳春市林业有害生物薇甘菊综合防治（第一标段）面积统计表</w:t>
                  </w:r>
                </w:p>
              </w:tc>
            </w:tr>
            <w:tr>
              <w:tc>
                <w:tcPr>
                  <w:tcW w:type="dxa" w:w="359"/>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883"/>
                  <w:tcBorders>
                    <w:top w:val="single" w:color="000000" w:sz="4"/>
                    <w:left w:val="none" w:color="000000" w:sz="4"/>
                    <w:bottom w:val="single" w:color="000000" w:sz="4"/>
                    <w:right w:val="single" w:color="000000" w:sz="4"/>
                  </w:tcBorders>
                  <w:vAlign w:val="top"/>
                </w:tcPr>
                <w:p>
                  <w:pPr>
                    <w:jc w:val="center"/>
                  </w:pPr>
                  <w:r>
                    <w:rPr>
                      <w:color w:val="000000"/>
                      <w:sz w:val="21"/>
                    </w:rPr>
                    <w:t>地址</w:t>
                  </w:r>
                </w:p>
              </w:tc>
              <w:tc>
                <w:tcPr>
                  <w:tcW w:type="dxa" w:w="429"/>
                  <w:tcBorders>
                    <w:top w:val="single" w:color="000000" w:sz="4"/>
                    <w:left w:val="none" w:color="000000" w:sz="4"/>
                    <w:bottom w:val="single" w:color="000000" w:sz="4"/>
                    <w:right w:val="single" w:color="000000" w:sz="4"/>
                  </w:tcBorders>
                  <w:vAlign w:val="top"/>
                </w:tcPr>
                <w:p>
                  <w:pPr>
                    <w:jc w:val="center"/>
                  </w:pPr>
                  <w:r>
                    <w:rPr>
                      <w:color w:val="000000"/>
                      <w:sz w:val="21"/>
                    </w:rPr>
                    <w:t>长度（</w:t>
                  </w:r>
                  <w:r>
                    <w:rPr>
                      <w:color w:val="000000"/>
                      <w:sz w:val="21"/>
                    </w:rPr>
                    <w:t>km）</w:t>
                  </w:r>
                </w:p>
              </w:tc>
              <w:tc>
                <w:tcPr>
                  <w:tcW w:type="dxa" w:w="797"/>
                  <w:tcBorders>
                    <w:top w:val="single" w:color="000000" w:sz="4"/>
                    <w:left w:val="none" w:color="000000" w:sz="4"/>
                    <w:bottom w:val="single" w:color="000000" w:sz="4"/>
                    <w:right w:val="single" w:color="000000" w:sz="4"/>
                  </w:tcBorders>
                  <w:vAlign w:val="top"/>
                </w:tcPr>
                <w:p>
                  <w:pPr>
                    <w:jc w:val="center"/>
                  </w:pPr>
                  <w:r>
                    <w:rPr>
                      <w:color w:val="000000"/>
                      <w:sz w:val="21"/>
                    </w:rPr>
                    <w:t>防治范围（亩）</w:t>
                  </w:r>
                </w:p>
              </w:tc>
              <w:tc>
                <w:tcPr>
                  <w:tcW w:type="dxa" w:w="595"/>
                  <w:tcBorders>
                    <w:top w:val="single" w:color="000000" w:sz="4"/>
                    <w:left w:val="none" w:color="000000" w:sz="4"/>
                    <w:bottom w:val="single" w:color="000000" w:sz="4"/>
                    <w:right w:val="single" w:color="000000" w:sz="4"/>
                  </w:tcBorders>
                  <w:vAlign w:val="top"/>
                </w:tcPr>
                <w:p>
                  <w:pPr>
                    <w:jc w:val="center"/>
                  </w:pPr>
                  <w:r>
                    <w:rPr>
                      <w:color w:val="000000"/>
                      <w:sz w:val="21"/>
                    </w:rPr>
                    <w:t>面积（亩）</w:t>
                  </w:r>
                </w:p>
              </w:tc>
              <w:tc>
                <w:tcPr>
                  <w:tcW w:type="dxa" w:w="1533"/>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罗阳高速阳春境内全线</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94</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281860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1517</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汕湛高速阳春境内全线</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76</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227886</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791</w:t>
                  </w:r>
                </w:p>
              </w:tc>
              <w:tc>
                <w:tcPr>
                  <w:tcW w:type="dxa" w:w="1533"/>
                  <w:tcBorders>
                    <w:top w:val="none" w:color="000000" w:sz="4"/>
                    <w:left w:val="none" w:color="000000" w:sz="4"/>
                    <w:bottom w:val="single" w:color="000000" w:sz="4"/>
                    <w:right w:val="single" w:color="000000" w:sz="4"/>
                  </w:tcBorders>
                  <w:vAlign w:val="top"/>
                </w:tcPr>
                <w:p>
                  <w:pPr>
                    <w:jc w:val="center"/>
                  </w:pPr>
                  <w:r>
                    <w:rPr>
                      <w:color w:val="000000"/>
                      <w:sz w:val="21"/>
                    </w:rPr>
                    <w:t>减去与罗阳高速共线段</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阳春境内高速出口至各主干道</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22.1</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6627</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340</w:t>
                  </w:r>
                </w:p>
              </w:tc>
              <w:tc>
                <w:tcPr>
                  <w:tcW w:type="dxa" w:w="1533"/>
                  <w:tcBorders>
                    <w:top w:val="none" w:color="000000" w:sz="4"/>
                    <w:left w:val="none" w:color="000000" w:sz="4"/>
                    <w:bottom w:val="single" w:color="000000" w:sz="4"/>
                    <w:right w:val="single" w:color="000000" w:sz="4"/>
                  </w:tcBorders>
                  <w:vAlign w:val="top"/>
                </w:tcPr>
                <w:p>
                  <w:pPr>
                    <w:jc w:val="center"/>
                  </w:pPr>
                  <w:r>
                    <w:rPr>
                      <w:color w:val="000000"/>
                      <w:sz w:val="21"/>
                    </w:rPr>
                    <w:t>主干道含国道、省道、县道</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乡道</w:t>
                  </w:r>
                  <w:r>
                    <w:rPr>
                      <w:color w:val="000000"/>
                      <w:sz w:val="21"/>
                    </w:rPr>
                    <w:t>151春城至蟠龙大滑电站段</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4498</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390</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乡道</w:t>
                  </w:r>
                  <w:r>
                    <w:rPr>
                      <w:color w:val="000000"/>
                      <w:sz w:val="21"/>
                    </w:rPr>
                    <w:t>151头堡辽背至林田村委会段</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1499</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210</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G234线春城街道至江城区交界段</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19</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5697</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400</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X599线岗美圩至轮水阳东交界段</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600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166</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阳春党校</w:t>
                  </w:r>
                </w:p>
              </w:tc>
              <w:tc>
                <w:tcPr>
                  <w:tcW w:type="dxa" w:w="429"/>
                  <w:tcBorders>
                    <w:top w:val="none" w:color="000000" w:sz="4"/>
                    <w:left w:val="none" w:color="000000" w:sz="4"/>
                    <w:bottom w:val="single" w:color="000000" w:sz="4"/>
                    <w:right w:val="single" w:color="000000" w:sz="4"/>
                  </w:tcBorders>
                  <w:vAlign w:val="top"/>
                </w:tcPr>
                <w:p>
                  <w:pPr>
                    <w:jc w:val="center"/>
                  </w:pP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200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60</w:t>
                  </w:r>
                </w:p>
              </w:tc>
              <w:tc>
                <w:tcPr>
                  <w:tcW w:type="dxa" w:w="1533"/>
                  <w:tcBorders>
                    <w:top w:val="none" w:color="000000" w:sz="4"/>
                    <w:left w:val="none" w:color="000000" w:sz="4"/>
                    <w:bottom w:val="single" w:color="000000" w:sz="4"/>
                    <w:right w:val="single" w:color="000000" w:sz="4"/>
                  </w:tcBorders>
                  <w:vAlign w:val="top"/>
                </w:tcPr>
                <w:p>
                  <w:pPr>
                    <w:jc w:val="center"/>
                  </w:pPr>
                  <w:r>
                    <w:rPr>
                      <w:color w:val="000000"/>
                      <w:sz w:val="21"/>
                    </w:rPr>
                    <w:t>党校内及联外道路</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高流河谷邦桥至山头村光伏电场</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125</w:t>
                  </w:r>
                </w:p>
              </w:tc>
              <w:tc>
                <w:tcPr>
                  <w:tcW w:type="dxa" w:w="1533"/>
                  <w:tcBorders>
                    <w:top w:val="none" w:color="000000" w:sz="4"/>
                    <w:left w:val="none" w:color="000000" w:sz="4"/>
                    <w:bottom w:val="single" w:color="000000" w:sz="4"/>
                    <w:right w:val="single" w:color="000000" w:sz="4"/>
                  </w:tcBorders>
                  <w:vAlign w:val="top"/>
                </w:tcPr>
                <w:p>
                  <w:pPr>
                    <w:jc w:val="center"/>
                  </w:pPr>
                  <w:r>
                    <w:rPr>
                      <w:color w:val="000000"/>
                      <w:sz w:val="21"/>
                    </w:rPr>
                    <w:t>含高流河景区及建设区外</w:t>
                  </w:r>
                  <w:r>
                    <w:rPr>
                      <w:color w:val="000000"/>
                      <w:sz w:val="21"/>
                    </w:rPr>
                    <w:t>100m内</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合水镇白牛塘水库</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2200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314</w:t>
                  </w:r>
                </w:p>
              </w:tc>
              <w:tc>
                <w:tcPr>
                  <w:tcW w:type="dxa" w:w="1533"/>
                  <w:tcBorders>
                    <w:top w:val="none" w:color="000000" w:sz="4"/>
                    <w:left w:val="none" w:color="000000" w:sz="4"/>
                    <w:bottom w:val="single" w:color="000000" w:sz="4"/>
                    <w:right w:val="single" w:color="000000" w:sz="4"/>
                  </w:tcBorders>
                  <w:vAlign w:val="top"/>
                </w:tcPr>
                <w:p>
                  <w:pPr>
                    <w:jc w:val="center"/>
                  </w:pPr>
                  <w:r>
                    <w:rPr>
                      <w:color w:val="000000"/>
                      <w:sz w:val="21"/>
                    </w:rPr>
                    <w:t>环库道路外</w:t>
                  </w:r>
                  <w:r>
                    <w:rPr>
                      <w:color w:val="000000"/>
                      <w:sz w:val="21"/>
                    </w:rPr>
                    <w:t>100m以内，</w:t>
                  </w:r>
                </w:p>
                <w:p>
                  <w:pPr>
                    <w:jc w:val="center"/>
                  </w:pPr>
                  <w:r>
                    <w:rPr>
                      <w:color w:val="000000"/>
                      <w:sz w:val="21"/>
                    </w:rPr>
                    <w:t>含库岸及小岛</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合水镇高河谷邦桥</w:t>
                  </w:r>
                  <w:r>
                    <w:rPr>
                      <w:color w:val="000000"/>
                      <w:sz w:val="21"/>
                    </w:rPr>
                    <w:t>-留垌-迳口-</w:t>
                  </w:r>
                </w:p>
                <w:p>
                  <w:pPr>
                    <w:jc w:val="center"/>
                  </w:pPr>
                  <w:r>
                    <w:rPr>
                      <w:color w:val="000000"/>
                      <w:sz w:val="21"/>
                    </w:rPr>
                    <w:t>军塘</w:t>
                  </w:r>
                  <w:r>
                    <w:rPr>
                      <w:color w:val="000000"/>
                      <w:sz w:val="21"/>
                    </w:rPr>
                    <w:t>-G234交界</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4198</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303</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合水白牛塘水库二陂</w:t>
                  </w:r>
                  <w:r>
                    <w:rPr>
                      <w:color w:val="000000"/>
                      <w:sz w:val="21"/>
                    </w:rPr>
                    <w:t>-新南-平东-横岭村</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11.8</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3538</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85</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粉冲坑义务植树区</w:t>
                  </w:r>
                </w:p>
              </w:tc>
              <w:tc>
                <w:tcPr>
                  <w:tcW w:type="dxa" w:w="429"/>
                  <w:tcBorders>
                    <w:top w:val="none" w:color="000000" w:sz="4"/>
                    <w:left w:val="none" w:color="000000" w:sz="4"/>
                    <w:bottom w:val="single" w:color="000000" w:sz="4"/>
                    <w:right w:val="single" w:color="000000" w:sz="4"/>
                  </w:tcBorders>
                  <w:vAlign w:val="top"/>
                </w:tcPr>
                <w:p>
                  <w:pPr>
                    <w:jc w:val="center"/>
                  </w:pP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500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420</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东湖绿道、库区、防火通道、</w:t>
                  </w:r>
                </w:p>
                <w:p>
                  <w:pPr>
                    <w:jc w:val="center"/>
                  </w:pPr>
                  <w:r>
                    <w:rPr>
                      <w:color w:val="000000"/>
                      <w:sz w:val="21"/>
                    </w:rPr>
                    <w:t>林科所、阳春一中</w:t>
                  </w:r>
                </w:p>
              </w:tc>
              <w:tc>
                <w:tcPr>
                  <w:tcW w:type="dxa" w:w="429"/>
                  <w:tcBorders>
                    <w:top w:val="none" w:color="000000" w:sz="4"/>
                    <w:left w:val="none" w:color="000000" w:sz="4"/>
                    <w:bottom w:val="single" w:color="000000" w:sz="4"/>
                    <w:right w:val="single" w:color="000000" w:sz="4"/>
                  </w:tcBorders>
                  <w:vAlign w:val="top"/>
                </w:tcPr>
                <w:p>
                  <w:pPr>
                    <w:jc w:val="center"/>
                  </w:pP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3000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760</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大华岭公园</w:t>
                  </w:r>
                </w:p>
              </w:tc>
              <w:tc>
                <w:tcPr>
                  <w:tcW w:type="dxa" w:w="429"/>
                  <w:tcBorders>
                    <w:top w:val="none" w:color="000000" w:sz="4"/>
                    <w:left w:val="none" w:color="000000" w:sz="4"/>
                    <w:bottom w:val="single" w:color="000000" w:sz="4"/>
                    <w:right w:val="single" w:color="000000" w:sz="4"/>
                  </w:tcBorders>
                  <w:vAlign w:val="top"/>
                </w:tcPr>
                <w:p>
                  <w:pPr>
                    <w:jc w:val="center"/>
                  </w:pP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800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104</w:t>
                  </w:r>
                </w:p>
              </w:tc>
              <w:tc>
                <w:tcPr>
                  <w:tcW w:type="dxa" w:w="1533"/>
                  <w:tcBorders>
                    <w:top w:val="none" w:color="000000" w:sz="4"/>
                    <w:left w:val="none" w:color="000000" w:sz="4"/>
                    <w:bottom w:val="single" w:color="000000" w:sz="4"/>
                    <w:right w:val="single" w:color="000000" w:sz="4"/>
                  </w:tcBorders>
                  <w:vAlign w:val="top"/>
                </w:tcPr>
                <w:p>
                  <w:pPr>
                    <w:jc w:val="center"/>
                  </w:pP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883"/>
                  <w:tcBorders>
                    <w:top w:val="none" w:color="000000" w:sz="4"/>
                    <w:left w:val="none" w:color="000000" w:sz="4"/>
                    <w:bottom w:val="single" w:color="000000" w:sz="4"/>
                    <w:right w:val="single" w:color="000000" w:sz="4"/>
                  </w:tcBorders>
                  <w:vAlign w:val="top"/>
                </w:tcPr>
                <w:p>
                  <w:pPr>
                    <w:jc w:val="center"/>
                  </w:pPr>
                  <w:r>
                    <w:rPr>
                      <w:color w:val="000000"/>
                      <w:sz w:val="21"/>
                    </w:rPr>
                    <w:t>G234线路口-平北村委会</w:t>
                  </w: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2.8</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850</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1533"/>
                  <w:tcBorders>
                    <w:top w:val="none" w:color="000000" w:sz="4"/>
                    <w:left w:val="none" w:color="000000" w:sz="4"/>
                    <w:bottom w:val="single" w:color="000000" w:sz="4"/>
                    <w:right w:val="single" w:color="000000" w:sz="4"/>
                  </w:tcBorders>
                  <w:vAlign w:val="top"/>
                </w:tcPr>
                <w:p>
                  <w:pPr>
                    <w:jc w:val="center"/>
                  </w:pPr>
                  <w:r>
                    <w:rPr>
                      <w:color w:val="000000"/>
                      <w:sz w:val="21"/>
                    </w:rPr>
                    <w:t>含塘寨石山仔</w:t>
                  </w:r>
                </w:p>
              </w:tc>
            </w:tr>
            <w:tr>
              <w:tc>
                <w:tcPr>
                  <w:tcW w:type="dxa" w:w="359"/>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1883"/>
                  <w:tcBorders>
                    <w:top w:val="none" w:color="000000" w:sz="4"/>
                    <w:left w:val="none" w:color="000000" w:sz="4"/>
                    <w:bottom w:val="single" w:color="000000" w:sz="4"/>
                    <w:right w:val="single" w:color="000000" w:sz="4"/>
                  </w:tcBorders>
                  <w:vAlign w:val="top"/>
                </w:tcPr>
                <w:p>
                  <w:pPr>
                    <w:jc w:val="center"/>
                  </w:pPr>
                </w:p>
              </w:tc>
              <w:tc>
                <w:tcPr>
                  <w:tcW w:type="dxa" w:w="429"/>
                  <w:tcBorders>
                    <w:top w:val="none" w:color="000000" w:sz="4"/>
                    <w:left w:val="none" w:color="000000" w:sz="4"/>
                    <w:bottom w:val="single" w:color="000000" w:sz="4"/>
                    <w:right w:val="single" w:color="000000" w:sz="4"/>
                  </w:tcBorders>
                  <w:vAlign w:val="top"/>
                </w:tcPr>
                <w:p>
                  <w:pPr>
                    <w:jc w:val="center"/>
                  </w:pPr>
                  <w:r>
                    <w:rPr>
                      <w:color w:val="000000"/>
                      <w:sz w:val="21"/>
                    </w:rPr>
                    <w:t>270.2</w:t>
                  </w:r>
                </w:p>
              </w:tc>
              <w:tc>
                <w:tcPr>
                  <w:tcW w:type="dxa" w:w="797"/>
                  <w:tcBorders>
                    <w:top w:val="none" w:color="000000" w:sz="4"/>
                    <w:left w:val="none" w:color="000000" w:sz="4"/>
                    <w:bottom w:val="single" w:color="000000" w:sz="4"/>
                    <w:right w:val="single" w:color="000000" w:sz="4"/>
                  </w:tcBorders>
                  <w:vAlign w:val="top"/>
                </w:tcPr>
                <w:p>
                  <w:pPr>
                    <w:jc w:val="center"/>
                  </w:pPr>
                  <w:r>
                    <w:rPr>
                      <w:color w:val="000000"/>
                      <w:sz w:val="21"/>
                    </w:rPr>
                    <w:t>544753</w:t>
                  </w:r>
                </w:p>
              </w:tc>
              <w:tc>
                <w:tcPr>
                  <w:tcW w:type="dxa" w:w="595"/>
                  <w:tcBorders>
                    <w:top w:val="none" w:color="000000" w:sz="4"/>
                    <w:left w:val="none" w:color="000000" w:sz="4"/>
                    <w:bottom w:val="single" w:color="000000" w:sz="4"/>
                    <w:right w:val="single" w:color="000000" w:sz="4"/>
                  </w:tcBorders>
                  <w:vAlign w:val="top"/>
                </w:tcPr>
                <w:p>
                  <w:pPr>
                    <w:jc w:val="center"/>
                  </w:pPr>
                  <w:r>
                    <w:rPr>
                      <w:color w:val="000000"/>
                      <w:sz w:val="21"/>
                    </w:rPr>
                    <w:t>6000</w:t>
                  </w:r>
                </w:p>
              </w:tc>
              <w:tc>
                <w:tcPr>
                  <w:tcW w:type="dxa" w:w="1533"/>
                  <w:tcBorders>
                    <w:top w:val="none" w:color="000000" w:sz="4"/>
                    <w:left w:val="none" w:color="000000" w:sz="4"/>
                    <w:bottom w:val="single" w:color="000000" w:sz="4"/>
                    <w:right w:val="single" w:color="000000" w:sz="4"/>
                  </w:tcBorders>
                  <w:vAlign w:val="top"/>
                </w:tcPr>
                <w:p>
                  <w:pPr>
                    <w:jc w:val="center"/>
                  </w:pPr>
                </w:p>
              </w:tc>
            </w:tr>
          </w:tbl>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color w:val="000000"/>
                <w:sz w:val="28"/>
              </w:rPr>
              <w:t xml:space="preserve">                  </w:t>
            </w:r>
            <w:r>
              <w:rPr>
                <w:b/>
                <w:sz w:val="21"/>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1.采购代理机构：本项目是指广东正渝工程管理有限公司，负责整个采购活动的组织，依法负责编制和发布磋商文件，对磋商文件拥有最终的解释权，不以任何身份出任磋商小组成员。</w:t>
      </w:r>
    </w:p>
    <w:p>
      <w:pPr>
        <w:ind w:firstLine="480"/>
      </w:pPr>
      <w:r>
        <w:rPr/>
        <w:t>2.采购人：本项目是指</w:t>
      </w:r>
      <w:r>
        <w:rPr/>
        <w:t>阳春市林业局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采购包1：保证金人民币：23,400.00元整。</w:t>
            </w:r>
          </w:p>
          <w:p>
            <w:r>
              <w:rPr/>
              <w:t>开户单位：</w:t>
            </w:r>
            <w:r>
              <w:rPr/>
              <w:t>广东正渝工程管理有限公司</w:t>
            </w:r>
          </w:p>
          <w:p>
            <w:r>
              <w:rPr/>
              <w:t>开户账号：</w:t>
            </w:r>
            <w:r>
              <w:rPr/>
              <w:t>44050175724100000115</w:t>
            </w:r>
          </w:p>
          <w:p>
            <w:r>
              <w:rPr/>
              <w:t>开户银行：</w:t>
            </w:r>
            <w:r>
              <w:rPr/>
              <w:t>中国建设银行股份有限公司阳春漠江分理处</w:t>
            </w:r>
          </w:p>
          <w:p>
            <w:r>
              <w:rPr/>
              <w:t>支票提交方式：</w:t>
            </w:r>
            <w:r>
              <w:rPr/>
              <w:t>现场提交</w:t>
            </w:r>
          </w:p>
          <w:p>
            <w:r>
              <w:rPr/>
              <w:t>汇票、本票提交方式：</w:t>
            </w:r>
            <w:r>
              <w:rPr/>
              <w:t>现场提交</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采购机构代理服务收费标准：参照中华人民共和国国家发展计划委员会颁发的计价格[2002]1980号、国家发改委[2003]857号及发改价格[2011]534号文规定，以中标通知书中确定的中标金额作为收费的计算依据。</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广东正渝工程管理有限公司</w:t>
      </w:r>
      <w:r>
        <w:rPr/>
        <w:t>代收。具体操作要求详见</w:t>
      </w:r>
      <w:r>
        <w:rPr/>
        <w:t>广东正渝工程管理有限公司</w:t>
      </w:r>
      <w:r>
        <w:rPr/>
        <w:t>有关指引，递交事宜请自行咨询</w:t>
      </w:r>
      <w:r>
        <w:rPr/>
        <w:t>广东正渝工程管理有限公司</w:t>
      </w:r>
      <w:r>
        <w:rPr/>
        <w:t>；请各供应商在响应文件递交截止时间前按须知前附表规定的金额递交至</w:t>
      </w:r>
      <w:r>
        <w:rPr/>
        <w:t>广东正渝工程管理有限公司</w:t>
      </w:r>
      <w:r>
        <w:rPr/>
        <w:t>，到账情况以开启时</w:t>
      </w:r>
      <w:r>
        <w:rPr/>
        <w:t>广东正渝工程管理有限公司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广东正渝工程管理有限公司（http://www.gdzhengyu.vip/）</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广东正渝工程管理有限公司（http://www.gdzhengyu.vip/）</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赖小姐</w:t>
      </w:r>
    </w:p>
    <w:p>
      <w:pPr>
        <w:ind w:firstLine="480"/>
      </w:pPr>
      <w:r>
        <w:rPr/>
        <w:t>电话：</w:t>
      </w:r>
      <w:r>
        <w:rPr/>
        <w:t>0662-7555233</w:t>
      </w:r>
    </w:p>
    <w:p>
      <w:pPr>
        <w:ind w:firstLine="480"/>
      </w:pPr>
      <w:r>
        <w:rPr/>
        <w:t>传真：</w:t>
      </w:r>
      <w:r>
        <w:rPr/>
        <w:t>0662-7555233</w:t>
      </w:r>
    </w:p>
    <w:p>
      <w:pPr>
        <w:ind w:firstLine="480"/>
      </w:pPr>
      <w:r>
        <w:rPr/>
        <w:t>邮箱：</w:t>
      </w:r>
      <w:r>
        <w:rPr/>
        <w:t>2268807558@qq.com</w:t>
      </w:r>
    </w:p>
    <w:p>
      <w:pPr>
        <w:ind w:firstLine="480"/>
      </w:pPr>
      <w:r>
        <w:rPr/>
        <w:t>地址：</w:t>
      </w:r>
      <w:r>
        <w:rPr/>
        <w:t>阳春市春城街道育才中路畅达新城一期2幢22卡商铺</w:t>
      </w:r>
    </w:p>
    <w:p>
      <w:pPr>
        <w:ind w:firstLine="480"/>
      </w:pPr>
      <w:r>
        <w:rPr/>
        <w:t>邮编：</w:t>
      </w:r>
      <w:r>
        <w:rPr/>
        <w:t>529600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政府采购监督管理机构名称：阳春市政府采购事务中心</w:t>
      </w:r>
    </w:p>
    <w:p>
      <w:r>
        <w:rPr/>
        <w:t>地  址：阳春市春城朝南路73号</w:t>
      </w:r>
    </w:p>
    <w:p>
      <w:r>
        <w:rPr/>
        <w:t>电  话：0662－7745980</w:t>
      </w:r>
    </w:p>
    <w:p>
      <w:r>
        <w:rPr/>
        <w:t>邮  编：529600</w:t>
      </w:r>
    </w:p>
    <w:p>
      <w:r>
        <w:rPr/>
        <w:t>传  真：0662－7745980</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(2022年阳春市林业有害生物薇甘菊综合防治（第一标段）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广东正渝工程管理有限公司</w:t>
      </w:r>
      <w:r>
        <w:rPr/>
        <w:t>统一对外发布。</w:t>
      </w:r>
    </w:p>
    <w:p>
      <w:pPr>
        <w:ind w:firstLine="480"/>
      </w:pPr>
      <w:r>
        <w:rPr/>
        <w:t>（2）对</w:t>
      </w:r>
      <w:r>
        <w:rPr/>
        <w:t>广东正渝工程管理有限公司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采购包1（2022年阳春市林业有害生物薇甘菊综合防治（第一标段）项目）：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采购包1（2022年阳春市林业有害生物薇甘菊综合防治（第一标段）项目）：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具有良好的商业信誉和健全的财务会计制度：供应商必须具有良好的商业信誉和健全的财务会计制度（提供2021年度财务状况报告或基本开户行出具的资信证明）。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履行合同所必须的设备和专业技术能力：按投标（响应）文件格式填报设备及专业技术能力情况。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加采购活动前3年内，在经营活动中没有重大违法记录：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具备有效的《林业有害生物防治组织资质证书》</w:t>
            </w:r>
          </w:p>
        </w:tc>
        <w:tc>
          <w:tcPr>
            <w:tcW w:type="dxa" w:w="4238"/>
          </w:tcPr>
          <w:p>
            <w:r>
              <w:rPr/>
              <w:t>响应供应商须具备有效的《林业有害生物防治组织资质证书》。</w:t>
            </w:r>
          </w:p>
        </w:tc>
      </w:tr>
      <w:tr>
        <w:tc>
          <w:tcPr>
            <w:tcW w:type="dxa" w:w="890"/>
          </w:tcPr>
          <w:p>
            <w:r>
              <w:rPr/>
              <w:t>7</w:t>
            </w:r>
          </w:p>
        </w:tc>
        <w:tc>
          <w:tcPr>
            <w:tcW w:type="dxa" w:w="3178"/>
          </w:tcPr>
          <w:p>
            <w:r>
              <w:rPr/>
              <w:t>信用记录</w:t>
            </w:r>
          </w:p>
        </w:tc>
        <w:tc>
          <w:tcPr>
            <w:tcW w:type="dxa" w:w="4238"/>
          </w:tcPr>
          <w:p>
            <w:r>
              <w:rPr/>
              <w:t>响应供应商未被列入“信用中国”网站(www.creditchina.gov.cn)以下任意记录名单之一：①失信被执行人；②重大税收违法案件当事人名单；③政府采购严重违法失信名单。同时，不处于中国政府采购网(www.ccgp.gov.cn)“政府采购严重违法失信行为信息记录”中的禁止参加政府采购活动期间。(以采购代理机构于开标时间当天在“信用中国”网站（www.creditchina.gov.cn）及中国政府采购网(www.ccgp.gov.cn)查询结果为准，如相关记录信息已失效，供应商必须提供由该记录信息的执行或列入单位出具的相关证明材料。)；代理机构根据评审时“信用中国”网站（www.creditchina.gov.cn）、中国政府采购网 （www.ccgp.gov.cn）查询的主体信用记录信息，对列入失信被执行人、税收、政府采购、环境保护、知识产权等领域严重失信行为的主体，依法拒绝其参与政府采购活动。如查询结果未显示存在失信记录，视为评审时未发现不良信用记录。</w:t>
            </w:r>
          </w:p>
        </w:tc>
      </w:tr>
      <w:tr>
        <w:tc>
          <w:tcPr>
            <w:tcW w:type="dxa" w:w="890"/>
          </w:tcPr>
          <w:p>
            <w:r>
              <w:rPr/>
              <w:t>8</w:t>
            </w:r>
          </w:p>
        </w:tc>
        <w:tc>
          <w:tcPr>
            <w:tcW w:type="dxa" w:w="3178"/>
          </w:tcPr>
          <w:p>
            <w:r>
              <w:rPr/>
              <w:t>供应商必须符合法律、行政法规规定的其他条件</w:t>
            </w:r>
          </w:p>
        </w:tc>
        <w:tc>
          <w:tcPr>
            <w:tcW w:type="dxa" w:w="4238"/>
          </w:tcPr>
          <w:p>
            <w:r>
              <w:rPr/>
              <w:t>前期为采购项目提供整体设计、规范编制或者项目管理、监理、检测等服务的供应商，不得再参加同一采购项目的其他采购活动的书面声明。（可参照投标（响应）文件格式的相关声明格式内容）。 单位负责人为同一人或者存在直接控股、管理关系的不同供应商，不得参加同一合同项下的政府采购活动的承诺函。（可参照投标（响应）文件格式的相关声明格式内容）。</w:t>
            </w:r>
          </w:p>
        </w:tc>
      </w:tr>
      <w:tr>
        <w:tc>
          <w:tcPr>
            <w:tcW w:type="dxa" w:w="890"/>
          </w:tcPr>
          <w:p>
            <w:r>
              <w:rPr/>
              <w:t>9</w:t>
            </w:r>
          </w:p>
        </w:tc>
        <w:tc>
          <w:tcPr>
            <w:tcW w:type="dxa" w:w="3178"/>
          </w:tcPr>
          <w:p>
            <w:r>
              <w:rPr/>
              <w:t>联合体</w:t>
            </w:r>
          </w:p>
        </w:tc>
        <w:tc>
          <w:tcPr>
            <w:tcW w:type="dxa" w:w="4238"/>
          </w:tcPr>
          <w:p>
            <w:r>
              <w:rPr/>
              <w:t>本项目不接受联合体参加磋商。</w:t>
            </w:r>
          </w:p>
        </w:tc>
      </w:tr>
      <w:tr>
        <w:tc>
          <w:tcPr>
            <w:tcW w:type="dxa" w:w="890"/>
          </w:tcPr>
          <w:p>
            <w:r>
              <w:rPr/>
              <w:t>10</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采购包1（2022年阳春市林业有害生物薇甘菊综合防治（第一标段）项目）：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商务和技术内容</w:t>
            </w:r>
          </w:p>
        </w:tc>
        <w:tc>
          <w:tcPr>
            <w:tcW w:type="dxa" w:w="4238"/>
          </w:tcPr>
          <w:p>
            <w:r>
              <w:rPr/>
              <w:t>商务和技术内容无明显偏离“采购项目内容”的要求；</w:t>
            </w:r>
          </w:p>
        </w:tc>
      </w:tr>
      <w:tr>
        <w:tc>
          <w:tcPr>
            <w:tcW w:type="dxa" w:w="890"/>
          </w:tcPr>
          <w:p>
            <w:r>
              <w:rPr/>
              <w:t>2</w:t>
            </w:r>
          </w:p>
        </w:tc>
        <w:tc>
          <w:tcPr>
            <w:tcW w:type="dxa" w:w="3178"/>
          </w:tcPr>
          <w:p>
            <w:r>
              <w:rPr/>
              <w:t>报价</w:t>
            </w:r>
          </w:p>
        </w:tc>
        <w:tc>
          <w:tcPr>
            <w:tcW w:type="dxa" w:w="4238"/>
          </w:tcPr>
          <w:p>
            <w:r>
              <w:rPr/>
              <w:t>报价是否符合磋商文件的要求；</w:t>
            </w:r>
          </w:p>
        </w:tc>
      </w:tr>
      <w:tr>
        <w:tc>
          <w:tcPr>
            <w:tcW w:type="dxa" w:w="890"/>
          </w:tcPr>
          <w:p>
            <w:r>
              <w:rPr/>
              <w:t>3</w:t>
            </w:r>
          </w:p>
        </w:tc>
        <w:tc>
          <w:tcPr>
            <w:tcW w:type="dxa" w:w="3178"/>
          </w:tcPr>
          <w:p>
            <w:r>
              <w:rPr/>
              <w:t>实质性响应磋商文件要求</w:t>
            </w:r>
          </w:p>
        </w:tc>
        <w:tc>
          <w:tcPr>
            <w:tcW w:type="dxa" w:w="4238"/>
          </w:tcPr>
          <w:p>
            <w:r>
              <w:rPr/>
              <w:t>磋商响应文件实质性响应磋商文件要求，且无经磋商小组成员认定为无效响应的；</w:t>
            </w:r>
          </w:p>
        </w:tc>
      </w:tr>
      <w:tr>
        <w:tc>
          <w:tcPr>
            <w:tcW w:type="dxa" w:w="890"/>
          </w:tcPr>
          <w:p>
            <w:r>
              <w:rPr/>
              <w:t>4</w:t>
            </w:r>
          </w:p>
        </w:tc>
        <w:tc>
          <w:tcPr>
            <w:tcW w:type="dxa" w:w="3178"/>
          </w:tcPr>
          <w:p>
            <w:r>
              <w:rPr/>
              <w:t>其他</w:t>
            </w:r>
          </w:p>
        </w:tc>
        <w:tc>
          <w:tcPr>
            <w:tcW w:type="dxa" w:w="4238"/>
          </w:tcPr>
          <w:p>
            <w:r>
              <w:rPr/>
              <w:t>按有关法律、法规、规章不属于响应无效的。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2022年阳春市林业有害生物薇甘菊综合防治（第一标段）项目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商务部分43.0分</w:t>
            </w:r>
          </w:p>
          <w:p>
            <w:r>
              <w:rPr/>
              <w:t>技术部分47.0分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对项目现状的了解程度 (8.0分)</w:t>
            </w:r>
          </w:p>
        </w:tc>
        <w:tc>
          <w:tcPr>
            <w:tcW w:type="dxa" w:w="5076"/>
          </w:tcPr>
          <w:p>
            <w:pPr>
              <w:jc w:val="left"/>
            </w:pPr>
            <w:r>
              <w:rPr/>
              <w:t>根据投标（响应）供应商对项目现状的了解程度进行综合评审： 1.对项目的情况完全熟悉，能够完全对现状描述清楚详细的得8分； 2.对项目的情况基本熟悉，能够基本对现状描述清楚的得5分； 3.对项目的情况了解程度一般，对现状描述一般的得2分； 4.对项目的情况不了解，无法描述现状的得0分。</w:t>
            </w:r>
          </w:p>
        </w:tc>
      </w:tr>
      <w:tr>
        <w:tc>
          <w:tcPr>
            <w:tcW w:type="dxa" w:w="922"/>
            <w:gridSpan w:val="2"/>
            <w:vMerge/>
          </w:tcPr>
          <w:p/>
        </w:tc>
        <w:tc>
          <w:tcPr>
            <w:tcW w:type="dxa" w:w="2307"/>
          </w:tcPr>
          <w:p>
            <w:pPr>
              <w:jc w:val="left"/>
            </w:pPr>
            <w:r>
              <w:rPr/>
              <w:t>项目实施方案 (15.0分)</w:t>
            </w:r>
          </w:p>
        </w:tc>
        <w:tc>
          <w:tcPr>
            <w:tcW w:type="dxa" w:w="5076"/>
          </w:tcPr>
          <w:p>
            <w:pPr>
              <w:jc w:val="left"/>
            </w:pPr>
            <w:r>
              <w:rPr/>
              <w:t>根据投标（响应）供应商的项目实施方案进行综合评审： 1.对项目实施的重点、难点有先进、合理的建议，解决方案合理、安全、切实可行的得15分； 2.对项目实施的重点、难点有基本合理的建议，解决方案基本合理、可行的得10分； 3.对项目实施的重点、难点的分析一般，解决方案一般的得5分； 4.对项目实施的重点、难点的分析较差，解决方案较差的得1分。 （无提供方案不得分）</w:t>
            </w:r>
          </w:p>
        </w:tc>
      </w:tr>
      <w:tr>
        <w:tc>
          <w:tcPr>
            <w:tcW w:type="dxa" w:w="922"/>
            <w:gridSpan w:val="2"/>
            <w:vMerge/>
          </w:tcPr>
          <w:p/>
        </w:tc>
        <w:tc>
          <w:tcPr>
            <w:tcW w:type="dxa" w:w="2307"/>
          </w:tcPr>
          <w:p>
            <w:pPr>
              <w:jc w:val="left"/>
            </w:pPr>
            <w:r>
              <w:rPr/>
              <w:t>质量承诺保障措施 (12.0分)</w:t>
            </w:r>
          </w:p>
        </w:tc>
        <w:tc>
          <w:tcPr>
            <w:tcW w:type="dxa" w:w="5076"/>
          </w:tcPr>
          <w:p>
            <w:pPr>
              <w:jc w:val="left"/>
            </w:pPr>
            <w:r>
              <w:rPr/>
              <w:t>根据投标（响应）供应商的质量保障措施进行综合评审： 1.质量承诺保障措施完整合理、可操作性强的得12分； 2.质量承诺保障措施基本完整、可操作性较强的得8分； 3.质量承诺保障措施不完整、可操作性一般的得4分； 4.质量承诺保障措施较差，可操作性较差的得1分。 （无提供质量承诺保障措施不得分）</w:t>
            </w:r>
          </w:p>
        </w:tc>
      </w:tr>
      <w:tr>
        <w:tc>
          <w:tcPr>
            <w:tcW w:type="dxa" w:w="922"/>
            <w:gridSpan w:val="2"/>
            <w:vMerge/>
          </w:tcPr>
          <w:p/>
        </w:tc>
        <w:tc>
          <w:tcPr>
            <w:tcW w:type="dxa" w:w="2307"/>
          </w:tcPr>
          <w:p>
            <w:pPr>
              <w:jc w:val="left"/>
            </w:pPr>
            <w:r>
              <w:rPr/>
              <w:t>作业进度计划及保障措施 (12.0分)</w:t>
            </w:r>
          </w:p>
        </w:tc>
        <w:tc>
          <w:tcPr>
            <w:tcW w:type="dxa" w:w="5076"/>
          </w:tcPr>
          <w:p>
            <w:pPr>
              <w:jc w:val="left"/>
            </w:pPr>
            <w:r>
              <w:rPr/>
              <w:t>根据各投标（响应）供应商对本项目提供的作业进度计划及保障措施进行评审： 1．作业进度计划及措施全面、科学、合理，可行性高的，得12分； 2. 作业进度计划及措施较全面、较科学、较合理，可行性较高的，得8分； 3. 作业进度计划及措施不够全面、基本合理，可行性一般的，得 4分； 4. 作业进度计划及措施较差、不合理的得1分。 （无提供作业进度计划及措施不得分）</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投标（响应）供应商自 2017 年1月1日至今独立承接过林业有害生物防治专项业绩（如薇甘菊、松材线虫等），提供中标通知书和合同复印件、招标及中标公告打印件、公告查询网址，每个业绩得2分，本项最高得10分。注：项目业绩时间以签订合同时间为准，提供复印件加盖公章，不提供不得分。</w:t>
            </w:r>
          </w:p>
        </w:tc>
      </w:tr>
      <w:tr>
        <w:tc>
          <w:tcPr>
            <w:tcW w:type="dxa" w:w="922"/>
            <w:gridSpan w:val="2"/>
            <w:vMerge/>
          </w:tcPr>
          <w:p/>
        </w:tc>
        <w:tc>
          <w:tcPr>
            <w:tcW w:type="dxa" w:w="2307"/>
          </w:tcPr>
          <w:p>
            <w:pPr>
              <w:jc w:val="left"/>
            </w:pPr>
            <w:r>
              <w:rPr/>
              <w:t>综合实力 (2.0分)</w:t>
            </w:r>
          </w:p>
        </w:tc>
        <w:tc>
          <w:tcPr>
            <w:tcW w:type="dxa" w:w="5076"/>
          </w:tcPr>
          <w:p>
            <w:pPr>
              <w:jc w:val="left"/>
            </w:pPr>
            <w:r>
              <w:rPr/>
              <w:t>投标（响应）供应商具有近三年（信用记录主体成立不足三年的，以成立时间为起点）由第三方信用服务机构根据信用记录情况出具相应的符合国家规范或行业标准出具的信用报告，得2分；无则不得分。（注：以提供合法的第三方信用服务机构出具的信用记录或信用报告为准；信用报告必须由合法第三方信用服务机构出具，投标（响应）供应商须附上该信用机构在法律法规规定的监管部门或行业主管部门（中国人民银行等部门）进行备案的相关证明资料，投标文件中提供相关复印件加盖公章）。（须提供相关证明材料复印件加盖公章，不提供不得分）</w:t>
            </w:r>
          </w:p>
        </w:tc>
      </w:tr>
      <w:tr>
        <w:tc>
          <w:tcPr>
            <w:tcW w:type="dxa" w:w="922"/>
            <w:gridSpan w:val="2"/>
            <w:vMerge/>
          </w:tcPr>
          <w:p/>
        </w:tc>
        <w:tc>
          <w:tcPr>
            <w:tcW w:type="dxa" w:w="2307"/>
          </w:tcPr>
          <w:p>
            <w:pPr>
              <w:jc w:val="left"/>
            </w:pPr>
            <w:r>
              <w:rPr/>
              <w:t>综合实力 (6.0分)</w:t>
            </w:r>
          </w:p>
        </w:tc>
        <w:tc>
          <w:tcPr>
            <w:tcW w:type="dxa" w:w="5076"/>
          </w:tcPr>
          <w:p>
            <w:pPr>
              <w:jc w:val="left"/>
            </w:pPr>
            <w:r>
              <w:rPr/>
              <w:t>投标（响应）供应商具有有效期内的如下证书，各得2分： ①质量管理体系认证； ②职业健康安全管理体系认证； ③环境管理体系认证。 注：证书覆盖范围必须包含（林业有害生物防治服务），须提供证书复印件及中国国家认证认可监督管理委员会（网址：http://www.cnca.gov.cn/）查询打印页和证书复印件并加盖公章。 （须提供相关证明材料复印件加盖公章，不提供不得分）</w:t>
            </w:r>
          </w:p>
        </w:tc>
      </w:tr>
      <w:tr>
        <w:tc>
          <w:tcPr>
            <w:tcW w:type="dxa" w:w="922"/>
            <w:gridSpan w:val="2"/>
            <w:vMerge/>
          </w:tcPr>
          <w:p/>
        </w:tc>
        <w:tc>
          <w:tcPr>
            <w:tcW w:type="dxa" w:w="2307"/>
          </w:tcPr>
          <w:p>
            <w:pPr>
              <w:jc w:val="left"/>
            </w:pPr>
            <w:r>
              <w:rPr/>
              <w:t>综合实力 (6.0分)</w:t>
            </w:r>
          </w:p>
        </w:tc>
        <w:tc>
          <w:tcPr>
            <w:tcW w:type="dxa" w:w="5076"/>
          </w:tcPr>
          <w:p>
            <w:pPr>
              <w:jc w:val="left"/>
            </w:pPr>
            <w:r>
              <w:rPr/>
              <w:t>服务便捷性，根据投标（响应）供应商设立的服务机构距离业主单位所在地的距离远近进行评审：  （1）服务便捷性为优得6分；  （2）服务便捷性为良的得3分；  （3）服务便捷性为一般的得1分。  注：服务机构的设立以营业执照复印件加盖公章为评审依据，并同时提供百度地图行车里程截图证明，不提供不得分。</w:t>
            </w:r>
          </w:p>
        </w:tc>
      </w:tr>
      <w:tr>
        <w:tc>
          <w:tcPr>
            <w:tcW w:type="dxa" w:w="922"/>
            <w:gridSpan w:val="2"/>
            <w:vMerge/>
          </w:tcPr>
          <w:p/>
        </w:tc>
        <w:tc>
          <w:tcPr>
            <w:tcW w:type="dxa" w:w="2307"/>
          </w:tcPr>
          <w:p>
            <w:pPr>
              <w:jc w:val="left"/>
            </w:pPr>
            <w:r>
              <w:rPr/>
              <w:t>技术力量 (19.0分)</w:t>
            </w:r>
          </w:p>
        </w:tc>
        <w:tc>
          <w:tcPr>
            <w:tcW w:type="dxa" w:w="5076"/>
          </w:tcPr>
          <w:p>
            <w:pPr>
              <w:jc w:val="left"/>
            </w:pPr>
            <w:r>
              <w:rPr/>
              <w:t>投标（响应）供应商拟投入本项目的技术人员中： 1.技术负责人为林业高级工程师或以上职称的得5分，为林业（中级）工程师的得3分，其他的不得分，本小项最高得5分。 2.项目负责人持有“林业（高级）工程师”的得3分，持有“林业（中级）工程师”的得1分，本小项最高得3分； 3.除上述2项人员外，投标（响应）供应商每提供1名“有害生物防治员”的技术人员得1分，本小项最高得5分。 注：提供相关证书原件，复印件加盖公章，不提供不得分，同一人不重复得分，无或未提供原件不得分。 4.所使用的防治药剂安全，高效，针对性强，保障到位，本项目所需药剂需提供有效的农药三证。（1、农药生产许可证、2农药登记证、3企业标准），每提供1份证件得1分，三证都提供得5分。 5.所使用的防治药剂为2021年最新的国家林业和草原局推荐使用的林业用药剂，提供国家林业和草原局推荐文件。提供得1分。 注：提供上述证明文件的复印件加盖生产商的公章。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30"/>
        </w:rPr>
        <w:t>广东省政府采购</w:t>
      </w:r>
    </w:p>
    <w:p>
      <w:pPr>
        <w:jc w:val="both"/>
      </w:pPr>
      <w:r>
        <w:rPr>
          <w:color w:val="222222"/>
          <w:sz w:val="30"/>
        </w:rPr>
        <w:t xml:space="preserve"> </w:t>
      </w:r>
    </w:p>
    <w:p>
      <w:pPr>
        <w:jc w:val="center"/>
      </w:pPr>
      <w:r>
        <w:rPr>
          <w:b/>
          <w:sz w:val="30"/>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sz w:val="30"/>
          <w:u w:val="single"/>
        </w:rPr>
        <w:t>441781-2022-01810</w:t>
      </w:r>
      <w:r>
        <w:rPr>
          <w:u w:val="single"/>
        </w:rPr>
        <w:t xml:space="preserve"> </w:t>
      </w:r>
      <w:r>
        <w:rPr>
          <w:u w:val="single"/>
        </w:rPr>
        <w:t xml:space="preserve">  </w:t>
      </w:r>
    </w:p>
    <w:p>
      <w:pPr>
        <w:jc w:val="center"/>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sz w:val="30"/>
          <w:u w:val="single"/>
        </w:rPr>
        <w:t>GDZY20220623012</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sz w:val="30"/>
          <w:u w:val="single"/>
        </w:rPr>
        <w:t xml:space="preserve">项目名称：2022年阳春市林业有害生物薇甘菊综合防治（第一标段）项目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w:t>
      </w:r>
      <w:r>
        <w:rPr>
          <w:sz w:val="27"/>
        </w:rPr>
        <w:t>以广州宏大林业有限公司编制的《2022年阳春市林业有害生物薇甘菊综合防治（第一标段）作业设计书》为准。主要是罗阳高速阳春境内全线、汕湛高速阳春境内全线及部分县道、乡道、村道等重要道路两旁外100米范围内，部分圩镇、森林公园等重要地方的周边，涉及防治范围面积544735亩，需要喷药防治的面积6000亩，各个防治地点、面积及长度等情况详见《2022年阳春市林业有害生物薇甘菊综合防治（第一标段）作业设计书》。</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w:t>
      </w:r>
      <w:r>
        <w:rPr>
          <w:color w:val="222222"/>
          <w:sz w:val="27"/>
        </w:rPr>
        <w:t>2023年10月31日前完成</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w:t>
      </w:r>
      <w:r>
        <w:rPr>
          <w:color w:val="222222"/>
          <w:sz w:val="21"/>
        </w:rPr>
        <w:t xml:space="preserve"> </w:t>
      </w:r>
      <w:r>
        <w:rPr>
          <w:color w:val="222222"/>
          <w:sz w:val="27"/>
        </w:rPr>
        <w:t>合同签订后中标供应商进场正常作业15天后支付合同总价30%的预付款。</w:t>
      </w:r>
    </w:p>
    <w:p>
      <w:pPr>
        <w:jc w:val="both"/>
      </w:pPr>
      <w:r>
        <w:rPr>
          <w:sz w:val="27"/>
        </w:rPr>
        <w:t xml:space="preserve">  2、2022年11月底至12月中进行中期验收，验收合格支付合同总价40%的进度款。</w:t>
      </w:r>
    </w:p>
    <w:p>
      <w:pPr>
        <w:jc w:val="both"/>
      </w:pPr>
      <w:r>
        <w:rPr>
          <w:sz w:val="27"/>
        </w:rPr>
        <w:t xml:space="preserve">  3、前项目整体验收合格支付合同余款。</w:t>
      </w:r>
    </w:p>
    <w:p>
      <w:pPr>
        <w:jc w:val="both"/>
      </w:pPr>
      <w:r>
        <w:rPr>
          <w:sz w:val="27"/>
        </w:rPr>
        <w:t xml:space="preserve">  4、采购人在上述支付时间完成请款即可，款项具体到账时间以阳春市财政局划账为准。</w:t>
      </w:r>
    </w:p>
    <w:p>
      <w:pPr>
        <w:jc w:val="both"/>
      </w:pP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jc w:val="both"/>
      </w:pPr>
      <w:r>
        <w:rPr>
          <w:color w:val="222222"/>
          <w:sz w:val="27"/>
        </w:rPr>
        <w:t>签定地点：</w:t>
      </w:r>
    </w:p>
    <w:p>
      <w:pPr>
        <w:jc w:val="both"/>
      </w:pPr>
      <w:r>
        <w:rPr>
          <w:color w:val="222222"/>
          <w:sz w:val="27"/>
        </w:rPr>
        <w:t>签定日期：　　　年　　月　　日</w:t>
      </w:r>
      <w:r>
        <w:rPr>
          <w:color w:val="222222"/>
          <w:sz w:val="27"/>
        </w:rPr>
        <w:t xml:space="preserve"> </w:t>
      </w:r>
      <w:r>
        <w:rPr>
          <w:color w:val="222222"/>
          <w:sz w:val="27"/>
        </w:rPr>
        <w:t>签定日期：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441781-2022-01810</w:t>
      </w:r>
    </w:p>
    <w:p>
      <w:pPr>
        <w:jc w:val="center"/>
      </w:pPr>
      <w:r>
        <w:rPr>
          <w:b/>
          <w:sz w:val="24"/>
        </w:rPr>
        <w:t>采购项目编号：</w:t>
      </w:r>
      <w:r>
        <w:rPr>
          <w:b/>
          <w:sz w:val="24"/>
        </w:rPr>
        <w:t>GDZY20220623012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广东正渝工程管理有限公司</w:t>
      </w:r>
    </w:p>
    <w:p>
      <w:pPr>
        <w:ind w:firstLine="480"/>
      </w:pPr>
      <w:r>
        <w:rPr/>
        <w:t>你方组织的</w:t>
      </w:r>
      <w:r>
        <w:rPr>
          <w:u w:val="single"/>
        </w:rPr>
        <w:t>2022年阳春市林业有害生物薇甘菊综合防治（第一标段）项目</w:t>
      </w:r>
      <w:r>
        <w:rPr/>
        <w:t>项目的竞争性磋商[采购项目编号为：</w:t>
      </w:r>
      <w:r>
        <w:rPr>
          <w:u w:val="single"/>
        </w:rPr>
        <w:t>GDZY20220623012</w:t>
      </w:r>
      <w:r>
        <w:rPr/>
        <w:t>]，我方愿参与响应。</w:t>
      </w:r>
    </w:p>
    <w:p>
      <w:pPr>
        <w:ind w:firstLine="480"/>
      </w:pPr>
      <w:r>
        <w:rPr/>
        <w:t>我方确认收到贵方提供的</w:t>
      </w:r>
      <w:r>
        <w:rPr>
          <w:u w:val="single"/>
        </w:rPr>
        <w:t>2022年阳春市林业有害生物薇甘菊综合防治（第一标段）项目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广东正渝工程管理有限公司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2022年阳春市林业有害生物薇甘菊综合防治（第一标段）项目</w:t>
      </w:r>
      <w:r>
        <w:rPr/>
        <w:t>项目采购[采购项目编号为</w:t>
      </w:r>
      <w:r>
        <w:rPr/>
        <w:t>GDZY20220623012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广东正渝工程管理有限公司</w:t>
      </w:r>
    </w:p>
    <w:p>
      <w:pPr>
        <w:ind w:firstLine="480"/>
      </w:pPr>
      <w:r>
        <w:rPr/>
        <w:t>我单位参加贵公司组织的</w:t>
      </w:r>
      <w:r>
        <w:rPr/>
        <w:t>2022年阳春市林业有害生物薇甘菊综合防治（第一标段）项目</w:t>
      </w:r>
      <w:r>
        <w:rPr/>
        <w:t>（采购项目编号：</w:t>
      </w:r>
      <w:r>
        <w:rPr/>
        <w:t>GDZY20220623012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广东正渝工程管理有限公司</w:t>
      </w:r>
    </w:p>
    <w:p>
      <w:pPr>
        <w:ind w:firstLine="480"/>
      </w:pPr>
      <w:r>
        <w:rPr/>
        <w:t>我单位已登记并准备参与</w:t>
      </w:r>
      <w:r>
        <w:rPr/>
        <w:t>2022年阳春市林业有害生物薇甘菊综合防治（第一标段）项目</w:t>
      </w:r>
      <w:r>
        <w:rPr/>
        <w:t>项目（采购项目编号：</w:t>
      </w:r>
      <w:r>
        <w:rPr/>
        <w:t>GDZY20220623012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