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D" w:rsidRPr="00B37291" w:rsidRDefault="00842A0B" w:rsidP="004154C7">
      <w:pPr>
        <w:spacing w:line="360" w:lineRule="auto"/>
        <w:ind w:firstLineChars="500" w:firstLine="1606"/>
        <w:jc w:val="left"/>
        <w:outlineLvl w:val="0"/>
        <w:rPr>
          <w:rFonts w:ascii="仿宋" w:eastAsia="仿宋" w:hAnsi="仿宋" w:cs="宋体"/>
          <w:b/>
          <w:bCs/>
          <w:sz w:val="32"/>
          <w:szCs w:val="32"/>
        </w:rPr>
      </w:pPr>
      <w:r w:rsidRPr="00D215F6">
        <w:rPr>
          <w:rFonts w:ascii="仿宋" w:eastAsia="仿宋" w:hAnsi="仿宋" w:cs="宋体" w:hint="eastAsia"/>
          <w:b/>
          <w:bCs/>
          <w:sz w:val="32"/>
          <w:szCs w:val="32"/>
        </w:rPr>
        <w:t>航天金融大厦</w:t>
      </w:r>
      <w:r w:rsidR="00B37291" w:rsidRPr="00B37291">
        <w:rPr>
          <w:rFonts w:ascii="仿宋" w:eastAsia="仿宋" w:hAnsi="仿宋" w:cs="宋体" w:hint="eastAsia"/>
          <w:b/>
          <w:bCs/>
          <w:sz w:val="32"/>
          <w:szCs w:val="32"/>
        </w:rPr>
        <w:t>有害生物防治</w:t>
      </w:r>
      <w:r w:rsidR="00322D8F" w:rsidRPr="00B37291">
        <w:rPr>
          <w:rFonts w:ascii="仿宋" w:eastAsia="仿宋" w:hAnsi="仿宋" w:cs="宋体" w:hint="eastAsia"/>
          <w:b/>
          <w:bCs/>
          <w:sz w:val="32"/>
          <w:szCs w:val="32"/>
        </w:rPr>
        <w:t>项目需求</w:t>
      </w:r>
    </w:p>
    <w:p w:rsidR="00D215F6" w:rsidRPr="00D215F6" w:rsidRDefault="00D215F6" w:rsidP="00D215F6">
      <w:pPr>
        <w:spacing w:line="360" w:lineRule="auto"/>
        <w:ind w:firstLineChars="300" w:firstLine="964"/>
        <w:jc w:val="center"/>
        <w:outlineLvl w:val="0"/>
        <w:rPr>
          <w:rFonts w:ascii="仿宋" w:eastAsia="仿宋" w:hAnsi="仿宋" w:cs="宋体"/>
          <w:b/>
          <w:bCs/>
          <w:sz w:val="32"/>
          <w:szCs w:val="32"/>
        </w:rPr>
      </w:pPr>
    </w:p>
    <w:p w:rsidR="0054382E" w:rsidRPr="00765EB7" w:rsidRDefault="00842A0B" w:rsidP="00765EB7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5EB7">
        <w:rPr>
          <w:rFonts w:ascii="仿宋" w:eastAsia="仿宋" w:hAnsi="仿宋" w:hint="eastAsia"/>
          <w:sz w:val="28"/>
          <w:szCs w:val="28"/>
        </w:rPr>
        <w:t>为</w:t>
      </w:r>
      <w:r w:rsidR="00B37291">
        <w:rPr>
          <w:rFonts w:ascii="仿宋" w:eastAsia="仿宋" w:hAnsi="仿宋" w:hint="eastAsia"/>
          <w:sz w:val="28"/>
          <w:szCs w:val="28"/>
        </w:rPr>
        <w:t>加强</w:t>
      </w:r>
      <w:r w:rsidRPr="00765EB7">
        <w:rPr>
          <w:rFonts w:ascii="仿宋" w:eastAsia="仿宋" w:hAnsi="仿宋" w:hint="eastAsia"/>
          <w:sz w:val="28"/>
          <w:szCs w:val="28"/>
        </w:rPr>
        <w:t>航天金融大厦</w:t>
      </w:r>
      <w:r w:rsidR="00B37291" w:rsidRPr="00C629A4">
        <w:rPr>
          <w:rFonts w:ascii="仿宋" w:eastAsia="仿宋" w:hAnsi="仿宋" w:hint="eastAsia"/>
          <w:sz w:val="28"/>
          <w:szCs w:val="28"/>
        </w:rPr>
        <w:t>鼠、蟑螂、蚊、蝇四害防治，</w:t>
      </w:r>
      <w:r w:rsidR="00967C1E">
        <w:rPr>
          <w:rFonts w:ascii="仿宋" w:eastAsia="仿宋" w:hAnsi="仿宋" w:hint="eastAsia"/>
          <w:sz w:val="28"/>
          <w:szCs w:val="28"/>
        </w:rPr>
        <w:t>达到综合防治、预防为主的目的，保障</w:t>
      </w:r>
      <w:r w:rsidR="00C629A4" w:rsidRPr="00C629A4">
        <w:rPr>
          <w:rFonts w:ascii="仿宋" w:eastAsia="仿宋" w:hAnsi="仿宋" w:hint="eastAsia"/>
          <w:sz w:val="28"/>
          <w:szCs w:val="28"/>
        </w:rPr>
        <w:t>大厦内整体及餐厅等部位不受四害侵害</w:t>
      </w:r>
      <w:r w:rsidR="008B280B" w:rsidRPr="00765EB7">
        <w:rPr>
          <w:rFonts w:ascii="仿宋" w:eastAsia="仿宋" w:hAnsi="仿宋" w:hint="eastAsia"/>
          <w:sz w:val="28"/>
          <w:szCs w:val="28"/>
        </w:rPr>
        <w:t>。</w:t>
      </w:r>
      <w:r w:rsidR="00B60A4B">
        <w:rPr>
          <w:rFonts w:ascii="仿宋" w:eastAsia="仿宋" w:hAnsi="仿宋" w:hint="eastAsia"/>
          <w:sz w:val="28"/>
          <w:szCs w:val="28"/>
        </w:rPr>
        <w:t>根据《</w:t>
      </w:r>
      <w:r w:rsidR="00B60A4B" w:rsidRPr="00B60A4B">
        <w:rPr>
          <w:rFonts w:ascii="仿宋" w:eastAsia="仿宋" w:hAnsi="仿宋" w:hint="eastAsia"/>
          <w:sz w:val="28"/>
          <w:szCs w:val="28"/>
        </w:rPr>
        <w:t>北京市除四害工作管理规定</w:t>
      </w:r>
      <w:r w:rsidR="00B60A4B">
        <w:rPr>
          <w:rFonts w:ascii="仿宋" w:eastAsia="仿宋" w:hAnsi="仿宋" w:hint="eastAsia"/>
          <w:sz w:val="28"/>
          <w:szCs w:val="28"/>
        </w:rPr>
        <w:t>》</w:t>
      </w:r>
      <w:r w:rsidR="00774BC2">
        <w:rPr>
          <w:rFonts w:ascii="仿宋" w:eastAsia="仿宋" w:hAnsi="仿宋" w:hint="eastAsia"/>
          <w:sz w:val="28"/>
          <w:szCs w:val="28"/>
        </w:rPr>
        <w:t>的有关规定，</w:t>
      </w:r>
      <w:r w:rsidR="00C629A4" w:rsidRPr="00C629A4">
        <w:rPr>
          <w:rFonts w:ascii="仿宋" w:eastAsia="仿宋" w:hAnsi="仿宋" w:hint="eastAsia"/>
          <w:sz w:val="28"/>
          <w:szCs w:val="28"/>
        </w:rPr>
        <w:t>以《国家爱卫办除四害标准》为依据</w:t>
      </w:r>
      <w:r w:rsidRPr="00765EB7">
        <w:rPr>
          <w:rFonts w:ascii="仿宋" w:eastAsia="仿宋" w:hAnsi="仿宋" w:hint="eastAsia"/>
          <w:sz w:val="28"/>
          <w:szCs w:val="28"/>
        </w:rPr>
        <w:t>，</w:t>
      </w:r>
      <w:r w:rsidR="00E0253F" w:rsidRPr="00765EB7">
        <w:rPr>
          <w:rFonts w:ascii="仿宋" w:eastAsia="仿宋" w:hAnsi="仿宋" w:hint="eastAsia"/>
          <w:sz w:val="28"/>
          <w:szCs w:val="28"/>
        </w:rPr>
        <w:t>结合</w:t>
      </w:r>
      <w:r w:rsidR="00E0253F" w:rsidRPr="00C629A4">
        <w:rPr>
          <w:rFonts w:ascii="仿宋" w:eastAsia="仿宋" w:hAnsi="仿宋" w:hint="eastAsia"/>
          <w:sz w:val="28"/>
          <w:szCs w:val="28"/>
        </w:rPr>
        <w:t>航天金融大厦</w:t>
      </w:r>
      <w:r w:rsidR="00C629A4" w:rsidRPr="00C629A4">
        <w:rPr>
          <w:rFonts w:ascii="仿宋" w:eastAsia="仿宋" w:hAnsi="仿宋" w:hint="eastAsia"/>
          <w:sz w:val="28"/>
          <w:szCs w:val="28"/>
        </w:rPr>
        <w:t>整体情况</w:t>
      </w:r>
      <w:r w:rsidR="00B60A4B">
        <w:rPr>
          <w:rFonts w:ascii="仿宋" w:eastAsia="仿宋" w:hAnsi="仿宋" w:hint="eastAsia"/>
          <w:sz w:val="28"/>
          <w:szCs w:val="28"/>
        </w:rPr>
        <w:t>制定</w:t>
      </w:r>
      <w:r w:rsidR="00E0253F" w:rsidRPr="00C629A4">
        <w:rPr>
          <w:rFonts w:ascii="仿宋" w:eastAsia="仿宋" w:hAnsi="仿宋" w:hint="eastAsia"/>
          <w:sz w:val="28"/>
          <w:szCs w:val="28"/>
        </w:rPr>
        <w:t>以下内容的</w:t>
      </w:r>
      <w:r w:rsidR="00C629A4" w:rsidRPr="00C629A4">
        <w:rPr>
          <w:rFonts w:ascii="仿宋" w:eastAsia="仿宋" w:hAnsi="仿宋" w:hint="eastAsia"/>
          <w:sz w:val="28"/>
          <w:szCs w:val="28"/>
        </w:rPr>
        <w:t>四害防治服务</w:t>
      </w:r>
      <w:r w:rsidR="009127CE" w:rsidRPr="00C629A4">
        <w:rPr>
          <w:rFonts w:ascii="仿宋" w:eastAsia="仿宋" w:hAnsi="仿宋" w:hint="eastAsia"/>
          <w:sz w:val="28"/>
          <w:szCs w:val="28"/>
        </w:rPr>
        <w:t>需求</w:t>
      </w:r>
      <w:r w:rsidR="00E0253F" w:rsidRPr="00C629A4">
        <w:rPr>
          <w:rFonts w:ascii="仿宋" w:eastAsia="仿宋" w:hAnsi="仿宋" w:hint="eastAsia"/>
          <w:sz w:val="28"/>
          <w:szCs w:val="28"/>
        </w:rPr>
        <w:t>：</w:t>
      </w:r>
    </w:p>
    <w:p w:rsidR="000B0C70" w:rsidRPr="0073148B" w:rsidRDefault="000B0C70" w:rsidP="000B0C7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314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项目需求</w:t>
      </w:r>
    </w:p>
    <w:p w:rsidR="00C629A4" w:rsidRPr="00C629A4" w:rsidRDefault="00C629A4" w:rsidP="00C629A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C629A4">
        <w:rPr>
          <w:rFonts w:ascii="仿宋" w:eastAsia="仿宋" w:hAnsi="仿宋" w:hint="eastAsia"/>
          <w:sz w:val="28"/>
          <w:szCs w:val="28"/>
        </w:rPr>
        <w:t>1、防治</w:t>
      </w:r>
      <w:r w:rsidR="00DE6FB9" w:rsidRPr="00C629A4">
        <w:rPr>
          <w:rFonts w:ascii="仿宋" w:eastAsia="仿宋" w:hAnsi="仿宋" w:hint="eastAsia"/>
          <w:sz w:val="28"/>
          <w:szCs w:val="28"/>
        </w:rPr>
        <w:t>范围</w:t>
      </w:r>
      <w:r>
        <w:rPr>
          <w:rFonts w:ascii="仿宋" w:eastAsia="仿宋" w:hAnsi="仿宋" w:hint="eastAsia"/>
          <w:sz w:val="28"/>
          <w:szCs w:val="28"/>
        </w:rPr>
        <w:t>：</w:t>
      </w:r>
      <w:r w:rsidR="00842A0B" w:rsidRPr="00C629A4">
        <w:rPr>
          <w:rFonts w:ascii="仿宋" w:eastAsia="仿宋" w:hAnsi="仿宋" w:hint="eastAsia"/>
          <w:sz w:val="28"/>
          <w:szCs w:val="28"/>
        </w:rPr>
        <w:t>航天金融大厦</w:t>
      </w:r>
      <w:r w:rsidRPr="00C629A4">
        <w:rPr>
          <w:rFonts w:ascii="仿宋" w:eastAsia="仿宋" w:hAnsi="仿宋" w:hint="eastAsia"/>
          <w:sz w:val="28"/>
          <w:szCs w:val="28"/>
        </w:rPr>
        <w:t>内整体及餐厅</w:t>
      </w:r>
      <w:r w:rsidR="00AB5DB6">
        <w:rPr>
          <w:rFonts w:ascii="仿宋" w:eastAsia="仿宋" w:hAnsi="仿宋" w:hint="eastAsia"/>
          <w:sz w:val="28"/>
          <w:szCs w:val="28"/>
        </w:rPr>
        <w:t>、厨房</w:t>
      </w:r>
      <w:r w:rsidRPr="00C629A4">
        <w:rPr>
          <w:rFonts w:ascii="仿宋" w:eastAsia="仿宋" w:hAnsi="仿宋" w:hint="eastAsia"/>
          <w:sz w:val="28"/>
          <w:szCs w:val="28"/>
        </w:rPr>
        <w:t>（面积： 21000平米，其中餐厅940㎡）。</w:t>
      </w:r>
    </w:p>
    <w:p w:rsidR="00C629A4" w:rsidRPr="00C629A4" w:rsidRDefault="00C629A4" w:rsidP="00C629A4">
      <w:pPr>
        <w:tabs>
          <w:tab w:val="left" w:pos="-3060"/>
          <w:tab w:val="left" w:pos="960"/>
        </w:tabs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C629A4">
        <w:rPr>
          <w:rFonts w:ascii="仿宋" w:eastAsia="仿宋" w:hAnsi="仿宋" w:hint="eastAsia"/>
          <w:sz w:val="28"/>
          <w:szCs w:val="28"/>
        </w:rPr>
        <w:t>2、防治频次：餐厅</w:t>
      </w:r>
      <w:r w:rsidR="00AB5DB6">
        <w:rPr>
          <w:rFonts w:ascii="仿宋" w:eastAsia="仿宋" w:hAnsi="仿宋" w:hint="eastAsia"/>
          <w:sz w:val="28"/>
          <w:szCs w:val="28"/>
        </w:rPr>
        <w:t>、厨房</w:t>
      </w:r>
      <w:r w:rsidRPr="00C629A4">
        <w:rPr>
          <w:rFonts w:ascii="仿宋" w:eastAsia="仿宋" w:hAnsi="仿宋" w:hint="eastAsia"/>
          <w:sz w:val="28"/>
          <w:szCs w:val="28"/>
        </w:rPr>
        <w:t>：1次/月；大厦内：4次/年。</w:t>
      </w:r>
    </w:p>
    <w:p w:rsidR="00C629A4" w:rsidRPr="00C629A4" w:rsidRDefault="00C629A4" w:rsidP="00C629A4">
      <w:pPr>
        <w:tabs>
          <w:tab w:val="left" w:pos="-3060"/>
          <w:tab w:val="left" w:pos="960"/>
        </w:tabs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C629A4">
        <w:rPr>
          <w:rFonts w:ascii="仿宋" w:eastAsia="仿宋" w:hAnsi="仿宋" w:hint="eastAsia"/>
          <w:sz w:val="28"/>
          <w:szCs w:val="28"/>
        </w:rPr>
        <w:t>3、防治项目：鼠、蟑螂、蚊、蝇</w:t>
      </w:r>
    </w:p>
    <w:p w:rsidR="00842A0B" w:rsidRPr="00C629A4" w:rsidRDefault="00842A0B" w:rsidP="00C629A4">
      <w:pPr>
        <w:tabs>
          <w:tab w:val="left" w:pos="-3060"/>
          <w:tab w:val="left" w:pos="960"/>
        </w:tabs>
        <w:spacing w:line="360" w:lineRule="auto"/>
        <w:ind w:left="960"/>
        <w:rPr>
          <w:rFonts w:ascii="宋体" w:hAnsi="宋体"/>
          <w:sz w:val="24"/>
        </w:rPr>
      </w:pPr>
    </w:p>
    <w:p w:rsidR="00321538" w:rsidRPr="0073148B" w:rsidRDefault="00321538" w:rsidP="00385858">
      <w:pPr>
        <w:spacing w:line="360" w:lineRule="auto"/>
        <w:rPr>
          <w:rFonts w:ascii="仿宋" w:eastAsia="仿宋" w:hAnsi="仿宋" w:cs="Calibri"/>
          <w:bCs/>
          <w:sz w:val="28"/>
          <w:szCs w:val="28"/>
        </w:rPr>
      </w:pPr>
      <w:r w:rsidRPr="0073148B">
        <w:rPr>
          <w:rFonts w:ascii="仿宋" w:eastAsia="仿宋" w:hAnsi="仿宋" w:hint="eastAsia"/>
          <w:b/>
          <w:sz w:val="28"/>
          <w:szCs w:val="28"/>
        </w:rPr>
        <w:t>二、报价要求</w:t>
      </w:r>
    </w:p>
    <w:p w:rsidR="00321538" w:rsidRPr="0073148B" w:rsidRDefault="00321538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3148B">
        <w:rPr>
          <w:rFonts w:ascii="仿宋_GB2312" w:eastAsia="仿宋_GB2312" w:hAnsi="宋体" w:hint="eastAsia"/>
          <w:color w:val="000000"/>
          <w:sz w:val="28"/>
          <w:szCs w:val="28"/>
        </w:rPr>
        <w:t>1、</w:t>
      </w:r>
      <w:r w:rsidRPr="0073148B">
        <w:rPr>
          <w:rFonts w:ascii="仿宋_GB2312" w:eastAsia="仿宋_GB2312" w:hAnsi="宋体" w:hint="eastAsia"/>
          <w:sz w:val="28"/>
          <w:szCs w:val="28"/>
        </w:rPr>
        <w:t>本项目不接受联合体报价。</w:t>
      </w:r>
    </w:p>
    <w:p w:rsidR="00321538" w:rsidRPr="0073148B" w:rsidRDefault="00321538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3148B">
        <w:rPr>
          <w:rFonts w:ascii="仿宋_GB2312" w:eastAsia="仿宋_GB2312" w:hAnsi="宋体" w:hint="eastAsia"/>
          <w:sz w:val="28"/>
          <w:szCs w:val="28"/>
        </w:rPr>
        <w:t>2</w:t>
      </w:r>
      <w:r w:rsidR="001D744E">
        <w:rPr>
          <w:rFonts w:ascii="仿宋_GB2312" w:eastAsia="仿宋_GB2312" w:hAnsi="宋体" w:hint="eastAsia"/>
          <w:sz w:val="28"/>
          <w:szCs w:val="28"/>
        </w:rPr>
        <w:t>、报价</w:t>
      </w:r>
      <w:r w:rsidRPr="0073148B">
        <w:rPr>
          <w:rFonts w:ascii="仿宋_GB2312" w:eastAsia="仿宋_GB2312" w:hAnsi="宋体" w:hint="eastAsia"/>
          <w:sz w:val="28"/>
          <w:szCs w:val="28"/>
        </w:rPr>
        <w:t>须经现场</w:t>
      </w:r>
      <w:r w:rsidR="0096616C">
        <w:rPr>
          <w:rFonts w:ascii="仿宋_GB2312" w:eastAsia="仿宋_GB2312" w:hAnsi="宋体" w:hint="eastAsia"/>
          <w:sz w:val="28"/>
          <w:szCs w:val="28"/>
        </w:rPr>
        <w:t>勘探</w:t>
      </w:r>
      <w:r w:rsidR="00AC7D6A">
        <w:rPr>
          <w:rFonts w:ascii="仿宋_GB2312" w:eastAsia="仿宋_GB2312" w:hAnsi="宋体" w:hint="eastAsia"/>
          <w:sz w:val="28"/>
          <w:szCs w:val="28"/>
        </w:rPr>
        <w:t>确定。现场勘探联系人：</w:t>
      </w:r>
      <w:r w:rsidR="00555505">
        <w:rPr>
          <w:rFonts w:ascii="仿宋_GB2312" w:eastAsia="仿宋_GB2312" w:hAnsi="宋体" w:hint="eastAsia"/>
          <w:sz w:val="28"/>
          <w:szCs w:val="28"/>
        </w:rPr>
        <w:t>刘</w:t>
      </w:r>
      <w:r w:rsidR="00AC7D6A">
        <w:rPr>
          <w:rFonts w:ascii="仿宋_GB2312" w:eastAsia="仿宋_GB2312" w:hAnsi="宋体" w:hint="eastAsia"/>
          <w:sz w:val="28"/>
          <w:szCs w:val="28"/>
        </w:rPr>
        <w:t>经理</w:t>
      </w:r>
      <w:r w:rsidRPr="0073148B">
        <w:rPr>
          <w:rFonts w:ascii="仿宋_GB2312" w:eastAsia="仿宋_GB2312" w:hAnsi="宋体" w:hint="eastAsia"/>
          <w:sz w:val="28"/>
          <w:szCs w:val="28"/>
        </w:rPr>
        <w:t>，010-66251798，勘探完成后双方签字确认。未经过实地勘探的报价为无效报价。</w:t>
      </w:r>
    </w:p>
    <w:p w:rsidR="00321538" w:rsidRPr="0073148B" w:rsidRDefault="00321538" w:rsidP="0073148B">
      <w:pPr>
        <w:ind w:firstLineChars="200" w:firstLine="560"/>
        <w:rPr>
          <w:rFonts w:ascii="仿宋_GB2312" w:eastAsia="仿宋_GB2312" w:hAnsi="Arial" w:cs="宋体"/>
          <w:color w:val="000000"/>
          <w:kern w:val="0"/>
          <w:sz w:val="28"/>
          <w:szCs w:val="28"/>
        </w:rPr>
      </w:pPr>
      <w:r w:rsidRPr="0073148B">
        <w:rPr>
          <w:rFonts w:ascii="仿宋_GB2312" w:eastAsia="仿宋_GB2312" w:hAnsi="宋体" w:hint="eastAsia"/>
          <w:sz w:val="28"/>
          <w:szCs w:val="28"/>
        </w:rPr>
        <w:t>3、乙方出具的报价，应包含</w:t>
      </w:r>
      <w:r w:rsidRPr="0073148B">
        <w:rPr>
          <w:rFonts w:ascii="仿宋_GB2312" w:eastAsia="仿宋_GB2312" w:hAnsi="Arial" w:cs="宋体" w:hint="eastAsia"/>
          <w:color w:val="000000"/>
          <w:kern w:val="0"/>
          <w:sz w:val="28"/>
          <w:szCs w:val="28"/>
        </w:rPr>
        <w:t>管理费、人工费、税金、劳保费、保险、运输、调试、等乙方同完成本项目相关内容的所有费用。</w:t>
      </w:r>
    </w:p>
    <w:p w:rsidR="00321538" w:rsidRPr="0073148B" w:rsidRDefault="00321538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3148B">
        <w:rPr>
          <w:rFonts w:ascii="仿宋_GB2312" w:eastAsia="仿宋_GB2312" w:hAnsi="Arial" w:cs="宋体" w:hint="eastAsia"/>
          <w:color w:val="000000"/>
          <w:kern w:val="0"/>
          <w:sz w:val="28"/>
          <w:szCs w:val="28"/>
        </w:rPr>
        <w:t>4、</w:t>
      </w:r>
      <w:r w:rsidRPr="0073148B">
        <w:rPr>
          <w:rFonts w:ascii="仿宋_GB2312" w:eastAsia="仿宋_GB2312" w:hAnsi="宋体" w:hint="eastAsia"/>
          <w:color w:val="000000"/>
          <w:sz w:val="28"/>
          <w:szCs w:val="28"/>
        </w:rPr>
        <w:t>除报价单外，乙方还应一并附上</w:t>
      </w:r>
      <w:r w:rsidR="0025575B">
        <w:rPr>
          <w:rFonts w:ascii="仿宋_GB2312" w:eastAsia="仿宋_GB2312" w:hAnsi="宋体" w:hint="eastAsia"/>
          <w:color w:val="000000"/>
          <w:sz w:val="28"/>
          <w:szCs w:val="28"/>
        </w:rPr>
        <w:t>防治</w:t>
      </w:r>
      <w:r w:rsidRPr="0073148B">
        <w:rPr>
          <w:rFonts w:ascii="仿宋_GB2312" w:eastAsia="仿宋_GB2312" w:hAnsi="宋体" w:hint="eastAsia"/>
          <w:color w:val="000000"/>
          <w:sz w:val="28"/>
          <w:szCs w:val="28"/>
        </w:rPr>
        <w:t>方案、</w:t>
      </w:r>
      <w:r w:rsidR="0025575B">
        <w:rPr>
          <w:rFonts w:ascii="仿宋_GB2312" w:eastAsia="仿宋_GB2312" w:hAnsi="宋体" w:hint="eastAsia"/>
          <w:color w:val="000000"/>
          <w:sz w:val="28"/>
          <w:szCs w:val="28"/>
        </w:rPr>
        <w:t>使用产品、使用</w:t>
      </w:r>
      <w:r w:rsidRPr="0073148B">
        <w:rPr>
          <w:rFonts w:ascii="仿宋_GB2312" w:eastAsia="仿宋_GB2312" w:hAnsi="宋体" w:hint="eastAsia"/>
          <w:color w:val="000000"/>
          <w:sz w:val="28"/>
          <w:szCs w:val="28"/>
        </w:rPr>
        <w:t>企业资质等相关文件</w:t>
      </w:r>
      <w:r w:rsidR="00456E74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 w:rsidR="00456E74" w:rsidRPr="00337997">
        <w:rPr>
          <w:rFonts w:ascii="仿宋_GB2312" w:eastAsia="仿宋_GB2312" w:hAnsi="宋体" w:hint="eastAsia"/>
          <w:sz w:val="28"/>
          <w:szCs w:val="28"/>
        </w:rPr>
        <w:t>防治的人员资格证</w:t>
      </w:r>
      <w:r w:rsidR="003F0569">
        <w:rPr>
          <w:rFonts w:ascii="仿宋_GB2312" w:eastAsia="仿宋_GB2312" w:hAnsi="宋体" w:hint="eastAsia"/>
          <w:sz w:val="28"/>
          <w:szCs w:val="28"/>
        </w:rPr>
        <w:t>复印件</w:t>
      </w:r>
      <w:r w:rsidR="00456E74">
        <w:rPr>
          <w:rFonts w:ascii="仿宋_GB2312" w:eastAsia="仿宋_GB2312" w:hAnsi="宋体" w:hint="eastAsia"/>
          <w:sz w:val="28"/>
          <w:szCs w:val="28"/>
        </w:rPr>
        <w:t>。</w:t>
      </w:r>
      <w:r w:rsidR="009A48F6">
        <w:rPr>
          <w:rFonts w:ascii="仿宋_GB2312" w:eastAsia="仿宋_GB2312" w:hAnsi="宋体" w:hint="eastAsia"/>
          <w:color w:val="000000"/>
          <w:sz w:val="28"/>
          <w:szCs w:val="28"/>
        </w:rPr>
        <w:t>以上文件</w:t>
      </w:r>
      <w:r w:rsidRPr="0073148B">
        <w:rPr>
          <w:rFonts w:ascii="仿宋_GB2312" w:eastAsia="仿宋_GB2312" w:hAnsi="宋体" w:hint="eastAsia"/>
          <w:color w:val="000000"/>
          <w:sz w:val="28"/>
          <w:szCs w:val="28"/>
        </w:rPr>
        <w:t>须加盖公章。</w:t>
      </w:r>
    </w:p>
    <w:p w:rsidR="00321538" w:rsidRDefault="00321538" w:rsidP="0073148B">
      <w:pPr>
        <w:ind w:firstLineChars="200" w:firstLine="560"/>
        <w:rPr>
          <w:rFonts w:ascii="仿宋_GB2312" w:eastAsia="仿宋_GB2312" w:hAnsi="宋体" w:cs="Calibri"/>
          <w:bCs/>
          <w:kern w:val="0"/>
          <w:sz w:val="28"/>
          <w:szCs w:val="28"/>
        </w:rPr>
      </w:pPr>
      <w:r w:rsidRPr="0073148B">
        <w:rPr>
          <w:rFonts w:ascii="仿宋_GB2312" w:eastAsia="仿宋_GB2312" w:hAnsi="宋体" w:hint="eastAsia"/>
          <w:sz w:val="28"/>
          <w:szCs w:val="28"/>
        </w:rPr>
        <w:t>5、询价日期截止后2个工作日内将加盖公章的报价方案文件纸质版</w:t>
      </w:r>
      <w:r w:rsidR="001C5F61">
        <w:rPr>
          <w:rFonts w:ascii="仿宋_GB2312" w:eastAsia="仿宋_GB2312" w:hAnsi="宋体" w:hint="eastAsia"/>
          <w:sz w:val="28"/>
          <w:szCs w:val="28"/>
        </w:rPr>
        <w:t>1</w:t>
      </w:r>
      <w:r w:rsidRPr="0073148B">
        <w:rPr>
          <w:rFonts w:ascii="仿宋_GB2312" w:eastAsia="仿宋_GB2312" w:hAnsi="宋体" w:hint="eastAsia"/>
          <w:sz w:val="28"/>
          <w:szCs w:val="28"/>
        </w:rPr>
        <w:t>套交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甲方</w:t>
      </w:r>
      <w:r w:rsidR="00E233B8"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；</w:t>
      </w:r>
      <w:r w:rsidR="00641FE2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现场勘探联系人</w:t>
      </w:r>
      <w:r w:rsidR="00555505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刘</w:t>
      </w:r>
      <w:r w:rsidR="00641FE2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经理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，逾期未交文件的视为无效报价。</w:t>
      </w:r>
      <w:r w:rsidR="00E95809"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同时报价单上传航天采购平台</w:t>
      </w:r>
      <w:r w:rsidR="005953B9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。</w:t>
      </w:r>
    </w:p>
    <w:p w:rsidR="005953B9" w:rsidRPr="0073148B" w:rsidRDefault="005953B9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Calibri" w:hint="eastAsia"/>
          <w:bCs/>
          <w:kern w:val="0"/>
          <w:sz w:val="28"/>
          <w:szCs w:val="28"/>
        </w:rPr>
        <w:lastRenderedPageBreak/>
        <w:t>6、每次</w:t>
      </w:r>
      <w:r w:rsidR="0025575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消杀</w:t>
      </w:r>
      <w:r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完</w:t>
      </w:r>
      <w:r w:rsidR="0025575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毕</w:t>
      </w:r>
      <w:r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后，出具</w:t>
      </w:r>
      <w:r w:rsidR="0025575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消杀</w:t>
      </w:r>
      <w:r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报告。</w:t>
      </w:r>
    </w:p>
    <w:p w:rsidR="00321538" w:rsidRPr="0073148B" w:rsidRDefault="00E95809" w:rsidP="00385858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73148B">
        <w:rPr>
          <w:rFonts w:ascii="仿宋_GB2312" w:eastAsia="仿宋_GB2312" w:hint="eastAsia"/>
          <w:b/>
          <w:sz w:val="28"/>
          <w:szCs w:val="28"/>
        </w:rPr>
        <w:t>三</w:t>
      </w:r>
      <w:r w:rsidR="00321538" w:rsidRPr="0073148B">
        <w:rPr>
          <w:rFonts w:ascii="仿宋_GB2312" w:eastAsia="仿宋_GB2312" w:hint="eastAsia"/>
          <w:b/>
          <w:sz w:val="28"/>
          <w:szCs w:val="28"/>
        </w:rPr>
        <w:t>、乙方资质要求</w:t>
      </w:r>
    </w:p>
    <w:p w:rsidR="00321538" w:rsidRPr="0073148B" w:rsidRDefault="00321538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3148B">
        <w:rPr>
          <w:rFonts w:ascii="仿宋_GB2312" w:eastAsia="仿宋_GB2312" w:hAnsi="宋体" w:hint="eastAsia"/>
          <w:sz w:val="28"/>
          <w:szCs w:val="28"/>
        </w:rPr>
        <w:t>1</w:t>
      </w:r>
      <w:r w:rsidR="00282526">
        <w:rPr>
          <w:rFonts w:ascii="仿宋_GB2312" w:eastAsia="仿宋_GB2312" w:hAnsi="宋体" w:hint="eastAsia"/>
          <w:sz w:val="28"/>
          <w:szCs w:val="28"/>
        </w:rPr>
        <w:t>、乙方</w:t>
      </w:r>
      <w:r w:rsidRPr="0073148B">
        <w:rPr>
          <w:rFonts w:ascii="仿宋_GB2312" w:eastAsia="仿宋_GB2312" w:hAnsi="宋体" w:hint="eastAsia"/>
          <w:sz w:val="28"/>
          <w:szCs w:val="28"/>
        </w:rPr>
        <w:t>具备独立法人资格，</w:t>
      </w:r>
      <w:r w:rsidRPr="0073148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公司注册资本不少于</w:t>
      </w:r>
      <w:r w:rsidR="00440F37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</w:t>
      </w:r>
      <w:r w:rsidRPr="0073148B">
        <w:rPr>
          <w:rFonts w:ascii="仿宋_GB2312" w:eastAsia="仿宋_GB2312" w:hAnsi="宋体" w:cs="Arial"/>
          <w:color w:val="000000"/>
          <w:kern w:val="0"/>
          <w:sz w:val="28"/>
          <w:szCs w:val="28"/>
        </w:rPr>
        <w:t>00</w:t>
      </w:r>
      <w:r w:rsidRPr="0073148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万元，公司营业时间超过</w:t>
      </w:r>
      <w:r w:rsidR="00440F37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3</w:t>
      </w:r>
      <w:r w:rsidRPr="0073148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年，</w:t>
      </w:r>
      <w:r w:rsidRPr="0073148B">
        <w:rPr>
          <w:rFonts w:ascii="仿宋_GB2312" w:eastAsia="仿宋_GB2312" w:hAnsi="宋体" w:hint="eastAsia"/>
          <w:sz w:val="28"/>
          <w:szCs w:val="28"/>
        </w:rPr>
        <w:t>具有合法有效的经营场地。</w:t>
      </w:r>
    </w:p>
    <w:p w:rsidR="00321538" w:rsidRPr="00337997" w:rsidRDefault="00321538" w:rsidP="0073148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37997">
        <w:rPr>
          <w:rFonts w:ascii="仿宋_GB2312" w:eastAsia="仿宋_GB2312" w:hAnsi="宋体" w:hint="eastAsia"/>
          <w:sz w:val="28"/>
          <w:szCs w:val="28"/>
        </w:rPr>
        <w:t>2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、乙方应具备有效期内的北京</w:t>
      </w:r>
      <w:r w:rsidR="00337997" w:rsidRPr="00337997">
        <w:rPr>
          <w:rFonts w:ascii="仿宋_GB2312" w:eastAsia="仿宋_GB2312" w:hAnsi="宋体" w:hint="eastAsia"/>
          <w:sz w:val="28"/>
          <w:szCs w:val="28"/>
        </w:rPr>
        <w:t>有害生物防制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协会颁发的</w:t>
      </w:r>
      <w:r w:rsidR="00337997" w:rsidRPr="00337997">
        <w:rPr>
          <w:rFonts w:ascii="仿宋_GB2312" w:eastAsia="仿宋_GB2312" w:hAnsi="宋体" w:hint="eastAsia"/>
          <w:sz w:val="28"/>
          <w:szCs w:val="28"/>
        </w:rPr>
        <w:t>北京有害生物防制机构服务能力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证书</w:t>
      </w:r>
      <w:r w:rsidR="005E04B2">
        <w:rPr>
          <w:rFonts w:ascii="仿宋_GB2312" w:eastAsia="仿宋_GB2312" w:hAnsi="宋体" w:hint="eastAsia"/>
          <w:sz w:val="28"/>
          <w:szCs w:val="28"/>
        </w:rPr>
        <w:t>（</w:t>
      </w:r>
      <w:r w:rsidR="005E04B2" w:rsidRPr="00337997">
        <w:rPr>
          <w:rFonts w:ascii="仿宋_GB2312" w:eastAsia="仿宋_GB2312" w:hAnsi="宋体" w:hint="eastAsia"/>
          <w:sz w:val="28"/>
          <w:szCs w:val="28"/>
        </w:rPr>
        <w:t>A级</w:t>
      </w:r>
      <w:r w:rsidR="005E04B2">
        <w:rPr>
          <w:rFonts w:ascii="仿宋_GB2312" w:eastAsia="仿宋_GB2312" w:hAnsi="宋体" w:hint="eastAsia"/>
          <w:sz w:val="28"/>
          <w:szCs w:val="28"/>
        </w:rPr>
        <w:t>）</w:t>
      </w:r>
      <w:r w:rsidR="00BF468D">
        <w:rPr>
          <w:rFonts w:ascii="仿宋_GB2312" w:eastAsia="仿宋_GB2312" w:hAnsi="宋体" w:hint="eastAsia"/>
          <w:sz w:val="28"/>
          <w:szCs w:val="28"/>
        </w:rPr>
        <w:t>等相关资质</w:t>
      </w:r>
      <w:r w:rsidRPr="00337997">
        <w:rPr>
          <w:rFonts w:ascii="仿宋_GB2312" w:eastAsia="仿宋_GB2312" w:hAnsi="宋体" w:hint="eastAsia"/>
          <w:sz w:val="28"/>
          <w:szCs w:val="28"/>
        </w:rPr>
        <w:t>。</w:t>
      </w:r>
    </w:p>
    <w:p w:rsidR="008C2280" w:rsidRPr="00337997" w:rsidRDefault="008C2280" w:rsidP="0033799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37997">
        <w:rPr>
          <w:rFonts w:ascii="仿宋_GB2312" w:eastAsia="仿宋_GB2312" w:hAnsi="宋体" w:hint="eastAsia"/>
          <w:sz w:val="28"/>
          <w:szCs w:val="28"/>
        </w:rPr>
        <w:t>3、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从事</w:t>
      </w:r>
      <w:r w:rsidR="00337997" w:rsidRPr="00337997">
        <w:rPr>
          <w:rFonts w:ascii="仿宋_GB2312" w:eastAsia="仿宋_GB2312" w:hAnsi="宋体" w:hint="eastAsia"/>
          <w:sz w:val="28"/>
          <w:szCs w:val="28"/>
        </w:rPr>
        <w:t>有害生物防治的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人员必须具备</w:t>
      </w:r>
      <w:r w:rsidR="00337997" w:rsidRPr="00337997">
        <w:rPr>
          <w:rFonts w:ascii="仿宋_GB2312" w:eastAsia="仿宋_GB2312" w:hAnsi="宋体" w:hint="eastAsia"/>
          <w:sz w:val="28"/>
          <w:szCs w:val="28"/>
        </w:rPr>
        <w:t>北京有害生物防制协会</w:t>
      </w:r>
      <w:r w:rsidR="00440F37" w:rsidRPr="00337997">
        <w:rPr>
          <w:rFonts w:ascii="仿宋_GB2312" w:eastAsia="仿宋_GB2312" w:hAnsi="宋体" w:hint="eastAsia"/>
          <w:sz w:val="28"/>
          <w:szCs w:val="28"/>
        </w:rPr>
        <w:t>颁发的</w:t>
      </w:r>
      <w:r w:rsidR="00355A24">
        <w:rPr>
          <w:rFonts w:ascii="仿宋_GB2312" w:eastAsia="仿宋_GB2312" w:hAnsi="宋体" w:hint="eastAsia"/>
          <w:sz w:val="28"/>
          <w:szCs w:val="28"/>
        </w:rPr>
        <w:t>专业</w:t>
      </w:r>
      <w:r w:rsidR="00337997" w:rsidRPr="00337997">
        <w:rPr>
          <w:rFonts w:ascii="仿宋_GB2312" w:eastAsia="仿宋_GB2312" w:hAnsi="宋体" w:hint="eastAsia"/>
          <w:sz w:val="28"/>
          <w:szCs w:val="28"/>
        </w:rPr>
        <w:t>资格证</w:t>
      </w:r>
      <w:r w:rsidR="002D018D" w:rsidRPr="00337997">
        <w:rPr>
          <w:rFonts w:ascii="仿宋_GB2312" w:eastAsia="仿宋_GB2312" w:hAnsi="宋体" w:hint="eastAsia"/>
          <w:sz w:val="28"/>
          <w:szCs w:val="28"/>
        </w:rPr>
        <w:t>。</w:t>
      </w:r>
    </w:p>
    <w:p w:rsidR="00321538" w:rsidRDefault="00321538" w:rsidP="00321538">
      <w:pPr>
        <w:snapToGrid w:val="0"/>
        <w:spacing w:line="360" w:lineRule="auto"/>
        <w:jc w:val="center"/>
        <w:rPr>
          <w:rFonts w:ascii="仿宋_GB2312" w:eastAsia="仿宋_GB2312" w:hAnsi="宋体" w:cs="Calibri"/>
          <w:b/>
          <w:bCs/>
          <w:kern w:val="0"/>
          <w:sz w:val="28"/>
          <w:szCs w:val="28"/>
        </w:rPr>
      </w:pPr>
    </w:p>
    <w:p w:rsidR="00401C7A" w:rsidRPr="0073148B" w:rsidRDefault="00401C7A" w:rsidP="00321538">
      <w:pPr>
        <w:snapToGrid w:val="0"/>
        <w:spacing w:line="360" w:lineRule="auto"/>
        <w:jc w:val="center"/>
        <w:rPr>
          <w:rFonts w:ascii="仿宋_GB2312" w:eastAsia="仿宋_GB2312" w:hAnsi="宋体" w:cs="Calibri"/>
          <w:b/>
          <w:bCs/>
          <w:kern w:val="0"/>
          <w:sz w:val="28"/>
          <w:szCs w:val="28"/>
        </w:rPr>
      </w:pPr>
    </w:p>
    <w:p w:rsidR="00687AA6" w:rsidRDefault="00AB5DB6" w:rsidP="00687AA6">
      <w:pPr>
        <w:ind w:firstLine="482"/>
        <w:jc w:val="center"/>
        <w:rPr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      </w:t>
      </w:r>
      <w:r w:rsidR="00E233B8" w:rsidRPr="007314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附件：</w:t>
      </w:r>
      <w:r w:rsidR="00687AA6" w:rsidRPr="007F7AD5">
        <w:rPr>
          <w:rFonts w:hint="eastAsia"/>
          <w:b/>
          <w:bCs/>
          <w:sz w:val="30"/>
          <w:szCs w:val="30"/>
        </w:rPr>
        <w:t>航天金融大厦消杀灭虫服务报价表</w:t>
      </w:r>
    </w:p>
    <w:p w:rsidR="00E233B8" w:rsidRPr="00687AA6" w:rsidRDefault="00E233B8" w:rsidP="0073148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321538" w:rsidRPr="0073148B" w:rsidRDefault="00321538" w:rsidP="00321538">
      <w:pPr>
        <w:snapToGrid w:val="0"/>
        <w:spacing w:line="360" w:lineRule="auto"/>
        <w:jc w:val="center"/>
        <w:rPr>
          <w:rFonts w:ascii="仿宋_GB2312" w:eastAsia="仿宋_GB2312" w:hAnsi="宋体" w:cs="Calibri"/>
          <w:bCs/>
          <w:kern w:val="0"/>
          <w:sz w:val="28"/>
          <w:szCs w:val="28"/>
        </w:rPr>
      </w:pP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 xml:space="preserve">       </w:t>
      </w:r>
      <w:r w:rsidR="00AF7806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 xml:space="preserve">                          </w:t>
      </w:r>
      <w:r w:rsidR="00AB5DB6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 xml:space="preserve">     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202</w:t>
      </w:r>
      <w:r w:rsidR="001819C5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2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年</w:t>
      </w:r>
      <w:r w:rsidR="00E05C41">
        <w:rPr>
          <w:rFonts w:ascii="仿宋_GB2312" w:eastAsia="仿宋_GB2312" w:hAnsi="宋体" w:cs="Calibri"/>
          <w:bCs/>
          <w:kern w:val="0"/>
          <w:sz w:val="28"/>
          <w:szCs w:val="28"/>
        </w:rPr>
        <w:t>0</w:t>
      </w:r>
      <w:r w:rsidR="00337997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7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月</w:t>
      </w:r>
      <w:r w:rsidR="0090044E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13</w:t>
      </w:r>
      <w:r w:rsidRPr="0073148B">
        <w:rPr>
          <w:rFonts w:ascii="仿宋_GB2312" w:eastAsia="仿宋_GB2312" w:hAnsi="宋体" w:cs="Calibri" w:hint="eastAsia"/>
          <w:bCs/>
          <w:kern w:val="0"/>
          <w:sz w:val="28"/>
          <w:szCs w:val="28"/>
        </w:rPr>
        <w:t>日</w:t>
      </w:r>
    </w:p>
    <w:p w:rsidR="0073148B" w:rsidRDefault="0073148B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CC7EC9" w:rsidRDefault="00CC7EC9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CC7EC9" w:rsidRDefault="00CC7EC9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p w:rsidR="00AF7806" w:rsidRDefault="00AF7806" w:rsidP="0025575B">
      <w:pPr>
        <w:ind w:firstLine="482"/>
        <w:jc w:val="center"/>
        <w:rPr>
          <w:b/>
          <w:bCs/>
          <w:sz w:val="30"/>
          <w:szCs w:val="30"/>
        </w:rPr>
      </w:pPr>
    </w:p>
    <w:p w:rsidR="0025575B" w:rsidRDefault="0025575B" w:rsidP="0025575B">
      <w:pPr>
        <w:ind w:firstLine="482"/>
        <w:jc w:val="center"/>
        <w:rPr>
          <w:b/>
          <w:bCs/>
          <w:sz w:val="30"/>
          <w:szCs w:val="30"/>
        </w:rPr>
      </w:pPr>
      <w:r w:rsidRPr="007F7AD5">
        <w:rPr>
          <w:rFonts w:hint="eastAsia"/>
          <w:b/>
          <w:bCs/>
          <w:sz w:val="30"/>
          <w:szCs w:val="30"/>
        </w:rPr>
        <w:t>航天金融大厦消杀灭虫服务报价表</w:t>
      </w:r>
    </w:p>
    <w:p w:rsidR="0025575B" w:rsidRPr="007F7AD5" w:rsidRDefault="0025575B" w:rsidP="0025575B">
      <w:pPr>
        <w:ind w:firstLine="482"/>
        <w:jc w:val="center"/>
        <w:rPr>
          <w:b/>
          <w:bCs/>
          <w:sz w:val="30"/>
          <w:szCs w:val="30"/>
        </w:rPr>
      </w:pPr>
    </w:p>
    <w:p w:rsidR="0025575B" w:rsidRDefault="00DC56F7" w:rsidP="0025575B">
      <w:pPr>
        <w:ind w:firstLine="420"/>
        <w:jc w:val="center"/>
        <w:rPr>
          <w:b/>
          <w:bCs/>
        </w:rPr>
      </w:pPr>
      <w:r>
        <w:rPr>
          <w:rFonts w:cs="Arial" w:hint="eastAsia"/>
          <w:b/>
          <w:bCs/>
          <w:szCs w:val="21"/>
        </w:rPr>
        <w:t xml:space="preserve">                                                             </w:t>
      </w:r>
      <w:r w:rsidR="0025575B">
        <w:rPr>
          <w:rFonts w:cs="Arial" w:hint="eastAsia"/>
          <w:b/>
          <w:bCs/>
          <w:szCs w:val="21"/>
        </w:rPr>
        <w:t>单位：人民币（元）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655"/>
        <w:gridCol w:w="1250"/>
        <w:gridCol w:w="1625"/>
        <w:gridCol w:w="909"/>
        <w:gridCol w:w="1082"/>
        <w:gridCol w:w="992"/>
        <w:gridCol w:w="1328"/>
      </w:tblGrid>
      <w:tr w:rsidR="0025575B" w:rsidTr="00AE1D70">
        <w:trPr>
          <w:trHeight w:val="546"/>
          <w:jc w:val="center"/>
        </w:trPr>
        <w:tc>
          <w:tcPr>
            <w:tcW w:w="1190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服务项目</w:t>
            </w:r>
          </w:p>
        </w:tc>
        <w:tc>
          <w:tcPr>
            <w:tcW w:w="1250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次数/全年</w:t>
            </w:r>
          </w:p>
        </w:tc>
        <w:tc>
          <w:tcPr>
            <w:tcW w:w="1625" w:type="dxa"/>
            <w:vAlign w:val="center"/>
          </w:tcPr>
          <w:p w:rsidR="0025575B" w:rsidRDefault="0025575B" w:rsidP="00DC56F7">
            <w:pPr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面积（平方米）</w:t>
            </w:r>
          </w:p>
        </w:tc>
        <w:tc>
          <w:tcPr>
            <w:tcW w:w="909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单价</w:t>
            </w:r>
          </w:p>
        </w:tc>
        <w:tc>
          <w:tcPr>
            <w:tcW w:w="1082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992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税率</w:t>
            </w:r>
          </w:p>
        </w:tc>
        <w:tc>
          <w:tcPr>
            <w:tcW w:w="1328" w:type="dxa"/>
            <w:vAlign w:val="center"/>
          </w:tcPr>
          <w:p w:rsidR="0025575B" w:rsidRDefault="0025575B" w:rsidP="00DC56F7">
            <w:pPr>
              <w:spacing w:line="44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</w:tr>
      <w:tr w:rsidR="0025575B" w:rsidTr="00AE1D70">
        <w:trPr>
          <w:trHeight w:val="781"/>
          <w:jc w:val="center"/>
        </w:trPr>
        <w:tc>
          <w:tcPr>
            <w:tcW w:w="1190" w:type="dxa"/>
            <w:vAlign w:val="center"/>
          </w:tcPr>
          <w:p w:rsidR="0025575B" w:rsidRDefault="0025575B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:rsidR="0025575B" w:rsidRDefault="0025575B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消杀灭虫（大厦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 w:rsidR="0025575B" w:rsidRDefault="0025575B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625" w:type="dxa"/>
            <w:vMerge w:val="restart"/>
            <w:vAlign w:val="center"/>
          </w:tcPr>
          <w:p w:rsidR="0025575B" w:rsidRDefault="0025575B" w:rsidP="00144D73">
            <w:pPr>
              <w:ind w:firstLine="42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21000</w:t>
            </w:r>
            <w:r>
              <w:rPr>
                <w:rFonts w:ascii="宋体" w:hAnsi="宋体" w:hint="eastAsia"/>
                <w:color w:val="000000"/>
                <w:szCs w:val="21"/>
              </w:rPr>
              <w:t>（含餐厅940）</w:t>
            </w:r>
          </w:p>
        </w:tc>
        <w:tc>
          <w:tcPr>
            <w:tcW w:w="909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575B" w:rsidTr="00AE1D70">
        <w:trPr>
          <w:trHeight w:val="781"/>
          <w:jc w:val="center"/>
        </w:trPr>
        <w:tc>
          <w:tcPr>
            <w:tcW w:w="1190" w:type="dxa"/>
            <w:vAlign w:val="center"/>
          </w:tcPr>
          <w:p w:rsidR="0025575B" w:rsidRDefault="0025575B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:rsidR="0025575B" w:rsidRDefault="0025575B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餐厅</w:t>
            </w:r>
            <w:r w:rsidR="00AB5DB6">
              <w:rPr>
                <w:rFonts w:ascii="宋体" w:hAnsi="宋体" w:hint="eastAsia"/>
                <w:color w:val="000000"/>
                <w:szCs w:val="21"/>
              </w:rPr>
              <w:t>、厨房</w:t>
            </w:r>
          </w:p>
        </w:tc>
        <w:tc>
          <w:tcPr>
            <w:tcW w:w="1250" w:type="dxa"/>
            <w:vAlign w:val="center"/>
          </w:tcPr>
          <w:p w:rsidR="0025575B" w:rsidRDefault="002A1574" w:rsidP="0053111B"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625" w:type="dxa"/>
            <w:vMerge/>
          </w:tcPr>
          <w:p w:rsidR="0025575B" w:rsidRDefault="0025575B" w:rsidP="0053111B">
            <w:pPr>
              <w:ind w:firstLine="42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5575B" w:rsidRDefault="0025575B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44D73" w:rsidTr="00AE1D70">
        <w:trPr>
          <w:trHeight w:val="781"/>
          <w:jc w:val="center"/>
        </w:trPr>
        <w:tc>
          <w:tcPr>
            <w:tcW w:w="1190" w:type="dxa"/>
            <w:vAlign w:val="center"/>
          </w:tcPr>
          <w:p w:rsidR="00144D73" w:rsidRDefault="00144D73" w:rsidP="0053111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:rsidR="00144D73" w:rsidRDefault="00144D73" w:rsidP="00144D73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药品名称</w:t>
            </w:r>
          </w:p>
        </w:tc>
        <w:tc>
          <w:tcPr>
            <w:tcW w:w="7186" w:type="dxa"/>
            <w:gridSpan w:val="6"/>
            <w:vAlign w:val="center"/>
          </w:tcPr>
          <w:p w:rsidR="00144D73" w:rsidRDefault="00144D73" w:rsidP="00D47CB8">
            <w:pPr>
              <w:spacing w:line="440" w:lineRule="exact"/>
              <w:ind w:firstLine="42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575B" w:rsidTr="00AE1D70">
        <w:trPr>
          <w:trHeight w:val="771"/>
          <w:jc w:val="center"/>
        </w:trPr>
        <w:tc>
          <w:tcPr>
            <w:tcW w:w="1190" w:type="dxa"/>
          </w:tcPr>
          <w:p w:rsidR="0025575B" w:rsidRDefault="0025575B" w:rsidP="0053111B">
            <w:pPr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1" w:type="dxa"/>
            <w:gridSpan w:val="7"/>
          </w:tcPr>
          <w:p w:rsidR="0025575B" w:rsidRDefault="0025575B" w:rsidP="0053111B">
            <w:pPr>
              <w:spacing w:line="440" w:lineRule="exact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注：（备注药品名称）1、报价包含管理费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人工、税金、</w:t>
            </w:r>
            <w:r>
              <w:rPr>
                <w:rFonts w:ascii="宋体" w:hAnsi="宋体"/>
                <w:color w:val="000000"/>
                <w:szCs w:val="21"/>
              </w:rPr>
              <w:t>劳保费、保险、运输、调试</w:t>
            </w:r>
            <w:r>
              <w:rPr>
                <w:rFonts w:ascii="宋体" w:hAnsi="宋体" w:hint="eastAsia"/>
                <w:color w:val="000000"/>
                <w:szCs w:val="21"/>
              </w:rPr>
              <w:t>及其它费用</w:t>
            </w:r>
          </w:p>
        </w:tc>
      </w:tr>
    </w:tbl>
    <w:p w:rsidR="0025575B" w:rsidRDefault="0025575B" w:rsidP="0025575B">
      <w:pPr>
        <w:ind w:firstLine="420"/>
        <w:rPr>
          <w:rFonts w:cs="Arial"/>
          <w:szCs w:val="21"/>
        </w:rPr>
      </w:pPr>
    </w:p>
    <w:p w:rsidR="0025575B" w:rsidRDefault="0025575B" w:rsidP="0025575B">
      <w:pPr>
        <w:wordWrap w:val="0"/>
        <w:spacing w:line="360" w:lineRule="auto"/>
        <w:jc w:val="right"/>
        <w:rPr>
          <w:rFonts w:cs="Arial"/>
          <w:szCs w:val="21"/>
        </w:rPr>
      </w:pPr>
    </w:p>
    <w:p w:rsidR="0025575B" w:rsidRDefault="0025575B" w:rsidP="0025575B">
      <w:pPr>
        <w:wordWrap w:val="0"/>
        <w:spacing w:line="360" w:lineRule="auto"/>
        <w:jc w:val="right"/>
        <w:rPr>
          <w:rFonts w:cs="Arial"/>
          <w:szCs w:val="21"/>
        </w:rPr>
      </w:pPr>
    </w:p>
    <w:p w:rsidR="0025575B" w:rsidRDefault="00AF7806" w:rsidP="00AF7806">
      <w:pPr>
        <w:wordWrap w:val="0"/>
        <w:spacing w:line="360" w:lineRule="auto"/>
        <w:jc w:val="center"/>
        <w:rPr>
          <w:rFonts w:cs="Arial"/>
          <w:szCs w:val="21"/>
          <w:u w:val="single"/>
        </w:rPr>
      </w:pPr>
      <w:r>
        <w:rPr>
          <w:rFonts w:cs="Arial" w:hint="eastAsia"/>
          <w:szCs w:val="21"/>
        </w:rPr>
        <w:t xml:space="preserve">                                            </w:t>
      </w:r>
      <w:r w:rsidR="0090044E">
        <w:rPr>
          <w:rFonts w:cs="Arial" w:hint="eastAsia"/>
          <w:szCs w:val="21"/>
        </w:rPr>
        <w:t xml:space="preserve">       </w:t>
      </w:r>
      <w:r>
        <w:rPr>
          <w:rFonts w:cs="Arial" w:hint="eastAsia"/>
          <w:szCs w:val="21"/>
        </w:rPr>
        <w:t xml:space="preserve"> </w:t>
      </w:r>
      <w:r w:rsidR="0025575B">
        <w:rPr>
          <w:rFonts w:cs="Arial" w:hint="eastAsia"/>
          <w:szCs w:val="21"/>
        </w:rPr>
        <w:t>供应商名称：</w:t>
      </w:r>
    </w:p>
    <w:p w:rsidR="0025575B" w:rsidRDefault="0025575B" w:rsidP="0025575B">
      <w:pPr>
        <w:spacing w:line="360" w:lineRule="auto"/>
        <w:ind w:firstLine="480"/>
        <w:jc w:val="right"/>
        <w:rPr>
          <w:rFonts w:cs="Arial"/>
          <w:szCs w:val="21"/>
          <w:u w:val="single"/>
        </w:rPr>
      </w:pPr>
    </w:p>
    <w:p w:rsidR="0025575B" w:rsidRPr="00BD16AD" w:rsidRDefault="00AF7806" w:rsidP="0025575B">
      <w:r>
        <w:rPr>
          <w:rFonts w:cs="Arial" w:hint="eastAsia"/>
          <w:szCs w:val="21"/>
        </w:rPr>
        <w:t xml:space="preserve">                                                            </w:t>
      </w:r>
      <w:r w:rsidR="0090044E">
        <w:rPr>
          <w:rFonts w:cs="Arial" w:hint="eastAsia"/>
          <w:szCs w:val="21"/>
        </w:rPr>
        <w:t xml:space="preserve">   </w:t>
      </w:r>
      <w:r w:rsidR="0025575B" w:rsidRPr="00BD16AD">
        <w:rPr>
          <w:rFonts w:cs="Arial" w:hint="eastAsia"/>
          <w:szCs w:val="21"/>
        </w:rPr>
        <w:t>年</w:t>
      </w:r>
      <w:r w:rsidR="00144D73">
        <w:rPr>
          <w:rFonts w:cs="Arial" w:hint="eastAsia"/>
          <w:szCs w:val="21"/>
        </w:rPr>
        <w:t xml:space="preserve">     </w:t>
      </w:r>
      <w:r w:rsidR="0025575B" w:rsidRPr="00BD16AD">
        <w:rPr>
          <w:rFonts w:cs="Arial" w:hint="eastAsia"/>
          <w:szCs w:val="21"/>
        </w:rPr>
        <w:t>月</w:t>
      </w:r>
      <w:r w:rsidR="0090044E">
        <w:rPr>
          <w:rFonts w:cs="Arial" w:hint="eastAsia"/>
          <w:szCs w:val="21"/>
        </w:rPr>
        <w:t xml:space="preserve"> </w:t>
      </w:r>
      <w:r w:rsidR="00144D73">
        <w:rPr>
          <w:rFonts w:cs="Arial" w:hint="eastAsia"/>
          <w:szCs w:val="21"/>
        </w:rPr>
        <w:t xml:space="preserve">    </w:t>
      </w:r>
      <w:r w:rsidR="00144D73">
        <w:rPr>
          <w:rFonts w:cs="Arial" w:hint="eastAsia"/>
          <w:szCs w:val="21"/>
        </w:rPr>
        <w:t>日</w:t>
      </w:r>
    </w:p>
    <w:p w:rsidR="00401C7A" w:rsidRDefault="00401C7A" w:rsidP="00F24E5F">
      <w:pPr>
        <w:tabs>
          <w:tab w:val="left" w:pos="312"/>
        </w:tabs>
        <w:spacing w:line="480" w:lineRule="auto"/>
        <w:rPr>
          <w:rFonts w:ascii="宋体" w:eastAsia="宋体" w:hAnsi="宋体"/>
          <w:b/>
          <w:sz w:val="28"/>
          <w:szCs w:val="28"/>
        </w:rPr>
      </w:pPr>
    </w:p>
    <w:sectPr w:rsidR="00401C7A" w:rsidSect="00BB3CE4">
      <w:pgSz w:w="11906" w:h="16838" w:code="9"/>
      <w:pgMar w:top="1134" w:right="1418" w:bottom="1134" w:left="1418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6F" w:rsidRDefault="0078056F" w:rsidP="00227B4F">
      <w:r>
        <w:separator/>
      </w:r>
    </w:p>
  </w:endnote>
  <w:endnote w:type="continuationSeparator" w:id="1">
    <w:p w:rsidR="0078056F" w:rsidRDefault="0078056F" w:rsidP="0022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6F" w:rsidRDefault="0078056F" w:rsidP="00227B4F">
      <w:r>
        <w:separator/>
      </w:r>
    </w:p>
  </w:footnote>
  <w:footnote w:type="continuationSeparator" w:id="1">
    <w:p w:rsidR="0078056F" w:rsidRDefault="0078056F" w:rsidP="00227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23924"/>
    <w:multiLevelType w:val="singleLevel"/>
    <w:tmpl w:val="99723924"/>
    <w:lvl w:ilvl="0">
      <w:start w:val="2"/>
      <w:numFmt w:val="decimal"/>
      <w:suff w:val="nothing"/>
      <w:lvlText w:val="%1、"/>
      <w:lvlJc w:val="left"/>
    </w:lvl>
  </w:abstractNum>
  <w:abstractNum w:abstractNumId="1">
    <w:nsid w:val="20E6455E"/>
    <w:multiLevelType w:val="multilevel"/>
    <w:tmpl w:val="20E6455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2595B"/>
    <w:multiLevelType w:val="hybridMultilevel"/>
    <w:tmpl w:val="AC0007A4"/>
    <w:lvl w:ilvl="0" w:tplc="C424449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FC440F4"/>
    <w:multiLevelType w:val="multilevel"/>
    <w:tmpl w:val="2FC440F4"/>
    <w:lvl w:ilvl="0">
      <w:start w:val="1"/>
      <w:numFmt w:val="japaneseCounting"/>
      <w:lvlText w:val="第%1条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4">
    <w:nsid w:val="34820F1A"/>
    <w:multiLevelType w:val="hybridMultilevel"/>
    <w:tmpl w:val="57A85EE0"/>
    <w:lvl w:ilvl="0" w:tplc="E1BC676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F9863DB"/>
    <w:multiLevelType w:val="hybridMultilevel"/>
    <w:tmpl w:val="3F2615D6"/>
    <w:lvl w:ilvl="0" w:tplc="DDDE4242">
      <w:start w:val="1"/>
      <w:numFmt w:val="lowerLetter"/>
      <w:lvlText w:val="%1."/>
      <w:lvlJc w:val="left"/>
      <w:pPr>
        <w:ind w:left="13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6">
    <w:nsid w:val="5A5F4118"/>
    <w:multiLevelType w:val="hybridMultilevel"/>
    <w:tmpl w:val="DCC61826"/>
    <w:lvl w:ilvl="0" w:tplc="5A840D0C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5BDB423B"/>
    <w:multiLevelType w:val="singleLevel"/>
    <w:tmpl w:val="5BDB42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CBB4C49"/>
    <w:multiLevelType w:val="hybridMultilevel"/>
    <w:tmpl w:val="CBA060E8"/>
    <w:lvl w:ilvl="0" w:tplc="5510BDAA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9">
    <w:nsid w:val="6B211C91"/>
    <w:multiLevelType w:val="hybridMultilevel"/>
    <w:tmpl w:val="E176245A"/>
    <w:lvl w:ilvl="0" w:tplc="CF768C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C76E33"/>
    <w:multiLevelType w:val="multilevel"/>
    <w:tmpl w:val="6FC76E33"/>
    <w:lvl w:ilvl="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9D547D"/>
    <w:multiLevelType w:val="hybridMultilevel"/>
    <w:tmpl w:val="4F46838A"/>
    <w:lvl w:ilvl="0" w:tplc="214E020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7A8637B1"/>
    <w:multiLevelType w:val="hybridMultilevel"/>
    <w:tmpl w:val="57DE3DA4"/>
    <w:lvl w:ilvl="0" w:tplc="2D22C384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873"/>
    <w:rsid w:val="00031F70"/>
    <w:rsid w:val="00044DB6"/>
    <w:rsid w:val="0005762B"/>
    <w:rsid w:val="00084CB7"/>
    <w:rsid w:val="0009190B"/>
    <w:rsid w:val="000B0C70"/>
    <w:rsid w:val="000B2D64"/>
    <w:rsid w:val="000C597F"/>
    <w:rsid w:val="001143B2"/>
    <w:rsid w:val="00120160"/>
    <w:rsid w:val="00124876"/>
    <w:rsid w:val="00127B8B"/>
    <w:rsid w:val="00144D73"/>
    <w:rsid w:val="001819C5"/>
    <w:rsid w:val="00193316"/>
    <w:rsid w:val="001A2A90"/>
    <w:rsid w:val="001A483C"/>
    <w:rsid w:val="001A6CD6"/>
    <w:rsid w:val="001B6F35"/>
    <w:rsid w:val="001B7F94"/>
    <w:rsid w:val="001C3337"/>
    <w:rsid w:val="001C5C5E"/>
    <w:rsid w:val="001C5F61"/>
    <w:rsid w:val="001D744E"/>
    <w:rsid w:val="002035CA"/>
    <w:rsid w:val="00204B86"/>
    <w:rsid w:val="00207AB6"/>
    <w:rsid w:val="00221AEC"/>
    <w:rsid w:val="00227B4F"/>
    <w:rsid w:val="0025575B"/>
    <w:rsid w:val="002559AD"/>
    <w:rsid w:val="00282526"/>
    <w:rsid w:val="00284EC9"/>
    <w:rsid w:val="002A1574"/>
    <w:rsid w:val="002B1467"/>
    <w:rsid w:val="002C6215"/>
    <w:rsid w:val="002D018D"/>
    <w:rsid w:val="002D21B7"/>
    <w:rsid w:val="002F4D3D"/>
    <w:rsid w:val="002F73AE"/>
    <w:rsid w:val="00300FC4"/>
    <w:rsid w:val="003175F8"/>
    <w:rsid w:val="00321538"/>
    <w:rsid w:val="00322D8F"/>
    <w:rsid w:val="003321CC"/>
    <w:rsid w:val="00337997"/>
    <w:rsid w:val="00355A24"/>
    <w:rsid w:val="00372FFD"/>
    <w:rsid w:val="00385858"/>
    <w:rsid w:val="003943F9"/>
    <w:rsid w:val="00397253"/>
    <w:rsid w:val="003B0029"/>
    <w:rsid w:val="003B0D91"/>
    <w:rsid w:val="003C0E29"/>
    <w:rsid w:val="003C1346"/>
    <w:rsid w:val="003D1A45"/>
    <w:rsid w:val="003D5C7A"/>
    <w:rsid w:val="003E7838"/>
    <w:rsid w:val="003F0569"/>
    <w:rsid w:val="003F1084"/>
    <w:rsid w:val="003F1EC7"/>
    <w:rsid w:val="004003DD"/>
    <w:rsid w:val="00401C7A"/>
    <w:rsid w:val="0041170C"/>
    <w:rsid w:val="004154C7"/>
    <w:rsid w:val="00422AA5"/>
    <w:rsid w:val="00431B35"/>
    <w:rsid w:val="00440F37"/>
    <w:rsid w:val="00442ADF"/>
    <w:rsid w:val="00450690"/>
    <w:rsid w:val="004541D2"/>
    <w:rsid w:val="00456E74"/>
    <w:rsid w:val="004615A9"/>
    <w:rsid w:val="00463013"/>
    <w:rsid w:val="00465E23"/>
    <w:rsid w:val="00475F59"/>
    <w:rsid w:val="00483F90"/>
    <w:rsid w:val="004B08B1"/>
    <w:rsid w:val="004B62F5"/>
    <w:rsid w:val="004B766D"/>
    <w:rsid w:val="004D7914"/>
    <w:rsid w:val="00542958"/>
    <w:rsid w:val="0054382E"/>
    <w:rsid w:val="00555505"/>
    <w:rsid w:val="00580DC0"/>
    <w:rsid w:val="00583B10"/>
    <w:rsid w:val="005953B9"/>
    <w:rsid w:val="005A0443"/>
    <w:rsid w:val="005A17EF"/>
    <w:rsid w:val="005A5673"/>
    <w:rsid w:val="005A7400"/>
    <w:rsid w:val="005B3D0D"/>
    <w:rsid w:val="005B6993"/>
    <w:rsid w:val="005D0242"/>
    <w:rsid w:val="005D3D58"/>
    <w:rsid w:val="005D5848"/>
    <w:rsid w:val="005D6872"/>
    <w:rsid w:val="005E04B2"/>
    <w:rsid w:val="005E1F1C"/>
    <w:rsid w:val="005E68C5"/>
    <w:rsid w:val="0061354D"/>
    <w:rsid w:val="00614E5C"/>
    <w:rsid w:val="00641FE2"/>
    <w:rsid w:val="00644E29"/>
    <w:rsid w:val="00645FE7"/>
    <w:rsid w:val="006532F5"/>
    <w:rsid w:val="006702A3"/>
    <w:rsid w:val="00672D91"/>
    <w:rsid w:val="00684D2E"/>
    <w:rsid w:val="006879B8"/>
    <w:rsid w:val="00687AA6"/>
    <w:rsid w:val="006A4265"/>
    <w:rsid w:val="006B4C2B"/>
    <w:rsid w:val="006C3C2F"/>
    <w:rsid w:val="006E1BDB"/>
    <w:rsid w:val="006E4073"/>
    <w:rsid w:val="006E7853"/>
    <w:rsid w:val="00705119"/>
    <w:rsid w:val="00714EA6"/>
    <w:rsid w:val="00717398"/>
    <w:rsid w:val="0073148B"/>
    <w:rsid w:val="00731F87"/>
    <w:rsid w:val="00733AA9"/>
    <w:rsid w:val="007359EA"/>
    <w:rsid w:val="007412AE"/>
    <w:rsid w:val="00745420"/>
    <w:rsid w:val="00754420"/>
    <w:rsid w:val="00765EB7"/>
    <w:rsid w:val="00771816"/>
    <w:rsid w:val="00771E0D"/>
    <w:rsid w:val="00772B79"/>
    <w:rsid w:val="00774609"/>
    <w:rsid w:val="00774BC2"/>
    <w:rsid w:val="0078056F"/>
    <w:rsid w:val="007851E2"/>
    <w:rsid w:val="00785372"/>
    <w:rsid w:val="007A36D0"/>
    <w:rsid w:val="007A712F"/>
    <w:rsid w:val="007C673D"/>
    <w:rsid w:val="007D72CE"/>
    <w:rsid w:val="007F3E3E"/>
    <w:rsid w:val="00806564"/>
    <w:rsid w:val="00814150"/>
    <w:rsid w:val="00824F3F"/>
    <w:rsid w:val="00842480"/>
    <w:rsid w:val="00842A0B"/>
    <w:rsid w:val="00854774"/>
    <w:rsid w:val="008678CB"/>
    <w:rsid w:val="00870A5F"/>
    <w:rsid w:val="00891371"/>
    <w:rsid w:val="008B280B"/>
    <w:rsid w:val="008B4F20"/>
    <w:rsid w:val="008C2280"/>
    <w:rsid w:val="008E2C45"/>
    <w:rsid w:val="0090044E"/>
    <w:rsid w:val="009127CE"/>
    <w:rsid w:val="00920519"/>
    <w:rsid w:val="00930EC0"/>
    <w:rsid w:val="00934A79"/>
    <w:rsid w:val="00944E2B"/>
    <w:rsid w:val="00962328"/>
    <w:rsid w:val="0096616C"/>
    <w:rsid w:val="00967C1E"/>
    <w:rsid w:val="00990098"/>
    <w:rsid w:val="009A039A"/>
    <w:rsid w:val="009A48F6"/>
    <w:rsid w:val="009E5776"/>
    <w:rsid w:val="009F2DF1"/>
    <w:rsid w:val="00A01AF2"/>
    <w:rsid w:val="00A04796"/>
    <w:rsid w:val="00A2448F"/>
    <w:rsid w:val="00A47868"/>
    <w:rsid w:val="00A54380"/>
    <w:rsid w:val="00A94549"/>
    <w:rsid w:val="00AA2853"/>
    <w:rsid w:val="00AA57D4"/>
    <w:rsid w:val="00AB1E9C"/>
    <w:rsid w:val="00AB5DB6"/>
    <w:rsid w:val="00AC64B7"/>
    <w:rsid w:val="00AC7D6A"/>
    <w:rsid w:val="00AD56DC"/>
    <w:rsid w:val="00AE1D70"/>
    <w:rsid w:val="00AE609E"/>
    <w:rsid w:val="00AE6C8B"/>
    <w:rsid w:val="00AF0AA1"/>
    <w:rsid w:val="00AF4B75"/>
    <w:rsid w:val="00AF7806"/>
    <w:rsid w:val="00B14D14"/>
    <w:rsid w:val="00B25B5B"/>
    <w:rsid w:val="00B27A93"/>
    <w:rsid w:val="00B32133"/>
    <w:rsid w:val="00B325E8"/>
    <w:rsid w:val="00B37291"/>
    <w:rsid w:val="00B45B63"/>
    <w:rsid w:val="00B4717B"/>
    <w:rsid w:val="00B60A4B"/>
    <w:rsid w:val="00BA753B"/>
    <w:rsid w:val="00BB3CE4"/>
    <w:rsid w:val="00BC2FCE"/>
    <w:rsid w:val="00BE1C64"/>
    <w:rsid w:val="00BE251D"/>
    <w:rsid w:val="00BE2E21"/>
    <w:rsid w:val="00BE5461"/>
    <w:rsid w:val="00BE6013"/>
    <w:rsid w:val="00BF0775"/>
    <w:rsid w:val="00BF468D"/>
    <w:rsid w:val="00C416B0"/>
    <w:rsid w:val="00C542AE"/>
    <w:rsid w:val="00C629A4"/>
    <w:rsid w:val="00CA0FA8"/>
    <w:rsid w:val="00CA68A5"/>
    <w:rsid w:val="00CC7EC9"/>
    <w:rsid w:val="00CE6F69"/>
    <w:rsid w:val="00D0428E"/>
    <w:rsid w:val="00D215F6"/>
    <w:rsid w:val="00D370C4"/>
    <w:rsid w:val="00D47CB8"/>
    <w:rsid w:val="00D545A0"/>
    <w:rsid w:val="00D57D59"/>
    <w:rsid w:val="00D92FA4"/>
    <w:rsid w:val="00DA0E82"/>
    <w:rsid w:val="00DA1123"/>
    <w:rsid w:val="00DA3A70"/>
    <w:rsid w:val="00DB33D0"/>
    <w:rsid w:val="00DB50F2"/>
    <w:rsid w:val="00DB53CF"/>
    <w:rsid w:val="00DC56F7"/>
    <w:rsid w:val="00DD28CB"/>
    <w:rsid w:val="00DE6FB9"/>
    <w:rsid w:val="00DF4BF5"/>
    <w:rsid w:val="00E0253F"/>
    <w:rsid w:val="00E05C41"/>
    <w:rsid w:val="00E07FE1"/>
    <w:rsid w:val="00E218D7"/>
    <w:rsid w:val="00E233B8"/>
    <w:rsid w:val="00E668A6"/>
    <w:rsid w:val="00E7116A"/>
    <w:rsid w:val="00E7247D"/>
    <w:rsid w:val="00E87C54"/>
    <w:rsid w:val="00E9115D"/>
    <w:rsid w:val="00E95809"/>
    <w:rsid w:val="00EA3741"/>
    <w:rsid w:val="00EA48BC"/>
    <w:rsid w:val="00EB0873"/>
    <w:rsid w:val="00EB40DB"/>
    <w:rsid w:val="00EC2807"/>
    <w:rsid w:val="00ED2D0A"/>
    <w:rsid w:val="00F04CEB"/>
    <w:rsid w:val="00F16FB7"/>
    <w:rsid w:val="00F202A8"/>
    <w:rsid w:val="00F24E5F"/>
    <w:rsid w:val="00F35DF8"/>
    <w:rsid w:val="00F476D7"/>
    <w:rsid w:val="00F85AF2"/>
    <w:rsid w:val="00F86AF6"/>
    <w:rsid w:val="01645321"/>
    <w:rsid w:val="12EC45C9"/>
    <w:rsid w:val="1C7A336B"/>
    <w:rsid w:val="1EE13B08"/>
    <w:rsid w:val="36B35C61"/>
    <w:rsid w:val="4A8E1C1D"/>
    <w:rsid w:val="4C9B00D9"/>
    <w:rsid w:val="69CC6046"/>
    <w:rsid w:val="74E1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B53CF"/>
    <w:rPr>
      <w:sz w:val="18"/>
      <w:szCs w:val="18"/>
    </w:rPr>
  </w:style>
  <w:style w:type="paragraph" w:styleId="a4">
    <w:name w:val="footer"/>
    <w:basedOn w:val="a"/>
    <w:link w:val="Char0"/>
    <w:rsid w:val="00DB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B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5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B53C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DB53CF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B53CF"/>
    <w:rPr>
      <w:kern w:val="2"/>
      <w:sz w:val="18"/>
      <w:szCs w:val="18"/>
    </w:rPr>
  </w:style>
  <w:style w:type="character" w:customStyle="1" w:styleId="font31">
    <w:name w:val="font31"/>
    <w:basedOn w:val="a0"/>
    <w:rsid w:val="00AF4B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AF4B7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7">
    <w:name w:val="Normal (Web)"/>
    <w:basedOn w:val="a"/>
    <w:uiPriority w:val="99"/>
    <w:qFormat/>
    <w:rsid w:val="005B699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CharCharChar">
    <w:name w:val="Char Char Char"/>
    <w:basedOn w:val="a"/>
    <w:rsid w:val="005B6993"/>
    <w:rPr>
      <w:rFonts w:ascii="Times New Roman" w:eastAsia="宋体" w:hAnsi="Times New Roman" w:cs="Times New Roman"/>
      <w:szCs w:val="20"/>
    </w:rPr>
  </w:style>
  <w:style w:type="paragraph" w:customStyle="1" w:styleId="ztext-empty-paragraph">
    <w:name w:val="ztext-empty-paragraph"/>
    <w:basedOn w:val="a"/>
    <w:rsid w:val="001B7F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EB40DB"/>
    <w:rPr>
      <w:b/>
      <w:bCs/>
    </w:rPr>
  </w:style>
  <w:style w:type="character" w:styleId="a9">
    <w:name w:val="Hyperlink"/>
    <w:basedOn w:val="a0"/>
    <w:uiPriority w:val="99"/>
    <w:semiHidden/>
    <w:unhideWhenUsed/>
    <w:rsid w:val="00771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B53CF"/>
    <w:rPr>
      <w:sz w:val="18"/>
      <w:szCs w:val="18"/>
    </w:rPr>
  </w:style>
  <w:style w:type="paragraph" w:styleId="a4">
    <w:name w:val="footer"/>
    <w:basedOn w:val="a"/>
    <w:link w:val="Char0"/>
    <w:rsid w:val="00DB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B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5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B53C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DB53CF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B53CF"/>
    <w:rPr>
      <w:kern w:val="2"/>
      <w:sz w:val="18"/>
      <w:szCs w:val="18"/>
    </w:rPr>
  </w:style>
  <w:style w:type="character" w:customStyle="1" w:styleId="font31">
    <w:name w:val="font31"/>
    <w:basedOn w:val="a0"/>
    <w:rsid w:val="00AF4B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AF4B7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7">
    <w:name w:val="Normal (Web)"/>
    <w:basedOn w:val="a"/>
    <w:uiPriority w:val="99"/>
    <w:qFormat/>
    <w:rsid w:val="005B699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CharCharChar">
    <w:name w:val="Char Char Char"/>
    <w:basedOn w:val="a"/>
    <w:rsid w:val="005B6993"/>
    <w:rPr>
      <w:rFonts w:ascii="Times New Roman" w:eastAsia="宋体" w:hAnsi="Times New Roman" w:cs="Times New Roman"/>
      <w:szCs w:val="20"/>
    </w:rPr>
  </w:style>
  <w:style w:type="paragraph" w:customStyle="1" w:styleId="ztext-empty-paragraph">
    <w:name w:val="ztext-empty-paragraph"/>
    <w:basedOn w:val="a"/>
    <w:rsid w:val="001B7F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EB40DB"/>
    <w:rPr>
      <w:b/>
      <w:bCs/>
    </w:rPr>
  </w:style>
  <w:style w:type="character" w:styleId="a9">
    <w:name w:val="Hyperlink"/>
    <w:basedOn w:val="a0"/>
    <w:uiPriority w:val="99"/>
    <w:semiHidden/>
    <w:unhideWhenUsed/>
    <w:rsid w:val="00771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27B10DE-A028-4C2A-91C5-478603900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172</Words>
  <Characters>982</Characters>
  <Application>Microsoft Office Word</Application>
  <DocSecurity>0</DocSecurity>
  <Lines>8</Lines>
  <Paragraphs>2</Paragraphs>
  <ScaleCrop>false</ScaleCrop>
  <Company>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163</cp:revision>
  <dcterms:created xsi:type="dcterms:W3CDTF">2021-05-28T04:15:00Z</dcterms:created>
  <dcterms:modified xsi:type="dcterms:W3CDTF">2022-07-13T01:53:00Z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