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cs="楷体"/>
          <w:b/>
          <w:bCs/>
          <w:sz w:val="44"/>
          <w:szCs w:val="44"/>
        </w:rPr>
      </w:pPr>
      <w:r>
        <w:rPr>
          <w:rFonts w:hint="eastAsia" w:ascii="楷体" w:hAnsi="楷体" w:eastAsia="楷体" w:cs="楷体"/>
          <w:b/>
          <w:bCs/>
          <w:sz w:val="44"/>
          <w:szCs w:val="44"/>
        </w:rPr>
        <w:t>福建省武平南坊国有林场(白蚁防治)服务承揽合同</w:t>
      </w:r>
    </w:p>
    <w:p>
      <w:pPr>
        <w:jc w:val="center"/>
        <w:rPr>
          <w:rFonts w:ascii="楷体" w:hAnsi="楷体" w:eastAsia="楷体" w:cs="楷体"/>
          <w:b/>
          <w:bCs/>
          <w:sz w:val="32"/>
          <w:szCs w:val="32"/>
        </w:rPr>
      </w:pPr>
    </w:p>
    <w:p>
      <w:pPr>
        <w:spacing w:line="360" w:lineRule="exact"/>
        <w:jc w:val="center"/>
        <w:rPr>
          <w:b/>
          <w:bCs/>
        </w:rPr>
      </w:pPr>
      <w:r>
        <w:rPr>
          <w:rFonts w:hint="eastAsia"/>
          <w:b/>
          <w:bCs/>
        </w:rPr>
        <w:t xml:space="preserve">                                               武南林森保（2022）第</w:t>
      </w:r>
      <w:r>
        <w:rPr>
          <w:rFonts w:hint="eastAsia"/>
          <w:b/>
          <w:bCs/>
          <w:u w:val="single"/>
        </w:rPr>
        <w:t xml:space="preserve"> </w:t>
      </w:r>
      <w:r>
        <w:rPr>
          <w:rFonts w:hint="eastAsia"/>
          <w:b/>
          <w:bCs/>
        </w:rPr>
        <w:t>号</w:t>
      </w:r>
    </w:p>
    <w:p>
      <w:pPr>
        <w:spacing w:line="520" w:lineRule="exact"/>
        <w:jc w:val="center"/>
        <w:rPr>
          <w:rFonts w:ascii="仿宋" w:hAnsi="仿宋" w:eastAsia="仿宋"/>
          <w:sz w:val="28"/>
          <w:szCs w:val="28"/>
        </w:rPr>
      </w:pPr>
    </w:p>
    <w:p>
      <w:pPr>
        <w:spacing w:line="4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 xml:space="preserve">甲方：福建省武平南坊国有林场   （采购方） </w:t>
      </w:r>
    </w:p>
    <w:p>
      <w:pPr>
        <w:spacing w:line="460" w:lineRule="exact"/>
        <w:ind w:firstLine="643" w:firstLineChars="200"/>
        <w:rPr>
          <w:rFonts w:ascii="仿宋" w:hAnsi="仿宋" w:eastAsia="仿宋" w:cs="仿宋"/>
          <w:sz w:val="28"/>
          <w:szCs w:val="28"/>
        </w:rPr>
      </w:pPr>
      <w:r>
        <w:rPr>
          <w:rFonts w:hint="eastAsia" w:ascii="楷体" w:hAnsi="楷体" w:eastAsia="楷体" w:cs="楷体"/>
          <w:b/>
          <w:bCs/>
          <w:sz w:val="32"/>
          <w:szCs w:val="32"/>
        </w:rPr>
        <w:t xml:space="preserve">乙方：                         （供应方） </w:t>
      </w:r>
    </w:p>
    <w:p>
      <w:pPr>
        <w:spacing w:line="460" w:lineRule="exact"/>
        <w:ind w:firstLine="560" w:firstLineChars="200"/>
        <w:rPr>
          <w:rFonts w:ascii="仿宋" w:hAnsi="仿宋" w:eastAsia="仿宋" w:cs="仿宋"/>
          <w:sz w:val="28"/>
          <w:szCs w:val="28"/>
        </w:rPr>
      </w:pPr>
    </w:p>
    <w:p>
      <w:pPr>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甲方       福建省武平南坊国有林场白蚁防治项目于2022年  月 日通过广西林权交易中心向社会公开开展竞价交易，结果为乙方成交。为明确双方责任与权利，双方就生产劳务承揽、安全等相关事项订立合同条款如下</w:t>
      </w:r>
    </w:p>
    <w:p>
      <w:pPr>
        <w:numPr>
          <w:ilvl w:val="0"/>
          <w:numId w:val="1"/>
        </w:numPr>
        <w:spacing w:line="420" w:lineRule="exact"/>
        <w:ind w:firstLine="560" w:firstLineChars="200"/>
        <w:rPr>
          <w:rFonts w:ascii="仿宋" w:hAnsi="仿宋" w:eastAsia="仿宋" w:cs="仿宋"/>
          <w:sz w:val="28"/>
          <w:szCs w:val="28"/>
        </w:rPr>
      </w:pPr>
      <w:r>
        <w:rPr>
          <w:rFonts w:hint="eastAsia" w:ascii="黑体" w:hAnsi="黑体" w:eastAsia="黑体" w:cs="黑体"/>
          <w:sz w:val="28"/>
          <w:szCs w:val="28"/>
        </w:rPr>
        <w:t xml:space="preserve">标的情况： </w:t>
      </w:r>
    </w:p>
    <w:p>
      <w:pPr>
        <w:numPr>
          <w:ilvl w:val="255"/>
          <w:numId w:val="0"/>
        </w:num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单位：亩、元、元/亩</w:t>
      </w:r>
    </w:p>
    <w:tbl>
      <w:tblPr>
        <w:tblStyle w:val="6"/>
        <w:tblpPr w:leftFromText="180" w:rightFromText="180" w:vertAnchor="text" w:horzAnchor="page" w:tblpX="1192" w:tblpY="113"/>
        <w:tblOverlap w:val="never"/>
        <w:tblW w:w="9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873"/>
        <w:gridCol w:w="709"/>
        <w:gridCol w:w="775"/>
        <w:gridCol w:w="930"/>
        <w:gridCol w:w="1619"/>
        <w:gridCol w:w="850"/>
        <w:gridCol w:w="992"/>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99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sz w:val="24"/>
                <w:szCs w:val="24"/>
              </w:rPr>
            </w:pPr>
            <w:r>
              <w:rPr>
                <w:rFonts w:hint="eastAsia" w:ascii="宋体" w:hAnsi="宋体"/>
                <w:sz w:val="24"/>
                <w:szCs w:val="24"/>
              </w:rPr>
              <w:t>管护站</w:t>
            </w:r>
          </w:p>
        </w:tc>
        <w:tc>
          <w:tcPr>
            <w:tcW w:w="87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sz w:val="24"/>
                <w:szCs w:val="24"/>
              </w:rPr>
            </w:pPr>
            <w:r>
              <w:rPr>
                <w:rFonts w:hint="eastAsia" w:ascii="宋体" w:hAnsi="宋体"/>
                <w:sz w:val="24"/>
                <w:szCs w:val="24"/>
              </w:rPr>
              <w:t>林班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sz w:val="24"/>
                <w:szCs w:val="24"/>
              </w:rPr>
            </w:pPr>
            <w:r>
              <w:rPr>
                <w:rFonts w:hint="eastAsia" w:ascii="宋体" w:hAnsi="宋体"/>
                <w:sz w:val="24"/>
                <w:szCs w:val="24"/>
              </w:rPr>
              <w:t>大班</w:t>
            </w:r>
          </w:p>
        </w:tc>
        <w:tc>
          <w:tcPr>
            <w:tcW w:w="77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sz w:val="24"/>
                <w:szCs w:val="24"/>
              </w:rPr>
            </w:pPr>
            <w:r>
              <w:rPr>
                <w:rFonts w:hint="eastAsia" w:ascii="宋体" w:hAnsi="宋体"/>
                <w:sz w:val="24"/>
                <w:szCs w:val="24"/>
              </w:rPr>
              <w:t>小班</w:t>
            </w:r>
          </w:p>
        </w:tc>
        <w:tc>
          <w:tcPr>
            <w:tcW w:w="93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sz w:val="24"/>
                <w:szCs w:val="24"/>
              </w:rPr>
            </w:pPr>
            <w:r>
              <w:rPr>
                <w:rFonts w:hint="eastAsia" w:ascii="宋体" w:hAnsi="宋体"/>
                <w:sz w:val="24"/>
                <w:szCs w:val="24"/>
              </w:rPr>
              <w:t>档案面积</w:t>
            </w:r>
          </w:p>
        </w:tc>
        <w:tc>
          <w:tcPr>
            <w:tcW w:w="161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sz w:val="24"/>
                <w:szCs w:val="24"/>
              </w:rPr>
            </w:pPr>
            <w:r>
              <w:rPr>
                <w:rFonts w:hint="eastAsia" w:ascii="宋体" w:hAnsi="宋体"/>
                <w:sz w:val="24"/>
                <w:szCs w:val="24"/>
              </w:rPr>
              <w:t>作业</w:t>
            </w:r>
          </w:p>
          <w:p>
            <w:pPr>
              <w:spacing w:line="520" w:lineRule="exact"/>
              <w:jc w:val="center"/>
              <w:rPr>
                <w:rFonts w:ascii="宋体" w:hAnsi="宋体"/>
                <w:sz w:val="24"/>
                <w:szCs w:val="24"/>
              </w:rPr>
            </w:pPr>
            <w:r>
              <w:rPr>
                <w:rFonts w:hint="eastAsia" w:ascii="宋体" w:hAnsi="宋体"/>
                <w:sz w:val="24"/>
                <w:szCs w:val="24"/>
              </w:rPr>
              <w:t>内容、质量</w:t>
            </w:r>
          </w:p>
        </w:tc>
        <w:tc>
          <w:tcPr>
            <w:tcW w:w="85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sz w:val="24"/>
                <w:szCs w:val="24"/>
              </w:rPr>
            </w:pPr>
            <w:r>
              <w:rPr>
                <w:rFonts w:hint="eastAsia" w:ascii="宋体" w:hAnsi="宋体"/>
                <w:sz w:val="24"/>
                <w:szCs w:val="24"/>
              </w:rPr>
              <w:t>单价</w:t>
            </w:r>
          </w:p>
        </w:tc>
        <w:tc>
          <w:tcPr>
            <w:tcW w:w="992"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sz w:val="24"/>
                <w:szCs w:val="24"/>
              </w:rPr>
            </w:pPr>
            <w:r>
              <w:rPr>
                <w:rFonts w:hint="eastAsia" w:ascii="宋体" w:hAnsi="宋体"/>
                <w:sz w:val="24"/>
                <w:szCs w:val="24"/>
              </w:rPr>
              <w:t>完成</w:t>
            </w:r>
          </w:p>
          <w:p>
            <w:pPr>
              <w:spacing w:line="520" w:lineRule="exact"/>
              <w:jc w:val="center"/>
              <w:rPr>
                <w:rFonts w:ascii="宋体" w:hAnsi="宋体"/>
                <w:sz w:val="24"/>
                <w:szCs w:val="24"/>
              </w:rPr>
            </w:pPr>
            <w:r>
              <w:rPr>
                <w:rFonts w:hint="eastAsia" w:ascii="宋体" w:hAnsi="宋体"/>
                <w:sz w:val="24"/>
                <w:szCs w:val="24"/>
              </w:rPr>
              <w:t>期限</w:t>
            </w:r>
          </w:p>
        </w:tc>
        <w:tc>
          <w:tcPr>
            <w:tcW w:w="212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991" w:type="dxa"/>
            <w:tcBorders>
              <w:left w:val="single" w:color="auto" w:sz="4" w:space="0"/>
              <w:right w:val="single" w:color="auto" w:sz="4" w:space="0"/>
            </w:tcBorders>
            <w:vAlign w:val="center"/>
          </w:tcPr>
          <w:p>
            <w:pPr>
              <w:jc w:val="center"/>
              <w:rPr>
                <w:rFonts w:ascii="宋体" w:hAnsi="宋体" w:cs="宋体"/>
                <w:sz w:val="24"/>
                <w:szCs w:val="24"/>
              </w:rPr>
            </w:pPr>
          </w:p>
        </w:tc>
        <w:tc>
          <w:tcPr>
            <w:tcW w:w="873" w:type="dxa"/>
            <w:tcBorders>
              <w:left w:val="single" w:color="auto" w:sz="4" w:space="0"/>
              <w:right w:val="single" w:color="auto" w:sz="4" w:space="0"/>
            </w:tcBorders>
            <w:vAlign w:val="center"/>
          </w:tcPr>
          <w:p>
            <w:pPr>
              <w:jc w:val="center"/>
              <w:rPr>
                <w:rFonts w:ascii="宋体" w:hAnsi="宋体" w:cs="宋体"/>
                <w:sz w:val="24"/>
                <w:szCs w:val="24"/>
              </w:rPr>
            </w:pPr>
          </w:p>
        </w:tc>
        <w:tc>
          <w:tcPr>
            <w:tcW w:w="709" w:type="dxa"/>
            <w:tcBorders>
              <w:left w:val="single" w:color="auto" w:sz="4" w:space="0"/>
              <w:right w:val="single" w:color="auto" w:sz="4" w:space="0"/>
            </w:tcBorders>
            <w:vAlign w:val="center"/>
          </w:tcPr>
          <w:p>
            <w:pPr>
              <w:rPr>
                <w:rFonts w:ascii="宋体" w:hAnsi="宋体" w:cs="宋体"/>
                <w:sz w:val="24"/>
                <w:szCs w:val="24"/>
              </w:rPr>
            </w:pPr>
          </w:p>
        </w:tc>
        <w:tc>
          <w:tcPr>
            <w:tcW w:w="775" w:type="dxa"/>
            <w:tcBorders>
              <w:left w:val="single" w:color="auto" w:sz="4" w:space="0"/>
              <w:right w:val="single" w:color="auto" w:sz="4" w:space="0"/>
            </w:tcBorders>
            <w:vAlign w:val="center"/>
          </w:tcPr>
          <w:p>
            <w:pPr>
              <w:rPr>
                <w:rFonts w:ascii="宋体" w:hAnsi="宋体" w:cs="宋体"/>
                <w:sz w:val="24"/>
                <w:szCs w:val="24"/>
              </w:rPr>
            </w:pPr>
          </w:p>
        </w:tc>
        <w:tc>
          <w:tcPr>
            <w:tcW w:w="930" w:type="dxa"/>
            <w:tcBorders>
              <w:top w:val="single" w:color="auto" w:sz="4" w:space="0"/>
              <w:left w:val="single" w:color="auto" w:sz="4" w:space="0"/>
              <w:right w:val="single" w:color="auto" w:sz="4" w:space="0"/>
            </w:tcBorders>
            <w:vAlign w:val="center"/>
          </w:tcPr>
          <w:p>
            <w:pPr>
              <w:jc w:val="center"/>
              <w:rPr>
                <w:rFonts w:ascii="宋体" w:hAnsi="宋体" w:cs="宋体"/>
                <w:sz w:val="24"/>
                <w:szCs w:val="24"/>
              </w:rPr>
            </w:pPr>
          </w:p>
        </w:tc>
        <w:tc>
          <w:tcPr>
            <w:tcW w:w="1619" w:type="dxa"/>
            <w:tcBorders>
              <w:top w:val="single" w:color="auto" w:sz="4" w:space="0"/>
              <w:left w:val="single" w:color="auto" w:sz="4" w:space="0"/>
              <w:right w:val="single" w:color="auto" w:sz="4" w:space="0"/>
            </w:tcBorders>
            <w:vAlign w:val="center"/>
          </w:tcPr>
          <w:p>
            <w:pPr>
              <w:spacing w:line="520" w:lineRule="exact"/>
              <w:jc w:val="center"/>
              <w:rPr>
                <w:rFonts w:ascii="宋体" w:hAnsi="宋体"/>
                <w:sz w:val="24"/>
                <w:szCs w:val="24"/>
              </w:rPr>
            </w:pPr>
          </w:p>
        </w:tc>
        <w:tc>
          <w:tcPr>
            <w:tcW w:w="850" w:type="dxa"/>
            <w:tcBorders>
              <w:top w:val="single" w:color="auto" w:sz="4" w:space="0"/>
              <w:left w:val="single" w:color="auto" w:sz="4" w:space="0"/>
              <w:right w:val="single" w:color="auto" w:sz="4" w:space="0"/>
            </w:tcBorders>
            <w:vAlign w:val="center"/>
          </w:tcPr>
          <w:p>
            <w:pPr>
              <w:jc w:val="center"/>
              <w:rPr>
                <w:rFonts w:ascii="宋体" w:hAnsi="宋体" w:cs="宋体"/>
                <w:sz w:val="24"/>
                <w:szCs w:val="24"/>
              </w:rPr>
            </w:pPr>
          </w:p>
        </w:tc>
        <w:tc>
          <w:tcPr>
            <w:tcW w:w="992" w:type="dxa"/>
            <w:tcBorders>
              <w:top w:val="single" w:color="auto" w:sz="4" w:space="0"/>
              <w:left w:val="single" w:color="auto" w:sz="4" w:space="0"/>
              <w:right w:val="single" w:color="auto" w:sz="4" w:space="0"/>
            </w:tcBorders>
            <w:vAlign w:val="center"/>
          </w:tcPr>
          <w:p>
            <w:pPr>
              <w:spacing w:line="520" w:lineRule="exact"/>
              <w:jc w:val="center"/>
              <w:rPr>
                <w:rFonts w:ascii="宋体" w:hAnsi="宋体"/>
                <w:sz w:val="24"/>
                <w:szCs w:val="24"/>
              </w:rPr>
            </w:pPr>
          </w:p>
        </w:tc>
        <w:tc>
          <w:tcPr>
            <w:tcW w:w="2127" w:type="dxa"/>
            <w:vMerge w:val="restart"/>
            <w:tcBorders>
              <w:top w:val="single" w:color="auto" w:sz="4" w:space="0"/>
              <w:left w:val="single" w:color="auto" w:sz="4" w:space="0"/>
              <w:right w:val="single" w:color="auto" w:sz="4" w:space="0"/>
            </w:tcBorders>
            <w:vAlign w:val="center"/>
          </w:tcPr>
          <w:p>
            <w:pPr>
              <w:spacing w:line="460" w:lineRule="exact"/>
              <w:rPr>
                <w:rFonts w:ascii="宋体" w:hAnsi="宋体"/>
                <w:sz w:val="18"/>
                <w:szCs w:val="18"/>
              </w:rPr>
            </w:pPr>
            <w:r>
              <w:rPr>
                <w:rFonts w:hint="eastAsia" w:ascii="宋体" w:hAnsi="宋体" w:cs="宋体"/>
                <w:szCs w:val="21"/>
              </w:rPr>
              <w:t>按实际测量的验收的作业面积结算生产劳务工资。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991" w:type="dxa"/>
            <w:tcBorders>
              <w:left w:val="single" w:color="auto" w:sz="4" w:space="0"/>
              <w:right w:val="single" w:color="auto" w:sz="4" w:space="0"/>
            </w:tcBorders>
            <w:vAlign w:val="center"/>
          </w:tcPr>
          <w:p>
            <w:pPr>
              <w:rPr>
                <w:rFonts w:ascii="宋体" w:hAnsi="宋体" w:cs="宋体"/>
                <w:sz w:val="24"/>
                <w:szCs w:val="24"/>
              </w:rPr>
            </w:pPr>
          </w:p>
        </w:tc>
        <w:tc>
          <w:tcPr>
            <w:tcW w:w="873" w:type="dxa"/>
            <w:tcBorders>
              <w:left w:val="single" w:color="auto" w:sz="4" w:space="0"/>
              <w:right w:val="single" w:color="auto" w:sz="4" w:space="0"/>
            </w:tcBorders>
            <w:vAlign w:val="center"/>
          </w:tcPr>
          <w:p>
            <w:pPr>
              <w:jc w:val="center"/>
              <w:rPr>
                <w:rFonts w:ascii="宋体" w:hAnsi="宋体" w:cs="宋体"/>
                <w:sz w:val="24"/>
                <w:szCs w:val="24"/>
              </w:rPr>
            </w:pPr>
          </w:p>
        </w:tc>
        <w:tc>
          <w:tcPr>
            <w:tcW w:w="709" w:type="dxa"/>
            <w:tcBorders>
              <w:left w:val="single" w:color="auto" w:sz="4" w:space="0"/>
              <w:right w:val="single" w:color="auto" w:sz="4" w:space="0"/>
            </w:tcBorders>
            <w:vAlign w:val="center"/>
          </w:tcPr>
          <w:p>
            <w:pPr>
              <w:rPr>
                <w:rFonts w:ascii="宋体" w:hAnsi="宋体" w:cs="宋体"/>
                <w:sz w:val="24"/>
                <w:szCs w:val="24"/>
              </w:rPr>
            </w:pPr>
          </w:p>
        </w:tc>
        <w:tc>
          <w:tcPr>
            <w:tcW w:w="775" w:type="dxa"/>
            <w:tcBorders>
              <w:left w:val="single" w:color="auto" w:sz="4" w:space="0"/>
              <w:right w:val="single" w:color="auto" w:sz="4" w:space="0"/>
            </w:tcBorders>
            <w:vAlign w:val="center"/>
          </w:tcPr>
          <w:p>
            <w:pPr>
              <w:jc w:val="center"/>
              <w:rPr>
                <w:rFonts w:ascii="宋体" w:hAnsi="宋体" w:cs="宋体"/>
                <w:sz w:val="24"/>
                <w:szCs w:val="24"/>
              </w:rPr>
            </w:pPr>
          </w:p>
        </w:tc>
        <w:tc>
          <w:tcPr>
            <w:tcW w:w="930"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cs="宋体"/>
                <w:sz w:val="24"/>
                <w:szCs w:val="24"/>
              </w:rPr>
            </w:pPr>
          </w:p>
        </w:tc>
        <w:tc>
          <w:tcPr>
            <w:tcW w:w="1619" w:type="dxa"/>
            <w:tcBorders>
              <w:left w:val="single" w:color="auto" w:sz="4" w:space="0"/>
              <w:right w:val="single" w:color="auto" w:sz="4" w:space="0"/>
            </w:tcBorders>
            <w:vAlign w:val="bottom"/>
          </w:tcPr>
          <w:p>
            <w:pPr>
              <w:spacing w:line="520" w:lineRule="exact"/>
              <w:jc w:val="center"/>
              <w:rPr>
                <w:rFonts w:ascii="宋体" w:hAnsi="宋体"/>
                <w:sz w:val="24"/>
                <w:szCs w:val="24"/>
              </w:rPr>
            </w:pPr>
          </w:p>
        </w:tc>
        <w:tc>
          <w:tcPr>
            <w:tcW w:w="850" w:type="dxa"/>
            <w:tcBorders>
              <w:left w:val="single" w:color="auto" w:sz="4" w:space="0"/>
              <w:right w:val="single" w:color="auto" w:sz="4" w:space="0"/>
            </w:tcBorders>
            <w:vAlign w:val="bottom"/>
          </w:tcPr>
          <w:p>
            <w:pPr>
              <w:jc w:val="center"/>
              <w:rPr>
                <w:rFonts w:ascii="宋体" w:hAnsi="宋体" w:cs="宋体"/>
                <w:sz w:val="24"/>
                <w:szCs w:val="24"/>
              </w:rPr>
            </w:pPr>
          </w:p>
        </w:tc>
        <w:tc>
          <w:tcPr>
            <w:tcW w:w="992" w:type="dxa"/>
            <w:tcBorders>
              <w:left w:val="single" w:color="auto" w:sz="4" w:space="0"/>
              <w:right w:val="single" w:color="auto" w:sz="4" w:space="0"/>
            </w:tcBorders>
          </w:tcPr>
          <w:p>
            <w:pPr>
              <w:spacing w:line="520" w:lineRule="exact"/>
              <w:jc w:val="center"/>
              <w:rPr>
                <w:rFonts w:ascii="宋体" w:hAnsi="宋体"/>
                <w:sz w:val="24"/>
                <w:szCs w:val="24"/>
              </w:rPr>
            </w:pPr>
          </w:p>
        </w:tc>
        <w:tc>
          <w:tcPr>
            <w:tcW w:w="2127" w:type="dxa"/>
            <w:vMerge w:val="continue"/>
            <w:tcBorders>
              <w:left w:val="single" w:color="auto" w:sz="4" w:space="0"/>
              <w:right w:val="single" w:color="auto" w:sz="4" w:space="0"/>
            </w:tcBorders>
            <w:vAlign w:val="bottom"/>
          </w:tcPr>
          <w:p>
            <w:pPr>
              <w:spacing w:line="52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991" w:type="dxa"/>
            <w:tcBorders>
              <w:left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合计</w:t>
            </w:r>
          </w:p>
        </w:tc>
        <w:tc>
          <w:tcPr>
            <w:tcW w:w="873" w:type="dxa"/>
            <w:tcBorders>
              <w:left w:val="single" w:color="auto" w:sz="4" w:space="0"/>
              <w:right w:val="single" w:color="auto" w:sz="4" w:space="0"/>
            </w:tcBorders>
            <w:vAlign w:val="center"/>
          </w:tcPr>
          <w:p>
            <w:pPr>
              <w:jc w:val="center"/>
              <w:rPr>
                <w:rFonts w:ascii="宋体" w:hAnsi="宋体" w:cs="宋体"/>
                <w:sz w:val="24"/>
                <w:szCs w:val="24"/>
              </w:rPr>
            </w:pPr>
          </w:p>
        </w:tc>
        <w:tc>
          <w:tcPr>
            <w:tcW w:w="709" w:type="dxa"/>
            <w:tcBorders>
              <w:left w:val="single" w:color="auto" w:sz="4" w:space="0"/>
              <w:right w:val="single" w:color="auto" w:sz="4" w:space="0"/>
            </w:tcBorders>
            <w:vAlign w:val="center"/>
          </w:tcPr>
          <w:p>
            <w:pPr>
              <w:rPr>
                <w:rFonts w:ascii="宋体" w:hAnsi="宋体" w:cs="宋体"/>
                <w:sz w:val="24"/>
                <w:szCs w:val="24"/>
              </w:rPr>
            </w:pPr>
          </w:p>
        </w:tc>
        <w:tc>
          <w:tcPr>
            <w:tcW w:w="775" w:type="dxa"/>
            <w:tcBorders>
              <w:left w:val="single" w:color="auto" w:sz="4" w:space="0"/>
              <w:right w:val="single" w:color="auto" w:sz="4" w:space="0"/>
            </w:tcBorders>
            <w:vAlign w:val="center"/>
          </w:tcPr>
          <w:p>
            <w:pPr>
              <w:jc w:val="center"/>
              <w:rPr>
                <w:rFonts w:ascii="宋体" w:hAnsi="宋体" w:cs="宋体"/>
                <w:sz w:val="24"/>
                <w:szCs w:val="24"/>
              </w:rPr>
            </w:pPr>
          </w:p>
        </w:tc>
        <w:tc>
          <w:tcPr>
            <w:tcW w:w="930" w:type="dxa"/>
            <w:tcBorders>
              <w:top w:val="single" w:color="auto" w:sz="4" w:space="0"/>
              <w:left w:val="single" w:color="auto" w:sz="4" w:space="0"/>
              <w:right w:val="single" w:color="auto" w:sz="4" w:space="0"/>
            </w:tcBorders>
            <w:vAlign w:val="bottom"/>
          </w:tcPr>
          <w:p>
            <w:pPr>
              <w:jc w:val="center"/>
              <w:rPr>
                <w:rFonts w:ascii="宋体" w:hAnsi="宋体" w:cs="宋体"/>
                <w:sz w:val="24"/>
                <w:szCs w:val="24"/>
              </w:rPr>
            </w:pPr>
          </w:p>
        </w:tc>
        <w:tc>
          <w:tcPr>
            <w:tcW w:w="1619" w:type="dxa"/>
            <w:tcBorders>
              <w:left w:val="single" w:color="auto" w:sz="4" w:space="0"/>
              <w:right w:val="single" w:color="auto" w:sz="4" w:space="0"/>
            </w:tcBorders>
            <w:vAlign w:val="bottom"/>
          </w:tcPr>
          <w:p>
            <w:pPr>
              <w:spacing w:line="520" w:lineRule="exact"/>
              <w:jc w:val="center"/>
              <w:rPr>
                <w:rFonts w:ascii="宋体" w:hAnsi="宋体"/>
                <w:sz w:val="24"/>
                <w:szCs w:val="24"/>
              </w:rPr>
            </w:pPr>
          </w:p>
        </w:tc>
        <w:tc>
          <w:tcPr>
            <w:tcW w:w="850" w:type="dxa"/>
            <w:tcBorders>
              <w:left w:val="single" w:color="auto" w:sz="4" w:space="0"/>
              <w:bottom w:val="single" w:color="auto" w:sz="4" w:space="0"/>
              <w:right w:val="single" w:color="auto" w:sz="4" w:space="0"/>
            </w:tcBorders>
            <w:vAlign w:val="bottom"/>
          </w:tcPr>
          <w:p>
            <w:pPr>
              <w:jc w:val="center"/>
              <w:rPr>
                <w:rFonts w:ascii="宋体" w:hAnsi="宋体" w:cs="宋体"/>
                <w:sz w:val="24"/>
                <w:szCs w:val="24"/>
              </w:rPr>
            </w:pPr>
          </w:p>
        </w:tc>
        <w:tc>
          <w:tcPr>
            <w:tcW w:w="992" w:type="dxa"/>
            <w:tcBorders>
              <w:left w:val="single" w:color="auto" w:sz="4" w:space="0"/>
              <w:bottom w:val="single" w:color="auto" w:sz="4" w:space="0"/>
              <w:right w:val="single" w:color="auto" w:sz="4" w:space="0"/>
            </w:tcBorders>
          </w:tcPr>
          <w:p>
            <w:pPr>
              <w:spacing w:line="520" w:lineRule="exact"/>
              <w:jc w:val="center"/>
              <w:rPr>
                <w:rFonts w:ascii="宋体" w:hAnsi="宋体"/>
                <w:sz w:val="24"/>
                <w:szCs w:val="24"/>
              </w:rPr>
            </w:pPr>
          </w:p>
        </w:tc>
        <w:tc>
          <w:tcPr>
            <w:tcW w:w="2127" w:type="dxa"/>
            <w:tcBorders>
              <w:left w:val="single" w:color="auto" w:sz="4" w:space="0"/>
              <w:right w:val="single" w:color="auto" w:sz="4" w:space="0"/>
            </w:tcBorders>
            <w:vAlign w:val="bottom"/>
          </w:tcPr>
          <w:p>
            <w:pPr>
              <w:spacing w:line="520" w:lineRule="exact"/>
              <w:jc w:val="center"/>
              <w:rPr>
                <w:rFonts w:ascii="宋体" w:hAnsi="宋体"/>
                <w:sz w:val="24"/>
                <w:szCs w:val="24"/>
                <w:u w:val="single"/>
              </w:rPr>
            </w:pPr>
            <w:r>
              <w:rPr>
                <w:rFonts w:hint="eastAsia" w:ascii="宋体" w:hAnsi="宋体"/>
                <w:sz w:val="24"/>
                <w:szCs w:val="24"/>
              </w:rPr>
              <w:t>履约金</w:t>
            </w:r>
            <w:r>
              <w:rPr>
                <w:rFonts w:hint="eastAsia" w:ascii="宋体" w:hAnsi="宋体"/>
                <w:sz w:val="24"/>
                <w:szCs w:val="24"/>
                <w:u w:val="single"/>
              </w:rPr>
              <w:t xml:space="preserve">    万元</w:t>
            </w:r>
          </w:p>
        </w:tc>
      </w:tr>
    </w:tbl>
    <w:tbl>
      <w:tblPr>
        <w:tblStyle w:val="7"/>
        <w:tblpPr w:leftFromText="180" w:rightFromText="180" w:vertAnchor="text" w:tblpX="10214" w:tblpY="-6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963" w:type="dxa"/>
          </w:tcPr>
          <w:p>
            <w:pPr>
              <w:spacing w:line="460" w:lineRule="exact"/>
              <w:rPr>
                <w:rFonts w:ascii="黑体" w:hAnsi="黑体" w:eastAsia="黑体" w:cs="黑体"/>
                <w:sz w:val="28"/>
                <w:szCs w:val="28"/>
              </w:rPr>
            </w:pPr>
          </w:p>
        </w:tc>
      </w:tr>
    </w:tbl>
    <w:tbl>
      <w:tblPr>
        <w:tblStyle w:val="7"/>
        <w:tblpPr w:leftFromText="180" w:rightFromText="180" w:vertAnchor="text" w:tblpX="10214" w:tblpY="-6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963" w:type="dxa"/>
          </w:tcPr>
          <w:p>
            <w:pPr>
              <w:spacing w:line="460" w:lineRule="exact"/>
              <w:rPr>
                <w:rFonts w:ascii="黑体" w:hAnsi="黑体" w:eastAsia="黑体" w:cs="黑体"/>
                <w:sz w:val="28"/>
                <w:szCs w:val="28"/>
              </w:rPr>
            </w:pPr>
          </w:p>
        </w:tc>
      </w:tr>
    </w:tbl>
    <w:p>
      <w:pPr>
        <w:spacing w:line="420" w:lineRule="exact"/>
        <w:ind w:firstLine="590" w:firstLineChars="196"/>
        <w:rPr>
          <w:rFonts w:ascii="仿宋_GB2312" w:hAnsi="宋体" w:eastAsia="仿宋_GB2312"/>
          <w:b/>
          <w:sz w:val="30"/>
          <w:szCs w:val="30"/>
        </w:rPr>
      </w:pPr>
      <w:r>
        <w:rPr>
          <w:rFonts w:hint="eastAsia" w:ascii="仿宋_GB2312" w:hAnsi="宋体" w:eastAsia="仿宋_GB2312"/>
          <w:b/>
          <w:sz w:val="30"/>
          <w:szCs w:val="30"/>
        </w:rPr>
        <w:t>二、施工质量要求及内容：</w:t>
      </w:r>
    </w:p>
    <w:p>
      <w:pPr>
        <w:adjustRightInd w:val="0"/>
        <w:spacing w:line="500" w:lineRule="exact"/>
        <w:ind w:firstLine="560" w:firstLineChars="200"/>
        <w:rPr>
          <w:rFonts w:ascii="宋体" w:hAnsi="宋体"/>
          <w:sz w:val="28"/>
          <w:szCs w:val="28"/>
        </w:rPr>
      </w:pPr>
      <w:r>
        <w:rPr>
          <w:rFonts w:hint="eastAsia" w:ascii="仿宋" w:hAnsi="仿宋" w:eastAsia="仿宋" w:cs="仿宋"/>
          <w:bCs/>
          <w:kern w:val="0"/>
          <w:sz w:val="28"/>
          <w:szCs w:val="28"/>
        </w:rPr>
        <w:t>1、</w:t>
      </w:r>
      <w:r>
        <w:rPr>
          <w:rFonts w:hint="eastAsia" w:ascii="仿宋_GB2312" w:hAnsi="宋体" w:eastAsia="仿宋_GB2312"/>
          <w:sz w:val="28"/>
          <w:szCs w:val="28"/>
        </w:rPr>
        <w:t>防治服务所用药剂，使用高效、低毒、低残留的环保药品。</w:t>
      </w:r>
    </w:p>
    <w:p>
      <w:pPr>
        <w:spacing w:line="420" w:lineRule="exact"/>
        <w:ind w:firstLine="560" w:firstLineChars="200"/>
        <w:rPr>
          <w:rFonts w:ascii="仿宋_GB2312" w:hAnsi="宋体" w:eastAsia="仿宋_GB2312"/>
          <w:sz w:val="28"/>
          <w:szCs w:val="28"/>
        </w:rPr>
      </w:pPr>
      <w:r>
        <w:rPr>
          <w:rFonts w:hint="eastAsia" w:ascii="仿宋_GB2312" w:hAnsi="宋体" w:eastAsia="仿宋_GB2312"/>
          <w:sz w:val="28"/>
          <w:szCs w:val="28"/>
        </w:rPr>
        <w:t>2、白蚁防治服务采取地面防治方式进行，使用人工投放诱杀包进行林区投放。</w:t>
      </w:r>
    </w:p>
    <w:p>
      <w:pPr>
        <w:spacing w:line="420" w:lineRule="exact"/>
        <w:ind w:firstLine="548" w:firstLineChars="196"/>
        <w:rPr>
          <w:rFonts w:ascii="仿宋_GB2312" w:hAnsi="宋体" w:eastAsia="仿宋_GB2312"/>
          <w:sz w:val="28"/>
          <w:szCs w:val="28"/>
        </w:rPr>
      </w:pPr>
      <w:r>
        <w:rPr>
          <w:rFonts w:hint="eastAsia" w:ascii="仿宋_GB2312" w:hAnsi="宋体" w:eastAsia="仿宋_GB2312"/>
          <w:sz w:val="28"/>
          <w:szCs w:val="28"/>
        </w:rPr>
        <w:t>3、施工人员防治作业时应做好相应安全防护措施，施工后应多喝开水，洗漱口、鼻和身体；防治时，防治作业区除防治作业人员外，无其他作业人员；</w:t>
      </w:r>
    </w:p>
    <w:p>
      <w:pPr>
        <w:spacing w:line="420" w:lineRule="exact"/>
        <w:ind w:firstLine="548" w:firstLineChars="196"/>
        <w:rPr>
          <w:rFonts w:ascii="仿宋_GB2312" w:hAnsi="宋体" w:eastAsia="仿宋_GB2312"/>
          <w:sz w:val="28"/>
          <w:szCs w:val="28"/>
        </w:rPr>
      </w:pPr>
      <w:r>
        <w:rPr>
          <w:rFonts w:hint="eastAsia" w:ascii="仿宋_GB2312" w:hAnsi="宋体" w:eastAsia="仿宋_GB2312"/>
          <w:sz w:val="28"/>
          <w:szCs w:val="28"/>
        </w:rPr>
        <w:t>4、在规定的作业时间内保质保量完成作业任务。</w:t>
      </w:r>
    </w:p>
    <w:p>
      <w:pPr>
        <w:rPr>
          <w:rFonts w:ascii="宋体" w:hAnsi="宋体"/>
          <w:sz w:val="28"/>
          <w:szCs w:val="28"/>
        </w:rPr>
      </w:pPr>
      <w:r>
        <w:rPr>
          <w:rFonts w:hint="eastAsia" w:ascii="仿宋_GB2312" w:hAnsi="宋体" w:eastAsia="仿宋_GB2312"/>
          <w:sz w:val="28"/>
          <w:szCs w:val="28"/>
        </w:rPr>
        <w:t xml:space="preserve">    5、防治服务的防治总面积</w:t>
      </w:r>
      <w:r>
        <w:rPr>
          <w:rFonts w:ascii="仿宋_GB2312" w:hAnsi="宋体" w:eastAsia="仿宋_GB2312"/>
          <w:sz w:val="28"/>
          <w:szCs w:val="28"/>
        </w:rPr>
        <w:t xml:space="preserve"> </w:t>
      </w:r>
      <w:r>
        <w:rPr>
          <w:rFonts w:hint="eastAsia" w:ascii="仿宋_GB2312" w:hAnsi="宋体" w:eastAsia="仿宋_GB2312"/>
          <w:sz w:val="28"/>
          <w:szCs w:val="28"/>
          <w:u w:val="single"/>
        </w:rPr>
        <w:t xml:space="preserve">   </w:t>
      </w:r>
      <w:r>
        <w:rPr>
          <w:rFonts w:ascii="仿宋_GB2312" w:hAnsi="宋体" w:eastAsia="仿宋_GB2312"/>
          <w:sz w:val="28"/>
          <w:szCs w:val="28"/>
        </w:rPr>
        <w:t xml:space="preserve"> </w:t>
      </w:r>
      <w:r>
        <w:rPr>
          <w:rFonts w:hint="eastAsia" w:ascii="仿宋_GB2312" w:hAnsi="宋体" w:eastAsia="仿宋_GB2312"/>
          <w:sz w:val="28"/>
          <w:szCs w:val="28"/>
        </w:rPr>
        <w:t>亩。每亩投入经费</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元（包含药剂、工资、税费等）。防治服务的经费投入总额</w:t>
      </w:r>
      <w:r>
        <w:rPr>
          <w:rFonts w:hint="eastAsia" w:ascii="仿宋_GB2312" w:hAnsi="宋体" w:eastAsia="仿宋_GB2312"/>
          <w:sz w:val="28"/>
          <w:szCs w:val="28"/>
          <w:u w:val="single"/>
        </w:rPr>
        <w:t xml:space="preserve">    </w:t>
      </w:r>
      <w:r>
        <w:rPr>
          <w:rFonts w:hint="eastAsia" w:ascii="仿宋_GB2312" w:hAnsi="宋体" w:eastAsia="仿宋_GB2312"/>
          <w:sz w:val="28"/>
          <w:szCs w:val="28"/>
        </w:rPr>
        <w:t>（小写：￥</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元）。结算方式：以实际防治服务费用进行结算。</w:t>
      </w:r>
    </w:p>
    <w:p>
      <w:pPr>
        <w:spacing w:line="420" w:lineRule="exact"/>
        <w:ind w:firstLine="548" w:firstLineChars="196"/>
        <w:rPr>
          <w:rFonts w:ascii="仿宋_GB2312" w:hAnsi="宋体" w:eastAsia="仿宋_GB2312"/>
          <w:sz w:val="28"/>
          <w:szCs w:val="28"/>
        </w:rPr>
      </w:pPr>
    </w:p>
    <w:p>
      <w:pPr>
        <w:spacing w:line="420" w:lineRule="exact"/>
        <w:ind w:firstLine="590" w:firstLineChars="196"/>
        <w:rPr>
          <w:rFonts w:ascii="仿宋_GB2312" w:hAnsi="宋体" w:eastAsia="仿宋_GB2312"/>
          <w:bCs/>
          <w:sz w:val="30"/>
          <w:szCs w:val="30"/>
        </w:rPr>
      </w:pPr>
      <w:r>
        <w:rPr>
          <w:rFonts w:hint="eastAsia" w:ascii="仿宋_GB2312" w:hAnsi="宋体" w:eastAsia="仿宋_GB2312"/>
          <w:b/>
          <w:sz w:val="30"/>
          <w:szCs w:val="30"/>
        </w:rPr>
        <w:t>三、施工时间及要求：</w:t>
      </w:r>
    </w:p>
    <w:p>
      <w:pPr>
        <w:spacing w:line="420" w:lineRule="exact"/>
        <w:ind w:firstLine="548" w:firstLineChars="196"/>
        <w:rPr>
          <w:rFonts w:ascii="仿宋_GB2312" w:hAnsi="宋体" w:eastAsia="仿宋_GB2312"/>
          <w:sz w:val="28"/>
          <w:szCs w:val="28"/>
        </w:rPr>
      </w:pPr>
      <w:r>
        <w:rPr>
          <w:rFonts w:hint="eastAsia" w:ascii="仿宋_GB2312" w:hAnsi="宋体" w:eastAsia="仿宋_GB2312"/>
          <w:bCs/>
          <w:sz w:val="28"/>
          <w:szCs w:val="28"/>
        </w:rPr>
        <w:t xml:space="preserve">1、                   </w:t>
      </w:r>
      <w:r>
        <w:rPr>
          <w:rFonts w:hint="eastAsia" w:ascii="仿宋_GB2312" w:hAnsi="宋体" w:eastAsia="仿宋_GB2312"/>
          <w:sz w:val="28"/>
          <w:szCs w:val="28"/>
        </w:rPr>
        <w:t>内完成以上全部作业内容。</w:t>
      </w:r>
    </w:p>
    <w:p>
      <w:pPr>
        <w:spacing w:line="420" w:lineRule="exact"/>
        <w:ind w:firstLine="560" w:firstLineChars="200"/>
        <w:rPr>
          <w:rFonts w:ascii="仿宋_GB2312" w:hAnsi="宋体" w:eastAsia="仿宋_GB2312"/>
          <w:sz w:val="28"/>
          <w:szCs w:val="28"/>
        </w:rPr>
      </w:pPr>
      <w:r>
        <w:rPr>
          <w:rFonts w:hint="eastAsia" w:ascii="仿宋_GB2312" w:hAnsi="宋体" w:eastAsia="仿宋_GB2312"/>
          <w:sz w:val="28"/>
          <w:szCs w:val="28"/>
        </w:rPr>
        <w:t>2、乙方必须在规定的作业时间内按照合同中项目质量要求组织劳力施工。</w:t>
      </w:r>
    </w:p>
    <w:p>
      <w:pPr>
        <w:spacing w:line="420" w:lineRule="exact"/>
        <w:ind w:firstLine="560" w:firstLineChars="200"/>
        <w:rPr>
          <w:rFonts w:ascii="仿宋_GB2312" w:hAnsi="宋体" w:eastAsia="仿宋_GB2312"/>
          <w:sz w:val="28"/>
          <w:szCs w:val="28"/>
        </w:rPr>
      </w:pPr>
      <w:r>
        <w:rPr>
          <w:rFonts w:hint="eastAsia" w:ascii="仿宋_GB2312" w:hAnsi="宋体" w:eastAsia="仿宋_GB2312"/>
          <w:sz w:val="28"/>
          <w:szCs w:val="28"/>
        </w:rPr>
        <w:t>3、乙方在施工过程中必须严格按照甲方质量要求作业，并接受甲方质检员的检查、督促和指导 。</w:t>
      </w:r>
    </w:p>
    <w:p>
      <w:pPr>
        <w:spacing w:line="420" w:lineRule="exact"/>
        <w:ind w:firstLine="560" w:firstLineChars="200"/>
        <w:rPr>
          <w:rFonts w:ascii="仿宋_GB2312" w:hAnsi="宋体" w:eastAsia="仿宋_GB2312"/>
          <w:sz w:val="28"/>
          <w:szCs w:val="28"/>
        </w:rPr>
      </w:pPr>
      <w:r>
        <w:rPr>
          <w:rFonts w:hint="eastAsia" w:ascii="仿宋_GB2312" w:hAnsi="宋体" w:eastAsia="仿宋_GB2312"/>
          <w:sz w:val="28"/>
          <w:szCs w:val="28"/>
        </w:rPr>
        <w:t>4、乙方在施工过程中应同时做好安全工作，作业出工收工途中应遵守交通规则，按照规程作业，单人、夜间、恶劣天气不许进山作业，确保安全生产无事故。由此发生的一切后果由乙方负责。</w:t>
      </w:r>
    </w:p>
    <w:p>
      <w:pPr>
        <w:spacing w:line="42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四、验收结算：</w:t>
      </w:r>
    </w:p>
    <w:p>
      <w:pPr>
        <w:spacing w:line="420" w:lineRule="exact"/>
        <w:ind w:firstLine="560" w:firstLineChars="200"/>
        <w:rPr>
          <w:rFonts w:ascii="仿宋" w:hAnsi="仿宋" w:eastAsia="仿宋" w:cs="仿宋"/>
          <w:sz w:val="28"/>
          <w:szCs w:val="28"/>
        </w:rPr>
      </w:pPr>
      <w:r>
        <w:rPr>
          <w:rFonts w:hint="eastAsia" w:ascii="仿宋_GB2312" w:hAnsi="宋体" w:eastAsia="仿宋_GB2312"/>
          <w:sz w:val="28"/>
          <w:szCs w:val="28"/>
        </w:rPr>
        <w:t>甲方原则上不给乙方办理预支，</w:t>
      </w:r>
      <w:r>
        <w:rPr>
          <w:rFonts w:hint="eastAsia" w:ascii="仿宋" w:hAnsi="仿宋" w:eastAsia="仿宋" w:cs="仿宋"/>
          <w:bCs/>
          <w:sz w:val="28"/>
          <w:szCs w:val="28"/>
        </w:rPr>
        <w:t>防治作业截止（  ）日后  个月后根据验收合格情况予以结算。</w:t>
      </w:r>
      <w:r>
        <w:rPr>
          <w:rFonts w:hint="eastAsia" w:ascii="仿宋_GB2312" w:hAnsi="宋体" w:eastAsia="仿宋_GB2312"/>
          <w:sz w:val="28"/>
          <w:szCs w:val="28"/>
        </w:rPr>
        <w:t>（附发票和合同等结算）。</w:t>
      </w:r>
      <w:r>
        <w:rPr>
          <w:rFonts w:hint="eastAsia" w:ascii="仿宋" w:hAnsi="仿宋" w:eastAsia="仿宋" w:cs="仿宋"/>
          <w:sz w:val="28"/>
          <w:szCs w:val="28"/>
        </w:rPr>
        <w:t>乙方施工完成后应及时通知甲方进行预验收，预验收不合格必须返工。预验收合格后由甲方组织人员进行验收，如验收不合格可在完成期限内进行返工，返工后验收合格予以结算。如乙方返工后验收仍不合格或未能在期限内完成返工，则该片山场甲方有权不再予以结算（以标的整体计）。</w:t>
      </w:r>
    </w:p>
    <w:p>
      <w:pPr>
        <w:spacing w:line="420" w:lineRule="exact"/>
        <w:ind w:left="839" w:leftChars="266" w:hanging="280" w:hangingChars="100"/>
        <w:rPr>
          <w:rFonts w:hint="eastAsia" w:ascii="仿宋" w:hAnsi="仿宋" w:eastAsia="仿宋" w:cs="仿宋"/>
          <w:sz w:val="28"/>
          <w:szCs w:val="28"/>
          <w:lang w:eastAsia="zh-CN"/>
        </w:rPr>
      </w:pPr>
      <w:r>
        <w:rPr>
          <w:rFonts w:hint="eastAsia" w:ascii="仿宋" w:hAnsi="仿宋" w:eastAsia="仿宋" w:cs="仿宋"/>
          <w:sz w:val="28"/>
          <w:szCs w:val="28"/>
          <w:lang w:eastAsia="zh-CN"/>
        </w:rPr>
        <w:t>乙方在中标后原交易保证金直接转为履约保证金，合计人民币</w:t>
      </w:r>
      <w:r>
        <w:rPr>
          <w:rFonts w:hint="eastAsia" w:ascii="仿宋" w:hAnsi="仿宋" w:eastAsia="仿宋" w:cs="仿宋"/>
          <w:sz w:val="28"/>
          <w:szCs w:val="28"/>
          <w:lang w:val="en-US" w:eastAsia="zh-CN"/>
        </w:rPr>
        <w:t xml:space="preserve"> 整，</w:t>
      </w:r>
      <w:r>
        <w:rPr>
          <w:rFonts w:hint="eastAsia" w:ascii="仿宋" w:hAnsi="仿宋" w:eastAsia="仿宋" w:cs="仿宋"/>
          <w:sz w:val="28"/>
          <w:szCs w:val="28"/>
        </w:rPr>
        <w:t>履约保证金在</w:t>
      </w:r>
      <w:r>
        <w:rPr>
          <w:rFonts w:hint="eastAsia" w:ascii="仿宋" w:hAnsi="仿宋" w:eastAsia="仿宋" w:cs="仿宋"/>
          <w:sz w:val="28"/>
          <w:szCs w:val="28"/>
          <w:lang w:eastAsia="zh-CN"/>
        </w:rPr>
        <w:t>验收</w:t>
      </w:r>
      <w:r>
        <w:rPr>
          <w:rFonts w:hint="eastAsia" w:ascii="仿宋" w:hAnsi="仿宋" w:eastAsia="仿宋" w:cs="仿宋"/>
          <w:sz w:val="28"/>
          <w:szCs w:val="28"/>
        </w:rPr>
        <w:t>结算结</w:t>
      </w:r>
      <w:bookmarkStart w:id="0" w:name="_GoBack"/>
      <w:bookmarkEnd w:id="0"/>
      <w:r>
        <w:rPr>
          <w:rFonts w:hint="eastAsia" w:ascii="仿宋" w:hAnsi="仿宋" w:eastAsia="仿宋" w:cs="仿宋"/>
          <w:sz w:val="28"/>
          <w:szCs w:val="28"/>
        </w:rPr>
        <w:t>束后无息退还给乙方</w:t>
      </w:r>
      <w:r>
        <w:rPr>
          <w:rFonts w:hint="eastAsia" w:ascii="仿宋" w:hAnsi="仿宋" w:eastAsia="仿宋" w:cs="仿宋"/>
          <w:sz w:val="28"/>
          <w:szCs w:val="28"/>
          <w:lang w:eastAsia="zh-CN"/>
        </w:rPr>
        <w:t>。</w:t>
      </w:r>
    </w:p>
    <w:p>
      <w:pPr>
        <w:spacing w:line="420" w:lineRule="exact"/>
        <w:ind w:firstLine="562" w:firstLineChars="200"/>
        <w:rPr>
          <w:rFonts w:ascii="仿宋" w:hAnsi="仿宋" w:eastAsia="仿宋" w:cs="仿宋"/>
          <w:b/>
          <w:bCs/>
          <w:kern w:val="0"/>
          <w:sz w:val="28"/>
          <w:szCs w:val="28"/>
        </w:rPr>
      </w:pPr>
      <w:r>
        <w:rPr>
          <w:rFonts w:hint="eastAsia" w:ascii="仿宋" w:hAnsi="仿宋" w:eastAsia="仿宋" w:cs="仿宋"/>
          <w:b/>
          <w:bCs/>
          <w:sz w:val="28"/>
          <w:szCs w:val="28"/>
        </w:rPr>
        <w:t>五、</w:t>
      </w:r>
      <w:r>
        <w:rPr>
          <w:rFonts w:hint="eastAsia" w:ascii="仿宋" w:hAnsi="仿宋" w:eastAsia="仿宋" w:cs="仿宋"/>
          <w:b/>
          <w:bCs/>
          <w:kern w:val="0"/>
          <w:sz w:val="28"/>
          <w:szCs w:val="28"/>
        </w:rPr>
        <w:t>违约责任</w:t>
      </w:r>
    </w:p>
    <w:p>
      <w:pPr>
        <w:spacing w:line="4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1、乙方不得将生产任务转包给他方，乙方若将生产任务转包他方，或参加作业人员未</w:t>
      </w:r>
      <w:r>
        <w:rPr>
          <w:rFonts w:hint="eastAsia" w:ascii="仿宋" w:hAnsi="仿宋" w:eastAsia="仿宋" w:cs="仿宋"/>
          <w:bCs/>
          <w:kern w:val="0"/>
          <w:sz w:val="28"/>
          <w:szCs w:val="28"/>
        </w:rPr>
        <w:t>办理保险就进场作业</w:t>
      </w:r>
      <w:r>
        <w:rPr>
          <w:rFonts w:hint="eastAsia" w:ascii="仿宋" w:hAnsi="仿宋" w:eastAsia="仿宋" w:cs="仿宋"/>
          <w:kern w:val="0"/>
          <w:sz w:val="28"/>
          <w:szCs w:val="28"/>
        </w:rPr>
        <w:t>，或中途确无能力完成任务的，甲方有权终止合同，并没收履约保证金。</w:t>
      </w:r>
    </w:p>
    <w:p>
      <w:pPr>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2、乙方应严格按照质量要求进行作业，如未能按期保质完成生产任务，甲方有权扣履约保证金。</w:t>
      </w:r>
    </w:p>
    <w:p>
      <w:pPr>
        <w:spacing w:line="420" w:lineRule="exact"/>
        <w:ind w:firstLine="560" w:firstLineChars="200"/>
        <w:rPr>
          <w:rFonts w:ascii="仿宋" w:hAnsi="仿宋" w:eastAsia="仿宋" w:cs="仿宋"/>
          <w:bCs/>
          <w:kern w:val="0"/>
          <w:sz w:val="28"/>
          <w:szCs w:val="28"/>
        </w:rPr>
      </w:pPr>
      <w:r>
        <w:rPr>
          <w:rFonts w:hint="eastAsia" w:ascii="仿宋" w:hAnsi="仿宋" w:eastAsia="仿宋" w:cs="仿宋"/>
          <w:sz w:val="28"/>
          <w:szCs w:val="28"/>
        </w:rPr>
        <w:t>3</w:t>
      </w:r>
      <w:r>
        <w:rPr>
          <w:rFonts w:hint="eastAsia" w:ascii="仿宋" w:hAnsi="仿宋" w:eastAsia="仿宋" w:cs="仿宋"/>
          <w:bCs/>
          <w:kern w:val="0"/>
          <w:sz w:val="28"/>
          <w:szCs w:val="28"/>
        </w:rPr>
        <w:t>、未办理保险的工人上岗作业，扣履约保证金500元/次每人，并勒令其立即退场。</w:t>
      </w:r>
    </w:p>
    <w:p>
      <w:pPr>
        <w:spacing w:line="42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4、乙方从事生产作业的人员，在生产过程中发现违章指挥、违章操作、违章作业的，扣履约保证金100元/次每人，第三次予以清退。</w:t>
      </w:r>
    </w:p>
    <w:p>
      <w:pPr>
        <w:spacing w:line="42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5、作业中不按规定穿戴好合格的劳动保护用品（如安全帽）的，扣履约保证金100元/次每人。</w:t>
      </w:r>
    </w:p>
    <w:p>
      <w:pPr>
        <w:spacing w:line="42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 xml:space="preserve">6、对管护站生产点以及作业生产产生的生活生产垃圾等，必须清理干净，乙方未能及时整改的，扣履约保证金100元/次。若乙方未清理，甲方代为清理的，费用由乙方承担。  </w:t>
      </w:r>
    </w:p>
    <w:p>
      <w:pPr>
        <w:spacing w:line="420" w:lineRule="exact"/>
        <w:ind w:firstLine="560" w:firstLineChars="200"/>
        <w:rPr>
          <w:rFonts w:ascii="仿宋" w:hAnsi="仿宋" w:eastAsia="仿宋" w:cs="仿宋"/>
          <w:sz w:val="28"/>
          <w:szCs w:val="28"/>
        </w:rPr>
      </w:pPr>
      <w:r>
        <w:rPr>
          <w:rFonts w:hint="eastAsia" w:ascii="仿宋" w:hAnsi="仿宋" w:eastAsia="仿宋" w:cs="仿宋"/>
          <w:bCs/>
          <w:kern w:val="0"/>
          <w:sz w:val="28"/>
          <w:szCs w:val="28"/>
        </w:rPr>
        <w:t>7、上述情况，当预交履约保证金不够扣款，甲方有权在劳务工资中扣除不够扣款的部分。</w:t>
      </w:r>
    </w:p>
    <w:p>
      <w:pPr>
        <w:spacing w:line="42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rPr>
        <w:t>8</w:t>
      </w:r>
      <w:r>
        <w:rPr>
          <w:rFonts w:hint="eastAsia" w:ascii="仿宋" w:hAnsi="仿宋" w:eastAsia="仿宋" w:cs="仿宋"/>
          <w:bCs/>
          <w:kern w:val="0"/>
          <w:sz w:val="28"/>
          <w:szCs w:val="28"/>
        </w:rPr>
        <w:t>、本合同自甲乙双方签订之日起生效，双方应严格执行，不得违反。本合同一式叁份，甲方执贰份（森保、财务各一份），乙方执壹份。</w:t>
      </w:r>
    </w:p>
    <w:p>
      <w:pPr>
        <w:spacing w:line="42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rPr>
        <w:t>9</w:t>
      </w:r>
      <w:r>
        <w:rPr>
          <w:rFonts w:hint="eastAsia" w:ascii="仿宋" w:hAnsi="仿宋" w:eastAsia="仿宋" w:cs="仿宋"/>
          <w:bCs/>
          <w:kern w:val="0"/>
          <w:sz w:val="28"/>
          <w:szCs w:val="28"/>
        </w:rPr>
        <w:t>、本合同未尽事宜，由双方协商解决，补充合同与本合同具有同等法律效力。</w:t>
      </w:r>
    </w:p>
    <w:p>
      <w:pPr>
        <w:spacing w:line="420" w:lineRule="exact"/>
        <w:rPr>
          <w:rFonts w:ascii="楷体" w:hAnsi="楷体" w:eastAsia="楷体" w:cs="楷体"/>
          <w:bCs/>
          <w:sz w:val="24"/>
        </w:rPr>
      </w:pPr>
    </w:p>
    <w:p>
      <w:pPr>
        <w:spacing w:line="420" w:lineRule="exact"/>
        <w:rPr>
          <w:rFonts w:ascii="楷体" w:hAnsi="楷体" w:eastAsia="楷体" w:cs="楷体"/>
          <w:bCs/>
          <w:sz w:val="24"/>
        </w:rPr>
      </w:pPr>
    </w:p>
    <w:p>
      <w:pPr>
        <w:spacing w:line="420" w:lineRule="exact"/>
        <w:rPr>
          <w:rFonts w:ascii="楷体" w:hAnsi="楷体" w:eastAsia="楷体" w:cs="楷体"/>
          <w:bCs/>
          <w:sz w:val="24"/>
        </w:rPr>
      </w:pPr>
    </w:p>
    <w:p>
      <w:pPr>
        <w:spacing w:line="420" w:lineRule="exact"/>
        <w:rPr>
          <w:rFonts w:ascii="楷体" w:hAnsi="楷体" w:eastAsia="楷体" w:cs="楷体"/>
          <w:bCs/>
          <w:sz w:val="24"/>
        </w:rPr>
      </w:pPr>
    </w:p>
    <w:p>
      <w:pPr>
        <w:spacing w:line="420" w:lineRule="exact"/>
        <w:rPr>
          <w:rFonts w:ascii="楷体" w:hAnsi="楷体" w:eastAsia="楷体" w:cs="楷体"/>
          <w:bCs/>
          <w:sz w:val="24"/>
        </w:rPr>
      </w:pPr>
      <w:r>
        <w:rPr>
          <w:rFonts w:hint="eastAsia" w:ascii="楷体" w:hAnsi="楷体" w:eastAsia="楷体" w:cs="楷体"/>
          <w:bCs/>
          <w:sz w:val="24"/>
        </w:rPr>
        <w:t xml:space="preserve">      甲方：                                    乙方：  </w:t>
      </w:r>
    </w:p>
    <w:p>
      <w:pPr>
        <w:spacing w:line="420" w:lineRule="exact"/>
        <w:rPr>
          <w:rFonts w:ascii="楷体" w:hAnsi="楷体" w:eastAsia="楷体" w:cs="楷体"/>
          <w:bCs/>
          <w:sz w:val="24"/>
        </w:rPr>
      </w:pPr>
    </w:p>
    <w:p>
      <w:pPr>
        <w:spacing w:line="420" w:lineRule="exact"/>
        <w:rPr>
          <w:rFonts w:ascii="楷体" w:hAnsi="楷体" w:eastAsia="楷体" w:cs="楷体"/>
          <w:bCs/>
          <w:sz w:val="24"/>
        </w:rPr>
      </w:pPr>
      <w:r>
        <w:rPr>
          <w:rFonts w:hint="eastAsia" w:ascii="楷体" w:hAnsi="楷体" w:eastAsia="楷体" w:cs="楷体"/>
          <w:bCs/>
          <w:sz w:val="24"/>
        </w:rPr>
        <w:t xml:space="preserve">                         </w:t>
      </w:r>
    </w:p>
    <w:p>
      <w:pPr>
        <w:spacing w:line="420" w:lineRule="exact"/>
        <w:ind w:firstLine="480" w:firstLineChars="200"/>
        <w:rPr>
          <w:rFonts w:ascii="楷体" w:hAnsi="楷体" w:eastAsia="楷体" w:cs="楷体"/>
          <w:bCs/>
          <w:sz w:val="24"/>
        </w:rPr>
      </w:pPr>
    </w:p>
    <w:p>
      <w:pPr>
        <w:spacing w:line="420" w:lineRule="exact"/>
        <w:ind w:firstLine="480" w:firstLineChars="200"/>
        <w:rPr>
          <w:rFonts w:ascii="楷体" w:hAnsi="楷体" w:eastAsia="楷体" w:cs="楷体"/>
          <w:bCs/>
          <w:sz w:val="24"/>
        </w:rPr>
      </w:pPr>
      <w:r>
        <w:rPr>
          <w:rFonts w:hint="eastAsia" w:ascii="楷体" w:hAnsi="楷体" w:eastAsia="楷体" w:cs="楷体"/>
          <w:bCs/>
          <w:sz w:val="24"/>
        </w:rPr>
        <w:t xml:space="preserve"> </w:t>
      </w:r>
      <w:r>
        <w:rPr>
          <w:rFonts w:hint="eastAsia" w:ascii="楷体" w:hAnsi="楷体" w:eastAsia="楷体" w:cs="楷体"/>
          <w:bCs/>
          <w:sz w:val="24"/>
          <w:lang w:eastAsia="zh-CN"/>
        </w:rPr>
        <w:t>甲方代表</w:t>
      </w:r>
      <w:r>
        <w:rPr>
          <w:rFonts w:hint="eastAsia" w:ascii="楷体" w:hAnsi="楷体" w:eastAsia="楷体" w:cs="楷体"/>
          <w:bCs/>
          <w:sz w:val="24"/>
        </w:rPr>
        <w:t xml:space="preserve">：                        </w:t>
      </w:r>
    </w:p>
    <w:p>
      <w:pPr>
        <w:spacing w:line="420" w:lineRule="exact"/>
        <w:ind w:firstLine="480" w:firstLineChars="200"/>
        <w:rPr>
          <w:rFonts w:ascii="楷体" w:hAnsi="楷体" w:eastAsia="楷体" w:cs="楷体"/>
          <w:bCs/>
          <w:sz w:val="24"/>
        </w:rPr>
      </w:pPr>
      <w:r>
        <w:rPr>
          <w:rFonts w:hint="eastAsia" w:ascii="楷体" w:hAnsi="楷体" w:eastAsia="楷体" w:cs="楷体"/>
          <w:bCs/>
          <w:sz w:val="24"/>
        </w:rPr>
        <w:t xml:space="preserve">                                     </w:t>
      </w:r>
    </w:p>
    <w:p>
      <w:pPr>
        <w:spacing w:line="420" w:lineRule="exact"/>
        <w:ind w:firstLine="480" w:firstLineChars="200"/>
        <w:rPr>
          <w:rFonts w:ascii="楷体" w:hAnsi="楷体" w:eastAsia="楷体" w:cs="楷体"/>
          <w:bCs/>
          <w:sz w:val="24"/>
        </w:rPr>
      </w:pPr>
    </w:p>
    <w:p>
      <w:pPr>
        <w:spacing w:line="420" w:lineRule="exact"/>
        <w:ind w:firstLine="480" w:firstLineChars="200"/>
        <w:rPr>
          <w:rFonts w:ascii="楷体" w:hAnsi="楷体" w:eastAsia="楷体" w:cs="楷体"/>
          <w:bCs/>
          <w:sz w:val="24"/>
        </w:rPr>
      </w:pPr>
    </w:p>
    <w:p>
      <w:pPr>
        <w:spacing w:line="420" w:lineRule="exact"/>
        <w:ind w:firstLine="480" w:firstLineChars="200"/>
        <w:rPr>
          <w:rFonts w:ascii="楷体" w:hAnsi="楷体" w:eastAsia="楷体" w:cs="楷体"/>
          <w:bCs/>
          <w:sz w:val="24"/>
        </w:rPr>
      </w:pPr>
    </w:p>
    <w:p>
      <w:pPr>
        <w:spacing w:line="420" w:lineRule="exact"/>
        <w:ind w:firstLine="480" w:firstLineChars="200"/>
        <w:rPr>
          <w:rFonts w:ascii="楷体" w:hAnsi="楷体" w:eastAsia="楷体" w:cs="楷体"/>
          <w:bCs/>
          <w:sz w:val="24"/>
        </w:rPr>
      </w:pPr>
    </w:p>
    <w:p>
      <w:pPr>
        <w:spacing w:line="420" w:lineRule="exact"/>
        <w:ind w:left="1920" w:hanging="1920" w:hangingChars="800"/>
      </w:pPr>
      <w:r>
        <w:rPr>
          <w:rFonts w:hint="eastAsia" w:ascii="楷体" w:hAnsi="楷体" w:eastAsia="楷体" w:cs="楷体"/>
          <w:bCs/>
          <w:sz w:val="24"/>
        </w:rPr>
        <w:t xml:space="preserve">                                                                                                 年   月    日                         年   月    日</w:t>
      </w:r>
    </w:p>
    <w:p>
      <w:pPr>
        <w:spacing w:line="420" w:lineRule="exact"/>
        <w:ind w:firstLine="411" w:firstLineChars="147"/>
        <w:rPr>
          <w:sz w:val="28"/>
          <w:szCs w:val="28"/>
        </w:rPr>
      </w:pPr>
    </w:p>
    <w:p>
      <w:pPr>
        <w:spacing w:line="420" w:lineRule="exact"/>
        <w:ind w:firstLine="411" w:firstLineChars="147"/>
        <w:rPr>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C13B4C"/>
    <w:multiLevelType w:val="singleLevel"/>
    <w:tmpl w:val="66C13B4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JkYjA1ZjE1NTI4NTQxNWMwMDk2YzkyMzRhNzk1MzIifQ=="/>
  </w:docVars>
  <w:rsids>
    <w:rsidRoot w:val="004F6952"/>
    <w:rsid w:val="00001CD9"/>
    <w:rsid w:val="000964D9"/>
    <w:rsid w:val="000D57AA"/>
    <w:rsid w:val="001C0707"/>
    <w:rsid w:val="00227BA6"/>
    <w:rsid w:val="002646D8"/>
    <w:rsid w:val="0029280C"/>
    <w:rsid w:val="00310EE2"/>
    <w:rsid w:val="003D57D6"/>
    <w:rsid w:val="004468B6"/>
    <w:rsid w:val="00480FE5"/>
    <w:rsid w:val="00492D97"/>
    <w:rsid w:val="004B3D4C"/>
    <w:rsid w:val="004F6952"/>
    <w:rsid w:val="005E1A13"/>
    <w:rsid w:val="006819B1"/>
    <w:rsid w:val="006E0F71"/>
    <w:rsid w:val="00755852"/>
    <w:rsid w:val="00760220"/>
    <w:rsid w:val="007F3F31"/>
    <w:rsid w:val="00860342"/>
    <w:rsid w:val="00961627"/>
    <w:rsid w:val="00971CE3"/>
    <w:rsid w:val="009F0C5A"/>
    <w:rsid w:val="009F7FC5"/>
    <w:rsid w:val="00A01CE4"/>
    <w:rsid w:val="00AE4B12"/>
    <w:rsid w:val="00B853AD"/>
    <w:rsid w:val="00C07881"/>
    <w:rsid w:val="00C255D1"/>
    <w:rsid w:val="00C704FB"/>
    <w:rsid w:val="00CD78E2"/>
    <w:rsid w:val="00CE2139"/>
    <w:rsid w:val="00D77B87"/>
    <w:rsid w:val="00DD6900"/>
    <w:rsid w:val="00E2461D"/>
    <w:rsid w:val="00F52F30"/>
    <w:rsid w:val="00FF3D9E"/>
    <w:rsid w:val="05014D27"/>
    <w:rsid w:val="05C67683"/>
    <w:rsid w:val="06D12C4F"/>
    <w:rsid w:val="07A05690"/>
    <w:rsid w:val="0B530AA4"/>
    <w:rsid w:val="0C0336D7"/>
    <w:rsid w:val="0D977B46"/>
    <w:rsid w:val="106704C4"/>
    <w:rsid w:val="16E05330"/>
    <w:rsid w:val="177D3B27"/>
    <w:rsid w:val="1A365D09"/>
    <w:rsid w:val="1DAB1C5F"/>
    <w:rsid w:val="1E964B62"/>
    <w:rsid w:val="1F5E57DB"/>
    <w:rsid w:val="217A3B71"/>
    <w:rsid w:val="224E5D3F"/>
    <w:rsid w:val="25E24860"/>
    <w:rsid w:val="277F0A14"/>
    <w:rsid w:val="29957C11"/>
    <w:rsid w:val="2BDC5DBA"/>
    <w:rsid w:val="2E0C334C"/>
    <w:rsid w:val="2EDB11BF"/>
    <w:rsid w:val="2EE51ADA"/>
    <w:rsid w:val="30592087"/>
    <w:rsid w:val="30D53B18"/>
    <w:rsid w:val="30F96AEC"/>
    <w:rsid w:val="32673E73"/>
    <w:rsid w:val="334465C3"/>
    <w:rsid w:val="398857F1"/>
    <w:rsid w:val="3D076329"/>
    <w:rsid w:val="425078BC"/>
    <w:rsid w:val="43CE17B7"/>
    <w:rsid w:val="49706B74"/>
    <w:rsid w:val="4BD62488"/>
    <w:rsid w:val="4C56755E"/>
    <w:rsid w:val="4F1C2164"/>
    <w:rsid w:val="51B029BA"/>
    <w:rsid w:val="54E30555"/>
    <w:rsid w:val="57BF001C"/>
    <w:rsid w:val="59CD5486"/>
    <w:rsid w:val="5B705D9C"/>
    <w:rsid w:val="61BA12C6"/>
    <w:rsid w:val="69AE26A2"/>
    <w:rsid w:val="6A484913"/>
    <w:rsid w:val="6B78212C"/>
    <w:rsid w:val="6B7C427C"/>
    <w:rsid w:val="6CDB71FD"/>
    <w:rsid w:val="6E322B24"/>
    <w:rsid w:val="6FAD4A78"/>
    <w:rsid w:val="70421711"/>
    <w:rsid w:val="73F63CAA"/>
    <w:rsid w:val="74E52935"/>
    <w:rsid w:val="792F51A0"/>
    <w:rsid w:val="79352CAE"/>
    <w:rsid w:val="7A170268"/>
    <w:rsid w:val="7A5933D0"/>
    <w:rsid w:val="7BFF44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Balloon Text"/>
    <w:basedOn w:val="1"/>
    <w:link w:val="10"/>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批注框文本 Char"/>
    <w:basedOn w:val="8"/>
    <w:link w:val="3"/>
    <w:qFormat/>
    <w:uiPriority w:val="0"/>
    <w:rPr>
      <w:rFonts w:ascii="Calibri" w:hAnsi="Calibri"/>
      <w:kern w:val="2"/>
      <w:sz w:val="18"/>
      <w:szCs w:val="18"/>
    </w:rPr>
  </w:style>
  <w:style w:type="character" w:customStyle="1" w:styleId="11">
    <w:name w:val="页眉 Char"/>
    <w:basedOn w:val="8"/>
    <w:link w:val="5"/>
    <w:qFormat/>
    <w:uiPriority w:val="0"/>
    <w:rPr>
      <w:rFonts w:ascii="Calibri" w:hAnsi="Calibri"/>
      <w:kern w:val="2"/>
      <w:sz w:val="18"/>
      <w:szCs w:val="18"/>
    </w:rPr>
  </w:style>
  <w:style w:type="character" w:customStyle="1" w:styleId="12">
    <w:name w:val="页脚 Char"/>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286</Words>
  <Characters>1633</Characters>
  <Lines>13</Lines>
  <Paragraphs>3</Paragraphs>
  <TotalTime>27</TotalTime>
  <ScaleCrop>false</ScaleCrop>
  <LinksUpToDate>false</LinksUpToDate>
  <CharactersWithSpaces>1916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2022-07-07T08:52:00Z</dcterms:created>
  <dc:creator>Administrator</dc:creator>
  <cp:lastModifiedBy>HP</cp:lastModifiedBy>
  <cp:lastPrinted>2019-11-14T12:55:00Z</cp:lastPrinted>
  <dcterms:modified xsi:type="dcterms:W3CDTF">2022-07-11T09:14:11Z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3382F106AB5F41D0B1DDC0A61A09BF23</vt:lpwstr>
  </property>
</Properties>
</file>