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440606-2022-07362</w:t>
      </w:r>
    </w:p>
    <w:p>
      <w:pPr>
        <w:jc w:val="center"/>
      </w:pPr>
      <w:r>
        <w:rPr>
          <w:b/>
          <w:sz w:val="24"/>
        </w:rPr>
        <w:t>采购项目编号：</w:t>
      </w:r>
      <w:r>
        <w:rPr>
          <w:b/>
          <w:sz w:val="24"/>
        </w:rPr>
        <w:t>HZCGZB2022-0035</w:t>
      </w:r>
    </w:p>
    <w:p>
      <w:pPr>
        <w:jc w:val="center"/>
      </w:pPr>
      <w:r>
        <w:rPr>
          <w:b/>
          <w:sz w:val="24"/>
        </w:rPr>
        <w:t>项目名称：</w:t>
      </w:r>
      <w:r>
        <w:rPr>
          <w:b/>
          <w:sz w:val="24"/>
        </w:rPr>
        <w:t>2022-2025年勒流街道公共环境除“四害”项目</w:t>
      </w:r>
    </w:p>
    <w:p>
      <w:pPr>
        <w:jc w:val="center"/>
      </w:pPr>
      <w:r>
        <w:rPr>
          <w:b/>
          <w:sz w:val="24"/>
        </w:rPr>
        <w:t>采购人：</w:t>
      </w:r>
      <w:r>
        <w:rPr>
          <w:b/>
          <w:sz w:val="24"/>
        </w:rPr>
        <w:t>佛山市顺德区勒流街道卫生健康办公室</w:t>
      </w:r>
    </w:p>
    <w:p>
      <w:pPr>
        <w:jc w:val="center"/>
      </w:pPr>
      <w:r>
        <w:rPr>
          <w:b/>
          <w:sz w:val="24"/>
        </w:rPr>
        <w:t>采购代理机构：</w:t>
      </w:r>
      <w:r>
        <w:rPr>
          <w:b/>
          <w:sz w:val="24"/>
        </w:rPr>
        <w:t>广东华正工程咨询有限公司</w:t>
      </w:r>
    </w:p>
    <w:p>
      <w:pPr>
        <w:ind w:firstLine="480"/>
      </w:pPr>
    </w:p>
    <w:p>
      <w:r>
        <w:rPr/>
        <w:t xml:space="preserve"> </w:t>
      </w:r>
    </w:p>
    <w:p/>
    <w:p>
      <w:pPr>
        <w:jc w:val="center"/>
      </w:pPr>
      <w:r>
        <w:rPr>
          <w:b/>
          <w:sz w:val="36"/>
        </w:rPr>
        <w:t>第一章投标邀请</w:t>
      </w:r>
    </w:p>
    <w:p>
      <w:pPr>
        <w:ind w:firstLine="480"/>
      </w:pPr>
      <w:r>
        <w:rPr/>
        <w:t>广东华正工程咨询有限公司</w:t>
      </w:r>
      <w:r>
        <w:rPr/>
        <w:t>受</w:t>
      </w:r>
      <w:r>
        <w:rPr/>
        <w:t>佛山市顺德区勒流街道卫生健康办公室</w:t>
      </w:r>
      <w:r>
        <w:rPr/>
        <w:t>的委托，采用</w:t>
      </w:r>
      <w:r>
        <w:rPr/>
        <w:t>公开招标</w:t>
      </w:r>
      <w:r>
        <w:rPr/>
        <w:t>方式组织采购</w:t>
      </w:r>
      <w:r>
        <w:rPr/>
        <w:t>2022-2025年勒流街道公共环境除“四害”项目</w:t>
      </w:r>
      <w:r>
        <w:rPr/>
        <w:t>。欢迎符合资格条件的国内供应商参加投标。</w:t>
      </w:r>
    </w:p>
    <w:p>
      <w:r>
        <w:rPr>
          <w:b/>
          <w:sz w:val="28"/>
        </w:rPr>
        <w:t>一.项目概述</w:t>
      </w:r>
    </w:p>
    <w:p>
      <w:r>
        <w:rPr>
          <w:b/>
          <w:sz w:val="24"/>
        </w:rPr>
        <w:t>1.名称与编号</w:t>
      </w:r>
    </w:p>
    <w:p>
      <w:pPr>
        <w:ind w:firstLine="480"/>
      </w:pPr>
      <w:r>
        <w:rPr/>
        <w:t>项目名称：</w:t>
      </w:r>
      <w:r>
        <w:rPr/>
        <w:t>2022-2025年勒流街道公共环境除“四害”项目</w:t>
      </w:r>
    </w:p>
    <w:p>
      <w:pPr>
        <w:ind w:firstLine="480"/>
      </w:pPr>
      <w:r>
        <w:rPr/>
        <w:t>采购计划编号：</w:t>
      </w:r>
      <w:r>
        <w:rPr/>
        <w:t>440606-2022-07362</w:t>
      </w:r>
    </w:p>
    <w:p>
      <w:pPr>
        <w:ind w:firstLine="480"/>
      </w:pPr>
      <w:r>
        <w:rPr/>
        <w:t>采购项目编号：</w:t>
      </w:r>
      <w:r>
        <w:rPr/>
        <w:t>HZCGZB2022-0035</w:t>
      </w:r>
    </w:p>
    <w:p>
      <w:pPr>
        <w:ind w:firstLine="480"/>
      </w:pPr>
      <w:r>
        <w:rPr/>
        <w:t>采购方式：</w:t>
      </w:r>
      <w:r>
        <w:rPr/>
        <w:t>公开招标</w:t>
      </w:r>
    </w:p>
    <w:p>
      <w:pPr>
        <w:ind w:firstLine="480"/>
      </w:pPr>
      <w:r>
        <w:rPr/>
        <w:t>预算金额：</w:t>
      </w:r>
      <w:r>
        <w:rPr/>
        <w:t>6,000,000.00</w:t>
      </w:r>
      <w:r>
        <w:rPr/>
        <w:t>元</w:t>
      </w:r>
    </w:p>
    <w:p>
      <w:r>
        <w:rPr>
          <w:b/>
          <w:sz w:val="24"/>
        </w:rPr>
        <w:t>2.项目内容及需求情况（采购项目技术规格、参数及要求）</w:t>
      </w:r>
    </w:p>
    <w:p>
      <w:pPr>
        <w:ind w:firstLine="480"/>
      </w:pPr>
    </w:p>
    <w:p/>
    <w:p>
      <w:r>
        <w:rPr/>
        <w:t>采购包1(勒流居委会、新城居委会、勒北村委会、大晚居委会、光大居委会、东风村委会（包1）):</w:t>
      </w:r>
    </w:p>
    <w:p>
      <w:r>
        <w:rPr/>
        <w:t>采购包预算金额：2,250,000.00元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其他服务</w:t>
            </w:r>
          </w:p>
        </w:tc>
        <w:tc>
          <w:tcPr>
            <w:tcW w:type="dxa" w:w="2052"/>
          </w:tcPr>
          <w:p>
            <w:r>
              <w:rPr/>
              <w:t>勒流居委会、新城居委会、勒北村委会、大晚居委会、光大居委会、东风村委会（包1）</w:t>
            </w:r>
          </w:p>
        </w:tc>
        <w:tc>
          <w:tcPr>
            <w:tcW w:type="dxa" w:w="977"/>
          </w:tcPr>
          <w:p>
            <w:r>
              <w:rPr/>
              <w:t>1.0000(项)</w:t>
            </w:r>
          </w:p>
        </w:tc>
        <w:tc>
          <w:tcPr>
            <w:tcW w:type="dxa" w:w="977"/>
          </w:tcPr>
          <w:p>
            <w:r>
              <w:rPr/>
              <w:t>详见第二章</w:t>
            </w:r>
          </w:p>
        </w:tc>
        <w:tc>
          <w:tcPr>
            <w:tcW w:type="dxa" w:w="977"/>
          </w:tcPr>
          <w:p>
            <w:r>
              <w:rPr/>
              <w:t>2,250,000.00</w:t>
            </w:r>
          </w:p>
        </w:tc>
        <w:tc>
          <w:tcPr>
            <w:tcW w:type="dxa" w:w="977"/>
          </w:tcPr>
          <w:p>
            <w:r>
              <w:rPr/>
              <w:t>否</w:t>
            </w:r>
          </w:p>
        </w:tc>
      </w:tr>
    </w:tbl>
    <w:p/>
    <w:p>
      <w:r>
        <w:rPr/>
        <w:t>本采购包不接受联合体投标</w:t>
      </w:r>
    </w:p>
    <w:p/>
    <w:p>
      <w:r>
        <w:rPr/>
        <w:t>合同履行期限：自合同签订生效之日起3年。</w:t>
      </w:r>
    </w:p>
    <w:p/>
    <w:p>
      <w:r>
        <w:rPr/>
        <w:t>采购包2(众涌村委会、龙眼村委会、西华村委会、富裕村委会、连杜村委会、新安村委会、冲鹤村委会、裕源村委会（包2）):</w:t>
      </w:r>
    </w:p>
    <w:p>
      <w:r>
        <w:rPr/>
        <w:t>采购包预算金额：2,010,000.00元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2-1</w:t>
            </w:r>
          </w:p>
        </w:tc>
        <w:tc>
          <w:tcPr>
            <w:tcW w:type="dxa" w:w="1368"/>
          </w:tcPr>
          <w:p>
            <w:r>
              <w:rPr/>
              <w:t>其他服务</w:t>
            </w:r>
          </w:p>
        </w:tc>
        <w:tc>
          <w:tcPr>
            <w:tcW w:type="dxa" w:w="2052"/>
          </w:tcPr>
          <w:p>
            <w:r>
              <w:rPr/>
              <w:t>众涌村委会、龙眼村委会、西华村委会、富裕村委会、连杜村委会、新安村委会、冲鹤村委会、裕源村委会（包2）</w:t>
            </w:r>
          </w:p>
        </w:tc>
        <w:tc>
          <w:tcPr>
            <w:tcW w:type="dxa" w:w="977"/>
          </w:tcPr>
          <w:p>
            <w:r>
              <w:rPr/>
              <w:t>1.0000(项)</w:t>
            </w:r>
          </w:p>
        </w:tc>
        <w:tc>
          <w:tcPr>
            <w:tcW w:type="dxa" w:w="977"/>
          </w:tcPr>
          <w:p>
            <w:r>
              <w:rPr/>
              <w:t>详见第二章</w:t>
            </w:r>
          </w:p>
        </w:tc>
        <w:tc>
          <w:tcPr>
            <w:tcW w:type="dxa" w:w="977"/>
          </w:tcPr>
          <w:p>
            <w:r>
              <w:rPr/>
              <w:t>2,010,000.00</w:t>
            </w:r>
          </w:p>
        </w:tc>
        <w:tc>
          <w:tcPr>
            <w:tcW w:type="dxa" w:w="977"/>
          </w:tcPr>
          <w:p>
            <w:r>
              <w:rPr/>
              <w:t>否</w:t>
            </w:r>
          </w:p>
        </w:tc>
      </w:tr>
    </w:tbl>
    <w:p/>
    <w:p>
      <w:r>
        <w:rPr/>
        <w:t>本采购包不接受联合体投标</w:t>
      </w:r>
    </w:p>
    <w:p/>
    <w:p>
      <w:r>
        <w:rPr/>
        <w:t>合同履行期限：自合同签订生效之日起3年。</w:t>
      </w:r>
    </w:p>
    <w:p/>
    <w:p>
      <w:r>
        <w:rPr/>
        <w:t>采购包3(扶闾村委会、稔海村委会、黄连居委会、新明村委会、江义村委会、上涌村委会、江村村委会、南水村委会（包3）):</w:t>
      </w:r>
    </w:p>
    <w:p>
      <w:r>
        <w:rPr/>
        <w:t>采购包预算金额：1,740,000.00元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3-1</w:t>
            </w:r>
          </w:p>
        </w:tc>
        <w:tc>
          <w:tcPr>
            <w:tcW w:type="dxa" w:w="1368"/>
          </w:tcPr>
          <w:p>
            <w:r>
              <w:rPr/>
              <w:t>其他服务</w:t>
            </w:r>
          </w:p>
        </w:tc>
        <w:tc>
          <w:tcPr>
            <w:tcW w:type="dxa" w:w="2052"/>
          </w:tcPr>
          <w:p>
            <w:r>
              <w:rPr/>
              <w:t>扶闾村委会、稔海村委会、黄连居委会、新明村委会、江义村委会、上涌村委会、江村村委会、南水村委会（包3）</w:t>
            </w:r>
          </w:p>
        </w:tc>
        <w:tc>
          <w:tcPr>
            <w:tcW w:type="dxa" w:w="977"/>
          </w:tcPr>
          <w:p>
            <w:r>
              <w:rPr/>
              <w:t>1.0000(项)</w:t>
            </w:r>
          </w:p>
        </w:tc>
        <w:tc>
          <w:tcPr>
            <w:tcW w:type="dxa" w:w="977"/>
          </w:tcPr>
          <w:p>
            <w:r>
              <w:rPr/>
              <w:t>详见第二章</w:t>
            </w:r>
          </w:p>
        </w:tc>
        <w:tc>
          <w:tcPr>
            <w:tcW w:type="dxa" w:w="977"/>
          </w:tcPr>
          <w:p>
            <w:r>
              <w:rPr/>
              <w:t>1,740,000.00</w:t>
            </w:r>
          </w:p>
        </w:tc>
        <w:tc>
          <w:tcPr>
            <w:tcW w:type="dxa" w:w="977"/>
          </w:tcPr>
          <w:p>
            <w:r>
              <w:rPr/>
              <w:t>否</w:t>
            </w:r>
          </w:p>
        </w:tc>
      </w:tr>
    </w:tbl>
    <w:p/>
    <w:p>
      <w:r>
        <w:rPr/>
        <w:t>本采购包不接受联合体投标</w:t>
      </w:r>
    </w:p>
    <w:p/>
    <w:p>
      <w:r>
        <w:rPr/>
        <w:t>合同履行期限：自合同签订生效之日起3年。</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1）具有独立承担民事责任的能力：在中华人民共和国境内注册的法人或其他组织或自然人，投标（响应）时提交有效的营业执照（或事业法人登记证或身份证等相关证明）副本扫描件。</w:t>
      </w:r>
    </w:p>
    <w:p/>
    <w:p>
      <w:r>
        <w:rPr/>
        <w:t>2）有依法缴纳税收和社会保障资金的良好记录：提供投标截止日前6个月内任意1个月依法缴纳税收和社会保障资金的相关材料。如依法免税或不需要缴纳社会保障资金的，提供相应证明材料。</w:t>
      </w:r>
    </w:p>
    <w:p/>
    <w:p>
      <w:r>
        <w:rPr/>
        <w:t>3）具有良好的商业信誉和健全的财务会计制度：（采购包1、采购包2、采购包3）供应商必须具有良好的商业信誉和健全的财务会计制度（提供2021年度或2020年度财务状况报告或基本开户行出具的资信证明）。注：1、2021年度或2020年度财务状况报告：①提供由第三方会计师事务所出具的审计报告，能清晰显示第三方会计师事务所的印章，并能反映审计结论；②财务报告包括审计结论、资产负债表、利润表、现金流量表等。2、基本开户行出具的资信证明：①资信证明应在有效期内；②资信证明的落款单位名称必须与开户（基本户）许可证的开户银行名称一致，如不一致的，应提供银行证明，银行无法开具证明的提供其他证明材料，有效性由采购人审核；③资信证明书格式有抬头的，可以写本项目的采购人或采购代理机构的单位全称。</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p/>
    <w:p>
      <w:r>
        <w:rPr>
          <w:b/>
          <w:sz w:val="24"/>
        </w:rPr>
        <w:t>2.落实政府采购政策需满足的资格要求：</w:t>
      </w:r>
    </w:p>
    <w:p>
      <w:pPr>
        <w:ind w:firstLine="480"/>
      </w:pPr>
    </w:p>
    <w:p>
      <w:pPr>
        <w:jc w:val="left"/>
      </w:pPr>
    </w:p>
    <w:p>
      <w:r>
        <w:rPr/>
        <w:t>采购包1（勒流居委会、新城居委会、勒北村委会、大晚居委会、光大居委会、东风村委会（包1））：</w:t>
      </w:r>
      <w:r>
        <w:rPr/>
        <w:t>采购包整体专门面向中小企业。本项目采购标的对应的中小企业划分标准所属行业：“其他未列明行业（包括科学研究和技术服务业，水利、环境和公共设施管理业，居民服务、修理和其他服务业，社会工作，文化、体育和娱乐业等）”。</w:t>
      </w:r>
    </w:p>
    <w:p>
      <w:pPr>
        <w:jc w:val="left"/>
      </w:pPr>
    </w:p>
    <w:p>
      <w:r>
        <w:rPr/>
        <w:t>采购包2（众涌村委会、龙眼村委会、西华村委会、富裕村委会、连杜村委会、新安村委会、冲鹤村委会、裕源村委会（包2））：</w:t>
      </w:r>
      <w:r>
        <w:rPr/>
        <w:t>采购包整体专门面向中小企业。本项目采购标的对应的中小企业划分标准所属行业：“其他未列明行业（包括科学研究和技术服务业，水利、环境和公共设施管理业，居民服务、修理和其他服务业，社会工作，文化、体育和娱乐业等）”。</w:t>
      </w:r>
    </w:p>
    <w:p>
      <w:pPr>
        <w:jc w:val="left"/>
      </w:pPr>
    </w:p>
    <w:p>
      <w:r>
        <w:rPr/>
        <w:t>采购包3（扶闾村委会、稔海村委会、黄连居委会、新明村委会、江义村委会、上涌村委会、江村村委会、南水村委会（包3））：</w:t>
      </w:r>
      <w:r>
        <w:rPr/>
        <w:t>采购包整体专门面向中小企业。本项目采购标的对应的中小企业划分标准所属行业：“其他未列明行业（包括科学研究和技术服务业，水利、环境和公共设施管理业，居民服务、修理和其他服务业，社会工作，文化、体育和娱乐业等）”。</w:t>
      </w:r>
    </w:p>
    <w:p/>
    <w:p>
      <w:r>
        <w:rPr>
          <w:b/>
          <w:sz w:val="24"/>
        </w:rPr>
        <w:t>3.本项目特定的资格要求：</w:t>
      </w:r>
    </w:p>
    <w:p>
      <w:pPr>
        <w:ind w:firstLine="480"/>
      </w:pPr>
    </w:p>
    <w:p/>
    <w:p>
      <w:r>
        <w:rPr/>
        <w:t>采购包1（勒流居委会、新城居委会、勒北村委会、大晚居委会、光大居委会、东风村委会（包1））：</w:t>
      </w:r>
    </w:p>
    <w:p/>
    <w:p>
      <w:r>
        <w:rPr/>
        <w:t>1)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t>采购包2（众涌村委会、龙眼村委会、西华村委会、富裕村委会、连杜村委会、新安村委会、冲鹤村委会、裕源村委会（包2））：</w:t>
      </w:r>
    </w:p>
    <w:p/>
    <w:p>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t>采购包3（扶闾村委会、稔海村委会、黄连居委会、新明村委会、江义村委会、上涌村委会、江村村委会、南水村委会（包3））：</w:t>
      </w:r>
    </w:p>
    <w:p/>
    <w:p>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佛山市公共资源交易网：http://www.fsggzy.cn/；顺德区公共资源交易中心网站（http://www.shunde.gov.cn/ggzy/）；勒流街道政务网(http://www.shunde.gov.cn/leliu/)</w:t>
      </w:r>
    </w:p>
    <w:p>
      <w:r>
        <w:rPr>
          <w:b/>
          <w:sz w:val="28"/>
        </w:rPr>
        <w:t>六.本项目联系方式：</w:t>
      </w:r>
    </w:p>
    <w:p>
      <w:r>
        <w:rPr>
          <w:b/>
          <w:sz w:val="24"/>
        </w:rPr>
        <w:t>1.采购人信息</w:t>
      </w:r>
    </w:p>
    <w:p>
      <w:pPr>
        <w:ind w:firstLine="480"/>
      </w:pPr>
      <w:r>
        <w:rPr/>
        <w:t>名称：</w:t>
      </w:r>
      <w:r>
        <w:rPr/>
        <w:t>佛山市顺德区勒流街道卫生健康办公室</w:t>
      </w:r>
    </w:p>
    <w:p>
      <w:pPr>
        <w:ind w:firstLine="480"/>
      </w:pPr>
      <w:r>
        <w:rPr/>
        <w:t>地址：</w:t>
      </w:r>
      <w:r>
        <w:rPr/>
        <w:t>勒流街道政和中路1号</w:t>
      </w:r>
    </w:p>
    <w:p>
      <w:pPr>
        <w:ind w:firstLine="480"/>
      </w:pPr>
      <w:r>
        <w:rPr/>
        <w:t>联系方式：</w:t>
      </w:r>
      <w:r>
        <w:rPr/>
        <w:t>0757-25533267</w:t>
      </w:r>
    </w:p>
    <w:p>
      <w:r>
        <w:rPr>
          <w:b/>
          <w:sz w:val="24"/>
        </w:rPr>
        <w:t>2.采购代理机构信息</w:t>
      </w:r>
    </w:p>
    <w:p>
      <w:pPr>
        <w:ind w:firstLine="480"/>
      </w:pPr>
      <w:r>
        <w:rPr/>
        <w:t>名称：</w:t>
      </w:r>
      <w:r>
        <w:rPr/>
        <w:t>广东华正工程咨询有限公司</w:t>
      </w:r>
    </w:p>
    <w:p>
      <w:pPr>
        <w:ind w:firstLine="480"/>
      </w:pPr>
      <w:r>
        <w:rPr/>
        <w:t>地址：</w:t>
      </w:r>
      <w:r>
        <w:rPr/>
        <w:t>广东省佛山市顺德区大良新滘社区居民委员会顺翔路20号二层之五</w:t>
      </w:r>
    </w:p>
    <w:p>
      <w:pPr>
        <w:ind w:firstLine="480"/>
      </w:pPr>
      <w:r>
        <w:rPr/>
        <w:t>联系方式：</w:t>
      </w:r>
      <w:r>
        <w:rPr/>
        <w:t>yYDSro2M00ZHQApTmwhojw==</w:t>
      </w:r>
    </w:p>
    <w:p>
      <w:r>
        <w:rPr>
          <w:b/>
          <w:sz w:val="24"/>
        </w:rPr>
        <w:t>3.项目联系方式</w:t>
      </w:r>
    </w:p>
    <w:p>
      <w:pPr>
        <w:ind w:firstLine="480"/>
      </w:pPr>
      <w:r>
        <w:rPr/>
        <w:t>项目联系人：</w:t>
      </w:r>
      <w:r>
        <w:rPr/>
        <w:t>徐素萍</w:t>
      </w:r>
    </w:p>
    <w:p>
      <w:pPr>
        <w:ind w:firstLine="480"/>
      </w:pPr>
      <w:r>
        <w:rPr/>
        <w:t>电话：</w:t>
      </w:r>
      <w:r>
        <w:rPr/>
        <w:t>yYDSro2M00ZHQApTmwhojw==</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广东华正工程咨询有限公司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80"/>
        <w:jc w:val="both"/>
      </w:pPr>
      <w:r>
        <w:rPr>
          <w:sz w:val="24"/>
        </w:rPr>
        <w:t>（</w:t>
      </w:r>
      <w:r>
        <w:rPr>
          <w:sz w:val="24"/>
        </w:rPr>
        <w:t>1）根据除四害的有关国家标准及佛山市顺德区除四害工作要求，结合勒流街道公共环境除四害工作的现状，采购人通过公开向社会购买服务，进一步提高勒流街道人居环境水平和公共卫生水平。</w:t>
      </w:r>
    </w:p>
    <w:p>
      <w:pPr>
        <w:ind w:firstLine="480"/>
        <w:jc w:val="both"/>
      </w:pPr>
      <w:r>
        <w:rPr>
          <w:sz w:val="24"/>
        </w:rPr>
        <w:t>（</w:t>
      </w:r>
      <w:r>
        <w:rPr>
          <w:sz w:val="24"/>
        </w:rPr>
        <w:t>2）对勒流街道22个居村的公共环境范围进行灭鼠、灭蚊、灭苍蝇、灭蟑螂，通称除“四害”。服务区域范围包括：居村辖区内的居民住宅区（不含封闭式住宅小区）、敬老院、农贸市场（私人承包除外）、市政公共厕所、公园、广场、绿化带、道路（不含封闭式厂房）、街巷、下水道及沉沙井、河涌（居民生活区50米范围内）、闲置鱼塘、闲置（待建）地、社区垃圾收集及转运点、垃圾存放容器，其他四害孳生地、各村居委员会办公场所。</w:t>
      </w:r>
    </w:p>
    <w:p>
      <w:pPr>
        <w:ind w:firstLine="480"/>
        <w:jc w:val="both"/>
      </w:pPr>
      <w:r>
        <w:rPr>
          <w:sz w:val="24"/>
        </w:rPr>
        <w:t>（</w:t>
      </w:r>
      <w:r>
        <w:rPr>
          <w:sz w:val="24"/>
        </w:rPr>
        <w:t>3）采购需求中打“★”号条款（如有）及“主要商务要求”条款均为实质性条款，投标人如有任一条负偏离则导致投标无效。</w:t>
      </w:r>
    </w:p>
    <w:p>
      <w:pPr>
        <w:ind w:firstLine="480"/>
        <w:jc w:val="both"/>
      </w:pPr>
      <w:r>
        <w:rPr>
          <w:sz w:val="24"/>
        </w:rPr>
        <w:t>（</w:t>
      </w:r>
      <w:r>
        <w:rPr>
          <w:sz w:val="24"/>
        </w:rPr>
        <w:t>4）采购需求中打“▲”号条款（如有）为重要条款，投标人如有任何一条负偏离扣除相应分数，但不做无效处理。</w:t>
      </w:r>
    </w:p>
    <w:p/>
    <w:p>
      <w:pPr>
        <w:ind w:firstLine="480"/>
      </w:pPr>
    </w:p>
    <w:p/>
    <w:p>
      <w:r>
        <w:rPr/>
        <w:t>采购包1（勒流居委会、新城居委会、勒北村委会、大晚居委会、光大居委会、东风村委会（包1））：</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自合同签订生效之日起3年。</w:t>
            </w:r>
          </w:p>
        </w:tc>
      </w:tr>
      <w:tr>
        <w:tc>
          <w:tcPr>
            <w:tcW w:type="dxa" w:w="4153"/>
          </w:tcPr>
          <w:p>
            <w:r>
              <w:rPr/>
              <w:t>标的提供的地点</w:t>
            </w:r>
          </w:p>
        </w:tc>
        <w:tc>
          <w:tcPr>
            <w:tcW w:type="dxa" w:w="4153"/>
          </w:tcPr>
          <w:p>
            <w:pPr>
              <w:jc w:val="left"/>
            </w:pPr>
          </w:p>
          <w:p>
            <w:r>
              <w:rPr/>
              <w:t>采购人指定地点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1期：支付比例8.33%，合同生效后，中标人在每个结算周期结束后的15个工作日内将当期的费用结算清单（含考核处罚情况等）汇总并递交给采购人；</w:t>
            </w:r>
          </w:p>
          <w:p/>
          <w:p>
            <w:r>
              <w:rPr/>
              <w:t>2期：支付比例8.33%，合同生效后，中标人在每个结算周期结束后的15个工作日内将当期的费用结算清单（含考核处罚情况等）汇总并递交给采购人；</w:t>
            </w:r>
          </w:p>
          <w:p/>
          <w:p>
            <w:r>
              <w:rPr/>
              <w:t>3期：支付比例8.33%，合同生效后，中标人在每个结算周期结束后的15个工作日内将当期的费用结算清单（含考核处罚情况等）汇总并递交给采购人；</w:t>
            </w:r>
          </w:p>
          <w:p/>
          <w:p>
            <w:r>
              <w:rPr/>
              <w:t>4期：支付比例8.33%，合同生效后，中标人在每个结算周期结束后的15个工作日内将当期的费用结算清单（含考核处罚情况等）汇总并递交给采购人；</w:t>
            </w:r>
          </w:p>
          <w:p/>
          <w:p>
            <w:r>
              <w:rPr/>
              <w:t>5期：支付比例8.33%，合同生效后，中标人在每个结算周期结束后的15个工作日内将当期的费用结算清单（含考核处罚情况等）汇总并递交给采购人；</w:t>
            </w:r>
          </w:p>
          <w:p/>
          <w:p>
            <w:r>
              <w:rPr/>
              <w:t>6期：支付比例8.33%，合同生效后，中标人在每个结算周期结束后的15个工作日内将当期的费用结算清单（含考核处罚情况等）汇总并递交给采购人；</w:t>
            </w:r>
          </w:p>
          <w:p/>
          <w:p>
            <w:r>
              <w:rPr/>
              <w:t>7期：支付比例8.33%，合同生效后，中标人在每个结算周期结束后的15个工作日内将当期的费用结算清单（含考核处罚情况等）汇总并递交给采购人；</w:t>
            </w:r>
          </w:p>
          <w:p/>
          <w:p>
            <w:r>
              <w:rPr/>
              <w:t>8期：支付比例8.33%，合同生效后，中标人在每个结算周期结束后的15个工作日内将当期的费用结算清单（含考核处罚情况等）汇总并递交给采购人；</w:t>
            </w:r>
          </w:p>
          <w:p/>
          <w:p>
            <w:r>
              <w:rPr/>
              <w:t>9期：支付比例8.33%，合同生效后，中标人在每个结算周期结束后的15个工作日内将当期的费用结算清单（含考核处罚情况等）汇总并递交给采购人；</w:t>
            </w:r>
          </w:p>
          <w:p/>
          <w:p>
            <w:r>
              <w:rPr/>
              <w:t>10期：支付比例8.33%，合同生效后，中标人在每个结算周期结束后的15个工作日内将当期的费用结算清单（含考核处罚情况等）汇总并递交给采购人；</w:t>
            </w:r>
          </w:p>
          <w:p/>
          <w:p>
            <w:r>
              <w:rPr/>
              <w:t>11期：支付比例8.33%，合同生效后，中标人在每个结算周期结束后的15个工作日内将当期的费用结算清单（含考核处罚情况等）汇总并递交给采购人；</w:t>
            </w:r>
          </w:p>
          <w:p/>
          <w:p>
            <w:r>
              <w:rPr/>
              <w:t>12期：支付比例8.37%，合同生效后，中标人在每个结算周期结束后的15个工作日内将当期的费用结算清单（含考核处罚情况等）汇总并递交给采购人；【注：1、采购人核定当期的结算金额后，中标人须提供该期相应金额的服务费发票，收款方、发票出具方、合同乙方均须与中标人名称一致；2、采购人在中标人提供该期服务费发票15个工作日内向中标人支付服务费；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Pr>
              <w:jc w:val="left"/>
            </w:pPr>
          </w:p>
          <w:p/>
          <w:p/>
          <w:p>
            <w:r>
              <w:rPr/>
              <w:t>1期：根据全国爱卫会《国家卫生城市标准》（2014版）和顺德区爱卫办【2006】4号文，《佛山市顺德区公共环境除四害承包质量考评标准》（试行）（附）的通知精神，制定考评办法。</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其他:报价要求：1、投标报价为全包价，以元人民币为结算单位，包括本项目所有服务涉及的一切劳务、保险、管理费、通讯交通、药品及材料费、机具费、水电费、各种规费、税费等，包括本项目代理服务费以及合同履行过程中应预见和不可预见的一切费用。2、在合同执行过程中，采购人将不再另行支付与本项目相关的其他任何费用。3、投标人的报价不得超出该标段的采购预算或最高限价，否则其投标无效。 监督考评办法： 1）监督考评办法 根据全国爱卫会《国家卫生城市标准》（2014版）和顺德区爱卫办【2006】4号文，《佛山市顺德区公共环境除四害承包质量考评标准》（试行）（附）的通知精神，制定考评办法如下： 1.1考评方式 采取街道除四害考评组、居村委会、卫健办、社会监督等综合考核方法。 1.2街道除四害考评组：根据顺德区爱卫办[2006]4号文《佛山市顺德区公共环境除四害承包质量考评标准》，委托专业机构进行专业考核监测，每季度一次定量考评，年终作年度总评定。 1.3居（村）委会考核：居（村）委会负责对除四害专业队日常工作进行监督、指导。对专业队放药、喷洒、治理孳生地等工作实行签名确认（采购人或勒流街道爱卫办印发施工记录表），每月对服务本居（村）委会除四害工作进行一次系统检查。 1.4街道卫健办考核：结合平时卫生检查、除四害日常施工、投诉与处理、应急等进行考核。 1.5社会监督：（1）群众评议：每季度由居（村）委会、考评专家组进行随机访问居民群众。（2）群众举报或投诉，每季度由街道爱卫办收集和整理群众举报或投诉资料并计分。 2）评定办法 根据街道除四害考评组、街道卫健办评定、居（村）委会评定、社会监督四个方面的评议，把分别评出的四项分数作综合评定，得出除四害专业队的季度和年度评定分值。综合评定采用百分制。评定分值：街道除四害考评组占50分、街道卫健办评分占20分、居（村）委会评定占20分、社会监督（群众评议）占10分。群众举报或投诉属实，在总分直接扣除，每宗0.5分。 2.1街道除四害考评组：内容包括操作规程、防治质量、监测资料、现场抽查等进行评定。 2.2居（村）委会评定：由居（村）委会根据日常管理和施工情况作综合评定。 2.3街道卫健办评定：结合平时卫生检查、除四害日常施工、投诉与处理、应急等作综合评定。 2.4社会监督：由居（村）委会和专家组季度考核时进行群众满意度测评，按10分评定。其中操作规程2分，防治效果7分，检测资料1分。 2.5社会监督（群众举报或投诉）：以各居村为单位，发生群众举报或投诉，经调查核实，中标人须立即进行跟踪处理，一宗投诉扣除0.5分。如果一个季度内同一地点发生两次群众举报或投诉，经调查情况属实的，扣除1分；当年同一地点群众举报或投诉，经调查情况属实的，超过两次后每增加一次，扣除1分。 3）年终评定 根据四个季度考核结果，平均分达90分以上（含90分）为合格。 4）质量制约 4.1季度和年度考核合格（发生扣罚和奖励情况除外）如数给付服务费用（以90分为合格基数）；考核不合格，每少1分扣除当期服务费用总额的1％。对服务质量差和操作规程不符合要求的，并出现其中2项超标的，通过除四害监督员、监督监测组提出整改意见，限期整改；逾期不整改，服务质量仍旧低劣，四害中如有1项不符合标准的，扣除当期服务费总额的5%；如有2项不符合标准或连续2次不合格的（不满90分），采购人有权无条件终止和解除服务合同，一切经济和法律责任由中标人承担。 4.2处罚 （1）违反操作规程，严重影响工作质量者，扣除当期服务费总额的3％。 （2）不按规定用药，或施药弄虚作假，施药不足者，扣除当期服务费总额的5％。 （3）中标人有责任配合采购人接受上级领导部门的监督、检查，并提供必须的材料。遇有上级检查及大型活动等需要突击加班的，须无条件服从安排，在接到通知后2小时内人员须按要求带全装备到场开展工作，否则每次扣除当期服务费总额的5%，突击任务所产生的费用由中标人负责（含卫生防疫）；突发任务未能按时按质完成，对采购人形象造成负面影响的，每次扣除当期服务费总额的3%。 （4）在合同履行服务过程中，采购人不定期对中标人的服务人数、资格证、药品登记证及机械设备数量抽查，发现缺人、缺证、缺设备的，每次罚款3000元/人/证/机。累计2次抽查不合格一次罚款20000元，采购人有权无条件终止和解除服务合同，没收履约保证金并取消该单位的服务资格，一切经济和法律责任由中标人承担。 （5）上级主管部门检查或第三方考核验收达不到国家标准的，经整改后仍不达标的，采购人有权对中标人视情节轻重给予罚款、终止合同。 （6）承包期间,遇卫生城市（镇）复审时，国家、省、市、区专家组检查病媒生物密度达不到国家C级标准,影响勒流街道评分的,扣除外包服务费总额的20%至30%作为罚款,采购人有权终止合同。 （7）中标人擅自将服务合同转包或部分分包给第三方，采购人有权将中标人列入黑名单并终止合同。 监督与沟通： 1）中标人应诚实信用，严格按照招标文件要求和承诺履行合同，不向采购人进行商业贿赂或者提供不正当利益。 2）积极与采购人协调、配合，并根据采购人的要求，不断改进、提高服务质量。 3）中标人在服务期间，采购人有权对中标人施工情况进行监督检查，中标人应尊重政府对部分区域加强服务或提供技术支持等要求，如采购人接到政府投诉中标人不配合的，一经核实将对中标人作出相应处理。 其他重要事项：参加本项目的投标人，视为已认同和确认：①对于以上要求中未提及的，有行业标准的按行业标准执行，无行业标准的按地方标准执行，无地方标准的按国家标准执行。②中标人针对以上要求的优惠承诺，采购人有权视其实际适用性选择是否采纳。 特别说明！！！ :上述主要商务条款均为★实质性条款，任何一条负偏离将导致投标无效。</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其他服务</w:t>
            </w:r>
          </w:p>
        </w:tc>
        <w:tc>
          <w:tcPr>
            <w:tcW w:type="dxa" w:w="1923"/>
          </w:tcPr>
          <w:p>
            <w:r>
              <w:rPr/>
              <w:t>勒流居委会、新城居委会、勒北村委会、大晚居委会、光大居委会、东风村委会（包1）</w:t>
            </w:r>
          </w:p>
        </w:tc>
        <w:tc>
          <w:tcPr>
            <w:tcW w:type="dxa" w:w="385"/>
          </w:tcPr>
          <w:p>
            <w:r>
              <w:rPr/>
              <w:t>项</w:t>
            </w:r>
          </w:p>
        </w:tc>
        <w:tc>
          <w:tcPr>
            <w:tcW w:type="dxa" w:w="769"/>
          </w:tcPr>
          <w:p>
            <w:pPr>
              <w:jc w:val="right"/>
            </w:pPr>
            <w:r>
              <w:rPr/>
              <w:t>1.0000</w:t>
            </w:r>
          </w:p>
        </w:tc>
        <w:tc>
          <w:tcPr>
            <w:tcW w:type="dxa" w:w="769"/>
          </w:tcPr>
          <w:p>
            <w:pPr>
              <w:jc w:val="right"/>
            </w:pPr>
            <w:r>
              <w:rPr/>
              <w:t>2,250,000.00</w:t>
            </w:r>
          </w:p>
        </w:tc>
        <w:tc>
          <w:tcPr>
            <w:tcW w:type="dxa" w:w="769"/>
          </w:tcPr>
          <w:p>
            <w:pPr>
              <w:jc w:val="right"/>
            </w:pPr>
            <w:r>
              <w:rPr/>
              <w:t>2,250,000.00</w:t>
            </w:r>
          </w:p>
        </w:tc>
        <w:tc>
          <w:tcPr>
            <w:tcW w:type="dxa" w:w="769"/>
          </w:tcPr>
          <w:p>
            <w:r>
              <w:rPr/>
              <w:t>其他未列明行业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勒流居委会、新城居委会、勒北村委会、大晚居委会、光大居委会、东风村委会（包1）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8"/>
              </w:rPr>
              <w:t xml:space="preserve"> </w:t>
            </w:r>
          </w:p>
          <w:tbl>
            <w:tblPr>
              <w:tblBorders>
                <w:top w:val="none" w:color="000000" w:sz="4"/>
                <w:left w:val="none" w:color="000000" w:sz="4"/>
                <w:bottom w:val="none" w:color="000000" w:sz="4"/>
                <w:right w:val="none" w:color="000000" w:sz="4"/>
                <w:insideH w:val="none"/>
                <w:insideV w:val="none"/>
              </w:tblBorders>
            </w:tblPr>
            <w:tblGrid>
              <w:gridCol w:w="725"/>
              <w:gridCol w:w="367"/>
              <w:gridCol w:w="4488"/>
            </w:tblGrid>
            <w:tr>
              <w:tc>
                <w:tcPr>
                  <w:tcW w:type="dxa" w:w="725"/>
                  <w:tcBorders>
                    <w:top w:val="single" w:color="000000" w:sz="4"/>
                    <w:left w:val="single" w:color="000000" w:sz="4"/>
                    <w:bottom w:val="single" w:color="000000" w:sz="4"/>
                    <w:right w:val="single" w:color="000000" w:sz="4"/>
                  </w:tcBorders>
                  <w:shd w:fill="F1F1F1"/>
                  <w:vAlign w:val="top"/>
                </w:tcPr>
                <w:p>
                  <w:pPr>
                    <w:jc w:val="center"/>
                  </w:pPr>
                  <w:r>
                    <w:rPr>
                      <w:b/>
                      <w:sz w:val="21"/>
                    </w:rPr>
                    <w:t>参数性质</w:t>
                  </w:r>
                </w:p>
              </w:tc>
              <w:tc>
                <w:tcPr>
                  <w:tcW w:type="dxa" w:w="367"/>
                  <w:tcBorders>
                    <w:top w:val="single" w:color="000000" w:sz="4"/>
                    <w:left w:val="single" w:color="000000" w:sz="4"/>
                    <w:bottom w:val="single" w:color="000000" w:sz="4"/>
                    <w:right w:val="single" w:color="000000" w:sz="4"/>
                  </w:tcBorders>
                  <w:shd w:fill="F1F1F1"/>
                  <w:vAlign w:val="top"/>
                </w:tcPr>
                <w:p>
                  <w:pPr>
                    <w:jc w:val="center"/>
                  </w:pPr>
                  <w:r>
                    <w:rPr>
                      <w:b/>
                      <w:sz w:val="21"/>
                    </w:rPr>
                    <w:t>序号</w:t>
                  </w:r>
                </w:p>
              </w:tc>
              <w:tc>
                <w:tcPr>
                  <w:tcW w:type="dxa" w:w="4488"/>
                  <w:tcBorders>
                    <w:top w:val="single" w:color="000000" w:sz="4"/>
                    <w:left w:val="single" w:color="000000" w:sz="4"/>
                    <w:bottom w:val="single" w:color="000000" w:sz="4"/>
                    <w:right w:val="single" w:color="000000" w:sz="4"/>
                  </w:tcBorders>
                  <w:shd w:fill="F1F1F1"/>
                  <w:vAlign w:val="top"/>
                </w:tcPr>
                <w:p>
                  <w:pPr>
                    <w:jc w:val="center"/>
                  </w:pPr>
                  <w:r>
                    <w:rPr>
                      <w:b/>
                      <w:sz w:val="21"/>
                    </w:rPr>
                    <w:t>具体技术（参数）要求</w:t>
                  </w:r>
                </w:p>
              </w:tc>
            </w:tr>
            <w:tr>
              <w:tc>
                <w:tcPr>
                  <w:tcW w:type="dxa" w:w="725"/>
                  <w:tcBorders>
                    <w:top w:val="none" w:color="000000" w:sz="4"/>
                    <w:left w:val="single" w:color="000000" w:sz="4"/>
                    <w:bottom w:val="single" w:color="000000" w:sz="4"/>
                    <w:right w:val="single" w:color="000000" w:sz="4"/>
                  </w:tcBorders>
                  <w:vAlign w:val="top"/>
                </w:tcPr>
                <w:p>
                  <w:r>
                    <w:rPr>
                      <w:sz w:val="21"/>
                    </w:rPr>
                    <w:t>工作量化要求</w:t>
                  </w:r>
                </w:p>
              </w:tc>
              <w:tc>
                <w:tcPr>
                  <w:tcW w:type="dxa" w:w="36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488"/>
                  <w:tcBorders>
                    <w:top w:val="none" w:color="000000" w:sz="4"/>
                    <w:left w:val="single" w:color="000000" w:sz="4"/>
                    <w:bottom w:val="single" w:color="000000" w:sz="4"/>
                    <w:right w:val="single" w:color="000000" w:sz="4"/>
                  </w:tcBorders>
                  <w:vAlign w:val="top"/>
                </w:tcPr>
                <w:p>
                  <w:r>
                    <w:rPr>
                      <w:sz w:val="21"/>
                    </w:rPr>
                    <w:t>灭鼠：</w:t>
                  </w:r>
                </w:p>
                <w:p>
                  <w:r>
                    <w:rPr>
                      <w:sz w:val="21"/>
                    </w:rPr>
                    <w:t>1、公共环境和扩大覆盖面范围每月饱和投放灭鼠药。</w:t>
                  </w:r>
                </w:p>
                <w:p>
                  <w:r>
                    <w:rPr>
                      <w:sz w:val="21"/>
                    </w:rPr>
                    <w:t>2、公共环境每月检查鼠迹，发现鼠迹立即清理并及时按常规投放和补充毒饵，每逢“五一”、“国庆”、“春节”加强灭鼠频次。</w:t>
                  </w:r>
                </w:p>
                <w:p>
                  <w:r>
                    <w:rPr>
                      <w:sz w:val="21"/>
                    </w:rPr>
                    <w:t>3、单位灭鼠：每月监测鼠情，按常规投药和补投药。主要重点单位如市场等每季度进行粉迹法、路径指数法密度检测。</w:t>
                  </w:r>
                </w:p>
                <w:p>
                  <w:r>
                    <w:rPr>
                      <w:sz w:val="21"/>
                    </w:rPr>
                    <w:t>4、居民区、农贸市场每月入户询问鼠情。</w:t>
                  </w:r>
                </w:p>
                <w:p>
                  <w:r>
                    <w:rPr>
                      <w:sz w:val="21"/>
                    </w:rPr>
                    <w:t>5、每季度按国家考核标准对鼠密度进行监测。</w:t>
                  </w:r>
                </w:p>
                <w:p>
                  <w:r>
                    <w:rPr>
                      <w:sz w:val="21"/>
                    </w:rPr>
                    <w:t>6、每年每村居安装300个老鼠屋（规格≥长34cm/宽12cm/高12cm，鼠屋上贴有警示安全标识），勒流居委600个，且每村居保持同等有效老鼠屋数量。</w:t>
                  </w:r>
                </w:p>
                <w:p>
                  <w:r>
                    <w:rPr>
                      <w:sz w:val="22"/>
                    </w:rPr>
                    <w:t xml:space="preserve"> </w:t>
                  </w:r>
                </w:p>
                <w:p>
                  <w:r>
                    <w:rPr>
                      <w:sz w:val="21"/>
                    </w:rPr>
                    <w:t>7、每季度对承包辖区进行防鼠、灭鼠防制知识宣传活动，通过多种形式提高人民群众除害防病知识，以图文并茂的简报书面形式报送采购人。</w:t>
                  </w:r>
                </w:p>
                <w:p>
                  <w:r>
                    <w:rPr>
                      <w:sz w:val="21"/>
                    </w:rPr>
                    <w:t>灭蚊：</w:t>
                  </w:r>
                </w:p>
                <w:p>
                  <w:r>
                    <w:rPr>
                      <w:sz w:val="21"/>
                    </w:rPr>
                    <w:t>1、每周检查大、中、小型水体，发现幼虫孳生立即施药。</w:t>
                  </w:r>
                </w:p>
                <w:p>
                  <w:r>
                    <w:rPr>
                      <w:sz w:val="21"/>
                    </w:rPr>
                    <w:t>2、下水道沉沙井（有积水的），每井吊挂含10克倍硫磷缓释剂木塞1粒，每两月更换1次，控制蚊幼虫孳生；沙井装有防蚊闸或存水弯管损坏或不密封的每两月吊挂含10克倍硫磷缓释剂木塞1粒或投放药物进行灭杀，每两月更换1次，控制蚊幼虫孳生。</w:t>
                  </w:r>
                </w:p>
                <w:p>
                  <w:r>
                    <w:rPr>
                      <w:sz w:val="21"/>
                    </w:rPr>
                    <w:t>3、每周清理外环境小积水，控制蚊虫孳生，并施药处理。</w:t>
                  </w:r>
                </w:p>
                <w:p>
                  <w:r>
                    <w:rPr>
                      <w:sz w:val="21"/>
                    </w:rPr>
                    <w:t>4、下水道烟熏灭蚊：每季度结合灭蟑对外环境的下水道进行热烟雾处理两次，每逢“五一”、“国庆”、“春节”加强消杀频次。</w:t>
                  </w:r>
                </w:p>
                <w:p>
                  <w:r>
                    <w:rPr>
                      <w:sz w:val="21"/>
                    </w:rPr>
                    <w:t>5、居民区、背街小巷、待建地、丛林、公园等特殊场所外环境，全面查治孳生地，并作空间喷洒灭成蚊。12月～次年4月，每月2次；5～11月，每月4次；视情况增加消杀频次。</w:t>
                  </w:r>
                </w:p>
                <w:p>
                  <w:r>
                    <w:rPr>
                      <w:sz w:val="21"/>
                    </w:rPr>
                    <w:t>6、每居村定点设置诱蚊产卵器30个，每月进行监测，记录在案，及时掌握蚊虫密度，并向采购人提供监测数据和技术支持。</w:t>
                  </w:r>
                </w:p>
                <w:p>
                  <w:r>
                    <w:rPr>
                      <w:sz w:val="21"/>
                    </w:rPr>
                    <w:t>7、每季度按国家考核标准对蚊密度进行监测。</w:t>
                  </w:r>
                </w:p>
                <w:p>
                  <w:r>
                    <w:rPr>
                      <w:sz w:val="21"/>
                    </w:rPr>
                    <w:t>8、每季度对承包辖区进行防蚊、灭蚊防制知识宣传活动，通过多种形式提高人民群众除害防病知识，以图文并茂的简报书面形式报送采购人。</w:t>
                  </w:r>
                </w:p>
                <w:p>
                  <w:r>
                    <w:rPr>
                      <w:sz w:val="21"/>
                    </w:rPr>
                    <w:t>灭蝇：</w:t>
                  </w:r>
                </w:p>
                <w:p>
                  <w:r>
                    <w:rPr>
                      <w:sz w:val="21"/>
                    </w:rPr>
                    <w:t>1、垃圾中转站、垃圾屋、垃圾池、垃圾桶、垃圾车以及卫生死角、垃圾堆，每周喷药。每个垃圾中转站加装4盏灭蝇笼，定期更换诱饵和维护，设置施工签到表。</w:t>
                  </w:r>
                </w:p>
                <w:p>
                  <w:r>
                    <w:rPr>
                      <w:sz w:val="21"/>
                    </w:rPr>
                    <w:t>2、农贸市场等服务范围内每周进行2次滞留喷洒灭成蝇。</w:t>
                  </w:r>
                </w:p>
                <w:p>
                  <w:r>
                    <w:rPr>
                      <w:sz w:val="21"/>
                    </w:rPr>
                    <w:t>3、重点场所孳生地：每周检查处理并喷药灭杀。</w:t>
                  </w:r>
                </w:p>
                <w:p>
                  <w:r>
                    <w:rPr>
                      <w:sz w:val="21"/>
                    </w:rPr>
                    <w:t>4、每季度按国家考核标准对成蝇密度进行监测。</w:t>
                  </w:r>
                </w:p>
                <w:p>
                  <w:r>
                    <w:rPr>
                      <w:sz w:val="21"/>
                    </w:rPr>
                    <w:t>5、每逢“五一”、“国庆”、“春节”加强消杀频次。</w:t>
                  </w:r>
                </w:p>
                <w:p>
                  <w:r>
                    <w:rPr>
                      <w:sz w:val="21"/>
                    </w:rPr>
                    <w:t>6、每季度对承包辖区进行防蝇、灭蝇防制知识宣传活动，通过多种形式提高人民群众除害防病知识，以图文并茂的简报书面形式报送采购人。</w:t>
                  </w:r>
                </w:p>
                <w:p>
                  <w:r>
                    <w:rPr>
                      <w:sz w:val="21"/>
                    </w:rPr>
                    <w:t>灭蟑螂：</w:t>
                  </w:r>
                </w:p>
                <w:p>
                  <w:r>
                    <w:rPr>
                      <w:sz w:val="21"/>
                    </w:rPr>
                    <w:t>1、农贸市场等服务范围内每月灭蟑螂不少于2次，每月检查蟑迹并清理。</w:t>
                  </w:r>
                </w:p>
                <w:p>
                  <w:r>
                    <w:rPr>
                      <w:sz w:val="21"/>
                    </w:rPr>
                    <w:t>2、下水道灭蟑螂：每季度进行2次热烟雾处理，每逢“五一”、“国庆”、“春节”加强消杀频次。</w:t>
                  </w:r>
                </w:p>
                <w:p>
                  <w:r>
                    <w:rPr>
                      <w:sz w:val="21"/>
                    </w:rPr>
                    <w:t>3、每季度按国家考核标准进行蟑螂密度监测。</w:t>
                  </w:r>
                </w:p>
                <w:p>
                  <w:r>
                    <w:rPr>
                      <w:sz w:val="21"/>
                    </w:rPr>
                    <w:t>4、每季度对承包辖区进行防蟑螂、灭蟑螂防制知识宣传活动，通过多种形式提高人民群众除害防病知识，以图文并茂的简报书面形式报送采购人。</w:t>
                  </w:r>
                </w:p>
                <w:p>
                  <w:r>
                    <w:rPr>
                      <w:sz w:val="21"/>
                    </w:rPr>
                    <w:t>其他：</w:t>
                  </w:r>
                </w:p>
                <w:p>
                  <w:r>
                    <w:rPr>
                      <w:sz w:val="21"/>
                    </w:rPr>
                    <w:t>1、根据具体情况，对有需要的居民住户免费派发除四害药物和免费上门服务。</w:t>
                  </w:r>
                </w:p>
                <w:p>
                  <w:r>
                    <w:rPr>
                      <w:sz w:val="21"/>
                    </w:rPr>
                    <w:t>2、每年在“爱卫月、登革热”等期间进行不少于2次的公益宣传。</w:t>
                  </w:r>
                </w:p>
                <w:p>
                  <w:r>
                    <w:rPr>
                      <w:sz w:val="21"/>
                    </w:rPr>
                    <w:t>3、每月开展不少于200户的除四害入户调查和宣传。</w:t>
                  </w:r>
                </w:p>
                <w:p>
                  <w:r>
                    <w:rPr>
                      <w:sz w:val="21"/>
                    </w:rPr>
                    <w:t>4、在登革热和病媒生物传染病流行期间，疫区消杀的处理根据政府应急预案进行，中标人应积极配合。以疫点为中心半径200米范围内进行消杀（包括户内和外环境），按每次2000元的付费标准进行核算；该项费用在应急经费中核算，不计算在本项目费用预算内。</w:t>
                  </w:r>
                </w:p>
              </w:tc>
            </w:tr>
            <w:tr>
              <w:tc>
                <w:tcPr>
                  <w:tcW w:type="dxa" w:w="725"/>
                  <w:tcBorders>
                    <w:top w:val="none" w:color="000000" w:sz="4"/>
                    <w:left w:val="single" w:color="000000" w:sz="4"/>
                    <w:bottom w:val="single" w:color="000000" w:sz="4"/>
                    <w:right w:val="single" w:color="000000" w:sz="4"/>
                  </w:tcBorders>
                  <w:vAlign w:val="top"/>
                </w:tcPr>
                <w:p>
                  <w:r>
                    <w:rPr>
                      <w:sz w:val="21"/>
                    </w:rPr>
                    <w:t>“四害”控制水平标准（按最新标准执行）</w:t>
                  </w:r>
                </w:p>
              </w:tc>
              <w:tc>
                <w:tcPr>
                  <w:tcW w:type="dxa" w:w="36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488"/>
                  <w:tcBorders>
                    <w:top w:val="none" w:color="000000" w:sz="4"/>
                    <w:left w:val="single" w:color="000000" w:sz="4"/>
                    <w:bottom w:val="single" w:color="000000" w:sz="4"/>
                    <w:right w:val="single" w:color="000000" w:sz="4"/>
                  </w:tcBorders>
                  <w:vAlign w:val="top"/>
                </w:tcPr>
                <w:p>
                  <w:r>
                    <w:rPr>
                      <w:sz w:val="21"/>
                    </w:rPr>
                    <w:t>《中华人民共和国国家标准（</w:t>
                  </w:r>
                  <w:r>
                    <w:rPr>
                      <w:sz w:val="21"/>
                    </w:rPr>
                    <w:t>GB/T 27773 2011）病媒生物密度控制水平 蜚蠊》、</w:t>
                  </w:r>
                </w:p>
                <w:p>
                  <w:r>
                    <w:rPr>
                      <w:sz w:val="21"/>
                    </w:rPr>
                    <w:t>《中华人民共和国国家标准（</w:t>
                  </w:r>
                  <w:r>
                    <w:rPr>
                      <w:sz w:val="21"/>
                    </w:rPr>
                    <w:t>GB/T 27772 2011）病媒生物密度控制水平 蝇类》、</w:t>
                  </w:r>
                </w:p>
                <w:p>
                  <w:r>
                    <w:rPr>
                      <w:sz w:val="21"/>
                    </w:rPr>
                    <w:t>《中华人民共和国国家标准（</w:t>
                  </w:r>
                  <w:r>
                    <w:rPr>
                      <w:sz w:val="21"/>
                    </w:rPr>
                    <w:t>GB/T 27771 2011）病媒生物密度控制水平 蚊虫》、</w:t>
                  </w:r>
                </w:p>
                <w:p>
                  <w:r>
                    <w:rPr>
                      <w:sz w:val="21"/>
                    </w:rPr>
                    <w:t>《中华人民共和国国家标准（</w:t>
                  </w:r>
                  <w:r>
                    <w:rPr>
                      <w:sz w:val="21"/>
                    </w:rPr>
                    <w:t>GB/T 27770 2011）病媒生物密度控制水平 鼠类》。</w:t>
                  </w:r>
                </w:p>
              </w:tc>
            </w:tr>
            <w:tr>
              <w:tc>
                <w:tcPr>
                  <w:tcW w:type="dxa" w:w="725"/>
                  <w:tcBorders>
                    <w:top w:val="none" w:color="000000" w:sz="4"/>
                    <w:left w:val="single" w:color="000000" w:sz="4"/>
                    <w:bottom w:val="single" w:color="000000" w:sz="4"/>
                    <w:right w:val="single" w:color="000000" w:sz="4"/>
                  </w:tcBorders>
                  <w:vAlign w:val="top"/>
                </w:tcPr>
                <w:p>
                  <w:r>
                    <w:rPr>
                      <w:sz w:val="21"/>
                    </w:rPr>
                    <w:t>“四害”密度监测标准（按最新标准执行）</w:t>
                  </w:r>
                </w:p>
              </w:tc>
              <w:tc>
                <w:tcPr>
                  <w:tcW w:type="dxa" w:w="367"/>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488"/>
                  <w:tcBorders>
                    <w:top w:val="none" w:color="000000" w:sz="4"/>
                    <w:left w:val="single" w:color="000000" w:sz="4"/>
                    <w:bottom w:val="single" w:color="000000" w:sz="4"/>
                    <w:right w:val="single" w:color="000000" w:sz="4"/>
                  </w:tcBorders>
                  <w:vAlign w:val="top"/>
                </w:tcPr>
                <w:p>
                  <w:r>
                    <w:rPr>
                      <w:sz w:val="21"/>
                    </w:rPr>
                    <w:t>《中华人民共和国国家标准（</w:t>
                  </w:r>
                  <w:r>
                    <w:rPr>
                      <w:sz w:val="21"/>
                    </w:rPr>
                    <w:t>GB/T 23796 2009）病媒生物密度监测方法 蝇类》、</w:t>
                  </w:r>
                </w:p>
                <w:p>
                  <w:r>
                    <w:rPr>
                      <w:sz w:val="21"/>
                    </w:rPr>
                    <w:t>《中华人民共和国国家标准（</w:t>
                  </w:r>
                  <w:r>
                    <w:rPr>
                      <w:sz w:val="21"/>
                    </w:rPr>
                    <w:t>GB/T 23797 2009）病媒生物密度监测方法 蚊虫》、</w:t>
                  </w:r>
                </w:p>
                <w:p>
                  <w:r>
                    <w:rPr>
                      <w:sz w:val="21"/>
                    </w:rPr>
                    <w:t>《中华人民共和国国家标准（</w:t>
                  </w:r>
                  <w:r>
                    <w:rPr>
                      <w:sz w:val="21"/>
                    </w:rPr>
                    <w:t>GB/T 23798 2009）病媒生物密度监测方法 鼠类》、</w:t>
                  </w:r>
                </w:p>
                <w:p>
                  <w:r>
                    <w:rPr>
                      <w:sz w:val="21"/>
                    </w:rPr>
                    <w:t>《中华人民共和国国家标准（</w:t>
                  </w:r>
                  <w:r>
                    <w:rPr>
                      <w:sz w:val="21"/>
                    </w:rPr>
                    <w:t>GB/T 23795 2009）病媒生物密度监测方法 蜚蠊》。</w:t>
                  </w:r>
                </w:p>
              </w:tc>
            </w:tr>
            <w:tr>
              <w:tc>
                <w:tcPr>
                  <w:tcW w:type="dxa" w:w="725"/>
                  <w:tcBorders>
                    <w:top w:val="none" w:color="000000" w:sz="4"/>
                    <w:left w:val="single" w:color="000000" w:sz="4"/>
                    <w:bottom w:val="single" w:color="000000" w:sz="4"/>
                    <w:right w:val="single" w:color="000000" w:sz="4"/>
                  </w:tcBorders>
                  <w:vAlign w:val="top"/>
                </w:tcPr>
                <w:p>
                  <w:r>
                    <w:rPr>
                      <w:sz w:val="21"/>
                    </w:rPr>
                    <w:t>对服务人员的基本要求</w:t>
                  </w:r>
                </w:p>
              </w:tc>
              <w:tc>
                <w:tcPr>
                  <w:tcW w:type="dxa" w:w="367"/>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488"/>
                  <w:tcBorders>
                    <w:top w:val="none" w:color="000000" w:sz="4"/>
                    <w:left w:val="single" w:color="000000" w:sz="4"/>
                    <w:bottom w:val="single" w:color="000000" w:sz="4"/>
                    <w:right w:val="single" w:color="000000" w:sz="4"/>
                  </w:tcBorders>
                  <w:vAlign w:val="top"/>
                </w:tcPr>
                <w:p>
                  <w:r>
                    <w:rPr>
                      <w:sz w:val="21"/>
                    </w:rPr>
                    <w:t>4.1配置要求</w:t>
                  </w:r>
                </w:p>
                <w:tbl>
                  <w:tblPr>
                    <w:tblBorders>
                      <w:top w:val="none" w:color="000000" w:sz="4"/>
                      <w:left w:val="none" w:color="000000" w:sz="4"/>
                      <w:bottom w:val="none" w:color="000000" w:sz="4"/>
                      <w:right w:val="none" w:color="000000" w:sz="4"/>
                      <w:insideH w:val="none"/>
                      <w:insideV w:val="none"/>
                    </w:tblBorders>
                  </w:tblPr>
                  <w:tblGrid>
                    <w:gridCol w:w="726"/>
                    <w:gridCol w:w="2957"/>
                    <w:gridCol w:w="570"/>
                  </w:tblGrid>
                  <w:tr>
                    <w:tc>
                      <w:tcPr>
                        <w:tcW w:type="dxa" w:w="726"/>
                        <w:tcBorders>
                          <w:top w:val="single" w:color="000000" w:sz="4"/>
                          <w:left w:val="single" w:color="000000" w:sz="4"/>
                          <w:bottom w:val="single" w:color="000000" w:sz="4"/>
                          <w:right w:val="single" w:color="000000" w:sz="4"/>
                        </w:tcBorders>
                        <w:vAlign w:val="top"/>
                      </w:tcPr>
                      <w:p>
                        <w:pPr>
                          <w:jc w:val="center"/>
                        </w:pPr>
                        <w:r>
                          <w:rPr>
                            <w:b/>
                            <w:color w:val="000000"/>
                            <w:sz w:val="21"/>
                          </w:rPr>
                          <w:t>人员类别</w:t>
                        </w:r>
                      </w:p>
                    </w:tc>
                    <w:tc>
                      <w:tcPr>
                        <w:tcW w:type="dxa" w:w="2957"/>
                        <w:tcBorders>
                          <w:top w:val="single" w:color="000000" w:sz="4"/>
                          <w:left w:val="single" w:color="000000" w:sz="4"/>
                          <w:bottom w:val="single" w:color="000000" w:sz="4"/>
                          <w:right w:val="single" w:color="000000" w:sz="4"/>
                        </w:tcBorders>
                        <w:vAlign w:val="top"/>
                      </w:tcPr>
                      <w:p>
                        <w:pPr>
                          <w:jc w:val="center"/>
                        </w:pPr>
                        <w:r>
                          <w:rPr>
                            <w:b/>
                            <w:color w:val="000000"/>
                            <w:sz w:val="21"/>
                          </w:rPr>
                          <w:t>具体要求</w:t>
                        </w:r>
                      </w:p>
                    </w:tc>
                    <w:tc>
                      <w:tcPr>
                        <w:tcW w:type="dxa" w:w="570"/>
                        <w:tcBorders>
                          <w:top w:val="single" w:color="000000" w:sz="4"/>
                          <w:left w:val="single" w:color="000000" w:sz="4"/>
                          <w:bottom w:val="single" w:color="000000" w:sz="4"/>
                          <w:right w:val="single" w:color="000000" w:sz="4"/>
                        </w:tcBorders>
                        <w:vAlign w:val="top"/>
                      </w:tcPr>
                      <w:p>
                        <w:pPr>
                          <w:jc w:val="center"/>
                        </w:pPr>
                        <w:r>
                          <w:rPr>
                            <w:b/>
                            <w:color w:val="000000"/>
                            <w:sz w:val="21"/>
                          </w:rPr>
                          <w:t>配置人数</w:t>
                        </w:r>
                      </w:p>
                    </w:tc>
                  </w:tr>
                  <w:tr>
                    <w:tc>
                      <w:tcPr>
                        <w:tcW w:type="dxa" w:w="726"/>
                        <w:tcBorders>
                          <w:top w:val="none" w:color="000000" w:sz="4"/>
                          <w:left w:val="single" w:color="000000" w:sz="4"/>
                          <w:bottom w:val="single" w:color="000000" w:sz="4"/>
                          <w:right w:val="single" w:color="000000" w:sz="4"/>
                        </w:tcBorders>
                        <w:vAlign w:val="top"/>
                      </w:tcPr>
                      <w:p>
                        <w:pPr>
                          <w:jc w:val="center"/>
                        </w:pPr>
                        <w:r>
                          <w:rPr>
                            <w:color w:val="000000"/>
                            <w:sz w:val="21"/>
                          </w:rPr>
                          <w:t>管理人员</w:t>
                        </w:r>
                      </w:p>
                    </w:tc>
                    <w:tc>
                      <w:tcPr>
                        <w:tcW w:type="dxa" w:w="2957"/>
                        <w:tcBorders>
                          <w:top w:val="none" w:color="000000" w:sz="4"/>
                          <w:left w:val="single" w:color="000000" w:sz="4"/>
                          <w:bottom w:val="single" w:color="000000" w:sz="4"/>
                          <w:right w:val="single" w:color="000000" w:sz="4"/>
                        </w:tcBorders>
                        <w:vAlign w:val="top"/>
                      </w:tcPr>
                      <w:p>
                        <w:r>
                          <w:rPr>
                            <w:color w:val="000000"/>
                            <w:sz w:val="21"/>
                          </w:rPr>
                          <w:t>项目主管，负责管理工作团队，并制定每次的除四害工作方案及分配工作，具有</w:t>
                        </w:r>
                        <w:r>
                          <w:rPr>
                            <w:color w:val="000000"/>
                            <w:sz w:val="21"/>
                          </w:rPr>
                          <w:t>“有害生物防制员</w:t>
                        </w:r>
                        <w:r>
                          <w:rPr>
                            <w:color w:val="000000"/>
                            <w:sz w:val="21"/>
                          </w:rPr>
                          <w:t>高级</w:t>
                        </w:r>
                        <w:r>
                          <w:rPr>
                            <w:color w:val="000000"/>
                            <w:sz w:val="21"/>
                          </w:rPr>
                          <w:t>（三级）资格证或培训证</w:t>
                        </w:r>
                        <w:r>
                          <w:rPr>
                            <w:color w:val="000000"/>
                            <w:sz w:val="21"/>
                          </w:rPr>
                          <w:t>”，有除四害工作管理经验。</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1人</w:t>
                        </w:r>
                      </w:p>
                    </w:tc>
                  </w:tr>
                  <w:tr>
                    <w:tc>
                      <w:tcPr>
                        <w:tcW w:type="dxa" w:w="726"/>
                        <w:tcBorders>
                          <w:top w:val="none" w:color="000000" w:sz="4"/>
                          <w:left w:val="single" w:color="000000" w:sz="4"/>
                          <w:bottom w:val="single" w:color="000000" w:sz="4"/>
                          <w:right w:val="single" w:color="000000" w:sz="4"/>
                        </w:tcBorders>
                        <w:vAlign w:val="top"/>
                      </w:tcPr>
                      <w:p>
                        <w:pPr>
                          <w:jc w:val="center"/>
                        </w:pPr>
                        <w:r>
                          <w:rPr>
                            <w:color w:val="000000"/>
                            <w:sz w:val="21"/>
                          </w:rPr>
                          <w:t>除四害专业人员</w:t>
                        </w:r>
                      </w:p>
                    </w:tc>
                    <w:tc>
                      <w:tcPr>
                        <w:tcW w:type="dxa" w:w="2957"/>
                        <w:tcBorders>
                          <w:top w:val="none" w:color="000000" w:sz="4"/>
                          <w:left w:val="single" w:color="000000" w:sz="4"/>
                          <w:bottom w:val="single" w:color="000000" w:sz="4"/>
                          <w:right w:val="single" w:color="000000" w:sz="4"/>
                        </w:tcBorders>
                        <w:vAlign w:val="top"/>
                      </w:tcPr>
                      <w:p>
                        <w:r>
                          <w:rPr>
                            <w:color w:val="000000"/>
                            <w:sz w:val="21"/>
                          </w:rPr>
                          <w:t>负责主要的除四害工作及技术指导，具有</w:t>
                        </w:r>
                        <w:r>
                          <w:rPr>
                            <w:color w:val="000000"/>
                            <w:sz w:val="21"/>
                          </w:rPr>
                          <w:t>“有害生物防制员初级（五级）或以上资格证或培训证”，有除四害工作经验，技术熟练。</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7</w:t>
                        </w:r>
                        <w:r>
                          <w:rPr>
                            <w:color w:val="000000"/>
                            <w:sz w:val="21"/>
                          </w:rPr>
                          <w:t>人</w:t>
                        </w:r>
                      </w:p>
                    </w:tc>
                  </w:tr>
                  <w:tr>
                    <w:tc>
                      <w:tcPr>
                        <w:tcW w:type="dxa" w:w="726"/>
                        <w:tcBorders>
                          <w:top w:val="none" w:color="000000" w:sz="4"/>
                          <w:left w:val="single" w:color="000000" w:sz="4"/>
                          <w:bottom w:val="single" w:color="000000" w:sz="4"/>
                          <w:right w:val="single" w:color="000000" w:sz="4"/>
                        </w:tcBorders>
                        <w:vAlign w:val="top"/>
                      </w:tcPr>
                      <w:p>
                        <w:pPr>
                          <w:jc w:val="center"/>
                        </w:pPr>
                        <w:r>
                          <w:rPr>
                            <w:color w:val="000000"/>
                            <w:sz w:val="21"/>
                          </w:rPr>
                          <w:t>质检人员</w:t>
                        </w:r>
                      </w:p>
                    </w:tc>
                    <w:tc>
                      <w:tcPr>
                        <w:tcW w:type="dxa" w:w="2957"/>
                        <w:tcBorders>
                          <w:top w:val="none" w:color="000000" w:sz="4"/>
                          <w:left w:val="single" w:color="000000" w:sz="4"/>
                          <w:bottom w:val="single" w:color="000000" w:sz="4"/>
                          <w:right w:val="single" w:color="000000" w:sz="4"/>
                        </w:tcBorders>
                        <w:vAlign w:val="top"/>
                      </w:tcPr>
                      <w:p>
                        <w:r>
                          <w:rPr>
                            <w:color w:val="000000"/>
                            <w:sz w:val="21"/>
                          </w:rPr>
                          <w:t>负责日常除四害自我监督巡查工作，配合监理部门做好监督检查，完善各项四害防治、监测资料；具有</w:t>
                        </w:r>
                        <w:r>
                          <w:rPr>
                            <w:color w:val="000000"/>
                            <w:sz w:val="21"/>
                          </w:rPr>
                          <w:t>“有害生物防制员</w:t>
                        </w:r>
                        <w:r>
                          <w:rPr>
                            <w:color w:val="000000"/>
                            <w:sz w:val="21"/>
                          </w:rPr>
                          <w:t>中级</w:t>
                        </w:r>
                        <w:r>
                          <w:rPr>
                            <w:color w:val="000000"/>
                            <w:sz w:val="21"/>
                          </w:rPr>
                          <w:t>（四级）或以上资格证或培训证</w:t>
                        </w:r>
                        <w:r>
                          <w:rPr>
                            <w:color w:val="000000"/>
                            <w:sz w:val="21"/>
                          </w:rPr>
                          <w:t>”，具有除四害工作经验，技术熟练。</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1人</w:t>
                        </w:r>
                      </w:p>
                    </w:tc>
                  </w:tr>
                  <w:tr>
                    <w:tc>
                      <w:tcPr>
                        <w:tcW w:type="dxa" w:w="726"/>
                        <w:tcBorders>
                          <w:top w:val="none" w:color="000000" w:sz="4"/>
                          <w:left w:val="single" w:color="000000" w:sz="4"/>
                          <w:bottom w:val="single" w:color="000000" w:sz="4"/>
                          <w:right w:val="single" w:color="000000" w:sz="4"/>
                        </w:tcBorders>
                        <w:vAlign w:val="top"/>
                      </w:tcPr>
                      <w:p>
                        <w:pPr>
                          <w:jc w:val="center"/>
                        </w:pPr>
                        <w:r>
                          <w:rPr>
                            <w:color w:val="000000"/>
                            <w:sz w:val="21"/>
                          </w:rPr>
                          <w:t>备注</w:t>
                        </w:r>
                      </w:p>
                    </w:tc>
                    <w:tc>
                      <w:tcPr>
                        <w:tcW w:type="dxa" w:w="3527"/>
                        <w:gridSpan w:val="2"/>
                        <w:tcBorders>
                          <w:top w:val="none" w:color="000000" w:sz="4"/>
                          <w:left w:val="single" w:color="000000" w:sz="4"/>
                          <w:bottom w:val="single" w:color="000000" w:sz="4"/>
                          <w:right w:val="single" w:color="000000" w:sz="4"/>
                        </w:tcBorders>
                        <w:vAlign w:val="top"/>
                      </w:tcPr>
                      <w:p>
                        <w:r>
                          <w:rPr>
                            <w:color w:val="000000"/>
                            <w:sz w:val="21"/>
                          </w:rPr>
                          <w:t>在同一采购包内，同一人员不得同时从事上述不同岗位的工作。</w:t>
                        </w:r>
                      </w:p>
                    </w:tc>
                  </w:tr>
                </w:tbl>
                <w:p>
                  <w:r>
                    <w:rPr>
                      <w:sz w:val="21"/>
                    </w:rPr>
                    <w:t>4.2管理要求</w:t>
                  </w:r>
                </w:p>
                <w:p>
                  <w:r>
                    <w:rPr>
                      <w:sz w:val="21"/>
                    </w:rPr>
                    <w:t>1）中标人须按招标文件要求聘请足额作业人员专用于本项目。</w:t>
                  </w:r>
                </w:p>
                <w:p>
                  <w:r>
                    <w:rPr>
                      <w:sz w:val="21"/>
                    </w:rPr>
                    <w:t>2）作业人员须具有完全民事行为能力，身体健全且符合法定工作年龄要求。</w:t>
                  </w:r>
                </w:p>
                <w:p>
                  <w:r>
                    <w:rPr>
                      <w:sz w:val="21"/>
                    </w:rPr>
                    <w:t>3）中标人须按照国家劳动法的相关规定依法用工，与作业人员签订劳动合同，并按顺德区社会劳动保险的有关规定为员工购买社会保险。</w:t>
                  </w:r>
                </w:p>
                <w:p>
                  <w:r>
                    <w:rPr>
                      <w:sz w:val="21"/>
                    </w:rPr>
                    <w:t>4</w:t>
                  </w:r>
                  <w:r>
                    <w:rPr>
                      <w:sz w:val="21"/>
                    </w:rPr>
                    <w:t>）作业人员上岗前须经过培训合格，熟悉设施设备的使用方法和技巧。专业技术人员必须持证上岗。</w:t>
                  </w:r>
                </w:p>
                <w:p>
                  <w:r>
                    <w:rPr>
                      <w:sz w:val="21"/>
                    </w:rPr>
                    <w:t>5</w:t>
                  </w:r>
                  <w:r>
                    <w:rPr>
                      <w:sz w:val="21"/>
                    </w:rPr>
                    <w:t>）中标人须为作业人员配备相应的劳动和卫生等防护用品，提供工作服（含雨衣），工作服的颜色、款色及图案标识须经采购人审定。</w:t>
                  </w:r>
                </w:p>
                <w:p>
                  <w:r>
                    <w:rPr>
                      <w:sz w:val="21"/>
                    </w:rPr>
                    <w:t>6</w:t>
                  </w:r>
                  <w:r>
                    <w:rPr>
                      <w:sz w:val="21"/>
                    </w:rPr>
                    <w:t>）作业人员须穿着统一的工作服（含雨衣），并保持衣冠整洁。阴天或夜间作业须穿着反光衣。</w:t>
                  </w:r>
                </w:p>
                <w:p>
                  <w:r>
                    <w:rPr>
                      <w:sz w:val="22"/>
                    </w:rPr>
                    <w:t xml:space="preserve"> </w:t>
                  </w:r>
                </w:p>
                <w:p>
                  <w:r>
                    <w:rPr>
                      <w:sz w:val="22"/>
                    </w:rPr>
                    <w:t xml:space="preserve"> </w:t>
                  </w:r>
                </w:p>
                <w:p>
                  <w:r>
                    <w:rPr>
                      <w:sz w:val="21"/>
                    </w:rPr>
                    <w:t>7</w:t>
                  </w:r>
                  <w:r>
                    <w:rPr>
                      <w:sz w:val="21"/>
                    </w:rPr>
                    <w:t>）作业时间内，作业人员须遵纪守法、文明作业，不得参加自己管理区域以外的工作，不得聚堆闲聊、瞌睡、执捡收集、挪用变卖垃圾废品，以及从事其它与本项目作业无关的事项。</w:t>
                  </w:r>
                </w:p>
                <w:p>
                  <w:r>
                    <w:rPr>
                      <w:sz w:val="21"/>
                    </w:rPr>
                    <w:t>8</w:t>
                  </w:r>
                  <w:r>
                    <w:rPr>
                      <w:sz w:val="21"/>
                    </w:rPr>
                    <w:t>）中标人须指派</w:t>
                  </w:r>
                  <w:r>
                    <w:rPr>
                      <w:sz w:val="21"/>
                    </w:rPr>
                    <w:t>1名管理人员，代表中标人履行管理责任，并在检查考评过程中配合采购人、居（村）及监督员的检查考评。</w:t>
                  </w:r>
                </w:p>
                <w:p>
                  <w:r>
                    <w:rPr>
                      <w:sz w:val="21"/>
                    </w:rPr>
                    <w:t>9</w:t>
                  </w:r>
                  <w:r>
                    <w:rPr>
                      <w:sz w:val="21"/>
                    </w:rPr>
                    <w:t>）管理人员须</w:t>
                  </w:r>
                  <w:r>
                    <w:rPr>
                      <w:sz w:val="21"/>
                    </w:rPr>
                    <w:t>24小时保证移动电话畅通，每天巡查管理区域，做好日常除“四害”自我监督巡查工作，并按招标文件相关规范安排好作业人员的工作，每季度上报监督巡查报告和监测报告等资料。</w:t>
                  </w:r>
                </w:p>
                <w:p>
                  <w:r>
                    <w:rPr>
                      <w:sz w:val="21"/>
                    </w:rPr>
                    <w:t>10</w:t>
                  </w:r>
                  <w:r>
                    <w:rPr>
                      <w:sz w:val="21"/>
                    </w:rPr>
                    <w:t>）中标人须对其员工作严格管理，对他们的行为负全责，如在服务期内发生劳资纠纷、意外（生病、伤亡事故）或违反合同规定、触犯国家法律等，由中标人承担一切经济责任及法律责任。</w:t>
                  </w:r>
                </w:p>
              </w:tc>
            </w:tr>
            <w:tr>
              <w:tc>
                <w:tcPr>
                  <w:tcW w:type="dxa" w:w="725"/>
                  <w:tcBorders>
                    <w:top w:val="none" w:color="000000" w:sz="4"/>
                    <w:left w:val="single" w:color="000000" w:sz="4"/>
                    <w:bottom w:val="single" w:color="000000" w:sz="4"/>
                    <w:right w:val="single" w:color="000000" w:sz="4"/>
                  </w:tcBorders>
                  <w:vAlign w:val="top"/>
                </w:tcPr>
                <w:p>
                  <w:r>
                    <w:rPr>
                      <w:sz w:val="21"/>
                    </w:rPr>
                    <w:t>对设备的基本要求</w:t>
                  </w:r>
                </w:p>
              </w:tc>
              <w:tc>
                <w:tcPr>
                  <w:tcW w:type="dxa" w:w="367"/>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488"/>
                  <w:tcBorders>
                    <w:top w:val="none" w:color="000000" w:sz="4"/>
                    <w:left w:val="single" w:color="000000" w:sz="4"/>
                    <w:bottom w:val="single" w:color="000000" w:sz="4"/>
                    <w:right w:val="single" w:color="000000" w:sz="4"/>
                  </w:tcBorders>
                  <w:vAlign w:val="top"/>
                </w:tcPr>
                <w:p>
                  <w:r>
                    <w:rPr>
                      <w:sz w:val="21"/>
                    </w:rPr>
                    <w:t>5.1配置要求</w:t>
                  </w:r>
                </w:p>
                <w:tbl>
                  <w:tblPr>
                    <w:tblBorders>
                      <w:top w:val="none" w:color="000000" w:sz="4"/>
                      <w:left w:val="none" w:color="000000" w:sz="4"/>
                      <w:bottom w:val="none" w:color="000000" w:sz="4"/>
                      <w:right w:val="none" w:color="000000" w:sz="4"/>
                      <w:insideH w:val="none"/>
                      <w:insideV w:val="none"/>
                    </w:tblBorders>
                  </w:tblPr>
                  <w:tblGrid>
                    <w:gridCol w:w="435"/>
                    <w:gridCol w:w="664"/>
                    <w:gridCol w:w="2404"/>
                    <w:gridCol w:w="751"/>
                  </w:tblGrid>
                  <w:tr>
                    <w:tc>
                      <w:tcPr>
                        <w:tcW w:type="dxa" w:w="435"/>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664"/>
                        <w:tcBorders>
                          <w:top w:val="single" w:color="000000" w:sz="4"/>
                          <w:left w:val="single" w:color="000000" w:sz="4"/>
                          <w:bottom w:val="single" w:color="000000" w:sz="4"/>
                          <w:right w:val="single" w:color="000000" w:sz="4"/>
                        </w:tcBorders>
                        <w:vAlign w:val="top"/>
                      </w:tcPr>
                      <w:p>
                        <w:pPr>
                          <w:jc w:val="center"/>
                        </w:pPr>
                        <w:r>
                          <w:rPr>
                            <w:b/>
                            <w:color w:val="000000"/>
                            <w:sz w:val="21"/>
                          </w:rPr>
                          <w:t>设备名称</w:t>
                        </w:r>
                      </w:p>
                    </w:tc>
                    <w:tc>
                      <w:tcPr>
                        <w:tcW w:type="dxa" w:w="2404"/>
                        <w:tcBorders>
                          <w:top w:val="single" w:color="000000" w:sz="4"/>
                          <w:left w:val="single" w:color="000000" w:sz="4"/>
                          <w:bottom w:val="single" w:color="000000" w:sz="4"/>
                          <w:right w:val="single" w:color="000000" w:sz="4"/>
                        </w:tcBorders>
                        <w:vAlign w:val="top"/>
                      </w:tcPr>
                      <w:p>
                        <w:pPr>
                          <w:jc w:val="center"/>
                        </w:pPr>
                        <w:r>
                          <w:rPr>
                            <w:b/>
                            <w:color w:val="000000"/>
                            <w:sz w:val="21"/>
                          </w:rPr>
                          <w:t>技术参数要求</w:t>
                        </w:r>
                      </w:p>
                    </w:tc>
                    <w:tc>
                      <w:tcPr>
                        <w:tcW w:type="dxa" w:w="751"/>
                        <w:tcBorders>
                          <w:top w:val="single" w:color="000000" w:sz="4"/>
                          <w:left w:val="single" w:color="000000" w:sz="4"/>
                          <w:bottom w:val="single" w:color="000000" w:sz="4"/>
                          <w:right w:val="single" w:color="000000" w:sz="4"/>
                        </w:tcBorders>
                        <w:vAlign w:val="top"/>
                      </w:tcPr>
                      <w:p>
                        <w:pPr>
                          <w:jc w:val="center"/>
                        </w:pPr>
                        <w:r>
                          <w:rPr>
                            <w:b/>
                            <w:color w:val="000000"/>
                            <w:sz w:val="21"/>
                          </w:rPr>
                          <w:t>配置数量</w:t>
                        </w:r>
                      </w:p>
                    </w:tc>
                  </w:tr>
                  <w:tr>
                    <w:tc>
                      <w:tcPr>
                        <w:tcW w:type="dxa" w:w="435"/>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664"/>
                        <w:tcBorders>
                          <w:top w:val="none" w:color="000000" w:sz="4"/>
                          <w:left w:val="single" w:color="000000" w:sz="4"/>
                          <w:bottom w:val="single" w:color="000000" w:sz="4"/>
                          <w:right w:val="single" w:color="000000" w:sz="4"/>
                        </w:tcBorders>
                        <w:vAlign w:val="top"/>
                      </w:tcPr>
                      <w:p>
                        <w:pPr>
                          <w:jc w:val="center"/>
                        </w:pPr>
                        <w:r>
                          <w:rPr>
                            <w:color w:val="000000"/>
                            <w:sz w:val="21"/>
                          </w:rPr>
                          <w:t>背负式蓄电池超低容量喷雾机</w:t>
                        </w:r>
                      </w:p>
                    </w:tc>
                    <w:tc>
                      <w:tcPr>
                        <w:tcW w:type="dxa" w:w="2404"/>
                        <w:tcBorders>
                          <w:top w:val="none" w:color="000000" w:sz="4"/>
                          <w:left w:val="single" w:color="000000" w:sz="4"/>
                          <w:bottom w:val="single" w:color="000000" w:sz="4"/>
                          <w:right w:val="single" w:color="000000" w:sz="4"/>
                        </w:tcBorders>
                        <w:vAlign w:val="top"/>
                      </w:tcPr>
                      <w:p>
                        <w:r>
                          <w:rPr>
                            <w:color w:val="000000"/>
                            <w:sz w:val="21"/>
                          </w:rPr>
                          <w:t>电机：直流无碳刷电机，</w:t>
                        </w:r>
                        <w:r>
                          <w:rPr>
                            <w:color w:val="000000"/>
                            <w:sz w:val="21"/>
                          </w:rPr>
                          <w:t>600W，24V。雾滴直径：10～30微米。药液输出量：0～330ml/min连续可调。药箱容量：5L。空机重量：约10.2kg</w:t>
                        </w:r>
                        <w:r>
                          <w:rPr>
                            <w:color w:val="000000"/>
                            <w:sz w:val="21"/>
                          </w:rPr>
                          <w:t>。整机外型尺寸：约</w:t>
                        </w:r>
                        <w:r>
                          <w:rPr>
                            <w:color w:val="000000"/>
                            <w:sz w:val="21"/>
                          </w:rPr>
                          <w:t>310mm×30mm×505mm。电池：配置2块锂电池。连续工作时间：高速档50～60分钟，低速档80～90分钟。</w:t>
                        </w:r>
                      </w:p>
                    </w:tc>
                    <w:tc>
                      <w:tcPr>
                        <w:tcW w:type="dxa" w:w="751"/>
                        <w:tcBorders>
                          <w:top w:val="none" w:color="000000" w:sz="4"/>
                          <w:left w:val="single" w:color="000000" w:sz="4"/>
                          <w:bottom w:val="single" w:color="000000" w:sz="4"/>
                          <w:right w:val="single" w:color="000000" w:sz="4"/>
                        </w:tcBorders>
                        <w:vAlign w:val="top"/>
                      </w:tcPr>
                      <w:p>
                        <w:pPr>
                          <w:jc w:val="center"/>
                        </w:pPr>
                        <w:r>
                          <w:rPr>
                            <w:color w:val="000000"/>
                            <w:sz w:val="21"/>
                          </w:rPr>
                          <w:t>3</w:t>
                        </w:r>
                        <w:r>
                          <w:rPr>
                            <w:color w:val="000000"/>
                            <w:sz w:val="21"/>
                          </w:rPr>
                          <w:t>台</w:t>
                        </w:r>
                      </w:p>
                    </w:tc>
                  </w:tr>
                  <w:tr>
                    <w:tc>
                      <w:tcPr>
                        <w:tcW w:type="dxa" w:w="435"/>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664"/>
                        <w:tcBorders>
                          <w:top w:val="none" w:color="000000" w:sz="4"/>
                          <w:left w:val="single" w:color="000000" w:sz="4"/>
                          <w:bottom w:val="single" w:color="000000" w:sz="4"/>
                          <w:right w:val="single" w:color="000000" w:sz="4"/>
                        </w:tcBorders>
                        <w:vAlign w:val="top"/>
                      </w:tcPr>
                      <w:p>
                        <w:pPr>
                          <w:jc w:val="center"/>
                        </w:pPr>
                        <w:r>
                          <w:rPr>
                            <w:color w:val="000000"/>
                            <w:sz w:val="21"/>
                          </w:rPr>
                          <w:t>背负式机动超低容量喷雾机</w:t>
                        </w:r>
                      </w:p>
                    </w:tc>
                    <w:tc>
                      <w:tcPr>
                        <w:tcW w:type="dxa" w:w="2404"/>
                        <w:tcBorders>
                          <w:top w:val="none" w:color="000000" w:sz="4"/>
                          <w:left w:val="single" w:color="000000" w:sz="4"/>
                          <w:bottom w:val="single" w:color="000000" w:sz="4"/>
                          <w:right w:val="single" w:color="000000" w:sz="4"/>
                        </w:tcBorders>
                        <w:vAlign w:val="top"/>
                      </w:tcPr>
                      <w:p>
                        <w:r>
                          <w:rPr>
                            <w:color w:val="000000"/>
                            <w:sz w:val="21"/>
                          </w:rPr>
                          <w:t>雾滴直径：</w:t>
                        </w:r>
                        <w:r>
                          <w:rPr>
                            <w:color w:val="000000"/>
                            <w:sz w:val="21"/>
                          </w:rPr>
                          <w:t>2～20微米。额定流量：1～3L/分钟。水平射程＞8米。外型尺寸：约400×470×495cm。配套动力：2冲程冲程发动机。</w:t>
                        </w:r>
                        <w:r>
                          <w:rPr>
                            <w:color w:val="000000"/>
                            <w:sz w:val="21"/>
                          </w:rPr>
                          <w:t>药箱容量：</w:t>
                        </w:r>
                        <w:r>
                          <w:rPr>
                            <w:color w:val="000000"/>
                            <w:sz w:val="21"/>
                          </w:rPr>
                          <w:t>5L。整机重量：约12kg</w:t>
                        </w:r>
                        <w:r>
                          <w:rPr>
                            <w:color w:val="000000"/>
                            <w:sz w:val="21"/>
                          </w:rPr>
                          <w:t>。</w:t>
                        </w:r>
                      </w:p>
                    </w:tc>
                    <w:tc>
                      <w:tcPr>
                        <w:tcW w:type="dxa" w:w="751"/>
                        <w:tcBorders>
                          <w:top w:val="none" w:color="000000" w:sz="4"/>
                          <w:left w:val="single" w:color="000000" w:sz="4"/>
                          <w:bottom w:val="single" w:color="000000" w:sz="4"/>
                          <w:right w:val="single" w:color="000000" w:sz="4"/>
                        </w:tcBorders>
                        <w:vAlign w:val="top"/>
                      </w:tcPr>
                      <w:p>
                        <w:pPr>
                          <w:jc w:val="center"/>
                        </w:pPr>
                        <w:r>
                          <w:rPr>
                            <w:color w:val="000000"/>
                            <w:sz w:val="21"/>
                          </w:rPr>
                          <w:t>3</w:t>
                        </w:r>
                        <w:r>
                          <w:rPr>
                            <w:color w:val="000000"/>
                            <w:sz w:val="21"/>
                          </w:rPr>
                          <w:t>台</w:t>
                        </w:r>
                      </w:p>
                    </w:tc>
                  </w:tr>
                  <w:tr>
                    <w:tc>
                      <w:tcPr>
                        <w:tcW w:type="dxa" w:w="435"/>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664"/>
                        <w:tcBorders>
                          <w:top w:val="none" w:color="000000" w:sz="4"/>
                          <w:left w:val="single" w:color="000000" w:sz="4"/>
                          <w:bottom w:val="single" w:color="000000" w:sz="4"/>
                          <w:right w:val="single" w:color="000000" w:sz="4"/>
                        </w:tcBorders>
                        <w:vAlign w:val="top"/>
                      </w:tcPr>
                      <w:p>
                        <w:pPr>
                          <w:jc w:val="center"/>
                        </w:pPr>
                        <w:r>
                          <w:rPr>
                            <w:color w:val="000000"/>
                            <w:sz w:val="21"/>
                          </w:rPr>
                          <w:t>机动式喷雾机</w:t>
                        </w:r>
                      </w:p>
                    </w:tc>
                    <w:tc>
                      <w:tcPr>
                        <w:tcW w:type="dxa" w:w="2404"/>
                        <w:tcBorders>
                          <w:top w:val="none" w:color="000000" w:sz="4"/>
                          <w:left w:val="single" w:color="000000" w:sz="4"/>
                          <w:bottom w:val="single" w:color="000000" w:sz="4"/>
                          <w:right w:val="single" w:color="000000" w:sz="4"/>
                        </w:tcBorders>
                        <w:vAlign w:val="top"/>
                      </w:tcPr>
                      <w:p>
                        <w:r>
                          <w:rPr>
                            <w:color w:val="000000"/>
                            <w:sz w:val="21"/>
                          </w:rPr>
                          <w:t>雾滴直径：</w:t>
                        </w:r>
                        <w:r>
                          <w:rPr>
                            <w:color w:val="000000"/>
                            <w:sz w:val="21"/>
                          </w:rPr>
                          <w:t>50～100微米。水平射程＞8米。</w:t>
                        </w:r>
                        <w:r>
                          <w:rPr>
                            <w:color w:val="000000"/>
                            <w:sz w:val="21"/>
                          </w:rPr>
                          <w:t>药箱容量</w:t>
                        </w:r>
                        <w:r>
                          <w:rPr>
                            <w:color w:val="000000"/>
                            <w:sz w:val="21"/>
                          </w:rPr>
                          <w:t>≥</w:t>
                        </w:r>
                        <w:r>
                          <w:rPr>
                            <w:color w:val="000000"/>
                            <w:sz w:val="21"/>
                          </w:rPr>
                          <w:t>10L。</w:t>
                        </w:r>
                      </w:p>
                    </w:tc>
                    <w:tc>
                      <w:tcPr>
                        <w:tcW w:type="dxa" w:w="751"/>
                        <w:tcBorders>
                          <w:top w:val="none" w:color="000000" w:sz="4"/>
                          <w:left w:val="single" w:color="000000" w:sz="4"/>
                          <w:bottom w:val="single" w:color="000000" w:sz="4"/>
                          <w:right w:val="single" w:color="000000" w:sz="4"/>
                        </w:tcBorders>
                        <w:vAlign w:val="top"/>
                      </w:tcPr>
                      <w:p>
                        <w:pPr>
                          <w:jc w:val="center"/>
                        </w:pPr>
                        <w:r>
                          <w:rPr>
                            <w:color w:val="000000"/>
                            <w:sz w:val="21"/>
                          </w:rPr>
                          <w:t>3</w:t>
                        </w:r>
                        <w:r>
                          <w:rPr>
                            <w:color w:val="000000"/>
                            <w:sz w:val="21"/>
                          </w:rPr>
                          <w:t>台</w:t>
                        </w:r>
                      </w:p>
                    </w:tc>
                  </w:tr>
                  <w:tr>
                    <w:tc>
                      <w:tcPr>
                        <w:tcW w:type="dxa" w:w="435"/>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664"/>
                        <w:tcBorders>
                          <w:top w:val="none" w:color="000000" w:sz="4"/>
                          <w:left w:val="single" w:color="000000" w:sz="4"/>
                          <w:bottom w:val="single" w:color="000000" w:sz="4"/>
                          <w:right w:val="single" w:color="000000" w:sz="4"/>
                        </w:tcBorders>
                        <w:vAlign w:val="top"/>
                      </w:tcPr>
                      <w:p>
                        <w:pPr>
                          <w:jc w:val="center"/>
                        </w:pPr>
                        <w:r>
                          <w:rPr>
                            <w:color w:val="000000"/>
                            <w:sz w:val="21"/>
                          </w:rPr>
                          <w:t>电动喷雾机</w:t>
                        </w:r>
                      </w:p>
                    </w:tc>
                    <w:tc>
                      <w:tcPr>
                        <w:tcW w:type="dxa" w:w="2404"/>
                        <w:tcBorders>
                          <w:top w:val="none" w:color="000000" w:sz="4"/>
                          <w:left w:val="single" w:color="000000" w:sz="4"/>
                          <w:bottom w:val="single" w:color="000000" w:sz="4"/>
                          <w:right w:val="single" w:color="000000" w:sz="4"/>
                        </w:tcBorders>
                        <w:vAlign w:val="top"/>
                      </w:tcPr>
                      <w:p>
                        <w:r>
                          <w:rPr>
                            <w:color w:val="000000"/>
                            <w:sz w:val="21"/>
                          </w:rPr>
                          <w:t>雾滴直径：</w:t>
                        </w:r>
                        <w:r>
                          <w:rPr>
                            <w:color w:val="000000"/>
                            <w:sz w:val="21"/>
                          </w:rPr>
                          <w:t>50～200微米。水平射程＞6米。</w:t>
                        </w:r>
                        <w:r>
                          <w:rPr>
                            <w:color w:val="000000"/>
                            <w:sz w:val="21"/>
                          </w:rPr>
                          <w:t>药箱容量</w:t>
                        </w:r>
                        <w:r>
                          <w:rPr>
                            <w:color w:val="000000"/>
                            <w:sz w:val="21"/>
                          </w:rPr>
                          <w:t>≥</w:t>
                        </w:r>
                        <w:r>
                          <w:rPr>
                            <w:color w:val="000000"/>
                            <w:sz w:val="21"/>
                          </w:rPr>
                          <w:t>5L。</w:t>
                        </w:r>
                      </w:p>
                    </w:tc>
                    <w:tc>
                      <w:tcPr>
                        <w:tcW w:type="dxa" w:w="751"/>
                        <w:tcBorders>
                          <w:top w:val="none" w:color="000000" w:sz="4"/>
                          <w:left w:val="single" w:color="000000" w:sz="4"/>
                          <w:bottom w:val="single" w:color="000000" w:sz="4"/>
                          <w:right w:val="single" w:color="000000" w:sz="4"/>
                        </w:tcBorders>
                        <w:vAlign w:val="top"/>
                      </w:tcPr>
                      <w:p>
                        <w:pPr>
                          <w:jc w:val="center"/>
                        </w:pPr>
                        <w:r>
                          <w:rPr>
                            <w:color w:val="000000"/>
                            <w:sz w:val="21"/>
                          </w:rPr>
                          <w:t>6</w:t>
                        </w:r>
                        <w:r>
                          <w:rPr>
                            <w:color w:val="000000"/>
                            <w:sz w:val="21"/>
                          </w:rPr>
                          <w:t>台</w:t>
                        </w:r>
                      </w:p>
                    </w:tc>
                  </w:tr>
                  <w:tr>
                    <w:tc>
                      <w:tcPr>
                        <w:tcW w:type="dxa" w:w="435"/>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664"/>
                        <w:tcBorders>
                          <w:top w:val="none" w:color="000000" w:sz="4"/>
                          <w:left w:val="single" w:color="000000" w:sz="4"/>
                          <w:bottom w:val="single" w:color="000000" w:sz="4"/>
                          <w:right w:val="single" w:color="000000" w:sz="4"/>
                        </w:tcBorders>
                        <w:vAlign w:val="top"/>
                      </w:tcPr>
                      <w:p>
                        <w:pPr>
                          <w:jc w:val="center"/>
                        </w:pPr>
                        <w:r>
                          <w:rPr>
                            <w:color w:val="000000"/>
                            <w:sz w:val="21"/>
                          </w:rPr>
                          <w:t>车载式喷雾机</w:t>
                        </w:r>
                      </w:p>
                    </w:tc>
                    <w:tc>
                      <w:tcPr>
                        <w:tcW w:type="dxa" w:w="2404"/>
                        <w:tcBorders>
                          <w:top w:val="none" w:color="000000" w:sz="4"/>
                          <w:left w:val="single" w:color="000000" w:sz="4"/>
                          <w:bottom w:val="single" w:color="000000" w:sz="4"/>
                          <w:right w:val="single" w:color="000000" w:sz="4"/>
                        </w:tcBorders>
                        <w:vAlign w:val="top"/>
                      </w:tcPr>
                      <w:p>
                        <w:r>
                          <w:rPr>
                            <w:color w:val="000000"/>
                            <w:sz w:val="21"/>
                          </w:rPr>
                          <w:t>适合大面积灭蚊及其它病媒昆虫，机动、超低容量、耐用性强，输出容量</w:t>
                        </w:r>
                        <w:r>
                          <w:rPr>
                            <w:color w:val="000000"/>
                            <w:sz w:val="21"/>
                          </w:rPr>
                          <w:t>50～100公升/小时，达距100米（受制于风速），雾滴80%＜40微米，声量80分贝以下。</w:t>
                        </w:r>
                      </w:p>
                    </w:tc>
                    <w:tc>
                      <w:tcPr>
                        <w:tcW w:type="dxa" w:w="751"/>
                        <w:tcBorders>
                          <w:top w:val="none" w:color="000000" w:sz="4"/>
                          <w:left w:val="single" w:color="000000" w:sz="4"/>
                          <w:bottom w:val="single" w:color="000000" w:sz="4"/>
                          <w:right w:val="single" w:color="000000" w:sz="4"/>
                        </w:tcBorders>
                        <w:vAlign w:val="top"/>
                      </w:tcPr>
                      <w:p>
                        <w:pPr>
                          <w:jc w:val="center"/>
                        </w:pPr>
                        <w:r>
                          <w:rPr>
                            <w:color w:val="000000"/>
                            <w:sz w:val="21"/>
                          </w:rPr>
                          <w:t>1台</w:t>
                        </w:r>
                      </w:p>
                    </w:tc>
                  </w:tr>
                  <w:tr>
                    <w:tc>
                      <w:tcPr>
                        <w:tcW w:type="dxa" w:w="435"/>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664"/>
                        <w:tcBorders>
                          <w:top w:val="none" w:color="000000" w:sz="4"/>
                          <w:left w:val="single" w:color="000000" w:sz="4"/>
                          <w:bottom w:val="single" w:color="000000" w:sz="4"/>
                          <w:right w:val="single" w:color="000000" w:sz="4"/>
                        </w:tcBorders>
                        <w:vAlign w:val="top"/>
                      </w:tcPr>
                      <w:p>
                        <w:pPr>
                          <w:jc w:val="center"/>
                        </w:pPr>
                        <w:r>
                          <w:rPr>
                            <w:color w:val="000000"/>
                            <w:sz w:val="21"/>
                          </w:rPr>
                          <w:t>热烟雾机</w:t>
                        </w:r>
                      </w:p>
                    </w:tc>
                    <w:tc>
                      <w:tcPr>
                        <w:tcW w:type="dxa" w:w="2404"/>
                        <w:tcBorders>
                          <w:top w:val="none" w:color="000000" w:sz="4"/>
                          <w:left w:val="single" w:color="000000" w:sz="4"/>
                          <w:bottom w:val="single" w:color="000000" w:sz="4"/>
                          <w:right w:val="single" w:color="000000" w:sz="4"/>
                        </w:tcBorders>
                        <w:vAlign w:val="top"/>
                      </w:tcPr>
                      <w:p>
                        <w:r>
                          <w:rPr>
                            <w:color w:val="000000"/>
                            <w:sz w:val="21"/>
                          </w:rPr>
                          <w:t>雾滴直径：</w:t>
                        </w:r>
                        <w:r>
                          <w:rPr>
                            <w:color w:val="000000"/>
                            <w:sz w:val="21"/>
                          </w:rPr>
                          <w:t>5微米，药液输出量：0</w:t>
                        </w:r>
                        <w:r>
                          <w:rPr>
                            <w:color w:val="000000"/>
                            <w:sz w:val="21"/>
                          </w:rPr>
                          <w:t>～</w:t>
                        </w:r>
                        <w:r>
                          <w:rPr>
                            <w:color w:val="000000"/>
                            <w:sz w:val="21"/>
                          </w:rPr>
                          <w:t>42L/小时，功率：11.6～22Kw</w:t>
                        </w:r>
                        <w:r>
                          <w:rPr>
                            <w:color w:val="000000"/>
                            <w:sz w:val="21"/>
                          </w:rPr>
                          <w:t>，药箱容量：</w:t>
                        </w:r>
                        <w:r>
                          <w:rPr>
                            <w:color w:val="000000"/>
                            <w:sz w:val="21"/>
                          </w:rPr>
                          <w:t>5L或以上。</w:t>
                        </w:r>
                      </w:p>
                    </w:tc>
                    <w:tc>
                      <w:tcPr>
                        <w:tcW w:type="dxa" w:w="751"/>
                        <w:tcBorders>
                          <w:top w:val="none" w:color="000000" w:sz="4"/>
                          <w:left w:val="single" w:color="000000" w:sz="4"/>
                          <w:bottom w:val="single" w:color="000000" w:sz="4"/>
                          <w:right w:val="single" w:color="000000" w:sz="4"/>
                        </w:tcBorders>
                        <w:vAlign w:val="top"/>
                      </w:tcPr>
                      <w:p>
                        <w:pPr>
                          <w:jc w:val="center"/>
                        </w:pPr>
                        <w:r>
                          <w:rPr>
                            <w:color w:val="000000"/>
                            <w:sz w:val="21"/>
                          </w:rPr>
                          <w:t>3台</w:t>
                        </w:r>
                      </w:p>
                    </w:tc>
                  </w:tr>
                  <w:tr>
                    <w:tc>
                      <w:tcPr>
                        <w:tcW w:type="dxa" w:w="435"/>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664"/>
                        <w:tcBorders>
                          <w:top w:val="none" w:color="000000" w:sz="4"/>
                          <w:left w:val="single" w:color="000000" w:sz="4"/>
                          <w:bottom w:val="single" w:color="000000" w:sz="4"/>
                          <w:right w:val="single" w:color="000000" w:sz="4"/>
                        </w:tcBorders>
                        <w:vAlign w:val="top"/>
                      </w:tcPr>
                      <w:p>
                        <w:pPr>
                          <w:jc w:val="center"/>
                        </w:pPr>
                        <w:r>
                          <w:rPr>
                            <w:color w:val="000000"/>
                            <w:sz w:val="21"/>
                          </w:rPr>
                          <w:t>工具车</w:t>
                        </w:r>
                      </w:p>
                    </w:tc>
                    <w:tc>
                      <w:tcPr>
                        <w:tcW w:type="dxa" w:w="2404"/>
                        <w:tcBorders>
                          <w:top w:val="none" w:color="000000" w:sz="4"/>
                          <w:left w:val="single" w:color="000000" w:sz="4"/>
                          <w:bottom w:val="single" w:color="000000" w:sz="4"/>
                          <w:right w:val="single" w:color="000000" w:sz="4"/>
                        </w:tcBorders>
                        <w:vAlign w:val="top"/>
                      </w:tcPr>
                      <w:p/>
                    </w:tc>
                    <w:tc>
                      <w:tcPr>
                        <w:tcW w:type="dxa" w:w="751"/>
                        <w:tcBorders>
                          <w:top w:val="none" w:color="000000" w:sz="4"/>
                          <w:left w:val="single" w:color="000000" w:sz="4"/>
                          <w:bottom w:val="single" w:color="000000" w:sz="4"/>
                          <w:right w:val="single" w:color="000000" w:sz="4"/>
                        </w:tcBorders>
                        <w:vAlign w:val="top"/>
                      </w:tcPr>
                      <w:p>
                        <w:pPr>
                          <w:jc w:val="center"/>
                        </w:pPr>
                        <w:r>
                          <w:rPr>
                            <w:color w:val="000000"/>
                            <w:sz w:val="21"/>
                          </w:rPr>
                          <w:t>1辆</w:t>
                        </w:r>
                      </w:p>
                    </w:tc>
                  </w:tr>
                  <w:tr>
                    <w:tc>
                      <w:tcPr>
                        <w:tcW w:type="dxa" w:w="1099"/>
                        <w:gridSpan w:val="2"/>
                        <w:tcBorders>
                          <w:top w:val="none" w:color="000000" w:sz="4"/>
                          <w:left w:val="single" w:color="000000" w:sz="4"/>
                          <w:bottom w:val="single" w:color="000000" w:sz="4"/>
                          <w:right w:val="single" w:color="000000" w:sz="4"/>
                        </w:tcBorders>
                        <w:vAlign w:val="top"/>
                      </w:tcPr>
                      <w:p>
                        <w:pPr>
                          <w:jc w:val="center"/>
                        </w:pPr>
                        <w:r>
                          <w:rPr>
                            <w:color w:val="000000"/>
                            <w:sz w:val="21"/>
                          </w:rPr>
                          <w:t>备注</w:t>
                        </w:r>
                      </w:p>
                    </w:tc>
                    <w:tc>
                      <w:tcPr>
                        <w:tcW w:type="dxa" w:w="3155"/>
                        <w:gridSpan w:val="2"/>
                        <w:tcBorders>
                          <w:top w:val="none" w:color="000000" w:sz="4"/>
                          <w:left w:val="single" w:color="000000" w:sz="4"/>
                          <w:bottom w:val="single" w:color="000000" w:sz="4"/>
                          <w:right w:val="single" w:color="000000" w:sz="4"/>
                        </w:tcBorders>
                        <w:vAlign w:val="top"/>
                      </w:tcPr>
                      <w:p>
                        <w:r>
                          <w:rPr>
                            <w:color w:val="000000"/>
                            <w:sz w:val="21"/>
                          </w:rPr>
                          <w:t>投标人应根据各采购包的要求配置包含但不限于以上的设备。</w:t>
                        </w:r>
                      </w:p>
                    </w:tc>
                  </w:tr>
                </w:tbl>
                <w:p>
                  <w:r>
                    <w:rPr>
                      <w:sz w:val="22"/>
                    </w:rPr>
                    <w:t xml:space="preserve"> </w:t>
                  </w:r>
                </w:p>
                <w:p>
                  <w:r>
                    <w:rPr>
                      <w:sz w:val="22"/>
                    </w:rPr>
                    <w:t xml:space="preserve"> </w:t>
                  </w:r>
                </w:p>
                <w:p>
                  <w:r>
                    <w:rPr>
                      <w:sz w:val="21"/>
                    </w:rPr>
                    <w:t>5.2管理要求</w:t>
                  </w:r>
                </w:p>
                <w:p>
                  <w:r>
                    <w:rPr>
                      <w:sz w:val="21"/>
                    </w:rPr>
                    <w:t>1）中标人须按招标文件要求足额配置设备及车辆专用于本项目，服务期内不得调往他用，否则将被视作违约。</w:t>
                  </w:r>
                </w:p>
                <w:p>
                  <w:r>
                    <w:rPr>
                      <w:sz w:val="21"/>
                    </w:rPr>
                    <w:t>2）作业设备及车辆须做好安全检查工作，每天作业前、作业中、作业后对设备及车辆进行安全检查，保证作业设备及车辆完好、外观整洁、适合作业。</w:t>
                  </w:r>
                </w:p>
                <w:p>
                  <w:r>
                    <w:rPr>
                      <w:sz w:val="21"/>
                    </w:rPr>
                    <w:t>3）作业设备及车辆在使用后须妥善停放于中标人的场地内，不得乱停乱放、阻碍交通。</w:t>
                  </w:r>
                </w:p>
                <w:p>
                  <w:r>
                    <w:rPr>
                      <w:sz w:val="21"/>
                    </w:rPr>
                    <w:t>4）作业车辆须证照、手续齐全，并配备有效的灭火设施。</w:t>
                  </w:r>
                </w:p>
                <w:p>
                  <w:r>
                    <w:rPr>
                      <w:sz w:val="21"/>
                    </w:rPr>
                    <w:t>5）除应急抢修处理需要，并经采购人及交警部门同意外，作业车辆不得于交通高峰期（7:00至9:00，17:00至19:00）占道作业，影响交通通行。</w:t>
                  </w:r>
                </w:p>
              </w:tc>
            </w:tr>
            <w:tr>
              <w:tc>
                <w:tcPr>
                  <w:tcW w:type="dxa" w:w="725"/>
                  <w:tcBorders>
                    <w:top w:val="none" w:color="000000" w:sz="4"/>
                    <w:left w:val="single" w:color="000000" w:sz="4"/>
                    <w:bottom w:val="single" w:color="000000" w:sz="4"/>
                    <w:right w:val="single" w:color="000000" w:sz="4"/>
                  </w:tcBorders>
                  <w:vAlign w:val="top"/>
                </w:tcPr>
                <w:p>
                  <w:r>
                    <w:rPr>
                      <w:sz w:val="21"/>
                    </w:rPr>
                    <w:t>对药物的基本要求</w:t>
                  </w:r>
                </w:p>
              </w:tc>
              <w:tc>
                <w:tcPr>
                  <w:tcW w:type="dxa" w:w="367"/>
                  <w:tcBorders>
                    <w:top w:val="none" w:color="000000" w:sz="4"/>
                    <w:left w:val="single" w:color="000000" w:sz="4"/>
                    <w:bottom w:val="single" w:color="000000" w:sz="4"/>
                    <w:right w:val="single" w:color="000000" w:sz="4"/>
                  </w:tcBorders>
                  <w:vAlign w:val="top"/>
                </w:tcPr>
                <w:p>
                  <w:pPr>
                    <w:jc w:val="center"/>
                  </w:pPr>
                  <w:r>
                    <w:rPr>
                      <w:sz w:val="21"/>
                    </w:rPr>
                    <w:t>6</w:t>
                  </w:r>
                </w:p>
              </w:tc>
              <w:tc>
                <w:tcPr>
                  <w:tcW w:type="dxa" w:w="4488"/>
                  <w:tcBorders>
                    <w:top w:val="none" w:color="000000" w:sz="4"/>
                    <w:left w:val="single" w:color="000000" w:sz="4"/>
                    <w:bottom w:val="single" w:color="000000" w:sz="4"/>
                    <w:right w:val="single" w:color="000000" w:sz="4"/>
                  </w:tcBorders>
                  <w:vAlign w:val="top"/>
                </w:tcPr>
                <w:p>
                  <w:r>
                    <w:rPr>
                      <w:sz w:val="21"/>
                    </w:rPr>
                    <w:t>1）根据省、市、区抗药性监测数据，使用推荐产品。</w:t>
                  </w:r>
                </w:p>
                <w:p>
                  <w:r>
                    <w:rPr>
                      <w:sz w:val="21"/>
                    </w:rPr>
                    <w:t>2）每类害虫防制须有6种或以上符合国家规定的药物轮换使用，避免防制抗药性。</w:t>
                  </w:r>
                </w:p>
                <w:p>
                  <w:r>
                    <w:rPr>
                      <w:sz w:val="21"/>
                    </w:rPr>
                    <w:t>3）使用的所有药物须符合国家有关规定，使用“三证”齐全（农药登记证、生产批准证书号、产品标准号）并可追索来源的药物。（在投标文件中提供“三证”复印件加盖投标人公章</w:t>
                  </w:r>
                  <w:r>
                    <w:rPr>
                      <w:sz w:val="21"/>
                    </w:rPr>
                    <w:t>的扫描件</w:t>
                  </w:r>
                  <w:r>
                    <w:rPr>
                      <w:sz w:val="21"/>
                    </w:rPr>
                    <w:t>）</w:t>
                  </w:r>
                </w:p>
                <w:p>
                  <w:r>
                    <w:rPr>
                      <w:sz w:val="21"/>
                    </w:rPr>
                    <w:t>4）科学用药，不得使用国家禁用或伪劣的灭鼠、杀虫剂。</w:t>
                  </w:r>
                </w:p>
                <w:p>
                  <w:r>
                    <w:rPr>
                      <w:sz w:val="21"/>
                    </w:rPr>
                    <w:t>5）安全操作，灭鼠药物须妥善保管，不得遗失，灭鼠毒饵靠边和隐蔽处投放；不污染环境，确保人、畜安全，若因管理或操作不当而引起的一切责任由中标人承担。</w:t>
                  </w:r>
                </w:p>
              </w:tc>
            </w:tr>
            <w:tr>
              <w:tc>
                <w:tcPr>
                  <w:tcW w:type="dxa" w:w="725"/>
                  <w:tcBorders>
                    <w:top w:val="none" w:color="000000" w:sz="4"/>
                    <w:left w:val="single" w:color="000000" w:sz="4"/>
                    <w:bottom w:val="single" w:color="000000" w:sz="4"/>
                    <w:right w:val="single" w:color="000000" w:sz="4"/>
                  </w:tcBorders>
                  <w:vAlign w:val="top"/>
                </w:tcPr>
                <w:p>
                  <w:r>
                    <w:rPr>
                      <w:sz w:val="21"/>
                    </w:rPr>
                    <w:t>作业要求</w:t>
                  </w:r>
                </w:p>
              </w:tc>
              <w:tc>
                <w:tcPr>
                  <w:tcW w:type="dxa" w:w="367"/>
                  <w:tcBorders>
                    <w:top w:val="none" w:color="000000" w:sz="4"/>
                    <w:left w:val="single" w:color="000000" w:sz="4"/>
                    <w:bottom w:val="single" w:color="000000" w:sz="4"/>
                    <w:right w:val="single" w:color="000000" w:sz="4"/>
                  </w:tcBorders>
                  <w:vAlign w:val="top"/>
                </w:tcPr>
                <w:p>
                  <w:pPr>
                    <w:jc w:val="center"/>
                  </w:pPr>
                  <w:r>
                    <w:rPr>
                      <w:sz w:val="21"/>
                    </w:rPr>
                    <w:t>7</w:t>
                  </w:r>
                </w:p>
              </w:tc>
              <w:tc>
                <w:tcPr>
                  <w:tcW w:type="dxa" w:w="4488"/>
                  <w:tcBorders>
                    <w:top w:val="none" w:color="000000" w:sz="4"/>
                    <w:left w:val="single" w:color="000000" w:sz="4"/>
                    <w:bottom w:val="single" w:color="000000" w:sz="4"/>
                    <w:right w:val="single" w:color="000000" w:sz="4"/>
                  </w:tcBorders>
                  <w:vAlign w:val="top"/>
                </w:tcPr>
                <w:p>
                  <w:r>
                    <w:rPr>
                      <w:sz w:val="21"/>
                    </w:rPr>
                    <w:t>1）实施防制作业前，须先到现场调查辖区病媒生物的基本情况、记录详细，对病媒生物的种类、栖息部位、密度状况及孳生环境等情况有全面的了解，因地制宜地制定合理的害虫综合控制方案，并根据防制方案备好药品、器械和个人防护用品等。</w:t>
                  </w:r>
                </w:p>
                <w:p>
                  <w:r>
                    <w:rPr>
                      <w:sz w:val="21"/>
                    </w:rPr>
                    <w:t>2）防治药品及相关器械的使用按国家有关部门指定的最新标准执行。</w:t>
                  </w:r>
                </w:p>
                <w:p>
                  <w:r>
                    <w:rPr>
                      <w:sz w:val="21"/>
                    </w:rPr>
                    <w:t>3）实施防制作业，应遵守安全操作规定，合理用药，施药到位，保证防制效果，并防止药品污染环境。</w:t>
                  </w:r>
                </w:p>
                <w:p>
                  <w:r>
                    <w:rPr>
                      <w:sz w:val="21"/>
                    </w:rPr>
                    <w:t>4）为单位、住户喷药除虫，应协助户主做好防污染工作。</w:t>
                  </w:r>
                </w:p>
                <w:p>
                  <w:r>
                    <w:rPr>
                      <w:sz w:val="21"/>
                    </w:rPr>
                    <w:t>5）除虫施药注意个人防护，穿工作服，戴口罩和手套。</w:t>
                  </w:r>
                </w:p>
                <w:p>
                  <w:r>
                    <w:rPr>
                      <w:sz w:val="21"/>
                    </w:rPr>
                    <w:t>6）施药除虫剩余的药物和药物包装容器（材料），回收集中处理不随地遗弃。</w:t>
                  </w:r>
                </w:p>
                <w:p>
                  <w:r>
                    <w:rPr>
                      <w:sz w:val="21"/>
                    </w:rPr>
                    <w:t>7）不得在鱼塘和与养鱼有关水体喷洒、倾倒对鱼类有害的杀虫剂和清洗喷雾工具、用具。</w:t>
                  </w:r>
                </w:p>
                <w:p>
                  <w:r>
                    <w:rPr>
                      <w:sz w:val="21"/>
                    </w:rPr>
                    <w:t>8）作业完成后应认真填写《服务作业单》并交由被服务对象签认，街道爱卫办、各村（居）委会各一份，保存备查。</w:t>
                  </w:r>
                </w:p>
                <w:p>
                  <w:r>
                    <w:rPr>
                      <w:sz w:val="21"/>
                    </w:rPr>
                    <w:t>9）定期进行病媒生物密度监测和防制效果监测，监测资料及时统计、分析上报爱卫办，并归档保存。</w:t>
                  </w:r>
                </w:p>
              </w:tc>
            </w:tr>
            <w:tr>
              <w:tc>
                <w:tcPr>
                  <w:tcW w:type="dxa" w:w="725"/>
                  <w:tcBorders>
                    <w:top w:val="none" w:color="000000" w:sz="4"/>
                    <w:left w:val="single" w:color="000000" w:sz="4"/>
                    <w:bottom w:val="single" w:color="000000" w:sz="4"/>
                    <w:right w:val="single" w:color="000000" w:sz="4"/>
                  </w:tcBorders>
                  <w:vAlign w:val="top"/>
                </w:tcPr>
                <w:p>
                  <w:r>
                    <w:rPr>
                      <w:sz w:val="21"/>
                    </w:rPr>
                    <w:t>其他实施要求</w:t>
                  </w:r>
                </w:p>
              </w:tc>
              <w:tc>
                <w:tcPr>
                  <w:tcW w:type="dxa" w:w="367"/>
                  <w:tcBorders>
                    <w:top w:val="none" w:color="000000" w:sz="4"/>
                    <w:left w:val="single" w:color="000000" w:sz="4"/>
                    <w:bottom w:val="single" w:color="000000" w:sz="4"/>
                    <w:right w:val="single" w:color="000000" w:sz="4"/>
                  </w:tcBorders>
                  <w:vAlign w:val="top"/>
                </w:tcPr>
                <w:p>
                  <w:pPr>
                    <w:jc w:val="center"/>
                  </w:pPr>
                  <w:r>
                    <w:rPr>
                      <w:sz w:val="21"/>
                    </w:rPr>
                    <w:t>8</w:t>
                  </w:r>
                </w:p>
              </w:tc>
              <w:tc>
                <w:tcPr>
                  <w:tcW w:type="dxa" w:w="4488"/>
                  <w:tcBorders>
                    <w:top w:val="none" w:color="000000" w:sz="4"/>
                    <w:left w:val="single" w:color="000000" w:sz="4"/>
                    <w:bottom w:val="single" w:color="000000" w:sz="4"/>
                    <w:right w:val="single" w:color="000000" w:sz="4"/>
                  </w:tcBorders>
                  <w:vAlign w:val="top"/>
                </w:tcPr>
                <w:p>
                  <w:r>
                    <w:rPr>
                      <w:sz w:val="21"/>
                    </w:rPr>
                    <w:t>1）在本项目合同签订后的30天内，中标人须顺德行政区域内设置固定的办公场所和仓库，面积合计不少于60㎡，并向采购人提供相应的场地权属证明或场地使用证明，否则视为拒绝履行合同义务。</w:t>
                  </w:r>
                </w:p>
                <w:p>
                  <w:r>
                    <w:rPr>
                      <w:sz w:val="21"/>
                    </w:rPr>
                    <w:t>2）中标人须按采购人要求做好各种规范的除“四害”监测纪录，制定科学的年度、季度除“四害”工作计划，包括：技术方案、工作方法、用药计划等。每季度10日前将上季度的实施质量和工作情况向采购人作书面报告。</w:t>
                  </w:r>
                </w:p>
                <w:p>
                  <w:r>
                    <w:rPr>
                      <w:sz w:val="21"/>
                    </w:rPr>
                    <w:t>3）中标人应制定详尽的应急方案，包括：专业技术作业人员、作业设备等，无条件配合采购人做好除四害应急工作和突发性的新增工作任务，不得有异议。</w:t>
                  </w:r>
                </w:p>
                <w:p>
                  <w:r>
                    <w:rPr>
                      <w:sz w:val="21"/>
                    </w:rPr>
                    <w:t>4）中标人应做好服务人员档案管理资料，做好工作记录，建立施药服务卡，做好资料收集和整理归档。当采购人需要时，须随时提供。</w:t>
                  </w:r>
                </w:p>
                <w:p>
                  <w:r>
                    <w:rPr>
                      <w:sz w:val="21"/>
                    </w:rPr>
                    <w:t>5）若标段辖区有发现死鼠或居民打死老鼠，中标人须免费上门处理死鼠。</w:t>
                  </w:r>
                </w:p>
                <w:p>
                  <w:r>
                    <w:rPr>
                      <w:sz w:val="21"/>
                    </w:rPr>
                    <w:t>6）在每年除四害高发季节（如5～10月），中标人须无条件配合采购人做好宣传和指导工作，并对有需要的市民提供优质服务。</w:t>
                  </w:r>
                </w:p>
                <w:p>
                  <w:r>
                    <w:rPr>
                      <w:sz w:val="21"/>
                    </w:rPr>
                    <w:t>7）中标人须遵守采购人各项管理规定，接受和服从采购人的管理及考评，配合提供便利条件，根据采购人提出的意见及时进行整改。</w:t>
                  </w:r>
                </w:p>
                <w:p>
                  <w:r>
                    <w:rPr>
                      <w:sz w:val="21"/>
                    </w:rPr>
                    <w:t>8）中标人须积极配合采购人做好准备工作，接受国家、省、市、区及街道各级政府部门组织的考评、检查及验收等。</w:t>
                  </w:r>
                </w:p>
                <w:p>
                  <w:r>
                    <w:rPr>
                      <w:sz w:val="21"/>
                    </w:rPr>
                    <w:t>9）中标人须按采购人要求及时提交作业计划、应急预案等资料，确保所提供的资料真实合理。</w:t>
                  </w:r>
                </w:p>
                <w:p>
                  <w:r>
                    <w:rPr>
                      <w:sz w:val="21"/>
                    </w:rPr>
                    <w:t>10）中标人须无条件配合有关政府部门举办的一切活动，协助处理应急事件。</w:t>
                  </w:r>
                </w:p>
                <w:p>
                  <w:r>
                    <w:rPr>
                      <w:sz w:val="21"/>
                    </w:rPr>
                    <w:t>11）中标人须及时制止影响项目管理质量的行为，并及时向采购人汇报情况及提供现场记录（相片、报告）；超过24小时未报的，则由中标人负责按原貌恢复。</w:t>
                  </w:r>
                </w:p>
                <w:p>
                  <w:r>
                    <w:rPr>
                      <w:sz w:val="21"/>
                    </w:rPr>
                    <w:t>12）中标人须按招标要求及投标承诺做好日常管理工作，避免群众投诉。若直接或间接收到群众通过来信、来电、来访等方式投诉的，须及时妥善处理整改，避免反复投诉。</w:t>
                  </w:r>
                </w:p>
                <w:p>
                  <w:r>
                    <w:rPr>
                      <w:sz w:val="21"/>
                    </w:rPr>
                    <w:t>13）在服务期内，采购人没有增加服务内容、项目，而中标人自行增加设备和人员等的，所增加的费用一律由中标人自行负责。</w:t>
                  </w:r>
                </w:p>
                <w:p>
                  <w:r>
                    <w:rPr>
                      <w:sz w:val="21"/>
                    </w:rPr>
                    <w:t>14）病媒生物防制工作资料的印刷装订，每年工作资料需一式三份，采购人、防制区域、中标人各保存一份。内容包括每日工作微文一篇，每日工作记录表，每月报表、小结要汇总装订成册，制定防制工作方案、技术方案、孳生地调查、治理方案等。</w:t>
                  </w:r>
                </w:p>
                <w:p>
                  <w:r>
                    <w:rPr>
                      <w:sz w:val="21"/>
                    </w:rPr>
                    <w:t>15</w:t>
                  </w:r>
                  <w:r>
                    <w:rPr>
                      <w:sz w:val="21"/>
                    </w:rPr>
                    <w:t>）在服务期内，中标人进行消杀活动前应做好相关宣传工作，科学规范使用及投放一切药物，杜绝误触误食毒饵事件发生。如发生相关人宠畜误触误食事件，一切责任及赔偿由中标人承担。中标人可自行考虑包括但不限于通过购买保险等方式对项目进行风险管理。</w:t>
                  </w:r>
                </w:p>
              </w:tc>
            </w:tr>
            <w:tr>
              <w:tc>
                <w:tcPr>
                  <w:tcW w:type="dxa" w:w="1092"/>
                  <w:gridSpan w:val="2"/>
                  <w:tcBorders>
                    <w:top w:val="none" w:color="000000" w:sz="4"/>
                    <w:left w:val="single" w:color="000000" w:sz="4"/>
                    <w:bottom w:val="single" w:color="000000" w:sz="4"/>
                    <w:right w:val="single" w:color="000000" w:sz="4"/>
                  </w:tcBorders>
                  <w:vAlign w:val="top"/>
                </w:tcPr>
                <w:p>
                  <w:pPr>
                    <w:jc w:val="center"/>
                  </w:pPr>
                  <w:r>
                    <w:rPr>
                      <w:sz w:val="21"/>
                    </w:rPr>
                    <w:t>说明</w:t>
                  </w:r>
                </w:p>
              </w:tc>
              <w:tc>
                <w:tcPr>
                  <w:tcW w:type="dxa" w:w="4488"/>
                  <w:tcBorders>
                    <w:top w:val="none" w:color="000000" w:sz="4"/>
                    <w:left w:val="single" w:color="000000" w:sz="4"/>
                    <w:bottom w:val="single" w:color="000000" w:sz="4"/>
                    <w:right w:val="single" w:color="000000" w:sz="4"/>
                  </w:tcBorders>
                  <w:vAlign w:val="top"/>
                </w:tcPr>
                <w:p>
                  <w:r>
                    <w:rPr>
                      <w:sz w:val="21"/>
                    </w:rPr>
                    <w:t>打</w:t>
                  </w:r>
                  <w:r>
                    <w:rPr>
                      <w:sz w:val="21"/>
                    </w:rPr>
                    <w:t>“★”号条款为实质性条款，若有任何一条负偏离或不满足则导致投标（响应）无效。</w:t>
                  </w:r>
                  <w:r>
                    <w:rPr>
                      <w:sz w:val="22"/>
                    </w:rPr>
                    <w:t xml:space="preserve"> </w:t>
                  </w:r>
                </w:p>
                <w:p>
                  <w:r>
                    <w:rPr>
                      <w:sz w:val="21"/>
                    </w:rPr>
                    <w:t>打</w:t>
                  </w:r>
                  <w:r>
                    <w:rPr>
                      <w:sz w:val="21"/>
                    </w:rPr>
                    <w:t>“▲”号条款为重要技术参数（如有），若有部分“▲”条款未响应或不满足，将根据评审要求影响其得分，但不作为无效投标（响应）条款。</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t>采购包2（众涌村委会、龙眼村委会、西华村委会、富裕村委会、连杜村委会、新安村委会、冲鹤村委会、裕源村委会（包2））：</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自合同签订生效之日起3年。</w:t>
            </w:r>
          </w:p>
        </w:tc>
      </w:tr>
      <w:tr>
        <w:tc>
          <w:tcPr>
            <w:tcW w:type="dxa" w:w="4153"/>
          </w:tcPr>
          <w:p>
            <w:r>
              <w:rPr/>
              <w:t>标的提供的地点</w:t>
            </w:r>
          </w:p>
        </w:tc>
        <w:tc>
          <w:tcPr>
            <w:tcW w:type="dxa" w:w="4153"/>
          </w:tcPr>
          <w:p>
            <w:pPr>
              <w:jc w:val="left"/>
            </w:pPr>
          </w:p>
          <w:p>
            <w:r>
              <w:rPr/>
              <w:t>采购人指定地点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1期：支付比例8.33%，合同生效后，中标人在每个结算周期结束后的15个工作日内将当期的费用结算清单（含考核处罚情况等）汇总并递交给采购人；</w:t>
            </w:r>
          </w:p>
          <w:p/>
          <w:p>
            <w:r>
              <w:rPr/>
              <w:t>2期：支付比例8.33%，合同生效后，中标人在每个结算周期结束后的15个工作日内将当期的费用结算清单（含考核处罚情况等）汇总并递交给采购人；</w:t>
            </w:r>
          </w:p>
          <w:p/>
          <w:p>
            <w:r>
              <w:rPr/>
              <w:t>3期：支付比例8.33%，合同生效后，中标人在每个结算周期结束后的15个工作日内将当期的费用结算清单（含考核处罚情况等）汇总并递交给采购人；</w:t>
            </w:r>
          </w:p>
          <w:p/>
          <w:p>
            <w:r>
              <w:rPr/>
              <w:t>4期：支付比例8.33%，合同生效后，中标人在每个结算周期结束后的15个工作日内将当期的费用结算清单（含考核处罚情况等）汇总并递交给采购人；</w:t>
            </w:r>
          </w:p>
          <w:p/>
          <w:p>
            <w:r>
              <w:rPr/>
              <w:t>5期：支付比例8.33%，合同生效后，中标人在每个结算周期结束后的15个工作日内将当期的费用结算清单（含考核处罚情况等）汇总并递交给采购人；</w:t>
            </w:r>
          </w:p>
          <w:p/>
          <w:p>
            <w:r>
              <w:rPr/>
              <w:t>6期：支付比例8.33%，合同生效后，中标人在每个结算周期结束后的15个工作日内将当期的费用结算清单（含考核处罚情况等）汇总并递交给采购人；</w:t>
            </w:r>
          </w:p>
          <w:p/>
          <w:p>
            <w:r>
              <w:rPr/>
              <w:t>7期：支付比例8.33%，合同生效后，中标人在每个结算周期结束后的15个工作日内将当期的费用结算清单（含考核处罚情况等）汇总并递交给采购人；</w:t>
            </w:r>
          </w:p>
          <w:p/>
          <w:p>
            <w:r>
              <w:rPr/>
              <w:t>8期：支付比例8.33%，合同生效后，中标人在每个结算周期结束后的15个工作日内将当期的费用结算清单（含考核处罚情况等）汇总并递交给采购人；</w:t>
            </w:r>
          </w:p>
          <w:p/>
          <w:p>
            <w:r>
              <w:rPr/>
              <w:t>9期：支付比例8.33%，合同生效后，中标人在每个结算周期结束后的15个工作日内将当期的费用结算清单（含考核处罚情况等）汇总并递交给采购人；</w:t>
            </w:r>
          </w:p>
          <w:p/>
          <w:p>
            <w:r>
              <w:rPr/>
              <w:t>10期：支付比例8.33%，合同生效后，中标人在每个结算周期结束后的15个工作日内将当期的费用结算清单（含考核处罚情况等）汇总并递交给采购人；</w:t>
            </w:r>
          </w:p>
          <w:p/>
          <w:p>
            <w:r>
              <w:rPr/>
              <w:t>11期：支付比例8.33%，合同生效后，中标人在每个结算周期结束后的15个工作日内将当期的费用结算清单（含考核处罚情况等）汇总并递交给采购人；</w:t>
            </w:r>
          </w:p>
          <w:p/>
          <w:p>
            <w:r>
              <w:rPr/>
              <w:t>12期：支付比例8.37%，合同生效后，中标人在每个结算周期结束后的15个工作日内将当期的费用结算清单（含考核处罚情况等）汇总并递交给采购人；【注：1、采购人核定当期的结算金额后，中标人须提供该期相应金额的服务费发票，收款方、发票出具方、合同乙方均须与中标人名称一致；2、采购人在中标人提供该期服务费发票15个工作日内向中标人支付服务费；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Pr>
              <w:jc w:val="left"/>
            </w:pPr>
          </w:p>
          <w:p/>
          <w:p/>
          <w:p>
            <w:r>
              <w:rPr/>
              <w:t>1期：根据全国爱卫会《国家卫生城市标准》（2014版）和顺德区爱卫办【2006】4号文，《佛山市顺德区公共环境除四害承包质量考评标准》（试行）（附）的通知精神，制定考评办法。</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其他:报价要求：1、投标报价为全包价，以元人民币为结算单位，包括本项目所有服务涉及的一切劳务、保险、管理费、通讯交通、药品及材料费、机具费、水电费、各种规费、税费等，包括本项目代理服务费以及合同履行过程中应预见和不可预见的一切费用。2、在合同执行过程中，采购人将不再另行支付与本项目相关的其他任何费用。3、投标人的报价不得超出该标段的采购预算或最高限价，否则其投标无效。 监督考评办法： 1）监督考评办法 根据全国爱卫会《国家卫生城市标准》（2014版）和顺德区爱卫办【2006】4号文，《佛山市顺德区公共环境除四害承包质量考评标准》（试行）（附）的通知精神，制定考评办法如下： 1.1考评方式 采取街道除四害考评组、居村委会、卫健办、社会监督等综合考核方法。 1.2街道除四害考评组：根据顺德区爱卫办[2006]4号文《佛山市顺德区公共环境除四害承包质量考评标准》，委托专业机构进行专业考核监测，每季度一次定量考评，年终作年度总评定。 1.3居（村）委会考核：居（村）委会负责对除四害专业队日常工作进行监督、指导。对专业队放药、喷洒、治理孳生地等工作实行签名确认（采购人或勒流街道爱卫办印发施工记录表），每月对服务本居（村）委会除四害工作进行一次系统检查。 1.4街道卫健办考核：结合平时卫生检查、除四害日常施工、投诉与处理、应急等进行考核。 1.5社会监督：（1）群众评议：每季度由居（村）委会、考评专家组进行随机访问居民群众。（2）群众举报或投诉，每季度由街道爱卫办收集和整理群众举报或投诉资料并计分。 2）评定办法 根据街道除四害考评组、街道卫健办评定、居（村）委会评定、社会监督四个方面的评议，把分别评出的四项分数作综合评定，得出除四害专业队的季度和年度评定分值。综合评定采用百分制。评定分值：街道除四害考评组占50分、街道卫健办评分占20分、居（村）委会评定占20分、社会监督（群众评议）占10分。群众举报或投诉属实，在总分直接扣除，每宗0.5分。 2.1街道除四害考评组：内容包括操作规程、防治质量、监测资料、现场抽查等进行评定。 2.2居（村）委会评定：由居（村）委会根据日常管理和施工情况作综合评定。 2.3街道卫健办评定：结合平时卫生检查、除四害日常施工、投诉与处理、应急等作综合评定。 2.4社会监督：由居（村）委会和专家组季度考核时进行群众满意度测评，按10分评定。其中操作规程2分，防治效果7分，检测资料1分。 2.5社会监督（群众举报或投诉）：以各居村为单位，发生群众举报或投诉，经调查核实，中标人须立即进行跟踪处理，一宗投诉扣除0.5分。如果一个季度内同一地点发生两次群众举报或投诉，经调查情况属实的，扣除1分；当年同一地点群众举报或投诉，经调查情况属实的，超过两次后每增加一次，扣除1分。 3）年终评定 根据四个季度考核结果，平均分达90分以上（含90分）为合格。 4）质量制约 4.1季度和年度考核合格（发生扣罚和奖励情况除外）如数给付服务费用（以90分为合格基数）；考核不合格，每少1分扣除当期服务费用总额的1％。对服务质量差和操作规程不符合要求的，并出现其中2项超标的，通过除四害监督员、监督监测组提出整改意见，限期整改；逾期不整改，服务质量仍旧低劣，四害中如有1项不符合标准的，扣除当期服务费总额的5%；如有2项不符合标准或连续2次不合格的（不满90分），采购人有权无条件终止和解除服务合同，一切经济和法律责任由中标人承担。 4.2处罚 （1）违反操作规程，严重影响工作质量者，扣除当期服务费总额的3％。 （2）不按规定用药，或施药弄虚作假，施药不足者，扣除当期服务费总额的5％。 （3）中标人有责任配合采购人接受上级领导部门的监督、检查，并提供必须的材料。遇有上级检查及大型活动等需要突击加班的，须无条件服从安排，在接到通知后2小时内人员须按要求带全装备到场开展工作，否则每次扣除当期服务费总额的5%，突击任务所产生的费用由中标人负责（含卫生防疫）；突发任务未能按时按质完成，对采购人形象造成负面影响的，每次扣除当期服务费总额的3%。 （4）在合同履行服务过程中，采购人不定期对中标人的服务人数、资格证、药品登记证及机械设备数量抽查，发现缺人、缺证、缺设备的，每次罚款3000元/人/证/机。累计2次抽查不合格一次罚款20000元，采购人有权无条件终止和解除服务合同，没收履约保证金并取消该单位的服务资格，一切经济和法律责任由中标人承担。 （5）上级主管部门检查或第三方考核验收达不到国家标准的，经整改后仍不达标的，采购人有权对中标人视情节轻重给予罚款、终止合同。 （6）承包期间,遇卫生城市（镇）复审时，国家、省、市、区专家组检查病媒生物密度达不到国家C级标准,影响勒流街道评分的,扣除外包服务费总额的20%至30%作为罚款,采购人有权终止合同。 （7）中标人擅自将服务合同转包或部分分包给第三方，采购人有权将中标人列入黑名单并终止合同。 监督与沟通： 1）中标人应诚实信用，严格按照招标文件要求和承诺履行合同，不向采购人进行商业贿赂或者提供不正当利益。 2）积极与采购人协调、配合，并根据采购人的要求，不断改进、提高服务质量。 3）中标人在服务期间，采购人有权对中标人施工情况进行监督检查，中标人应尊重政府对部分区域加强服务或提供技术支持等要求，如采购人接到政府投诉中标人不配合的，一经核实将对中标人作出相应处理。 其他重要事项：参加本项目的投标人，视为已认同和确认：①对于以上要求中未提及的，有行业标准的按行业标准执行，无行业标准的按地方标准执行，无地方标准的按国家标准执行。②中标人针对以上要求的优惠承诺，采购人有权视其实际适用性选择是否采纳。 特别说明！！！ :上述主要商务条款均为★实质性条款，任何一条负偏离将导致投标无效。</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其他服务</w:t>
            </w:r>
          </w:p>
        </w:tc>
        <w:tc>
          <w:tcPr>
            <w:tcW w:type="dxa" w:w="1923"/>
          </w:tcPr>
          <w:p>
            <w:r>
              <w:rPr/>
              <w:t>众涌村委会、龙眼村委会、西华村委会、富裕村委会、连杜村委会、新安村委会、冲鹤村委会、裕源村委会（包2）</w:t>
            </w:r>
          </w:p>
        </w:tc>
        <w:tc>
          <w:tcPr>
            <w:tcW w:type="dxa" w:w="385"/>
          </w:tcPr>
          <w:p>
            <w:r>
              <w:rPr/>
              <w:t>项</w:t>
            </w:r>
          </w:p>
        </w:tc>
        <w:tc>
          <w:tcPr>
            <w:tcW w:type="dxa" w:w="769"/>
          </w:tcPr>
          <w:p>
            <w:pPr>
              <w:jc w:val="right"/>
            </w:pPr>
            <w:r>
              <w:rPr/>
              <w:t>1.0000</w:t>
            </w:r>
          </w:p>
        </w:tc>
        <w:tc>
          <w:tcPr>
            <w:tcW w:type="dxa" w:w="769"/>
          </w:tcPr>
          <w:p>
            <w:pPr>
              <w:jc w:val="right"/>
            </w:pPr>
            <w:r>
              <w:rPr/>
              <w:t>2,010,000.00</w:t>
            </w:r>
          </w:p>
        </w:tc>
        <w:tc>
          <w:tcPr>
            <w:tcW w:type="dxa" w:w="769"/>
          </w:tcPr>
          <w:p>
            <w:pPr>
              <w:jc w:val="right"/>
            </w:pPr>
            <w:r>
              <w:rPr/>
              <w:t>2,010,000.00</w:t>
            </w:r>
          </w:p>
        </w:tc>
        <w:tc>
          <w:tcPr>
            <w:tcW w:type="dxa" w:w="769"/>
          </w:tcPr>
          <w:p>
            <w:r>
              <w:rPr/>
              <w:t>其他未列明行业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众涌村委会、龙眼村委会、西华村委会、富裕村委会、连杜村委会、新安村委会、冲鹤村委会、裕源村委会（包2）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8"/>
              </w:rPr>
              <w:t xml:space="preserve"> </w:t>
            </w:r>
          </w:p>
          <w:tbl>
            <w:tblPr>
              <w:tblBorders>
                <w:top w:val="none" w:color="000000" w:sz="4"/>
                <w:left w:val="none" w:color="000000" w:sz="4"/>
                <w:bottom w:val="none" w:color="000000" w:sz="4"/>
                <w:right w:val="none" w:color="000000" w:sz="4"/>
                <w:insideH w:val="none"/>
                <w:insideV w:val="none"/>
              </w:tblBorders>
            </w:tblPr>
            <w:tblGrid>
              <w:gridCol w:w="725"/>
              <w:gridCol w:w="367"/>
              <w:gridCol w:w="4488"/>
            </w:tblGrid>
            <w:tr>
              <w:tc>
                <w:tcPr>
                  <w:tcW w:type="dxa" w:w="725"/>
                  <w:tcBorders>
                    <w:top w:val="single" w:color="000000" w:sz="4"/>
                    <w:left w:val="single" w:color="000000" w:sz="4"/>
                    <w:bottom w:val="single" w:color="000000" w:sz="4"/>
                    <w:right w:val="single" w:color="000000" w:sz="4"/>
                  </w:tcBorders>
                  <w:shd w:fill="F1F1F1"/>
                  <w:vAlign w:val="top"/>
                </w:tcPr>
                <w:p>
                  <w:pPr>
                    <w:jc w:val="center"/>
                  </w:pPr>
                  <w:r>
                    <w:rPr>
                      <w:b/>
                      <w:sz w:val="21"/>
                    </w:rPr>
                    <w:t>参数性质</w:t>
                  </w:r>
                </w:p>
              </w:tc>
              <w:tc>
                <w:tcPr>
                  <w:tcW w:type="dxa" w:w="367"/>
                  <w:tcBorders>
                    <w:top w:val="single" w:color="000000" w:sz="4"/>
                    <w:left w:val="single" w:color="000000" w:sz="4"/>
                    <w:bottom w:val="single" w:color="000000" w:sz="4"/>
                    <w:right w:val="single" w:color="000000" w:sz="4"/>
                  </w:tcBorders>
                  <w:shd w:fill="F1F1F1"/>
                  <w:vAlign w:val="top"/>
                </w:tcPr>
                <w:p>
                  <w:pPr>
                    <w:jc w:val="center"/>
                  </w:pPr>
                  <w:r>
                    <w:rPr>
                      <w:b/>
                      <w:sz w:val="21"/>
                    </w:rPr>
                    <w:t>序号</w:t>
                  </w:r>
                </w:p>
              </w:tc>
              <w:tc>
                <w:tcPr>
                  <w:tcW w:type="dxa" w:w="4488"/>
                  <w:tcBorders>
                    <w:top w:val="single" w:color="000000" w:sz="4"/>
                    <w:left w:val="single" w:color="000000" w:sz="4"/>
                    <w:bottom w:val="single" w:color="000000" w:sz="4"/>
                    <w:right w:val="single" w:color="000000" w:sz="4"/>
                  </w:tcBorders>
                  <w:shd w:fill="F1F1F1"/>
                  <w:vAlign w:val="top"/>
                </w:tcPr>
                <w:p>
                  <w:pPr>
                    <w:jc w:val="center"/>
                  </w:pPr>
                  <w:r>
                    <w:rPr>
                      <w:b/>
                      <w:sz w:val="21"/>
                    </w:rPr>
                    <w:t>具体技术（参数）要求</w:t>
                  </w:r>
                </w:p>
              </w:tc>
            </w:tr>
            <w:tr>
              <w:tc>
                <w:tcPr>
                  <w:tcW w:type="dxa" w:w="725"/>
                  <w:tcBorders>
                    <w:top w:val="none" w:color="000000" w:sz="4"/>
                    <w:left w:val="single" w:color="000000" w:sz="4"/>
                    <w:bottom w:val="single" w:color="000000" w:sz="4"/>
                    <w:right w:val="single" w:color="000000" w:sz="4"/>
                  </w:tcBorders>
                  <w:vAlign w:val="top"/>
                </w:tcPr>
                <w:p>
                  <w:r>
                    <w:rPr>
                      <w:sz w:val="21"/>
                    </w:rPr>
                    <w:t>工作量化要求</w:t>
                  </w:r>
                </w:p>
              </w:tc>
              <w:tc>
                <w:tcPr>
                  <w:tcW w:type="dxa" w:w="36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488"/>
                  <w:tcBorders>
                    <w:top w:val="none" w:color="000000" w:sz="4"/>
                    <w:left w:val="single" w:color="000000" w:sz="4"/>
                    <w:bottom w:val="single" w:color="000000" w:sz="4"/>
                    <w:right w:val="single" w:color="000000" w:sz="4"/>
                  </w:tcBorders>
                  <w:vAlign w:val="top"/>
                </w:tcPr>
                <w:p>
                  <w:r>
                    <w:rPr>
                      <w:sz w:val="21"/>
                    </w:rPr>
                    <w:t>灭鼠：</w:t>
                  </w:r>
                </w:p>
                <w:p>
                  <w:r>
                    <w:rPr>
                      <w:sz w:val="21"/>
                    </w:rPr>
                    <w:t>1、公共环境和扩大覆盖面范围每月饱和投放灭鼠药。</w:t>
                  </w:r>
                </w:p>
                <w:p>
                  <w:r>
                    <w:rPr>
                      <w:sz w:val="21"/>
                    </w:rPr>
                    <w:t>2、公共环境每月检查鼠迹，发现鼠迹立即清理并及时按常规投放和补充毒饵，每逢“五一”、“国庆”、“春节”加强灭鼠频次。</w:t>
                  </w:r>
                </w:p>
                <w:p>
                  <w:r>
                    <w:rPr>
                      <w:sz w:val="21"/>
                    </w:rPr>
                    <w:t>3、单位灭鼠：每月监测鼠情，按常规投药和补投药。主要重点单位如市场等每季度进行粉迹法、路径指数法密度检测。</w:t>
                  </w:r>
                </w:p>
                <w:p>
                  <w:r>
                    <w:rPr>
                      <w:sz w:val="21"/>
                    </w:rPr>
                    <w:t>4、居民区、农贸市场每月入户询问鼠情。</w:t>
                  </w:r>
                </w:p>
                <w:p>
                  <w:r>
                    <w:rPr>
                      <w:sz w:val="21"/>
                    </w:rPr>
                    <w:t>5、每季度按国家考核标准对鼠密度进行监测。</w:t>
                  </w:r>
                </w:p>
                <w:p>
                  <w:r>
                    <w:rPr>
                      <w:sz w:val="21"/>
                    </w:rPr>
                    <w:t>6、每年每村居安装300个老鼠屋（规格≥长34cm/宽12cm/高12cm，鼠屋上贴有警示安全标识），且每村居保持同等有效老鼠屋数量。</w:t>
                  </w:r>
                </w:p>
                <w:p>
                  <w:r>
                    <w:rPr>
                      <w:sz w:val="21"/>
                    </w:rPr>
                    <w:t>7、每季度对承包辖区进行防鼠、灭鼠防制知识宣传活动，通过多种形式提高人民群众除害防病知识，以图文并茂的简报书面形式报送采购人。</w:t>
                  </w:r>
                </w:p>
                <w:p>
                  <w:r>
                    <w:rPr>
                      <w:sz w:val="21"/>
                    </w:rPr>
                    <w:t>灭蚊：</w:t>
                  </w:r>
                </w:p>
                <w:p>
                  <w:r>
                    <w:rPr>
                      <w:sz w:val="21"/>
                    </w:rPr>
                    <w:t>1、每周检查大、中、小型水体，发现幼虫孳生立即施药。</w:t>
                  </w:r>
                </w:p>
                <w:p>
                  <w:r>
                    <w:rPr>
                      <w:sz w:val="21"/>
                    </w:rPr>
                    <w:t>2、下水道沉沙井（有积水的），每井吊挂含10克倍硫磷缓释剂木塞1粒，每两月更换1次，控制蚊幼虫孳生；沙井装有防蚊闸或存水弯管损坏或不密封的每两月吊挂含10克倍硫磷缓释剂木塞1粒或投放药物进行灭杀，每两月更换1次，控制蚊幼虫孳生。</w:t>
                  </w:r>
                </w:p>
                <w:p>
                  <w:r>
                    <w:rPr>
                      <w:sz w:val="21"/>
                    </w:rPr>
                    <w:t>3、每周清理外环境小积水，控制蚊虫孳生，并施药处理。</w:t>
                  </w:r>
                </w:p>
                <w:p>
                  <w:r>
                    <w:rPr>
                      <w:sz w:val="21"/>
                    </w:rPr>
                    <w:t>4、下水道烟熏灭蚊：每季度结合灭蟑对外环境的下水道进行热烟雾处理两次，每逢“五一”、“国庆”、“春节”加强消杀频次。</w:t>
                  </w:r>
                </w:p>
                <w:p>
                  <w:r>
                    <w:rPr>
                      <w:sz w:val="21"/>
                    </w:rPr>
                    <w:t>5、居民区、背街小巷、待建地、丛林、公园等特殊场所外环境，全面查治孳生地，并作空间喷洒灭成蚊。12月～次年4月，每月2次；5～11月，每月4次；视情况增加消杀频次。</w:t>
                  </w:r>
                </w:p>
                <w:p>
                  <w:r>
                    <w:rPr>
                      <w:sz w:val="21"/>
                    </w:rPr>
                    <w:t>6、每居村定点设置诱蚊产卵器30个，每月进行监测，记录在案，及时掌握蚊虫密度，并向采购人提供监测数据和技术支持。</w:t>
                  </w:r>
                </w:p>
                <w:p>
                  <w:r>
                    <w:rPr>
                      <w:sz w:val="21"/>
                    </w:rPr>
                    <w:t>7、每季度按国家考核标准对蚊密度进行监测。</w:t>
                  </w:r>
                </w:p>
                <w:p>
                  <w:r>
                    <w:rPr>
                      <w:sz w:val="21"/>
                    </w:rPr>
                    <w:t>8、每季度对承包辖区进行防蚊、灭蚊防制知识宣传活动，通过多种形式提高人民群众除害防病知识，以图文并茂的简报书面形式报送采购人。</w:t>
                  </w:r>
                </w:p>
                <w:p>
                  <w:r>
                    <w:rPr>
                      <w:sz w:val="21"/>
                    </w:rPr>
                    <w:t>灭蝇：</w:t>
                  </w:r>
                </w:p>
                <w:p>
                  <w:r>
                    <w:rPr>
                      <w:sz w:val="21"/>
                    </w:rPr>
                    <w:t>1、垃圾中转站、垃圾屋、垃圾池、垃圾桶、垃圾车以及卫生死角、垃圾堆，每周喷药。每个垃圾中转站加装4盏灭蝇笼，定期更换诱饵和维护，设置施工签到表。</w:t>
                  </w:r>
                </w:p>
                <w:p>
                  <w:r>
                    <w:rPr>
                      <w:sz w:val="21"/>
                    </w:rPr>
                    <w:t>2、农贸市场等服务范围内每周进行2次滞留喷洒灭成蝇。</w:t>
                  </w:r>
                </w:p>
                <w:p>
                  <w:r>
                    <w:rPr>
                      <w:sz w:val="21"/>
                    </w:rPr>
                    <w:t>3、重点场所孳生地：每周检查处理并喷药灭杀。</w:t>
                  </w:r>
                </w:p>
                <w:p>
                  <w:r>
                    <w:rPr>
                      <w:sz w:val="21"/>
                    </w:rPr>
                    <w:t>4、每季度按国家考核标准对成蝇密度进行监测。</w:t>
                  </w:r>
                </w:p>
                <w:p>
                  <w:r>
                    <w:rPr>
                      <w:sz w:val="21"/>
                    </w:rPr>
                    <w:t>5、每逢“五一”、“国庆”、“春节”加强消杀频次。</w:t>
                  </w:r>
                </w:p>
                <w:p>
                  <w:r>
                    <w:rPr>
                      <w:sz w:val="21"/>
                    </w:rPr>
                    <w:t>6、每季度对承包辖区进行防蝇、灭蝇防制知识宣传活动，通过多种形式提高人民群众除害防病知识，以图文并茂的简报书面形式报送采购人。</w:t>
                  </w:r>
                </w:p>
                <w:p>
                  <w:r>
                    <w:rPr>
                      <w:sz w:val="21"/>
                    </w:rPr>
                    <w:t>灭蟑螂：</w:t>
                  </w:r>
                </w:p>
                <w:p>
                  <w:r>
                    <w:rPr>
                      <w:sz w:val="21"/>
                    </w:rPr>
                    <w:t>1、农贸市场等服务范围内每月灭蟑螂不少于2次，每月检查蟑迹并清理。</w:t>
                  </w:r>
                </w:p>
                <w:p>
                  <w:r>
                    <w:rPr>
                      <w:sz w:val="21"/>
                    </w:rPr>
                    <w:t>2、下水道灭蟑螂：每季度进行2次热烟雾处理，每逢“五一”、“国庆”、“春节”加强消杀频次。</w:t>
                  </w:r>
                </w:p>
                <w:p>
                  <w:r>
                    <w:rPr>
                      <w:sz w:val="21"/>
                    </w:rPr>
                    <w:t>3、每季度按国家考核标准进行蟑螂密度监测。</w:t>
                  </w:r>
                </w:p>
                <w:p>
                  <w:r>
                    <w:rPr>
                      <w:sz w:val="21"/>
                    </w:rPr>
                    <w:t>4、每季度对承包辖区进行防蟑螂、灭蟑螂防制知识宣传活动，通过多种形式提高人民群众除害防病知识，以图文并茂的简报书面形式报送采购人。</w:t>
                  </w:r>
                </w:p>
                <w:p>
                  <w:r>
                    <w:rPr>
                      <w:sz w:val="21"/>
                    </w:rPr>
                    <w:t>其他：</w:t>
                  </w:r>
                </w:p>
                <w:p>
                  <w:r>
                    <w:rPr>
                      <w:sz w:val="21"/>
                    </w:rPr>
                    <w:t>1、根据具体情况，对有需要的居民住户免费派发除四害药物和免费上门服务。</w:t>
                  </w:r>
                </w:p>
                <w:p>
                  <w:r>
                    <w:rPr>
                      <w:sz w:val="21"/>
                    </w:rPr>
                    <w:t>2、每年在“爱卫月、登革热”等期间进行不少于2次的公益宣传。</w:t>
                  </w:r>
                </w:p>
                <w:p>
                  <w:r>
                    <w:rPr>
                      <w:sz w:val="21"/>
                    </w:rPr>
                    <w:t>3、每月开展不少于200户的除四害入户调查和宣传。</w:t>
                  </w:r>
                </w:p>
                <w:p>
                  <w:r>
                    <w:rPr>
                      <w:sz w:val="21"/>
                    </w:rPr>
                    <w:t>4、在登革热和病媒生物传染病流行期间，疫区消杀的处理根据政府应急预案进行，中标人应积极配合。以疫点为中心半径200米范围内进行消杀（包括户内和外环境），按每次2000元的付费标准进行核算；该项费用在应急经费中核算，不计算在本项目费用预算内。</w:t>
                  </w:r>
                </w:p>
              </w:tc>
            </w:tr>
            <w:tr>
              <w:tc>
                <w:tcPr>
                  <w:tcW w:type="dxa" w:w="725"/>
                  <w:tcBorders>
                    <w:top w:val="none" w:color="000000" w:sz="4"/>
                    <w:left w:val="single" w:color="000000" w:sz="4"/>
                    <w:bottom w:val="single" w:color="000000" w:sz="4"/>
                    <w:right w:val="single" w:color="000000" w:sz="4"/>
                  </w:tcBorders>
                  <w:vAlign w:val="top"/>
                </w:tcPr>
                <w:p>
                  <w:r>
                    <w:rPr>
                      <w:sz w:val="21"/>
                    </w:rPr>
                    <w:t>“四害”控制水平标准（按最新标准执行）</w:t>
                  </w:r>
                </w:p>
              </w:tc>
              <w:tc>
                <w:tcPr>
                  <w:tcW w:type="dxa" w:w="36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488"/>
                  <w:tcBorders>
                    <w:top w:val="none" w:color="000000" w:sz="4"/>
                    <w:left w:val="single" w:color="000000" w:sz="4"/>
                    <w:bottom w:val="single" w:color="000000" w:sz="4"/>
                    <w:right w:val="single" w:color="000000" w:sz="4"/>
                  </w:tcBorders>
                  <w:vAlign w:val="top"/>
                </w:tcPr>
                <w:p>
                  <w:r>
                    <w:rPr>
                      <w:sz w:val="21"/>
                    </w:rPr>
                    <w:t>《中华人民共和国国家标准（</w:t>
                  </w:r>
                  <w:r>
                    <w:rPr>
                      <w:sz w:val="21"/>
                    </w:rPr>
                    <w:t>GB/T 27773 2011）病媒生物密度控制水平 蜚蠊》、</w:t>
                  </w:r>
                </w:p>
                <w:p>
                  <w:r>
                    <w:rPr>
                      <w:sz w:val="21"/>
                    </w:rPr>
                    <w:t>《中华人民共和国国家标准（</w:t>
                  </w:r>
                  <w:r>
                    <w:rPr>
                      <w:sz w:val="21"/>
                    </w:rPr>
                    <w:t>GB/T 27772 2011）病媒生物密度控制水平 蝇类》、</w:t>
                  </w:r>
                </w:p>
                <w:p>
                  <w:r>
                    <w:rPr>
                      <w:sz w:val="21"/>
                    </w:rPr>
                    <w:t>《中华人民共和国国家标准（</w:t>
                  </w:r>
                  <w:r>
                    <w:rPr>
                      <w:sz w:val="21"/>
                    </w:rPr>
                    <w:t>GB/T 27771 2011）病媒生物密度控制水平 蚊虫》、</w:t>
                  </w:r>
                </w:p>
                <w:p>
                  <w:r>
                    <w:rPr>
                      <w:sz w:val="21"/>
                    </w:rPr>
                    <w:t>《中华人民共和国国家标准（</w:t>
                  </w:r>
                  <w:r>
                    <w:rPr>
                      <w:sz w:val="21"/>
                    </w:rPr>
                    <w:t>GB/T 27770 2011）病媒生物密度控制水平 鼠类》。</w:t>
                  </w:r>
                </w:p>
              </w:tc>
            </w:tr>
            <w:tr>
              <w:tc>
                <w:tcPr>
                  <w:tcW w:type="dxa" w:w="725"/>
                  <w:tcBorders>
                    <w:top w:val="none" w:color="000000" w:sz="4"/>
                    <w:left w:val="single" w:color="000000" w:sz="4"/>
                    <w:bottom w:val="single" w:color="000000" w:sz="4"/>
                    <w:right w:val="single" w:color="000000" w:sz="4"/>
                  </w:tcBorders>
                  <w:vAlign w:val="top"/>
                </w:tcPr>
                <w:p>
                  <w:r>
                    <w:rPr>
                      <w:sz w:val="21"/>
                    </w:rPr>
                    <w:t>“四害”密度监测标准（按最新标准执行）</w:t>
                  </w:r>
                </w:p>
              </w:tc>
              <w:tc>
                <w:tcPr>
                  <w:tcW w:type="dxa" w:w="367"/>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488"/>
                  <w:tcBorders>
                    <w:top w:val="none" w:color="000000" w:sz="4"/>
                    <w:left w:val="single" w:color="000000" w:sz="4"/>
                    <w:bottom w:val="single" w:color="000000" w:sz="4"/>
                    <w:right w:val="single" w:color="000000" w:sz="4"/>
                  </w:tcBorders>
                  <w:vAlign w:val="top"/>
                </w:tcPr>
                <w:p>
                  <w:r>
                    <w:rPr>
                      <w:sz w:val="21"/>
                    </w:rPr>
                    <w:t>《中华人民共和国国家标准（</w:t>
                  </w:r>
                  <w:r>
                    <w:rPr>
                      <w:sz w:val="21"/>
                    </w:rPr>
                    <w:t>GB/T 23796 2009）病媒生物密度监测方法 蝇类》、</w:t>
                  </w:r>
                </w:p>
                <w:p>
                  <w:r>
                    <w:rPr>
                      <w:sz w:val="21"/>
                    </w:rPr>
                    <w:t>《中华人民共和国国家标准（</w:t>
                  </w:r>
                  <w:r>
                    <w:rPr>
                      <w:sz w:val="21"/>
                    </w:rPr>
                    <w:t>GB/T 23797 2009）病媒生物密度监测方法 蚊虫》、</w:t>
                  </w:r>
                </w:p>
                <w:p>
                  <w:r>
                    <w:rPr>
                      <w:sz w:val="21"/>
                    </w:rPr>
                    <w:t>《中华人民共和国国家标准（</w:t>
                  </w:r>
                  <w:r>
                    <w:rPr>
                      <w:sz w:val="21"/>
                    </w:rPr>
                    <w:t>GB/T 23798 2009）病媒生物密度监测方法 鼠类》、</w:t>
                  </w:r>
                </w:p>
                <w:p>
                  <w:r>
                    <w:rPr>
                      <w:sz w:val="21"/>
                    </w:rPr>
                    <w:t>《中华人民共和国国家标准（</w:t>
                  </w:r>
                  <w:r>
                    <w:rPr>
                      <w:sz w:val="21"/>
                    </w:rPr>
                    <w:t>GB/T 23795 2009）病媒生物密度监测方法 蜚蠊》。</w:t>
                  </w:r>
                </w:p>
              </w:tc>
            </w:tr>
            <w:tr>
              <w:tc>
                <w:tcPr>
                  <w:tcW w:type="dxa" w:w="725"/>
                  <w:tcBorders>
                    <w:top w:val="none" w:color="000000" w:sz="4"/>
                    <w:left w:val="single" w:color="000000" w:sz="4"/>
                    <w:bottom w:val="single" w:color="000000" w:sz="4"/>
                    <w:right w:val="single" w:color="000000" w:sz="4"/>
                  </w:tcBorders>
                  <w:vAlign w:val="top"/>
                </w:tcPr>
                <w:p>
                  <w:r>
                    <w:rPr>
                      <w:sz w:val="21"/>
                    </w:rPr>
                    <w:t>对服务人员的基本要求</w:t>
                  </w:r>
                </w:p>
              </w:tc>
              <w:tc>
                <w:tcPr>
                  <w:tcW w:type="dxa" w:w="367"/>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488"/>
                  <w:tcBorders>
                    <w:top w:val="none" w:color="000000" w:sz="4"/>
                    <w:left w:val="single" w:color="000000" w:sz="4"/>
                    <w:bottom w:val="single" w:color="000000" w:sz="4"/>
                    <w:right w:val="single" w:color="000000" w:sz="4"/>
                  </w:tcBorders>
                  <w:vAlign w:val="top"/>
                </w:tcPr>
                <w:p>
                  <w:r>
                    <w:rPr>
                      <w:sz w:val="21"/>
                    </w:rPr>
                    <w:t>4</w:t>
                  </w:r>
                  <w:r>
                    <w:rPr>
                      <w:sz w:val="21"/>
                    </w:rPr>
                    <w:t>.1配置要求</w:t>
                  </w:r>
                </w:p>
                <w:tbl>
                  <w:tblPr>
                    <w:tblBorders>
                      <w:top w:val="none" w:color="000000" w:sz="4"/>
                      <w:left w:val="none" w:color="000000" w:sz="4"/>
                      <w:bottom w:val="none" w:color="000000" w:sz="4"/>
                      <w:right w:val="none" w:color="000000" w:sz="4"/>
                      <w:insideH w:val="none"/>
                      <w:insideV w:val="none"/>
                    </w:tblBorders>
                  </w:tblPr>
                  <w:tblGrid>
                    <w:gridCol w:w="726"/>
                    <w:gridCol w:w="2957"/>
                    <w:gridCol w:w="570"/>
                  </w:tblGrid>
                  <w:tr>
                    <w:tc>
                      <w:tcPr>
                        <w:tcW w:type="dxa" w:w="726"/>
                        <w:tcBorders>
                          <w:top w:val="single" w:color="000000" w:sz="4"/>
                          <w:left w:val="single" w:color="000000" w:sz="4"/>
                          <w:bottom w:val="single" w:color="000000" w:sz="4"/>
                          <w:right w:val="single" w:color="000000" w:sz="4"/>
                        </w:tcBorders>
                        <w:vAlign w:val="top"/>
                      </w:tcPr>
                      <w:p>
                        <w:pPr>
                          <w:jc w:val="center"/>
                        </w:pPr>
                        <w:r>
                          <w:rPr>
                            <w:b/>
                            <w:color w:val="000000"/>
                            <w:sz w:val="21"/>
                          </w:rPr>
                          <w:t>人员类别</w:t>
                        </w:r>
                      </w:p>
                    </w:tc>
                    <w:tc>
                      <w:tcPr>
                        <w:tcW w:type="dxa" w:w="2957"/>
                        <w:tcBorders>
                          <w:top w:val="single" w:color="000000" w:sz="4"/>
                          <w:left w:val="single" w:color="000000" w:sz="4"/>
                          <w:bottom w:val="single" w:color="000000" w:sz="4"/>
                          <w:right w:val="single" w:color="000000" w:sz="4"/>
                        </w:tcBorders>
                        <w:vAlign w:val="top"/>
                      </w:tcPr>
                      <w:p>
                        <w:pPr>
                          <w:jc w:val="center"/>
                        </w:pPr>
                        <w:r>
                          <w:rPr>
                            <w:b/>
                            <w:color w:val="000000"/>
                            <w:sz w:val="21"/>
                          </w:rPr>
                          <w:t>具体要求</w:t>
                        </w:r>
                      </w:p>
                    </w:tc>
                    <w:tc>
                      <w:tcPr>
                        <w:tcW w:type="dxa" w:w="570"/>
                        <w:tcBorders>
                          <w:top w:val="single" w:color="000000" w:sz="4"/>
                          <w:left w:val="single" w:color="000000" w:sz="4"/>
                          <w:bottom w:val="single" w:color="000000" w:sz="4"/>
                          <w:right w:val="single" w:color="000000" w:sz="4"/>
                        </w:tcBorders>
                        <w:vAlign w:val="top"/>
                      </w:tcPr>
                      <w:p>
                        <w:pPr>
                          <w:jc w:val="center"/>
                        </w:pPr>
                        <w:r>
                          <w:rPr>
                            <w:b/>
                            <w:color w:val="000000"/>
                            <w:sz w:val="21"/>
                          </w:rPr>
                          <w:t>配置人数</w:t>
                        </w:r>
                      </w:p>
                    </w:tc>
                  </w:tr>
                  <w:tr>
                    <w:tc>
                      <w:tcPr>
                        <w:tcW w:type="dxa" w:w="726"/>
                        <w:tcBorders>
                          <w:top w:val="none" w:color="000000" w:sz="4"/>
                          <w:left w:val="single" w:color="000000" w:sz="4"/>
                          <w:bottom w:val="single" w:color="000000" w:sz="4"/>
                          <w:right w:val="single" w:color="000000" w:sz="4"/>
                        </w:tcBorders>
                        <w:vAlign w:val="top"/>
                      </w:tcPr>
                      <w:p>
                        <w:pPr>
                          <w:jc w:val="center"/>
                        </w:pPr>
                        <w:r>
                          <w:rPr>
                            <w:color w:val="000000"/>
                            <w:sz w:val="21"/>
                          </w:rPr>
                          <w:t>管理人员</w:t>
                        </w:r>
                      </w:p>
                    </w:tc>
                    <w:tc>
                      <w:tcPr>
                        <w:tcW w:type="dxa" w:w="2957"/>
                        <w:tcBorders>
                          <w:top w:val="none" w:color="000000" w:sz="4"/>
                          <w:left w:val="single" w:color="000000" w:sz="4"/>
                          <w:bottom w:val="single" w:color="000000" w:sz="4"/>
                          <w:right w:val="single" w:color="000000" w:sz="4"/>
                        </w:tcBorders>
                        <w:vAlign w:val="top"/>
                      </w:tcPr>
                      <w:p>
                        <w:r>
                          <w:rPr>
                            <w:color w:val="000000"/>
                            <w:sz w:val="21"/>
                          </w:rPr>
                          <w:t>项目主管，负责管理工作团队，并制定每次的除四害工作方案及分配工作，具有</w:t>
                        </w:r>
                        <w:r>
                          <w:rPr>
                            <w:color w:val="000000"/>
                            <w:sz w:val="21"/>
                          </w:rPr>
                          <w:t>“有害生物防制员</w:t>
                        </w:r>
                        <w:r>
                          <w:rPr>
                            <w:color w:val="000000"/>
                            <w:sz w:val="21"/>
                          </w:rPr>
                          <w:t>高级</w:t>
                        </w:r>
                        <w:r>
                          <w:rPr>
                            <w:color w:val="000000"/>
                            <w:sz w:val="21"/>
                          </w:rPr>
                          <w:t>（三级）资格证或培训证</w:t>
                        </w:r>
                        <w:r>
                          <w:rPr>
                            <w:color w:val="000000"/>
                            <w:sz w:val="21"/>
                          </w:rPr>
                          <w:t>”，有除四害工作管理经验。</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1人</w:t>
                        </w:r>
                      </w:p>
                    </w:tc>
                  </w:tr>
                  <w:tr>
                    <w:tc>
                      <w:tcPr>
                        <w:tcW w:type="dxa" w:w="726"/>
                        <w:tcBorders>
                          <w:top w:val="none" w:color="000000" w:sz="4"/>
                          <w:left w:val="single" w:color="000000" w:sz="4"/>
                          <w:bottom w:val="single" w:color="000000" w:sz="4"/>
                          <w:right w:val="single" w:color="000000" w:sz="4"/>
                        </w:tcBorders>
                        <w:vAlign w:val="top"/>
                      </w:tcPr>
                      <w:p>
                        <w:pPr>
                          <w:jc w:val="center"/>
                        </w:pPr>
                        <w:r>
                          <w:rPr>
                            <w:color w:val="000000"/>
                            <w:sz w:val="21"/>
                          </w:rPr>
                          <w:t>除四害专业人员</w:t>
                        </w:r>
                      </w:p>
                    </w:tc>
                    <w:tc>
                      <w:tcPr>
                        <w:tcW w:type="dxa" w:w="2957"/>
                        <w:tcBorders>
                          <w:top w:val="none" w:color="000000" w:sz="4"/>
                          <w:left w:val="single" w:color="000000" w:sz="4"/>
                          <w:bottom w:val="single" w:color="000000" w:sz="4"/>
                          <w:right w:val="single" w:color="000000" w:sz="4"/>
                        </w:tcBorders>
                        <w:vAlign w:val="top"/>
                      </w:tcPr>
                      <w:p>
                        <w:r>
                          <w:rPr>
                            <w:color w:val="000000"/>
                            <w:sz w:val="21"/>
                          </w:rPr>
                          <w:t>负责主要的除四害工作及技术指导，具有</w:t>
                        </w:r>
                        <w:r>
                          <w:rPr>
                            <w:color w:val="000000"/>
                            <w:sz w:val="21"/>
                          </w:rPr>
                          <w:t>“有害生物防制员初级（五级）或以上资格证或培训证”，有除四害工作经验，技术熟练。</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5</w:t>
                        </w:r>
                        <w:r>
                          <w:rPr>
                            <w:color w:val="000000"/>
                            <w:sz w:val="21"/>
                          </w:rPr>
                          <w:t>人</w:t>
                        </w:r>
                      </w:p>
                    </w:tc>
                  </w:tr>
                  <w:tr>
                    <w:tc>
                      <w:tcPr>
                        <w:tcW w:type="dxa" w:w="726"/>
                        <w:tcBorders>
                          <w:top w:val="none" w:color="000000" w:sz="4"/>
                          <w:left w:val="single" w:color="000000" w:sz="4"/>
                          <w:bottom w:val="single" w:color="000000" w:sz="4"/>
                          <w:right w:val="single" w:color="000000" w:sz="4"/>
                        </w:tcBorders>
                        <w:vAlign w:val="top"/>
                      </w:tcPr>
                      <w:p>
                        <w:pPr>
                          <w:jc w:val="center"/>
                        </w:pPr>
                        <w:r>
                          <w:rPr>
                            <w:color w:val="000000"/>
                            <w:sz w:val="21"/>
                          </w:rPr>
                          <w:t>质检人员</w:t>
                        </w:r>
                      </w:p>
                    </w:tc>
                    <w:tc>
                      <w:tcPr>
                        <w:tcW w:type="dxa" w:w="2957"/>
                        <w:tcBorders>
                          <w:top w:val="none" w:color="000000" w:sz="4"/>
                          <w:left w:val="single" w:color="000000" w:sz="4"/>
                          <w:bottom w:val="single" w:color="000000" w:sz="4"/>
                          <w:right w:val="single" w:color="000000" w:sz="4"/>
                        </w:tcBorders>
                        <w:vAlign w:val="top"/>
                      </w:tcPr>
                      <w:p>
                        <w:r>
                          <w:rPr>
                            <w:color w:val="000000"/>
                            <w:sz w:val="21"/>
                          </w:rPr>
                          <w:t>负责日常除四害自我监督巡查工作，配合监理部门做好监督检查，完善各项四害防治、监测资料；具有</w:t>
                        </w:r>
                        <w:r>
                          <w:rPr>
                            <w:color w:val="000000"/>
                            <w:sz w:val="21"/>
                          </w:rPr>
                          <w:t>“有害生物防制员</w:t>
                        </w:r>
                        <w:r>
                          <w:rPr>
                            <w:color w:val="000000"/>
                            <w:sz w:val="21"/>
                          </w:rPr>
                          <w:t>中级</w:t>
                        </w:r>
                        <w:r>
                          <w:rPr>
                            <w:color w:val="000000"/>
                            <w:sz w:val="21"/>
                          </w:rPr>
                          <w:t>（四级）或以上资格证或培训证</w:t>
                        </w:r>
                        <w:r>
                          <w:rPr>
                            <w:color w:val="000000"/>
                            <w:sz w:val="21"/>
                          </w:rPr>
                          <w:t>”，具有除四害工作经验，技术熟练。</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1人</w:t>
                        </w:r>
                      </w:p>
                    </w:tc>
                  </w:tr>
                  <w:tr>
                    <w:tc>
                      <w:tcPr>
                        <w:tcW w:type="dxa" w:w="726"/>
                        <w:tcBorders>
                          <w:top w:val="none" w:color="000000" w:sz="4"/>
                          <w:left w:val="single" w:color="000000" w:sz="4"/>
                          <w:bottom w:val="single" w:color="000000" w:sz="4"/>
                          <w:right w:val="single" w:color="000000" w:sz="4"/>
                        </w:tcBorders>
                        <w:vAlign w:val="top"/>
                      </w:tcPr>
                      <w:p>
                        <w:pPr>
                          <w:jc w:val="center"/>
                        </w:pPr>
                        <w:r>
                          <w:rPr>
                            <w:color w:val="000000"/>
                            <w:sz w:val="21"/>
                          </w:rPr>
                          <w:t>备注</w:t>
                        </w:r>
                      </w:p>
                    </w:tc>
                    <w:tc>
                      <w:tcPr>
                        <w:tcW w:type="dxa" w:w="3527"/>
                        <w:gridSpan w:val="2"/>
                        <w:tcBorders>
                          <w:top w:val="none" w:color="000000" w:sz="4"/>
                          <w:left w:val="single" w:color="000000" w:sz="4"/>
                          <w:bottom w:val="single" w:color="000000" w:sz="4"/>
                          <w:right w:val="single" w:color="000000" w:sz="4"/>
                        </w:tcBorders>
                        <w:vAlign w:val="top"/>
                      </w:tcPr>
                      <w:p>
                        <w:r>
                          <w:rPr>
                            <w:color w:val="000000"/>
                            <w:sz w:val="21"/>
                          </w:rPr>
                          <w:t>在同一采购包内，同一人员不得同时从事上述不同岗位的工作。</w:t>
                        </w:r>
                      </w:p>
                    </w:tc>
                  </w:tr>
                </w:tbl>
                <w:p>
                  <w:r>
                    <w:rPr>
                      <w:sz w:val="21"/>
                    </w:rPr>
                    <w:t>4</w:t>
                  </w:r>
                  <w:r>
                    <w:rPr>
                      <w:sz w:val="21"/>
                    </w:rPr>
                    <w:t>.2管理要求</w:t>
                  </w:r>
                </w:p>
                <w:p>
                  <w:r>
                    <w:rPr>
                      <w:sz w:val="21"/>
                    </w:rPr>
                    <w:t>1）中标人须按招标文件要求聘请足额作业人员专用于本项目。</w:t>
                  </w:r>
                </w:p>
                <w:p>
                  <w:r>
                    <w:rPr>
                      <w:sz w:val="21"/>
                    </w:rPr>
                    <w:t>2）作业人员须具有完全民事行为能力，身体健全且符合法定工作年龄要求。</w:t>
                  </w:r>
                </w:p>
                <w:p>
                  <w:r>
                    <w:rPr>
                      <w:sz w:val="21"/>
                    </w:rPr>
                    <w:t>3）中标人须按照国家劳动法的相关规定依法用工，与作业人员签订劳动合同，并按顺德区社会劳动保险的有关规定为员工购买社会保险。</w:t>
                  </w:r>
                </w:p>
                <w:p>
                  <w:r>
                    <w:rPr>
                      <w:sz w:val="21"/>
                    </w:rPr>
                    <w:t>4</w:t>
                  </w:r>
                  <w:r>
                    <w:rPr>
                      <w:sz w:val="21"/>
                    </w:rPr>
                    <w:t>）作业人员上岗前须经过培训合格，熟悉设施设备的使用方法和技巧。专业技术人员必须持证上岗。</w:t>
                  </w:r>
                </w:p>
                <w:p>
                  <w:r>
                    <w:rPr>
                      <w:sz w:val="21"/>
                    </w:rPr>
                    <w:t>5</w:t>
                  </w:r>
                  <w:r>
                    <w:rPr>
                      <w:sz w:val="21"/>
                    </w:rPr>
                    <w:t>）中标人须为作业人员配备相应的劳动和卫生等防护用品，提供工作服（含雨衣），工作服的颜色、款色及图案标识须经采购人审定。</w:t>
                  </w:r>
                </w:p>
                <w:p>
                  <w:r>
                    <w:rPr>
                      <w:sz w:val="21"/>
                    </w:rPr>
                    <w:t>6</w:t>
                  </w:r>
                  <w:r>
                    <w:rPr>
                      <w:sz w:val="21"/>
                    </w:rPr>
                    <w:t>）作业人员须穿着统一的工作服（含雨衣），并保持衣冠整洁。阴天或夜间作业须穿着反光衣。</w:t>
                  </w:r>
                </w:p>
                <w:p>
                  <w:r>
                    <w:rPr>
                      <w:sz w:val="21"/>
                    </w:rPr>
                    <w:t>7</w:t>
                  </w:r>
                  <w:r>
                    <w:rPr>
                      <w:sz w:val="21"/>
                    </w:rPr>
                    <w:t>）作业时间内，作业人员须遵纪守法、文明作业，不得参加自己管理区域以外的工作，不得聚堆闲聊、瞌睡、执捡收集、挪用变卖垃圾废品，以及从事其它与本项目作业无关的事项。</w:t>
                  </w:r>
                </w:p>
                <w:p>
                  <w:r>
                    <w:rPr>
                      <w:sz w:val="21"/>
                    </w:rPr>
                    <w:t>8</w:t>
                  </w:r>
                  <w:r>
                    <w:rPr>
                      <w:sz w:val="21"/>
                    </w:rPr>
                    <w:t>）中标人须指派</w:t>
                  </w:r>
                  <w:r>
                    <w:rPr>
                      <w:sz w:val="21"/>
                    </w:rPr>
                    <w:t>1名管理人员，代表中标人履行管理责任，并在检查考评过程中配合采购人、居（村）及监督员的检查考评。</w:t>
                  </w:r>
                </w:p>
                <w:p>
                  <w:r>
                    <w:rPr>
                      <w:sz w:val="21"/>
                    </w:rPr>
                    <w:t>9</w:t>
                  </w:r>
                  <w:r>
                    <w:rPr>
                      <w:sz w:val="21"/>
                    </w:rPr>
                    <w:t>）管理人员须</w:t>
                  </w:r>
                  <w:r>
                    <w:rPr>
                      <w:sz w:val="21"/>
                    </w:rPr>
                    <w:t>24小时保证移动电话畅通，每天巡查管理区域，做好日常除“四害”自我监督巡查工作，并按招标文件相关规范安排好作业人员的工作，每季度上报监督巡查报告和监测报告等资料。</w:t>
                  </w:r>
                </w:p>
                <w:p>
                  <w:r>
                    <w:rPr>
                      <w:sz w:val="21"/>
                    </w:rPr>
                    <w:t>1</w:t>
                  </w:r>
                  <w:r>
                    <w:rPr>
                      <w:sz w:val="21"/>
                    </w:rPr>
                    <w:t>0</w:t>
                  </w:r>
                  <w:r>
                    <w:rPr>
                      <w:sz w:val="21"/>
                    </w:rPr>
                    <w:t>）中标人须对其员工作严格管理，对他们的行为负全责，如在服务期内发生劳资纠纷、意外（生病、伤亡事故）或违反合同规定、触犯国家法律等，由中标人承担一切经济责任及法律责任。</w:t>
                  </w:r>
                </w:p>
              </w:tc>
            </w:tr>
            <w:tr>
              <w:tc>
                <w:tcPr>
                  <w:tcW w:type="dxa" w:w="725"/>
                  <w:tcBorders>
                    <w:top w:val="none" w:color="000000" w:sz="4"/>
                    <w:left w:val="single" w:color="000000" w:sz="4"/>
                    <w:bottom w:val="single" w:color="000000" w:sz="4"/>
                    <w:right w:val="single" w:color="000000" w:sz="4"/>
                  </w:tcBorders>
                  <w:vAlign w:val="top"/>
                </w:tcPr>
                <w:p>
                  <w:r>
                    <w:rPr>
                      <w:sz w:val="21"/>
                    </w:rPr>
                    <w:t>对设备的基本要求</w:t>
                  </w:r>
                </w:p>
              </w:tc>
              <w:tc>
                <w:tcPr>
                  <w:tcW w:type="dxa" w:w="367"/>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488"/>
                  <w:tcBorders>
                    <w:top w:val="none" w:color="000000" w:sz="4"/>
                    <w:left w:val="single" w:color="000000" w:sz="4"/>
                    <w:bottom w:val="single" w:color="000000" w:sz="4"/>
                    <w:right w:val="single" w:color="000000" w:sz="4"/>
                  </w:tcBorders>
                  <w:vAlign w:val="top"/>
                </w:tcPr>
                <w:p>
                  <w:r>
                    <w:rPr>
                      <w:sz w:val="21"/>
                    </w:rPr>
                    <w:t>5</w:t>
                  </w:r>
                  <w:r>
                    <w:rPr>
                      <w:sz w:val="21"/>
                    </w:rPr>
                    <w:t>.1配置要求</w:t>
                  </w:r>
                </w:p>
                <w:tbl>
                  <w:tblPr>
                    <w:tblBorders>
                      <w:top w:val="none" w:color="000000" w:sz="4"/>
                      <w:left w:val="none" w:color="000000" w:sz="4"/>
                      <w:bottom w:val="none" w:color="000000" w:sz="4"/>
                      <w:right w:val="none" w:color="000000" w:sz="4"/>
                      <w:insideH w:val="none"/>
                      <w:insideV w:val="none"/>
                    </w:tblBorders>
                  </w:tblPr>
                  <w:tblGrid>
                    <w:gridCol w:w="435"/>
                    <w:gridCol w:w="664"/>
                    <w:gridCol w:w="2404"/>
                    <w:gridCol w:w="751"/>
                  </w:tblGrid>
                  <w:tr>
                    <w:tc>
                      <w:tcPr>
                        <w:tcW w:type="dxa" w:w="435"/>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664"/>
                        <w:tcBorders>
                          <w:top w:val="single" w:color="000000" w:sz="4"/>
                          <w:left w:val="single" w:color="000000" w:sz="4"/>
                          <w:bottom w:val="single" w:color="000000" w:sz="4"/>
                          <w:right w:val="single" w:color="000000" w:sz="4"/>
                        </w:tcBorders>
                        <w:vAlign w:val="top"/>
                      </w:tcPr>
                      <w:p>
                        <w:pPr>
                          <w:jc w:val="center"/>
                        </w:pPr>
                        <w:r>
                          <w:rPr>
                            <w:b/>
                            <w:color w:val="000000"/>
                            <w:sz w:val="21"/>
                          </w:rPr>
                          <w:t>设备名称</w:t>
                        </w:r>
                      </w:p>
                    </w:tc>
                    <w:tc>
                      <w:tcPr>
                        <w:tcW w:type="dxa" w:w="2404"/>
                        <w:tcBorders>
                          <w:top w:val="single" w:color="000000" w:sz="4"/>
                          <w:left w:val="single" w:color="000000" w:sz="4"/>
                          <w:bottom w:val="single" w:color="000000" w:sz="4"/>
                          <w:right w:val="single" w:color="000000" w:sz="4"/>
                        </w:tcBorders>
                        <w:vAlign w:val="top"/>
                      </w:tcPr>
                      <w:p>
                        <w:pPr>
                          <w:jc w:val="center"/>
                        </w:pPr>
                        <w:r>
                          <w:rPr>
                            <w:b/>
                            <w:color w:val="000000"/>
                            <w:sz w:val="21"/>
                          </w:rPr>
                          <w:t>技术参数要求</w:t>
                        </w:r>
                      </w:p>
                    </w:tc>
                    <w:tc>
                      <w:tcPr>
                        <w:tcW w:type="dxa" w:w="751"/>
                        <w:tcBorders>
                          <w:top w:val="single" w:color="000000" w:sz="4"/>
                          <w:left w:val="single" w:color="000000" w:sz="4"/>
                          <w:bottom w:val="single" w:color="000000" w:sz="4"/>
                          <w:right w:val="single" w:color="000000" w:sz="4"/>
                        </w:tcBorders>
                        <w:vAlign w:val="top"/>
                      </w:tcPr>
                      <w:p>
                        <w:pPr>
                          <w:jc w:val="center"/>
                        </w:pPr>
                        <w:r>
                          <w:rPr>
                            <w:b/>
                            <w:color w:val="000000"/>
                            <w:sz w:val="21"/>
                          </w:rPr>
                          <w:t>配置数量</w:t>
                        </w:r>
                      </w:p>
                    </w:tc>
                  </w:tr>
                  <w:tr>
                    <w:tc>
                      <w:tcPr>
                        <w:tcW w:type="dxa" w:w="435"/>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664"/>
                        <w:tcBorders>
                          <w:top w:val="none" w:color="000000" w:sz="4"/>
                          <w:left w:val="single" w:color="000000" w:sz="4"/>
                          <w:bottom w:val="single" w:color="000000" w:sz="4"/>
                          <w:right w:val="single" w:color="000000" w:sz="4"/>
                        </w:tcBorders>
                        <w:vAlign w:val="top"/>
                      </w:tcPr>
                      <w:p>
                        <w:pPr>
                          <w:jc w:val="center"/>
                        </w:pPr>
                        <w:r>
                          <w:rPr>
                            <w:color w:val="000000"/>
                            <w:sz w:val="21"/>
                          </w:rPr>
                          <w:t>背负式蓄电池超低容量喷雾机</w:t>
                        </w:r>
                      </w:p>
                    </w:tc>
                    <w:tc>
                      <w:tcPr>
                        <w:tcW w:type="dxa" w:w="2404"/>
                        <w:tcBorders>
                          <w:top w:val="none" w:color="000000" w:sz="4"/>
                          <w:left w:val="single" w:color="000000" w:sz="4"/>
                          <w:bottom w:val="single" w:color="000000" w:sz="4"/>
                          <w:right w:val="single" w:color="000000" w:sz="4"/>
                        </w:tcBorders>
                        <w:vAlign w:val="top"/>
                      </w:tcPr>
                      <w:p>
                        <w:r>
                          <w:rPr>
                            <w:color w:val="000000"/>
                            <w:sz w:val="21"/>
                          </w:rPr>
                          <w:t>电机：直流无碳刷电机，</w:t>
                        </w:r>
                        <w:r>
                          <w:rPr>
                            <w:color w:val="000000"/>
                            <w:sz w:val="21"/>
                          </w:rPr>
                          <w:t>600W，24V。雾滴直径：10～30微米。药液输出量：0～330ml/min连续可调。药箱容量：5L。空机重量：约10.2</w:t>
                        </w:r>
                        <w:r>
                          <w:rPr>
                            <w:color w:val="000000"/>
                            <w:sz w:val="21"/>
                          </w:rPr>
                          <w:t>kg</w:t>
                        </w:r>
                        <w:r>
                          <w:rPr>
                            <w:color w:val="000000"/>
                            <w:sz w:val="21"/>
                          </w:rPr>
                          <w:t>。整机外型尺寸：约</w:t>
                        </w:r>
                        <w:r>
                          <w:rPr>
                            <w:color w:val="000000"/>
                            <w:sz w:val="21"/>
                          </w:rPr>
                          <w:t>310mm×30mm×505mm。电池：配置2块锂电池。连续工作时间：高速档50～60分钟，低速档80～90分钟。</w:t>
                        </w:r>
                      </w:p>
                    </w:tc>
                    <w:tc>
                      <w:tcPr>
                        <w:tcW w:type="dxa" w:w="751"/>
                        <w:tcBorders>
                          <w:top w:val="none" w:color="000000" w:sz="4"/>
                          <w:left w:val="single" w:color="000000" w:sz="4"/>
                          <w:bottom w:val="single" w:color="000000" w:sz="4"/>
                          <w:right w:val="single" w:color="000000" w:sz="4"/>
                        </w:tcBorders>
                        <w:vAlign w:val="top"/>
                      </w:tcPr>
                      <w:p>
                        <w:pPr>
                          <w:jc w:val="center"/>
                        </w:pPr>
                        <w:r>
                          <w:rPr>
                            <w:color w:val="000000"/>
                            <w:sz w:val="21"/>
                          </w:rPr>
                          <w:t>3</w:t>
                        </w:r>
                        <w:r>
                          <w:rPr>
                            <w:color w:val="000000"/>
                            <w:sz w:val="21"/>
                          </w:rPr>
                          <w:t>台</w:t>
                        </w:r>
                      </w:p>
                    </w:tc>
                  </w:tr>
                  <w:tr>
                    <w:tc>
                      <w:tcPr>
                        <w:tcW w:type="dxa" w:w="435"/>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664"/>
                        <w:tcBorders>
                          <w:top w:val="none" w:color="000000" w:sz="4"/>
                          <w:left w:val="single" w:color="000000" w:sz="4"/>
                          <w:bottom w:val="single" w:color="000000" w:sz="4"/>
                          <w:right w:val="single" w:color="000000" w:sz="4"/>
                        </w:tcBorders>
                        <w:vAlign w:val="top"/>
                      </w:tcPr>
                      <w:p>
                        <w:pPr>
                          <w:jc w:val="center"/>
                        </w:pPr>
                        <w:r>
                          <w:rPr>
                            <w:color w:val="000000"/>
                            <w:sz w:val="21"/>
                          </w:rPr>
                          <w:t>背负式机动超低容量喷雾机</w:t>
                        </w:r>
                      </w:p>
                    </w:tc>
                    <w:tc>
                      <w:tcPr>
                        <w:tcW w:type="dxa" w:w="2404"/>
                        <w:tcBorders>
                          <w:top w:val="none" w:color="000000" w:sz="4"/>
                          <w:left w:val="single" w:color="000000" w:sz="4"/>
                          <w:bottom w:val="single" w:color="000000" w:sz="4"/>
                          <w:right w:val="single" w:color="000000" w:sz="4"/>
                        </w:tcBorders>
                        <w:vAlign w:val="top"/>
                      </w:tcPr>
                      <w:p>
                        <w:r>
                          <w:rPr>
                            <w:color w:val="000000"/>
                            <w:sz w:val="21"/>
                          </w:rPr>
                          <w:t>雾滴直径：</w:t>
                        </w:r>
                        <w:r>
                          <w:rPr>
                            <w:color w:val="000000"/>
                            <w:sz w:val="21"/>
                          </w:rPr>
                          <w:t>2～20微米。额定流量：1～3L/分钟。水平射程＞8米。外型尺寸：约400×470×495cm。配套动力：2冲程冲程发动机。</w:t>
                        </w:r>
                        <w:r>
                          <w:rPr>
                            <w:color w:val="000000"/>
                            <w:sz w:val="21"/>
                          </w:rPr>
                          <w:t>药箱容量：</w:t>
                        </w:r>
                        <w:r>
                          <w:rPr>
                            <w:color w:val="000000"/>
                            <w:sz w:val="21"/>
                          </w:rPr>
                          <w:t>5L。整机重量：约12</w:t>
                        </w:r>
                        <w:r>
                          <w:rPr>
                            <w:color w:val="000000"/>
                            <w:sz w:val="21"/>
                          </w:rPr>
                          <w:t>kg</w:t>
                        </w:r>
                        <w:r>
                          <w:rPr>
                            <w:color w:val="000000"/>
                            <w:sz w:val="21"/>
                          </w:rPr>
                          <w:t>。</w:t>
                        </w:r>
                      </w:p>
                    </w:tc>
                    <w:tc>
                      <w:tcPr>
                        <w:tcW w:type="dxa" w:w="751"/>
                        <w:tcBorders>
                          <w:top w:val="none" w:color="000000" w:sz="4"/>
                          <w:left w:val="single" w:color="000000" w:sz="4"/>
                          <w:bottom w:val="single" w:color="000000" w:sz="4"/>
                          <w:right w:val="single" w:color="000000" w:sz="4"/>
                        </w:tcBorders>
                        <w:vAlign w:val="top"/>
                      </w:tcPr>
                      <w:p>
                        <w:pPr>
                          <w:jc w:val="center"/>
                        </w:pPr>
                        <w:r>
                          <w:rPr>
                            <w:color w:val="000000"/>
                            <w:sz w:val="21"/>
                          </w:rPr>
                          <w:t>3</w:t>
                        </w:r>
                        <w:r>
                          <w:rPr>
                            <w:color w:val="000000"/>
                            <w:sz w:val="21"/>
                          </w:rPr>
                          <w:t>台</w:t>
                        </w:r>
                      </w:p>
                    </w:tc>
                  </w:tr>
                  <w:tr>
                    <w:tc>
                      <w:tcPr>
                        <w:tcW w:type="dxa" w:w="435"/>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664"/>
                        <w:tcBorders>
                          <w:top w:val="none" w:color="000000" w:sz="4"/>
                          <w:left w:val="single" w:color="000000" w:sz="4"/>
                          <w:bottom w:val="single" w:color="000000" w:sz="4"/>
                          <w:right w:val="single" w:color="000000" w:sz="4"/>
                        </w:tcBorders>
                        <w:vAlign w:val="top"/>
                      </w:tcPr>
                      <w:p>
                        <w:pPr>
                          <w:jc w:val="center"/>
                        </w:pPr>
                        <w:r>
                          <w:rPr>
                            <w:color w:val="000000"/>
                            <w:sz w:val="21"/>
                          </w:rPr>
                          <w:t>机动式喷雾机</w:t>
                        </w:r>
                      </w:p>
                    </w:tc>
                    <w:tc>
                      <w:tcPr>
                        <w:tcW w:type="dxa" w:w="2404"/>
                        <w:tcBorders>
                          <w:top w:val="none" w:color="000000" w:sz="4"/>
                          <w:left w:val="single" w:color="000000" w:sz="4"/>
                          <w:bottom w:val="single" w:color="000000" w:sz="4"/>
                          <w:right w:val="single" w:color="000000" w:sz="4"/>
                        </w:tcBorders>
                        <w:vAlign w:val="top"/>
                      </w:tcPr>
                      <w:p>
                        <w:r>
                          <w:rPr>
                            <w:color w:val="000000"/>
                            <w:sz w:val="21"/>
                          </w:rPr>
                          <w:t>雾滴直径：</w:t>
                        </w:r>
                        <w:r>
                          <w:rPr>
                            <w:color w:val="000000"/>
                            <w:sz w:val="21"/>
                          </w:rPr>
                          <w:t>50～100微米。水平射程＞8米。</w:t>
                        </w:r>
                        <w:r>
                          <w:rPr>
                            <w:color w:val="000000"/>
                            <w:sz w:val="21"/>
                          </w:rPr>
                          <w:t>药箱容量</w:t>
                        </w:r>
                        <w:r>
                          <w:rPr>
                            <w:color w:val="000000"/>
                            <w:sz w:val="21"/>
                          </w:rPr>
                          <w:t>≥10L。</w:t>
                        </w:r>
                      </w:p>
                    </w:tc>
                    <w:tc>
                      <w:tcPr>
                        <w:tcW w:type="dxa" w:w="751"/>
                        <w:tcBorders>
                          <w:top w:val="none" w:color="000000" w:sz="4"/>
                          <w:left w:val="single" w:color="000000" w:sz="4"/>
                          <w:bottom w:val="single" w:color="000000" w:sz="4"/>
                          <w:right w:val="single" w:color="000000" w:sz="4"/>
                        </w:tcBorders>
                        <w:vAlign w:val="top"/>
                      </w:tcPr>
                      <w:p>
                        <w:pPr>
                          <w:jc w:val="center"/>
                        </w:pPr>
                        <w:r>
                          <w:rPr>
                            <w:color w:val="000000"/>
                            <w:sz w:val="21"/>
                          </w:rPr>
                          <w:t>2</w:t>
                        </w:r>
                        <w:r>
                          <w:rPr>
                            <w:color w:val="000000"/>
                            <w:sz w:val="21"/>
                          </w:rPr>
                          <w:t>台</w:t>
                        </w:r>
                      </w:p>
                    </w:tc>
                  </w:tr>
                  <w:tr>
                    <w:tc>
                      <w:tcPr>
                        <w:tcW w:type="dxa" w:w="435"/>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664"/>
                        <w:tcBorders>
                          <w:top w:val="none" w:color="000000" w:sz="4"/>
                          <w:left w:val="single" w:color="000000" w:sz="4"/>
                          <w:bottom w:val="single" w:color="000000" w:sz="4"/>
                          <w:right w:val="single" w:color="000000" w:sz="4"/>
                        </w:tcBorders>
                        <w:vAlign w:val="top"/>
                      </w:tcPr>
                      <w:p>
                        <w:pPr>
                          <w:jc w:val="center"/>
                        </w:pPr>
                        <w:r>
                          <w:rPr>
                            <w:color w:val="000000"/>
                            <w:sz w:val="21"/>
                          </w:rPr>
                          <w:t>电动喷雾机</w:t>
                        </w:r>
                      </w:p>
                    </w:tc>
                    <w:tc>
                      <w:tcPr>
                        <w:tcW w:type="dxa" w:w="2404"/>
                        <w:tcBorders>
                          <w:top w:val="none" w:color="000000" w:sz="4"/>
                          <w:left w:val="single" w:color="000000" w:sz="4"/>
                          <w:bottom w:val="single" w:color="000000" w:sz="4"/>
                          <w:right w:val="single" w:color="000000" w:sz="4"/>
                        </w:tcBorders>
                        <w:vAlign w:val="top"/>
                      </w:tcPr>
                      <w:p>
                        <w:r>
                          <w:rPr>
                            <w:color w:val="000000"/>
                            <w:sz w:val="21"/>
                          </w:rPr>
                          <w:t>雾滴直径：</w:t>
                        </w:r>
                        <w:r>
                          <w:rPr>
                            <w:color w:val="000000"/>
                            <w:sz w:val="21"/>
                          </w:rPr>
                          <w:t>50～200微米。水平射程＞6米。</w:t>
                        </w:r>
                        <w:r>
                          <w:rPr>
                            <w:color w:val="000000"/>
                            <w:sz w:val="21"/>
                          </w:rPr>
                          <w:t>药箱容量</w:t>
                        </w:r>
                        <w:r>
                          <w:rPr>
                            <w:color w:val="000000"/>
                            <w:sz w:val="21"/>
                          </w:rPr>
                          <w:t>≥5L。</w:t>
                        </w:r>
                      </w:p>
                    </w:tc>
                    <w:tc>
                      <w:tcPr>
                        <w:tcW w:type="dxa" w:w="751"/>
                        <w:tcBorders>
                          <w:top w:val="none" w:color="000000" w:sz="4"/>
                          <w:left w:val="single" w:color="000000" w:sz="4"/>
                          <w:bottom w:val="single" w:color="000000" w:sz="4"/>
                          <w:right w:val="single" w:color="000000" w:sz="4"/>
                        </w:tcBorders>
                        <w:vAlign w:val="top"/>
                      </w:tcPr>
                      <w:p>
                        <w:pPr>
                          <w:jc w:val="center"/>
                        </w:pPr>
                        <w:r>
                          <w:rPr>
                            <w:color w:val="000000"/>
                            <w:sz w:val="21"/>
                          </w:rPr>
                          <w:t>4</w:t>
                        </w:r>
                        <w:r>
                          <w:rPr>
                            <w:color w:val="000000"/>
                            <w:sz w:val="21"/>
                          </w:rPr>
                          <w:t>台</w:t>
                        </w:r>
                      </w:p>
                    </w:tc>
                  </w:tr>
                  <w:tr>
                    <w:tc>
                      <w:tcPr>
                        <w:tcW w:type="dxa" w:w="435"/>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664"/>
                        <w:tcBorders>
                          <w:top w:val="none" w:color="000000" w:sz="4"/>
                          <w:left w:val="single" w:color="000000" w:sz="4"/>
                          <w:bottom w:val="single" w:color="000000" w:sz="4"/>
                          <w:right w:val="single" w:color="000000" w:sz="4"/>
                        </w:tcBorders>
                        <w:vAlign w:val="top"/>
                      </w:tcPr>
                      <w:p>
                        <w:pPr>
                          <w:jc w:val="center"/>
                        </w:pPr>
                        <w:r>
                          <w:rPr>
                            <w:color w:val="000000"/>
                            <w:sz w:val="21"/>
                          </w:rPr>
                          <w:t>车载式喷雾机</w:t>
                        </w:r>
                      </w:p>
                    </w:tc>
                    <w:tc>
                      <w:tcPr>
                        <w:tcW w:type="dxa" w:w="2404"/>
                        <w:tcBorders>
                          <w:top w:val="none" w:color="000000" w:sz="4"/>
                          <w:left w:val="single" w:color="000000" w:sz="4"/>
                          <w:bottom w:val="single" w:color="000000" w:sz="4"/>
                          <w:right w:val="single" w:color="000000" w:sz="4"/>
                        </w:tcBorders>
                        <w:vAlign w:val="top"/>
                      </w:tcPr>
                      <w:p>
                        <w:r>
                          <w:rPr>
                            <w:color w:val="000000"/>
                            <w:sz w:val="21"/>
                          </w:rPr>
                          <w:t>适合大面积灭蚊及其它病媒昆虫，机动、超低容量、耐用性强，输出容量</w:t>
                        </w:r>
                        <w:r>
                          <w:rPr>
                            <w:color w:val="000000"/>
                            <w:sz w:val="21"/>
                          </w:rPr>
                          <w:t>50～100公升/小时，达距100米（受制于风速），雾滴80%＜40微米，声量80分贝以下。</w:t>
                        </w:r>
                      </w:p>
                    </w:tc>
                    <w:tc>
                      <w:tcPr>
                        <w:tcW w:type="dxa" w:w="751"/>
                        <w:tcBorders>
                          <w:top w:val="none" w:color="000000" w:sz="4"/>
                          <w:left w:val="single" w:color="000000" w:sz="4"/>
                          <w:bottom w:val="single" w:color="000000" w:sz="4"/>
                          <w:right w:val="single" w:color="000000" w:sz="4"/>
                        </w:tcBorders>
                        <w:vAlign w:val="top"/>
                      </w:tcPr>
                      <w:p>
                        <w:pPr>
                          <w:jc w:val="center"/>
                        </w:pPr>
                        <w:r>
                          <w:rPr>
                            <w:color w:val="000000"/>
                            <w:sz w:val="21"/>
                          </w:rPr>
                          <w:t>1台</w:t>
                        </w:r>
                      </w:p>
                    </w:tc>
                  </w:tr>
                  <w:tr>
                    <w:tc>
                      <w:tcPr>
                        <w:tcW w:type="dxa" w:w="435"/>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664"/>
                        <w:tcBorders>
                          <w:top w:val="none" w:color="000000" w:sz="4"/>
                          <w:left w:val="single" w:color="000000" w:sz="4"/>
                          <w:bottom w:val="single" w:color="000000" w:sz="4"/>
                          <w:right w:val="single" w:color="000000" w:sz="4"/>
                        </w:tcBorders>
                        <w:vAlign w:val="top"/>
                      </w:tcPr>
                      <w:p>
                        <w:pPr>
                          <w:jc w:val="center"/>
                        </w:pPr>
                        <w:r>
                          <w:rPr>
                            <w:color w:val="000000"/>
                            <w:sz w:val="21"/>
                          </w:rPr>
                          <w:t>热烟雾机</w:t>
                        </w:r>
                      </w:p>
                    </w:tc>
                    <w:tc>
                      <w:tcPr>
                        <w:tcW w:type="dxa" w:w="2404"/>
                        <w:tcBorders>
                          <w:top w:val="none" w:color="000000" w:sz="4"/>
                          <w:left w:val="single" w:color="000000" w:sz="4"/>
                          <w:bottom w:val="single" w:color="000000" w:sz="4"/>
                          <w:right w:val="single" w:color="000000" w:sz="4"/>
                        </w:tcBorders>
                        <w:vAlign w:val="top"/>
                      </w:tcPr>
                      <w:p>
                        <w:r>
                          <w:rPr>
                            <w:color w:val="000000"/>
                            <w:sz w:val="21"/>
                          </w:rPr>
                          <w:t>雾滴直径：</w:t>
                        </w:r>
                        <w:r>
                          <w:rPr>
                            <w:color w:val="000000"/>
                            <w:sz w:val="21"/>
                          </w:rPr>
                          <w:t>5微米，药液输出量：</w:t>
                        </w:r>
                        <w:r>
                          <w:rPr>
                            <w:color w:val="000000"/>
                            <w:sz w:val="21"/>
                          </w:rPr>
                          <w:t>0</w:t>
                        </w:r>
                        <w:r>
                          <w:rPr>
                            <w:color w:val="000000"/>
                            <w:sz w:val="21"/>
                          </w:rPr>
                          <w:t>～</w:t>
                        </w:r>
                        <w:r>
                          <w:rPr>
                            <w:color w:val="000000"/>
                            <w:sz w:val="21"/>
                          </w:rPr>
                          <w:t>42L/小时，功率：11.6～22K</w:t>
                        </w:r>
                        <w:r>
                          <w:rPr>
                            <w:color w:val="000000"/>
                            <w:sz w:val="21"/>
                          </w:rPr>
                          <w:t>w</w:t>
                        </w:r>
                        <w:r>
                          <w:rPr>
                            <w:color w:val="000000"/>
                            <w:sz w:val="21"/>
                          </w:rPr>
                          <w:t>，药箱容量：</w:t>
                        </w:r>
                        <w:r>
                          <w:rPr>
                            <w:color w:val="000000"/>
                            <w:sz w:val="21"/>
                          </w:rPr>
                          <w:t>5L或以上。</w:t>
                        </w:r>
                      </w:p>
                    </w:tc>
                    <w:tc>
                      <w:tcPr>
                        <w:tcW w:type="dxa" w:w="751"/>
                        <w:tcBorders>
                          <w:top w:val="none" w:color="000000" w:sz="4"/>
                          <w:left w:val="single" w:color="000000" w:sz="4"/>
                          <w:bottom w:val="single" w:color="000000" w:sz="4"/>
                          <w:right w:val="single" w:color="000000" w:sz="4"/>
                        </w:tcBorders>
                        <w:vAlign w:val="top"/>
                      </w:tcPr>
                      <w:p>
                        <w:pPr>
                          <w:jc w:val="center"/>
                        </w:pPr>
                        <w:r>
                          <w:rPr>
                            <w:color w:val="000000"/>
                            <w:sz w:val="21"/>
                          </w:rPr>
                          <w:t>3台</w:t>
                        </w:r>
                      </w:p>
                    </w:tc>
                  </w:tr>
                  <w:tr>
                    <w:tc>
                      <w:tcPr>
                        <w:tcW w:type="dxa" w:w="435"/>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664"/>
                        <w:tcBorders>
                          <w:top w:val="none" w:color="000000" w:sz="4"/>
                          <w:left w:val="single" w:color="000000" w:sz="4"/>
                          <w:bottom w:val="single" w:color="000000" w:sz="4"/>
                          <w:right w:val="single" w:color="000000" w:sz="4"/>
                        </w:tcBorders>
                        <w:vAlign w:val="top"/>
                      </w:tcPr>
                      <w:p>
                        <w:pPr>
                          <w:jc w:val="center"/>
                        </w:pPr>
                        <w:r>
                          <w:rPr>
                            <w:color w:val="000000"/>
                            <w:sz w:val="21"/>
                          </w:rPr>
                          <w:t>工具车</w:t>
                        </w:r>
                      </w:p>
                    </w:tc>
                    <w:tc>
                      <w:tcPr>
                        <w:tcW w:type="dxa" w:w="2404"/>
                        <w:tcBorders>
                          <w:top w:val="none" w:color="000000" w:sz="4"/>
                          <w:left w:val="single" w:color="000000" w:sz="4"/>
                          <w:bottom w:val="single" w:color="000000" w:sz="4"/>
                          <w:right w:val="single" w:color="000000" w:sz="4"/>
                        </w:tcBorders>
                        <w:vAlign w:val="top"/>
                      </w:tcPr>
                      <w:p/>
                    </w:tc>
                    <w:tc>
                      <w:tcPr>
                        <w:tcW w:type="dxa" w:w="751"/>
                        <w:tcBorders>
                          <w:top w:val="none" w:color="000000" w:sz="4"/>
                          <w:left w:val="single" w:color="000000" w:sz="4"/>
                          <w:bottom w:val="single" w:color="000000" w:sz="4"/>
                          <w:right w:val="single" w:color="000000" w:sz="4"/>
                        </w:tcBorders>
                        <w:vAlign w:val="top"/>
                      </w:tcPr>
                      <w:p>
                        <w:pPr>
                          <w:jc w:val="center"/>
                        </w:pPr>
                        <w:r>
                          <w:rPr>
                            <w:color w:val="000000"/>
                            <w:sz w:val="21"/>
                          </w:rPr>
                          <w:t>1辆</w:t>
                        </w:r>
                      </w:p>
                    </w:tc>
                  </w:tr>
                  <w:tr>
                    <w:tc>
                      <w:tcPr>
                        <w:tcW w:type="dxa" w:w="1099"/>
                        <w:gridSpan w:val="2"/>
                        <w:tcBorders>
                          <w:top w:val="none" w:color="000000" w:sz="4"/>
                          <w:left w:val="single" w:color="000000" w:sz="4"/>
                          <w:bottom w:val="single" w:color="000000" w:sz="4"/>
                          <w:right w:val="single" w:color="000000" w:sz="4"/>
                        </w:tcBorders>
                        <w:vAlign w:val="top"/>
                      </w:tcPr>
                      <w:p>
                        <w:pPr>
                          <w:jc w:val="center"/>
                        </w:pPr>
                        <w:r>
                          <w:rPr>
                            <w:color w:val="000000"/>
                            <w:sz w:val="21"/>
                          </w:rPr>
                          <w:t>备注</w:t>
                        </w:r>
                      </w:p>
                    </w:tc>
                    <w:tc>
                      <w:tcPr>
                        <w:tcW w:type="dxa" w:w="3155"/>
                        <w:gridSpan w:val="2"/>
                        <w:tcBorders>
                          <w:top w:val="none" w:color="000000" w:sz="4"/>
                          <w:left w:val="single" w:color="000000" w:sz="4"/>
                          <w:bottom w:val="single" w:color="000000" w:sz="4"/>
                          <w:right w:val="single" w:color="000000" w:sz="4"/>
                        </w:tcBorders>
                        <w:vAlign w:val="top"/>
                      </w:tcPr>
                      <w:p>
                        <w:r>
                          <w:rPr>
                            <w:color w:val="000000"/>
                            <w:sz w:val="21"/>
                          </w:rPr>
                          <w:t>投标人应根据各采购包的要求配置包含但不限于以上的设备。</w:t>
                        </w:r>
                      </w:p>
                    </w:tc>
                  </w:tr>
                </w:tbl>
                <w:p>
                  <w:r>
                    <w:rPr>
                      <w:sz w:val="21"/>
                    </w:rPr>
                    <w:t>5</w:t>
                  </w:r>
                  <w:r>
                    <w:rPr>
                      <w:sz w:val="21"/>
                    </w:rPr>
                    <w:t>.2管理要求</w:t>
                  </w:r>
                </w:p>
                <w:p>
                  <w:r>
                    <w:rPr>
                      <w:sz w:val="21"/>
                    </w:rPr>
                    <w:t>1）中标人须按招标文件要求足额配置设备及车辆专用于本项目，服务期内不得调往他用，否则将被视作违约。</w:t>
                  </w:r>
                </w:p>
                <w:p>
                  <w:r>
                    <w:rPr>
                      <w:sz w:val="21"/>
                    </w:rPr>
                    <w:t>2）作业设备及车辆须做好安全检查工作，每天作业前、作业中、作业后对设备及车辆进行安全检查，保证作业设备及车辆完好、外观整洁、适合作业。</w:t>
                  </w:r>
                </w:p>
                <w:p>
                  <w:r>
                    <w:rPr>
                      <w:sz w:val="21"/>
                    </w:rPr>
                    <w:t>3）作业设备及车辆在使用后须妥善停放于中标人的场地内，不得乱停乱放、阻碍交通。</w:t>
                  </w:r>
                </w:p>
                <w:p>
                  <w:r>
                    <w:rPr>
                      <w:sz w:val="21"/>
                    </w:rPr>
                    <w:t>4）作业车辆须证照、手续齐全，并配备有效的灭火设施。</w:t>
                  </w:r>
                </w:p>
                <w:p>
                  <w:r>
                    <w:rPr>
                      <w:sz w:val="21"/>
                    </w:rPr>
                    <w:t>5）除应急抢修处理需要，并经采购人及交警部门同意外，作业车辆不得于交通高峰期（7:00至9:00，17:00至19:00）占道作业，影响交通通行。</w:t>
                  </w:r>
                </w:p>
              </w:tc>
            </w:tr>
            <w:tr>
              <w:tc>
                <w:tcPr>
                  <w:tcW w:type="dxa" w:w="725"/>
                  <w:tcBorders>
                    <w:top w:val="none" w:color="000000" w:sz="4"/>
                    <w:left w:val="single" w:color="000000" w:sz="4"/>
                    <w:bottom w:val="single" w:color="000000" w:sz="4"/>
                    <w:right w:val="single" w:color="000000" w:sz="4"/>
                  </w:tcBorders>
                  <w:vAlign w:val="top"/>
                </w:tcPr>
                <w:p>
                  <w:r>
                    <w:rPr>
                      <w:sz w:val="21"/>
                    </w:rPr>
                    <w:t>对药物的基本要求</w:t>
                  </w:r>
                </w:p>
              </w:tc>
              <w:tc>
                <w:tcPr>
                  <w:tcW w:type="dxa" w:w="367"/>
                  <w:tcBorders>
                    <w:top w:val="none" w:color="000000" w:sz="4"/>
                    <w:left w:val="single" w:color="000000" w:sz="4"/>
                    <w:bottom w:val="single" w:color="000000" w:sz="4"/>
                    <w:right w:val="single" w:color="000000" w:sz="4"/>
                  </w:tcBorders>
                  <w:vAlign w:val="top"/>
                </w:tcPr>
                <w:p>
                  <w:pPr>
                    <w:jc w:val="center"/>
                  </w:pPr>
                  <w:r>
                    <w:rPr>
                      <w:sz w:val="21"/>
                    </w:rPr>
                    <w:t>6</w:t>
                  </w:r>
                </w:p>
              </w:tc>
              <w:tc>
                <w:tcPr>
                  <w:tcW w:type="dxa" w:w="4488"/>
                  <w:tcBorders>
                    <w:top w:val="none" w:color="000000" w:sz="4"/>
                    <w:left w:val="single" w:color="000000" w:sz="4"/>
                    <w:bottom w:val="single" w:color="000000" w:sz="4"/>
                    <w:right w:val="single" w:color="000000" w:sz="4"/>
                  </w:tcBorders>
                  <w:vAlign w:val="top"/>
                </w:tcPr>
                <w:p>
                  <w:r>
                    <w:rPr>
                      <w:sz w:val="21"/>
                    </w:rPr>
                    <w:t>1）根据省、市、区抗药性监测数据，使用推荐产品。</w:t>
                  </w:r>
                </w:p>
                <w:p>
                  <w:r>
                    <w:rPr>
                      <w:sz w:val="21"/>
                    </w:rPr>
                    <w:t>2）每类害虫防制须有6种或以上符合国家规定的药物轮换使用，避免防制抗药性。</w:t>
                  </w:r>
                </w:p>
                <w:p>
                  <w:r>
                    <w:rPr>
                      <w:sz w:val="21"/>
                    </w:rPr>
                    <w:t>3）使用的所有药物须符合国家有关规定，使用“三证”齐全（农药登记证、生产批准证书号、产品标准号）并可追索来源的药物。（在投标文件中提供“三证”复印件加盖投标人公章</w:t>
                  </w:r>
                  <w:r>
                    <w:rPr>
                      <w:sz w:val="21"/>
                    </w:rPr>
                    <w:t>的扫描件</w:t>
                  </w:r>
                  <w:r>
                    <w:rPr>
                      <w:sz w:val="21"/>
                    </w:rPr>
                    <w:t>）</w:t>
                  </w:r>
                </w:p>
                <w:p>
                  <w:r>
                    <w:rPr>
                      <w:sz w:val="21"/>
                    </w:rPr>
                    <w:t>4）科学用药，不得使用国家禁用或伪劣的灭鼠、杀虫剂。</w:t>
                  </w:r>
                </w:p>
                <w:p>
                  <w:r>
                    <w:rPr>
                      <w:sz w:val="21"/>
                    </w:rPr>
                    <w:t>5）安全操作，灭鼠药物须妥善保管，不得遗失，灭鼠毒饵靠边和隐蔽处投放；不污染环境，确保人、畜安全，若因管理或操作不当而引起的一切责任由中标人承担。</w:t>
                  </w:r>
                </w:p>
              </w:tc>
            </w:tr>
            <w:tr>
              <w:tc>
                <w:tcPr>
                  <w:tcW w:type="dxa" w:w="725"/>
                  <w:tcBorders>
                    <w:top w:val="none" w:color="000000" w:sz="4"/>
                    <w:left w:val="single" w:color="000000" w:sz="4"/>
                    <w:bottom w:val="single" w:color="000000" w:sz="4"/>
                    <w:right w:val="single" w:color="000000" w:sz="4"/>
                  </w:tcBorders>
                  <w:vAlign w:val="top"/>
                </w:tcPr>
                <w:p>
                  <w:r>
                    <w:rPr>
                      <w:sz w:val="21"/>
                    </w:rPr>
                    <w:t>作业要求</w:t>
                  </w:r>
                </w:p>
              </w:tc>
              <w:tc>
                <w:tcPr>
                  <w:tcW w:type="dxa" w:w="367"/>
                  <w:tcBorders>
                    <w:top w:val="none" w:color="000000" w:sz="4"/>
                    <w:left w:val="single" w:color="000000" w:sz="4"/>
                    <w:bottom w:val="single" w:color="000000" w:sz="4"/>
                    <w:right w:val="single" w:color="000000" w:sz="4"/>
                  </w:tcBorders>
                  <w:vAlign w:val="top"/>
                </w:tcPr>
                <w:p>
                  <w:pPr>
                    <w:jc w:val="center"/>
                  </w:pPr>
                  <w:r>
                    <w:rPr>
                      <w:sz w:val="21"/>
                    </w:rPr>
                    <w:t>7</w:t>
                  </w:r>
                </w:p>
              </w:tc>
              <w:tc>
                <w:tcPr>
                  <w:tcW w:type="dxa" w:w="4488"/>
                  <w:tcBorders>
                    <w:top w:val="none" w:color="000000" w:sz="4"/>
                    <w:left w:val="single" w:color="000000" w:sz="4"/>
                    <w:bottom w:val="single" w:color="000000" w:sz="4"/>
                    <w:right w:val="single" w:color="000000" w:sz="4"/>
                  </w:tcBorders>
                  <w:vAlign w:val="top"/>
                </w:tcPr>
                <w:p>
                  <w:r>
                    <w:rPr>
                      <w:sz w:val="21"/>
                    </w:rPr>
                    <w:t>1）实施防制作业前，须先到现场调查辖区病媒生物的基本情况、记录详细，对病媒生物的种类、栖息部位、密度状况及孳生环境等情况有全面的了解，因地制宜地制定合理的害虫综合控制方案，并根据防制方案备好药品、器械和个人防护用品等。</w:t>
                  </w:r>
                </w:p>
                <w:p>
                  <w:r>
                    <w:rPr>
                      <w:sz w:val="21"/>
                    </w:rPr>
                    <w:t>2）防治药品及相关器械的使用按国家有关部门指定的最新标准执行。</w:t>
                  </w:r>
                </w:p>
                <w:p>
                  <w:r>
                    <w:rPr>
                      <w:sz w:val="21"/>
                    </w:rPr>
                    <w:t>3）实施防制作业，应遵守安全操作规定，合理用药，施药到位，保证防制效果，并防止药品污染环境。</w:t>
                  </w:r>
                </w:p>
                <w:p>
                  <w:r>
                    <w:rPr>
                      <w:sz w:val="21"/>
                    </w:rPr>
                    <w:t>4）为单位、住户喷药除虫，应协助户主做好防污染工作。</w:t>
                  </w:r>
                </w:p>
                <w:p>
                  <w:r>
                    <w:rPr>
                      <w:sz w:val="21"/>
                    </w:rPr>
                    <w:t>5）除虫施药注意个人防护，穿工作服，戴口罩和手套。</w:t>
                  </w:r>
                </w:p>
                <w:p>
                  <w:r>
                    <w:rPr>
                      <w:sz w:val="21"/>
                    </w:rPr>
                    <w:t>6）施药除虫剩余的药物和药物包装容器（材料），回收集中处理不随地遗弃。</w:t>
                  </w:r>
                </w:p>
                <w:p>
                  <w:r>
                    <w:rPr>
                      <w:sz w:val="21"/>
                    </w:rPr>
                    <w:t>7）不得在鱼塘和与养鱼有关水体喷洒、倾倒对鱼类有害的杀虫剂和清洗喷雾工具、用具。</w:t>
                  </w:r>
                </w:p>
                <w:p>
                  <w:r>
                    <w:rPr>
                      <w:sz w:val="21"/>
                    </w:rPr>
                    <w:t>8）作业完成后应认真填写《服务作业单》并交由被服务对象签认，街道爱卫办、各村（居）委会各一份，保存备查。</w:t>
                  </w:r>
                </w:p>
                <w:p>
                  <w:r>
                    <w:rPr>
                      <w:sz w:val="21"/>
                    </w:rPr>
                    <w:t>9）定期进行病媒生物密度监测和防制效果监测，监测资料及时统计、分析上报爱卫办，并归档保存。</w:t>
                  </w:r>
                </w:p>
              </w:tc>
            </w:tr>
            <w:tr>
              <w:tc>
                <w:tcPr>
                  <w:tcW w:type="dxa" w:w="725"/>
                  <w:tcBorders>
                    <w:top w:val="none" w:color="000000" w:sz="4"/>
                    <w:left w:val="single" w:color="000000" w:sz="4"/>
                    <w:bottom w:val="single" w:color="000000" w:sz="4"/>
                    <w:right w:val="single" w:color="000000" w:sz="4"/>
                  </w:tcBorders>
                  <w:vAlign w:val="top"/>
                </w:tcPr>
                <w:p>
                  <w:r>
                    <w:rPr>
                      <w:sz w:val="21"/>
                    </w:rPr>
                    <w:t>其他实施要求</w:t>
                  </w:r>
                </w:p>
              </w:tc>
              <w:tc>
                <w:tcPr>
                  <w:tcW w:type="dxa" w:w="367"/>
                  <w:tcBorders>
                    <w:top w:val="none" w:color="000000" w:sz="4"/>
                    <w:left w:val="single" w:color="000000" w:sz="4"/>
                    <w:bottom w:val="single" w:color="000000" w:sz="4"/>
                    <w:right w:val="single" w:color="000000" w:sz="4"/>
                  </w:tcBorders>
                  <w:vAlign w:val="top"/>
                </w:tcPr>
                <w:p>
                  <w:pPr>
                    <w:jc w:val="center"/>
                  </w:pPr>
                  <w:r>
                    <w:rPr>
                      <w:sz w:val="21"/>
                    </w:rPr>
                    <w:t>8</w:t>
                  </w:r>
                </w:p>
              </w:tc>
              <w:tc>
                <w:tcPr>
                  <w:tcW w:type="dxa" w:w="4488"/>
                  <w:tcBorders>
                    <w:top w:val="none" w:color="000000" w:sz="4"/>
                    <w:left w:val="single" w:color="000000" w:sz="4"/>
                    <w:bottom w:val="single" w:color="000000" w:sz="4"/>
                    <w:right w:val="single" w:color="000000" w:sz="4"/>
                  </w:tcBorders>
                  <w:vAlign w:val="top"/>
                </w:tcPr>
                <w:p>
                  <w:r>
                    <w:rPr>
                      <w:sz w:val="21"/>
                    </w:rPr>
                    <w:t>1）在本项目合同签订后的30天内，中标人须顺德行政区域内设置固定的办公场所和仓库，面积合计不少于60㎡，并向采购人提供相应的场地权属证明或场地使用证明，否则视为拒绝履行合同义务。</w:t>
                  </w:r>
                </w:p>
                <w:p>
                  <w:r>
                    <w:rPr>
                      <w:sz w:val="21"/>
                    </w:rPr>
                    <w:t>2）中标人须按采购人要求做好各种规范的除“四害”监测纪录，制定科学的年度、季度除“四害”工作计划，包括：技术方案、工作方法、用药计划等。每季度10日前将上季度的实施质量和工作情况向采购人作书面报告。</w:t>
                  </w:r>
                </w:p>
                <w:p>
                  <w:r>
                    <w:rPr>
                      <w:sz w:val="21"/>
                    </w:rPr>
                    <w:t>3）中标人应制定详尽的应急方案，包括：专业技术作业人员、作业设备等，无条件配合采购人做好除四害应急工作和突发性的新增工作任务，不得有异议。</w:t>
                  </w:r>
                </w:p>
                <w:p>
                  <w:r>
                    <w:rPr>
                      <w:sz w:val="21"/>
                    </w:rPr>
                    <w:t>4）中标人应做好服务人员档案管理资料，做好工作记录，建立施药服务卡，做好资料收集和整理归档。当采购人需要时，须随时提供。</w:t>
                  </w:r>
                </w:p>
                <w:p>
                  <w:r>
                    <w:rPr>
                      <w:sz w:val="21"/>
                    </w:rPr>
                    <w:t>5）若标段辖区有发现死鼠或居民打死老鼠，中标人须免费上门处理死鼠。</w:t>
                  </w:r>
                </w:p>
                <w:p>
                  <w:r>
                    <w:rPr>
                      <w:sz w:val="21"/>
                    </w:rPr>
                    <w:t>6）在每年除四害高发季节（如5～10月），中标人须无条件配合采购人做好宣传和指导工作，并对有需要的市民提供优质服务。</w:t>
                  </w:r>
                </w:p>
                <w:p>
                  <w:r>
                    <w:rPr>
                      <w:sz w:val="21"/>
                    </w:rPr>
                    <w:t>7）中标人须遵守采购人各项管理规定，接受和服从采购人的管理及考评，配合提供便利条件，根据采购人提出的意见及时进行整改。</w:t>
                  </w:r>
                </w:p>
                <w:p>
                  <w:r>
                    <w:rPr>
                      <w:sz w:val="21"/>
                    </w:rPr>
                    <w:t>8）中标人须积极配合采购人做好准备工作，接受国家、省、市、区及街道各级政府部门组织的考评、检查及验收等。</w:t>
                  </w:r>
                </w:p>
                <w:p>
                  <w:r>
                    <w:rPr>
                      <w:sz w:val="21"/>
                    </w:rPr>
                    <w:t>9）中标人须按采购人要求及时提交作业计划、应急预案等资料，确保所提供的资料真实合理。</w:t>
                  </w:r>
                </w:p>
                <w:p>
                  <w:r>
                    <w:rPr>
                      <w:sz w:val="21"/>
                    </w:rPr>
                    <w:t>10）中标人须无条件配合有关政府部门举办的一切活动，协助处理应急事件。</w:t>
                  </w:r>
                </w:p>
                <w:p>
                  <w:r>
                    <w:rPr>
                      <w:sz w:val="21"/>
                    </w:rPr>
                    <w:t>11）中标人须及时制止影响项目管理质量的行为，并及时向采购人汇报情况及提供现场记录（相片、报告）；超过24小时未报的，则由中标人负责按原貌恢复。</w:t>
                  </w:r>
                </w:p>
                <w:p>
                  <w:r>
                    <w:rPr>
                      <w:sz w:val="21"/>
                    </w:rPr>
                    <w:t>12）中标人须按招标要求及投标承诺做好日常管理工作，避免群众投诉。若直接或间接收到群众通过来信、来电、来访等方式投诉的，须及时妥善处理整改，避免反复投诉。</w:t>
                  </w:r>
                </w:p>
                <w:p>
                  <w:r>
                    <w:rPr>
                      <w:sz w:val="21"/>
                    </w:rPr>
                    <w:t>13）在服务期内，采购人没有增加服务内容、项目，而中标人自行增加设备和人员等的，所增加的费用一律由中标人自行负责。</w:t>
                  </w:r>
                </w:p>
                <w:p>
                  <w:r>
                    <w:rPr>
                      <w:sz w:val="21"/>
                    </w:rPr>
                    <w:t>14）病媒生物防制工作资料的印刷装订，每年工作资料需一式三份，采购人、防制区域、中标人各保存一份。内容包括每日工作微文一篇，每日工作记录表，每月报表、小结要汇总装订成册，制定防制工作方案、技术方案、孳生地调查、治理方案等。</w:t>
                  </w:r>
                </w:p>
                <w:p>
                  <w:r>
                    <w:rPr>
                      <w:sz w:val="21"/>
                    </w:rPr>
                    <w:t>15）在服务期内，中标人进行消杀活动前应做好相关宣传工作，科学规范使用及投放一切药物，杜绝误触误食毒饵事件发生。如发生相关人宠畜误触误食事件，一切责任及赔偿由中标人承担。中标人可自行考虑包括但不限于通过购买保险等方式对项目进行风险管理。</w:t>
                  </w:r>
                </w:p>
              </w:tc>
            </w:tr>
            <w:tr>
              <w:tc>
                <w:tcPr>
                  <w:tcW w:type="dxa" w:w="1092"/>
                  <w:gridSpan w:val="2"/>
                  <w:tcBorders>
                    <w:top w:val="none" w:color="000000" w:sz="4"/>
                    <w:left w:val="single" w:color="000000" w:sz="4"/>
                    <w:bottom w:val="single" w:color="000000" w:sz="4"/>
                    <w:right w:val="single" w:color="000000" w:sz="4"/>
                  </w:tcBorders>
                  <w:vAlign w:val="top"/>
                </w:tcPr>
                <w:p>
                  <w:pPr>
                    <w:jc w:val="center"/>
                  </w:pPr>
                  <w:r>
                    <w:rPr>
                      <w:sz w:val="21"/>
                    </w:rPr>
                    <w:t>说明</w:t>
                  </w:r>
                </w:p>
              </w:tc>
              <w:tc>
                <w:tcPr>
                  <w:tcW w:type="dxa" w:w="4488"/>
                  <w:tcBorders>
                    <w:top w:val="none" w:color="000000" w:sz="4"/>
                    <w:left w:val="single" w:color="000000" w:sz="4"/>
                    <w:bottom w:val="single" w:color="000000" w:sz="4"/>
                    <w:right w:val="single" w:color="000000" w:sz="4"/>
                  </w:tcBorders>
                  <w:vAlign w:val="top"/>
                </w:tcPr>
                <w:p>
                  <w:r>
                    <w:rPr>
                      <w:sz w:val="21"/>
                    </w:rPr>
                    <w:t>打</w:t>
                  </w:r>
                  <w:r>
                    <w:rPr>
                      <w:sz w:val="21"/>
                    </w:rPr>
                    <w:t>“★”号条款为实质性条款，若有任何一条负偏离或不满足则导致投标（响应）无效。</w:t>
                  </w:r>
                  <w:r>
                    <w:rPr>
                      <w:sz w:val="22"/>
                    </w:rPr>
                    <w:t xml:space="preserve"> </w:t>
                  </w:r>
                </w:p>
                <w:p>
                  <w:r>
                    <w:rPr>
                      <w:sz w:val="21"/>
                    </w:rPr>
                    <w:t>打</w:t>
                  </w:r>
                  <w:r>
                    <w:rPr>
                      <w:sz w:val="21"/>
                    </w:rPr>
                    <w:t>“▲”号条款为重要技术参数（如有），若有部分“▲”条款未响应或不满足，将根据评审要求影响其得分，但不作为无效投标（响应）条款。</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t>采购包3（扶闾村委会、稔海村委会、黄连居委会、新明村委会、江义村委会、上涌村委会、江村村委会、南水村委会（包3））：</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自合同签订生效之日起3年。</w:t>
            </w:r>
          </w:p>
        </w:tc>
      </w:tr>
      <w:tr>
        <w:tc>
          <w:tcPr>
            <w:tcW w:type="dxa" w:w="4153"/>
          </w:tcPr>
          <w:p>
            <w:r>
              <w:rPr/>
              <w:t>标的提供的地点</w:t>
            </w:r>
          </w:p>
        </w:tc>
        <w:tc>
          <w:tcPr>
            <w:tcW w:type="dxa" w:w="4153"/>
          </w:tcPr>
          <w:p>
            <w:pPr>
              <w:jc w:val="left"/>
            </w:pPr>
          </w:p>
          <w:p>
            <w:r>
              <w:rPr/>
              <w:t>采购人指定地点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1期：支付比例8.33%，合同生效后，中标人在每个结算周期结束后的15个工作日内将当期的费用结算清单（含考核处罚情况等）汇总并递交给采购人；</w:t>
            </w:r>
          </w:p>
          <w:p/>
          <w:p>
            <w:r>
              <w:rPr/>
              <w:t>2期：支付比例8.33%，合同生效后，中标人在每个结算周期结束后的15个工作日内将当期的费用结算清单（含考核处罚情况等）汇总并递交给采购人；</w:t>
            </w:r>
          </w:p>
          <w:p/>
          <w:p>
            <w:r>
              <w:rPr/>
              <w:t>3期：支付比例8.33%，合同生效后，中标人在每个结算周期结束后的15个工作日内将当期的费用结算清单（含考核处罚情况等）汇总并递交给采购人；</w:t>
            </w:r>
          </w:p>
          <w:p/>
          <w:p>
            <w:r>
              <w:rPr/>
              <w:t>4期：支付比例8.33%，合同生效后，中标人在每个结算周期结束后的15个工作日内将当期的费用结算清单（含考核处罚情况等）汇总并递交给采购人；</w:t>
            </w:r>
          </w:p>
          <w:p/>
          <w:p>
            <w:r>
              <w:rPr/>
              <w:t>5期：支付比例8.33%，合同生效后，中标人在每个结算周期结束后的15个工作日内将当期的费用结算清单（含考核处罚情况等）汇总并递交给采购人；</w:t>
            </w:r>
          </w:p>
          <w:p/>
          <w:p>
            <w:r>
              <w:rPr/>
              <w:t>6期：支付比例8.33%，合同生效后，中标人在每个结算周期结束后的15个工作日内将当期的费用结算清单（含考核处罚情况等）汇总并递交给采购人；</w:t>
            </w:r>
          </w:p>
          <w:p/>
          <w:p>
            <w:r>
              <w:rPr/>
              <w:t>7期：支付比例8.33%，合同生效后，中标人在每个结算周期结束后的15个工作日内将当期的费用结算清单（含考核处罚情况等）汇总并递交给采购人；</w:t>
            </w:r>
          </w:p>
          <w:p/>
          <w:p>
            <w:r>
              <w:rPr/>
              <w:t>8期：支付比例8.33%，合同生效后，中标人在每个结算周期结束后的15个工作日内将当期的费用结算清单（含考核处罚情况等）汇总并递交给采购人；</w:t>
            </w:r>
          </w:p>
          <w:p/>
          <w:p>
            <w:r>
              <w:rPr/>
              <w:t>9期：支付比例8.33%，合同生效后，中标人在每个结算周期结束后的15个工作日内将当期的费用结算清单（含考核处罚情况等）汇总并递交给采购人；</w:t>
            </w:r>
          </w:p>
          <w:p/>
          <w:p>
            <w:r>
              <w:rPr/>
              <w:t>10期：支付比例8.33%，合同生效后，中标人在每个结算周期结束后的15个工作日内将当期的费用结算清单（含考核处罚情况等）汇总并递交给采购人；</w:t>
            </w:r>
          </w:p>
          <w:p/>
          <w:p>
            <w:r>
              <w:rPr/>
              <w:t>11期：支付比例8.33%，合同生效后，中标人在每个结算周期结束后的15个工作日内将当期的费用结算清单（含考核处罚情况等）汇总并递交给采购人；</w:t>
            </w:r>
          </w:p>
          <w:p/>
          <w:p>
            <w:r>
              <w:rPr/>
              <w:t>12期：支付比例8.37%，合同生效后，中标人在每个结算周期结束后的15个工作日内将当期的费用结算清单（含考核处罚情况等）汇总并递交给采购人；【注：1、采购人核定当期的结算金额后，中标人须提供该期相应金额的服务费发票，收款方、发票出具方、合同乙方均须与中标人名称一致；2、采购人在中标人提供该期服务费发票15个工作日内向中标人支付服务费；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Pr>
              <w:jc w:val="left"/>
            </w:pPr>
          </w:p>
          <w:p/>
          <w:p/>
          <w:p>
            <w:r>
              <w:rPr/>
              <w:t>1期：根据全国爱卫会《国家卫生城市标准》（2014版）和顺德区爱卫办【2006】4号文，《佛山市顺德区公共环境除四害承包质量考评标准》（试行）（附）的通知精神，制定考评办法。</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其他:报价要求：1、投标报价为全包价，以元人民币为结算单位，包括本项目所有服务涉及的一切劳务、保险、管理费、通讯交通、药品及材料费、机具费、水电费、各种规费、税费等，包括本项目代理服务费以及合同履行过程中应预见和不可预见的一切费用。2、在合同执行过程中，采购人将不再另行支付与本项目相关的其他任何费用。3、投标人的报价不得超出该标段的采购预算或最高限价，否则其投标无效。 监督考评办法： 1）监督考评办法 根据全国爱卫会《国家卫生城市标准》（2014版）和顺德区爱卫办【2006】4号文，《佛山市顺德区公共环境除四害承包质量考评标准》（试行）（附）的通知精神，制定考评办法如下： 1.1考评方式 采取街道除四害考评组、居村委会、卫健办、社会监督等综合考核方法。 1.2街道除四害考评组：根据顺德区爱卫办[2006]4号文《佛山市顺德区公共环境除四害承包质量考评标准》，委托专业机构进行专业考核监测，每季度一次定量考评，年终作年度总评定。 1.3居（村）委会考核：居（村）委会负责对除四害专业队日常工作进行监督、指导。对专业队放药、喷洒、治理孳生地等工作实行签名确认（采购人或勒流街道爱卫办印发施工记录表），每月对服务本居（村）委会除四害工作进行一次系统检查。 1.4街道卫健办考核：结合平时卫生检查、除四害日常施工、投诉与处理、应急等进行考核。 1.5社会监督：（1）群众评议：每季度由居（村）委会、考评专家组进行随机访问居民群众。（2）群众举报或投诉，每季度由街道爱卫办收集和整理群众举报或投诉资料并计分。 2）评定办法 根据街道除四害考评组、街道卫健办评定、居（村）委会评定、社会监督四个方面的评议，把分别评出的四项分数作综合评定，得出除四害专业队的季度和年度评定分值。综合评定采用百分制。评定分值：街道除四害考评组占50分、街道卫健办评分占20分、居（村）委会评定占20分、社会监督（群众评议）占10分。群众举报或投诉属实，在总分直接扣除，每宗0.5分。 2.1街道除四害考评组：内容包括操作规程、防治质量、监测资料、现场抽查等进行评定。 2.2居（村）委会评定：由居（村）委会根据日常管理和施工情况作综合评定。 2.3街道卫健办评定：结合平时卫生检查、除四害日常施工、投诉与处理、应急等作综合评定。 2.4社会监督：由居（村）委会和专家组季度考核时进行群众满意度测评，按10分评定。其中操作规程2分，防治效果7分，检测资料1分。 2.5社会监督（群众举报或投诉）：以各居村为单位，发生群众举报或投诉，经调查核实，中标人须立即进行跟踪处理，一宗投诉扣除0.5分。如果一个季度内同一地点发生两次群众举报或投诉，经调查情况属实的，扣除1分；当年同一地点群众举报或投诉，经调查情况属实的，超过两次后每增加一次，扣除1分。 3）年终评定 根据四个季度考核结果，平均分达90分以上（含90分）为合格。 4）质量制约 4.1季度和年度考核合格（发生扣罚和奖励情况除外）如数给付服务费用（以90分为合格基数）；考核不合格，每少1分扣除当期服务费用总额的1％。对服务质量差和操作规程不符合要求的，并出现其中2项超标的，通过除四害监督员、监督监测组提出整改意见，限期整改；逾期不整改，服务质量仍旧低劣，四害中如有1项不符合标准的，扣除当期服务费总额的5%；如有2项不符合标准或连续2次不合格的（不满90分），采购人有权无条件终止和解除服务合同，一切经济和法律责任由中标人承担。 4.2处罚 （1）违反操作规程，严重影响工作质量者，扣除当期服务费总额的3％。 （2）不按规定用药，或施药弄虚作假，施药不足者，扣除当期服务费总额的5％。 （3）中标人有责任配合采购人接受上级领导部门的监督、检查，并提供必须的材料。遇有上级检查及大型活动等需要突击加班的，须无条件服从安排，在接到通知后2小时内人员须按要求带全装备到场开展工作，否则每次扣除当期服务费总额的5%，突击任务所产生的费用由中标人负责（含卫生防疫）；突发任务未能按时按质完成，对采购人形象造成负面影响的，每次扣除当期服务费总额的3%。 （4）在合同履行服务过程中，采购人不定期对中标人的服务人数、资格证、药品登记证及机械设备数量抽查，发现缺人、缺证、缺设备的，每次罚款3000元/人/证/机。累计2次抽查不合格一次罚款20000元，采购人有权无条件终止和解除服务合同，没收履约保证金并取消该单位的服务资格，一切经济和法律责任由中标人承担。 （5）上级主管部门检查或第三方考核验收达不到国家标准的，经整改后仍不达标的，采购人有权对中标人视情节轻重给予罚款、终止合同。 （6）承包期间,遇卫生城市（镇）复审时，国家、省、市、区专家组检查病媒生物密度达不到国家C级标准,影响勒流街道评分的,扣除外包服务费总额的20%至30%作为罚款,采购人有权终止合同。 （7）中标人擅自将服务合同转包或部分分包给第三方，采购人有权将中标人列入黑名单并终止合同。 监督与沟通： 1）中标人应诚实信用，严格按照招标文件要求和承诺履行合同，不向采购人进行商业贿赂或者提供不正当利益。 2）积极与采购人协调、配合，并根据采购人的要求，不断改进、提高服务质量。 3）中标人在服务期间，采购人有权对中标人施工情况进行监督检查，中标人应尊重政府对部分区域加强服务或提供技术支持等要求，如采购人接到政府投诉中标人不配合的，一经核实将对中标人作出相应处理。 其他重要事项：参加本项目的投标人，视为已认同和确认：①对于以上要求中未提及的，有行业标准的按行业标准执行，无行业标准的按地方标准执行，无地方标准的按国家标准执行。②中标人针对以上要求的优惠承诺，采购人有权视其实际适用性选择是否采纳。 特别说明！！！ :上述主要商务条款均为★实质性条款，任何一条负偏离将导致投标无效。</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其他服务</w:t>
            </w:r>
          </w:p>
        </w:tc>
        <w:tc>
          <w:tcPr>
            <w:tcW w:type="dxa" w:w="1923"/>
          </w:tcPr>
          <w:p>
            <w:r>
              <w:rPr/>
              <w:t>扶闾村委会、稔海村委会、黄连居委会、新明村委会、江义村委会、上涌村委会、江村村委会、南水村委会（包3）</w:t>
            </w:r>
          </w:p>
        </w:tc>
        <w:tc>
          <w:tcPr>
            <w:tcW w:type="dxa" w:w="385"/>
          </w:tcPr>
          <w:p>
            <w:r>
              <w:rPr/>
              <w:t>项</w:t>
            </w:r>
          </w:p>
        </w:tc>
        <w:tc>
          <w:tcPr>
            <w:tcW w:type="dxa" w:w="769"/>
          </w:tcPr>
          <w:p>
            <w:pPr>
              <w:jc w:val="right"/>
            </w:pPr>
            <w:r>
              <w:rPr/>
              <w:t>1.0000</w:t>
            </w:r>
          </w:p>
        </w:tc>
        <w:tc>
          <w:tcPr>
            <w:tcW w:type="dxa" w:w="769"/>
          </w:tcPr>
          <w:p>
            <w:pPr>
              <w:jc w:val="right"/>
            </w:pPr>
            <w:r>
              <w:rPr/>
              <w:t>1,740,000.00</w:t>
            </w:r>
          </w:p>
        </w:tc>
        <w:tc>
          <w:tcPr>
            <w:tcW w:type="dxa" w:w="769"/>
          </w:tcPr>
          <w:p>
            <w:pPr>
              <w:jc w:val="right"/>
            </w:pPr>
            <w:r>
              <w:rPr/>
              <w:t>1,740,000.00</w:t>
            </w:r>
          </w:p>
        </w:tc>
        <w:tc>
          <w:tcPr>
            <w:tcW w:type="dxa" w:w="769"/>
          </w:tcPr>
          <w:p>
            <w:r>
              <w:rPr/>
              <w:t>其他未列明行业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扶闾村委会、稔海村委会、黄连居委会、新明村委会、江义村委会、上涌村委会、江村村委会、南水村委会（包3）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b/>
                <w:sz w:val="28"/>
              </w:rPr>
              <w:t xml:space="preserve"> </w:t>
            </w:r>
          </w:p>
          <w:tbl>
            <w:tblPr>
              <w:tblBorders>
                <w:top w:val="none" w:color="000000" w:sz="4"/>
                <w:left w:val="none" w:color="000000" w:sz="4"/>
                <w:bottom w:val="none" w:color="000000" w:sz="4"/>
                <w:right w:val="none" w:color="000000" w:sz="4"/>
                <w:insideH w:val="none"/>
                <w:insideV w:val="none"/>
              </w:tblBorders>
            </w:tblPr>
            <w:tblGrid>
              <w:gridCol w:w="725"/>
              <w:gridCol w:w="367"/>
              <w:gridCol w:w="4488"/>
            </w:tblGrid>
            <w:tr>
              <w:tc>
                <w:tcPr>
                  <w:tcW w:type="dxa" w:w="725"/>
                  <w:tcBorders>
                    <w:top w:val="single" w:color="000000" w:sz="4"/>
                    <w:left w:val="single" w:color="000000" w:sz="4"/>
                    <w:bottom w:val="single" w:color="000000" w:sz="4"/>
                    <w:right w:val="single" w:color="000000" w:sz="4"/>
                  </w:tcBorders>
                  <w:shd w:fill="F1F1F1"/>
                  <w:vAlign w:val="top"/>
                </w:tcPr>
                <w:p>
                  <w:pPr>
                    <w:jc w:val="center"/>
                  </w:pPr>
                  <w:r>
                    <w:rPr>
                      <w:b/>
                      <w:sz w:val="21"/>
                    </w:rPr>
                    <w:t>参数性质</w:t>
                  </w:r>
                </w:p>
              </w:tc>
              <w:tc>
                <w:tcPr>
                  <w:tcW w:type="dxa" w:w="367"/>
                  <w:tcBorders>
                    <w:top w:val="single" w:color="000000" w:sz="4"/>
                    <w:left w:val="single" w:color="000000" w:sz="4"/>
                    <w:bottom w:val="single" w:color="000000" w:sz="4"/>
                    <w:right w:val="single" w:color="000000" w:sz="4"/>
                  </w:tcBorders>
                  <w:shd w:fill="F1F1F1"/>
                  <w:vAlign w:val="top"/>
                </w:tcPr>
                <w:p>
                  <w:pPr>
                    <w:jc w:val="center"/>
                  </w:pPr>
                  <w:r>
                    <w:rPr>
                      <w:b/>
                      <w:sz w:val="21"/>
                    </w:rPr>
                    <w:t>序号</w:t>
                  </w:r>
                </w:p>
              </w:tc>
              <w:tc>
                <w:tcPr>
                  <w:tcW w:type="dxa" w:w="4488"/>
                  <w:tcBorders>
                    <w:top w:val="single" w:color="000000" w:sz="4"/>
                    <w:left w:val="single" w:color="000000" w:sz="4"/>
                    <w:bottom w:val="single" w:color="000000" w:sz="4"/>
                    <w:right w:val="single" w:color="000000" w:sz="4"/>
                  </w:tcBorders>
                  <w:shd w:fill="F1F1F1"/>
                  <w:vAlign w:val="top"/>
                </w:tcPr>
                <w:p>
                  <w:pPr>
                    <w:jc w:val="center"/>
                  </w:pPr>
                  <w:r>
                    <w:rPr>
                      <w:b/>
                      <w:sz w:val="21"/>
                    </w:rPr>
                    <w:t>具体技术（参数）要求</w:t>
                  </w:r>
                </w:p>
              </w:tc>
            </w:tr>
            <w:tr>
              <w:tc>
                <w:tcPr>
                  <w:tcW w:type="dxa" w:w="725"/>
                  <w:tcBorders>
                    <w:top w:val="none" w:color="000000" w:sz="4"/>
                    <w:left w:val="single" w:color="000000" w:sz="4"/>
                    <w:bottom w:val="single" w:color="000000" w:sz="4"/>
                    <w:right w:val="single" w:color="000000" w:sz="4"/>
                  </w:tcBorders>
                  <w:vAlign w:val="top"/>
                </w:tcPr>
                <w:p>
                  <w:r>
                    <w:rPr>
                      <w:sz w:val="21"/>
                    </w:rPr>
                    <w:t>工作量化要求</w:t>
                  </w:r>
                </w:p>
              </w:tc>
              <w:tc>
                <w:tcPr>
                  <w:tcW w:type="dxa" w:w="36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4488"/>
                  <w:tcBorders>
                    <w:top w:val="none" w:color="000000" w:sz="4"/>
                    <w:left w:val="single" w:color="000000" w:sz="4"/>
                    <w:bottom w:val="single" w:color="000000" w:sz="4"/>
                    <w:right w:val="single" w:color="000000" w:sz="4"/>
                  </w:tcBorders>
                  <w:vAlign w:val="top"/>
                </w:tcPr>
                <w:p>
                  <w:r>
                    <w:rPr>
                      <w:sz w:val="21"/>
                    </w:rPr>
                    <w:t>灭鼠：</w:t>
                  </w:r>
                </w:p>
                <w:p>
                  <w:r>
                    <w:rPr>
                      <w:sz w:val="21"/>
                    </w:rPr>
                    <w:t>1、公共环境和扩大覆盖面范围每月饱和投放灭鼠药。</w:t>
                  </w:r>
                </w:p>
                <w:p>
                  <w:r>
                    <w:rPr>
                      <w:sz w:val="21"/>
                    </w:rPr>
                    <w:t>2、公共环境每月检查鼠迹，发现鼠迹立即清理并及时按常规投放和补充毒饵，每逢“五一”、“国庆”、“春节”加强灭鼠频次。</w:t>
                  </w:r>
                </w:p>
                <w:p>
                  <w:r>
                    <w:rPr>
                      <w:sz w:val="21"/>
                    </w:rPr>
                    <w:t>3、单位灭鼠：每月监测鼠情，按常规投药和补投药。主要重点单位如市场等每季度进行粉迹法、路径指数法密度检测。</w:t>
                  </w:r>
                </w:p>
                <w:p>
                  <w:r>
                    <w:rPr>
                      <w:sz w:val="21"/>
                    </w:rPr>
                    <w:t>4、居民区、农贸市场每月入户询问鼠情。</w:t>
                  </w:r>
                </w:p>
                <w:p>
                  <w:r>
                    <w:rPr>
                      <w:sz w:val="21"/>
                    </w:rPr>
                    <w:t>5、每季度按国家考核标准对鼠密度进行监测。</w:t>
                  </w:r>
                </w:p>
                <w:p>
                  <w:r>
                    <w:rPr>
                      <w:sz w:val="21"/>
                    </w:rPr>
                    <w:t xml:space="preserve"> </w:t>
                  </w:r>
                </w:p>
                <w:p>
                  <w:r>
                    <w:rPr>
                      <w:sz w:val="21"/>
                    </w:rPr>
                    <w:t>6、每年每村居安装</w:t>
                  </w:r>
                  <w:r>
                    <w:rPr>
                      <w:sz w:val="21"/>
                    </w:rPr>
                    <w:t>300个老鼠屋（规格≥长34cm/宽12cm/高12cm，鼠屋上贴有警示安全标识），且每村居保持同等有效老鼠屋数量。</w:t>
                  </w:r>
                </w:p>
                <w:p>
                  <w:r>
                    <w:rPr>
                      <w:sz w:val="21"/>
                    </w:rPr>
                    <w:t>7、每季度对承包辖区进行防鼠、灭鼠防制知识宣传活动，通过多种形式提高人民群众除害防病知识，以图文并茂的简报书面形式报送采购人。</w:t>
                  </w:r>
                </w:p>
                <w:p>
                  <w:r>
                    <w:rPr>
                      <w:sz w:val="21"/>
                    </w:rPr>
                    <w:t>灭蚊：</w:t>
                  </w:r>
                </w:p>
                <w:p>
                  <w:r>
                    <w:rPr>
                      <w:sz w:val="21"/>
                    </w:rPr>
                    <w:t>1、每周检查大、中、小型水体，发现幼虫孳生立即施药。</w:t>
                  </w:r>
                </w:p>
                <w:p>
                  <w:r>
                    <w:rPr>
                      <w:sz w:val="21"/>
                    </w:rPr>
                    <w:t>2、下水道沉沙井（有积水的），每井吊挂含10克倍硫磷缓释剂木塞1粒，每两月更换1次，控制蚊幼虫孳生；沙井装有防蚊闸或存水弯管损坏或不密封的每两月吊挂含10克倍硫磷缓释剂木塞1粒或投放药物进行灭杀，每两月更换1次，控制蚊幼虫孳生。</w:t>
                  </w:r>
                </w:p>
                <w:p>
                  <w:r>
                    <w:rPr>
                      <w:sz w:val="21"/>
                    </w:rPr>
                    <w:t>3、每周清理外环境小积水，控制蚊虫孳生，并施药处理。</w:t>
                  </w:r>
                </w:p>
                <w:p>
                  <w:r>
                    <w:rPr>
                      <w:sz w:val="21"/>
                    </w:rPr>
                    <w:t>4、下水道烟熏灭蚊：每季度结合灭蟑对外环境的下水道进行热烟雾处理两次，每逢“五一”、“国庆”、“春节”加强消杀频次。</w:t>
                  </w:r>
                </w:p>
                <w:p>
                  <w:r>
                    <w:rPr>
                      <w:sz w:val="21"/>
                    </w:rPr>
                    <w:t>5、居民区、背街小巷、待建地、丛林、公园等特殊场所外环境，全面查治孳生地，并作空间喷洒灭成蚊。12月～次年4月，每月2次；5～11月，每月4次；视情况增加消杀频次。</w:t>
                  </w:r>
                </w:p>
                <w:p>
                  <w:r>
                    <w:rPr>
                      <w:sz w:val="21"/>
                    </w:rPr>
                    <w:t>6、每居村定点设置诱蚊产卵器30个，每月进行监测，记录在案，及时掌握蚊虫密度，并向采购人提供监测数据和技术支持。</w:t>
                  </w:r>
                </w:p>
                <w:p>
                  <w:r>
                    <w:rPr>
                      <w:sz w:val="21"/>
                    </w:rPr>
                    <w:t>7、每季度按国家考核标准对蚊密度进行监测。</w:t>
                  </w:r>
                </w:p>
                <w:p>
                  <w:r>
                    <w:rPr>
                      <w:sz w:val="21"/>
                    </w:rPr>
                    <w:t>8、每季度对承包辖区进行防蚊、灭蚊防制知识宣传活动，通过多种形式提高人民群众除害防病知识，以图文并茂的简报书面形式报送采购人。</w:t>
                  </w:r>
                </w:p>
                <w:p>
                  <w:r>
                    <w:rPr>
                      <w:sz w:val="21"/>
                    </w:rPr>
                    <w:t>灭蝇：</w:t>
                  </w:r>
                </w:p>
                <w:p>
                  <w:r>
                    <w:rPr>
                      <w:sz w:val="21"/>
                    </w:rPr>
                    <w:t>1、垃圾中转站、垃圾屋、垃圾池、垃圾桶、垃圾车以及卫生死角、垃圾堆，每周喷药。每个垃圾中转站加装4盏灭蝇笼，定期更换诱饵和维护，设置施工签到表。</w:t>
                  </w:r>
                </w:p>
                <w:p>
                  <w:r>
                    <w:rPr>
                      <w:sz w:val="21"/>
                    </w:rPr>
                    <w:t>2、农贸市场等服务范围内每周进行2次滞留喷洒灭成蝇。</w:t>
                  </w:r>
                </w:p>
                <w:p>
                  <w:r>
                    <w:rPr>
                      <w:sz w:val="21"/>
                    </w:rPr>
                    <w:t>3、重点场所孳生地：每周检查处理并喷药灭杀。</w:t>
                  </w:r>
                </w:p>
                <w:p>
                  <w:r>
                    <w:rPr>
                      <w:sz w:val="21"/>
                    </w:rPr>
                    <w:t>4、每季度按国家考核标准对成蝇密度进行监测。</w:t>
                  </w:r>
                </w:p>
                <w:p>
                  <w:r>
                    <w:rPr>
                      <w:sz w:val="21"/>
                    </w:rPr>
                    <w:t>5、每逢“五一”、“国庆”、“春节”加强消杀频次。</w:t>
                  </w:r>
                </w:p>
                <w:p>
                  <w:r>
                    <w:rPr>
                      <w:sz w:val="21"/>
                    </w:rPr>
                    <w:t>6、每季度对承包辖区进行防蝇、灭蝇防制知识宣传活动，通过多种形式提高人民群众除害防病知识，以图文并茂的简报书面形式报送采购人。</w:t>
                  </w:r>
                </w:p>
                <w:p>
                  <w:r>
                    <w:rPr>
                      <w:sz w:val="21"/>
                    </w:rPr>
                    <w:t>灭蟑螂：</w:t>
                  </w:r>
                </w:p>
                <w:p>
                  <w:r>
                    <w:rPr>
                      <w:sz w:val="21"/>
                    </w:rPr>
                    <w:t>1、农贸市场等服务范围内每月灭蟑螂不少于2次，每月检查蟑迹并清理。</w:t>
                  </w:r>
                </w:p>
                <w:p>
                  <w:r>
                    <w:rPr>
                      <w:sz w:val="21"/>
                    </w:rPr>
                    <w:t>2、下水道灭蟑螂：每季度进行2次热烟雾处理，每逢“五一”、“国庆”、“春节”加强消杀频次。</w:t>
                  </w:r>
                </w:p>
                <w:p>
                  <w:r>
                    <w:rPr>
                      <w:sz w:val="21"/>
                    </w:rPr>
                    <w:t>3、每季度按国家考核标准进行蟑螂密度监测。</w:t>
                  </w:r>
                </w:p>
                <w:p>
                  <w:r>
                    <w:rPr>
                      <w:sz w:val="21"/>
                    </w:rPr>
                    <w:t>4、每季度对承包辖区进行防蟑螂、灭蟑螂防制知识宣传活动，通过多种形式提高人民群众除害防病知识，以图文并茂的简报书面形式报送采购人。</w:t>
                  </w:r>
                </w:p>
                <w:p>
                  <w:r>
                    <w:rPr>
                      <w:sz w:val="21"/>
                    </w:rPr>
                    <w:t>其他：</w:t>
                  </w:r>
                </w:p>
                <w:p>
                  <w:r>
                    <w:rPr>
                      <w:sz w:val="21"/>
                    </w:rPr>
                    <w:t>1、根据具体情况，对有需要的居民住户免费派发除四害药物和免费上门服务。</w:t>
                  </w:r>
                </w:p>
                <w:p>
                  <w:r>
                    <w:rPr>
                      <w:sz w:val="21"/>
                    </w:rPr>
                    <w:t>2、每年在“爱卫月、登革热”等期间进行不少于2次的公益宣传。</w:t>
                  </w:r>
                </w:p>
                <w:p>
                  <w:r>
                    <w:rPr>
                      <w:sz w:val="21"/>
                    </w:rPr>
                    <w:t>3、每月开展不少于200户的除四害入户调查和宣传。</w:t>
                  </w:r>
                </w:p>
                <w:p>
                  <w:r>
                    <w:rPr>
                      <w:sz w:val="21"/>
                    </w:rPr>
                    <w:t>4、在登革热和病媒生物传染病流行期间，疫区消杀的处理根据政府应急预案进行，</w:t>
                  </w:r>
                </w:p>
                <w:p>
                  <w:r>
                    <w:rPr>
                      <w:sz w:val="21"/>
                    </w:rPr>
                    <w:t>中标人应积极配合。以疫点为中心半径200米范围内进行消杀（包括户内和外环境），</w:t>
                  </w:r>
                </w:p>
                <w:p>
                  <w:r>
                    <w:rPr>
                      <w:sz w:val="21"/>
                    </w:rPr>
                    <w:t>按每次2000元的付费标准进行核算；该项费用在应急经费中核算，不计算在本项目费用预算内。</w:t>
                  </w:r>
                </w:p>
              </w:tc>
            </w:tr>
            <w:tr>
              <w:tc>
                <w:tcPr>
                  <w:tcW w:type="dxa" w:w="725"/>
                  <w:tcBorders>
                    <w:top w:val="none" w:color="000000" w:sz="4"/>
                    <w:left w:val="single" w:color="000000" w:sz="4"/>
                    <w:bottom w:val="single" w:color="000000" w:sz="4"/>
                    <w:right w:val="single" w:color="000000" w:sz="4"/>
                  </w:tcBorders>
                  <w:vAlign w:val="top"/>
                </w:tcPr>
                <w:p>
                  <w:r>
                    <w:rPr>
                      <w:sz w:val="21"/>
                    </w:rPr>
                    <w:t>“四害”控制水平标准（按最新标准执行）</w:t>
                  </w:r>
                </w:p>
              </w:tc>
              <w:tc>
                <w:tcPr>
                  <w:tcW w:type="dxa" w:w="367"/>
                  <w:tcBorders>
                    <w:top w:val="none" w:color="000000" w:sz="4"/>
                    <w:left w:val="single" w:color="000000" w:sz="4"/>
                    <w:bottom w:val="single" w:color="000000" w:sz="4"/>
                    <w:right w:val="single" w:color="000000" w:sz="4"/>
                  </w:tcBorders>
                  <w:vAlign w:val="top"/>
                </w:tcPr>
                <w:p>
                  <w:pPr>
                    <w:jc w:val="center"/>
                  </w:pPr>
                  <w:r>
                    <w:rPr>
                      <w:sz w:val="21"/>
                    </w:rPr>
                    <w:t>2</w:t>
                  </w:r>
                </w:p>
              </w:tc>
              <w:tc>
                <w:tcPr>
                  <w:tcW w:type="dxa" w:w="4488"/>
                  <w:tcBorders>
                    <w:top w:val="none" w:color="000000" w:sz="4"/>
                    <w:left w:val="single" w:color="000000" w:sz="4"/>
                    <w:bottom w:val="single" w:color="000000" w:sz="4"/>
                    <w:right w:val="single" w:color="000000" w:sz="4"/>
                  </w:tcBorders>
                  <w:vAlign w:val="top"/>
                </w:tcPr>
                <w:p>
                  <w:r>
                    <w:rPr>
                      <w:sz w:val="21"/>
                    </w:rPr>
                    <w:t>《中华人民共和国国家标准（</w:t>
                  </w:r>
                  <w:r>
                    <w:rPr>
                      <w:sz w:val="21"/>
                    </w:rPr>
                    <w:t>GB/T 27773 2011）病媒生物密度控制水平 蜚蠊》、</w:t>
                  </w:r>
                </w:p>
                <w:p>
                  <w:r>
                    <w:rPr>
                      <w:sz w:val="21"/>
                    </w:rPr>
                    <w:t>《中华人民共和国国家标准（</w:t>
                  </w:r>
                  <w:r>
                    <w:rPr>
                      <w:sz w:val="21"/>
                    </w:rPr>
                    <w:t>GB/T 27772 2011）病媒生物密度控制水平 蝇类》、</w:t>
                  </w:r>
                </w:p>
                <w:p>
                  <w:r>
                    <w:rPr>
                      <w:sz w:val="21"/>
                    </w:rPr>
                    <w:t>《中华人民共和国国家标准（</w:t>
                  </w:r>
                  <w:r>
                    <w:rPr>
                      <w:sz w:val="21"/>
                    </w:rPr>
                    <w:t>GB/T 27771 2011）病媒生物密度控制水平 蚊虫》、</w:t>
                  </w:r>
                </w:p>
                <w:p>
                  <w:r>
                    <w:rPr>
                      <w:sz w:val="21"/>
                    </w:rPr>
                    <w:t>《中华人民共和国国家标准（</w:t>
                  </w:r>
                  <w:r>
                    <w:rPr>
                      <w:sz w:val="21"/>
                    </w:rPr>
                    <w:t>GB/T 27770 2011）病媒生物密度控制水平 鼠类》。</w:t>
                  </w:r>
                </w:p>
              </w:tc>
            </w:tr>
            <w:tr>
              <w:tc>
                <w:tcPr>
                  <w:tcW w:type="dxa" w:w="725"/>
                  <w:tcBorders>
                    <w:top w:val="none" w:color="000000" w:sz="4"/>
                    <w:left w:val="single" w:color="000000" w:sz="4"/>
                    <w:bottom w:val="single" w:color="000000" w:sz="4"/>
                    <w:right w:val="single" w:color="000000" w:sz="4"/>
                  </w:tcBorders>
                  <w:vAlign w:val="top"/>
                </w:tcPr>
                <w:p>
                  <w:r>
                    <w:rPr>
                      <w:sz w:val="21"/>
                    </w:rPr>
                    <w:t>“四害”密度监测标准（按最新标准执行）</w:t>
                  </w:r>
                </w:p>
              </w:tc>
              <w:tc>
                <w:tcPr>
                  <w:tcW w:type="dxa" w:w="367"/>
                  <w:tcBorders>
                    <w:top w:val="none" w:color="000000" w:sz="4"/>
                    <w:left w:val="single" w:color="000000" w:sz="4"/>
                    <w:bottom w:val="single" w:color="000000" w:sz="4"/>
                    <w:right w:val="single" w:color="000000" w:sz="4"/>
                  </w:tcBorders>
                  <w:vAlign w:val="top"/>
                </w:tcPr>
                <w:p>
                  <w:pPr>
                    <w:jc w:val="center"/>
                  </w:pPr>
                  <w:r>
                    <w:rPr>
                      <w:sz w:val="21"/>
                    </w:rPr>
                    <w:t>3</w:t>
                  </w:r>
                </w:p>
              </w:tc>
              <w:tc>
                <w:tcPr>
                  <w:tcW w:type="dxa" w:w="4488"/>
                  <w:tcBorders>
                    <w:top w:val="none" w:color="000000" w:sz="4"/>
                    <w:left w:val="single" w:color="000000" w:sz="4"/>
                    <w:bottom w:val="single" w:color="000000" w:sz="4"/>
                    <w:right w:val="single" w:color="000000" w:sz="4"/>
                  </w:tcBorders>
                  <w:vAlign w:val="top"/>
                </w:tcPr>
                <w:p>
                  <w:r>
                    <w:rPr>
                      <w:sz w:val="21"/>
                    </w:rPr>
                    <w:t>《中华人民共和国国家标准（</w:t>
                  </w:r>
                  <w:r>
                    <w:rPr>
                      <w:sz w:val="21"/>
                    </w:rPr>
                    <w:t>GB/T 23796 2009）病媒生物密度监测方法 蝇类》、</w:t>
                  </w:r>
                </w:p>
                <w:p>
                  <w:r>
                    <w:rPr>
                      <w:sz w:val="21"/>
                    </w:rPr>
                    <w:t>《中华人民共和国国家标准（</w:t>
                  </w:r>
                  <w:r>
                    <w:rPr>
                      <w:sz w:val="21"/>
                    </w:rPr>
                    <w:t>GB/T 23797 2009）病媒生物密度监测方法 蚊虫》、</w:t>
                  </w:r>
                </w:p>
                <w:p>
                  <w:r>
                    <w:rPr>
                      <w:sz w:val="21"/>
                    </w:rPr>
                    <w:t>《中华人民共和国国家标准（</w:t>
                  </w:r>
                  <w:r>
                    <w:rPr>
                      <w:sz w:val="21"/>
                    </w:rPr>
                    <w:t>GB/T 23798 2009）病媒生物密度监测方法 鼠类》、</w:t>
                  </w:r>
                </w:p>
                <w:p>
                  <w:r>
                    <w:rPr>
                      <w:sz w:val="21"/>
                    </w:rPr>
                    <w:t>《中华人民共和国国家标准（</w:t>
                  </w:r>
                  <w:r>
                    <w:rPr>
                      <w:sz w:val="21"/>
                    </w:rPr>
                    <w:t>GB/T 23795 2009）病媒生物密度监测方法 蜚蠊》。</w:t>
                  </w:r>
                </w:p>
              </w:tc>
            </w:tr>
            <w:tr>
              <w:tc>
                <w:tcPr>
                  <w:tcW w:type="dxa" w:w="725"/>
                  <w:tcBorders>
                    <w:top w:val="none" w:color="000000" w:sz="4"/>
                    <w:left w:val="single" w:color="000000" w:sz="4"/>
                    <w:bottom w:val="single" w:color="000000" w:sz="4"/>
                    <w:right w:val="single" w:color="000000" w:sz="4"/>
                  </w:tcBorders>
                  <w:vAlign w:val="top"/>
                </w:tcPr>
                <w:p>
                  <w:r>
                    <w:rPr>
                      <w:sz w:val="21"/>
                    </w:rPr>
                    <w:t>对服务人员的基本要求</w:t>
                  </w:r>
                </w:p>
              </w:tc>
              <w:tc>
                <w:tcPr>
                  <w:tcW w:type="dxa" w:w="367"/>
                  <w:tcBorders>
                    <w:top w:val="none" w:color="000000" w:sz="4"/>
                    <w:left w:val="single" w:color="000000" w:sz="4"/>
                    <w:bottom w:val="single" w:color="000000" w:sz="4"/>
                    <w:right w:val="single" w:color="000000" w:sz="4"/>
                  </w:tcBorders>
                  <w:vAlign w:val="top"/>
                </w:tcPr>
                <w:p>
                  <w:pPr>
                    <w:jc w:val="center"/>
                  </w:pPr>
                  <w:r>
                    <w:rPr>
                      <w:sz w:val="21"/>
                    </w:rPr>
                    <w:t>4</w:t>
                  </w:r>
                </w:p>
              </w:tc>
              <w:tc>
                <w:tcPr>
                  <w:tcW w:type="dxa" w:w="4488"/>
                  <w:tcBorders>
                    <w:top w:val="none" w:color="000000" w:sz="4"/>
                    <w:left w:val="single" w:color="000000" w:sz="4"/>
                    <w:bottom w:val="single" w:color="000000" w:sz="4"/>
                    <w:right w:val="single" w:color="000000" w:sz="4"/>
                  </w:tcBorders>
                  <w:vAlign w:val="top"/>
                </w:tcPr>
                <w:p>
                  <w:r>
                    <w:rPr>
                      <w:sz w:val="21"/>
                    </w:rPr>
                    <w:t>4</w:t>
                  </w:r>
                  <w:r>
                    <w:rPr>
                      <w:sz w:val="21"/>
                    </w:rPr>
                    <w:t>.1配置要求</w:t>
                  </w:r>
                </w:p>
                <w:tbl>
                  <w:tblPr>
                    <w:tblBorders>
                      <w:top w:val="none" w:color="000000" w:sz="4"/>
                      <w:left w:val="none" w:color="000000" w:sz="4"/>
                      <w:bottom w:val="none" w:color="000000" w:sz="4"/>
                      <w:right w:val="none" w:color="000000" w:sz="4"/>
                      <w:insideH w:val="none"/>
                      <w:insideV w:val="none"/>
                    </w:tblBorders>
                  </w:tblPr>
                  <w:tblGrid>
                    <w:gridCol w:w="726"/>
                    <w:gridCol w:w="2957"/>
                    <w:gridCol w:w="570"/>
                  </w:tblGrid>
                  <w:tr>
                    <w:tc>
                      <w:tcPr>
                        <w:tcW w:type="dxa" w:w="726"/>
                        <w:tcBorders>
                          <w:top w:val="single" w:color="000000" w:sz="4"/>
                          <w:left w:val="single" w:color="000000" w:sz="4"/>
                          <w:bottom w:val="single" w:color="000000" w:sz="4"/>
                          <w:right w:val="single" w:color="000000" w:sz="4"/>
                        </w:tcBorders>
                        <w:vAlign w:val="top"/>
                      </w:tcPr>
                      <w:p>
                        <w:pPr>
                          <w:jc w:val="center"/>
                        </w:pPr>
                        <w:r>
                          <w:rPr>
                            <w:b/>
                            <w:color w:val="000000"/>
                            <w:sz w:val="21"/>
                          </w:rPr>
                          <w:t>人员类别</w:t>
                        </w:r>
                      </w:p>
                    </w:tc>
                    <w:tc>
                      <w:tcPr>
                        <w:tcW w:type="dxa" w:w="2957"/>
                        <w:tcBorders>
                          <w:top w:val="single" w:color="000000" w:sz="4"/>
                          <w:left w:val="single" w:color="000000" w:sz="4"/>
                          <w:bottom w:val="single" w:color="000000" w:sz="4"/>
                          <w:right w:val="single" w:color="000000" w:sz="4"/>
                        </w:tcBorders>
                        <w:vAlign w:val="top"/>
                      </w:tcPr>
                      <w:p>
                        <w:pPr>
                          <w:jc w:val="center"/>
                        </w:pPr>
                        <w:r>
                          <w:rPr>
                            <w:b/>
                            <w:color w:val="000000"/>
                            <w:sz w:val="21"/>
                          </w:rPr>
                          <w:t>具体要求</w:t>
                        </w:r>
                      </w:p>
                    </w:tc>
                    <w:tc>
                      <w:tcPr>
                        <w:tcW w:type="dxa" w:w="570"/>
                        <w:tcBorders>
                          <w:top w:val="single" w:color="000000" w:sz="4"/>
                          <w:left w:val="single" w:color="000000" w:sz="4"/>
                          <w:bottom w:val="single" w:color="000000" w:sz="4"/>
                          <w:right w:val="single" w:color="000000" w:sz="4"/>
                        </w:tcBorders>
                        <w:vAlign w:val="top"/>
                      </w:tcPr>
                      <w:p>
                        <w:pPr>
                          <w:jc w:val="center"/>
                        </w:pPr>
                        <w:r>
                          <w:rPr>
                            <w:b/>
                            <w:color w:val="000000"/>
                            <w:sz w:val="21"/>
                          </w:rPr>
                          <w:t>配置人数</w:t>
                        </w:r>
                      </w:p>
                    </w:tc>
                  </w:tr>
                  <w:tr>
                    <w:tc>
                      <w:tcPr>
                        <w:tcW w:type="dxa" w:w="726"/>
                        <w:tcBorders>
                          <w:top w:val="none" w:color="000000" w:sz="4"/>
                          <w:left w:val="single" w:color="000000" w:sz="4"/>
                          <w:bottom w:val="single" w:color="000000" w:sz="4"/>
                          <w:right w:val="single" w:color="000000" w:sz="4"/>
                        </w:tcBorders>
                        <w:vAlign w:val="top"/>
                      </w:tcPr>
                      <w:p>
                        <w:pPr>
                          <w:jc w:val="center"/>
                        </w:pPr>
                        <w:r>
                          <w:rPr>
                            <w:color w:val="000000"/>
                            <w:sz w:val="21"/>
                          </w:rPr>
                          <w:t>管理人员</w:t>
                        </w:r>
                      </w:p>
                    </w:tc>
                    <w:tc>
                      <w:tcPr>
                        <w:tcW w:type="dxa" w:w="2957"/>
                        <w:tcBorders>
                          <w:top w:val="none" w:color="000000" w:sz="4"/>
                          <w:left w:val="single" w:color="000000" w:sz="4"/>
                          <w:bottom w:val="single" w:color="000000" w:sz="4"/>
                          <w:right w:val="single" w:color="000000" w:sz="4"/>
                        </w:tcBorders>
                        <w:vAlign w:val="top"/>
                      </w:tcPr>
                      <w:p>
                        <w:r>
                          <w:rPr>
                            <w:color w:val="000000"/>
                            <w:sz w:val="21"/>
                          </w:rPr>
                          <w:t>项目主管，负责管理工作团队，并制定每次的除四害工作方案及分配工作，具有</w:t>
                        </w:r>
                        <w:r>
                          <w:rPr>
                            <w:color w:val="000000"/>
                            <w:sz w:val="21"/>
                          </w:rPr>
                          <w:t>“有害生物防制员</w:t>
                        </w:r>
                        <w:r>
                          <w:rPr>
                            <w:color w:val="000000"/>
                            <w:sz w:val="21"/>
                          </w:rPr>
                          <w:t>高级</w:t>
                        </w:r>
                        <w:r>
                          <w:rPr>
                            <w:color w:val="000000"/>
                            <w:sz w:val="21"/>
                          </w:rPr>
                          <w:t>（三级）资格证或培训证</w:t>
                        </w:r>
                        <w:r>
                          <w:rPr>
                            <w:color w:val="000000"/>
                            <w:sz w:val="21"/>
                          </w:rPr>
                          <w:t>”，有除四害工作管理经验。</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1人</w:t>
                        </w:r>
                      </w:p>
                    </w:tc>
                  </w:tr>
                  <w:tr>
                    <w:tc>
                      <w:tcPr>
                        <w:tcW w:type="dxa" w:w="726"/>
                        <w:tcBorders>
                          <w:top w:val="none" w:color="000000" w:sz="4"/>
                          <w:left w:val="single" w:color="000000" w:sz="4"/>
                          <w:bottom w:val="single" w:color="000000" w:sz="4"/>
                          <w:right w:val="single" w:color="000000" w:sz="4"/>
                        </w:tcBorders>
                        <w:vAlign w:val="top"/>
                      </w:tcPr>
                      <w:p>
                        <w:pPr>
                          <w:jc w:val="center"/>
                        </w:pPr>
                        <w:r>
                          <w:rPr>
                            <w:color w:val="000000"/>
                            <w:sz w:val="21"/>
                          </w:rPr>
                          <w:t>除四害专业人员</w:t>
                        </w:r>
                      </w:p>
                    </w:tc>
                    <w:tc>
                      <w:tcPr>
                        <w:tcW w:type="dxa" w:w="2957"/>
                        <w:tcBorders>
                          <w:top w:val="none" w:color="000000" w:sz="4"/>
                          <w:left w:val="single" w:color="000000" w:sz="4"/>
                          <w:bottom w:val="single" w:color="000000" w:sz="4"/>
                          <w:right w:val="single" w:color="000000" w:sz="4"/>
                        </w:tcBorders>
                        <w:vAlign w:val="top"/>
                      </w:tcPr>
                      <w:p>
                        <w:r>
                          <w:rPr>
                            <w:color w:val="000000"/>
                            <w:sz w:val="21"/>
                          </w:rPr>
                          <w:t>负责主要的除四害工作及技术指导，具有</w:t>
                        </w:r>
                        <w:r>
                          <w:rPr>
                            <w:color w:val="000000"/>
                            <w:sz w:val="21"/>
                          </w:rPr>
                          <w:t>“有害生物防制员初级（五级）或以上资格证或培训证”，有除四害工作经验，技术熟练。</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5</w:t>
                        </w:r>
                        <w:r>
                          <w:rPr>
                            <w:color w:val="000000"/>
                            <w:sz w:val="21"/>
                          </w:rPr>
                          <w:t>人</w:t>
                        </w:r>
                      </w:p>
                    </w:tc>
                  </w:tr>
                  <w:tr>
                    <w:tc>
                      <w:tcPr>
                        <w:tcW w:type="dxa" w:w="726"/>
                        <w:tcBorders>
                          <w:top w:val="none" w:color="000000" w:sz="4"/>
                          <w:left w:val="single" w:color="000000" w:sz="4"/>
                          <w:bottom w:val="single" w:color="000000" w:sz="4"/>
                          <w:right w:val="single" w:color="000000" w:sz="4"/>
                        </w:tcBorders>
                        <w:vAlign w:val="top"/>
                      </w:tcPr>
                      <w:p>
                        <w:pPr>
                          <w:jc w:val="center"/>
                        </w:pPr>
                        <w:r>
                          <w:rPr>
                            <w:color w:val="000000"/>
                            <w:sz w:val="21"/>
                          </w:rPr>
                          <w:t>质检人员</w:t>
                        </w:r>
                      </w:p>
                    </w:tc>
                    <w:tc>
                      <w:tcPr>
                        <w:tcW w:type="dxa" w:w="2957"/>
                        <w:tcBorders>
                          <w:top w:val="none" w:color="000000" w:sz="4"/>
                          <w:left w:val="single" w:color="000000" w:sz="4"/>
                          <w:bottom w:val="single" w:color="000000" w:sz="4"/>
                          <w:right w:val="single" w:color="000000" w:sz="4"/>
                        </w:tcBorders>
                        <w:vAlign w:val="top"/>
                      </w:tcPr>
                      <w:p>
                        <w:r>
                          <w:rPr>
                            <w:color w:val="000000"/>
                            <w:sz w:val="21"/>
                          </w:rPr>
                          <w:t>负责日常除四害自我监督巡查工作，配合监理部门做好监督检查，完善各项四害防治、监测资料；具有</w:t>
                        </w:r>
                        <w:r>
                          <w:rPr>
                            <w:color w:val="000000"/>
                            <w:sz w:val="21"/>
                          </w:rPr>
                          <w:t>“有害生物防制员</w:t>
                        </w:r>
                        <w:r>
                          <w:rPr>
                            <w:color w:val="000000"/>
                            <w:sz w:val="21"/>
                          </w:rPr>
                          <w:t>中级</w:t>
                        </w:r>
                        <w:r>
                          <w:rPr>
                            <w:color w:val="000000"/>
                            <w:sz w:val="21"/>
                          </w:rPr>
                          <w:t>（四级）或以上资格证或培训证</w:t>
                        </w:r>
                        <w:r>
                          <w:rPr>
                            <w:color w:val="000000"/>
                            <w:sz w:val="21"/>
                          </w:rPr>
                          <w:t>”，具有除四害工作经验，技术熟练。</w:t>
                        </w:r>
                      </w:p>
                    </w:tc>
                    <w:tc>
                      <w:tcPr>
                        <w:tcW w:type="dxa" w:w="570"/>
                        <w:tcBorders>
                          <w:top w:val="none" w:color="000000" w:sz="4"/>
                          <w:left w:val="single" w:color="000000" w:sz="4"/>
                          <w:bottom w:val="single" w:color="000000" w:sz="4"/>
                          <w:right w:val="single" w:color="000000" w:sz="4"/>
                        </w:tcBorders>
                        <w:vAlign w:val="top"/>
                      </w:tcPr>
                      <w:p>
                        <w:pPr>
                          <w:jc w:val="center"/>
                        </w:pPr>
                        <w:r>
                          <w:rPr>
                            <w:color w:val="000000"/>
                            <w:sz w:val="21"/>
                          </w:rPr>
                          <w:t>1人</w:t>
                        </w:r>
                      </w:p>
                    </w:tc>
                  </w:tr>
                  <w:tr>
                    <w:tc>
                      <w:tcPr>
                        <w:tcW w:type="dxa" w:w="726"/>
                        <w:tcBorders>
                          <w:top w:val="none" w:color="000000" w:sz="4"/>
                          <w:left w:val="single" w:color="000000" w:sz="4"/>
                          <w:bottom w:val="single" w:color="000000" w:sz="4"/>
                          <w:right w:val="single" w:color="000000" w:sz="4"/>
                        </w:tcBorders>
                        <w:vAlign w:val="top"/>
                      </w:tcPr>
                      <w:p>
                        <w:pPr>
                          <w:jc w:val="center"/>
                        </w:pPr>
                        <w:r>
                          <w:rPr>
                            <w:color w:val="000000"/>
                            <w:sz w:val="21"/>
                          </w:rPr>
                          <w:t>备注</w:t>
                        </w:r>
                      </w:p>
                    </w:tc>
                    <w:tc>
                      <w:tcPr>
                        <w:tcW w:type="dxa" w:w="3527"/>
                        <w:gridSpan w:val="2"/>
                        <w:tcBorders>
                          <w:top w:val="none" w:color="000000" w:sz="4"/>
                          <w:left w:val="single" w:color="000000" w:sz="4"/>
                          <w:bottom w:val="single" w:color="000000" w:sz="4"/>
                          <w:right w:val="single" w:color="000000" w:sz="4"/>
                        </w:tcBorders>
                        <w:vAlign w:val="top"/>
                      </w:tcPr>
                      <w:p>
                        <w:r>
                          <w:rPr>
                            <w:color w:val="000000"/>
                            <w:sz w:val="21"/>
                          </w:rPr>
                          <w:t>在同一采购包内，同一人员不得同时从事上述不同岗位的工作。</w:t>
                        </w:r>
                      </w:p>
                    </w:tc>
                  </w:tr>
                </w:tbl>
                <w:p>
                  <w:r>
                    <w:rPr>
                      <w:sz w:val="21"/>
                    </w:rPr>
                    <w:t>4</w:t>
                  </w:r>
                  <w:r>
                    <w:rPr>
                      <w:sz w:val="21"/>
                    </w:rPr>
                    <w:t>.2管理要求</w:t>
                  </w:r>
                </w:p>
                <w:p>
                  <w:r>
                    <w:rPr>
                      <w:sz w:val="21"/>
                    </w:rPr>
                    <w:t>1）中标人须按招标文件要求聘请足额作业人员专用于本项目。</w:t>
                  </w:r>
                </w:p>
                <w:p>
                  <w:r>
                    <w:rPr>
                      <w:sz w:val="21"/>
                    </w:rPr>
                    <w:t>2）作业人员须具有完全民事行为能力，身体健全且符合法定工作年龄要求。</w:t>
                  </w:r>
                </w:p>
                <w:p>
                  <w:r>
                    <w:rPr>
                      <w:sz w:val="21"/>
                    </w:rPr>
                    <w:t>3）中标人须按照国家劳动法的相关规定依法用工，与作业人员签订劳动合同，并按顺德区社会劳动保险的有关规定为员工购买社会保险。</w:t>
                  </w:r>
                </w:p>
                <w:p>
                  <w:r>
                    <w:rPr>
                      <w:sz w:val="21"/>
                    </w:rPr>
                    <w:t>4</w:t>
                  </w:r>
                  <w:r>
                    <w:rPr>
                      <w:sz w:val="21"/>
                    </w:rPr>
                    <w:t>）作业人员上岗前须经过培训合格，熟悉设施设备的使用方法和技巧。专业技术人员必须持证上岗。</w:t>
                  </w:r>
                </w:p>
                <w:p>
                  <w:r>
                    <w:rPr>
                      <w:sz w:val="21"/>
                    </w:rPr>
                    <w:t>5</w:t>
                  </w:r>
                  <w:r>
                    <w:rPr>
                      <w:sz w:val="21"/>
                    </w:rPr>
                    <w:t>）中标人须为作业人员配备相应的劳动和卫生等防护用品，提供工作服（含雨衣），工作服的颜色、款色及图案标识须经采购人审定。</w:t>
                  </w:r>
                </w:p>
                <w:p>
                  <w:r>
                    <w:rPr>
                      <w:sz w:val="21"/>
                    </w:rPr>
                    <w:t>6</w:t>
                  </w:r>
                  <w:r>
                    <w:rPr>
                      <w:sz w:val="21"/>
                    </w:rPr>
                    <w:t>）作业人员须穿着统一的工作服（含雨衣），并保持衣冠整洁。阴天或夜间作业须穿着反光衣。</w:t>
                  </w:r>
                </w:p>
                <w:p>
                  <w:r>
                    <w:rPr>
                      <w:sz w:val="21"/>
                    </w:rPr>
                    <w:t>7</w:t>
                  </w:r>
                  <w:r>
                    <w:rPr>
                      <w:sz w:val="21"/>
                    </w:rPr>
                    <w:t>）作业时间内，作业人员须遵纪守法、文明作业，不得参加自己管理区域以外的工作，不得聚堆闲聊、瞌睡、执捡收集、挪用变卖垃圾废品，以及从事其它与本项目作业无关的事项。</w:t>
                  </w:r>
                </w:p>
                <w:p>
                  <w:r>
                    <w:rPr>
                      <w:sz w:val="21"/>
                    </w:rPr>
                    <w:t>8</w:t>
                  </w:r>
                  <w:r>
                    <w:rPr>
                      <w:sz w:val="21"/>
                    </w:rPr>
                    <w:t>）中标人须指派</w:t>
                  </w:r>
                  <w:r>
                    <w:rPr>
                      <w:sz w:val="21"/>
                    </w:rPr>
                    <w:t>1名管理人员，代表中标人履行管理责任，并在检查考评过程中配合采购人、居（村）及监督员的检查考评。</w:t>
                  </w:r>
                </w:p>
                <w:p>
                  <w:r>
                    <w:rPr>
                      <w:sz w:val="21"/>
                    </w:rPr>
                    <w:t>9</w:t>
                  </w:r>
                  <w:r>
                    <w:rPr>
                      <w:sz w:val="21"/>
                    </w:rPr>
                    <w:t>）管理人员须</w:t>
                  </w:r>
                  <w:r>
                    <w:rPr>
                      <w:sz w:val="21"/>
                    </w:rPr>
                    <w:t>24小时保证移动电话畅通，每天巡查管理区域，做好日常除“四害”自我监督巡查工作，并按招标文件相关规范安排好作业人员的工作，每季度上报监督巡查报告和监测报告等资料。</w:t>
                  </w:r>
                </w:p>
                <w:p>
                  <w:r>
                    <w:rPr>
                      <w:sz w:val="21"/>
                    </w:rPr>
                    <w:t>1</w:t>
                  </w:r>
                  <w:r>
                    <w:rPr>
                      <w:sz w:val="21"/>
                    </w:rPr>
                    <w:t>0</w:t>
                  </w:r>
                  <w:r>
                    <w:rPr>
                      <w:sz w:val="21"/>
                    </w:rPr>
                    <w:t>）中标人须对其员工作严格管理，对他们的行为负全责，如在服务期内发生劳资纠纷、意外（生病、伤亡事故）或违反合同规定、触犯国家法律等，由中标人承担一切经济责任及法律责任。</w:t>
                  </w:r>
                </w:p>
              </w:tc>
            </w:tr>
            <w:tr>
              <w:tc>
                <w:tcPr>
                  <w:tcW w:type="dxa" w:w="725"/>
                  <w:tcBorders>
                    <w:top w:val="none" w:color="000000" w:sz="4"/>
                    <w:left w:val="single" w:color="000000" w:sz="4"/>
                    <w:bottom w:val="single" w:color="000000" w:sz="4"/>
                    <w:right w:val="single" w:color="000000" w:sz="4"/>
                  </w:tcBorders>
                  <w:vAlign w:val="top"/>
                </w:tcPr>
                <w:p>
                  <w:r>
                    <w:rPr>
                      <w:sz w:val="21"/>
                    </w:rPr>
                    <w:t>对设备的基本要求</w:t>
                  </w:r>
                </w:p>
              </w:tc>
              <w:tc>
                <w:tcPr>
                  <w:tcW w:type="dxa" w:w="367"/>
                  <w:tcBorders>
                    <w:top w:val="none" w:color="000000" w:sz="4"/>
                    <w:left w:val="single" w:color="000000" w:sz="4"/>
                    <w:bottom w:val="single" w:color="000000" w:sz="4"/>
                    <w:right w:val="single" w:color="000000" w:sz="4"/>
                  </w:tcBorders>
                  <w:vAlign w:val="top"/>
                </w:tcPr>
                <w:p>
                  <w:pPr>
                    <w:jc w:val="center"/>
                  </w:pPr>
                  <w:r>
                    <w:rPr>
                      <w:sz w:val="21"/>
                    </w:rPr>
                    <w:t>5</w:t>
                  </w:r>
                </w:p>
              </w:tc>
              <w:tc>
                <w:tcPr>
                  <w:tcW w:type="dxa" w:w="4488"/>
                  <w:tcBorders>
                    <w:top w:val="none" w:color="000000" w:sz="4"/>
                    <w:left w:val="single" w:color="000000" w:sz="4"/>
                    <w:bottom w:val="single" w:color="000000" w:sz="4"/>
                    <w:right w:val="single" w:color="000000" w:sz="4"/>
                  </w:tcBorders>
                  <w:vAlign w:val="top"/>
                </w:tcPr>
                <w:p>
                  <w:r>
                    <w:rPr>
                      <w:sz w:val="21"/>
                    </w:rPr>
                    <w:t>5</w:t>
                  </w:r>
                  <w:r>
                    <w:rPr>
                      <w:sz w:val="21"/>
                    </w:rPr>
                    <w:t>.1配置要求</w:t>
                  </w:r>
                </w:p>
                <w:tbl>
                  <w:tblPr>
                    <w:tblBorders>
                      <w:top w:val="none" w:color="000000" w:sz="4"/>
                      <w:left w:val="none" w:color="000000" w:sz="4"/>
                      <w:bottom w:val="none" w:color="000000" w:sz="4"/>
                      <w:right w:val="none" w:color="000000" w:sz="4"/>
                      <w:insideH w:val="none"/>
                      <w:insideV w:val="none"/>
                    </w:tblBorders>
                  </w:tblPr>
                  <w:tblGrid>
                    <w:gridCol w:w="435"/>
                    <w:gridCol w:w="664"/>
                    <w:gridCol w:w="2404"/>
                    <w:gridCol w:w="751"/>
                  </w:tblGrid>
                  <w:tr>
                    <w:tc>
                      <w:tcPr>
                        <w:tcW w:type="dxa" w:w="435"/>
                        <w:tcBorders>
                          <w:top w:val="single" w:color="000000" w:sz="4"/>
                          <w:left w:val="single" w:color="000000" w:sz="4"/>
                          <w:bottom w:val="single" w:color="000000" w:sz="4"/>
                          <w:right w:val="single" w:color="000000" w:sz="4"/>
                        </w:tcBorders>
                        <w:vAlign w:val="top"/>
                      </w:tcPr>
                      <w:p>
                        <w:pPr>
                          <w:jc w:val="center"/>
                        </w:pPr>
                        <w:r>
                          <w:rPr>
                            <w:b/>
                            <w:color w:val="000000"/>
                            <w:sz w:val="21"/>
                          </w:rPr>
                          <w:t>序号</w:t>
                        </w:r>
                      </w:p>
                    </w:tc>
                    <w:tc>
                      <w:tcPr>
                        <w:tcW w:type="dxa" w:w="664"/>
                        <w:tcBorders>
                          <w:top w:val="single" w:color="000000" w:sz="4"/>
                          <w:left w:val="single" w:color="000000" w:sz="4"/>
                          <w:bottom w:val="single" w:color="000000" w:sz="4"/>
                          <w:right w:val="single" w:color="000000" w:sz="4"/>
                        </w:tcBorders>
                        <w:vAlign w:val="top"/>
                      </w:tcPr>
                      <w:p>
                        <w:pPr>
                          <w:jc w:val="center"/>
                        </w:pPr>
                        <w:r>
                          <w:rPr>
                            <w:b/>
                            <w:color w:val="000000"/>
                            <w:sz w:val="21"/>
                          </w:rPr>
                          <w:t>设备名称</w:t>
                        </w:r>
                      </w:p>
                    </w:tc>
                    <w:tc>
                      <w:tcPr>
                        <w:tcW w:type="dxa" w:w="2404"/>
                        <w:tcBorders>
                          <w:top w:val="single" w:color="000000" w:sz="4"/>
                          <w:left w:val="single" w:color="000000" w:sz="4"/>
                          <w:bottom w:val="single" w:color="000000" w:sz="4"/>
                          <w:right w:val="single" w:color="000000" w:sz="4"/>
                        </w:tcBorders>
                        <w:vAlign w:val="top"/>
                      </w:tcPr>
                      <w:p>
                        <w:pPr>
                          <w:jc w:val="center"/>
                        </w:pPr>
                        <w:r>
                          <w:rPr>
                            <w:b/>
                            <w:color w:val="000000"/>
                            <w:sz w:val="21"/>
                          </w:rPr>
                          <w:t>技术参数要求</w:t>
                        </w:r>
                      </w:p>
                    </w:tc>
                    <w:tc>
                      <w:tcPr>
                        <w:tcW w:type="dxa" w:w="751"/>
                        <w:tcBorders>
                          <w:top w:val="single" w:color="000000" w:sz="4"/>
                          <w:left w:val="single" w:color="000000" w:sz="4"/>
                          <w:bottom w:val="single" w:color="000000" w:sz="4"/>
                          <w:right w:val="single" w:color="000000" w:sz="4"/>
                        </w:tcBorders>
                        <w:vAlign w:val="top"/>
                      </w:tcPr>
                      <w:p>
                        <w:pPr>
                          <w:jc w:val="center"/>
                        </w:pPr>
                        <w:r>
                          <w:rPr>
                            <w:b/>
                            <w:color w:val="000000"/>
                            <w:sz w:val="21"/>
                          </w:rPr>
                          <w:t>配置数量</w:t>
                        </w:r>
                      </w:p>
                    </w:tc>
                  </w:tr>
                  <w:tr>
                    <w:tc>
                      <w:tcPr>
                        <w:tcW w:type="dxa" w:w="435"/>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664"/>
                        <w:tcBorders>
                          <w:top w:val="none" w:color="000000" w:sz="4"/>
                          <w:left w:val="single" w:color="000000" w:sz="4"/>
                          <w:bottom w:val="single" w:color="000000" w:sz="4"/>
                          <w:right w:val="single" w:color="000000" w:sz="4"/>
                        </w:tcBorders>
                        <w:vAlign w:val="top"/>
                      </w:tcPr>
                      <w:p>
                        <w:pPr>
                          <w:jc w:val="center"/>
                        </w:pPr>
                        <w:r>
                          <w:rPr>
                            <w:color w:val="000000"/>
                            <w:sz w:val="21"/>
                          </w:rPr>
                          <w:t>背负式蓄电池超低容量喷雾机</w:t>
                        </w:r>
                      </w:p>
                    </w:tc>
                    <w:tc>
                      <w:tcPr>
                        <w:tcW w:type="dxa" w:w="2404"/>
                        <w:tcBorders>
                          <w:top w:val="none" w:color="000000" w:sz="4"/>
                          <w:left w:val="single" w:color="000000" w:sz="4"/>
                          <w:bottom w:val="single" w:color="000000" w:sz="4"/>
                          <w:right w:val="single" w:color="000000" w:sz="4"/>
                        </w:tcBorders>
                        <w:vAlign w:val="top"/>
                      </w:tcPr>
                      <w:p>
                        <w:r>
                          <w:rPr>
                            <w:color w:val="000000"/>
                            <w:sz w:val="21"/>
                          </w:rPr>
                          <w:t>电机：直流无碳刷电机，</w:t>
                        </w:r>
                        <w:r>
                          <w:rPr>
                            <w:color w:val="000000"/>
                            <w:sz w:val="21"/>
                          </w:rPr>
                          <w:t>600W，24V。雾滴直径：10～30微米。药液输出量：0～330ml/min连续可调。药箱容量：5L。空机重量：约10.2</w:t>
                        </w:r>
                        <w:r>
                          <w:rPr>
                            <w:color w:val="000000"/>
                            <w:sz w:val="21"/>
                          </w:rPr>
                          <w:t>kg</w:t>
                        </w:r>
                        <w:r>
                          <w:rPr>
                            <w:color w:val="000000"/>
                            <w:sz w:val="21"/>
                          </w:rPr>
                          <w:t>。整机外型尺寸：约</w:t>
                        </w:r>
                        <w:r>
                          <w:rPr>
                            <w:color w:val="000000"/>
                            <w:sz w:val="21"/>
                          </w:rPr>
                          <w:t>310mm×30mm×505mm。电池：配置2块锂电池。连续工作时间：高速档50～60分钟，低速档80～90分钟。</w:t>
                        </w:r>
                      </w:p>
                    </w:tc>
                    <w:tc>
                      <w:tcPr>
                        <w:tcW w:type="dxa" w:w="751"/>
                        <w:tcBorders>
                          <w:top w:val="none" w:color="000000" w:sz="4"/>
                          <w:left w:val="single" w:color="000000" w:sz="4"/>
                          <w:bottom w:val="single" w:color="000000" w:sz="4"/>
                          <w:right w:val="single" w:color="000000" w:sz="4"/>
                        </w:tcBorders>
                        <w:vAlign w:val="top"/>
                      </w:tcPr>
                      <w:p>
                        <w:pPr>
                          <w:jc w:val="center"/>
                        </w:pPr>
                        <w:r>
                          <w:rPr>
                            <w:color w:val="000000"/>
                            <w:sz w:val="21"/>
                          </w:rPr>
                          <w:t>2</w:t>
                        </w:r>
                        <w:r>
                          <w:rPr>
                            <w:color w:val="000000"/>
                            <w:sz w:val="21"/>
                          </w:rPr>
                          <w:t>台</w:t>
                        </w:r>
                      </w:p>
                    </w:tc>
                  </w:tr>
                  <w:tr>
                    <w:tc>
                      <w:tcPr>
                        <w:tcW w:type="dxa" w:w="435"/>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664"/>
                        <w:tcBorders>
                          <w:top w:val="none" w:color="000000" w:sz="4"/>
                          <w:left w:val="single" w:color="000000" w:sz="4"/>
                          <w:bottom w:val="single" w:color="000000" w:sz="4"/>
                          <w:right w:val="single" w:color="000000" w:sz="4"/>
                        </w:tcBorders>
                        <w:vAlign w:val="top"/>
                      </w:tcPr>
                      <w:p>
                        <w:pPr>
                          <w:jc w:val="center"/>
                        </w:pPr>
                        <w:r>
                          <w:rPr>
                            <w:color w:val="000000"/>
                            <w:sz w:val="21"/>
                          </w:rPr>
                          <w:t>背负式机动超低容量喷雾机</w:t>
                        </w:r>
                      </w:p>
                    </w:tc>
                    <w:tc>
                      <w:tcPr>
                        <w:tcW w:type="dxa" w:w="2404"/>
                        <w:tcBorders>
                          <w:top w:val="none" w:color="000000" w:sz="4"/>
                          <w:left w:val="single" w:color="000000" w:sz="4"/>
                          <w:bottom w:val="single" w:color="000000" w:sz="4"/>
                          <w:right w:val="single" w:color="000000" w:sz="4"/>
                        </w:tcBorders>
                        <w:vAlign w:val="top"/>
                      </w:tcPr>
                      <w:p>
                        <w:r>
                          <w:rPr>
                            <w:color w:val="000000"/>
                            <w:sz w:val="21"/>
                          </w:rPr>
                          <w:t>雾滴直径：</w:t>
                        </w:r>
                        <w:r>
                          <w:rPr>
                            <w:color w:val="000000"/>
                            <w:sz w:val="21"/>
                          </w:rPr>
                          <w:t>2～20微米。额定流量：1～3L/分钟。水平射程＞8米。外型尺寸：约400×470×495cm。配套动力：2冲程冲程发动机。</w:t>
                        </w:r>
                        <w:r>
                          <w:rPr>
                            <w:color w:val="000000"/>
                            <w:sz w:val="21"/>
                          </w:rPr>
                          <w:t>药箱容量：</w:t>
                        </w:r>
                        <w:r>
                          <w:rPr>
                            <w:color w:val="000000"/>
                            <w:sz w:val="21"/>
                          </w:rPr>
                          <w:t>5L。整机重量：约12</w:t>
                        </w:r>
                        <w:r>
                          <w:rPr>
                            <w:color w:val="000000"/>
                            <w:sz w:val="21"/>
                          </w:rPr>
                          <w:t>kg</w:t>
                        </w:r>
                        <w:r>
                          <w:rPr>
                            <w:color w:val="000000"/>
                            <w:sz w:val="21"/>
                          </w:rPr>
                          <w:t>。</w:t>
                        </w:r>
                      </w:p>
                    </w:tc>
                    <w:tc>
                      <w:tcPr>
                        <w:tcW w:type="dxa" w:w="751"/>
                        <w:tcBorders>
                          <w:top w:val="none" w:color="000000" w:sz="4"/>
                          <w:left w:val="single" w:color="000000" w:sz="4"/>
                          <w:bottom w:val="single" w:color="000000" w:sz="4"/>
                          <w:right w:val="single" w:color="000000" w:sz="4"/>
                        </w:tcBorders>
                        <w:vAlign w:val="top"/>
                      </w:tcPr>
                      <w:p>
                        <w:pPr>
                          <w:jc w:val="center"/>
                        </w:pPr>
                        <w:r>
                          <w:rPr>
                            <w:color w:val="000000"/>
                            <w:sz w:val="21"/>
                          </w:rPr>
                          <w:t>2</w:t>
                        </w:r>
                        <w:r>
                          <w:rPr>
                            <w:color w:val="000000"/>
                            <w:sz w:val="21"/>
                          </w:rPr>
                          <w:t>台</w:t>
                        </w:r>
                      </w:p>
                    </w:tc>
                  </w:tr>
                  <w:tr>
                    <w:tc>
                      <w:tcPr>
                        <w:tcW w:type="dxa" w:w="435"/>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664"/>
                        <w:tcBorders>
                          <w:top w:val="none" w:color="000000" w:sz="4"/>
                          <w:left w:val="single" w:color="000000" w:sz="4"/>
                          <w:bottom w:val="single" w:color="000000" w:sz="4"/>
                          <w:right w:val="single" w:color="000000" w:sz="4"/>
                        </w:tcBorders>
                        <w:vAlign w:val="top"/>
                      </w:tcPr>
                      <w:p>
                        <w:pPr>
                          <w:jc w:val="center"/>
                        </w:pPr>
                        <w:r>
                          <w:rPr>
                            <w:color w:val="000000"/>
                            <w:sz w:val="21"/>
                          </w:rPr>
                          <w:t>机动式喷雾机</w:t>
                        </w:r>
                      </w:p>
                    </w:tc>
                    <w:tc>
                      <w:tcPr>
                        <w:tcW w:type="dxa" w:w="2404"/>
                        <w:tcBorders>
                          <w:top w:val="none" w:color="000000" w:sz="4"/>
                          <w:left w:val="single" w:color="000000" w:sz="4"/>
                          <w:bottom w:val="single" w:color="000000" w:sz="4"/>
                          <w:right w:val="single" w:color="000000" w:sz="4"/>
                        </w:tcBorders>
                        <w:vAlign w:val="top"/>
                      </w:tcPr>
                      <w:p>
                        <w:r>
                          <w:rPr>
                            <w:color w:val="000000"/>
                            <w:sz w:val="21"/>
                          </w:rPr>
                          <w:t>雾滴直径：</w:t>
                        </w:r>
                        <w:r>
                          <w:rPr>
                            <w:color w:val="000000"/>
                            <w:sz w:val="21"/>
                          </w:rPr>
                          <w:t>50～100微米。水平射程＞8米。</w:t>
                        </w:r>
                        <w:r>
                          <w:rPr>
                            <w:color w:val="000000"/>
                            <w:sz w:val="21"/>
                          </w:rPr>
                          <w:t>药箱容量</w:t>
                        </w:r>
                        <w:r>
                          <w:rPr>
                            <w:color w:val="000000"/>
                            <w:sz w:val="21"/>
                          </w:rPr>
                          <w:t>≥10L。</w:t>
                        </w:r>
                      </w:p>
                    </w:tc>
                    <w:tc>
                      <w:tcPr>
                        <w:tcW w:type="dxa" w:w="751"/>
                        <w:tcBorders>
                          <w:top w:val="none" w:color="000000" w:sz="4"/>
                          <w:left w:val="single" w:color="000000" w:sz="4"/>
                          <w:bottom w:val="single" w:color="000000" w:sz="4"/>
                          <w:right w:val="single" w:color="000000" w:sz="4"/>
                        </w:tcBorders>
                        <w:vAlign w:val="top"/>
                      </w:tcPr>
                      <w:p>
                        <w:pPr>
                          <w:jc w:val="center"/>
                        </w:pPr>
                        <w:r>
                          <w:rPr>
                            <w:color w:val="000000"/>
                            <w:sz w:val="21"/>
                          </w:rPr>
                          <w:t>2</w:t>
                        </w:r>
                        <w:r>
                          <w:rPr>
                            <w:color w:val="000000"/>
                            <w:sz w:val="21"/>
                          </w:rPr>
                          <w:t>台</w:t>
                        </w:r>
                      </w:p>
                    </w:tc>
                  </w:tr>
                  <w:tr>
                    <w:tc>
                      <w:tcPr>
                        <w:tcW w:type="dxa" w:w="435"/>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664"/>
                        <w:tcBorders>
                          <w:top w:val="none" w:color="000000" w:sz="4"/>
                          <w:left w:val="single" w:color="000000" w:sz="4"/>
                          <w:bottom w:val="single" w:color="000000" w:sz="4"/>
                          <w:right w:val="single" w:color="000000" w:sz="4"/>
                        </w:tcBorders>
                        <w:vAlign w:val="top"/>
                      </w:tcPr>
                      <w:p>
                        <w:pPr>
                          <w:jc w:val="center"/>
                        </w:pPr>
                        <w:r>
                          <w:rPr>
                            <w:color w:val="000000"/>
                            <w:sz w:val="21"/>
                          </w:rPr>
                          <w:t>电动喷雾机</w:t>
                        </w:r>
                      </w:p>
                    </w:tc>
                    <w:tc>
                      <w:tcPr>
                        <w:tcW w:type="dxa" w:w="2404"/>
                        <w:tcBorders>
                          <w:top w:val="none" w:color="000000" w:sz="4"/>
                          <w:left w:val="single" w:color="000000" w:sz="4"/>
                          <w:bottom w:val="single" w:color="000000" w:sz="4"/>
                          <w:right w:val="single" w:color="000000" w:sz="4"/>
                        </w:tcBorders>
                        <w:vAlign w:val="top"/>
                      </w:tcPr>
                      <w:p>
                        <w:r>
                          <w:rPr>
                            <w:color w:val="000000"/>
                            <w:sz w:val="21"/>
                          </w:rPr>
                          <w:t>雾滴直径：</w:t>
                        </w:r>
                        <w:r>
                          <w:rPr>
                            <w:color w:val="000000"/>
                            <w:sz w:val="21"/>
                          </w:rPr>
                          <w:t>50～200微米。水平射程＞6米。</w:t>
                        </w:r>
                        <w:r>
                          <w:rPr>
                            <w:color w:val="000000"/>
                            <w:sz w:val="21"/>
                          </w:rPr>
                          <w:t>药箱容量</w:t>
                        </w:r>
                        <w:r>
                          <w:rPr>
                            <w:color w:val="000000"/>
                            <w:sz w:val="21"/>
                          </w:rPr>
                          <w:t>≥5L。</w:t>
                        </w:r>
                      </w:p>
                    </w:tc>
                    <w:tc>
                      <w:tcPr>
                        <w:tcW w:type="dxa" w:w="751"/>
                        <w:tcBorders>
                          <w:top w:val="none" w:color="000000" w:sz="4"/>
                          <w:left w:val="single" w:color="000000" w:sz="4"/>
                          <w:bottom w:val="single" w:color="000000" w:sz="4"/>
                          <w:right w:val="single" w:color="000000" w:sz="4"/>
                        </w:tcBorders>
                        <w:vAlign w:val="top"/>
                      </w:tcPr>
                      <w:p>
                        <w:pPr>
                          <w:jc w:val="center"/>
                        </w:pPr>
                        <w:r>
                          <w:rPr>
                            <w:color w:val="000000"/>
                            <w:sz w:val="21"/>
                          </w:rPr>
                          <w:t>4</w:t>
                        </w:r>
                        <w:r>
                          <w:rPr>
                            <w:color w:val="000000"/>
                            <w:sz w:val="21"/>
                          </w:rPr>
                          <w:t>台</w:t>
                        </w:r>
                      </w:p>
                    </w:tc>
                  </w:tr>
                  <w:tr>
                    <w:tc>
                      <w:tcPr>
                        <w:tcW w:type="dxa" w:w="435"/>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664"/>
                        <w:tcBorders>
                          <w:top w:val="none" w:color="000000" w:sz="4"/>
                          <w:left w:val="single" w:color="000000" w:sz="4"/>
                          <w:bottom w:val="single" w:color="000000" w:sz="4"/>
                          <w:right w:val="single" w:color="000000" w:sz="4"/>
                        </w:tcBorders>
                        <w:vAlign w:val="top"/>
                      </w:tcPr>
                      <w:p>
                        <w:pPr>
                          <w:jc w:val="center"/>
                        </w:pPr>
                        <w:r>
                          <w:rPr>
                            <w:color w:val="000000"/>
                            <w:sz w:val="21"/>
                          </w:rPr>
                          <w:t>车载式喷雾机</w:t>
                        </w:r>
                      </w:p>
                    </w:tc>
                    <w:tc>
                      <w:tcPr>
                        <w:tcW w:type="dxa" w:w="2404"/>
                        <w:tcBorders>
                          <w:top w:val="none" w:color="000000" w:sz="4"/>
                          <w:left w:val="single" w:color="000000" w:sz="4"/>
                          <w:bottom w:val="single" w:color="000000" w:sz="4"/>
                          <w:right w:val="single" w:color="000000" w:sz="4"/>
                        </w:tcBorders>
                        <w:vAlign w:val="top"/>
                      </w:tcPr>
                      <w:p>
                        <w:r>
                          <w:rPr>
                            <w:color w:val="000000"/>
                            <w:sz w:val="21"/>
                          </w:rPr>
                          <w:t>适合大面积灭蚊及其它病媒昆虫，机动、超低容量、耐用性强，输出容量</w:t>
                        </w:r>
                        <w:r>
                          <w:rPr>
                            <w:color w:val="000000"/>
                            <w:sz w:val="21"/>
                          </w:rPr>
                          <w:t>50～100公升/小时，达距100米（受制于风速），雾滴80%＜40微米，声量80分贝以下。</w:t>
                        </w:r>
                      </w:p>
                    </w:tc>
                    <w:tc>
                      <w:tcPr>
                        <w:tcW w:type="dxa" w:w="751"/>
                        <w:tcBorders>
                          <w:top w:val="none" w:color="000000" w:sz="4"/>
                          <w:left w:val="single" w:color="000000" w:sz="4"/>
                          <w:bottom w:val="single" w:color="000000" w:sz="4"/>
                          <w:right w:val="single" w:color="000000" w:sz="4"/>
                        </w:tcBorders>
                        <w:vAlign w:val="top"/>
                      </w:tcPr>
                      <w:p>
                        <w:pPr>
                          <w:jc w:val="center"/>
                        </w:pPr>
                        <w:r>
                          <w:rPr>
                            <w:color w:val="000000"/>
                            <w:sz w:val="21"/>
                          </w:rPr>
                          <w:t>1台</w:t>
                        </w:r>
                      </w:p>
                    </w:tc>
                  </w:tr>
                  <w:tr>
                    <w:tc>
                      <w:tcPr>
                        <w:tcW w:type="dxa" w:w="435"/>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664"/>
                        <w:tcBorders>
                          <w:top w:val="none" w:color="000000" w:sz="4"/>
                          <w:left w:val="single" w:color="000000" w:sz="4"/>
                          <w:bottom w:val="single" w:color="000000" w:sz="4"/>
                          <w:right w:val="single" w:color="000000" w:sz="4"/>
                        </w:tcBorders>
                        <w:vAlign w:val="top"/>
                      </w:tcPr>
                      <w:p>
                        <w:pPr>
                          <w:jc w:val="center"/>
                        </w:pPr>
                        <w:r>
                          <w:rPr>
                            <w:color w:val="000000"/>
                            <w:sz w:val="21"/>
                          </w:rPr>
                          <w:t>热烟雾机</w:t>
                        </w:r>
                      </w:p>
                    </w:tc>
                    <w:tc>
                      <w:tcPr>
                        <w:tcW w:type="dxa" w:w="2404"/>
                        <w:tcBorders>
                          <w:top w:val="none" w:color="000000" w:sz="4"/>
                          <w:left w:val="single" w:color="000000" w:sz="4"/>
                          <w:bottom w:val="single" w:color="000000" w:sz="4"/>
                          <w:right w:val="single" w:color="000000" w:sz="4"/>
                        </w:tcBorders>
                        <w:vAlign w:val="top"/>
                      </w:tcPr>
                      <w:p>
                        <w:r>
                          <w:rPr>
                            <w:color w:val="000000"/>
                            <w:sz w:val="21"/>
                          </w:rPr>
                          <w:t>雾滴直径：</w:t>
                        </w:r>
                        <w:r>
                          <w:rPr>
                            <w:color w:val="000000"/>
                            <w:sz w:val="21"/>
                          </w:rPr>
                          <w:t>5微米，药液输出量：</w:t>
                        </w:r>
                        <w:r>
                          <w:rPr>
                            <w:color w:val="000000"/>
                            <w:sz w:val="21"/>
                          </w:rPr>
                          <w:t>0</w:t>
                        </w:r>
                        <w:r>
                          <w:rPr>
                            <w:color w:val="000000"/>
                            <w:sz w:val="21"/>
                          </w:rPr>
                          <w:t>～</w:t>
                        </w:r>
                        <w:r>
                          <w:rPr>
                            <w:color w:val="000000"/>
                            <w:sz w:val="21"/>
                          </w:rPr>
                          <w:t>42L/小时，功率：11.6～22K</w:t>
                        </w:r>
                        <w:r>
                          <w:rPr>
                            <w:color w:val="000000"/>
                            <w:sz w:val="21"/>
                          </w:rPr>
                          <w:t>w</w:t>
                        </w:r>
                        <w:r>
                          <w:rPr>
                            <w:color w:val="000000"/>
                            <w:sz w:val="21"/>
                          </w:rPr>
                          <w:t>，药箱容量：</w:t>
                        </w:r>
                        <w:r>
                          <w:rPr>
                            <w:color w:val="000000"/>
                            <w:sz w:val="21"/>
                          </w:rPr>
                          <w:t>5L或以上。</w:t>
                        </w:r>
                      </w:p>
                    </w:tc>
                    <w:tc>
                      <w:tcPr>
                        <w:tcW w:type="dxa" w:w="751"/>
                        <w:tcBorders>
                          <w:top w:val="none" w:color="000000" w:sz="4"/>
                          <w:left w:val="single" w:color="000000" w:sz="4"/>
                          <w:bottom w:val="single" w:color="000000" w:sz="4"/>
                          <w:right w:val="single" w:color="000000" w:sz="4"/>
                        </w:tcBorders>
                        <w:vAlign w:val="top"/>
                      </w:tcPr>
                      <w:p>
                        <w:pPr>
                          <w:jc w:val="center"/>
                        </w:pPr>
                        <w:r>
                          <w:rPr>
                            <w:color w:val="000000"/>
                            <w:sz w:val="21"/>
                          </w:rPr>
                          <w:t>3台</w:t>
                        </w:r>
                      </w:p>
                    </w:tc>
                  </w:tr>
                  <w:tr>
                    <w:tc>
                      <w:tcPr>
                        <w:tcW w:type="dxa" w:w="435"/>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664"/>
                        <w:tcBorders>
                          <w:top w:val="none" w:color="000000" w:sz="4"/>
                          <w:left w:val="single" w:color="000000" w:sz="4"/>
                          <w:bottom w:val="single" w:color="000000" w:sz="4"/>
                          <w:right w:val="single" w:color="000000" w:sz="4"/>
                        </w:tcBorders>
                        <w:vAlign w:val="top"/>
                      </w:tcPr>
                      <w:p>
                        <w:pPr>
                          <w:jc w:val="center"/>
                        </w:pPr>
                        <w:r>
                          <w:rPr>
                            <w:color w:val="000000"/>
                            <w:sz w:val="21"/>
                          </w:rPr>
                          <w:t>工具车</w:t>
                        </w:r>
                      </w:p>
                    </w:tc>
                    <w:tc>
                      <w:tcPr>
                        <w:tcW w:type="dxa" w:w="2404"/>
                        <w:tcBorders>
                          <w:top w:val="none" w:color="000000" w:sz="4"/>
                          <w:left w:val="single" w:color="000000" w:sz="4"/>
                          <w:bottom w:val="single" w:color="000000" w:sz="4"/>
                          <w:right w:val="single" w:color="000000" w:sz="4"/>
                        </w:tcBorders>
                        <w:vAlign w:val="top"/>
                      </w:tcPr>
                      <w:p/>
                    </w:tc>
                    <w:tc>
                      <w:tcPr>
                        <w:tcW w:type="dxa" w:w="751"/>
                        <w:tcBorders>
                          <w:top w:val="none" w:color="000000" w:sz="4"/>
                          <w:left w:val="single" w:color="000000" w:sz="4"/>
                          <w:bottom w:val="single" w:color="000000" w:sz="4"/>
                          <w:right w:val="single" w:color="000000" w:sz="4"/>
                        </w:tcBorders>
                        <w:vAlign w:val="top"/>
                      </w:tcPr>
                      <w:p>
                        <w:pPr>
                          <w:jc w:val="center"/>
                        </w:pPr>
                        <w:r>
                          <w:rPr>
                            <w:color w:val="000000"/>
                            <w:sz w:val="21"/>
                          </w:rPr>
                          <w:t>1辆</w:t>
                        </w:r>
                      </w:p>
                    </w:tc>
                  </w:tr>
                  <w:tr>
                    <w:tc>
                      <w:tcPr>
                        <w:tcW w:type="dxa" w:w="1099"/>
                        <w:gridSpan w:val="2"/>
                        <w:tcBorders>
                          <w:top w:val="none" w:color="000000" w:sz="4"/>
                          <w:left w:val="single" w:color="000000" w:sz="4"/>
                          <w:bottom w:val="single" w:color="000000" w:sz="4"/>
                          <w:right w:val="single" w:color="000000" w:sz="4"/>
                        </w:tcBorders>
                        <w:vAlign w:val="top"/>
                      </w:tcPr>
                      <w:p>
                        <w:pPr>
                          <w:jc w:val="center"/>
                        </w:pPr>
                        <w:r>
                          <w:rPr>
                            <w:color w:val="000000"/>
                            <w:sz w:val="21"/>
                          </w:rPr>
                          <w:t>备注</w:t>
                        </w:r>
                      </w:p>
                    </w:tc>
                    <w:tc>
                      <w:tcPr>
                        <w:tcW w:type="dxa" w:w="3155"/>
                        <w:gridSpan w:val="2"/>
                        <w:tcBorders>
                          <w:top w:val="none" w:color="000000" w:sz="4"/>
                          <w:left w:val="single" w:color="000000" w:sz="4"/>
                          <w:bottom w:val="single" w:color="000000" w:sz="4"/>
                          <w:right w:val="single" w:color="000000" w:sz="4"/>
                        </w:tcBorders>
                        <w:vAlign w:val="top"/>
                      </w:tcPr>
                      <w:p>
                        <w:r>
                          <w:rPr>
                            <w:color w:val="000000"/>
                            <w:sz w:val="21"/>
                          </w:rPr>
                          <w:t>投标人应根据各采购包的要求配置包含但不限于以上的设备。</w:t>
                        </w:r>
                      </w:p>
                    </w:tc>
                  </w:tr>
                </w:tbl>
                <w:p>
                  <w:r>
                    <w:rPr>
                      <w:sz w:val="21"/>
                    </w:rPr>
                    <w:t>5</w:t>
                  </w:r>
                  <w:r>
                    <w:rPr>
                      <w:sz w:val="21"/>
                    </w:rPr>
                    <w:t>.2管理要求</w:t>
                  </w:r>
                </w:p>
                <w:p>
                  <w:r>
                    <w:rPr>
                      <w:sz w:val="21"/>
                    </w:rPr>
                    <w:t>1）中标人须按招标文件要求足额配置设备及车辆专用于本项目，服务期内不得调往他用，否则将被视作违约。</w:t>
                  </w:r>
                </w:p>
                <w:p>
                  <w:r>
                    <w:rPr>
                      <w:sz w:val="21"/>
                    </w:rPr>
                    <w:t>2）作业设备及车辆须做好安全检查工作，每天作业前、作业中、作业后对设备及车辆进行安全检查，保证作业设备及车辆完好、外观整洁、适合作业。</w:t>
                  </w:r>
                </w:p>
                <w:p>
                  <w:r>
                    <w:rPr>
                      <w:sz w:val="21"/>
                    </w:rPr>
                    <w:t>3）作业设备及车辆在使用后须妥善停放于中标人的场地内，不得乱停乱放、阻碍交通。</w:t>
                  </w:r>
                </w:p>
                <w:p>
                  <w:r>
                    <w:rPr>
                      <w:sz w:val="21"/>
                    </w:rPr>
                    <w:t>4）作业车辆须证照、手续齐全，并配备有效的灭火设施。</w:t>
                  </w:r>
                </w:p>
                <w:p>
                  <w:r>
                    <w:rPr>
                      <w:sz w:val="21"/>
                    </w:rPr>
                    <w:t>5）除应急抢修处理需要，并经采购人及交警部门同意外，作业车辆不得于交通高峰期（7:00至9:00，17:00至19:00）占道作业，影响交通通行。</w:t>
                  </w:r>
                </w:p>
              </w:tc>
            </w:tr>
            <w:tr>
              <w:tc>
                <w:tcPr>
                  <w:tcW w:type="dxa" w:w="725"/>
                  <w:tcBorders>
                    <w:top w:val="none" w:color="000000" w:sz="4"/>
                    <w:left w:val="single" w:color="000000" w:sz="4"/>
                    <w:bottom w:val="single" w:color="000000" w:sz="4"/>
                    <w:right w:val="single" w:color="000000" w:sz="4"/>
                  </w:tcBorders>
                  <w:vAlign w:val="top"/>
                </w:tcPr>
                <w:p>
                  <w:r>
                    <w:rPr>
                      <w:sz w:val="21"/>
                    </w:rPr>
                    <w:t>对药物的基本要求</w:t>
                  </w:r>
                </w:p>
              </w:tc>
              <w:tc>
                <w:tcPr>
                  <w:tcW w:type="dxa" w:w="367"/>
                  <w:tcBorders>
                    <w:top w:val="none" w:color="000000" w:sz="4"/>
                    <w:left w:val="single" w:color="000000" w:sz="4"/>
                    <w:bottom w:val="single" w:color="000000" w:sz="4"/>
                    <w:right w:val="single" w:color="000000" w:sz="4"/>
                  </w:tcBorders>
                  <w:vAlign w:val="top"/>
                </w:tcPr>
                <w:p>
                  <w:pPr>
                    <w:jc w:val="center"/>
                  </w:pPr>
                  <w:r>
                    <w:rPr>
                      <w:sz w:val="21"/>
                    </w:rPr>
                    <w:t>6</w:t>
                  </w:r>
                </w:p>
              </w:tc>
              <w:tc>
                <w:tcPr>
                  <w:tcW w:type="dxa" w:w="4488"/>
                  <w:tcBorders>
                    <w:top w:val="none" w:color="000000" w:sz="4"/>
                    <w:left w:val="single" w:color="000000" w:sz="4"/>
                    <w:bottom w:val="single" w:color="000000" w:sz="4"/>
                    <w:right w:val="single" w:color="000000" w:sz="4"/>
                  </w:tcBorders>
                  <w:vAlign w:val="top"/>
                </w:tcPr>
                <w:p>
                  <w:r>
                    <w:rPr>
                      <w:sz w:val="21"/>
                    </w:rPr>
                    <w:t>1）根据省、市、区抗药性监测数据，使用推荐产品。</w:t>
                  </w:r>
                </w:p>
                <w:p>
                  <w:r>
                    <w:rPr>
                      <w:sz w:val="21"/>
                    </w:rPr>
                    <w:t>2）每类害虫防制须有6种或以上符合国家规定的药物轮换使用，避免防制抗药性。</w:t>
                  </w:r>
                </w:p>
                <w:p>
                  <w:r>
                    <w:rPr>
                      <w:sz w:val="21"/>
                    </w:rPr>
                    <w:t>3）使用的所有药物须符合国家有关规定，使用“三证”齐全（农药登记证、生产批准证书号、产品标准号）并可追索来源的药物。（在投标文件中提供“三证”复印件加盖投标人公章</w:t>
                  </w:r>
                  <w:r>
                    <w:rPr>
                      <w:sz w:val="21"/>
                    </w:rPr>
                    <w:t>的扫描件</w:t>
                  </w:r>
                  <w:r>
                    <w:rPr>
                      <w:sz w:val="21"/>
                    </w:rPr>
                    <w:t>）</w:t>
                  </w:r>
                </w:p>
                <w:p>
                  <w:r>
                    <w:rPr>
                      <w:sz w:val="21"/>
                    </w:rPr>
                    <w:t>4）科学用药，不得使用国家禁用或伪劣的灭鼠、杀虫剂。</w:t>
                  </w:r>
                </w:p>
                <w:p>
                  <w:r>
                    <w:rPr>
                      <w:sz w:val="21"/>
                    </w:rPr>
                    <w:t>5）安全操作，灭鼠药物须妥善保管，不得遗失，灭鼠毒饵靠边和隐蔽处投放；不污染环境，确保人、畜安全，若因管理或操作不当而引起的一切责任由中标人承担。</w:t>
                  </w:r>
                </w:p>
              </w:tc>
            </w:tr>
            <w:tr>
              <w:tc>
                <w:tcPr>
                  <w:tcW w:type="dxa" w:w="725"/>
                  <w:tcBorders>
                    <w:top w:val="none" w:color="000000" w:sz="4"/>
                    <w:left w:val="single" w:color="000000" w:sz="4"/>
                    <w:bottom w:val="single" w:color="000000" w:sz="4"/>
                    <w:right w:val="single" w:color="000000" w:sz="4"/>
                  </w:tcBorders>
                  <w:vAlign w:val="top"/>
                </w:tcPr>
                <w:p>
                  <w:r>
                    <w:rPr>
                      <w:sz w:val="21"/>
                    </w:rPr>
                    <w:t>作业要求</w:t>
                  </w:r>
                </w:p>
              </w:tc>
              <w:tc>
                <w:tcPr>
                  <w:tcW w:type="dxa" w:w="367"/>
                  <w:tcBorders>
                    <w:top w:val="none" w:color="000000" w:sz="4"/>
                    <w:left w:val="single" w:color="000000" w:sz="4"/>
                    <w:bottom w:val="single" w:color="000000" w:sz="4"/>
                    <w:right w:val="single" w:color="000000" w:sz="4"/>
                  </w:tcBorders>
                  <w:vAlign w:val="top"/>
                </w:tcPr>
                <w:p>
                  <w:pPr>
                    <w:jc w:val="center"/>
                  </w:pPr>
                  <w:r>
                    <w:rPr>
                      <w:sz w:val="21"/>
                    </w:rPr>
                    <w:t>7</w:t>
                  </w:r>
                </w:p>
              </w:tc>
              <w:tc>
                <w:tcPr>
                  <w:tcW w:type="dxa" w:w="4488"/>
                  <w:tcBorders>
                    <w:top w:val="none" w:color="000000" w:sz="4"/>
                    <w:left w:val="single" w:color="000000" w:sz="4"/>
                    <w:bottom w:val="single" w:color="000000" w:sz="4"/>
                    <w:right w:val="single" w:color="000000" w:sz="4"/>
                  </w:tcBorders>
                  <w:vAlign w:val="top"/>
                </w:tcPr>
                <w:p>
                  <w:r>
                    <w:rPr>
                      <w:sz w:val="21"/>
                    </w:rPr>
                    <w:t>1）实施防制作业前，须先到现场调查辖区病媒生物的基本情况、记录详细，对病媒生物的种类、栖息部位、密度状况及孳生环境等情况有全面的了解，因地制宜地制定合理的害虫综合控制方案，并根据防制方案备好药品、器械和个人防护用品等。</w:t>
                  </w:r>
                </w:p>
                <w:p>
                  <w:r>
                    <w:rPr>
                      <w:sz w:val="21"/>
                    </w:rPr>
                    <w:t>2）防治药品及相关器械的使用按国家有关部门指定的最新标准执行。</w:t>
                  </w:r>
                </w:p>
                <w:p>
                  <w:r>
                    <w:rPr>
                      <w:sz w:val="21"/>
                    </w:rPr>
                    <w:t>3）实施防制作业，应遵守安全操作规定，合理用药，施药到位，保证防制效果，并防止药品污染环境。</w:t>
                  </w:r>
                </w:p>
                <w:p>
                  <w:r>
                    <w:rPr>
                      <w:sz w:val="21"/>
                    </w:rPr>
                    <w:t>4）为单位、住户喷药除虫，应协助户主做好防污染工作。</w:t>
                  </w:r>
                </w:p>
                <w:p>
                  <w:r>
                    <w:rPr>
                      <w:sz w:val="21"/>
                    </w:rPr>
                    <w:t>5）除虫施药注意个人防护，穿工作服，戴口罩和手套。</w:t>
                  </w:r>
                </w:p>
                <w:p>
                  <w:r>
                    <w:rPr>
                      <w:sz w:val="21"/>
                    </w:rPr>
                    <w:t>6）施药除虫剩余的药物和药物包装容器（材料），回收集中处理不随地遗弃。</w:t>
                  </w:r>
                </w:p>
                <w:p>
                  <w:r>
                    <w:rPr>
                      <w:sz w:val="21"/>
                    </w:rPr>
                    <w:t>7）不得在鱼塘和与养鱼有关水体喷洒、倾倒对鱼类有害的杀虫剂和清洗喷雾工具、用具。</w:t>
                  </w:r>
                </w:p>
                <w:p>
                  <w:r>
                    <w:rPr>
                      <w:sz w:val="21"/>
                    </w:rPr>
                    <w:t>8）作业完成后应认真填写《服务作业单》并交由被服务对象签认，街道爱卫办、各村（居）委会各一份，保存备查。</w:t>
                  </w:r>
                </w:p>
                <w:p>
                  <w:r>
                    <w:rPr>
                      <w:sz w:val="21"/>
                    </w:rPr>
                    <w:t>9）定期进行病媒生物密度监测和防制效果监测，监测资料及时统计、分析上报爱卫办，并归档保存。</w:t>
                  </w:r>
                </w:p>
              </w:tc>
            </w:tr>
            <w:tr>
              <w:tc>
                <w:tcPr>
                  <w:tcW w:type="dxa" w:w="725"/>
                  <w:tcBorders>
                    <w:top w:val="none" w:color="000000" w:sz="4"/>
                    <w:left w:val="single" w:color="000000" w:sz="4"/>
                    <w:bottom w:val="single" w:color="000000" w:sz="4"/>
                    <w:right w:val="single" w:color="000000" w:sz="4"/>
                  </w:tcBorders>
                  <w:vAlign w:val="top"/>
                </w:tcPr>
                <w:p>
                  <w:r>
                    <w:rPr>
                      <w:sz w:val="21"/>
                    </w:rPr>
                    <w:t>其他实施要求</w:t>
                  </w:r>
                </w:p>
              </w:tc>
              <w:tc>
                <w:tcPr>
                  <w:tcW w:type="dxa" w:w="367"/>
                  <w:tcBorders>
                    <w:top w:val="none" w:color="000000" w:sz="4"/>
                    <w:left w:val="single" w:color="000000" w:sz="4"/>
                    <w:bottom w:val="single" w:color="000000" w:sz="4"/>
                    <w:right w:val="single" w:color="000000" w:sz="4"/>
                  </w:tcBorders>
                  <w:vAlign w:val="top"/>
                </w:tcPr>
                <w:p>
                  <w:pPr>
                    <w:jc w:val="center"/>
                  </w:pPr>
                  <w:r>
                    <w:rPr>
                      <w:sz w:val="21"/>
                    </w:rPr>
                    <w:t>8</w:t>
                  </w:r>
                </w:p>
              </w:tc>
              <w:tc>
                <w:tcPr>
                  <w:tcW w:type="dxa" w:w="4488"/>
                  <w:tcBorders>
                    <w:top w:val="none" w:color="000000" w:sz="4"/>
                    <w:left w:val="single" w:color="000000" w:sz="4"/>
                    <w:bottom w:val="single" w:color="000000" w:sz="4"/>
                    <w:right w:val="single" w:color="000000" w:sz="4"/>
                  </w:tcBorders>
                  <w:vAlign w:val="top"/>
                </w:tcPr>
                <w:p>
                  <w:r>
                    <w:rPr>
                      <w:sz w:val="21"/>
                    </w:rPr>
                    <w:t>1）在本项目合同签订后的30天内，中标人须顺德行政区域内设置固定的办公场所和仓库，面积合计不少于60㎡，并向采购人提供相应的场地权属证明或场地使用证明，否则视为拒绝履行合同义务。</w:t>
                  </w:r>
                </w:p>
                <w:p>
                  <w:r>
                    <w:rPr>
                      <w:sz w:val="21"/>
                    </w:rPr>
                    <w:t>2）中标人须按采购人要求做好各种规范的除“四害”监测纪录，制定科学的年度、季度除“四害”工作计划，包括：技术方案、工作方法、用药计划等。每季度10日前将上季度的实施质量和工作情况向采购人作书面报告。</w:t>
                  </w:r>
                </w:p>
                <w:p>
                  <w:r>
                    <w:rPr>
                      <w:sz w:val="21"/>
                    </w:rPr>
                    <w:t>3）中标人应制定详尽的应急方案，包括：专业技术作业人员、作业设备等，无条件配合采购人做好除四害应急工作和突发性的新增工作任务，不得有异议。</w:t>
                  </w:r>
                </w:p>
                <w:p>
                  <w:r>
                    <w:rPr>
                      <w:sz w:val="21"/>
                    </w:rPr>
                    <w:t xml:space="preserve"> </w:t>
                  </w:r>
                </w:p>
                <w:p>
                  <w:r>
                    <w:rPr>
                      <w:sz w:val="21"/>
                    </w:rPr>
                    <w:t>4）中标人应做好服务人员档案管理资料，做好工作记录，建立施药服务卡，做好资料收集和整理归档。当采购人需要时，须随时提供。</w:t>
                  </w:r>
                </w:p>
                <w:p>
                  <w:r>
                    <w:rPr>
                      <w:sz w:val="21"/>
                    </w:rPr>
                    <w:t>5）若标段辖区有发现死鼠或居民打死老鼠，中标人须免费上门处理死鼠。</w:t>
                  </w:r>
                </w:p>
                <w:p>
                  <w:r>
                    <w:rPr>
                      <w:sz w:val="21"/>
                    </w:rPr>
                    <w:t>6）在每年除四害高发季节（如5～10月），中标人须无条件配合采购人做好宣传和指导工作，并对有需要的市民提供优质服务。</w:t>
                  </w:r>
                </w:p>
                <w:p>
                  <w:r>
                    <w:rPr>
                      <w:sz w:val="21"/>
                    </w:rPr>
                    <w:t>7）中标人须遵守采购人各项管理规定，接受和服从采购人的管理及考评，配合提供便利条件，根据采购人提出的意见及时进行整改。</w:t>
                  </w:r>
                </w:p>
                <w:p>
                  <w:r>
                    <w:rPr>
                      <w:sz w:val="21"/>
                    </w:rPr>
                    <w:t>8）中标人须积极配合采购人做好准备工作，接受国家、省、市、区及街道各级政府部门组织的考评、检查及验收等。</w:t>
                  </w:r>
                </w:p>
                <w:p>
                  <w:r>
                    <w:rPr>
                      <w:sz w:val="21"/>
                    </w:rPr>
                    <w:t>9）中标人须按采购人要求及时提交作业计划、应急预案等资料，确保所提供的资料真实合理。</w:t>
                  </w:r>
                </w:p>
                <w:p>
                  <w:r>
                    <w:rPr>
                      <w:sz w:val="21"/>
                    </w:rPr>
                    <w:t>10）中标人须无条件配合有关政府部门举办的一切活动，协助处理应急事件。</w:t>
                  </w:r>
                </w:p>
                <w:p>
                  <w:r>
                    <w:rPr>
                      <w:sz w:val="21"/>
                    </w:rPr>
                    <w:t>11）中标人须及时制止影响项目管理质量的行为，并及时向采购人汇报情况及提供现场记录（相片、报告）；超过24小时未报的，则由中标人负责按原貌恢复。</w:t>
                  </w:r>
                </w:p>
                <w:p>
                  <w:r>
                    <w:rPr>
                      <w:sz w:val="21"/>
                    </w:rPr>
                    <w:t>12）中标人须按招标要求及投标承诺做好日常管理工作，避免群众投诉。若直接或间接收到群众通过来信、来电、来访等方式投诉的，须及时妥善处理整改，避免反复投诉。</w:t>
                  </w:r>
                </w:p>
                <w:p>
                  <w:r>
                    <w:rPr>
                      <w:sz w:val="21"/>
                    </w:rPr>
                    <w:t>13）在服务期内，采购人没有增加服务内容、项目，而中标人自行增加设备和人员等的，所增加的费用一律由中标人自行负责。</w:t>
                  </w:r>
                </w:p>
                <w:p>
                  <w:r>
                    <w:rPr>
                      <w:sz w:val="21"/>
                    </w:rPr>
                    <w:t>14）病媒生物防制工作资料的印刷装订，每年工作资料需一式三份，采购人、防制区域、中标人各保存一份。内容包括每日工作微文一篇，每日工作记录表，每月报表、小结要汇总装订成册，制定防制工作方案、技术方案、孳生地调查、治理方案等。</w:t>
                  </w:r>
                </w:p>
                <w:p>
                  <w:r>
                    <w:rPr>
                      <w:sz w:val="21"/>
                    </w:rPr>
                    <w:t>15）在服务期内，中标人进行消杀活动前应做好相关宣传工作，科学规范使用及投放一切药物，杜绝误触误食毒饵事件发生。如发生相关人宠畜误触误食事件，一切责任及赔偿由中标人承担。中标人可自行考虑包括但不限于通过购买保险等方式对项目进行风险管理。</w:t>
                  </w:r>
                </w:p>
              </w:tc>
            </w:tr>
            <w:tr>
              <w:tc>
                <w:tcPr>
                  <w:tcW w:type="dxa" w:w="1092"/>
                  <w:gridSpan w:val="2"/>
                  <w:tcBorders>
                    <w:top w:val="none" w:color="000000" w:sz="4"/>
                    <w:left w:val="single" w:color="000000" w:sz="4"/>
                    <w:bottom w:val="single" w:color="000000" w:sz="4"/>
                    <w:right w:val="single" w:color="000000" w:sz="4"/>
                  </w:tcBorders>
                  <w:vAlign w:val="top"/>
                </w:tcPr>
                <w:p>
                  <w:pPr>
                    <w:jc w:val="center"/>
                  </w:pPr>
                  <w:r>
                    <w:rPr>
                      <w:sz w:val="21"/>
                    </w:rPr>
                    <w:t>说明</w:t>
                  </w:r>
                </w:p>
              </w:tc>
              <w:tc>
                <w:tcPr>
                  <w:tcW w:type="dxa" w:w="4488"/>
                  <w:tcBorders>
                    <w:top w:val="none" w:color="000000" w:sz="4"/>
                    <w:left w:val="single" w:color="000000" w:sz="4"/>
                    <w:bottom w:val="single" w:color="000000" w:sz="4"/>
                    <w:right w:val="single" w:color="000000" w:sz="4"/>
                  </w:tcBorders>
                  <w:vAlign w:val="top"/>
                </w:tcPr>
                <w:p>
                  <w:r>
                    <w:rPr>
                      <w:sz w:val="21"/>
                    </w:rPr>
                    <w:t>打</w:t>
                  </w:r>
                  <w:r>
                    <w:rPr>
                      <w:sz w:val="21"/>
                    </w:rPr>
                    <w:t>“★”号条款为实质性条款，若有任何一条负偏离或不满足则导致投标（响应）无效。</w:t>
                  </w:r>
                  <w:r>
                    <w:rPr>
                      <w:sz w:val="22"/>
                    </w:rPr>
                    <w:t xml:space="preserve"> </w:t>
                  </w:r>
                </w:p>
                <w:p>
                  <w:r>
                    <w:rPr>
                      <w:sz w:val="21"/>
                    </w:rPr>
                    <w:t>打</w:t>
                  </w:r>
                  <w:r>
                    <w:rPr>
                      <w:sz w:val="21"/>
                    </w:rPr>
                    <w:t>“▲”号条款为重要技术参数（如有），若有部分“▲”条款未响应或不满足，将根据评审要求影响其得分，但不作为无效投标（响应）条款。</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1.采购代理机构：本项目是指广东华正工程咨询有限公司，负责整个采购活动的组织，依法负责编制和发布招标文件，对招标文件拥有最终的解释权，不以任何身份出任评标委员会成员。</w:t>
      </w:r>
    </w:p>
    <w:p>
      <w:pPr>
        <w:ind w:firstLine="480"/>
      </w:pPr>
      <w:r>
        <w:rPr/>
        <w:t>2.采购人：本项目是指</w:t>
      </w:r>
      <w:r>
        <w:rPr/>
        <w:t>佛山市顺德区勒流街道卫生健康办公室</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3</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p>
            <w:r>
              <w:rPr/>
              <w:t>采购包3：综合评分法</w:t>
            </w:r>
          </w:p>
        </w:tc>
      </w:tr>
      <w:tr>
        <w:tc>
          <w:tcPr>
            <w:tcW w:type="dxa" w:w="1051"/>
          </w:tcPr>
          <w:p>
            <w:r>
              <w:rPr/>
              <w:t>5</w:t>
            </w:r>
          </w:p>
        </w:tc>
        <w:tc>
          <w:tcPr>
            <w:tcW w:type="dxa" w:w="2252"/>
          </w:tcPr>
          <w:p>
            <w:r>
              <w:rPr/>
              <w:t>报价形式</w:t>
            </w:r>
          </w:p>
        </w:tc>
        <w:tc>
          <w:tcPr>
            <w:tcW w:type="dxa" w:w="5004"/>
          </w:tcPr>
          <w:p/>
          <w:p>
            <w:r>
              <w:rPr/>
              <w:t>采购包1：总价</w:t>
            </w:r>
          </w:p>
          <w:p/>
          <w:p>
            <w:r>
              <w:rPr/>
              <w:t>采购包2：总价</w:t>
            </w:r>
          </w:p>
          <w:p/>
          <w:p>
            <w:r>
              <w:rPr/>
              <w:t>采购包3：总价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r>
              <w:rPr/>
              <w:t>采购包2：保证金人民币：0.00元整。</w:t>
            </w:r>
            <w:r>
              <w:rPr/>
              <w:t>采购包3：保证金人民币：0.00元整。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1家</w:t>
            </w:r>
          </w:p>
          <w:p>
            <w:r>
              <w:rPr/>
              <w:t>采购包2：</w:t>
            </w:r>
            <w:r>
              <w:rPr/>
              <w:t>1家</w:t>
            </w:r>
          </w:p>
          <w:p>
            <w:r>
              <w:rPr/>
              <w:t>采购包3：</w:t>
            </w:r>
            <w:r>
              <w:rPr/>
              <w:t>1家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r>
              <w:rPr/>
              <w:t>采购包3：</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Pr>
              <w:jc w:val="left"/>
            </w:pPr>
          </w:p>
          <w:p>
            <w:r>
              <w:rPr/>
              <w:t>采购包3：3家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兼投不兼中：本项目兼投不兼中，每个投标人最多只能被确定为1个子包的第一中标候选人。已获得子包一的第一中标候选人资格的投标人将不再参与子包二的评审且不具有子包二的中标候选人推荐资格，子包二从具有中标候选人推荐资格的投标人中推荐评标总得分排名最高的作为该包组的第一中标候选人，依此类推。本项目的评审顺序按照子包号从小到大排序，即首先评审子包一、然后评审子包二、再评审子包三，依此类推。本项目评审结束后，如个别子包出现改变排序或者重新评审或重新招标等改变中标结果的情形，其他子包的排序和评审结果均不作任何调整，且其他子包的中标候选人不再参与个别子包的重新评审或重新招标、不具有中标候选人推荐资格。</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采购机构代理服务收费标准：以各标段的预算金额为基准，按原国家计委颁布的《招标代理服务收费管理暂行办法》（计价格[2002]1980号）计费类别“服务类”的招标代理服务收费标准的75%执行。</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采购包1：是</w:t>
            </w:r>
          </w:p>
          <w:p>
            <w:pPr>
              <w:jc w:val="left"/>
            </w:pPr>
            <w:r>
              <w:rPr/>
              <w:t>采购包2：是</w:t>
            </w:r>
          </w:p>
          <w:p>
            <w:pPr>
              <w:jc w:val="left"/>
            </w:pPr>
            <w:r>
              <w:rPr/>
              <w:t>采购包3：是</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5.5联合体各方均应满足采购文件规定的资格要求。由同一资质条件的投标人组成的联合体，应当按照资质等级较低的投标人确定联合体资质等级。</w:t>
      </w:r>
    </w:p>
    <w:p>
      <w:pPr>
        <w:ind w:firstLine="480"/>
      </w:pPr>
      <w:r>
        <w:rPr/>
        <w:t>5.6联合体各方应当共同与采购人签订采购合同，就合同约定的事项对采购人承担连带责任。</w:t>
      </w:r>
    </w:p>
    <w:p>
      <w:pPr>
        <w:ind w:firstLine="480"/>
      </w:pPr>
      <w:r>
        <w:rPr/>
        <w:t>5.7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广东华正工程咨询有限公司</w:t>
      </w:r>
      <w:r>
        <w:rPr/>
        <w:t>代收。具体操作要求详见</w:t>
      </w:r>
      <w:r>
        <w:rPr/>
        <w:t>广东华正工程咨询有限公司</w:t>
      </w:r>
      <w:r>
        <w:rPr/>
        <w:t>有关指引，递交事宜请自行咨询</w:t>
      </w:r>
      <w:r>
        <w:rPr/>
        <w:t>广东华正工程咨询有限公司</w:t>
      </w:r>
      <w:r>
        <w:rPr/>
        <w:t>；请各投标人在投标文件递交截止时间前按须知前附表规定的金额递交至</w:t>
      </w:r>
      <w:r>
        <w:rPr/>
        <w:t>广东华正工程咨询有限公司</w:t>
      </w:r>
      <w:r>
        <w:rPr/>
        <w:t>，到账情况以开标时</w:t>
      </w:r>
      <w:r>
        <w:rPr/>
        <w:t>广东华正工程咨询有限公司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佛山市公共资源交易网：http://www.fsggzy.cn/；顺德区公共资源交易中心网站（http://www.shunde.gov.cn/ggzy/）；勒流街道政务网(http://www.shunde.gov.cn/leliu/)</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佛山市公共资源交易网：http://www.fsggzy.cn/；顺德区公共资源交易中心网站（http://www.shunde.gov.cn/ggzy/）；勒流街道政务网(http://www.shunde.gov.cn/leliu/)</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聂工、梁工</w:t>
      </w:r>
    </w:p>
    <w:p>
      <w:pPr>
        <w:ind w:firstLine="480"/>
      </w:pPr>
      <w:r>
        <w:rPr/>
        <w:t>电话：</w:t>
      </w:r>
      <w:r>
        <w:rPr/>
        <w:t>0757-22330608、22330609</w:t>
      </w:r>
    </w:p>
    <w:p>
      <w:pPr>
        <w:ind w:firstLine="480"/>
      </w:pPr>
      <w:r>
        <w:rPr/>
        <w:t>传真：</w:t>
      </w:r>
      <w:r>
        <w:rPr/>
        <w:t>/</w:t>
      </w:r>
    </w:p>
    <w:p>
      <w:pPr>
        <w:ind w:firstLine="480"/>
      </w:pPr>
      <w:r>
        <w:rPr/>
        <w:t>邮箱：</w:t>
      </w:r>
      <w:r>
        <w:rPr/>
        <w:t>376893393@qq.com</w:t>
      </w:r>
    </w:p>
    <w:p>
      <w:pPr>
        <w:ind w:firstLine="480"/>
      </w:pPr>
      <w:r>
        <w:rPr/>
        <w:t>地址：</w:t>
      </w:r>
      <w:r>
        <w:rPr/>
        <w:t>广东省佛山市顺德区大良凤翔工业区顺翔路20号（太昌冷气二楼）201室</w:t>
      </w:r>
    </w:p>
    <w:p>
      <w:pPr>
        <w:ind w:firstLine="480"/>
      </w:pPr>
      <w:r>
        <w:rPr/>
        <w:t>邮编：</w:t>
      </w:r>
      <w:r>
        <w:rPr/>
        <w:t>528300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政府采购监督管理机构名称：广东省佛山市顺德区财政局监督与绩效科</w:t>
      </w:r>
    </w:p>
    <w:p>
      <w:r>
        <w:rPr/>
        <w:t>地  址：佛山市顺德区大良德民路区政府行政大楼3楼</w:t>
      </w:r>
    </w:p>
    <w:p>
      <w:r>
        <w:rPr/>
        <w:t>电  话：0757-22831619、22831865</w:t>
      </w:r>
    </w:p>
    <w:p/>
    <w:p>
      <w:r>
        <w:rPr>
          <w:b/>
          <w:sz w:val="28"/>
        </w:rPr>
        <w:t>八、合同签订和履行</w:t>
      </w:r>
    </w:p>
    <w:p>
      <w:r>
        <w:rPr>
          <w:b/>
          <w:sz w:val="24"/>
        </w:rPr>
        <w:t>1.合同签订</w:t>
      </w:r>
    </w:p>
    <w:p>
      <w:pPr>
        <w:ind w:firstLine="480"/>
      </w:pPr>
      <w:r>
        <w:rPr/>
        <w:t>1.1采购人应当自《中标通知书》发出之日起三十日内（广州市规定自《中标通知书》发出之日起二十日内签订合同），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勒流居委会、新城居委会、勒北村委会、大晚居委会、光大居委会、东风村委会（包1）)：综合评分法,是指投标文件满足招标文件全部实质性要求，且按照评审因素的量化指标评审得分最高的投标人为中标候选人的评标方法。（最低报价不是中标的唯一依据。）</w:t>
      </w:r>
    </w:p>
    <w:p/>
    <w:p>
      <w:r>
        <w:rPr/>
        <w:t>采购包2(众涌村委会、龙眼村委会、西华村委会、富裕村委会、连杜村委会、新安村委会、冲鹤村委会、裕源村委会（包2）)：综合评分法,是指投标文件满足招标文件全部实质性要求，且按照评审因素的量化指标评审得分最高的投标人为中标候选人的评标方法。（最低报价不是中标的唯一依据。）</w:t>
      </w:r>
    </w:p>
    <w:p/>
    <w:p>
      <w:r>
        <w:rPr/>
        <w:t>采购包3(扶闾村委会、稔海村委会、黄连居委会、新明村委会、江义村委会、上涌村委会、江村村委会、南水村委会（包3）)：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广东华正工程咨询有限公司</w:t>
      </w:r>
      <w:r>
        <w:rPr/>
        <w:t>统一对外发布。</w:t>
      </w:r>
    </w:p>
    <w:p>
      <w:pPr>
        <w:ind w:firstLine="480"/>
      </w:pPr>
      <w:r>
        <w:rPr/>
        <w:t>（2）对</w:t>
      </w:r>
      <w:r>
        <w:rPr/>
        <w:t>广东华正工程咨询有限公司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 不同投标人的电子投标文件上传计算机的网卡MAC地址硬件信息相同的（开标现场上传电子投标文件的除外）；</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采购包1（勒流居委会、新城居委会、勒北村委会、大晚居委会、光大居委会、东风村委会（包1））：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r>
        <w:rPr/>
        <w:t>采购包2（众涌村委会、龙眼村委会、西华村委会、富裕村委会、连杜村委会、新安村委会、冲鹤村委会、裕源村委会（包2））：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r>
        <w:rPr/>
        <w:t>采购包3（扶闾村委会、稔海村委会、黄连居委会、新明村委会、江义村委会、上涌村委会、江村村委会、南水村委会（包3））：</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系统抓取并记录到供应商与同项目（采购包）其他投标（响应）供应商电子投标文件上传计算机的网卡MAC地址硬件信息相同（开标现场上传电子投标文件的除外）的情形，评标委员会应认定其投标（响应）无效。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采购包1（勒流居委会、新城居委会、勒北村委会、大晚居委会、光大居委会、东风村委会（包1））：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在中华人民共和国境内注册的法人或其他组织或自然人，投标（响应）时提交有效的营业执照（或事业法人登记证或身份证等相关证明）副本扫描件。</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采购包1、采购包2、采购包3）供应商必须具有良好的商业信誉和健全的财务会计制度（提供2021年度或2020年度财务状况报告或基本开户行出具的资信证明）。注：1、2021年度或2020年度财务状况报告：①提供由第三方会计师事务所出具的审计报告，能清晰显示第三方会计师事务所的印章，并能反映审计结论；②财务报告包括审计结论、资产负债表、利润表、现金流量表等。2、基本开户行出具的资信证明：①资信证明应在有效期内；②资信证明的落款单位名称必须与开户（基本户）许可证的开户银行名称一致，如不一致的，应提供银行证明，银行无法开具证明的提供其他证明材料，有效性由采购人审核；③资信证明书格式有抬头的，可以写本项目的采购人或采购代理机构的单位全称。</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tc>
      </w:tr>
      <w:tr>
        <w:tc>
          <w:tcPr>
            <w:tcW w:type="dxa" w:w="890"/>
          </w:tcPr>
          <w:p>
            <w:r>
              <w:rPr/>
              <w:t>6</w:t>
            </w:r>
          </w:p>
        </w:tc>
        <w:tc>
          <w:tcPr>
            <w:tcW w:type="dxa" w:w="3178"/>
          </w:tcPr>
          <w:p>
            <w:r>
              <w:rPr/>
              <w:t>信用记录</w:t>
            </w:r>
          </w:p>
        </w:tc>
        <w:tc>
          <w:tcPr>
            <w:tcW w:type="dxa" w:w="4238"/>
          </w:tcPr>
          <w:p>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促进中小企业发展</w:t>
            </w:r>
          </w:p>
        </w:tc>
        <w:tc>
          <w:tcPr>
            <w:tcW w:type="dxa" w:w="4238"/>
          </w:tcPr>
          <w:p>
            <w:r>
              <w:rPr/>
              <w:t>采购包整体专门面向中小企业。本项目采购标的对应的中小企业划分标准所属行业：“其他未列明行业（包括科学研究和技术服务业，水利、环境和公共设施管理业，居民服务、修理和其他服务业，社会工作，文化、体育和娱乐业等）”。</w:t>
            </w:r>
          </w:p>
        </w:tc>
      </w:tr>
    </w:tbl>
    <w:p/>
    <w:p>
      <w:r>
        <w:rPr/>
        <w:t>采购包2（众涌村委会、龙眼村委会、西华村委会、富裕村委会、连杜村委会、新安村委会、冲鹤村委会、裕源村委会（包2））：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在中华人民共和国境内注册的法人或其他组织或自然人，投标（响应）时提交有效的营业执照（或事业法人登记证或身份证等相关证明）副本扫描件。</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采购包1、采购包2、采购包3）供应商必须具有良好的商业信誉和健全的财务会计制度（提供2021年度或2020年度财务状况报告或基本开户行出具的资信证明）。注：1、2021年度或2020年度财务状况报告：①提供由第三方会计师事务所出具的审计报告，能清晰显示第三方会计师事务所的印章，并能反映审计结论；②财务报告包括审计结论、资产负债表、利润表、现金流量表等。2、基本开户行出具的资信证明：①资信证明应在有效期内；②资信证明的落款单位名称必须与开户（基本户）许可证的开户银行名称一致，如不一致的，应提供银行证明，银行无法开具证明的提供其他证明材料，有效性由采购人审核；③资信证明书格式有抬头的，可以写本项目的采购人或采购代理机构的单位全称。</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促进中小企业发展</w:t>
            </w:r>
          </w:p>
        </w:tc>
        <w:tc>
          <w:tcPr>
            <w:tcW w:type="dxa" w:w="4238"/>
          </w:tcPr>
          <w:p>
            <w:r>
              <w:rPr/>
              <w:t>采购包整体专门面向中小企业。本项目采购标的对应的中小企业划分标准所属行业：“其他未列明行业（包括科学研究和技术服务业，水利、环境和公共设施管理业，居民服务、修理和其他服务业，社会工作，文化、体育和娱乐业等）”。</w:t>
            </w:r>
          </w:p>
        </w:tc>
      </w:tr>
    </w:tbl>
    <w:p/>
    <w:p>
      <w:r>
        <w:rPr/>
        <w:t>采购包3（扶闾村委会、稔海村委会、黄连居委会、新明村委会、江义村委会、上涌村委会、江村村委会、南水村委会（包3））：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在中华人民共和国境内注册的法人或其他组织或自然人，投标（响应）时提交有效的营业执照（或事业法人登记证或身份证等相关证明）副本扫描件。</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采购包1、采购包2、采购包3）供应商必须具有良好的商业信誉和健全的财务会计制度（提供2021年度或2020年度财务状况报告或基本开户行出具的资信证明）。注：1、2021年度或2020年度财务状况报告：①提供由第三方会计师事务所出具的审计报告，能清晰显示第三方会计师事务所的印章，并能反映审计结论；②财务报告包括审计结论、资产负债表、利润表、现金流量表等。2、基本开户行出具的资信证明：①资信证明应在有效期内；②资信证明的落款单位名称必须与开户（基本户）许可证的开户银行名称一致，如不一致的，应提供银行证明，银行无法开具证明的提供其他证明材料，有效性由采购人审核；③资信证明书格式有抬头的，可以写本项目的采购人或采购代理机构的单位全称。</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促进中小企业发展</w:t>
            </w:r>
          </w:p>
        </w:tc>
        <w:tc>
          <w:tcPr>
            <w:tcW w:type="dxa" w:w="4238"/>
          </w:tcPr>
          <w:p>
            <w:r>
              <w:rPr/>
              <w:t>采购包整体专门面向中小企业。本项目采购标的对应的中小企业划分标准所属行业：“其他未列明行业（包括科学研究和技术服务业，水利、环境和公共设施管理业，居民服务、修理和其他服务业，社会工作，文化、体育和娱乐业等）”。</w:t>
            </w:r>
          </w:p>
        </w:tc>
      </w:tr>
    </w:tbl>
    <w:p/>
    <w:p>
      <w:pPr>
        <w:ind w:firstLine="480"/>
      </w:pPr>
      <w:r>
        <w:rPr/>
        <w:t>表二符合性审查表：</w:t>
      </w:r>
    </w:p>
    <w:p>
      <w:pPr>
        <w:ind w:firstLine="480"/>
      </w:pPr>
    </w:p>
    <w:p/>
    <w:p>
      <w:r>
        <w:rPr/>
        <w:t>采购包1（勒流居委会、新城居委会、勒北村委会、大晚居委会、光大居委会、东风村委会（包1））：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投标文件有效性</w:t>
            </w:r>
          </w:p>
        </w:tc>
        <w:tc>
          <w:tcPr>
            <w:tcW w:type="dxa" w:w="4238"/>
          </w:tcPr>
          <w:p>
            <w:r>
              <w:rPr/>
              <w:t>招标文件规定签字、盖章的地方须签字、盖章。</w:t>
            </w:r>
          </w:p>
        </w:tc>
      </w:tr>
      <w:tr>
        <w:tc>
          <w:tcPr>
            <w:tcW w:type="dxa" w:w="890"/>
          </w:tcPr>
          <w:p>
            <w:r>
              <w:rPr/>
              <w:t>2</w:t>
            </w:r>
          </w:p>
        </w:tc>
        <w:tc>
          <w:tcPr>
            <w:tcW w:type="dxa" w:w="3178"/>
          </w:tcPr>
          <w:p>
            <w:r>
              <w:rPr/>
              <w:t>商务要求</w:t>
            </w:r>
          </w:p>
        </w:tc>
        <w:tc>
          <w:tcPr>
            <w:tcW w:type="dxa" w:w="4238"/>
          </w:tcPr>
          <w:p>
            <w:r>
              <w:rPr/>
              <w:t>实质性响应招标文件中的商务要求。</w:t>
            </w:r>
          </w:p>
        </w:tc>
      </w:tr>
      <w:tr>
        <w:tc>
          <w:tcPr>
            <w:tcW w:type="dxa" w:w="890"/>
          </w:tcPr>
          <w:p>
            <w:r>
              <w:rPr/>
              <w:t>3</w:t>
            </w:r>
          </w:p>
        </w:tc>
        <w:tc>
          <w:tcPr>
            <w:tcW w:type="dxa" w:w="3178"/>
          </w:tcPr>
          <w:p>
            <w:r>
              <w:rPr/>
              <w:t>技术要求</w:t>
            </w:r>
          </w:p>
        </w:tc>
        <w:tc>
          <w:tcPr>
            <w:tcW w:type="dxa" w:w="4238"/>
          </w:tcPr>
          <w:p>
            <w:r>
              <w:rPr/>
              <w:t>实质性响应招标文件中的技术要求。</w:t>
            </w:r>
          </w:p>
        </w:tc>
      </w:tr>
      <w:tr>
        <w:tc>
          <w:tcPr>
            <w:tcW w:type="dxa" w:w="890"/>
          </w:tcPr>
          <w:p>
            <w:r>
              <w:rPr/>
              <w:t>4</w:t>
            </w:r>
          </w:p>
        </w:tc>
        <w:tc>
          <w:tcPr>
            <w:tcW w:type="dxa" w:w="3178"/>
          </w:tcPr>
          <w:p>
            <w:r>
              <w:rPr/>
              <w:t>合同响应</w:t>
            </w:r>
          </w:p>
        </w:tc>
        <w:tc>
          <w:tcPr>
            <w:tcW w:type="dxa" w:w="4238"/>
          </w:tcPr>
          <w:p>
            <w:r>
              <w:rPr/>
              <w:t>实质性响应招标文件中的合同要求。</w:t>
            </w:r>
          </w:p>
        </w:tc>
      </w:tr>
      <w:tr>
        <w:tc>
          <w:tcPr>
            <w:tcW w:type="dxa" w:w="890"/>
          </w:tcPr>
          <w:p>
            <w:r>
              <w:rPr/>
              <w:t>5</w:t>
            </w:r>
          </w:p>
        </w:tc>
        <w:tc>
          <w:tcPr>
            <w:tcW w:type="dxa" w:w="3178"/>
          </w:tcPr>
          <w:p>
            <w:r>
              <w:rPr/>
              <w:t>投标报价要求</w:t>
            </w:r>
          </w:p>
        </w:tc>
        <w:tc>
          <w:tcPr>
            <w:tcW w:type="dxa" w:w="4238"/>
          </w:tcPr>
          <w:p>
            <w:r>
              <w:rPr/>
              <w:t>投标报价方案是唯一的，符合招标文件的其他投标报价相关要求。</w:t>
            </w:r>
          </w:p>
        </w:tc>
      </w:tr>
      <w:tr>
        <w:tc>
          <w:tcPr>
            <w:tcW w:type="dxa" w:w="890"/>
          </w:tcPr>
          <w:p>
            <w:r>
              <w:rPr/>
              <w:t>6</w:t>
            </w:r>
          </w:p>
        </w:tc>
        <w:tc>
          <w:tcPr>
            <w:tcW w:type="dxa" w:w="3178"/>
          </w:tcPr>
          <w:p>
            <w:r>
              <w:rPr/>
              <w:t>不可负偏离的重要项响应</w:t>
            </w:r>
          </w:p>
        </w:tc>
        <w:tc>
          <w:tcPr>
            <w:tcW w:type="dxa" w:w="4238"/>
          </w:tcPr>
          <w:p>
            <w:r>
              <w:rPr/>
              <w:t>实质性响应招标文件中的不可负偏离的重要项（带“★”项）要求；投标文件未含有采购人不能接受的附加条款。</w:t>
            </w:r>
          </w:p>
        </w:tc>
      </w:tr>
      <w:tr>
        <w:tc>
          <w:tcPr>
            <w:tcW w:type="dxa" w:w="890"/>
          </w:tcPr>
          <w:p>
            <w:r>
              <w:rPr/>
              <w:t>7</w:t>
            </w:r>
          </w:p>
        </w:tc>
        <w:tc>
          <w:tcPr>
            <w:tcW w:type="dxa" w:w="3178"/>
          </w:tcPr>
          <w:p>
            <w:r>
              <w:rPr/>
              <w:t>已获得其他子包的中标候选人资格</w:t>
            </w:r>
          </w:p>
        </w:tc>
        <w:tc>
          <w:tcPr>
            <w:tcW w:type="dxa" w:w="4238"/>
          </w:tcPr>
          <w:p>
            <w:r>
              <w:rPr/>
              <w:t>已获得任一子包的第一中标候选人资格的投标人将不再参与余下子包的评审且不具有余下子包的中标候选人推荐资格，依此类推。</w:t>
            </w:r>
          </w:p>
        </w:tc>
      </w:tr>
      <w:tr>
        <w:tc>
          <w:tcPr>
            <w:tcW w:type="dxa" w:w="890"/>
          </w:tcPr>
          <w:p>
            <w:r>
              <w:rPr/>
              <w:t>8</w:t>
            </w:r>
          </w:p>
        </w:tc>
        <w:tc>
          <w:tcPr>
            <w:tcW w:type="dxa" w:w="3178"/>
          </w:tcPr>
          <w:p>
            <w:r>
              <w:rPr/>
              <w:t>其他</w:t>
            </w:r>
          </w:p>
        </w:tc>
        <w:tc>
          <w:tcPr>
            <w:tcW w:type="dxa" w:w="4238"/>
          </w:tcPr>
          <w:p>
            <w:r>
              <w:rPr/>
              <w:t>未发现法律、法规和招标文件规定的其他无效情形。</w:t>
            </w:r>
          </w:p>
        </w:tc>
      </w:tr>
    </w:tbl>
    <w:p/>
    <w:p>
      <w:r>
        <w:rPr/>
        <w:t>采购包2（众涌村委会、龙眼村委会、西华村委会、富裕村委会、连杜村委会、新安村委会、冲鹤村委会、裕源村委会（包2））：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投标文件有效性</w:t>
            </w:r>
          </w:p>
        </w:tc>
        <w:tc>
          <w:tcPr>
            <w:tcW w:type="dxa" w:w="4238"/>
          </w:tcPr>
          <w:p>
            <w:r>
              <w:rPr/>
              <w:t>招标文件规定签字、盖章的地方须签字、盖章。</w:t>
            </w:r>
          </w:p>
        </w:tc>
      </w:tr>
      <w:tr>
        <w:tc>
          <w:tcPr>
            <w:tcW w:type="dxa" w:w="890"/>
          </w:tcPr>
          <w:p>
            <w:r>
              <w:rPr/>
              <w:t>2</w:t>
            </w:r>
          </w:p>
        </w:tc>
        <w:tc>
          <w:tcPr>
            <w:tcW w:type="dxa" w:w="3178"/>
          </w:tcPr>
          <w:p>
            <w:r>
              <w:rPr/>
              <w:t>商务要求</w:t>
            </w:r>
          </w:p>
        </w:tc>
        <w:tc>
          <w:tcPr>
            <w:tcW w:type="dxa" w:w="4238"/>
          </w:tcPr>
          <w:p>
            <w:r>
              <w:rPr/>
              <w:t>实质性响应招标文件中的商务要求。</w:t>
            </w:r>
          </w:p>
        </w:tc>
      </w:tr>
      <w:tr>
        <w:tc>
          <w:tcPr>
            <w:tcW w:type="dxa" w:w="890"/>
          </w:tcPr>
          <w:p>
            <w:r>
              <w:rPr/>
              <w:t>3</w:t>
            </w:r>
          </w:p>
        </w:tc>
        <w:tc>
          <w:tcPr>
            <w:tcW w:type="dxa" w:w="3178"/>
          </w:tcPr>
          <w:p>
            <w:r>
              <w:rPr/>
              <w:t>技术要求</w:t>
            </w:r>
          </w:p>
        </w:tc>
        <w:tc>
          <w:tcPr>
            <w:tcW w:type="dxa" w:w="4238"/>
          </w:tcPr>
          <w:p>
            <w:r>
              <w:rPr/>
              <w:t>实质性响应招标文件中的技术要求。</w:t>
            </w:r>
          </w:p>
        </w:tc>
      </w:tr>
      <w:tr>
        <w:tc>
          <w:tcPr>
            <w:tcW w:type="dxa" w:w="890"/>
          </w:tcPr>
          <w:p>
            <w:r>
              <w:rPr/>
              <w:t>4</w:t>
            </w:r>
          </w:p>
        </w:tc>
        <w:tc>
          <w:tcPr>
            <w:tcW w:type="dxa" w:w="3178"/>
          </w:tcPr>
          <w:p>
            <w:r>
              <w:rPr/>
              <w:t>合同响应</w:t>
            </w:r>
          </w:p>
        </w:tc>
        <w:tc>
          <w:tcPr>
            <w:tcW w:type="dxa" w:w="4238"/>
          </w:tcPr>
          <w:p>
            <w:r>
              <w:rPr/>
              <w:t>实质性响应招标文件中的合同要求。</w:t>
            </w:r>
          </w:p>
        </w:tc>
      </w:tr>
      <w:tr>
        <w:tc>
          <w:tcPr>
            <w:tcW w:type="dxa" w:w="890"/>
          </w:tcPr>
          <w:p>
            <w:r>
              <w:rPr/>
              <w:t>5</w:t>
            </w:r>
          </w:p>
        </w:tc>
        <w:tc>
          <w:tcPr>
            <w:tcW w:type="dxa" w:w="3178"/>
          </w:tcPr>
          <w:p>
            <w:r>
              <w:rPr/>
              <w:t>投标报价要求</w:t>
            </w:r>
          </w:p>
        </w:tc>
        <w:tc>
          <w:tcPr>
            <w:tcW w:type="dxa" w:w="4238"/>
          </w:tcPr>
          <w:p>
            <w:r>
              <w:rPr/>
              <w:t>投标报价方案是唯一的，符合招标文件的其他投标报价相关要求。</w:t>
            </w:r>
          </w:p>
        </w:tc>
      </w:tr>
      <w:tr>
        <w:tc>
          <w:tcPr>
            <w:tcW w:type="dxa" w:w="890"/>
          </w:tcPr>
          <w:p>
            <w:r>
              <w:rPr/>
              <w:t>6</w:t>
            </w:r>
          </w:p>
        </w:tc>
        <w:tc>
          <w:tcPr>
            <w:tcW w:type="dxa" w:w="3178"/>
          </w:tcPr>
          <w:p>
            <w:r>
              <w:rPr/>
              <w:t>不可负偏离的重要项响应</w:t>
            </w:r>
          </w:p>
        </w:tc>
        <w:tc>
          <w:tcPr>
            <w:tcW w:type="dxa" w:w="4238"/>
          </w:tcPr>
          <w:p>
            <w:r>
              <w:rPr/>
              <w:t>实质性响应招标文件中的不可负偏离的重要项（带“★”项）要求；投标文件未含有采购人不能接受的附加条款。</w:t>
            </w:r>
          </w:p>
        </w:tc>
      </w:tr>
      <w:tr>
        <w:tc>
          <w:tcPr>
            <w:tcW w:type="dxa" w:w="890"/>
          </w:tcPr>
          <w:p>
            <w:r>
              <w:rPr/>
              <w:t>7</w:t>
            </w:r>
          </w:p>
        </w:tc>
        <w:tc>
          <w:tcPr>
            <w:tcW w:type="dxa" w:w="3178"/>
          </w:tcPr>
          <w:p>
            <w:r>
              <w:rPr/>
              <w:t>已获得其他子包的中标候选人资格</w:t>
            </w:r>
          </w:p>
        </w:tc>
        <w:tc>
          <w:tcPr>
            <w:tcW w:type="dxa" w:w="4238"/>
          </w:tcPr>
          <w:p>
            <w:r>
              <w:rPr/>
              <w:t>已获得任一子包的第一中标候选人资格的投标人将不再参与余下子包的评审且不具有余下子包的中标候选人推荐资格，依此类推。</w:t>
            </w:r>
          </w:p>
        </w:tc>
      </w:tr>
      <w:tr>
        <w:tc>
          <w:tcPr>
            <w:tcW w:type="dxa" w:w="890"/>
          </w:tcPr>
          <w:p>
            <w:r>
              <w:rPr/>
              <w:t>8</w:t>
            </w:r>
          </w:p>
        </w:tc>
        <w:tc>
          <w:tcPr>
            <w:tcW w:type="dxa" w:w="3178"/>
          </w:tcPr>
          <w:p>
            <w:r>
              <w:rPr/>
              <w:t>其他</w:t>
            </w:r>
          </w:p>
        </w:tc>
        <w:tc>
          <w:tcPr>
            <w:tcW w:type="dxa" w:w="4238"/>
          </w:tcPr>
          <w:p>
            <w:r>
              <w:rPr/>
              <w:t>未发现法律、法规和招标文件规定的其他无效情形。</w:t>
            </w:r>
          </w:p>
        </w:tc>
      </w:tr>
    </w:tbl>
    <w:p/>
    <w:p>
      <w:r>
        <w:rPr/>
        <w:t>采购包3（扶闾村委会、稔海村委会、黄连居委会、新明村委会、江义村委会、上涌村委会、江村村委会、南水村委会（包3））：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投标文件有效性</w:t>
            </w:r>
          </w:p>
        </w:tc>
        <w:tc>
          <w:tcPr>
            <w:tcW w:type="dxa" w:w="4238"/>
          </w:tcPr>
          <w:p>
            <w:r>
              <w:rPr/>
              <w:t>招标文件规定签字、盖章的地方须签字、盖章。</w:t>
            </w:r>
          </w:p>
        </w:tc>
      </w:tr>
      <w:tr>
        <w:tc>
          <w:tcPr>
            <w:tcW w:type="dxa" w:w="890"/>
          </w:tcPr>
          <w:p>
            <w:r>
              <w:rPr/>
              <w:t>2</w:t>
            </w:r>
          </w:p>
        </w:tc>
        <w:tc>
          <w:tcPr>
            <w:tcW w:type="dxa" w:w="3178"/>
          </w:tcPr>
          <w:p>
            <w:r>
              <w:rPr/>
              <w:t>商务要求</w:t>
            </w:r>
          </w:p>
        </w:tc>
        <w:tc>
          <w:tcPr>
            <w:tcW w:type="dxa" w:w="4238"/>
          </w:tcPr>
          <w:p>
            <w:r>
              <w:rPr/>
              <w:t>实质性响应招标文件中的商务要求。</w:t>
            </w:r>
          </w:p>
        </w:tc>
      </w:tr>
      <w:tr>
        <w:tc>
          <w:tcPr>
            <w:tcW w:type="dxa" w:w="890"/>
          </w:tcPr>
          <w:p>
            <w:r>
              <w:rPr/>
              <w:t>3</w:t>
            </w:r>
          </w:p>
        </w:tc>
        <w:tc>
          <w:tcPr>
            <w:tcW w:type="dxa" w:w="3178"/>
          </w:tcPr>
          <w:p>
            <w:r>
              <w:rPr/>
              <w:t>技术要求</w:t>
            </w:r>
          </w:p>
        </w:tc>
        <w:tc>
          <w:tcPr>
            <w:tcW w:type="dxa" w:w="4238"/>
          </w:tcPr>
          <w:p>
            <w:r>
              <w:rPr/>
              <w:t>实质性响应招标文件中的技术要求。</w:t>
            </w:r>
          </w:p>
        </w:tc>
      </w:tr>
      <w:tr>
        <w:tc>
          <w:tcPr>
            <w:tcW w:type="dxa" w:w="890"/>
          </w:tcPr>
          <w:p>
            <w:r>
              <w:rPr/>
              <w:t>4</w:t>
            </w:r>
          </w:p>
        </w:tc>
        <w:tc>
          <w:tcPr>
            <w:tcW w:type="dxa" w:w="3178"/>
          </w:tcPr>
          <w:p>
            <w:r>
              <w:rPr/>
              <w:t>合同响应</w:t>
            </w:r>
          </w:p>
        </w:tc>
        <w:tc>
          <w:tcPr>
            <w:tcW w:type="dxa" w:w="4238"/>
          </w:tcPr>
          <w:p>
            <w:r>
              <w:rPr/>
              <w:t>实质性响应招标文件中的合同要求。</w:t>
            </w:r>
          </w:p>
        </w:tc>
      </w:tr>
      <w:tr>
        <w:tc>
          <w:tcPr>
            <w:tcW w:type="dxa" w:w="890"/>
          </w:tcPr>
          <w:p>
            <w:r>
              <w:rPr/>
              <w:t>5</w:t>
            </w:r>
          </w:p>
        </w:tc>
        <w:tc>
          <w:tcPr>
            <w:tcW w:type="dxa" w:w="3178"/>
          </w:tcPr>
          <w:p>
            <w:r>
              <w:rPr/>
              <w:t>投标报价要求</w:t>
            </w:r>
          </w:p>
        </w:tc>
        <w:tc>
          <w:tcPr>
            <w:tcW w:type="dxa" w:w="4238"/>
          </w:tcPr>
          <w:p>
            <w:r>
              <w:rPr/>
              <w:t>投标报价方案是唯一的，符合招标文件的其他投标报价相关要求。</w:t>
            </w:r>
          </w:p>
        </w:tc>
      </w:tr>
      <w:tr>
        <w:tc>
          <w:tcPr>
            <w:tcW w:type="dxa" w:w="890"/>
          </w:tcPr>
          <w:p>
            <w:r>
              <w:rPr/>
              <w:t>6</w:t>
            </w:r>
          </w:p>
        </w:tc>
        <w:tc>
          <w:tcPr>
            <w:tcW w:type="dxa" w:w="3178"/>
          </w:tcPr>
          <w:p>
            <w:r>
              <w:rPr/>
              <w:t>不可负偏离的重要项响应</w:t>
            </w:r>
          </w:p>
        </w:tc>
        <w:tc>
          <w:tcPr>
            <w:tcW w:type="dxa" w:w="4238"/>
          </w:tcPr>
          <w:p>
            <w:r>
              <w:rPr/>
              <w:t>实质性响应招标文件中的不可负偏离的重要项（带“★”项）要求；投标文件未含有采购人不能接受的附加条款。</w:t>
            </w:r>
          </w:p>
        </w:tc>
      </w:tr>
      <w:tr>
        <w:tc>
          <w:tcPr>
            <w:tcW w:type="dxa" w:w="890"/>
          </w:tcPr>
          <w:p>
            <w:r>
              <w:rPr/>
              <w:t>7</w:t>
            </w:r>
          </w:p>
        </w:tc>
        <w:tc>
          <w:tcPr>
            <w:tcW w:type="dxa" w:w="3178"/>
          </w:tcPr>
          <w:p>
            <w:r>
              <w:rPr/>
              <w:t>已获得其他子包的中标候选人资格</w:t>
            </w:r>
          </w:p>
        </w:tc>
        <w:tc>
          <w:tcPr>
            <w:tcW w:type="dxa" w:w="4238"/>
          </w:tcPr>
          <w:p>
            <w:r>
              <w:rPr/>
              <w:t>已获得任一子包的第一中标候选人资格的投标人将不再参与余下子包的评审且不具有余下子包的中标候选人推荐资格，依此类推。</w:t>
            </w:r>
          </w:p>
        </w:tc>
      </w:tr>
      <w:tr>
        <w:tc>
          <w:tcPr>
            <w:tcW w:type="dxa" w:w="890"/>
          </w:tcPr>
          <w:p>
            <w:r>
              <w:rPr/>
              <w:t>8</w:t>
            </w:r>
          </w:p>
        </w:tc>
        <w:tc>
          <w:tcPr>
            <w:tcW w:type="dxa" w:w="3178"/>
          </w:tcPr>
          <w:p>
            <w:r>
              <w:rPr/>
              <w:t>其他</w:t>
            </w:r>
          </w:p>
        </w:tc>
        <w:tc>
          <w:tcPr>
            <w:tcW w:type="dxa" w:w="4238"/>
          </w:tcPr>
          <w:p>
            <w:r>
              <w:rPr/>
              <w:t>未发现法律、法规和招标文件规定的其他无效情形。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勒流居委会、新城居委会、勒北村委会、大晚居委会、光大居委会、东风村委会（包1）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商务部分26.0分</w:t>
            </w:r>
          </w:p>
          <w:p>
            <w:r>
              <w:rPr/>
              <w:t>技术部分64.0分</w:t>
            </w:r>
          </w:p>
          <w:p>
            <w:r>
              <w:rPr/>
              <w:t>报价得分10.0分</w:t>
            </w:r>
          </w:p>
        </w:tc>
      </w:tr>
      <w:tr>
        <w:tc>
          <w:tcPr>
            <w:tcW w:type="dxa" w:w="922"/>
            <w:gridSpan w:val="2"/>
            <w:vMerge w:val="restart"/>
          </w:tcPr>
          <w:p>
            <w:pPr>
              <w:jc w:val="center"/>
            </w:pPr>
            <w:r>
              <w:rPr/>
              <w:t>技术部分</w:t>
            </w:r>
          </w:p>
        </w:tc>
        <w:tc>
          <w:tcPr>
            <w:tcW w:type="dxa" w:w="2307"/>
          </w:tcPr>
          <w:p>
            <w:pPr>
              <w:jc w:val="left"/>
            </w:pPr>
            <w:r>
              <w:rPr/>
              <w:t>项 目实施的重点、难点和解决方案 (10.0分)</w:t>
            </w:r>
            <w:r>
              <w:rPr/>
              <w:t>，（等次分值选择：</w:t>
            </w:r>
            <w:r>
              <w:rPr/>
              <w:t>0.0;</w:t>
            </w:r>
            <w:r>
              <w:rPr/>
              <w:t>4.0;</w:t>
            </w:r>
            <w:r>
              <w:rPr/>
              <w:t>7.0;</w:t>
            </w:r>
            <w:r>
              <w:rPr/>
              <w:t>10.0;</w:t>
            </w:r>
            <w:r>
              <w:rPr/>
              <w:t>）</w:t>
            </w:r>
          </w:p>
        </w:tc>
        <w:tc>
          <w:tcPr>
            <w:tcW w:type="dxa" w:w="5076"/>
          </w:tcPr>
          <w:p>
            <w:pPr>
              <w:jc w:val="left"/>
            </w:pPr>
            <w:r>
              <w:rPr/>
              <w:t>根据投标人对本项 目实施的重点、难点和解决方案分析进行评价： 1、对服务的重点难点分析深入、全面、透彻，方案科学合理可行，得10分； 2、对服务的重点难点分析较深入、较全面、较透彻，方案较科学合理可行，得7分； 3、对服务的重点难点分析不够深入、不够全面、不够透彻，方案不够科学合理可行，得4分； 4、对服务的重点难点分析和方案差或没有相关描述，得0分。</w:t>
            </w:r>
          </w:p>
        </w:tc>
      </w:tr>
      <w:tr>
        <w:tc>
          <w:tcPr>
            <w:tcW w:type="dxa" w:w="922"/>
            <w:gridSpan w:val="2"/>
            <w:vMerge/>
          </w:tcPr>
          <w:p/>
        </w:tc>
        <w:tc>
          <w:tcPr>
            <w:tcW w:type="dxa" w:w="2307"/>
          </w:tcPr>
          <w:p>
            <w:pPr>
              <w:jc w:val="left"/>
            </w:pPr>
            <w:r>
              <w:rPr/>
              <w:t>四害分类 (6.0分)</w:t>
            </w:r>
            <w:r>
              <w:rPr/>
              <w:t>，（等次分值选择：</w:t>
            </w:r>
            <w:r>
              <w:rPr/>
              <w:t>0.0;</w:t>
            </w:r>
            <w:r>
              <w:rPr/>
              <w:t>2.0;</w:t>
            </w:r>
            <w:r>
              <w:rPr/>
              <w:t>4.0;</w:t>
            </w:r>
            <w:r>
              <w:rPr/>
              <w:t>6.0;</w:t>
            </w:r>
            <w:r>
              <w:rPr/>
              <w:t>）</w:t>
            </w:r>
          </w:p>
        </w:tc>
        <w:tc>
          <w:tcPr>
            <w:tcW w:type="dxa" w:w="5076"/>
          </w:tcPr>
          <w:p>
            <w:pPr>
              <w:jc w:val="left"/>
            </w:pPr>
            <w:r>
              <w:rPr/>
              <w:t>根据各投标人针对四害分类进行评价： 1、对四害分类、分布、孳生情况分析准确、全面、透彻，得6分； 2、对四害分类、分布、孳生情况分析准确、透彻，得4分； 3、对四害分类、分布、孳生情况分析不够准确、不够全面、不够透彻，得2分； 4、对四害分类、分布、孳生情况分析没有相关描述，得0分。</w:t>
            </w:r>
          </w:p>
        </w:tc>
      </w:tr>
      <w:tr>
        <w:tc>
          <w:tcPr>
            <w:tcW w:type="dxa" w:w="922"/>
            <w:gridSpan w:val="2"/>
            <w:vMerge/>
          </w:tcPr>
          <w:p/>
        </w:tc>
        <w:tc>
          <w:tcPr>
            <w:tcW w:type="dxa" w:w="2307"/>
          </w:tcPr>
          <w:p>
            <w:pPr>
              <w:jc w:val="left"/>
            </w:pPr>
            <w:r>
              <w:rPr/>
              <w:t>监测方法 (6.0分)</w:t>
            </w:r>
            <w:r>
              <w:rPr/>
              <w:t>，（等次分值选择：</w:t>
            </w:r>
            <w:r>
              <w:rPr/>
              <w:t>0.0;</w:t>
            </w:r>
            <w:r>
              <w:rPr/>
              <w:t>2.0;</w:t>
            </w:r>
            <w:r>
              <w:rPr/>
              <w:t>4.0;</w:t>
            </w:r>
            <w:r>
              <w:rPr/>
              <w:t>6.0;</w:t>
            </w:r>
            <w:r>
              <w:rPr/>
              <w:t>）</w:t>
            </w:r>
          </w:p>
        </w:tc>
        <w:tc>
          <w:tcPr>
            <w:tcW w:type="dxa" w:w="5076"/>
          </w:tcPr>
          <w:p>
            <w:pPr>
              <w:jc w:val="left"/>
            </w:pPr>
            <w:r>
              <w:rPr/>
              <w:t>根据各投标人针对防制对象、密度的监测方法进行评价： 1、监测方法全面、具体，科学规范，针对性和可行性强，有利于提高服务质量，得6分。 2、监测方法完整、合理、可行，可保障基本的服务质量，得4分。 3、监测方法基本完整，有一定的可行性，但对服务质量的保障不足，得2分。 4、监测方法不完整、不可行，服务质量没有保障，得0分。</w:t>
            </w:r>
          </w:p>
        </w:tc>
      </w:tr>
      <w:tr>
        <w:tc>
          <w:tcPr>
            <w:tcW w:type="dxa" w:w="922"/>
            <w:gridSpan w:val="2"/>
            <w:vMerge/>
          </w:tcPr>
          <w:p/>
        </w:tc>
        <w:tc>
          <w:tcPr>
            <w:tcW w:type="dxa" w:w="2307"/>
          </w:tcPr>
          <w:p>
            <w:pPr>
              <w:jc w:val="left"/>
            </w:pPr>
            <w:r>
              <w:rPr/>
              <w:t>防制技术及方法 (10.0分)</w:t>
            </w:r>
            <w:r>
              <w:rPr/>
              <w:t>，（等次分值选择：</w:t>
            </w:r>
            <w:r>
              <w:rPr/>
              <w:t>0.0;</w:t>
            </w:r>
            <w:r>
              <w:rPr/>
              <w:t>4.0;</w:t>
            </w:r>
            <w:r>
              <w:rPr/>
              <w:t>7.0;</w:t>
            </w:r>
            <w:r>
              <w:rPr/>
              <w:t>10.0;</w:t>
            </w:r>
            <w:r>
              <w:rPr/>
              <w:t>）</w:t>
            </w:r>
          </w:p>
        </w:tc>
        <w:tc>
          <w:tcPr>
            <w:tcW w:type="dxa" w:w="5076"/>
          </w:tcPr>
          <w:p>
            <w:pPr>
              <w:jc w:val="left"/>
            </w:pPr>
            <w:r>
              <w:rPr/>
              <w:t>根据各投标人针对防制技术和方法进行评价： 1、防制技术及方法全面、具体、科学合理，针对性和可行性性强，有利于提高服务质量，完全满足采购需求的，得10分。 2、防制技术及方法完整、合理、可行，可保障基本的服务质量，较能满足采购需求的，得7分； 3、防制技术及方法基本完整，有一定的可行性，但对服务质量的保障不足，基本满足采购需求的，得4分； 4、防制技术及方法欠缺完整、不可行、服务质量没有保障的，得0分。</w:t>
            </w:r>
          </w:p>
        </w:tc>
      </w:tr>
      <w:tr>
        <w:tc>
          <w:tcPr>
            <w:tcW w:type="dxa" w:w="922"/>
            <w:gridSpan w:val="2"/>
            <w:vMerge/>
          </w:tcPr>
          <w:p/>
        </w:tc>
        <w:tc>
          <w:tcPr>
            <w:tcW w:type="dxa" w:w="2307"/>
          </w:tcPr>
          <w:p>
            <w:pPr>
              <w:jc w:val="left"/>
            </w:pPr>
            <w:r>
              <w:rPr/>
              <w:t>用药 (5.0分)</w:t>
            </w:r>
            <w:r>
              <w:rPr/>
              <w:t>，（等次分值选择：</w:t>
            </w:r>
            <w:r>
              <w:rPr/>
              <w:t>0.0;</w:t>
            </w:r>
            <w:r>
              <w:rPr/>
              <w:t>5.0;</w:t>
            </w:r>
            <w:r>
              <w:rPr/>
              <w:t>）</w:t>
            </w:r>
          </w:p>
        </w:tc>
        <w:tc>
          <w:tcPr>
            <w:tcW w:type="dxa" w:w="5076"/>
          </w:tcPr>
          <w:p>
            <w:pPr>
              <w:jc w:val="left"/>
            </w:pPr>
            <w:r>
              <w:rPr/>
              <w:t>1、每类害虫（鼠、蚊、蝇、蟑螂）防制有6种或以上符合国家规定的药物轮换使用的，得5分； 2、其他情况不得分。 【注：须在投标文件中提供《药品清单》及每种药物相应的“三证”（农药登记证、生产批准证书号、产 品 标准号）加盖投标人公章的扫描件，否则不得分。】</w:t>
            </w:r>
          </w:p>
        </w:tc>
      </w:tr>
      <w:tr>
        <w:tc>
          <w:tcPr>
            <w:tcW w:type="dxa" w:w="922"/>
            <w:gridSpan w:val="2"/>
            <w:vMerge/>
          </w:tcPr>
          <w:p/>
        </w:tc>
        <w:tc>
          <w:tcPr>
            <w:tcW w:type="dxa" w:w="2307"/>
          </w:tcPr>
          <w:p>
            <w:pPr>
              <w:jc w:val="left"/>
            </w:pPr>
            <w:r>
              <w:rPr/>
              <w:t>用药方案 (3.0分)</w:t>
            </w:r>
            <w:r>
              <w:rPr/>
              <w:t>，（等次分值选择：</w:t>
            </w:r>
            <w:r>
              <w:rPr/>
              <w:t>0.0;</w:t>
            </w:r>
            <w:r>
              <w:rPr/>
              <w:t>1.0;</w:t>
            </w:r>
            <w:r>
              <w:rPr/>
              <w:t>2.0;</w:t>
            </w:r>
            <w:r>
              <w:rPr/>
              <w:t>3.0;</w:t>
            </w:r>
            <w:r>
              <w:rPr/>
              <w:t>）</w:t>
            </w:r>
          </w:p>
        </w:tc>
        <w:tc>
          <w:tcPr>
            <w:tcW w:type="dxa" w:w="5076"/>
          </w:tcPr>
          <w:p>
            <w:pPr>
              <w:jc w:val="left"/>
            </w:pPr>
            <w:r>
              <w:rPr/>
              <w:t>根据各投标人针对防制对象、种类的用药及方法进行评价： 1、方法全面、具体，不同环境的用药及方法针对性和可操作性强，有利于提高服务质量，得3分； 2、方法较全面、较具体，有针对不同环境的用药及方法，基本可行，可保障基本的服务质量，得2分。 3、方法不全面或不具体，或不同环境的用药及方法针对性和可操作性不强，但对服务质量的保障不足，得1分。 4、方法不可行，服务质量没有保障，得0分。</w:t>
            </w:r>
          </w:p>
        </w:tc>
      </w:tr>
      <w:tr>
        <w:tc>
          <w:tcPr>
            <w:tcW w:type="dxa" w:w="922"/>
            <w:gridSpan w:val="2"/>
            <w:vMerge/>
          </w:tcPr>
          <w:p/>
        </w:tc>
        <w:tc>
          <w:tcPr>
            <w:tcW w:type="dxa" w:w="2307"/>
          </w:tcPr>
          <w:p>
            <w:pPr>
              <w:jc w:val="left"/>
            </w:pPr>
            <w:r>
              <w:rPr/>
              <w:t>应急服务方案 (8.0分)</w:t>
            </w:r>
            <w:r>
              <w:rPr/>
              <w:t>，（等次分值选择：</w:t>
            </w:r>
            <w:r>
              <w:rPr/>
              <w:t>0.0;</w:t>
            </w:r>
            <w:r>
              <w:rPr/>
              <w:t>2.0;</w:t>
            </w:r>
            <w:r>
              <w:rPr/>
              <w:t>5.0;</w:t>
            </w:r>
            <w:r>
              <w:rPr/>
              <w:t>8.0;</w:t>
            </w:r>
            <w:r>
              <w:rPr/>
              <w:t>）</w:t>
            </w:r>
          </w:p>
        </w:tc>
        <w:tc>
          <w:tcPr>
            <w:tcW w:type="dxa" w:w="5076"/>
          </w:tcPr>
          <w:p>
            <w:pPr>
              <w:jc w:val="left"/>
            </w:pPr>
            <w:r>
              <w:rPr/>
              <w:t>根据各投标人的应急服务方案进行评价： 1、方案详尽、清晰，前瞻性、针对性和可行性强，有利于提高服务质量，得8分； 2、方案全面、具体，有一定前瞻性，基本可行，可保障基本的服务质量，得5分； 3、方案前瞻性、针对性不足，但有一定的可行性，但对服务质量的保障不足，得2分； 4、方案无前瞻性、针对性，不可行，服务质量没有保障，得0分。</w:t>
            </w:r>
          </w:p>
        </w:tc>
      </w:tr>
      <w:tr>
        <w:tc>
          <w:tcPr>
            <w:tcW w:type="dxa" w:w="922"/>
            <w:gridSpan w:val="2"/>
            <w:vMerge/>
          </w:tcPr>
          <w:p/>
        </w:tc>
        <w:tc>
          <w:tcPr>
            <w:tcW w:type="dxa" w:w="2307"/>
          </w:tcPr>
          <w:p>
            <w:pPr>
              <w:jc w:val="left"/>
            </w:pPr>
            <w:r>
              <w:rPr/>
              <w:t>安全文明及环境保护方案 (6.0分)</w:t>
            </w:r>
            <w:r>
              <w:rPr/>
              <w:t>，（等次分值选择：</w:t>
            </w:r>
            <w:r>
              <w:rPr/>
              <w:t>0.0;</w:t>
            </w:r>
            <w:r>
              <w:rPr/>
              <w:t>2.0;</w:t>
            </w:r>
            <w:r>
              <w:rPr/>
              <w:t>3.0;</w:t>
            </w:r>
            <w:r>
              <w:rPr/>
              <w:t>6.0;</w:t>
            </w:r>
            <w:r>
              <w:rPr/>
              <w:t>）</w:t>
            </w:r>
          </w:p>
        </w:tc>
        <w:tc>
          <w:tcPr>
            <w:tcW w:type="dxa" w:w="5076"/>
          </w:tcPr>
          <w:p>
            <w:pPr>
              <w:jc w:val="left"/>
            </w:pPr>
            <w:r>
              <w:rPr/>
              <w:t>根据各投标人的安全文明及环境保护方案进行评价： 1、实施流程详尽、清晰，方案的针对性和可行性强，有利于提高服务质量，得6分； 2、实施流程较全面、具体，方案基本可行，可保障基本的服务质量，得3分； 3、实施流程全面但不具体，方案针对性不足，但有一定的可行性，但对服务质量的保障不足，得2分； 4、实施流程存在错误或缺漏，方案无针对性、不可行，服务质量没有保障，得0分。</w:t>
            </w:r>
          </w:p>
        </w:tc>
      </w:tr>
      <w:tr>
        <w:tc>
          <w:tcPr>
            <w:tcW w:type="dxa" w:w="922"/>
            <w:gridSpan w:val="2"/>
            <w:vMerge/>
          </w:tcPr>
          <w:p/>
        </w:tc>
        <w:tc>
          <w:tcPr>
            <w:tcW w:type="dxa" w:w="2307"/>
          </w:tcPr>
          <w:p>
            <w:pPr>
              <w:jc w:val="left"/>
            </w:pPr>
            <w:r>
              <w:rPr/>
              <w:t>服务质量管理方案 (10.0分)</w:t>
            </w:r>
            <w:r>
              <w:rPr/>
              <w:t>，（等次分值选择：</w:t>
            </w:r>
            <w:r>
              <w:rPr/>
              <w:t>0.0;</w:t>
            </w:r>
            <w:r>
              <w:rPr/>
              <w:t>3.0;</w:t>
            </w:r>
            <w:r>
              <w:rPr/>
              <w:t>7.0;</w:t>
            </w:r>
            <w:r>
              <w:rPr/>
              <w:t>10.0;</w:t>
            </w:r>
            <w:r>
              <w:rPr/>
              <w:t>）</w:t>
            </w:r>
          </w:p>
        </w:tc>
        <w:tc>
          <w:tcPr>
            <w:tcW w:type="dxa" w:w="5076"/>
          </w:tcPr>
          <w:p>
            <w:pPr>
              <w:jc w:val="left"/>
            </w:pPr>
            <w:r>
              <w:rPr/>
              <w:t>根据各投标人的服务质量管理方案进行评价： 1、服务机构设置和场地安排完善，服务团队组织管理严密，服务操作管理制度全面、具体，工作、人员、设备及时间安排科学合理，针对性和可行性强，有利于提高服务质量，得10分； 2、服务机构设置和场地安排合理，服务团队组织管理到位，服务操作管理制度完整，工作、人员、设备及时间安排明确具体，可保障基本的服务质量，得7分； 3、有服务机构设置、场地安排和服务团队组织管理的具体计划，服务操作管理制度基本完整，工作、人员、设备及时间安排有一定的可行性，但对服务质量的保障不足，得3分； 4、服务机构设置和场地安排不合理，服务团队的组织管理方式不明确，服务操作管理制度不完整，工作、人员、设备及时间安排不可行，服务质量没有保障，得0分。</w:t>
            </w:r>
          </w:p>
        </w:tc>
      </w:tr>
      <w:tr>
        <w:tc>
          <w:tcPr>
            <w:tcW w:type="dxa" w:w="922"/>
            <w:gridSpan w:val="2"/>
            <w:vMerge w:val="restart"/>
          </w:tcPr>
          <w:p>
            <w:pPr>
              <w:jc w:val="center"/>
            </w:pPr>
            <w:r>
              <w:rPr/>
              <w:t>商务部分</w:t>
            </w:r>
          </w:p>
        </w:tc>
        <w:tc>
          <w:tcPr>
            <w:tcW w:type="dxa" w:w="2307"/>
          </w:tcPr>
          <w:p>
            <w:pPr>
              <w:jc w:val="left"/>
            </w:pPr>
            <w:r>
              <w:rPr/>
              <w:t>业绩情况 (10.0分)</w:t>
            </w:r>
          </w:p>
        </w:tc>
        <w:tc>
          <w:tcPr>
            <w:tcW w:type="dxa" w:w="5076"/>
          </w:tcPr>
          <w:p>
            <w:pPr>
              <w:jc w:val="left"/>
            </w:pPr>
            <w:r>
              <w:rPr/>
              <w:t>1、投标人自2017年1月（以合同签订日期为准）以来独立承接过政府市政公共环境（不包含私人物业及住宅小区、工厂、办公楼、商业等业绩）除四害项 目，或病媒生物（含四害）防制项 目，或有害生物防治（含四害）项 目，或蚊媒传播疾病防控项 目，且服务质量得到委托方正面评价的，每项得2分，本项最高得10分。 【注：须同时提供项 目合同（主要内容）扫描件、服务质量评价文件扫描件、服务费发票（2017年1月至今任意一个月份）扫描件，否则不得分。同一项 目包含多个合同的按一项业绩计算。分包、转包或劳务合作合同无效。】</w:t>
            </w:r>
          </w:p>
        </w:tc>
      </w:tr>
      <w:tr>
        <w:tc>
          <w:tcPr>
            <w:tcW w:type="dxa" w:w="922"/>
            <w:gridSpan w:val="2"/>
            <w:vMerge/>
          </w:tcPr>
          <w:p/>
        </w:tc>
        <w:tc>
          <w:tcPr>
            <w:tcW w:type="dxa" w:w="2307"/>
          </w:tcPr>
          <w:p>
            <w:pPr>
              <w:jc w:val="left"/>
            </w:pPr>
            <w:r>
              <w:rPr/>
              <w:t>管理认证 (2.0分)</w:t>
            </w:r>
          </w:p>
        </w:tc>
        <w:tc>
          <w:tcPr>
            <w:tcW w:type="dxa" w:w="5076"/>
          </w:tcPr>
          <w:p>
            <w:pPr>
              <w:jc w:val="left"/>
            </w:pPr>
            <w:r>
              <w:rPr/>
              <w:t>投标人具有有效的质量管理体系认证、环境管理体系认证、职业健康安全管理体系认证、企业诚信管理体系认证证书、或履约能力达标测评证书，每个证书得0.5分，本项最高得2分。 【注：须同时提供：有效期内认证证书扫描件、认证证书在全国认证认可信息公共服务平台上有效状态查询的网页截图。】</w:t>
            </w:r>
          </w:p>
        </w:tc>
      </w:tr>
      <w:tr>
        <w:tc>
          <w:tcPr>
            <w:tcW w:type="dxa" w:w="922"/>
            <w:gridSpan w:val="2"/>
            <w:vMerge/>
          </w:tcPr>
          <w:p/>
        </w:tc>
        <w:tc>
          <w:tcPr>
            <w:tcW w:type="dxa" w:w="2307"/>
          </w:tcPr>
          <w:p>
            <w:pPr>
              <w:jc w:val="left"/>
            </w:pPr>
            <w:r>
              <w:rPr/>
              <w:t>技术力量 (8.0分)</w:t>
            </w:r>
          </w:p>
        </w:tc>
        <w:tc>
          <w:tcPr>
            <w:tcW w:type="dxa" w:w="5076"/>
          </w:tcPr>
          <w:p>
            <w:pPr>
              <w:jc w:val="left"/>
            </w:pPr>
            <w:r>
              <w:rPr/>
              <w:t>投入本项目人员情况： 1、项目主管1人，有病媒（有害）生物防制（治）员高级证书或培训证的，得3分； 2、本项目人员（不含项目主管），持有病媒（有害）生物防制（治）员初级证或以上或培训证书的作业人员数量：8人或以上，得5分； 3、其他情况不得分。 （提供人员相关证书扫描件及投标截止之日前3个月内，任意一个月在本单位购买的人员社保证明材料并加盖公章的扫描件）</w:t>
            </w:r>
          </w:p>
        </w:tc>
      </w:tr>
      <w:tr>
        <w:tc>
          <w:tcPr>
            <w:tcW w:type="dxa" w:w="922"/>
            <w:gridSpan w:val="2"/>
            <w:vMerge/>
          </w:tcPr>
          <w:p/>
        </w:tc>
        <w:tc>
          <w:tcPr>
            <w:tcW w:type="dxa" w:w="2307"/>
          </w:tcPr>
          <w:p>
            <w:pPr>
              <w:jc w:val="left"/>
            </w:pPr>
            <w:r>
              <w:rPr/>
              <w:t>设备配备 (6.0分)</w:t>
            </w:r>
          </w:p>
        </w:tc>
        <w:tc>
          <w:tcPr>
            <w:tcW w:type="dxa" w:w="5076"/>
          </w:tcPr>
          <w:p>
            <w:pPr>
              <w:jc w:val="left"/>
            </w:pPr>
            <w:r>
              <w:rPr/>
              <w:t>根据本项 目的服务需求，对各投标人可用于本项 目服务的设备配备进行评价： 1、在全部满足本项 目要求的基础上，各种设备的配备均有富余1台或以上，得6分； 2、在全部满足本项 目要求的基础上，部分设备的配备有富余1台或以上，得4分； 3、满足本项 目的基本要求，设备的配备没有富余，得2分； 4、其他情况不得分。 【注：须提供投标人自有所投设备的购买发票扫描件，如租用则须提供租赁合同扫描件，否则不得分。】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众涌村委会、龙眼村委会、西华村委会、富裕村委会、连杜村委会、新安村委会、冲鹤村委会、裕源村委会（包2）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商务部分26.0分</w:t>
            </w:r>
          </w:p>
          <w:p>
            <w:r>
              <w:rPr/>
              <w:t>技术部分64.0分</w:t>
            </w:r>
          </w:p>
          <w:p>
            <w:r>
              <w:rPr/>
              <w:t>报价得分10.0分</w:t>
            </w:r>
          </w:p>
        </w:tc>
      </w:tr>
      <w:tr>
        <w:tc>
          <w:tcPr>
            <w:tcW w:type="dxa" w:w="922"/>
            <w:gridSpan w:val="2"/>
            <w:vMerge w:val="restart"/>
          </w:tcPr>
          <w:p>
            <w:pPr>
              <w:jc w:val="center"/>
            </w:pPr>
            <w:r>
              <w:rPr/>
              <w:t>技术部分</w:t>
            </w:r>
          </w:p>
        </w:tc>
        <w:tc>
          <w:tcPr>
            <w:tcW w:type="dxa" w:w="2307"/>
          </w:tcPr>
          <w:p>
            <w:pPr>
              <w:jc w:val="left"/>
            </w:pPr>
            <w:r>
              <w:rPr/>
              <w:t>项目实施的重点、难点和解决方案 (10.0分)</w:t>
            </w:r>
            <w:r>
              <w:rPr/>
              <w:t>，（等次分值选择：</w:t>
            </w:r>
            <w:r>
              <w:rPr/>
              <w:t>0.0;</w:t>
            </w:r>
            <w:r>
              <w:rPr/>
              <w:t>4.0;</w:t>
            </w:r>
            <w:r>
              <w:rPr/>
              <w:t>7.0;</w:t>
            </w:r>
            <w:r>
              <w:rPr/>
              <w:t>10.0;</w:t>
            </w:r>
            <w:r>
              <w:rPr/>
              <w:t>）</w:t>
            </w:r>
          </w:p>
        </w:tc>
        <w:tc>
          <w:tcPr>
            <w:tcW w:type="dxa" w:w="5076"/>
          </w:tcPr>
          <w:p>
            <w:pPr>
              <w:jc w:val="left"/>
            </w:pPr>
            <w:r>
              <w:rPr/>
              <w:t>根据投标人对本项目实施的重点、难点和解决方案分析进行评价： 1、对服务的重点难点分析深入、全面、透彻，方案科学合理可行，得10分； 2、对服务的重点难点分析较深入、较全面、较透彻，方案较科学合理可行，得7分； 3、对服务的重点难点分析不够深入、不够全面、不够透彻，方案不够科学合理可行，得4分； 4、对服务的重点难点分析和方案差或没有相关描述，得0分。</w:t>
            </w:r>
          </w:p>
        </w:tc>
      </w:tr>
      <w:tr>
        <w:tc>
          <w:tcPr>
            <w:tcW w:type="dxa" w:w="922"/>
            <w:gridSpan w:val="2"/>
            <w:vMerge/>
          </w:tcPr>
          <w:p/>
        </w:tc>
        <w:tc>
          <w:tcPr>
            <w:tcW w:type="dxa" w:w="2307"/>
          </w:tcPr>
          <w:p>
            <w:pPr>
              <w:jc w:val="left"/>
            </w:pPr>
            <w:r>
              <w:rPr/>
              <w:t>四害分类 (6.0分)</w:t>
            </w:r>
            <w:r>
              <w:rPr/>
              <w:t>，（等次分值选择：</w:t>
            </w:r>
            <w:r>
              <w:rPr/>
              <w:t>0.0;</w:t>
            </w:r>
            <w:r>
              <w:rPr/>
              <w:t>2.0;</w:t>
            </w:r>
            <w:r>
              <w:rPr/>
              <w:t>4.0;</w:t>
            </w:r>
            <w:r>
              <w:rPr/>
              <w:t>6.0;</w:t>
            </w:r>
            <w:r>
              <w:rPr/>
              <w:t>）</w:t>
            </w:r>
          </w:p>
        </w:tc>
        <w:tc>
          <w:tcPr>
            <w:tcW w:type="dxa" w:w="5076"/>
          </w:tcPr>
          <w:p>
            <w:pPr>
              <w:jc w:val="left"/>
            </w:pPr>
            <w:r>
              <w:rPr/>
              <w:t>根据各投标人针对四害分类进行评价： 1、对四害分类、分布、孳生情况分析准确、全面、透彻，得6分； 2、对四害分类、分布、孳生情况分析准确、透彻，得4分； 3、对四害分类、分布、孳生情况分析不够准确、不够全面、不够透彻，得2分； 4、对四害分类、分布、孳生情况分析没有相关描述，得0分。</w:t>
            </w:r>
          </w:p>
        </w:tc>
      </w:tr>
      <w:tr>
        <w:tc>
          <w:tcPr>
            <w:tcW w:type="dxa" w:w="922"/>
            <w:gridSpan w:val="2"/>
            <w:vMerge/>
          </w:tcPr>
          <w:p/>
        </w:tc>
        <w:tc>
          <w:tcPr>
            <w:tcW w:type="dxa" w:w="2307"/>
          </w:tcPr>
          <w:p>
            <w:pPr>
              <w:jc w:val="left"/>
            </w:pPr>
            <w:r>
              <w:rPr/>
              <w:t>监测方法 (6.0分)</w:t>
            </w:r>
            <w:r>
              <w:rPr/>
              <w:t>，（等次分值选择：</w:t>
            </w:r>
            <w:r>
              <w:rPr/>
              <w:t>0.0;</w:t>
            </w:r>
            <w:r>
              <w:rPr/>
              <w:t>2.0;</w:t>
            </w:r>
            <w:r>
              <w:rPr/>
              <w:t>4.0;</w:t>
            </w:r>
            <w:r>
              <w:rPr/>
              <w:t>6.0;</w:t>
            </w:r>
            <w:r>
              <w:rPr/>
              <w:t>）</w:t>
            </w:r>
          </w:p>
        </w:tc>
        <w:tc>
          <w:tcPr>
            <w:tcW w:type="dxa" w:w="5076"/>
          </w:tcPr>
          <w:p>
            <w:pPr>
              <w:jc w:val="left"/>
            </w:pPr>
            <w:r>
              <w:rPr/>
              <w:t>根据各投标人针对防制对象、密度的监测方法进行评价： 1、监测方法全面、具体，科学规范，针对性和可行性强，有利于提高服务质量，得6分。 2、监测方法完整、合理、可行，可保障基本的服务质量，得4分。 3、监测方法基本完整，有一定的可行性，但对服务质量的保障不足，得2分。 4、监测方法不完整、不可行，服务质量没有保障，得0分。</w:t>
            </w:r>
          </w:p>
        </w:tc>
      </w:tr>
      <w:tr>
        <w:tc>
          <w:tcPr>
            <w:tcW w:type="dxa" w:w="922"/>
            <w:gridSpan w:val="2"/>
            <w:vMerge/>
          </w:tcPr>
          <w:p/>
        </w:tc>
        <w:tc>
          <w:tcPr>
            <w:tcW w:type="dxa" w:w="2307"/>
          </w:tcPr>
          <w:p>
            <w:pPr>
              <w:jc w:val="left"/>
            </w:pPr>
            <w:r>
              <w:rPr/>
              <w:t>防制技术及方法 (10.0分)</w:t>
            </w:r>
            <w:r>
              <w:rPr/>
              <w:t>，（等次分值选择：</w:t>
            </w:r>
            <w:r>
              <w:rPr/>
              <w:t>0.0;</w:t>
            </w:r>
            <w:r>
              <w:rPr/>
              <w:t>4.0;</w:t>
            </w:r>
            <w:r>
              <w:rPr/>
              <w:t>7.0;</w:t>
            </w:r>
            <w:r>
              <w:rPr/>
              <w:t>10.0;</w:t>
            </w:r>
            <w:r>
              <w:rPr/>
              <w:t>）</w:t>
            </w:r>
          </w:p>
        </w:tc>
        <w:tc>
          <w:tcPr>
            <w:tcW w:type="dxa" w:w="5076"/>
          </w:tcPr>
          <w:p>
            <w:pPr>
              <w:jc w:val="left"/>
            </w:pPr>
            <w:r>
              <w:rPr/>
              <w:t>根据各投标人针对防制技术和方法进行评价： 1、防制技术及方法全面、具体、科学合理，针对性和可行性性强，有利于提高服务质量，完全满足采购需求的，得10分。 2、防制技术及方法完整、合理、可行，可保障基本的服务质量，较能满足采购需求的，得7分； 3、防制技术及方法基本完整，有一定的可行性，但对服务质量的保障不足，基本满足采购需求的，得4分； 4、防制技术及方法欠缺完整、不可行、服务质量没有保障的，得0分。</w:t>
            </w:r>
          </w:p>
        </w:tc>
      </w:tr>
      <w:tr>
        <w:tc>
          <w:tcPr>
            <w:tcW w:type="dxa" w:w="922"/>
            <w:gridSpan w:val="2"/>
            <w:vMerge/>
          </w:tcPr>
          <w:p/>
        </w:tc>
        <w:tc>
          <w:tcPr>
            <w:tcW w:type="dxa" w:w="2307"/>
          </w:tcPr>
          <w:p>
            <w:pPr>
              <w:jc w:val="left"/>
            </w:pPr>
            <w:r>
              <w:rPr/>
              <w:t>用药 (5.0分)</w:t>
            </w:r>
            <w:r>
              <w:rPr/>
              <w:t>，（等次分值选择：</w:t>
            </w:r>
            <w:r>
              <w:rPr/>
              <w:t>0.0;</w:t>
            </w:r>
            <w:r>
              <w:rPr/>
              <w:t>5.0;</w:t>
            </w:r>
            <w:r>
              <w:rPr/>
              <w:t>）</w:t>
            </w:r>
          </w:p>
        </w:tc>
        <w:tc>
          <w:tcPr>
            <w:tcW w:type="dxa" w:w="5076"/>
          </w:tcPr>
          <w:p>
            <w:pPr>
              <w:jc w:val="left"/>
            </w:pPr>
            <w:r>
              <w:rPr/>
              <w:t>1、每类害虫（鼠、蚊、蝇、蟑螂）防制有6种或以上符合国家规定的药物轮换使用的，得5分； 2、其他情况不得分。 【注：须在投标文件中提供《药品清单》及每种药物相应的“三证”（农药登记证、生产批准证书号、产品标准号）加盖投标人公章的扫描件，否则不得分。】</w:t>
            </w:r>
          </w:p>
        </w:tc>
      </w:tr>
      <w:tr>
        <w:tc>
          <w:tcPr>
            <w:tcW w:type="dxa" w:w="922"/>
            <w:gridSpan w:val="2"/>
            <w:vMerge/>
          </w:tcPr>
          <w:p/>
        </w:tc>
        <w:tc>
          <w:tcPr>
            <w:tcW w:type="dxa" w:w="2307"/>
          </w:tcPr>
          <w:p>
            <w:pPr>
              <w:jc w:val="left"/>
            </w:pPr>
            <w:r>
              <w:rPr/>
              <w:t>用药方案 (3.0分)</w:t>
            </w:r>
            <w:r>
              <w:rPr/>
              <w:t>，（等次分值选择：</w:t>
            </w:r>
            <w:r>
              <w:rPr/>
              <w:t>0.0;</w:t>
            </w:r>
            <w:r>
              <w:rPr/>
              <w:t>1.0;</w:t>
            </w:r>
            <w:r>
              <w:rPr/>
              <w:t>2.0;</w:t>
            </w:r>
            <w:r>
              <w:rPr/>
              <w:t>3.0;</w:t>
            </w:r>
            <w:r>
              <w:rPr/>
              <w:t>）</w:t>
            </w:r>
          </w:p>
        </w:tc>
        <w:tc>
          <w:tcPr>
            <w:tcW w:type="dxa" w:w="5076"/>
          </w:tcPr>
          <w:p>
            <w:pPr>
              <w:jc w:val="left"/>
            </w:pPr>
            <w:r>
              <w:rPr/>
              <w:t>根据各投标人针对防制对象、种类的用药及方法进行评价： 1、方法全面、具体，不同环境的用药及方法针对性和可操作性强，有利于提高服务质量，得3分； 2、方法较全面、较具体，有针对不同环境的用药及方法，基本可行，可保障基本的服务质量，得2分。 3、方法不全面或不具体，或不同环境的用药及方法针对性和可操作性不强，但对服务质量的保障不足，得1分。 4、方法不可行，服务质量没有保障，得0分。</w:t>
            </w:r>
          </w:p>
        </w:tc>
      </w:tr>
      <w:tr>
        <w:tc>
          <w:tcPr>
            <w:tcW w:type="dxa" w:w="922"/>
            <w:gridSpan w:val="2"/>
            <w:vMerge/>
          </w:tcPr>
          <w:p/>
        </w:tc>
        <w:tc>
          <w:tcPr>
            <w:tcW w:type="dxa" w:w="2307"/>
          </w:tcPr>
          <w:p>
            <w:pPr>
              <w:jc w:val="left"/>
            </w:pPr>
            <w:r>
              <w:rPr/>
              <w:t>应急服务方案 (8.0分)</w:t>
            </w:r>
            <w:r>
              <w:rPr/>
              <w:t>，（等次分值选择：</w:t>
            </w:r>
            <w:r>
              <w:rPr/>
              <w:t>0.0;</w:t>
            </w:r>
            <w:r>
              <w:rPr/>
              <w:t>2.0;</w:t>
            </w:r>
            <w:r>
              <w:rPr/>
              <w:t>5.0;</w:t>
            </w:r>
            <w:r>
              <w:rPr/>
              <w:t>8.0;</w:t>
            </w:r>
            <w:r>
              <w:rPr/>
              <w:t>）</w:t>
            </w:r>
          </w:p>
        </w:tc>
        <w:tc>
          <w:tcPr>
            <w:tcW w:type="dxa" w:w="5076"/>
          </w:tcPr>
          <w:p>
            <w:pPr>
              <w:jc w:val="left"/>
            </w:pPr>
            <w:r>
              <w:rPr/>
              <w:t>根据各投标人的应急服务方案进行评价： 1、方案详尽、清晰，前瞻性、针对性和可行性强，有利于提高服务质量，得8分； 2、方案全面、具体，有一定前瞻性，基本可行，可保障基本的服务质量，得5分； 3、方案前瞻性、针对性不足，但有一定的可行性，但对服务质量的保障不足，得2分； 4、方案无前瞻性、针对性，不可行，服务质量没有保障，得0分。</w:t>
            </w:r>
          </w:p>
        </w:tc>
      </w:tr>
      <w:tr>
        <w:tc>
          <w:tcPr>
            <w:tcW w:type="dxa" w:w="922"/>
            <w:gridSpan w:val="2"/>
            <w:vMerge/>
          </w:tcPr>
          <w:p/>
        </w:tc>
        <w:tc>
          <w:tcPr>
            <w:tcW w:type="dxa" w:w="2307"/>
          </w:tcPr>
          <w:p>
            <w:pPr>
              <w:jc w:val="left"/>
            </w:pPr>
            <w:r>
              <w:rPr/>
              <w:t>安全文明及环境保护方案 (6.0分)</w:t>
            </w:r>
            <w:r>
              <w:rPr/>
              <w:t>，（等次分值选择：</w:t>
            </w:r>
            <w:r>
              <w:rPr/>
              <w:t>0.0;</w:t>
            </w:r>
            <w:r>
              <w:rPr/>
              <w:t>2.0;</w:t>
            </w:r>
            <w:r>
              <w:rPr/>
              <w:t>3.0;</w:t>
            </w:r>
            <w:r>
              <w:rPr/>
              <w:t>6.0;</w:t>
            </w:r>
            <w:r>
              <w:rPr/>
              <w:t>）</w:t>
            </w:r>
          </w:p>
        </w:tc>
        <w:tc>
          <w:tcPr>
            <w:tcW w:type="dxa" w:w="5076"/>
          </w:tcPr>
          <w:p>
            <w:pPr>
              <w:jc w:val="left"/>
            </w:pPr>
            <w:r>
              <w:rPr/>
              <w:t>根据各投标人的安全文明及环境保护方案进行评价： 1、实施流程详尽、清晰，方案的针对性和可行性强，有利于提高服务质量，得6分； 2、实施流程较全面、具体，方案基本可行，可保障基本的服务质量，得3分； 3、实施流程全面但不具体，方案针对性不足，但有一定的可行性，但对服务质量的保障不足，得2分； 4、实施流程存在错误或缺漏，方案无针对性、不可行，服务质量没有保障，得0分。</w:t>
            </w:r>
          </w:p>
        </w:tc>
      </w:tr>
      <w:tr>
        <w:tc>
          <w:tcPr>
            <w:tcW w:type="dxa" w:w="922"/>
            <w:gridSpan w:val="2"/>
            <w:vMerge/>
          </w:tcPr>
          <w:p/>
        </w:tc>
        <w:tc>
          <w:tcPr>
            <w:tcW w:type="dxa" w:w="2307"/>
          </w:tcPr>
          <w:p>
            <w:pPr>
              <w:jc w:val="left"/>
            </w:pPr>
            <w:r>
              <w:rPr/>
              <w:t>服务质量管理方案 (10.0分)</w:t>
            </w:r>
            <w:r>
              <w:rPr/>
              <w:t>，（等次分值选择：</w:t>
            </w:r>
            <w:r>
              <w:rPr/>
              <w:t>0.0;</w:t>
            </w:r>
            <w:r>
              <w:rPr/>
              <w:t>3.0;</w:t>
            </w:r>
            <w:r>
              <w:rPr/>
              <w:t>7.0;</w:t>
            </w:r>
            <w:r>
              <w:rPr/>
              <w:t>10.0;</w:t>
            </w:r>
            <w:r>
              <w:rPr/>
              <w:t>）</w:t>
            </w:r>
          </w:p>
        </w:tc>
        <w:tc>
          <w:tcPr>
            <w:tcW w:type="dxa" w:w="5076"/>
          </w:tcPr>
          <w:p>
            <w:pPr>
              <w:jc w:val="left"/>
            </w:pPr>
            <w:r>
              <w:rPr/>
              <w:t>根据各投标人的服务质量管理方案进行评价： 1、服务机构设置和场地安排完善，服务团队组织管理严密，服务操作管理制度全面、具体，工作、人员、设备及时间安排科学合理，针对性和可行性强，有利于提高服务质量，得10分； 2、服务机构设置和场地安排合理，服务团队组织管理到位，服务操作管理制度完整，工作、人员、设备及时间安排明确具体，可保障基本的服务质量，得7分； 3、有服务机构设置、场地安排和服务团队组织管理的具体计划，服务操作管理制度基本完整，工作、人员、设备及时间安排有一定的可行性，但对服务质量的保障不足，得3分； 4、服务机构设置和场地安排不合理，服务团队的组织管理方式不明确，服务操作管理制度不完整，工作、人员、设备及时间安排不可行，服务质量没有保障，得0分。</w:t>
            </w:r>
          </w:p>
        </w:tc>
      </w:tr>
      <w:tr>
        <w:tc>
          <w:tcPr>
            <w:tcW w:type="dxa" w:w="922"/>
            <w:gridSpan w:val="2"/>
            <w:vMerge w:val="restart"/>
          </w:tcPr>
          <w:p>
            <w:pPr>
              <w:jc w:val="center"/>
            </w:pPr>
            <w:r>
              <w:rPr/>
              <w:t>商务部分</w:t>
            </w:r>
          </w:p>
        </w:tc>
        <w:tc>
          <w:tcPr>
            <w:tcW w:type="dxa" w:w="2307"/>
          </w:tcPr>
          <w:p>
            <w:pPr>
              <w:jc w:val="left"/>
            </w:pPr>
            <w:r>
              <w:rPr/>
              <w:t>业绩情况 (10.0分)</w:t>
            </w:r>
          </w:p>
        </w:tc>
        <w:tc>
          <w:tcPr>
            <w:tcW w:type="dxa" w:w="5076"/>
          </w:tcPr>
          <w:p>
            <w:pPr>
              <w:jc w:val="left"/>
            </w:pPr>
            <w:r>
              <w:rPr/>
              <w:t>1、投标人自2017年1月（以合同签订日期为准）以来独立承接过政府市政公共环境（不包含私人物业及住宅小区、工厂、办公楼、商业等业绩）除四害项目，或病媒生物（含四害）防制项目，或有害生物防治（含四害）项目，或蚊媒传播疾病防控项目，且服务质量得到委托方正面评价的，每项得2分，本项最高得10分。 【注：须同时提供项目合同（主要内容）扫描件、服务质量评价文件扫描件、服务费发票（2017年1月至今任意一个月份）扫描件，否则不得分。同一项目包含多个合同的按一项业绩计算。分包、转包或劳务合作合同无效。】</w:t>
            </w:r>
          </w:p>
        </w:tc>
      </w:tr>
      <w:tr>
        <w:tc>
          <w:tcPr>
            <w:tcW w:type="dxa" w:w="922"/>
            <w:gridSpan w:val="2"/>
            <w:vMerge/>
          </w:tcPr>
          <w:p/>
        </w:tc>
        <w:tc>
          <w:tcPr>
            <w:tcW w:type="dxa" w:w="2307"/>
          </w:tcPr>
          <w:p>
            <w:pPr>
              <w:jc w:val="left"/>
            </w:pPr>
            <w:r>
              <w:rPr/>
              <w:t>管理认证 (2.0分)</w:t>
            </w:r>
          </w:p>
        </w:tc>
        <w:tc>
          <w:tcPr>
            <w:tcW w:type="dxa" w:w="5076"/>
          </w:tcPr>
          <w:p>
            <w:pPr>
              <w:jc w:val="left"/>
            </w:pPr>
            <w:r>
              <w:rPr/>
              <w:t>投标人具有有效的质量管理体系认证、环境管理体系认证、职业健康安全管理体系认证、企业诚信管理体系认证证书、或履约能力达标测评证书，每个证书得0.5分，本项最高得2分。 【注：须同时提供：有效期内认证证书扫描件、认证证书在全国认证认可信息公共服务平台上有效状态查询的网页截图。】</w:t>
            </w:r>
          </w:p>
        </w:tc>
      </w:tr>
      <w:tr>
        <w:tc>
          <w:tcPr>
            <w:tcW w:type="dxa" w:w="922"/>
            <w:gridSpan w:val="2"/>
            <w:vMerge/>
          </w:tcPr>
          <w:p/>
        </w:tc>
        <w:tc>
          <w:tcPr>
            <w:tcW w:type="dxa" w:w="2307"/>
          </w:tcPr>
          <w:p>
            <w:pPr>
              <w:jc w:val="left"/>
            </w:pPr>
            <w:r>
              <w:rPr/>
              <w:t>技术力量 (8.0分)</w:t>
            </w:r>
          </w:p>
        </w:tc>
        <w:tc>
          <w:tcPr>
            <w:tcW w:type="dxa" w:w="5076"/>
          </w:tcPr>
          <w:p>
            <w:pPr>
              <w:jc w:val="left"/>
            </w:pPr>
            <w:r>
              <w:rPr/>
              <w:t>投入本项目人员情况： 1、项目主管1人，有病媒（有害）生物防制（治）员高级证书或培训证的，得3分； 2、本项目人员（不含项目主管），持有病媒（有害）生物防制（治）员初级证或以上或培训证书的作业人员数量：6人或以上，得5分； 3、其他情况不得分。 （提供人员相关证书扫描件及投标截止之日前3个月内，任意一个月在本单位购买的人员社保证明材料并加盖公章的扫描件）</w:t>
            </w:r>
          </w:p>
        </w:tc>
      </w:tr>
      <w:tr>
        <w:tc>
          <w:tcPr>
            <w:tcW w:type="dxa" w:w="922"/>
            <w:gridSpan w:val="2"/>
            <w:vMerge/>
          </w:tcPr>
          <w:p/>
        </w:tc>
        <w:tc>
          <w:tcPr>
            <w:tcW w:type="dxa" w:w="2307"/>
          </w:tcPr>
          <w:p>
            <w:pPr>
              <w:jc w:val="left"/>
            </w:pPr>
            <w:r>
              <w:rPr/>
              <w:t>设备配备 (6.0分)</w:t>
            </w:r>
          </w:p>
        </w:tc>
        <w:tc>
          <w:tcPr>
            <w:tcW w:type="dxa" w:w="5076"/>
          </w:tcPr>
          <w:p>
            <w:pPr>
              <w:jc w:val="left"/>
            </w:pPr>
            <w:r>
              <w:rPr/>
              <w:t>根据本项目的服务需求，对各投标人可用于本项目服务的设备配备进行评价： 1、在全部满足本项目要求的基础上，各种设备的配备均有富余1台或以上，得6分； 2、在全部满足本项目要求的基础上，部分设备的配备有富余1台或以上，得4分； 3、满足本项目的基本要求，设备的配备没有富余，得2分； 4、其他情况不得分。 【注：须提供投标人自有所投设备的购买发票扫描件，如租用则须提供租赁合同扫描件，否则不得分。】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扶闾村委会、稔海村委会、黄连居委会、新明村委会、江义村委会、上涌村委会、江村村委会、南水村委会（包3）</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商务部分26.0分</w:t>
            </w:r>
          </w:p>
          <w:p>
            <w:r>
              <w:rPr/>
              <w:t>技术部分64.0分</w:t>
            </w:r>
          </w:p>
          <w:p>
            <w:r>
              <w:rPr/>
              <w:t>报价得分10.0分</w:t>
            </w:r>
          </w:p>
        </w:tc>
      </w:tr>
      <w:tr>
        <w:tc>
          <w:tcPr>
            <w:tcW w:type="dxa" w:w="922"/>
            <w:gridSpan w:val="2"/>
            <w:vMerge w:val="restart"/>
          </w:tcPr>
          <w:p>
            <w:pPr>
              <w:jc w:val="center"/>
            </w:pPr>
            <w:r>
              <w:rPr/>
              <w:t>技术部分</w:t>
            </w:r>
          </w:p>
        </w:tc>
        <w:tc>
          <w:tcPr>
            <w:tcW w:type="dxa" w:w="2307"/>
          </w:tcPr>
          <w:p>
            <w:pPr>
              <w:jc w:val="left"/>
            </w:pPr>
            <w:r>
              <w:rPr/>
              <w:t>项目实施的重点、难点和解决方案 (10.0分)</w:t>
            </w:r>
            <w:r>
              <w:rPr/>
              <w:t>，（等次分值选择：</w:t>
            </w:r>
            <w:r>
              <w:rPr/>
              <w:t>0.0;</w:t>
            </w:r>
            <w:r>
              <w:rPr/>
              <w:t>4.0;</w:t>
            </w:r>
            <w:r>
              <w:rPr/>
              <w:t>7.0;</w:t>
            </w:r>
            <w:r>
              <w:rPr/>
              <w:t>10.0;</w:t>
            </w:r>
            <w:r>
              <w:rPr/>
              <w:t>）</w:t>
            </w:r>
          </w:p>
        </w:tc>
        <w:tc>
          <w:tcPr>
            <w:tcW w:type="dxa" w:w="5076"/>
          </w:tcPr>
          <w:p>
            <w:pPr>
              <w:jc w:val="left"/>
            </w:pPr>
            <w:r>
              <w:rPr/>
              <w:t>根据投标人对本项目实施的重点、难点和解决方案分析进行评价： 1、对服务的重点难点分析深入、全面、透彻，方案科学合理可行，得10分； 2、对服务的重点难点分析较深入、较全面、较透彻，方案较科学合理可行，得7分； 3、对服务的重点难点分析不够深入、不够全面、不够透彻，方案不够科学合理可行，得4分； 4、对服务的重点难点分析和方案差或没有相关描述，得0分。</w:t>
            </w:r>
          </w:p>
        </w:tc>
      </w:tr>
      <w:tr>
        <w:tc>
          <w:tcPr>
            <w:tcW w:type="dxa" w:w="922"/>
            <w:gridSpan w:val="2"/>
            <w:vMerge/>
          </w:tcPr>
          <w:p/>
        </w:tc>
        <w:tc>
          <w:tcPr>
            <w:tcW w:type="dxa" w:w="2307"/>
          </w:tcPr>
          <w:p>
            <w:pPr>
              <w:jc w:val="left"/>
            </w:pPr>
            <w:r>
              <w:rPr/>
              <w:t>四害分类 (6.0分)</w:t>
            </w:r>
            <w:r>
              <w:rPr/>
              <w:t>，（等次分值选择：</w:t>
            </w:r>
            <w:r>
              <w:rPr/>
              <w:t>0.0;</w:t>
            </w:r>
            <w:r>
              <w:rPr/>
              <w:t>2.0;</w:t>
            </w:r>
            <w:r>
              <w:rPr/>
              <w:t>4.0;</w:t>
            </w:r>
            <w:r>
              <w:rPr/>
              <w:t>6.0;</w:t>
            </w:r>
            <w:r>
              <w:rPr/>
              <w:t>）</w:t>
            </w:r>
          </w:p>
        </w:tc>
        <w:tc>
          <w:tcPr>
            <w:tcW w:type="dxa" w:w="5076"/>
          </w:tcPr>
          <w:p>
            <w:pPr>
              <w:jc w:val="left"/>
            </w:pPr>
            <w:r>
              <w:rPr/>
              <w:t>根据各投标人针对四害分类进行评价： 1、对四害分类、分布、孳生情况分析准确、全面、透彻，得6分； 2、对四害分类、分布、孳生情况分析准确、透彻，得4分； 3、对四害分类、分布、孳生情况分析不够准确、不够全面、不够透彻，得2分； 4、对四害分类、分布、孳生情况分析没有相关描述，得0分。</w:t>
            </w:r>
          </w:p>
        </w:tc>
      </w:tr>
      <w:tr>
        <w:tc>
          <w:tcPr>
            <w:tcW w:type="dxa" w:w="922"/>
            <w:gridSpan w:val="2"/>
            <w:vMerge/>
          </w:tcPr>
          <w:p/>
        </w:tc>
        <w:tc>
          <w:tcPr>
            <w:tcW w:type="dxa" w:w="2307"/>
          </w:tcPr>
          <w:p>
            <w:pPr>
              <w:jc w:val="left"/>
            </w:pPr>
            <w:r>
              <w:rPr/>
              <w:t>监测方法 (6.0分)</w:t>
            </w:r>
            <w:r>
              <w:rPr/>
              <w:t>，（等次分值选择：</w:t>
            </w:r>
            <w:r>
              <w:rPr/>
              <w:t>0.0;</w:t>
            </w:r>
            <w:r>
              <w:rPr/>
              <w:t>2.0;</w:t>
            </w:r>
            <w:r>
              <w:rPr/>
              <w:t>4.0;</w:t>
            </w:r>
            <w:r>
              <w:rPr/>
              <w:t>6.0;</w:t>
            </w:r>
            <w:r>
              <w:rPr/>
              <w:t>）</w:t>
            </w:r>
          </w:p>
        </w:tc>
        <w:tc>
          <w:tcPr>
            <w:tcW w:type="dxa" w:w="5076"/>
          </w:tcPr>
          <w:p>
            <w:pPr>
              <w:jc w:val="left"/>
            </w:pPr>
            <w:r>
              <w:rPr/>
              <w:t>根据各投标人针对防制对象、密度的监测方法进行评价： 1、监测方法全面、具体，科学规范，针对性和可行性强，有利于提高服务质量，得6分。 2、监测方法完整、合理、可行，可保障基本的服务质量，得4分。 3、监测方法基本完整，有一定的可行性，但对服务质量的保障不足，得2分。 4、监测方法不完整、不可行，服务质量没有保障，得0分。</w:t>
            </w:r>
          </w:p>
        </w:tc>
      </w:tr>
      <w:tr>
        <w:tc>
          <w:tcPr>
            <w:tcW w:type="dxa" w:w="922"/>
            <w:gridSpan w:val="2"/>
            <w:vMerge/>
          </w:tcPr>
          <w:p/>
        </w:tc>
        <w:tc>
          <w:tcPr>
            <w:tcW w:type="dxa" w:w="2307"/>
          </w:tcPr>
          <w:p>
            <w:pPr>
              <w:jc w:val="left"/>
            </w:pPr>
            <w:r>
              <w:rPr/>
              <w:t>防制技术及方法 (10.0分)</w:t>
            </w:r>
            <w:r>
              <w:rPr/>
              <w:t>，（等次分值选择：</w:t>
            </w:r>
            <w:r>
              <w:rPr/>
              <w:t>0.0;</w:t>
            </w:r>
            <w:r>
              <w:rPr/>
              <w:t>4.0;</w:t>
            </w:r>
            <w:r>
              <w:rPr/>
              <w:t>7.0;</w:t>
            </w:r>
            <w:r>
              <w:rPr/>
              <w:t>10.0;</w:t>
            </w:r>
            <w:r>
              <w:rPr/>
              <w:t>）</w:t>
            </w:r>
          </w:p>
        </w:tc>
        <w:tc>
          <w:tcPr>
            <w:tcW w:type="dxa" w:w="5076"/>
          </w:tcPr>
          <w:p>
            <w:pPr>
              <w:jc w:val="left"/>
            </w:pPr>
            <w:r>
              <w:rPr/>
              <w:t>根据各投标人针对防制技术和方法进行评价： 1、防制技术及方法全面、具体、科学合理，针对性和可行性性强，有利于提高服务质量，完全满足采购需求的，得10分。 2、防制技术及方法完整、合理、可行，可保障基本的服务质量，较能满足采购需求的，得7分； 3、防制技术及方法基本完整，有一定的可行性，但对服务质量的保障不足，基本满足采购需求的，得4分； 4、防制技术及方法欠缺完整、不可行、服务质量没有保障的，得0分。</w:t>
            </w:r>
          </w:p>
        </w:tc>
      </w:tr>
      <w:tr>
        <w:tc>
          <w:tcPr>
            <w:tcW w:type="dxa" w:w="922"/>
            <w:gridSpan w:val="2"/>
            <w:vMerge/>
          </w:tcPr>
          <w:p/>
        </w:tc>
        <w:tc>
          <w:tcPr>
            <w:tcW w:type="dxa" w:w="2307"/>
          </w:tcPr>
          <w:p>
            <w:pPr>
              <w:jc w:val="left"/>
            </w:pPr>
            <w:r>
              <w:rPr/>
              <w:t>用药 (5.0分)</w:t>
            </w:r>
            <w:r>
              <w:rPr/>
              <w:t>，（等次分值选择：</w:t>
            </w:r>
            <w:r>
              <w:rPr/>
              <w:t>0.0;</w:t>
            </w:r>
            <w:r>
              <w:rPr/>
              <w:t>5.0;</w:t>
            </w:r>
            <w:r>
              <w:rPr/>
              <w:t>）</w:t>
            </w:r>
          </w:p>
        </w:tc>
        <w:tc>
          <w:tcPr>
            <w:tcW w:type="dxa" w:w="5076"/>
          </w:tcPr>
          <w:p>
            <w:pPr>
              <w:jc w:val="left"/>
            </w:pPr>
            <w:r>
              <w:rPr/>
              <w:t>1、每类害虫（鼠、蚊、蝇、蟑螂）防制有6种或以上符合国家规定的药物轮换使用的，得5分； 2、其他情况不得分。 【注：须在投标文件中提供《药品清单》及每种药物相应的“三证”（农药登记证、生产批准证书号、产品标准号）加盖投标人公章的扫描件，否则不得分。】</w:t>
            </w:r>
          </w:p>
        </w:tc>
      </w:tr>
      <w:tr>
        <w:tc>
          <w:tcPr>
            <w:tcW w:type="dxa" w:w="922"/>
            <w:gridSpan w:val="2"/>
            <w:vMerge/>
          </w:tcPr>
          <w:p/>
        </w:tc>
        <w:tc>
          <w:tcPr>
            <w:tcW w:type="dxa" w:w="2307"/>
          </w:tcPr>
          <w:p>
            <w:pPr>
              <w:jc w:val="left"/>
            </w:pPr>
            <w:r>
              <w:rPr/>
              <w:t>用药方案 (3.0分)</w:t>
            </w:r>
            <w:r>
              <w:rPr/>
              <w:t>，（等次分值选择：</w:t>
            </w:r>
            <w:r>
              <w:rPr/>
              <w:t>0.0;</w:t>
            </w:r>
            <w:r>
              <w:rPr/>
              <w:t>1.0;</w:t>
            </w:r>
            <w:r>
              <w:rPr/>
              <w:t>2.0;</w:t>
            </w:r>
            <w:r>
              <w:rPr/>
              <w:t>3.0;</w:t>
            </w:r>
            <w:r>
              <w:rPr/>
              <w:t>）</w:t>
            </w:r>
          </w:p>
        </w:tc>
        <w:tc>
          <w:tcPr>
            <w:tcW w:type="dxa" w:w="5076"/>
          </w:tcPr>
          <w:p>
            <w:pPr>
              <w:jc w:val="left"/>
            </w:pPr>
            <w:r>
              <w:rPr/>
              <w:t>根据各投标人针对防制对象、种类的用药及方法进行评价： 1、方法全面、具体，不同环境的用药及方法针对性和可操作性强，有利于提高服务质量，得3分； 2、方法较全面、较具体，有针对不同环境的用药及方法，基本可行，可保障基本的服务质量，得2分。 3、方法不全面或不具体，或不同环境的用药及方法针对性和可操作性不强，但对服务质量的保障不足，得1分。 4、方法不可行，服务质量没有保障，得0分。</w:t>
            </w:r>
          </w:p>
        </w:tc>
      </w:tr>
      <w:tr>
        <w:tc>
          <w:tcPr>
            <w:tcW w:type="dxa" w:w="922"/>
            <w:gridSpan w:val="2"/>
            <w:vMerge/>
          </w:tcPr>
          <w:p/>
        </w:tc>
        <w:tc>
          <w:tcPr>
            <w:tcW w:type="dxa" w:w="2307"/>
          </w:tcPr>
          <w:p>
            <w:pPr>
              <w:jc w:val="left"/>
            </w:pPr>
            <w:r>
              <w:rPr/>
              <w:t>应急服务方案 (8.0分)</w:t>
            </w:r>
            <w:r>
              <w:rPr/>
              <w:t>，（等次分值选择：</w:t>
            </w:r>
            <w:r>
              <w:rPr/>
              <w:t>0.0;</w:t>
            </w:r>
            <w:r>
              <w:rPr/>
              <w:t>2.0;</w:t>
            </w:r>
            <w:r>
              <w:rPr/>
              <w:t>5.0;</w:t>
            </w:r>
            <w:r>
              <w:rPr/>
              <w:t>8.0;</w:t>
            </w:r>
            <w:r>
              <w:rPr/>
              <w:t>）</w:t>
            </w:r>
          </w:p>
        </w:tc>
        <w:tc>
          <w:tcPr>
            <w:tcW w:type="dxa" w:w="5076"/>
          </w:tcPr>
          <w:p>
            <w:pPr>
              <w:jc w:val="left"/>
            </w:pPr>
            <w:r>
              <w:rPr/>
              <w:t>根据各投标人的应急服务方案进行评价： 1、方案详尽、清晰，前瞻性、针对性和可行性强，有利于提高服务质量，得8分； 2、方案全面、具体，有一定前瞻性，基本可行，可保障基本的服务质量，得5分； 3、方案前瞻性、针对性不足，但有一定的可行性，但对服务质量的保障不足，得2分； 4、方案无前瞻性、针对性，不可行，服务质量没有保障，得0分。</w:t>
            </w:r>
          </w:p>
        </w:tc>
      </w:tr>
      <w:tr>
        <w:tc>
          <w:tcPr>
            <w:tcW w:type="dxa" w:w="922"/>
            <w:gridSpan w:val="2"/>
            <w:vMerge/>
          </w:tcPr>
          <w:p/>
        </w:tc>
        <w:tc>
          <w:tcPr>
            <w:tcW w:type="dxa" w:w="2307"/>
          </w:tcPr>
          <w:p>
            <w:pPr>
              <w:jc w:val="left"/>
            </w:pPr>
            <w:r>
              <w:rPr/>
              <w:t>安全文明及环境保护方案 (6.0分)</w:t>
            </w:r>
            <w:r>
              <w:rPr/>
              <w:t>，（等次分值选择：</w:t>
            </w:r>
            <w:r>
              <w:rPr/>
              <w:t>0.0;</w:t>
            </w:r>
            <w:r>
              <w:rPr/>
              <w:t>2.0;</w:t>
            </w:r>
            <w:r>
              <w:rPr/>
              <w:t>3.0;</w:t>
            </w:r>
            <w:r>
              <w:rPr/>
              <w:t>6.0;</w:t>
            </w:r>
            <w:r>
              <w:rPr/>
              <w:t>）</w:t>
            </w:r>
          </w:p>
        </w:tc>
        <w:tc>
          <w:tcPr>
            <w:tcW w:type="dxa" w:w="5076"/>
          </w:tcPr>
          <w:p>
            <w:pPr>
              <w:jc w:val="left"/>
            </w:pPr>
            <w:r>
              <w:rPr/>
              <w:t>根据各投标人的安全文明及环境保护方案进行评价： 1、实施流程详尽、清晰，方案的针对性和可行性强，有利于提高服务质量，得6分； 2、实施流程较全面、具体，方案基本可行，可保障基本的服务质量，得3分； 3、实施流程全面但不具体，方案针对性不足，但有一定的可行性，但对服务质量的保障不足，得2分； 4、实施流程存在错误或缺漏，方案无针对性、不可行，服务质量没有保障，得0分。</w:t>
            </w:r>
          </w:p>
        </w:tc>
      </w:tr>
      <w:tr>
        <w:tc>
          <w:tcPr>
            <w:tcW w:type="dxa" w:w="922"/>
            <w:gridSpan w:val="2"/>
            <w:vMerge/>
          </w:tcPr>
          <w:p/>
        </w:tc>
        <w:tc>
          <w:tcPr>
            <w:tcW w:type="dxa" w:w="2307"/>
          </w:tcPr>
          <w:p>
            <w:pPr>
              <w:jc w:val="left"/>
            </w:pPr>
            <w:r>
              <w:rPr/>
              <w:t>服务质量管理方案 (10.0分)</w:t>
            </w:r>
            <w:r>
              <w:rPr/>
              <w:t>，（等次分值选择：</w:t>
            </w:r>
            <w:r>
              <w:rPr/>
              <w:t>0.0;</w:t>
            </w:r>
            <w:r>
              <w:rPr/>
              <w:t>3.0;</w:t>
            </w:r>
            <w:r>
              <w:rPr/>
              <w:t>7.0;</w:t>
            </w:r>
            <w:r>
              <w:rPr/>
              <w:t>10.0;</w:t>
            </w:r>
            <w:r>
              <w:rPr/>
              <w:t>）</w:t>
            </w:r>
          </w:p>
        </w:tc>
        <w:tc>
          <w:tcPr>
            <w:tcW w:type="dxa" w:w="5076"/>
          </w:tcPr>
          <w:p>
            <w:pPr>
              <w:jc w:val="left"/>
            </w:pPr>
            <w:r>
              <w:rPr/>
              <w:t>根据各投标人的服务质量管理方案进行评价： 1、服务机构设置和场地安排完善，服务团队组织管理严密，服务操作管理制度全面、具体，工作、人员、设备及时间安排科学合理，针对性和可行性强，有利于提高服务质量，得10分； 2、服务机构设置和场地安排合理，服务团队组织管理到位，服务操作管理制度完整，工作、人员、设备及时间安排明确具体，可保障基本的服务质量，得7分； 3、有服务机构设置、场地安排和服务团队组织管理的具体计划，服务操作管理制度基本完整，工作、人员、设备及时间安排有一定的可行性，但对服务质量的保障不足，得3分； 4、服务机构设置和场地安排不合理，服务团队的组织管理方式不明确，服务操作管理制度不完整，工作、人员、设备及时间安排不可行，服务质量没有保障，得0分。</w:t>
            </w:r>
          </w:p>
        </w:tc>
      </w:tr>
      <w:tr>
        <w:tc>
          <w:tcPr>
            <w:tcW w:type="dxa" w:w="922"/>
            <w:gridSpan w:val="2"/>
            <w:vMerge w:val="restart"/>
          </w:tcPr>
          <w:p>
            <w:pPr>
              <w:jc w:val="center"/>
            </w:pPr>
            <w:r>
              <w:rPr/>
              <w:t>商务部分</w:t>
            </w:r>
          </w:p>
        </w:tc>
        <w:tc>
          <w:tcPr>
            <w:tcW w:type="dxa" w:w="2307"/>
          </w:tcPr>
          <w:p>
            <w:pPr>
              <w:jc w:val="left"/>
            </w:pPr>
            <w:r>
              <w:rPr/>
              <w:t>业绩情况 (10.0分)</w:t>
            </w:r>
          </w:p>
        </w:tc>
        <w:tc>
          <w:tcPr>
            <w:tcW w:type="dxa" w:w="5076"/>
          </w:tcPr>
          <w:p>
            <w:pPr>
              <w:jc w:val="left"/>
            </w:pPr>
            <w:r>
              <w:rPr/>
              <w:t>1、投标人自2017年1月（以合同签订日期为准）以来独立承接过政府市政公共环境（不包含私人物业及住宅小区、工厂、办公楼、商业等业绩）除四害项目，或病媒生物（含四害）防制项目，或有害生物防治（含四害）项目，或蚊媒传播疾病防控项目，且服务质量得到委托方正面评价的，每项得2分，本项最高得10分。 【注：须同时提供项目合同（主要内容）扫描件、服务质量评价文件扫描件、服务费发票（2017年1月至今任意一个月份）扫描件，否则不得分。同一项目包含多个合同的按一项业绩计算。分包、转包或劳务合作合同无效。】</w:t>
            </w:r>
          </w:p>
        </w:tc>
      </w:tr>
      <w:tr>
        <w:tc>
          <w:tcPr>
            <w:tcW w:type="dxa" w:w="922"/>
            <w:gridSpan w:val="2"/>
            <w:vMerge/>
          </w:tcPr>
          <w:p/>
        </w:tc>
        <w:tc>
          <w:tcPr>
            <w:tcW w:type="dxa" w:w="2307"/>
          </w:tcPr>
          <w:p>
            <w:pPr>
              <w:jc w:val="left"/>
            </w:pPr>
            <w:r>
              <w:rPr/>
              <w:t>管理认证 (2.0分)</w:t>
            </w:r>
          </w:p>
        </w:tc>
        <w:tc>
          <w:tcPr>
            <w:tcW w:type="dxa" w:w="5076"/>
          </w:tcPr>
          <w:p>
            <w:pPr>
              <w:jc w:val="left"/>
            </w:pPr>
            <w:r>
              <w:rPr/>
              <w:t>投标人具有有效的质量管理体系认证、环境管理体系认证、职业健康安全管理体系认证、企业诚信管理体系认证证书、或履约能力达标测评证书，每个证书得0.5分，本项最高得2分。 【注：须同时提供：有效期内认证证书扫描件、认证证书在全国认证认可信息公共服务平台上有效状态查询的网页截图。】</w:t>
            </w:r>
          </w:p>
        </w:tc>
      </w:tr>
      <w:tr>
        <w:tc>
          <w:tcPr>
            <w:tcW w:type="dxa" w:w="922"/>
            <w:gridSpan w:val="2"/>
            <w:vMerge/>
          </w:tcPr>
          <w:p/>
        </w:tc>
        <w:tc>
          <w:tcPr>
            <w:tcW w:type="dxa" w:w="2307"/>
          </w:tcPr>
          <w:p>
            <w:pPr>
              <w:jc w:val="left"/>
            </w:pPr>
            <w:r>
              <w:rPr/>
              <w:t>技术力量 (8.0分)</w:t>
            </w:r>
          </w:p>
        </w:tc>
        <w:tc>
          <w:tcPr>
            <w:tcW w:type="dxa" w:w="5076"/>
          </w:tcPr>
          <w:p>
            <w:pPr>
              <w:jc w:val="left"/>
            </w:pPr>
            <w:r>
              <w:rPr/>
              <w:t>投入本项目人员情况： 1、项目主管1人，有病媒（有害）生物防制（治）员高级证书或培训证的，得3分； 2、本项目人员（不含项目主管），持有病媒（有害）生物防制（治）员初级证或以上或培训证书的作业人员数量：6人或以上，得5分； 3、其他情况不得分。 （提供人员相关证书扫描件及投标截止之日前3个月内，任意一个月在本单位购买的人员社保证明材料并加盖公章的扫描件）</w:t>
            </w:r>
          </w:p>
        </w:tc>
      </w:tr>
      <w:tr>
        <w:tc>
          <w:tcPr>
            <w:tcW w:type="dxa" w:w="922"/>
            <w:gridSpan w:val="2"/>
            <w:vMerge/>
          </w:tcPr>
          <w:p/>
        </w:tc>
        <w:tc>
          <w:tcPr>
            <w:tcW w:type="dxa" w:w="2307"/>
          </w:tcPr>
          <w:p>
            <w:pPr>
              <w:jc w:val="left"/>
            </w:pPr>
            <w:r>
              <w:rPr/>
              <w:t>设备配备 (6.0分)</w:t>
            </w:r>
          </w:p>
        </w:tc>
        <w:tc>
          <w:tcPr>
            <w:tcW w:type="dxa" w:w="5076"/>
          </w:tcPr>
          <w:p>
            <w:pPr>
              <w:jc w:val="left"/>
            </w:pPr>
            <w:r>
              <w:rPr/>
              <w:t>根据本项目的服务需求，对各投标人可用于本项目服务的设备配备进行评价： 1、在全部满足本项目要求的基础上，各种设备的配备均有富余1台或以上，得6分； 2、在全部满足本项目要求的基础上，部分设备的配备有富余1台或以上，得4分； 3、满足本项目的基本要求，设备的配备没有富余，得2分； 4、其他情况不得分。 【注：须提供投标人自有所投设备的购买发票扫描件，如租用则须提供租赁合同扫描件，否则不得分。】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评标结果按评审后总得分由高到低顺序排列。总得分相同的按投标报价由低到高顺序排列。得分且投标报价相同的，由评委会采取随机抽取的方式确定。排名第一的投标供应商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采购包3：</w:t>
      </w:r>
    </w:p>
    <w:p/>
    <w:p>
      <w:r>
        <w:rPr/>
        <w:t>评标结果按评审后总得分由高到低顺序排列。总得分相同的按投标报价由低到高顺序排列。得分且投标报价相同的，由评委会采取随机抽取的方式确定。排名第一的投标供应商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jc w:val="center"/>
      </w:pPr>
      <w:r>
        <w:rPr>
          <w:sz w:val="24"/>
        </w:rPr>
        <w:t>佛山市政府采购项目</w:t>
      </w:r>
    </w:p>
    <w:p>
      <w:pPr>
        <w:jc w:val="center"/>
      </w:pPr>
    </w:p>
    <w:p>
      <w:pPr>
        <w:jc w:val="center"/>
      </w:pPr>
      <w:r>
        <w:rPr>
          <w:sz w:val="24"/>
        </w:rPr>
        <w:t>合同书</w:t>
      </w:r>
    </w:p>
    <w:p>
      <w:pPr>
        <w:jc w:val="center"/>
      </w:pPr>
    </w:p>
    <w:p>
      <w:pPr>
        <w:jc w:val="center"/>
      </w:pPr>
    </w:p>
    <w:p>
      <w:pPr>
        <w:jc w:val="center"/>
      </w:pPr>
    </w:p>
    <w:p>
      <w:pPr>
        <w:jc w:val="center"/>
      </w:pPr>
    </w:p>
    <w:p>
      <w:pPr>
        <w:ind w:firstLine="723"/>
        <w:jc w:val="both"/>
      </w:pPr>
      <w:r>
        <w:rPr>
          <w:b/>
          <w:sz w:val="24"/>
        </w:rPr>
        <w:t>项目编号：</w:t>
      </w:r>
      <w:r>
        <w:rPr>
          <w:b/>
          <w:sz w:val="21"/>
          <w:u w:val="single"/>
        </w:rPr>
        <w:t xml:space="preserve">  </w:t>
      </w:r>
      <w:r>
        <w:rPr>
          <w:sz w:val="21"/>
          <w:u w:val="single"/>
        </w:rPr>
        <w:t xml:space="preserve">                       </w:t>
      </w:r>
      <w:r>
        <w:rPr>
          <w:b/>
          <w:sz w:val="21"/>
          <w:u w:val="single"/>
        </w:rPr>
        <w:t xml:space="preserve">                      </w:t>
      </w:r>
    </w:p>
    <w:p>
      <w:pPr>
        <w:ind w:firstLine="723"/>
        <w:jc w:val="both"/>
      </w:pPr>
      <w:r>
        <w:rPr>
          <w:b/>
          <w:sz w:val="24"/>
        </w:rPr>
        <w:t>项目名称：</w:t>
      </w:r>
      <w:r>
        <w:rPr>
          <w:b/>
          <w:sz w:val="21"/>
          <w:u w:val="single"/>
        </w:rPr>
        <w:t xml:space="preserve">  </w:t>
      </w:r>
      <w:r>
        <w:rPr>
          <w:sz w:val="24"/>
          <w:u w:val="single"/>
        </w:rPr>
        <w:t>2022-2025</w:t>
      </w:r>
      <w:r>
        <w:rPr>
          <w:sz w:val="24"/>
          <w:u w:val="single"/>
        </w:rPr>
        <w:t>年勒流街道公共环境除</w:t>
      </w:r>
      <w:r>
        <w:rPr>
          <w:sz w:val="24"/>
          <w:u w:val="single"/>
        </w:rPr>
        <w:t>“</w:t>
      </w:r>
      <w:r>
        <w:rPr>
          <w:sz w:val="24"/>
          <w:u w:val="single"/>
        </w:rPr>
        <w:t>四害</w:t>
      </w:r>
      <w:r>
        <w:rPr>
          <w:sz w:val="24"/>
          <w:u w:val="single"/>
        </w:rPr>
        <w:t>”</w:t>
      </w:r>
      <w:r>
        <w:rPr>
          <w:sz w:val="24"/>
          <w:u w:val="single"/>
        </w:rPr>
        <w:t>项目</w:t>
      </w:r>
      <w:r>
        <w:rPr>
          <w:b/>
          <w:sz w:val="21"/>
          <w:u w:val="single"/>
        </w:rPr>
        <w:t xml:space="preserve">  </w:t>
      </w:r>
    </w:p>
    <w:p>
      <w:pPr>
        <w:ind w:firstLine="723"/>
        <w:jc w:val="both"/>
      </w:pPr>
      <w:r>
        <w:rPr>
          <w:b/>
          <w:sz w:val="24"/>
        </w:rPr>
        <w:t>采购包：</w:t>
      </w:r>
      <w:r>
        <w:rPr>
          <w:b/>
          <w:sz w:val="21"/>
          <w:u w:val="single"/>
        </w:rPr>
        <w:t xml:space="preserve">    </w:t>
      </w:r>
    </w:p>
    <w:p>
      <w:pPr>
        <w:jc w:val="center"/>
      </w:pPr>
    </w:p>
    <w:p>
      <w:pPr>
        <w:jc w:val="center"/>
      </w:pPr>
    </w:p>
    <w:tbl>
      <w:tblPr>
        <w:tblW w:w="0" w:type="auto"/>
        <w:tblBorders>
          <w:top w:val="none" w:color="000000" w:sz="4"/>
          <w:left w:val="none" w:color="000000" w:sz="4"/>
          <w:bottom w:val="none" w:color="000000" w:sz="4"/>
          <w:right w:val="none" w:color="000000" w:sz="4"/>
          <w:insideH w:val="none"/>
          <w:insideV w:val="none"/>
        </w:tblBorders>
      </w:tblPr>
      <w:tblGrid>
        <w:gridCol w:w="2268"/>
        <w:gridCol w:w="6038"/>
      </w:tblGrid>
      <w:tr>
        <w:tc>
          <w:tcPr>
            <w:tcW w:type="dxa" w:w="2268"/>
            <w:tcBorders>
              <w:top w:val="none" w:color="000000" w:sz="4"/>
              <w:left w:val="none" w:color="000000" w:sz="4"/>
              <w:bottom w:val="none" w:color="000000" w:sz="4"/>
              <w:right w:val="none" w:color="000000" w:sz="4"/>
            </w:tcBorders>
            <w:vAlign w:val="top"/>
          </w:tcPr>
          <w:p>
            <w:pPr>
              <w:jc w:val="center"/>
            </w:pPr>
            <w:r>
              <w:rPr>
                <w:sz w:val="24"/>
              </w:rPr>
              <w:t>甲</w:t>
            </w:r>
            <w:r>
              <w:rPr>
                <w:sz w:val="24"/>
              </w:rPr>
              <w:t xml:space="preserve">  </w:t>
            </w:r>
            <w:r>
              <w:rPr>
                <w:sz w:val="24"/>
              </w:rPr>
              <w:t>方：</w:t>
            </w:r>
          </w:p>
        </w:tc>
        <w:tc>
          <w:tcPr>
            <w:tcW w:type="dxa" w:w="6038"/>
            <w:tcBorders>
              <w:top w:val="none" w:color="000000" w:sz="4"/>
              <w:left w:val="none" w:color="000000" w:sz="4"/>
              <w:bottom w:val="none" w:color="000000" w:sz="4"/>
              <w:right w:val="none" w:color="000000" w:sz="4"/>
            </w:tcBorders>
            <w:vAlign w:val="top"/>
          </w:tcPr>
          <w:p>
            <w:pPr>
              <w:jc w:val="both"/>
            </w:pPr>
            <w:r>
              <w:rPr>
                <w:sz w:val="24"/>
                <w:u w:val="single"/>
              </w:rPr>
              <w:t>佛山市顺德区勒流街道卫生健康办公室</w:t>
            </w:r>
          </w:p>
        </w:tc>
      </w:tr>
      <w:tr>
        <w:tc>
          <w:tcPr>
            <w:tcW w:type="dxa" w:w="2268"/>
            <w:tcBorders>
              <w:top w:val="none" w:color="000000" w:sz="4"/>
              <w:left w:val="none" w:color="000000" w:sz="4"/>
              <w:bottom w:val="none" w:color="000000" w:sz="4"/>
              <w:right w:val="none" w:color="000000" w:sz="4"/>
            </w:tcBorders>
            <w:vAlign w:val="top"/>
          </w:tcPr>
          <w:p>
            <w:pPr>
              <w:jc w:val="center"/>
            </w:pPr>
            <w:r>
              <w:rPr>
                <w:sz w:val="24"/>
              </w:rPr>
              <w:t>乙</w:t>
            </w:r>
            <w:r>
              <w:rPr>
                <w:sz w:val="24"/>
              </w:rPr>
              <w:t xml:space="preserve">  </w:t>
            </w:r>
            <w:r>
              <w:rPr>
                <w:sz w:val="24"/>
              </w:rPr>
              <w:t>方：</w:t>
            </w:r>
          </w:p>
        </w:tc>
        <w:tc>
          <w:tcPr>
            <w:tcW w:type="dxa" w:w="6038"/>
            <w:tcBorders>
              <w:top w:val="none" w:color="000000" w:sz="4"/>
              <w:left w:val="none" w:color="000000" w:sz="4"/>
              <w:bottom w:val="none" w:color="000000" w:sz="4"/>
              <w:right w:val="none" w:color="000000" w:sz="4"/>
            </w:tcBorders>
            <w:vAlign w:val="top"/>
          </w:tcPr>
          <w:p>
            <w:pPr>
              <w:jc w:val="both"/>
            </w:pPr>
            <w:r>
              <w:rPr>
                <w:sz w:val="24"/>
                <w:u w:val="single"/>
              </w:rPr>
              <w:t xml:space="preserve">  </w:t>
            </w:r>
            <w:r>
              <w:rPr>
                <w:sz w:val="24"/>
                <w:u w:val="single"/>
              </w:rPr>
              <w:t>（中标</w:t>
            </w:r>
            <w:r>
              <w:rPr>
                <w:sz w:val="24"/>
                <w:u w:val="single"/>
              </w:rPr>
              <w:t>/</w:t>
            </w:r>
            <w:r>
              <w:rPr>
                <w:sz w:val="24"/>
                <w:u w:val="single"/>
              </w:rPr>
              <w:t xml:space="preserve">成交供应商名称）      </w:t>
            </w:r>
          </w:p>
        </w:tc>
      </w:tr>
      <w:tr>
        <w:tc>
          <w:tcPr>
            <w:tcW w:type="dxa" w:w="2268"/>
            <w:tcBorders>
              <w:top w:val="none" w:color="000000" w:sz="4"/>
              <w:left w:val="none" w:color="000000" w:sz="4"/>
              <w:bottom w:val="none" w:color="000000" w:sz="4"/>
              <w:right w:val="none" w:color="000000" w:sz="4"/>
            </w:tcBorders>
            <w:vAlign w:val="top"/>
          </w:tcPr>
          <w:p>
            <w:pPr>
              <w:jc w:val="center"/>
            </w:pPr>
            <w:r>
              <w:rPr>
                <w:sz w:val="24"/>
              </w:rPr>
              <w:t>签订日期：</w:t>
            </w:r>
          </w:p>
        </w:tc>
        <w:tc>
          <w:tcPr>
            <w:tcW w:type="dxa" w:w="6038"/>
            <w:tcBorders>
              <w:top w:val="none" w:color="000000" w:sz="4"/>
              <w:left w:val="none" w:color="000000" w:sz="4"/>
              <w:bottom w:val="none" w:color="000000" w:sz="4"/>
              <w:right w:val="none" w:color="000000" w:sz="4"/>
            </w:tcBorders>
            <w:vAlign w:val="top"/>
          </w:tcPr>
          <w:p>
            <w:pPr>
              <w:jc w:val="both"/>
            </w:pPr>
            <w:r>
              <w:rPr>
                <w:sz w:val="24"/>
                <w:u w:val="single"/>
              </w:rPr>
              <w:t xml:space="preserve">       </w:t>
            </w:r>
            <w:r>
              <w:rPr>
                <w:sz w:val="24"/>
                <w:u w:val="single"/>
              </w:rPr>
              <w:t>年</w:t>
            </w:r>
            <w:r>
              <w:rPr>
                <w:sz w:val="24"/>
                <w:u w:val="single"/>
              </w:rPr>
              <w:t xml:space="preserve">  </w:t>
            </w:r>
            <w:r>
              <w:rPr>
                <w:sz w:val="24"/>
                <w:u w:val="single"/>
              </w:rPr>
              <w:t>月</w:t>
            </w:r>
            <w:r>
              <w:rPr>
                <w:sz w:val="24"/>
                <w:u w:val="single"/>
              </w:rPr>
              <w:t xml:space="preserve">  </w:t>
            </w:r>
            <w:r>
              <w:rPr>
                <w:sz w:val="24"/>
                <w:u w:val="single"/>
              </w:rPr>
              <w:t>日</w:t>
            </w:r>
            <w:r>
              <w:rPr>
                <w:sz w:val="24"/>
                <w:u w:val="single"/>
              </w:rPr>
              <w:t xml:space="preserve">      </w:t>
            </w:r>
          </w:p>
        </w:tc>
      </w:tr>
    </w:tbl>
    <w:p>
      <w:pPr>
        <w:jc w:val="center"/>
      </w:pPr>
    </w:p>
    <w:p>
      <w:pPr>
        <w:jc w:val="center"/>
      </w:pPr>
    </w:p>
    <w:p>
      <w:pPr>
        <w:jc w:val="center"/>
      </w:pPr>
    </w:p>
    <w:p>
      <w:pPr>
        <w:jc w:val="center"/>
      </w:pPr>
    </w:p>
    <w:p>
      <w:pPr>
        <w:jc w:val="both"/>
      </w:pPr>
      <w:r>
        <w:rPr>
          <w:i/>
          <w:sz w:val="24"/>
        </w:rPr>
        <w:t>注：本合同仅为合同的参考文本，可根据项目的具体要求进行修订。</w:t>
      </w:r>
    </w:p>
    <w:p>
      <w:pPr>
        <w:jc w:val="both"/>
      </w:pPr>
    </w:p>
    <w:p>
      <w:pPr>
        <w:jc w:val="center"/>
      </w:pPr>
      <w:r>
        <w:rPr>
          <w:b/>
          <w:sz w:val="24"/>
        </w:rPr>
        <w:t>佛山市政府采购项目合同书</w:t>
      </w:r>
    </w:p>
    <w:p>
      <w:pPr>
        <w:jc w:val="both"/>
      </w:pPr>
    </w:p>
    <w:tbl>
      <w:tblPr>
        <w:tblW w:w="0" w:type="auto"/>
        <w:tblBorders>
          <w:top w:val="none" w:color="000000" w:sz="4"/>
          <w:left w:val="none" w:color="000000" w:sz="4"/>
          <w:bottom w:val="none" w:color="000000" w:sz="4"/>
          <w:right w:val="none" w:color="000000" w:sz="4"/>
          <w:insideH w:val="none"/>
          <w:insideV w:val="none"/>
        </w:tblBorders>
      </w:tblPr>
      <w:tblGrid>
        <w:gridCol w:w="1667"/>
        <w:gridCol w:w="6639"/>
      </w:tblGrid>
      <w:tr>
        <w:tc>
          <w:tcPr>
            <w:tcW w:type="dxa" w:w="1667"/>
            <w:tcBorders>
              <w:top w:val="none" w:color="000000" w:sz="4"/>
              <w:left w:val="none" w:color="000000" w:sz="4"/>
              <w:bottom w:val="none" w:color="000000" w:sz="4"/>
              <w:right w:val="none" w:color="000000" w:sz="4"/>
            </w:tcBorders>
            <w:vAlign w:val="top"/>
          </w:tcPr>
          <w:p>
            <w:pPr>
              <w:jc w:val="both"/>
            </w:pPr>
            <w:r>
              <w:rPr>
                <w:b/>
                <w:sz w:val="24"/>
              </w:rPr>
              <w:t>项目名称：</w:t>
            </w:r>
          </w:p>
        </w:tc>
        <w:tc>
          <w:tcPr>
            <w:tcW w:type="dxa" w:w="6639"/>
            <w:tcBorders>
              <w:top w:val="none" w:color="000000" w:sz="4"/>
              <w:left w:val="none" w:color="000000" w:sz="4"/>
              <w:bottom w:val="none" w:color="000000" w:sz="4"/>
              <w:right w:val="none" w:color="000000" w:sz="4"/>
            </w:tcBorders>
            <w:vAlign w:val="top"/>
          </w:tcPr>
          <w:p>
            <w:pPr>
              <w:jc w:val="both"/>
            </w:pPr>
            <w:r>
              <w:rPr>
                <w:sz w:val="24"/>
                <w:u w:val="single"/>
              </w:rPr>
              <w:t>2022-2025</w:t>
            </w:r>
            <w:r>
              <w:rPr>
                <w:sz w:val="24"/>
                <w:u w:val="single"/>
              </w:rPr>
              <w:t>年勒流街道公共环境除</w:t>
            </w:r>
            <w:r>
              <w:rPr>
                <w:sz w:val="24"/>
                <w:u w:val="single"/>
              </w:rPr>
              <w:t>“</w:t>
            </w:r>
            <w:r>
              <w:rPr>
                <w:sz w:val="24"/>
                <w:u w:val="single"/>
              </w:rPr>
              <w:t>四害</w:t>
            </w:r>
            <w:r>
              <w:rPr>
                <w:sz w:val="24"/>
                <w:u w:val="single"/>
              </w:rPr>
              <w:t>”</w:t>
            </w:r>
            <w:r>
              <w:rPr>
                <w:sz w:val="24"/>
                <w:u w:val="single"/>
              </w:rPr>
              <w:t xml:space="preserve">项目               </w:t>
            </w:r>
          </w:p>
        </w:tc>
      </w:tr>
      <w:tr>
        <w:tc>
          <w:tcPr>
            <w:tcW w:type="dxa" w:w="1667"/>
            <w:tcBorders>
              <w:top w:val="none" w:color="000000" w:sz="4"/>
              <w:left w:val="none" w:color="000000" w:sz="4"/>
              <w:bottom w:val="none" w:color="000000" w:sz="4"/>
              <w:right w:val="none" w:color="000000" w:sz="4"/>
            </w:tcBorders>
            <w:vAlign w:val="top"/>
          </w:tcPr>
          <w:p>
            <w:pPr>
              <w:jc w:val="both"/>
            </w:pPr>
            <w:r>
              <w:rPr>
                <w:b/>
                <w:sz w:val="24"/>
              </w:rPr>
              <w:t>项目编号：</w:t>
            </w:r>
          </w:p>
        </w:tc>
        <w:tc>
          <w:tcPr>
            <w:tcW w:type="dxa" w:w="6639"/>
            <w:tcBorders>
              <w:top w:val="none" w:color="000000" w:sz="4"/>
              <w:left w:val="none" w:color="000000" w:sz="4"/>
              <w:bottom w:val="none" w:color="000000" w:sz="4"/>
              <w:right w:val="none" w:color="000000" w:sz="4"/>
            </w:tcBorders>
            <w:vAlign w:val="top"/>
          </w:tcPr>
          <w:p>
            <w:pPr>
              <w:jc w:val="both"/>
            </w:pPr>
            <w:r>
              <w:rPr>
                <w:sz w:val="21"/>
                <w:u w:val="single"/>
              </w:rPr>
              <w:t xml:space="preserve">                                           </w:t>
            </w:r>
          </w:p>
        </w:tc>
      </w:tr>
      <w:tr>
        <w:tc>
          <w:tcPr>
            <w:tcW w:type="dxa" w:w="1667"/>
            <w:tcBorders>
              <w:top w:val="none" w:color="000000" w:sz="4"/>
              <w:left w:val="none" w:color="000000" w:sz="4"/>
              <w:bottom w:val="none" w:color="000000" w:sz="4"/>
              <w:right w:val="none" w:color="000000" w:sz="4"/>
            </w:tcBorders>
            <w:vAlign w:val="top"/>
          </w:tcPr>
          <w:p>
            <w:pPr>
              <w:jc w:val="both"/>
            </w:pPr>
            <w:r>
              <w:rPr>
                <w:b/>
                <w:sz w:val="24"/>
              </w:rPr>
              <w:t>甲</w:t>
            </w:r>
            <w:r>
              <w:rPr>
                <w:b/>
                <w:sz w:val="21"/>
              </w:rPr>
              <w:t xml:space="preserve">    </w:t>
            </w:r>
            <w:r>
              <w:rPr>
                <w:b/>
                <w:sz w:val="24"/>
              </w:rPr>
              <w:t>方：</w:t>
            </w:r>
          </w:p>
        </w:tc>
        <w:tc>
          <w:tcPr>
            <w:tcW w:type="dxa" w:w="6639"/>
            <w:tcBorders>
              <w:top w:val="none" w:color="000000" w:sz="4"/>
              <w:left w:val="none" w:color="000000" w:sz="4"/>
              <w:bottom w:val="none" w:color="000000" w:sz="4"/>
              <w:right w:val="none" w:color="000000" w:sz="4"/>
            </w:tcBorders>
            <w:vAlign w:val="top"/>
          </w:tcPr>
          <w:p>
            <w:pPr>
              <w:jc w:val="both"/>
            </w:pPr>
            <w:r>
              <w:rPr>
                <w:sz w:val="24"/>
                <w:u w:val="single"/>
              </w:rPr>
              <w:t xml:space="preserve"> </w:t>
            </w:r>
            <w:r>
              <w:rPr>
                <w:sz w:val="24"/>
                <w:u w:val="single"/>
              </w:rPr>
              <w:t>佛山市顺德区勒流街道卫生健康办公室</w:t>
            </w:r>
            <w:r>
              <w:rPr>
                <w:sz w:val="24"/>
                <w:u w:val="single"/>
              </w:rPr>
              <w:t xml:space="preserve">                                </w:t>
            </w:r>
            <w:r>
              <w:rPr>
                <w:sz w:val="21"/>
              </w:rPr>
              <w:t xml:space="preserve"> </w:t>
            </w:r>
          </w:p>
        </w:tc>
      </w:tr>
      <w:tr>
        <w:tc>
          <w:tcPr>
            <w:tcW w:type="dxa" w:w="1667"/>
            <w:tcBorders>
              <w:top w:val="none" w:color="000000" w:sz="4"/>
              <w:left w:val="none" w:color="000000" w:sz="4"/>
              <w:bottom w:val="none" w:color="000000" w:sz="4"/>
              <w:right w:val="none" w:color="000000" w:sz="4"/>
            </w:tcBorders>
            <w:vAlign w:val="top"/>
          </w:tcPr>
          <w:p>
            <w:pPr>
              <w:jc w:val="both"/>
            </w:pPr>
            <w:r>
              <w:rPr>
                <w:b/>
                <w:sz w:val="24"/>
              </w:rPr>
              <w:t>乙</w:t>
            </w:r>
            <w:r>
              <w:rPr>
                <w:b/>
                <w:sz w:val="24"/>
              </w:rPr>
              <w:t xml:space="preserve">  </w:t>
            </w:r>
            <w:r>
              <w:rPr>
                <w:b/>
                <w:sz w:val="24"/>
              </w:rPr>
              <w:t>方：</w:t>
            </w:r>
          </w:p>
        </w:tc>
        <w:tc>
          <w:tcPr>
            <w:tcW w:type="dxa" w:w="6639"/>
            <w:tcBorders>
              <w:top w:val="none" w:color="000000" w:sz="4"/>
              <w:left w:val="none" w:color="000000" w:sz="4"/>
              <w:bottom w:val="none" w:color="000000" w:sz="4"/>
              <w:right w:val="none" w:color="000000" w:sz="4"/>
            </w:tcBorders>
            <w:vAlign w:val="top"/>
          </w:tcPr>
          <w:p>
            <w:pPr>
              <w:jc w:val="both"/>
            </w:pPr>
            <w:r>
              <w:rPr>
                <w:sz w:val="24"/>
                <w:u w:val="single"/>
              </w:rPr>
              <w:t>（中标</w:t>
            </w:r>
            <w:r>
              <w:rPr>
                <w:sz w:val="24"/>
                <w:u w:val="single"/>
              </w:rPr>
              <w:t>/</w:t>
            </w:r>
            <w:r>
              <w:rPr>
                <w:sz w:val="24"/>
                <w:u w:val="single"/>
              </w:rPr>
              <w:t xml:space="preserve">成交供应商）                                 </w:t>
            </w:r>
          </w:p>
        </w:tc>
      </w:tr>
    </w:tbl>
    <w:p>
      <w:pPr>
        <w:ind w:firstLine="420"/>
        <w:jc w:val="both"/>
      </w:pPr>
    </w:p>
    <w:p>
      <w:pPr>
        <w:ind w:firstLine="420"/>
        <w:jc w:val="both"/>
      </w:pPr>
      <w:r>
        <w:rPr>
          <w:sz w:val="21"/>
        </w:rPr>
        <w:t>根据《中华人民共和国政府采购法》《中华人民共和国民法典》和本项目采购文件的要求，经双方协商，本着平等互利和诚实信用的原则，一致同意签订本合同如下。</w:t>
      </w:r>
    </w:p>
    <w:p>
      <w:pPr>
        <w:jc w:val="both"/>
      </w:pPr>
      <w:r>
        <w:rPr>
          <w:b/>
          <w:sz w:val="21"/>
        </w:rPr>
        <w:t>一、项目主要内容及实现功能目标：</w:t>
      </w:r>
    </w:p>
    <w:p>
      <w:pPr>
        <w:ind w:firstLine="420"/>
        <w:jc w:val="both"/>
      </w:pPr>
      <w:r>
        <w:rPr>
          <w:sz w:val="21"/>
        </w:rPr>
        <w:t>（</w:t>
      </w:r>
      <w:r>
        <w:rPr>
          <w:sz w:val="21"/>
        </w:rPr>
        <w:t>1</w:t>
      </w:r>
      <w:r>
        <w:rPr>
          <w:sz w:val="21"/>
        </w:rPr>
        <w:t>）根据除四害的有关国家标准及佛山市顺德区除四害工作要求，结合勒流街道公共环境除四害工作的现状，采购人通过公开向社会购买服务，进一步提高勒流街道人居环境水平和公共卫生水平。</w:t>
      </w:r>
    </w:p>
    <w:p>
      <w:pPr>
        <w:ind w:firstLine="420"/>
        <w:jc w:val="both"/>
      </w:pPr>
      <w:r>
        <w:rPr>
          <w:sz w:val="21"/>
        </w:rPr>
        <w:t>（</w:t>
      </w:r>
      <w:r>
        <w:rPr>
          <w:sz w:val="21"/>
        </w:rPr>
        <w:t>2</w:t>
      </w:r>
      <w:r>
        <w:rPr>
          <w:sz w:val="21"/>
        </w:rPr>
        <w:t>）对勒流街道</w:t>
      </w:r>
      <w:r>
        <w:rPr>
          <w:sz w:val="21"/>
        </w:rPr>
        <w:t>22</w:t>
      </w:r>
      <w:r>
        <w:rPr>
          <w:sz w:val="21"/>
        </w:rPr>
        <w:t>个居村的公共环境范围进行灭鼠、灭蚊、灭苍蝇、灭蟑螂，通称除</w:t>
      </w:r>
      <w:r>
        <w:rPr>
          <w:sz w:val="21"/>
        </w:rPr>
        <w:t>“</w:t>
      </w:r>
      <w:r>
        <w:rPr>
          <w:sz w:val="21"/>
        </w:rPr>
        <w:t>四害</w:t>
      </w:r>
      <w:r>
        <w:rPr>
          <w:sz w:val="21"/>
        </w:rPr>
        <w:t>”</w:t>
      </w:r>
      <w:r>
        <w:rPr>
          <w:sz w:val="21"/>
        </w:rPr>
        <w:t>。服务区域范围包括：居村辖区内的居民住宅区（不含封闭式住宅小区）、敬老院、农贸市场（私人承包除外）、市政公共厕所、公园、广场、绿化带、道路（不含封闭式厂房）、街巷、下水道及沉沙井、河涌（居民生活区</w:t>
      </w:r>
      <w:r>
        <w:rPr>
          <w:sz w:val="21"/>
        </w:rPr>
        <w:t>50</w:t>
      </w:r>
      <w:r>
        <w:rPr>
          <w:sz w:val="21"/>
        </w:rPr>
        <w:t>米范围内）、闲置鱼塘、闲置（待建）地、社区垃圾收集及转运点、垃圾存放容器，其他四害孳生地、各村居委员会办公场所。</w:t>
      </w:r>
    </w:p>
    <w:p>
      <w:pPr>
        <w:ind w:firstLine="420"/>
        <w:jc w:val="both"/>
      </w:pPr>
      <w:r>
        <w:rPr>
          <w:sz w:val="21"/>
        </w:rPr>
        <w:t>（按照采购文件和投标</w:t>
      </w:r>
      <w:r>
        <w:rPr>
          <w:sz w:val="21"/>
        </w:rPr>
        <w:t>/</w:t>
      </w:r>
      <w:r>
        <w:rPr>
          <w:sz w:val="21"/>
        </w:rPr>
        <w:t>响应文件执行）</w:t>
      </w:r>
    </w:p>
    <w:p>
      <w:pPr>
        <w:jc w:val="both"/>
      </w:pPr>
      <w:r>
        <w:rPr>
          <w:b/>
          <w:sz w:val="21"/>
        </w:rPr>
        <w:t>二、产品及服务供应清单：（若有）</w:t>
      </w:r>
    </w:p>
    <w:p>
      <w:pPr>
        <w:jc w:val="both"/>
      </w:pPr>
      <w:r>
        <w:rPr>
          <w:b/>
          <w:sz w:val="21"/>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7"/>
        <w:gridCol w:w="1776"/>
        <w:gridCol w:w="5853"/>
      </w:tblGrid>
      <w:tr>
        <w:tc>
          <w:tcPr>
            <w:tcW w:type="dxa" w:w="677"/>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776"/>
            <w:tcBorders>
              <w:top w:val="single" w:color="000000" w:sz="4"/>
              <w:left w:val="none" w:color="000000" w:sz="4"/>
              <w:bottom w:val="single" w:color="000000" w:sz="4"/>
              <w:right w:val="single" w:color="000000" w:sz="4"/>
            </w:tcBorders>
            <w:vAlign w:val="top"/>
          </w:tcPr>
          <w:p>
            <w:pPr>
              <w:jc w:val="center"/>
            </w:pPr>
            <w:r>
              <w:rPr>
                <w:b/>
                <w:sz w:val="21"/>
              </w:rPr>
              <w:t>合同条款</w:t>
            </w:r>
          </w:p>
        </w:tc>
        <w:tc>
          <w:tcPr>
            <w:tcW w:type="dxa" w:w="5853"/>
            <w:tcBorders>
              <w:top w:val="single" w:color="000000" w:sz="4"/>
              <w:left w:val="none" w:color="000000" w:sz="4"/>
              <w:bottom w:val="single" w:color="000000" w:sz="4"/>
              <w:right w:val="single" w:color="000000" w:sz="4"/>
            </w:tcBorders>
            <w:vAlign w:val="top"/>
          </w:tcPr>
          <w:p>
            <w:pPr>
              <w:jc w:val="center"/>
            </w:pPr>
            <w:r>
              <w:rPr>
                <w:b/>
                <w:sz w:val="21"/>
              </w:rPr>
              <w:t>内</w:t>
            </w:r>
            <w:r>
              <w:rPr>
                <w:b/>
                <w:sz w:val="21"/>
              </w:rPr>
              <w:t>容</w:t>
            </w:r>
          </w:p>
        </w:tc>
      </w:tr>
      <w:tr>
        <w:tc>
          <w:tcPr>
            <w:tcW w:type="dxa" w:w="677"/>
            <w:tcBorders>
              <w:top w:val="none" w:color="000000" w:sz="4"/>
              <w:left w:val="single" w:color="000000" w:sz="4"/>
              <w:bottom w:val="single" w:color="000000" w:sz="4"/>
              <w:right w:val="single" w:color="000000" w:sz="4"/>
            </w:tcBorders>
            <w:vAlign w:val="top"/>
          </w:tcPr>
          <w:p>
            <w:pPr>
              <w:jc w:val="center"/>
            </w:pPr>
            <w:r>
              <w:rPr>
                <w:b/>
                <w:sz w:val="21"/>
              </w:rPr>
              <w:t>1.</w:t>
            </w:r>
          </w:p>
        </w:tc>
        <w:tc>
          <w:tcPr>
            <w:tcW w:type="dxa" w:w="1776"/>
            <w:tcBorders>
              <w:top w:val="none" w:color="000000" w:sz="4"/>
              <w:left w:val="none" w:color="000000" w:sz="4"/>
              <w:bottom w:val="single" w:color="000000" w:sz="4"/>
              <w:right w:val="single" w:color="000000" w:sz="4"/>
            </w:tcBorders>
            <w:vAlign w:val="top"/>
          </w:tcPr>
          <w:p>
            <w:pPr>
              <w:jc w:val="center"/>
            </w:pPr>
            <w:r>
              <w:rPr>
                <w:b/>
                <w:sz w:val="21"/>
              </w:rPr>
              <w:t>合同总额</w:t>
            </w:r>
          </w:p>
        </w:tc>
        <w:tc>
          <w:tcPr>
            <w:tcW w:type="dxa" w:w="5853"/>
            <w:tcBorders>
              <w:top w:val="none" w:color="000000" w:sz="4"/>
              <w:left w:val="none" w:color="000000" w:sz="4"/>
              <w:bottom w:val="single" w:color="000000" w:sz="4"/>
              <w:right w:val="single" w:color="000000" w:sz="4"/>
            </w:tcBorders>
            <w:vAlign w:val="top"/>
          </w:tcPr>
          <w:p>
            <w:pPr>
              <w:jc w:val="both"/>
            </w:pPr>
            <w:r>
              <w:rPr>
                <w:sz w:val="21"/>
              </w:rPr>
              <w:t>人民币</w:t>
            </w:r>
            <w:r>
              <w:rPr>
                <w:sz w:val="21"/>
              </w:rPr>
              <w:t>小写：</w:t>
            </w:r>
            <w:r>
              <w:rPr>
                <w:sz w:val="21"/>
                <w:u w:val="single"/>
              </w:rPr>
              <w:t xml:space="preserve">             </w:t>
            </w:r>
            <w:r>
              <w:rPr>
                <w:sz w:val="21"/>
              </w:rPr>
              <w:t xml:space="preserve">   </w:t>
            </w:r>
          </w:p>
          <w:p>
            <w:pPr>
              <w:jc w:val="both"/>
            </w:pPr>
            <w:r>
              <w:rPr>
                <w:sz w:val="21"/>
              </w:rPr>
              <w:t>大写：</w:t>
            </w:r>
            <w:r>
              <w:rPr>
                <w:sz w:val="21"/>
                <w:u w:val="single"/>
              </w:rPr>
              <w:t xml:space="preserve">                          </w:t>
            </w:r>
          </w:p>
        </w:tc>
      </w:tr>
      <w:tr>
        <w:tc>
          <w:tcPr>
            <w:tcW w:type="dxa" w:w="677"/>
            <w:tcBorders>
              <w:top w:val="none" w:color="000000" w:sz="4"/>
              <w:left w:val="single" w:color="000000" w:sz="4"/>
              <w:bottom w:val="single" w:color="000000" w:sz="4"/>
              <w:right w:val="single" w:color="000000" w:sz="4"/>
            </w:tcBorders>
            <w:vAlign w:val="top"/>
          </w:tcPr>
          <w:p>
            <w:pPr>
              <w:jc w:val="center"/>
            </w:pPr>
            <w:r>
              <w:rPr>
                <w:b/>
                <w:sz w:val="21"/>
              </w:rPr>
              <w:t>2.</w:t>
            </w:r>
          </w:p>
        </w:tc>
        <w:tc>
          <w:tcPr>
            <w:tcW w:type="dxa" w:w="1776"/>
            <w:tcBorders>
              <w:top w:val="none" w:color="000000" w:sz="4"/>
              <w:left w:val="none" w:color="000000" w:sz="4"/>
              <w:bottom w:val="single" w:color="000000" w:sz="4"/>
              <w:right w:val="single" w:color="000000" w:sz="4"/>
            </w:tcBorders>
            <w:vAlign w:val="top"/>
          </w:tcPr>
          <w:p>
            <w:pPr>
              <w:jc w:val="center"/>
            </w:pPr>
            <w:r>
              <w:rPr>
                <w:b/>
                <w:sz w:val="21"/>
              </w:rPr>
              <w:t>合同总额内容</w:t>
            </w:r>
          </w:p>
        </w:tc>
        <w:tc>
          <w:tcPr>
            <w:tcW w:type="dxa" w:w="5853"/>
            <w:tcBorders>
              <w:top w:val="none" w:color="000000" w:sz="4"/>
              <w:left w:val="none" w:color="000000" w:sz="4"/>
              <w:bottom w:val="single" w:color="000000" w:sz="4"/>
              <w:right w:val="single" w:color="000000" w:sz="4"/>
            </w:tcBorders>
            <w:vAlign w:val="top"/>
          </w:tcPr>
          <w:p>
            <w:pPr>
              <w:ind w:firstLine="420"/>
              <w:jc w:val="both"/>
            </w:pPr>
            <w:r>
              <w:rPr>
                <w:sz w:val="21"/>
              </w:rPr>
              <w:t>1.</w:t>
            </w:r>
            <w:r>
              <w:rPr>
                <w:sz w:val="21"/>
              </w:rPr>
              <w:t>服务费用为每年（大写）</w:t>
            </w:r>
            <w:r>
              <w:rPr>
                <w:sz w:val="21"/>
                <w:u w:val="single"/>
              </w:rPr>
              <w:t>：</w:t>
            </w:r>
            <w:r>
              <w:rPr>
                <w:sz w:val="21"/>
                <w:u w:val="single"/>
              </w:rPr>
              <w:t xml:space="preserve">   </w:t>
            </w:r>
            <w:r>
              <w:rPr>
                <w:sz w:val="21"/>
              </w:rPr>
              <w:t>（小写）：</w:t>
            </w:r>
            <w:r>
              <w:rPr>
                <w:sz w:val="21"/>
                <w:u w:val="single"/>
              </w:rPr>
              <w:t xml:space="preserve">     </w:t>
            </w:r>
            <w:r>
              <w:rPr>
                <w:sz w:val="21"/>
              </w:rPr>
              <w:t>元；合同总金额为（大写）：</w:t>
            </w:r>
            <w:r>
              <w:rPr>
                <w:sz w:val="21"/>
                <w:u w:val="single"/>
              </w:rPr>
              <w:t xml:space="preserve">     </w:t>
            </w:r>
            <w:r>
              <w:rPr>
                <w:sz w:val="21"/>
              </w:rPr>
              <w:t>（小写）：</w:t>
            </w:r>
            <w:r>
              <w:rPr>
                <w:sz w:val="21"/>
                <w:u w:val="single"/>
              </w:rPr>
              <w:t xml:space="preserve">     </w:t>
            </w:r>
            <w:r>
              <w:rPr>
                <w:sz w:val="21"/>
              </w:rPr>
              <w:t>元。</w:t>
            </w:r>
          </w:p>
          <w:p>
            <w:pPr>
              <w:ind w:firstLine="420"/>
              <w:jc w:val="both"/>
            </w:pPr>
            <w:r>
              <w:rPr>
                <w:sz w:val="21"/>
              </w:rPr>
              <w:t>2.</w:t>
            </w:r>
            <w:r>
              <w:rPr>
                <w:sz w:val="21"/>
              </w:rPr>
              <w:t>合同金额为全包价，以元人民币为结算单位，包括本项目所有服务涉及的一切劳务、保险、管理费、通讯交通、药品及材料费、机具费、水电费、各种规费、税费等，包括本项目代理服务费以及合同履行过程中应预见和不可预见的一切费用。在合同执行过程中，甲方将不再另行支付与本项目相关的其他任何费用。</w:t>
            </w:r>
          </w:p>
        </w:tc>
      </w:tr>
      <w:tr>
        <w:tc>
          <w:tcPr>
            <w:tcW w:type="dxa" w:w="677"/>
            <w:tcBorders>
              <w:top w:val="none" w:color="000000" w:sz="4"/>
              <w:left w:val="single" w:color="000000" w:sz="4"/>
              <w:bottom w:val="single" w:color="000000" w:sz="4"/>
              <w:right w:val="single" w:color="000000" w:sz="4"/>
            </w:tcBorders>
            <w:vAlign w:val="top"/>
          </w:tcPr>
          <w:p>
            <w:pPr>
              <w:jc w:val="center"/>
            </w:pPr>
            <w:r>
              <w:rPr>
                <w:b/>
                <w:sz w:val="21"/>
              </w:rPr>
              <w:t>3.</w:t>
            </w:r>
          </w:p>
        </w:tc>
        <w:tc>
          <w:tcPr>
            <w:tcW w:type="dxa" w:w="1776"/>
            <w:tcBorders>
              <w:top w:val="none" w:color="000000" w:sz="4"/>
              <w:left w:val="none" w:color="000000" w:sz="4"/>
              <w:bottom w:val="single" w:color="000000" w:sz="4"/>
              <w:right w:val="single" w:color="000000" w:sz="4"/>
            </w:tcBorders>
            <w:vAlign w:val="top"/>
          </w:tcPr>
          <w:p>
            <w:pPr>
              <w:jc w:val="center"/>
            </w:pPr>
            <w:r>
              <w:rPr>
                <w:b/>
                <w:sz w:val="21"/>
              </w:rPr>
              <w:t>交货及安装地点</w:t>
            </w:r>
          </w:p>
        </w:tc>
        <w:tc>
          <w:tcPr>
            <w:tcW w:type="dxa" w:w="5853"/>
            <w:tcBorders>
              <w:top w:val="none" w:color="000000" w:sz="4"/>
              <w:left w:val="none" w:color="000000" w:sz="4"/>
              <w:bottom w:val="single" w:color="000000" w:sz="4"/>
              <w:right w:val="single" w:color="000000" w:sz="4"/>
            </w:tcBorders>
            <w:vAlign w:val="top"/>
          </w:tcPr>
          <w:p>
            <w:pPr>
              <w:jc w:val="both"/>
            </w:pPr>
            <w:r>
              <w:rPr>
                <w:sz w:val="21"/>
              </w:rPr>
              <w:t>甲方（用户）指定地点。</w:t>
            </w:r>
          </w:p>
        </w:tc>
      </w:tr>
      <w:tr>
        <w:tc>
          <w:tcPr>
            <w:tcW w:type="dxa" w:w="677"/>
            <w:tcBorders>
              <w:top w:val="none" w:color="000000" w:sz="4"/>
              <w:left w:val="single" w:color="000000" w:sz="4"/>
              <w:bottom w:val="single" w:color="000000" w:sz="4"/>
              <w:right w:val="single" w:color="000000" w:sz="4"/>
            </w:tcBorders>
            <w:vAlign w:val="top"/>
          </w:tcPr>
          <w:p>
            <w:pPr>
              <w:jc w:val="center"/>
            </w:pPr>
            <w:r>
              <w:rPr>
                <w:b/>
                <w:sz w:val="21"/>
              </w:rPr>
              <w:t>4.</w:t>
            </w:r>
          </w:p>
        </w:tc>
        <w:tc>
          <w:tcPr>
            <w:tcW w:type="dxa" w:w="1776"/>
            <w:tcBorders>
              <w:top w:val="none" w:color="000000" w:sz="4"/>
              <w:left w:val="none" w:color="000000" w:sz="4"/>
              <w:bottom w:val="single" w:color="000000" w:sz="4"/>
              <w:right w:val="single" w:color="000000" w:sz="4"/>
            </w:tcBorders>
            <w:vAlign w:val="top"/>
          </w:tcPr>
          <w:p>
            <w:pPr>
              <w:jc w:val="center"/>
            </w:pPr>
            <w:r>
              <w:rPr>
                <w:b/>
                <w:sz w:val="21"/>
              </w:rPr>
              <w:t>交货期</w:t>
            </w:r>
          </w:p>
        </w:tc>
        <w:tc>
          <w:tcPr>
            <w:tcW w:type="dxa" w:w="5853"/>
            <w:tcBorders>
              <w:top w:val="none" w:color="000000" w:sz="4"/>
              <w:left w:val="none" w:color="000000" w:sz="4"/>
              <w:bottom w:val="single" w:color="000000" w:sz="4"/>
              <w:right w:val="single" w:color="000000" w:sz="4"/>
            </w:tcBorders>
            <w:vAlign w:val="top"/>
          </w:tcPr>
          <w:p>
            <w:pPr>
              <w:jc w:val="both"/>
            </w:pPr>
            <w:r>
              <w:rPr>
                <w:sz w:val="21"/>
              </w:rPr>
              <w:t>自合同签订生效之日起</w:t>
            </w:r>
            <w:r>
              <w:rPr>
                <w:sz w:val="21"/>
                <w:u w:val="single"/>
              </w:rPr>
              <w:t xml:space="preserve">     </w:t>
            </w:r>
            <w:r>
              <w:rPr>
                <w:sz w:val="21"/>
              </w:rPr>
              <w:t>个日历天内完成货物安装、调试、验收并交付甲方使用。</w:t>
            </w:r>
          </w:p>
        </w:tc>
      </w:tr>
      <w:tr>
        <w:tc>
          <w:tcPr>
            <w:tcW w:type="dxa" w:w="677"/>
            <w:tcBorders>
              <w:top w:val="none" w:color="000000" w:sz="4"/>
              <w:left w:val="single" w:color="000000" w:sz="4"/>
              <w:bottom w:val="single" w:color="000000" w:sz="4"/>
              <w:right w:val="single" w:color="000000" w:sz="4"/>
            </w:tcBorders>
            <w:vAlign w:val="top"/>
          </w:tcPr>
          <w:p>
            <w:pPr>
              <w:jc w:val="center"/>
            </w:pPr>
            <w:r>
              <w:rPr>
                <w:b/>
                <w:sz w:val="21"/>
              </w:rPr>
              <w:t>5.</w:t>
            </w:r>
          </w:p>
        </w:tc>
        <w:tc>
          <w:tcPr>
            <w:tcW w:type="dxa" w:w="1776"/>
            <w:tcBorders>
              <w:top w:val="none" w:color="000000" w:sz="4"/>
              <w:left w:val="none" w:color="000000" w:sz="4"/>
              <w:bottom w:val="single" w:color="000000" w:sz="4"/>
              <w:right w:val="single" w:color="000000" w:sz="4"/>
            </w:tcBorders>
            <w:vAlign w:val="top"/>
          </w:tcPr>
          <w:p>
            <w:pPr>
              <w:jc w:val="center"/>
            </w:pPr>
            <w:r>
              <w:rPr>
                <w:b/>
                <w:sz w:val="21"/>
              </w:rPr>
              <w:t>质量保证期</w:t>
            </w:r>
          </w:p>
        </w:tc>
        <w:tc>
          <w:tcPr>
            <w:tcW w:type="dxa" w:w="5853"/>
            <w:tcBorders>
              <w:top w:val="none" w:color="000000" w:sz="4"/>
              <w:left w:val="none" w:color="000000" w:sz="4"/>
              <w:bottom w:val="single" w:color="000000" w:sz="4"/>
              <w:right w:val="single" w:color="000000" w:sz="4"/>
            </w:tcBorders>
            <w:vAlign w:val="top"/>
          </w:tcPr>
          <w:p>
            <w:pPr>
              <w:ind w:firstLine="210"/>
              <w:jc w:val="both"/>
            </w:pPr>
            <w:r>
              <w:rPr>
                <w:sz w:val="21"/>
              </w:rPr>
              <w:t>年</w:t>
            </w:r>
          </w:p>
        </w:tc>
      </w:tr>
      <w:tr>
        <w:tc>
          <w:tcPr>
            <w:tcW w:type="dxa" w:w="677"/>
            <w:tcBorders>
              <w:top w:val="none" w:color="000000" w:sz="4"/>
              <w:left w:val="single" w:color="000000" w:sz="4"/>
              <w:bottom w:val="single" w:color="000000" w:sz="4"/>
              <w:right w:val="single" w:color="000000" w:sz="4"/>
            </w:tcBorders>
            <w:vAlign w:val="top"/>
          </w:tcPr>
          <w:p>
            <w:pPr>
              <w:jc w:val="center"/>
            </w:pPr>
            <w:r>
              <w:rPr>
                <w:b/>
                <w:sz w:val="21"/>
              </w:rPr>
              <w:t>6.</w:t>
            </w:r>
          </w:p>
        </w:tc>
        <w:tc>
          <w:tcPr>
            <w:tcW w:type="dxa" w:w="1776"/>
            <w:tcBorders>
              <w:top w:val="none" w:color="000000" w:sz="4"/>
              <w:left w:val="none" w:color="000000" w:sz="4"/>
              <w:bottom w:val="single" w:color="000000" w:sz="4"/>
              <w:right w:val="single" w:color="000000" w:sz="4"/>
            </w:tcBorders>
            <w:vAlign w:val="top"/>
          </w:tcPr>
          <w:p>
            <w:pPr>
              <w:jc w:val="center"/>
            </w:pPr>
            <w:r>
              <w:rPr>
                <w:b/>
                <w:sz w:val="21"/>
              </w:rPr>
              <w:t>付款方式</w:t>
            </w:r>
          </w:p>
        </w:tc>
        <w:tc>
          <w:tcPr>
            <w:tcW w:type="dxa" w:w="5853"/>
            <w:tcBorders>
              <w:top w:val="none" w:color="000000" w:sz="4"/>
              <w:left w:val="none" w:color="000000" w:sz="4"/>
              <w:bottom w:val="single" w:color="000000" w:sz="4"/>
              <w:right w:val="single" w:color="000000" w:sz="4"/>
            </w:tcBorders>
            <w:vAlign w:val="top"/>
          </w:tcPr>
          <w:p>
            <w:pPr>
              <w:jc w:val="both"/>
            </w:pPr>
            <w:r>
              <w:rPr>
                <w:sz w:val="21"/>
              </w:rPr>
              <w:t>服务费分</w:t>
            </w:r>
            <w:r>
              <w:rPr>
                <w:sz w:val="21"/>
              </w:rPr>
              <w:t>12</w:t>
            </w:r>
            <w:r>
              <w:rPr>
                <w:sz w:val="21"/>
              </w:rPr>
              <w:t>期支付，每期为合同总额的</w:t>
            </w:r>
            <w:r>
              <w:rPr>
                <w:sz w:val="21"/>
              </w:rPr>
              <w:t>1/12</w:t>
            </w:r>
            <w:r>
              <w:rPr>
                <w:sz w:val="21"/>
              </w:rPr>
              <w:t>，以三个月作为一个结算周期。</w:t>
            </w:r>
          </w:p>
        </w:tc>
      </w:tr>
      <w:tr>
        <w:tc>
          <w:tcPr>
            <w:tcW w:type="dxa" w:w="677"/>
            <w:tcBorders>
              <w:top w:val="none" w:color="000000" w:sz="4"/>
              <w:left w:val="single" w:color="000000" w:sz="4"/>
              <w:bottom w:val="single" w:color="000000" w:sz="4"/>
              <w:right w:val="single" w:color="000000" w:sz="4"/>
            </w:tcBorders>
            <w:vAlign w:val="top"/>
          </w:tcPr>
          <w:p>
            <w:pPr>
              <w:jc w:val="center"/>
            </w:pPr>
            <w:r>
              <w:rPr>
                <w:b/>
                <w:sz w:val="21"/>
              </w:rPr>
              <w:t>7.</w:t>
            </w:r>
          </w:p>
        </w:tc>
        <w:tc>
          <w:tcPr>
            <w:tcW w:type="dxa" w:w="1776"/>
            <w:tcBorders>
              <w:top w:val="none" w:color="000000" w:sz="4"/>
              <w:left w:val="none" w:color="000000" w:sz="4"/>
              <w:bottom w:val="single" w:color="000000" w:sz="4"/>
              <w:right w:val="single" w:color="000000" w:sz="4"/>
            </w:tcBorders>
            <w:vAlign w:val="top"/>
          </w:tcPr>
          <w:p>
            <w:pPr>
              <w:jc w:val="center"/>
            </w:pPr>
            <w:r>
              <w:rPr>
                <w:b/>
                <w:sz w:val="21"/>
              </w:rPr>
              <w:t>付款要求</w:t>
            </w:r>
          </w:p>
        </w:tc>
        <w:tc>
          <w:tcPr>
            <w:tcW w:type="dxa" w:w="5853"/>
            <w:tcBorders>
              <w:top w:val="none" w:color="000000" w:sz="4"/>
              <w:left w:val="none" w:color="000000" w:sz="4"/>
              <w:bottom w:val="single" w:color="000000" w:sz="4"/>
              <w:right w:val="single" w:color="000000" w:sz="4"/>
            </w:tcBorders>
            <w:vAlign w:val="top"/>
          </w:tcPr>
          <w:p>
            <w:pPr>
              <w:jc w:val="both"/>
            </w:pPr>
            <w:r>
              <w:rPr>
                <w:sz w:val="21"/>
              </w:rPr>
              <w:t>1</w:t>
            </w:r>
            <w:r>
              <w:rPr>
                <w:sz w:val="21"/>
              </w:rPr>
              <w:t>、中标人在每个结算周期结束后的</w:t>
            </w:r>
            <w:r>
              <w:rPr>
                <w:sz w:val="21"/>
              </w:rPr>
              <w:t>15</w:t>
            </w:r>
            <w:r>
              <w:rPr>
                <w:sz w:val="21"/>
              </w:rPr>
              <w:t>个工作日内将当期的费用结算清单（含考核处罚情况等）汇总并递交给采购人。</w:t>
            </w:r>
          </w:p>
          <w:p>
            <w:pPr>
              <w:jc w:val="both"/>
            </w:pPr>
            <w:r>
              <w:rPr>
                <w:sz w:val="21"/>
              </w:rPr>
              <w:t>2</w:t>
            </w:r>
            <w:r>
              <w:rPr>
                <w:sz w:val="21"/>
              </w:rPr>
              <w:t>、采购人核定当期的结算金额后，中标人须提供该期相应金额的服务费发票，收款方、发票出具方、合同乙方均须与中标人名称一致。</w:t>
            </w:r>
          </w:p>
          <w:p>
            <w:pPr>
              <w:jc w:val="both"/>
            </w:pPr>
            <w:r>
              <w:rPr>
                <w:sz w:val="21"/>
              </w:rPr>
              <w:t>4</w:t>
            </w:r>
            <w:r>
              <w:rPr>
                <w:sz w:val="21"/>
              </w:rPr>
              <w:t>、采购人在中标人提供该期服务费发票</w:t>
            </w:r>
            <w:r>
              <w:rPr>
                <w:sz w:val="21"/>
              </w:rPr>
              <w:t>15</w:t>
            </w:r>
            <w:r>
              <w:rPr>
                <w:sz w:val="21"/>
              </w:rPr>
              <w:t>个工作日内向中标人支付服务费。</w:t>
            </w:r>
          </w:p>
        </w:tc>
      </w:tr>
    </w:tbl>
    <w:p>
      <w:pPr>
        <w:jc w:val="both"/>
      </w:pPr>
      <w:r>
        <w:rPr>
          <w:b/>
          <w:color w:val="000000"/>
          <w:sz w:val="21"/>
        </w:rPr>
        <w:t>四、服务对照执行标准：</w:t>
      </w:r>
    </w:p>
    <w:p>
      <w:pPr>
        <w:jc w:val="both"/>
      </w:pPr>
      <w:r>
        <w:rPr>
          <w:color w:val="000000"/>
          <w:sz w:val="21"/>
        </w:rPr>
        <w:t>1</w:t>
      </w:r>
      <w:r>
        <w:rPr>
          <w:color w:val="000000"/>
          <w:sz w:val="21"/>
        </w:rPr>
        <w:t>、符合中华人民共和国国家和履约地相关安全质量标准、行业技术规范标准；</w:t>
      </w:r>
    </w:p>
    <w:p>
      <w:pPr>
        <w:jc w:val="both"/>
      </w:pPr>
      <w:r>
        <w:rPr>
          <w:color w:val="000000"/>
          <w:sz w:val="21"/>
        </w:rPr>
        <w:t>2</w:t>
      </w:r>
      <w:r>
        <w:rPr>
          <w:color w:val="000000"/>
          <w:sz w:val="21"/>
        </w:rPr>
        <w:t>、符合采购文件和响应承诺中各方共同认可的合理要求；</w:t>
      </w:r>
    </w:p>
    <w:p>
      <w:pPr>
        <w:jc w:val="both"/>
      </w:pPr>
      <w:r>
        <w:rPr>
          <w:color w:val="000000"/>
          <w:sz w:val="21"/>
        </w:rPr>
        <w:t>上述各类标准与法规必须是有关官方机构最新发布的现行标准版本。</w:t>
      </w:r>
    </w:p>
    <w:p>
      <w:pPr>
        <w:jc w:val="both"/>
      </w:pPr>
      <w:r>
        <w:rPr>
          <w:b/>
          <w:color w:val="000000"/>
          <w:sz w:val="21"/>
        </w:rPr>
        <w:t>五、投诉跟踪服务要求：</w:t>
      </w:r>
    </w:p>
    <w:p>
      <w:pPr>
        <w:jc w:val="both"/>
      </w:pPr>
      <w:r>
        <w:rPr>
          <w:color w:val="000000"/>
          <w:sz w:val="21"/>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jc w:val="both"/>
      </w:pPr>
      <w:r>
        <w:rPr>
          <w:color w:val="000000"/>
          <w:sz w:val="21"/>
        </w:rPr>
        <w:t>服务期内，甲方有权按本项目的管理要求对乙方进行不定期抽查检查，若对不合格的管理服务提出警告后，仍未得到有效解决时，甲方有权终止管理合同。</w:t>
      </w:r>
    </w:p>
    <w:p>
      <w:pPr>
        <w:jc w:val="both"/>
      </w:pPr>
      <w:r>
        <w:rPr>
          <w:color w:val="000000"/>
          <w:sz w:val="21"/>
        </w:rPr>
        <w:t>乙方服务机构名称及地址：</w:t>
      </w:r>
      <w:r>
        <w:rPr>
          <w:sz w:val="21"/>
        </w:rPr>
        <w:t xml:space="preserve"> </w:t>
      </w:r>
    </w:p>
    <w:p>
      <w:pPr>
        <w:ind w:firstLine="420"/>
        <w:jc w:val="both"/>
      </w:pPr>
      <w:r>
        <w:rPr>
          <w:color w:val="000000"/>
          <w:sz w:val="21"/>
        </w:rPr>
        <w:t>联系人</w:t>
      </w:r>
      <w:r>
        <w:rPr>
          <w:color w:val="000000"/>
          <w:sz w:val="21"/>
        </w:rPr>
        <w:t>1</w:t>
      </w:r>
      <w:r>
        <w:rPr>
          <w:color w:val="000000"/>
          <w:sz w:val="21"/>
        </w:rPr>
        <w:t>：          ，联系电话：            ，手机：          ；</w:t>
      </w:r>
    </w:p>
    <w:p>
      <w:pPr>
        <w:ind w:firstLine="420"/>
        <w:jc w:val="both"/>
      </w:pPr>
      <w:r>
        <w:rPr>
          <w:color w:val="000000"/>
          <w:sz w:val="21"/>
        </w:rPr>
        <w:t>联系人</w:t>
      </w:r>
      <w:r>
        <w:rPr>
          <w:color w:val="000000"/>
          <w:sz w:val="21"/>
        </w:rPr>
        <w:t>2</w:t>
      </w:r>
      <w:r>
        <w:rPr>
          <w:color w:val="000000"/>
          <w:sz w:val="21"/>
        </w:rPr>
        <w:t>：          ，联系电话：            ，手机：          ；</w:t>
      </w:r>
    </w:p>
    <w:p>
      <w:pPr>
        <w:ind w:firstLine="420"/>
        <w:jc w:val="both"/>
      </w:pPr>
      <w:r>
        <w:rPr>
          <w:color w:val="000000"/>
          <w:sz w:val="21"/>
        </w:rPr>
        <w:t>服务专线电话：</w:t>
      </w:r>
    </w:p>
    <w:p>
      <w:pPr>
        <w:jc w:val="both"/>
      </w:pPr>
      <w:r>
        <w:rPr>
          <w:color w:val="000000"/>
          <w:sz w:val="21"/>
        </w:rPr>
        <w:t>其他服务要求：（补充内容不得对采购文件和投标</w:t>
      </w:r>
      <w:r>
        <w:rPr>
          <w:color w:val="000000"/>
          <w:sz w:val="21"/>
        </w:rPr>
        <w:t>/</w:t>
      </w:r>
      <w:r>
        <w:rPr>
          <w:color w:val="000000"/>
          <w:sz w:val="21"/>
        </w:rPr>
        <w:t>响应文件作实质性修改）</w:t>
      </w:r>
    </w:p>
    <w:p>
      <w:pPr>
        <w:jc w:val="both"/>
      </w:pPr>
      <w:r>
        <w:rPr>
          <w:sz w:val="21"/>
          <w:u w:val="single"/>
        </w:rPr>
        <w:t xml:space="preserve">                                                          </w:t>
      </w:r>
      <w:r>
        <w:rPr>
          <w:color w:val="000000"/>
          <w:sz w:val="21"/>
        </w:rPr>
        <w:t>。</w:t>
      </w:r>
    </w:p>
    <w:p>
      <w:pPr>
        <w:jc w:val="both"/>
      </w:pPr>
      <w:r>
        <w:rPr>
          <w:b/>
          <w:color w:val="000000"/>
          <w:sz w:val="21"/>
        </w:rPr>
        <w:t>六、验收要求：</w:t>
      </w:r>
    </w:p>
    <w:p>
      <w:pPr>
        <w:ind w:firstLine="420"/>
        <w:jc w:val="both"/>
      </w:pPr>
      <w:r>
        <w:rPr>
          <w:color w:val="000000"/>
          <w:sz w:val="21"/>
        </w:rPr>
        <w:t>根据全国爱卫会《国家卫生城市标准》（</w:t>
      </w:r>
      <w:r>
        <w:rPr>
          <w:color w:val="000000"/>
          <w:sz w:val="21"/>
        </w:rPr>
        <w:t>2014</w:t>
      </w:r>
      <w:r>
        <w:rPr>
          <w:color w:val="000000"/>
          <w:sz w:val="21"/>
        </w:rPr>
        <w:t>版）和顺德区爱卫办【</w:t>
      </w:r>
      <w:r>
        <w:rPr>
          <w:color w:val="000000"/>
          <w:sz w:val="21"/>
        </w:rPr>
        <w:t>2006</w:t>
      </w:r>
      <w:r>
        <w:rPr>
          <w:color w:val="000000"/>
          <w:sz w:val="21"/>
        </w:rPr>
        <w:t>】</w:t>
      </w:r>
      <w:r>
        <w:rPr>
          <w:color w:val="000000"/>
          <w:sz w:val="21"/>
        </w:rPr>
        <w:t>4</w:t>
      </w:r>
      <w:r>
        <w:rPr>
          <w:color w:val="000000"/>
          <w:sz w:val="21"/>
        </w:rPr>
        <w:t>号文，《佛山市顺德区公共环境除四害承包质量考评标准》（试行）（附）的通知精神，制定考评办法。</w:t>
      </w:r>
    </w:p>
    <w:p>
      <w:pPr>
        <w:ind w:firstLine="420"/>
        <w:jc w:val="both"/>
      </w:pPr>
      <w:r>
        <w:rPr>
          <w:color w:val="000000"/>
          <w:sz w:val="21"/>
        </w:rPr>
        <w:t>监督考评办法：</w:t>
      </w:r>
    </w:p>
    <w:p>
      <w:pPr>
        <w:ind w:firstLine="420"/>
        <w:jc w:val="both"/>
      </w:pPr>
      <w:r>
        <w:rPr>
          <w:color w:val="000000"/>
          <w:sz w:val="21"/>
        </w:rPr>
        <w:t>1</w:t>
      </w:r>
      <w:r>
        <w:rPr>
          <w:color w:val="000000"/>
          <w:sz w:val="21"/>
        </w:rPr>
        <w:t>）监督考评办法</w:t>
      </w:r>
    </w:p>
    <w:p>
      <w:pPr>
        <w:ind w:firstLine="420"/>
        <w:jc w:val="both"/>
      </w:pPr>
      <w:r>
        <w:rPr>
          <w:color w:val="000000"/>
          <w:sz w:val="21"/>
        </w:rPr>
        <w:t>根据全国爱卫会《国家卫生城市标准》（</w:t>
      </w:r>
      <w:r>
        <w:rPr>
          <w:color w:val="000000"/>
          <w:sz w:val="21"/>
        </w:rPr>
        <w:t>2014</w:t>
      </w:r>
      <w:r>
        <w:rPr>
          <w:color w:val="000000"/>
          <w:sz w:val="21"/>
        </w:rPr>
        <w:t>版）和顺德区爱卫办【</w:t>
      </w:r>
      <w:r>
        <w:rPr>
          <w:color w:val="000000"/>
          <w:sz w:val="21"/>
        </w:rPr>
        <w:t>2006</w:t>
      </w:r>
      <w:r>
        <w:rPr>
          <w:color w:val="000000"/>
          <w:sz w:val="21"/>
        </w:rPr>
        <w:t>】</w:t>
      </w:r>
      <w:r>
        <w:rPr>
          <w:color w:val="000000"/>
          <w:sz w:val="21"/>
        </w:rPr>
        <w:t>4</w:t>
      </w:r>
      <w:r>
        <w:rPr>
          <w:color w:val="000000"/>
          <w:sz w:val="21"/>
        </w:rPr>
        <w:t>号文，《佛山市顺德区公共环境除四害承包质量考评标准》（试行）（附）的通知精神，制定考评办法如下：</w:t>
      </w:r>
    </w:p>
    <w:p>
      <w:pPr>
        <w:ind w:firstLine="420"/>
        <w:jc w:val="both"/>
      </w:pPr>
      <w:r>
        <w:rPr>
          <w:color w:val="000000"/>
          <w:sz w:val="21"/>
        </w:rPr>
        <w:t>1.1</w:t>
      </w:r>
      <w:r>
        <w:rPr>
          <w:color w:val="000000"/>
          <w:sz w:val="21"/>
        </w:rPr>
        <w:t>考评方式</w:t>
      </w:r>
    </w:p>
    <w:p>
      <w:pPr>
        <w:ind w:firstLine="420"/>
        <w:jc w:val="both"/>
      </w:pPr>
      <w:r>
        <w:rPr>
          <w:color w:val="000000"/>
          <w:sz w:val="21"/>
        </w:rPr>
        <w:t>采取街道除四害考评组、居村委会、卫健办、社会监督等综合考核方法。</w:t>
      </w:r>
    </w:p>
    <w:p>
      <w:pPr>
        <w:ind w:firstLine="420"/>
        <w:jc w:val="both"/>
      </w:pPr>
      <w:r>
        <w:rPr>
          <w:color w:val="000000"/>
          <w:sz w:val="21"/>
        </w:rPr>
        <w:t>1.2</w:t>
      </w:r>
      <w:r>
        <w:rPr>
          <w:color w:val="000000"/>
          <w:sz w:val="21"/>
        </w:rPr>
        <w:t>街道除四害考评组：根据顺德区爱卫办</w:t>
      </w:r>
      <w:r>
        <w:rPr>
          <w:color w:val="000000"/>
          <w:sz w:val="21"/>
        </w:rPr>
        <w:t>[2006]4</w:t>
      </w:r>
      <w:r>
        <w:rPr>
          <w:color w:val="000000"/>
          <w:sz w:val="21"/>
        </w:rPr>
        <w:t>号文《佛山市顺德区公共环境除四害承包质量考评标准》，委托专业机构进行专业考核监测，每季度一次定量考评，年终作年度总评定。</w:t>
      </w:r>
    </w:p>
    <w:p>
      <w:pPr>
        <w:ind w:firstLine="420"/>
        <w:jc w:val="both"/>
      </w:pPr>
      <w:r>
        <w:rPr>
          <w:color w:val="000000"/>
          <w:sz w:val="21"/>
        </w:rPr>
        <w:t>1.3</w:t>
      </w:r>
      <w:r>
        <w:rPr>
          <w:color w:val="000000"/>
          <w:sz w:val="21"/>
        </w:rPr>
        <w:t>居（村）委会考核：居（村）委会负责对除四害专业队日常工作进行监督、指导。对专业队放药、喷洒、治理孳生地等工作实行签名确认（采购人或勒流街道爱卫办印发施工记录表），每月对服务本居（村）委会除四害工作进行一次系统检查。</w:t>
      </w:r>
    </w:p>
    <w:p>
      <w:pPr>
        <w:ind w:firstLine="420"/>
        <w:jc w:val="both"/>
      </w:pPr>
      <w:r>
        <w:rPr>
          <w:color w:val="000000"/>
          <w:sz w:val="21"/>
        </w:rPr>
        <w:t>1.4</w:t>
      </w:r>
      <w:r>
        <w:rPr>
          <w:color w:val="000000"/>
          <w:sz w:val="21"/>
        </w:rPr>
        <w:t>街道卫健办考核：结合平时卫生检查、除四害日常施工、投诉与处理、应急等进行考核。</w:t>
      </w:r>
    </w:p>
    <w:p>
      <w:pPr>
        <w:ind w:firstLine="420"/>
        <w:jc w:val="both"/>
      </w:pPr>
      <w:r>
        <w:rPr>
          <w:color w:val="000000"/>
          <w:sz w:val="21"/>
        </w:rPr>
        <w:t>1.5</w:t>
      </w:r>
      <w:r>
        <w:rPr>
          <w:color w:val="000000"/>
          <w:sz w:val="21"/>
        </w:rPr>
        <w:t>社会监督：（</w:t>
      </w:r>
      <w:r>
        <w:rPr>
          <w:color w:val="000000"/>
          <w:sz w:val="21"/>
        </w:rPr>
        <w:t>1</w:t>
      </w:r>
      <w:r>
        <w:rPr>
          <w:color w:val="000000"/>
          <w:sz w:val="21"/>
        </w:rPr>
        <w:t>）群众评议：每季度由居（村）委会、考评专家组进行随机访问居民群众。（</w:t>
      </w:r>
      <w:r>
        <w:rPr>
          <w:color w:val="000000"/>
          <w:sz w:val="21"/>
        </w:rPr>
        <w:t>2</w:t>
      </w:r>
      <w:r>
        <w:rPr>
          <w:color w:val="000000"/>
          <w:sz w:val="21"/>
        </w:rPr>
        <w:t>）群众举报或投诉，每季度由街道爱卫办收集和整理群众举报或投诉资料并计分。</w:t>
      </w:r>
    </w:p>
    <w:p>
      <w:pPr>
        <w:ind w:firstLine="420"/>
        <w:jc w:val="both"/>
      </w:pPr>
      <w:r>
        <w:rPr>
          <w:color w:val="000000"/>
          <w:sz w:val="21"/>
        </w:rPr>
        <w:t>2</w:t>
      </w:r>
      <w:r>
        <w:rPr>
          <w:color w:val="000000"/>
          <w:sz w:val="21"/>
        </w:rPr>
        <w:t>）评定办法</w:t>
      </w:r>
    </w:p>
    <w:p>
      <w:pPr>
        <w:ind w:firstLine="420"/>
        <w:jc w:val="both"/>
      </w:pPr>
      <w:r>
        <w:rPr>
          <w:color w:val="000000"/>
          <w:sz w:val="21"/>
        </w:rPr>
        <w:t>根据街道除四害考评组、街道卫健办评定、居（村）委会评定、社会监督四个方面的评议，把分别评出的四项分数作综合评定，得出除四害专业队的季度和年度评定分值。综合评定采用百分制。评定分值：街道除四害考评组占</w:t>
      </w:r>
      <w:r>
        <w:rPr>
          <w:color w:val="000000"/>
          <w:sz w:val="21"/>
        </w:rPr>
        <w:t>50</w:t>
      </w:r>
      <w:r>
        <w:rPr>
          <w:color w:val="000000"/>
          <w:sz w:val="21"/>
        </w:rPr>
        <w:t>分、街道卫健办评分占</w:t>
      </w:r>
      <w:r>
        <w:rPr>
          <w:color w:val="000000"/>
          <w:sz w:val="21"/>
        </w:rPr>
        <w:t>20</w:t>
      </w:r>
      <w:r>
        <w:rPr>
          <w:color w:val="000000"/>
          <w:sz w:val="21"/>
        </w:rPr>
        <w:t>分、居（村）委会评定占</w:t>
      </w:r>
      <w:r>
        <w:rPr>
          <w:color w:val="000000"/>
          <w:sz w:val="21"/>
        </w:rPr>
        <w:t>20</w:t>
      </w:r>
      <w:r>
        <w:rPr>
          <w:color w:val="000000"/>
          <w:sz w:val="21"/>
        </w:rPr>
        <w:t>分、社会监督（群众评议）占</w:t>
      </w:r>
      <w:r>
        <w:rPr>
          <w:color w:val="000000"/>
          <w:sz w:val="21"/>
        </w:rPr>
        <w:t>10</w:t>
      </w:r>
      <w:r>
        <w:rPr>
          <w:color w:val="000000"/>
          <w:sz w:val="21"/>
        </w:rPr>
        <w:t>分。群众举报或投诉属实，在总分直接扣除，每宗</w:t>
      </w:r>
      <w:r>
        <w:rPr>
          <w:color w:val="000000"/>
          <w:sz w:val="21"/>
        </w:rPr>
        <w:t>0.5</w:t>
      </w:r>
      <w:r>
        <w:rPr>
          <w:color w:val="000000"/>
          <w:sz w:val="21"/>
        </w:rPr>
        <w:t>分。</w:t>
      </w:r>
    </w:p>
    <w:p>
      <w:pPr>
        <w:ind w:firstLine="420"/>
        <w:jc w:val="both"/>
      </w:pPr>
      <w:r>
        <w:rPr>
          <w:color w:val="000000"/>
          <w:sz w:val="21"/>
        </w:rPr>
        <w:t>2.1</w:t>
      </w:r>
      <w:r>
        <w:rPr>
          <w:color w:val="000000"/>
          <w:sz w:val="21"/>
        </w:rPr>
        <w:t>街道除四害考评组：内容包括操作规程、防治质量、监测资料、现场抽查等进行评定。</w:t>
      </w:r>
    </w:p>
    <w:p>
      <w:pPr>
        <w:ind w:firstLine="420"/>
        <w:jc w:val="both"/>
      </w:pPr>
      <w:r>
        <w:rPr>
          <w:color w:val="000000"/>
          <w:sz w:val="21"/>
        </w:rPr>
        <w:t>2.2</w:t>
      </w:r>
      <w:r>
        <w:rPr>
          <w:color w:val="000000"/>
          <w:sz w:val="21"/>
        </w:rPr>
        <w:t>居（村）委会评定：由居（村）委会根据日常管理和施工情况作综合评定。</w:t>
      </w:r>
    </w:p>
    <w:p>
      <w:pPr>
        <w:ind w:firstLine="420"/>
        <w:jc w:val="both"/>
      </w:pPr>
      <w:r>
        <w:rPr>
          <w:color w:val="000000"/>
          <w:sz w:val="21"/>
        </w:rPr>
        <w:t>2.3</w:t>
      </w:r>
      <w:r>
        <w:rPr>
          <w:color w:val="000000"/>
          <w:sz w:val="21"/>
        </w:rPr>
        <w:t>街道卫健办评定：结合平时卫生检查、除四害日常施工、投诉与处理、应急等作综合评定。</w:t>
      </w:r>
    </w:p>
    <w:p>
      <w:pPr>
        <w:ind w:firstLine="420"/>
        <w:jc w:val="both"/>
      </w:pPr>
      <w:r>
        <w:rPr>
          <w:color w:val="000000"/>
          <w:sz w:val="21"/>
        </w:rPr>
        <w:t>2.4</w:t>
      </w:r>
      <w:r>
        <w:rPr>
          <w:color w:val="000000"/>
          <w:sz w:val="21"/>
        </w:rPr>
        <w:t>社会监督：由居（村）委会和专家组季度考核时进行群众满意度测评，按</w:t>
      </w:r>
      <w:r>
        <w:rPr>
          <w:color w:val="000000"/>
          <w:sz w:val="21"/>
        </w:rPr>
        <w:t>10</w:t>
      </w:r>
      <w:r>
        <w:rPr>
          <w:color w:val="000000"/>
          <w:sz w:val="21"/>
        </w:rPr>
        <w:t>分评定。其中操作规程</w:t>
      </w:r>
      <w:r>
        <w:rPr>
          <w:color w:val="000000"/>
          <w:sz w:val="21"/>
        </w:rPr>
        <w:t>2</w:t>
      </w:r>
      <w:r>
        <w:rPr>
          <w:color w:val="000000"/>
          <w:sz w:val="21"/>
        </w:rPr>
        <w:t>分，防治效果</w:t>
      </w:r>
      <w:r>
        <w:rPr>
          <w:color w:val="000000"/>
          <w:sz w:val="21"/>
        </w:rPr>
        <w:t>7</w:t>
      </w:r>
      <w:r>
        <w:rPr>
          <w:color w:val="000000"/>
          <w:sz w:val="21"/>
        </w:rPr>
        <w:t>分，检测资料</w:t>
      </w:r>
      <w:r>
        <w:rPr>
          <w:color w:val="000000"/>
          <w:sz w:val="21"/>
        </w:rPr>
        <w:t>1</w:t>
      </w:r>
      <w:r>
        <w:rPr>
          <w:color w:val="000000"/>
          <w:sz w:val="21"/>
        </w:rPr>
        <w:t>分。</w:t>
      </w:r>
    </w:p>
    <w:p>
      <w:pPr>
        <w:ind w:firstLine="420"/>
        <w:jc w:val="both"/>
      </w:pPr>
      <w:r>
        <w:rPr>
          <w:color w:val="000000"/>
          <w:sz w:val="21"/>
        </w:rPr>
        <w:t>2.5</w:t>
      </w:r>
      <w:r>
        <w:rPr>
          <w:color w:val="000000"/>
          <w:sz w:val="21"/>
        </w:rPr>
        <w:t>社会监督（群众举报或投诉）：以各居村为单位，发生群众举报或投诉，经调查核实，中标人须立即进行跟踪处理，一宗投诉扣除</w:t>
      </w:r>
      <w:r>
        <w:rPr>
          <w:color w:val="000000"/>
          <w:sz w:val="21"/>
        </w:rPr>
        <w:t>0.5</w:t>
      </w:r>
      <w:r>
        <w:rPr>
          <w:color w:val="000000"/>
          <w:sz w:val="21"/>
        </w:rPr>
        <w:t>分。如果一个季度内同一地点发生两次群众举报或投诉，经调查情况属实的，扣除</w:t>
      </w:r>
      <w:r>
        <w:rPr>
          <w:color w:val="000000"/>
          <w:sz w:val="21"/>
        </w:rPr>
        <w:t>1</w:t>
      </w:r>
      <w:r>
        <w:rPr>
          <w:color w:val="000000"/>
          <w:sz w:val="21"/>
        </w:rPr>
        <w:t>分；当年同一地点群众举报或投诉，经调查情况属实的，超过两次后每增加一次，扣除</w:t>
      </w:r>
      <w:r>
        <w:rPr>
          <w:color w:val="000000"/>
          <w:sz w:val="21"/>
        </w:rPr>
        <w:t>1</w:t>
      </w:r>
      <w:r>
        <w:rPr>
          <w:color w:val="000000"/>
          <w:sz w:val="21"/>
        </w:rPr>
        <w:t>分。</w:t>
      </w:r>
    </w:p>
    <w:p>
      <w:pPr>
        <w:ind w:firstLine="420"/>
        <w:jc w:val="both"/>
      </w:pPr>
      <w:r>
        <w:rPr>
          <w:color w:val="000000"/>
          <w:sz w:val="21"/>
        </w:rPr>
        <w:t>3</w:t>
      </w:r>
      <w:r>
        <w:rPr>
          <w:color w:val="000000"/>
          <w:sz w:val="21"/>
        </w:rPr>
        <w:t>）年终评定</w:t>
      </w:r>
    </w:p>
    <w:p>
      <w:pPr>
        <w:ind w:firstLine="420"/>
        <w:jc w:val="both"/>
      </w:pPr>
      <w:r>
        <w:rPr>
          <w:color w:val="000000"/>
          <w:sz w:val="21"/>
        </w:rPr>
        <w:t>根据四个季度考核结果，平均分达</w:t>
      </w:r>
      <w:r>
        <w:rPr>
          <w:color w:val="000000"/>
          <w:sz w:val="21"/>
        </w:rPr>
        <w:t>90</w:t>
      </w:r>
      <w:r>
        <w:rPr>
          <w:color w:val="000000"/>
          <w:sz w:val="21"/>
        </w:rPr>
        <w:t>分以上（含</w:t>
      </w:r>
      <w:r>
        <w:rPr>
          <w:color w:val="000000"/>
          <w:sz w:val="21"/>
        </w:rPr>
        <w:t>90</w:t>
      </w:r>
      <w:r>
        <w:rPr>
          <w:color w:val="000000"/>
          <w:sz w:val="21"/>
        </w:rPr>
        <w:t>分）为合格。</w:t>
      </w:r>
    </w:p>
    <w:p>
      <w:pPr>
        <w:jc w:val="both"/>
      </w:pPr>
      <w:r>
        <w:rPr>
          <w:b/>
          <w:color w:val="000000"/>
          <w:sz w:val="21"/>
        </w:rPr>
        <w:t>七、违约责任：</w:t>
      </w:r>
    </w:p>
    <w:p>
      <w:pPr>
        <w:jc w:val="both"/>
      </w:pPr>
      <w:r>
        <w:rPr>
          <w:color w:val="000000"/>
          <w:sz w:val="21"/>
        </w:rPr>
        <w:t>（一）质量制约</w:t>
      </w:r>
    </w:p>
    <w:p>
      <w:pPr>
        <w:ind w:firstLine="420"/>
        <w:jc w:val="both"/>
      </w:pPr>
      <w:r>
        <w:rPr>
          <w:color w:val="000000"/>
          <w:sz w:val="21"/>
        </w:rPr>
        <w:t>季度和年度考核合格（发生扣罚和奖励情况除外）如数给付服务费用（以</w:t>
      </w:r>
      <w:r>
        <w:rPr>
          <w:color w:val="000000"/>
          <w:sz w:val="21"/>
        </w:rPr>
        <w:t>90</w:t>
      </w:r>
      <w:r>
        <w:rPr>
          <w:color w:val="000000"/>
          <w:sz w:val="21"/>
        </w:rPr>
        <w:t>分为合格基数）；考核不合格，每少</w:t>
      </w:r>
      <w:r>
        <w:rPr>
          <w:color w:val="000000"/>
          <w:sz w:val="21"/>
        </w:rPr>
        <w:t>1</w:t>
      </w:r>
      <w:r>
        <w:rPr>
          <w:color w:val="000000"/>
          <w:sz w:val="21"/>
        </w:rPr>
        <w:t>分扣除当期服务费用总额的</w:t>
      </w:r>
      <w:r>
        <w:rPr>
          <w:color w:val="000000"/>
          <w:sz w:val="21"/>
        </w:rPr>
        <w:t>1</w:t>
      </w:r>
      <w:r>
        <w:rPr>
          <w:color w:val="000000"/>
          <w:sz w:val="21"/>
        </w:rPr>
        <w:t>％。对服务质量差和操作规程不符合要求的，并出现其中</w:t>
      </w:r>
      <w:r>
        <w:rPr>
          <w:color w:val="000000"/>
          <w:sz w:val="21"/>
        </w:rPr>
        <w:t>2</w:t>
      </w:r>
      <w:r>
        <w:rPr>
          <w:color w:val="000000"/>
          <w:sz w:val="21"/>
        </w:rPr>
        <w:t>项超标的，通过除四害监督员、监督监测组提出整改意见，限期整改；逾期不整改，服务质量仍旧低劣，四害中如有</w:t>
      </w:r>
      <w:r>
        <w:rPr>
          <w:color w:val="000000"/>
          <w:sz w:val="21"/>
        </w:rPr>
        <w:t>1</w:t>
      </w:r>
      <w:r>
        <w:rPr>
          <w:color w:val="000000"/>
          <w:sz w:val="21"/>
        </w:rPr>
        <w:t>项不符合标准的，扣除当期服务费总额的</w:t>
      </w:r>
      <w:r>
        <w:rPr>
          <w:color w:val="000000"/>
          <w:sz w:val="21"/>
        </w:rPr>
        <w:t>5%</w:t>
      </w:r>
      <w:r>
        <w:rPr>
          <w:color w:val="000000"/>
          <w:sz w:val="21"/>
        </w:rPr>
        <w:t>；如有</w:t>
      </w:r>
      <w:r>
        <w:rPr>
          <w:color w:val="000000"/>
          <w:sz w:val="21"/>
        </w:rPr>
        <w:t>2</w:t>
      </w:r>
      <w:r>
        <w:rPr>
          <w:color w:val="000000"/>
          <w:sz w:val="21"/>
        </w:rPr>
        <w:t>项不符合标准或连续</w:t>
      </w:r>
      <w:r>
        <w:rPr>
          <w:color w:val="000000"/>
          <w:sz w:val="21"/>
        </w:rPr>
        <w:t>2</w:t>
      </w:r>
      <w:r>
        <w:rPr>
          <w:color w:val="000000"/>
          <w:sz w:val="21"/>
        </w:rPr>
        <w:t>次不合格的（不满</w:t>
      </w:r>
      <w:r>
        <w:rPr>
          <w:color w:val="000000"/>
          <w:sz w:val="21"/>
        </w:rPr>
        <w:t>90</w:t>
      </w:r>
      <w:r>
        <w:rPr>
          <w:color w:val="000000"/>
          <w:sz w:val="21"/>
        </w:rPr>
        <w:t>分），采购人有权无条件终止和解除服务合同，一切经济和法律责任由中标人承担。</w:t>
      </w:r>
    </w:p>
    <w:p>
      <w:pPr>
        <w:jc w:val="both"/>
      </w:pPr>
      <w:r>
        <w:rPr>
          <w:color w:val="000000"/>
          <w:sz w:val="21"/>
        </w:rPr>
        <w:t>（二）处罚</w:t>
      </w:r>
    </w:p>
    <w:p>
      <w:pPr>
        <w:jc w:val="both"/>
      </w:pPr>
      <w:r>
        <w:rPr>
          <w:color w:val="000000"/>
          <w:sz w:val="21"/>
        </w:rPr>
        <w:t>（</w:t>
      </w:r>
      <w:r>
        <w:rPr>
          <w:color w:val="000000"/>
          <w:sz w:val="21"/>
        </w:rPr>
        <w:t>1</w:t>
      </w:r>
      <w:r>
        <w:rPr>
          <w:color w:val="000000"/>
          <w:sz w:val="21"/>
        </w:rPr>
        <w:t>）违反操作规程，严重影响工作质量者，扣除当期服务费总额的</w:t>
      </w:r>
      <w:r>
        <w:rPr>
          <w:color w:val="000000"/>
          <w:sz w:val="21"/>
        </w:rPr>
        <w:t>3</w:t>
      </w:r>
      <w:r>
        <w:rPr>
          <w:color w:val="000000"/>
          <w:sz w:val="21"/>
        </w:rPr>
        <w:t>％。</w:t>
      </w:r>
    </w:p>
    <w:p>
      <w:pPr>
        <w:jc w:val="both"/>
      </w:pPr>
      <w:r>
        <w:rPr>
          <w:color w:val="000000"/>
          <w:sz w:val="21"/>
        </w:rPr>
        <w:t>（</w:t>
      </w:r>
      <w:r>
        <w:rPr>
          <w:color w:val="000000"/>
          <w:sz w:val="21"/>
        </w:rPr>
        <w:t>2</w:t>
      </w:r>
      <w:r>
        <w:rPr>
          <w:color w:val="000000"/>
          <w:sz w:val="21"/>
        </w:rPr>
        <w:t>）不按规定用药，或施药弄虚作假，施药不足者，扣除当期服务费总额的</w:t>
      </w:r>
      <w:r>
        <w:rPr>
          <w:color w:val="000000"/>
          <w:sz w:val="21"/>
        </w:rPr>
        <w:t>5</w:t>
      </w:r>
      <w:r>
        <w:rPr>
          <w:color w:val="000000"/>
          <w:sz w:val="21"/>
        </w:rPr>
        <w:t>％。</w:t>
      </w:r>
    </w:p>
    <w:p>
      <w:pPr>
        <w:jc w:val="both"/>
      </w:pPr>
      <w:r>
        <w:rPr>
          <w:color w:val="000000"/>
          <w:sz w:val="21"/>
        </w:rPr>
        <w:t>（</w:t>
      </w:r>
      <w:r>
        <w:rPr>
          <w:color w:val="000000"/>
          <w:sz w:val="21"/>
        </w:rPr>
        <w:t>3</w:t>
      </w:r>
      <w:r>
        <w:rPr>
          <w:color w:val="000000"/>
          <w:sz w:val="21"/>
        </w:rPr>
        <w:t>）中标人有责任配合采购人接受上级领导部门的监督、检查，并提供必须的材料。遇有上级检查及大型活动等需要突击加班的，须无条件服从安排，在接到通知后</w:t>
      </w:r>
      <w:r>
        <w:rPr>
          <w:color w:val="000000"/>
          <w:sz w:val="21"/>
        </w:rPr>
        <w:t>2</w:t>
      </w:r>
      <w:r>
        <w:rPr>
          <w:color w:val="000000"/>
          <w:sz w:val="21"/>
        </w:rPr>
        <w:t>小时内人员须按要求带全装备到场开展工作，否则每次扣除当期服务费总额的</w:t>
      </w:r>
      <w:r>
        <w:rPr>
          <w:color w:val="000000"/>
          <w:sz w:val="21"/>
        </w:rPr>
        <w:t>5%</w:t>
      </w:r>
      <w:r>
        <w:rPr>
          <w:color w:val="000000"/>
          <w:sz w:val="21"/>
        </w:rPr>
        <w:t>，突击任务所产生的费用由中标人负责（含卫生防疫）；突发任务未能按时按质完成，对采购人形象造成负面影响的，每次扣除当期服务费总额的</w:t>
      </w:r>
      <w:r>
        <w:rPr>
          <w:color w:val="000000"/>
          <w:sz w:val="21"/>
        </w:rPr>
        <w:t>3%</w:t>
      </w:r>
      <w:r>
        <w:rPr>
          <w:color w:val="000000"/>
          <w:sz w:val="21"/>
        </w:rPr>
        <w:t>。</w:t>
      </w:r>
    </w:p>
    <w:p>
      <w:pPr>
        <w:jc w:val="both"/>
      </w:pPr>
      <w:r>
        <w:rPr>
          <w:color w:val="000000"/>
          <w:sz w:val="21"/>
        </w:rPr>
        <w:t>（</w:t>
      </w:r>
      <w:r>
        <w:rPr>
          <w:color w:val="000000"/>
          <w:sz w:val="21"/>
        </w:rPr>
        <w:t>4</w:t>
      </w:r>
      <w:r>
        <w:rPr>
          <w:color w:val="000000"/>
          <w:sz w:val="21"/>
        </w:rPr>
        <w:t>）在合同履行服务过程中，采购人不定期对中标人的服务人数、资格证、药品登记证及机械设备数量抽查，发现缺人、缺证、缺设备的，每次罚款</w:t>
      </w:r>
      <w:r>
        <w:rPr>
          <w:color w:val="000000"/>
          <w:sz w:val="21"/>
        </w:rPr>
        <w:t>3000</w:t>
      </w:r>
      <w:r>
        <w:rPr>
          <w:color w:val="000000"/>
          <w:sz w:val="21"/>
        </w:rPr>
        <w:t>元</w:t>
      </w:r>
      <w:r>
        <w:rPr>
          <w:color w:val="000000"/>
          <w:sz w:val="21"/>
        </w:rPr>
        <w:t>/</w:t>
      </w:r>
      <w:r>
        <w:rPr>
          <w:color w:val="000000"/>
          <w:sz w:val="21"/>
        </w:rPr>
        <w:t>人</w:t>
      </w:r>
      <w:r>
        <w:rPr>
          <w:color w:val="000000"/>
          <w:sz w:val="21"/>
        </w:rPr>
        <w:t>/</w:t>
      </w:r>
      <w:r>
        <w:rPr>
          <w:color w:val="000000"/>
          <w:sz w:val="21"/>
        </w:rPr>
        <w:t>证</w:t>
      </w:r>
      <w:r>
        <w:rPr>
          <w:color w:val="000000"/>
          <w:sz w:val="21"/>
        </w:rPr>
        <w:t>/</w:t>
      </w:r>
      <w:r>
        <w:rPr>
          <w:color w:val="000000"/>
          <w:sz w:val="21"/>
        </w:rPr>
        <w:t>机。累计</w:t>
      </w:r>
      <w:r>
        <w:rPr>
          <w:color w:val="000000"/>
          <w:sz w:val="21"/>
        </w:rPr>
        <w:t>2</w:t>
      </w:r>
      <w:r>
        <w:rPr>
          <w:color w:val="000000"/>
          <w:sz w:val="21"/>
        </w:rPr>
        <w:t>次抽查不合格一次罚款</w:t>
      </w:r>
      <w:r>
        <w:rPr>
          <w:color w:val="000000"/>
          <w:sz w:val="21"/>
        </w:rPr>
        <w:t>20000</w:t>
      </w:r>
      <w:r>
        <w:rPr>
          <w:color w:val="000000"/>
          <w:sz w:val="21"/>
        </w:rPr>
        <w:t>元，采购人有权无条件终止和解除服务合同，没收履约保证金并取消该单位的服务资格，一切经济和法律责任由中标人承担。</w:t>
      </w:r>
    </w:p>
    <w:p>
      <w:pPr>
        <w:jc w:val="both"/>
      </w:pPr>
      <w:r>
        <w:rPr>
          <w:color w:val="000000"/>
          <w:sz w:val="21"/>
        </w:rPr>
        <w:t>（</w:t>
      </w:r>
      <w:r>
        <w:rPr>
          <w:color w:val="000000"/>
          <w:sz w:val="21"/>
        </w:rPr>
        <w:t>5</w:t>
      </w:r>
      <w:r>
        <w:rPr>
          <w:color w:val="000000"/>
          <w:sz w:val="21"/>
        </w:rPr>
        <w:t>）上级主管部门检查或第三方考核验收达不到国家标准的，经整改后仍不达标的，采购人有权对中标人视情节轻重给予罚款、终止合同。</w:t>
      </w:r>
    </w:p>
    <w:p>
      <w:pPr>
        <w:jc w:val="both"/>
      </w:pPr>
      <w:r>
        <w:rPr>
          <w:color w:val="000000"/>
          <w:sz w:val="21"/>
        </w:rPr>
        <w:t>（</w:t>
      </w:r>
      <w:r>
        <w:rPr>
          <w:color w:val="000000"/>
          <w:sz w:val="21"/>
        </w:rPr>
        <w:t>6</w:t>
      </w:r>
      <w:r>
        <w:rPr>
          <w:color w:val="000000"/>
          <w:sz w:val="21"/>
        </w:rPr>
        <w:t>）承包期间</w:t>
      </w:r>
      <w:r>
        <w:rPr>
          <w:color w:val="000000"/>
          <w:sz w:val="21"/>
        </w:rPr>
        <w:t>,</w:t>
      </w:r>
      <w:r>
        <w:rPr>
          <w:color w:val="000000"/>
          <w:sz w:val="21"/>
        </w:rPr>
        <w:t>遇卫生城市（镇）复审时，国家、省、市、区专家组检查病媒生物密度达不到国家</w:t>
      </w:r>
      <w:r>
        <w:rPr>
          <w:color w:val="000000"/>
          <w:sz w:val="21"/>
        </w:rPr>
        <w:t>C</w:t>
      </w:r>
      <w:r>
        <w:rPr>
          <w:color w:val="000000"/>
          <w:sz w:val="21"/>
        </w:rPr>
        <w:t>级标准</w:t>
      </w:r>
      <w:r>
        <w:rPr>
          <w:color w:val="000000"/>
          <w:sz w:val="21"/>
        </w:rPr>
        <w:t>,</w:t>
      </w:r>
      <w:r>
        <w:rPr>
          <w:color w:val="000000"/>
          <w:sz w:val="21"/>
        </w:rPr>
        <w:t>影响勒流街道评分的</w:t>
      </w:r>
      <w:r>
        <w:rPr>
          <w:color w:val="000000"/>
          <w:sz w:val="21"/>
        </w:rPr>
        <w:t>,</w:t>
      </w:r>
      <w:r>
        <w:rPr>
          <w:color w:val="000000"/>
          <w:sz w:val="21"/>
        </w:rPr>
        <w:t>扣除外包服务费总额的</w:t>
      </w:r>
      <w:r>
        <w:rPr>
          <w:color w:val="000000"/>
          <w:sz w:val="21"/>
        </w:rPr>
        <w:t>20%</w:t>
      </w:r>
      <w:r>
        <w:rPr>
          <w:color w:val="000000"/>
          <w:sz w:val="21"/>
        </w:rPr>
        <w:t>至</w:t>
      </w:r>
      <w:r>
        <w:rPr>
          <w:color w:val="000000"/>
          <w:sz w:val="21"/>
        </w:rPr>
        <w:t>30%</w:t>
      </w:r>
      <w:r>
        <w:rPr>
          <w:color w:val="000000"/>
          <w:sz w:val="21"/>
        </w:rPr>
        <w:t>作为罚款</w:t>
      </w:r>
      <w:r>
        <w:rPr>
          <w:color w:val="000000"/>
          <w:sz w:val="21"/>
        </w:rPr>
        <w:t>,</w:t>
      </w:r>
      <w:r>
        <w:rPr>
          <w:color w:val="000000"/>
          <w:sz w:val="21"/>
        </w:rPr>
        <w:t>采购人有权终止合同。</w:t>
      </w:r>
    </w:p>
    <w:p>
      <w:pPr>
        <w:jc w:val="both"/>
      </w:pPr>
      <w:r>
        <w:rPr>
          <w:color w:val="000000"/>
          <w:sz w:val="21"/>
        </w:rPr>
        <w:t>（</w:t>
      </w:r>
      <w:r>
        <w:rPr>
          <w:color w:val="000000"/>
          <w:sz w:val="21"/>
        </w:rPr>
        <w:t>7</w:t>
      </w:r>
      <w:r>
        <w:rPr>
          <w:color w:val="000000"/>
          <w:sz w:val="21"/>
        </w:rPr>
        <w:t>）中标人擅自将服务合同转包或部分分包给第三方，采购人有权将中标人列入黑名单并终止合同。</w:t>
      </w:r>
    </w:p>
    <w:p>
      <w:pPr>
        <w:jc w:val="both"/>
      </w:pPr>
      <w:r>
        <w:rPr>
          <w:b/>
          <w:color w:val="000000"/>
          <w:sz w:val="21"/>
        </w:rPr>
        <w:t>八、提出异议的时间和方法：</w:t>
      </w:r>
    </w:p>
    <w:p>
      <w:pPr>
        <w:jc w:val="both"/>
      </w:pPr>
      <w:r>
        <w:rPr>
          <w:color w:val="000000"/>
          <w:sz w:val="21"/>
        </w:rPr>
        <w:t>a)</w:t>
      </w:r>
      <w:r>
        <w:rPr>
          <w:color w:val="000000"/>
          <w:sz w:val="21"/>
        </w:rPr>
        <w:t>甲方有异议时，应</w:t>
      </w:r>
      <w:r>
        <w:rPr>
          <w:sz w:val="21"/>
          <w:u w:val="single"/>
        </w:rPr>
        <w:t xml:space="preserve">     </w:t>
      </w:r>
      <w:r>
        <w:rPr>
          <w:color w:val="000000"/>
          <w:sz w:val="21"/>
        </w:rPr>
        <w:t>天内向乙方提出书面异议。</w:t>
      </w:r>
    </w:p>
    <w:p>
      <w:pPr>
        <w:jc w:val="both"/>
      </w:pPr>
      <w:r>
        <w:rPr>
          <w:color w:val="000000"/>
          <w:sz w:val="21"/>
        </w:rPr>
        <w:t>b)</w:t>
      </w:r>
      <w:r>
        <w:rPr>
          <w:color w:val="000000"/>
          <w:sz w:val="21"/>
        </w:rPr>
        <w:t>乙方在接到甲方书面异议后，应在</w:t>
      </w:r>
      <w:r>
        <w:rPr>
          <w:color w:val="000000"/>
          <w:sz w:val="21"/>
        </w:rPr>
        <w:t>3</w:t>
      </w:r>
      <w:r>
        <w:rPr>
          <w:color w:val="000000"/>
          <w:sz w:val="21"/>
        </w:rPr>
        <w:t>天内负责处理并函复甲方处理情况，否则，即视为默认甲方提出的异议和处理意见。</w:t>
      </w:r>
    </w:p>
    <w:p>
      <w:pPr>
        <w:jc w:val="both"/>
      </w:pPr>
      <w:r>
        <w:rPr>
          <w:color w:val="000000"/>
          <w:sz w:val="21"/>
        </w:rPr>
        <w:t>c)</w:t>
      </w:r>
      <w:r>
        <w:rPr>
          <w:color w:val="000000"/>
          <w:sz w:val="21"/>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jc w:val="both"/>
      </w:pPr>
      <w:r>
        <w:rPr>
          <w:b/>
          <w:color w:val="000000"/>
          <w:sz w:val="21"/>
        </w:rPr>
        <w:t>九、争议的解决：</w:t>
      </w:r>
    </w:p>
    <w:p>
      <w:pPr>
        <w:jc w:val="both"/>
      </w:pPr>
      <w:r>
        <w:rPr>
          <w:color w:val="000000"/>
          <w:sz w:val="21"/>
        </w:rPr>
        <w:t>a)</w:t>
      </w:r>
      <w:r>
        <w:rPr>
          <w:color w:val="000000"/>
          <w:sz w:val="21"/>
        </w:rPr>
        <w:t>合同履行过程中发生的任何争议，如双方未能通过友好协商解决，应向佛山市有管辖权的人民法院提起诉讼。</w:t>
      </w:r>
    </w:p>
    <w:p>
      <w:pPr>
        <w:jc w:val="both"/>
      </w:pPr>
      <w:r>
        <w:rPr>
          <w:color w:val="000000"/>
          <w:sz w:val="21"/>
        </w:rPr>
        <w:t>b)</w:t>
      </w:r>
      <w:r>
        <w:rPr>
          <w:color w:val="000000"/>
          <w:sz w:val="21"/>
        </w:rPr>
        <w:t>法院审理期间，除提交法院审理的事项外，其它无争议的事项和条款仍应继续履行。</w:t>
      </w:r>
    </w:p>
    <w:p>
      <w:pPr>
        <w:jc w:val="both"/>
      </w:pPr>
      <w:r>
        <w:rPr>
          <w:b/>
          <w:color w:val="000000"/>
          <w:sz w:val="21"/>
        </w:rPr>
        <w:t>十、不可抗力：</w:t>
      </w:r>
    </w:p>
    <w:p>
      <w:pPr>
        <w:jc w:val="both"/>
      </w:pPr>
      <w:r>
        <w:rPr>
          <w:color w:val="000000"/>
          <w:sz w:val="21"/>
        </w:rPr>
        <w:t>任何一方由于不可抗力原因不能履行合同时，应在不可抗力事件结束后</w:t>
      </w:r>
      <w:r>
        <w:rPr>
          <w:color w:val="000000"/>
          <w:sz w:val="21"/>
        </w:rPr>
        <w:t>48</w:t>
      </w:r>
      <w:r>
        <w:rPr>
          <w:color w:val="000000"/>
          <w:sz w:val="21"/>
        </w:rPr>
        <w:t>小时内向对方通报，以减轻可能给对方造成的损失，在取得有关机构的不可抗力证明或双方谅解确认后，允许延期履行或修订合同，并根据情况可部分或全部免于承担违约责任。</w:t>
      </w:r>
    </w:p>
    <w:p>
      <w:pPr>
        <w:jc w:val="both"/>
      </w:pPr>
      <w:r>
        <w:rPr>
          <w:b/>
          <w:color w:val="000000"/>
          <w:sz w:val="21"/>
        </w:rPr>
        <w:t>十一、税费：</w:t>
      </w:r>
    </w:p>
    <w:p>
      <w:pPr>
        <w:jc w:val="both"/>
      </w:pPr>
      <w:r>
        <w:rPr>
          <w:color w:val="000000"/>
          <w:sz w:val="21"/>
        </w:rPr>
        <w:t>a)</w:t>
      </w:r>
      <w:r>
        <w:rPr>
          <w:color w:val="000000"/>
          <w:sz w:val="21"/>
        </w:rPr>
        <w:t>本合同实施过程中所发生的一切税费及不可预见费均由乙方承担。</w:t>
      </w:r>
    </w:p>
    <w:p>
      <w:pPr>
        <w:jc w:val="both"/>
      </w:pPr>
      <w:r>
        <w:rPr>
          <w:color w:val="000000"/>
          <w:sz w:val="21"/>
        </w:rPr>
        <w:t>b)</w:t>
      </w:r>
      <w:r>
        <w:rPr>
          <w:color w:val="000000"/>
          <w:sz w:val="21"/>
        </w:rPr>
        <w:t>乙方依照税务规章优先在合同履约地开具发票及纳税，咨询：</w:t>
      </w:r>
      <w:r>
        <w:rPr>
          <w:color w:val="000000"/>
          <w:sz w:val="21"/>
        </w:rPr>
        <w:t>0757-12366</w:t>
      </w:r>
      <w:r>
        <w:rPr>
          <w:color w:val="000000"/>
          <w:sz w:val="21"/>
        </w:rPr>
        <w:t>。</w:t>
      </w:r>
    </w:p>
    <w:p>
      <w:pPr>
        <w:jc w:val="both"/>
      </w:pPr>
      <w:r>
        <w:rPr>
          <w:b/>
          <w:color w:val="000000"/>
          <w:sz w:val="21"/>
        </w:rPr>
        <w:t>十二、合同生效与合同备案：</w:t>
      </w:r>
    </w:p>
    <w:p>
      <w:pPr>
        <w:jc w:val="both"/>
      </w:pPr>
      <w:r>
        <w:rPr>
          <w:color w:val="000000"/>
          <w:sz w:val="21"/>
        </w:rPr>
        <w:t>a)</w:t>
      </w:r>
      <w:r>
        <w:rPr>
          <w:color w:val="000000"/>
          <w:sz w:val="21"/>
        </w:rPr>
        <w:t>本合同在甲乙双方法人代表或其授权代表签字盖章后生效。</w:t>
      </w:r>
    </w:p>
    <w:p>
      <w:pPr>
        <w:jc w:val="both"/>
      </w:pPr>
      <w:r>
        <w:rPr>
          <w:color w:val="000000"/>
          <w:sz w:val="21"/>
        </w:rPr>
        <w:t>b)</w:t>
      </w:r>
      <w:r>
        <w:rPr>
          <w:color w:val="000000"/>
          <w:sz w:val="21"/>
        </w:rPr>
        <w:t>自采购合同签订之日起</w:t>
      </w:r>
      <w:r>
        <w:rPr>
          <w:color w:val="000000"/>
          <w:sz w:val="21"/>
        </w:rPr>
        <w:t>7</w:t>
      </w:r>
      <w:r>
        <w:rPr>
          <w:color w:val="000000"/>
          <w:sz w:val="21"/>
        </w:rPr>
        <w:t>个工作日内，由甲方按照有关规定将采购合同副本报同级人民政府财政部门（政府采购管理部门）备案。</w:t>
      </w:r>
    </w:p>
    <w:p>
      <w:pPr>
        <w:jc w:val="both"/>
      </w:pPr>
      <w:r>
        <w:rPr>
          <w:b/>
          <w:color w:val="000000"/>
          <w:sz w:val="21"/>
        </w:rPr>
        <w:t>十三、乙方应提供的资料内容：</w:t>
      </w:r>
    </w:p>
    <w:p>
      <w:pPr>
        <w:jc w:val="both"/>
      </w:pPr>
      <w:r>
        <w:rPr>
          <w:sz w:val="21"/>
          <w:u w:val="single"/>
        </w:rPr>
        <w:t xml:space="preserve">                                                            </w:t>
      </w:r>
      <w:r>
        <w:rPr>
          <w:color w:val="000000"/>
          <w:sz w:val="21"/>
        </w:rPr>
        <w:t>。</w:t>
      </w:r>
    </w:p>
    <w:p>
      <w:pPr>
        <w:jc w:val="both"/>
      </w:pPr>
      <w:r>
        <w:rPr>
          <w:b/>
          <w:color w:val="000000"/>
          <w:sz w:val="21"/>
        </w:rPr>
        <w:t>十四、关于政府采购合同融资</w:t>
      </w:r>
    </w:p>
    <w:p>
      <w:pPr>
        <w:jc w:val="both"/>
      </w:pPr>
      <w:r>
        <w:rPr>
          <w:b/>
          <w:color w:val="000000"/>
          <w:sz w:val="21"/>
        </w:rPr>
        <w:t>1.</w:t>
      </w:r>
      <w:r>
        <w:rPr>
          <w:color w:val="000000"/>
          <w:sz w:val="21"/>
        </w:rPr>
        <w:t>乙方是否已申请政府采购合同融资：</w:t>
      </w:r>
      <w:r>
        <w:rPr>
          <w:color w:val="000000"/>
          <w:sz w:val="21"/>
          <w:u w:val="single"/>
        </w:rPr>
        <w:t xml:space="preserve">  </w:t>
      </w:r>
      <w:r>
        <w:rPr>
          <w:color w:val="000000"/>
          <w:sz w:val="21"/>
          <w:u w:val="single"/>
        </w:rPr>
        <w:t>是</w:t>
      </w:r>
      <w:r>
        <w:rPr>
          <w:color w:val="000000"/>
          <w:sz w:val="21"/>
          <w:u w:val="single"/>
        </w:rPr>
        <w:t>/</w:t>
      </w:r>
      <w:r>
        <w:rPr>
          <w:color w:val="000000"/>
          <w:sz w:val="21"/>
          <w:u w:val="single"/>
        </w:rPr>
        <w:t xml:space="preserve">否  </w:t>
      </w:r>
      <w:r>
        <w:rPr>
          <w:color w:val="000000"/>
          <w:sz w:val="21"/>
        </w:rPr>
        <w:t>；</w:t>
      </w:r>
    </w:p>
    <w:p>
      <w:pPr>
        <w:jc w:val="both"/>
      </w:pPr>
      <w:r>
        <w:rPr>
          <w:b/>
          <w:color w:val="000000"/>
          <w:sz w:val="21"/>
        </w:rPr>
        <w:t>2.</w:t>
      </w:r>
      <w:r>
        <w:rPr>
          <w:color w:val="000000"/>
          <w:sz w:val="21"/>
        </w:rPr>
        <w:t>融资银行及联系方式：</w:t>
      </w:r>
      <w:r>
        <w:rPr>
          <w:sz w:val="21"/>
          <w:u w:val="single"/>
        </w:rPr>
        <w:t xml:space="preserve">                                                </w:t>
      </w:r>
      <w:r>
        <w:rPr>
          <w:color w:val="000000"/>
          <w:sz w:val="21"/>
        </w:rPr>
        <w:t>。</w:t>
      </w:r>
    </w:p>
    <w:p>
      <w:pPr>
        <w:jc w:val="both"/>
      </w:pPr>
      <w:r>
        <w:rPr>
          <w:b/>
          <w:color w:val="000000"/>
          <w:sz w:val="21"/>
        </w:rPr>
        <w:t>3.</w:t>
      </w:r>
      <w:r>
        <w:rPr>
          <w:color w:val="000000"/>
          <w:sz w:val="21"/>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b/>
          <w:color w:val="000000"/>
          <w:sz w:val="21"/>
        </w:rPr>
        <w:t>。</w:t>
      </w:r>
    </w:p>
    <w:p>
      <w:pPr>
        <w:jc w:val="both"/>
      </w:pPr>
      <w:r>
        <w:rPr>
          <w:b/>
          <w:color w:val="000000"/>
          <w:sz w:val="21"/>
        </w:rPr>
        <w:t>十五、其它：</w:t>
      </w:r>
    </w:p>
    <w:p>
      <w:pPr>
        <w:jc w:val="both"/>
      </w:pPr>
      <w:r>
        <w:rPr>
          <w:color w:val="000000"/>
          <w:sz w:val="21"/>
        </w:rPr>
        <w:t>1.</w:t>
      </w:r>
      <w:r>
        <w:rPr>
          <w:color w:val="000000"/>
          <w:sz w:val="21"/>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jc w:val="both"/>
      </w:pPr>
      <w:r>
        <w:rPr>
          <w:color w:val="000000"/>
          <w:sz w:val="21"/>
        </w:rPr>
        <w:t>2.</w:t>
      </w:r>
      <w:r>
        <w:rPr>
          <w:color w:val="000000"/>
          <w:sz w:val="21"/>
        </w:rPr>
        <w:t>如一方（包括联系人）地址、电话、传真号码有变更，应在变更后</w:t>
      </w:r>
      <w:r>
        <w:rPr>
          <w:color w:val="000000"/>
          <w:sz w:val="21"/>
        </w:rPr>
        <w:t>3</w:t>
      </w:r>
      <w:r>
        <w:rPr>
          <w:color w:val="000000"/>
          <w:sz w:val="21"/>
        </w:rPr>
        <w:t>个工作日内书面通知对方联系人或负责人，否则，因此造成的损失由未履行通知义务方承担相应责任。</w:t>
      </w:r>
    </w:p>
    <w:p>
      <w:pPr>
        <w:jc w:val="both"/>
      </w:pPr>
      <w:r>
        <w:rPr>
          <w:color w:val="000000"/>
          <w:sz w:val="21"/>
        </w:rPr>
        <w:t>3.</w:t>
      </w:r>
      <w:r>
        <w:rPr>
          <w:color w:val="000000"/>
          <w:sz w:val="21"/>
        </w:rPr>
        <w:t>未经甲方书面同意，乙方不得擅自向第三方转让其主体性和关键性合同义务。</w:t>
      </w:r>
    </w:p>
    <w:p>
      <w:pPr>
        <w:jc w:val="both"/>
      </w:pPr>
      <w:r>
        <w:rPr>
          <w:color w:val="000000"/>
          <w:sz w:val="21"/>
        </w:rPr>
        <w:t>4.</w:t>
      </w:r>
      <w:r>
        <w:rPr>
          <w:color w:val="000000"/>
          <w:sz w:val="21"/>
        </w:rPr>
        <w:t>本合同一式</w:t>
      </w:r>
      <w:r>
        <w:rPr>
          <w:sz w:val="21"/>
          <w:u w:val="single"/>
        </w:rPr>
        <w:t xml:space="preserve">    </w:t>
      </w:r>
      <w:r>
        <w:rPr>
          <w:color w:val="000000"/>
          <w:sz w:val="21"/>
        </w:rPr>
        <w:t>份，甲方执</w:t>
      </w:r>
      <w:r>
        <w:rPr>
          <w:sz w:val="21"/>
          <w:u w:val="single"/>
        </w:rPr>
        <w:t xml:space="preserve">   </w:t>
      </w:r>
      <w:r>
        <w:rPr>
          <w:color w:val="000000"/>
          <w:sz w:val="21"/>
        </w:rPr>
        <w:t>份，乙方执</w:t>
      </w:r>
      <w:r>
        <w:rPr>
          <w:sz w:val="21"/>
          <w:u w:val="single"/>
        </w:rPr>
        <w:t xml:space="preserve">   </w:t>
      </w:r>
      <w:r>
        <w:rPr>
          <w:color w:val="000000"/>
          <w:sz w:val="21"/>
        </w:rPr>
        <w:t>份。</w:t>
      </w:r>
    </w:p>
    <w:p>
      <w:pPr>
        <w:jc w:val="both"/>
      </w:pPr>
      <w:r>
        <w:rPr>
          <w:color w:val="000000"/>
          <w:sz w:val="21"/>
        </w:rPr>
        <w:t>5.</w:t>
      </w:r>
      <w:r>
        <w:rPr>
          <w:color w:val="000000"/>
          <w:sz w:val="21"/>
        </w:rPr>
        <w:t>本合同（含附件）共计</w:t>
      </w:r>
      <w:r>
        <w:rPr>
          <w:sz w:val="21"/>
          <w:u w:val="single"/>
        </w:rPr>
        <w:t xml:space="preserve">    </w:t>
      </w:r>
      <w:r>
        <w:rPr>
          <w:color w:val="000000"/>
          <w:sz w:val="21"/>
        </w:rPr>
        <w:t>页，缺页之合同为无效合同。</w:t>
      </w:r>
    </w:p>
    <w:p>
      <w:pPr>
        <w:jc w:val="both"/>
      </w:pPr>
      <w:r>
        <w:rPr>
          <w:color w:val="000000"/>
          <w:sz w:val="21"/>
        </w:rPr>
        <w:t>6.</w:t>
      </w:r>
      <w:r>
        <w:rPr>
          <w:color w:val="000000"/>
          <w:sz w:val="21"/>
        </w:rPr>
        <w:t>本合同签约履约地点：广东省佛山市。</w:t>
      </w:r>
    </w:p>
    <w:p>
      <w:pPr>
        <w:jc w:val="both"/>
      </w:pPr>
      <w:r>
        <w:rPr>
          <w:color w:val="000000"/>
          <w:sz w:val="21"/>
        </w:rPr>
        <w:t>7.</w:t>
      </w:r>
      <w:r>
        <w:rPr>
          <w:color w:val="000000"/>
          <w:sz w:val="21"/>
        </w:rPr>
        <w:t>本合同所指</w:t>
      </w:r>
      <w:r>
        <w:rPr>
          <w:color w:val="000000"/>
          <w:sz w:val="21"/>
        </w:rPr>
        <w:t>“</w:t>
      </w:r>
      <w:r>
        <w:rPr>
          <w:color w:val="000000"/>
          <w:sz w:val="21"/>
        </w:rPr>
        <w:t>书面通知</w:t>
      </w:r>
      <w:r>
        <w:rPr>
          <w:color w:val="000000"/>
          <w:sz w:val="21"/>
        </w:rPr>
        <w:t>”</w:t>
      </w:r>
      <w:r>
        <w:rPr>
          <w:color w:val="000000"/>
          <w:sz w:val="21"/>
        </w:rPr>
        <w:t>包括但不限于短信、电子邮件等数据电文的通知形式，到达时间以民事诉讼法的规定为准，但进行书面通知前后，通知方均有义务电话确认通知事项。</w:t>
      </w:r>
    </w:p>
    <w:p>
      <w:pPr>
        <w:jc w:val="both"/>
      </w:pPr>
      <w:r>
        <w:rPr>
          <w:color w:val="000000"/>
          <w:sz w:val="21"/>
        </w:rPr>
        <w:t>8.</w:t>
      </w:r>
      <w:r>
        <w:rPr>
          <w:color w:val="000000"/>
          <w:sz w:val="21"/>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296"/>
        <w:gridCol w:w="4010"/>
      </w:tblGrid>
      <w:tr>
        <w:tc>
          <w:tcPr>
            <w:tcW w:type="dxa" w:w="4296"/>
            <w:tcBorders>
              <w:top w:val="none" w:color="000000" w:sz="4"/>
              <w:left w:val="none" w:color="000000" w:sz="4"/>
              <w:bottom w:val="none" w:color="000000" w:sz="4"/>
              <w:right w:val="dashed" w:color="000000" w:sz="4"/>
            </w:tcBorders>
            <w:vAlign w:val="top"/>
          </w:tcPr>
          <w:p>
            <w:pPr>
              <w:jc w:val="both"/>
            </w:pPr>
            <w:r>
              <w:rPr>
                <w:b/>
                <w:sz w:val="24"/>
              </w:rPr>
              <w:t>甲方（盖章）：</w:t>
            </w:r>
          </w:p>
          <w:p>
            <w:pPr>
              <w:jc w:val="both"/>
            </w:pPr>
            <w:r>
              <w:rPr>
                <w:sz w:val="24"/>
              </w:rPr>
              <w:t>代表：</w:t>
            </w:r>
            <w:r>
              <w:rPr>
                <w:sz w:val="21"/>
                <w:u w:val="single"/>
              </w:rPr>
              <w:t xml:space="preserve">                              </w:t>
            </w:r>
            <w:r>
              <w:rPr>
                <w:sz w:val="21"/>
              </w:rPr>
              <w:t xml:space="preserve"> </w:t>
            </w:r>
          </w:p>
          <w:p>
            <w:pPr>
              <w:jc w:val="both"/>
            </w:pPr>
            <w:r>
              <w:rPr>
                <w:sz w:val="24"/>
              </w:rPr>
              <w:t>地址：</w:t>
            </w:r>
          </w:p>
          <w:p>
            <w:pPr>
              <w:jc w:val="both"/>
            </w:pPr>
            <w:r>
              <w:rPr>
                <w:sz w:val="24"/>
              </w:rPr>
              <w:t>电话：</w:t>
            </w:r>
          </w:p>
          <w:p>
            <w:pPr>
              <w:jc w:val="both"/>
            </w:pPr>
            <w:r>
              <w:rPr>
                <w:sz w:val="24"/>
              </w:rPr>
              <w:t>传真：</w:t>
            </w:r>
          </w:p>
          <w:p>
            <w:pPr>
              <w:jc w:val="both"/>
            </w:pPr>
            <w:r>
              <w:rPr>
                <w:sz w:val="24"/>
              </w:rPr>
              <w:t>日期：</w:t>
            </w:r>
            <w:r>
              <w:rPr>
                <w:sz w:val="21"/>
              </w:rPr>
              <w:t xml:space="preserve">           </w:t>
            </w:r>
            <w:r>
              <w:rPr>
                <w:sz w:val="24"/>
              </w:rPr>
              <w:t>年</w:t>
            </w:r>
            <w:r>
              <w:rPr>
                <w:sz w:val="21"/>
              </w:rPr>
              <w:t xml:space="preserve">     </w:t>
            </w:r>
            <w:r>
              <w:rPr>
                <w:sz w:val="24"/>
              </w:rPr>
              <w:t>月</w:t>
            </w:r>
            <w:r>
              <w:rPr>
                <w:sz w:val="21"/>
              </w:rPr>
              <w:t xml:space="preserve">    </w:t>
            </w:r>
            <w:r>
              <w:rPr>
                <w:sz w:val="24"/>
              </w:rPr>
              <w:t>日</w:t>
            </w:r>
          </w:p>
        </w:tc>
        <w:tc>
          <w:tcPr>
            <w:tcW w:type="dxa" w:w="4010"/>
            <w:tcBorders>
              <w:top w:val="none" w:color="000000" w:sz="4"/>
              <w:left w:val="none" w:color="000000" w:sz="4"/>
              <w:bottom w:val="none" w:color="000000" w:sz="4"/>
              <w:right w:val="none" w:color="000000" w:sz="4"/>
            </w:tcBorders>
            <w:vAlign w:val="top"/>
          </w:tcPr>
          <w:p>
            <w:pPr>
              <w:jc w:val="both"/>
            </w:pPr>
            <w:r>
              <w:rPr>
                <w:b/>
                <w:sz w:val="24"/>
              </w:rPr>
              <w:t>乙方（盖章）：</w:t>
            </w:r>
          </w:p>
          <w:p>
            <w:pPr>
              <w:jc w:val="both"/>
            </w:pPr>
            <w:r>
              <w:rPr>
                <w:sz w:val="24"/>
              </w:rPr>
              <w:t>代表：</w:t>
            </w:r>
            <w:r>
              <w:rPr>
                <w:sz w:val="21"/>
                <w:u w:val="single"/>
              </w:rPr>
              <w:t xml:space="preserve">                           </w:t>
            </w:r>
          </w:p>
          <w:p>
            <w:pPr>
              <w:jc w:val="both"/>
            </w:pPr>
            <w:r>
              <w:rPr>
                <w:sz w:val="24"/>
              </w:rPr>
              <w:t>地址：</w:t>
            </w:r>
          </w:p>
          <w:p>
            <w:pPr>
              <w:jc w:val="both"/>
            </w:pPr>
            <w:r>
              <w:rPr>
                <w:sz w:val="24"/>
              </w:rPr>
              <w:t>电话：</w:t>
            </w:r>
          </w:p>
          <w:p>
            <w:pPr>
              <w:jc w:val="both"/>
            </w:pPr>
            <w:r>
              <w:rPr>
                <w:sz w:val="24"/>
              </w:rPr>
              <w:t>传真：</w:t>
            </w:r>
          </w:p>
          <w:p>
            <w:pPr>
              <w:jc w:val="both"/>
            </w:pPr>
            <w:r>
              <w:rPr>
                <w:sz w:val="24"/>
              </w:rPr>
              <w:t>日期：</w:t>
            </w:r>
            <w:r>
              <w:rPr>
                <w:sz w:val="21"/>
              </w:rPr>
              <w:t xml:space="preserve">        </w:t>
            </w:r>
            <w:r>
              <w:rPr>
                <w:sz w:val="24"/>
              </w:rPr>
              <w:t>年</w:t>
            </w:r>
            <w:r>
              <w:rPr>
                <w:sz w:val="21"/>
              </w:rPr>
              <w:t xml:space="preserve">     </w:t>
            </w:r>
            <w:r>
              <w:rPr>
                <w:sz w:val="24"/>
              </w:rPr>
              <w:t>月</w:t>
            </w:r>
            <w:r>
              <w:rPr>
                <w:sz w:val="21"/>
              </w:rPr>
              <w:t xml:space="preserve">     </w:t>
            </w:r>
            <w:r>
              <w:rPr>
                <w:sz w:val="24"/>
              </w:rPr>
              <w:t>日</w:t>
            </w:r>
          </w:p>
        </w:tc>
      </w:tr>
      <w:tr>
        <w:tc>
          <w:tcPr>
            <w:tcW w:type="dxa" w:w="4296"/>
            <w:tcBorders>
              <w:top w:val="none" w:color="000000" w:sz="4"/>
              <w:left w:val="none" w:color="000000" w:sz="4"/>
              <w:bottom w:val="single" w:color="FFFFFF" w:sz="4"/>
              <w:right w:val="dashed" w:color="000000" w:sz="4"/>
            </w:tcBorders>
            <w:vAlign w:val="top"/>
          </w:tcPr>
          <w:p>
            <w:pPr>
              <w:jc w:val="both"/>
            </w:pPr>
          </w:p>
        </w:tc>
        <w:tc>
          <w:tcPr>
            <w:tcW w:type="dxa" w:w="4010"/>
            <w:tcBorders>
              <w:top w:val="none" w:color="000000" w:sz="4"/>
              <w:left w:val="none" w:color="000000" w:sz="4"/>
              <w:bottom w:val="single" w:color="FFFFFF" w:sz="4"/>
              <w:right w:val="none" w:color="000000" w:sz="4"/>
            </w:tcBorders>
            <w:vAlign w:val="top"/>
          </w:tcPr>
          <w:p>
            <w:pPr>
              <w:jc w:val="both"/>
            </w:pPr>
          </w:p>
          <w:p>
            <w:pPr>
              <w:jc w:val="both"/>
            </w:pPr>
            <w:r>
              <w:rPr>
                <w:b/>
                <w:sz w:val="24"/>
              </w:rPr>
              <w:t>收款方、开票方须与乙方一致，专户为：</w:t>
            </w:r>
          </w:p>
          <w:p>
            <w:pPr>
              <w:jc w:val="both"/>
            </w:pPr>
            <w:r>
              <w:rPr>
                <w:sz w:val="24"/>
              </w:rPr>
              <w:t>开户名称：</w:t>
            </w:r>
          </w:p>
          <w:p>
            <w:pPr>
              <w:jc w:val="both"/>
            </w:pPr>
            <w:r>
              <w:rPr>
                <w:sz w:val="24"/>
              </w:rPr>
              <w:t>银行账号：</w:t>
            </w:r>
          </w:p>
          <w:p>
            <w:pPr>
              <w:jc w:val="both"/>
            </w:pPr>
            <w:r>
              <w:rPr>
                <w:sz w:val="24"/>
              </w:rPr>
              <w:t>开</w:t>
            </w:r>
            <w:r>
              <w:rPr>
                <w:sz w:val="21"/>
              </w:rPr>
              <w:t xml:space="preserve"> </w:t>
            </w:r>
            <w:r>
              <w:rPr>
                <w:sz w:val="24"/>
              </w:rPr>
              <w:t>户</w:t>
            </w:r>
            <w:r>
              <w:rPr>
                <w:sz w:val="21"/>
              </w:rPr>
              <w:t xml:space="preserve"> </w:t>
            </w:r>
            <w:r>
              <w:rPr>
                <w:sz w:val="24"/>
              </w:rPr>
              <w:t>行：</w:t>
            </w:r>
          </w:p>
        </w:tc>
      </w:tr>
    </w:tbl>
    <w:p>
      <w:pPr>
        <w:jc w:val="both"/>
      </w:pPr>
      <w:r>
        <w:rPr>
          <w:b/>
          <w:sz w:val="24"/>
        </w:rPr>
        <w:t>合同附件清单（若有）：</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440606-2022-07362</w:t>
      </w:r>
    </w:p>
    <w:p>
      <w:pPr>
        <w:jc w:val="center"/>
      </w:pPr>
      <w:r>
        <w:rPr>
          <w:b/>
          <w:sz w:val="24"/>
        </w:rPr>
        <w:t>采购项目编号：</w:t>
      </w:r>
      <w:r>
        <w:rPr>
          <w:b/>
          <w:sz w:val="24"/>
        </w:rPr>
        <w:t>HZCGZB2022-0035</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二十一、询问函、质疑函、投诉书格式</w:t>
      </w:r>
    </w:p>
    <w:p>
      <w:pPr>
        <w:ind w:firstLine="480"/>
      </w:pPr>
      <w:r>
        <w:rPr/>
        <w:t>二十二、项目实施方案、质量保证及售后服务承诺等</w:t>
      </w:r>
    </w:p>
    <w:p>
      <w:pPr>
        <w:ind w:firstLine="480"/>
      </w:pPr>
      <w:r>
        <w:rPr/>
        <w:t>二十三、附件</w:t>
      </w:r>
    </w:p>
    <w:p>
      <w:pPr>
        <w:ind w:firstLine="480"/>
      </w:pPr>
    </w:p>
    <w:p>
      <w:r>
        <w:rPr/>
        <w:t xml:space="preserve"> </w:t>
      </w:r>
    </w:p>
    <w:p/>
    <w:p>
      <w:r>
        <w:rPr>
          <w:b/>
          <w:sz w:val="28"/>
        </w:rPr>
        <w:t>格式一：</w:t>
      </w:r>
    </w:p>
    <w:p>
      <w:r>
        <w:rPr>
          <w:b/>
          <w:sz w:val="24"/>
        </w:rPr>
        <w:t>投标函</w:t>
      </w:r>
    </w:p>
    <w:p>
      <w:pPr>
        <w:ind w:firstLine="480"/>
      </w:pPr>
      <w:r>
        <w:rPr/>
        <w:t>致：</w:t>
      </w:r>
      <w:r>
        <w:rPr>
          <w:u w:val="single"/>
        </w:rPr>
        <w:t>广东华正工程咨询有限公司</w:t>
      </w:r>
    </w:p>
    <w:p>
      <w:pPr>
        <w:ind w:firstLine="480"/>
      </w:pPr>
      <w:r>
        <w:rPr/>
        <w:t>你方组织的</w:t>
      </w:r>
      <w:r>
        <w:rPr>
          <w:u w:val="single"/>
        </w:rPr>
        <w:t>2022-2025年勒流街道公共环境除“四害”项目</w:t>
      </w:r>
      <w:r>
        <w:rPr/>
        <w:t>项目的招标[采购项目编号为：</w:t>
      </w:r>
      <w:r>
        <w:rPr>
          <w:u w:val="single"/>
        </w:rPr>
        <w:t>HZCGZB2022-0035</w:t>
      </w:r>
      <w:r>
        <w:rPr/>
        <w:t>]，我方愿参与投标。</w:t>
      </w:r>
    </w:p>
    <w:p>
      <w:pPr>
        <w:ind w:firstLine="480"/>
      </w:pPr>
      <w:r>
        <w:rPr/>
        <w:t>我方确认收到贵方提供的</w:t>
      </w:r>
      <w:r>
        <w:rPr>
          <w:u w:val="single"/>
        </w:rPr>
        <w:t>2022-2025年勒流街道公共环境除“四害”项目</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广东华正工程咨询有限公司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2022-2025年勒流街道公共环境除“四害”项目</w:t>
      </w:r>
      <w:r>
        <w:rPr/>
        <w:t>项目采购[采购项目编号为</w:t>
      </w:r>
      <w:r>
        <w:rPr/>
        <w:t>HZCGZB2022-0035</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设备及专业技术能力情况表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广东华正工程咨询有限公司</w:t>
      </w:r>
    </w:p>
    <w:p>
      <w:pPr>
        <w:ind w:firstLine="480"/>
      </w:pPr>
      <w:r>
        <w:rPr/>
        <w:t>如果我方在贵采购代理机构组织的</w:t>
      </w:r>
      <w:r>
        <w:rPr/>
        <w:t>2022-2025年勒流街道公共环境除“四害”项目</w:t>
      </w:r>
      <w:r>
        <w:rPr/>
        <w:t>招标中获中标（采购项目编号：</w:t>
      </w:r>
      <w:r>
        <w:rPr/>
        <w:t>HZCGZB2022-0035</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广东华正工程咨询有限公司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广东华正工程咨询有限公司</w:t>
      </w:r>
    </w:p>
    <w:p>
      <w:pPr>
        <w:ind w:firstLine="480"/>
      </w:pPr>
      <w:r>
        <w:rPr/>
        <w:t>我单位已登记并准备参与</w:t>
      </w:r>
      <w:r>
        <w:rPr/>
        <w:t>2022-2025年勒流街道公共环境除“四害”项目</w:t>
      </w:r>
      <w:r>
        <w:rPr/>
        <w:t>项目（采购项目编号：</w:t>
      </w:r>
      <w:r>
        <w:rPr/>
        <w:t>HZCGZB2022-0035</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格式二十二：</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格式二十三：</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