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43" w:type="dxa"/>
        <w:tblLayout w:type="fixed"/>
        <w:tblLook w:val="04A0"/>
      </w:tblPr>
      <w:tblGrid>
        <w:gridCol w:w="709"/>
        <w:gridCol w:w="910"/>
        <w:gridCol w:w="508"/>
        <w:gridCol w:w="1843"/>
        <w:gridCol w:w="708"/>
        <w:gridCol w:w="709"/>
        <w:gridCol w:w="2268"/>
        <w:gridCol w:w="1985"/>
      </w:tblGrid>
      <w:tr w:rsidR="00C057A8" w:rsidRPr="009F75D1" w:rsidTr="00C27AC5">
        <w:trPr>
          <w:trHeight w:val="72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9F75D1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南昌轨道交通集团</w:t>
            </w: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物业管理发展有限公司</w:t>
            </w:r>
          </w:p>
        </w:tc>
      </w:tr>
      <w:tr w:rsidR="00C057A8" w:rsidRPr="009F75D1" w:rsidTr="00C27AC5">
        <w:trPr>
          <w:trHeight w:val="43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F75D1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询  价  单</w:t>
            </w:r>
          </w:p>
        </w:tc>
      </w:tr>
      <w:tr w:rsidR="00C057A8" w:rsidRPr="009F75D1" w:rsidTr="00F434A8">
        <w:trPr>
          <w:trHeight w:val="465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询价有效期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C057A8" w:rsidRPr="009F75D1" w:rsidTr="00F434A8">
        <w:trPr>
          <w:trHeight w:val="510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询价内容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E3A03" w:rsidP="008C05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E3A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灭四害消杀服务项目</w:t>
            </w:r>
          </w:p>
        </w:tc>
      </w:tr>
      <w:tr w:rsidR="00C057A8" w:rsidRPr="009F75D1" w:rsidTr="00F434A8">
        <w:trPr>
          <w:trHeight w:val="690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报价要求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⑴总价与单价有偏差时，以单价为准。⑵本次报价为最终报价。⑶报价单必须填写完整，否则作无效处理。(4)报价单盖章有效。</w:t>
            </w:r>
          </w:p>
        </w:tc>
      </w:tr>
      <w:tr w:rsidR="00C057A8" w:rsidRPr="009F75D1" w:rsidTr="00F434A8">
        <w:trPr>
          <w:trHeight w:val="465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评定方法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EC25F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采用最低报价排序</w:t>
            </w:r>
            <w:r w:rsidR="00EC25F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EC25F4" w:rsidRPr="00874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最低为第一成交候选人，次低者为第二成交候选人，以此类推。采购人应当确定排名第一的成交候选人为成交人。如果排名第一的成交候选人放弃中标，或者被查实存在影响成交结果的违法行为等情形，不符合成交条件的，采购人可以按照排序依次确定其他成交候选人为成交人，也可以重新采购。</w:t>
            </w:r>
          </w:p>
        </w:tc>
      </w:tr>
      <w:tr w:rsidR="00C057A8" w:rsidRPr="009F75D1" w:rsidTr="00F434A8">
        <w:trPr>
          <w:trHeight w:val="465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控制价格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B062D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本项目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控制价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为</w:t>
            </w:r>
            <w:r w:rsidR="0002023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92988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</w:tr>
      <w:tr w:rsidR="00C057A8" w:rsidRPr="009F75D1" w:rsidTr="00F434A8">
        <w:trPr>
          <w:trHeight w:val="139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履约保证金接收账户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F63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履约保证金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金额</w:t>
            </w:r>
            <w:r w:rsidRPr="004F63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：中标金额的5%</w:t>
            </w:r>
          </w:p>
          <w:p w:rsidR="00C057A8" w:rsidRPr="005B40A6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公司名称 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南昌轨道交通集团物业管理发展有限公司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5B40A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开户银行：</w:t>
            </w:r>
            <w:r w:rsidR="00CE3A03" w:rsidRPr="00504671">
              <w:rPr>
                <w:rFonts w:asciiTheme="minorEastAsia" w:hAnsiTheme="minorEastAsia" w:hint="eastAsia"/>
                <w:sz w:val="24"/>
                <w:szCs w:val="24"/>
              </w:rPr>
              <w:t>江西银行股份有限公司总行营业部</w:t>
            </w:r>
          </w:p>
          <w:p w:rsidR="00C057A8" w:rsidRPr="00CE3A03" w:rsidRDefault="00C057A8" w:rsidP="00CE3A0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0A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账    号：</w:t>
            </w:r>
            <w:r w:rsidR="00CE3A03" w:rsidRPr="00504671">
              <w:rPr>
                <w:rFonts w:asciiTheme="minorEastAsia" w:hAnsiTheme="minorEastAsia" w:hint="eastAsia"/>
                <w:sz w:val="24"/>
                <w:szCs w:val="24"/>
              </w:rPr>
              <w:t>791914641800039</w:t>
            </w:r>
          </w:p>
        </w:tc>
      </w:tr>
      <w:tr w:rsidR="00C057A8" w:rsidRPr="009F75D1" w:rsidTr="00F434A8">
        <w:trPr>
          <w:trHeight w:val="1975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主要合同条款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D4" w:rsidRDefault="00B062D4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一、服务范围、内容、期限                                                              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服务范围：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九溪嘉园位于红谷滩九龙湖片区三清山大道4666号，该项目分A、B区占地面积共约221亩，总建筑面积313614.12㎡，服务范围含地下停车场、每栋每单元大堂及负一楼、设备房、配电间、楼梯和电梯等公共区域；建设大厦位于红谷滩新区丰和中大道1318号，该办公楼服务范围含-1F停车场至26F所有公共区域（楼道、卫生间和走廊等）及大厦范围以内的绿化带，建设大厦建筑面积36360.71㎡。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服务内容：九溪嘉园管辖区域内鼠、蚊、蝇、蟑螂和白蚁等有害生物的消杀和防治；</w:t>
            </w:r>
          </w:p>
          <w:p w:rsidR="007F6A15" w:rsidRPr="007F6A15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服务期限：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九溪嘉园和建设大厦项目管辖区域内鼠、蚊、蝇、蟑螂和白蚁等有害生物的消杀和防治；</w:t>
            </w:r>
          </w:p>
          <w:p w:rsidR="00B062D4" w:rsidRDefault="007F6A15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服务期限：一年（具体进场时间以甲方书面通知为准）。</w:t>
            </w:r>
          </w:p>
          <w:p w:rsidR="00006268" w:rsidRPr="00006268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二、服务要求                                                                 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1、虫害防治种类：鼠类、蟑螂、蚊、蝇、白蚁等虫害，消杀并分析虫害原因；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作业次数：4月-10月每月4次，其余月份每月2次；临时性紧急服务2小时响应，24-48</w:t>
            </w:r>
            <w:r w:rsid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小时处理完成</w:t>
            </w: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3、灭四害的用药必须根据卫生部《病媒生物防治管理办法》有关要求执行，保证用药安全，严禁使用违禁药物；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4、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若甲方管辖区域内四害活动异常时，乙方应在接到甲方通知后24小时内必须跟进处理并免费增加作业次数。</w:t>
            </w: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B062D4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 xml:space="preserve">5、每月进行鼠药投放、回收及死鼠深埋处理。 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   </w:t>
            </w: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三、报价方式及结算方式                                                                 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1、报价方式：按固定单价报价；</w:t>
            </w:r>
          </w:p>
          <w:p w:rsidR="007F6A15" w:rsidRPr="007F6A15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该单价不因任何因素变化予以调整；合同价格将被认为满足本</w:t>
            </w:r>
            <w:r w:rsidR="00E03A8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询价单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中所要求的灭四害消杀服务所需的全部费用，包括但不限于人工、消杀药剂、物料、利润、税金和保险服务等发生的所有费用及一切税费。履约过程中，甲方可根据实际需要对服务期进行调整（增加或减少），并根据实际服务期乘以固定单价进行支付；因服务期调整而发生的实际总价不得超过合同价总额的10%。                                                               </w:t>
            </w:r>
          </w:p>
          <w:p w:rsidR="00B062D4" w:rsidRDefault="007F6A15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、合同签订后，甲方自服务当月开始，每个月为一个付款周期向乙方支付一次服务费。每月甲方对乙方的消杀次数、服务质量进行确认，确认无误后双方签字确认。乙方向甲方提供足额的增值税专用发票，甲方收到发票后向乙方支付消杀服务费用。</w:t>
            </w:r>
          </w:p>
          <w:p w:rsidR="00006268" w:rsidRPr="00006268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</w:t>
            </w: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四、违约处理                                                                  </w:t>
            </w:r>
          </w:p>
          <w:p w:rsidR="0002023D" w:rsidRPr="0002023D" w:rsidRDefault="0002023D" w:rsidP="0002023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因有害生物防治不到位，导致小区或是大厦办公区域蚊蝇、鼠害、蟑螂等虫害聚集，甲方有权按照以下标准对乙方进行处罚并通知乙方立即整改，处罚费用从当季度消杀费用中扣除。如乙方拒不整改，甲方有权解除合同，扣除当季度消杀费用且不予退还乙方履约保证金。                                                                               </w:t>
            </w:r>
          </w:p>
          <w:p w:rsidR="0002023D" w:rsidRPr="0002023D" w:rsidRDefault="0002023D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1、因有害生物防治不到位，出现甲方或甲方业主有效投诉1次，对乙方处以300元/次罚款，以此类推；</w:t>
            </w:r>
          </w:p>
          <w:p w:rsidR="0002023D" w:rsidRPr="0002023D" w:rsidRDefault="0002023D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2、月消杀次数低于合同要求消杀次数的，对乙方处以800元/次罚款；                                                   </w:t>
            </w:r>
          </w:p>
          <w:p w:rsidR="0002023D" w:rsidRPr="0002023D" w:rsidRDefault="0002023D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3、若上级部门或第三方检查出现不合格项，对乙方处以1000元/次罚款；</w:t>
            </w:r>
          </w:p>
          <w:p w:rsidR="0002023D" w:rsidRPr="0002023D" w:rsidRDefault="0002023D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4、若甲方管辖区域内四害活动异常，乙方应在接到甲方通知后24小时内必须跟进处理并免费增加作业次数，若乙方未按规定时间或是免费增加消杀频次，对乙方处以300元/次罚款，以此类推；                                                                  </w:t>
            </w:r>
          </w:p>
          <w:p w:rsidR="00C057A8" w:rsidRDefault="0002023D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5、导致媒体曝光在社会上造成不良影响的，甲方有权单方面解除合同，且不承担任何责任。</w:t>
            </w:r>
          </w:p>
          <w:p w:rsidR="00B062D4" w:rsidRDefault="00B062D4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B062D4" w:rsidRDefault="00B062D4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B062D4" w:rsidRPr="009F75D1" w:rsidRDefault="00B062D4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需方：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南昌轨道交通集团物业管理发展有限公司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供方（盖章）：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地址：江西省南昌市丰和中大道912号地铁大厦12楼12</w:t>
            </w:r>
            <w:r w:rsidR="007C321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地址: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电话： 0791-83823970                 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电话: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联系人： </w:t>
            </w:r>
            <w:r w:rsidR="00C27A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费先生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联系人：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日期： 202</w:t>
            </w:r>
            <w:r w:rsid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年  </w:t>
            </w:r>
            <w:r w:rsid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月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日期:      年   月   日</w:t>
            </w:r>
          </w:p>
        </w:tc>
      </w:tr>
      <w:tr w:rsidR="00C057A8" w:rsidRPr="009F75D1" w:rsidTr="00C27AC5">
        <w:trPr>
          <w:trHeight w:val="6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693C9D" w:rsidRDefault="00C057A8" w:rsidP="00C27A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693C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询价清单</w:t>
            </w:r>
          </w:p>
        </w:tc>
      </w:tr>
      <w:tr w:rsidR="00EA14B0" w:rsidRPr="00FC1453" w:rsidTr="009D145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006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单价（元/月）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4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服务时限</w:t>
            </w:r>
          </w:p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4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（月）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  <w:r w:rsidRPr="00F434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A14B0" w:rsidRPr="00FC1453" w:rsidTr="009D1458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建设大厦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0062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9D145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本项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控制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价为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1916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元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/月</w:t>
            </w:r>
          </w:p>
        </w:tc>
      </w:tr>
      <w:tr w:rsidR="00EA14B0" w:rsidRPr="00FC1453" w:rsidTr="009D1458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CE3A03" w:rsidRDefault="00EA14B0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CE3A03" w:rsidRDefault="00EA14B0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E3A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九溪嘉园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0062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9D145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本项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控制</w:t>
            </w:r>
            <w:r w:rsidR="002D19F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价为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5833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元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/月</w:t>
            </w:r>
          </w:p>
        </w:tc>
      </w:tr>
      <w:tr w:rsidR="003E2FA3" w:rsidRPr="00FC1453" w:rsidTr="003E2FA3">
        <w:trPr>
          <w:trHeight w:val="754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A3" w:rsidRDefault="003E2FA3" w:rsidP="003E2FA3">
            <w:pPr>
              <w:ind w:firstLineChars="100" w:firstLine="241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E2F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546BB" w:rsidRPr="009F75D1" w:rsidTr="00C27AC5">
        <w:trPr>
          <w:trHeight w:val="78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BB" w:rsidRPr="007007E6" w:rsidRDefault="00D546BB" w:rsidP="00331E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备注：该询价单及资格材料（营业执照副本</w:t>
            </w:r>
            <w:r w:rsidR="00D87A4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复印件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、业绩合同复印件</w:t>
            </w:r>
            <w:r w:rsid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</w:t>
            </w:r>
            <w:r w:rsidR="00072138" w:rsidRP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B级及以上</w:t>
            </w:r>
            <w:r w:rsid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有</w:t>
            </w:r>
            <w:r w:rsidR="00072138" w:rsidRP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害生物防制服务机构</w:t>
            </w:r>
            <w:r w:rsid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证书</w:t>
            </w:r>
            <w:r w:rsidR="00D87A4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复印件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  <w:r w:rsidR="009D14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</w:t>
            </w:r>
            <w:r w:rsidR="009D1458" w:rsidRPr="009D145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企业诚信承诺书原件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于</w:t>
            </w:r>
            <w:r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202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A5AFA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B31EB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日1</w:t>
            </w:r>
            <w:r w:rsidR="00331E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B93D8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准时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递交至地铁大厦12楼12</w:t>
            </w:r>
            <w:r w:rsidR="008C057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室</w:t>
            </w:r>
            <w:r w:rsidR="00B93D8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进行评选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，文件盖章密封确认后有效。  </w:t>
            </w:r>
          </w:p>
        </w:tc>
      </w:tr>
    </w:tbl>
    <w:p w:rsidR="00C057A8" w:rsidRPr="00A96EF3" w:rsidRDefault="00C057A8" w:rsidP="00C057A8">
      <w:pPr>
        <w:rPr>
          <w:color w:val="000000" w:themeColor="text1"/>
        </w:rPr>
      </w:pPr>
    </w:p>
    <w:p w:rsidR="00974723" w:rsidRPr="008C057D" w:rsidRDefault="00974723"/>
    <w:sectPr w:rsidR="00974723" w:rsidRPr="008C057D" w:rsidSect="0097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7A8"/>
    <w:rsid w:val="00006268"/>
    <w:rsid w:val="0002023D"/>
    <w:rsid w:val="00072138"/>
    <w:rsid w:val="000D11E8"/>
    <w:rsid w:val="000D1266"/>
    <w:rsid w:val="000E2284"/>
    <w:rsid w:val="001D52E5"/>
    <w:rsid w:val="002D19F8"/>
    <w:rsid w:val="002F125E"/>
    <w:rsid w:val="00331E41"/>
    <w:rsid w:val="00355C0B"/>
    <w:rsid w:val="003C1D60"/>
    <w:rsid w:val="003E2FA3"/>
    <w:rsid w:val="004B0857"/>
    <w:rsid w:val="006857A2"/>
    <w:rsid w:val="006A5AFA"/>
    <w:rsid w:val="006E3F05"/>
    <w:rsid w:val="007C3214"/>
    <w:rsid w:val="007F6A15"/>
    <w:rsid w:val="0088423A"/>
    <w:rsid w:val="008B7550"/>
    <w:rsid w:val="008C057D"/>
    <w:rsid w:val="00974723"/>
    <w:rsid w:val="00981A79"/>
    <w:rsid w:val="009D1458"/>
    <w:rsid w:val="009F2B6B"/>
    <w:rsid w:val="00A340EB"/>
    <w:rsid w:val="00A413A2"/>
    <w:rsid w:val="00AA2D5D"/>
    <w:rsid w:val="00B062D4"/>
    <w:rsid w:val="00B31EBF"/>
    <w:rsid w:val="00B93D8A"/>
    <w:rsid w:val="00BA5751"/>
    <w:rsid w:val="00BF2CAB"/>
    <w:rsid w:val="00C057A8"/>
    <w:rsid w:val="00C27AC5"/>
    <w:rsid w:val="00CE3A03"/>
    <w:rsid w:val="00D546BB"/>
    <w:rsid w:val="00D826F5"/>
    <w:rsid w:val="00D87A48"/>
    <w:rsid w:val="00E03A80"/>
    <w:rsid w:val="00E72378"/>
    <w:rsid w:val="00EA14B0"/>
    <w:rsid w:val="00EC25F4"/>
    <w:rsid w:val="00F434A8"/>
    <w:rsid w:val="00FB34B2"/>
    <w:rsid w:val="00FE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李诗怡</dc:creator>
  <cp:keywords/>
  <dc:description/>
  <cp:lastModifiedBy>费巍明</cp:lastModifiedBy>
  <cp:revision>31</cp:revision>
  <cp:lastPrinted>2021-04-13T01:23:00Z</cp:lastPrinted>
  <dcterms:created xsi:type="dcterms:W3CDTF">2020-03-24T02:35:00Z</dcterms:created>
  <dcterms:modified xsi:type="dcterms:W3CDTF">2022-05-07T06:42:00Z</dcterms:modified>
</cp:coreProperties>
</file>