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val="0"/>
        <w:jc w:val="center"/>
        <w:outlineLvl w:val="0"/>
        <w:rPr>
          <w:rFonts w:hint="eastAsia" w:ascii="黑体" w:hAnsi="黑体" w:eastAsia="黑体" w:cs="Times New Roman"/>
          <w:b/>
          <w:bCs/>
          <w:color w:val="auto"/>
          <w:kern w:val="2"/>
          <w:sz w:val="32"/>
          <w:szCs w:val="32"/>
          <w:highlight w:val="none"/>
          <w:lang w:val="en-US" w:eastAsia="zh-CN" w:bidi="ar-SA"/>
        </w:rPr>
      </w:pPr>
      <w:r>
        <w:rPr>
          <w:rFonts w:hint="eastAsia" w:ascii="黑体" w:hAnsi="黑体" w:eastAsia="黑体" w:cs="Times New Roman"/>
          <w:b/>
          <w:bCs/>
          <w:color w:val="auto"/>
          <w:kern w:val="2"/>
          <w:sz w:val="32"/>
          <w:szCs w:val="32"/>
          <w:highlight w:val="none"/>
          <w:lang w:val="en-US" w:eastAsia="zh-CN" w:bidi="ar-SA"/>
        </w:rPr>
        <w:t>采购需求</w:t>
      </w:r>
    </w:p>
    <w:p>
      <w:pPr>
        <w:jc w:val="center"/>
        <w:outlineLvl w:val="1"/>
        <w:rPr>
          <w:color w:val="auto"/>
          <w:highlight w:val="none"/>
        </w:rPr>
      </w:pPr>
      <w:bookmarkStart w:id="0" w:name="_Toc318"/>
      <w:bookmarkStart w:id="1" w:name="_Toc31305"/>
      <w:r>
        <w:rPr>
          <w:rFonts w:hint="eastAsia" w:ascii="黑体" w:hAnsi="黑体" w:eastAsia="黑体"/>
          <w:color w:val="auto"/>
          <w:sz w:val="28"/>
          <w:szCs w:val="28"/>
          <w:highlight w:val="none"/>
        </w:rPr>
        <w:t>第一节 采购清单一览表</w:t>
      </w:r>
      <w:bookmarkEnd w:id="0"/>
      <w:bookmarkEnd w:id="1"/>
    </w:p>
    <w:tbl>
      <w:tblPr>
        <w:tblStyle w:val="7"/>
        <w:tblpPr w:leftFromText="180" w:rightFromText="180" w:vertAnchor="text" w:horzAnchor="page" w:tblpX="1360" w:tblpY="158"/>
        <w:tblOverlap w:val="never"/>
        <w:tblW w:w="933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9"/>
        <w:gridCol w:w="1526"/>
        <w:gridCol w:w="1545"/>
        <w:gridCol w:w="801"/>
        <w:gridCol w:w="939"/>
        <w:gridCol w:w="1403"/>
        <w:gridCol w:w="885"/>
        <w:gridCol w:w="945"/>
        <w:gridCol w:w="7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529" w:type="dxa"/>
            <w:vMerge w:val="restart"/>
            <w:vAlign w:val="center"/>
          </w:tcPr>
          <w:p>
            <w:pPr>
              <w:adjustRightInd w:val="0"/>
              <w:snapToGrid w:val="0"/>
              <w:spacing w:line="360" w:lineRule="auto"/>
              <w:jc w:val="center"/>
              <w:rPr>
                <w:color w:val="auto"/>
                <w:sz w:val="21"/>
                <w:szCs w:val="21"/>
                <w:highlight w:val="none"/>
              </w:rPr>
            </w:pPr>
            <w:bookmarkStart w:id="2" w:name="_Toc300678508"/>
            <w:r>
              <w:rPr>
                <w:rFonts w:hint="eastAsia"/>
                <w:color w:val="auto"/>
                <w:sz w:val="21"/>
                <w:szCs w:val="21"/>
                <w:highlight w:val="none"/>
              </w:rPr>
              <w:t xml:space="preserve">包号 </w:t>
            </w:r>
          </w:p>
        </w:tc>
        <w:tc>
          <w:tcPr>
            <w:tcW w:w="1526" w:type="dxa"/>
            <w:vMerge w:val="restart"/>
            <w:vAlign w:val="center"/>
          </w:tcPr>
          <w:p>
            <w:pPr>
              <w:adjustRightInd w:val="0"/>
              <w:snapToGrid w:val="0"/>
              <w:spacing w:line="360" w:lineRule="auto"/>
              <w:jc w:val="center"/>
              <w:rPr>
                <w:color w:val="auto"/>
                <w:sz w:val="21"/>
                <w:szCs w:val="21"/>
                <w:highlight w:val="none"/>
              </w:rPr>
            </w:pPr>
            <w:r>
              <w:rPr>
                <w:rFonts w:hint="eastAsia"/>
                <w:color w:val="auto"/>
                <w:sz w:val="21"/>
                <w:szCs w:val="21"/>
                <w:highlight w:val="none"/>
              </w:rPr>
              <w:t>包名称</w:t>
            </w:r>
          </w:p>
        </w:tc>
        <w:tc>
          <w:tcPr>
            <w:tcW w:w="1545" w:type="dxa"/>
            <w:vMerge w:val="restart"/>
            <w:vAlign w:val="center"/>
          </w:tcPr>
          <w:p>
            <w:pPr>
              <w:adjustRightInd w:val="0"/>
              <w:snapToGrid w:val="0"/>
              <w:spacing w:line="240" w:lineRule="auto"/>
              <w:jc w:val="center"/>
              <w:rPr>
                <w:color w:val="auto"/>
                <w:sz w:val="21"/>
                <w:szCs w:val="21"/>
                <w:highlight w:val="none"/>
              </w:rPr>
            </w:pPr>
            <w:r>
              <w:rPr>
                <w:rFonts w:hint="eastAsia"/>
                <w:color w:val="auto"/>
                <w:sz w:val="21"/>
                <w:szCs w:val="21"/>
                <w:highlight w:val="none"/>
              </w:rPr>
              <w:t>分项项目名称</w:t>
            </w:r>
          </w:p>
          <w:p>
            <w:pPr>
              <w:adjustRightInd w:val="0"/>
              <w:snapToGrid w:val="0"/>
              <w:spacing w:line="240" w:lineRule="auto"/>
              <w:jc w:val="center"/>
              <w:rPr>
                <w:color w:val="auto"/>
                <w:sz w:val="21"/>
                <w:szCs w:val="21"/>
                <w:highlight w:val="none"/>
              </w:rPr>
            </w:pPr>
            <w:r>
              <w:rPr>
                <w:rFonts w:hint="eastAsia"/>
                <w:color w:val="auto"/>
                <w:sz w:val="21"/>
                <w:szCs w:val="21"/>
                <w:highlight w:val="none"/>
              </w:rPr>
              <w:t>（条目号/品目名称）</w:t>
            </w:r>
          </w:p>
        </w:tc>
        <w:tc>
          <w:tcPr>
            <w:tcW w:w="801" w:type="dxa"/>
            <w:vMerge w:val="restart"/>
            <w:tcBorders>
              <w:left w:val="single" w:color="auto" w:sz="4" w:space="0"/>
            </w:tcBorders>
            <w:vAlign w:val="center"/>
          </w:tcPr>
          <w:p>
            <w:pPr>
              <w:adjustRightInd w:val="0"/>
              <w:snapToGrid w:val="0"/>
              <w:spacing w:line="360" w:lineRule="auto"/>
              <w:jc w:val="center"/>
              <w:rPr>
                <w:color w:val="auto"/>
                <w:sz w:val="21"/>
                <w:szCs w:val="21"/>
                <w:highlight w:val="none"/>
              </w:rPr>
            </w:pPr>
            <w:r>
              <w:rPr>
                <w:rFonts w:ascii="宋体" w:hAnsi="宋体" w:cs="宋体"/>
                <w:color w:val="auto"/>
                <w:kern w:val="0"/>
                <w:sz w:val="21"/>
                <w:szCs w:val="21"/>
                <w:highlight w:val="none"/>
              </w:rPr>
              <w:t>是否接受进口设备</w:t>
            </w:r>
          </w:p>
        </w:tc>
        <w:tc>
          <w:tcPr>
            <w:tcW w:w="939" w:type="dxa"/>
            <w:vMerge w:val="restart"/>
            <w:vAlign w:val="center"/>
          </w:tcPr>
          <w:p>
            <w:pPr>
              <w:adjustRightInd w:val="0"/>
              <w:snapToGrid w:val="0"/>
              <w:spacing w:line="360" w:lineRule="auto"/>
              <w:jc w:val="center"/>
              <w:rPr>
                <w:rFonts w:hint="eastAsia"/>
                <w:color w:val="auto"/>
                <w:sz w:val="21"/>
                <w:szCs w:val="21"/>
                <w:highlight w:val="none"/>
              </w:rPr>
            </w:pPr>
            <w:r>
              <w:rPr>
                <w:rFonts w:hint="eastAsia"/>
                <w:color w:val="auto"/>
                <w:sz w:val="21"/>
                <w:szCs w:val="21"/>
                <w:highlight w:val="none"/>
              </w:rPr>
              <w:t>数量</w:t>
            </w:r>
          </w:p>
          <w:p>
            <w:pPr>
              <w:widowControl w:val="0"/>
              <w:tabs>
                <w:tab w:val="left" w:pos="2340"/>
              </w:tabs>
              <w:spacing w:after="120"/>
              <w:ind w:left="420" w:leftChars="200" w:firstLine="420" w:firstLineChars="200"/>
              <w:jc w:val="both"/>
              <w:rPr>
                <w:rFonts w:ascii="Times New Roman" w:hAnsi="Times New Roman" w:eastAsia="宋体" w:cs="Times New Roman"/>
                <w:color w:val="auto"/>
                <w:kern w:val="2"/>
                <w:sz w:val="21"/>
                <w:szCs w:val="21"/>
                <w:highlight w:val="none"/>
                <w:lang w:val="en-US" w:eastAsia="zh-CN" w:bidi="ar-SA"/>
              </w:rPr>
            </w:pPr>
          </w:p>
        </w:tc>
        <w:tc>
          <w:tcPr>
            <w:tcW w:w="1403" w:type="dxa"/>
            <w:vMerge w:val="restart"/>
            <w:vAlign w:val="center"/>
          </w:tcPr>
          <w:p>
            <w:pPr>
              <w:adjustRightInd w:val="0"/>
              <w:snapToGrid w:val="0"/>
              <w:spacing w:line="360" w:lineRule="auto"/>
              <w:jc w:val="center"/>
              <w:rPr>
                <w:rFonts w:hint="eastAsia"/>
                <w:color w:val="auto"/>
                <w:sz w:val="21"/>
                <w:szCs w:val="21"/>
                <w:highlight w:val="none"/>
              </w:rPr>
            </w:pPr>
            <w:r>
              <w:rPr>
                <w:rFonts w:hint="eastAsia" w:ascii="宋体" w:hAnsi="宋体" w:eastAsia="宋体" w:cs="宋体"/>
                <w:color w:val="auto"/>
                <w:kern w:val="0"/>
                <w:sz w:val="21"/>
                <w:szCs w:val="21"/>
                <w:highlight w:val="none"/>
              </w:rPr>
              <w:t>采购项目预算（元人民币）</w:t>
            </w:r>
          </w:p>
        </w:tc>
        <w:tc>
          <w:tcPr>
            <w:tcW w:w="1830" w:type="dxa"/>
            <w:gridSpan w:val="2"/>
            <w:vAlign w:val="center"/>
          </w:tcPr>
          <w:p>
            <w:pPr>
              <w:adjustRightInd w:val="0"/>
              <w:snapToGrid w:val="0"/>
              <w:spacing w:line="360" w:lineRule="auto"/>
              <w:jc w:val="center"/>
              <w:rPr>
                <w:color w:val="auto"/>
                <w:sz w:val="21"/>
                <w:szCs w:val="21"/>
                <w:highlight w:val="none"/>
              </w:rPr>
            </w:pPr>
            <w:r>
              <w:rPr>
                <w:rFonts w:hint="eastAsia" w:ascii="宋体" w:hAnsi="宋体" w:cs="宋体"/>
                <w:color w:val="auto"/>
                <w:kern w:val="0"/>
                <w:szCs w:val="21"/>
                <w:highlight w:val="none"/>
              </w:rPr>
              <w:t>实施</w:t>
            </w:r>
            <w:r>
              <w:rPr>
                <w:rFonts w:hint="eastAsia"/>
                <w:color w:val="auto"/>
                <w:sz w:val="21"/>
                <w:szCs w:val="21"/>
                <w:highlight w:val="none"/>
              </w:rPr>
              <w:t>要求</w:t>
            </w:r>
          </w:p>
        </w:tc>
        <w:tc>
          <w:tcPr>
            <w:tcW w:w="765" w:type="dxa"/>
            <w:vAlign w:val="center"/>
          </w:tcPr>
          <w:p>
            <w:pPr>
              <w:adjustRightInd w:val="0"/>
              <w:snapToGrid w:val="0"/>
              <w:spacing w:line="360" w:lineRule="auto"/>
              <w:jc w:val="center"/>
              <w:rPr>
                <w:color w:val="auto"/>
                <w:sz w:val="21"/>
                <w:szCs w:val="21"/>
                <w:highlight w:val="none"/>
              </w:rPr>
            </w:pPr>
            <w:r>
              <w:rPr>
                <w:rFonts w:hint="eastAsia"/>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529" w:type="dxa"/>
            <w:vMerge w:val="continue"/>
            <w:vAlign w:val="center"/>
          </w:tcPr>
          <w:p>
            <w:pPr>
              <w:adjustRightInd w:val="0"/>
              <w:snapToGrid w:val="0"/>
              <w:spacing w:before="156" w:beforeLines="50" w:line="360" w:lineRule="auto"/>
              <w:jc w:val="center"/>
              <w:rPr>
                <w:color w:val="auto"/>
                <w:sz w:val="21"/>
                <w:szCs w:val="21"/>
                <w:highlight w:val="none"/>
              </w:rPr>
            </w:pPr>
          </w:p>
        </w:tc>
        <w:tc>
          <w:tcPr>
            <w:tcW w:w="1526" w:type="dxa"/>
            <w:vMerge w:val="continue"/>
            <w:vAlign w:val="center"/>
          </w:tcPr>
          <w:p>
            <w:pPr>
              <w:adjustRightInd w:val="0"/>
              <w:snapToGrid w:val="0"/>
              <w:spacing w:before="156" w:beforeLines="50" w:line="360" w:lineRule="auto"/>
              <w:jc w:val="center"/>
              <w:rPr>
                <w:color w:val="auto"/>
                <w:sz w:val="21"/>
                <w:szCs w:val="21"/>
                <w:highlight w:val="none"/>
              </w:rPr>
            </w:pPr>
          </w:p>
        </w:tc>
        <w:tc>
          <w:tcPr>
            <w:tcW w:w="1545" w:type="dxa"/>
            <w:vMerge w:val="continue"/>
            <w:vAlign w:val="center"/>
          </w:tcPr>
          <w:p>
            <w:pPr>
              <w:adjustRightInd w:val="0"/>
              <w:snapToGrid w:val="0"/>
              <w:spacing w:before="156" w:beforeLines="50" w:line="360" w:lineRule="auto"/>
              <w:jc w:val="center"/>
              <w:rPr>
                <w:color w:val="auto"/>
                <w:sz w:val="21"/>
                <w:szCs w:val="21"/>
                <w:highlight w:val="none"/>
              </w:rPr>
            </w:pPr>
          </w:p>
        </w:tc>
        <w:tc>
          <w:tcPr>
            <w:tcW w:w="801" w:type="dxa"/>
            <w:vMerge w:val="continue"/>
            <w:tcBorders>
              <w:left w:val="single" w:color="auto" w:sz="4" w:space="0"/>
            </w:tcBorders>
            <w:vAlign w:val="center"/>
          </w:tcPr>
          <w:p>
            <w:pPr>
              <w:adjustRightInd w:val="0"/>
              <w:snapToGrid w:val="0"/>
              <w:spacing w:before="156" w:beforeLines="50" w:line="360" w:lineRule="auto"/>
              <w:jc w:val="center"/>
              <w:rPr>
                <w:color w:val="auto"/>
                <w:sz w:val="21"/>
                <w:szCs w:val="21"/>
                <w:highlight w:val="none"/>
              </w:rPr>
            </w:pPr>
          </w:p>
        </w:tc>
        <w:tc>
          <w:tcPr>
            <w:tcW w:w="939" w:type="dxa"/>
            <w:vMerge w:val="continue"/>
            <w:vAlign w:val="center"/>
          </w:tcPr>
          <w:p>
            <w:pPr>
              <w:adjustRightInd w:val="0"/>
              <w:snapToGrid w:val="0"/>
              <w:spacing w:before="156" w:beforeLines="50" w:line="360" w:lineRule="auto"/>
              <w:jc w:val="center"/>
              <w:rPr>
                <w:color w:val="auto"/>
                <w:sz w:val="21"/>
                <w:szCs w:val="21"/>
                <w:highlight w:val="none"/>
              </w:rPr>
            </w:pPr>
          </w:p>
        </w:tc>
        <w:tc>
          <w:tcPr>
            <w:tcW w:w="1403" w:type="dxa"/>
            <w:vMerge w:val="continue"/>
            <w:vAlign w:val="center"/>
          </w:tcPr>
          <w:p>
            <w:pPr>
              <w:adjustRightInd w:val="0"/>
              <w:snapToGrid w:val="0"/>
              <w:spacing w:before="156" w:beforeLines="50" w:line="360" w:lineRule="auto"/>
              <w:jc w:val="center"/>
              <w:rPr>
                <w:color w:val="auto"/>
                <w:sz w:val="21"/>
                <w:szCs w:val="21"/>
                <w:highlight w:val="none"/>
              </w:rPr>
            </w:pPr>
          </w:p>
        </w:tc>
        <w:tc>
          <w:tcPr>
            <w:tcW w:w="885" w:type="dxa"/>
            <w:vAlign w:val="center"/>
          </w:tcPr>
          <w:p>
            <w:pPr>
              <w:adjustRightInd w:val="0"/>
              <w:snapToGrid w:val="0"/>
              <w:spacing w:before="156" w:beforeLines="50" w:line="360" w:lineRule="auto"/>
              <w:jc w:val="center"/>
              <w:rPr>
                <w:rFonts w:hint="eastAsia" w:eastAsia="宋体"/>
                <w:color w:val="auto"/>
                <w:sz w:val="21"/>
                <w:szCs w:val="21"/>
                <w:highlight w:val="none"/>
                <w:lang w:eastAsia="zh-CN"/>
              </w:rPr>
            </w:pPr>
            <w:r>
              <w:rPr>
                <w:rFonts w:hint="eastAsia" w:eastAsia="宋体"/>
                <w:color w:val="auto"/>
                <w:sz w:val="21"/>
                <w:szCs w:val="21"/>
                <w:highlight w:val="none"/>
                <w:lang w:eastAsia="zh-CN"/>
              </w:rPr>
              <w:t>工期</w:t>
            </w:r>
          </w:p>
        </w:tc>
        <w:tc>
          <w:tcPr>
            <w:tcW w:w="945" w:type="dxa"/>
            <w:vAlign w:val="center"/>
          </w:tcPr>
          <w:p>
            <w:pPr>
              <w:adjustRightInd w:val="0"/>
              <w:snapToGrid w:val="0"/>
              <w:spacing w:before="156" w:beforeLines="50" w:line="360" w:lineRule="auto"/>
              <w:jc w:val="center"/>
              <w:rPr>
                <w:color w:val="auto"/>
                <w:sz w:val="21"/>
                <w:szCs w:val="21"/>
                <w:highlight w:val="none"/>
              </w:rPr>
            </w:pPr>
            <w:r>
              <w:rPr>
                <w:rFonts w:hint="eastAsia"/>
                <w:color w:val="auto"/>
                <w:sz w:val="21"/>
                <w:szCs w:val="21"/>
                <w:highlight w:val="none"/>
              </w:rPr>
              <w:t>地点</w:t>
            </w:r>
          </w:p>
        </w:tc>
        <w:tc>
          <w:tcPr>
            <w:tcW w:w="765" w:type="dxa"/>
          </w:tcPr>
          <w:p>
            <w:pPr>
              <w:adjustRightInd w:val="0"/>
              <w:snapToGrid w:val="0"/>
              <w:spacing w:before="156" w:beforeLines="50" w:line="360" w:lineRule="auto"/>
              <w:rPr>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529" w:type="dxa"/>
            <w:vAlign w:val="center"/>
          </w:tcPr>
          <w:p>
            <w:pPr>
              <w:adjustRightInd w:val="0"/>
              <w:snapToGrid w:val="0"/>
              <w:spacing w:before="156" w:beforeLines="50" w:line="360" w:lineRule="auto"/>
              <w:jc w:val="center"/>
              <w:rPr>
                <w:rFonts w:hint="default" w:eastAsia="宋体"/>
                <w:color w:val="auto"/>
                <w:sz w:val="21"/>
                <w:szCs w:val="21"/>
                <w:highlight w:val="none"/>
                <w:lang w:val="en-US" w:eastAsia="zh-CN"/>
              </w:rPr>
            </w:pPr>
            <w:r>
              <w:rPr>
                <w:rFonts w:hint="eastAsia" w:ascii="Times New Roman" w:eastAsia="宋体"/>
                <w:color w:val="auto"/>
                <w:sz w:val="21"/>
                <w:szCs w:val="21"/>
                <w:highlight w:val="none"/>
                <w:lang w:val="en-US" w:eastAsia="zh-CN"/>
              </w:rPr>
              <w:t>01</w:t>
            </w:r>
          </w:p>
        </w:tc>
        <w:tc>
          <w:tcPr>
            <w:tcW w:w="1526" w:type="dxa"/>
            <w:vAlign w:val="center"/>
          </w:tcPr>
          <w:p>
            <w:pPr>
              <w:adjustRightInd w:val="0"/>
              <w:snapToGrid w:val="0"/>
              <w:spacing w:before="156" w:beforeLines="50" w:line="240" w:lineRule="auto"/>
              <w:jc w:val="center"/>
              <w:rPr>
                <w:color w:val="auto"/>
                <w:sz w:val="21"/>
                <w:szCs w:val="21"/>
                <w:highlight w:val="none"/>
              </w:rPr>
            </w:pPr>
            <w:r>
              <w:rPr>
                <w:rFonts w:hint="eastAsia" w:ascii="Times New Roman" w:eastAsia="宋体"/>
                <w:color w:val="auto"/>
                <w:sz w:val="21"/>
                <w:szCs w:val="21"/>
                <w:highlight w:val="none"/>
                <w:lang w:val="en-US" w:eastAsia="zh-CN"/>
              </w:rPr>
              <w:t>邵阳经开区白蚁综合防治项目</w:t>
            </w:r>
          </w:p>
        </w:tc>
        <w:tc>
          <w:tcPr>
            <w:tcW w:w="1545" w:type="dxa"/>
            <w:vAlign w:val="center"/>
          </w:tcPr>
          <w:p>
            <w:pPr>
              <w:adjustRightInd w:val="0"/>
              <w:snapToGrid w:val="0"/>
              <w:spacing w:before="156" w:beforeLines="50" w:line="360" w:lineRule="auto"/>
              <w:jc w:val="center"/>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C16</w:t>
            </w:r>
            <w:r>
              <w:rPr>
                <w:rFonts w:hint="eastAsia" w:eastAsia="宋体"/>
                <w:color w:val="auto"/>
                <w:sz w:val="21"/>
                <w:szCs w:val="21"/>
                <w:highlight w:val="none"/>
                <w:lang w:val="en-US" w:eastAsia="zh-CN"/>
              </w:rPr>
              <w:t>环境服务</w:t>
            </w:r>
          </w:p>
        </w:tc>
        <w:tc>
          <w:tcPr>
            <w:tcW w:w="801" w:type="dxa"/>
            <w:tcBorders>
              <w:left w:val="single" w:color="auto" w:sz="4" w:space="0"/>
            </w:tcBorders>
            <w:vAlign w:val="center"/>
          </w:tcPr>
          <w:p>
            <w:pPr>
              <w:adjustRightInd w:val="0"/>
              <w:snapToGrid w:val="0"/>
              <w:spacing w:before="156" w:beforeLines="50" w:line="360" w:lineRule="auto"/>
              <w:jc w:val="center"/>
              <w:rPr>
                <w:rFonts w:hint="eastAsia" w:eastAsia="宋体"/>
                <w:color w:val="auto"/>
                <w:sz w:val="21"/>
                <w:szCs w:val="21"/>
                <w:highlight w:val="none"/>
                <w:lang w:eastAsia="zh-CN"/>
              </w:rPr>
            </w:pPr>
            <w:r>
              <w:rPr>
                <w:rFonts w:hint="eastAsia" w:eastAsia="宋体"/>
                <w:color w:val="auto"/>
                <w:sz w:val="21"/>
                <w:szCs w:val="21"/>
                <w:highlight w:val="none"/>
                <w:lang w:eastAsia="zh-CN"/>
              </w:rPr>
              <w:t>否</w:t>
            </w:r>
          </w:p>
        </w:tc>
        <w:tc>
          <w:tcPr>
            <w:tcW w:w="939" w:type="dxa"/>
            <w:vAlign w:val="center"/>
          </w:tcPr>
          <w:p>
            <w:pPr>
              <w:adjustRightInd w:val="0"/>
              <w:snapToGrid w:val="0"/>
              <w:spacing w:before="156" w:beforeLines="50" w:line="360" w:lineRule="auto"/>
              <w:jc w:val="center"/>
              <w:rPr>
                <w:rFonts w:hint="default" w:eastAsia="宋体"/>
                <w:color w:val="auto"/>
                <w:sz w:val="21"/>
                <w:szCs w:val="21"/>
                <w:highlight w:val="none"/>
                <w:lang w:val="en-US" w:eastAsia="zh-CN"/>
              </w:rPr>
            </w:pPr>
            <w:r>
              <w:rPr>
                <w:rFonts w:hint="eastAsia" w:ascii="Times New Roman" w:eastAsia="宋体"/>
                <w:color w:val="auto"/>
                <w:sz w:val="21"/>
                <w:szCs w:val="21"/>
                <w:highlight w:val="none"/>
                <w:lang w:val="en-US" w:eastAsia="zh-CN"/>
              </w:rPr>
              <w:t>1</w:t>
            </w:r>
          </w:p>
        </w:tc>
        <w:tc>
          <w:tcPr>
            <w:tcW w:w="1403" w:type="dxa"/>
            <w:vAlign w:val="center"/>
          </w:tcPr>
          <w:p>
            <w:pPr>
              <w:adjustRightInd w:val="0"/>
              <w:snapToGrid w:val="0"/>
              <w:spacing w:before="156" w:beforeLines="50" w:line="360" w:lineRule="auto"/>
              <w:jc w:val="center"/>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35万元</w:t>
            </w:r>
          </w:p>
        </w:tc>
        <w:tc>
          <w:tcPr>
            <w:tcW w:w="885" w:type="dxa"/>
            <w:vAlign w:val="center"/>
          </w:tcPr>
          <w:p>
            <w:pPr>
              <w:adjustRightInd w:val="0"/>
              <w:snapToGrid w:val="0"/>
              <w:spacing w:before="156" w:beforeLines="50" w:line="240" w:lineRule="auto"/>
              <w:jc w:val="center"/>
              <w:rPr>
                <w:rFonts w:hint="default"/>
                <w:color w:val="auto"/>
                <w:highlight w:val="none"/>
                <w:lang w:val="en-US" w:eastAsia="zh-CN"/>
              </w:rPr>
            </w:pPr>
            <w:r>
              <w:rPr>
                <w:rFonts w:hint="eastAsia"/>
                <w:color w:val="auto"/>
                <w:highlight w:val="none"/>
                <w:lang w:val="en-US" w:eastAsia="zh-CN"/>
              </w:rPr>
              <w:t>三年</w:t>
            </w:r>
            <w:r>
              <w:rPr>
                <w:rFonts w:hint="eastAsia" w:ascii="Times New Roman" w:eastAsia="宋体"/>
                <w:color w:val="auto"/>
                <w:highlight w:val="none"/>
                <w:lang w:val="en-US" w:eastAsia="zh-CN"/>
              </w:rPr>
              <w:t xml:space="preserve">                      </w:t>
            </w:r>
          </w:p>
          <w:p>
            <w:pPr>
              <w:widowControl w:val="0"/>
              <w:tabs>
                <w:tab w:val="left" w:pos="2340"/>
              </w:tabs>
              <w:spacing w:after="120"/>
              <w:ind w:left="42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Times New Roman"/>
                <w:color w:val="auto"/>
                <w:kern w:val="0"/>
                <w:sz w:val="21"/>
                <w:szCs w:val="21"/>
                <w:highlight w:val="none"/>
                <w:u w:val="none"/>
                <w:lang w:val="en-US" w:eastAsia="zh-CN" w:bidi="ar-SA"/>
              </w:rPr>
              <w:t xml:space="preserve">   </w:t>
            </w:r>
          </w:p>
        </w:tc>
        <w:tc>
          <w:tcPr>
            <w:tcW w:w="945" w:type="dxa"/>
            <w:vAlign w:val="center"/>
          </w:tcPr>
          <w:p>
            <w:pPr>
              <w:adjustRightInd w:val="0"/>
              <w:snapToGrid w:val="0"/>
              <w:spacing w:before="156" w:beforeLines="50" w:line="360" w:lineRule="auto"/>
              <w:jc w:val="center"/>
              <w:rPr>
                <w:rFonts w:hint="default" w:eastAsia="宋体"/>
                <w:color w:val="auto"/>
                <w:sz w:val="21"/>
                <w:szCs w:val="21"/>
                <w:highlight w:val="none"/>
                <w:lang w:val="en-US" w:eastAsia="zh-CN"/>
              </w:rPr>
            </w:pPr>
            <w:r>
              <w:rPr>
                <w:rFonts w:hint="eastAsia" w:ascii="Times New Roman" w:eastAsia="宋体"/>
                <w:color w:val="auto"/>
                <w:sz w:val="21"/>
                <w:szCs w:val="21"/>
                <w:highlight w:val="none"/>
                <w:lang w:val="en-US" w:eastAsia="zh-CN"/>
              </w:rPr>
              <w:t>邵阳市经济开发区</w:t>
            </w:r>
          </w:p>
        </w:tc>
        <w:tc>
          <w:tcPr>
            <w:tcW w:w="765" w:type="dxa"/>
            <w:vAlign w:val="center"/>
          </w:tcPr>
          <w:p>
            <w:pPr>
              <w:adjustRightInd w:val="0"/>
              <w:snapToGrid w:val="0"/>
              <w:spacing w:before="156" w:beforeLines="50" w:line="360" w:lineRule="auto"/>
              <w:jc w:val="center"/>
              <w:rPr>
                <w:rFonts w:hint="eastAsia" w:eastAsia="宋体"/>
                <w:color w:val="auto"/>
                <w:sz w:val="21"/>
                <w:szCs w:val="21"/>
                <w:highlight w:val="none"/>
                <w:lang w:eastAsia="zh-CN"/>
              </w:rPr>
            </w:pPr>
          </w:p>
        </w:tc>
      </w:tr>
    </w:tbl>
    <w:p>
      <w:pPr>
        <w:jc w:val="center"/>
        <w:outlineLvl w:val="1"/>
        <w:rPr>
          <w:rFonts w:hint="eastAsia" w:ascii="黑体" w:hAnsi="黑体" w:eastAsia="黑体"/>
          <w:color w:val="auto"/>
          <w:sz w:val="28"/>
          <w:szCs w:val="28"/>
          <w:highlight w:val="none"/>
          <w:lang w:val="en-US" w:eastAsia="zh-CN"/>
        </w:rPr>
      </w:pPr>
      <w:r>
        <w:rPr>
          <w:rFonts w:hint="eastAsia" w:ascii="黑体" w:hAnsi="黑体" w:eastAsia="黑体"/>
          <w:color w:val="auto"/>
          <w:sz w:val="28"/>
          <w:szCs w:val="28"/>
          <w:highlight w:val="none"/>
          <w:lang w:val="en-US" w:eastAsia="zh-CN"/>
        </w:rPr>
        <w:t xml:space="preserve"> </w:t>
      </w:r>
      <w:bookmarkStart w:id="3" w:name="_Toc20920"/>
      <w:bookmarkStart w:id="4" w:name="_Toc27014"/>
    </w:p>
    <w:p>
      <w:pPr>
        <w:jc w:val="center"/>
        <w:outlineLvl w:val="1"/>
        <w:rPr>
          <w:rFonts w:hint="eastAsia" w:ascii="黑体" w:hAnsi="黑体" w:eastAsia="黑体"/>
          <w:color w:val="auto"/>
          <w:sz w:val="28"/>
          <w:szCs w:val="28"/>
          <w:highlight w:val="none"/>
          <w:lang w:val="en-US" w:eastAsia="zh-CN"/>
        </w:rPr>
      </w:pPr>
      <w:r>
        <w:rPr>
          <w:rFonts w:hint="eastAsia" w:ascii="黑体" w:hAnsi="黑体" w:eastAsia="黑体"/>
          <w:color w:val="auto"/>
          <w:sz w:val="28"/>
          <w:szCs w:val="28"/>
          <w:highlight w:val="none"/>
          <w:lang w:val="en-US" w:eastAsia="zh-CN"/>
        </w:rPr>
        <w:t>第二节 技术要求</w:t>
      </w:r>
      <w:bookmarkEnd w:id="3"/>
      <w:bookmarkEnd w:id="4"/>
      <w:bookmarkStart w:id="6" w:name="_GoBack"/>
      <w:bookmarkEnd w:id="6"/>
    </w:p>
    <w:bookmarkEnd w:id="2"/>
    <w:p>
      <w:pPr>
        <w:widowControl w:val="0"/>
        <w:adjustRightInd w:val="0"/>
        <w:snapToGrid w:val="0"/>
        <w:spacing w:before="156" w:beforeLines="50" w:after="0" w:line="288" w:lineRule="auto"/>
        <w:ind w:left="420" w:left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一、项目名称</w:t>
      </w:r>
    </w:p>
    <w:p>
      <w:pPr>
        <w:widowControl w:val="0"/>
        <w:adjustRightInd w:val="0"/>
        <w:snapToGrid w:val="0"/>
        <w:spacing w:before="156" w:beforeLines="50" w:after="0" w:line="288"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邵阳经开区白蚁综合防治项目</w:t>
      </w:r>
    </w:p>
    <w:p>
      <w:pPr>
        <w:widowControl w:val="0"/>
        <w:adjustRightInd w:val="0"/>
        <w:snapToGrid w:val="0"/>
        <w:spacing w:before="156" w:beforeLines="50" w:after="0" w:line="288" w:lineRule="auto"/>
        <w:ind w:left="420" w:left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二、项目说明</w:t>
      </w:r>
    </w:p>
    <w:p>
      <w:pPr>
        <w:widowControl w:val="0"/>
        <w:adjustRightInd w:val="0"/>
        <w:snapToGrid w:val="0"/>
        <w:spacing w:before="156" w:beforeLines="50" w:after="0" w:line="288"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项目预算：35万元</w:t>
      </w:r>
    </w:p>
    <w:p>
      <w:pPr>
        <w:widowControl w:val="0"/>
        <w:adjustRightInd w:val="0"/>
        <w:snapToGrid w:val="0"/>
        <w:spacing w:before="156" w:beforeLines="50" w:after="0" w:line="288"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服务周期及要求：叁年</w:t>
      </w:r>
    </w:p>
    <w:p>
      <w:pPr>
        <w:widowControl w:val="0"/>
        <w:adjustRightInd w:val="0"/>
        <w:snapToGrid w:val="0"/>
        <w:spacing w:before="156" w:beforeLines="50" w:after="0" w:line="288" w:lineRule="auto"/>
        <w:ind w:left="420" w:leftChars="200"/>
        <w:jc w:val="both"/>
        <w:rPr>
          <w:rFonts w:hint="eastAsia" w:ascii="宋体" w:hAnsi="宋体" w:eastAsia="宋体" w:cs="宋体"/>
          <w:b/>
          <w:bCs/>
          <w:color w:val="auto"/>
          <w:kern w:val="2"/>
          <w:sz w:val="21"/>
          <w:szCs w:val="21"/>
          <w:highlight w:val="none"/>
          <w:lang w:val="en-US" w:eastAsia="zh-CN" w:bidi="ar-SA"/>
        </w:rPr>
      </w:pPr>
      <w:bookmarkStart w:id="5" w:name="OLE_LINK2"/>
      <w:r>
        <w:rPr>
          <w:rFonts w:hint="eastAsia" w:ascii="宋体" w:hAnsi="宋体" w:eastAsia="宋体" w:cs="宋体"/>
          <w:b/>
          <w:bCs/>
          <w:color w:val="auto"/>
          <w:kern w:val="2"/>
          <w:sz w:val="21"/>
          <w:szCs w:val="21"/>
          <w:highlight w:val="none"/>
          <w:lang w:val="en-US" w:eastAsia="zh-CN" w:bidi="ar-SA"/>
        </w:rPr>
        <w:t>三、项目基本情况</w:t>
      </w:r>
    </w:p>
    <w:bookmarkEnd w:id="5"/>
    <w:p>
      <w:pPr>
        <w:widowControl w:val="0"/>
        <w:adjustRightInd w:val="0"/>
        <w:snapToGrid w:val="0"/>
        <w:spacing w:before="156" w:beforeLines="50" w:after="0" w:line="360" w:lineRule="auto"/>
        <w:ind w:left="420" w:leftChars="200" w:firstLine="420" w:firstLine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邵阳市位于湘中偏西南，资江上游，属典型中亚热带湿润季风气候，四季分明，光热充足，雨水充沛，雨热同季。这些条件都非常适合白蚁生存，高崇山社区地处邵阳经济技术开发区边缘，属城乡结合部，本次白蚁危害涉及辖区内5个生产队，400余户，共计2000多人，房屋建筑面积加农林耕地面积合计约3000余亩。村民的房屋门窗、衣柜及其他木制家具都被白蚁危害；耕地里种不出地瓜、花生、凉薯等块茎类农作物；林地里大部分树木都遭白蚁危害严重，损失惨重，百姓苦不堪言。白蚁危害不仅使百姓经济蒙受损失，还存在树木倒伏、房屋倒塌、河（库）溃坝等安全隐患，经开区领导非常重视，为保障百姓生命财产安全，及时止损，避免更大的经济损失，决定在白蚁严重的高崇山社区范围内开展白蚁防治工作。</w:t>
      </w:r>
    </w:p>
    <w:p>
      <w:pPr>
        <w:widowControl w:val="0"/>
        <w:adjustRightInd w:val="0"/>
        <w:snapToGrid w:val="0"/>
        <w:spacing w:before="156" w:beforeLines="50" w:after="0" w:line="288" w:lineRule="auto"/>
        <w:ind w:left="0" w:leftChars="0" w:firstLine="422"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四、防治对象及范围</w:t>
      </w:r>
    </w:p>
    <w:p>
      <w:pPr>
        <w:widowControl w:val="0"/>
        <w:adjustRightInd w:val="0"/>
        <w:snapToGrid w:val="0"/>
        <w:spacing w:before="156" w:beforeLines="50" w:after="0" w:line="288"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（一）防治对象：白蚁</w:t>
      </w:r>
    </w:p>
    <w:p>
      <w:pPr>
        <w:widowControl w:val="0"/>
        <w:adjustRightInd w:val="0"/>
        <w:snapToGrid w:val="0"/>
        <w:spacing w:before="156" w:beforeLines="50" w:after="0" w:line="288"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（二）防治范围：邵阳经济技术开发区高崇山社区</w:t>
      </w:r>
    </w:p>
    <w:p>
      <w:pPr>
        <w:widowControl w:val="0"/>
        <w:adjustRightInd w:val="0"/>
        <w:snapToGrid w:val="0"/>
        <w:spacing w:before="156" w:beforeLines="50" w:after="0" w:line="288" w:lineRule="auto"/>
        <w:ind w:left="420" w:left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五、防治目标</w:t>
      </w:r>
    </w:p>
    <w:p>
      <w:pPr>
        <w:widowControl w:val="0"/>
        <w:adjustRightInd w:val="0"/>
        <w:snapToGrid w:val="0"/>
        <w:spacing w:before="156" w:beforeLines="50" w:after="0" w:line="360"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通过循环的检查、灭治和维护有效控制防治域内的白蚁的种群密度，使防治范围内白蚁防治杀灭率达85%以上。</w:t>
      </w:r>
    </w:p>
    <w:p>
      <w:pPr>
        <w:widowControl w:val="0"/>
        <w:adjustRightInd w:val="0"/>
        <w:snapToGrid w:val="0"/>
        <w:spacing w:before="156" w:beforeLines="50" w:after="0" w:line="288" w:lineRule="auto"/>
        <w:ind w:left="420" w:left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六、防治原则</w:t>
      </w:r>
    </w:p>
    <w:p>
      <w:pPr>
        <w:widowControl w:val="0"/>
        <w:adjustRightInd w:val="0"/>
        <w:snapToGrid w:val="0"/>
        <w:spacing w:before="156" w:beforeLines="50" w:after="0" w:line="360"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（一）总体原则：白蚁防治遵循“发预防为主，防治结合”的总体原则。对已经受白蚁侵害的与区域先进行灭治，对还未遭受白蚁危害的区域进行保护性预防，控制白蚁种群密度达到不足危害的水平。</w:t>
      </w:r>
    </w:p>
    <w:p>
      <w:pPr>
        <w:widowControl w:val="0"/>
        <w:adjustRightInd w:val="0"/>
        <w:snapToGrid w:val="0"/>
        <w:spacing w:before="156" w:beforeLines="50" w:after="0" w:line="360"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安全环保：必须使用符合国家环保要求的药物，且（农药登记证、生产许可证、企业标准）三证齐全，严禁使用被国际国内禁止使用的持久性有机污染的药物，也不能使用对人体神经系统有影响、禁止或限制使用的有毒化学品，以确保环境安全。</w:t>
      </w:r>
    </w:p>
    <w:p>
      <w:pPr>
        <w:widowControl w:val="0"/>
        <w:adjustRightInd w:val="0"/>
        <w:snapToGrid w:val="0"/>
        <w:spacing w:before="156" w:beforeLines="50" w:after="0" w:line="288" w:lineRule="auto"/>
        <w:ind w:left="420" w:left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七、白蚁综合防治方案</w:t>
      </w:r>
    </w:p>
    <w:p>
      <w:pPr>
        <w:widowControl w:val="0"/>
        <w:adjustRightInd w:val="0"/>
        <w:snapToGrid w:val="0"/>
        <w:spacing w:before="156" w:beforeLines="50" w:after="0" w:line="360"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喷粉灭治：采用0.5%的氟虫腈粉剂通过电动喷粉枪对现有被白蚁入侵的建筑物、树木的蚁道或外露的泥线对活体白蚁进行喷粉施药，粉剂通过喷射压力在蚁道内传播，让更多的白蚁沾染药粉，通过白蚁携带回巢，因白蚁个体之间有相互舔舐、清洁的习性，同时还有啃食同伴尸体、喂哺蚁王蚁后、和兵蚁的习性，从而达到整巢灭治的效果。</w:t>
      </w:r>
    </w:p>
    <w:p>
      <w:pPr>
        <w:widowControl w:val="0"/>
        <w:adjustRightInd w:val="0"/>
        <w:snapToGrid w:val="0"/>
        <w:spacing w:before="156" w:beforeLines="50" w:after="0" w:line="360"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（二）诱杀法：是利用白蚁对食物趋性的特点在白蚁活动行道树下直接埋设含有药物的毒饵诱杀包，当蚁群取食毒饵后使药物在群内传播，从而达到杀灭整巢白蚁的灭治方法。        </w:t>
      </w:r>
    </w:p>
    <w:p>
      <w:pPr>
        <w:widowControl w:val="0"/>
        <w:adjustRightInd w:val="0"/>
        <w:snapToGrid w:val="0"/>
        <w:spacing w:before="156" w:beforeLines="50" w:after="0" w:line="360"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三）药液喷洒：在防治区域内，对所有建筑物地基、空留的泥土地面、树木树干1米以下及根部周边进行白蚁药液喷洒，通过白蚁药水的渗透，既可以杀死白蚁也可以在建筑物周边及泥土地表形成毒土保护带，防止外围白蚁入侵。</w:t>
      </w:r>
    </w:p>
    <w:p>
      <w:pPr>
        <w:widowControl w:val="0"/>
        <w:adjustRightInd w:val="0"/>
        <w:snapToGrid w:val="0"/>
        <w:spacing w:before="156" w:beforeLines="50" w:after="0" w:line="360"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（四）挖巢法：白蚁是一种社会性昆虫，大部分白蚁都有营巢生存的习性，尤其是土白蚁和乳白蚁，蚁巢固定且种群内仅蚁王蚁后负责繁殖，取巢活捉蚁王蚁后即可消除整巢白蚁。</w:t>
      </w:r>
    </w:p>
    <w:p>
      <w:pPr>
        <w:widowControl w:val="0"/>
        <w:adjustRightInd w:val="0"/>
        <w:snapToGrid w:val="0"/>
        <w:spacing w:before="156" w:beforeLines="50" w:after="0" w:line="288" w:lineRule="auto"/>
        <w:ind w:left="420" w:left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八、验收标准</w:t>
      </w:r>
    </w:p>
    <w:p>
      <w:pPr>
        <w:widowControl w:val="0"/>
        <w:adjustRightInd w:val="0"/>
        <w:snapToGrid w:val="0"/>
        <w:spacing w:before="156" w:beforeLines="50" w:after="0" w:line="360" w:lineRule="auto"/>
        <w:ind w:left="420" w:left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参考《城市房屋白蚁防治管理规定》文件相关要求对白蚁防治效果进行项目验收。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OTA1NzY0MmNlODIzOWI1YmYyZjk2MDY5ZWYwMjUifQ=="/>
  </w:docVars>
  <w:rsids>
    <w:rsidRoot w:val="2D1C59A0"/>
    <w:rsid w:val="2D1C59A0"/>
    <w:rsid w:val="699360C7"/>
    <w:rsid w:val="7BFF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lang w:val="zh-CN"/>
    </w:rPr>
  </w:style>
  <w:style w:type="paragraph" w:styleId="4">
    <w:name w:val="Body Text Indent"/>
    <w:basedOn w:val="1"/>
    <w:next w:val="5"/>
    <w:qFormat/>
    <w:uiPriority w:val="0"/>
    <w:pPr>
      <w:spacing w:after="120"/>
      <w:ind w:left="420" w:leftChars="200"/>
    </w:pPr>
  </w:style>
  <w:style w:type="paragraph" w:styleId="5">
    <w:name w:val="Body Text Indent 2"/>
    <w:basedOn w:val="1"/>
    <w:qFormat/>
    <w:uiPriority w:val="0"/>
    <w:pPr>
      <w:spacing w:after="120" w:line="480" w:lineRule="auto"/>
      <w:ind w:left="420" w:leftChars="200"/>
    </w:pPr>
    <w:rPr>
      <w:lang w:val="zh-CN"/>
    </w:rPr>
  </w:style>
  <w:style w:type="paragraph" w:styleId="6">
    <w:name w:val="Body Text First Indent 2"/>
    <w:basedOn w:val="4"/>
    <w:next w:val="1"/>
    <w:qFormat/>
    <w:uiPriority w:val="0"/>
    <w:pPr>
      <w:tabs>
        <w:tab w:val="left" w:pos="2340"/>
      </w:tabs>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2022-05-19T08:47:00Z</dcterms:created>
  <dc:creator>Administrator</dc:creator>
  <cp:lastModifiedBy>Administrator</cp:lastModifiedBy>
  <dcterms:modified xsi:type="dcterms:W3CDTF">2022-05-19T08:52:01Z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D7D5639065C845E8AA0329C533C893E1</vt:lpwstr>
  </property>
</Properties>
</file>