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20"/>
        <w:jc w:val="center"/>
        <w:rPr>
          <w:rFonts w:hint="default" w:ascii="Arial" w:hAnsi="Arial" w:eastAsia="仿宋" w:cs="Arial"/>
          <w:color w:val="auto"/>
          <w:sz w:val="24"/>
          <w:szCs w:val="24"/>
          <w:lang w:val="en-US" w:eastAsia="zh-CN"/>
        </w:rPr>
      </w:pPr>
      <w:r>
        <w:rPr>
          <w:rFonts w:hint="eastAsia" w:ascii="Arial" w:hAnsi="Arial" w:eastAsia="仿宋" w:cs="Arial"/>
          <w:color w:val="auto"/>
          <w:sz w:val="24"/>
          <w:szCs w:val="24"/>
          <w:lang w:val="en-US" w:eastAsia="zh-CN"/>
        </w:rPr>
        <w:t xml:space="preserve">     </w:t>
      </w: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黑体" w:cs="Arial"/>
          <w:color w:val="auto"/>
          <w:sz w:val="24"/>
          <w:szCs w:val="24"/>
        </w:rPr>
      </w:pPr>
    </w:p>
    <w:p>
      <w:pPr>
        <w:snapToGrid w:val="0"/>
        <w:spacing w:line="360" w:lineRule="auto"/>
        <w:jc w:val="center"/>
        <w:rPr>
          <w:rFonts w:ascii="Arial" w:hAnsi="Arial" w:eastAsia="黑体" w:cs="Arial"/>
          <w:color w:val="auto"/>
          <w:sz w:val="84"/>
          <w:szCs w:val="84"/>
        </w:rPr>
      </w:pPr>
      <w:r>
        <w:rPr>
          <w:rFonts w:ascii="Arial" w:hAnsi="Arial" w:eastAsia="黑体" w:cs="Arial"/>
          <w:color w:val="auto"/>
          <w:sz w:val="84"/>
          <w:szCs w:val="84"/>
        </w:rPr>
        <w:t>竞争性磋商文件</w:t>
      </w:r>
    </w:p>
    <w:p>
      <w:pPr>
        <w:snapToGrid w:val="0"/>
        <w:spacing w:line="360" w:lineRule="auto"/>
        <w:jc w:val="center"/>
        <w:rPr>
          <w:rFonts w:ascii="Arial" w:hAnsi="Arial" w:eastAsia="黑体" w:cs="Arial"/>
          <w:color w:val="auto"/>
          <w:sz w:val="84"/>
          <w:szCs w:val="84"/>
        </w:rPr>
      </w:pPr>
    </w:p>
    <w:p>
      <w:pPr>
        <w:snapToGrid w:val="0"/>
        <w:spacing w:line="360" w:lineRule="auto"/>
        <w:jc w:val="both"/>
        <w:rPr>
          <w:rFonts w:ascii="Arial" w:hAnsi="Arial" w:eastAsia="黑体" w:cs="Arial"/>
          <w:color w:val="auto"/>
          <w:sz w:val="84"/>
          <w:szCs w:val="84"/>
        </w:rPr>
      </w:pPr>
    </w:p>
    <w:p>
      <w:pPr>
        <w:pStyle w:val="30"/>
        <w:rPr>
          <w:color w:val="auto"/>
        </w:rPr>
      </w:pPr>
    </w:p>
    <w:p>
      <w:pPr>
        <w:snapToGrid w:val="0"/>
        <w:spacing w:line="480" w:lineRule="auto"/>
        <w:ind w:firstLine="1400" w:firstLineChars="500"/>
        <w:jc w:val="left"/>
        <w:rPr>
          <w:rFonts w:hint="default" w:ascii="黑体" w:hAnsi="黑体" w:eastAsia="黑体" w:cs="黑体"/>
          <w:color w:val="auto"/>
          <w:sz w:val="28"/>
          <w:szCs w:val="28"/>
          <w:u w:val="none"/>
          <w:lang w:val="en-US" w:eastAsia="zh-CN"/>
        </w:rPr>
      </w:pPr>
      <w:r>
        <w:rPr>
          <w:rFonts w:hint="eastAsia" w:ascii="黑体" w:hAnsi="黑体" w:eastAsia="黑体" w:cs="黑体"/>
          <w:color w:val="auto"/>
          <w:sz w:val="28"/>
          <w:szCs w:val="28"/>
          <w:u w:val="none"/>
        </w:rPr>
        <w:t>采购项目编号：</w:t>
      </w:r>
      <w:r>
        <w:rPr>
          <w:rFonts w:hint="eastAsia" w:ascii="黑体" w:hAnsi="黑体" w:eastAsia="黑体" w:cs="黑体"/>
          <w:color w:val="auto"/>
          <w:sz w:val="28"/>
          <w:szCs w:val="28"/>
          <w:u w:val="none"/>
          <w:lang w:val="zh-CN"/>
        </w:rPr>
        <w:t>青海锋业竞磋（服务）2022-038</w:t>
      </w:r>
    </w:p>
    <w:p>
      <w:pPr>
        <w:snapToGrid w:val="0"/>
        <w:spacing w:line="480" w:lineRule="auto"/>
        <w:ind w:left="3356" w:leftChars="665" w:hanging="1960" w:hangingChars="700"/>
        <w:jc w:val="left"/>
        <w:rPr>
          <w:rFonts w:hint="eastAsia"/>
          <w:lang w:eastAsia="zh-CN"/>
        </w:rPr>
      </w:pPr>
      <w:r>
        <w:rPr>
          <w:rFonts w:hint="eastAsia" w:ascii="黑体" w:hAnsi="黑体" w:eastAsia="黑体" w:cs="黑体"/>
          <w:color w:val="auto"/>
          <w:sz w:val="28"/>
          <w:szCs w:val="28"/>
          <w:u w:val="none"/>
        </w:rPr>
        <w:t>采购项目名称：</w:t>
      </w:r>
      <w:r>
        <w:rPr>
          <w:rFonts w:hint="eastAsia" w:ascii="黑体" w:hAnsi="黑体" w:eastAsia="黑体" w:cs="黑体"/>
          <w:color w:val="auto"/>
          <w:sz w:val="28"/>
          <w:szCs w:val="28"/>
          <w:u w:val="none"/>
          <w:lang w:eastAsia="zh-CN"/>
        </w:rPr>
        <w:t>西宁市本级2022年第一批中央林业改革发展资金林业有害生物防控项目</w:t>
      </w:r>
    </w:p>
    <w:p>
      <w:pPr>
        <w:snapToGrid w:val="0"/>
        <w:spacing w:line="480" w:lineRule="auto"/>
        <w:ind w:firstLine="1400" w:firstLineChars="500"/>
        <w:jc w:val="left"/>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采购人：</w:t>
      </w:r>
      <w:r>
        <w:rPr>
          <w:rFonts w:hint="eastAsia" w:ascii="黑体" w:hAnsi="黑体" w:eastAsia="黑体" w:cs="黑体"/>
          <w:color w:val="auto"/>
          <w:sz w:val="28"/>
          <w:szCs w:val="28"/>
          <w:u w:val="none"/>
          <w:lang w:eastAsia="zh-CN"/>
        </w:rPr>
        <w:t>西宁市森林病虫害防治检疫站</w:t>
      </w:r>
    </w:p>
    <w:p>
      <w:pPr>
        <w:snapToGrid w:val="0"/>
        <w:spacing w:line="480" w:lineRule="auto"/>
        <w:ind w:firstLine="1400" w:firstLineChars="500"/>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采购代理机构：</w:t>
      </w:r>
      <w:r>
        <w:rPr>
          <w:rFonts w:hint="eastAsia" w:ascii="黑体" w:hAnsi="黑体" w:eastAsia="黑体" w:cs="黑体"/>
          <w:color w:val="auto"/>
          <w:sz w:val="28"/>
          <w:szCs w:val="28"/>
          <w:u w:val="none"/>
          <w:lang w:eastAsia="zh-CN"/>
        </w:rPr>
        <w:t>青海锋业工程项目管理有限公司</w:t>
      </w:r>
    </w:p>
    <w:p>
      <w:pPr>
        <w:snapToGrid w:val="0"/>
        <w:spacing w:line="480" w:lineRule="auto"/>
        <w:jc w:val="center"/>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w:t>
      </w:r>
    </w:p>
    <w:p>
      <w:pPr>
        <w:snapToGrid w:val="0"/>
        <w:spacing w:line="480" w:lineRule="auto"/>
        <w:jc w:val="center"/>
        <w:rPr>
          <w:rFonts w:hint="eastAsia" w:ascii="黑体" w:hAnsi="黑体" w:eastAsia="黑体" w:cs="黑体"/>
          <w:b w:val="0"/>
          <w:bCs w:val="0"/>
          <w:color w:val="auto"/>
          <w:sz w:val="30"/>
          <w:szCs w:val="30"/>
          <w:u w:val="none"/>
        </w:rPr>
      </w:pPr>
      <w:r>
        <w:rPr>
          <w:rFonts w:hint="eastAsia" w:ascii="黑体" w:hAnsi="黑体" w:eastAsia="黑体" w:cs="黑体"/>
          <w:b w:val="0"/>
          <w:bCs w:val="0"/>
          <w:color w:val="auto"/>
          <w:sz w:val="30"/>
          <w:szCs w:val="30"/>
          <w:u w:val="none"/>
        </w:rPr>
        <w:t>202</w:t>
      </w:r>
      <w:r>
        <w:rPr>
          <w:rFonts w:hint="eastAsia" w:ascii="黑体" w:hAnsi="黑体" w:eastAsia="黑体" w:cs="黑体"/>
          <w:b w:val="0"/>
          <w:bCs w:val="0"/>
          <w:color w:val="auto"/>
          <w:sz w:val="30"/>
          <w:szCs w:val="30"/>
          <w:u w:val="none"/>
          <w:lang w:val="en-US" w:eastAsia="zh-CN"/>
        </w:rPr>
        <w:t>2</w:t>
      </w:r>
      <w:r>
        <w:rPr>
          <w:rFonts w:hint="eastAsia" w:ascii="黑体" w:hAnsi="黑体" w:eastAsia="黑体" w:cs="黑体"/>
          <w:b w:val="0"/>
          <w:bCs w:val="0"/>
          <w:color w:val="auto"/>
          <w:sz w:val="30"/>
          <w:szCs w:val="30"/>
          <w:u w:val="none"/>
        </w:rPr>
        <w:t>年</w:t>
      </w:r>
      <w:r>
        <w:rPr>
          <w:rFonts w:hint="eastAsia" w:ascii="黑体" w:hAnsi="黑体" w:eastAsia="黑体" w:cs="黑体"/>
          <w:b w:val="0"/>
          <w:bCs w:val="0"/>
          <w:color w:val="auto"/>
          <w:sz w:val="30"/>
          <w:szCs w:val="30"/>
          <w:u w:val="none"/>
          <w:lang w:val="en-US" w:eastAsia="zh-CN"/>
        </w:rPr>
        <w:t>5</w:t>
      </w:r>
      <w:r>
        <w:rPr>
          <w:rFonts w:hint="eastAsia" w:ascii="黑体" w:hAnsi="黑体" w:eastAsia="黑体" w:cs="黑体"/>
          <w:b w:val="0"/>
          <w:bCs w:val="0"/>
          <w:color w:val="auto"/>
          <w:sz w:val="30"/>
          <w:szCs w:val="30"/>
          <w:u w:val="none"/>
        </w:rPr>
        <w:t>月</w:t>
      </w:r>
    </w:p>
    <w:p>
      <w:pPr>
        <w:widowControl/>
        <w:tabs>
          <w:tab w:val="center" w:pos="4790"/>
          <w:tab w:val="left" w:pos="5848"/>
        </w:tabs>
        <w:ind w:right="199" w:rightChars="95"/>
        <w:jc w:val="left"/>
        <w:rPr>
          <w:rFonts w:hint="eastAsia" w:ascii="新宋体" w:hAnsi="新宋体" w:eastAsia="新宋体" w:cs="新宋体"/>
          <w:color w:val="auto"/>
          <w:sz w:val="36"/>
          <w:szCs w:val="36"/>
          <w:lang w:eastAsia="zh-CN"/>
        </w:rPr>
      </w:pPr>
      <w:r>
        <w:rPr>
          <w:rFonts w:hint="eastAsia" w:ascii="新宋体" w:hAnsi="新宋体" w:eastAsia="新宋体" w:cs="新宋体"/>
          <w:color w:val="auto"/>
          <w:sz w:val="36"/>
          <w:szCs w:val="36"/>
          <w:lang w:eastAsia="zh-CN"/>
        </w:rPr>
        <w:tab/>
      </w:r>
    </w:p>
    <w:p>
      <w:pPr>
        <w:rPr>
          <w:rFonts w:hint="eastAsia" w:ascii="新宋体" w:hAnsi="新宋体" w:eastAsia="新宋体" w:cs="新宋体"/>
          <w:color w:val="auto"/>
          <w:sz w:val="36"/>
          <w:szCs w:val="36"/>
          <w:lang w:eastAsia="zh-CN"/>
        </w:rPr>
      </w:pPr>
      <w:r>
        <w:rPr>
          <w:rFonts w:hint="eastAsia" w:ascii="新宋体" w:hAnsi="新宋体" w:eastAsia="新宋体" w:cs="新宋体"/>
          <w:color w:val="auto"/>
          <w:sz w:val="36"/>
          <w:szCs w:val="36"/>
          <w:lang w:eastAsia="zh-CN"/>
        </w:rPr>
        <w:br w:type="page"/>
      </w:r>
    </w:p>
    <w:p>
      <w:pPr>
        <w:pStyle w:val="2"/>
        <w:rPr>
          <w:rFonts w:hint="eastAsia"/>
          <w:lang w:eastAsia="zh-CN"/>
        </w:rPr>
      </w:pPr>
    </w:p>
    <w:p>
      <w:pPr>
        <w:widowControl/>
        <w:tabs>
          <w:tab w:val="center" w:pos="4790"/>
          <w:tab w:val="left" w:pos="5848"/>
        </w:tabs>
        <w:ind w:right="199" w:rightChars="95" w:firstLine="4320" w:firstLineChars="1200"/>
        <w:jc w:val="left"/>
        <w:rPr>
          <w:rFonts w:hint="eastAsia" w:ascii="新宋体" w:hAnsi="新宋体" w:eastAsia="新宋体" w:cs="新宋体"/>
          <w:color w:val="auto"/>
          <w:sz w:val="36"/>
          <w:szCs w:val="36"/>
          <w:lang w:eastAsia="zh-CN"/>
        </w:rPr>
      </w:pPr>
      <w:r>
        <w:rPr>
          <w:rFonts w:hint="eastAsia" w:ascii="新宋体" w:hAnsi="新宋体" w:eastAsia="新宋体" w:cs="新宋体"/>
          <w:color w:val="auto"/>
          <w:sz w:val="36"/>
          <w:szCs w:val="36"/>
        </w:rPr>
        <w:t>目</w:t>
      </w:r>
      <w:r>
        <w:rPr>
          <w:rFonts w:hint="eastAsia" w:ascii="新宋体" w:hAnsi="新宋体" w:eastAsia="新宋体" w:cs="新宋体"/>
          <w:color w:val="auto"/>
          <w:sz w:val="36"/>
          <w:szCs w:val="36"/>
          <w:lang w:val="en-US" w:eastAsia="zh-CN"/>
        </w:rPr>
        <w:t xml:space="preserve"> </w:t>
      </w:r>
      <w:r>
        <w:rPr>
          <w:rFonts w:hint="eastAsia" w:ascii="新宋体" w:hAnsi="新宋体" w:eastAsia="新宋体" w:cs="新宋体"/>
          <w:color w:val="auto"/>
          <w:sz w:val="36"/>
          <w:szCs w:val="36"/>
        </w:rPr>
        <w:t>录</w:t>
      </w:r>
      <w:r>
        <w:rPr>
          <w:rFonts w:hint="eastAsia" w:ascii="新宋体" w:hAnsi="新宋体" w:eastAsia="新宋体" w:cs="新宋体"/>
          <w:color w:val="auto"/>
          <w:sz w:val="36"/>
          <w:szCs w:val="36"/>
          <w:lang w:eastAsia="zh-CN"/>
        </w:rPr>
        <w:tab/>
      </w:r>
    </w:p>
    <w:p>
      <w:pPr>
        <w:pStyle w:val="23"/>
        <w:tabs>
          <w:tab w:val="right" w:leader="middleDot" w:pos="10263"/>
          <w:tab w:val="clear" w:pos="9514"/>
        </w:tabs>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TOC \o "1-3" \h \z \u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_Toc16685 </w:instrText>
      </w:r>
      <w:r>
        <w:rPr>
          <w:rFonts w:hint="eastAsia" w:ascii="新宋体" w:hAnsi="新宋体" w:eastAsia="新宋体" w:cs="新宋体"/>
          <w:szCs w:val="24"/>
        </w:rPr>
        <w:fldChar w:fldCharType="separate"/>
      </w:r>
      <w:r>
        <w:rPr>
          <w:rFonts w:hint="eastAsia" w:ascii="新宋体" w:hAnsi="新宋体" w:eastAsia="新宋体" w:cs="新宋体"/>
          <w:szCs w:val="36"/>
        </w:rPr>
        <w:t>第一部分 竞争性磋商邀请</w:t>
      </w:r>
      <w:r>
        <w:tab/>
      </w:r>
      <w:r>
        <w:fldChar w:fldCharType="begin"/>
      </w:r>
      <w:r>
        <w:instrText xml:space="preserve"> PAGEREF _Toc16685 \h </w:instrText>
      </w:r>
      <w:r>
        <w:fldChar w:fldCharType="separate"/>
      </w:r>
      <w:r>
        <w:t>1</w:t>
      </w:r>
      <w:r>
        <w:fldChar w:fldCharType="end"/>
      </w:r>
      <w:r>
        <w:rPr>
          <w:rFonts w:hint="eastAsia" w:ascii="新宋体" w:hAnsi="新宋体" w:eastAsia="新宋体" w:cs="新宋体"/>
          <w:color w:val="auto"/>
          <w:szCs w:val="24"/>
        </w:rPr>
        <w:fldChar w:fldCharType="end"/>
      </w:r>
    </w:p>
    <w:p>
      <w:pPr>
        <w:pStyle w:val="23"/>
        <w:tabs>
          <w:tab w:val="right" w:leader="middleDot" w:pos="10263"/>
          <w:tab w:val="clear" w:pos="9514"/>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_Toc5535 </w:instrText>
      </w:r>
      <w:r>
        <w:rPr>
          <w:rFonts w:hint="eastAsia" w:ascii="新宋体" w:hAnsi="新宋体" w:eastAsia="新宋体" w:cs="新宋体"/>
          <w:szCs w:val="24"/>
        </w:rPr>
        <w:fldChar w:fldCharType="separate"/>
      </w:r>
      <w:r>
        <w:rPr>
          <w:rFonts w:hint="eastAsia" w:ascii="新宋体" w:hAnsi="新宋体" w:eastAsia="新宋体" w:cs="新宋体"/>
          <w:szCs w:val="36"/>
        </w:rPr>
        <w:t>第二部分 投标人须知</w:t>
      </w:r>
      <w:r>
        <w:tab/>
      </w:r>
      <w:r>
        <w:fldChar w:fldCharType="begin"/>
      </w:r>
      <w:r>
        <w:instrText xml:space="preserve"> PAGEREF _Toc5535 \h </w:instrText>
      </w:r>
      <w:r>
        <w:fldChar w:fldCharType="separate"/>
      </w:r>
      <w:r>
        <w:t>4</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_Toc5161 </w:instrText>
      </w:r>
      <w:r>
        <w:rPr>
          <w:rFonts w:hint="eastAsia" w:ascii="新宋体" w:hAnsi="新宋体" w:eastAsia="新宋体" w:cs="新宋体"/>
          <w:szCs w:val="24"/>
        </w:rPr>
        <w:fldChar w:fldCharType="separate"/>
      </w:r>
      <w:r>
        <w:rPr>
          <w:rFonts w:hint="default" w:ascii="新宋体" w:hAnsi="新宋体" w:eastAsia="新宋体" w:cs="新宋体"/>
        </w:rPr>
        <w:t xml:space="preserve">一、 </w:t>
      </w:r>
      <w:r>
        <w:rPr>
          <w:rFonts w:hint="eastAsia" w:ascii="新宋体" w:hAnsi="新宋体" w:eastAsia="新宋体" w:cs="新宋体"/>
        </w:rPr>
        <w:t>说明</w:t>
      </w:r>
      <w:r>
        <w:tab/>
      </w:r>
      <w:r>
        <w:fldChar w:fldCharType="begin"/>
      </w:r>
      <w:r>
        <w:instrText xml:space="preserve"> PAGEREF _Toc5161 \h </w:instrText>
      </w:r>
      <w:r>
        <w:fldChar w:fldCharType="separate"/>
      </w:r>
      <w:r>
        <w:t>4</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_Toc28854 </w:instrText>
      </w:r>
      <w:r>
        <w:rPr>
          <w:rFonts w:hint="eastAsia" w:ascii="新宋体" w:hAnsi="新宋体" w:eastAsia="新宋体" w:cs="新宋体"/>
          <w:szCs w:val="24"/>
        </w:rPr>
        <w:fldChar w:fldCharType="separate"/>
      </w:r>
      <w:r>
        <w:rPr>
          <w:rFonts w:hint="default" w:ascii="新宋体" w:hAnsi="新宋体" w:eastAsia="新宋体" w:cs="新宋体"/>
        </w:rPr>
        <w:t xml:space="preserve">二、 </w:t>
      </w:r>
      <w:r>
        <w:rPr>
          <w:rFonts w:hint="eastAsia" w:ascii="新宋体" w:hAnsi="新宋体" w:eastAsia="新宋体" w:cs="新宋体"/>
        </w:rPr>
        <w:t>磋商文件说明</w:t>
      </w:r>
      <w:r>
        <w:tab/>
      </w:r>
      <w:r>
        <w:fldChar w:fldCharType="begin"/>
      </w:r>
      <w:r>
        <w:instrText xml:space="preserve"> PAGEREF _Toc28854 \h </w:instrText>
      </w:r>
      <w:r>
        <w:fldChar w:fldCharType="separate"/>
      </w:r>
      <w:r>
        <w:t>4</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_Toc12470 </w:instrText>
      </w:r>
      <w:r>
        <w:rPr>
          <w:rFonts w:hint="eastAsia" w:ascii="新宋体" w:hAnsi="新宋体" w:eastAsia="新宋体" w:cs="新宋体"/>
          <w:szCs w:val="24"/>
        </w:rPr>
        <w:fldChar w:fldCharType="separate"/>
      </w:r>
      <w:r>
        <w:rPr>
          <w:rFonts w:hint="default" w:ascii="新宋体" w:hAnsi="新宋体" w:eastAsia="新宋体" w:cs="新宋体"/>
        </w:rPr>
        <w:t xml:space="preserve">三、 </w:t>
      </w:r>
      <w:r>
        <w:rPr>
          <w:rFonts w:hint="eastAsia" w:ascii="新宋体" w:hAnsi="新宋体" w:eastAsia="新宋体" w:cs="新宋体"/>
        </w:rPr>
        <w:t>响应文件的编制</w:t>
      </w:r>
      <w:r>
        <w:tab/>
      </w:r>
      <w:r>
        <w:fldChar w:fldCharType="begin"/>
      </w:r>
      <w:r>
        <w:instrText xml:space="preserve"> PAGEREF _Toc12470 \h </w:instrText>
      </w:r>
      <w:r>
        <w:fldChar w:fldCharType="separate"/>
      </w:r>
      <w:r>
        <w:t>6</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_Toc386 </w:instrText>
      </w:r>
      <w:r>
        <w:rPr>
          <w:rFonts w:hint="eastAsia" w:ascii="新宋体" w:hAnsi="新宋体" w:eastAsia="新宋体" w:cs="新宋体"/>
          <w:szCs w:val="24"/>
        </w:rPr>
        <w:fldChar w:fldCharType="separate"/>
      </w:r>
      <w:r>
        <w:rPr>
          <w:rFonts w:hint="default" w:ascii="新宋体" w:hAnsi="新宋体" w:eastAsia="新宋体" w:cs="新宋体"/>
        </w:rPr>
        <w:t xml:space="preserve">四、 </w:t>
      </w:r>
      <w:r>
        <w:rPr>
          <w:rFonts w:hint="eastAsia" w:ascii="新宋体" w:hAnsi="新宋体" w:eastAsia="新宋体" w:cs="新宋体"/>
        </w:rPr>
        <w:t>响应文件的提交</w:t>
      </w:r>
      <w:r>
        <w:tab/>
      </w:r>
      <w:r>
        <w:fldChar w:fldCharType="begin"/>
      </w:r>
      <w:r>
        <w:instrText xml:space="preserve"> PAGEREF _Toc386 \h </w:instrText>
      </w:r>
      <w:r>
        <w:fldChar w:fldCharType="separate"/>
      </w:r>
      <w:r>
        <w:t>9</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_Toc7118 </w:instrText>
      </w:r>
      <w:r>
        <w:rPr>
          <w:rFonts w:hint="eastAsia" w:ascii="新宋体" w:hAnsi="新宋体" w:eastAsia="新宋体" w:cs="新宋体"/>
          <w:szCs w:val="24"/>
        </w:rPr>
        <w:fldChar w:fldCharType="separate"/>
      </w:r>
      <w:r>
        <w:rPr>
          <w:rFonts w:hint="default" w:ascii="新宋体" w:hAnsi="新宋体" w:eastAsia="新宋体" w:cs="新宋体"/>
        </w:rPr>
        <w:t xml:space="preserve">五、 </w:t>
      </w:r>
      <w:r>
        <w:rPr>
          <w:rFonts w:hint="eastAsia" w:ascii="新宋体" w:hAnsi="新宋体" w:eastAsia="新宋体" w:cs="新宋体"/>
        </w:rPr>
        <w:t>开标</w:t>
      </w:r>
      <w:r>
        <w:tab/>
      </w:r>
      <w:r>
        <w:fldChar w:fldCharType="begin"/>
      </w:r>
      <w:r>
        <w:instrText xml:space="preserve"> PAGEREF _Toc7118 \h </w:instrText>
      </w:r>
      <w:r>
        <w:fldChar w:fldCharType="separate"/>
      </w:r>
      <w:r>
        <w:t>10</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_Toc28099 </w:instrText>
      </w:r>
      <w:r>
        <w:rPr>
          <w:rFonts w:hint="eastAsia" w:ascii="新宋体" w:hAnsi="新宋体" w:eastAsia="新宋体" w:cs="新宋体"/>
          <w:szCs w:val="24"/>
        </w:rPr>
        <w:fldChar w:fldCharType="separate"/>
      </w:r>
      <w:r>
        <w:rPr>
          <w:rFonts w:hint="default" w:ascii="新宋体" w:hAnsi="新宋体" w:eastAsia="新宋体" w:cs="新宋体"/>
        </w:rPr>
        <w:t xml:space="preserve">六、 </w:t>
      </w:r>
      <w:r>
        <w:rPr>
          <w:rFonts w:hint="eastAsia" w:ascii="新宋体" w:hAnsi="新宋体" w:eastAsia="新宋体" w:cs="新宋体"/>
        </w:rPr>
        <w:t>资格审查程序</w:t>
      </w:r>
      <w:r>
        <w:tab/>
      </w:r>
      <w:r>
        <w:fldChar w:fldCharType="begin"/>
      </w:r>
      <w:r>
        <w:instrText xml:space="preserve"> PAGEREF _Toc28099 \h </w:instrText>
      </w:r>
      <w:r>
        <w:fldChar w:fldCharType="separate"/>
      </w:r>
      <w:r>
        <w:t>10</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_Toc19316 </w:instrText>
      </w:r>
      <w:r>
        <w:rPr>
          <w:rFonts w:hint="eastAsia" w:ascii="新宋体" w:hAnsi="新宋体" w:eastAsia="新宋体" w:cs="新宋体"/>
          <w:szCs w:val="24"/>
        </w:rPr>
        <w:fldChar w:fldCharType="separate"/>
      </w:r>
      <w:r>
        <w:rPr>
          <w:rFonts w:hint="default" w:ascii="新宋体" w:hAnsi="新宋体" w:eastAsia="新宋体" w:cs="新宋体"/>
        </w:rPr>
        <w:t xml:space="preserve">七、 </w:t>
      </w:r>
      <w:r>
        <w:rPr>
          <w:rFonts w:hint="eastAsia" w:ascii="新宋体" w:hAnsi="新宋体" w:eastAsia="新宋体" w:cs="新宋体"/>
        </w:rPr>
        <w:t>评审程序及方法</w:t>
      </w:r>
      <w:r>
        <w:tab/>
      </w:r>
      <w:r>
        <w:fldChar w:fldCharType="begin"/>
      </w:r>
      <w:r>
        <w:instrText xml:space="preserve"> PAGEREF _Toc19316 \h </w:instrText>
      </w:r>
      <w:r>
        <w:fldChar w:fldCharType="separate"/>
      </w:r>
      <w:r>
        <w:t>11</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_Toc31477 </w:instrText>
      </w:r>
      <w:r>
        <w:rPr>
          <w:rFonts w:hint="eastAsia" w:ascii="新宋体" w:hAnsi="新宋体" w:eastAsia="新宋体" w:cs="新宋体"/>
          <w:szCs w:val="24"/>
        </w:rPr>
        <w:fldChar w:fldCharType="separate"/>
      </w:r>
      <w:r>
        <w:rPr>
          <w:rFonts w:hint="default" w:ascii="新宋体" w:hAnsi="新宋体" w:eastAsia="新宋体" w:cs="新宋体"/>
        </w:rPr>
        <w:t xml:space="preserve">八、 </w:t>
      </w:r>
      <w:r>
        <w:rPr>
          <w:rFonts w:hint="eastAsia" w:ascii="新宋体" w:hAnsi="新宋体" w:eastAsia="新宋体" w:cs="新宋体"/>
        </w:rPr>
        <w:t>成交</w:t>
      </w:r>
      <w:r>
        <w:tab/>
      </w:r>
      <w:r>
        <w:fldChar w:fldCharType="begin"/>
      </w:r>
      <w:r>
        <w:instrText xml:space="preserve"> PAGEREF _Toc31477 \h </w:instrText>
      </w:r>
      <w:r>
        <w:fldChar w:fldCharType="separate"/>
      </w:r>
      <w:r>
        <w:t>18</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_Toc21496 </w:instrText>
      </w:r>
      <w:r>
        <w:rPr>
          <w:rFonts w:hint="eastAsia" w:ascii="新宋体" w:hAnsi="新宋体" w:eastAsia="新宋体" w:cs="新宋体"/>
          <w:szCs w:val="24"/>
        </w:rPr>
        <w:fldChar w:fldCharType="separate"/>
      </w:r>
      <w:r>
        <w:rPr>
          <w:rFonts w:hint="default" w:ascii="新宋体" w:hAnsi="新宋体" w:eastAsia="新宋体" w:cs="新宋体"/>
        </w:rPr>
        <w:t xml:space="preserve">九、 </w:t>
      </w:r>
      <w:r>
        <w:rPr>
          <w:rFonts w:hint="eastAsia" w:ascii="新宋体" w:hAnsi="新宋体" w:eastAsia="新宋体" w:cs="新宋体"/>
        </w:rPr>
        <w:t>授予合同</w:t>
      </w:r>
      <w:r>
        <w:tab/>
      </w:r>
      <w:r>
        <w:fldChar w:fldCharType="begin"/>
      </w:r>
      <w:r>
        <w:instrText xml:space="preserve"> PAGEREF _Toc21496 \h </w:instrText>
      </w:r>
      <w:r>
        <w:fldChar w:fldCharType="separate"/>
      </w:r>
      <w:r>
        <w:t>19</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_Toc17390 </w:instrText>
      </w:r>
      <w:r>
        <w:rPr>
          <w:rFonts w:hint="eastAsia" w:ascii="新宋体" w:hAnsi="新宋体" w:eastAsia="新宋体" w:cs="新宋体"/>
          <w:szCs w:val="24"/>
        </w:rPr>
        <w:fldChar w:fldCharType="separate"/>
      </w:r>
      <w:r>
        <w:rPr>
          <w:rFonts w:hint="default" w:ascii="新宋体" w:hAnsi="新宋体" w:eastAsia="新宋体" w:cs="新宋体"/>
        </w:rPr>
        <w:t xml:space="preserve">十、 </w:t>
      </w:r>
      <w:r>
        <w:rPr>
          <w:rFonts w:hint="eastAsia" w:ascii="新宋体" w:hAnsi="新宋体" w:eastAsia="新宋体" w:cs="新宋体"/>
        </w:rPr>
        <w:t>招标代理费</w:t>
      </w:r>
      <w:r>
        <w:tab/>
      </w:r>
      <w:r>
        <w:fldChar w:fldCharType="begin"/>
      </w:r>
      <w:r>
        <w:instrText xml:space="preserve"> PAGEREF _Toc17390 \h </w:instrText>
      </w:r>
      <w:r>
        <w:fldChar w:fldCharType="separate"/>
      </w:r>
      <w:r>
        <w:t>19</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_Toc17181 </w:instrText>
      </w:r>
      <w:r>
        <w:rPr>
          <w:rFonts w:hint="eastAsia" w:ascii="新宋体" w:hAnsi="新宋体" w:eastAsia="新宋体" w:cs="新宋体"/>
          <w:szCs w:val="24"/>
        </w:rPr>
        <w:fldChar w:fldCharType="separate"/>
      </w:r>
      <w:r>
        <w:rPr>
          <w:rFonts w:hint="default" w:ascii="新宋体" w:hAnsi="新宋体" w:eastAsia="新宋体" w:cs="新宋体"/>
        </w:rPr>
        <w:t xml:space="preserve">十一、 </w:t>
      </w:r>
      <w:r>
        <w:rPr>
          <w:rFonts w:hint="eastAsia" w:ascii="新宋体" w:hAnsi="新宋体" w:eastAsia="新宋体" w:cs="新宋体"/>
        </w:rPr>
        <w:t>其他</w:t>
      </w:r>
      <w:r>
        <w:tab/>
      </w:r>
      <w:r>
        <w:fldChar w:fldCharType="begin"/>
      </w:r>
      <w:r>
        <w:instrText xml:space="preserve"> PAGEREF _Toc17181 \h </w:instrText>
      </w:r>
      <w:r>
        <w:fldChar w:fldCharType="separate"/>
      </w:r>
      <w:r>
        <w:t>20</w:t>
      </w:r>
      <w:r>
        <w:fldChar w:fldCharType="end"/>
      </w:r>
      <w:r>
        <w:rPr>
          <w:rFonts w:hint="eastAsia" w:ascii="新宋体" w:hAnsi="新宋体" w:eastAsia="新宋体" w:cs="新宋体"/>
          <w:color w:val="auto"/>
          <w:szCs w:val="24"/>
        </w:rPr>
        <w:fldChar w:fldCharType="end"/>
      </w:r>
    </w:p>
    <w:p>
      <w:pPr>
        <w:pStyle w:val="23"/>
        <w:tabs>
          <w:tab w:val="right" w:leader="middleDot" w:pos="10263"/>
          <w:tab w:val="clear" w:pos="9514"/>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_Toc15226 </w:instrText>
      </w:r>
      <w:r>
        <w:rPr>
          <w:rFonts w:hint="eastAsia" w:ascii="新宋体" w:hAnsi="新宋体" w:eastAsia="新宋体" w:cs="新宋体"/>
          <w:szCs w:val="24"/>
        </w:rPr>
        <w:fldChar w:fldCharType="separate"/>
      </w:r>
      <w:r>
        <w:rPr>
          <w:rFonts w:hint="eastAsia" w:ascii="新宋体" w:hAnsi="新宋体" w:eastAsia="新宋体" w:cs="新宋体"/>
          <w:szCs w:val="36"/>
          <w:lang w:val="zh-CN"/>
        </w:rPr>
        <w:t>第三部分 青海省政府采购项目合同书范本</w:t>
      </w:r>
      <w:r>
        <w:tab/>
      </w:r>
      <w:r>
        <w:fldChar w:fldCharType="begin"/>
      </w:r>
      <w:r>
        <w:instrText xml:space="preserve"> PAGEREF _Toc15226 \h </w:instrText>
      </w:r>
      <w:r>
        <w:fldChar w:fldCharType="separate"/>
      </w:r>
      <w:r>
        <w:t>22</w:t>
      </w:r>
      <w:r>
        <w:fldChar w:fldCharType="end"/>
      </w:r>
      <w:r>
        <w:rPr>
          <w:rFonts w:hint="eastAsia" w:ascii="新宋体" w:hAnsi="新宋体" w:eastAsia="新宋体" w:cs="新宋体"/>
          <w:color w:val="auto"/>
          <w:szCs w:val="24"/>
        </w:rPr>
        <w:fldChar w:fldCharType="end"/>
      </w:r>
    </w:p>
    <w:p>
      <w:pPr>
        <w:pStyle w:val="23"/>
        <w:tabs>
          <w:tab w:val="right" w:leader="middleDot" w:pos="10263"/>
          <w:tab w:val="clear" w:pos="9514"/>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_Toc32267 </w:instrText>
      </w:r>
      <w:r>
        <w:rPr>
          <w:rFonts w:hint="eastAsia" w:ascii="新宋体" w:hAnsi="新宋体" w:eastAsia="新宋体" w:cs="新宋体"/>
          <w:szCs w:val="24"/>
        </w:rPr>
        <w:fldChar w:fldCharType="separate"/>
      </w:r>
      <w:r>
        <w:rPr>
          <w:rFonts w:hint="eastAsia" w:ascii="新宋体" w:hAnsi="新宋体" w:eastAsia="新宋体" w:cs="新宋体"/>
          <w:szCs w:val="36"/>
        </w:rPr>
        <w:t>第四部分 响应文件格式</w:t>
      </w:r>
      <w:r>
        <w:tab/>
      </w:r>
      <w:r>
        <w:fldChar w:fldCharType="begin"/>
      </w:r>
      <w:r>
        <w:instrText xml:space="preserve"> PAGEREF _Toc32267 \h </w:instrText>
      </w:r>
      <w:r>
        <w:fldChar w:fldCharType="separate"/>
      </w:r>
      <w:r>
        <w:t>41</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_Toc5560 </w:instrText>
      </w:r>
      <w:r>
        <w:rPr>
          <w:rFonts w:hint="eastAsia" w:ascii="新宋体" w:hAnsi="新宋体" w:eastAsia="新宋体" w:cs="新宋体"/>
          <w:szCs w:val="24"/>
        </w:rPr>
        <w:fldChar w:fldCharType="separate"/>
      </w:r>
      <w:r>
        <w:rPr>
          <w:rFonts w:hint="eastAsia" w:ascii="新宋体" w:hAnsi="新宋体" w:eastAsia="新宋体" w:cs="新宋体"/>
          <w:szCs w:val="24"/>
        </w:rPr>
        <w:t>（1）响应函</w:t>
      </w:r>
      <w:r>
        <w:tab/>
      </w:r>
      <w:r>
        <w:fldChar w:fldCharType="begin"/>
      </w:r>
      <w:r>
        <w:instrText xml:space="preserve"> PAGEREF _Toc5560 \h </w:instrText>
      </w:r>
      <w:r>
        <w:fldChar w:fldCharType="separate"/>
      </w:r>
      <w:r>
        <w:t>43</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_Toc2382 </w:instrText>
      </w:r>
      <w:r>
        <w:rPr>
          <w:rFonts w:hint="eastAsia" w:ascii="新宋体" w:hAnsi="新宋体" w:eastAsia="新宋体" w:cs="新宋体"/>
          <w:szCs w:val="24"/>
        </w:rPr>
        <w:fldChar w:fldCharType="separate"/>
      </w:r>
      <w:r>
        <w:rPr>
          <w:rFonts w:hint="eastAsia" w:ascii="新宋体" w:hAnsi="新宋体" w:eastAsia="新宋体" w:cs="新宋体"/>
          <w:szCs w:val="24"/>
        </w:rPr>
        <w:t>（2）法定代表人证明书</w:t>
      </w:r>
      <w:r>
        <w:tab/>
      </w:r>
      <w:r>
        <w:fldChar w:fldCharType="begin"/>
      </w:r>
      <w:r>
        <w:instrText xml:space="preserve"> PAGEREF _Toc2382 \h </w:instrText>
      </w:r>
      <w:r>
        <w:fldChar w:fldCharType="separate"/>
      </w:r>
      <w:r>
        <w:t>44</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_Toc28906 </w:instrText>
      </w:r>
      <w:r>
        <w:rPr>
          <w:rFonts w:hint="eastAsia" w:ascii="新宋体" w:hAnsi="新宋体" w:eastAsia="新宋体" w:cs="新宋体"/>
          <w:szCs w:val="24"/>
        </w:rPr>
        <w:fldChar w:fldCharType="separate"/>
      </w:r>
      <w:r>
        <w:rPr>
          <w:rFonts w:hint="eastAsia" w:ascii="新宋体" w:hAnsi="新宋体" w:eastAsia="新宋体" w:cs="新宋体"/>
          <w:szCs w:val="24"/>
        </w:rPr>
        <w:t>（3）法定代表人授权书</w:t>
      </w:r>
      <w:r>
        <w:tab/>
      </w:r>
      <w:r>
        <w:fldChar w:fldCharType="begin"/>
      </w:r>
      <w:r>
        <w:instrText xml:space="preserve"> PAGEREF _Toc28906 \h </w:instrText>
      </w:r>
      <w:r>
        <w:fldChar w:fldCharType="separate"/>
      </w:r>
      <w:r>
        <w:t>45</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_Toc22169 </w:instrText>
      </w:r>
      <w:r>
        <w:rPr>
          <w:rFonts w:hint="eastAsia" w:ascii="新宋体" w:hAnsi="新宋体" w:eastAsia="新宋体" w:cs="新宋体"/>
          <w:szCs w:val="24"/>
        </w:rPr>
        <w:fldChar w:fldCharType="separate"/>
      </w:r>
      <w:r>
        <w:rPr>
          <w:rFonts w:hint="eastAsia" w:ascii="新宋体" w:hAnsi="新宋体" w:eastAsia="新宋体" w:cs="新宋体"/>
          <w:szCs w:val="24"/>
        </w:rPr>
        <w:t>（4）投标人承诺函</w:t>
      </w:r>
      <w:r>
        <w:tab/>
      </w:r>
      <w:r>
        <w:fldChar w:fldCharType="begin"/>
      </w:r>
      <w:r>
        <w:instrText xml:space="preserve"> PAGEREF _Toc22169 \h </w:instrText>
      </w:r>
      <w:r>
        <w:fldChar w:fldCharType="separate"/>
      </w:r>
      <w:r>
        <w:t>46</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_Toc12008 </w:instrText>
      </w:r>
      <w:r>
        <w:rPr>
          <w:rFonts w:hint="eastAsia" w:ascii="新宋体" w:hAnsi="新宋体" w:eastAsia="新宋体" w:cs="新宋体"/>
          <w:szCs w:val="24"/>
        </w:rPr>
        <w:fldChar w:fldCharType="separate"/>
      </w:r>
      <w:r>
        <w:rPr>
          <w:rFonts w:hint="eastAsia" w:ascii="新宋体" w:hAnsi="新宋体" w:eastAsia="新宋体" w:cs="新宋体"/>
          <w:szCs w:val="24"/>
        </w:rPr>
        <w:t>（5）投标人诚信承诺书</w:t>
      </w:r>
      <w:r>
        <w:tab/>
      </w:r>
      <w:r>
        <w:fldChar w:fldCharType="begin"/>
      </w:r>
      <w:r>
        <w:instrText xml:space="preserve"> PAGEREF _Toc12008 \h </w:instrText>
      </w:r>
      <w:r>
        <w:fldChar w:fldCharType="separate"/>
      </w:r>
      <w:r>
        <w:t>47</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_Toc6825 </w:instrText>
      </w:r>
      <w:r>
        <w:rPr>
          <w:rFonts w:hint="eastAsia" w:ascii="新宋体" w:hAnsi="新宋体" w:eastAsia="新宋体" w:cs="新宋体"/>
          <w:szCs w:val="24"/>
        </w:rPr>
        <w:fldChar w:fldCharType="separate"/>
      </w:r>
      <w:r>
        <w:rPr>
          <w:rFonts w:hint="eastAsia" w:ascii="新宋体" w:hAnsi="新宋体" w:eastAsia="新宋体" w:cs="新宋体"/>
          <w:szCs w:val="24"/>
        </w:rPr>
        <w:t>（6）资格证明材料</w:t>
      </w:r>
      <w:r>
        <w:tab/>
      </w:r>
      <w:r>
        <w:fldChar w:fldCharType="begin"/>
      </w:r>
      <w:r>
        <w:instrText xml:space="preserve"> PAGEREF _Toc6825 \h </w:instrText>
      </w:r>
      <w:r>
        <w:fldChar w:fldCharType="separate"/>
      </w:r>
      <w:r>
        <w:t>48</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_Toc8647 </w:instrText>
      </w:r>
      <w:r>
        <w:rPr>
          <w:rFonts w:hint="eastAsia" w:ascii="新宋体" w:hAnsi="新宋体" w:eastAsia="新宋体" w:cs="新宋体"/>
          <w:szCs w:val="24"/>
        </w:rPr>
        <w:fldChar w:fldCharType="separate"/>
      </w:r>
      <w:r>
        <w:rPr>
          <w:rFonts w:hint="eastAsia" w:ascii="新宋体" w:hAnsi="新宋体" w:eastAsia="新宋体" w:cs="新宋体"/>
          <w:szCs w:val="24"/>
        </w:rPr>
        <w:t>（7）财务状况报告，依法缴纳税收和社会保障资金的相关材料</w:t>
      </w:r>
      <w:r>
        <w:tab/>
      </w:r>
      <w:r>
        <w:fldChar w:fldCharType="begin"/>
      </w:r>
      <w:r>
        <w:instrText xml:space="preserve"> PAGEREF _Toc8647 \h </w:instrText>
      </w:r>
      <w:r>
        <w:fldChar w:fldCharType="separate"/>
      </w:r>
      <w:r>
        <w:t>49</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_Toc29689 </w:instrText>
      </w:r>
      <w:r>
        <w:rPr>
          <w:rFonts w:hint="eastAsia" w:ascii="新宋体" w:hAnsi="新宋体" w:eastAsia="新宋体" w:cs="新宋体"/>
          <w:szCs w:val="24"/>
        </w:rPr>
        <w:fldChar w:fldCharType="separate"/>
      </w:r>
      <w:r>
        <w:rPr>
          <w:rFonts w:hint="eastAsia" w:ascii="新宋体" w:hAnsi="新宋体" w:eastAsia="新宋体" w:cs="新宋体"/>
          <w:szCs w:val="24"/>
        </w:rPr>
        <w:t>（8）具备履行合同所必须的设备和专业技术能力的证明材料</w:t>
      </w:r>
      <w:r>
        <w:tab/>
      </w:r>
      <w:r>
        <w:fldChar w:fldCharType="begin"/>
      </w:r>
      <w:r>
        <w:instrText xml:space="preserve"> PAGEREF _Toc29689 \h </w:instrText>
      </w:r>
      <w:r>
        <w:fldChar w:fldCharType="separate"/>
      </w:r>
      <w:r>
        <w:t>50</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_Toc12981 </w:instrText>
      </w:r>
      <w:r>
        <w:rPr>
          <w:rFonts w:hint="eastAsia" w:ascii="新宋体" w:hAnsi="新宋体" w:eastAsia="新宋体" w:cs="新宋体"/>
          <w:szCs w:val="24"/>
        </w:rPr>
        <w:fldChar w:fldCharType="separate"/>
      </w:r>
      <w:r>
        <w:rPr>
          <w:rFonts w:hint="eastAsia" w:ascii="新宋体" w:hAnsi="新宋体" w:eastAsia="新宋体" w:cs="新宋体"/>
          <w:szCs w:val="24"/>
        </w:rPr>
        <w:t>（9）无重大违法记录声明</w:t>
      </w:r>
      <w:r>
        <w:tab/>
      </w:r>
      <w:r>
        <w:fldChar w:fldCharType="begin"/>
      </w:r>
      <w:r>
        <w:instrText xml:space="preserve"> PAGEREF _Toc12981 \h </w:instrText>
      </w:r>
      <w:r>
        <w:fldChar w:fldCharType="separate"/>
      </w:r>
      <w:r>
        <w:t>51</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_Toc21180 </w:instrText>
      </w:r>
      <w:r>
        <w:rPr>
          <w:rFonts w:hint="eastAsia" w:ascii="新宋体" w:hAnsi="新宋体" w:eastAsia="新宋体" w:cs="新宋体"/>
          <w:szCs w:val="24"/>
        </w:rPr>
        <w:fldChar w:fldCharType="separate"/>
      </w:r>
      <w:r>
        <w:rPr>
          <w:rFonts w:hint="eastAsia" w:ascii="新宋体" w:hAnsi="新宋体" w:eastAsia="新宋体" w:cs="新宋体"/>
          <w:szCs w:val="24"/>
        </w:rPr>
        <w:t>（10）磋商保证金证明</w:t>
      </w:r>
      <w:r>
        <w:tab/>
      </w:r>
      <w:r>
        <w:fldChar w:fldCharType="begin"/>
      </w:r>
      <w:r>
        <w:instrText xml:space="preserve"> PAGEREF _Toc21180 \h </w:instrText>
      </w:r>
      <w:r>
        <w:fldChar w:fldCharType="separate"/>
      </w:r>
      <w:r>
        <w:t>52</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_Toc10594 </w:instrText>
      </w:r>
      <w:r>
        <w:rPr>
          <w:rFonts w:hint="eastAsia" w:ascii="新宋体" w:hAnsi="新宋体" w:eastAsia="新宋体" w:cs="新宋体"/>
          <w:szCs w:val="24"/>
        </w:rPr>
        <w:fldChar w:fldCharType="separate"/>
      </w:r>
      <w:r>
        <w:rPr>
          <w:rFonts w:hint="eastAsia" w:ascii="新宋体" w:hAnsi="新宋体" w:eastAsia="新宋体" w:cs="新宋体"/>
          <w:szCs w:val="24"/>
        </w:rPr>
        <w:t>（11）评分对照表</w:t>
      </w:r>
      <w:r>
        <w:tab/>
      </w:r>
      <w:r>
        <w:fldChar w:fldCharType="begin"/>
      </w:r>
      <w:r>
        <w:instrText xml:space="preserve"> PAGEREF _Toc10594 \h </w:instrText>
      </w:r>
      <w:r>
        <w:fldChar w:fldCharType="separate"/>
      </w:r>
      <w:r>
        <w:t>53</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_Toc24301 </w:instrText>
      </w:r>
      <w:r>
        <w:rPr>
          <w:rFonts w:hint="eastAsia" w:ascii="新宋体" w:hAnsi="新宋体" w:eastAsia="新宋体" w:cs="新宋体"/>
          <w:szCs w:val="24"/>
        </w:rPr>
        <w:fldChar w:fldCharType="separate"/>
      </w:r>
      <w:r>
        <w:rPr>
          <w:rFonts w:hint="eastAsia" w:ascii="新宋体" w:hAnsi="新宋体" w:eastAsia="新宋体" w:cs="新宋体"/>
          <w:szCs w:val="24"/>
        </w:rPr>
        <w:t>（12）磋商一览表（报价表）</w:t>
      </w:r>
      <w:r>
        <w:tab/>
      </w:r>
      <w:r>
        <w:fldChar w:fldCharType="begin"/>
      </w:r>
      <w:r>
        <w:instrText xml:space="preserve"> PAGEREF _Toc24301 \h </w:instrText>
      </w:r>
      <w:r>
        <w:fldChar w:fldCharType="separate"/>
      </w:r>
      <w:r>
        <w:t>54</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_Toc14532 </w:instrText>
      </w:r>
      <w:r>
        <w:rPr>
          <w:rFonts w:hint="eastAsia" w:ascii="新宋体" w:hAnsi="新宋体" w:eastAsia="新宋体" w:cs="新宋体"/>
          <w:szCs w:val="24"/>
        </w:rPr>
        <w:fldChar w:fldCharType="separate"/>
      </w:r>
      <w:r>
        <w:rPr>
          <w:rFonts w:hint="eastAsia" w:ascii="新宋体" w:hAnsi="新宋体" w:eastAsia="新宋体" w:cs="新宋体"/>
          <w:szCs w:val="24"/>
        </w:rPr>
        <w:t>（13）分项报价表</w:t>
      </w:r>
      <w:r>
        <w:tab/>
      </w:r>
      <w:r>
        <w:fldChar w:fldCharType="begin"/>
      </w:r>
      <w:r>
        <w:instrText xml:space="preserve"> PAGEREF _Toc14532 \h </w:instrText>
      </w:r>
      <w:r>
        <w:fldChar w:fldCharType="separate"/>
      </w:r>
      <w:r>
        <w:t>55</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_Toc1796 </w:instrText>
      </w:r>
      <w:r>
        <w:rPr>
          <w:rFonts w:hint="eastAsia" w:ascii="新宋体" w:hAnsi="新宋体" w:eastAsia="新宋体" w:cs="新宋体"/>
          <w:szCs w:val="24"/>
        </w:rPr>
        <w:fldChar w:fldCharType="separate"/>
      </w:r>
      <w:r>
        <w:rPr>
          <w:rFonts w:hint="eastAsia" w:ascii="新宋体" w:hAnsi="新宋体" w:eastAsia="新宋体" w:cs="新宋体"/>
          <w:szCs w:val="24"/>
        </w:rPr>
        <w:t>（14）服务规格响应表</w:t>
      </w:r>
      <w:r>
        <w:tab/>
      </w:r>
      <w:r>
        <w:fldChar w:fldCharType="begin"/>
      </w:r>
      <w:r>
        <w:instrText xml:space="preserve"> PAGEREF _Toc1796 \h </w:instrText>
      </w:r>
      <w:r>
        <w:fldChar w:fldCharType="separate"/>
      </w:r>
      <w:r>
        <w:t>56</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_Toc26471 </w:instrText>
      </w:r>
      <w:r>
        <w:rPr>
          <w:rFonts w:hint="eastAsia" w:ascii="新宋体" w:hAnsi="新宋体" w:eastAsia="新宋体" w:cs="新宋体"/>
          <w:szCs w:val="24"/>
        </w:rPr>
        <w:fldChar w:fldCharType="separate"/>
      </w:r>
      <w:r>
        <w:rPr>
          <w:rFonts w:hint="eastAsia" w:ascii="新宋体" w:hAnsi="新宋体" w:eastAsia="新宋体" w:cs="新宋体"/>
          <w:szCs w:val="24"/>
        </w:rPr>
        <w:t>（15）投标服务相关资料</w:t>
      </w:r>
      <w:r>
        <w:tab/>
      </w:r>
      <w:r>
        <w:fldChar w:fldCharType="begin"/>
      </w:r>
      <w:r>
        <w:instrText xml:space="preserve"> PAGEREF _Toc26471 \h </w:instrText>
      </w:r>
      <w:r>
        <w:fldChar w:fldCharType="separate"/>
      </w:r>
      <w:r>
        <w:t>57</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_Toc2443 </w:instrText>
      </w:r>
      <w:r>
        <w:rPr>
          <w:rFonts w:hint="eastAsia" w:ascii="新宋体" w:hAnsi="新宋体" w:eastAsia="新宋体" w:cs="新宋体"/>
          <w:szCs w:val="24"/>
        </w:rPr>
        <w:fldChar w:fldCharType="separate"/>
      </w:r>
      <w:r>
        <w:rPr>
          <w:rFonts w:hint="eastAsia" w:ascii="新宋体" w:hAnsi="新宋体" w:eastAsia="新宋体" w:cs="新宋体"/>
          <w:szCs w:val="24"/>
        </w:rPr>
        <w:t>（17）投标人的类似业绩证明材料</w:t>
      </w:r>
      <w:r>
        <w:tab/>
      </w:r>
      <w:r>
        <w:fldChar w:fldCharType="begin"/>
      </w:r>
      <w:r>
        <w:instrText xml:space="preserve"> PAGEREF _Toc2443 \h </w:instrText>
      </w:r>
      <w:r>
        <w:fldChar w:fldCharType="separate"/>
      </w:r>
      <w:r>
        <w:t>59</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_Toc11051 </w:instrText>
      </w:r>
      <w:r>
        <w:rPr>
          <w:rFonts w:hint="eastAsia" w:ascii="新宋体" w:hAnsi="新宋体" w:eastAsia="新宋体" w:cs="新宋体"/>
          <w:szCs w:val="24"/>
        </w:rPr>
        <w:fldChar w:fldCharType="separate"/>
      </w:r>
      <w:r>
        <w:rPr>
          <w:rFonts w:hint="eastAsia" w:ascii="新宋体" w:hAnsi="新宋体" w:eastAsia="新宋体" w:cs="新宋体"/>
          <w:szCs w:val="24"/>
        </w:rPr>
        <w:t>（18）</w:t>
      </w:r>
      <w:r>
        <w:rPr>
          <w:rFonts w:hint="eastAsia" w:ascii="新宋体" w:hAnsi="新宋体" w:eastAsia="新宋体" w:cs="新宋体"/>
          <w:szCs w:val="24"/>
          <w:lang w:eastAsia="zh-CN"/>
        </w:rPr>
        <w:t>中小企业声明函（服务）</w:t>
      </w:r>
      <w:r>
        <w:tab/>
      </w:r>
      <w:r>
        <w:fldChar w:fldCharType="begin"/>
      </w:r>
      <w:r>
        <w:instrText xml:space="preserve"> PAGEREF _Toc11051 \h </w:instrText>
      </w:r>
      <w:r>
        <w:fldChar w:fldCharType="separate"/>
      </w:r>
      <w:r>
        <w:t>60</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_Toc23597 </w:instrText>
      </w:r>
      <w:r>
        <w:rPr>
          <w:rFonts w:hint="eastAsia" w:ascii="新宋体" w:hAnsi="新宋体" w:eastAsia="新宋体" w:cs="新宋体"/>
          <w:szCs w:val="24"/>
        </w:rPr>
        <w:fldChar w:fldCharType="separate"/>
      </w:r>
      <w:r>
        <w:rPr>
          <w:rFonts w:hint="eastAsia" w:ascii="新宋体" w:hAnsi="新宋体" w:eastAsia="新宋体" w:cs="新宋体"/>
          <w:szCs w:val="24"/>
        </w:rPr>
        <w:t>（19）残疾人福利性单位声明函</w:t>
      </w:r>
      <w:r>
        <w:tab/>
      </w:r>
      <w:r>
        <w:fldChar w:fldCharType="begin"/>
      </w:r>
      <w:r>
        <w:instrText xml:space="preserve"> PAGEREF _Toc23597 \h </w:instrText>
      </w:r>
      <w:r>
        <w:fldChar w:fldCharType="separate"/>
      </w:r>
      <w:r>
        <w:t>60</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_Toc27223 </w:instrText>
      </w:r>
      <w:r>
        <w:rPr>
          <w:rFonts w:hint="eastAsia" w:ascii="新宋体" w:hAnsi="新宋体" w:eastAsia="新宋体" w:cs="新宋体"/>
          <w:szCs w:val="24"/>
        </w:rPr>
        <w:fldChar w:fldCharType="separate"/>
      </w:r>
      <w:r>
        <w:rPr>
          <w:rFonts w:hint="eastAsia" w:ascii="新宋体" w:hAnsi="新宋体" w:eastAsia="新宋体" w:cs="新宋体"/>
          <w:szCs w:val="24"/>
        </w:rPr>
        <w:t>（20）投标人认为在其他方面有必要说明的事项</w:t>
      </w:r>
      <w:r>
        <w:tab/>
      </w:r>
      <w:r>
        <w:fldChar w:fldCharType="begin"/>
      </w:r>
      <w:r>
        <w:instrText xml:space="preserve"> PAGEREF _Toc27223 \h </w:instrText>
      </w:r>
      <w:r>
        <w:fldChar w:fldCharType="separate"/>
      </w:r>
      <w:r>
        <w:t>62</w:t>
      </w:r>
      <w:r>
        <w:fldChar w:fldCharType="end"/>
      </w:r>
      <w:r>
        <w:rPr>
          <w:rFonts w:hint="eastAsia" w:ascii="新宋体" w:hAnsi="新宋体" w:eastAsia="新宋体" w:cs="新宋体"/>
          <w:color w:val="auto"/>
          <w:szCs w:val="24"/>
        </w:rPr>
        <w:fldChar w:fldCharType="end"/>
      </w:r>
    </w:p>
    <w:p>
      <w:pPr>
        <w:pStyle w:val="28"/>
        <w:tabs>
          <w:tab w:val="right" w:leader="middleDot" w:pos="10263"/>
        </w:tabs>
      </w:pPr>
      <w:r>
        <w:rPr>
          <w:rFonts w:hint="eastAsia" w:ascii="新宋体" w:hAnsi="新宋体" w:eastAsia="新宋体" w:cs="新宋体"/>
          <w:color w:val="auto"/>
          <w:szCs w:val="24"/>
        </w:rPr>
        <w:fldChar w:fldCharType="begin"/>
      </w:r>
      <w:r>
        <w:rPr>
          <w:rFonts w:hint="eastAsia" w:ascii="新宋体" w:hAnsi="新宋体" w:eastAsia="新宋体" w:cs="新宋体"/>
          <w:szCs w:val="24"/>
        </w:rPr>
        <w:instrText xml:space="preserve"> HYPERLINK \l _Toc32679 </w:instrText>
      </w:r>
      <w:r>
        <w:rPr>
          <w:rFonts w:hint="eastAsia" w:ascii="新宋体" w:hAnsi="新宋体" w:eastAsia="新宋体" w:cs="新宋体"/>
          <w:szCs w:val="24"/>
        </w:rPr>
        <w:fldChar w:fldCharType="separate"/>
      </w:r>
      <w:r>
        <w:rPr>
          <w:rFonts w:hint="eastAsia" w:ascii="新宋体" w:hAnsi="新宋体" w:eastAsia="新宋体" w:cs="新宋体"/>
          <w:szCs w:val="24"/>
        </w:rPr>
        <w:t>（21）投标人最终报价表</w:t>
      </w:r>
      <w:r>
        <w:tab/>
      </w:r>
      <w:r>
        <w:fldChar w:fldCharType="begin"/>
      </w:r>
      <w:r>
        <w:instrText xml:space="preserve"> PAGEREF _Toc32679 \h </w:instrText>
      </w:r>
      <w:r>
        <w:fldChar w:fldCharType="separate"/>
      </w:r>
      <w:r>
        <w:t>63</w:t>
      </w:r>
      <w:r>
        <w:fldChar w:fldCharType="end"/>
      </w:r>
      <w:r>
        <w:rPr>
          <w:rFonts w:hint="eastAsia" w:ascii="新宋体" w:hAnsi="新宋体" w:eastAsia="新宋体" w:cs="新宋体"/>
          <w:color w:val="auto"/>
          <w:szCs w:val="24"/>
        </w:rPr>
        <w:fldChar w:fldCharType="end"/>
      </w:r>
    </w:p>
    <w:p>
      <w:pPr>
        <w:pStyle w:val="23"/>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Cs w:val="24"/>
        </w:rPr>
        <w:fldChar w:fldCharType="end"/>
      </w:r>
    </w:p>
    <w:p>
      <w:pPr>
        <w:pStyle w:val="3"/>
        <w:jc w:val="center"/>
        <w:rPr>
          <w:rFonts w:hint="eastAsia" w:ascii="新宋体" w:hAnsi="新宋体" w:eastAsia="新宋体" w:cs="新宋体"/>
          <w:color w:val="auto"/>
          <w:sz w:val="36"/>
          <w:szCs w:val="36"/>
        </w:rPr>
      </w:pPr>
      <w:bookmarkStart w:id="0" w:name="_Toc32640"/>
    </w:p>
    <w:p>
      <w:pPr>
        <w:tabs>
          <w:tab w:val="left" w:pos="6064"/>
        </w:tabs>
        <w:bidi w:val="0"/>
        <w:jc w:val="left"/>
        <w:rPr>
          <w:rFonts w:hint="eastAsia" w:eastAsia="宋体"/>
          <w:lang w:eastAsia="zh-CN"/>
        </w:rPr>
        <w:sectPr>
          <w:headerReference r:id="rId5" w:type="first"/>
          <w:footerReference r:id="rId6" w:type="default"/>
          <w:headerReference r:id="rId4" w:type="even"/>
          <w:pgSz w:w="11850" w:h="16783"/>
          <w:pgMar w:top="1247" w:right="850" w:bottom="1247" w:left="737" w:header="851" w:footer="992" w:gutter="0"/>
          <w:pgBorders w:offsetFrom="page">
            <w:top w:val="none" w:sz="0" w:space="0"/>
            <w:left w:val="none" w:sz="0" w:space="0"/>
            <w:bottom w:val="none" w:sz="0" w:space="0"/>
            <w:right w:val="none" w:sz="0" w:space="0"/>
          </w:pgBorders>
          <w:pgNumType w:fmt="decimal"/>
          <w:cols w:space="425" w:num="1"/>
          <w:titlePg/>
          <w:docGrid w:type="lines" w:linePitch="312" w:charSpace="0"/>
        </w:sectPr>
      </w:pPr>
      <w:r>
        <w:rPr>
          <w:rFonts w:hint="eastAsia"/>
          <w:lang w:eastAsia="zh-CN"/>
        </w:rPr>
        <w:tab/>
      </w:r>
    </w:p>
    <w:p>
      <w:pPr>
        <w:pStyle w:val="3"/>
        <w:jc w:val="center"/>
        <w:rPr>
          <w:rFonts w:hint="eastAsia" w:ascii="新宋体" w:hAnsi="新宋体" w:eastAsia="新宋体" w:cs="新宋体"/>
          <w:color w:val="auto"/>
          <w:sz w:val="36"/>
          <w:szCs w:val="36"/>
        </w:rPr>
      </w:pPr>
      <w:bookmarkStart w:id="1" w:name="_Toc16685"/>
      <w:r>
        <w:rPr>
          <w:rFonts w:hint="eastAsia" w:ascii="新宋体" w:hAnsi="新宋体" w:eastAsia="新宋体" w:cs="新宋体"/>
          <w:color w:val="auto"/>
          <w:sz w:val="36"/>
          <w:szCs w:val="36"/>
        </w:rPr>
        <w:t xml:space="preserve">第一部分 </w:t>
      </w:r>
      <w:bookmarkEnd w:id="0"/>
      <w:r>
        <w:rPr>
          <w:rFonts w:hint="eastAsia" w:ascii="新宋体" w:hAnsi="新宋体" w:eastAsia="新宋体" w:cs="新宋体"/>
          <w:color w:val="auto"/>
          <w:sz w:val="36"/>
          <w:szCs w:val="36"/>
        </w:rPr>
        <w:t>竞争性磋商邀请</w:t>
      </w:r>
      <w:bookmarkEnd w:id="1"/>
    </w:p>
    <w:p>
      <w:pPr>
        <w:widowControl/>
        <w:snapToGrid w:val="0"/>
        <w:spacing w:line="360" w:lineRule="auto"/>
        <w:ind w:firstLine="480" w:firstLineChars="20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lang w:eastAsia="zh-CN"/>
        </w:rPr>
        <w:t>青海锋业工程项目管理有限公司</w:t>
      </w:r>
      <w:r>
        <w:rPr>
          <w:rFonts w:hint="eastAsia" w:ascii="新宋体" w:hAnsi="新宋体" w:eastAsia="新宋体" w:cs="新宋体"/>
          <w:color w:val="auto"/>
          <w:sz w:val="24"/>
          <w:szCs w:val="24"/>
        </w:rPr>
        <w:t>（以下均简称“采购代理机构”）受</w:t>
      </w:r>
      <w:r>
        <w:rPr>
          <w:rFonts w:hint="eastAsia" w:ascii="新宋体" w:hAnsi="新宋体" w:eastAsia="新宋体" w:cs="新宋体"/>
          <w:color w:val="auto"/>
          <w:sz w:val="24"/>
          <w:szCs w:val="24"/>
          <w:u w:val="single"/>
          <w:lang w:eastAsia="zh-CN"/>
        </w:rPr>
        <w:t>西宁市森林病虫害防治检疫站</w:t>
      </w:r>
      <w:r>
        <w:rPr>
          <w:rFonts w:hint="eastAsia" w:ascii="新宋体" w:hAnsi="新宋体" w:eastAsia="新宋体" w:cs="新宋体"/>
          <w:color w:val="auto"/>
          <w:sz w:val="24"/>
          <w:szCs w:val="24"/>
        </w:rPr>
        <w:t>（以下均简称“采购人”）委托，拟对</w:t>
      </w:r>
      <w:r>
        <w:rPr>
          <w:rFonts w:hint="eastAsia" w:ascii="新宋体" w:hAnsi="新宋体" w:eastAsia="新宋体" w:cs="新宋体"/>
          <w:color w:val="auto"/>
          <w:sz w:val="24"/>
          <w:szCs w:val="24"/>
          <w:u w:val="single"/>
          <w:lang w:eastAsia="zh-CN"/>
        </w:rPr>
        <w:t>西宁市本级2022年第一批中央林业改革发展资金林业有害生物防控项目</w:t>
      </w:r>
      <w:r>
        <w:rPr>
          <w:rFonts w:hint="eastAsia" w:ascii="新宋体" w:hAnsi="新宋体" w:eastAsia="新宋体" w:cs="新宋体"/>
          <w:color w:val="auto"/>
          <w:sz w:val="24"/>
          <w:szCs w:val="24"/>
        </w:rPr>
        <w:t>进行国内竞争性磋商，现予以公告，欢迎潜在的投标人参加本次政府采购活动。</w:t>
      </w:r>
    </w:p>
    <w:tbl>
      <w:tblPr>
        <w:tblStyle w:val="34"/>
        <w:tblW w:w="104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9"/>
        <w:gridCol w:w="7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采购项目编号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青海锋业竞磋（服务）2022-038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采购项目名称</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highlight w:val="none"/>
                <w:lang w:val="zh-CN" w:eastAsia="zh-CN"/>
              </w:rPr>
              <w:t>西宁市本级2022年第一批中央林业改革发展资金林业有害生物防控项目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采购方式</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采购预算额度</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人民币33.58</w:t>
            </w:r>
            <w:r>
              <w:rPr>
                <w:rFonts w:hint="eastAsia" w:ascii="新宋体" w:hAnsi="新宋体" w:eastAsia="新宋体" w:cs="新宋体"/>
                <w:color w:val="auto"/>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采购内容简述</w:t>
            </w:r>
          </w:p>
        </w:tc>
        <w:tc>
          <w:tcPr>
            <w:tcW w:w="7998" w:type="dxa"/>
            <w:tcBorders>
              <w:top w:val="single" w:color="auto" w:sz="4" w:space="0"/>
              <w:left w:val="single" w:color="auto" w:sz="4" w:space="0"/>
              <w:bottom w:val="single" w:color="auto" w:sz="4" w:space="0"/>
              <w:right w:val="single" w:color="auto" w:sz="4" w:space="0"/>
            </w:tcBorders>
            <w:vAlign w:val="center"/>
          </w:tcPr>
          <w:p>
            <w:pPr>
              <w:pStyle w:val="30"/>
              <w:jc w:val="both"/>
              <w:rPr>
                <w:rFonts w:hint="eastAsia"/>
                <w:color w:val="auto"/>
                <w:lang w:val="en-US" w:eastAsia="zh-CN"/>
              </w:rPr>
            </w:pPr>
            <w:r>
              <w:rPr>
                <w:rFonts w:hint="eastAsia"/>
                <w:color w:val="auto"/>
                <w:lang w:val="en-US" w:eastAsia="zh-CN"/>
              </w:rPr>
              <w:t>完成林业有害生物防治5.5万亩，其中云杉大灰象 0.58 万亩、高原鼢鼠 4.92 万亩。</w:t>
            </w:r>
          </w:p>
          <w:p>
            <w:pPr>
              <w:pStyle w:val="30"/>
              <w:rPr>
                <w:rFonts w:hint="eastAsia" w:eastAsia="宋体"/>
                <w:color w:val="auto"/>
                <w:lang w:val="en-US" w:eastAsia="zh-CN"/>
              </w:rPr>
            </w:pPr>
            <w:r>
              <w:rPr>
                <w:rFonts w:hint="eastAsia"/>
                <w:color w:val="auto"/>
                <w:lang w:val="en-US" w:eastAsia="zh-CN"/>
              </w:rPr>
              <w:t>总体目标：有害生物发生盛期前进行有效控制，发生面积缩小，危害程度减轻，对林木造成损失较小。发生区不造成严重危害。防治区林分生长健康,没有大面积枯黄或林木死亡情况。社会、生态、经济效益明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项目分包个数</w:t>
            </w:r>
          </w:p>
        </w:tc>
        <w:tc>
          <w:tcPr>
            <w:tcW w:w="7998" w:type="dxa"/>
            <w:tcBorders>
              <w:top w:val="single" w:color="auto" w:sz="4" w:space="0"/>
              <w:left w:val="single" w:color="auto" w:sz="4" w:space="0"/>
              <w:bottom w:val="single" w:color="auto" w:sz="4" w:space="0"/>
              <w:right w:val="single" w:color="auto" w:sz="4" w:space="0"/>
            </w:tcBorders>
            <w:vAlign w:val="center"/>
          </w:tcPr>
          <w:p>
            <w:pPr>
              <w:pStyle w:val="30"/>
              <w:rPr>
                <w:rFonts w:hint="eastAsia" w:eastAsia="宋体"/>
                <w:color w:val="auto"/>
                <w:lang w:val="en-US" w:eastAsia="zh-CN"/>
              </w:rPr>
            </w:pPr>
            <w:r>
              <w:rPr>
                <w:rFonts w:hint="eastAsia"/>
                <w:color w:val="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投标人资格要求</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sz w:val="24"/>
                <w:szCs w:val="24"/>
              </w:rPr>
            </w:pPr>
            <w:r>
              <w:rPr>
                <w:rFonts w:hint="eastAsia"/>
                <w:color w:val="auto"/>
              </w:rPr>
              <w:t>（</w:t>
            </w:r>
            <w:r>
              <w:rPr>
                <w:rFonts w:hint="eastAsia" w:ascii="宋体" w:hAnsi="宋体" w:eastAsia="宋体" w:cs="宋体"/>
                <w:color w:val="auto"/>
                <w:sz w:val="24"/>
                <w:szCs w:val="24"/>
              </w:rPr>
              <w:t>1）符合《政府采购法》第22条件，并提供以下材料：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&lt;1&gt;投标人的营业执照等证明文件，自然人的身份证明；</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&lt;2&gt;财务状况报告，依法缴纳税收和社会保障资金的相关材料；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&lt;3&gt;具备履行合同所必需的设备和专业技术能力的证明材料；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&lt;4&gt;参加政府采购活动前3年内在经营活动中没有重大违法记录的书面声明；</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&lt;5&gt;具备法律、行政法规规定的其他条件的证明材料；</w:t>
            </w:r>
          </w:p>
          <w:p>
            <w:pPr>
              <w:widowControl/>
              <w:numPr>
                <w:ilvl w:val="0"/>
                <w:numId w:val="2"/>
              </w:num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单位负责人为同一人或者存在直接控股、管理关系的不同投标人，不得参加同一合同项下的政府采购活动。否则，皆取消投标资格</w:t>
            </w:r>
            <w:r>
              <w:rPr>
                <w:rFonts w:hint="eastAsia" w:ascii="宋体" w:hAnsi="宋体" w:eastAsia="宋体" w:cs="宋体"/>
                <w:color w:val="auto"/>
                <w:sz w:val="24"/>
                <w:szCs w:val="24"/>
                <w:lang w:eastAsia="zh-CN"/>
              </w:rPr>
              <w:t>。</w:t>
            </w:r>
          </w:p>
          <w:p>
            <w:pPr>
              <w:widowControl/>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）为本采购项目提供整体设计、规范编制或者项目管理、监理、检测等服务的供应商，不得再参加该采购项目的其他采购活动；</w:t>
            </w:r>
          </w:p>
          <w:p>
            <w:pPr>
              <w:widowControl/>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）本项目不接受投标人以联合体方式进行投标。</w:t>
            </w:r>
          </w:p>
          <w:p>
            <w:pPr>
              <w:spacing w:line="360" w:lineRule="auto"/>
              <w:rPr>
                <w:rFonts w:hint="eastAsia"/>
                <w:color w:val="auto"/>
                <w:lang w:eastAsia="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rPr>
              <w:t>）其他要求：</w:t>
            </w:r>
            <w:r>
              <w:rPr>
                <w:rFonts w:hint="eastAsia" w:ascii="宋体" w:hAnsi="宋体" w:cs="宋体"/>
                <w:color w:val="auto"/>
                <w:sz w:val="24"/>
                <w:szCs w:val="24"/>
                <w:lang w:val="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公告发布时间</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202</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lang w:val="en-US" w:eastAsia="zh-CN"/>
              </w:rPr>
              <w:t>25</w:t>
            </w:r>
            <w:r>
              <w:rPr>
                <w:rFonts w:hint="eastAsia" w:ascii="新宋体" w:hAnsi="新宋体" w:eastAsia="新宋体" w:cs="新宋体"/>
                <w:color w:val="auto"/>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获取磋商文件的时间</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202</w:t>
            </w:r>
            <w:r>
              <w:rPr>
                <w:rFonts w:hint="eastAsia" w:ascii="新宋体" w:hAnsi="新宋体" w:eastAsia="新宋体" w:cs="新宋体"/>
                <w:b/>
                <w:bCs/>
                <w:color w:val="auto"/>
                <w:sz w:val="24"/>
                <w:szCs w:val="24"/>
                <w:lang w:val="en-US" w:eastAsia="zh-CN"/>
              </w:rPr>
              <w:t>2</w:t>
            </w:r>
            <w:r>
              <w:rPr>
                <w:rFonts w:hint="eastAsia" w:ascii="新宋体" w:hAnsi="新宋体" w:eastAsia="新宋体" w:cs="新宋体"/>
                <w:b/>
                <w:bCs/>
                <w:color w:val="auto"/>
                <w:sz w:val="24"/>
                <w:szCs w:val="24"/>
              </w:rPr>
              <w:t>年</w:t>
            </w:r>
            <w:r>
              <w:rPr>
                <w:rFonts w:hint="eastAsia" w:ascii="新宋体" w:hAnsi="新宋体" w:eastAsia="新宋体" w:cs="新宋体"/>
                <w:b/>
                <w:bCs/>
                <w:color w:val="auto"/>
                <w:sz w:val="24"/>
                <w:szCs w:val="24"/>
                <w:lang w:val="en-US" w:eastAsia="zh-CN"/>
              </w:rPr>
              <w:t>05</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26</w:t>
            </w:r>
            <w:r>
              <w:rPr>
                <w:rFonts w:hint="eastAsia" w:ascii="新宋体" w:hAnsi="新宋体" w:eastAsia="新宋体" w:cs="新宋体"/>
                <w:b/>
                <w:bCs/>
                <w:color w:val="auto"/>
                <w:sz w:val="24"/>
                <w:szCs w:val="24"/>
              </w:rPr>
              <w:t>日至202</w:t>
            </w:r>
            <w:r>
              <w:rPr>
                <w:rFonts w:hint="eastAsia" w:ascii="新宋体" w:hAnsi="新宋体" w:eastAsia="新宋体" w:cs="新宋体"/>
                <w:b/>
                <w:bCs/>
                <w:color w:val="auto"/>
                <w:sz w:val="24"/>
                <w:szCs w:val="24"/>
                <w:lang w:val="en-US" w:eastAsia="zh-CN"/>
              </w:rPr>
              <w:t>2</w:t>
            </w:r>
            <w:r>
              <w:rPr>
                <w:rFonts w:hint="eastAsia" w:ascii="新宋体" w:hAnsi="新宋体" w:eastAsia="新宋体" w:cs="新宋体"/>
                <w:b/>
                <w:bCs/>
                <w:color w:val="auto"/>
                <w:sz w:val="24"/>
                <w:szCs w:val="24"/>
              </w:rPr>
              <w:t>年</w:t>
            </w:r>
            <w:r>
              <w:rPr>
                <w:rFonts w:hint="eastAsia" w:ascii="新宋体" w:hAnsi="新宋体" w:eastAsia="新宋体" w:cs="新宋体"/>
                <w:b/>
                <w:bCs/>
                <w:color w:val="auto"/>
                <w:sz w:val="24"/>
                <w:szCs w:val="24"/>
                <w:lang w:val="en-US" w:eastAsia="zh-CN"/>
              </w:rPr>
              <w:t>06</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01</w:t>
            </w:r>
            <w:r>
              <w:rPr>
                <w:rFonts w:hint="eastAsia" w:ascii="新宋体" w:hAnsi="新宋体" w:eastAsia="新宋体" w:cs="新宋体"/>
                <w:b/>
                <w:bCs/>
                <w:color w:val="auto"/>
                <w:sz w:val="24"/>
                <w:szCs w:val="24"/>
              </w:rPr>
              <w:t>日，每天上午9：00-12：00，下午1</w:t>
            </w:r>
            <w:r>
              <w:rPr>
                <w:rFonts w:hint="eastAsia" w:ascii="新宋体" w:hAnsi="新宋体" w:eastAsia="新宋体" w:cs="新宋体"/>
                <w:b/>
                <w:bCs/>
                <w:color w:val="auto"/>
                <w:sz w:val="24"/>
                <w:szCs w:val="24"/>
                <w:lang w:val="en-US" w:eastAsia="zh-CN"/>
              </w:rPr>
              <w:t>3</w:t>
            </w:r>
            <w:r>
              <w:rPr>
                <w:rFonts w:hint="eastAsia" w:ascii="新宋体" w:hAnsi="新宋体" w:eastAsia="新宋体" w:cs="新宋体"/>
                <w:b/>
                <w:bCs/>
                <w:color w:val="auto"/>
                <w:sz w:val="24"/>
                <w:szCs w:val="24"/>
              </w:rPr>
              <w:t>：30-17：</w:t>
            </w:r>
            <w:r>
              <w:rPr>
                <w:rFonts w:hint="eastAsia" w:ascii="新宋体" w:hAnsi="新宋体" w:eastAsia="新宋体" w:cs="新宋体"/>
                <w:b/>
                <w:bCs/>
                <w:color w:val="auto"/>
                <w:sz w:val="24"/>
                <w:szCs w:val="24"/>
                <w:lang w:val="en-US" w:eastAsia="zh-CN"/>
              </w:rPr>
              <w:t>0</w:t>
            </w:r>
            <w:r>
              <w:rPr>
                <w:rFonts w:hint="eastAsia" w:ascii="新宋体" w:hAnsi="新宋体" w:eastAsia="新宋体" w:cs="新宋体"/>
                <w:b/>
                <w:bCs/>
                <w:color w:val="auto"/>
                <w:sz w:val="24"/>
                <w:szCs w:val="24"/>
              </w:rPr>
              <w:t>0（午休、节假日除外）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磋商文件售价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0.00</w:t>
            </w:r>
            <w:r>
              <w:rPr>
                <w:rFonts w:hint="eastAsia" w:ascii="新宋体" w:hAnsi="新宋体" w:eastAsia="新宋体" w:cs="新宋体"/>
                <w:color w:val="auto"/>
                <w:sz w:val="24"/>
                <w:szCs w:val="24"/>
              </w:rPr>
              <w:t>元（磋商文件售后不退，投标资格不能转让）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24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磋商文件获取方式</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《青海政府采购网》免费下载磋商文件。</w:t>
            </w:r>
            <w:r>
              <w:rPr>
                <w:rFonts w:hint="eastAsia" w:ascii="新宋体" w:hAnsi="新宋体" w:eastAsia="新宋体" w:cs="新宋体"/>
                <w:color w:val="auto"/>
                <w:kern w:val="0"/>
                <w:sz w:val="24"/>
                <w:szCs w:val="24"/>
                <w:lang w:val="en-US" w:eastAsia="zh-CN"/>
              </w:rPr>
              <w:br w:type="textWrapping"/>
            </w:r>
            <w:r>
              <w:rPr>
                <w:rFonts w:hint="eastAsia" w:ascii="新宋体" w:hAnsi="新宋体" w:eastAsia="新宋体" w:cs="新宋体"/>
                <w:color w:val="auto"/>
                <w:kern w:val="0"/>
                <w:sz w:val="24"/>
                <w:szCs w:val="24"/>
                <w:lang w:val="en-US" w:eastAsia="zh-CN"/>
              </w:rPr>
              <w:t>具体流程请咨询线上电子化交易系统：咨询电话：政采云400-881-7190。（提示：请潜在供应商获取文件前务必在政采云平台完成网上企业注册等手续；具体操作详见附件操作指南）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磋商截止及磋商时间</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2022年06月0</w:t>
            </w:r>
            <w:r>
              <w:rPr>
                <w:rFonts w:hint="eastAsia" w:ascii="新宋体" w:hAnsi="新宋体" w:eastAsia="新宋体" w:cs="新宋体"/>
                <w:b/>
                <w:bCs/>
                <w:color w:val="auto"/>
                <w:sz w:val="24"/>
                <w:szCs w:val="24"/>
                <w:lang w:val="en-US" w:eastAsia="zh-CN"/>
              </w:rPr>
              <w:t>6</w:t>
            </w:r>
            <w:r>
              <w:rPr>
                <w:rFonts w:hint="eastAsia" w:ascii="新宋体" w:hAnsi="新宋体" w:eastAsia="新宋体" w:cs="新宋体"/>
                <w:b/>
                <w:bCs/>
                <w:color w:val="auto"/>
                <w:sz w:val="24"/>
                <w:szCs w:val="24"/>
                <w:lang w:eastAsia="zh-CN"/>
              </w:rPr>
              <w:t>日</w:t>
            </w:r>
            <w:r>
              <w:rPr>
                <w:rFonts w:hint="eastAsia" w:ascii="新宋体" w:hAnsi="新宋体" w:eastAsia="新宋体" w:cs="新宋体"/>
                <w:b/>
                <w:bCs/>
                <w:color w:val="auto"/>
                <w:sz w:val="24"/>
                <w:szCs w:val="24"/>
                <w:lang w:val="en-US" w:eastAsia="zh-CN"/>
              </w:rPr>
              <w:t>上</w:t>
            </w:r>
            <w:r>
              <w:rPr>
                <w:rFonts w:hint="eastAsia" w:ascii="新宋体" w:hAnsi="新宋体" w:eastAsia="新宋体" w:cs="新宋体"/>
                <w:b/>
                <w:bCs/>
                <w:color w:val="auto"/>
                <w:sz w:val="24"/>
                <w:szCs w:val="24"/>
                <w:lang w:eastAsia="zh-CN"/>
              </w:rPr>
              <w:t>午</w:t>
            </w:r>
            <w:r>
              <w:rPr>
                <w:rFonts w:hint="eastAsia" w:ascii="新宋体" w:hAnsi="新宋体" w:eastAsia="新宋体" w:cs="新宋体"/>
                <w:b/>
                <w:bCs/>
                <w:color w:val="auto"/>
                <w:sz w:val="24"/>
                <w:szCs w:val="24"/>
                <w:lang w:val="en-US" w:eastAsia="zh-CN"/>
              </w:rPr>
              <w:t>9</w:t>
            </w:r>
            <w:r>
              <w:rPr>
                <w:rFonts w:hint="eastAsia" w:ascii="新宋体" w:hAnsi="新宋体" w:eastAsia="新宋体" w:cs="新宋体"/>
                <w:b/>
                <w:bCs/>
                <w:color w:val="auto"/>
                <w:sz w:val="24"/>
                <w:szCs w:val="24"/>
                <w:lang w:eastAsia="zh-CN"/>
              </w:rPr>
              <w:t>时</w:t>
            </w:r>
            <w:r>
              <w:rPr>
                <w:rFonts w:hint="eastAsia" w:ascii="新宋体" w:hAnsi="新宋体" w:eastAsia="新宋体" w:cs="新宋体"/>
                <w:b/>
                <w:bCs/>
                <w:color w:val="auto"/>
                <w:sz w:val="24"/>
                <w:szCs w:val="24"/>
                <w:lang w:val="en-US" w:eastAsia="zh-CN"/>
              </w:rPr>
              <w:t>3</w:t>
            </w:r>
            <w:r>
              <w:rPr>
                <w:rFonts w:hint="eastAsia" w:ascii="新宋体" w:hAnsi="新宋体" w:eastAsia="新宋体" w:cs="新宋体"/>
                <w:b/>
                <w:bCs/>
                <w:color w:val="auto"/>
                <w:sz w:val="24"/>
                <w:szCs w:val="24"/>
                <w:lang w:eastAsia="zh-CN"/>
              </w:rPr>
              <w:t>0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spacing w:line="540" w:lineRule="exact"/>
              <w:ind w:firstLine="0" w:firstLineChars="0"/>
              <w:rPr>
                <w:rFonts w:hint="eastAsia" w:ascii="新宋体" w:hAnsi="新宋体" w:eastAsia="新宋体" w:cs="新宋体"/>
                <w:color w:val="auto"/>
                <w:sz w:val="24"/>
                <w:szCs w:val="24"/>
              </w:rPr>
            </w:pPr>
            <w:r>
              <w:rPr>
                <w:rFonts w:hint="eastAsia" w:ascii="宋体" w:hAnsi="宋体" w:cs="Arial"/>
                <w:color w:val="000000"/>
                <w:sz w:val="24"/>
              </w:rPr>
              <w:t>磋商及</w:t>
            </w:r>
            <w:r>
              <w:rPr>
                <w:rFonts w:hint="eastAsia" w:ascii="宋体" w:hAnsi="宋体" w:cs="Arial"/>
                <w:color w:val="000000"/>
                <w:sz w:val="24"/>
                <w:lang w:eastAsia="zh-CN"/>
              </w:rPr>
              <w:t>提交</w:t>
            </w:r>
            <w:r>
              <w:rPr>
                <w:rFonts w:hint="eastAsia" w:ascii="宋体" w:hAnsi="宋体" w:cs="Arial"/>
                <w:color w:val="000000"/>
                <w:sz w:val="24"/>
              </w:rPr>
              <w:t>响应文件地点</w:t>
            </w:r>
          </w:p>
        </w:tc>
        <w:tc>
          <w:tcPr>
            <w:tcW w:w="7998" w:type="dxa"/>
            <w:tcBorders>
              <w:top w:val="single" w:color="auto" w:sz="4" w:space="0"/>
              <w:left w:val="single" w:color="auto" w:sz="4" w:space="0"/>
              <w:bottom w:val="single" w:color="auto" w:sz="4" w:space="0"/>
              <w:right w:val="single" w:color="auto" w:sz="4" w:space="0"/>
            </w:tcBorders>
            <w:vAlign w:val="center"/>
          </w:tcPr>
          <w:p>
            <w:pPr>
              <w:spacing w:line="540" w:lineRule="exact"/>
              <w:ind w:firstLine="0" w:firstLineChars="0"/>
              <w:rPr>
                <w:rFonts w:hint="eastAsia" w:ascii="宋体" w:hAnsi="宋体" w:cs="Arial"/>
                <w:color w:val="000000"/>
                <w:sz w:val="24"/>
              </w:rPr>
            </w:pPr>
            <w:r>
              <w:rPr>
                <w:rFonts w:hint="eastAsia" w:ascii="宋体" w:hAnsi="宋体" w:cs="Arial"/>
                <w:color w:val="000000"/>
                <w:sz w:val="24"/>
              </w:rPr>
              <w:t>政采云平台（www.zcygov.cn）</w:t>
            </w:r>
          </w:p>
          <w:p>
            <w:pPr>
              <w:spacing w:line="540" w:lineRule="exact"/>
              <w:ind w:firstLine="0" w:firstLineChars="0"/>
              <w:rPr>
                <w:rFonts w:hint="eastAsia" w:ascii="新宋体" w:hAnsi="新宋体" w:eastAsia="新宋体" w:cs="新宋体"/>
                <w:color w:val="auto"/>
                <w:kern w:val="0"/>
                <w:sz w:val="24"/>
                <w:szCs w:val="24"/>
                <w:lang w:val="zh-CN"/>
              </w:rPr>
            </w:pPr>
            <w:r>
              <w:rPr>
                <w:rFonts w:hint="eastAsia" w:ascii="宋体" w:hAnsi="宋体" w:cs="Arial"/>
                <w:b/>
                <w:bCs/>
                <w:color w:val="000000"/>
                <w:sz w:val="24"/>
              </w:rPr>
              <w:t>如非系统原因造成无法解密的或非系统原因加密文件上传不成功的或</w:t>
            </w:r>
            <w:r>
              <w:rPr>
                <w:rFonts w:hint="eastAsia" w:ascii="宋体" w:hAnsi="宋体" w:cs="Arial"/>
                <w:b/>
                <w:bCs/>
                <w:color w:val="000000"/>
                <w:sz w:val="24"/>
                <w:lang w:eastAsia="zh-CN"/>
              </w:rPr>
              <w:t>未</w:t>
            </w:r>
            <w:r>
              <w:rPr>
                <w:rFonts w:hint="eastAsia" w:ascii="宋体" w:hAnsi="宋体" w:cs="Arial"/>
                <w:b/>
                <w:bCs/>
                <w:color w:val="000000"/>
                <w:sz w:val="24"/>
              </w:rPr>
              <w:t>办理CA锁而造成加密文件无法解密、加密文件无法上传的视为无效</w:t>
            </w:r>
            <w:r>
              <w:rPr>
                <w:rFonts w:hint="eastAsia" w:ascii="宋体" w:hAnsi="宋体" w:cs="Arial"/>
                <w:b/>
                <w:bCs/>
                <w:color w:val="000000"/>
                <w:sz w:val="24"/>
                <w:lang w:eastAsia="zh-CN"/>
              </w:rPr>
              <w:t>响应</w:t>
            </w:r>
            <w:r>
              <w:rPr>
                <w:rFonts w:hint="eastAsia" w:ascii="宋体" w:hAnsi="宋体" w:cs="Arial"/>
                <w:b/>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采购人联系人</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采购人：西宁市森林病虫害防治检疫站</w:t>
            </w:r>
          </w:p>
          <w:p>
            <w:pPr>
              <w:spacing w:line="360" w:lineRule="auto"/>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联系人：张先生</w:t>
            </w:r>
          </w:p>
          <w:p>
            <w:pPr>
              <w:spacing w:line="360" w:lineRule="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kern w:val="0"/>
                <w:sz w:val="24"/>
                <w:szCs w:val="24"/>
                <w:lang w:val="en-US" w:eastAsia="zh-CN"/>
              </w:rPr>
              <w:t xml:space="preserve">联系电话：13897439159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代理机构联系人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采购代理机构：</w:t>
            </w:r>
            <w:r>
              <w:rPr>
                <w:rFonts w:hint="eastAsia" w:ascii="新宋体" w:hAnsi="新宋体" w:eastAsia="新宋体" w:cs="新宋体"/>
                <w:color w:val="auto"/>
                <w:sz w:val="24"/>
                <w:szCs w:val="24"/>
                <w:lang w:eastAsia="zh-CN"/>
              </w:rPr>
              <w:t>青海锋业工程项目管理有限公司</w:t>
            </w:r>
          </w:p>
          <w:p>
            <w:pPr>
              <w:widowControl/>
              <w:snapToGrid w:val="0"/>
              <w:spacing w:line="360" w:lineRule="auto"/>
              <w:rPr>
                <w:rFonts w:hint="default" w:ascii="新宋体" w:hAnsi="新宋体" w:eastAsia="新宋体" w:cs="新宋体"/>
                <w:color w:val="auto"/>
                <w:sz w:val="24"/>
                <w:szCs w:val="24"/>
                <w:lang w:val="en-US"/>
              </w:rPr>
            </w:pPr>
            <w:r>
              <w:rPr>
                <w:rFonts w:hint="eastAsia" w:ascii="新宋体" w:hAnsi="新宋体" w:eastAsia="新宋体" w:cs="新宋体"/>
                <w:color w:val="auto"/>
                <w:sz w:val="24"/>
                <w:szCs w:val="24"/>
              </w:rPr>
              <w:t>联系人：</w:t>
            </w:r>
            <w:r>
              <w:rPr>
                <w:rFonts w:hint="eastAsia" w:ascii="新宋体" w:hAnsi="新宋体" w:eastAsia="新宋体" w:cs="新宋体"/>
                <w:color w:val="auto"/>
                <w:sz w:val="24"/>
                <w:szCs w:val="24"/>
                <w:lang w:val="en-US" w:eastAsia="zh-CN"/>
              </w:rPr>
              <w:t>樊先生</w:t>
            </w:r>
          </w:p>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联系电话：</w:t>
            </w:r>
            <w:r>
              <w:rPr>
                <w:rFonts w:hint="eastAsia" w:ascii="新宋体" w:hAnsi="新宋体" w:eastAsia="新宋体" w:cs="新宋体"/>
                <w:color w:val="auto"/>
                <w:sz w:val="24"/>
                <w:szCs w:val="24"/>
                <w:lang w:val="en-US" w:eastAsia="zh-CN"/>
              </w:rPr>
              <w:t>17797110304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代理机构开户行</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zh-CN" w:eastAsia="zh-CN"/>
              </w:rPr>
              <w:t>青海银行海北藏族自治州分行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收款人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青海锋业工程项目管理有限公司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银行账号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zh-CN" w:eastAsia="zh-CN"/>
              </w:rPr>
              <w:t>1801201000226392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其他事项</w:t>
            </w:r>
          </w:p>
        </w:tc>
        <w:tc>
          <w:tcPr>
            <w:tcW w:w="7998" w:type="dxa"/>
            <w:tcBorders>
              <w:top w:val="single" w:color="auto" w:sz="4" w:space="0"/>
              <w:left w:val="single" w:color="auto" w:sz="4" w:space="0"/>
              <w:bottom w:val="single" w:color="auto" w:sz="4" w:space="0"/>
              <w:right w:val="single" w:color="auto" w:sz="4" w:space="0"/>
            </w:tcBorders>
            <w:vAlign w:val="center"/>
          </w:tcPr>
          <w:p>
            <w:pPr>
              <w:spacing w:line="540" w:lineRule="exact"/>
              <w:ind w:firstLine="0" w:firstLineChars="0"/>
              <w:rPr>
                <w:rFonts w:hint="eastAsia" w:ascii="宋体" w:hAnsi="宋体" w:eastAsia="宋体" w:cs="Arial"/>
                <w:b/>
                <w:bCs/>
                <w:color w:val="000000"/>
                <w:sz w:val="24"/>
              </w:rPr>
            </w:pPr>
            <w:r>
              <w:rPr>
                <w:rFonts w:hint="eastAsia" w:ascii="宋体" w:hAnsi="宋体" w:eastAsia="宋体" w:cs="Arial"/>
                <w:b/>
                <w:bCs/>
                <w:color w:val="000000"/>
                <w:sz w:val="24"/>
                <w:lang w:val="en-US" w:eastAsia="zh-CN"/>
              </w:rPr>
              <w:t>1、</w:t>
            </w:r>
            <w:r>
              <w:rPr>
                <w:rFonts w:hint="eastAsia" w:ascii="宋体" w:hAnsi="宋体" w:eastAsia="宋体" w:cs="Arial"/>
                <w:b/>
                <w:bCs/>
                <w:color w:val="000000"/>
                <w:sz w:val="24"/>
              </w:rPr>
              <w:t>本次项目</w:t>
            </w:r>
            <w:r>
              <w:rPr>
                <w:rFonts w:hint="eastAsia" w:ascii="宋体" w:hAnsi="宋体" w:eastAsia="宋体" w:cs="Arial"/>
                <w:b/>
                <w:bCs/>
                <w:color w:val="000000"/>
                <w:sz w:val="24"/>
                <w:lang w:eastAsia="zh-CN"/>
              </w:rPr>
              <w:t>磋商活动</w:t>
            </w:r>
            <w:r>
              <w:rPr>
                <w:rFonts w:hint="eastAsia" w:ascii="宋体" w:hAnsi="宋体" w:eastAsia="宋体" w:cs="Arial"/>
                <w:b/>
                <w:bCs/>
                <w:color w:val="000000"/>
                <w:sz w:val="24"/>
              </w:rPr>
              <w:t>采用线上进行，供应商无需到现场；如非系统原因造成无法解密的或非系统原因加密文件上传不成功的或</w:t>
            </w:r>
            <w:r>
              <w:rPr>
                <w:rFonts w:hint="eastAsia" w:ascii="宋体" w:hAnsi="宋体" w:eastAsia="宋体" w:cs="Arial"/>
                <w:b/>
                <w:bCs/>
                <w:color w:val="000000"/>
                <w:sz w:val="24"/>
                <w:lang w:eastAsia="zh-CN"/>
              </w:rPr>
              <w:t>未</w:t>
            </w:r>
            <w:r>
              <w:rPr>
                <w:rFonts w:hint="eastAsia" w:ascii="宋体" w:hAnsi="宋体" w:eastAsia="宋体" w:cs="Arial"/>
                <w:b/>
                <w:bCs/>
                <w:color w:val="000000"/>
                <w:sz w:val="24"/>
              </w:rPr>
              <w:t>办理CA锁而造成加密</w:t>
            </w:r>
            <w:r>
              <w:rPr>
                <w:rFonts w:hint="eastAsia" w:ascii="宋体" w:hAnsi="宋体" w:eastAsia="宋体" w:cs="Arial"/>
                <w:b/>
                <w:bCs/>
                <w:color w:val="000000"/>
                <w:sz w:val="24"/>
                <w:lang w:eastAsia="zh-CN"/>
              </w:rPr>
              <w:t>响应</w:t>
            </w:r>
            <w:r>
              <w:rPr>
                <w:rFonts w:hint="eastAsia" w:ascii="宋体" w:hAnsi="宋体" w:eastAsia="宋体" w:cs="Arial"/>
                <w:b/>
                <w:bCs/>
                <w:color w:val="000000"/>
                <w:sz w:val="24"/>
              </w:rPr>
              <w:t>文件无法解密、加密</w:t>
            </w:r>
            <w:r>
              <w:rPr>
                <w:rFonts w:hint="eastAsia" w:ascii="宋体" w:hAnsi="宋体" w:eastAsia="宋体" w:cs="Arial"/>
                <w:b/>
                <w:bCs/>
                <w:color w:val="000000"/>
                <w:sz w:val="24"/>
                <w:lang w:eastAsia="zh-CN"/>
              </w:rPr>
              <w:t>响应</w:t>
            </w:r>
            <w:r>
              <w:rPr>
                <w:rFonts w:hint="eastAsia" w:ascii="宋体" w:hAnsi="宋体" w:eastAsia="宋体" w:cs="Arial"/>
                <w:b/>
                <w:bCs/>
                <w:color w:val="000000"/>
                <w:sz w:val="24"/>
              </w:rPr>
              <w:t>文件无法上传的视为无效</w:t>
            </w:r>
            <w:r>
              <w:rPr>
                <w:rFonts w:hint="eastAsia" w:ascii="宋体" w:hAnsi="宋体" w:eastAsia="宋体" w:cs="Arial"/>
                <w:b/>
                <w:bCs/>
                <w:color w:val="000000"/>
                <w:sz w:val="24"/>
                <w:lang w:eastAsia="zh-CN"/>
              </w:rPr>
              <w:t>响应文件</w:t>
            </w:r>
            <w:r>
              <w:rPr>
                <w:rFonts w:hint="eastAsia" w:ascii="宋体" w:hAnsi="宋体" w:eastAsia="宋体" w:cs="Arial"/>
                <w:b/>
                <w:bCs/>
                <w:color w:val="000000"/>
                <w:sz w:val="24"/>
              </w:rPr>
              <w:t>，线上电子加密响应文件必须在</w:t>
            </w:r>
            <w:r>
              <w:rPr>
                <w:rFonts w:hint="eastAsia" w:ascii="宋体" w:hAnsi="宋体" w:eastAsia="宋体" w:cs="Arial"/>
                <w:b/>
                <w:bCs/>
                <w:color w:val="000000"/>
                <w:sz w:val="24"/>
                <w:lang w:eastAsia="zh-CN"/>
              </w:rPr>
              <w:t>响应</w:t>
            </w:r>
            <w:r>
              <w:rPr>
                <w:rFonts w:hint="eastAsia" w:ascii="宋体" w:hAnsi="宋体" w:eastAsia="宋体" w:cs="Arial"/>
                <w:b/>
                <w:bCs/>
                <w:color w:val="000000"/>
                <w:sz w:val="24"/>
              </w:rPr>
              <w:t>文件</w:t>
            </w:r>
            <w:r>
              <w:rPr>
                <w:rFonts w:hint="eastAsia" w:ascii="宋体" w:hAnsi="宋体" w:eastAsia="宋体" w:cs="Arial"/>
                <w:b/>
                <w:bCs/>
                <w:color w:val="000000"/>
                <w:sz w:val="24"/>
                <w:lang w:eastAsia="zh-CN"/>
              </w:rPr>
              <w:t>提交</w:t>
            </w:r>
            <w:r>
              <w:rPr>
                <w:rFonts w:hint="eastAsia" w:ascii="宋体" w:hAnsi="宋体" w:eastAsia="宋体" w:cs="Arial"/>
                <w:b/>
                <w:bCs/>
                <w:color w:val="000000"/>
                <w:sz w:val="24"/>
              </w:rPr>
              <w:t>截止时间前上传至</w:t>
            </w:r>
            <w:r>
              <w:rPr>
                <w:rFonts w:hint="eastAsia" w:ascii="宋体" w:hAnsi="宋体" w:eastAsia="宋体" w:cs="Arial"/>
                <w:b/>
                <w:bCs/>
                <w:color w:val="000000"/>
                <w:sz w:val="24"/>
                <w:lang w:eastAsia="zh-CN"/>
              </w:rPr>
              <w:t>政采云</w:t>
            </w:r>
            <w:r>
              <w:rPr>
                <w:rFonts w:hint="eastAsia" w:ascii="宋体" w:hAnsi="宋体" w:eastAsia="宋体" w:cs="Arial"/>
                <w:b/>
                <w:bCs/>
                <w:color w:val="000000"/>
                <w:sz w:val="24"/>
              </w:rPr>
              <w:t>电子开评标系统；</w:t>
            </w:r>
          </w:p>
          <w:p>
            <w:pPr>
              <w:spacing w:line="540" w:lineRule="exact"/>
              <w:ind w:firstLine="0" w:firstLineChars="0"/>
              <w:rPr>
                <w:rFonts w:hint="eastAsia" w:ascii="宋体" w:hAnsi="宋体" w:eastAsia="宋体" w:cs="Arial"/>
                <w:b/>
                <w:bCs/>
                <w:color w:val="000000"/>
                <w:sz w:val="24"/>
              </w:rPr>
            </w:pPr>
            <w:r>
              <w:rPr>
                <w:rFonts w:hint="eastAsia" w:ascii="宋体" w:hAnsi="宋体" w:eastAsia="宋体" w:cs="Arial"/>
                <w:b/>
                <w:bCs/>
                <w:color w:val="000000"/>
                <w:sz w:val="24"/>
              </w:rPr>
              <w:t>2、线上电子化开评标系统操作及办理CA锁等相关事宜请咨询政采云：咨询电话：400-881-7190；</w:t>
            </w:r>
          </w:p>
          <w:p>
            <w:pPr>
              <w:spacing w:line="540" w:lineRule="exact"/>
              <w:ind w:firstLine="0" w:firstLineChars="0"/>
              <w:rPr>
                <w:rFonts w:hint="eastAsia" w:ascii="宋体" w:hAnsi="宋体" w:eastAsia="宋体" w:cs="Arial"/>
                <w:b/>
                <w:bCs/>
                <w:color w:val="000000"/>
                <w:sz w:val="24"/>
              </w:rPr>
            </w:pPr>
            <w:r>
              <w:rPr>
                <w:rFonts w:hint="eastAsia" w:ascii="宋体" w:hAnsi="宋体" w:eastAsia="宋体" w:cs="Arial"/>
                <w:b/>
                <w:bCs/>
                <w:color w:val="000000"/>
                <w:sz w:val="24"/>
              </w:rPr>
              <w:t>3、线上CA：</w:t>
            </w:r>
          </w:p>
          <w:p>
            <w:pPr>
              <w:spacing w:line="540" w:lineRule="exact"/>
              <w:ind w:firstLine="0" w:firstLineChars="0"/>
              <w:rPr>
                <w:rFonts w:hint="eastAsia" w:ascii="宋体" w:hAnsi="宋体" w:eastAsia="宋体" w:cs="Arial"/>
                <w:b/>
                <w:bCs/>
                <w:color w:val="000000"/>
                <w:sz w:val="24"/>
              </w:rPr>
            </w:pPr>
            <w:r>
              <w:rPr>
                <w:rFonts w:hint="eastAsia" w:ascii="宋体" w:hAnsi="宋体" w:eastAsia="宋体" w:cs="Arial"/>
                <w:b/>
                <w:bCs/>
                <w:color w:val="000000"/>
                <w:sz w:val="24"/>
              </w:rPr>
              <w:t>咨询网址（可及时反馈问题截图，让客服快速定位问题）:http://tseal.cn/k.html，咨询电话：400-0878-198；</w:t>
            </w:r>
          </w:p>
          <w:p>
            <w:pPr>
              <w:pStyle w:val="2"/>
              <w:numPr>
                <w:ilvl w:val="0"/>
                <w:numId w:val="3"/>
              </w:numPr>
              <w:ind w:left="0" w:leftChars="0" w:firstLine="0" w:firstLineChars="0"/>
              <w:rPr>
                <w:rFonts w:hint="eastAsia" w:ascii="宋体" w:hAnsi="宋体" w:eastAsia="宋体" w:cs="Arial"/>
                <w:b/>
                <w:bCs/>
                <w:color w:val="000000"/>
                <w:sz w:val="24"/>
              </w:rPr>
            </w:pPr>
            <w:r>
              <w:rPr>
                <w:rFonts w:hint="eastAsia" w:ascii="宋体" w:hAnsi="宋体" w:eastAsia="宋体" w:cs="Arial"/>
                <w:b/>
                <w:bCs/>
                <w:color w:val="000000"/>
                <w:sz w:val="24"/>
                <w:lang w:eastAsia="zh-CN"/>
              </w:rPr>
              <w:t>供应商</w:t>
            </w:r>
            <w:r>
              <w:rPr>
                <w:rFonts w:hint="eastAsia" w:ascii="宋体" w:hAnsi="宋体" w:eastAsia="宋体" w:cs="Arial"/>
                <w:b/>
                <w:bCs/>
                <w:color w:val="000000"/>
                <w:sz w:val="24"/>
              </w:rPr>
              <w:t>务必在响应文件</w:t>
            </w:r>
            <w:r>
              <w:rPr>
                <w:rFonts w:hint="eastAsia" w:ascii="宋体" w:hAnsi="宋体" w:eastAsia="宋体" w:cs="Arial"/>
                <w:b/>
                <w:bCs/>
                <w:color w:val="000000"/>
                <w:sz w:val="24"/>
                <w:lang w:eastAsia="zh-CN"/>
              </w:rPr>
              <w:t>提交</w:t>
            </w:r>
            <w:r>
              <w:rPr>
                <w:rFonts w:hint="eastAsia" w:ascii="宋体" w:hAnsi="宋体" w:eastAsia="宋体" w:cs="Arial"/>
                <w:b/>
                <w:bCs/>
                <w:color w:val="000000"/>
                <w:sz w:val="24"/>
              </w:rPr>
              <w:t>截止时间当天</w:t>
            </w:r>
            <w:r>
              <w:rPr>
                <w:rFonts w:hint="eastAsia" w:ascii="宋体" w:hAnsi="宋体" w:eastAsia="宋体" w:cs="Arial"/>
                <w:b/>
                <w:bCs/>
                <w:color w:val="000000"/>
                <w:sz w:val="24"/>
                <w:lang w:val="en-US" w:eastAsia="zh-CN"/>
              </w:rPr>
              <w:t>9</w:t>
            </w:r>
            <w:r>
              <w:rPr>
                <w:rFonts w:hint="eastAsia" w:ascii="宋体" w:hAnsi="宋体" w:eastAsia="宋体" w:cs="Arial"/>
                <w:b/>
                <w:bCs/>
                <w:color w:val="000000"/>
                <w:sz w:val="24"/>
              </w:rPr>
              <w:t>：00时之前进入电子开标系统完成电子签到，如未签到无法解密的视为自动放弃。</w:t>
            </w:r>
          </w:p>
          <w:p>
            <w:pPr>
              <w:pStyle w:val="2"/>
              <w:numPr>
                <w:ilvl w:val="0"/>
                <w:numId w:val="3"/>
              </w:numPr>
              <w:ind w:left="0" w:leftChars="0" w:firstLine="0" w:firstLineChars="0"/>
              <w:rPr>
                <w:rFonts w:hint="default" w:ascii="宋体" w:hAnsi="宋体" w:eastAsia="宋体" w:cs="Arial"/>
                <w:b/>
                <w:bCs/>
                <w:color w:val="000000"/>
                <w:sz w:val="24"/>
                <w:lang w:val="en-US" w:eastAsia="zh-CN"/>
              </w:rPr>
            </w:pPr>
            <w:r>
              <w:rPr>
                <w:rFonts w:hint="eastAsia" w:ascii="宋体" w:hAnsi="宋体" w:eastAsia="宋体" w:cs="Arial"/>
                <w:b/>
                <w:bCs/>
                <w:color w:val="000000"/>
                <w:sz w:val="24"/>
              </w:rPr>
              <w:t>公告期限：自青海政府采购网发布之日起</w:t>
            </w:r>
            <w:r>
              <w:rPr>
                <w:rFonts w:hint="eastAsia" w:ascii="宋体" w:hAnsi="宋体" w:eastAsia="宋体" w:cs="Arial"/>
                <w:b/>
                <w:bCs/>
                <w:color w:val="000000"/>
                <w:sz w:val="24"/>
                <w:lang w:val="en-US" w:eastAsia="zh-CN"/>
              </w:rPr>
              <w:t>5</w:t>
            </w:r>
            <w:r>
              <w:rPr>
                <w:rFonts w:hint="eastAsia" w:ascii="宋体" w:hAnsi="宋体" w:eastAsia="宋体" w:cs="Arial"/>
                <w:b/>
                <w:bCs/>
                <w:color w:val="000000"/>
                <w:sz w:val="24"/>
              </w:rPr>
              <w:t>个工作日；公告内容以青海政府采购网发布的为准。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财政监督部门及电话</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监督单位：</w:t>
            </w:r>
            <w:r>
              <w:rPr>
                <w:rFonts w:hint="eastAsia" w:ascii="Arial" w:hAnsi="宋体" w:cs="Arial"/>
                <w:color w:val="auto"/>
                <w:sz w:val="24"/>
                <w:lang w:val="en-US" w:eastAsia="zh-CN"/>
              </w:rPr>
              <w:t>西宁市</w:t>
            </w:r>
            <w:r>
              <w:rPr>
                <w:rFonts w:ascii="Arial" w:hAnsi="Arial" w:cs="Arial"/>
                <w:color w:val="auto"/>
                <w:sz w:val="24"/>
              </w:rPr>
              <w:t>财政局</w:t>
            </w:r>
          </w:p>
        </w:tc>
      </w:tr>
    </w:tbl>
    <w:p>
      <w:pPr>
        <w:widowControl/>
        <w:snapToGrid w:val="0"/>
        <w:spacing w:line="360" w:lineRule="auto"/>
        <w:jc w:val="left"/>
        <w:rPr>
          <w:rFonts w:hint="eastAsia" w:ascii="新宋体" w:hAnsi="新宋体" w:eastAsia="新宋体" w:cs="新宋体"/>
          <w:color w:val="auto"/>
          <w:sz w:val="24"/>
          <w:szCs w:val="24"/>
        </w:rPr>
      </w:pPr>
    </w:p>
    <w:p>
      <w:pPr>
        <w:widowControl/>
        <w:snapToGrid w:val="0"/>
        <w:spacing w:line="360" w:lineRule="auto"/>
        <w:ind w:firstLine="424" w:firstLineChars="177"/>
        <w:jc w:val="righ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 xml:space="preserve">               青海锋业工程项目管理有限公司</w:t>
      </w:r>
    </w:p>
    <w:p>
      <w:pPr>
        <w:pStyle w:val="30"/>
        <w:jc w:val="right"/>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2022年05月25日</w:t>
      </w:r>
    </w:p>
    <w:p>
      <w:pPr>
        <w:pStyle w:val="3"/>
        <w:jc w:val="center"/>
        <w:rPr>
          <w:rFonts w:hint="eastAsia" w:ascii="新宋体" w:hAnsi="新宋体" w:eastAsia="新宋体" w:cs="新宋体"/>
          <w:color w:val="auto"/>
          <w:sz w:val="24"/>
          <w:szCs w:val="24"/>
        </w:rPr>
      </w:pPr>
      <w:bookmarkStart w:id="2" w:name="_Toc31941"/>
    </w:p>
    <w:p>
      <w:pPr>
        <w:rPr>
          <w:rFonts w:hint="eastAsia" w:ascii="新宋体" w:hAnsi="新宋体" w:eastAsia="新宋体" w:cs="新宋体"/>
          <w:color w:val="auto"/>
          <w:sz w:val="24"/>
          <w:szCs w:val="24"/>
        </w:rPr>
      </w:pPr>
    </w:p>
    <w:p>
      <w:pPr>
        <w:pStyle w:val="30"/>
        <w:rPr>
          <w:rFonts w:hint="eastAsia" w:ascii="新宋体" w:hAnsi="新宋体" w:eastAsia="新宋体" w:cs="新宋体"/>
          <w:color w:val="auto"/>
          <w:sz w:val="24"/>
          <w:szCs w:val="24"/>
        </w:rPr>
      </w:pPr>
    </w:p>
    <w:p>
      <w:pPr>
        <w:pStyle w:val="30"/>
        <w:rPr>
          <w:rFonts w:hint="eastAsia" w:ascii="新宋体" w:hAnsi="新宋体" w:eastAsia="新宋体" w:cs="新宋体"/>
          <w:color w:val="auto"/>
          <w:sz w:val="24"/>
          <w:szCs w:val="24"/>
        </w:rPr>
      </w:pPr>
    </w:p>
    <w:p>
      <w:pPr>
        <w:pStyle w:val="30"/>
        <w:rPr>
          <w:rFonts w:hint="eastAsia" w:ascii="新宋体" w:hAnsi="新宋体" w:eastAsia="新宋体" w:cs="新宋体"/>
          <w:color w:val="auto"/>
          <w:sz w:val="24"/>
          <w:szCs w:val="24"/>
        </w:rPr>
      </w:pPr>
    </w:p>
    <w:p>
      <w:pPr>
        <w:pStyle w:val="3"/>
        <w:jc w:val="both"/>
        <w:rPr>
          <w:rFonts w:hint="eastAsia" w:ascii="新宋体" w:hAnsi="新宋体" w:eastAsia="新宋体" w:cs="新宋体"/>
          <w:color w:val="auto"/>
          <w:sz w:val="36"/>
          <w:szCs w:val="36"/>
        </w:rPr>
        <w:sectPr>
          <w:footerReference r:id="rId9" w:type="first"/>
          <w:footerReference r:id="rId7" w:type="default"/>
          <w:footerReference r:id="rId8" w:type="even"/>
          <w:pgSz w:w="11850" w:h="16783"/>
          <w:pgMar w:top="1247" w:right="850" w:bottom="1247" w:left="737" w:header="851" w:footer="992" w:gutter="0"/>
          <w:pgBorders w:offsetFrom="page">
            <w:top w:val="none" w:sz="0" w:space="0"/>
            <w:left w:val="none" w:sz="0" w:space="0"/>
            <w:bottom w:val="none" w:sz="0" w:space="0"/>
            <w:right w:val="none" w:sz="0" w:space="0"/>
          </w:pgBorders>
          <w:pgNumType w:fmt="decimal" w:start="1"/>
          <w:cols w:space="425" w:num="1"/>
          <w:titlePg/>
          <w:docGrid w:type="lines" w:linePitch="312" w:charSpace="0"/>
        </w:sectPr>
      </w:pPr>
    </w:p>
    <w:p>
      <w:pPr>
        <w:pStyle w:val="3"/>
        <w:jc w:val="center"/>
        <w:rPr>
          <w:rFonts w:hint="eastAsia" w:ascii="新宋体" w:hAnsi="新宋体" w:eastAsia="新宋体" w:cs="新宋体"/>
          <w:color w:val="auto"/>
          <w:sz w:val="36"/>
          <w:szCs w:val="36"/>
        </w:rPr>
      </w:pPr>
      <w:bookmarkStart w:id="3" w:name="_Toc5535"/>
      <w:r>
        <w:rPr>
          <w:rFonts w:hint="eastAsia" w:ascii="新宋体" w:hAnsi="新宋体" w:eastAsia="新宋体" w:cs="新宋体"/>
          <w:color w:val="auto"/>
          <w:sz w:val="36"/>
          <w:szCs w:val="36"/>
        </w:rPr>
        <w:t>第二部分 投标人须知</w:t>
      </w:r>
      <w:bookmarkEnd w:id="2"/>
      <w:bookmarkEnd w:id="3"/>
    </w:p>
    <w:p>
      <w:pPr>
        <w:pStyle w:val="4"/>
        <w:numPr>
          <w:ilvl w:val="0"/>
          <w:numId w:val="4"/>
        </w:numPr>
        <w:jc w:val="center"/>
        <w:rPr>
          <w:rFonts w:hint="eastAsia" w:ascii="新宋体" w:hAnsi="新宋体" w:eastAsia="新宋体" w:cs="新宋体"/>
          <w:color w:val="auto"/>
        </w:rPr>
      </w:pPr>
      <w:bookmarkStart w:id="4" w:name="_Toc14743"/>
      <w:bookmarkStart w:id="5" w:name="_Toc5161"/>
      <w:bookmarkStart w:id="6" w:name="_Toc15545"/>
      <w:bookmarkStart w:id="7" w:name="_Toc9451"/>
      <w:r>
        <w:rPr>
          <w:rFonts w:hint="eastAsia" w:ascii="新宋体" w:hAnsi="新宋体" w:eastAsia="新宋体" w:cs="新宋体"/>
          <w:color w:val="auto"/>
        </w:rPr>
        <w:t>说明</w:t>
      </w:r>
      <w:bookmarkEnd w:id="4"/>
      <w:bookmarkEnd w:id="5"/>
      <w:bookmarkEnd w:id="6"/>
      <w:bookmarkEnd w:id="7"/>
    </w:p>
    <w:p>
      <w:pPr>
        <w:pStyle w:val="5"/>
        <w:spacing w:line="360" w:lineRule="auto"/>
        <w:rPr>
          <w:rFonts w:hint="eastAsia" w:ascii="新宋体" w:hAnsi="新宋体" w:eastAsia="新宋体" w:cs="新宋体"/>
          <w:color w:val="auto"/>
          <w:sz w:val="24"/>
          <w:szCs w:val="24"/>
        </w:rPr>
      </w:pPr>
      <w:bookmarkStart w:id="8" w:name="_Toc18783"/>
      <w:bookmarkStart w:id="9" w:name="_Toc7105"/>
      <w:bookmarkStart w:id="10" w:name="_Toc1198"/>
      <w:r>
        <w:rPr>
          <w:rFonts w:hint="eastAsia" w:ascii="新宋体" w:hAnsi="新宋体" w:eastAsia="新宋体" w:cs="新宋体"/>
          <w:color w:val="auto"/>
          <w:sz w:val="24"/>
          <w:szCs w:val="24"/>
        </w:rPr>
        <w:t>1.使用范围</w:t>
      </w:r>
      <w:bookmarkEnd w:id="8"/>
      <w:bookmarkEnd w:id="9"/>
      <w:bookmarkEnd w:id="10"/>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本次采购依据采购人的采购计划，仅适用于本磋商文件中所叙述的项目。</w:t>
      </w:r>
    </w:p>
    <w:p>
      <w:pPr>
        <w:pStyle w:val="5"/>
        <w:spacing w:line="360" w:lineRule="auto"/>
        <w:rPr>
          <w:rFonts w:hint="eastAsia" w:ascii="新宋体" w:hAnsi="新宋体" w:eastAsia="新宋体" w:cs="新宋体"/>
          <w:color w:val="auto"/>
          <w:sz w:val="24"/>
          <w:szCs w:val="24"/>
        </w:rPr>
      </w:pPr>
      <w:bookmarkStart w:id="11" w:name="_Toc27119"/>
      <w:bookmarkStart w:id="12" w:name="_Toc30684"/>
      <w:bookmarkStart w:id="13" w:name="_Toc114"/>
      <w:r>
        <w:rPr>
          <w:rFonts w:hint="eastAsia" w:ascii="新宋体" w:hAnsi="新宋体" w:eastAsia="新宋体" w:cs="新宋体"/>
          <w:color w:val="auto"/>
          <w:sz w:val="24"/>
          <w:szCs w:val="24"/>
        </w:rPr>
        <w:t>2.采购方式、合格的投标人</w:t>
      </w:r>
      <w:bookmarkEnd w:id="11"/>
      <w:bookmarkEnd w:id="12"/>
      <w:bookmarkEnd w:id="1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2.1本次采购采取竞争性磋商方式；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2.2合格的投标人：详见第一部分“投标人资格要求”。</w:t>
      </w:r>
    </w:p>
    <w:p>
      <w:pPr>
        <w:pStyle w:val="5"/>
        <w:spacing w:line="360" w:lineRule="auto"/>
        <w:rPr>
          <w:rFonts w:hint="eastAsia" w:ascii="新宋体" w:hAnsi="新宋体" w:eastAsia="新宋体" w:cs="新宋体"/>
          <w:color w:val="auto"/>
          <w:sz w:val="24"/>
          <w:szCs w:val="24"/>
        </w:rPr>
      </w:pPr>
      <w:bookmarkStart w:id="14" w:name="_Toc23912"/>
      <w:bookmarkStart w:id="15" w:name="_Toc4345"/>
      <w:bookmarkStart w:id="16" w:name="_Toc3993"/>
      <w:r>
        <w:rPr>
          <w:rFonts w:hint="eastAsia" w:ascii="新宋体" w:hAnsi="新宋体" w:eastAsia="新宋体" w:cs="新宋体"/>
          <w:color w:val="auto"/>
          <w:sz w:val="24"/>
          <w:szCs w:val="24"/>
        </w:rPr>
        <w:t>3.投标费用</w:t>
      </w:r>
      <w:bookmarkEnd w:id="14"/>
      <w:bookmarkEnd w:id="15"/>
      <w:bookmarkEnd w:id="16"/>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投标人应自愿承担参加本次投标有关的费用。采购代理机构对投标人发生的费用不承担任何责任。</w:t>
      </w:r>
    </w:p>
    <w:p>
      <w:pPr>
        <w:pStyle w:val="4"/>
        <w:numPr>
          <w:ilvl w:val="0"/>
          <w:numId w:val="4"/>
        </w:numPr>
        <w:spacing w:line="360" w:lineRule="auto"/>
        <w:jc w:val="center"/>
        <w:rPr>
          <w:rFonts w:hint="eastAsia" w:ascii="新宋体" w:hAnsi="新宋体" w:eastAsia="新宋体" w:cs="新宋体"/>
          <w:color w:val="auto"/>
        </w:rPr>
      </w:pPr>
      <w:bookmarkStart w:id="17" w:name="_Toc17183"/>
      <w:bookmarkStart w:id="18" w:name="_Toc28854"/>
      <w:bookmarkStart w:id="19" w:name="_Toc19481"/>
      <w:r>
        <w:rPr>
          <w:rFonts w:hint="eastAsia" w:ascii="新宋体" w:hAnsi="新宋体" w:eastAsia="新宋体" w:cs="新宋体"/>
          <w:color w:val="auto"/>
        </w:rPr>
        <w:t>磋商文件说明</w:t>
      </w:r>
      <w:bookmarkEnd w:id="17"/>
      <w:bookmarkEnd w:id="18"/>
      <w:bookmarkEnd w:id="19"/>
    </w:p>
    <w:p>
      <w:pPr>
        <w:pStyle w:val="5"/>
        <w:spacing w:line="360" w:lineRule="auto"/>
        <w:rPr>
          <w:rFonts w:hint="eastAsia" w:ascii="新宋体" w:hAnsi="新宋体" w:eastAsia="新宋体" w:cs="新宋体"/>
          <w:color w:val="auto"/>
          <w:sz w:val="24"/>
          <w:szCs w:val="24"/>
        </w:rPr>
      </w:pPr>
      <w:bookmarkStart w:id="20" w:name="_Toc15160"/>
      <w:bookmarkStart w:id="21" w:name="_Toc29679"/>
      <w:bookmarkStart w:id="22" w:name="_Toc24191"/>
      <w:r>
        <w:rPr>
          <w:rFonts w:hint="eastAsia" w:ascii="新宋体" w:hAnsi="新宋体" w:eastAsia="新宋体" w:cs="新宋体"/>
          <w:color w:val="auto"/>
          <w:sz w:val="24"/>
          <w:szCs w:val="24"/>
        </w:rPr>
        <w:t>4.磋商文件的构成</w:t>
      </w:r>
      <w:bookmarkEnd w:id="20"/>
      <w:bookmarkEnd w:id="21"/>
      <w:bookmarkEnd w:id="2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4.1磋商文件包括：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（1）投标邀请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（2）投标人须知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（3）青海省政府采购项目合同书范本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（4）响应文件格式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（5）采购项目要求及技术参数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（6）采购过程中发生的澄清、变更和补充文件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4.2投标人应当按照磋商文件的要求编制响应文件。响应文件应当对磋商文件提出的要求和条件作出明确响应。</w:t>
      </w:r>
    </w:p>
    <w:p>
      <w:pPr>
        <w:pStyle w:val="5"/>
        <w:spacing w:line="360" w:lineRule="auto"/>
        <w:rPr>
          <w:rFonts w:hint="eastAsia" w:ascii="新宋体" w:hAnsi="新宋体" w:eastAsia="新宋体" w:cs="新宋体"/>
          <w:color w:val="auto"/>
          <w:sz w:val="24"/>
          <w:szCs w:val="24"/>
        </w:rPr>
      </w:pPr>
      <w:bookmarkStart w:id="23" w:name="_Toc2936"/>
      <w:bookmarkStart w:id="24" w:name="_Toc12468"/>
      <w:bookmarkStart w:id="25" w:name="_Toc29800"/>
      <w:r>
        <w:rPr>
          <w:rFonts w:hint="eastAsia" w:ascii="新宋体" w:hAnsi="新宋体" w:eastAsia="新宋体" w:cs="新宋体"/>
          <w:color w:val="auto"/>
          <w:sz w:val="24"/>
          <w:szCs w:val="24"/>
        </w:rPr>
        <w:t>5.竞争性磋商公告、磋商文件、采购活动成交结果的质疑</w:t>
      </w:r>
      <w:bookmarkEnd w:id="23"/>
      <w:bookmarkEnd w:id="24"/>
      <w:bookmarkEnd w:id="2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认为竞争性磋商公告、磋商文件、采购活动和成交结果使自己的权益受到损害的，可以在知道或者应知其权益受到损害之日起7个工作日内以书面形式（如信件、传真等）向采购人或者采购代理机构提出质疑，不接受匿名质疑。潜在投标人可以对竞争性磋商公告、磋商文件提出质疑。采购人或采购代理机构在收到投标人的书面质疑后7个工作日内予以答复，如有变更事宜，应当在发布本次竞争性磋商公告的网站上发布变更公告，告知本项目的所有潜在投标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投标人应知其权益受到损害之日，是指：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（一）对可以质疑的磋商文件提出质疑的，为收到磋商文件之日或者磋商文件公告期限届满之日；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（二）对采购过程提出质疑的，为各采购程序环节结束之日；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（三）对成交结果提出质疑的，为成交结果公告期限届满之日。</w:t>
      </w:r>
    </w:p>
    <w:p>
      <w:pPr>
        <w:pStyle w:val="5"/>
        <w:spacing w:line="360" w:lineRule="auto"/>
        <w:rPr>
          <w:rFonts w:hint="eastAsia" w:ascii="新宋体" w:hAnsi="新宋体" w:eastAsia="新宋体" w:cs="新宋体"/>
          <w:color w:val="auto"/>
          <w:sz w:val="24"/>
          <w:szCs w:val="24"/>
        </w:rPr>
      </w:pPr>
      <w:bookmarkStart w:id="26" w:name="_Toc25730"/>
      <w:bookmarkStart w:id="27" w:name="_Toc27239"/>
      <w:bookmarkStart w:id="28" w:name="_Toc16434"/>
      <w:r>
        <w:rPr>
          <w:rFonts w:hint="eastAsia" w:ascii="新宋体" w:hAnsi="新宋体" w:eastAsia="新宋体" w:cs="新宋体"/>
          <w:color w:val="auto"/>
          <w:sz w:val="24"/>
          <w:szCs w:val="24"/>
        </w:rPr>
        <w:t>6.磋商文件的澄清或修改</w:t>
      </w:r>
      <w:bookmarkEnd w:id="26"/>
      <w:bookmarkEnd w:id="27"/>
      <w:bookmarkEnd w:id="2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6.1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澄清或者修改的内容可能影响响应文件编制的，采购人或者采购代理机构应当在投标截止时间至少</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日前，以书面形式通知所有获取磋商文件的潜在投标人；不足</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日的，采购人或者采购代理机构应当顺延提交响应文件的截止时间。</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6.2在投标截止时间前，采购人或采购代理机构可以视采购活动具体情况，延长投标截止时间和开标时间，并至少应当在磋商文件要求提交响应文件的截止时间三日前，将变更时间以书面形式通知所有购买了磋商文件的投标人，同时在发布本次竞争性磋商公告的网站发布变更公告。</w:t>
      </w:r>
    </w:p>
    <w:p>
      <w:pPr>
        <w:pStyle w:val="4"/>
        <w:numPr>
          <w:ilvl w:val="0"/>
          <w:numId w:val="4"/>
        </w:numPr>
        <w:spacing w:line="360" w:lineRule="auto"/>
        <w:jc w:val="center"/>
        <w:rPr>
          <w:rFonts w:hint="eastAsia" w:ascii="新宋体" w:hAnsi="新宋体" w:eastAsia="新宋体" w:cs="新宋体"/>
          <w:color w:val="auto"/>
        </w:rPr>
      </w:pPr>
      <w:bookmarkStart w:id="29" w:name="_Toc9059"/>
      <w:bookmarkStart w:id="30" w:name="_Toc12470"/>
      <w:bookmarkStart w:id="31" w:name="_Toc1742"/>
      <w:r>
        <w:rPr>
          <w:rFonts w:hint="eastAsia" w:ascii="新宋体" w:hAnsi="新宋体" w:eastAsia="新宋体" w:cs="新宋体"/>
          <w:color w:val="auto"/>
        </w:rPr>
        <w:t>响应文件的编制</w:t>
      </w:r>
      <w:bookmarkEnd w:id="29"/>
      <w:bookmarkEnd w:id="30"/>
      <w:bookmarkEnd w:id="31"/>
    </w:p>
    <w:p>
      <w:pPr>
        <w:pStyle w:val="5"/>
        <w:spacing w:line="360" w:lineRule="auto"/>
        <w:rPr>
          <w:rFonts w:hint="eastAsia" w:ascii="新宋体" w:hAnsi="新宋体" w:eastAsia="新宋体" w:cs="新宋体"/>
          <w:color w:val="auto"/>
          <w:sz w:val="24"/>
          <w:szCs w:val="24"/>
        </w:rPr>
      </w:pPr>
      <w:bookmarkStart w:id="32" w:name="_Toc8335"/>
      <w:bookmarkStart w:id="33" w:name="_Toc23443"/>
      <w:bookmarkStart w:id="34" w:name="_Toc19783"/>
      <w:r>
        <w:rPr>
          <w:rFonts w:hint="eastAsia" w:ascii="新宋体" w:hAnsi="新宋体" w:eastAsia="新宋体" w:cs="新宋体"/>
          <w:color w:val="auto"/>
          <w:sz w:val="24"/>
          <w:szCs w:val="24"/>
        </w:rPr>
        <w:t>7.响应文件的语言及度量衡单位</w:t>
      </w:r>
      <w:bookmarkEnd w:id="32"/>
      <w:bookmarkEnd w:id="33"/>
      <w:bookmarkEnd w:id="3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7.1投标人提交的响应文件以及投标人与采购代理机构就此投标发生的所有来往函电均应使用简体中文。除签名、盖章、专用名称等特殊情形外，以中文汉语以外的文字表述的响应文件视同未提供。</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7.2除磋商文件中另有规定外，响应文件所使用的度量衡单位，均须采用国家法定计量单位。</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7.3附有外文资料的须翻译成中文，并加盖投标人公章，如果翻译的中文资料与外文资料出现差异与矛盾时，以中文为准，其准确性由投标人负责。</w:t>
      </w:r>
    </w:p>
    <w:p>
      <w:pPr>
        <w:pStyle w:val="5"/>
        <w:spacing w:line="360" w:lineRule="auto"/>
        <w:rPr>
          <w:rFonts w:hint="eastAsia" w:ascii="新宋体" w:hAnsi="新宋体" w:eastAsia="新宋体" w:cs="新宋体"/>
          <w:color w:val="auto"/>
          <w:sz w:val="24"/>
          <w:szCs w:val="24"/>
        </w:rPr>
      </w:pPr>
      <w:bookmarkStart w:id="35" w:name="_Toc32320"/>
      <w:bookmarkStart w:id="36" w:name="_Toc1111"/>
      <w:bookmarkStart w:id="37" w:name="_Toc11623"/>
      <w:r>
        <w:rPr>
          <w:rFonts w:hint="eastAsia" w:ascii="新宋体" w:hAnsi="新宋体" w:eastAsia="新宋体" w:cs="新宋体"/>
          <w:color w:val="auto"/>
          <w:sz w:val="24"/>
          <w:szCs w:val="24"/>
        </w:rPr>
        <w:t>8.磋商报价及币种</w:t>
      </w:r>
      <w:bookmarkEnd w:id="35"/>
      <w:bookmarkEnd w:id="36"/>
      <w:bookmarkEnd w:id="3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8.1磋商报价为投标总价。磋商报价必须包括：</w:t>
      </w:r>
      <w:r>
        <w:rPr>
          <w:rFonts w:hint="eastAsia" w:ascii="新宋体" w:hAnsi="新宋体" w:eastAsia="新宋体" w:cs="新宋体"/>
          <w:color w:val="auto"/>
          <w:kern w:val="0"/>
          <w:sz w:val="24"/>
          <w:szCs w:val="24"/>
          <w:lang w:val="zh-CN"/>
        </w:rPr>
        <w:t>投标报价完成本服务内容可能发生的各项费用，如人员工资、交通、设备、利润、税收、招标代理费以及所有有关的管理成本和其他不可预见费等全部费用。（说明：具体内容应根据项目特点实事求是的填写）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8.2磋商报价有效期与投标有效期一致。</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8.3磋商报价为闭口价，即成交后在合同有效期内价格不变。</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8.4投标币种是人民币。</w:t>
      </w:r>
    </w:p>
    <w:p>
      <w:pPr>
        <w:pStyle w:val="5"/>
        <w:spacing w:line="360" w:lineRule="auto"/>
        <w:rPr>
          <w:rFonts w:hint="eastAsia" w:ascii="新宋体" w:hAnsi="新宋体" w:eastAsia="新宋体" w:cs="新宋体"/>
          <w:color w:val="auto"/>
          <w:sz w:val="24"/>
          <w:szCs w:val="24"/>
        </w:rPr>
      </w:pPr>
      <w:bookmarkStart w:id="38" w:name="_Toc27894"/>
      <w:bookmarkStart w:id="39" w:name="_Toc6108"/>
      <w:bookmarkStart w:id="40" w:name="_Toc10673"/>
      <w:r>
        <w:rPr>
          <w:rFonts w:hint="eastAsia" w:ascii="新宋体" w:hAnsi="新宋体" w:eastAsia="新宋体" w:cs="新宋体"/>
          <w:color w:val="auto"/>
          <w:sz w:val="24"/>
          <w:szCs w:val="24"/>
        </w:rPr>
        <w:t>9.磋商保证金</w:t>
      </w:r>
      <w:bookmarkEnd w:id="38"/>
      <w:bookmarkEnd w:id="39"/>
      <w:bookmarkEnd w:id="40"/>
    </w:p>
    <w:p>
      <w:pPr>
        <w:snapToGrid w:val="0"/>
        <w:spacing w:line="360" w:lineRule="auto"/>
        <w:ind w:firstLine="484" w:firstLineChars="202"/>
        <w:rPr>
          <w:rFonts w:hint="eastAsia" w:ascii="新宋体" w:hAnsi="新宋体" w:eastAsia="新宋体" w:cs="新宋体"/>
          <w:color w:val="auto"/>
          <w:sz w:val="24"/>
          <w:szCs w:val="24"/>
        </w:rPr>
      </w:pPr>
      <w:bookmarkStart w:id="41" w:name="_Toc31922"/>
      <w:r>
        <w:rPr>
          <w:rFonts w:hint="eastAsia" w:ascii="新宋体" w:hAnsi="新宋体" w:eastAsia="新宋体" w:cs="新宋体"/>
          <w:color w:val="auto"/>
          <w:sz w:val="24"/>
          <w:szCs w:val="24"/>
        </w:rPr>
        <w:t>9.1投标人须在响应截止期前按以下要求缴纳磋商保证金：</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磋商保证金：</w:t>
      </w:r>
      <w:r>
        <w:rPr>
          <w:rFonts w:hint="eastAsia" w:ascii="新宋体" w:hAnsi="新宋体" w:eastAsia="新宋体" w:cs="新宋体"/>
          <w:color w:val="auto"/>
          <w:sz w:val="24"/>
          <w:szCs w:val="24"/>
          <w:lang w:val="en-US" w:eastAsia="zh-CN"/>
        </w:rPr>
        <w:t>4000.00</w:t>
      </w:r>
      <w:r>
        <w:rPr>
          <w:rFonts w:hint="eastAsia" w:ascii="新宋体" w:hAnsi="新宋体" w:eastAsia="新宋体" w:cs="新宋体"/>
          <w:color w:val="auto"/>
          <w:sz w:val="24"/>
          <w:szCs w:val="24"/>
        </w:rPr>
        <w:t>元整（大写：</w:t>
      </w:r>
      <w:r>
        <w:rPr>
          <w:rFonts w:hint="eastAsia" w:ascii="新宋体" w:hAnsi="新宋体" w:eastAsia="新宋体" w:cs="新宋体"/>
          <w:color w:val="auto"/>
          <w:sz w:val="24"/>
          <w:szCs w:val="24"/>
          <w:lang w:val="en-US" w:eastAsia="zh-CN"/>
        </w:rPr>
        <w:t>肆</w:t>
      </w:r>
      <w:r>
        <w:rPr>
          <w:rFonts w:hint="eastAsia" w:ascii="新宋体" w:hAnsi="新宋体" w:eastAsia="新宋体" w:cs="新宋体"/>
          <w:color w:val="auto"/>
          <w:sz w:val="24"/>
          <w:szCs w:val="24"/>
          <w:lang w:eastAsia="zh-CN"/>
        </w:rPr>
        <w:t>仟元整</w:t>
      </w:r>
      <w:r>
        <w:rPr>
          <w:rFonts w:hint="eastAsia" w:ascii="新宋体" w:hAnsi="新宋体" w:eastAsia="新宋体" w:cs="新宋体"/>
          <w:color w:val="auto"/>
          <w:sz w:val="24"/>
          <w:szCs w:val="24"/>
        </w:rPr>
        <w:t>）；</w:t>
      </w:r>
    </w:p>
    <w:p>
      <w:pPr>
        <w:snapToGrid w:val="0"/>
        <w:spacing w:line="360" w:lineRule="auto"/>
        <w:ind w:firstLine="484" w:firstLineChars="202"/>
        <w:rPr>
          <w:rFonts w:hint="eastAsia" w:ascii="新宋体" w:hAnsi="新宋体" w:eastAsia="新宋体" w:cs="新宋体"/>
          <w:b/>
          <w:bCs/>
          <w:color w:val="auto"/>
          <w:sz w:val="24"/>
          <w:szCs w:val="24"/>
          <w:u w:val="none"/>
          <w:lang w:val="zh-CN"/>
        </w:rPr>
      </w:pPr>
      <w:r>
        <w:rPr>
          <w:rFonts w:hint="eastAsia" w:ascii="新宋体" w:hAnsi="新宋体" w:eastAsia="新宋体" w:cs="新宋体"/>
          <w:color w:val="auto"/>
          <w:sz w:val="24"/>
          <w:szCs w:val="24"/>
          <w:lang w:val="zh-CN"/>
        </w:rPr>
        <w:t>账户名：</w:t>
      </w:r>
      <w:r>
        <w:rPr>
          <w:rFonts w:hint="eastAsia" w:ascii="新宋体" w:hAnsi="新宋体" w:eastAsia="新宋体" w:cs="新宋体"/>
          <w:b/>
          <w:bCs/>
          <w:color w:val="auto"/>
          <w:sz w:val="24"/>
          <w:szCs w:val="24"/>
          <w:u w:val="none"/>
          <w:lang w:val="zh-CN"/>
        </w:rPr>
        <w:t>青海锋业工程项目管理有限公司</w:t>
      </w:r>
    </w:p>
    <w:p>
      <w:pPr>
        <w:spacing w:line="360" w:lineRule="auto"/>
        <w:ind w:firstLine="480" w:firstLineChars="200"/>
        <w:rPr>
          <w:rFonts w:hint="eastAsia" w:ascii="新宋体" w:hAnsi="新宋体" w:eastAsia="新宋体" w:cs="新宋体"/>
          <w:b/>
          <w:bCs/>
          <w:color w:val="auto"/>
          <w:sz w:val="24"/>
          <w:szCs w:val="24"/>
          <w:u w:val="none"/>
          <w:lang w:val="zh-CN" w:eastAsia="zh-CN"/>
        </w:rPr>
      </w:pPr>
      <w:r>
        <w:rPr>
          <w:rFonts w:hint="eastAsia" w:ascii="新宋体" w:hAnsi="新宋体" w:eastAsia="新宋体" w:cs="新宋体"/>
          <w:color w:val="auto"/>
          <w:sz w:val="24"/>
          <w:szCs w:val="24"/>
        </w:rPr>
        <w:t>开户行：</w:t>
      </w:r>
      <w:r>
        <w:rPr>
          <w:rFonts w:hint="eastAsia" w:ascii="新宋体" w:hAnsi="新宋体" w:eastAsia="新宋体" w:cs="新宋体"/>
          <w:b/>
          <w:bCs/>
          <w:color w:val="auto"/>
          <w:sz w:val="24"/>
          <w:szCs w:val="24"/>
          <w:lang w:eastAsia="zh-CN"/>
        </w:rPr>
        <w:t>青海西宁农村商业银行股份有限公司市民中心支行</w:t>
      </w:r>
    </w:p>
    <w:p>
      <w:pPr>
        <w:spacing w:line="360" w:lineRule="auto"/>
        <w:ind w:firstLine="480" w:firstLineChars="20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账</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号：</w:t>
      </w:r>
      <w:r>
        <w:rPr>
          <w:rFonts w:hint="eastAsia" w:ascii="新宋体" w:hAnsi="新宋体" w:eastAsia="新宋体" w:cs="新宋体"/>
          <w:b/>
          <w:bCs/>
          <w:color w:val="auto"/>
          <w:sz w:val="24"/>
          <w:szCs w:val="24"/>
          <w:lang w:eastAsia="zh-CN"/>
        </w:rPr>
        <w:t>82010000000534085</w:t>
      </w:r>
    </w:p>
    <w:p>
      <w:pPr>
        <w:snapToGrid w:val="0"/>
        <w:spacing w:line="360" w:lineRule="auto"/>
        <w:ind w:firstLine="484" w:firstLineChars="202"/>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交纳时间：</w:t>
      </w:r>
      <w:r>
        <w:rPr>
          <w:rFonts w:hint="eastAsia" w:ascii="新宋体" w:hAnsi="新宋体" w:eastAsia="新宋体" w:cs="新宋体"/>
          <w:b/>
          <w:bCs/>
          <w:color w:val="auto"/>
          <w:sz w:val="24"/>
          <w:szCs w:val="24"/>
          <w:lang w:val="zh-CN"/>
        </w:rPr>
        <w:t>2022年06月0</w:t>
      </w:r>
      <w:r>
        <w:rPr>
          <w:rFonts w:hint="eastAsia" w:ascii="新宋体" w:hAnsi="新宋体" w:eastAsia="新宋体" w:cs="新宋体"/>
          <w:b/>
          <w:bCs/>
          <w:color w:val="auto"/>
          <w:sz w:val="24"/>
          <w:szCs w:val="24"/>
          <w:lang w:val="en-US" w:eastAsia="zh-CN"/>
        </w:rPr>
        <w:t>6</w:t>
      </w:r>
      <w:r>
        <w:rPr>
          <w:rFonts w:hint="eastAsia" w:ascii="新宋体" w:hAnsi="新宋体" w:eastAsia="新宋体" w:cs="新宋体"/>
          <w:b/>
          <w:bCs/>
          <w:color w:val="auto"/>
          <w:sz w:val="24"/>
          <w:szCs w:val="24"/>
          <w:lang w:val="zh-CN"/>
        </w:rPr>
        <w:t>日</w:t>
      </w:r>
      <w:r>
        <w:rPr>
          <w:rFonts w:hint="eastAsia" w:ascii="新宋体" w:hAnsi="新宋体" w:eastAsia="新宋体" w:cs="新宋体"/>
          <w:b/>
          <w:bCs/>
          <w:color w:val="auto"/>
          <w:sz w:val="24"/>
          <w:szCs w:val="24"/>
          <w:lang w:val="en-US" w:eastAsia="zh-CN"/>
        </w:rPr>
        <w:t>09</w:t>
      </w:r>
      <w:r>
        <w:rPr>
          <w:rFonts w:hint="eastAsia" w:ascii="新宋体" w:hAnsi="新宋体" w:eastAsia="新宋体" w:cs="新宋体"/>
          <w:b/>
          <w:bCs/>
          <w:color w:val="auto"/>
          <w:sz w:val="24"/>
          <w:szCs w:val="24"/>
          <w:lang w:val="zh-CN"/>
        </w:rPr>
        <w:t>时</w:t>
      </w:r>
      <w:r>
        <w:rPr>
          <w:rFonts w:hint="eastAsia" w:ascii="新宋体" w:hAnsi="新宋体" w:eastAsia="新宋体" w:cs="新宋体"/>
          <w:b/>
          <w:bCs/>
          <w:color w:val="auto"/>
          <w:sz w:val="24"/>
          <w:szCs w:val="24"/>
          <w:lang w:val="en-US" w:eastAsia="zh-CN"/>
        </w:rPr>
        <w:t>3</w:t>
      </w:r>
      <w:r>
        <w:rPr>
          <w:rFonts w:hint="eastAsia" w:ascii="新宋体" w:hAnsi="新宋体" w:eastAsia="新宋体" w:cs="新宋体"/>
          <w:b/>
          <w:bCs/>
          <w:color w:val="auto"/>
          <w:sz w:val="24"/>
          <w:szCs w:val="24"/>
          <w:lang w:val="zh-CN"/>
        </w:rPr>
        <w:t>0分前</w:t>
      </w:r>
      <w:r>
        <w:rPr>
          <w:rFonts w:hint="eastAsia" w:ascii="新宋体" w:hAnsi="新宋体" w:eastAsia="新宋体" w:cs="新宋体"/>
          <w:b w:val="0"/>
          <w:bCs w:val="0"/>
          <w:color w:val="auto"/>
          <w:sz w:val="24"/>
          <w:szCs w:val="24"/>
          <w:lang w:val="zh-CN"/>
        </w:rPr>
        <w:t>，以银行到账时间为准</w:t>
      </w:r>
      <w:r>
        <w:rPr>
          <w:rFonts w:hint="eastAsia" w:ascii="新宋体" w:hAnsi="新宋体" w:eastAsia="新宋体" w:cs="新宋体"/>
          <w:color w:val="auto"/>
          <w:sz w:val="24"/>
          <w:szCs w:val="24"/>
          <w:lang w:val="zh-CN"/>
        </w:rPr>
        <w:t>。</w:t>
      </w:r>
    </w:p>
    <w:p>
      <w:pPr>
        <w:snapToGrid w:val="0"/>
        <w:spacing w:line="360" w:lineRule="auto"/>
        <w:ind w:firstLine="484" w:firstLineChars="202"/>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如采购项目变更开标时间，则保证金交纳时间相应顺延。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9.2交纳方式：磋商保证金应当以支票、汇票、本票或者金融机构、担保机构出具的保函等非现金形式提交。通过银行转账的，必须由投标人从其基本账户（须提供开户许可证复印件）汇（转）入第9.1条规定的账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9.3磋商保证金退还：投标人在响应截止时间前撤回已提交的响应文件的，采购代理机构应当自收到投标人书面撤回通知之日起5个工作日内，退还已收取的磋商保证金，但因投标人自身原因导致无法及时退还的除外。</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采购代理机构应当自成交通知书发出之日起5个工作日内退还未成交人的磋商保证金，自采购合同签订之日起5个工作日内退还成交人的磋商保证金或者转为成交人的履约保证金。</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采购代理机构逾期退还磋商保证金的，除应当退还磋商保证金本金外，还应当按中国人民银行同期贷款基准利率上浮20%后的利率支付超期资金占用费，但因投标人自身原因导致无法及时退还的除外。</w:t>
      </w:r>
    </w:p>
    <w:p>
      <w:pPr>
        <w:spacing w:line="540" w:lineRule="exact"/>
        <w:ind w:firstLine="480" w:firstLineChars="200"/>
        <w:jc w:val="left"/>
        <w:rPr>
          <w:rFonts w:hint="eastAsia" w:ascii="新宋体" w:hAnsi="新宋体" w:eastAsia="新宋体" w:cs="新宋体"/>
          <w:color w:val="auto"/>
        </w:rPr>
      </w:pPr>
      <w:r>
        <w:rPr>
          <w:rFonts w:hint="eastAsia" w:ascii="新宋体" w:hAnsi="新宋体" w:eastAsia="新宋体" w:cs="新宋体"/>
          <w:color w:val="auto"/>
          <w:sz w:val="24"/>
          <w:szCs w:val="24"/>
        </w:rPr>
        <w:t>根据财政部74号令(《政府采购非招标采购方式管理办法》)第二十条第二款规定，保证金不予退还的情形有五种：一是供应商在提交响应文件截止时间后撤回响应文件；二是供应商在响应文件中提供虚假材料；三是除因不可抗力或询价文件、询价通知书认可的情形以外，成交供应商不与采购人签订合同；四是供应商与采购人、其他供应商或者</w:t>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HYPERLINK "http://www.caigou2003.com/ll/rcjd/2365676.html" \t "http://www.caigou2003.com/zhengcaizixun/baozhiwenzhang/_blank" </w:instrText>
      </w:r>
      <w:r>
        <w:rPr>
          <w:rFonts w:hint="eastAsia" w:ascii="新宋体" w:hAnsi="新宋体" w:eastAsia="新宋体" w:cs="新宋体"/>
          <w:color w:val="auto"/>
        </w:rPr>
        <w:fldChar w:fldCharType="separate"/>
      </w:r>
      <w:r>
        <w:rPr>
          <w:rFonts w:hint="eastAsia" w:ascii="新宋体" w:hAnsi="新宋体" w:eastAsia="新宋体" w:cs="新宋体"/>
          <w:color w:val="auto"/>
          <w:sz w:val="24"/>
          <w:szCs w:val="24"/>
        </w:rPr>
        <w:t>采购代理机构</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恶意串通；五是采购文件规定的其他情形。</w:t>
      </w:r>
    </w:p>
    <w:p>
      <w:pPr>
        <w:pStyle w:val="5"/>
        <w:spacing w:line="360" w:lineRule="auto"/>
        <w:rPr>
          <w:rFonts w:hint="eastAsia" w:ascii="新宋体" w:hAnsi="新宋体" w:eastAsia="新宋体" w:cs="新宋体"/>
          <w:color w:val="auto"/>
          <w:sz w:val="24"/>
          <w:szCs w:val="24"/>
        </w:rPr>
      </w:pPr>
      <w:bookmarkStart w:id="42" w:name="_Toc11617"/>
      <w:bookmarkStart w:id="43" w:name="_Toc22623"/>
      <w:r>
        <w:rPr>
          <w:rFonts w:hint="eastAsia" w:ascii="新宋体" w:hAnsi="新宋体" w:eastAsia="新宋体" w:cs="新宋体"/>
          <w:color w:val="auto"/>
          <w:sz w:val="24"/>
          <w:szCs w:val="24"/>
        </w:rPr>
        <w:t>10.投标有效期</w:t>
      </w:r>
      <w:bookmarkEnd w:id="41"/>
      <w:bookmarkEnd w:id="42"/>
      <w:bookmarkEnd w:id="4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从提交响应文件的截止之日起</w:t>
      </w:r>
      <w:r>
        <w:rPr>
          <w:rFonts w:hint="eastAsia" w:ascii="新宋体" w:hAnsi="新宋体" w:eastAsia="新宋体" w:cs="新宋体"/>
          <w:b w:val="0"/>
          <w:bCs w:val="0"/>
          <w:color w:val="auto"/>
          <w:sz w:val="24"/>
          <w:szCs w:val="24"/>
          <w:u w:val="single"/>
        </w:rPr>
        <w:t>60</w:t>
      </w:r>
      <w:r>
        <w:rPr>
          <w:rFonts w:hint="eastAsia" w:ascii="新宋体" w:hAnsi="新宋体" w:eastAsia="新宋体" w:cs="新宋体"/>
          <w:color w:val="auto"/>
          <w:sz w:val="24"/>
          <w:szCs w:val="24"/>
        </w:rPr>
        <w:t>日历日。响应文件中承诺的投标有效期应当不少于磋商文件中载明的投标有效期。投标有效期内投标人撤销响应文件的，采购代理机构可以不退还磋商保证金。</w:t>
      </w:r>
    </w:p>
    <w:p>
      <w:pPr>
        <w:pStyle w:val="5"/>
        <w:spacing w:line="360" w:lineRule="auto"/>
        <w:rPr>
          <w:rFonts w:hint="eastAsia" w:ascii="新宋体" w:hAnsi="新宋体" w:eastAsia="新宋体" w:cs="新宋体"/>
          <w:color w:val="auto"/>
          <w:sz w:val="24"/>
          <w:szCs w:val="24"/>
        </w:rPr>
      </w:pPr>
      <w:bookmarkStart w:id="44" w:name="_Toc30207"/>
      <w:bookmarkStart w:id="45" w:name="_Toc5251"/>
      <w:bookmarkStart w:id="46" w:name="_Toc6840"/>
      <w:r>
        <w:rPr>
          <w:rFonts w:hint="eastAsia" w:ascii="新宋体" w:hAnsi="新宋体" w:eastAsia="新宋体" w:cs="新宋体"/>
          <w:color w:val="auto"/>
          <w:sz w:val="24"/>
          <w:szCs w:val="24"/>
        </w:rPr>
        <w:t>11.响应文件构成</w:t>
      </w:r>
      <w:bookmarkEnd w:id="44"/>
      <w:bookmarkEnd w:id="45"/>
      <w:bookmarkEnd w:id="46"/>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投标人应提交相关证明材料，作为其参加投标和成交后有能力履行合同的证明。编写的响应文件须包括以下内容（格式见磋商文件第四部分）</w:t>
      </w:r>
    </w:p>
    <w:p>
      <w:pPr>
        <w:pStyle w:val="5"/>
        <w:spacing w:line="360" w:lineRule="auto"/>
        <w:rPr>
          <w:rFonts w:hint="eastAsia" w:ascii="新宋体" w:hAnsi="新宋体" w:eastAsia="新宋体" w:cs="新宋体"/>
          <w:color w:val="auto"/>
          <w:sz w:val="24"/>
          <w:szCs w:val="24"/>
        </w:rPr>
      </w:pPr>
      <w:bookmarkStart w:id="47" w:name="_Toc8522"/>
      <w:bookmarkStart w:id="48" w:name="_Toc10775"/>
      <w:bookmarkStart w:id="49" w:name="_Toc11937"/>
      <w:r>
        <w:rPr>
          <w:rFonts w:hint="eastAsia" w:ascii="新宋体" w:hAnsi="新宋体" w:eastAsia="新宋体" w:cs="新宋体"/>
          <w:color w:val="auto"/>
          <w:sz w:val="24"/>
          <w:szCs w:val="24"/>
        </w:rPr>
        <w:t>11.1响应文件</w:t>
      </w:r>
      <w:bookmarkEnd w:id="47"/>
      <w:bookmarkEnd w:id="48"/>
      <w:bookmarkEnd w:id="4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（2）法定代表人证明书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（3）法定代表人授权书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（4）投标人承诺函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（5）投标人诚信承诺书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（6）资格证明材料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（7）财务状况报告，依法缴纳税收和社会保证资金的相关材料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（8）具备履行合同所必需的设备和专业技术能力的证明材料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（9）无重大违法记录声明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（10）磋商保证金证明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（11）评分对照表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（12）磋商一览表（报价表）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（13）分项报价表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（14）服务规格响应表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w:t>
      </w:r>
      <w:r>
        <w:rPr>
          <w:rFonts w:hint="eastAsia" w:ascii="新宋体" w:hAnsi="新宋体" w:eastAsia="新宋体" w:cs="新宋体"/>
          <w:color w:val="auto"/>
          <w:sz w:val="24"/>
          <w:szCs w:val="24"/>
          <w:lang w:val="zh-CN"/>
        </w:rPr>
        <w:t>投标服务相关资料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（16）技术服务方案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（17）投标人的类似业绩证明材料</w:t>
      </w:r>
    </w:p>
    <w:p>
      <w:pPr>
        <w:snapToGrid w:val="0"/>
        <w:spacing w:line="360" w:lineRule="auto"/>
        <w:ind w:firstLine="484" w:firstLineChars="202"/>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（18.1）</w:t>
      </w:r>
      <w:r>
        <w:rPr>
          <w:rFonts w:hint="eastAsia" w:ascii="新宋体" w:hAnsi="新宋体" w:eastAsia="新宋体" w:cs="新宋体"/>
          <w:color w:val="auto"/>
          <w:sz w:val="24"/>
          <w:szCs w:val="24"/>
          <w:lang w:eastAsia="zh-CN"/>
        </w:rPr>
        <w:t>中小企业声明函（服务）</w:t>
      </w:r>
    </w:p>
    <w:p>
      <w:pPr>
        <w:pStyle w:val="2"/>
        <w:spacing w:line="360" w:lineRule="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（18.2）从业人员声明函</w:t>
      </w:r>
    </w:p>
    <w:p>
      <w:pPr>
        <w:pStyle w:val="2"/>
        <w:spacing w:line="360" w:lineRule="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（19）残疾人福利性单位声明函</w:t>
      </w:r>
    </w:p>
    <w:p>
      <w:pPr>
        <w:pStyle w:val="2"/>
        <w:spacing w:line="360" w:lineRule="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（20）投标人认为在其他方面有必要说明的事项</w:t>
      </w:r>
    </w:p>
    <w:p>
      <w:pPr>
        <w:pStyle w:val="2"/>
        <w:spacing w:line="360" w:lineRule="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（21）投标人最终报价表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注：投标人须按上述内容、顺序和格式编制响应文件，并按要求编制目录、页码，并保证所提供的全部资料真实可信，资源承担相应责任。</w:t>
      </w:r>
    </w:p>
    <w:p>
      <w:pPr>
        <w:pStyle w:val="5"/>
        <w:spacing w:line="360" w:lineRule="auto"/>
        <w:rPr>
          <w:rFonts w:hint="eastAsia" w:ascii="新宋体" w:hAnsi="新宋体" w:eastAsia="新宋体" w:cs="新宋体"/>
          <w:color w:val="auto"/>
          <w:sz w:val="24"/>
          <w:szCs w:val="24"/>
        </w:rPr>
      </w:pPr>
      <w:bookmarkStart w:id="50" w:name="_Toc10134"/>
      <w:bookmarkStart w:id="51" w:name="_Toc15840"/>
      <w:bookmarkStart w:id="52" w:name="_Toc26637"/>
      <w:r>
        <w:rPr>
          <w:rFonts w:hint="eastAsia" w:ascii="新宋体" w:hAnsi="新宋体" w:eastAsia="新宋体" w:cs="新宋体"/>
          <w:color w:val="auto"/>
          <w:sz w:val="24"/>
          <w:szCs w:val="24"/>
        </w:rPr>
        <w:t>12.响应文件的编制要求</w:t>
      </w:r>
      <w:bookmarkEnd w:id="50"/>
      <w:bookmarkEnd w:id="51"/>
      <w:bookmarkEnd w:id="52"/>
    </w:p>
    <w:p>
      <w:pPr>
        <w:snapToGrid w:val="0"/>
        <w:spacing w:line="360" w:lineRule="auto"/>
        <w:ind w:firstLine="484" w:firstLineChars="202"/>
        <w:rPr>
          <w:rFonts w:hint="eastAsia" w:ascii="新宋体" w:hAnsi="新宋体" w:eastAsia="新宋体" w:cs="新宋体"/>
          <w:color w:val="auto"/>
          <w:sz w:val="24"/>
          <w:szCs w:val="24"/>
          <w:lang w:val="en-US" w:eastAsia="zh-CN"/>
        </w:rPr>
      </w:pPr>
      <w:bookmarkStart w:id="53" w:name="_Toc779"/>
      <w:bookmarkStart w:id="54" w:name="_Toc24501"/>
      <w:bookmarkStart w:id="55" w:name="_Toc386"/>
      <w:r>
        <w:rPr>
          <w:rFonts w:hint="eastAsia" w:ascii="新宋体" w:hAnsi="新宋体" w:eastAsia="新宋体" w:cs="新宋体"/>
          <w:color w:val="auto"/>
          <w:sz w:val="24"/>
          <w:szCs w:val="24"/>
          <w:lang w:val="en-US" w:eastAsia="zh-CN"/>
        </w:rPr>
        <w:t>12.1供应商应按照磋商文件所提供的磋商文件格式，分别填写磋商文件第五部分的内容，应分别注明所提供的名称及参数和价格等内容；磋商文件要求签字、盖章的地方必须由供应商的法定代表人或委托代理人按要求签字、盖章。</w:t>
      </w:r>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12.2供应商应在磋商截止时间之前将加密电子响应文件上传至评标系统；加密电子响应文件的制作详情请咨询政采云，咨询电话：400-881-7190。</w:t>
      </w:r>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12.3 响应文件中不得行间插字、涂改或增删，如有修改错漏处，须由供应商法定代表人或其委托代理人签字、加盖公章。</w:t>
      </w:r>
    </w:p>
    <w:p>
      <w:pPr>
        <w:pStyle w:val="4"/>
        <w:numPr>
          <w:ilvl w:val="0"/>
          <w:numId w:val="4"/>
        </w:numPr>
        <w:spacing w:line="360" w:lineRule="auto"/>
        <w:jc w:val="center"/>
        <w:rPr>
          <w:rFonts w:hint="eastAsia" w:ascii="新宋体" w:hAnsi="新宋体" w:eastAsia="新宋体" w:cs="新宋体"/>
          <w:color w:val="auto"/>
        </w:rPr>
      </w:pPr>
      <w:r>
        <w:rPr>
          <w:rFonts w:hint="eastAsia" w:ascii="新宋体" w:hAnsi="新宋体" w:eastAsia="新宋体" w:cs="新宋体"/>
          <w:color w:val="auto"/>
        </w:rPr>
        <w:t>响应文件的提交</w:t>
      </w:r>
      <w:bookmarkEnd w:id="53"/>
      <w:bookmarkEnd w:id="54"/>
      <w:bookmarkEnd w:id="55"/>
    </w:p>
    <w:p>
      <w:pPr>
        <w:pStyle w:val="5"/>
        <w:spacing w:line="360" w:lineRule="auto"/>
        <w:rPr>
          <w:rFonts w:hint="eastAsia" w:ascii="新宋体" w:hAnsi="新宋体" w:eastAsia="新宋体" w:cs="新宋体"/>
          <w:color w:val="auto"/>
          <w:sz w:val="24"/>
          <w:szCs w:val="24"/>
        </w:rPr>
      </w:pPr>
      <w:bookmarkStart w:id="56" w:name="_Toc13414"/>
      <w:bookmarkStart w:id="57" w:name="_Toc20663"/>
      <w:bookmarkStart w:id="58" w:name="_Toc27573"/>
      <w:r>
        <w:rPr>
          <w:rFonts w:hint="eastAsia" w:ascii="新宋体" w:hAnsi="新宋体" w:eastAsia="新宋体" w:cs="新宋体"/>
          <w:color w:val="auto"/>
          <w:sz w:val="24"/>
          <w:szCs w:val="24"/>
        </w:rPr>
        <w:t>13.响应文件的密封和标记</w:t>
      </w:r>
      <w:bookmarkEnd w:id="56"/>
      <w:bookmarkEnd w:id="57"/>
      <w:bookmarkEnd w:id="58"/>
    </w:p>
    <w:p>
      <w:pPr>
        <w:pStyle w:val="17"/>
        <w:spacing w:line="540" w:lineRule="exact"/>
        <w:ind w:firstLine="480" w:firstLineChars="200"/>
        <w:rPr>
          <w:rFonts w:hint="eastAsia" w:hAnsi="宋体" w:cs="宋体"/>
          <w:sz w:val="24"/>
          <w:szCs w:val="24"/>
        </w:rPr>
      </w:pPr>
      <w:bookmarkStart w:id="59" w:name="_Toc27806"/>
      <w:bookmarkStart w:id="60" w:name="_Toc30492"/>
      <w:bookmarkStart w:id="61" w:name="_Toc6159"/>
      <w:r>
        <w:rPr>
          <w:rFonts w:hAnsi="宋体" w:cs="宋体"/>
          <w:sz w:val="24"/>
          <w:szCs w:val="24"/>
        </w:rPr>
        <w:t>1</w:t>
      </w:r>
      <w:r>
        <w:rPr>
          <w:rFonts w:hint="eastAsia" w:hAnsi="宋体" w:cs="宋体"/>
          <w:sz w:val="24"/>
          <w:szCs w:val="24"/>
          <w:lang w:val="en-US" w:eastAsia="zh-CN"/>
        </w:rPr>
        <w:t>3</w:t>
      </w:r>
      <w:r>
        <w:rPr>
          <w:rFonts w:hAnsi="宋体" w:cs="宋体"/>
          <w:sz w:val="24"/>
          <w:szCs w:val="24"/>
        </w:rPr>
        <w:t>.1</w:t>
      </w:r>
      <w:r>
        <w:rPr>
          <w:rFonts w:hint="eastAsia" w:hAnsi="宋体" w:cs="宋体"/>
          <w:sz w:val="24"/>
          <w:szCs w:val="24"/>
        </w:rPr>
        <w:t>电子响应文件，应分别按照磋商文件及电子评审系统要求上传。</w:t>
      </w:r>
    </w:p>
    <w:p>
      <w:pPr>
        <w:pStyle w:val="17"/>
        <w:spacing w:line="5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lang w:val="en-US" w:eastAsia="zh-CN"/>
        </w:rPr>
        <w:t>3</w:t>
      </w:r>
      <w:r>
        <w:rPr>
          <w:rFonts w:hAnsi="宋体" w:cs="宋体"/>
          <w:sz w:val="24"/>
          <w:szCs w:val="24"/>
        </w:rPr>
        <w:t>.2</w:t>
      </w:r>
      <w:r>
        <w:rPr>
          <w:rFonts w:hint="eastAsia" w:hAnsi="宋体" w:cs="宋体"/>
          <w:sz w:val="24"/>
          <w:szCs w:val="24"/>
        </w:rPr>
        <w:t>供应商以电报、电话、传真形式</w:t>
      </w:r>
      <w:r>
        <w:rPr>
          <w:rFonts w:hint="eastAsia" w:hAnsi="宋体" w:cs="宋体"/>
          <w:sz w:val="24"/>
          <w:szCs w:val="24"/>
          <w:lang w:eastAsia="zh-CN"/>
        </w:rPr>
        <w:t>响应</w:t>
      </w:r>
      <w:r>
        <w:rPr>
          <w:rFonts w:hint="eastAsia" w:hAnsi="宋体" w:cs="宋体"/>
          <w:sz w:val="24"/>
          <w:szCs w:val="24"/>
        </w:rPr>
        <w:t>的，采购代理机构概不接受。</w:t>
      </w:r>
    </w:p>
    <w:p>
      <w:pPr>
        <w:pStyle w:val="5"/>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14.提交响应文件的时间、地点、方式</w:t>
      </w:r>
      <w:bookmarkEnd w:id="59"/>
      <w:bookmarkEnd w:id="60"/>
      <w:bookmarkEnd w:id="61"/>
    </w:p>
    <w:p>
      <w:pPr>
        <w:pStyle w:val="17"/>
        <w:spacing w:line="540" w:lineRule="exact"/>
        <w:ind w:firstLine="480" w:firstLineChars="200"/>
        <w:rPr>
          <w:rFonts w:hAnsi="宋体" w:cs="宋体"/>
          <w:sz w:val="24"/>
          <w:szCs w:val="24"/>
        </w:rPr>
      </w:pPr>
      <w:bookmarkStart w:id="62" w:name="_Toc9530"/>
      <w:bookmarkStart w:id="63" w:name="_Toc6563"/>
      <w:bookmarkStart w:id="64" w:name="_Toc24800"/>
      <w:r>
        <w:rPr>
          <w:rFonts w:hAnsi="宋体" w:cs="宋体"/>
          <w:sz w:val="24"/>
          <w:szCs w:val="24"/>
        </w:rPr>
        <w:t>1</w:t>
      </w:r>
      <w:r>
        <w:rPr>
          <w:rFonts w:hint="eastAsia" w:hAnsi="宋体" w:cs="宋体"/>
          <w:sz w:val="24"/>
          <w:szCs w:val="24"/>
          <w:lang w:val="en-US" w:eastAsia="zh-CN"/>
        </w:rPr>
        <w:t>4</w:t>
      </w:r>
      <w:r>
        <w:rPr>
          <w:rFonts w:hAnsi="宋体" w:cs="宋体"/>
          <w:sz w:val="24"/>
          <w:szCs w:val="24"/>
        </w:rPr>
        <w:t>.1</w:t>
      </w:r>
      <w:r>
        <w:rPr>
          <w:rFonts w:hint="eastAsia" w:hAnsi="宋体" w:cs="宋体"/>
          <w:sz w:val="24"/>
          <w:szCs w:val="24"/>
        </w:rPr>
        <w:t>响应文件提交的截止时间及地点详见“供应商须知前附表”。</w:t>
      </w:r>
    </w:p>
    <w:p>
      <w:pPr>
        <w:pStyle w:val="17"/>
        <w:spacing w:line="5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lang w:val="en-US" w:eastAsia="zh-CN"/>
        </w:rPr>
        <w:t>4</w:t>
      </w:r>
      <w:r>
        <w:rPr>
          <w:rFonts w:hAnsi="宋体" w:cs="宋体"/>
          <w:sz w:val="24"/>
          <w:szCs w:val="24"/>
        </w:rPr>
        <w:t>.2</w:t>
      </w:r>
      <w:r>
        <w:rPr>
          <w:rFonts w:hint="eastAsia" w:hAnsi="宋体" w:cs="宋体"/>
          <w:sz w:val="24"/>
          <w:szCs w:val="24"/>
        </w:rPr>
        <w:t>采购代理机构将拒绝接受在提交响应文件截止时间之后送达的响应文件。</w:t>
      </w:r>
    </w:p>
    <w:p>
      <w:pPr>
        <w:pStyle w:val="5"/>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15.响应文件的补充、修改或者撤回</w:t>
      </w:r>
      <w:bookmarkEnd w:id="62"/>
      <w:bookmarkEnd w:id="63"/>
      <w:bookmarkEnd w:id="6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15.1投标人在投标截止时间前，可以对所递交的响应文件进行补充、修改或者撤回，并书面通知采购代理机构。补充、修改的内容应当按照磋商文件要求签署、盖章、密封后，作为响应文件的组成部分。</w:t>
      </w:r>
    </w:p>
    <w:p>
      <w:pPr>
        <w:pStyle w:val="4"/>
        <w:numPr>
          <w:ilvl w:val="0"/>
          <w:numId w:val="4"/>
        </w:numPr>
        <w:spacing w:line="360" w:lineRule="auto"/>
        <w:jc w:val="center"/>
        <w:rPr>
          <w:rFonts w:hint="eastAsia" w:ascii="新宋体" w:hAnsi="新宋体" w:eastAsia="新宋体" w:cs="新宋体"/>
          <w:color w:val="auto"/>
        </w:rPr>
      </w:pPr>
      <w:bookmarkStart w:id="65" w:name="_Toc23027"/>
      <w:bookmarkStart w:id="66" w:name="_Toc11046"/>
      <w:bookmarkStart w:id="67" w:name="_Toc7118"/>
      <w:r>
        <w:rPr>
          <w:rFonts w:hint="eastAsia" w:ascii="新宋体" w:hAnsi="新宋体" w:eastAsia="新宋体" w:cs="新宋体"/>
          <w:color w:val="auto"/>
        </w:rPr>
        <w:t>开标</w:t>
      </w:r>
      <w:bookmarkEnd w:id="65"/>
      <w:bookmarkEnd w:id="66"/>
      <w:bookmarkEnd w:id="67"/>
    </w:p>
    <w:p>
      <w:pPr>
        <w:pStyle w:val="5"/>
        <w:spacing w:line="360" w:lineRule="auto"/>
        <w:rPr>
          <w:rFonts w:hint="eastAsia" w:ascii="新宋体" w:hAnsi="新宋体" w:eastAsia="新宋体" w:cs="新宋体"/>
          <w:color w:val="auto"/>
          <w:sz w:val="24"/>
          <w:szCs w:val="24"/>
        </w:rPr>
      </w:pPr>
      <w:bookmarkStart w:id="68" w:name="_Toc32528"/>
      <w:bookmarkStart w:id="69" w:name="_Toc6737"/>
      <w:bookmarkStart w:id="70" w:name="_Toc19023"/>
      <w:r>
        <w:rPr>
          <w:rFonts w:hint="eastAsia" w:ascii="新宋体" w:hAnsi="新宋体" w:eastAsia="新宋体" w:cs="新宋体"/>
          <w:color w:val="auto"/>
          <w:sz w:val="24"/>
          <w:szCs w:val="24"/>
        </w:rPr>
        <w:t>16.开标</w:t>
      </w:r>
      <w:bookmarkEnd w:id="68"/>
      <w:bookmarkEnd w:id="69"/>
      <w:bookmarkEnd w:id="70"/>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16.1开标应当在磋商文件确定的提交响应文件截止时间的同一时间进行，采购代理机构应当按本文件中确定的时间和地点组织开标活动。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采购代理机构应当对开标、评标现场活动进行全程录音录像。录音录像应当清晰可辨，音像资料作为采购文件一并存档。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16.2开标由采购代理机构主持，邀请投标人参加。磋商小组（包括采购人代表）不得参加开标活动。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16.3开标时，应当由投标人或者其推选的代表检查响应文件的密封情况；经确认无误后，由采购代理机构工作人员当众拆封，宣布投标人名称、磋商报价和其他主要内容。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16.4开标过程应当由采购代理机构负责记录，由参加开标的各投标人代表和相关工作人员签字确认。</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投标人未参加开标的，视同认可开标结果。</w:t>
      </w:r>
    </w:p>
    <w:p>
      <w:pPr>
        <w:pStyle w:val="4"/>
        <w:numPr>
          <w:ilvl w:val="0"/>
          <w:numId w:val="4"/>
        </w:numPr>
        <w:spacing w:line="360" w:lineRule="auto"/>
        <w:jc w:val="center"/>
        <w:rPr>
          <w:rFonts w:hint="eastAsia" w:ascii="新宋体" w:hAnsi="新宋体" w:eastAsia="新宋体" w:cs="新宋体"/>
          <w:color w:val="auto"/>
        </w:rPr>
      </w:pPr>
      <w:bookmarkStart w:id="71" w:name="_Toc29900"/>
      <w:bookmarkStart w:id="72" w:name="_Toc32256"/>
      <w:bookmarkStart w:id="73" w:name="_Toc28099"/>
      <w:r>
        <w:rPr>
          <w:rFonts w:hint="eastAsia" w:ascii="新宋体" w:hAnsi="新宋体" w:eastAsia="新宋体" w:cs="新宋体"/>
          <w:color w:val="auto"/>
        </w:rPr>
        <w:t>资格审查程序</w:t>
      </w:r>
      <w:bookmarkEnd w:id="71"/>
      <w:bookmarkEnd w:id="72"/>
      <w:bookmarkEnd w:id="73"/>
    </w:p>
    <w:p>
      <w:pPr>
        <w:pStyle w:val="5"/>
        <w:spacing w:line="360" w:lineRule="auto"/>
        <w:rPr>
          <w:rFonts w:hint="eastAsia" w:ascii="新宋体" w:hAnsi="新宋体" w:eastAsia="新宋体" w:cs="新宋体"/>
          <w:color w:val="auto"/>
          <w:sz w:val="24"/>
          <w:szCs w:val="24"/>
        </w:rPr>
      </w:pPr>
      <w:bookmarkStart w:id="74" w:name="_Toc5384"/>
      <w:bookmarkStart w:id="75" w:name="_Toc1394"/>
      <w:bookmarkStart w:id="76" w:name="_Toc30613"/>
      <w:r>
        <w:rPr>
          <w:rFonts w:hint="eastAsia" w:ascii="新宋体" w:hAnsi="新宋体" w:eastAsia="新宋体" w:cs="新宋体"/>
          <w:color w:val="auto"/>
          <w:sz w:val="24"/>
          <w:szCs w:val="24"/>
        </w:rPr>
        <w:t>17.资格审查</w:t>
      </w:r>
      <w:bookmarkEnd w:id="74"/>
      <w:bookmarkEnd w:id="75"/>
      <w:bookmarkEnd w:id="76"/>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17.1开标结束后，采购人或者采购代理机构应当依法对投标人的资格性审查文件进行审查。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17.2资格审查时，投标人存在下列情况之一的，按无效投标处理：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（1）不具备第2.2款“合格的投标人”规定的资格要求的；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（2）未按磋商文件要求交纳或未足额交纳磋商保证金的；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（3）未按第11.1要求提供相关资料的；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（4）资格性审查文件未按磋商文件规定和要求签字、盖章的；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（5）报价超过磋商文件中规定的预算金额或者最高限价的；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（6）投标有效期不能满足磋商文件要求的；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（7）未按照磋商文件要求提供电子文档的。</w:t>
      </w:r>
    </w:p>
    <w:p>
      <w:pPr>
        <w:pStyle w:val="4"/>
        <w:numPr>
          <w:ilvl w:val="0"/>
          <w:numId w:val="4"/>
        </w:numPr>
        <w:spacing w:line="360" w:lineRule="auto"/>
        <w:jc w:val="center"/>
        <w:rPr>
          <w:rFonts w:hint="eastAsia" w:ascii="新宋体" w:hAnsi="新宋体" w:eastAsia="新宋体" w:cs="新宋体"/>
          <w:color w:val="auto"/>
        </w:rPr>
      </w:pPr>
      <w:bookmarkStart w:id="77" w:name="_Toc14424"/>
      <w:bookmarkStart w:id="78" w:name="_Toc19316"/>
      <w:bookmarkStart w:id="79" w:name="_Toc23036"/>
      <w:r>
        <w:rPr>
          <w:rFonts w:hint="eastAsia" w:ascii="新宋体" w:hAnsi="新宋体" w:eastAsia="新宋体" w:cs="新宋体"/>
          <w:color w:val="auto"/>
        </w:rPr>
        <w:t>评审程序及方法</w:t>
      </w:r>
      <w:bookmarkEnd w:id="77"/>
      <w:bookmarkEnd w:id="78"/>
      <w:bookmarkEnd w:id="79"/>
    </w:p>
    <w:p>
      <w:pPr>
        <w:pStyle w:val="5"/>
        <w:spacing w:line="360" w:lineRule="auto"/>
        <w:rPr>
          <w:rFonts w:hint="eastAsia" w:ascii="新宋体" w:hAnsi="新宋体" w:eastAsia="新宋体" w:cs="新宋体"/>
          <w:color w:val="auto"/>
          <w:sz w:val="24"/>
          <w:szCs w:val="24"/>
        </w:rPr>
      </w:pPr>
      <w:bookmarkStart w:id="80" w:name="_Toc20015"/>
      <w:bookmarkStart w:id="81" w:name="_Toc26976"/>
      <w:bookmarkStart w:id="82" w:name="_Toc22705"/>
      <w:r>
        <w:rPr>
          <w:rFonts w:hint="eastAsia" w:ascii="新宋体" w:hAnsi="新宋体" w:eastAsia="新宋体" w:cs="新宋体"/>
          <w:color w:val="auto"/>
          <w:sz w:val="24"/>
          <w:szCs w:val="24"/>
        </w:rPr>
        <w:t>18.</w:t>
      </w:r>
      <w:bookmarkEnd w:id="80"/>
      <w:r>
        <w:rPr>
          <w:rFonts w:hint="eastAsia" w:ascii="新宋体" w:hAnsi="新宋体" w:eastAsia="新宋体" w:cs="新宋体"/>
          <w:color w:val="auto"/>
          <w:sz w:val="24"/>
          <w:szCs w:val="24"/>
        </w:rPr>
        <w:t>磋商小组</w:t>
      </w:r>
      <w:bookmarkEnd w:id="81"/>
      <w:bookmarkEnd w:id="8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18.1采购代理机构负责组织磋商工作，并履行下列职责：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（1）核对磋商小组成员身份和采购人代表授权函，对磋商小组成员在政府采购活动中的职责履行情况予以记录，并及时将有关违法违规行为向财政部门报告；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（2）宣布评标纪律；</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（3）公布投标人名单，告知评审专家应当回避的情形；</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（4）组织磋商小组推选小组组长，采购人代表不得担任组长；</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（5）在磋商期间采取必要的通讯管理措施，保证磋商活动不受外界干扰；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（6）根据磋商小组的要求介绍政府采购相关政策法规、磋商文件；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（7）维护评标秩序，监督磋商小组依照磋商文件规定的评标程序、方法和标准进行独立评审，及时制止和纠正采购人代表、磋商小组的倾向性言论或者违法违规行为；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（8）核对磋商结果，有20.4规定情形的，要求磋商小组复核或者书面说明理由，磋商小组拒绝的，应予记录并向本级财政部门报告；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（9）磋商工作完成后，按照规定由采购人向磋商小组支付劳务报酬和异地磋商差旅费，不得向磋商小组以外的其他人员支付磋商劳务报酬；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（10）处理与磋商有关的其他事项。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采购人可以在磋商前说明项目背景和采购需求，说明内容不得含有歧视性、倾向性意见，不得超出磋商文件所述范围。说明应当提交书面材料，并随采购文件一并存档。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18.2磋商小组负责具体评标事务，并独立履行下列职责：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（1）严格遵守磋商工作纪律，按照客观、公正、审慎的原则，根据磋商文件规定的磋商程序、磋商方法和磋商标准进行独立磋商；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（2）发现磋商文件内容违反国家有关强制性规定或者磋商文件存在歧义、重大缺陷导致磋商工作无法进行时，应当停止磋商并向采购人或者采购代理机构书面说明情况；</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（3）审查、评价响应文件是否符合磋商文件的商务、技术等实质性要求；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（4）要求投标人对响应文件有关事项作出澄清或者说明；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（5）对响应文件进行比较和评价；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（6）确定成交候选人名单，以及根据采购人委托直接确定成交人；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（7）配合答复投标人的询问、质疑和投诉等事项，不得泄露磋商文件、磋商情况和在磋商过程中获悉的商业秘密；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（8）向采购人、采购代理机构或者有关部门报告磋商中发现的违法行为。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18.3磋商小组由采购人代表和磋商小组组成，成员人数应当为</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人以上单数，其中磋商小组成员不得少于成员总数的三分之二。</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采购项目符合下列情形之一的，磋商小组人数应当为7人以上单数：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（1）采购预算金额在1000万元以上；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（2）技术复杂；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（3）社会影响较大。</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磋商小组对本单位的采购项目只能作为采购人代表参与评标。采购代理机构工作人员不得参加由本机构代理的政府采购项目的评标。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磋商小组成员名单在评标结果公告前应当保密。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磋商小组。自行选定磋商小组的，应当优先选择本单位以外的磋商小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18.5磋商中因磋商小组成员缺席、回避或者健康等特殊原因导致磋商小组组成不符合规定的，采购人或采购代理机构应当依法补足后继续评标。被更换的磋商小组成员所作出的评标意见无效。无法及时补足磋商小组成员的，采购代理机构应当停止评标活动。原磋商小组所作出的评标意见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采购代理机构应当将变更、重新组建磋商小组的情况予以记录，并随采购文件一并存档。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18.6采购人、采购代理机构应当采取必要措施，保证磋商在严格保密的情况下进行。除采购人代表、磋商现场组织人员外，采购人的其他工作人员以及与磋商工作无关的人员不得进入磋商现场。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有关人员对磋商情况以及在磋商过程中获悉的国家秘密、商业秘密负有保密责任。</w:t>
      </w:r>
    </w:p>
    <w:p>
      <w:pPr>
        <w:pStyle w:val="5"/>
        <w:spacing w:line="360" w:lineRule="auto"/>
        <w:rPr>
          <w:rFonts w:hint="eastAsia" w:ascii="新宋体" w:hAnsi="新宋体" w:eastAsia="新宋体" w:cs="新宋体"/>
          <w:color w:val="auto"/>
          <w:sz w:val="24"/>
          <w:szCs w:val="24"/>
        </w:rPr>
      </w:pPr>
      <w:bookmarkStart w:id="83" w:name="_Toc18635"/>
      <w:bookmarkStart w:id="84" w:name="_Toc16352"/>
      <w:bookmarkStart w:id="85" w:name="_Toc19537"/>
      <w:r>
        <w:rPr>
          <w:rFonts w:hint="eastAsia" w:ascii="新宋体" w:hAnsi="新宋体" w:eastAsia="新宋体" w:cs="新宋体"/>
          <w:color w:val="auto"/>
          <w:sz w:val="24"/>
          <w:szCs w:val="24"/>
        </w:rPr>
        <w:t>19.评审工作程序</w:t>
      </w:r>
      <w:bookmarkEnd w:id="83"/>
      <w:bookmarkEnd w:id="84"/>
      <w:bookmarkEnd w:id="8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19.1磋商小组应当对符合资格的投标人的符合性文件进行审查，以确定其是否满足磋商文件的实质性要求。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19.1.1响应文件中含义不明确、同类问题表述不一致或者有明显文字和计算错误的内容，磋商小组应当以书面形式要求投标人作出必要的澄清、说明或者补正。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19.1.2投标人存在下列情况之一的，投标无效：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（1）符合性审查文件未按磋商文件要求签署、盖章的；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（2）未按第11.2款要求提供相关资料的；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（3）响应文件含有采购人不能接受的附加条件的；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r>
        <w:rPr>
          <w:rFonts w:hint="eastAsia" w:ascii="新宋体" w:hAnsi="新宋体" w:eastAsia="新宋体" w:cs="新宋体"/>
          <w:color w:val="auto"/>
          <w:sz w:val="24"/>
          <w:szCs w:val="24"/>
          <w:lang w:eastAsia="zh-CN"/>
        </w:rPr>
        <w:t>服务期</w:t>
      </w:r>
      <w:r>
        <w:rPr>
          <w:rFonts w:hint="eastAsia" w:ascii="新宋体" w:hAnsi="新宋体" w:eastAsia="新宋体" w:cs="新宋体"/>
          <w:color w:val="auto"/>
          <w:sz w:val="24"/>
          <w:szCs w:val="24"/>
        </w:rPr>
        <w:t>不能满足磋商文件要求的；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（5）存在串通投标行为；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（6）法律、法规和磋商文件规定的其他无效情形。</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对投标无效的投标人，采购人或采购代理机构应当告知其投标无效的原因。</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19.1.3响应文件报价出现前后不一致的，按照下列规定修正：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（1）响应文件中磋商一览表（报价表）内容与响应文件中相应内容不一致的，以磋商一览表（报价表）为准；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（2）大写金额和小写金额不一致的，以大写金额为准；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（3）单价金额小数点或者百分比有明显错位的，以磋商一览表的总价为准，并修改单价；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（4）总价金额与按单价汇总金额不一致的，以单价金额计算结果为准。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同时出现两种以上不一致的，按照前款规定的顺序修正。修正后的报价按19.1.1第二款的规定经投标人确认后产生约束力，投标人不确认的，其投标无效。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19.2磋商过程中，在同等条件下，优先采购具有环境标志、节能、自助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19.3在磋商过程中，磋商小组对需要共同认定的事项存在争议的，应当按照少数服从多数的原则作出结论。持不同意见的磋商小组应当在评标报告上签署不同意见及理由，否则视为同意评标报告。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19.4磋商小组应当按照磋商文件中规定的评标方法和标准，对符合性审查合格的响应文件进行商务和技术评估，综合比较与评价。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19.5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19.6使用综合评分法的采购项目，提供相同品牌产品且通过资格审查、符合性审查的不同投标人参加同一合同项下投标的，按一家投标人计算，评审后得分最高的同品牌投标人获得成交人推荐资格；评审得分相同的，由采购人或者采购人委托磋商小组按照磋商文件规定的方式确定一个投标人获得成交人推荐资格，磋商文件未规定的采取随机抽取方式确定，其他同品牌投标人不作为成交候选人。非单一产品采购项目，采购人应当根据采购项目技术构成、产品价格币种等合理确定核心产品，并在磋商文件中载明。多家投标人提供的核心产品品牌相同的，按前款规定处理。</w:t>
      </w:r>
    </w:p>
    <w:p>
      <w:pPr>
        <w:pStyle w:val="5"/>
        <w:spacing w:line="360" w:lineRule="auto"/>
        <w:rPr>
          <w:rFonts w:hint="eastAsia" w:ascii="新宋体" w:hAnsi="新宋体" w:eastAsia="新宋体" w:cs="新宋体"/>
          <w:color w:val="auto"/>
          <w:sz w:val="24"/>
          <w:szCs w:val="24"/>
        </w:rPr>
      </w:pPr>
      <w:bookmarkStart w:id="86" w:name="_Toc18613"/>
      <w:bookmarkStart w:id="87" w:name="_Toc31462"/>
      <w:bookmarkStart w:id="88" w:name="_Toc6032"/>
      <w:r>
        <w:rPr>
          <w:rFonts w:hint="eastAsia" w:ascii="新宋体" w:hAnsi="新宋体" w:eastAsia="新宋体" w:cs="新宋体"/>
          <w:color w:val="auto"/>
          <w:sz w:val="24"/>
          <w:szCs w:val="24"/>
        </w:rPr>
        <w:t>20.评审方法和标准</w:t>
      </w:r>
      <w:bookmarkEnd w:id="86"/>
      <w:bookmarkEnd w:id="87"/>
      <w:bookmarkEnd w:id="8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20.1依照《中华人民共和国政府采购法》、《中华人民共和国政府采购法实施条例》、《政府采购货物和服务招投标管理办法》等法律法规的规定，结合该项目的特点制定本评审办法。</w:t>
      </w:r>
    </w:p>
    <w:p>
      <w:pPr>
        <w:tabs>
          <w:tab w:val="left" w:pos="432"/>
        </w:tabs>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20.2</w:t>
      </w:r>
      <w:r>
        <w:rPr>
          <w:rFonts w:hint="eastAsia" w:ascii="新宋体" w:hAnsi="新宋体" w:eastAsia="新宋体" w:cs="新宋体"/>
          <w:color w:val="auto"/>
          <w:sz w:val="24"/>
          <w:szCs w:val="24"/>
        </w:rPr>
        <w:t>本次磋商方法采用综合评分法。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综合评分法，是指响应文件满足磋商文件全部实质性要求，且按照评审因素的量化指标评审得分最高的投标人为成交候选人的评标方法。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磋商因素的设定应当与投标人所提供服务的质量相关，包括磋商报价、技术或者服务水平、履约能力、售后服务等。资格条件不得作为磋商因素。</w:t>
      </w:r>
    </w:p>
    <w:p>
      <w:pPr>
        <w:autoSpaceDE w:val="0"/>
        <w:autoSpaceDN w:val="0"/>
        <w:adjustRightInd w:val="0"/>
        <w:spacing w:line="460" w:lineRule="exact"/>
        <w:ind w:firstLine="210" w:firstLineChars="100"/>
        <w:jc w:val="left"/>
        <w:rPr>
          <w:lang w:val="zh-CN"/>
        </w:rPr>
      </w:pPr>
      <w:r>
        <w:rPr>
          <w:rFonts w:hint="eastAsia" w:ascii="宋体" w:hAnsi="宋体" w:cs="宋体"/>
          <w:color w:val="000000"/>
          <w:kern w:val="0"/>
          <w:szCs w:val="21"/>
          <w:lang w:val="zh-CN"/>
        </w:rPr>
        <w:t>具体项目及评分细则：</w:t>
      </w:r>
    </w:p>
    <w:tbl>
      <w:tblPr>
        <w:tblStyle w:val="119"/>
        <w:tblW w:w="8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079"/>
        <w:gridCol w:w="7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9" w:type="dxa"/>
            <w:vAlign w:val="center"/>
          </w:tcPr>
          <w:p>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序号</w:t>
            </w:r>
          </w:p>
        </w:tc>
        <w:tc>
          <w:tcPr>
            <w:tcW w:w="1079" w:type="dxa"/>
            <w:vAlign w:val="center"/>
          </w:tcPr>
          <w:p>
            <w:pPr>
              <w:snapToGrid w:val="0"/>
              <w:spacing w:line="360" w:lineRule="auto"/>
              <w:jc w:val="lef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评审因素</w:t>
            </w:r>
          </w:p>
        </w:tc>
        <w:tc>
          <w:tcPr>
            <w:tcW w:w="7180" w:type="dxa"/>
            <w:vAlign w:val="top"/>
          </w:tcPr>
          <w:p>
            <w:pPr>
              <w:snapToGrid w:val="0"/>
              <w:spacing w:line="360" w:lineRule="auto"/>
              <w:ind w:firstLine="484" w:firstLineChars="202"/>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1" w:hRule="atLeast"/>
        </w:trPr>
        <w:tc>
          <w:tcPr>
            <w:tcW w:w="549" w:type="dxa"/>
            <w:vAlign w:val="center"/>
          </w:tcPr>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1079" w:type="dxa"/>
            <w:vAlign w:val="center"/>
          </w:tcPr>
          <w:p>
            <w:pPr>
              <w:snapToGrid w:val="0"/>
              <w:spacing w:line="360" w:lineRule="auto"/>
              <w:jc w:val="center"/>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投标报价</w:t>
            </w: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（10分）</w:t>
            </w:r>
          </w:p>
        </w:tc>
        <w:tc>
          <w:tcPr>
            <w:tcW w:w="7180" w:type="dxa"/>
            <w:vAlign w:val="top"/>
          </w:tcPr>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价格分应当采用低价优先法计算，即满足招标文件要求且投标价格 最低的投标报价为评标基准价，其价格分为满分。其他投标人的价 格分统一按照下列公式计算： 投标报价得分= (评标基准价／投标报价)×100×投标报价比</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 1、对小型和微型企业产品的价格给予 6%的扣除，用扣除后的 价格计算投标报价得分，须提供《制造（生产） 企业小型、微型企 业声明函》 ；</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2、因落实政府采购政策进行价格调整的，以调整后的价格计算评 标基准价和投标报价。残疾人福利性单位属于小型、微型企业的，不重复享受政策；                                           3、执行国家统一定价标准和采用固定价格采购的项目，其价格不列为评审因素。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 w:type="dxa"/>
            <w:vAlign w:val="center"/>
          </w:tcPr>
          <w:p>
            <w:pPr>
              <w:snapToGrid w:val="0"/>
              <w:spacing w:line="360" w:lineRule="auto"/>
              <w:jc w:val="both"/>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p>
        </w:tc>
        <w:tc>
          <w:tcPr>
            <w:tcW w:w="1079" w:type="dxa"/>
            <w:vAlign w:val="center"/>
          </w:tcPr>
          <w:p>
            <w:pPr>
              <w:snapToGrid w:val="0"/>
              <w:spacing w:line="360" w:lineRule="auto"/>
              <w:jc w:val="both"/>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服务水平</w:t>
            </w:r>
          </w:p>
          <w:p>
            <w:pPr>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（70 分）</w:t>
            </w:r>
          </w:p>
        </w:tc>
        <w:tc>
          <w:tcPr>
            <w:tcW w:w="7180" w:type="dxa"/>
            <w:vAlign w:val="top"/>
          </w:tcPr>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 服务要求： 投标人所提供的应答服务内容完全满足或高于磋商文件要求内容，得24分； 每有一项负偏离一项扣3分，扣完为止。</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 实施项目方案： 实施项目方案中的工作流程、方法、措施符 合作业设计要求，能保证项目作业连续、均衡、有节奏地进行，能 有效保证项目的顺利完成，综合评价，工作流程方法措施符合、能 保证项目作业连续均衡进行，能保证顺利完成的，得 12 分； 工作 流程方法措施符合、项目作业连续均衡性欠缺，能保证顺利完成的，得 9分； 工作流程方法措施欠缺、项目作业连续均衡性欠缺、能  保证顺利完成的，得6分； 工作流程方法措施不符合、不能保证项 目作业连续均衡进行，不能保证顺利完成的，得 3 分； 未提供或其 他情况不得分。</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 质量保证措施：体系健全、人员责任明确、制度健全有效， 综合评价。体系健全、制度健全有效、人员责任明确的，得12分； 体系基本健全、制度基本健全、人员责任明确的，得9分； 体系基 本健全、制度基本健全、人员责任笼统的，得6分； 体系不健全、 制度欠缺、人员责不明确的得3分； 未提供或其他情况不得分。</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 安全保证措施： 安全管理体系健全、人员岗位责任明确、各 种安全教育制度健全有效，运输和技术人员、作业人员的安全技术 管理及防护、防范措施得力，综合评价，管理体系制度健全、岗位 责任明确、安全防护防范措施具有针对性可操作性的，得 12 分；  管理体系制度健全、岗位责任基本明确、安全防护防范措施有效的， 得 9 分； 管理体系制度基本健全、岗位责任笼统、安全防护防范措 施基本能够保证的，得 6 分； 管理体系制度不健全、岗位责任不明 确、安全防护防范措施针对性不强的，得 3 分； 未提供或其他情况 不得分。</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（5） 防治效率保证措施： 投标人就本次采购项目特点，提供防治效率保证措施，内容齐全、措施得当、可行性强、服务及时有保障的得 </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rPr>
              <w:t xml:space="preserve"> 分； 内容齐全、有措施能实施的得 </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rPr>
              <w:t xml:space="preserve"> 分； 内容部分不完整，有一定可行性和保障性的得 </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 xml:space="preserve"> 分； 内容简单粗略、可行性差、保障性差的得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549" w:type="dxa"/>
            <w:vAlign w:val="top"/>
          </w:tcPr>
          <w:p>
            <w:pPr>
              <w:snapToGrid w:val="0"/>
              <w:spacing w:line="360" w:lineRule="auto"/>
              <w:jc w:val="center"/>
              <w:rPr>
                <w:rFonts w:hint="eastAsia" w:ascii="新宋体" w:hAnsi="新宋体" w:eastAsia="新宋体" w:cs="新宋体"/>
                <w:color w:val="auto"/>
                <w:sz w:val="24"/>
                <w:szCs w:val="24"/>
              </w:rPr>
            </w:pPr>
          </w:p>
          <w:p>
            <w:pPr>
              <w:pStyle w:val="2"/>
              <w:jc w:val="center"/>
              <w:rPr>
                <w:rFonts w:hint="eastAsia"/>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1079" w:type="dxa"/>
            <w:vAlign w:val="top"/>
          </w:tcPr>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履约能力(10 分)</w:t>
            </w:r>
          </w:p>
        </w:tc>
        <w:tc>
          <w:tcPr>
            <w:tcW w:w="7180" w:type="dxa"/>
            <w:vAlign w:val="top"/>
          </w:tcPr>
          <w:p>
            <w:pPr>
              <w:snapToGrid w:val="0"/>
              <w:spacing w:line="360" w:lineRule="auto"/>
              <w:ind w:firstLine="484" w:firstLineChars="202"/>
              <w:jc w:val="left"/>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（1） 类似业绩情况： 提供投标截止日前 3 年的投标人类似项目业绩证明材料（提供的业绩为 201</w:t>
            </w:r>
            <w:r>
              <w:rPr>
                <w:rFonts w:hint="eastAsia" w:ascii="新宋体" w:hAnsi="新宋体" w:eastAsia="新宋体" w:cs="新宋体"/>
                <w:color w:val="auto"/>
                <w:sz w:val="24"/>
                <w:szCs w:val="24"/>
                <w:lang w:val="en-US" w:eastAsia="zh-CN"/>
              </w:rPr>
              <w:t>9</w:t>
            </w:r>
            <w:r>
              <w:rPr>
                <w:rFonts w:hint="eastAsia" w:ascii="新宋体" w:hAnsi="新宋体" w:eastAsia="新宋体" w:cs="新宋体"/>
                <w:color w:val="auto"/>
                <w:sz w:val="24"/>
                <w:szCs w:val="24"/>
              </w:rPr>
              <w:t xml:space="preserve"> 年 1 月 1 日至</w:t>
            </w:r>
            <w:r>
              <w:rPr>
                <w:rFonts w:hint="eastAsia" w:ascii="新宋体" w:hAnsi="新宋体" w:eastAsia="新宋体" w:cs="新宋体"/>
                <w:color w:val="auto"/>
                <w:sz w:val="24"/>
                <w:szCs w:val="24"/>
                <w:lang w:val="en-US" w:eastAsia="zh-CN"/>
              </w:rPr>
              <w:t>今</w:t>
            </w:r>
            <w:r>
              <w:rPr>
                <w:rFonts w:hint="eastAsia" w:ascii="新宋体" w:hAnsi="新宋体" w:eastAsia="新宋体" w:cs="新宋体"/>
                <w:color w:val="auto"/>
                <w:sz w:val="24"/>
                <w:szCs w:val="24"/>
              </w:rPr>
              <w:t>）。 每提供 1 项得 2 分，满分 10 分； 不提供不得分。 （须提供中标通知书</w:t>
            </w:r>
            <w:r>
              <w:rPr>
                <w:rFonts w:hint="eastAsia" w:ascii="新宋体" w:hAnsi="新宋体" w:eastAsia="新宋体" w:cs="新宋体"/>
                <w:color w:val="auto"/>
                <w:sz w:val="24"/>
                <w:szCs w:val="24"/>
                <w:lang w:val="en-US" w:eastAsia="zh-CN"/>
              </w:rPr>
              <w:t>或</w:t>
            </w:r>
            <w:r>
              <w:rPr>
                <w:rFonts w:hint="eastAsia" w:ascii="新宋体" w:hAnsi="新宋体" w:eastAsia="新宋体" w:cs="新宋体"/>
                <w:color w:val="auto"/>
                <w:sz w:val="24"/>
                <w:szCs w:val="24"/>
              </w:rPr>
              <w:t>完整的合同）</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请勿放与本项目无关的内容。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9" w:type="dxa"/>
            <w:vAlign w:val="top"/>
          </w:tcPr>
          <w:p>
            <w:pPr>
              <w:snapToGrid w:val="0"/>
              <w:spacing w:line="360" w:lineRule="auto"/>
              <w:ind w:firstLine="484" w:firstLineChars="202"/>
              <w:jc w:val="left"/>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p>
        </w:tc>
        <w:tc>
          <w:tcPr>
            <w:tcW w:w="1079" w:type="dxa"/>
            <w:vAlign w:val="top"/>
          </w:tcPr>
          <w:p>
            <w:pPr>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对招标文件的响应程度（4 分）</w:t>
            </w:r>
          </w:p>
        </w:tc>
        <w:tc>
          <w:tcPr>
            <w:tcW w:w="7180" w:type="dxa"/>
            <w:vAlign w:val="center"/>
          </w:tcPr>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 响应文件制作规范，没有细微偏差情形的得 4 分； 有一项细微偏差扣 1 分，直至该项分值扣完为止。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7" w:hRule="atLeast"/>
        </w:trPr>
        <w:tc>
          <w:tcPr>
            <w:tcW w:w="549" w:type="dxa"/>
            <w:vAlign w:val="top"/>
          </w:tcPr>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p>
          <w:p>
            <w:pPr>
              <w:pStyle w:val="2"/>
              <w:jc w:val="center"/>
              <w:rPr>
                <w:rFonts w:hint="eastAsia"/>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w:t>
            </w:r>
          </w:p>
        </w:tc>
        <w:tc>
          <w:tcPr>
            <w:tcW w:w="1079" w:type="dxa"/>
            <w:vAlign w:val="top"/>
          </w:tcPr>
          <w:p>
            <w:pPr>
              <w:snapToGrid w:val="0"/>
              <w:spacing w:line="360" w:lineRule="auto"/>
              <w:jc w:val="center"/>
              <w:rPr>
                <w:rFonts w:hint="eastAsia" w:ascii="新宋体" w:hAnsi="新宋体" w:eastAsia="新宋体" w:cs="新宋体"/>
                <w:color w:val="auto"/>
                <w:sz w:val="24"/>
                <w:szCs w:val="24"/>
              </w:rPr>
            </w:pPr>
          </w:p>
          <w:p>
            <w:pPr>
              <w:snapToGrid w:val="0"/>
              <w:spacing w:line="360" w:lineRule="auto"/>
              <w:ind w:firstLine="484" w:firstLineChars="202"/>
              <w:jc w:val="center"/>
              <w:rPr>
                <w:rFonts w:hint="eastAsia" w:ascii="新宋体" w:hAnsi="新宋体" w:eastAsia="新宋体" w:cs="新宋体"/>
                <w:color w:val="auto"/>
                <w:sz w:val="24"/>
                <w:szCs w:val="24"/>
              </w:rPr>
            </w:pPr>
          </w:p>
          <w:p>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售后服务(6 分)</w:t>
            </w:r>
          </w:p>
        </w:tc>
        <w:tc>
          <w:tcPr>
            <w:tcW w:w="7180" w:type="dxa"/>
            <w:vAlign w:val="top"/>
          </w:tcPr>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 本地化服务能力： 在青海省设有服务机构的，得 3 分； 有合作性服务机构的，得 1 分； 没有的不得分。（需提供服务机构的营 业执照及委托协议等证明文件，本地化服务能力应包括人员配置、 服务能力、售后服务技术人员联系方式等相关证明材料）</w:t>
            </w:r>
          </w:p>
          <w:p>
            <w:pPr>
              <w:snapToGrid w:val="0"/>
              <w:spacing w:line="360" w:lineRule="auto"/>
              <w:ind w:firstLine="484" w:firstLineChars="20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 售后服务计划、措施及服务承诺： 针对本项目须有详尽的组织、配合、验收、售后等方面的服务能力、措施及相关承诺，提供 完整得 3 分，</w:t>
            </w:r>
            <w:r>
              <w:rPr>
                <w:rFonts w:hint="eastAsia" w:ascii="新宋体" w:hAnsi="新宋体" w:eastAsia="新宋体" w:cs="新宋体"/>
                <w:color w:val="auto"/>
                <w:sz w:val="24"/>
                <w:szCs w:val="24"/>
                <w:lang w:val="en-US" w:eastAsia="zh-CN"/>
              </w:rPr>
              <w:t>每</w:t>
            </w:r>
            <w:r>
              <w:rPr>
                <w:rFonts w:hint="eastAsia" w:ascii="新宋体" w:hAnsi="新宋体" w:eastAsia="新宋体" w:cs="新宋体"/>
                <w:color w:val="auto"/>
                <w:sz w:val="24"/>
                <w:szCs w:val="24"/>
              </w:rPr>
              <w:t>缺少一项扣 1 分，扣完为止。</w:t>
            </w:r>
          </w:p>
        </w:tc>
      </w:tr>
    </w:tbl>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20.3采用综合评分法的，磋商结果按磋商后得分由高到低顺序排列。得分相同的，按磋商报价由低到高顺序排列。得分且报价相同的并列。响应文件满足磋商文件实质性要求，且按照磋商因素的量化指标磋商得分最高的投标人为排名第一的成交候选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20.4磋商结果汇总完成后，除下列情形外，任何人不得修改磋商结果：</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（1）分值汇总计算错误；</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（2）分项评分超出评分标准范围的；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（3）磋商小组认定评分畸高、畸低的。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评标结果的，书面报告本级财政部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投标人对以上情形提出质疑的，采购人或者采购代理机构可以组织原磋商小组进行重新评审，重新磋商改变评标结果的，应当书面报告本级财政部门。</w:t>
      </w:r>
    </w:p>
    <w:p>
      <w:pPr>
        <w:pStyle w:val="4"/>
        <w:numPr>
          <w:ilvl w:val="0"/>
          <w:numId w:val="4"/>
        </w:numPr>
        <w:spacing w:line="360" w:lineRule="auto"/>
        <w:jc w:val="center"/>
        <w:rPr>
          <w:rFonts w:hint="eastAsia" w:ascii="新宋体" w:hAnsi="新宋体" w:eastAsia="新宋体" w:cs="新宋体"/>
          <w:color w:val="auto"/>
        </w:rPr>
      </w:pPr>
      <w:bookmarkStart w:id="89" w:name="_Toc19816"/>
      <w:bookmarkStart w:id="90" w:name="_Toc31477"/>
      <w:r>
        <w:rPr>
          <w:rFonts w:hint="eastAsia" w:ascii="新宋体" w:hAnsi="新宋体" w:eastAsia="新宋体" w:cs="新宋体"/>
          <w:color w:val="auto"/>
        </w:rPr>
        <w:t>成交</w:t>
      </w:r>
      <w:bookmarkEnd w:id="89"/>
      <w:bookmarkEnd w:id="90"/>
    </w:p>
    <w:p>
      <w:pPr>
        <w:pStyle w:val="5"/>
        <w:spacing w:line="360" w:lineRule="auto"/>
        <w:rPr>
          <w:rFonts w:hint="eastAsia" w:ascii="新宋体" w:hAnsi="新宋体" w:eastAsia="新宋体" w:cs="新宋体"/>
          <w:color w:val="auto"/>
          <w:sz w:val="24"/>
          <w:szCs w:val="24"/>
        </w:rPr>
      </w:pPr>
      <w:bookmarkStart w:id="91" w:name="_Toc6874"/>
      <w:bookmarkStart w:id="92" w:name="_Toc5518"/>
      <w:bookmarkStart w:id="93" w:name="_Toc21809"/>
      <w:r>
        <w:rPr>
          <w:rFonts w:hint="eastAsia" w:ascii="新宋体" w:hAnsi="新宋体" w:eastAsia="新宋体" w:cs="新宋体"/>
          <w:color w:val="auto"/>
          <w:sz w:val="24"/>
          <w:szCs w:val="24"/>
        </w:rPr>
        <w:t>21.推荐并确定成交人</w:t>
      </w:r>
      <w:bookmarkEnd w:id="91"/>
      <w:bookmarkEnd w:id="92"/>
      <w:bookmarkEnd w:id="9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21.1采购代理机构应当在评标结束后2个工作日内将评标报告送采购人。采购人应当自收到磋商报告之日起5个工作日内，在磋商报告确定的成交候选人名单中按顺序确定成交人。成交候选人并列的，由采购人或者采购人委托磋商小组按照磋商文件规定的方式确定成交人；磋商文件未规定的，采取随机抽取的方式确定。</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21.2采购人自行组织招标的，应当在磋商结束后5个工作日内确定成交人。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21.3采购人在收到磋商报告5个工作日内未按磋商报告推荐的成交候选人顺序确定成交人，又不能说明合法理由的，视同按磋商报告推荐的顺序确定排名第一的成交候选人为成交人。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21.4为了确保成交人能够对本项目的顺利实施并保证质量，允许本次投标的投标人对各包投标，但同一投标人最多只能中一个包。若出现一个投标人有两个以上得分最高者，按照大包优先的原则确定该包的成交人。</w:t>
      </w:r>
      <w:bookmarkStart w:id="94" w:name="_Toc1095"/>
    </w:p>
    <w:p>
      <w:pPr>
        <w:pStyle w:val="5"/>
        <w:spacing w:line="360" w:lineRule="auto"/>
        <w:rPr>
          <w:rFonts w:hint="eastAsia" w:ascii="新宋体" w:hAnsi="新宋体" w:eastAsia="新宋体" w:cs="新宋体"/>
          <w:color w:val="auto"/>
          <w:sz w:val="24"/>
          <w:szCs w:val="24"/>
        </w:rPr>
      </w:pPr>
      <w:bookmarkStart w:id="95" w:name="_Toc155"/>
      <w:bookmarkStart w:id="96" w:name="_Toc21147"/>
      <w:r>
        <w:rPr>
          <w:rFonts w:hint="eastAsia" w:ascii="新宋体" w:hAnsi="新宋体" w:eastAsia="新宋体" w:cs="新宋体"/>
          <w:color w:val="auto"/>
          <w:sz w:val="24"/>
          <w:szCs w:val="24"/>
        </w:rPr>
        <w:t>22.成交通知</w:t>
      </w:r>
      <w:bookmarkEnd w:id="94"/>
      <w:bookmarkEnd w:id="95"/>
      <w:bookmarkEnd w:id="96"/>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22.1采购人或者采购代理机构应当自成交人确定之日起2个工作日内，在省级以上财政部门指定的媒体上公告成交结果，磋商文件应当随成交结果同时公告。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22.2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22.3成交公告期限为1个工作日。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22.4在公告成交结果的同时，采购代理机构应当向成交人发出成交通知书；采用综合评分法评审的，还应当告知未成交人本人的评审得分与排序。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22.5成交通知书发出后，采购人不得违法改变成交结果，成交人无正当理由不得放弃成交。</w:t>
      </w:r>
    </w:p>
    <w:p>
      <w:pPr>
        <w:pStyle w:val="4"/>
        <w:numPr>
          <w:ilvl w:val="0"/>
          <w:numId w:val="4"/>
        </w:numPr>
        <w:spacing w:line="360" w:lineRule="auto"/>
        <w:jc w:val="center"/>
        <w:rPr>
          <w:rFonts w:hint="eastAsia" w:ascii="新宋体" w:hAnsi="新宋体" w:eastAsia="新宋体" w:cs="新宋体"/>
          <w:color w:val="auto"/>
        </w:rPr>
      </w:pPr>
      <w:bookmarkStart w:id="97" w:name="_Toc21496"/>
      <w:bookmarkStart w:id="98" w:name="_Toc22711"/>
      <w:bookmarkStart w:id="99" w:name="_Toc4113"/>
      <w:r>
        <w:rPr>
          <w:rFonts w:hint="eastAsia" w:ascii="新宋体" w:hAnsi="新宋体" w:eastAsia="新宋体" w:cs="新宋体"/>
          <w:color w:val="auto"/>
        </w:rPr>
        <w:t>授予合同</w:t>
      </w:r>
      <w:bookmarkEnd w:id="97"/>
      <w:bookmarkEnd w:id="98"/>
      <w:bookmarkEnd w:id="99"/>
    </w:p>
    <w:p>
      <w:pPr>
        <w:pStyle w:val="5"/>
        <w:spacing w:line="360" w:lineRule="auto"/>
        <w:rPr>
          <w:rFonts w:hint="eastAsia" w:ascii="新宋体" w:hAnsi="新宋体" w:eastAsia="新宋体" w:cs="新宋体"/>
          <w:color w:val="auto"/>
          <w:sz w:val="24"/>
          <w:szCs w:val="24"/>
        </w:rPr>
      </w:pPr>
      <w:bookmarkStart w:id="100" w:name="_Toc21830"/>
      <w:bookmarkStart w:id="101" w:name="_Toc23616"/>
      <w:bookmarkStart w:id="102" w:name="_Toc3382"/>
      <w:r>
        <w:rPr>
          <w:rFonts w:hint="eastAsia" w:ascii="新宋体" w:hAnsi="新宋体" w:eastAsia="新宋体" w:cs="新宋体"/>
          <w:color w:val="auto"/>
          <w:sz w:val="24"/>
          <w:szCs w:val="24"/>
        </w:rPr>
        <w:t>23.签订合同</w:t>
      </w:r>
      <w:bookmarkEnd w:id="100"/>
      <w:bookmarkEnd w:id="101"/>
      <w:bookmarkEnd w:id="10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23.1采购人应当自成交通知书发出之日起30日内，按照磋商文件和成交人响应文件的规定，与成交人签订书面合同。所签订的合同不得对磋商文件确定的事项和成交人响应文件作实质性修改。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采购人不得向成交人提出任何不合理的要求作为签订合同的条件。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23.2签订合同时，可将成交人的磋商保证金转为成交人的履约保证金或成交人应当以支票、汇票、本票等非现金形式向采购人指定的账户交纳履约保证金。履约保证金的数额由采购人确定，但不得超出采购合同总金额的10%。</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23.3成交人拒绝与采购人签订合同的，采购人可以按照磋商报告推荐的成交候选人名单排序，确定下一候选人为成交人，也可以重新开展政府采购活动。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23.4磋商文件、成交人的响应文件、《成交通知书》及其澄清、说明文件、承诺等，均为签订采购合同的依据，作为采购合同的组成部分。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23.5采购合同签订之日起2个工作日内，由采购人将采购合同在青海政府采购网上公告，但采购合同中涉及国家秘密、商业秘密的内容除外。</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23.6采购人与成交人应当根据合同的约定依法履行合同义务。政府采购合同的履行、违约责任和解决争议的方法等适用《中华人民共和国合同法》。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23.7采购人应当及时对采购项目进行验收。采购人可以邀请参加本项目的其他投标人或者第三方机构参与验收。参与验收的投标人或者第三方机构的意见作为验收书的参考资料一并存档。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23.8采购人应当加强对成交人的履约管理，并按照采购合同约定，及时向成交人支付采购资金。对于成交人违反采购合同约定的行为，采购人应当及时处理，依法追究其违约责任。</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23.9采购人、采购代理机构应当建立真实完整的招标采购档案，妥善保存每项采购活动的采购文件。</w:t>
      </w:r>
    </w:p>
    <w:p>
      <w:pPr>
        <w:pStyle w:val="4"/>
        <w:numPr>
          <w:ilvl w:val="0"/>
          <w:numId w:val="4"/>
        </w:numPr>
        <w:spacing w:line="360" w:lineRule="auto"/>
        <w:jc w:val="center"/>
        <w:rPr>
          <w:rFonts w:hint="eastAsia" w:ascii="新宋体" w:hAnsi="新宋体" w:eastAsia="新宋体" w:cs="新宋体"/>
          <w:color w:val="auto"/>
        </w:rPr>
      </w:pPr>
      <w:bookmarkStart w:id="103" w:name="_Toc17390"/>
      <w:bookmarkStart w:id="104" w:name="_Toc706"/>
      <w:bookmarkStart w:id="105" w:name="_Toc21793"/>
      <w:r>
        <w:rPr>
          <w:rFonts w:hint="eastAsia" w:ascii="新宋体" w:hAnsi="新宋体" w:eastAsia="新宋体" w:cs="新宋体"/>
          <w:color w:val="auto"/>
        </w:rPr>
        <w:t>招标代理费</w:t>
      </w:r>
      <w:bookmarkEnd w:id="103"/>
      <w:bookmarkEnd w:id="104"/>
      <w:bookmarkEnd w:id="105"/>
    </w:p>
    <w:p>
      <w:pPr>
        <w:widowControl/>
        <w:spacing w:line="360" w:lineRule="auto"/>
        <w:ind w:firstLine="482" w:firstLineChars="200"/>
        <w:rPr>
          <w:rFonts w:hint="default" w:ascii="宋体" w:cs="宋体"/>
          <w:b/>
          <w:bCs/>
          <w:color w:val="auto"/>
          <w:kern w:val="0"/>
          <w:sz w:val="24"/>
          <w:szCs w:val="24"/>
          <w:lang w:val="en-US" w:eastAsia="zh-CN"/>
        </w:rPr>
      </w:pPr>
      <w:r>
        <w:rPr>
          <w:rFonts w:hint="eastAsia" w:ascii="宋体" w:cs="宋体"/>
          <w:b/>
          <w:bCs/>
          <w:color w:val="auto"/>
          <w:kern w:val="0"/>
          <w:sz w:val="24"/>
          <w:szCs w:val="24"/>
          <w:lang w:val="en-US" w:eastAsia="zh-CN"/>
        </w:rPr>
        <w:t>1、</w:t>
      </w:r>
      <w:r>
        <w:rPr>
          <w:rFonts w:hint="eastAsia" w:ascii="宋体" w:cs="宋体"/>
          <w:b/>
          <w:bCs/>
          <w:color w:val="auto"/>
          <w:kern w:val="0"/>
          <w:sz w:val="24"/>
          <w:szCs w:val="24"/>
          <w:lang w:val="zh-CN"/>
        </w:rPr>
        <w:t>收取对象：成交人</w:t>
      </w:r>
    </w:p>
    <w:p>
      <w:pPr>
        <w:widowControl/>
        <w:spacing w:line="360" w:lineRule="auto"/>
        <w:ind w:firstLine="964" w:firstLineChars="400"/>
        <w:rPr>
          <w:rFonts w:hint="eastAsia" w:ascii="宋体" w:hAnsi="Calibri" w:cs="宋体"/>
          <w:b/>
          <w:bCs/>
          <w:color w:val="auto"/>
          <w:kern w:val="0"/>
          <w:sz w:val="24"/>
          <w:szCs w:val="24"/>
          <w:lang w:val="zh-CN"/>
        </w:rPr>
      </w:pPr>
      <w:r>
        <w:rPr>
          <w:rFonts w:hint="eastAsia" w:ascii="宋体" w:hAnsi="Calibri" w:cs="宋体"/>
          <w:b/>
          <w:bCs/>
          <w:color w:val="auto"/>
          <w:kern w:val="0"/>
          <w:sz w:val="24"/>
          <w:szCs w:val="24"/>
          <w:lang w:val="zh-CN"/>
        </w:rPr>
        <w:t>账户名：</w:t>
      </w:r>
      <w:r>
        <w:rPr>
          <w:rFonts w:hint="eastAsia" w:ascii="宋体" w:cs="宋体"/>
          <w:b/>
          <w:bCs/>
          <w:color w:val="auto"/>
          <w:kern w:val="0"/>
          <w:sz w:val="24"/>
          <w:szCs w:val="24"/>
          <w:lang w:val="zh-CN"/>
        </w:rPr>
        <w:t>青海锋业工程项目管理有限公司</w:t>
      </w:r>
    </w:p>
    <w:p>
      <w:pPr>
        <w:widowControl/>
        <w:spacing w:line="360" w:lineRule="auto"/>
        <w:ind w:firstLine="964" w:firstLineChars="400"/>
        <w:rPr>
          <w:rFonts w:hint="eastAsia" w:ascii="宋体" w:hAnsi="Calibri" w:cs="宋体"/>
          <w:b/>
          <w:bCs/>
          <w:color w:val="auto"/>
          <w:kern w:val="0"/>
          <w:sz w:val="24"/>
          <w:szCs w:val="24"/>
          <w:lang w:val="zh-CN"/>
        </w:rPr>
      </w:pPr>
      <w:r>
        <w:rPr>
          <w:rFonts w:hint="eastAsia" w:ascii="宋体" w:hAnsi="Calibri" w:cs="宋体"/>
          <w:b/>
          <w:bCs/>
          <w:color w:val="auto"/>
          <w:kern w:val="0"/>
          <w:sz w:val="24"/>
          <w:szCs w:val="24"/>
          <w:lang w:val="zh-CN"/>
        </w:rPr>
        <w:t>开户行：</w:t>
      </w:r>
      <w:r>
        <w:rPr>
          <w:rFonts w:hint="eastAsia" w:ascii="宋体" w:cs="宋体"/>
          <w:b/>
          <w:bCs/>
          <w:color w:val="auto"/>
          <w:kern w:val="0"/>
          <w:sz w:val="24"/>
          <w:szCs w:val="24"/>
          <w:lang w:val="zh-CN"/>
        </w:rPr>
        <w:t>青海西宁农村商业银行股份有限公司市民中心支行</w:t>
      </w:r>
    </w:p>
    <w:p>
      <w:pPr>
        <w:widowControl/>
        <w:spacing w:line="360" w:lineRule="auto"/>
        <w:ind w:firstLine="964" w:firstLineChars="400"/>
        <w:rPr>
          <w:rFonts w:hint="eastAsia"/>
          <w:b/>
          <w:bCs/>
          <w:color w:val="auto"/>
        </w:rPr>
      </w:pPr>
      <w:r>
        <w:rPr>
          <w:rFonts w:hint="eastAsia" w:ascii="宋体" w:hAnsi="Calibri" w:cs="宋体"/>
          <w:b/>
          <w:bCs/>
          <w:color w:val="auto"/>
          <w:kern w:val="0"/>
          <w:sz w:val="24"/>
          <w:szCs w:val="24"/>
          <w:lang w:val="zh-CN" w:eastAsia="zh-CN"/>
        </w:rPr>
        <w:t>中标服务费</w:t>
      </w:r>
      <w:r>
        <w:rPr>
          <w:rFonts w:hint="eastAsia" w:ascii="宋体" w:cs="宋体"/>
          <w:b/>
          <w:bCs/>
          <w:color w:val="auto"/>
          <w:kern w:val="0"/>
          <w:sz w:val="24"/>
          <w:szCs w:val="24"/>
          <w:lang w:val="zh-CN" w:eastAsia="zh-CN"/>
        </w:rPr>
        <w:t>转入</w:t>
      </w:r>
      <w:r>
        <w:rPr>
          <w:rFonts w:hint="eastAsia" w:ascii="宋体" w:hAnsi="Calibri" w:cs="宋体"/>
          <w:b/>
          <w:bCs/>
          <w:color w:val="auto"/>
          <w:kern w:val="0"/>
          <w:sz w:val="24"/>
          <w:szCs w:val="24"/>
          <w:lang w:val="zh-CN"/>
        </w:rPr>
        <w:t>账号：</w:t>
      </w:r>
      <w:r>
        <w:rPr>
          <w:rFonts w:hint="eastAsia" w:ascii="宋体" w:cs="宋体"/>
          <w:b/>
          <w:bCs/>
          <w:color w:val="auto"/>
          <w:kern w:val="0"/>
          <w:sz w:val="24"/>
          <w:szCs w:val="24"/>
          <w:lang w:val="zh-CN"/>
        </w:rPr>
        <w:t>82010000000534085</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2、各包收费金额：在领取成交通知书前向采购代理机构缴纳。</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3、由采购人自行招标的，成交人无需缴纳招标代理费。</w:t>
      </w:r>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4、说明：根据《关于进一步放开建设项目专项业务服务价格的通知》（发改价格</w:t>
      </w:r>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[2015]299号）规定，实行市场调节价，应严格遵守《价格法》、《关于商品和服务</w:t>
      </w:r>
    </w:p>
    <w:p>
      <w:pPr>
        <w:snapToGrid w:val="0"/>
        <w:spacing w:line="360" w:lineRule="auto"/>
        <w:ind w:left="479" w:leftChars="228" w:firstLine="0" w:firstLineChars="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实行明码标价的规定》等法律法规的规定由采购人和采购代理机构共同确定的收费金额。</w:t>
      </w:r>
    </w:p>
    <w:p>
      <w:pPr>
        <w:pStyle w:val="4"/>
        <w:numPr>
          <w:ilvl w:val="0"/>
          <w:numId w:val="4"/>
        </w:numPr>
        <w:spacing w:line="360" w:lineRule="auto"/>
        <w:jc w:val="center"/>
        <w:rPr>
          <w:rFonts w:hint="eastAsia" w:ascii="新宋体" w:hAnsi="新宋体" w:eastAsia="新宋体" w:cs="新宋体"/>
          <w:color w:val="auto"/>
        </w:rPr>
      </w:pPr>
      <w:bookmarkStart w:id="106" w:name="_Toc8443"/>
      <w:bookmarkStart w:id="107" w:name="_Toc17181"/>
      <w:bookmarkStart w:id="108" w:name="_Toc20075"/>
      <w:r>
        <w:rPr>
          <w:rFonts w:hint="eastAsia" w:ascii="新宋体" w:hAnsi="新宋体" w:eastAsia="新宋体" w:cs="新宋体"/>
          <w:color w:val="auto"/>
        </w:rPr>
        <w:t>其他</w:t>
      </w:r>
      <w:bookmarkEnd w:id="106"/>
      <w:bookmarkEnd w:id="107"/>
      <w:bookmarkEnd w:id="10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1、投标人应当遵循公平竞争的原则，不得恶意串通，不得妨碍其他投标人的竞争行为，不得损害采购人或者其他投标人的合法权益。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在磋商过程中发现投标人有上述情形的，磋商小组应当认定其投标无效，并书面报告本级财政部门。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2、有下列情形之一的，视为投标人串通投标，其投标无效：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（1）不同投标人的响应文件由同一单位或者个人编制；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（2）不同投标人委托同一单位或者个人办理投标事宜；</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（3）不同投标人的响应文件载明的项目管理成员或者联系人员为同一人；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（4）不同投标人的响应文件异常一致或者磋商报价呈规律性差异；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（5）不同投标人的响应文件相互混装；</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（6）不同投标人的磋商保证金从同一单位或者个人的账户转出。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3、公开招标数额标准以上的采购项目，投标截止后投标人不足3家或者通过资格审查或符合性审查的投标人不足3家的，除采购任务取消情形外，按照以下方式处理：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（1）磋商文件存在不合理条款或者采购程序不符合规定的，采购人、采购代理机构改正后依法重新招标；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（2）磋商文件没有不合理条款、采购程序符合规定，需要采购其他采购方式采购的，采购人应当依法报财政部门批准。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4、在招标采购中，出现下列情形之一的，应予废标：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（1）符合专业条件的投标人或者对磋商文件作实质性响应的投标人不足三家的；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（2）出现影响采购公正的违法、违规行为的；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（3）投标人的报价均超出采购预算，采购人不能支付的；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（4）因重大变故，采购任务取消的。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废标后，由采购代理机构发布废标公告。</w:t>
      </w:r>
    </w:p>
    <w:p>
      <w:pPr>
        <w:numPr>
          <w:ilvl w:val="0"/>
          <w:numId w:val="5"/>
        </w:numPr>
        <w:snapToGrid w:val="0"/>
        <w:spacing w:line="360" w:lineRule="auto"/>
        <w:ind w:firstLine="484" w:firstLineChars="202"/>
        <w:rPr>
          <w:rFonts w:hint="eastAsia" w:ascii="新宋体" w:hAnsi="新宋体" w:eastAsia="新宋体" w:cs="新宋体"/>
          <w:color w:val="auto"/>
        </w:rPr>
      </w:pPr>
      <w:r>
        <w:rPr>
          <w:rFonts w:hint="eastAsia" w:ascii="新宋体" w:hAnsi="新宋体" w:eastAsia="新宋体" w:cs="新宋体"/>
          <w:color w:val="auto"/>
          <w:sz w:val="24"/>
          <w:szCs w:val="24"/>
        </w:rPr>
        <w:t>其他未尽事宜，按照《中华人民共和国政府采购法》、《中华人民共和国政府采购法实施条例》、《中华人民共和国合同法》等法律法规的有关条款执行。</w:t>
      </w:r>
      <w:bookmarkStart w:id="109" w:name="_Toc14401"/>
      <w:bookmarkStart w:id="110" w:name="_Toc11982"/>
    </w:p>
    <w:p>
      <w:pPr>
        <w:autoSpaceDE w:val="0"/>
        <w:autoSpaceDN w:val="0"/>
        <w:adjustRightInd w:val="0"/>
        <w:snapToGrid w:val="0"/>
        <w:spacing w:line="360" w:lineRule="auto"/>
        <w:jc w:val="both"/>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48"/>
          <w:szCs w:val="48"/>
          <w:lang w:val="zh-CN"/>
        </w:rPr>
      </w:pPr>
    </w:p>
    <w:p>
      <w:pPr>
        <w:pStyle w:val="30"/>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p>
    <w:p>
      <w:pP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36"/>
          <w:szCs w:val="36"/>
          <w:lang w:val="zh-CN"/>
        </w:rPr>
        <w:br w:type="page"/>
      </w:r>
    </w:p>
    <w:p>
      <w:pPr>
        <w:pStyle w:val="3"/>
        <w:bidi w:val="0"/>
        <w:jc w:val="center"/>
        <w:rPr>
          <w:rFonts w:hint="eastAsia" w:ascii="新宋体" w:hAnsi="新宋体" w:eastAsia="新宋体" w:cs="新宋体"/>
          <w:b/>
          <w:bCs/>
          <w:color w:val="auto"/>
          <w:kern w:val="0"/>
          <w:szCs w:val="36"/>
          <w:lang w:val="zh-CN"/>
        </w:rPr>
      </w:pPr>
      <w:bookmarkStart w:id="111" w:name="_Toc15226"/>
      <w:r>
        <w:rPr>
          <w:rFonts w:hint="eastAsia"/>
          <w:lang w:val="zh-CN"/>
        </w:rPr>
        <w:t>第三部分 青海省政府采购项目合同书范本</w:t>
      </w:r>
      <w:bookmarkEnd w:id="109"/>
      <w:bookmarkEnd w:id="110"/>
      <w:bookmarkEnd w:id="111"/>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36"/>
          <w:szCs w:val="36"/>
          <w:lang w:val="zh-CN"/>
        </w:rPr>
        <w:t>（</w:t>
      </w:r>
      <w:r>
        <w:rPr>
          <w:rFonts w:hint="eastAsia" w:ascii="新宋体" w:hAnsi="新宋体" w:eastAsia="新宋体" w:cs="新宋体"/>
          <w:b/>
          <w:bCs/>
          <w:color w:val="auto"/>
          <w:kern w:val="0"/>
          <w:sz w:val="36"/>
          <w:szCs w:val="36"/>
          <w:lang w:val="zh-CN" w:eastAsia="zh-CN"/>
        </w:rPr>
        <w:t>服务</w:t>
      </w:r>
      <w:r>
        <w:rPr>
          <w:rFonts w:hint="eastAsia" w:ascii="新宋体" w:hAnsi="新宋体" w:eastAsia="新宋体" w:cs="新宋体"/>
          <w:b/>
          <w:bCs/>
          <w:color w:val="auto"/>
          <w:kern w:val="0"/>
          <w:sz w:val="36"/>
          <w:szCs w:val="36"/>
          <w:lang w:val="zh-CN"/>
        </w:rPr>
        <w:t>类）</w:t>
      </w:r>
    </w:p>
    <w:p>
      <w:pPr>
        <w:snapToGrid w:val="0"/>
        <w:spacing w:line="360" w:lineRule="auto"/>
        <w:ind w:firstLine="484" w:firstLineChars="202"/>
        <w:jc w:val="center"/>
        <w:rPr>
          <w:rFonts w:hint="eastAsia" w:ascii="新宋体" w:hAnsi="新宋体" w:eastAsia="新宋体" w:cs="新宋体"/>
          <w:color w:val="auto"/>
          <w:sz w:val="24"/>
          <w:szCs w:val="24"/>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rPr>
      </w:pPr>
      <w:r>
        <w:rPr>
          <w:rFonts w:hint="eastAsia" w:ascii="新宋体" w:hAnsi="新宋体" w:eastAsia="新宋体" w:cs="新宋体"/>
          <w:b/>
          <w:bCs/>
          <w:color w:val="auto"/>
          <w:kern w:val="0"/>
          <w:sz w:val="36"/>
          <w:szCs w:val="36"/>
          <w:lang w:val="zh-CN"/>
        </w:rPr>
        <w:t>青海省政府采购项目合同书</w:t>
      </w: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djustRightInd w:val="0"/>
        <w:snapToGrid w:val="0"/>
        <w:spacing w:line="360" w:lineRule="auto"/>
        <w:ind w:firstLine="281" w:firstLineChars="100"/>
        <w:jc w:val="left"/>
        <w:rPr>
          <w:rFonts w:hint="default" w:ascii="新宋体" w:hAnsi="新宋体" w:eastAsia="新宋体" w:cs="新宋体"/>
          <w:color w:val="auto"/>
          <w:sz w:val="28"/>
          <w:szCs w:val="28"/>
          <w:lang w:val="en-US" w:eastAsia="zh-CN"/>
        </w:rPr>
      </w:pPr>
      <w:r>
        <w:rPr>
          <w:rFonts w:hint="eastAsia" w:ascii="新宋体" w:hAnsi="新宋体" w:eastAsia="新宋体" w:cs="新宋体"/>
          <w:b/>
          <w:bCs/>
          <w:color w:val="auto"/>
          <w:kern w:val="0"/>
          <w:sz w:val="28"/>
          <w:szCs w:val="28"/>
          <w:lang w:val="zh-CN"/>
        </w:rPr>
        <w:t>采购项目名称：</w:t>
      </w:r>
      <w:r>
        <w:rPr>
          <w:rFonts w:hint="eastAsia" w:ascii="新宋体" w:hAnsi="新宋体" w:eastAsia="新宋体" w:cs="新宋体"/>
          <w:b/>
          <w:bCs/>
          <w:color w:val="auto"/>
          <w:kern w:val="0"/>
          <w:sz w:val="28"/>
          <w:szCs w:val="28"/>
          <w:u w:val="single"/>
          <w:lang w:val="zh-CN" w:eastAsia="zh-CN"/>
        </w:rPr>
        <w:t>西宁市本级2022年第一批中央林业改革发展资金林业有害生物防控项目</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single"/>
          <w:lang w:val="zh-CN"/>
        </w:rPr>
      </w:pPr>
      <w:r>
        <w:rPr>
          <w:rFonts w:hint="eastAsia" w:ascii="新宋体" w:hAnsi="新宋体" w:eastAsia="新宋体" w:cs="新宋体"/>
          <w:b/>
          <w:bCs/>
          <w:color w:val="auto"/>
          <w:kern w:val="0"/>
          <w:sz w:val="28"/>
          <w:szCs w:val="28"/>
          <w:lang w:val="zh-CN"/>
        </w:rPr>
        <w:t>采购项目编号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r>
        <w:rPr>
          <w:rFonts w:hint="eastAsia" w:ascii="新宋体" w:hAnsi="新宋体" w:eastAsia="新宋体" w:cs="新宋体"/>
          <w:b/>
          <w:bCs/>
          <w:color w:val="auto"/>
          <w:kern w:val="0"/>
          <w:sz w:val="28"/>
          <w:szCs w:val="28"/>
          <w:u w:val="single"/>
          <w:lang w:val="zh-CN"/>
        </w:rPr>
        <w:t>青海锋业竞磋（服务）2022-038</w:t>
      </w:r>
    </w:p>
    <w:p>
      <w:pPr>
        <w:adjustRightInd w:val="0"/>
        <w:snapToGrid w:val="0"/>
        <w:spacing w:line="360" w:lineRule="auto"/>
        <w:ind w:firstLine="281" w:firstLineChars="100"/>
        <w:jc w:val="left"/>
        <w:rPr>
          <w:rFonts w:hint="default" w:ascii="新宋体" w:hAnsi="新宋体" w:eastAsia="新宋体" w:cs="新宋体"/>
          <w:b/>
          <w:bCs/>
          <w:color w:val="auto"/>
          <w:kern w:val="0"/>
          <w:sz w:val="28"/>
          <w:szCs w:val="28"/>
          <w:u w:val="single"/>
          <w:lang w:val="en-US" w:eastAsia="zh-CN"/>
        </w:rPr>
      </w:pPr>
      <w:r>
        <w:rPr>
          <w:rFonts w:hint="eastAsia" w:ascii="新宋体" w:hAnsi="新宋体" w:eastAsia="新宋体" w:cs="新宋体"/>
          <w:b/>
          <w:bCs/>
          <w:color w:val="auto"/>
          <w:kern w:val="0"/>
          <w:sz w:val="28"/>
          <w:szCs w:val="28"/>
          <w:lang w:val="zh-CN"/>
        </w:rPr>
        <w:t>采购合同编号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r>
        <w:rPr>
          <w:rFonts w:hint="eastAsia" w:ascii="新宋体" w:hAnsi="新宋体" w:eastAsia="新宋体" w:cs="新宋体"/>
          <w:b/>
          <w:bCs/>
          <w:color w:val="auto"/>
          <w:kern w:val="0"/>
          <w:sz w:val="28"/>
          <w:szCs w:val="28"/>
          <w:u w:val="single"/>
          <w:lang w:val="zh-CN"/>
        </w:rPr>
        <w:t>青海锋业竞磋（服务）2022-038</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single"/>
          <w:lang w:val="zh-CN"/>
        </w:rPr>
      </w:pPr>
      <w:r>
        <w:rPr>
          <w:rFonts w:hint="eastAsia" w:ascii="新宋体" w:hAnsi="新宋体" w:eastAsia="新宋体" w:cs="新宋体"/>
          <w:b/>
          <w:bCs/>
          <w:color w:val="auto"/>
          <w:kern w:val="0"/>
          <w:sz w:val="28"/>
          <w:szCs w:val="28"/>
          <w:lang w:val="zh-CN"/>
        </w:rPr>
        <w:t>合同金额（人民币）：</w:t>
      </w:r>
      <w:r>
        <w:rPr>
          <w:rFonts w:hint="eastAsia" w:ascii="新宋体" w:hAnsi="新宋体" w:eastAsia="新宋体" w:cs="新宋体"/>
          <w:b/>
          <w:bCs/>
          <w:color w:val="auto"/>
          <w:kern w:val="0"/>
          <w:sz w:val="28"/>
          <w:szCs w:val="28"/>
          <w:u w:val="single"/>
          <w:lang w:val="zh-CN"/>
        </w:rPr>
        <w:t xml:space="preserve">                           </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采购人（甲方）：</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lang w:val="zh-CN"/>
        </w:rPr>
        <w:t>（盖章）</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成交人（乙方）：</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lang w:val="zh-CN"/>
        </w:rPr>
        <w:t>（盖章）</w:t>
      </w:r>
    </w:p>
    <w:p>
      <w:pPr>
        <w:adjustRightInd w:val="0"/>
        <w:snapToGrid w:val="0"/>
        <w:spacing w:line="360" w:lineRule="auto"/>
        <w:ind w:firstLine="281" w:firstLineChars="100"/>
        <w:jc w:val="left"/>
        <w:rPr>
          <w:rFonts w:hint="eastAsia" w:ascii="新宋体" w:hAnsi="新宋体" w:eastAsia="新宋体" w:cs="新宋体"/>
          <w:b/>
          <w:bCs/>
          <w:color w:val="auto"/>
          <w:kern w:val="0"/>
          <w:sz w:val="30"/>
          <w:szCs w:val="30"/>
          <w:u w:val="single"/>
          <w:lang w:val="zh-CN"/>
        </w:rPr>
      </w:pPr>
      <w:r>
        <w:rPr>
          <w:rFonts w:hint="eastAsia" w:ascii="新宋体" w:hAnsi="新宋体" w:eastAsia="新宋体" w:cs="新宋体"/>
          <w:b/>
          <w:bCs/>
          <w:color w:val="auto"/>
          <w:kern w:val="0"/>
          <w:sz w:val="28"/>
          <w:szCs w:val="28"/>
          <w:lang w:val="zh-CN"/>
        </w:rPr>
        <w:t>采购日期：</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u w:val="none"/>
          <w:lang w:val="en-US" w:eastAsia="zh-CN"/>
        </w:rPr>
        <w:t xml:space="preserve">     </w:t>
      </w:r>
      <w:r>
        <w:rPr>
          <w:rFonts w:hint="eastAsia" w:ascii="新宋体" w:hAnsi="新宋体" w:eastAsia="新宋体" w:cs="新宋体"/>
          <w:b/>
          <w:bCs/>
          <w:color w:val="auto"/>
          <w:kern w:val="0"/>
          <w:sz w:val="30"/>
          <w:szCs w:val="30"/>
          <w:u w:val="single"/>
          <w:lang w:val="zh-CN"/>
        </w:rPr>
        <w:br w:type="page"/>
      </w:r>
    </w:p>
    <w:p>
      <w:pPr>
        <w:autoSpaceDE w:val="0"/>
        <w:autoSpaceDN w:val="0"/>
        <w:adjustRightInd w:val="0"/>
        <w:spacing w:line="360" w:lineRule="auto"/>
        <w:jc w:val="left"/>
        <w:rPr>
          <w:rFonts w:hint="eastAsia" w:ascii="宋体" w:hAnsi="宋体" w:cs="宋体"/>
          <w:b/>
          <w:bCs/>
          <w:color w:val="auto"/>
          <w:kern w:val="0"/>
          <w:sz w:val="28"/>
          <w:szCs w:val="28"/>
        </w:rPr>
      </w:pPr>
      <w:r>
        <w:rPr>
          <w:rFonts w:hint="eastAsia" w:ascii="宋体" w:hAnsi="宋体" w:cs="宋体"/>
          <w:b/>
          <w:bCs/>
          <w:color w:val="auto"/>
          <w:kern w:val="0"/>
          <w:sz w:val="28"/>
          <w:szCs w:val="28"/>
          <w:lang w:val="zh-CN"/>
        </w:rPr>
        <w:t>采</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购</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人（以下简称甲方）：</w:t>
      </w:r>
    </w:p>
    <w:p>
      <w:pPr>
        <w:autoSpaceDE w:val="0"/>
        <w:autoSpaceDN w:val="0"/>
        <w:adjustRightInd w:val="0"/>
        <w:spacing w:line="360" w:lineRule="auto"/>
        <w:rPr>
          <w:rFonts w:hint="eastAsia" w:ascii="宋体" w:hAnsi="宋体" w:cs="宋体"/>
          <w:color w:val="auto"/>
          <w:kern w:val="0"/>
          <w:sz w:val="28"/>
          <w:szCs w:val="28"/>
        </w:rPr>
      </w:pPr>
      <w:r>
        <w:rPr>
          <w:rFonts w:hint="eastAsia" w:ascii="宋体" w:hAnsi="宋体" w:cs="宋体"/>
          <w:b/>
          <w:bCs/>
          <w:color w:val="auto"/>
          <w:kern w:val="0"/>
          <w:sz w:val="28"/>
          <w:szCs w:val="28"/>
        </w:rPr>
        <w:t>供 应 商</w:t>
      </w:r>
      <w:r>
        <w:rPr>
          <w:rFonts w:hint="eastAsia" w:ascii="宋体" w:hAnsi="宋体" w:cs="宋体"/>
          <w:b/>
          <w:bCs/>
          <w:color w:val="auto"/>
          <w:kern w:val="0"/>
          <w:sz w:val="28"/>
          <w:szCs w:val="28"/>
          <w:lang w:val="zh-CN"/>
        </w:rPr>
        <w:t>（以下简称乙方）：</w:t>
      </w:r>
    </w:p>
    <w:p>
      <w:pPr>
        <w:pStyle w:val="32"/>
        <w:rPr>
          <w:color w:val="auto"/>
          <w:lang w:val="zh-CN"/>
        </w:rPr>
      </w:pPr>
      <w:bookmarkStart w:id="112" w:name="_Toc4308"/>
      <w:r>
        <w:rPr>
          <w:rFonts w:hint="eastAsia"/>
          <w:color w:val="auto"/>
          <w:lang w:val="zh-CN"/>
        </w:rPr>
        <w:t>合同</w:t>
      </w:r>
      <w:r>
        <w:rPr>
          <w:color w:val="auto"/>
          <w:lang w:val="zh-CN"/>
        </w:rPr>
        <w:t>范本</w:t>
      </w:r>
      <w:bookmarkEnd w:id="112"/>
    </w:p>
    <w:p>
      <w:pPr>
        <w:spacing w:line="800" w:lineRule="exact"/>
        <w:rPr>
          <w:rFonts w:ascii="方正黑体简体" w:eastAsia="方正黑体简体"/>
          <w:color w:val="auto"/>
          <w:sz w:val="48"/>
          <w:szCs w:val="48"/>
        </w:rPr>
      </w:pPr>
    </w:p>
    <w:p>
      <w:pPr>
        <w:spacing w:line="800" w:lineRule="exact"/>
        <w:jc w:val="center"/>
        <w:rPr>
          <w:rFonts w:ascii="方正黑体简体" w:eastAsia="方正黑体简体"/>
          <w:color w:val="auto"/>
          <w:sz w:val="48"/>
          <w:szCs w:val="48"/>
        </w:rPr>
      </w:pPr>
      <w:r>
        <w:rPr>
          <w:rFonts w:hint="eastAsia" w:ascii="方正黑体简体" w:eastAsia="方正黑体简体"/>
          <w:color w:val="auto"/>
          <w:sz w:val="48"/>
          <w:szCs w:val="48"/>
        </w:rPr>
        <w:t>说   明</w:t>
      </w:r>
    </w:p>
    <w:p>
      <w:pPr>
        <w:spacing w:line="800" w:lineRule="exact"/>
        <w:ind w:firstLine="560" w:firstLineChars="200"/>
        <w:rPr>
          <w:color w:val="auto"/>
          <w:sz w:val="28"/>
          <w:szCs w:val="28"/>
        </w:rPr>
      </w:pPr>
    </w:p>
    <w:p>
      <w:pPr>
        <w:spacing w:line="800" w:lineRule="exact"/>
        <w:ind w:firstLine="420" w:firstLineChars="200"/>
        <w:rPr>
          <w:rFonts w:ascii="宋体" w:hAnsi="宋体"/>
          <w:color w:val="auto"/>
        </w:rPr>
      </w:pPr>
      <w:r>
        <w:rPr>
          <w:rFonts w:hint="eastAsia" w:ascii="宋体" w:hAnsi="宋体"/>
          <w:color w:val="auto"/>
        </w:rPr>
        <w:t>1、本合同根据《中华人民共和国合同法》及有关法律、法规的规定签订。</w:t>
      </w:r>
    </w:p>
    <w:p>
      <w:pPr>
        <w:spacing w:line="800" w:lineRule="exact"/>
        <w:ind w:firstLine="420" w:firstLineChars="200"/>
        <w:rPr>
          <w:rFonts w:ascii="宋体" w:hAnsi="宋体"/>
          <w:color w:val="auto"/>
        </w:rPr>
      </w:pPr>
      <w:r>
        <w:rPr>
          <w:rFonts w:hint="eastAsia" w:ascii="宋体" w:hAnsi="宋体"/>
          <w:color w:val="auto"/>
        </w:rPr>
        <w:t>2、本合同经委托方（甲方）、受托方（乙方）协商一致，由双方法定代表人或委托代理人签字并加盖公章（或合同专用章）后生效。</w:t>
      </w:r>
    </w:p>
    <w:p>
      <w:pPr>
        <w:spacing w:line="800" w:lineRule="exact"/>
        <w:ind w:firstLine="420" w:firstLineChars="200"/>
        <w:rPr>
          <w:rFonts w:ascii="宋体" w:hAnsi="宋体"/>
          <w:color w:val="auto"/>
        </w:rPr>
      </w:pPr>
      <w:r>
        <w:rPr>
          <w:rFonts w:hint="eastAsia" w:ascii="宋体" w:hAnsi="宋体"/>
          <w:color w:val="auto"/>
        </w:rPr>
        <w:t>3、合同内容具体明确项目标的内容、委托方（甲方）、受托方（乙方）的权责、义务关系等。</w:t>
      </w:r>
    </w:p>
    <w:p>
      <w:pPr>
        <w:spacing w:line="800" w:lineRule="exact"/>
        <w:ind w:firstLine="420" w:firstLineChars="200"/>
        <w:rPr>
          <w:rFonts w:ascii="宋体" w:hAnsi="宋体"/>
          <w:color w:val="auto"/>
        </w:rPr>
      </w:pPr>
      <w:r>
        <w:rPr>
          <w:rFonts w:hint="eastAsia" w:ascii="宋体" w:hAnsi="宋体"/>
          <w:color w:val="auto"/>
        </w:rPr>
        <w:t>4、合同中某些条款有列举备选序号的可直接在横线填写序号，如某些条款填写不下，可加附页。</w:t>
      </w:r>
    </w:p>
    <w:p>
      <w:pPr>
        <w:spacing w:line="800" w:lineRule="exact"/>
        <w:ind w:firstLine="420" w:firstLineChars="200"/>
        <w:rPr>
          <w:rFonts w:ascii="宋体" w:hAnsi="宋体"/>
          <w:color w:val="auto"/>
        </w:rPr>
      </w:pPr>
      <w:r>
        <w:rPr>
          <w:rFonts w:hint="eastAsia" w:ascii="宋体" w:hAnsi="宋体"/>
          <w:color w:val="auto"/>
        </w:rPr>
        <w:t>5、本合同壹式</w:t>
      </w:r>
      <w:r>
        <w:rPr>
          <w:rFonts w:hint="eastAsia" w:ascii="宋体" w:hAnsi="宋体"/>
          <w:color w:val="auto"/>
          <w:u w:val="single"/>
        </w:rPr>
        <w:t xml:space="preserve">     </w:t>
      </w:r>
      <w:r>
        <w:rPr>
          <w:rFonts w:hint="eastAsia" w:ascii="宋体" w:hAnsi="宋体"/>
          <w:color w:val="auto"/>
        </w:rPr>
        <w:t>份。</w:t>
      </w:r>
    </w:p>
    <w:p>
      <w:pPr>
        <w:spacing w:line="800" w:lineRule="exact"/>
        <w:ind w:firstLine="525" w:firstLineChars="250"/>
        <w:rPr>
          <w:rFonts w:ascii="宋体" w:hAnsi="宋体"/>
          <w:color w:val="auto"/>
        </w:rPr>
      </w:pPr>
      <w:r>
        <w:rPr>
          <w:rFonts w:hint="eastAsia" w:ascii="宋体" w:hAnsi="宋体"/>
          <w:color w:val="auto"/>
        </w:rPr>
        <w:t xml:space="preserve">  委  托  方</w:t>
      </w:r>
      <w:r>
        <w:rPr>
          <w:rFonts w:hint="eastAsia" w:ascii="宋体" w:hAnsi="宋体"/>
          <w:color w:val="auto"/>
          <w:u w:val="single"/>
        </w:rPr>
        <w:t xml:space="preserve">     </w:t>
      </w:r>
      <w:r>
        <w:rPr>
          <w:rFonts w:hint="eastAsia" w:ascii="宋体" w:hAnsi="宋体"/>
          <w:color w:val="auto"/>
        </w:rPr>
        <w:t>份。</w:t>
      </w:r>
    </w:p>
    <w:p>
      <w:pPr>
        <w:spacing w:line="800" w:lineRule="exact"/>
        <w:ind w:firstLine="420" w:firstLineChars="200"/>
        <w:rPr>
          <w:rFonts w:ascii="宋体" w:hAnsi="宋体"/>
          <w:color w:val="auto"/>
        </w:rPr>
      </w:pPr>
      <w:r>
        <w:rPr>
          <w:rFonts w:hint="eastAsia" w:ascii="宋体" w:hAnsi="宋体"/>
          <w:color w:val="auto"/>
        </w:rPr>
        <w:t xml:space="preserve">   受  托  方</w:t>
      </w:r>
      <w:r>
        <w:rPr>
          <w:rFonts w:hint="eastAsia" w:ascii="宋体" w:hAnsi="宋体"/>
          <w:color w:val="auto"/>
          <w:u w:val="single"/>
        </w:rPr>
        <w:t xml:space="preserve">     </w:t>
      </w:r>
      <w:r>
        <w:rPr>
          <w:rFonts w:hint="eastAsia" w:ascii="宋体" w:hAnsi="宋体"/>
          <w:color w:val="auto"/>
        </w:rPr>
        <w:t>份。</w:t>
      </w:r>
    </w:p>
    <w:p>
      <w:pPr>
        <w:spacing w:line="520" w:lineRule="exact"/>
        <w:ind w:firstLine="537" w:firstLineChars="192"/>
        <w:rPr>
          <w:rFonts w:ascii="黑体" w:hAnsi="宋体" w:eastAsia="黑体"/>
          <w:color w:val="auto"/>
          <w:sz w:val="28"/>
          <w:szCs w:val="28"/>
        </w:rPr>
      </w:pPr>
      <w:r>
        <w:rPr>
          <w:rFonts w:ascii="黑体" w:hAnsi="宋体" w:eastAsia="黑体"/>
          <w:color w:val="auto"/>
          <w:sz w:val="28"/>
          <w:szCs w:val="28"/>
        </w:rPr>
        <w:br w:type="page"/>
      </w:r>
      <w:r>
        <w:rPr>
          <w:rFonts w:hint="eastAsia" w:ascii="黑体" w:hAnsi="宋体" w:eastAsia="黑体"/>
          <w:color w:val="auto"/>
          <w:sz w:val="28"/>
          <w:szCs w:val="28"/>
        </w:rPr>
        <w:t>第一条：项目名称</w:t>
      </w:r>
      <w:r>
        <w:rPr>
          <w:rFonts w:hint="eastAsia" w:ascii="宋体" w:hAnsi="宋体"/>
          <w:b/>
          <w:color w:val="auto"/>
        </w:rPr>
        <w:t xml:space="preserve">                                                            </w:t>
      </w:r>
    </w:p>
    <w:p>
      <w:pPr>
        <w:spacing w:line="520" w:lineRule="exact"/>
        <w:ind w:firstLine="403" w:firstLineChars="192"/>
        <w:rPr>
          <w:rFonts w:ascii="宋体" w:hAnsi="宋体"/>
          <w:b/>
          <w:color w:val="auto"/>
        </w:rPr>
      </w:pPr>
      <w:r>
        <w:rPr>
          <w:rFonts w:hint="eastAsia" w:ascii="宋体" w:hAnsi="宋体"/>
          <w:color w:val="auto"/>
          <w:u w:val="single"/>
        </w:rPr>
        <w:t xml:space="preserve">                                                    </w:t>
      </w: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第二条：项目基本情况</w:t>
      </w:r>
    </w:p>
    <w:p>
      <w:pPr>
        <w:spacing w:line="520" w:lineRule="exact"/>
        <w:ind w:firstLine="405" w:firstLineChars="192"/>
        <w:rPr>
          <w:rFonts w:ascii="宋体" w:hAnsi="宋体"/>
          <w:b/>
          <w:color w:val="auto"/>
        </w:rPr>
      </w:pPr>
      <w:r>
        <w:rPr>
          <w:rFonts w:hint="eastAsia" w:ascii="宋体" w:hAnsi="宋体"/>
          <w:b/>
          <w:color w:val="auto"/>
        </w:rPr>
        <w:t>2.1 研究类</w:t>
      </w:r>
    </w:p>
    <w:p>
      <w:pPr>
        <w:spacing w:line="520" w:lineRule="exact"/>
        <w:ind w:firstLine="403" w:firstLineChars="192"/>
        <w:rPr>
          <w:rFonts w:ascii="宋体" w:hAnsi="宋体"/>
          <w:color w:val="auto"/>
        </w:rPr>
      </w:pPr>
      <w:r>
        <w:rPr>
          <w:rFonts w:hint="eastAsia" w:ascii="宋体" w:hAnsi="宋体"/>
          <w:color w:val="auto"/>
        </w:rPr>
        <w:t>2.1.1 项目名称</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2.1.2 项目深度（如：①研究报告、②发展规划、③课题研究、④专题研究、⑤实施方案、⑥申报方案、⑦策划报告等）</w:t>
      </w:r>
      <w:r>
        <w:rPr>
          <w:rFonts w:hint="eastAsia" w:ascii="宋体" w:hAnsi="宋体"/>
          <w:color w:val="auto"/>
          <w:u w:val="single"/>
        </w:rPr>
        <w:t xml:space="preserve">  </w:t>
      </w:r>
    </w:p>
    <w:p>
      <w:pPr>
        <w:spacing w:line="520" w:lineRule="exact"/>
        <w:ind w:firstLine="403" w:firstLineChars="192"/>
        <w:rPr>
          <w:rFonts w:ascii="宋体" w:hAnsi="宋体"/>
          <w:color w:val="auto"/>
          <w:u w:val="single"/>
        </w:rPr>
      </w:pPr>
      <w:r>
        <w:rPr>
          <w:rFonts w:hint="eastAsia" w:ascii="宋体" w:hAnsi="宋体"/>
          <w:color w:val="auto"/>
        </w:rPr>
        <w:t>2.1.3 项目范围</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2.1.4 项目规模</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2.</w:t>
      </w:r>
      <w:r>
        <w:rPr>
          <w:rFonts w:ascii="宋体" w:hAnsi="宋体"/>
          <w:b/>
          <w:color w:val="auto"/>
        </w:rPr>
        <w:t>2</w:t>
      </w:r>
      <w:r>
        <w:rPr>
          <w:rFonts w:hint="eastAsia" w:ascii="宋体" w:hAnsi="宋体"/>
          <w:b/>
          <w:color w:val="auto"/>
        </w:rPr>
        <w:t xml:space="preserve"> 项目内容变更的解决</w:t>
      </w:r>
    </w:p>
    <w:p>
      <w:pPr>
        <w:spacing w:line="520" w:lineRule="exact"/>
        <w:ind w:firstLine="403" w:firstLineChars="192"/>
        <w:rPr>
          <w:rFonts w:ascii="宋体" w:hAnsi="宋体"/>
          <w:color w:val="auto"/>
        </w:rPr>
      </w:pPr>
      <w:r>
        <w:rPr>
          <w:rFonts w:hint="eastAsia" w:ascii="宋体" w:hAnsi="宋体"/>
          <w:color w:val="auto"/>
        </w:rPr>
        <w:t>合同生效后，项目基本情况发生变化的，按以下条款执行解决：</w:t>
      </w:r>
    </w:p>
    <w:p>
      <w:pPr>
        <w:spacing w:line="520" w:lineRule="exact"/>
        <w:ind w:firstLine="403" w:firstLineChars="192"/>
        <w:rPr>
          <w:rFonts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.1 项目类型、深度及范围发生变化的</w:t>
      </w:r>
    </w:p>
    <w:p>
      <w:pPr>
        <w:spacing w:line="520" w:lineRule="exact"/>
        <w:ind w:firstLine="472" w:firstLineChars="225"/>
        <w:rPr>
          <w:rFonts w:ascii="宋体" w:hAnsi="宋体"/>
          <w:color w:val="auto"/>
        </w:rPr>
      </w:pPr>
      <w:r>
        <w:rPr>
          <w:rFonts w:hint="eastAsia" w:ascii="宋体" w:hAnsi="宋体"/>
          <w:color w:val="auto"/>
        </w:rPr>
        <w:t>A.如项目尚未实质启动（乙方未赴甲方实地开展调研），双方协商按照新的项目要求执行，并补充签订合同；</w:t>
      </w:r>
    </w:p>
    <w:p>
      <w:pPr>
        <w:spacing w:line="520" w:lineRule="exact"/>
        <w:ind w:firstLine="472" w:firstLineChars="225"/>
        <w:rPr>
          <w:rFonts w:ascii="宋体" w:hAnsi="宋体"/>
          <w:color w:val="auto"/>
        </w:rPr>
      </w:pPr>
      <w:r>
        <w:rPr>
          <w:rFonts w:hint="eastAsia" w:ascii="宋体" w:hAnsi="宋体"/>
          <w:color w:val="auto"/>
        </w:rPr>
        <w:t>B.如项目已实质启动，甲方向乙方支付完当期应付费用后，补充签订合同变更协议后，按照变更后新的合同要求执行；</w:t>
      </w:r>
    </w:p>
    <w:p>
      <w:pPr>
        <w:spacing w:line="520" w:lineRule="exact"/>
        <w:ind w:firstLine="472" w:firstLineChars="225"/>
        <w:rPr>
          <w:rFonts w:ascii="宋体" w:hAnsi="宋体"/>
          <w:color w:val="auto"/>
        </w:rPr>
      </w:pPr>
      <w:r>
        <w:rPr>
          <w:rFonts w:hint="eastAsia" w:ascii="宋体" w:hAnsi="宋体"/>
          <w:color w:val="auto"/>
        </w:rPr>
        <w:t>C.如项目送审稿完成的，甲方应向乙方支付完合同费用后，另行签订新的项目，按照新的要求执行。</w:t>
      </w:r>
    </w:p>
    <w:p>
      <w:pPr>
        <w:spacing w:line="520" w:lineRule="exact"/>
        <w:ind w:firstLine="403" w:firstLineChars="192"/>
        <w:rPr>
          <w:rFonts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.2 项目规模发生变化的</w:t>
      </w:r>
    </w:p>
    <w:p>
      <w:pPr>
        <w:spacing w:line="520" w:lineRule="exact"/>
        <w:ind w:firstLine="403" w:firstLineChars="192"/>
        <w:rPr>
          <w:rFonts w:ascii="宋体" w:hAnsi="宋体"/>
          <w:color w:val="auto"/>
        </w:rPr>
      </w:pPr>
      <w:r>
        <w:rPr>
          <w:rFonts w:hint="eastAsia" w:ascii="宋体" w:hAnsi="宋体"/>
          <w:color w:val="auto"/>
        </w:rPr>
        <w:t>合同若以规模面积为合同额计费依据的，在项目过程中，发生项目规模变化的，如最后实际规模与合同约定规模相差5—10%及以内，按照合同执行；如相差5—10%以上，双方按照合同单价标准增减合同费用，并补充签订合同变更协议。其中，规划误差按照10%计算，设计按5%计算。</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第三条：项目框架内容或大纲</w:t>
      </w:r>
    </w:p>
    <w:p>
      <w:pPr>
        <w:spacing w:line="520" w:lineRule="exact"/>
        <w:ind w:firstLine="405" w:firstLineChars="192"/>
        <w:rPr>
          <w:rFonts w:ascii="宋体" w:hAnsi="宋体"/>
          <w:b/>
          <w:color w:val="auto"/>
        </w:rPr>
      </w:pPr>
      <w:r>
        <w:rPr>
          <w:rFonts w:hint="eastAsia" w:ascii="宋体" w:hAnsi="宋体"/>
          <w:b/>
          <w:color w:val="auto"/>
        </w:rPr>
        <w:t>3.1 框架内容或大纲</w:t>
      </w:r>
    </w:p>
    <w:p>
      <w:pPr>
        <w:spacing w:line="520" w:lineRule="exact"/>
        <w:ind w:firstLine="403" w:firstLineChars="192"/>
        <w:rPr>
          <w:rFonts w:ascii="宋体" w:hAnsi="宋体"/>
          <w:color w:val="auto"/>
        </w:rPr>
      </w:pPr>
      <w:r>
        <w:rPr>
          <w:rFonts w:hint="eastAsia" w:ascii="宋体" w:hAnsi="宋体"/>
          <w:color w:val="auto"/>
        </w:rPr>
        <w:t>见附件</w:t>
      </w:r>
    </w:p>
    <w:p>
      <w:pPr>
        <w:spacing w:line="520" w:lineRule="exact"/>
        <w:ind w:firstLine="405" w:firstLineChars="192"/>
        <w:rPr>
          <w:rFonts w:ascii="宋体" w:hAnsi="宋体"/>
          <w:b/>
          <w:color w:val="auto"/>
        </w:rPr>
      </w:pPr>
      <w:r>
        <w:rPr>
          <w:rFonts w:hint="eastAsia" w:ascii="宋体" w:hAnsi="宋体"/>
          <w:b/>
          <w:color w:val="auto"/>
        </w:rPr>
        <w:t>3.2 成果标准要求</w:t>
      </w:r>
    </w:p>
    <w:p>
      <w:pPr>
        <w:spacing w:line="520" w:lineRule="exact"/>
        <w:ind w:firstLine="403" w:firstLineChars="192"/>
        <w:rPr>
          <w:rFonts w:ascii="宋体" w:hAnsi="宋体"/>
          <w:color w:val="auto"/>
        </w:rPr>
      </w:pPr>
      <w:r>
        <w:rPr>
          <w:rFonts w:hint="eastAsia" w:ascii="宋体" w:hAnsi="宋体"/>
          <w:color w:val="auto"/>
        </w:rPr>
        <w:t>见附件</w:t>
      </w:r>
    </w:p>
    <w:p>
      <w:pPr>
        <w:spacing w:line="520" w:lineRule="exact"/>
        <w:ind w:firstLine="537" w:firstLineChars="192"/>
        <w:rPr>
          <w:rFonts w:ascii="黑体" w:hAnsi="宋体" w:eastAsia="黑体"/>
          <w:color w:val="auto"/>
          <w:sz w:val="28"/>
          <w:szCs w:val="28"/>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第四条：项目组成立及职责分工</w:t>
      </w:r>
    </w:p>
    <w:p>
      <w:pPr>
        <w:spacing w:line="520" w:lineRule="exact"/>
        <w:ind w:firstLine="405" w:firstLineChars="192"/>
        <w:rPr>
          <w:rFonts w:ascii="宋体" w:hAnsi="宋体"/>
          <w:b/>
          <w:color w:val="auto"/>
        </w:rPr>
      </w:pPr>
      <w:r>
        <w:rPr>
          <w:rFonts w:hint="eastAsia" w:ascii="宋体" w:hAnsi="宋体"/>
          <w:b/>
          <w:color w:val="auto"/>
        </w:rPr>
        <w:t>4.1 项目组成立及主要人员确定</w:t>
      </w:r>
    </w:p>
    <w:p>
      <w:pPr>
        <w:spacing w:line="520" w:lineRule="exact"/>
        <w:ind w:firstLine="403" w:firstLineChars="192"/>
        <w:rPr>
          <w:rFonts w:ascii="宋体" w:hAnsi="宋体"/>
          <w:color w:val="auto"/>
        </w:rPr>
      </w:pPr>
      <w:r>
        <w:rPr>
          <w:rFonts w:hint="eastAsia" w:ascii="宋体" w:hAnsi="宋体"/>
          <w:color w:val="auto"/>
        </w:rPr>
        <w:t>甲乙双方组织相关人员共同组成“</w:t>
      </w:r>
      <w:r>
        <w:rPr>
          <w:rFonts w:hint="eastAsia" w:ascii="宋体" w:hAnsi="宋体"/>
          <w:color w:val="auto"/>
          <w:u w:val="single"/>
        </w:rPr>
        <w:t xml:space="preserve">                                 </w:t>
      </w:r>
      <w:r>
        <w:rPr>
          <w:rFonts w:hint="eastAsia" w:ascii="宋体" w:hAnsi="宋体"/>
          <w:color w:val="auto"/>
        </w:rPr>
        <w:t>项目组”，并安排对应部门专人负责项目衔接组织与实施。</w:t>
      </w:r>
    </w:p>
    <w:p>
      <w:pPr>
        <w:spacing w:line="520" w:lineRule="exact"/>
        <w:ind w:firstLine="403" w:firstLineChars="192"/>
        <w:rPr>
          <w:rFonts w:ascii="宋体" w:hAnsi="宋体"/>
          <w:color w:val="auto"/>
        </w:rPr>
      </w:pPr>
      <w:r>
        <w:rPr>
          <w:rFonts w:hint="eastAsia" w:ascii="宋体" w:hAnsi="宋体"/>
          <w:color w:val="auto"/>
        </w:rPr>
        <w:t>4.</w:t>
      </w:r>
      <w:r>
        <w:rPr>
          <w:rFonts w:ascii="宋体" w:hAnsi="宋体"/>
          <w:color w:val="auto"/>
        </w:rPr>
        <w:t>1.1</w:t>
      </w:r>
      <w:r>
        <w:rPr>
          <w:rFonts w:hint="eastAsia" w:ascii="宋体" w:hAnsi="宋体"/>
          <w:color w:val="auto"/>
        </w:rPr>
        <w:t xml:space="preserve"> 甲方项目牵头人及联系方式：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 xml:space="preserve"> </w:t>
      </w:r>
    </w:p>
    <w:p>
      <w:pPr>
        <w:spacing w:line="520" w:lineRule="exact"/>
        <w:ind w:firstLine="403" w:firstLineChars="192"/>
        <w:rPr>
          <w:rFonts w:ascii="宋体" w:hAnsi="宋体"/>
          <w:color w:val="auto"/>
          <w:u w:val="single"/>
        </w:rPr>
      </w:pPr>
      <w:r>
        <w:rPr>
          <w:rFonts w:hint="eastAsia" w:ascii="宋体" w:hAnsi="宋体"/>
          <w:color w:val="auto"/>
        </w:rPr>
        <w:t>项目联系人及联系方式：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4</w:t>
      </w:r>
      <w:r>
        <w:rPr>
          <w:rFonts w:ascii="宋体" w:hAnsi="宋体"/>
          <w:color w:val="auto"/>
        </w:rPr>
        <w:t>.1.2</w:t>
      </w:r>
      <w:r>
        <w:rPr>
          <w:rFonts w:hint="eastAsia" w:ascii="宋体" w:hAnsi="宋体"/>
          <w:color w:val="auto"/>
        </w:rPr>
        <w:t xml:space="preserve"> 乙方项目牵头人及联系方式：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项目联系人及联系方式：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4</w:t>
      </w:r>
      <w:r>
        <w:rPr>
          <w:rFonts w:ascii="宋体" w:hAnsi="宋体"/>
          <w:color w:val="auto"/>
        </w:rPr>
        <w:t>.1.3</w:t>
      </w:r>
      <w:r>
        <w:rPr>
          <w:rFonts w:hint="eastAsia" w:ascii="宋体" w:hAnsi="宋体"/>
          <w:color w:val="auto"/>
        </w:rPr>
        <w:t xml:space="preserve"> 为保证项目信息沟通畅通，如甲乙双方在项目进行期间出现负责人或联系人变动情况，应以书面形式告知对方。</w:t>
      </w:r>
    </w:p>
    <w:p>
      <w:pPr>
        <w:spacing w:line="520" w:lineRule="exact"/>
        <w:ind w:firstLine="405" w:firstLineChars="192"/>
        <w:rPr>
          <w:rFonts w:ascii="宋体" w:hAnsi="宋体"/>
          <w:b/>
          <w:color w:val="auto"/>
        </w:rPr>
      </w:pPr>
      <w:r>
        <w:rPr>
          <w:rFonts w:hint="eastAsia" w:ascii="宋体" w:hAnsi="宋体"/>
          <w:b/>
          <w:color w:val="auto"/>
        </w:rPr>
        <w:t xml:space="preserve">4.2项目组职责和分工 </w:t>
      </w:r>
    </w:p>
    <w:p>
      <w:pPr>
        <w:spacing w:line="520" w:lineRule="exact"/>
        <w:ind w:firstLine="403" w:firstLineChars="192"/>
        <w:rPr>
          <w:rFonts w:ascii="宋体" w:hAnsi="宋体"/>
          <w:color w:val="auto"/>
        </w:rPr>
      </w:pPr>
      <w:r>
        <w:rPr>
          <w:rFonts w:hint="eastAsia" w:ascii="宋体" w:hAnsi="宋体"/>
          <w:color w:val="auto"/>
        </w:rPr>
        <w:t>4.2.1甲方职责分工</w:t>
      </w:r>
    </w:p>
    <w:p>
      <w:pPr>
        <w:spacing w:line="520" w:lineRule="exact"/>
        <w:ind w:firstLine="403" w:firstLineChars="192"/>
        <w:rPr>
          <w:rFonts w:ascii="宋体" w:hAnsi="宋体"/>
          <w:color w:val="auto"/>
        </w:rPr>
      </w:pPr>
      <w:r>
        <w:rPr>
          <w:rFonts w:hint="eastAsia" w:ascii="宋体" w:hAnsi="宋体"/>
          <w:color w:val="auto"/>
        </w:rPr>
        <w:t>A.按照乙方提供的资料清单及要求，为乙方提供涉及项目内容的相关基础信息资料，并确保所提供资料信息的真实性和有效性；</w:t>
      </w:r>
    </w:p>
    <w:p>
      <w:pPr>
        <w:spacing w:line="520" w:lineRule="exact"/>
        <w:ind w:firstLine="403" w:firstLineChars="192"/>
        <w:rPr>
          <w:rFonts w:ascii="宋体" w:hAnsi="宋体"/>
          <w:color w:val="auto"/>
        </w:rPr>
      </w:pPr>
      <w:r>
        <w:rPr>
          <w:rFonts w:hint="eastAsia" w:ascii="宋体" w:hAnsi="宋体"/>
          <w:color w:val="auto"/>
        </w:rPr>
        <w:t>B.按照乙方提供的工作计划安排，为乙方组织召开项目启动会、安排部门调研、领导访谈、项目汇报、组织评审等工作；</w:t>
      </w:r>
    </w:p>
    <w:p>
      <w:pPr>
        <w:spacing w:line="520" w:lineRule="exact"/>
        <w:ind w:firstLine="403" w:firstLineChars="192"/>
        <w:rPr>
          <w:rFonts w:ascii="宋体" w:hAnsi="宋体"/>
          <w:color w:val="auto"/>
        </w:rPr>
      </w:pPr>
      <w:r>
        <w:rPr>
          <w:rFonts w:hint="eastAsia" w:ascii="宋体" w:hAnsi="宋体"/>
          <w:color w:val="auto"/>
        </w:rPr>
        <w:t>C.对乙方完成的项目成果及时进行初步审查、论证确认，并书面反馈意见；</w:t>
      </w:r>
    </w:p>
    <w:p>
      <w:pPr>
        <w:spacing w:line="520" w:lineRule="exact"/>
        <w:ind w:firstLine="403" w:firstLineChars="192"/>
        <w:rPr>
          <w:rFonts w:ascii="宋体" w:hAnsi="宋体"/>
          <w:color w:val="auto"/>
        </w:rPr>
      </w:pPr>
      <w:r>
        <w:rPr>
          <w:rFonts w:hint="eastAsia" w:ascii="宋体" w:hAnsi="宋体"/>
          <w:color w:val="auto"/>
        </w:rPr>
        <w:t>D.按照合同约定及项目进度，依次向乙方支付项目款。</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4.2.2乙方职责分工</w:t>
      </w:r>
    </w:p>
    <w:p>
      <w:pPr>
        <w:spacing w:line="520" w:lineRule="exact"/>
        <w:ind w:firstLine="403" w:firstLineChars="192"/>
        <w:rPr>
          <w:rFonts w:ascii="宋体" w:hAnsi="宋体"/>
          <w:color w:val="auto"/>
        </w:rPr>
      </w:pPr>
      <w:r>
        <w:rPr>
          <w:rFonts w:hint="eastAsia" w:ascii="宋体" w:hAnsi="宋体"/>
          <w:color w:val="auto"/>
        </w:rPr>
        <w:t>A.为甲方提供涉及项目所需的资料清单；</w:t>
      </w:r>
    </w:p>
    <w:p>
      <w:pPr>
        <w:spacing w:line="520" w:lineRule="exact"/>
        <w:ind w:firstLine="403" w:firstLineChars="192"/>
        <w:rPr>
          <w:rFonts w:ascii="宋体" w:hAnsi="宋体"/>
          <w:color w:val="auto"/>
        </w:rPr>
      </w:pPr>
      <w:r>
        <w:rPr>
          <w:rFonts w:hint="eastAsia" w:ascii="宋体" w:hAnsi="宋体"/>
          <w:color w:val="auto"/>
        </w:rPr>
        <w:t>B.为甲方提供项目总体工作计划安排和阶段工作计划安排；</w:t>
      </w:r>
    </w:p>
    <w:p>
      <w:pPr>
        <w:spacing w:line="520" w:lineRule="exact"/>
        <w:ind w:firstLine="403" w:firstLineChars="192"/>
        <w:rPr>
          <w:rFonts w:ascii="宋体" w:hAnsi="宋体"/>
          <w:color w:val="auto"/>
        </w:rPr>
      </w:pPr>
      <w:r>
        <w:rPr>
          <w:rFonts w:hint="eastAsia" w:ascii="宋体" w:hAnsi="宋体"/>
          <w:color w:val="auto"/>
        </w:rPr>
        <w:t>C.根据项目进度安排及甲方付款情况，组织项目组人员参加项目启动会，开展项目调研，提交并进行项目征求意见稿、送审稿的汇报工作；</w:t>
      </w:r>
    </w:p>
    <w:p>
      <w:pPr>
        <w:spacing w:line="520" w:lineRule="exact"/>
        <w:ind w:firstLine="403" w:firstLineChars="192"/>
        <w:rPr>
          <w:rFonts w:ascii="宋体" w:hAnsi="宋体"/>
          <w:color w:val="auto"/>
        </w:rPr>
      </w:pPr>
      <w:r>
        <w:rPr>
          <w:rFonts w:hint="eastAsia" w:ascii="宋体" w:hAnsi="宋体"/>
          <w:color w:val="auto"/>
        </w:rPr>
        <w:t>D.根据甲方书面反馈意见对项目成果进行修改完善。</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72" w:firstLineChars="224"/>
        <w:rPr>
          <w:rFonts w:ascii="宋体" w:hAnsi="宋体"/>
          <w:b/>
          <w:color w:val="auto"/>
        </w:rPr>
      </w:pPr>
      <w:r>
        <w:rPr>
          <w:rFonts w:hint="eastAsia" w:ascii="宋体" w:hAnsi="宋体"/>
          <w:b/>
          <w:color w:val="auto"/>
        </w:rPr>
        <w:t>4.3 可能引起的争议解决</w:t>
      </w:r>
    </w:p>
    <w:p>
      <w:pPr>
        <w:spacing w:line="520" w:lineRule="exact"/>
        <w:ind w:firstLine="470" w:firstLineChars="224"/>
        <w:rPr>
          <w:rFonts w:ascii="宋体" w:hAnsi="宋体"/>
          <w:color w:val="auto"/>
        </w:rPr>
      </w:pPr>
      <w:r>
        <w:rPr>
          <w:rFonts w:hint="eastAsia" w:ascii="宋体" w:hAnsi="宋体"/>
          <w:color w:val="auto"/>
        </w:rPr>
        <w:t>4.3.1 若甲方未按4.2.1之要求履行配合义务，影响项目成果交付时间的，相应项目成果交付时间顺延；致使合同不能履行的，乙方有权解除合同。甲方应向乙方支付当期进度全部应付款。</w:t>
      </w:r>
    </w:p>
    <w:p>
      <w:pPr>
        <w:spacing w:line="520" w:lineRule="exact"/>
        <w:ind w:firstLine="470" w:firstLineChars="224"/>
        <w:rPr>
          <w:rFonts w:ascii="宋体" w:hAnsi="宋体"/>
          <w:color w:val="auto"/>
        </w:rPr>
      </w:pPr>
      <w:r>
        <w:rPr>
          <w:rFonts w:hint="eastAsia" w:ascii="宋体" w:hAnsi="宋体"/>
          <w:color w:val="auto"/>
        </w:rPr>
        <w:t>4.3.2 若因乙方安排原因，影响项目成果交付时间的，责任由乙方承担并向甲方支付相应补偿费用（补偿费用标准为：合同额的1‰×影响天数）；致使合同不能履行的，乙方退还当期阶段项目费用。</w:t>
      </w:r>
    </w:p>
    <w:p>
      <w:pPr>
        <w:spacing w:line="520" w:lineRule="exact"/>
        <w:ind w:firstLine="537" w:firstLineChars="192"/>
        <w:rPr>
          <w:rFonts w:ascii="黑体" w:hAnsi="宋体" w:eastAsia="黑体"/>
          <w:color w:val="auto"/>
          <w:sz w:val="28"/>
          <w:szCs w:val="28"/>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第五条：项目资料提供及保管</w:t>
      </w:r>
    </w:p>
    <w:p>
      <w:pPr>
        <w:spacing w:line="520" w:lineRule="exact"/>
        <w:ind w:firstLine="405" w:firstLineChars="192"/>
        <w:rPr>
          <w:rFonts w:ascii="宋体" w:hAnsi="宋体"/>
          <w:b/>
          <w:color w:val="auto"/>
        </w:rPr>
      </w:pPr>
      <w:r>
        <w:rPr>
          <w:rFonts w:hint="eastAsia" w:ascii="宋体" w:hAnsi="宋体"/>
          <w:b/>
          <w:color w:val="auto"/>
        </w:rPr>
        <w:t>5.1 项目资料提供</w:t>
      </w:r>
    </w:p>
    <w:p>
      <w:pPr>
        <w:spacing w:line="520" w:lineRule="exact"/>
        <w:ind w:firstLine="403" w:firstLineChars="192"/>
        <w:rPr>
          <w:rFonts w:ascii="宋体" w:hAnsi="宋体"/>
          <w:color w:val="auto"/>
        </w:rPr>
      </w:pPr>
      <w:r>
        <w:rPr>
          <w:rFonts w:hint="eastAsia" w:ascii="宋体" w:hAnsi="宋体"/>
          <w:color w:val="auto"/>
        </w:rPr>
        <w:t>5.1.1 甲方为乙方提供资料形式（如：①电子版、②纸质版、③语音资料、④影像资料等）</w:t>
      </w:r>
      <w:r>
        <w:rPr>
          <w:rFonts w:hint="eastAsia" w:ascii="宋体" w:hAnsi="宋体"/>
          <w:color w:val="auto"/>
          <w:u w:val="single"/>
        </w:rPr>
        <w:t xml:space="preserve">                                                       </w:t>
      </w:r>
    </w:p>
    <w:p>
      <w:pPr>
        <w:spacing w:line="520" w:lineRule="exact"/>
        <w:ind w:firstLine="403" w:firstLineChars="192"/>
        <w:rPr>
          <w:rFonts w:ascii="宋体" w:hAnsi="宋体"/>
          <w:color w:val="auto"/>
          <w:u w:val="single"/>
        </w:rPr>
      </w:pPr>
      <w:r>
        <w:rPr>
          <w:rFonts w:hint="eastAsia" w:ascii="宋体" w:hAnsi="宋体"/>
          <w:color w:val="auto"/>
        </w:rPr>
        <w:t>5.1.2 甲方为乙方提供项目深度所需要的地形图（如：①1:10000、②1:5000         ③1:2000、④1:1000、⑤1:500等）</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5.2 项目资料保管</w:t>
      </w:r>
    </w:p>
    <w:p>
      <w:pPr>
        <w:spacing w:line="520" w:lineRule="exact"/>
        <w:ind w:firstLine="403" w:firstLineChars="192"/>
        <w:rPr>
          <w:rFonts w:ascii="宋体" w:hAnsi="宋体"/>
          <w:color w:val="auto"/>
        </w:rPr>
      </w:pPr>
      <w:r>
        <w:rPr>
          <w:rFonts w:hint="eastAsia" w:ascii="宋体" w:hAnsi="宋体"/>
          <w:color w:val="auto"/>
        </w:rPr>
        <w:t>乙方专人负责妥善保管甲方提供的所有资料信息。对于甲方提供的资料以资料清单方式一式俩份，双方项目联系人签字确认，并明确资料归还明细，对于需要归还的资料，乙方在项目结束定稿提交后8个工作日之内及时向甲方归还。</w:t>
      </w:r>
    </w:p>
    <w:p>
      <w:pPr>
        <w:spacing w:line="520" w:lineRule="exact"/>
        <w:ind w:firstLine="405" w:firstLineChars="192"/>
        <w:rPr>
          <w:rFonts w:ascii="宋体" w:hAnsi="宋体"/>
          <w:b/>
          <w:color w:val="auto"/>
        </w:rPr>
      </w:pPr>
      <w:r>
        <w:rPr>
          <w:rFonts w:hint="eastAsia" w:ascii="宋体" w:hAnsi="宋体"/>
          <w:b/>
          <w:color w:val="auto"/>
        </w:rPr>
        <w:t>5.3 可能引起的争议解决</w:t>
      </w:r>
    </w:p>
    <w:p>
      <w:pPr>
        <w:spacing w:line="520" w:lineRule="exact"/>
        <w:ind w:firstLine="403" w:firstLineChars="192"/>
        <w:rPr>
          <w:rFonts w:ascii="宋体" w:hAnsi="宋体"/>
          <w:color w:val="auto"/>
        </w:rPr>
      </w:pPr>
      <w:r>
        <w:rPr>
          <w:rFonts w:hint="eastAsia" w:ascii="宋体" w:hAnsi="宋体"/>
          <w:color w:val="auto"/>
        </w:rPr>
        <w:t>5.3.1 若因甲方资料提供不及时、不完整、不真实、不符合要求，影响项目成果交付时间的，相应项目合同成果交付时间顺延；致使合同不能履行的，乙方有权解除合同，甲方应向乙方支付当期进度全部应付款。</w:t>
      </w:r>
    </w:p>
    <w:p>
      <w:pPr>
        <w:spacing w:line="520" w:lineRule="exact"/>
        <w:ind w:firstLine="403" w:firstLineChars="192"/>
        <w:rPr>
          <w:rFonts w:ascii="宋体" w:hAnsi="宋体"/>
          <w:color w:val="auto"/>
        </w:rPr>
      </w:pPr>
      <w:r>
        <w:rPr>
          <w:rFonts w:hint="eastAsia" w:ascii="宋体" w:hAnsi="宋体"/>
          <w:color w:val="auto"/>
        </w:rPr>
        <w:t>5.3.2 若项目以选址、范围及相应地形图等最基础资料为项目启动条件的，因甲方原因不能按照技术规范要求提供而影响项目成果交付时间的，相应项目成果交付时间顺延；致使合同不能履行的，乙方有权解除合同，甲方应向乙方支付当期进度全部应付款。</w:t>
      </w:r>
    </w:p>
    <w:p>
      <w:pPr>
        <w:spacing w:line="520" w:lineRule="exact"/>
        <w:ind w:firstLine="403" w:firstLineChars="192"/>
        <w:rPr>
          <w:rFonts w:ascii="宋体" w:hAnsi="宋体"/>
          <w:color w:val="auto"/>
        </w:rPr>
      </w:pPr>
      <w:r>
        <w:rPr>
          <w:rFonts w:hint="eastAsia" w:ascii="宋体" w:hAnsi="宋体"/>
          <w:color w:val="auto"/>
        </w:rPr>
        <w:t>5.3.3 若因乙方收集资料清单未及时提供，影响项目成果交付时间，责任由乙方承担并向甲方支付相应补偿费用（补偿费用标准为：合同额的1‰×影响天数）；资料保管出现应还资料丢失的，乙方向甲方按照资料原价（或双方协商金额）赔偿。</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第六条：项目进度及成果提交</w:t>
      </w:r>
    </w:p>
    <w:p>
      <w:pPr>
        <w:spacing w:line="520" w:lineRule="exact"/>
        <w:ind w:firstLine="405" w:firstLineChars="192"/>
        <w:rPr>
          <w:rFonts w:hint="default" w:ascii="宋体" w:hAnsi="宋体"/>
          <w:b/>
          <w:color w:val="auto"/>
          <w:lang w:val="en-US"/>
        </w:rPr>
      </w:pPr>
      <w:r>
        <w:rPr>
          <w:rFonts w:hint="eastAsia" w:ascii="宋体" w:hAnsi="宋体"/>
          <w:b/>
          <w:color w:val="auto"/>
        </w:rPr>
        <w:t>6.1 项目计划完成时间：</w:t>
      </w:r>
      <w:r>
        <w:rPr>
          <w:rFonts w:hint="eastAsia" w:ascii="宋体" w:hAnsi="宋体"/>
          <w:b/>
          <w:color w:val="auto"/>
          <w:u w:val="single"/>
          <w:lang w:val="en-US" w:eastAsia="zh-CN"/>
        </w:rPr>
        <w:t xml:space="preserve">                           。</w:t>
      </w:r>
    </w:p>
    <w:p>
      <w:pPr>
        <w:spacing w:line="520" w:lineRule="exact"/>
        <w:ind w:firstLine="405" w:firstLineChars="192"/>
        <w:rPr>
          <w:rFonts w:ascii="宋体" w:hAnsi="宋体"/>
          <w:b/>
          <w:color w:val="auto"/>
        </w:rPr>
      </w:pPr>
      <w:r>
        <w:rPr>
          <w:rFonts w:hint="eastAsia" w:ascii="宋体" w:hAnsi="宋体"/>
          <w:b/>
          <w:color w:val="auto"/>
        </w:rPr>
        <w:t>6.2 进度安排</w:t>
      </w:r>
    </w:p>
    <w:p>
      <w:pPr>
        <w:spacing w:line="520" w:lineRule="exact"/>
        <w:ind w:firstLine="403" w:firstLineChars="192"/>
        <w:rPr>
          <w:rFonts w:ascii="宋体" w:hAnsi="宋体"/>
          <w:color w:val="auto"/>
        </w:rPr>
      </w:pPr>
      <w:r>
        <w:rPr>
          <w:rFonts w:hint="eastAsia" w:ascii="宋体" w:hAnsi="宋体"/>
          <w:color w:val="auto"/>
        </w:rPr>
        <w:t>6.2.1 本合同签订后，甲方支付合同约定的首付款后，</w:t>
      </w:r>
      <w:r>
        <w:rPr>
          <w:rFonts w:hint="eastAsia"/>
          <w:color w:val="auto"/>
        </w:rPr>
        <w:t>乙方</w:t>
      </w:r>
      <w:r>
        <w:rPr>
          <w:rFonts w:hint="eastAsia"/>
          <w:color w:val="auto"/>
          <w:u w:val="single"/>
        </w:rPr>
        <w:t>　　　</w:t>
      </w:r>
      <w:r>
        <w:rPr>
          <w:rFonts w:hint="eastAsia"/>
          <w:color w:val="auto"/>
        </w:rPr>
        <w:t>个工作日内，为甲方提供涉及项目所需的资料清单、项目总体计划安排和阶段工作计划安排。甲方应在收到乙方提交的涉及项目所需的资料清单后</w:t>
      </w:r>
      <w:r>
        <w:rPr>
          <w:rFonts w:hint="eastAsia"/>
          <w:color w:val="auto"/>
          <w:u w:val="single"/>
        </w:rPr>
        <w:t>　　　</w:t>
      </w:r>
      <w:r>
        <w:rPr>
          <w:rFonts w:hint="eastAsia"/>
          <w:color w:val="auto"/>
        </w:rPr>
        <w:t>个工作日内提交全部资料。在收到甲方提供的全部资料后，</w:t>
      </w:r>
      <w:r>
        <w:rPr>
          <w:rFonts w:hint="eastAsia" w:ascii="宋体" w:hAnsi="宋体"/>
          <w:color w:val="auto"/>
        </w:rPr>
        <w:t>乙方启动项目，并在</w:t>
      </w:r>
      <w:r>
        <w:rPr>
          <w:rFonts w:hint="eastAsia" w:ascii="宋体" w:hAnsi="宋体"/>
          <w:color w:val="auto"/>
          <w:u w:val="single"/>
        </w:rPr>
        <w:t xml:space="preserve">        </w:t>
      </w:r>
      <w:r>
        <w:rPr>
          <w:rFonts w:hint="eastAsia" w:ascii="宋体" w:hAnsi="宋体"/>
          <w:color w:val="auto"/>
        </w:rPr>
        <w:t>工作日内提交项目征求意见稿</w:t>
      </w:r>
      <w:r>
        <w:rPr>
          <w:rStyle w:val="42"/>
          <w:color w:val="auto"/>
        </w:rPr>
        <w:footnoteReference w:id="0"/>
      </w:r>
      <w:r>
        <w:rPr>
          <w:rFonts w:hint="eastAsia" w:ascii="宋体" w:hAnsi="宋体"/>
          <w:color w:val="auto"/>
        </w:rPr>
        <w:t>。</w:t>
      </w:r>
    </w:p>
    <w:p>
      <w:pPr>
        <w:spacing w:line="520" w:lineRule="exact"/>
        <w:ind w:firstLine="403" w:firstLineChars="192"/>
        <w:rPr>
          <w:rFonts w:ascii="宋体" w:hAnsi="宋体"/>
          <w:color w:val="auto"/>
        </w:rPr>
      </w:pPr>
      <w:r>
        <w:rPr>
          <w:rFonts w:hint="eastAsia" w:ascii="宋体" w:hAnsi="宋体"/>
          <w:color w:val="auto"/>
        </w:rPr>
        <w:t>6.2.2甲方应在收到乙方征求意见稿后</w:t>
      </w:r>
      <w:r>
        <w:rPr>
          <w:rFonts w:hint="eastAsia" w:ascii="宋体" w:hAnsi="宋体"/>
          <w:color w:val="auto"/>
          <w:u w:val="single"/>
        </w:rPr>
        <w:t xml:space="preserve">        </w:t>
      </w:r>
      <w:r>
        <w:rPr>
          <w:rFonts w:hint="eastAsia" w:ascii="宋体" w:hAnsi="宋体"/>
          <w:color w:val="auto"/>
        </w:rPr>
        <w:t>工作日内组织内部意见征集。收到甲方书面修改意见后，乙方在</w:t>
      </w:r>
      <w:r>
        <w:rPr>
          <w:rFonts w:hint="eastAsia" w:ascii="宋体" w:hAnsi="宋体"/>
          <w:color w:val="auto"/>
          <w:u w:val="single"/>
        </w:rPr>
        <w:t xml:space="preserve">       </w:t>
      </w:r>
      <w:r>
        <w:rPr>
          <w:rFonts w:hint="eastAsia" w:ascii="宋体" w:hAnsi="宋体"/>
          <w:color w:val="auto"/>
        </w:rPr>
        <w:t>工作日内对征求意见稿进行修订、完善，向甲方递交送审稿</w:t>
      </w:r>
      <w:r>
        <w:rPr>
          <w:rStyle w:val="42"/>
          <w:color w:val="auto"/>
        </w:rPr>
        <w:footnoteReference w:id="1"/>
      </w:r>
      <w:r>
        <w:rPr>
          <w:rFonts w:hint="eastAsia" w:ascii="宋体" w:hAnsi="宋体"/>
          <w:color w:val="auto"/>
        </w:rPr>
        <w:t>。甲方应在收到乙方送审稿后</w:t>
      </w:r>
      <w:r>
        <w:rPr>
          <w:rFonts w:hint="eastAsia" w:ascii="宋体" w:hAnsi="宋体"/>
          <w:color w:val="auto"/>
          <w:u w:val="single"/>
        </w:rPr>
        <w:t xml:space="preserve">       </w:t>
      </w:r>
      <w:r>
        <w:rPr>
          <w:rFonts w:hint="eastAsia" w:ascii="宋体" w:hAnsi="宋体"/>
          <w:color w:val="auto"/>
        </w:rPr>
        <w:t>工作日内组织评审验收。</w:t>
      </w:r>
    </w:p>
    <w:p>
      <w:pPr>
        <w:spacing w:line="520" w:lineRule="exact"/>
        <w:ind w:firstLine="403" w:firstLineChars="192"/>
        <w:rPr>
          <w:rFonts w:ascii="宋体" w:hAnsi="宋体"/>
          <w:color w:val="auto"/>
        </w:rPr>
      </w:pPr>
      <w:r>
        <w:rPr>
          <w:rFonts w:hint="eastAsia" w:ascii="宋体" w:hAnsi="宋体"/>
          <w:color w:val="auto"/>
        </w:rPr>
        <w:t>6.2.3项目送审稿经甲方验收通过后</w:t>
      </w:r>
      <w:r>
        <w:rPr>
          <w:rFonts w:hint="eastAsia" w:ascii="宋体" w:hAnsi="宋体"/>
          <w:color w:val="auto"/>
          <w:u w:val="single"/>
        </w:rPr>
        <w:t xml:space="preserve">       </w:t>
      </w:r>
      <w:r>
        <w:rPr>
          <w:rFonts w:hint="eastAsia" w:ascii="宋体" w:hAnsi="宋体"/>
          <w:color w:val="auto"/>
        </w:rPr>
        <w:t>工作日内，乙方根据甲方意见进行修订、完善，完成定稿</w:t>
      </w:r>
      <w:r>
        <w:rPr>
          <w:rStyle w:val="42"/>
          <w:color w:val="auto"/>
        </w:rPr>
        <w:footnoteReference w:id="2"/>
      </w:r>
      <w:r>
        <w:rPr>
          <w:rFonts w:hint="eastAsia" w:ascii="宋体" w:hAnsi="宋体"/>
          <w:color w:val="auto"/>
        </w:rPr>
        <w:t>，并向甲方递交。</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6.3 成果提交</w:t>
      </w:r>
    </w:p>
    <w:p>
      <w:pPr>
        <w:spacing w:line="520" w:lineRule="exact"/>
        <w:ind w:firstLine="403" w:firstLineChars="192"/>
        <w:rPr>
          <w:rFonts w:ascii="宋体" w:hAnsi="宋体"/>
          <w:color w:val="auto"/>
        </w:rPr>
      </w:pPr>
      <w:r>
        <w:rPr>
          <w:rFonts w:hint="eastAsia" w:ascii="宋体" w:hAnsi="宋体"/>
          <w:color w:val="auto"/>
        </w:rPr>
        <w:t>乙方按照项目进度向甲方提交项目成果三次：</w:t>
      </w:r>
    </w:p>
    <w:p>
      <w:pPr>
        <w:spacing w:line="520" w:lineRule="exact"/>
        <w:ind w:firstLine="403" w:firstLineChars="192"/>
        <w:rPr>
          <w:rFonts w:ascii="宋体" w:hAnsi="宋体"/>
          <w:color w:val="auto"/>
        </w:rPr>
      </w:pPr>
      <w:r>
        <w:rPr>
          <w:rFonts w:hint="eastAsia" w:ascii="宋体" w:hAnsi="宋体"/>
          <w:color w:val="auto"/>
        </w:rPr>
        <w:t>6.1.1 征求意见稿纸质版6本之内（相关部门审查），部分平装，部分简装；</w:t>
      </w:r>
    </w:p>
    <w:p>
      <w:pPr>
        <w:spacing w:line="520" w:lineRule="exact"/>
        <w:ind w:firstLine="403" w:firstLineChars="192"/>
        <w:rPr>
          <w:rFonts w:ascii="宋体" w:hAnsi="宋体"/>
          <w:color w:val="auto"/>
        </w:rPr>
      </w:pPr>
      <w:r>
        <w:rPr>
          <w:rFonts w:hint="eastAsia" w:ascii="宋体" w:hAnsi="宋体"/>
          <w:color w:val="auto"/>
        </w:rPr>
        <w:t>6.1.2 送审稿纸质版8本之内（评审会审查），部分平装，部分简装；</w:t>
      </w:r>
    </w:p>
    <w:p>
      <w:pPr>
        <w:spacing w:line="520" w:lineRule="exact"/>
        <w:ind w:firstLine="403" w:firstLineChars="192"/>
        <w:rPr>
          <w:rFonts w:ascii="宋体" w:hAnsi="宋体"/>
          <w:color w:val="auto"/>
        </w:rPr>
      </w:pPr>
      <w:r>
        <w:rPr>
          <w:rFonts w:hint="eastAsia" w:ascii="宋体" w:hAnsi="宋体"/>
          <w:color w:val="auto"/>
        </w:rPr>
        <w:t>6.1.3 甲方付清项目余款后，乙方向甲方提交定稿纸质版8本之内，平装，同时向甲方提交所有成果电子版。</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rPr>
          <w:rFonts w:ascii="宋体" w:hAnsi="宋体"/>
          <w:color w:val="auto"/>
          <w:u w:val="single"/>
        </w:rPr>
      </w:pPr>
      <w:r>
        <w:rPr>
          <w:rFonts w:hint="eastAsia" w:ascii="宋体" w:hAnsi="宋体"/>
          <w:color w:val="auto"/>
          <w:u w:val="single"/>
        </w:rPr>
        <w:t xml:space="preserve">                                                                     </w:t>
      </w:r>
    </w:p>
    <w:p>
      <w:pPr>
        <w:spacing w:line="520" w:lineRule="exact"/>
        <w:ind w:firstLine="472" w:firstLineChars="224"/>
        <w:rPr>
          <w:rFonts w:ascii="宋体" w:hAnsi="宋体"/>
          <w:b/>
          <w:color w:val="auto"/>
        </w:rPr>
      </w:pPr>
      <w:r>
        <w:rPr>
          <w:rFonts w:hint="eastAsia" w:ascii="宋体" w:hAnsi="宋体"/>
          <w:b/>
          <w:color w:val="auto"/>
        </w:rPr>
        <w:t>6.4 成果修改</w:t>
      </w:r>
    </w:p>
    <w:p>
      <w:pPr>
        <w:spacing w:line="520" w:lineRule="exact"/>
        <w:ind w:firstLine="470" w:firstLineChars="224"/>
        <w:rPr>
          <w:rFonts w:hint="eastAsia"/>
          <w:color w:val="auto"/>
        </w:rPr>
      </w:pPr>
      <w:r>
        <w:rPr>
          <w:rFonts w:hint="eastAsia" w:ascii="宋体" w:hAnsi="宋体"/>
          <w:color w:val="auto"/>
        </w:rPr>
        <w:t>6.4.1 甲方针对不同阶段成果稿修改意见须以书面形式（书面公函加盖公章）反馈。乙方依据甲方书</w:t>
      </w:r>
    </w:p>
    <w:p>
      <w:pPr>
        <w:spacing w:line="520" w:lineRule="exact"/>
        <w:ind w:firstLine="470" w:firstLineChars="224"/>
        <w:rPr>
          <w:rFonts w:ascii="宋体" w:hAnsi="宋体"/>
          <w:color w:val="auto"/>
        </w:rPr>
      </w:pPr>
      <w:r>
        <w:rPr>
          <w:rFonts w:hint="eastAsia" w:ascii="宋体" w:hAnsi="宋体"/>
          <w:color w:val="auto"/>
        </w:rPr>
        <w:t>面意见进行修改。</w:t>
      </w:r>
    </w:p>
    <w:p>
      <w:pPr>
        <w:spacing w:line="520" w:lineRule="exact"/>
        <w:ind w:firstLine="470" w:firstLineChars="224"/>
        <w:rPr>
          <w:rFonts w:ascii="宋体" w:hAnsi="宋体"/>
          <w:color w:val="auto"/>
        </w:rPr>
      </w:pPr>
      <w:r>
        <w:rPr>
          <w:rFonts w:hint="eastAsia" w:ascii="宋体" w:hAnsi="宋体"/>
          <w:color w:val="auto"/>
        </w:rPr>
        <w:t>6.4.2 乙方确保按照甲方书面意见修改完整，并在提供修改稿的同时，须向甲方提供书面修改说明，同时将甲方书面修改意见作为成果附件一并提交。</w:t>
      </w:r>
    </w:p>
    <w:p>
      <w:pPr>
        <w:spacing w:line="520" w:lineRule="exact"/>
        <w:ind w:firstLine="470" w:firstLineChars="224"/>
        <w:rPr>
          <w:rFonts w:ascii="宋体" w:hAnsi="宋体"/>
          <w:color w:val="auto"/>
        </w:rPr>
      </w:pPr>
      <w:r>
        <w:rPr>
          <w:rFonts w:hint="eastAsia" w:ascii="宋体" w:hAnsi="宋体"/>
          <w:color w:val="auto"/>
        </w:rPr>
        <w:t>6.4.3中途修改稿，乙方向甲方根据修改情况提交2本之内（简装）用于甲方审查修改情况。</w:t>
      </w:r>
    </w:p>
    <w:p>
      <w:pPr>
        <w:spacing w:line="520" w:lineRule="exact"/>
        <w:ind w:firstLine="472" w:firstLineChars="224"/>
        <w:rPr>
          <w:rFonts w:ascii="宋体" w:hAnsi="宋体"/>
          <w:b/>
          <w:color w:val="auto"/>
        </w:rPr>
      </w:pPr>
      <w:r>
        <w:rPr>
          <w:rFonts w:hint="eastAsia" w:ascii="宋体" w:hAnsi="宋体"/>
          <w:b/>
          <w:color w:val="auto"/>
        </w:rPr>
        <w:t>6.5 可能引起的争议解决</w:t>
      </w:r>
    </w:p>
    <w:p>
      <w:pPr>
        <w:spacing w:line="520" w:lineRule="exact"/>
        <w:ind w:firstLine="403" w:firstLineChars="192"/>
        <w:rPr>
          <w:rFonts w:ascii="宋体" w:hAnsi="宋体"/>
          <w:color w:val="auto"/>
        </w:rPr>
      </w:pPr>
      <w:r>
        <w:rPr>
          <w:rFonts w:hint="eastAsia" w:ascii="宋体" w:hAnsi="宋体"/>
          <w:color w:val="auto"/>
        </w:rPr>
        <w:t>6.5.1在合同生效后，若甲方尚未支付项目首付款，甲方单方面要求解除合同的，甲方向乙方支付合同总金额的20%作为违约金；若甲方已支付项目首付款且项目进行过程中，甲方单方要求解除合同的，甲方向乙方支付项目余款；</w:t>
      </w:r>
    </w:p>
    <w:p>
      <w:pPr>
        <w:spacing w:line="520" w:lineRule="exact"/>
        <w:ind w:firstLine="403" w:firstLineChars="192"/>
        <w:rPr>
          <w:rFonts w:ascii="宋体" w:hAnsi="宋体"/>
          <w:color w:val="auto"/>
        </w:rPr>
      </w:pPr>
      <w:r>
        <w:rPr>
          <w:rFonts w:hint="eastAsia" w:ascii="宋体" w:hAnsi="宋体"/>
          <w:color w:val="auto"/>
        </w:rPr>
        <w:t>6.5.2 在合同签订后，项目进行过程中，若乙方因自身原因单方要求解除合同的，乙方向甲方退还已收项目款项；若甲方尚未支付项目首付款，乙方单方要求解除合同的，乙方向甲方支付合同总金额的20%作为违约金；</w:t>
      </w:r>
    </w:p>
    <w:p>
      <w:pPr>
        <w:spacing w:line="520" w:lineRule="exact"/>
        <w:ind w:firstLine="403" w:firstLineChars="192"/>
        <w:rPr>
          <w:rFonts w:ascii="宋体" w:hAnsi="宋体"/>
          <w:color w:val="auto"/>
        </w:rPr>
      </w:pPr>
      <w:r>
        <w:rPr>
          <w:rFonts w:hint="eastAsia" w:ascii="宋体" w:hAnsi="宋体"/>
          <w:color w:val="auto"/>
        </w:rPr>
        <w:t>6.5.3 因甲方延迟支付款项原因，致使项目时间后延或不能按时提交成果的，乙方计划项目成果交付时间相应顺延；致使不能最终提交正式成果且合同不能履行的，乙方有权解除合同，甲方向乙方支付项目合同余款；</w:t>
      </w:r>
    </w:p>
    <w:p>
      <w:pPr>
        <w:spacing w:line="520" w:lineRule="exact"/>
        <w:ind w:firstLine="403" w:firstLineChars="192"/>
        <w:rPr>
          <w:rFonts w:ascii="宋体" w:hAnsi="宋体"/>
          <w:color w:val="auto"/>
        </w:rPr>
      </w:pPr>
      <w:r>
        <w:rPr>
          <w:rFonts w:hint="eastAsia" w:ascii="宋体" w:hAnsi="宋体"/>
          <w:color w:val="auto"/>
        </w:rPr>
        <w:t>6.5.4 因乙方安排原因，影响项目计划时间或成果提交，责任由乙方承担并向甲方支付相应补偿费用（补偿费用标准为：合同额的1‰×影响天数）。</w:t>
      </w:r>
    </w:p>
    <w:p>
      <w:pPr>
        <w:spacing w:line="520" w:lineRule="exact"/>
        <w:ind w:firstLine="403" w:firstLineChars="192"/>
        <w:rPr>
          <w:rFonts w:ascii="宋体" w:hAnsi="宋体"/>
          <w:color w:val="auto"/>
        </w:rPr>
      </w:pPr>
      <w:r>
        <w:rPr>
          <w:rFonts w:hint="eastAsia" w:ascii="宋体" w:hAnsi="宋体"/>
          <w:color w:val="auto"/>
        </w:rPr>
        <w:t>6.5.5 甲方需要成果数量超出合同规定的数量的，可由乙方协助甲方印制，但印制成本费用由甲方承担；</w:t>
      </w:r>
    </w:p>
    <w:p>
      <w:pPr>
        <w:spacing w:line="520" w:lineRule="exact"/>
        <w:ind w:firstLine="403" w:firstLineChars="192"/>
        <w:rPr>
          <w:rFonts w:ascii="宋体" w:hAnsi="宋体"/>
          <w:color w:val="auto"/>
        </w:rPr>
      </w:pPr>
      <w:r>
        <w:rPr>
          <w:rFonts w:hint="eastAsia" w:ascii="宋体" w:hAnsi="宋体"/>
          <w:color w:val="auto"/>
        </w:rPr>
        <w:t>6.5.6 甲乙双方给对方的通知、文件、材料、成果通过电子邮件、传真、快递、托运等方式送达对方项目联系人或对方指定人员即视为送达对方法人。</w:t>
      </w:r>
    </w:p>
    <w:p>
      <w:pPr>
        <w:spacing w:line="520" w:lineRule="exact"/>
        <w:ind w:firstLine="405" w:firstLineChars="192"/>
        <w:rPr>
          <w:rFonts w:ascii="宋体" w:hAnsi="宋体"/>
          <w:b/>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第七条：项目审查验收</w:t>
      </w:r>
    </w:p>
    <w:p>
      <w:pPr>
        <w:spacing w:line="520" w:lineRule="exact"/>
        <w:ind w:firstLine="405" w:firstLineChars="192"/>
        <w:rPr>
          <w:rFonts w:ascii="宋体" w:hAnsi="宋体"/>
          <w:b/>
          <w:color w:val="auto"/>
        </w:rPr>
      </w:pPr>
      <w:r>
        <w:rPr>
          <w:rFonts w:hint="eastAsia" w:ascii="宋体" w:hAnsi="宋体"/>
          <w:b/>
          <w:color w:val="auto"/>
        </w:rPr>
        <w:t>7.1 审查标准</w:t>
      </w:r>
    </w:p>
    <w:p>
      <w:pPr>
        <w:spacing w:line="520" w:lineRule="exact"/>
        <w:ind w:firstLine="403" w:firstLineChars="192"/>
        <w:rPr>
          <w:rFonts w:ascii="宋体" w:hAnsi="宋体"/>
          <w:color w:val="auto"/>
        </w:rPr>
      </w:pPr>
      <w:r>
        <w:rPr>
          <w:rFonts w:hint="eastAsia" w:ascii="宋体" w:hAnsi="宋体"/>
          <w:color w:val="auto"/>
        </w:rPr>
        <w:t>7.1.1 符合合同第二条项目类型及深度涉及的相关国家技术规范</w:t>
      </w:r>
    </w:p>
    <w:p>
      <w:pPr>
        <w:spacing w:line="520" w:lineRule="exact"/>
        <w:ind w:firstLine="403" w:firstLineChars="192"/>
        <w:rPr>
          <w:rFonts w:ascii="宋体" w:hAnsi="宋体"/>
          <w:color w:val="auto"/>
        </w:rPr>
      </w:pPr>
      <w:r>
        <w:rPr>
          <w:rFonts w:hint="eastAsia" w:ascii="宋体" w:hAnsi="宋体"/>
          <w:color w:val="auto"/>
        </w:rPr>
        <w:t>7.1.2 符合合同第三条项目框架内容及成果标准要求</w:t>
      </w:r>
    </w:p>
    <w:p>
      <w:pPr>
        <w:spacing w:line="520" w:lineRule="exact"/>
        <w:ind w:firstLine="405" w:firstLineChars="192"/>
        <w:rPr>
          <w:rFonts w:ascii="宋体" w:hAnsi="宋体"/>
          <w:b/>
          <w:color w:val="auto"/>
        </w:rPr>
      </w:pPr>
      <w:r>
        <w:rPr>
          <w:rFonts w:hint="eastAsia" w:ascii="宋体" w:hAnsi="宋体"/>
          <w:b/>
          <w:color w:val="auto"/>
        </w:rPr>
        <w:t>7.2 审查验收</w:t>
      </w:r>
    </w:p>
    <w:p>
      <w:pPr>
        <w:spacing w:line="520" w:lineRule="exact"/>
        <w:ind w:firstLine="403" w:firstLineChars="192"/>
        <w:rPr>
          <w:rFonts w:hint="eastAsia" w:ascii="宋体" w:hAnsi="宋体"/>
          <w:color w:val="auto"/>
          <w:u w:val="single"/>
        </w:rPr>
      </w:pPr>
      <w:r>
        <w:rPr>
          <w:rFonts w:hint="eastAsia" w:ascii="宋体" w:hAnsi="宋体"/>
          <w:color w:val="auto"/>
        </w:rPr>
        <w:t>7.2.1 评审验收方式（如：①甲方自行验收，并出具验收报告；②甲方组织专家评审，并出具专家评审意见等）</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7.2.2 甲方组织专家评审通过、组织内部验收通过或甲方最终无其他实质性修改意见时，以上任何一种情况均视为项目验收通过。</w:t>
      </w:r>
    </w:p>
    <w:p>
      <w:pPr>
        <w:spacing w:line="520" w:lineRule="exact"/>
        <w:ind w:firstLine="403" w:firstLineChars="192"/>
        <w:rPr>
          <w:rFonts w:ascii="宋体" w:hAnsi="宋体"/>
          <w:color w:val="auto"/>
        </w:rPr>
      </w:pPr>
      <w:r>
        <w:rPr>
          <w:rFonts w:hint="eastAsia" w:ascii="宋体" w:hAnsi="宋体"/>
          <w:color w:val="auto"/>
        </w:rPr>
        <w:t>7.2.3 乙方向甲方递交征求意见稿或送审稿三个月后，甲方如不组织验收或评审，也不出具书面确认报告，视为验收通过。</w:t>
      </w:r>
    </w:p>
    <w:p>
      <w:pPr>
        <w:spacing w:line="520" w:lineRule="exact"/>
        <w:ind w:firstLine="403" w:firstLineChars="192"/>
        <w:rPr>
          <w:rFonts w:ascii="宋体" w:hAnsi="宋体"/>
          <w:color w:val="auto"/>
        </w:rPr>
      </w:pPr>
      <w:r>
        <w:rPr>
          <w:rFonts w:hint="eastAsia" w:ascii="宋体" w:hAnsi="宋体"/>
          <w:color w:val="auto"/>
        </w:rPr>
        <w:t>7.2.4 项目以本级政府组织验收通过为准，如甲方需要上报或进行省（自治区）级、国家级层面评审的，乙方协助配合并按照评审意见要求修改完善，协助配合上报产生的直接费用由甲方承担。</w:t>
      </w:r>
    </w:p>
    <w:p>
      <w:pPr>
        <w:spacing w:line="520" w:lineRule="exact"/>
        <w:ind w:firstLine="405" w:firstLineChars="192"/>
        <w:rPr>
          <w:rFonts w:ascii="宋体" w:hAnsi="宋体"/>
          <w:b/>
          <w:color w:val="auto"/>
        </w:rPr>
      </w:pPr>
      <w:r>
        <w:rPr>
          <w:rFonts w:hint="eastAsia" w:ascii="宋体" w:hAnsi="宋体"/>
          <w:b/>
          <w:color w:val="auto"/>
        </w:rPr>
        <w:t>7.3 可能引起的争议解决</w:t>
      </w:r>
    </w:p>
    <w:p>
      <w:pPr>
        <w:spacing w:line="520" w:lineRule="exact"/>
        <w:ind w:firstLine="403" w:firstLineChars="192"/>
        <w:rPr>
          <w:rFonts w:ascii="宋体" w:hAnsi="宋体"/>
          <w:color w:val="auto"/>
        </w:rPr>
      </w:pPr>
      <w:r>
        <w:rPr>
          <w:rFonts w:hint="eastAsia" w:ascii="宋体" w:hAnsi="宋体"/>
          <w:color w:val="auto"/>
        </w:rPr>
        <w:t>7.3.1如以下原因，致使项目不能验收通过的，如经双方另行协商达成补充协议的，继续完善项目，乙方完成后续修改完善工作，甲方根据项目变化程度向乙方增加相应费用；如双方不能达成补充协议导致合同不能履行的，甲方向乙方支付项目余款。</w:t>
      </w:r>
    </w:p>
    <w:p>
      <w:pPr>
        <w:spacing w:line="520" w:lineRule="exact"/>
        <w:ind w:firstLine="403" w:firstLineChars="192"/>
        <w:rPr>
          <w:rFonts w:ascii="宋体" w:hAnsi="宋体"/>
          <w:color w:val="auto"/>
        </w:rPr>
      </w:pPr>
      <w:r>
        <w:rPr>
          <w:rFonts w:hint="eastAsia" w:ascii="宋体" w:hAnsi="宋体"/>
          <w:color w:val="auto"/>
        </w:rPr>
        <w:t>A.合同约定的项目基本情况（含项目名称、项目类型及深度要求、范围、规模）发生变化的；</w:t>
      </w:r>
    </w:p>
    <w:p>
      <w:pPr>
        <w:spacing w:line="520" w:lineRule="exact"/>
        <w:ind w:firstLine="403" w:firstLineChars="192"/>
        <w:rPr>
          <w:rFonts w:ascii="宋体" w:hAnsi="宋体"/>
          <w:color w:val="auto"/>
        </w:rPr>
      </w:pPr>
      <w:r>
        <w:rPr>
          <w:rFonts w:hint="eastAsia" w:ascii="宋体" w:hAnsi="宋体"/>
          <w:color w:val="auto"/>
        </w:rPr>
        <w:t>B.验收标准超出国家技术规范、行业规范及合同约定要求的；</w:t>
      </w:r>
    </w:p>
    <w:p>
      <w:pPr>
        <w:spacing w:line="520" w:lineRule="exact"/>
        <w:ind w:firstLine="403" w:firstLineChars="192"/>
        <w:rPr>
          <w:rFonts w:ascii="宋体" w:hAnsi="宋体"/>
          <w:color w:val="auto"/>
        </w:rPr>
      </w:pPr>
      <w:r>
        <w:rPr>
          <w:rFonts w:hint="eastAsia" w:ascii="宋体" w:hAnsi="宋体"/>
          <w:color w:val="auto"/>
        </w:rPr>
        <w:t>C.项目编制用途和目的与合同发生变化的。</w:t>
      </w:r>
    </w:p>
    <w:p>
      <w:pPr>
        <w:spacing w:line="520" w:lineRule="exact"/>
        <w:ind w:firstLine="403" w:firstLineChars="192"/>
        <w:rPr>
          <w:rFonts w:ascii="宋体" w:hAnsi="宋体"/>
          <w:color w:val="auto"/>
        </w:rPr>
      </w:pPr>
      <w:r>
        <w:rPr>
          <w:rFonts w:hint="eastAsia" w:ascii="宋体" w:hAnsi="宋体"/>
          <w:color w:val="auto"/>
        </w:rPr>
        <w:t>7.3.2如乙方原因，致使项目不能验收通过的，乙方根据评审验收意见调整修改完善，直至项目验收评审通过。</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第八条：项目保密及知识产权归属</w:t>
      </w:r>
    </w:p>
    <w:p>
      <w:pPr>
        <w:spacing w:line="520" w:lineRule="exact"/>
        <w:ind w:firstLine="405" w:firstLineChars="192"/>
        <w:rPr>
          <w:rFonts w:ascii="宋体" w:hAnsi="宋体"/>
          <w:b/>
          <w:color w:val="auto"/>
        </w:rPr>
      </w:pPr>
      <w:r>
        <w:rPr>
          <w:rFonts w:hint="eastAsia" w:ascii="宋体" w:hAnsi="宋体"/>
          <w:b/>
          <w:color w:val="auto"/>
        </w:rPr>
        <w:t>8.1 项目保密</w:t>
      </w:r>
    </w:p>
    <w:p>
      <w:pPr>
        <w:spacing w:line="520" w:lineRule="exact"/>
        <w:ind w:firstLine="403" w:firstLineChars="192"/>
        <w:rPr>
          <w:rFonts w:ascii="宋体" w:hAnsi="宋体"/>
          <w:color w:val="auto"/>
        </w:rPr>
      </w:pPr>
      <w:r>
        <w:rPr>
          <w:rFonts w:hint="eastAsia" w:ascii="宋体" w:hAnsi="宋体"/>
          <w:color w:val="auto"/>
        </w:rPr>
        <w:t>8.1.1 保密内容（如：①甲方基础信息资料、②甲方测绘地形图、③甲方重大项目及发展战略、④甲方领导个人信息、⑤乙方完成不同阶段项目成果、⑥乙方的项目流程及方法等）</w:t>
      </w:r>
      <w:r>
        <w:rPr>
          <w:rFonts w:hint="eastAsia" w:ascii="宋体" w:hAnsi="宋体"/>
          <w:color w:val="auto"/>
          <w:u w:val="single"/>
        </w:rPr>
        <w:t xml:space="preserve">                                               </w:t>
      </w:r>
      <w:r>
        <w:rPr>
          <w:rFonts w:hint="eastAsia" w:ascii="宋体" w:hAnsi="宋体"/>
          <w:color w:val="auto"/>
        </w:rPr>
        <w:t xml:space="preserve">                                             </w:t>
      </w:r>
    </w:p>
    <w:p>
      <w:pPr>
        <w:spacing w:line="520" w:lineRule="exact"/>
        <w:ind w:firstLine="403" w:firstLineChars="192"/>
        <w:rPr>
          <w:rFonts w:ascii="宋体" w:hAnsi="宋体"/>
          <w:color w:val="auto"/>
        </w:rPr>
      </w:pPr>
      <w:r>
        <w:rPr>
          <w:rFonts w:hint="eastAsia" w:ascii="宋体" w:hAnsi="宋体"/>
          <w:color w:val="auto"/>
        </w:rPr>
        <w:t>8.1.2 保密职责</w:t>
      </w:r>
    </w:p>
    <w:p>
      <w:pPr>
        <w:spacing w:line="520" w:lineRule="exact"/>
        <w:ind w:firstLine="403" w:firstLineChars="192"/>
        <w:rPr>
          <w:rFonts w:ascii="宋体" w:hAnsi="宋体"/>
          <w:color w:val="auto"/>
        </w:rPr>
      </w:pPr>
      <w:r>
        <w:rPr>
          <w:rFonts w:hint="eastAsia" w:ascii="宋体" w:hAnsi="宋体"/>
          <w:color w:val="auto"/>
        </w:rPr>
        <w:t>甲乙双方对以上保密内容在项目过程中严格保密，不得在超过项目成果使用范围以外使用或对外泄露。</w:t>
      </w:r>
    </w:p>
    <w:p>
      <w:pPr>
        <w:spacing w:line="520" w:lineRule="exact"/>
        <w:ind w:firstLine="403" w:firstLineChars="192"/>
        <w:rPr>
          <w:rFonts w:ascii="宋体" w:hAnsi="宋体"/>
          <w:color w:val="auto"/>
        </w:rPr>
      </w:pPr>
      <w:r>
        <w:rPr>
          <w:rFonts w:hint="eastAsia" w:ascii="宋体" w:hAnsi="宋体"/>
          <w:color w:val="auto"/>
        </w:rPr>
        <w:t>8.1.3 秘密解除</w:t>
      </w:r>
    </w:p>
    <w:p>
      <w:pPr>
        <w:spacing w:line="520" w:lineRule="exact"/>
        <w:ind w:firstLine="403" w:firstLineChars="192"/>
        <w:rPr>
          <w:rFonts w:ascii="宋体" w:hAnsi="宋体"/>
          <w:color w:val="auto"/>
        </w:rPr>
      </w:pPr>
      <w:r>
        <w:rPr>
          <w:rFonts w:hint="eastAsia" w:ascii="宋体" w:hAnsi="宋体"/>
          <w:color w:val="auto"/>
        </w:rPr>
        <w:t>项目结束，乙方向甲方提交正式成果后，以上保密内容解除。</w:t>
      </w:r>
    </w:p>
    <w:p>
      <w:pPr>
        <w:spacing w:line="520" w:lineRule="exact"/>
        <w:ind w:firstLine="405" w:firstLineChars="192"/>
        <w:rPr>
          <w:rFonts w:ascii="宋体" w:hAnsi="宋体"/>
          <w:b/>
          <w:color w:val="auto"/>
        </w:rPr>
      </w:pPr>
      <w:r>
        <w:rPr>
          <w:rFonts w:hint="eastAsia" w:ascii="宋体" w:hAnsi="宋体"/>
          <w:b/>
          <w:color w:val="auto"/>
        </w:rPr>
        <w:t>8.2 项目知识产权归属</w:t>
      </w:r>
    </w:p>
    <w:p>
      <w:pPr>
        <w:spacing w:line="520" w:lineRule="exact"/>
        <w:ind w:firstLine="403" w:firstLineChars="192"/>
        <w:rPr>
          <w:rFonts w:ascii="宋体" w:hAnsi="宋体"/>
          <w:color w:val="auto"/>
        </w:rPr>
      </w:pPr>
      <w:r>
        <w:rPr>
          <w:rFonts w:hint="eastAsia" w:ascii="宋体" w:hAnsi="宋体"/>
          <w:color w:val="auto"/>
        </w:rPr>
        <w:t>8.2.1 项目过程中，项目阶段成果知识产权归乙方所有；</w:t>
      </w:r>
    </w:p>
    <w:p>
      <w:pPr>
        <w:spacing w:line="520" w:lineRule="exact"/>
        <w:ind w:firstLine="403" w:firstLineChars="192"/>
        <w:rPr>
          <w:rFonts w:ascii="宋体" w:hAnsi="宋体"/>
          <w:color w:val="auto"/>
        </w:rPr>
      </w:pPr>
      <w:r>
        <w:rPr>
          <w:rFonts w:hint="eastAsia" w:ascii="宋体" w:hAnsi="宋体"/>
          <w:color w:val="auto"/>
        </w:rPr>
        <w:t>8.2.2 甲方付完全部项目费用前，项目成果的知识产权全部归乙方所有；</w:t>
      </w:r>
    </w:p>
    <w:p>
      <w:pPr>
        <w:spacing w:line="520" w:lineRule="exact"/>
        <w:ind w:firstLine="403" w:firstLineChars="192"/>
        <w:rPr>
          <w:rFonts w:ascii="宋体" w:hAnsi="宋体"/>
          <w:color w:val="auto"/>
        </w:rPr>
      </w:pPr>
      <w:r>
        <w:rPr>
          <w:rFonts w:hint="eastAsia" w:ascii="宋体" w:hAnsi="宋体"/>
          <w:color w:val="auto"/>
        </w:rPr>
        <w:t>8.2.3 甲方付完全部项目费用后，乙方向甲方正式提交项目成果，项目知识产权随即归双方共同所有。</w:t>
      </w:r>
    </w:p>
    <w:p>
      <w:pPr>
        <w:spacing w:line="520" w:lineRule="exact"/>
        <w:ind w:firstLine="472" w:firstLineChars="224"/>
        <w:outlineLvl w:val="0"/>
        <w:rPr>
          <w:rFonts w:ascii="宋体" w:hAnsi="宋体"/>
          <w:b/>
          <w:color w:val="auto"/>
        </w:rPr>
      </w:pPr>
      <w:bookmarkStart w:id="113" w:name="_Toc13541"/>
      <w:r>
        <w:rPr>
          <w:rFonts w:hint="eastAsia" w:ascii="宋体" w:hAnsi="宋体"/>
          <w:b/>
          <w:color w:val="auto"/>
        </w:rPr>
        <w:t>8.3 可能引起的争议解决</w:t>
      </w:r>
      <w:bookmarkEnd w:id="113"/>
    </w:p>
    <w:p>
      <w:pPr>
        <w:spacing w:line="520" w:lineRule="exact"/>
        <w:ind w:firstLine="420" w:firstLineChars="200"/>
        <w:rPr>
          <w:rFonts w:ascii="宋体" w:hAnsi="宋体"/>
          <w:color w:val="auto"/>
        </w:rPr>
      </w:pPr>
      <w:r>
        <w:rPr>
          <w:rFonts w:hint="eastAsia" w:ascii="宋体" w:hAnsi="宋体"/>
          <w:color w:val="auto"/>
        </w:rPr>
        <w:t>如发生上述失责事件，责任方向非责任方采取补救措施、消除不利影响，同时根据失责造成的实际损失向对方支付相应的补偿费用。</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第九条：项目费用及支付方式</w:t>
      </w:r>
    </w:p>
    <w:p>
      <w:pPr>
        <w:spacing w:line="520" w:lineRule="exact"/>
        <w:ind w:firstLine="405" w:firstLineChars="192"/>
        <w:rPr>
          <w:rFonts w:ascii="宋体" w:hAnsi="宋体"/>
          <w:b/>
          <w:color w:val="auto"/>
        </w:rPr>
      </w:pPr>
      <w:r>
        <w:rPr>
          <w:rFonts w:hint="eastAsia" w:ascii="宋体" w:hAnsi="宋体"/>
          <w:b/>
          <w:color w:val="auto"/>
        </w:rPr>
        <w:t>9.1 项目费用</w:t>
      </w:r>
    </w:p>
    <w:p>
      <w:pPr>
        <w:spacing w:line="520" w:lineRule="exact"/>
        <w:ind w:firstLine="403" w:firstLineChars="192"/>
        <w:rPr>
          <w:rFonts w:ascii="宋体" w:hAnsi="宋体"/>
          <w:color w:val="auto"/>
        </w:rPr>
      </w:pPr>
      <w:r>
        <w:rPr>
          <w:rFonts w:hint="eastAsia" w:ascii="宋体" w:hAnsi="宋体"/>
          <w:color w:val="auto"/>
        </w:rPr>
        <w:t>本项目费用为人民币（大写）</w:t>
      </w:r>
      <w:r>
        <w:rPr>
          <w:rFonts w:hint="eastAsia" w:ascii="宋体" w:hAnsi="宋体"/>
          <w:color w:val="auto"/>
          <w:u w:val="single"/>
        </w:rPr>
        <w:t xml:space="preserve">                              </w:t>
      </w:r>
      <w:r>
        <w:rPr>
          <w:rFonts w:hint="eastAsia" w:ascii="宋体" w:hAnsi="宋体"/>
          <w:color w:val="auto"/>
        </w:rPr>
        <w:t>元整（含调研费、信息资料费、研究及规划设计费、交通费、食宿费、印制费</w:t>
      </w:r>
      <w:r>
        <w:rPr>
          <w:rFonts w:hint="eastAsia" w:ascii="宋体" w:hAnsi="宋体"/>
          <w:color w:val="auto"/>
          <w:lang w:eastAsia="zh-CN"/>
        </w:rPr>
        <w:t>等不可预见的一切费用</w:t>
      </w:r>
      <w:r>
        <w:rPr>
          <w:rFonts w:hint="eastAsia" w:ascii="宋体" w:hAnsi="宋体"/>
          <w:color w:val="auto"/>
        </w:rPr>
        <w:t>），项目期间讨论及评审费用等除外。</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9.2 支付方式</w:t>
      </w:r>
    </w:p>
    <w:p>
      <w:pPr>
        <w:spacing w:line="520" w:lineRule="exact"/>
        <w:ind w:firstLine="403" w:firstLineChars="192"/>
        <w:rPr>
          <w:rFonts w:ascii="宋体" w:hAnsi="宋体"/>
          <w:color w:val="auto"/>
        </w:rPr>
      </w:pPr>
      <w:r>
        <w:rPr>
          <w:rFonts w:hint="eastAsia" w:ascii="宋体" w:hAnsi="宋体"/>
          <w:color w:val="auto"/>
        </w:rPr>
        <w:t>本合同签订之</w:t>
      </w:r>
      <w:r>
        <w:rPr>
          <w:rFonts w:hint="eastAsia" w:ascii="宋体" w:hAnsi="宋体"/>
          <w:color w:val="auto"/>
          <w:lang w:eastAsia="zh-CN"/>
        </w:rPr>
        <w:t>后乙方完成基本思路及规划大纲后</w:t>
      </w:r>
      <w:r>
        <w:rPr>
          <w:rFonts w:hint="eastAsia" w:ascii="宋体" w:hAnsi="宋体"/>
          <w:color w:val="auto"/>
        </w:rPr>
        <w:t>，甲方向乙方支付50%项目费用，即</w:t>
      </w:r>
    </w:p>
    <w:p>
      <w:pPr>
        <w:spacing w:line="520" w:lineRule="exact"/>
        <w:rPr>
          <w:rFonts w:ascii="宋体" w:hAnsi="宋体"/>
          <w:color w:val="auto"/>
        </w:rPr>
      </w:pPr>
      <w:r>
        <w:rPr>
          <w:rFonts w:hint="eastAsia" w:ascii="宋体" w:hAnsi="宋体"/>
          <w:color w:val="auto"/>
          <w:u w:val="single"/>
        </w:rPr>
        <w:t xml:space="preserve">          </w:t>
      </w:r>
      <w:r>
        <w:rPr>
          <w:rFonts w:hint="eastAsia" w:ascii="宋体" w:hAnsi="宋体"/>
          <w:color w:val="auto"/>
        </w:rPr>
        <w:t>元整（大写）；剩余</w:t>
      </w:r>
      <w:r>
        <w:rPr>
          <w:rFonts w:hint="eastAsia" w:ascii="宋体" w:hAnsi="宋体"/>
          <w:color w:val="auto"/>
          <w:lang w:val="en-US" w:eastAsia="zh-CN"/>
        </w:rPr>
        <w:t>5</w:t>
      </w:r>
      <w:r>
        <w:rPr>
          <w:rFonts w:hint="eastAsia" w:ascii="宋体" w:hAnsi="宋体"/>
          <w:color w:val="auto"/>
        </w:rPr>
        <w:t>0%项目费用，即</w:t>
      </w:r>
      <w:r>
        <w:rPr>
          <w:rFonts w:hint="eastAsia" w:ascii="宋体" w:hAnsi="宋体"/>
          <w:color w:val="auto"/>
          <w:u w:val="single"/>
        </w:rPr>
        <w:t xml:space="preserve">           </w:t>
      </w:r>
      <w:r>
        <w:rPr>
          <w:rFonts w:hint="eastAsia" w:ascii="宋体" w:hAnsi="宋体"/>
          <w:color w:val="auto"/>
        </w:rPr>
        <w:t>元整（大写）待项目送审稿验收通过后</w:t>
      </w:r>
      <w:r>
        <w:rPr>
          <w:rFonts w:hint="eastAsia" w:ascii="宋体" w:hAnsi="宋体"/>
          <w:color w:val="auto"/>
          <w:lang w:eastAsia="zh-CN"/>
        </w:rPr>
        <w:t>，</w:t>
      </w:r>
      <w:r>
        <w:rPr>
          <w:rFonts w:hint="eastAsia" w:ascii="宋体" w:hAnsi="宋体"/>
          <w:color w:val="auto"/>
        </w:rPr>
        <w:t>甲方向乙方一次性支付。</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537" w:firstLineChars="192"/>
        <w:rPr>
          <w:rFonts w:ascii="黑体" w:hAnsi="宋体" w:eastAsia="黑体"/>
          <w:color w:val="auto"/>
          <w:sz w:val="28"/>
          <w:szCs w:val="28"/>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 xml:space="preserve">第十条：其他事项                                     </w:t>
      </w:r>
    </w:p>
    <w:p>
      <w:pPr>
        <w:spacing w:line="520" w:lineRule="exact"/>
        <w:ind w:firstLine="403" w:firstLineChars="192"/>
        <w:rPr>
          <w:rFonts w:ascii="宋体" w:hAnsi="宋体"/>
          <w:color w:val="auto"/>
        </w:rPr>
      </w:pPr>
      <w:r>
        <w:rPr>
          <w:rFonts w:hint="eastAsia" w:ascii="宋体" w:hAnsi="宋体"/>
          <w:color w:val="auto"/>
        </w:rPr>
        <w:t>10.1 双方因履行本合同而发生的争议，应按照以上争议解决条款协商解决。协商不成的，可提交西安市仲裁委员会仲裁或依法向乙方所在地人民法院起诉。</w:t>
      </w:r>
    </w:p>
    <w:p>
      <w:pPr>
        <w:spacing w:line="520" w:lineRule="exact"/>
        <w:ind w:firstLine="403" w:firstLineChars="192"/>
        <w:rPr>
          <w:rFonts w:ascii="宋体" w:hAnsi="宋体"/>
          <w:color w:val="auto"/>
        </w:rPr>
      </w:pPr>
      <w:r>
        <w:rPr>
          <w:rFonts w:hint="eastAsia" w:ascii="宋体" w:hAnsi="宋体"/>
          <w:color w:val="auto"/>
        </w:rPr>
        <w:t>10.2项目正式结束，乙方向甲方提交全部成果后，本合同即行终止。</w:t>
      </w:r>
    </w:p>
    <w:p>
      <w:pPr>
        <w:spacing w:line="520" w:lineRule="exact"/>
        <w:ind w:firstLine="403" w:firstLineChars="192"/>
        <w:rPr>
          <w:rFonts w:ascii="宋体" w:hAnsi="宋体"/>
          <w:color w:val="auto"/>
        </w:rPr>
      </w:pPr>
      <w:r>
        <w:rPr>
          <w:rFonts w:hint="eastAsia" w:ascii="宋体" w:hAnsi="宋体"/>
          <w:color w:val="auto"/>
        </w:rPr>
        <w:t>10.3由于不可抗力因素致使合同无法履行时，双方应及时协商解决终止合同。</w:t>
      </w:r>
    </w:p>
    <w:p>
      <w:pPr>
        <w:spacing w:line="520" w:lineRule="exact"/>
        <w:ind w:firstLine="403" w:firstLineChars="192"/>
        <w:rPr>
          <w:rFonts w:ascii="宋体" w:hAnsi="宋体"/>
          <w:color w:val="auto"/>
        </w:rPr>
      </w:pPr>
      <w:r>
        <w:rPr>
          <w:rFonts w:hint="eastAsia" w:ascii="宋体" w:hAnsi="宋体"/>
          <w:color w:val="auto"/>
        </w:rPr>
        <w:t>10.4本合同一式</w:t>
      </w:r>
      <w:r>
        <w:rPr>
          <w:rFonts w:hint="eastAsia" w:ascii="宋体" w:hAnsi="宋体"/>
          <w:color w:val="auto"/>
          <w:u w:val="single"/>
        </w:rPr>
        <w:t xml:space="preserve">   </w:t>
      </w:r>
      <w:r>
        <w:rPr>
          <w:rFonts w:hint="eastAsia" w:ascii="宋体" w:hAnsi="宋体"/>
          <w:color w:val="auto"/>
        </w:rPr>
        <w:t>份，双方各持</w:t>
      </w:r>
      <w:r>
        <w:rPr>
          <w:rFonts w:hint="eastAsia" w:ascii="宋体" w:hAnsi="宋体"/>
          <w:color w:val="auto"/>
          <w:u w:val="single"/>
        </w:rPr>
        <w:t xml:space="preserve">    </w:t>
      </w:r>
      <w:r>
        <w:rPr>
          <w:rFonts w:hint="eastAsia" w:ascii="宋体" w:hAnsi="宋体"/>
          <w:color w:val="auto"/>
        </w:rPr>
        <w:t>份，自双方加盖公章时生效。</w:t>
      </w:r>
    </w:p>
    <w:p>
      <w:pPr>
        <w:spacing w:line="520" w:lineRule="exact"/>
        <w:ind w:firstLine="403" w:firstLineChars="192"/>
        <w:rPr>
          <w:rFonts w:ascii="宋体" w:hAnsi="宋体"/>
          <w:color w:val="auto"/>
        </w:rPr>
      </w:pPr>
      <w:r>
        <w:rPr>
          <w:rFonts w:hint="eastAsia" w:ascii="宋体" w:hAnsi="宋体"/>
          <w:color w:val="auto"/>
        </w:rPr>
        <w:t>10.5双方认可的来往函文、传真、电报、会议纪要等，均为合同的组成部分，与本合同具有同等法律效力。</w:t>
      </w:r>
    </w:p>
    <w:p>
      <w:pPr>
        <w:spacing w:line="520" w:lineRule="exact"/>
        <w:ind w:firstLine="403" w:firstLineChars="192"/>
        <w:rPr>
          <w:rFonts w:ascii="宋体" w:hAnsi="宋体"/>
          <w:color w:val="auto"/>
        </w:rPr>
      </w:pPr>
      <w:r>
        <w:rPr>
          <w:rFonts w:hint="eastAsia" w:ascii="宋体" w:hAnsi="宋体"/>
          <w:color w:val="auto"/>
        </w:rPr>
        <w:t>10.6未尽事宜，经双方协商一致，签订补充协议，补充协议与本合同具有同等效力。</w:t>
      </w:r>
    </w:p>
    <w:p>
      <w:pPr>
        <w:spacing w:line="520" w:lineRule="exact"/>
        <w:ind w:firstLine="403" w:firstLineChars="192"/>
        <w:rPr>
          <w:rFonts w:ascii="宋体" w:hAnsi="宋体"/>
          <w:color w:val="auto"/>
        </w:rPr>
      </w:pPr>
    </w:p>
    <w:p>
      <w:pPr>
        <w:spacing w:line="520" w:lineRule="exact"/>
        <w:ind w:firstLine="403" w:firstLineChars="192"/>
        <w:rPr>
          <w:rFonts w:ascii="宋体" w:hAnsi="宋体"/>
          <w:color w:val="auto"/>
        </w:rPr>
      </w:pPr>
    </w:p>
    <w:p>
      <w:pPr>
        <w:spacing w:line="520" w:lineRule="exact"/>
        <w:rPr>
          <w:rFonts w:ascii="宋体" w:hAnsi="宋体"/>
          <w:color w:val="auto"/>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甲方（盖章）：</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乙方（盖章）：</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法定代表人或委托代理人</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法定代表人或委托代理人</w:t>
      </w:r>
      <w:r>
        <w:rPr>
          <w:rFonts w:hint="eastAsia" w:ascii="宋体" w:hAnsi="宋体" w:cs="宋体"/>
          <w:color w:val="auto"/>
          <w:kern w:val="0"/>
        </w:rPr>
        <w:t>：</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开户银行：</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联系电话：</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账号：</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联系电话：</w:t>
      </w:r>
    </w:p>
    <w:p>
      <w:pPr>
        <w:autoSpaceDE w:val="0"/>
        <w:autoSpaceDN w:val="0"/>
        <w:spacing w:line="360" w:lineRule="auto"/>
        <w:jc w:val="center"/>
        <w:rPr>
          <w:rFonts w:hint="eastAsia" w:ascii="宋体" w:hAnsi="宋体" w:cs="宋体"/>
          <w:color w:val="auto"/>
          <w:kern w:val="0"/>
        </w:rPr>
      </w:pPr>
      <w:r>
        <w:rPr>
          <w:rFonts w:hint="eastAsia" w:ascii="宋体" w:hAnsi="宋体" w:cs="宋体"/>
          <w:color w:val="auto"/>
          <w:kern w:val="0"/>
          <w:lang w:val="zh-CN"/>
        </w:rPr>
        <w:t>签约时间：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autoSpaceDE w:val="0"/>
        <w:autoSpaceDN w:val="0"/>
        <w:spacing w:line="360" w:lineRule="auto"/>
        <w:rPr>
          <w:rFonts w:hint="eastAsia" w:ascii="宋体" w:hAnsi="宋体" w:cs="宋体"/>
          <w:color w:val="auto"/>
          <w:kern w:val="0"/>
          <w:lang w:val="zh-CN"/>
        </w:rPr>
      </w:pPr>
    </w:p>
    <w:p>
      <w:pPr>
        <w:pStyle w:val="4"/>
        <w:rPr>
          <w:rFonts w:hint="eastAsia"/>
          <w:color w:val="auto"/>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采购代理机构：青海锋业工程项目管理有限公司</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负责人或经办人：</w:t>
      </w:r>
    </w:p>
    <w:p>
      <w:pPr>
        <w:autoSpaceDE w:val="0"/>
        <w:autoSpaceDN w:val="0"/>
        <w:spacing w:line="360" w:lineRule="auto"/>
        <w:rPr>
          <w:rFonts w:hint="eastAsia" w:ascii="宋体" w:hAnsi="宋体" w:cs="宋体"/>
          <w:color w:val="auto"/>
          <w:kern w:val="0"/>
          <w:sz w:val="28"/>
          <w:szCs w:val="28"/>
        </w:rPr>
      </w:pPr>
      <w:r>
        <w:rPr>
          <w:rFonts w:hint="eastAsia" w:ascii="宋体" w:hAnsi="宋体" w:cs="宋体"/>
          <w:color w:val="auto"/>
          <w:kern w:val="0"/>
          <w:lang w:val="zh-CN"/>
        </w:rPr>
        <w:t>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rPr>
      </w:pPr>
      <w:r>
        <w:rPr>
          <w:rFonts w:hint="eastAsia" w:ascii="宋体" w:hAnsi="宋体" w:cs="宋体"/>
          <w:b/>
          <w:bCs/>
          <w:color w:val="auto"/>
          <w:kern w:val="0"/>
          <w:sz w:val="28"/>
          <w:szCs w:val="28"/>
          <w:lang w:val="zh-CN"/>
        </w:rPr>
        <w:br w:type="page"/>
      </w:r>
      <w:r>
        <w:rPr>
          <w:rFonts w:hint="eastAsia" w:ascii="新宋体" w:hAnsi="新宋体" w:eastAsia="新宋体" w:cs="新宋体"/>
          <w:b/>
          <w:bCs/>
          <w:color w:val="auto"/>
          <w:kern w:val="0"/>
          <w:sz w:val="24"/>
          <w:szCs w:val="24"/>
          <w:lang w:val="zh-CN"/>
        </w:rPr>
        <w:t>合同通用条款</w:t>
      </w:r>
    </w:p>
    <w:p>
      <w:pPr>
        <w:autoSpaceDE w:val="0"/>
        <w:autoSpaceDN w:val="0"/>
        <w:adjustRightInd w:val="0"/>
        <w:snapToGrid w:val="0"/>
        <w:spacing w:line="360" w:lineRule="auto"/>
        <w:rPr>
          <w:rFonts w:hint="eastAsia" w:ascii="新宋体" w:hAnsi="新宋体" w:eastAsia="新宋体" w:cs="新宋体"/>
          <w:color w:val="auto"/>
          <w:kern w:val="0"/>
          <w:sz w:val="24"/>
          <w:szCs w:val="24"/>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w:t>
      </w:r>
      <w:r>
        <w:rPr>
          <w:rFonts w:hint="eastAsia" w:ascii="新宋体" w:hAnsi="新宋体" w:eastAsia="新宋体" w:cs="新宋体"/>
          <w:b/>
          <w:bCs/>
          <w:color w:val="auto"/>
          <w:kern w:val="0"/>
          <w:sz w:val="24"/>
          <w:szCs w:val="24"/>
          <w:lang w:val="zh-CN"/>
        </w:rPr>
        <w:t>定义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本合同中的下列术语应解释为：</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 </w:t>
      </w:r>
      <w:r>
        <w:rPr>
          <w:rFonts w:hint="eastAsia" w:ascii="新宋体" w:hAnsi="新宋体" w:eastAsia="新宋体" w:cs="新宋体"/>
          <w:color w:val="auto"/>
          <w:kern w:val="0"/>
          <w:sz w:val="24"/>
          <w:szCs w:val="24"/>
          <w:lang w:val="zh-CN"/>
        </w:rPr>
        <w:t>“合同”指甲乙双方签署的、载明的甲乙双方权利义务的协议，包括所有的附件、附录和上述文件所提到的构成合同的所有文件。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1.2 </w:t>
      </w:r>
      <w:r>
        <w:rPr>
          <w:rFonts w:hint="eastAsia" w:ascii="新宋体" w:hAnsi="新宋体" w:eastAsia="新宋体" w:cs="新宋体"/>
          <w:color w:val="auto"/>
          <w:kern w:val="0"/>
          <w:sz w:val="24"/>
          <w:szCs w:val="24"/>
          <w:lang w:val="zh-CN"/>
        </w:rPr>
        <w:t>“合同金额”指根据合同规定，乙方在正确地完全履行合同义务后甲方应付给乙方的价款。</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 </w:t>
      </w:r>
      <w:r>
        <w:rPr>
          <w:rFonts w:hint="eastAsia" w:ascii="新宋体" w:hAnsi="新宋体" w:eastAsia="新宋体" w:cs="新宋体"/>
          <w:color w:val="auto"/>
          <w:kern w:val="0"/>
          <w:sz w:val="24"/>
          <w:szCs w:val="24"/>
          <w:lang w:val="zh-CN"/>
        </w:rPr>
        <w:t>“合同条款”指本合同条款。</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 </w:t>
      </w:r>
      <w:r>
        <w:rPr>
          <w:rFonts w:hint="eastAsia" w:ascii="新宋体" w:hAnsi="新宋体" w:eastAsia="新宋体" w:cs="新宋体"/>
          <w:color w:val="auto"/>
          <w:kern w:val="0"/>
          <w:sz w:val="24"/>
          <w:szCs w:val="24"/>
          <w:lang w:val="zh-CN"/>
        </w:rPr>
        <w:t>“货物”指乙方根据合同约定须向甲方提供的一切产品、设备、机械、仪表、备件等，包括辅助工具、使用手册等相关资料。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 </w:t>
      </w:r>
      <w:r>
        <w:rPr>
          <w:rFonts w:hint="eastAsia" w:ascii="新宋体" w:hAnsi="新宋体" w:eastAsia="新宋体" w:cs="新宋体"/>
          <w:color w:val="auto"/>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1.6 </w:t>
      </w:r>
      <w:r>
        <w:rPr>
          <w:rFonts w:hint="eastAsia" w:ascii="新宋体" w:hAnsi="新宋体" w:eastAsia="新宋体" w:cs="新宋体"/>
          <w:color w:val="auto"/>
          <w:kern w:val="0"/>
          <w:sz w:val="24"/>
          <w:szCs w:val="24"/>
          <w:lang w:val="zh-CN"/>
        </w:rPr>
        <w:t>“甲方”指购买货物和服务的单位。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 </w:t>
      </w:r>
      <w:r>
        <w:rPr>
          <w:rFonts w:hint="eastAsia" w:ascii="新宋体" w:hAnsi="新宋体" w:eastAsia="新宋体" w:cs="新宋体"/>
          <w:color w:val="auto"/>
          <w:kern w:val="0"/>
          <w:sz w:val="24"/>
          <w:szCs w:val="24"/>
          <w:lang w:val="zh-CN"/>
        </w:rPr>
        <w:t>“乙方”指提供本合同条款下货物和服务的公司或其他实体。</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1.8 </w:t>
      </w:r>
      <w:r>
        <w:rPr>
          <w:rFonts w:hint="eastAsia" w:ascii="新宋体" w:hAnsi="新宋体" w:eastAsia="新宋体" w:cs="新宋体"/>
          <w:color w:val="auto"/>
          <w:kern w:val="0"/>
          <w:sz w:val="24"/>
          <w:szCs w:val="24"/>
          <w:lang w:val="zh-CN"/>
        </w:rPr>
        <w:t>“现场”指合同规定货物将要运至和安装的地点。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 </w:t>
      </w:r>
      <w:r>
        <w:rPr>
          <w:rFonts w:hint="eastAsia" w:ascii="新宋体" w:hAnsi="新宋体" w:eastAsia="新宋体" w:cs="新宋体"/>
          <w:color w:val="auto"/>
          <w:kern w:val="0"/>
          <w:sz w:val="24"/>
          <w:szCs w:val="24"/>
          <w:lang w:val="zh-CN"/>
        </w:rPr>
        <w:t>“验收”指合同双方依据强制性的国家技术质量规范和合同约定，确认合同条款下的货物符合合同规定的活动。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1.10 </w:t>
      </w:r>
      <w:r>
        <w:rPr>
          <w:rFonts w:hint="eastAsia" w:ascii="新宋体" w:hAnsi="新宋体" w:eastAsia="新宋体" w:cs="新宋体"/>
          <w:color w:val="auto"/>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 </w:t>
      </w:r>
      <w:r>
        <w:rPr>
          <w:rFonts w:hint="eastAsia" w:ascii="新宋体" w:hAnsi="新宋体" w:eastAsia="新宋体" w:cs="新宋体"/>
          <w:color w:val="auto"/>
          <w:kern w:val="0"/>
          <w:sz w:val="24"/>
          <w:szCs w:val="24"/>
          <w:lang w:val="zh-CN"/>
        </w:rPr>
        <w:t>原产地：指产品的生产地，或提供服务的来源地。</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 </w:t>
      </w:r>
      <w:r>
        <w:rPr>
          <w:rFonts w:hint="eastAsia" w:ascii="新宋体" w:hAnsi="新宋体" w:eastAsia="新宋体" w:cs="新宋体"/>
          <w:color w:val="auto"/>
          <w:kern w:val="0"/>
          <w:sz w:val="24"/>
          <w:szCs w:val="24"/>
          <w:lang w:val="zh-CN"/>
        </w:rPr>
        <w:t>“工作日”指国家法定工作日，“天”指日历天数。</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w:t>
      </w:r>
      <w:r>
        <w:rPr>
          <w:rFonts w:hint="eastAsia" w:ascii="新宋体" w:hAnsi="新宋体" w:eastAsia="新宋体" w:cs="新宋体"/>
          <w:b/>
          <w:bCs/>
          <w:color w:val="auto"/>
          <w:kern w:val="0"/>
          <w:sz w:val="24"/>
          <w:szCs w:val="24"/>
          <w:lang w:val="zh-CN"/>
        </w:rPr>
        <w:t>技术规格要求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2.1 </w:t>
      </w:r>
      <w:r>
        <w:rPr>
          <w:rFonts w:hint="eastAsia" w:ascii="新宋体" w:hAnsi="新宋体" w:eastAsia="新宋体" w:cs="新宋体"/>
          <w:color w:val="auto"/>
          <w:kern w:val="0"/>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 </w:t>
      </w:r>
      <w:r>
        <w:rPr>
          <w:rFonts w:hint="eastAsia" w:ascii="新宋体" w:hAnsi="新宋体" w:eastAsia="新宋体" w:cs="新宋体"/>
          <w:color w:val="auto"/>
          <w:kern w:val="0"/>
          <w:sz w:val="24"/>
          <w:szCs w:val="24"/>
          <w:lang w:val="zh-CN"/>
        </w:rPr>
        <w:t>乙方应向甲方提供货物及服务有关的标准的中文文本。</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2.3 </w:t>
      </w:r>
      <w:r>
        <w:rPr>
          <w:rFonts w:hint="eastAsia" w:ascii="新宋体" w:hAnsi="新宋体" w:eastAsia="新宋体" w:cs="新宋体"/>
          <w:color w:val="auto"/>
          <w:kern w:val="0"/>
          <w:sz w:val="24"/>
          <w:szCs w:val="24"/>
          <w:lang w:val="zh-CN"/>
        </w:rPr>
        <w:t>除非技术规范中另有规定，计量单位均采用中华人民共和国法定计量单位。</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3.</w:t>
      </w:r>
      <w:r>
        <w:rPr>
          <w:rFonts w:hint="eastAsia" w:ascii="新宋体" w:hAnsi="新宋体" w:eastAsia="新宋体" w:cs="新宋体"/>
          <w:b/>
          <w:bCs/>
          <w:color w:val="auto"/>
          <w:kern w:val="0"/>
          <w:sz w:val="24"/>
          <w:szCs w:val="24"/>
          <w:lang w:val="zh-CN"/>
        </w:rPr>
        <w:t>合同范围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3.1 </w:t>
      </w:r>
      <w:r>
        <w:rPr>
          <w:rFonts w:hint="eastAsia" w:ascii="新宋体" w:hAnsi="新宋体" w:eastAsia="新宋体" w:cs="新宋体"/>
          <w:color w:val="auto"/>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3.2 </w:t>
      </w:r>
      <w:r>
        <w:rPr>
          <w:rFonts w:hint="eastAsia" w:ascii="新宋体" w:hAnsi="新宋体" w:eastAsia="新宋体" w:cs="新宋体"/>
          <w:color w:val="auto"/>
          <w:kern w:val="0"/>
          <w:sz w:val="24"/>
          <w:szCs w:val="24"/>
          <w:lang w:val="zh-CN"/>
        </w:rPr>
        <w:t>乙方应负责培训甲方的技术人员。</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3.3 </w:t>
      </w:r>
      <w:r>
        <w:rPr>
          <w:rFonts w:hint="eastAsia" w:ascii="新宋体" w:hAnsi="新宋体" w:eastAsia="新宋体" w:cs="新宋体"/>
          <w:color w:val="auto"/>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4.</w:t>
      </w:r>
      <w:r>
        <w:rPr>
          <w:rFonts w:hint="eastAsia" w:ascii="新宋体" w:hAnsi="新宋体" w:eastAsia="新宋体" w:cs="新宋体"/>
          <w:b/>
          <w:bCs/>
          <w:color w:val="auto"/>
          <w:kern w:val="0"/>
          <w:sz w:val="24"/>
          <w:szCs w:val="24"/>
          <w:lang w:val="zh-CN"/>
        </w:rPr>
        <w:t>合同文件和资料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4.1 </w:t>
      </w:r>
      <w:r>
        <w:rPr>
          <w:rFonts w:hint="eastAsia" w:ascii="新宋体" w:hAnsi="新宋体" w:eastAsia="新宋体" w:cs="新宋体"/>
          <w:color w:val="auto"/>
          <w:kern w:val="0"/>
          <w:sz w:val="24"/>
          <w:szCs w:val="24"/>
          <w:lang w:val="zh-CN"/>
        </w:rPr>
        <w:t>乙方在提供仪器设备时应同时提供中文版相关的技术资料，如目录索引、图纸、操作手册、使用指南、维修指南、服务手册等。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4.2 </w:t>
      </w:r>
      <w:r>
        <w:rPr>
          <w:rFonts w:hint="eastAsia" w:ascii="新宋体" w:hAnsi="新宋体" w:eastAsia="新宋体" w:cs="新宋体"/>
          <w:color w:val="auto"/>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5.</w:t>
      </w:r>
      <w:r>
        <w:rPr>
          <w:rFonts w:hint="eastAsia" w:ascii="新宋体" w:hAnsi="新宋体" w:eastAsia="新宋体" w:cs="新宋体"/>
          <w:b/>
          <w:bCs/>
          <w:color w:val="auto"/>
          <w:kern w:val="0"/>
          <w:sz w:val="24"/>
          <w:szCs w:val="24"/>
          <w:lang w:val="zh-CN"/>
        </w:rPr>
        <w:t>知识产权</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5.1 </w:t>
      </w:r>
      <w:r>
        <w:rPr>
          <w:rFonts w:hint="eastAsia" w:ascii="新宋体" w:hAnsi="新宋体" w:eastAsia="新宋体" w:cs="新宋体"/>
          <w:color w:val="auto"/>
          <w:kern w:val="0"/>
          <w:sz w:val="24"/>
          <w:szCs w:val="24"/>
          <w:lang w:val="zh-CN"/>
        </w:rPr>
        <w:t>乙方应保证甲方在使用该货物或其任何一部分时不受第三方提出的侵犯专利权、著作权、商标权和工业设计权等的起诉。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5.2 </w:t>
      </w:r>
      <w:r>
        <w:rPr>
          <w:rFonts w:hint="eastAsia" w:ascii="新宋体" w:hAnsi="新宋体" w:eastAsia="新宋体" w:cs="新宋体"/>
          <w:color w:val="auto"/>
          <w:kern w:val="0"/>
          <w:sz w:val="24"/>
          <w:szCs w:val="24"/>
          <w:lang w:val="zh-CN"/>
        </w:rPr>
        <w:t>任何第三方提出侵权指控，乙方须与第三方交涉并承担由此产生的一切责任、费用和经济赔偿。</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5.3 </w:t>
      </w:r>
      <w:r>
        <w:rPr>
          <w:rFonts w:hint="eastAsia" w:ascii="新宋体" w:hAnsi="新宋体" w:eastAsia="新宋体" w:cs="新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5.4 </w:t>
      </w:r>
      <w:r>
        <w:rPr>
          <w:rFonts w:hint="eastAsia" w:ascii="新宋体" w:hAnsi="新宋体" w:eastAsia="新宋体" w:cs="新宋体"/>
          <w:color w:val="auto"/>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5.5 </w:t>
      </w:r>
      <w:r>
        <w:rPr>
          <w:rFonts w:hint="eastAsia" w:ascii="新宋体" w:hAnsi="新宋体" w:eastAsia="新宋体" w:cs="新宋体"/>
          <w:color w:val="auto"/>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6.</w:t>
      </w:r>
      <w:r>
        <w:rPr>
          <w:rFonts w:hint="eastAsia" w:ascii="新宋体" w:hAnsi="新宋体" w:eastAsia="新宋体" w:cs="新宋体"/>
          <w:b/>
          <w:bCs/>
          <w:color w:val="auto"/>
          <w:kern w:val="0"/>
          <w:sz w:val="24"/>
          <w:szCs w:val="24"/>
          <w:lang w:val="zh-CN"/>
        </w:rPr>
        <w:t>保密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6.1 </w:t>
      </w:r>
      <w:r>
        <w:rPr>
          <w:rFonts w:hint="eastAsia" w:ascii="新宋体" w:hAnsi="新宋体" w:eastAsia="新宋体" w:cs="新宋体"/>
          <w:color w:val="auto"/>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 </w:t>
      </w:r>
      <w:r>
        <w:rPr>
          <w:rFonts w:hint="eastAsia" w:ascii="新宋体" w:hAnsi="新宋体" w:eastAsia="新宋体" w:cs="新宋体"/>
          <w:color w:val="auto"/>
          <w:kern w:val="0"/>
          <w:sz w:val="24"/>
          <w:szCs w:val="24"/>
          <w:lang w:val="zh-CN"/>
        </w:rPr>
        <w:t>保密信息指任何一方因履行本合同所知悉的任何以口头、书面、图表或电子形式存在的对方信息，具体包括：</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6.2.1 </w:t>
      </w:r>
      <w:r>
        <w:rPr>
          <w:rFonts w:hint="eastAsia" w:ascii="新宋体" w:hAnsi="新宋体" w:eastAsia="新宋体" w:cs="新宋体"/>
          <w:color w:val="auto"/>
          <w:kern w:val="0"/>
          <w:sz w:val="24"/>
          <w:szCs w:val="24"/>
          <w:lang w:val="zh-CN"/>
        </w:rPr>
        <w:t>任何涉及对方过去、现在或将来的商业计划、规章制度、操作规程、处理手段、财务信息；</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6.2.2 </w:t>
      </w:r>
      <w:r>
        <w:rPr>
          <w:rFonts w:hint="eastAsia" w:ascii="新宋体" w:hAnsi="新宋体" w:eastAsia="新宋体" w:cs="新宋体"/>
          <w:color w:val="auto"/>
          <w:kern w:val="0"/>
          <w:sz w:val="24"/>
          <w:szCs w:val="24"/>
          <w:lang w:val="zh-CN"/>
        </w:rPr>
        <w:t>任何对方的技术措施、技术方案、软件应用及开发，硬件设备的品种、质量、数量、品牌等；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6.2.3 </w:t>
      </w:r>
      <w:r>
        <w:rPr>
          <w:rFonts w:hint="eastAsia" w:ascii="新宋体" w:hAnsi="新宋体" w:eastAsia="新宋体" w:cs="新宋体"/>
          <w:color w:val="auto"/>
          <w:kern w:val="0"/>
          <w:sz w:val="24"/>
          <w:szCs w:val="24"/>
          <w:lang w:val="zh-CN"/>
        </w:rPr>
        <w:t>任何对方的技术秘密或专有知识、文件、报告、数据、客户软件、流程图、数据库、发明、知识、贸易秘密。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6.3 </w:t>
      </w:r>
      <w:r>
        <w:rPr>
          <w:rFonts w:hint="eastAsia" w:ascii="新宋体" w:hAnsi="新宋体" w:eastAsia="新宋体" w:cs="新宋体"/>
          <w:color w:val="auto"/>
          <w:kern w:val="0"/>
          <w:sz w:val="24"/>
          <w:szCs w:val="24"/>
          <w:lang w:val="zh-CN"/>
        </w:rPr>
        <w:t>乙方应根据甲方的要求签署相应的保密协议，保密协议与本条款存在不一致的，以保密协议为准。</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 xml:space="preserve">7. </w:t>
      </w:r>
      <w:r>
        <w:rPr>
          <w:rFonts w:hint="eastAsia" w:ascii="新宋体" w:hAnsi="新宋体" w:eastAsia="新宋体" w:cs="新宋体"/>
          <w:b/>
          <w:bCs/>
          <w:color w:val="auto"/>
          <w:kern w:val="0"/>
          <w:sz w:val="24"/>
          <w:szCs w:val="24"/>
          <w:lang w:val="zh-CN"/>
        </w:rPr>
        <w:t>质量保证</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 </w:t>
      </w:r>
      <w:r>
        <w:rPr>
          <w:rFonts w:hint="eastAsia" w:ascii="新宋体" w:hAnsi="新宋体" w:eastAsia="新宋体" w:cs="新宋体"/>
          <w:color w:val="auto"/>
          <w:kern w:val="0"/>
          <w:sz w:val="24"/>
          <w:szCs w:val="24"/>
          <w:lang w:val="zh-CN"/>
        </w:rPr>
        <w:t>货物质量保证</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7.1.1 </w:t>
      </w:r>
      <w:r>
        <w:rPr>
          <w:rFonts w:hint="eastAsia" w:ascii="新宋体" w:hAnsi="新宋体" w:eastAsia="新宋体" w:cs="新宋体"/>
          <w:color w:val="auto"/>
          <w:kern w:val="0"/>
          <w:sz w:val="24"/>
          <w:szCs w:val="24"/>
          <w:lang w:val="zh-CN"/>
        </w:rPr>
        <w:t>乙方必须保证货物是全新、未使用过的，并完全符合强制性的国家技术质量规范和合同规定的质量、规格、性能和技术规范等的要求。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7.1.2 </w:t>
      </w:r>
      <w:r>
        <w:rPr>
          <w:rFonts w:hint="eastAsia" w:ascii="新宋体" w:hAnsi="新宋体" w:eastAsia="新宋体" w:cs="新宋体"/>
          <w:color w:val="auto"/>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7.1.3 </w:t>
      </w:r>
      <w:r>
        <w:rPr>
          <w:rFonts w:hint="eastAsia" w:ascii="新宋体" w:hAnsi="新宋体" w:eastAsia="新宋体" w:cs="新宋体"/>
          <w:color w:val="auto"/>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24小时内派员到现场维修。过质保外乙方提供终身免费技术服务，乙方应在收到甲方的保修或保外维修通知后24小时内派员到现场维修（技术要求另有规定除外）。乙方在甲方发出质量异议通知后，未作答复，甲方在通知书中所提出的要求应视为已被乙方接受。</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7.1.4 </w:t>
      </w:r>
      <w:r>
        <w:rPr>
          <w:rFonts w:hint="eastAsia" w:ascii="新宋体" w:hAnsi="新宋体" w:eastAsia="新宋体" w:cs="新宋体"/>
          <w:color w:val="auto"/>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 xml:space="preserve">7.1.5 </w:t>
      </w:r>
      <w:r>
        <w:rPr>
          <w:rFonts w:hint="eastAsia" w:ascii="新宋体" w:hAnsi="新宋体" w:eastAsia="新宋体" w:cs="新宋体"/>
          <w:color w:val="auto"/>
          <w:kern w:val="0"/>
          <w:sz w:val="24"/>
          <w:szCs w:val="24"/>
          <w:lang w:val="zh-CN"/>
        </w:rPr>
        <w:t>合同条款下货物的质量保证期自货物通过最终验收起算，合同另行规定除外。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7.2 </w:t>
      </w:r>
      <w:r>
        <w:rPr>
          <w:rFonts w:hint="eastAsia" w:ascii="新宋体" w:hAnsi="新宋体" w:eastAsia="新宋体" w:cs="新宋体"/>
          <w:color w:val="auto"/>
          <w:kern w:val="0"/>
          <w:sz w:val="24"/>
          <w:szCs w:val="24"/>
          <w:lang w:val="zh-CN"/>
        </w:rPr>
        <w:t>辅助服务质量保证</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7.2.1 </w:t>
      </w:r>
      <w:r>
        <w:rPr>
          <w:rFonts w:hint="eastAsia" w:ascii="新宋体" w:hAnsi="新宋体" w:eastAsia="新宋体" w:cs="新宋体"/>
          <w:color w:val="auto"/>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 xml:space="preserve">7.2.2 </w:t>
      </w:r>
      <w:r>
        <w:rPr>
          <w:rFonts w:hint="eastAsia" w:ascii="新宋体" w:hAnsi="新宋体" w:eastAsia="新宋体" w:cs="新宋体"/>
          <w:color w:val="auto"/>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8.</w:t>
      </w:r>
      <w:r>
        <w:rPr>
          <w:rFonts w:hint="eastAsia" w:ascii="新宋体" w:hAnsi="新宋体" w:eastAsia="新宋体" w:cs="新宋体"/>
          <w:b/>
          <w:bCs/>
          <w:color w:val="auto"/>
          <w:kern w:val="0"/>
          <w:sz w:val="24"/>
          <w:szCs w:val="24"/>
          <w:lang w:val="zh-CN"/>
        </w:rPr>
        <w:t>包装要求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8.1 </w:t>
      </w:r>
      <w:r>
        <w:rPr>
          <w:rFonts w:hint="eastAsia" w:ascii="新宋体" w:hAnsi="新宋体" w:eastAsia="新宋体" w:cs="新宋体"/>
          <w:color w:val="auto"/>
          <w:kern w:val="0"/>
          <w:sz w:val="24"/>
          <w:szCs w:val="24"/>
          <w:lang w:val="zh-CN"/>
        </w:rPr>
        <w:t>除合同另有约定外</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乙方提供的全部货物</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均应采用本行业通用的方式进行包装，且该包装应符合国家有关包装的法律、法规的规定。</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8.2 </w:t>
      </w:r>
      <w:r>
        <w:rPr>
          <w:rFonts w:hint="eastAsia" w:ascii="新宋体" w:hAnsi="新宋体" w:eastAsia="新宋体" w:cs="新宋体"/>
          <w:color w:val="auto"/>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8.3 </w:t>
      </w:r>
      <w:r>
        <w:rPr>
          <w:rFonts w:hint="eastAsia" w:ascii="新宋体" w:hAnsi="新宋体" w:eastAsia="新宋体" w:cs="新宋体"/>
          <w:color w:val="auto"/>
          <w:kern w:val="0"/>
          <w:sz w:val="24"/>
          <w:szCs w:val="24"/>
          <w:lang w:val="zh-CN"/>
        </w:rPr>
        <w:t>乙方所提供的货物包装均为出厂时原包装。</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8.4 </w:t>
      </w:r>
      <w:r>
        <w:rPr>
          <w:rFonts w:hint="eastAsia" w:ascii="新宋体" w:hAnsi="新宋体" w:eastAsia="新宋体" w:cs="新宋体"/>
          <w:color w:val="auto"/>
          <w:kern w:val="0"/>
          <w:sz w:val="24"/>
          <w:szCs w:val="24"/>
          <w:lang w:val="zh-CN"/>
        </w:rPr>
        <w:t>乙方所提供货物必须附有质量合格证，装箱清单，主机、附件、各种零部件和消耗品，有清楚的与装箱单相对应的名称和编号。</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8.5 </w:t>
      </w:r>
      <w:r>
        <w:rPr>
          <w:rFonts w:hint="eastAsia" w:ascii="新宋体" w:hAnsi="新宋体" w:eastAsia="新宋体" w:cs="新宋体"/>
          <w:color w:val="auto"/>
          <w:kern w:val="0"/>
          <w:sz w:val="24"/>
          <w:szCs w:val="24"/>
          <w:lang w:val="zh-CN"/>
        </w:rPr>
        <w:t>货物运输中的运输费用和保险费用均由乙方承担。运输过程中的一切损失、损坏均由乙方负责。</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9.</w:t>
      </w:r>
      <w:r>
        <w:rPr>
          <w:rFonts w:hint="eastAsia" w:ascii="新宋体" w:hAnsi="新宋体" w:eastAsia="新宋体" w:cs="新宋体"/>
          <w:b/>
          <w:bCs/>
          <w:color w:val="auto"/>
          <w:kern w:val="0"/>
          <w:sz w:val="24"/>
          <w:szCs w:val="24"/>
          <w:lang w:val="zh-CN"/>
        </w:rPr>
        <w:t>价格</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9.1 </w:t>
      </w:r>
      <w:r>
        <w:rPr>
          <w:rFonts w:hint="eastAsia" w:ascii="新宋体" w:hAnsi="新宋体" w:eastAsia="新宋体" w:cs="新宋体"/>
          <w:color w:val="auto"/>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9.2 </w:t>
      </w:r>
      <w:r>
        <w:rPr>
          <w:rFonts w:hint="eastAsia" w:ascii="新宋体" w:hAnsi="新宋体" w:eastAsia="新宋体" w:cs="新宋体"/>
          <w:color w:val="auto"/>
          <w:kern w:val="0"/>
          <w:sz w:val="24"/>
          <w:szCs w:val="24"/>
          <w:lang w:val="zh-CN"/>
        </w:rPr>
        <w:t>本合同价格为固定价格，包括了乙方履行合同全过程产生的所有成本和费用以及乙方应承担的一切税费。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 </w:t>
      </w:r>
      <w:r>
        <w:rPr>
          <w:rFonts w:hint="eastAsia" w:ascii="新宋体" w:hAnsi="新宋体" w:eastAsia="新宋体" w:cs="新宋体"/>
          <w:color w:val="auto"/>
          <w:kern w:val="0"/>
          <w:sz w:val="24"/>
          <w:szCs w:val="24"/>
          <w:lang w:val="zh-CN"/>
        </w:rPr>
        <w:t>检验费用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9.3.1 </w:t>
      </w:r>
      <w:r>
        <w:rPr>
          <w:rFonts w:hint="eastAsia" w:ascii="新宋体" w:hAnsi="新宋体" w:eastAsia="新宋体" w:cs="新宋体"/>
          <w:color w:val="auto"/>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9.3.2 </w:t>
      </w:r>
      <w:r>
        <w:rPr>
          <w:rFonts w:hint="eastAsia" w:ascii="新宋体" w:hAnsi="新宋体" w:eastAsia="新宋体" w:cs="新宋体"/>
          <w:color w:val="auto"/>
          <w:kern w:val="0"/>
          <w:sz w:val="24"/>
          <w:szCs w:val="24"/>
          <w:lang w:val="zh-CN"/>
        </w:rPr>
        <w:t>甲方按合同计划参加在乙方工厂所在地检验、测试和验收的费用全部由乙方负责并已包含在合同总价中。</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9.3.3 </w:t>
      </w:r>
      <w:r>
        <w:rPr>
          <w:rFonts w:hint="eastAsia" w:ascii="新宋体" w:hAnsi="新宋体" w:eastAsia="新宋体" w:cs="新宋体"/>
          <w:color w:val="auto"/>
          <w:kern w:val="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10.</w:t>
      </w:r>
      <w:r>
        <w:rPr>
          <w:rFonts w:hint="eastAsia" w:ascii="新宋体" w:hAnsi="新宋体" w:eastAsia="新宋体" w:cs="新宋体"/>
          <w:b/>
          <w:bCs/>
          <w:color w:val="auto"/>
          <w:kern w:val="0"/>
          <w:sz w:val="24"/>
          <w:szCs w:val="24"/>
          <w:lang w:val="zh-CN"/>
        </w:rPr>
        <w:t>服务方式及服务日期</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服务时间应根据产品的特点实事求是填写，进口产品90个工作日内，国产产品60个工作日内。特殊产品交货期需说明。</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交货日期：所有货物运抵现场并经双方开箱验收合格之日。</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11.检验和验收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 </w:t>
      </w:r>
      <w:r>
        <w:rPr>
          <w:rFonts w:hint="eastAsia" w:ascii="新宋体" w:hAnsi="新宋体" w:eastAsia="新宋体" w:cs="新宋体"/>
          <w:color w:val="auto"/>
          <w:kern w:val="0"/>
          <w:sz w:val="24"/>
          <w:szCs w:val="24"/>
          <w:lang w:val="zh-CN"/>
        </w:rPr>
        <w:t>开箱验收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11.1.1 </w:t>
      </w:r>
      <w:r>
        <w:rPr>
          <w:rFonts w:hint="eastAsia" w:ascii="新宋体" w:hAnsi="新宋体" w:eastAsia="新宋体" w:cs="新宋体"/>
          <w:color w:val="auto"/>
          <w:kern w:val="0"/>
          <w:sz w:val="24"/>
          <w:szCs w:val="24"/>
          <w:lang w:val="zh-CN"/>
        </w:rPr>
        <w:t>货物运抵现场后，双方应及时开箱验收，并制作验收记录，以确认与本合同约定的数量、型号等是否一致。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11.1.2 </w:t>
      </w:r>
      <w:r>
        <w:rPr>
          <w:rFonts w:hint="eastAsia" w:ascii="新宋体" w:hAnsi="新宋体" w:eastAsia="新宋体" w:cs="新宋体"/>
          <w:color w:val="auto"/>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11.1.3 </w:t>
      </w:r>
      <w:r>
        <w:rPr>
          <w:rFonts w:hint="eastAsia" w:ascii="新宋体" w:hAnsi="新宋体" w:eastAsia="新宋体" w:cs="新宋体"/>
          <w:color w:val="auto"/>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 </w:t>
      </w:r>
      <w:r>
        <w:rPr>
          <w:rFonts w:hint="eastAsia" w:ascii="新宋体" w:hAnsi="新宋体" w:eastAsia="新宋体" w:cs="新宋体"/>
          <w:color w:val="auto"/>
          <w:kern w:val="0"/>
          <w:sz w:val="24"/>
          <w:szCs w:val="24"/>
          <w:lang w:val="zh-CN"/>
        </w:rPr>
        <w:t>检验验收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11.2.1 </w:t>
      </w:r>
      <w:r>
        <w:rPr>
          <w:rFonts w:hint="eastAsia" w:ascii="新宋体" w:hAnsi="新宋体" w:eastAsia="新宋体" w:cs="新宋体"/>
          <w:color w:val="auto"/>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11.2.2 </w:t>
      </w:r>
      <w:r>
        <w:rPr>
          <w:rFonts w:hint="eastAsia" w:ascii="新宋体" w:hAnsi="新宋体" w:eastAsia="新宋体" w:cs="新宋体"/>
          <w:color w:val="auto"/>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11.2.3 </w:t>
      </w:r>
      <w:r>
        <w:rPr>
          <w:rFonts w:hint="eastAsia" w:ascii="新宋体" w:hAnsi="新宋体" w:eastAsia="新宋体" w:cs="新宋体"/>
          <w:color w:val="auto"/>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11.2.4 </w:t>
      </w:r>
      <w:r>
        <w:rPr>
          <w:rFonts w:hint="eastAsia" w:ascii="新宋体" w:hAnsi="新宋体" w:eastAsia="新宋体" w:cs="新宋体"/>
          <w:color w:val="auto"/>
          <w:kern w:val="0"/>
          <w:sz w:val="24"/>
          <w:szCs w:val="24"/>
          <w:lang w:val="zh-CN"/>
        </w:rPr>
        <w:t>检验测试出现全部或部分未达到本合同所约定的技术指标，甲方有权选择下列任一处理方式：</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a.</w:t>
      </w:r>
      <w:r>
        <w:rPr>
          <w:rFonts w:hint="eastAsia" w:ascii="新宋体" w:hAnsi="新宋体" w:eastAsia="新宋体" w:cs="新宋体"/>
          <w:color w:val="auto"/>
          <w:kern w:val="0"/>
          <w:sz w:val="24"/>
          <w:szCs w:val="24"/>
          <w:lang w:val="zh-CN"/>
        </w:rPr>
        <w:t>重新测试直至合格为止；</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b.</w:t>
      </w:r>
      <w:r>
        <w:rPr>
          <w:rFonts w:hint="eastAsia" w:ascii="新宋体" w:hAnsi="新宋体" w:eastAsia="新宋体" w:cs="新宋体"/>
          <w:color w:val="auto"/>
          <w:kern w:val="0"/>
          <w:sz w:val="24"/>
          <w:szCs w:val="24"/>
          <w:lang w:val="zh-CN"/>
        </w:rPr>
        <w:t>要求乙方对货物进行免费更换，然后重新测试直至合格为止；</w:t>
      </w:r>
    </w:p>
    <w:p>
      <w:pPr>
        <w:autoSpaceDE w:val="0"/>
        <w:autoSpaceDN w:val="0"/>
        <w:adjustRightInd w:val="0"/>
        <w:snapToGrid w:val="0"/>
        <w:spacing w:line="360" w:lineRule="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无论选择何种方式，甲方因此而发生的因卖方原因引起的所有费用均由乙方负担。</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 </w:t>
      </w:r>
      <w:r>
        <w:rPr>
          <w:rFonts w:hint="eastAsia" w:ascii="新宋体" w:hAnsi="新宋体" w:eastAsia="新宋体" w:cs="新宋体"/>
          <w:color w:val="auto"/>
          <w:kern w:val="0"/>
          <w:sz w:val="24"/>
          <w:szCs w:val="24"/>
          <w:lang w:val="zh-CN"/>
        </w:rPr>
        <w:t>使用过程检验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11.3.1 </w:t>
      </w:r>
      <w:r>
        <w:rPr>
          <w:rFonts w:hint="eastAsia" w:ascii="新宋体" w:hAnsi="新宋体" w:eastAsia="新宋体" w:cs="新宋体"/>
          <w:color w:val="auto"/>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11.3.2 </w:t>
      </w:r>
      <w:r>
        <w:rPr>
          <w:rFonts w:hint="eastAsia" w:ascii="新宋体" w:hAnsi="新宋体" w:eastAsia="新宋体" w:cs="新宋体"/>
          <w:color w:val="auto"/>
          <w:kern w:val="0"/>
          <w:sz w:val="24"/>
          <w:szCs w:val="24"/>
          <w:lang w:val="zh-CN"/>
        </w:rPr>
        <w:t>如果合同双方对乙方提供的上述试验结果报告的解释有分歧，双方须于出现分歧后</w:t>
      </w:r>
      <w:r>
        <w:rPr>
          <w:rFonts w:hint="eastAsia" w:ascii="新宋体" w:hAnsi="新宋体" w:eastAsia="新宋体" w:cs="新宋体"/>
          <w:color w:val="auto"/>
          <w:kern w:val="0"/>
          <w:sz w:val="24"/>
          <w:szCs w:val="24"/>
        </w:rPr>
        <w:t>10</w:t>
      </w:r>
      <w:r>
        <w:rPr>
          <w:rFonts w:hint="eastAsia" w:ascii="新宋体" w:hAnsi="新宋体" w:eastAsia="新宋体" w:cs="新宋体"/>
          <w:color w:val="auto"/>
          <w:kern w:val="0"/>
          <w:sz w:val="24"/>
          <w:szCs w:val="24"/>
          <w:lang w:val="zh-CN"/>
        </w:rPr>
        <w:t>天内给对方声明，以陈述己方的观点。声明须附有关证据。分歧应通过协商解决。</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12.</w:t>
      </w:r>
      <w:r>
        <w:rPr>
          <w:rFonts w:hint="eastAsia" w:ascii="新宋体" w:hAnsi="新宋体" w:eastAsia="新宋体" w:cs="新宋体"/>
          <w:b/>
          <w:bCs/>
          <w:color w:val="auto"/>
          <w:kern w:val="0"/>
          <w:sz w:val="24"/>
          <w:szCs w:val="24"/>
          <w:lang w:val="zh-CN"/>
        </w:rPr>
        <w:t>付款方法和条件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本合同条款下的付款方法和条件在“青海省政府采购项目合同书”中具体规定。</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13.</w:t>
      </w:r>
      <w:r>
        <w:rPr>
          <w:rFonts w:hint="eastAsia" w:ascii="新宋体" w:hAnsi="新宋体" w:eastAsia="新宋体" w:cs="新宋体"/>
          <w:b/>
          <w:bCs/>
          <w:color w:val="auto"/>
          <w:kern w:val="0"/>
          <w:sz w:val="24"/>
          <w:szCs w:val="24"/>
          <w:lang w:val="zh-CN"/>
        </w:rPr>
        <w:t>履约保证金</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13.1 </w:t>
      </w:r>
      <w:r>
        <w:rPr>
          <w:rFonts w:hint="eastAsia" w:ascii="新宋体" w:hAnsi="新宋体" w:eastAsia="新宋体" w:cs="新宋体"/>
          <w:color w:val="auto"/>
          <w:kern w:val="0"/>
          <w:sz w:val="24"/>
          <w:szCs w:val="24"/>
          <w:lang w:val="zh-CN"/>
        </w:rPr>
        <w:t>乙方应在合同签订前，按磋商文件第</w:t>
      </w:r>
      <w:r>
        <w:rPr>
          <w:rFonts w:hint="eastAsia" w:ascii="新宋体" w:hAnsi="新宋体" w:eastAsia="新宋体" w:cs="新宋体"/>
          <w:color w:val="auto"/>
          <w:kern w:val="0"/>
          <w:sz w:val="24"/>
          <w:szCs w:val="24"/>
        </w:rPr>
        <w:t>二</w:t>
      </w:r>
      <w:r>
        <w:rPr>
          <w:rFonts w:hint="eastAsia" w:ascii="新宋体" w:hAnsi="新宋体" w:eastAsia="新宋体" w:cs="新宋体"/>
          <w:color w:val="auto"/>
          <w:kern w:val="0"/>
          <w:sz w:val="24"/>
          <w:szCs w:val="24"/>
          <w:lang w:val="zh-CN"/>
        </w:rPr>
        <w:t>部分“八 授予合同”中第22.2项的约定提交履约保证金。</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13.2 </w:t>
      </w:r>
      <w:r>
        <w:rPr>
          <w:rFonts w:hint="eastAsia" w:ascii="新宋体" w:hAnsi="新宋体" w:eastAsia="新宋体" w:cs="新宋体"/>
          <w:color w:val="auto"/>
          <w:kern w:val="0"/>
          <w:sz w:val="24"/>
          <w:szCs w:val="24"/>
          <w:lang w:val="zh-CN"/>
        </w:rPr>
        <w:t>履约保证金用于补偿甲方因乙方不能履行其合同义务而蒙受的损失。</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 </w:t>
      </w:r>
      <w:r>
        <w:rPr>
          <w:rFonts w:hint="eastAsia" w:ascii="新宋体" w:hAnsi="新宋体" w:eastAsia="新宋体" w:cs="新宋体"/>
          <w:color w:val="auto"/>
          <w:kern w:val="0"/>
          <w:sz w:val="24"/>
          <w:szCs w:val="24"/>
          <w:lang w:val="zh-CN"/>
        </w:rPr>
        <w:t>履约保证金应使用本合同货币，按下述方式之一提交（磋商文件中另有约定的除外）：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13.3.1 </w:t>
      </w:r>
      <w:r>
        <w:rPr>
          <w:rFonts w:hint="eastAsia" w:ascii="新宋体" w:hAnsi="新宋体" w:eastAsia="新宋体" w:cs="新宋体"/>
          <w:color w:val="auto"/>
          <w:kern w:val="0"/>
          <w:sz w:val="24"/>
          <w:szCs w:val="24"/>
          <w:lang w:val="zh-CN"/>
        </w:rPr>
        <w:t>甲方可接受的在中华人民共和国注册和营业的银行出具的履约保函；</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13.3.2 </w:t>
      </w:r>
      <w:r>
        <w:rPr>
          <w:rFonts w:hint="eastAsia" w:ascii="新宋体" w:hAnsi="新宋体" w:eastAsia="新宋体" w:cs="新宋体"/>
          <w:color w:val="auto"/>
          <w:kern w:val="0"/>
          <w:sz w:val="24"/>
          <w:szCs w:val="24"/>
          <w:lang w:val="zh-CN"/>
        </w:rPr>
        <w:t>支票或汇票。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13.4 </w:t>
      </w:r>
      <w:r>
        <w:rPr>
          <w:rFonts w:hint="eastAsia" w:ascii="新宋体" w:hAnsi="新宋体" w:eastAsia="新宋体" w:cs="新宋体"/>
          <w:color w:val="auto"/>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14.</w:t>
      </w:r>
      <w:r>
        <w:rPr>
          <w:rFonts w:hint="eastAsia" w:ascii="新宋体" w:hAnsi="新宋体" w:eastAsia="新宋体" w:cs="新宋体"/>
          <w:b/>
          <w:bCs/>
          <w:color w:val="auto"/>
          <w:kern w:val="0"/>
          <w:sz w:val="24"/>
          <w:szCs w:val="24"/>
          <w:lang w:val="zh-CN"/>
        </w:rPr>
        <w:t>索赔</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14.1 </w:t>
      </w:r>
      <w:r>
        <w:rPr>
          <w:rFonts w:hint="eastAsia" w:ascii="新宋体" w:hAnsi="新宋体" w:eastAsia="新宋体" w:cs="新宋体"/>
          <w:color w:val="auto"/>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 </w:t>
      </w:r>
      <w:r>
        <w:rPr>
          <w:rFonts w:hint="eastAsia" w:ascii="新宋体" w:hAnsi="新宋体" w:eastAsia="新宋体" w:cs="新宋体"/>
          <w:color w:val="auto"/>
          <w:kern w:val="0"/>
          <w:sz w:val="24"/>
          <w:szCs w:val="24"/>
          <w:lang w:val="zh-CN"/>
        </w:rPr>
        <w:t>在履约保证期和检验期内，乙方对甲方提出的索赔负有责任，乙方应按照甲方同意的下列一种或多种方式解决索赔事宜：</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14.2.1 </w:t>
      </w:r>
      <w:r>
        <w:rPr>
          <w:rFonts w:hint="eastAsia" w:ascii="新宋体" w:hAnsi="新宋体" w:eastAsia="新宋体" w:cs="新宋体"/>
          <w:color w:val="auto"/>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14.2.2 </w:t>
      </w:r>
      <w:r>
        <w:rPr>
          <w:rFonts w:hint="eastAsia" w:ascii="新宋体" w:hAnsi="新宋体" w:eastAsia="新宋体" w:cs="新宋体"/>
          <w:color w:val="auto"/>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14.2.3 </w:t>
      </w:r>
      <w:r>
        <w:rPr>
          <w:rFonts w:hint="eastAsia" w:ascii="新宋体" w:hAnsi="新宋体" w:eastAsia="新宋体" w:cs="新宋体"/>
          <w:color w:val="auto"/>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14.3 </w:t>
      </w:r>
      <w:r>
        <w:rPr>
          <w:rFonts w:hint="eastAsia" w:ascii="新宋体" w:hAnsi="新宋体" w:eastAsia="新宋体" w:cs="新宋体"/>
          <w:color w:val="auto"/>
          <w:kern w:val="0"/>
          <w:sz w:val="24"/>
          <w:szCs w:val="24"/>
          <w:lang w:val="zh-CN"/>
        </w:rPr>
        <w:t>乙方收到甲方发出的索赔通知之日起</w:t>
      </w:r>
      <w:r>
        <w:rPr>
          <w:rFonts w:hint="eastAsia" w:ascii="新宋体" w:hAnsi="新宋体" w:eastAsia="新宋体" w:cs="新宋体"/>
          <w:color w:val="auto"/>
          <w:kern w:val="0"/>
          <w:sz w:val="24"/>
          <w:szCs w:val="24"/>
        </w:rPr>
        <w:t>5</w:t>
      </w:r>
      <w:r>
        <w:rPr>
          <w:rFonts w:hint="eastAsia" w:ascii="新宋体" w:hAnsi="新宋体" w:eastAsia="新宋体" w:cs="新宋体"/>
          <w:color w:val="auto"/>
          <w:kern w:val="0"/>
          <w:sz w:val="24"/>
          <w:szCs w:val="24"/>
          <w:lang w:val="zh-CN"/>
        </w:rPr>
        <w:t>个工作日内未作答复的，甲方可从合同款或履约保证金中扣回索赔金额，如金额不足以补偿索赔金额，乙方应补足差额部分。</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15.</w:t>
      </w:r>
      <w:r>
        <w:rPr>
          <w:rFonts w:hint="eastAsia" w:ascii="新宋体" w:hAnsi="新宋体" w:eastAsia="新宋体" w:cs="新宋体"/>
          <w:b/>
          <w:bCs/>
          <w:color w:val="auto"/>
          <w:kern w:val="0"/>
          <w:sz w:val="24"/>
          <w:szCs w:val="24"/>
          <w:lang w:val="zh-CN"/>
        </w:rPr>
        <w:t>迟延交货</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15.1 </w:t>
      </w:r>
      <w:r>
        <w:rPr>
          <w:rFonts w:hint="eastAsia" w:ascii="新宋体" w:hAnsi="新宋体" w:eastAsia="新宋体" w:cs="新宋体"/>
          <w:color w:val="auto"/>
          <w:kern w:val="0"/>
          <w:sz w:val="24"/>
          <w:szCs w:val="24"/>
          <w:lang w:val="zh-CN"/>
        </w:rPr>
        <w:t>乙方应按照合同约定的时间交货和提供服务。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15.2 </w:t>
      </w:r>
      <w:r>
        <w:rPr>
          <w:rFonts w:hint="eastAsia" w:ascii="新宋体" w:hAnsi="新宋体" w:eastAsia="新宋体" w:cs="新宋体"/>
          <w:color w:val="auto"/>
          <w:kern w:val="0"/>
          <w:sz w:val="24"/>
          <w:szCs w:val="24"/>
          <w:lang w:val="zh-CN"/>
        </w:rPr>
        <w:t>除不可抗力因素外，乙方迟延交货，甲方有权提出违约损失赔偿或解除合同。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15.3 </w:t>
      </w:r>
      <w:r>
        <w:rPr>
          <w:rFonts w:hint="eastAsia" w:ascii="新宋体" w:hAnsi="新宋体" w:eastAsia="新宋体" w:cs="新宋体"/>
          <w:color w:val="auto"/>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16.</w:t>
      </w:r>
      <w:r>
        <w:rPr>
          <w:rFonts w:hint="eastAsia" w:ascii="新宋体" w:hAnsi="新宋体" w:eastAsia="新宋体" w:cs="新宋体"/>
          <w:b/>
          <w:bCs/>
          <w:color w:val="auto"/>
          <w:kern w:val="0"/>
          <w:sz w:val="24"/>
          <w:szCs w:val="24"/>
          <w:lang w:val="zh-CN"/>
        </w:rPr>
        <w:t>违约赔偿</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17.</w:t>
      </w:r>
      <w:r>
        <w:rPr>
          <w:rFonts w:hint="eastAsia" w:ascii="新宋体" w:hAnsi="新宋体" w:eastAsia="新宋体" w:cs="新宋体"/>
          <w:b/>
          <w:bCs/>
          <w:color w:val="auto"/>
          <w:kern w:val="0"/>
          <w:sz w:val="24"/>
          <w:szCs w:val="24"/>
          <w:lang w:val="zh-CN"/>
        </w:rPr>
        <w:t>不可抗力</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17.1 </w:t>
      </w:r>
      <w:r>
        <w:rPr>
          <w:rFonts w:hint="eastAsia" w:ascii="新宋体" w:hAnsi="新宋体" w:eastAsia="新宋体" w:cs="新宋体"/>
          <w:color w:val="auto"/>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17.2 </w:t>
      </w:r>
      <w:r>
        <w:rPr>
          <w:rFonts w:hint="eastAsia" w:ascii="新宋体" w:hAnsi="新宋体" w:eastAsia="新宋体" w:cs="新宋体"/>
          <w:color w:val="auto"/>
          <w:kern w:val="0"/>
          <w:sz w:val="24"/>
          <w:szCs w:val="24"/>
          <w:lang w:val="zh-CN"/>
        </w:rPr>
        <w:t>受事故影响的一方应在不可抗力的事故发生后以书面形式通知另一方。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17.3 </w:t>
      </w:r>
      <w:r>
        <w:rPr>
          <w:rFonts w:hint="eastAsia" w:ascii="新宋体" w:hAnsi="新宋体" w:eastAsia="新宋体" w:cs="新宋体"/>
          <w:color w:val="auto"/>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18.</w:t>
      </w:r>
      <w:r>
        <w:rPr>
          <w:rFonts w:hint="eastAsia" w:ascii="新宋体" w:hAnsi="新宋体" w:eastAsia="新宋体" w:cs="新宋体"/>
          <w:b/>
          <w:bCs/>
          <w:color w:val="auto"/>
          <w:kern w:val="0"/>
          <w:sz w:val="24"/>
          <w:szCs w:val="24"/>
          <w:lang w:val="zh-CN"/>
        </w:rPr>
        <w:t>税费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与本合同有关的一切税费均由乙方承担。</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19.</w:t>
      </w:r>
      <w:r>
        <w:rPr>
          <w:rFonts w:hint="eastAsia" w:ascii="新宋体" w:hAnsi="新宋体" w:eastAsia="新宋体" w:cs="新宋体"/>
          <w:b/>
          <w:bCs/>
          <w:color w:val="auto"/>
          <w:kern w:val="0"/>
          <w:sz w:val="24"/>
          <w:szCs w:val="24"/>
          <w:lang w:val="zh-CN"/>
        </w:rPr>
        <w:t>合同争议的解决</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19.1 </w:t>
      </w:r>
      <w:r>
        <w:rPr>
          <w:rFonts w:hint="eastAsia" w:ascii="新宋体" w:hAnsi="新宋体" w:eastAsia="新宋体" w:cs="新宋体"/>
          <w:color w:val="auto"/>
          <w:kern w:val="0"/>
          <w:sz w:val="24"/>
          <w:szCs w:val="24"/>
          <w:lang w:val="zh-CN"/>
        </w:rPr>
        <w:t>甲方和乙方由于本合同的履行而发生任何争议时，双方可先通过协商解决。</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19.2 </w:t>
      </w:r>
      <w:r>
        <w:rPr>
          <w:rFonts w:hint="eastAsia" w:ascii="新宋体" w:hAnsi="新宋体" w:eastAsia="新宋体" w:cs="新宋体"/>
          <w:color w:val="auto"/>
          <w:kern w:val="0"/>
          <w:sz w:val="24"/>
          <w:szCs w:val="24"/>
          <w:lang w:val="zh-CN"/>
        </w:rPr>
        <w:t>任何一方不愿通过协商或通过协商仍不能解决争议，则双方中任何一方均应向甲方所在地人民法院起诉。</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20.</w:t>
      </w:r>
      <w:r>
        <w:rPr>
          <w:rFonts w:hint="eastAsia" w:ascii="新宋体" w:hAnsi="新宋体" w:eastAsia="新宋体" w:cs="新宋体"/>
          <w:b/>
          <w:bCs/>
          <w:color w:val="auto"/>
          <w:kern w:val="0"/>
          <w:sz w:val="24"/>
          <w:szCs w:val="24"/>
          <w:lang w:val="zh-CN"/>
        </w:rPr>
        <w:t>违约解除合同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 </w:t>
      </w:r>
      <w:r>
        <w:rPr>
          <w:rFonts w:hint="eastAsia" w:ascii="新宋体" w:hAnsi="新宋体" w:eastAsia="新宋体" w:cs="新宋体"/>
          <w:color w:val="auto"/>
          <w:kern w:val="0"/>
          <w:sz w:val="24"/>
          <w:szCs w:val="24"/>
          <w:lang w:val="zh-CN"/>
        </w:rPr>
        <w:t>出现下列情形之一的，视为乙方违约。甲方可向乙方发出书面通知，部分或全部终止合同，同时保留向乙方索赔的权利。</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20.1.1 </w:t>
      </w:r>
      <w:r>
        <w:rPr>
          <w:rFonts w:hint="eastAsia" w:ascii="新宋体" w:hAnsi="新宋体" w:eastAsia="新宋体" w:cs="新宋体"/>
          <w:color w:val="auto"/>
          <w:kern w:val="0"/>
          <w:sz w:val="24"/>
          <w:szCs w:val="24"/>
          <w:lang w:val="zh-CN"/>
        </w:rPr>
        <w:t>乙方未能在合同规定的限期或甲方同意延长的限期内，提供全部或部分货物的；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20.1.2 </w:t>
      </w:r>
      <w:r>
        <w:rPr>
          <w:rFonts w:hint="eastAsia" w:ascii="新宋体" w:hAnsi="新宋体" w:eastAsia="新宋体" w:cs="新宋体"/>
          <w:color w:val="auto"/>
          <w:kern w:val="0"/>
          <w:sz w:val="24"/>
          <w:szCs w:val="24"/>
          <w:lang w:val="zh-CN"/>
        </w:rPr>
        <w:t>乙方未能履行合同规定的其它主要义务的；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20.1.3 </w:t>
      </w:r>
      <w:r>
        <w:rPr>
          <w:rFonts w:hint="eastAsia" w:ascii="新宋体" w:hAnsi="新宋体" w:eastAsia="新宋体" w:cs="新宋体"/>
          <w:color w:val="auto"/>
          <w:kern w:val="0"/>
          <w:sz w:val="24"/>
          <w:szCs w:val="24"/>
          <w:lang w:val="zh-CN"/>
        </w:rPr>
        <w:t>乙方在本合同履行过程中有欺诈行为的。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20.2 </w:t>
      </w:r>
      <w:r>
        <w:rPr>
          <w:rFonts w:hint="eastAsia" w:ascii="新宋体" w:hAnsi="新宋体" w:eastAsia="新宋体" w:cs="新宋体"/>
          <w:color w:val="auto"/>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21.</w:t>
      </w:r>
      <w:r>
        <w:rPr>
          <w:rFonts w:hint="eastAsia" w:ascii="新宋体" w:hAnsi="新宋体" w:eastAsia="新宋体" w:cs="新宋体"/>
          <w:b/>
          <w:bCs/>
          <w:color w:val="auto"/>
          <w:kern w:val="0"/>
          <w:sz w:val="24"/>
          <w:szCs w:val="24"/>
          <w:lang w:val="zh-CN"/>
        </w:rPr>
        <w:t>破产终止合同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22.</w:t>
      </w:r>
      <w:r>
        <w:rPr>
          <w:rFonts w:hint="eastAsia" w:ascii="新宋体" w:hAnsi="新宋体" w:eastAsia="新宋体" w:cs="新宋体"/>
          <w:b/>
          <w:bCs/>
          <w:color w:val="auto"/>
          <w:kern w:val="0"/>
          <w:sz w:val="24"/>
          <w:szCs w:val="24"/>
          <w:lang w:val="zh-CN"/>
        </w:rPr>
        <w:t>转让和分包</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22.1 </w:t>
      </w:r>
      <w:r>
        <w:rPr>
          <w:rFonts w:hint="eastAsia" w:ascii="新宋体" w:hAnsi="新宋体" w:eastAsia="新宋体" w:cs="新宋体"/>
          <w:color w:val="auto"/>
          <w:kern w:val="0"/>
          <w:sz w:val="24"/>
          <w:szCs w:val="24"/>
          <w:lang w:val="zh-CN"/>
        </w:rPr>
        <w:t>政府采购合同不能转让。</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22.2 </w:t>
      </w:r>
      <w:r>
        <w:rPr>
          <w:rFonts w:hint="eastAsia" w:ascii="新宋体" w:hAnsi="新宋体" w:eastAsia="新宋体" w:cs="新宋体"/>
          <w:color w:val="auto"/>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23.</w:t>
      </w:r>
      <w:r>
        <w:rPr>
          <w:rFonts w:hint="eastAsia" w:ascii="新宋体" w:hAnsi="新宋体" w:eastAsia="新宋体" w:cs="新宋体"/>
          <w:b/>
          <w:bCs/>
          <w:color w:val="auto"/>
          <w:kern w:val="0"/>
          <w:sz w:val="24"/>
          <w:szCs w:val="24"/>
          <w:lang w:val="zh-CN"/>
        </w:rPr>
        <w:t>合同修改</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政府采购合同的双方当事人不得擅自变更、中止或者终止合同</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24.</w:t>
      </w:r>
      <w:r>
        <w:rPr>
          <w:rFonts w:hint="eastAsia" w:ascii="新宋体" w:hAnsi="新宋体" w:eastAsia="新宋体" w:cs="新宋体"/>
          <w:b/>
          <w:bCs/>
          <w:color w:val="auto"/>
          <w:kern w:val="0"/>
          <w:sz w:val="24"/>
          <w:szCs w:val="24"/>
          <w:lang w:val="zh-CN"/>
        </w:rPr>
        <w:t>通知</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本合同任何一方给另一方的通知，都应以书面形式发送，而另一方也应以书面形式确认并发送到对方明确的地址。</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25.</w:t>
      </w:r>
      <w:r>
        <w:rPr>
          <w:rFonts w:hint="eastAsia" w:ascii="新宋体" w:hAnsi="新宋体" w:eastAsia="新宋体" w:cs="新宋体"/>
          <w:b/>
          <w:bCs/>
          <w:color w:val="auto"/>
          <w:kern w:val="0"/>
          <w:sz w:val="24"/>
          <w:szCs w:val="24"/>
          <w:lang w:val="zh-CN"/>
        </w:rPr>
        <w:t>计量单位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除技术规范中另有规定外</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计量单位均使用国家法定计量单位。</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26.</w:t>
      </w:r>
      <w:r>
        <w:rPr>
          <w:rFonts w:hint="eastAsia" w:ascii="新宋体" w:hAnsi="新宋体" w:eastAsia="新宋体" w:cs="新宋体"/>
          <w:b/>
          <w:bCs/>
          <w:color w:val="auto"/>
          <w:kern w:val="0"/>
          <w:sz w:val="24"/>
          <w:szCs w:val="24"/>
          <w:lang w:val="zh-CN"/>
        </w:rPr>
        <w:t>适用法律</w:t>
      </w:r>
    </w:p>
    <w:p>
      <w:pPr>
        <w:autoSpaceDE w:val="0"/>
        <w:autoSpaceDN w:val="0"/>
        <w:adjustRightInd w:val="0"/>
        <w:snapToGrid w:val="0"/>
        <w:spacing w:line="360" w:lineRule="auto"/>
        <w:ind w:firstLine="480"/>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本合同按照中华人民共和国的相关法律进行解释。</w:t>
      </w: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pStyle w:val="30"/>
        <w:tabs>
          <w:tab w:val="left" w:pos="2639"/>
          <w:tab w:val="clear" w:pos="916"/>
          <w:tab w:val="clear" w:pos="2748"/>
          <w:tab w:val="clear" w:pos="4580"/>
          <w:tab w:val="clear" w:pos="6412"/>
          <w:tab w:val="clear" w:pos="8244"/>
          <w:tab w:val="clear" w:pos="10076"/>
          <w:tab w:val="clear" w:pos="11908"/>
          <w:tab w:val="clear" w:pos="13740"/>
        </w:tabs>
        <w:rPr>
          <w:rFonts w:hint="eastAsia" w:ascii="新宋体" w:hAnsi="新宋体" w:eastAsia="新宋体" w:cs="新宋体"/>
          <w:color w:val="auto"/>
          <w:lang w:eastAsia="zh-CN"/>
        </w:rPr>
      </w:pPr>
      <w:bookmarkStart w:id="114" w:name="_Toc26383"/>
      <w:r>
        <w:rPr>
          <w:rFonts w:hint="eastAsia" w:ascii="新宋体" w:hAnsi="新宋体" w:eastAsia="新宋体" w:cs="新宋体"/>
          <w:color w:val="auto"/>
          <w:lang w:eastAsia="zh-CN"/>
        </w:rPr>
        <w:tab/>
      </w:r>
    </w:p>
    <w:p>
      <w:pPr>
        <w:pStyle w:val="30"/>
        <w:rPr>
          <w:rFonts w:hint="eastAsia" w:ascii="新宋体" w:hAnsi="新宋体" w:eastAsia="新宋体" w:cs="新宋体"/>
          <w:color w:val="auto"/>
        </w:rPr>
      </w:pPr>
    </w:p>
    <w:p>
      <w:pPr>
        <w:pStyle w:val="3"/>
        <w:spacing w:line="360" w:lineRule="auto"/>
        <w:jc w:val="both"/>
        <w:rPr>
          <w:rFonts w:hint="eastAsia" w:ascii="新宋体" w:hAnsi="新宋体" w:eastAsia="新宋体" w:cs="新宋体"/>
          <w:color w:val="auto"/>
          <w:sz w:val="36"/>
          <w:szCs w:val="36"/>
        </w:rPr>
      </w:pPr>
    </w:p>
    <w:p>
      <w:pPr>
        <w:pStyle w:val="3"/>
        <w:spacing w:line="360" w:lineRule="auto"/>
        <w:jc w:val="both"/>
        <w:rPr>
          <w:rFonts w:hint="eastAsia" w:ascii="新宋体" w:hAnsi="新宋体" w:eastAsia="新宋体" w:cs="新宋体"/>
          <w:color w:val="auto"/>
          <w:sz w:val="21"/>
          <w:szCs w:val="21"/>
        </w:rPr>
      </w:pPr>
    </w:p>
    <w:p>
      <w:pPr>
        <w:rPr>
          <w:rFonts w:hint="eastAsia" w:ascii="新宋体" w:hAnsi="新宋体" w:eastAsia="新宋体" w:cs="新宋体"/>
          <w:color w:val="auto"/>
          <w:sz w:val="21"/>
          <w:szCs w:val="21"/>
        </w:rPr>
      </w:pPr>
    </w:p>
    <w:p>
      <w:pPr>
        <w:pStyle w:val="30"/>
        <w:rPr>
          <w:rFonts w:hint="eastAsia"/>
          <w:color w:val="auto"/>
        </w:rPr>
      </w:pPr>
    </w:p>
    <w:p>
      <w:pPr>
        <w:pStyle w:val="3"/>
        <w:spacing w:line="360" w:lineRule="auto"/>
        <w:jc w:val="center"/>
        <w:rPr>
          <w:rFonts w:hint="eastAsia" w:ascii="新宋体" w:hAnsi="新宋体" w:eastAsia="新宋体" w:cs="新宋体"/>
          <w:color w:val="auto"/>
          <w:sz w:val="36"/>
          <w:szCs w:val="36"/>
        </w:rPr>
      </w:pPr>
      <w:bookmarkStart w:id="115" w:name="_Toc32267"/>
    </w:p>
    <w:p>
      <w:pPr>
        <w:pStyle w:val="3"/>
        <w:spacing w:line="360" w:lineRule="auto"/>
        <w:jc w:val="center"/>
        <w:rPr>
          <w:rFonts w:hint="eastAsia" w:ascii="新宋体" w:hAnsi="新宋体" w:eastAsia="新宋体" w:cs="新宋体"/>
          <w:color w:val="auto"/>
          <w:sz w:val="36"/>
          <w:szCs w:val="36"/>
        </w:rPr>
      </w:pPr>
    </w:p>
    <w:p>
      <w:pP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br w:type="page"/>
      </w:r>
    </w:p>
    <w:p>
      <w:pPr>
        <w:pStyle w:val="3"/>
        <w:spacing w:line="360" w:lineRule="auto"/>
        <w:jc w:val="cente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t>第四部分 响应文件格式</w:t>
      </w:r>
      <w:bookmarkEnd w:id="114"/>
      <w:bookmarkEnd w:id="115"/>
    </w:p>
    <w:p>
      <w:pPr>
        <w:autoSpaceDE w:val="0"/>
        <w:autoSpaceDN w:val="0"/>
        <w:spacing w:line="360" w:lineRule="auto"/>
        <w:jc w:val="right"/>
        <w:rPr>
          <w:rFonts w:hint="eastAsia" w:ascii="新宋体" w:hAnsi="新宋体" w:eastAsia="新宋体" w:cs="新宋体"/>
          <w:b/>
          <w:bCs/>
          <w:color w:val="auto"/>
          <w:kern w:val="0"/>
          <w:sz w:val="36"/>
          <w:szCs w:val="36"/>
        </w:rPr>
      </w:pPr>
      <w:r>
        <w:rPr>
          <w:rFonts w:hint="eastAsia" w:ascii="新宋体" w:hAnsi="新宋体" w:eastAsia="新宋体" w:cs="新宋体"/>
          <w:b/>
          <w:bCs/>
          <w:color w:val="auto"/>
          <w:kern w:val="0"/>
          <w:sz w:val="36"/>
          <w:szCs w:val="36"/>
        </w:rPr>
        <w:t>正本/副本</w:t>
      </w:r>
    </w:p>
    <w:p>
      <w:pPr>
        <w:pStyle w:val="3"/>
        <w:spacing w:line="360" w:lineRule="auto"/>
        <w:jc w:val="center"/>
        <w:rPr>
          <w:rFonts w:hint="eastAsia" w:ascii="新宋体" w:hAnsi="新宋体" w:eastAsia="新宋体" w:cs="新宋体"/>
          <w:color w:val="auto"/>
          <w:sz w:val="36"/>
          <w:szCs w:val="36"/>
          <w:lang w:val="zh-CN"/>
        </w:rPr>
      </w:pPr>
      <w:bookmarkStart w:id="116" w:name="_Toc23930"/>
      <w:r>
        <w:rPr>
          <w:rFonts w:hint="eastAsia" w:ascii="新宋体" w:hAnsi="新宋体" w:eastAsia="新宋体" w:cs="新宋体"/>
          <w:color w:val="auto"/>
          <w:sz w:val="36"/>
          <w:szCs w:val="36"/>
          <w:lang w:val="zh-CN"/>
        </w:rPr>
        <w:t>青海省政府采购项目</w:t>
      </w:r>
      <w:bookmarkEnd w:id="116"/>
    </w:p>
    <w:p>
      <w:pPr>
        <w:pStyle w:val="3"/>
        <w:spacing w:line="360" w:lineRule="auto"/>
        <w:jc w:val="center"/>
        <w:rPr>
          <w:rFonts w:hint="eastAsia" w:ascii="新宋体" w:hAnsi="新宋体" w:eastAsia="新宋体" w:cs="新宋体"/>
          <w:color w:val="auto"/>
          <w:sz w:val="36"/>
          <w:szCs w:val="36"/>
        </w:rPr>
      </w:pPr>
    </w:p>
    <w:p>
      <w:pPr>
        <w:pStyle w:val="3"/>
        <w:spacing w:line="360" w:lineRule="auto"/>
        <w:jc w:val="center"/>
        <w:rPr>
          <w:rFonts w:hint="eastAsia" w:ascii="新宋体" w:hAnsi="新宋体" w:eastAsia="新宋体" w:cs="新宋体"/>
          <w:color w:val="auto"/>
          <w:sz w:val="36"/>
          <w:szCs w:val="36"/>
          <w:lang w:val="zh-CN"/>
        </w:rPr>
      </w:pPr>
      <w:bookmarkStart w:id="117" w:name="_Toc15799"/>
      <w:r>
        <w:rPr>
          <w:rFonts w:hint="eastAsia" w:ascii="新宋体" w:hAnsi="新宋体" w:eastAsia="新宋体" w:cs="新宋体"/>
          <w:color w:val="auto"/>
          <w:sz w:val="36"/>
          <w:szCs w:val="36"/>
        </w:rPr>
        <w:t xml:space="preserve">响 应 </w:t>
      </w:r>
      <w:r>
        <w:rPr>
          <w:rFonts w:hint="eastAsia" w:ascii="新宋体" w:hAnsi="新宋体" w:eastAsia="新宋体" w:cs="新宋体"/>
          <w:color w:val="auto"/>
          <w:sz w:val="36"/>
          <w:szCs w:val="36"/>
          <w:lang w:val="zh-CN"/>
        </w:rPr>
        <w:t>文件</w:t>
      </w:r>
      <w:bookmarkEnd w:id="117"/>
    </w:p>
    <w:p>
      <w:pPr>
        <w:pStyle w:val="3"/>
        <w:spacing w:line="360" w:lineRule="auto"/>
        <w:jc w:val="center"/>
        <w:rPr>
          <w:rFonts w:hint="eastAsia" w:ascii="新宋体" w:hAnsi="新宋体" w:eastAsia="新宋体" w:cs="新宋体"/>
          <w:color w:val="auto"/>
          <w:sz w:val="36"/>
          <w:szCs w:val="36"/>
        </w:rPr>
      </w:pPr>
    </w:p>
    <w:p>
      <w:pPr>
        <w:autoSpaceDE w:val="0"/>
        <w:autoSpaceDN w:val="0"/>
        <w:spacing w:line="360" w:lineRule="auto"/>
        <w:rPr>
          <w:rFonts w:hint="eastAsia" w:ascii="新宋体" w:hAnsi="新宋体" w:eastAsia="新宋体" w:cs="新宋体"/>
          <w:color w:val="auto"/>
          <w:kern w:val="0"/>
          <w:sz w:val="36"/>
          <w:szCs w:val="36"/>
        </w:rPr>
      </w:pP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采购项目编号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采购项目名称</w:t>
      </w:r>
      <w:r>
        <w:rPr>
          <w:rFonts w:hint="eastAsia" w:ascii="新宋体" w:hAnsi="新宋体" w:eastAsia="新宋体" w:cs="新宋体"/>
          <w:b/>
          <w:bCs/>
          <w:color w:val="auto"/>
          <w:kern w:val="0"/>
          <w:sz w:val="28"/>
          <w:szCs w:val="28"/>
        </w:rPr>
        <w:t>：</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投标人：</w:t>
      </w:r>
      <w:r>
        <w:rPr>
          <w:rFonts w:hint="eastAsia" w:ascii="新宋体" w:hAnsi="新宋体" w:eastAsia="新宋体" w:cs="新宋体"/>
          <w:b/>
          <w:bCs/>
          <w:color w:val="auto"/>
          <w:kern w:val="0"/>
          <w:sz w:val="28"/>
          <w:szCs w:val="28"/>
        </w:rPr>
        <w:t>（</w:t>
      </w:r>
      <w:r>
        <w:rPr>
          <w:rFonts w:hint="eastAsia" w:ascii="新宋体" w:hAnsi="新宋体" w:eastAsia="新宋体" w:cs="新宋体"/>
          <w:b/>
          <w:bCs/>
          <w:color w:val="auto"/>
          <w:kern w:val="0"/>
          <w:sz w:val="28"/>
          <w:szCs w:val="28"/>
          <w:lang w:val="zh-CN"/>
        </w:rPr>
        <w:t>公章）</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法定代表人或委托代理人：（签字）</w:t>
      </w:r>
    </w:p>
    <w:p>
      <w:pPr>
        <w:autoSpaceDE w:val="0"/>
        <w:autoSpaceDN w:val="0"/>
        <w:spacing w:line="360" w:lineRule="auto"/>
        <w:ind w:firstLine="562" w:firstLineChars="200"/>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年</w:t>
      </w:r>
      <w:r>
        <w:rPr>
          <w:rFonts w:hint="eastAsia" w:ascii="新宋体" w:hAnsi="新宋体" w:eastAsia="新宋体" w:cs="新宋体"/>
          <w:b/>
          <w:bCs/>
          <w:color w:val="auto"/>
          <w:kern w:val="0"/>
          <w:sz w:val="28"/>
          <w:szCs w:val="28"/>
          <w:lang w:val="en-US" w:eastAsia="zh-CN"/>
        </w:rPr>
        <w:t xml:space="preserve"> </w:t>
      </w:r>
      <w:r>
        <w:rPr>
          <w:rFonts w:hint="eastAsia" w:ascii="新宋体" w:hAnsi="新宋体" w:eastAsia="新宋体" w:cs="新宋体"/>
          <w:b/>
          <w:bCs/>
          <w:color w:val="auto"/>
          <w:kern w:val="0"/>
          <w:sz w:val="28"/>
          <w:szCs w:val="28"/>
          <w:lang w:val="zh-CN"/>
        </w:rPr>
        <w:t>月</w:t>
      </w:r>
      <w:r>
        <w:rPr>
          <w:rFonts w:hint="eastAsia" w:ascii="新宋体" w:hAnsi="新宋体" w:eastAsia="新宋体" w:cs="新宋体"/>
          <w:b/>
          <w:bCs/>
          <w:color w:val="auto"/>
          <w:kern w:val="0"/>
          <w:sz w:val="28"/>
          <w:szCs w:val="28"/>
          <w:lang w:val="en-US" w:eastAsia="zh-CN"/>
        </w:rPr>
        <w:t xml:space="preserve"> </w:t>
      </w:r>
      <w:r>
        <w:rPr>
          <w:rFonts w:hint="eastAsia" w:ascii="新宋体" w:hAnsi="新宋体" w:eastAsia="新宋体" w:cs="新宋体"/>
          <w:b/>
          <w:bCs/>
          <w:color w:val="auto"/>
          <w:kern w:val="0"/>
          <w:sz w:val="28"/>
          <w:szCs w:val="28"/>
          <w:lang w:val="zh-CN"/>
        </w:rPr>
        <w:t>日</w:t>
      </w:r>
    </w:p>
    <w:p>
      <w:pPr>
        <w:adjustRightInd w:val="0"/>
        <w:snapToGrid w:val="0"/>
        <w:spacing w:line="360" w:lineRule="auto"/>
        <w:ind w:firstLine="394" w:firstLineChars="141"/>
        <w:jc w:val="left"/>
        <w:rPr>
          <w:rFonts w:hint="eastAsia" w:ascii="新宋体" w:hAnsi="新宋体" w:eastAsia="新宋体" w:cs="新宋体"/>
          <w:color w:val="auto"/>
          <w:sz w:val="28"/>
          <w:szCs w:val="28"/>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2"/>
        <w:adjustRightInd w:val="0"/>
        <w:snapToGrid w:val="0"/>
        <w:spacing w:before="0" w:after="0" w:line="360" w:lineRule="auto"/>
        <w:jc w:val="center"/>
        <w:outlineLvl w:val="1"/>
        <w:rPr>
          <w:rFonts w:hint="eastAsia" w:ascii="新宋体" w:hAnsi="新宋体" w:eastAsia="新宋体" w:cs="新宋体"/>
          <w:color w:val="auto"/>
          <w:sz w:val="24"/>
          <w:szCs w:val="24"/>
        </w:rPr>
      </w:pPr>
      <w:bookmarkStart w:id="118" w:name="_Toc21459"/>
      <w:bookmarkStart w:id="119" w:name="_Toc4045"/>
      <w:bookmarkStart w:id="120" w:name="_Toc21375"/>
      <w:bookmarkStart w:id="121" w:name="_Toc8514"/>
      <w:bookmarkStart w:id="122" w:name="_Toc29902"/>
      <w:r>
        <w:rPr>
          <w:rFonts w:hint="eastAsia" w:ascii="新宋体" w:hAnsi="新宋体" w:eastAsia="新宋体" w:cs="新宋体"/>
          <w:color w:val="auto"/>
          <w:sz w:val="24"/>
          <w:szCs w:val="24"/>
        </w:rPr>
        <w:t>目</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录</w:t>
      </w:r>
      <w:bookmarkEnd w:id="118"/>
      <w:bookmarkEnd w:id="119"/>
      <w:bookmarkEnd w:id="120"/>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响应函……………………………………………………………………所在页码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法定代表人证明书………………………………………………………所在页码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法定代表人授权书………………………………………………………所在页码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投标人承诺函……………………………………………………………所在页码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投标人诚信承诺书………………………………………………………所在页码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资格证明材料……………………………………………………………所在页码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财务状况报告，依法缴纳税收和社会保障资金的相关材料…………所在页码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具备履行合同所必需的设备和专业技术能力的证明材料……………所在页码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无重大违法记录声明……………………………………………………所在页码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磋商保证金证明………………………………………………………</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bookmarkEnd w:id="121"/>
    <w:bookmarkEnd w:id="122"/>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sz w:val="24"/>
          <w:szCs w:val="24"/>
        </w:rPr>
        <w:t>评分对照表</w:t>
      </w: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磋商一览表（报价表）………………………………………………</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分项报价表……………………………………………………………</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技术规格响应表………………………………………………………</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投标服务相关资料……………………………………………………</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技术服务方案…………………………………………………………</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投标人的类似业绩证明材料…………………………………………</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p>
      <w:pPr>
        <w:numPr>
          <w:ilvl w:val="0"/>
          <w:numId w:val="0"/>
        </w:num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lang w:val="en-US" w:eastAsia="zh-CN"/>
        </w:rPr>
        <w:t>18.1</w:t>
      </w:r>
      <w:r>
        <w:rPr>
          <w:rFonts w:hint="eastAsia" w:ascii="新宋体" w:hAnsi="新宋体" w:eastAsia="新宋体" w:cs="新宋体"/>
          <w:color w:val="auto"/>
          <w:kern w:val="0"/>
          <w:sz w:val="24"/>
          <w:szCs w:val="24"/>
          <w:lang w:val="zh-CN"/>
        </w:rPr>
        <w:t>）制造（生产）企业小型、微型企业声函…………………………所在页码</w:t>
      </w:r>
    </w:p>
    <w:p>
      <w:pPr>
        <w:pStyle w:val="2"/>
        <w:spacing w:line="360" w:lineRule="auto"/>
        <w:ind w:left="0" w:leftChars="0" w:firstLine="0" w:firstLineChars="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lang w:val="en-US" w:eastAsia="zh-CN"/>
        </w:rPr>
        <w:t>18.2</w:t>
      </w:r>
      <w:r>
        <w:rPr>
          <w:rFonts w:hint="eastAsia" w:ascii="新宋体" w:hAnsi="新宋体" w:eastAsia="新宋体" w:cs="新宋体"/>
          <w:color w:val="auto"/>
          <w:kern w:val="0"/>
          <w:sz w:val="24"/>
          <w:szCs w:val="24"/>
          <w:lang w:val="zh-CN"/>
        </w:rPr>
        <w:t>）从业人员声明函………………………………………………………所在页码</w:t>
      </w:r>
    </w:p>
    <w:p>
      <w:pPr>
        <w:pStyle w:val="2"/>
        <w:spacing w:line="360" w:lineRule="auto"/>
        <w:ind w:left="0" w:leftChars="0" w:firstLine="0" w:firstLineChars="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lang w:val="en-US" w:eastAsia="zh-CN"/>
        </w:rPr>
        <w:t>19</w:t>
      </w:r>
      <w:r>
        <w:rPr>
          <w:rFonts w:hint="eastAsia" w:ascii="新宋体" w:hAnsi="新宋体" w:eastAsia="新宋体" w:cs="新宋体"/>
          <w:color w:val="auto"/>
          <w:kern w:val="0"/>
          <w:sz w:val="24"/>
          <w:szCs w:val="24"/>
          <w:lang w:val="zh-CN"/>
        </w:rPr>
        <w:t>）残疾人福利性单位声明函………………………………………………所在页码</w:t>
      </w:r>
    </w:p>
    <w:p>
      <w:pPr>
        <w:pStyle w:val="2"/>
        <w:spacing w:line="360" w:lineRule="auto"/>
        <w:ind w:left="0" w:leftChars="0" w:firstLine="0" w:firstLineChars="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lang w:val="en-US" w:eastAsia="zh-CN"/>
        </w:rPr>
        <w:t>20</w:t>
      </w:r>
      <w:r>
        <w:rPr>
          <w:rFonts w:hint="eastAsia" w:ascii="新宋体" w:hAnsi="新宋体" w:eastAsia="新宋体" w:cs="新宋体"/>
          <w:color w:val="auto"/>
          <w:kern w:val="0"/>
          <w:sz w:val="24"/>
          <w:szCs w:val="24"/>
          <w:lang w:val="zh-CN"/>
        </w:rPr>
        <w:t>）投标人认为在其他方面有必要说明的事项……………………………所在页码</w:t>
      </w:r>
    </w:p>
    <w:p>
      <w:pPr>
        <w:pStyle w:val="2"/>
        <w:spacing w:line="360" w:lineRule="auto"/>
        <w:ind w:left="0" w:leftChars="0" w:firstLine="0" w:firstLineChars="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lang w:val="en-US" w:eastAsia="zh-CN"/>
        </w:rPr>
        <w:t>21</w:t>
      </w:r>
      <w:r>
        <w:rPr>
          <w:rFonts w:hint="eastAsia" w:ascii="新宋体" w:hAnsi="新宋体" w:eastAsia="新宋体" w:cs="新宋体"/>
          <w:color w:val="auto"/>
          <w:kern w:val="0"/>
          <w:sz w:val="24"/>
          <w:szCs w:val="24"/>
          <w:lang w:val="zh-CN"/>
        </w:rPr>
        <w:t>）投标人最终报价表………………………………………………………所在页码</w:t>
      </w:r>
    </w:p>
    <w:p>
      <w:pPr>
        <w:autoSpaceDE w:val="0"/>
        <w:autoSpaceDN w:val="0"/>
        <w:adjustRightInd w:val="0"/>
        <w:snapToGrid w:val="0"/>
        <w:spacing w:line="360" w:lineRule="auto"/>
        <w:rPr>
          <w:rFonts w:hint="eastAsia" w:ascii="新宋体" w:hAnsi="新宋体" w:eastAsia="新宋体" w:cs="新宋体"/>
          <w:b/>
          <w:bCs/>
          <w:color w:val="auto"/>
          <w:kern w:val="0"/>
          <w:sz w:val="36"/>
          <w:szCs w:val="36"/>
          <w:lang w:val="zh-CN"/>
        </w:rPr>
      </w:pPr>
    </w:p>
    <w:p>
      <w:pPr>
        <w:widowControl/>
        <w:adjustRightInd w:val="0"/>
        <w:snapToGrid w:val="0"/>
        <w:spacing w:line="360" w:lineRule="auto"/>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23" w:name="_Toc7778"/>
      <w:bookmarkStart w:id="124" w:name="_Toc5560"/>
      <w:r>
        <w:rPr>
          <w:rFonts w:hint="eastAsia" w:ascii="新宋体" w:hAnsi="新宋体" w:eastAsia="新宋体" w:cs="新宋体"/>
          <w:color w:val="auto"/>
          <w:sz w:val="24"/>
          <w:szCs w:val="24"/>
        </w:rPr>
        <w:t>（1）</w:t>
      </w:r>
      <w:bookmarkEnd w:id="123"/>
      <w:r>
        <w:rPr>
          <w:rFonts w:hint="eastAsia" w:ascii="新宋体" w:hAnsi="新宋体" w:eastAsia="新宋体" w:cs="新宋体"/>
          <w:color w:val="auto"/>
          <w:sz w:val="24"/>
          <w:szCs w:val="24"/>
        </w:rPr>
        <w:t>响应函</w:t>
      </w:r>
      <w:bookmarkEnd w:id="124"/>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响应函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我们收到</w:t>
      </w:r>
      <w:r>
        <w:rPr>
          <w:rFonts w:hint="eastAsia" w:ascii="新宋体" w:hAnsi="新宋体" w:eastAsia="新宋体" w:cs="新宋体"/>
          <w:color w:val="auto"/>
          <w:kern w:val="0"/>
          <w:sz w:val="24"/>
          <w:szCs w:val="24"/>
          <w:u w:val="single"/>
          <w:lang w:val="zh-CN"/>
        </w:rPr>
        <w:t>采购项目名称（采购项目编号</w:t>
      </w:r>
      <w:r>
        <w:rPr>
          <w:rFonts w:hint="eastAsia" w:ascii="新宋体" w:hAnsi="新宋体" w:eastAsia="新宋体" w:cs="新宋体"/>
          <w:color w:val="auto"/>
          <w:kern w:val="0"/>
          <w:sz w:val="24"/>
          <w:szCs w:val="24"/>
          <w:u w:val="single"/>
        </w:rPr>
        <w:t>/包号</w:t>
      </w:r>
      <w:r>
        <w:rPr>
          <w:rFonts w:hint="eastAsia" w:ascii="新宋体" w:hAnsi="新宋体" w:eastAsia="新宋体" w:cs="新宋体"/>
          <w:color w:val="auto"/>
          <w:kern w:val="0"/>
          <w:sz w:val="24"/>
          <w:szCs w:val="24"/>
          <w:u w:val="single"/>
          <w:lang w:val="zh-CN"/>
        </w:rPr>
        <w:t>）</w:t>
      </w:r>
      <w:r>
        <w:rPr>
          <w:rFonts w:hint="eastAsia" w:ascii="新宋体" w:hAnsi="新宋体" w:eastAsia="新宋体" w:cs="新宋体"/>
          <w:color w:val="auto"/>
          <w:kern w:val="0"/>
          <w:sz w:val="24"/>
          <w:szCs w:val="24"/>
          <w:lang w:val="zh-CN"/>
        </w:rPr>
        <w:t>磋商文件，经研究，法定代表人（姓名、职务）正式授权（委托代理人姓名、职务）代表投标人（投标人名称、地址）提交响应文件。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据此函，签字代表宣布同意如下：</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1.我方已详阅磋商文件的全部内容，包括澄清、修改条款等有关附件，承诺对其完全理解并接受。</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2.投标有效期：</w:t>
      </w:r>
      <w:r>
        <w:rPr>
          <w:rFonts w:hint="eastAsia" w:ascii="新宋体" w:hAnsi="新宋体" w:eastAsia="新宋体" w:cs="新宋体"/>
          <w:color w:val="auto"/>
          <w:sz w:val="24"/>
          <w:szCs w:val="24"/>
          <w:shd w:val="clear" w:color="auto" w:fill="FFFFFF"/>
        </w:rPr>
        <w:t>从提交响应文件的截止之日起</w:t>
      </w:r>
      <w:r>
        <w:rPr>
          <w:rFonts w:hint="eastAsia" w:ascii="新宋体" w:hAnsi="新宋体" w:eastAsia="新宋体" w:cs="新宋体"/>
          <w:color w:val="auto"/>
          <w:sz w:val="24"/>
          <w:szCs w:val="24"/>
          <w:u w:val="single"/>
          <w:shd w:val="clear" w:color="auto" w:fill="FFFFFF"/>
          <w:lang w:val="en-US" w:eastAsia="zh-CN"/>
        </w:rPr>
        <w:t>60</w:t>
      </w:r>
      <w:r>
        <w:rPr>
          <w:rFonts w:hint="eastAsia" w:ascii="新宋体" w:hAnsi="新宋体" w:eastAsia="新宋体" w:cs="新宋体"/>
          <w:color w:val="auto"/>
          <w:kern w:val="0"/>
          <w:sz w:val="24"/>
          <w:szCs w:val="24"/>
          <w:u w:val="single"/>
          <w:lang w:val="zh-CN"/>
        </w:rPr>
        <w:t>日历日</w:t>
      </w:r>
      <w:r>
        <w:rPr>
          <w:rFonts w:hint="eastAsia" w:ascii="新宋体" w:hAnsi="新宋体" w:eastAsia="新宋体" w:cs="新宋体"/>
          <w:color w:val="auto"/>
          <w:kern w:val="0"/>
          <w:sz w:val="24"/>
          <w:szCs w:val="24"/>
          <w:lang w:val="zh-CN"/>
        </w:rPr>
        <w:t>内有效。如果我方在投标有效期内撤回投标或成交后不签约的，磋商保证金将被贵方没收。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3.我方同意按照贵方要求提供与投标有关的一切数据或资料，理解并接受贵方制定的评标办法。</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4.与本投标有关的一切正式往来通讯请寄：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tbl>
      <w:tblPr>
        <w:tblStyle w:val="34"/>
        <w:tblW w:w="9628" w:type="dxa"/>
        <w:tblInd w:w="2" w:type="dxa"/>
        <w:tblLayout w:type="fixed"/>
        <w:tblCellMar>
          <w:top w:w="0" w:type="dxa"/>
          <w:left w:w="108" w:type="dxa"/>
          <w:bottom w:w="0" w:type="dxa"/>
          <w:right w:w="108" w:type="dxa"/>
        </w:tblCellMar>
      </w:tblPr>
      <w:tblGrid>
        <w:gridCol w:w="5920"/>
        <w:gridCol w:w="3708"/>
      </w:tblGrid>
      <w:tr>
        <w:tblPrEx>
          <w:tblCellMar>
            <w:top w:w="0" w:type="dxa"/>
            <w:left w:w="108" w:type="dxa"/>
            <w:bottom w:w="0" w:type="dxa"/>
            <w:right w:w="108" w:type="dxa"/>
          </w:tblCellMar>
        </w:tblPrEx>
        <w:trPr>
          <w:trHeight w:val="768" w:hRule="atLeast"/>
        </w:trPr>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地址：_______________  </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邮编：______________</w:t>
            </w:r>
          </w:p>
        </w:tc>
      </w:tr>
      <w:tr>
        <w:tblPrEx>
          <w:tblCellMar>
            <w:top w:w="0" w:type="dxa"/>
            <w:left w:w="108" w:type="dxa"/>
            <w:bottom w:w="0" w:type="dxa"/>
            <w:right w:w="108" w:type="dxa"/>
          </w:tblCellMar>
        </w:tblPrEx>
        <w:trPr>
          <w:trHeight w:val="693" w:hRule="atLeast"/>
        </w:trPr>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电话：_______________</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传真：______________</w:t>
            </w:r>
          </w:p>
        </w:tc>
      </w:tr>
      <w:tr>
        <w:tblPrEx>
          <w:tblCellMar>
            <w:top w:w="0" w:type="dxa"/>
            <w:left w:w="108" w:type="dxa"/>
            <w:bottom w:w="0" w:type="dxa"/>
            <w:right w:w="108" w:type="dxa"/>
          </w:tblCellMar>
        </w:tblPrEx>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法定代表人姓名： ___________  </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职务：____________</w:t>
            </w:r>
          </w:p>
        </w:tc>
      </w:tr>
    </w:tbl>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25" w:name="_Toc3877"/>
      <w:bookmarkStart w:id="126" w:name="_Toc2382"/>
      <w:r>
        <w:rPr>
          <w:rFonts w:hint="eastAsia" w:ascii="新宋体" w:hAnsi="新宋体" w:eastAsia="新宋体" w:cs="新宋体"/>
          <w:color w:val="auto"/>
          <w:sz w:val="24"/>
          <w:szCs w:val="24"/>
        </w:rPr>
        <w:t>（2）法定代表人证明书</w:t>
      </w:r>
      <w:bookmarkEnd w:id="125"/>
      <w:bookmarkEnd w:id="126"/>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法定代表人证明书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u w:val="single"/>
          <w:lang w:val="zh-CN"/>
        </w:rPr>
        <w:t>（法定代表人姓名）</w:t>
      </w:r>
      <w:r>
        <w:rPr>
          <w:rFonts w:hint="eastAsia" w:ascii="新宋体" w:hAnsi="新宋体" w:eastAsia="新宋体" w:cs="新宋体"/>
          <w:color w:val="auto"/>
          <w:kern w:val="0"/>
          <w:sz w:val="24"/>
          <w:szCs w:val="24"/>
          <w:lang w:val="zh-CN"/>
        </w:rPr>
        <w:t>现任我单位职务，为法定代表人，特此证明。</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法定代表人基本情况：</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性别：年龄： 民族：</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地址：</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身份证号码：</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附法定代表人第二代身份证双面扫描（或复印）件。</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27" w:name="_Toc32517"/>
      <w:bookmarkStart w:id="128" w:name="_Toc28906"/>
      <w:r>
        <w:rPr>
          <w:rFonts w:hint="eastAsia" w:ascii="新宋体" w:hAnsi="新宋体" w:eastAsia="新宋体" w:cs="新宋体"/>
          <w:color w:val="auto"/>
          <w:sz w:val="24"/>
          <w:szCs w:val="24"/>
        </w:rPr>
        <w:t>（3）法定代表人授权书</w:t>
      </w:r>
      <w:bookmarkEnd w:id="127"/>
      <w:bookmarkEnd w:id="128"/>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法定代表人授权书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utoSpaceDE w:val="0"/>
        <w:autoSpaceDN w:val="0"/>
        <w:adjustRightInd w:val="0"/>
        <w:snapToGrid w:val="0"/>
        <w:spacing w:line="360" w:lineRule="auto"/>
        <w:ind w:firstLine="482"/>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u w:val="single"/>
          <w:lang w:val="zh-CN"/>
        </w:rPr>
        <w:t>（</w:t>
      </w:r>
      <w:r>
        <w:rPr>
          <w:rFonts w:hint="eastAsia" w:ascii="新宋体" w:hAnsi="新宋体" w:eastAsia="新宋体" w:cs="新宋体"/>
          <w:color w:val="auto"/>
          <w:kern w:val="0"/>
          <w:sz w:val="24"/>
          <w:szCs w:val="24"/>
          <w:u w:val="single"/>
          <w:lang w:val="zh-CN"/>
        </w:rPr>
        <w:t>投标人名称）</w:t>
      </w:r>
      <w:r>
        <w:rPr>
          <w:rFonts w:hint="eastAsia" w:ascii="新宋体" w:hAnsi="新宋体" w:eastAsia="新宋体" w:cs="新宋体"/>
          <w:color w:val="auto"/>
          <w:kern w:val="0"/>
          <w:sz w:val="24"/>
          <w:szCs w:val="24"/>
          <w:lang w:val="zh-CN"/>
        </w:rPr>
        <w:t>系中华人民共和国合法企业，法定地址。</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u w:val="single"/>
          <w:lang w:val="zh-CN"/>
        </w:rPr>
        <w:t>（法定代表人姓名）</w:t>
      </w:r>
      <w:r>
        <w:rPr>
          <w:rFonts w:hint="eastAsia" w:ascii="新宋体" w:hAnsi="新宋体" w:eastAsia="新宋体" w:cs="新宋体"/>
          <w:color w:val="auto"/>
          <w:kern w:val="0"/>
          <w:sz w:val="24"/>
          <w:szCs w:val="24"/>
          <w:lang w:val="zh-CN"/>
        </w:rPr>
        <w:t>特授权</w:t>
      </w:r>
      <w:r>
        <w:rPr>
          <w:rFonts w:hint="eastAsia" w:ascii="新宋体" w:hAnsi="新宋体" w:eastAsia="新宋体" w:cs="新宋体"/>
          <w:color w:val="auto"/>
          <w:kern w:val="0"/>
          <w:sz w:val="24"/>
          <w:szCs w:val="24"/>
          <w:u w:val="single"/>
          <w:lang w:val="zh-CN"/>
        </w:rPr>
        <w:t>（委托代理人姓名）</w:t>
      </w:r>
      <w:r>
        <w:rPr>
          <w:rFonts w:hint="eastAsia" w:ascii="新宋体" w:hAnsi="新宋体" w:eastAsia="新宋体" w:cs="新宋体"/>
          <w:color w:val="auto"/>
          <w:kern w:val="0"/>
          <w:sz w:val="24"/>
          <w:szCs w:val="24"/>
          <w:lang w:val="zh-CN"/>
        </w:rPr>
        <w:t>代表我单位全权办理</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项目的投标、答疑等具体工作，并签署全部有关的文件、资料。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我单位对被授权人的签名负全部责任。</w:t>
      </w:r>
    </w:p>
    <w:p>
      <w:pPr>
        <w:pStyle w:val="10"/>
        <w:ind w:firstLine="480" w:firstLineChars="20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授权期限：自年月日起至年月日止。</w:t>
      </w:r>
    </w:p>
    <w:p>
      <w:pPr>
        <w:pStyle w:val="11"/>
        <w:rPr>
          <w:rFonts w:hint="eastAsia" w:ascii="新宋体" w:hAnsi="新宋体" w:eastAsia="新宋体" w:cs="新宋体"/>
          <w:color w:val="auto"/>
          <w:lang w:val="zh-CN"/>
        </w:rPr>
      </w:pPr>
      <w:bookmarkStart w:id="129" w:name="_Toc26732"/>
      <w:bookmarkStart w:id="130" w:name="_Toc3327"/>
      <w:r>
        <w:rPr>
          <w:rFonts w:hint="eastAsia" w:ascii="新宋体" w:hAnsi="新宋体" w:eastAsia="新宋体" w:cs="新宋体"/>
          <w:color w:val="auto"/>
          <w:sz w:val="24"/>
          <w:szCs w:val="24"/>
          <w:lang w:val="zh-CN"/>
        </w:rPr>
        <w:t>授权期限必须满足投标有效期</w:t>
      </w:r>
      <w:bookmarkEnd w:id="129"/>
      <w:bookmarkEnd w:id="130"/>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被授权人联系电话：</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被授权人（委托代理人）签字：  授权人（法定代表人）签字：</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职务：  职务：</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附被授权人第二代身份证双面扫描（或复印）件</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31" w:name="_Toc25049"/>
      <w:bookmarkStart w:id="132" w:name="_Toc22169"/>
      <w:bookmarkStart w:id="133" w:name="_Toc24222"/>
      <w:r>
        <w:rPr>
          <w:rFonts w:hint="eastAsia" w:ascii="新宋体" w:hAnsi="新宋体" w:eastAsia="新宋体" w:cs="新宋体"/>
          <w:color w:val="auto"/>
          <w:sz w:val="24"/>
          <w:szCs w:val="24"/>
        </w:rPr>
        <w:t>（4）投标人承诺函</w:t>
      </w:r>
      <w:bookmarkEnd w:id="131"/>
      <w:bookmarkEnd w:id="132"/>
      <w:bookmarkEnd w:id="133"/>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投标人承诺函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关于贵方年月日</w:t>
      </w:r>
      <w:r>
        <w:rPr>
          <w:rFonts w:hint="eastAsia" w:ascii="新宋体" w:hAnsi="新宋体" w:eastAsia="新宋体" w:cs="新宋体"/>
          <w:color w:val="auto"/>
          <w:kern w:val="0"/>
          <w:sz w:val="24"/>
          <w:szCs w:val="24"/>
          <w:u w:val="single"/>
          <w:lang w:val="zh-CN"/>
        </w:rPr>
        <w:t xml:space="preserve">          （项目名称）</w:t>
      </w:r>
      <w:r>
        <w:rPr>
          <w:rFonts w:hint="eastAsia" w:ascii="新宋体" w:hAnsi="新宋体" w:eastAsia="新宋体" w:cs="新宋体"/>
          <w:color w:val="auto"/>
          <w:kern w:val="0"/>
          <w:sz w:val="24"/>
          <w:szCs w:val="24"/>
          <w:lang w:val="zh-CN"/>
        </w:rPr>
        <w:t>采购项目，本签字人愿意参加投标，提供采购一览表中要求的所有服务项目，并证实提交的所有资料是准确的和真实的。同时，我代表（投标人名称），在此作如下承诺：</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1.完全理解和接受磋商文件的一切规定和要求；</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 3.在整个招标过程中我方若有违规行为，贵方可按磋商文件之规定给予处罚，我方完全接受。</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4.若成交，本承诺将成为合同不可分割的一部分，与合同具有同等的法律效力。</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34" w:name="_Toc12008"/>
      <w:bookmarkStart w:id="135" w:name="_Toc30516"/>
      <w:r>
        <w:rPr>
          <w:rFonts w:hint="eastAsia" w:ascii="新宋体" w:hAnsi="新宋体" w:eastAsia="新宋体" w:cs="新宋体"/>
          <w:color w:val="auto"/>
          <w:sz w:val="24"/>
          <w:szCs w:val="24"/>
        </w:rPr>
        <w:t>（5）投标人诚信承诺书</w:t>
      </w:r>
      <w:bookmarkEnd w:id="134"/>
      <w:bookmarkEnd w:id="135"/>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投标人诚信承诺书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为了诚实、客观、有序地参与青海省政府采购活动，愿就以下内容作出承诺：</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一、自觉遵守各项法律、法规、规章、制度以及社会公德，维护廉洁环境，与同场竞争的其他投标人平等参加政府采购活动。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三、尊重参与政府采购活动各相关方的合法行为，接受政府采购活动依法形成的意见、结果。</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四、依法参加政府采购活动，不围标、串标，维护市场秩序，不提供“三无”产品、以次充好。</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六、认真履行成交人应承担的责任和义务，全面执行采购合同规定的各项内容，保质保量地按时提供采购物品。</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若本企业（单位）发生有悖于上述承诺的行为，愿意接受《中华人民共和国政府采购法》和《政府采购法实施条例》中对投标人的相关处理。</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本承诺是采购项目响应文件的组成部分。</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36" w:name="_Toc6825"/>
      <w:bookmarkStart w:id="137" w:name="_Toc15890"/>
      <w:r>
        <w:rPr>
          <w:rFonts w:hint="eastAsia" w:ascii="新宋体" w:hAnsi="新宋体" w:eastAsia="新宋体" w:cs="新宋体"/>
          <w:color w:val="auto"/>
          <w:sz w:val="24"/>
          <w:szCs w:val="24"/>
        </w:rPr>
        <w:t>（6）资格证明材料</w:t>
      </w:r>
      <w:bookmarkEnd w:id="136"/>
      <w:bookmarkEnd w:id="137"/>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资格证明材料</w:t>
      </w:r>
    </w:p>
    <w:p>
      <w:pPr>
        <w:adjustRightInd w:val="0"/>
        <w:snapToGrid w:val="0"/>
        <w:spacing w:line="360" w:lineRule="auto"/>
        <w:ind w:right="36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资格证明材料包括：</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投标人的营业执照；</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磋商文件规定的有关资格证书、许可证书、认证等；</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投标企业简介及获得相关证书证明文件；</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投标人认为有必要提供的其他资格证明文件。</w:t>
      </w:r>
    </w:p>
    <w:p>
      <w:pPr>
        <w:adjustRightInd w:val="0"/>
        <w:snapToGrid w:val="0"/>
        <w:spacing w:line="360" w:lineRule="auto"/>
        <w:ind w:left="425" w:right="36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如果是非法人资格的投标人，须提供身份证明。</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38" w:name="_Toc21336"/>
      <w:bookmarkStart w:id="139" w:name="_Toc8647"/>
      <w:r>
        <w:rPr>
          <w:rFonts w:hint="eastAsia" w:ascii="新宋体" w:hAnsi="新宋体" w:eastAsia="新宋体" w:cs="新宋体"/>
          <w:color w:val="auto"/>
          <w:sz w:val="24"/>
          <w:szCs w:val="24"/>
        </w:rPr>
        <w:t>（7）财务状况报告，依法缴纳税收和社会保障资金的相关材料</w:t>
      </w:r>
      <w:bookmarkEnd w:id="138"/>
      <w:bookmarkEnd w:id="139"/>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财务状况报告，依法缴纳税收和社会保障资金的相关材料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按照磋商文件第2.2款（1）中第&lt;2&gt;条规定提供以下相关材料。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w:t>
      </w:r>
      <w:bookmarkStart w:id="183" w:name="_GoBack"/>
      <w:r>
        <w:rPr>
          <w:rFonts w:hint="eastAsia" w:ascii="新宋体" w:hAnsi="新宋体" w:eastAsia="新宋体" w:cs="新宋体"/>
          <w:color w:val="auto"/>
          <w:kern w:val="0"/>
          <w:sz w:val="24"/>
          <w:szCs w:val="24"/>
          <w:lang w:val="zh-CN"/>
        </w:rPr>
        <w:t>投标人基本开户银行三个月内出具的资信证明或经第三方机构出具</w:t>
      </w:r>
      <w:r>
        <w:rPr>
          <w:rFonts w:hint="eastAsia" w:ascii="新宋体" w:hAnsi="新宋体" w:eastAsia="新宋体" w:cs="新宋体"/>
          <w:color w:val="auto"/>
          <w:kern w:val="0"/>
          <w:sz w:val="24"/>
          <w:szCs w:val="24"/>
          <w:u w:val="none"/>
          <w:lang w:val="zh-CN"/>
        </w:rPr>
        <w:t>（</w:t>
      </w:r>
      <w:r>
        <w:rPr>
          <w:rFonts w:hint="eastAsia" w:ascii="新宋体" w:hAnsi="新宋体" w:eastAsia="新宋体" w:cs="新宋体"/>
          <w:color w:val="auto"/>
          <w:kern w:val="0"/>
          <w:sz w:val="24"/>
          <w:szCs w:val="24"/>
          <w:u w:val="none"/>
          <w:lang w:val="en-US" w:eastAsia="zh-CN"/>
        </w:rPr>
        <w:t>2020年或2021年</w:t>
      </w:r>
      <w:r>
        <w:rPr>
          <w:rFonts w:hint="eastAsia" w:ascii="新宋体" w:hAnsi="新宋体" w:eastAsia="新宋体" w:cs="新宋体"/>
          <w:color w:val="auto"/>
          <w:kern w:val="0"/>
          <w:sz w:val="24"/>
          <w:szCs w:val="24"/>
          <w:u w:val="none"/>
          <w:lang w:val="zh-CN"/>
        </w:rPr>
        <w:t>）</w:t>
      </w:r>
      <w:r>
        <w:rPr>
          <w:rFonts w:hint="eastAsia" w:ascii="新宋体" w:hAnsi="新宋体" w:eastAsia="新宋体" w:cs="新宋体"/>
          <w:color w:val="auto"/>
          <w:kern w:val="0"/>
          <w:sz w:val="24"/>
          <w:szCs w:val="24"/>
          <w:lang w:val="zh-CN"/>
        </w:rPr>
        <w:t>财务状况的资产负债表、现金流量表、利润表和财务（会计）报表附注</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并提供第三方机构的营业执照、执业证书。</w:t>
      </w:r>
      <w:bookmarkEnd w:id="183"/>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2、近</w:t>
      </w:r>
      <w:r>
        <w:rPr>
          <w:rFonts w:hint="eastAsia" w:ascii="新宋体" w:hAnsi="新宋体" w:eastAsia="新宋体" w:cs="新宋体"/>
          <w:color w:val="auto"/>
          <w:kern w:val="0"/>
          <w:sz w:val="24"/>
          <w:szCs w:val="24"/>
          <w:lang w:val="en-US" w:eastAsia="zh-CN"/>
        </w:rPr>
        <w:t>半年内任意</w:t>
      </w:r>
      <w:r>
        <w:rPr>
          <w:rFonts w:hint="eastAsia" w:ascii="新宋体" w:hAnsi="新宋体" w:eastAsia="新宋体" w:cs="新宋体"/>
          <w:color w:val="auto"/>
          <w:kern w:val="0"/>
          <w:sz w:val="24"/>
          <w:szCs w:val="24"/>
          <w:lang w:val="zh-CN"/>
        </w:rPr>
        <w:t>三个月依法缴纳税收和社会保障资金记录的证明材料；依法免税或不需要缴纳社会保障资金的投标人须提供相应文件证明其依法免税或不需要缴纳社会保障资金。</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40" w:name="_Toc29689"/>
      <w:bookmarkStart w:id="141" w:name="_Toc6614"/>
      <w:r>
        <w:rPr>
          <w:rFonts w:hint="eastAsia" w:ascii="新宋体" w:hAnsi="新宋体" w:eastAsia="新宋体" w:cs="新宋体"/>
          <w:color w:val="auto"/>
          <w:sz w:val="24"/>
          <w:szCs w:val="24"/>
        </w:rPr>
        <w:t>（8）具备履行合同所必须的设备和专业技术能力的证明材料</w:t>
      </w:r>
      <w:bookmarkEnd w:id="140"/>
      <w:bookmarkEnd w:id="141"/>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具备履行合同所必须的设备和专业技术能力的证明材料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为保证本项目合同的顺利履行，投标人必须具备履行合同的设备和专业技术能力，须提供相关相关人员的证书证明材料。</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42" w:name="_Toc10142"/>
      <w:bookmarkStart w:id="143" w:name="_Toc12981"/>
      <w:r>
        <w:rPr>
          <w:rFonts w:hint="eastAsia" w:ascii="新宋体" w:hAnsi="新宋体" w:eastAsia="新宋体" w:cs="新宋体"/>
          <w:color w:val="auto"/>
          <w:sz w:val="24"/>
          <w:szCs w:val="24"/>
        </w:rPr>
        <w:t>（9）无重大违法记录声明</w:t>
      </w:r>
      <w:bookmarkEnd w:id="142"/>
      <w:bookmarkEnd w:id="143"/>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无重大非法记录声明</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djustRightInd w:val="0"/>
        <w:snapToGrid w:val="0"/>
        <w:spacing w:line="360" w:lineRule="auto"/>
        <w:ind w:firstLine="480" w:firstLineChars="200"/>
        <w:rPr>
          <w:rFonts w:hint="eastAsia" w:ascii="新宋体" w:hAnsi="新宋体" w:eastAsia="新宋体" w:cs="新宋体"/>
          <w:color w:val="auto"/>
          <w:sz w:val="24"/>
          <w:szCs w:val="24"/>
          <w:shd w:val="clear" w:color="auto" w:fill="FFFFFF"/>
        </w:rPr>
      </w:pPr>
      <w:r>
        <w:rPr>
          <w:rFonts w:hint="eastAsia" w:ascii="新宋体" w:hAnsi="新宋体" w:eastAsia="新宋体" w:cs="新宋体"/>
          <w:color w:val="auto"/>
          <w:sz w:val="24"/>
          <w:szCs w:val="24"/>
        </w:rPr>
        <w:t>我单位参加本次政府采购项目活动前三年内，在经营活动中无重大违法活动记录，符合《政府采购法》规定的投标人资格条</w:t>
      </w:r>
      <w:r>
        <w:rPr>
          <w:rFonts w:hint="eastAsia" w:ascii="新宋体" w:hAnsi="新宋体" w:eastAsia="新宋体" w:cs="新宋体"/>
          <w:color w:val="auto"/>
          <w:sz w:val="24"/>
          <w:szCs w:val="24"/>
          <w:shd w:val="clear" w:color="auto" w:fill="FFFFFF"/>
        </w:rPr>
        <w:t>件。我方对此声明负全部法律责任。</w:t>
      </w:r>
    </w:p>
    <w:p>
      <w:pPr>
        <w:adjustRightInd w:val="0"/>
        <w:snapToGrid w:val="0"/>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特此声明。</w:t>
      </w: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44" w:name="_Toc21180"/>
      <w:bookmarkStart w:id="145" w:name="_Toc15854"/>
      <w:r>
        <w:rPr>
          <w:rFonts w:hint="eastAsia" w:ascii="新宋体" w:hAnsi="新宋体" w:eastAsia="新宋体" w:cs="新宋体"/>
          <w:color w:val="auto"/>
          <w:sz w:val="24"/>
          <w:szCs w:val="24"/>
        </w:rPr>
        <w:t>（10）磋商保证金证明</w:t>
      </w:r>
      <w:bookmarkEnd w:id="144"/>
      <w:bookmarkEnd w:id="145"/>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磋商保证金证明</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我方为（采购项目名称）项目（采购项目编号</w:t>
      </w:r>
      <w:r>
        <w:rPr>
          <w:rFonts w:hint="eastAsia" w:ascii="新宋体" w:hAnsi="新宋体" w:eastAsia="新宋体" w:cs="新宋体"/>
          <w:color w:val="auto"/>
          <w:kern w:val="0"/>
          <w:sz w:val="24"/>
          <w:szCs w:val="24"/>
        </w:rPr>
        <w:t>/包号</w:t>
      </w:r>
      <w:r>
        <w:rPr>
          <w:rFonts w:hint="eastAsia" w:ascii="新宋体" w:hAnsi="新宋体" w:eastAsia="新宋体" w:cs="新宋体"/>
          <w:color w:val="auto"/>
          <w:kern w:val="0"/>
          <w:sz w:val="24"/>
          <w:szCs w:val="24"/>
          <w:lang w:val="zh-CN"/>
        </w:rPr>
        <w:t>为：        ）递交保证金人民币（大写：人民币元）已于     年    月    日以基本户转账方式汇入你方账户。</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附件：保证金交款证明复印件（加盖公章）</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户    名：</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开户银行：</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开户帐号：</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注：通过银行转账的，必须由投标人从其基本账户汇（转）入</w:t>
      </w:r>
      <w:r>
        <w:rPr>
          <w:rFonts w:hint="eastAsia" w:ascii="新宋体" w:hAnsi="新宋体" w:eastAsia="新宋体" w:cs="新宋体"/>
          <w:color w:val="auto"/>
          <w:kern w:val="0"/>
          <w:sz w:val="24"/>
          <w:szCs w:val="24"/>
        </w:rPr>
        <w:t>9.1条规定的账户</w:t>
      </w:r>
      <w:r>
        <w:rPr>
          <w:rFonts w:hint="eastAsia" w:ascii="新宋体" w:hAnsi="新宋体" w:eastAsia="新宋体" w:cs="新宋体"/>
          <w:color w:val="auto"/>
          <w:kern w:val="0"/>
          <w:sz w:val="24"/>
          <w:szCs w:val="24"/>
          <w:lang w:val="zh-CN"/>
        </w:rPr>
        <w:t>。</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46" w:name="_Toc10594"/>
      <w:bookmarkStart w:id="147" w:name="_Toc9542"/>
      <w:r>
        <w:rPr>
          <w:rFonts w:hint="eastAsia" w:ascii="新宋体" w:hAnsi="新宋体" w:eastAsia="新宋体" w:cs="新宋体"/>
          <w:color w:val="auto"/>
          <w:sz w:val="24"/>
          <w:szCs w:val="24"/>
        </w:rPr>
        <w:t>（11）评分对照表</w:t>
      </w:r>
      <w:bookmarkEnd w:id="146"/>
      <w:bookmarkEnd w:id="147"/>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评分对照表</w:t>
      </w:r>
    </w:p>
    <w:tbl>
      <w:tblPr>
        <w:tblStyle w:val="34"/>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54"/>
        <w:gridCol w:w="2755"/>
        <w:gridCol w:w="2483"/>
        <w:gridCol w:w="3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tcBorders>
              <w:top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2755" w:type="dxa"/>
            <w:tcBorders>
              <w:top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磋商文件评分标准</w:t>
            </w:r>
          </w:p>
        </w:tc>
        <w:tc>
          <w:tcPr>
            <w:tcW w:w="2483" w:type="dxa"/>
            <w:tcBorders>
              <w:top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投标响应部分</w:t>
            </w:r>
          </w:p>
        </w:tc>
        <w:tc>
          <w:tcPr>
            <w:tcW w:w="3250" w:type="dxa"/>
            <w:tcBorders>
              <w:top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响应文件中对应页码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954"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954"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tcBorders>
              <w:bottom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p>
        </w:tc>
        <w:tc>
          <w:tcPr>
            <w:tcW w:w="2755" w:type="dxa"/>
            <w:tcBorders>
              <w:bottom w:val="single" w:color="auto" w:sz="12" w:space="0"/>
            </w:tcBorders>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tcBorders>
              <w:bottom w:val="single" w:color="auto" w:sz="12" w:space="0"/>
            </w:tcBorders>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tcBorders>
              <w:bottom w:val="single" w:color="auto" w:sz="12" w:space="0"/>
            </w:tcBorders>
            <w:vAlign w:val="center"/>
          </w:tcPr>
          <w:p>
            <w:pPr>
              <w:pStyle w:val="7"/>
              <w:adjustRightInd w:val="0"/>
              <w:snapToGrid w:val="0"/>
              <w:spacing w:line="360" w:lineRule="auto"/>
              <w:ind w:left="420" w:firstLine="0"/>
              <w:jc w:val="center"/>
              <w:rPr>
                <w:rFonts w:hint="eastAsia" w:ascii="新宋体" w:hAnsi="新宋体" w:eastAsia="新宋体" w:cs="新宋体"/>
                <w:color w:val="auto"/>
                <w:sz w:val="24"/>
                <w:szCs w:val="24"/>
              </w:rPr>
            </w:pPr>
          </w:p>
        </w:tc>
      </w:tr>
    </w:tbl>
    <w:p>
      <w:pPr>
        <w:autoSpaceDE w:val="0"/>
        <w:autoSpaceDN w:val="0"/>
        <w:spacing w:line="360" w:lineRule="auto"/>
        <w:rPr>
          <w:rFonts w:hint="eastAsia" w:ascii="新宋体" w:hAnsi="新宋体" w:eastAsia="新宋体" w:cs="新宋体"/>
          <w:b/>
          <w:bCs/>
          <w:color w:val="auto"/>
          <w:kern w:val="0"/>
          <w:sz w:val="36"/>
          <w:szCs w:val="36"/>
        </w:rPr>
      </w:pPr>
    </w:p>
    <w:p>
      <w:pPr>
        <w:autoSpaceDE w:val="0"/>
        <w:autoSpaceDN w:val="0"/>
        <w:spacing w:line="360" w:lineRule="auto"/>
        <w:rPr>
          <w:rFonts w:hint="eastAsia" w:ascii="新宋体" w:hAnsi="新宋体" w:eastAsia="新宋体" w:cs="新宋体"/>
          <w:b/>
          <w:bCs/>
          <w:color w:val="auto"/>
          <w:kern w:val="0"/>
          <w:sz w:val="36"/>
          <w:szCs w:val="36"/>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pStyle w:val="4"/>
        <w:spacing w:line="360" w:lineRule="auto"/>
        <w:rPr>
          <w:rFonts w:hint="eastAsia" w:ascii="新宋体" w:hAnsi="新宋体" w:eastAsia="新宋体" w:cs="新宋体"/>
          <w:color w:val="auto"/>
          <w:sz w:val="24"/>
          <w:szCs w:val="24"/>
        </w:rPr>
      </w:pPr>
      <w:bookmarkStart w:id="148" w:name="_Toc24301"/>
      <w:bookmarkStart w:id="149" w:name="_Toc26525"/>
      <w:r>
        <w:rPr>
          <w:rFonts w:hint="eastAsia" w:ascii="新宋体" w:hAnsi="新宋体" w:eastAsia="新宋体" w:cs="新宋体"/>
          <w:color w:val="auto"/>
          <w:sz w:val="24"/>
          <w:szCs w:val="24"/>
        </w:rPr>
        <w:t>（12）磋商一览表（报价表）</w:t>
      </w:r>
      <w:bookmarkEnd w:id="148"/>
      <w:bookmarkEnd w:id="149"/>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磋商一览表（报价表）</w:t>
      </w:r>
    </w:p>
    <w:tbl>
      <w:tblPr>
        <w:tblStyle w:val="34"/>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2909"/>
        <w:gridCol w:w="6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tcBorders>
              <w:top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项目名称</w:t>
            </w:r>
          </w:p>
        </w:tc>
        <w:tc>
          <w:tcPr>
            <w:tcW w:w="6617" w:type="dxa"/>
            <w:tcBorders>
              <w:top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zh-CN"/>
              </w:rPr>
              <w:t>投标编号</w:t>
            </w:r>
            <w:r>
              <w:rPr>
                <w:rFonts w:hint="eastAsia" w:ascii="新宋体" w:hAnsi="新宋体" w:eastAsia="新宋体" w:cs="新宋体"/>
                <w:color w:val="auto"/>
                <w:sz w:val="24"/>
                <w:szCs w:val="24"/>
              </w:rPr>
              <w:t>/包号</w:t>
            </w:r>
          </w:p>
        </w:tc>
        <w:tc>
          <w:tcPr>
            <w:tcW w:w="6617" w:type="dxa"/>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043" w:hRule="atLeast"/>
          <w:jc w:val="center"/>
        </w:trPr>
        <w:tc>
          <w:tcPr>
            <w:tcW w:w="2909" w:type="dxa"/>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磋商报价</w:t>
            </w:r>
          </w:p>
        </w:tc>
        <w:tc>
          <w:tcPr>
            <w:tcW w:w="6617" w:type="dxa"/>
            <w:vAlign w:val="center"/>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大写：</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服务期限</w:t>
            </w:r>
          </w:p>
        </w:tc>
        <w:tc>
          <w:tcPr>
            <w:tcW w:w="6617" w:type="dxa"/>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tcBorders>
              <w:bottom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优惠承诺</w:t>
            </w:r>
          </w:p>
        </w:tc>
        <w:tc>
          <w:tcPr>
            <w:tcW w:w="6617" w:type="dxa"/>
            <w:tcBorders>
              <w:bottom w:val="single" w:color="auto" w:sz="12" w:space="0"/>
            </w:tcBorders>
            <w:vAlign w:val="center"/>
          </w:tcPr>
          <w:p>
            <w:pPr>
              <w:pStyle w:val="7"/>
              <w:adjustRightInd w:val="0"/>
              <w:snapToGrid w:val="0"/>
              <w:spacing w:line="360" w:lineRule="auto"/>
              <w:ind w:firstLine="0"/>
              <w:jc w:val="center"/>
              <w:rPr>
                <w:rFonts w:hint="eastAsia" w:ascii="新宋体" w:hAnsi="新宋体" w:eastAsia="新宋体" w:cs="新宋体"/>
                <w:color w:val="auto"/>
                <w:sz w:val="24"/>
                <w:szCs w:val="24"/>
              </w:rPr>
            </w:pPr>
          </w:p>
        </w:tc>
      </w:tr>
    </w:tbl>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注：</w:t>
      </w:r>
      <w:r>
        <w:rPr>
          <w:rFonts w:hint="eastAsia" w:ascii="新宋体" w:hAnsi="新宋体" w:eastAsia="新宋体" w:cs="新宋体"/>
          <w:color w:val="auto"/>
          <w:kern w:val="0"/>
          <w:sz w:val="24"/>
          <w:szCs w:val="24"/>
          <w:lang w:val="zh-CN"/>
        </w:rPr>
        <w:t>1.填写此表时不得改变表格形式。</w:t>
      </w:r>
    </w:p>
    <w:p>
      <w:pPr>
        <w:autoSpaceDE w:val="0"/>
        <w:autoSpaceDN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报价”为投标总价。磋商报价必须包括：投标报价完成本服务内容可能发生的各项费用，如人员工资、交通、设备、利润、税收、招标代理费以及所有有关的管理成本和其他不可预见费等全部费用。（说明：具体内容应根据项目特点实事求是的填写）</w:t>
      </w:r>
    </w:p>
    <w:p>
      <w:pPr>
        <w:autoSpaceDE w:val="0"/>
        <w:autoSpaceDN w:val="0"/>
        <w:adjustRightInd w:val="0"/>
        <w:snapToGrid w:val="0"/>
        <w:spacing w:line="360" w:lineRule="auto"/>
        <w:ind w:firstLine="240" w:firstLineChars="1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val="zh-CN"/>
        </w:rPr>
        <w:t>.“服务期限”是指产品能够交付使用的具体时间。</w:t>
      </w:r>
    </w:p>
    <w:p>
      <w:pPr>
        <w:autoSpaceDE w:val="0"/>
        <w:autoSpaceDN w:val="0"/>
        <w:adjustRightInd w:val="0"/>
        <w:snapToGrid w:val="0"/>
        <w:spacing w:line="360" w:lineRule="auto"/>
        <w:ind w:firstLine="240" w:firstLineChars="1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lang w:val="zh-CN"/>
        </w:rPr>
        <w:t>.磋商报价不能有两个或两个以上的报价方案，</w:t>
      </w:r>
      <w:r>
        <w:rPr>
          <w:rFonts w:hint="eastAsia" w:ascii="新宋体" w:hAnsi="新宋体" w:eastAsia="新宋体" w:cs="新宋体"/>
          <w:color w:val="auto"/>
          <w:kern w:val="0"/>
          <w:sz w:val="24"/>
          <w:szCs w:val="24"/>
        </w:rPr>
        <w:t>否则投标无效</w:t>
      </w:r>
      <w:r>
        <w:rPr>
          <w:rFonts w:hint="eastAsia" w:ascii="新宋体" w:hAnsi="新宋体" w:eastAsia="新宋体" w:cs="新宋体"/>
          <w:color w:val="auto"/>
          <w:kern w:val="0"/>
          <w:sz w:val="24"/>
          <w:szCs w:val="24"/>
          <w:lang w:val="zh-CN"/>
        </w:rPr>
        <w:t>。</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widowControl/>
        <w:spacing w:line="360" w:lineRule="auto"/>
        <w:jc w:val="lef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br w:type="page"/>
      </w:r>
    </w:p>
    <w:p>
      <w:pPr>
        <w:pStyle w:val="4"/>
        <w:spacing w:line="360" w:lineRule="auto"/>
        <w:rPr>
          <w:rFonts w:hint="eastAsia" w:ascii="新宋体" w:hAnsi="新宋体" w:eastAsia="新宋体" w:cs="新宋体"/>
          <w:color w:val="auto"/>
          <w:sz w:val="24"/>
          <w:szCs w:val="24"/>
        </w:rPr>
      </w:pPr>
      <w:bookmarkStart w:id="150" w:name="_Toc505"/>
      <w:bookmarkStart w:id="151" w:name="_Toc14532"/>
      <w:r>
        <w:rPr>
          <w:rFonts w:hint="eastAsia" w:ascii="新宋体" w:hAnsi="新宋体" w:eastAsia="新宋体" w:cs="新宋体"/>
          <w:color w:val="auto"/>
          <w:sz w:val="24"/>
          <w:szCs w:val="24"/>
        </w:rPr>
        <w:t>（13）分项报价表</w:t>
      </w:r>
      <w:bookmarkEnd w:id="150"/>
      <w:bookmarkEnd w:id="151"/>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分项报价表</w:t>
      </w:r>
    </w:p>
    <w:p>
      <w:pPr>
        <w:spacing w:before="259" w:line="184" w:lineRule="auto"/>
        <w:ind w:firstLine="20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投标人名称：</w:t>
      </w:r>
    </w:p>
    <w:p>
      <w:pPr>
        <w:spacing w:line="192" w:lineRule="exact"/>
      </w:pPr>
    </w:p>
    <w:tbl>
      <w:tblPr>
        <w:tblStyle w:val="119"/>
        <w:tblW w:w="86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1560"/>
        <w:gridCol w:w="1603"/>
        <w:gridCol w:w="1603"/>
        <w:gridCol w:w="1605"/>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37" w:type="dxa"/>
            <w:tcBorders>
              <w:top w:val="single" w:color="000000" w:sz="6" w:space="0"/>
              <w:left w:val="single" w:color="000000" w:sz="6" w:space="0"/>
            </w:tcBorders>
            <w:vAlign w:val="top"/>
          </w:tcPr>
          <w:p>
            <w:pPr>
              <w:spacing w:before="40" w:line="184" w:lineRule="auto"/>
              <w:ind w:firstLine="76"/>
              <w:rPr>
                <w:rFonts w:ascii="宋体" w:hAnsi="宋体" w:eastAsia="宋体" w:cs="宋体"/>
                <w:sz w:val="24"/>
                <w:szCs w:val="24"/>
              </w:rPr>
            </w:pPr>
            <w:r>
              <w:rPr>
                <w:rFonts w:ascii="宋体" w:hAnsi="宋体" w:eastAsia="宋体" w:cs="宋体"/>
                <w:spacing w:val="-5"/>
                <w:sz w:val="24"/>
                <w:szCs w:val="24"/>
              </w:rPr>
              <w:t>序号</w:t>
            </w:r>
          </w:p>
        </w:tc>
        <w:tc>
          <w:tcPr>
            <w:tcW w:w="1560" w:type="dxa"/>
            <w:tcBorders>
              <w:top w:val="single" w:color="000000" w:sz="6" w:space="0"/>
            </w:tcBorders>
            <w:vAlign w:val="top"/>
          </w:tcPr>
          <w:p>
            <w:pPr>
              <w:spacing w:before="40" w:line="184" w:lineRule="auto"/>
              <w:ind w:firstLine="540"/>
              <w:rPr>
                <w:rFonts w:ascii="宋体" w:hAnsi="宋体" w:eastAsia="宋体" w:cs="宋体"/>
                <w:sz w:val="24"/>
                <w:szCs w:val="24"/>
              </w:rPr>
            </w:pPr>
            <w:r>
              <w:rPr>
                <w:rFonts w:ascii="宋体" w:hAnsi="宋体" w:eastAsia="宋体" w:cs="宋体"/>
                <w:spacing w:val="-7"/>
                <w:sz w:val="24"/>
                <w:szCs w:val="24"/>
              </w:rPr>
              <w:t>名称</w:t>
            </w:r>
          </w:p>
        </w:tc>
        <w:tc>
          <w:tcPr>
            <w:tcW w:w="1603" w:type="dxa"/>
            <w:tcBorders>
              <w:top w:val="single" w:color="000000" w:sz="6" w:space="0"/>
            </w:tcBorders>
            <w:vAlign w:val="top"/>
          </w:tcPr>
          <w:p>
            <w:pPr>
              <w:spacing w:before="40" w:line="184" w:lineRule="auto"/>
              <w:ind w:firstLine="205"/>
              <w:rPr>
                <w:rFonts w:ascii="宋体" w:hAnsi="宋体" w:eastAsia="宋体" w:cs="宋体"/>
                <w:sz w:val="24"/>
                <w:szCs w:val="24"/>
              </w:rPr>
            </w:pPr>
            <w:r>
              <w:rPr>
                <w:rFonts w:ascii="宋体" w:hAnsi="宋体" w:eastAsia="宋体" w:cs="宋体"/>
                <w:spacing w:val="-3"/>
                <w:sz w:val="24"/>
                <w:szCs w:val="24"/>
              </w:rPr>
              <w:t>数量及单位</w:t>
            </w:r>
          </w:p>
        </w:tc>
        <w:tc>
          <w:tcPr>
            <w:tcW w:w="1603" w:type="dxa"/>
            <w:tcBorders>
              <w:top w:val="single" w:color="000000" w:sz="6" w:space="0"/>
            </w:tcBorders>
            <w:vAlign w:val="top"/>
          </w:tcPr>
          <w:p>
            <w:pPr>
              <w:spacing w:before="40" w:line="184" w:lineRule="auto"/>
              <w:ind w:firstLine="568"/>
              <w:rPr>
                <w:rFonts w:ascii="宋体" w:hAnsi="宋体" w:eastAsia="宋体" w:cs="宋体"/>
                <w:sz w:val="24"/>
                <w:szCs w:val="24"/>
              </w:rPr>
            </w:pPr>
            <w:r>
              <w:rPr>
                <w:rFonts w:ascii="宋体" w:hAnsi="宋体" w:eastAsia="宋体" w:cs="宋体"/>
                <w:spacing w:val="-6"/>
                <w:sz w:val="24"/>
                <w:szCs w:val="24"/>
              </w:rPr>
              <w:t>单价</w:t>
            </w:r>
          </w:p>
        </w:tc>
        <w:tc>
          <w:tcPr>
            <w:tcW w:w="1605" w:type="dxa"/>
            <w:tcBorders>
              <w:top w:val="single" w:color="000000" w:sz="6" w:space="0"/>
            </w:tcBorders>
            <w:vAlign w:val="top"/>
          </w:tcPr>
          <w:p>
            <w:pPr>
              <w:spacing w:before="40" w:line="184" w:lineRule="auto"/>
              <w:ind w:firstLine="572"/>
              <w:rPr>
                <w:rFonts w:ascii="宋体" w:hAnsi="宋体" w:eastAsia="宋体" w:cs="宋体"/>
                <w:sz w:val="24"/>
                <w:szCs w:val="24"/>
              </w:rPr>
            </w:pPr>
            <w:r>
              <w:rPr>
                <w:rFonts w:ascii="宋体" w:hAnsi="宋体" w:eastAsia="宋体" w:cs="宋体"/>
                <w:spacing w:val="-6"/>
                <w:sz w:val="24"/>
                <w:szCs w:val="24"/>
              </w:rPr>
              <w:t>合计</w:t>
            </w:r>
          </w:p>
        </w:tc>
        <w:tc>
          <w:tcPr>
            <w:tcW w:w="1613" w:type="dxa"/>
            <w:tcBorders>
              <w:top w:val="single" w:color="000000" w:sz="6" w:space="0"/>
            </w:tcBorders>
            <w:vAlign w:val="top"/>
          </w:tcPr>
          <w:p>
            <w:pPr>
              <w:spacing w:before="40" w:line="184" w:lineRule="auto"/>
              <w:ind w:firstLine="574"/>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37" w:type="dxa"/>
            <w:tcBorders>
              <w:left w:val="single" w:color="000000" w:sz="6" w:space="0"/>
            </w:tcBorders>
            <w:vAlign w:val="top"/>
          </w:tcPr>
          <w:p>
            <w:pPr>
              <w:spacing w:before="71" w:line="180" w:lineRule="auto"/>
              <w:ind w:firstLine="275"/>
              <w:rPr>
                <w:rFonts w:ascii="宋体" w:hAnsi="宋体" w:eastAsia="宋体" w:cs="宋体"/>
                <w:sz w:val="24"/>
                <w:szCs w:val="24"/>
              </w:rPr>
            </w:pPr>
            <w:r>
              <w:rPr>
                <w:rFonts w:ascii="宋体" w:hAnsi="宋体" w:eastAsia="宋体" w:cs="宋体"/>
                <w:sz w:val="24"/>
                <w:szCs w:val="24"/>
              </w:rPr>
              <w:t>1</w:t>
            </w:r>
          </w:p>
        </w:tc>
        <w:tc>
          <w:tcPr>
            <w:tcW w:w="1560" w:type="dxa"/>
            <w:vAlign w:val="top"/>
          </w:tcPr>
          <w:p>
            <w:pPr>
              <w:rPr>
                <w:rFonts w:ascii="宋体"/>
                <w:sz w:val="21"/>
              </w:rPr>
            </w:pPr>
          </w:p>
        </w:tc>
        <w:tc>
          <w:tcPr>
            <w:tcW w:w="1603" w:type="dxa"/>
            <w:vAlign w:val="top"/>
          </w:tcPr>
          <w:p>
            <w:pPr>
              <w:rPr>
                <w:rFonts w:ascii="宋体"/>
                <w:sz w:val="21"/>
              </w:rPr>
            </w:pPr>
          </w:p>
        </w:tc>
        <w:tc>
          <w:tcPr>
            <w:tcW w:w="1603" w:type="dxa"/>
            <w:vAlign w:val="top"/>
          </w:tcPr>
          <w:p>
            <w:pPr>
              <w:rPr>
                <w:rFonts w:ascii="宋体"/>
                <w:sz w:val="21"/>
              </w:rPr>
            </w:pPr>
          </w:p>
        </w:tc>
        <w:tc>
          <w:tcPr>
            <w:tcW w:w="1605" w:type="dxa"/>
            <w:vAlign w:val="top"/>
          </w:tcPr>
          <w:p>
            <w:pPr>
              <w:rPr>
                <w:rFonts w:ascii="宋体"/>
                <w:sz w:val="21"/>
              </w:rPr>
            </w:pPr>
          </w:p>
        </w:tc>
        <w:tc>
          <w:tcPr>
            <w:tcW w:w="1613"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637" w:type="dxa"/>
            <w:tcBorders>
              <w:left w:val="single" w:color="000000" w:sz="6" w:space="0"/>
            </w:tcBorders>
            <w:vAlign w:val="top"/>
          </w:tcPr>
          <w:p>
            <w:pPr>
              <w:spacing w:before="75" w:line="180" w:lineRule="auto"/>
              <w:ind w:firstLine="260"/>
              <w:rPr>
                <w:rFonts w:ascii="宋体" w:hAnsi="宋体" w:eastAsia="宋体" w:cs="宋体"/>
                <w:sz w:val="24"/>
                <w:szCs w:val="24"/>
              </w:rPr>
            </w:pPr>
            <w:r>
              <w:rPr>
                <w:rFonts w:ascii="宋体" w:hAnsi="宋体" w:eastAsia="宋体" w:cs="宋体"/>
                <w:sz w:val="24"/>
                <w:szCs w:val="24"/>
              </w:rPr>
              <w:t>2</w:t>
            </w:r>
          </w:p>
        </w:tc>
        <w:tc>
          <w:tcPr>
            <w:tcW w:w="1560" w:type="dxa"/>
            <w:vAlign w:val="top"/>
          </w:tcPr>
          <w:p>
            <w:pPr>
              <w:rPr>
                <w:rFonts w:ascii="宋体"/>
                <w:sz w:val="21"/>
              </w:rPr>
            </w:pPr>
          </w:p>
        </w:tc>
        <w:tc>
          <w:tcPr>
            <w:tcW w:w="1603" w:type="dxa"/>
            <w:vAlign w:val="top"/>
          </w:tcPr>
          <w:p>
            <w:pPr>
              <w:rPr>
                <w:rFonts w:ascii="宋体"/>
                <w:sz w:val="21"/>
              </w:rPr>
            </w:pPr>
          </w:p>
        </w:tc>
        <w:tc>
          <w:tcPr>
            <w:tcW w:w="1603" w:type="dxa"/>
            <w:vAlign w:val="top"/>
          </w:tcPr>
          <w:p>
            <w:pPr>
              <w:rPr>
                <w:rFonts w:ascii="宋体"/>
                <w:sz w:val="21"/>
              </w:rPr>
            </w:pPr>
          </w:p>
        </w:tc>
        <w:tc>
          <w:tcPr>
            <w:tcW w:w="1605" w:type="dxa"/>
            <w:vAlign w:val="top"/>
          </w:tcPr>
          <w:p>
            <w:pPr>
              <w:rPr>
                <w:rFonts w:ascii="宋体"/>
                <w:sz w:val="21"/>
              </w:rPr>
            </w:pPr>
          </w:p>
        </w:tc>
        <w:tc>
          <w:tcPr>
            <w:tcW w:w="1613"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vAlign w:val="top"/>
          </w:tcPr>
          <w:p>
            <w:pPr>
              <w:spacing w:before="76" w:line="180" w:lineRule="auto"/>
              <w:ind w:firstLine="262"/>
              <w:rPr>
                <w:rFonts w:ascii="宋体" w:hAnsi="宋体" w:eastAsia="宋体" w:cs="宋体"/>
                <w:sz w:val="24"/>
                <w:szCs w:val="24"/>
              </w:rPr>
            </w:pPr>
            <w:r>
              <w:rPr>
                <w:rFonts w:ascii="宋体" w:hAnsi="宋体" w:eastAsia="宋体" w:cs="宋体"/>
                <w:sz w:val="24"/>
                <w:szCs w:val="24"/>
              </w:rPr>
              <w:t>3</w:t>
            </w:r>
          </w:p>
        </w:tc>
        <w:tc>
          <w:tcPr>
            <w:tcW w:w="1560" w:type="dxa"/>
            <w:vAlign w:val="top"/>
          </w:tcPr>
          <w:p>
            <w:pPr>
              <w:rPr>
                <w:rFonts w:ascii="宋体"/>
                <w:sz w:val="21"/>
              </w:rPr>
            </w:pPr>
          </w:p>
        </w:tc>
        <w:tc>
          <w:tcPr>
            <w:tcW w:w="1603" w:type="dxa"/>
            <w:vAlign w:val="top"/>
          </w:tcPr>
          <w:p>
            <w:pPr>
              <w:rPr>
                <w:rFonts w:ascii="宋体"/>
                <w:sz w:val="21"/>
              </w:rPr>
            </w:pPr>
          </w:p>
        </w:tc>
        <w:tc>
          <w:tcPr>
            <w:tcW w:w="1603" w:type="dxa"/>
            <w:vAlign w:val="top"/>
          </w:tcPr>
          <w:p>
            <w:pPr>
              <w:rPr>
                <w:rFonts w:ascii="宋体"/>
                <w:sz w:val="21"/>
              </w:rPr>
            </w:pPr>
          </w:p>
        </w:tc>
        <w:tc>
          <w:tcPr>
            <w:tcW w:w="1605" w:type="dxa"/>
            <w:vAlign w:val="top"/>
          </w:tcPr>
          <w:p>
            <w:pPr>
              <w:rPr>
                <w:rFonts w:ascii="宋体"/>
                <w:sz w:val="21"/>
              </w:rPr>
            </w:pPr>
          </w:p>
        </w:tc>
        <w:tc>
          <w:tcPr>
            <w:tcW w:w="1613"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vAlign w:val="top"/>
          </w:tcPr>
          <w:p>
            <w:pPr>
              <w:spacing w:before="78" w:line="180" w:lineRule="auto"/>
              <w:ind w:firstLine="256"/>
              <w:rPr>
                <w:rFonts w:ascii="宋体" w:hAnsi="宋体" w:eastAsia="宋体" w:cs="宋体"/>
                <w:sz w:val="24"/>
                <w:szCs w:val="24"/>
              </w:rPr>
            </w:pPr>
            <w:r>
              <w:rPr>
                <w:rFonts w:ascii="宋体" w:hAnsi="宋体" w:eastAsia="宋体" w:cs="宋体"/>
                <w:sz w:val="24"/>
                <w:szCs w:val="24"/>
              </w:rPr>
              <w:t>4</w:t>
            </w:r>
          </w:p>
        </w:tc>
        <w:tc>
          <w:tcPr>
            <w:tcW w:w="1560" w:type="dxa"/>
            <w:vAlign w:val="top"/>
          </w:tcPr>
          <w:p>
            <w:pPr>
              <w:rPr>
                <w:rFonts w:ascii="宋体"/>
                <w:sz w:val="21"/>
              </w:rPr>
            </w:pPr>
          </w:p>
        </w:tc>
        <w:tc>
          <w:tcPr>
            <w:tcW w:w="1603" w:type="dxa"/>
            <w:vAlign w:val="top"/>
          </w:tcPr>
          <w:p>
            <w:pPr>
              <w:rPr>
                <w:rFonts w:ascii="宋体"/>
                <w:sz w:val="21"/>
              </w:rPr>
            </w:pPr>
          </w:p>
        </w:tc>
        <w:tc>
          <w:tcPr>
            <w:tcW w:w="1603" w:type="dxa"/>
            <w:vAlign w:val="top"/>
          </w:tcPr>
          <w:p>
            <w:pPr>
              <w:rPr>
                <w:rFonts w:ascii="宋体"/>
                <w:sz w:val="21"/>
              </w:rPr>
            </w:pPr>
          </w:p>
        </w:tc>
        <w:tc>
          <w:tcPr>
            <w:tcW w:w="1605" w:type="dxa"/>
            <w:vAlign w:val="top"/>
          </w:tcPr>
          <w:p>
            <w:pPr>
              <w:rPr>
                <w:rFonts w:ascii="宋体"/>
                <w:sz w:val="21"/>
              </w:rPr>
            </w:pPr>
          </w:p>
        </w:tc>
        <w:tc>
          <w:tcPr>
            <w:tcW w:w="1613"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vAlign w:val="top"/>
          </w:tcPr>
          <w:p>
            <w:pPr>
              <w:spacing w:before="142" w:line="170" w:lineRule="exact"/>
              <w:ind w:firstLine="212"/>
              <w:rPr>
                <w:rFonts w:ascii="宋体" w:hAnsi="宋体" w:eastAsia="宋体" w:cs="宋体"/>
                <w:sz w:val="24"/>
                <w:szCs w:val="24"/>
              </w:rPr>
            </w:pPr>
            <w:r>
              <w:rPr>
                <w:rFonts w:ascii="宋体" w:hAnsi="宋体" w:eastAsia="宋体" w:cs="宋体"/>
                <w:sz w:val="24"/>
                <w:szCs w:val="24"/>
              </w:rPr>
              <w:t>…</w:t>
            </w:r>
          </w:p>
        </w:tc>
        <w:tc>
          <w:tcPr>
            <w:tcW w:w="1560" w:type="dxa"/>
            <w:vAlign w:val="top"/>
          </w:tcPr>
          <w:p>
            <w:pPr>
              <w:rPr>
                <w:rFonts w:ascii="宋体"/>
                <w:sz w:val="21"/>
              </w:rPr>
            </w:pPr>
          </w:p>
        </w:tc>
        <w:tc>
          <w:tcPr>
            <w:tcW w:w="1603" w:type="dxa"/>
            <w:vAlign w:val="top"/>
          </w:tcPr>
          <w:p>
            <w:pPr>
              <w:rPr>
                <w:rFonts w:ascii="宋体"/>
                <w:sz w:val="21"/>
              </w:rPr>
            </w:pPr>
          </w:p>
        </w:tc>
        <w:tc>
          <w:tcPr>
            <w:tcW w:w="1603" w:type="dxa"/>
            <w:vAlign w:val="top"/>
          </w:tcPr>
          <w:p>
            <w:pPr>
              <w:rPr>
                <w:rFonts w:ascii="宋体"/>
                <w:sz w:val="21"/>
              </w:rPr>
            </w:pPr>
          </w:p>
        </w:tc>
        <w:tc>
          <w:tcPr>
            <w:tcW w:w="1605" w:type="dxa"/>
            <w:vAlign w:val="top"/>
          </w:tcPr>
          <w:p>
            <w:pPr>
              <w:rPr>
                <w:rFonts w:ascii="宋体"/>
                <w:sz w:val="21"/>
              </w:rPr>
            </w:pPr>
          </w:p>
        </w:tc>
        <w:tc>
          <w:tcPr>
            <w:tcW w:w="1613"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197" w:type="dxa"/>
            <w:gridSpan w:val="2"/>
            <w:tcBorders>
              <w:left w:val="single" w:color="000000" w:sz="6" w:space="0"/>
              <w:bottom w:val="single" w:color="000000" w:sz="6" w:space="0"/>
            </w:tcBorders>
            <w:vAlign w:val="top"/>
          </w:tcPr>
          <w:p>
            <w:pPr>
              <w:spacing w:before="278" w:line="184" w:lineRule="auto"/>
              <w:ind w:firstLine="622"/>
              <w:rPr>
                <w:rFonts w:ascii="宋体" w:hAnsi="宋体" w:eastAsia="宋体" w:cs="宋体"/>
                <w:sz w:val="24"/>
                <w:szCs w:val="24"/>
              </w:rPr>
            </w:pPr>
            <w:r>
              <w:rPr>
                <w:rFonts w:ascii="宋体" w:hAnsi="宋体" w:eastAsia="宋体" w:cs="宋体"/>
                <w:spacing w:val="-4"/>
                <w:sz w:val="24"/>
                <w:szCs w:val="24"/>
              </w:rPr>
              <w:t>投标总价</w:t>
            </w:r>
          </w:p>
        </w:tc>
        <w:tc>
          <w:tcPr>
            <w:tcW w:w="6424" w:type="dxa"/>
            <w:gridSpan w:val="4"/>
            <w:tcBorders>
              <w:bottom w:val="single" w:color="000000" w:sz="6" w:space="0"/>
              <w:right w:val="single" w:color="000000" w:sz="6" w:space="0"/>
            </w:tcBorders>
            <w:vAlign w:val="top"/>
          </w:tcPr>
          <w:p>
            <w:pPr>
              <w:spacing w:before="44" w:line="466" w:lineRule="exact"/>
              <w:ind w:firstLine="31"/>
              <w:rPr>
                <w:rFonts w:ascii="宋体" w:hAnsi="宋体" w:eastAsia="宋体" w:cs="宋体"/>
                <w:sz w:val="24"/>
                <w:szCs w:val="24"/>
              </w:rPr>
            </w:pPr>
            <w:r>
              <w:rPr>
                <w:rFonts w:ascii="宋体" w:hAnsi="宋体" w:eastAsia="宋体" w:cs="宋体"/>
                <w:spacing w:val="-5"/>
                <w:position w:val="16"/>
                <w:sz w:val="24"/>
                <w:szCs w:val="24"/>
              </w:rPr>
              <w:t>大写：</w:t>
            </w:r>
          </w:p>
          <w:p>
            <w:pPr>
              <w:spacing w:line="204" w:lineRule="auto"/>
              <w:ind w:firstLine="35"/>
              <w:rPr>
                <w:rFonts w:ascii="宋体" w:hAnsi="宋体" w:eastAsia="宋体" w:cs="宋体"/>
                <w:sz w:val="24"/>
                <w:szCs w:val="24"/>
              </w:rPr>
            </w:pPr>
            <w:r>
              <w:rPr>
                <w:rFonts w:ascii="宋体" w:hAnsi="宋体" w:eastAsia="宋体" w:cs="宋体"/>
                <w:spacing w:val="-6"/>
                <w:sz w:val="24"/>
                <w:szCs w:val="24"/>
              </w:rPr>
              <w:t>小写：</w:t>
            </w:r>
          </w:p>
        </w:tc>
      </w:tr>
    </w:tbl>
    <w:p>
      <w:pPr>
        <w:spacing w:before="36" w:line="272" w:lineRule="auto"/>
        <w:ind w:left="212" w:right="111" w:hanging="7"/>
        <w:rPr>
          <w:rFonts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87"/>
          <w:sz w:val="24"/>
          <w:szCs w:val="24"/>
        </w:rPr>
        <w:t xml:space="preserve"> </w:t>
      </w:r>
      <w:r>
        <w:rPr>
          <w:rFonts w:ascii="宋体" w:hAnsi="宋体" w:eastAsia="宋体" w:cs="宋体"/>
          <w:spacing w:val="-8"/>
          <w:sz w:val="24"/>
          <w:szCs w:val="24"/>
        </w:rPr>
        <w:t>1.本表应依照采购项目要求及服务要求的序号按顺序逐项填写，不得遗漏。</w:t>
      </w:r>
      <w:r>
        <w:rPr>
          <w:rFonts w:ascii="宋体" w:hAnsi="宋体" w:eastAsia="宋体" w:cs="宋体"/>
          <w:sz w:val="24"/>
          <w:szCs w:val="24"/>
        </w:rPr>
        <w:t xml:space="preserve"> </w:t>
      </w:r>
      <w:r>
        <w:rPr>
          <w:rFonts w:ascii="宋体" w:hAnsi="宋体" w:eastAsia="宋体" w:cs="宋体"/>
          <w:spacing w:val="-2"/>
          <w:sz w:val="24"/>
          <w:szCs w:val="24"/>
        </w:rPr>
        <w:t>否则，按无效投标处理。</w:t>
      </w:r>
    </w:p>
    <w:p>
      <w:pPr>
        <w:autoSpaceDE w:val="0"/>
        <w:autoSpaceDN w:val="0"/>
        <w:adjustRightInd w:val="0"/>
        <w:snapToGrid w:val="0"/>
        <w:spacing w:line="360" w:lineRule="auto"/>
        <w:ind w:firstLine="240" w:firstLineChars="100"/>
        <w:rPr>
          <w:rFonts w:hint="eastAsia" w:ascii="新宋体" w:hAnsi="新宋体" w:eastAsia="新宋体" w:cs="新宋体"/>
          <w:color w:val="auto"/>
          <w:sz w:val="24"/>
          <w:szCs w:val="24"/>
          <w:lang w:val="en-US" w:eastAsia="zh-CN"/>
        </w:rPr>
      </w:pPr>
    </w:p>
    <w:p>
      <w:p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 xml:space="preserve"> </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val="zh-CN"/>
        </w:rPr>
        <w:t>2.投标报价不能有两个或两个以上的报价方案。</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p>
    <w:p>
      <w:pPr>
        <w:widowControl/>
        <w:spacing w:line="360" w:lineRule="auto"/>
        <w:jc w:val="lef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br w:type="page"/>
      </w:r>
    </w:p>
    <w:p>
      <w:pPr>
        <w:pStyle w:val="4"/>
        <w:spacing w:line="360" w:lineRule="auto"/>
        <w:rPr>
          <w:rFonts w:hint="eastAsia" w:ascii="新宋体" w:hAnsi="新宋体" w:eastAsia="新宋体" w:cs="新宋体"/>
          <w:color w:val="auto"/>
          <w:sz w:val="24"/>
          <w:szCs w:val="24"/>
        </w:rPr>
      </w:pPr>
      <w:bookmarkStart w:id="152" w:name="_Toc14510"/>
      <w:bookmarkStart w:id="153" w:name="_Toc24235"/>
      <w:bookmarkStart w:id="154" w:name="_Toc1796"/>
      <w:r>
        <w:rPr>
          <w:rFonts w:hint="eastAsia" w:ascii="新宋体" w:hAnsi="新宋体" w:eastAsia="新宋体" w:cs="新宋体"/>
          <w:color w:val="auto"/>
          <w:sz w:val="24"/>
          <w:szCs w:val="24"/>
        </w:rPr>
        <w:t>（14）服务规格响应表</w:t>
      </w:r>
      <w:bookmarkEnd w:id="152"/>
      <w:bookmarkEnd w:id="153"/>
      <w:bookmarkEnd w:id="154"/>
    </w:p>
    <w:p>
      <w:pPr>
        <w:keepNext w:val="0"/>
        <w:keepLines w:val="0"/>
        <w:pageBreakBefore w:val="0"/>
        <w:widowControl w:val="0"/>
        <w:kinsoku/>
        <w:wordWrap/>
        <w:overflowPunct/>
        <w:topLinePunct w:val="0"/>
        <w:autoSpaceDE/>
        <w:autoSpaceDN/>
        <w:bidi w:val="0"/>
        <w:adjustRightInd/>
        <w:snapToGrid/>
        <w:spacing w:before="91" w:line="240" w:lineRule="auto"/>
        <w:ind w:firstLine="3345"/>
        <w:textAlignment w:val="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服务响应偏差表</w:t>
      </w:r>
    </w:p>
    <w:p>
      <w:pPr>
        <w:spacing w:before="259" w:line="184" w:lineRule="auto"/>
        <w:ind w:firstLine="20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投标人名称：</w:t>
      </w:r>
    </w:p>
    <w:p>
      <w:pPr>
        <w:spacing w:line="192" w:lineRule="exact"/>
      </w:pPr>
    </w:p>
    <w:tbl>
      <w:tblPr>
        <w:tblStyle w:val="119"/>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pPr>
              <w:rPr>
                <w:rFonts w:ascii="宋体"/>
                <w:sz w:val="21"/>
              </w:rPr>
            </w:pPr>
          </w:p>
        </w:tc>
        <w:tc>
          <w:tcPr>
            <w:tcW w:w="3607" w:type="dxa"/>
            <w:gridSpan w:val="2"/>
            <w:vAlign w:val="top"/>
          </w:tcPr>
          <w:p>
            <w:pPr>
              <w:spacing w:before="40" w:line="184" w:lineRule="auto"/>
              <w:ind w:firstLine="126"/>
              <w:rPr>
                <w:rFonts w:ascii="宋体" w:hAnsi="宋体" w:eastAsia="宋体" w:cs="宋体"/>
                <w:sz w:val="24"/>
                <w:szCs w:val="24"/>
              </w:rPr>
            </w:pPr>
            <w:r>
              <w:rPr>
                <w:rFonts w:ascii="宋体" w:hAnsi="宋体" w:eastAsia="宋体" w:cs="宋体"/>
                <w:spacing w:val="7"/>
                <w:sz w:val="24"/>
                <w:szCs w:val="24"/>
              </w:rPr>
              <w:t>招标文件中“服务需求一览表”</w:t>
            </w:r>
          </w:p>
        </w:tc>
        <w:tc>
          <w:tcPr>
            <w:tcW w:w="3710" w:type="dxa"/>
            <w:gridSpan w:val="2"/>
            <w:vAlign w:val="top"/>
          </w:tcPr>
          <w:p>
            <w:pPr>
              <w:spacing w:before="40" w:line="184" w:lineRule="auto"/>
              <w:ind w:firstLine="783"/>
              <w:rPr>
                <w:rFonts w:ascii="宋体" w:hAnsi="宋体" w:eastAsia="宋体" w:cs="宋体"/>
                <w:sz w:val="24"/>
                <w:szCs w:val="24"/>
              </w:rPr>
            </w:pPr>
            <w:r>
              <w:rPr>
                <w:rFonts w:ascii="宋体" w:hAnsi="宋体" w:eastAsia="宋体" w:cs="宋体"/>
                <w:spacing w:val="-2"/>
                <w:sz w:val="24"/>
                <w:szCs w:val="24"/>
              </w:rPr>
              <w:t>投标文件中响应内容</w:t>
            </w:r>
          </w:p>
        </w:tc>
        <w:tc>
          <w:tcPr>
            <w:tcW w:w="682" w:type="dxa"/>
            <w:vAlign w:val="top"/>
          </w:tcPr>
          <w:p>
            <w:pPr>
              <w:spacing w:before="40" w:line="184" w:lineRule="auto"/>
              <w:ind w:firstLine="106"/>
              <w:rPr>
                <w:rFonts w:ascii="宋体" w:hAnsi="宋体" w:eastAsia="宋体" w:cs="宋体"/>
                <w:sz w:val="24"/>
                <w:szCs w:val="24"/>
              </w:rPr>
            </w:pPr>
            <w:r>
              <w:rPr>
                <w:rFonts w:ascii="宋体" w:hAnsi="宋体" w:eastAsia="宋体" w:cs="宋体"/>
                <w:spacing w:val="-5"/>
                <w:sz w:val="24"/>
                <w:szCs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pPr>
              <w:spacing w:before="36" w:line="184" w:lineRule="auto"/>
              <w:ind w:firstLine="74"/>
              <w:rPr>
                <w:rFonts w:ascii="宋体" w:hAnsi="宋体" w:eastAsia="宋体" w:cs="宋体"/>
                <w:sz w:val="24"/>
                <w:szCs w:val="24"/>
              </w:rPr>
            </w:pPr>
            <w:r>
              <w:rPr>
                <w:rFonts w:ascii="宋体" w:hAnsi="宋体" w:eastAsia="宋体" w:cs="宋体"/>
                <w:spacing w:val="-5"/>
                <w:sz w:val="24"/>
                <w:szCs w:val="24"/>
              </w:rPr>
              <w:t>序号</w:t>
            </w:r>
          </w:p>
        </w:tc>
        <w:tc>
          <w:tcPr>
            <w:tcW w:w="1232" w:type="dxa"/>
            <w:vAlign w:val="top"/>
          </w:tcPr>
          <w:p>
            <w:pPr>
              <w:spacing w:before="36" w:line="184" w:lineRule="auto"/>
              <w:ind w:firstLine="380"/>
              <w:rPr>
                <w:rFonts w:ascii="宋体" w:hAnsi="宋体" w:eastAsia="宋体" w:cs="宋体"/>
                <w:sz w:val="24"/>
                <w:szCs w:val="24"/>
              </w:rPr>
            </w:pPr>
            <w:r>
              <w:rPr>
                <w:rFonts w:ascii="宋体" w:hAnsi="宋体" w:eastAsia="宋体" w:cs="宋体"/>
                <w:spacing w:val="-7"/>
                <w:sz w:val="24"/>
                <w:szCs w:val="24"/>
              </w:rPr>
              <w:t>名称</w:t>
            </w:r>
          </w:p>
        </w:tc>
        <w:tc>
          <w:tcPr>
            <w:tcW w:w="2375" w:type="dxa"/>
            <w:vAlign w:val="top"/>
          </w:tcPr>
          <w:p>
            <w:pPr>
              <w:spacing w:before="36" w:line="184" w:lineRule="auto"/>
              <w:ind w:firstLine="710"/>
              <w:rPr>
                <w:rFonts w:ascii="宋体" w:hAnsi="宋体" w:eastAsia="宋体" w:cs="宋体"/>
                <w:sz w:val="24"/>
                <w:szCs w:val="24"/>
              </w:rPr>
            </w:pPr>
            <w:r>
              <w:rPr>
                <w:rFonts w:ascii="宋体" w:hAnsi="宋体" w:eastAsia="宋体" w:cs="宋体"/>
                <w:spacing w:val="-3"/>
                <w:sz w:val="24"/>
                <w:szCs w:val="24"/>
              </w:rPr>
              <w:t>服务要求</w:t>
            </w:r>
          </w:p>
        </w:tc>
        <w:tc>
          <w:tcPr>
            <w:tcW w:w="1246" w:type="dxa"/>
            <w:vAlign w:val="top"/>
          </w:tcPr>
          <w:p>
            <w:pPr>
              <w:spacing w:before="36" w:line="184" w:lineRule="auto"/>
              <w:ind w:firstLine="390"/>
              <w:rPr>
                <w:rFonts w:ascii="宋体" w:hAnsi="宋体" w:eastAsia="宋体" w:cs="宋体"/>
                <w:sz w:val="24"/>
                <w:szCs w:val="24"/>
              </w:rPr>
            </w:pPr>
            <w:r>
              <w:rPr>
                <w:rFonts w:ascii="宋体" w:hAnsi="宋体" w:eastAsia="宋体" w:cs="宋体"/>
                <w:spacing w:val="-7"/>
                <w:sz w:val="24"/>
                <w:szCs w:val="24"/>
              </w:rPr>
              <w:t>名称</w:t>
            </w:r>
          </w:p>
        </w:tc>
        <w:tc>
          <w:tcPr>
            <w:tcW w:w="2464" w:type="dxa"/>
            <w:vAlign w:val="top"/>
          </w:tcPr>
          <w:p>
            <w:pPr>
              <w:spacing w:before="36" w:line="184" w:lineRule="auto"/>
              <w:ind w:firstLine="758"/>
              <w:rPr>
                <w:rFonts w:ascii="宋体" w:hAnsi="宋体" w:eastAsia="宋体" w:cs="宋体"/>
                <w:sz w:val="24"/>
                <w:szCs w:val="24"/>
              </w:rPr>
            </w:pPr>
            <w:r>
              <w:rPr>
                <w:rFonts w:ascii="宋体" w:hAnsi="宋体" w:eastAsia="宋体" w:cs="宋体"/>
                <w:spacing w:val="-3"/>
                <w:sz w:val="24"/>
                <w:szCs w:val="24"/>
              </w:rPr>
              <w:t>服务要求</w:t>
            </w:r>
          </w:p>
        </w:tc>
        <w:tc>
          <w:tcPr>
            <w:tcW w:w="682"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2" w:type="dxa"/>
            <w:vAlign w:val="top"/>
          </w:tcPr>
          <w:p>
            <w:pPr>
              <w:spacing w:before="75" w:line="180" w:lineRule="auto"/>
              <w:ind w:firstLine="273"/>
              <w:rPr>
                <w:rFonts w:ascii="宋体" w:hAnsi="宋体" w:eastAsia="宋体" w:cs="宋体"/>
                <w:sz w:val="24"/>
                <w:szCs w:val="24"/>
              </w:rPr>
            </w:pPr>
            <w:r>
              <w:rPr>
                <w:rFonts w:ascii="宋体" w:hAnsi="宋体" w:eastAsia="宋体" w:cs="宋体"/>
                <w:sz w:val="24"/>
                <w:szCs w:val="24"/>
              </w:rPr>
              <w:t>1</w:t>
            </w:r>
          </w:p>
        </w:tc>
        <w:tc>
          <w:tcPr>
            <w:tcW w:w="1232" w:type="dxa"/>
            <w:vAlign w:val="center"/>
          </w:tcPr>
          <w:p>
            <w:pPr>
              <w:jc w:val="center"/>
              <w:rPr>
                <w:rFonts w:ascii="宋体"/>
                <w:sz w:val="21"/>
              </w:rPr>
            </w:pPr>
            <w:r>
              <w:rPr>
                <w:rFonts w:hint="eastAsia" w:ascii="仿宋" w:hAnsi="仿宋" w:eastAsia="仿宋" w:cs="宋体"/>
                <w:kern w:val="0"/>
                <w:sz w:val="24"/>
                <w:szCs w:val="24"/>
              </w:rPr>
              <w:t>虫害</w:t>
            </w:r>
          </w:p>
        </w:tc>
        <w:tc>
          <w:tcPr>
            <w:tcW w:w="2375" w:type="dxa"/>
            <w:vAlign w:val="top"/>
          </w:tcPr>
          <w:p>
            <w:pPr>
              <w:rPr>
                <w:rFonts w:ascii="宋体"/>
                <w:sz w:val="21"/>
              </w:rPr>
            </w:pPr>
            <w:r>
              <w:rPr>
                <w:rFonts w:hint="eastAsia" w:ascii="仿宋" w:hAnsi="仿宋" w:eastAsia="仿宋" w:cs="宋体"/>
                <w:kern w:val="0"/>
                <w:sz w:val="24"/>
                <w:szCs w:val="24"/>
              </w:rPr>
              <w:t>云杉大灰象当年平均针叶被害率控制在</w:t>
            </w:r>
            <w:r>
              <w:rPr>
                <w:rFonts w:hint="eastAsia" w:ascii="仿宋" w:hAnsi="仿宋" w:eastAsia="仿宋" w:cs="宋体"/>
                <w:kern w:val="0"/>
                <w:sz w:val="24"/>
                <w:szCs w:val="24"/>
                <w:u w:val="single"/>
              </w:rPr>
              <w:t>7 %</w:t>
            </w:r>
            <w:r>
              <w:rPr>
                <w:rFonts w:hint="eastAsia" w:ascii="仿宋" w:hAnsi="仿宋" w:eastAsia="仿宋" w:cs="宋体"/>
                <w:kern w:val="0"/>
                <w:sz w:val="24"/>
                <w:szCs w:val="24"/>
              </w:rPr>
              <w:t>以下</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防治效果在85%以上。</w:t>
            </w:r>
          </w:p>
        </w:tc>
        <w:tc>
          <w:tcPr>
            <w:tcW w:w="1246" w:type="dxa"/>
            <w:vAlign w:val="top"/>
          </w:tcPr>
          <w:p>
            <w:pPr>
              <w:rPr>
                <w:rFonts w:ascii="宋体"/>
                <w:sz w:val="21"/>
              </w:rPr>
            </w:pPr>
          </w:p>
        </w:tc>
        <w:tc>
          <w:tcPr>
            <w:tcW w:w="2464" w:type="dxa"/>
            <w:vAlign w:val="top"/>
          </w:tcPr>
          <w:p>
            <w:pPr>
              <w:rPr>
                <w:rFonts w:ascii="宋体"/>
                <w:sz w:val="21"/>
              </w:rPr>
            </w:pPr>
          </w:p>
        </w:tc>
        <w:tc>
          <w:tcPr>
            <w:tcW w:w="682"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pPr>
              <w:spacing w:before="77" w:line="180" w:lineRule="auto"/>
              <w:ind w:firstLine="258"/>
              <w:rPr>
                <w:rFonts w:ascii="宋体" w:hAnsi="宋体" w:eastAsia="宋体" w:cs="宋体"/>
                <w:sz w:val="24"/>
                <w:szCs w:val="24"/>
              </w:rPr>
            </w:pPr>
            <w:r>
              <w:rPr>
                <w:rFonts w:ascii="宋体" w:hAnsi="宋体" w:eastAsia="宋体" w:cs="宋体"/>
                <w:sz w:val="24"/>
                <w:szCs w:val="24"/>
              </w:rPr>
              <w:t>2</w:t>
            </w:r>
          </w:p>
        </w:tc>
        <w:tc>
          <w:tcPr>
            <w:tcW w:w="1232" w:type="dxa"/>
            <w:vAlign w:val="center"/>
          </w:tcPr>
          <w:p>
            <w:pPr>
              <w:jc w:val="center"/>
              <w:rPr>
                <w:rFonts w:ascii="宋体"/>
                <w:sz w:val="21"/>
              </w:rPr>
            </w:pPr>
            <w:r>
              <w:rPr>
                <w:rFonts w:ascii="仿宋" w:hAnsi="仿宋" w:eastAsia="仿宋" w:cs="宋体"/>
                <w:kern w:val="0"/>
                <w:sz w:val="24"/>
                <w:szCs w:val="24"/>
              </w:rPr>
              <w:t>鼠害</w:t>
            </w:r>
          </w:p>
        </w:tc>
        <w:tc>
          <w:tcPr>
            <w:tcW w:w="2375" w:type="dxa"/>
            <w:vAlign w:val="top"/>
          </w:tcPr>
          <w:p>
            <w:pPr>
              <w:rPr>
                <w:rFonts w:ascii="宋体"/>
                <w:sz w:val="21"/>
              </w:rPr>
            </w:pPr>
            <w:r>
              <w:rPr>
                <w:rFonts w:hint="eastAsia" w:ascii="仿宋" w:hAnsi="仿宋" w:eastAsia="仿宋" w:cs="宋体"/>
                <w:kern w:val="0"/>
                <w:sz w:val="24"/>
                <w:szCs w:val="24"/>
              </w:rPr>
              <w:t>高原鼢鼠平均有效洞口数控制在</w:t>
            </w:r>
            <w:r>
              <w:rPr>
                <w:rFonts w:hint="eastAsia" w:ascii="仿宋" w:hAnsi="仿宋" w:eastAsia="仿宋" w:cs="宋体"/>
                <w:kern w:val="0"/>
                <w:sz w:val="24"/>
                <w:szCs w:val="24"/>
                <w:u w:val="single"/>
              </w:rPr>
              <w:t xml:space="preserve"> 5个/亩</w:t>
            </w:r>
            <w:r>
              <w:rPr>
                <w:rFonts w:hint="eastAsia" w:ascii="仿宋" w:hAnsi="仿宋" w:eastAsia="仿宋" w:cs="宋体"/>
                <w:kern w:val="0"/>
                <w:sz w:val="24"/>
                <w:szCs w:val="24"/>
              </w:rPr>
              <w:t>以下</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防治效果在85%以上。</w:t>
            </w:r>
          </w:p>
        </w:tc>
        <w:tc>
          <w:tcPr>
            <w:tcW w:w="1246" w:type="dxa"/>
            <w:vAlign w:val="top"/>
          </w:tcPr>
          <w:p>
            <w:pPr>
              <w:rPr>
                <w:rFonts w:ascii="宋体"/>
                <w:sz w:val="21"/>
              </w:rPr>
            </w:pPr>
          </w:p>
        </w:tc>
        <w:tc>
          <w:tcPr>
            <w:tcW w:w="2464" w:type="dxa"/>
            <w:vAlign w:val="top"/>
          </w:tcPr>
          <w:p>
            <w:pPr>
              <w:rPr>
                <w:rFonts w:ascii="宋体"/>
                <w:sz w:val="21"/>
              </w:rPr>
            </w:pPr>
          </w:p>
        </w:tc>
        <w:tc>
          <w:tcPr>
            <w:tcW w:w="682"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pPr>
              <w:spacing w:before="140" w:line="171" w:lineRule="exact"/>
              <w:ind w:firstLine="210"/>
              <w:rPr>
                <w:rFonts w:ascii="宋体" w:hAnsi="宋体" w:eastAsia="宋体" w:cs="宋体"/>
                <w:sz w:val="24"/>
                <w:szCs w:val="24"/>
              </w:rPr>
            </w:pPr>
            <w:r>
              <w:rPr>
                <w:rFonts w:ascii="宋体" w:hAnsi="宋体" w:eastAsia="宋体" w:cs="宋体"/>
                <w:sz w:val="24"/>
                <w:szCs w:val="24"/>
              </w:rPr>
              <w:t>…</w:t>
            </w:r>
          </w:p>
        </w:tc>
        <w:tc>
          <w:tcPr>
            <w:tcW w:w="1232" w:type="dxa"/>
            <w:vAlign w:val="top"/>
          </w:tcPr>
          <w:p>
            <w:pPr>
              <w:rPr>
                <w:rFonts w:ascii="宋体"/>
                <w:sz w:val="21"/>
              </w:rPr>
            </w:pPr>
          </w:p>
        </w:tc>
        <w:tc>
          <w:tcPr>
            <w:tcW w:w="2375" w:type="dxa"/>
            <w:vAlign w:val="top"/>
          </w:tcPr>
          <w:p>
            <w:pPr>
              <w:rPr>
                <w:rFonts w:ascii="宋体"/>
                <w:sz w:val="21"/>
              </w:rPr>
            </w:pPr>
          </w:p>
        </w:tc>
        <w:tc>
          <w:tcPr>
            <w:tcW w:w="1246" w:type="dxa"/>
            <w:vAlign w:val="top"/>
          </w:tcPr>
          <w:p>
            <w:pPr>
              <w:rPr>
                <w:rFonts w:ascii="宋体"/>
                <w:sz w:val="21"/>
              </w:rPr>
            </w:pPr>
          </w:p>
        </w:tc>
        <w:tc>
          <w:tcPr>
            <w:tcW w:w="2464" w:type="dxa"/>
            <w:vAlign w:val="top"/>
          </w:tcPr>
          <w:p>
            <w:pPr>
              <w:rPr>
                <w:rFonts w:ascii="宋体"/>
                <w:sz w:val="21"/>
              </w:rPr>
            </w:pPr>
          </w:p>
        </w:tc>
        <w:tc>
          <w:tcPr>
            <w:tcW w:w="682" w:type="dxa"/>
            <w:vAlign w:val="top"/>
          </w:tcPr>
          <w:p>
            <w:pPr>
              <w:rPr>
                <w:rFonts w:ascii="宋体"/>
                <w:sz w:val="21"/>
              </w:rPr>
            </w:pPr>
          </w:p>
        </w:tc>
      </w:tr>
    </w:tbl>
    <w:p>
      <w:pPr>
        <w:spacing w:before="36" w:line="272" w:lineRule="auto"/>
        <w:ind w:left="209" w:right="175" w:hanging="7"/>
        <w:rPr>
          <w:rFonts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9"/>
          <w:sz w:val="24"/>
          <w:szCs w:val="24"/>
        </w:rPr>
        <w:t xml:space="preserve"> </w:t>
      </w:r>
      <w:r>
        <w:rPr>
          <w:rFonts w:ascii="宋体" w:hAnsi="宋体" w:eastAsia="宋体" w:cs="宋体"/>
          <w:spacing w:val="-8"/>
          <w:sz w:val="24"/>
          <w:szCs w:val="24"/>
        </w:rPr>
        <w:t>1.本表应按照采购项目要求及服务要求中序号的指标逐项填写，不得遗漏，</w:t>
      </w:r>
      <w:r>
        <w:rPr>
          <w:rFonts w:ascii="宋体" w:hAnsi="宋体" w:eastAsia="宋体" w:cs="宋体"/>
          <w:sz w:val="24"/>
          <w:szCs w:val="24"/>
        </w:rPr>
        <w:t xml:space="preserve"> </w:t>
      </w:r>
      <w:r>
        <w:rPr>
          <w:rFonts w:ascii="宋体" w:hAnsi="宋体" w:eastAsia="宋体" w:cs="宋体"/>
          <w:spacing w:val="-2"/>
          <w:sz w:val="24"/>
          <w:szCs w:val="24"/>
        </w:rPr>
        <w:t>否则，按无效投标处理。</w:t>
      </w:r>
    </w:p>
    <w:p>
      <w:pPr>
        <w:spacing w:before="226" w:line="359" w:lineRule="auto"/>
        <w:ind w:left="202" w:firstLine="482"/>
        <w:rPr>
          <w:rFonts w:ascii="宋体" w:hAnsi="宋体" w:eastAsia="宋体" w:cs="宋体"/>
          <w:sz w:val="24"/>
          <w:szCs w:val="24"/>
        </w:rPr>
      </w:pPr>
      <w:r>
        <w:rPr>
          <w:rFonts w:ascii="宋体" w:hAnsi="宋体" w:eastAsia="宋体" w:cs="宋体"/>
          <w:spacing w:val="2"/>
          <w:sz w:val="24"/>
          <w:szCs w:val="24"/>
        </w:rPr>
        <w:t>2.填写此表时以“服务需求一览表”要求为基本投标要求，满足招标项目</w:t>
      </w:r>
      <w:r>
        <w:rPr>
          <w:rFonts w:ascii="宋体" w:hAnsi="宋体" w:eastAsia="宋体" w:cs="宋体"/>
          <w:spacing w:val="1"/>
          <w:sz w:val="24"/>
          <w:szCs w:val="24"/>
        </w:rPr>
        <w:t xml:space="preserve">   </w:t>
      </w:r>
      <w:r>
        <w:rPr>
          <w:rFonts w:ascii="宋体" w:hAnsi="宋体" w:eastAsia="宋体" w:cs="宋体"/>
          <w:spacing w:val="-9"/>
          <w:sz w:val="24"/>
          <w:szCs w:val="24"/>
        </w:rPr>
        <w:t>要求的指标需列出“0”；</w:t>
      </w:r>
      <w:r>
        <w:rPr>
          <w:rFonts w:ascii="宋体" w:hAnsi="宋体" w:eastAsia="宋体" w:cs="宋体"/>
          <w:spacing w:val="36"/>
          <w:sz w:val="24"/>
          <w:szCs w:val="24"/>
        </w:rPr>
        <w:t xml:space="preserve"> </w:t>
      </w:r>
      <w:r>
        <w:rPr>
          <w:rFonts w:ascii="宋体" w:hAnsi="宋体" w:eastAsia="宋体" w:cs="宋体"/>
          <w:spacing w:val="-9"/>
          <w:sz w:val="24"/>
          <w:szCs w:val="24"/>
        </w:rPr>
        <w:t>超出、不满足招标项目要求的指标需列出“+”、</w:t>
      </w:r>
      <w:r>
        <w:rPr>
          <w:rFonts w:ascii="宋体" w:hAnsi="宋体" w:eastAsia="宋体" w:cs="宋体"/>
          <w:spacing w:val="-18"/>
          <w:sz w:val="24"/>
          <w:szCs w:val="24"/>
        </w:rPr>
        <w:t xml:space="preserve"> </w:t>
      </w:r>
      <w:r>
        <w:rPr>
          <w:rFonts w:ascii="宋体" w:hAnsi="宋体" w:eastAsia="宋体" w:cs="宋体"/>
          <w:spacing w:val="-9"/>
          <w:sz w:val="24"/>
          <w:szCs w:val="24"/>
        </w:rPr>
        <w:t>“-</w:t>
      </w:r>
      <w:r>
        <w:rPr>
          <w:rFonts w:ascii="宋体" w:hAnsi="宋体" w:eastAsia="宋体" w:cs="宋体"/>
          <w:spacing w:val="-88"/>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1"/>
          <w:sz w:val="24"/>
          <w:szCs w:val="24"/>
        </w:rPr>
        <w:t>偏差，并做出详细说明。</w:t>
      </w:r>
    </w:p>
    <w:p>
      <w:pPr>
        <w:spacing w:before="2" w:line="359" w:lineRule="auto"/>
        <w:ind w:left="201" w:right="242" w:firstLine="485"/>
        <w:rPr>
          <w:rFonts w:ascii="宋体" w:hAnsi="宋体" w:eastAsia="宋体" w:cs="宋体"/>
          <w:sz w:val="24"/>
          <w:szCs w:val="24"/>
        </w:rPr>
      </w:pPr>
      <w:r>
        <w:rPr>
          <w:rFonts w:ascii="宋体" w:hAnsi="宋体" w:eastAsia="宋体" w:cs="宋体"/>
          <w:spacing w:val="2"/>
          <w:sz w:val="24"/>
          <w:szCs w:val="24"/>
        </w:rPr>
        <w:t>3.投标人响应采购需求应具体、明确，含糊不清、不确切或伪造、编造证</w:t>
      </w:r>
      <w:r>
        <w:rPr>
          <w:rFonts w:ascii="宋体" w:hAnsi="宋体" w:eastAsia="宋体" w:cs="宋体"/>
          <w:spacing w:val="1"/>
          <w:sz w:val="24"/>
          <w:szCs w:val="24"/>
        </w:rPr>
        <w:t xml:space="preserve"> </w:t>
      </w:r>
      <w:r>
        <w:rPr>
          <w:rFonts w:ascii="宋体" w:hAnsi="宋体" w:eastAsia="宋体" w:cs="宋体"/>
          <w:spacing w:val="2"/>
          <w:sz w:val="24"/>
          <w:szCs w:val="24"/>
        </w:rPr>
        <w:t>明材料的，按照实质性不响应处理。对伪造、编造证明材料的，将报告本级财</w:t>
      </w:r>
      <w:r>
        <w:rPr>
          <w:rFonts w:ascii="宋体" w:hAnsi="宋体" w:eastAsia="宋体" w:cs="宋体"/>
          <w:spacing w:val="7"/>
          <w:sz w:val="24"/>
          <w:szCs w:val="24"/>
        </w:rPr>
        <w:t xml:space="preserve"> </w:t>
      </w:r>
      <w:r>
        <w:rPr>
          <w:rFonts w:ascii="宋体" w:hAnsi="宋体" w:eastAsia="宋体" w:cs="宋体"/>
          <w:spacing w:val="-3"/>
          <w:sz w:val="24"/>
          <w:szCs w:val="24"/>
        </w:rPr>
        <w:t>政部门。</w:t>
      </w:r>
    </w:p>
    <w:p/>
    <w:p/>
    <w:p/>
    <w:p>
      <w:pPr>
        <w:spacing w:line="160" w:lineRule="exact"/>
      </w:pPr>
    </w:p>
    <w:p>
      <w:pPr>
        <w:sectPr>
          <w:footerReference r:id="rId10" w:type="default"/>
          <w:pgSz w:w="11850" w:h="16781"/>
          <w:pgMar w:top="1425" w:right="1560" w:bottom="1241" w:left="1608" w:header="0" w:footer="1061" w:gutter="0"/>
          <w:pgNumType w:fmt="decimal"/>
          <w:cols w:equalWidth="0" w:num="1">
            <w:col w:w="8680"/>
          </w:cols>
        </w:sectPr>
      </w:pPr>
    </w:p>
    <w:p>
      <w:pPr>
        <w:spacing w:before="49" w:line="184" w:lineRule="auto"/>
        <w:ind w:firstLine="192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投标人：</w:t>
      </w:r>
    </w:p>
    <w:p>
      <w:pPr>
        <w:spacing w:before="228" w:line="184" w:lineRule="auto"/>
        <w:ind w:firstLine="156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7" w:line="184" w:lineRule="auto"/>
        <w:ind w:firstLine="3458"/>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pPr>
        <w:spacing w:line="14" w:lineRule="auto"/>
        <w:rPr>
          <w:rFonts w:ascii="宋体"/>
          <w:sz w:val="2"/>
        </w:rPr>
      </w:pPr>
      <w:r>
        <w:rPr>
          <w:rFonts w:ascii="宋体" w:hAnsi="宋体" w:eastAsia="宋体" w:cs="宋体"/>
          <w:sz w:val="2"/>
          <w:szCs w:val="2"/>
        </w:rPr>
        <w:br w:type="column"/>
      </w:r>
    </w:p>
    <w:p>
      <w:pPr>
        <w:spacing w:before="46" w:line="468" w:lineRule="exact"/>
        <w:ind w:firstLine="397"/>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before="1" w:line="204" w:lineRule="auto"/>
        <w:ind w:firstLine="37"/>
        <w:sectPr>
          <w:type w:val="continuous"/>
          <w:pgSz w:w="11850" w:h="16781"/>
          <w:pgMar w:top="1425" w:right="1560" w:bottom="1241" w:left="1608" w:header="0" w:footer="1061" w:gutter="0"/>
          <w:pgNumType w:fmt="decimal"/>
          <w:cols w:equalWidth="0" w:num="2">
            <w:col w:w="5290" w:space="100"/>
            <w:col w:w="3291"/>
          </w:cols>
        </w:sect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p>
      <w:pPr>
        <w:widowControl/>
        <w:spacing w:line="360" w:lineRule="auto"/>
        <w:jc w:val="left"/>
        <w:rPr>
          <w:rFonts w:hint="eastAsia" w:ascii="新宋体" w:hAnsi="新宋体" w:eastAsia="新宋体" w:cs="新宋体"/>
          <w:b/>
          <w:bCs/>
          <w:color w:val="auto"/>
          <w:sz w:val="24"/>
          <w:szCs w:val="24"/>
        </w:rPr>
      </w:pPr>
    </w:p>
    <w:p>
      <w:pPr>
        <w:pStyle w:val="4"/>
        <w:spacing w:line="360" w:lineRule="auto"/>
        <w:rPr>
          <w:rFonts w:hint="eastAsia" w:ascii="新宋体" w:hAnsi="新宋体" w:eastAsia="新宋体" w:cs="新宋体"/>
          <w:color w:val="auto"/>
          <w:sz w:val="24"/>
          <w:szCs w:val="24"/>
        </w:rPr>
      </w:pPr>
      <w:bookmarkStart w:id="155" w:name="_Toc17758"/>
      <w:bookmarkStart w:id="156" w:name="_Toc21737"/>
      <w:bookmarkStart w:id="157" w:name="_Toc26471"/>
      <w:r>
        <w:rPr>
          <w:rFonts w:hint="eastAsia" w:ascii="新宋体" w:hAnsi="新宋体" w:eastAsia="新宋体" w:cs="新宋体"/>
          <w:color w:val="auto"/>
          <w:sz w:val="24"/>
          <w:szCs w:val="24"/>
        </w:rPr>
        <w:t>（15）投标服务相关资料</w:t>
      </w:r>
      <w:bookmarkEnd w:id="155"/>
      <w:bookmarkEnd w:id="156"/>
      <w:bookmarkEnd w:id="157"/>
    </w:p>
    <w:p>
      <w:pPr>
        <w:autoSpaceDE w:val="0"/>
        <w:autoSpaceDN w:val="0"/>
        <w:spacing w:line="360" w:lineRule="auto"/>
        <w:jc w:val="cente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28"/>
          <w:szCs w:val="28"/>
          <w:lang w:val="zh-CN"/>
        </w:rPr>
        <w:t>拟投入服务人员情况表</w:t>
      </w:r>
    </w:p>
    <w:p>
      <w:pPr>
        <w:autoSpaceDE w:val="0"/>
        <w:autoSpaceDN w:val="0"/>
        <w:spacing w:line="360" w:lineRule="auto"/>
        <w:ind w:firstLine="482" w:firstLineChars="200"/>
        <w:rPr>
          <w:rFonts w:hint="eastAsia" w:ascii="新宋体" w:hAnsi="新宋体" w:eastAsia="新宋体" w:cs="新宋体"/>
          <w:b/>
          <w:bCs/>
          <w:color w:val="auto"/>
          <w:kern w:val="0"/>
          <w:lang w:val="zh-CN"/>
        </w:rPr>
      </w:pPr>
      <w:r>
        <w:rPr>
          <w:rFonts w:hint="eastAsia" w:ascii="新宋体" w:hAnsi="新宋体" w:eastAsia="新宋体" w:cs="新宋体"/>
          <w:b/>
          <w:bCs/>
          <w:color w:val="auto"/>
          <w:kern w:val="0"/>
          <w:sz w:val="24"/>
          <w:szCs w:val="24"/>
          <w:lang w:val="zh-CN"/>
        </w:rPr>
        <w:t>投标人名称</w:t>
      </w:r>
      <w:r>
        <w:rPr>
          <w:rFonts w:hint="eastAsia" w:ascii="新宋体" w:hAnsi="新宋体" w:eastAsia="新宋体" w:cs="新宋体"/>
          <w:b/>
          <w:bCs/>
          <w:color w:val="auto"/>
          <w:kern w:val="0"/>
          <w:sz w:val="24"/>
          <w:szCs w:val="24"/>
        </w:rPr>
        <w:t xml:space="preserve">：     </w:t>
      </w:r>
    </w:p>
    <w:tbl>
      <w:tblPr>
        <w:tblStyle w:val="34"/>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05"/>
        <w:gridCol w:w="1077"/>
        <w:gridCol w:w="1200"/>
        <w:gridCol w:w="2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39"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序号</w:t>
            </w:r>
          </w:p>
        </w:tc>
        <w:tc>
          <w:tcPr>
            <w:tcW w:w="1105"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本项目任职</w:t>
            </w:r>
          </w:p>
        </w:tc>
        <w:tc>
          <w:tcPr>
            <w:tcW w:w="1077"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姓名</w:t>
            </w:r>
          </w:p>
        </w:tc>
        <w:tc>
          <w:tcPr>
            <w:tcW w:w="1200"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职称</w:t>
            </w:r>
          </w:p>
        </w:tc>
        <w:tc>
          <w:tcPr>
            <w:tcW w:w="4119" w:type="dxa"/>
            <w:gridSpan w:val="2"/>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执业或职业资格证明</w:t>
            </w:r>
          </w:p>
        </w:tc>
        <w:tc>
          <w:tcPr>
            <w:tcW w:w="992" w:type="dxa"/>
            <w:vAlign w:val="center"/>
          </w:tcPr>
          <w:p>
            <w:pPr>
              <w:autoSpaceDE w:val="0"/>
              <w:autoSpaceDN w:val="0"/>
              <w:adjustRightInd w:val="0"/>
              <w:spacing w:line="400" w:lineRule="exact"/>
              <w:ind w:firstLine="120" w:firstLineChars="50"/>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9" w:type="dxa"/>
            <w:vMerge w:val="continue"/>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1105" w:type="dxa"/>
            <w:vMerge w:val="continue"/>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1077" w:type="dxa"/>
            <w:vMerge w:val="continue"/>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1200" w:type="dxa"/>
            <w:vMerge w:val="continue"/>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2134" w:type="dxa"/>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证书名称</w:t>
            </w:r>
          </w:p>
        </w:tc>
        <w:tc>
          <w:tcPr>
            <w:tcW w:w="1985" w:type="dxa"/>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专业</w:t>
            </w:r>
          </w:p>
        </w:tc>
        <w:tc>
          <w:tcPr>
            <w:tcW w:w="992" w:type="dxa"/>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bl>
    <w:p>
      <w:pPr>
        <w:adjustRightInd w:val="0"/>
        <w:snapToGrid w:val="0"/>
        <w:spacing w:line="360" w:lineRule="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注：包括相关证书，人员配备力量等。</w:t>
      </w:r>
    </w:p>
    <w:p>
      <w:pPr>
        <w:pStyle w:val="30"/>
        <w:rPr>
          <w:rFonts w:hint="eastAsia" w:ascii="新宋体" w:hAnsi="新宋体" w:eastAsia="新宋体" w:cs="新宋体"/>
          <w:b/>
          <w:bCs/>
          <w:color w:val="auto"/>
          <w:szCs w:val="24"/>
        </w:rPr>
      </w:pPr>
    </w:p>
    <w:p>
      <w:pPr>
        <w:pStyle w:val="30"/>
        <w:rPr>
          <w:rFonts w:hint="eastAsia" w:ascii="新宋体" w:hAnsi="新宋体" w:eastAsia="新宋体" w:cs="新宋体"/>
          <w:b/>
          <w:bCs/>
          <w:color w:val="auto"/>
          <w:szCs w:val="24"/>
        </w:rPr>
      </w:pPr>
    </w:p>
    <w:p>
      <w:pPr>
        <w:pStyle w:val="30"/>
        <w:rPr>
          <w:rFonts w:hint="eastAsia" w:ascii="新宋体" w:hAnsi="新宋体" w:eastAsia="新宋体" w:cs="新宋体"/>
          <w:b/>
          <w:bCs/>
          <w:color w:val="auto"/>
          <w:szCs w:val="24"/>
        </w:rPr>
      </w:pPr>
    </w:p>
    <w:p>
      <w:pPr>
        <w:pStyle w:val="30"/>
        <w:rPr>
          <w:rFonts w:hint="eastAsia" w:ascii="新宋体" w:hAnsi="新宋体" w:eastAsia="新宋体" w:cs="新宋体"/>
          <w:b/>
          <w:bCs/>
          <w:color w:val="auto"/>
          <w:szCs w:val="24"/>
        </w:rPr>
      </w:pPr>
    </w:p>
    <w:p>
      <w:pPr>
        <w:pStyle w:val="30"/>
        <w:rPr>
          <w:rFonts w:hint="eastAsia" w:ascii="新宋体" w:hAnsi="新宋体" w:eastAsia="新宋体" w:cs="新宋体"/>
          <w:b/>
          <w:bCs/>
          <w:color w:val="auto"/>
          <w:szCs w:val="24"/>
        </w:rPr>
      </w:pPr>
    </w:p>
    <w:p>
      <w:pPr>
        <w:adjustRightInd w:val="0"/>
        <w:snapToGrid w:val="0"/>
        <w:spacing w:line="360" w:lineRule="auto"/>
        <w:jc w:val="left"/>
        <w:rPr>
          <w:rFonts w:hint="eastAsia" w:ascii="新宋体" w:hAnsi="新宋体" w:eastAsia="新宋体" w:cs="新宋体"/>
          <w:b/>
          <w:bCs/>
          <w:color w:val="auto"/>
          <w:kern w:val="0"/>
          <w:sz w:val="24"/>
          <w:szCs w:val="24"/>
        </w:rPr>
      </w:pPr>
    </w:p>
    <w:p>
      <w:pPr>
        <w:widowControl/>
        <w:spacing w:line="360" w:lineRule="auto"/>
        <w:jc w:val="left"/>
        <w:rPr>
          <w:rFonts w:hint="eastAsia" w:ascii="新宋体" w:hAnsi="新宋体" w:eastAsia="新宋体" w:cs="新宋体"/>
          <w:color w:val="auto"/>
          <w:sz w:val="24"/>
          <w:szCs w:val="24"/>
        </w:rPr>
      </w:pPr>
      <w:bookmarkStart w:id="158" w:name="_Toc1917"/>
      <w:bookmarkStart w:id="159" w:name="_Toc1616"/>
      <w:r>
        <w:rPr>
          <w:rFonts w:hint="eastAsia" w:ascii="新宋体" w:hAnsi="新宋体" w:eastAsia="新宋体" w:cs="新宋体"/>
          <w:color w:val="auto"/>
          <w:sz w:val="24"/>
          <w:szCs w:val="24"/>
        </w:rPr>
        <w:t>（16）技术服务方案</w:t>
      </w:r>
    </w:p>
    <w:p>
      <w:pPr>
        <w:autoSpaceDE w:val="0"/>
        <w:autoSpaceDN w:val="0"/>
        <w:adjustRightInd w:val="0"/>
        <w:snapToGrid w:val="0"/>
        <w:spacing w:line="360" w:lineRule="auto"/>
        <w:ind w:firstLine="426"/>
        <w:jc w:val="center"/>
        <w:rPr>
          <w:rFonts w:hint="eastAsia" w:ascii="新宋体" w:hAnsi="新宋体" w:eastAsia="新宋体" w:cs="新宋体"/>
          <w:b/>
          <w:bCs/>
          <w:color w:val="auto"/>
          <w:kern w:val="0"/>
          <w:sz w:val="32"/>
          <w:szCs w:val="32"/>
          <w:lang w:val="zh-CN"/>
        </w:rPr>
      </w:pPr>
      <w:r>
        <w:rPr>
          <w:rFonts w:hint="eastAsia" w:ascii="新宋体" w:hAnsi="新宋体" w:eastAsia="新宋体" w:cs="新宋体"/>
          <w:b/>
          <w:bCs/>
          <w:color w:val="auto"/>
          <w:kern w:val="0"/>
          <w:sz w:val="32"/>
          <w:szCs w:val="32"/>
          <w:lang w:val="zh-CN"/>
        </w:rPr>
        <w:t>技术服务方案</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格式自定</w:t>
      </w: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4"/>
        <w:spacing w:line="360" w:lineRule="auto"/>
        <w:rPr>
          <w:rFonts w:hint="eastAsia" w:ascii="新宋体" w:hAnsi="新宋体" w:eastAsia="新宋体" w:cs="新宋体"/>
          <w:color w:val="auto"/>
          <w:sz w:val="24"/>
          <w:szCs w:val="24"/>
        </w:rPr>
      </w:pPr>
      <w:bookmarkStart w:id="160" w:name="_Toc2443"/>
      <w:r>
        <w:rPr>
          <w:rFonts w:hint="eastAsia" w:ascii="新宋体" w:hAnsi="新宋体" w:eastAsia="新宋体" w:cs="新宋体"/>
          <w:color w:val="auto"/>
          <w:sz w:val="24"/>
          <w:szCs w:val="24"/>
        </w:rPr>
        <w:t>（17）投标人的类似业绩证明材料</w:t>
      </w:r>
      <w:bookmarkEnd w:id="158"/>
      <w:bookmarkEnd w:id="159"/>
      <w:bookmarkEnd w:id="160"/>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投标人的类似业绩证明材料</w:t>
      </w:r>
    </w:p>
    <w:p>
      <w:pPr>
        <w:widowControl/>
        <w:spacing w:line="360" w:lineRule="auto"/>
        <w:ind w:firstLine="480" w:firstLineChars="200"/>
        <w:jc w:val="left"/>
        <w:rPr>
          <w:rFonts w:hint="eastAsia" w:ascii="新宋体" w:hAnsi="新宋体" w:eastAsia="新宋体" w:cs="新宋体"/>
          <w:b/>
          <w:bCs/>
          <w:color w:val="auto"/>
          <w:kern w:val="0"/>
          <w:sz w:val="24"/>
          <w:szCs w:val="24"/>
        </w:rPr>
      </w:pPr>
      <w:r>
        <w:rPr>
          <w:rFonts w:hint="eastAsia" w:ascii="新宋体" w:hAnsi="新宋体" w:eastAsia="新宋体" w:cs="新宋体"/>
          <w:b w:val="0"/>
          <w:bCs w:val="0"/>
          <w:color w:val="auto"/>
          <w:kern w:val="0"/>
          <w:sz w:val="24"/>
          <w:szCs w:val="24"/>
        </w:rPr>
        <w:t>提供投标截止日前3 年的投标人类似项目业绩证明材料（提供的业绩为 201</w:t>
      </w:r>
      <w:r>
        <w:rPr>
          <w:rFonts w:hint="eastAsia" w:ascii="新宋体" w:hAnsi="新宋体" w:eastAsia="新宋体" w:cs="新宋体"/>
          <w:b w:val="0"/>
          <w:bCs w:val="0"/>
          <w:color w:val="auto"/>
          <w:kern w:val="0"/>
          <w:sz w:val="24"/>
          <w:szCs w:val="24"/>
          <w:lang w:val="en-US" w:eastAsia="zh-CN"/>
        </w:rPr>
        <w:t>9</w:t>
      </w:r>
      <w:r>
        <w:rPr>
          <w:rFonts w:hint="eastAsia" w:ascii="新宋体" w:hAnsi="新宋体" w:eastAsia="新宋体" w:cs="新宋体"/>
          <w:b w:val="0"/>
          <w:bCs w:val="0"/>
          <w:color w:val="auto"/>
          <w:kern w:val="0"/>
          <w:sz w:val="24"/>
          <w:szCs w:val="24"/>
        </w:rPr>
        <w:t>年 1 月 1 日至</w:t>
      </w:r>
      <w:r>
        <w:rPr>
          <w:rFonts w:hint="eastAsia" w:ascii="新宋体" w:hAnsi="新宋体" w:eastAsia="新宋体" w:cs="新宋体"/>
          <w:b w:val="0"/>
          <w:bCs w:val="0"/>
          <w:color w:val="auto"/>
          <w:kern w:val="0"/>
          <w:sz w:val="24"/>
          <w:szCs w:val="24"/>
          <w:lang w:val="en-US" w:eastAsia="zh-CN"/>
        </w:rPr>
        <w:t>今</w:t>
      </w:r>
      <w:r>
        <w:rPr>
          <w:rFonts w:hint="eastAsia" w:ascii="新宋体" w:hAnsi="新宋体" w:eastAsia="新宋体" w:cs="新宋体"/>
          <w:b w:val="0"/>
          <w:bCs w:val="0"/>
          <w:color w:val="auto"/>
          <w:kern w:val="0"/>
          <w:sz w:val="24"/>
          <w:szCs w:val="24"/>
        </w:rPr>
        <w:t>）</w:t>
      </w:r>
      <w:r>
        <w:rPr>
          <w:rFonts w:hint="eastAsia" w:ascii="新宋体" w:hAnsi="新宋体" w:eastAsia="新宋体" w:cs="新宋体"/>
          <w:b w:val="0"/>
          <w:bCs w:val="0"/>
          <w:color w:val="auto"/>
          <w:kern w:val="0"/>
          <w:sz w:val="24"/>
          <w:szCs w:val="24"/>
          <w:lang w:eastAsia="zh-CN"/>
        </w:rPr>
        <w:t>。</w:t>
      </w:r>
      <w:r>
        <w:rPr>
          <w:rFonts w:hint="eastAsia" w:ascii="新宋体" w:hAnsi="新宋体" w:eastAsia="新宋体" w:cs="新宋体"/>
          <w:b w:val="0"/>
          <w:bCs w:val="0"/>
          <w:color w:val="auto"/>
          <w:kern w:val="0"/>
          <w:sz w:val="24"/>
          <w:szCs w:val="24"/>
        </w:rPr>
        <w:t>（</w:t>
      </w:r>
      <w:r>
        <w:rPr>
          <w:rFonts w:hint="eastAsia" w:ascii="新宋体" w:hAnsi="新宋体" w:eastAsia="新宋体" w:cs="新宋体"/>
          <w:color w:val="auto"/>
          <w:sz w:val="24"/>
          <w:szCs w:val="24"/>
        </w:rPr>
        <w:t>须提供中标通知书</w:t>
      </w:r>
      <w:r>
        <w:rPr>
          <w:rFonts w:hint="eastAsia" w:ascii="新宋体" w:hAnsi="新宋体" w:eastAsia="新宋体" w:cs="新宋体"/>
          <w:color w:val="auto"/>
          <w:sz w:val="24"/>
          <w:szCs w:val="24"/>
          <w:lang w:val="en-US" w:eastAsia="zh-CN"/>
        </w:rPr>
        <w:t>或</w:t>
      </w:r>
      <w:r>
        <w:rPr>
          <w:rFonts w:hint="eastAsia" w:ascii="新宋体" w:hAnsi="新宋体" w:eastAsia="新宋体" w:cs="新宋体"/>
          <w:color w:val="auto"/>
          <w:sz w:val="24"/>
          <w:szCs w:val="24"/>
        </w:rPr>
        <w:t>完整的合同</w:t>
      </w:r>
      <w:r>
        <w:rPr>
          <w:rFonts w:hint="eastAsia" w:ascii="新宋体" w:hAnsi="新宋体" w:eastAsia="新宋体" w:cs="新宋体"/>
          <w:b w:val="0"/>
          <w:bCs w:val="0"/>
          <w:color w:val="auto"/>
          <w:kern w:val="0"/>
          <w:sz w:val="24"/>
          <w:szCs w:val="24"/>
        </w:rPr>
        <w:t>）</w:t>
      </w:r>
      <w:r>
        <w:rPr>
          <w:rFonts w:hint="eastAsia" w:ascii="新宋体" w:hAnsi="新宋体" w:eastAsia="新宋体" w:cs="新宋体"/>
          <w:b w:val="0"/>
          <w:bCs w:val="0"/>
          <w:color w:val="auto"/>
          <w:kern w:val="0"/>
          <w:sz w:val="24"/>
          <w:szCs w:val="24"/>
          <w:lang w:eastAsia="zh-CN"/>
        </w:rPr>
        <w:t>，</w:t>
      </w:r>
      <w:r>
        <w:rPr>
          <w:rFonts w:hint="eastAsia" w:ascii="新宋体" w:hAnsi="新宋体" w:eastAsia="新宋体" w:cs="新宋体"/>
          <w:color w:val="auto"/>
          <w:sz w:val="24"/>
          <w:szCs w:val="24"/>
          <w:lang w:val="en-US" w:eastAsia="zh-CN"/>
        </w:rPr>
        <w:t>请勿放与本项目无关的内容。</w:t>
      </w:r>
      <w:r>
        <w:rPr>
          <w:rFonts w:hint="eastAsia" w:ascii="新宋体" w:hAnsi="新宋体" w:eastAsia="新宋体" w:cs="新宋体"/>
          <w:b/>
          <w:bCs/>
          <w:color w:val="auto"/>
          <w:kern w:val="0"/>
          <w:sz w:val="24"/>
          <w:szCs w:val="24"/>
        </w:rPr>
        <w:br w:type="page"/>
      </w:r>
    </w:p>
    <w:p>
      <w:pPr>
        <w:pStyle w:val="4"/>
        <w:spacing w:line="360" w:lineRule="auto"/>
        <w:rPr>
          <w:rFonts w:hint="eastAsia" w:ascii="新宋体" w:hAnsi="新宋体" w:eastAsia="新宋体" w:cs="新宋体"/>
          <w:color w:val="auto"/>
          <w:sz w:val="24"/>
          <w:szCs w:val="24"/>
          <w:lang w:eastAsia="zh-CN"/>
        </w:rPr>
      </w:pPr>
      <w:bookmarkStart w:id="161" w:name="_Toc25126"/>
      <w:bookmarkStart w:id="162" w:name="_Toc11051"/>
      <w:bookmarkStart w:id="163" w:name="_Toc29255"/>
      <w:r>
        <w:rPr>
          <w:rFonts w:hint="eastAsia" w:ascii="新宋体" w:hAnsi="新宋体" w:eastAsia="新宋体" w:cs="新宋体"/>
          <w:color w:val="auto"/>
          <w:sz w:val="24"/>
          <w:szCs w:val="24"/>
        </w:rPr>
        <w:t>（18）</w:t>
      </w:r>
      <w:bookmarkEnd w:id="161"/>
      <w:bookmarkEnd w:id="162"/>
      <w:bookmarkEnd w:id="163"/>
      <w:r>
        <w:rPr>
          <w:rFonts w:hint="eastAsia" w:ascii="新宋体" w:hAnsi="新宋体" w:eastAsia="新宋体" w:cs="新宋体"/>
          <w:color w:val="auto"/>
          <w:sz w:val="24"/>
          <w:szCs w:val="24"/>
          <w:lang w:eastAsia="zh-CN"/>
        </w:rPr>
        <w:t>中小企业声明函（服务）</w:t>
      </w:r>
    </w:p>
    <w:p>
      <w:pPr>
        <w:adjustRightInd w:val="0"/>
        <w:snapToGrid w:val="0"/>
        <w:spacing w:line="360" w:lineRule="auto"/>
        <w:jc w:val="center"/>
        <w:rPr>
          <w:rFonts w:hint="eastAsia" w:ascii="新宋体" w:hAnsi="新宋体" w:eastAsia="新宋体" w:cs="新宋体"/>
          <w:b/>
          <w:bCs/>
          <w:color w:val="auto"/>
          <w:sz w:val="32"/>
          <w:szCs w:val="32"/>
        </w:rPr>
      </w:pPr>
      <w:bookmarkStart w:id="164" w:name="_Toc23597"/>
      <w:bookmarkStart w:id="165" w:name="_Toc4962"/>
      <w:bookmarkStart w:id="166" w:name="_Toc28097"/>
      <w:r>
        <w:rPr>
          <w:rFonts w:hint="eastAsia" w:ascii="新宋体" w:hAnsi="新宋体" w:eastAsia="新宋体" w:cs="新宋体"/>
          <w:b/>
          <w:bCs/>
          <w:color w:val="auto"/>
          <w:sz w:val="32"/>
          <w:szCs w:val="32"/>
        </w:rPr>
        <w:t>中小企业声明函（服务）</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 （标的名称） ，属于（采购文件中明确的所属行业）；承建（承接）企业为（企业名称），从业人员   人，营业收入为    万元，资产总额为    万元1，属于（中型企业、小型企业、微型企业）；</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 （标的名称） ，属于（采购文件中明确的所属行业）；承建（承接）企业为（企业名称），从业人员   人，营业收入为   万元，资产总额为   万元，属于（中型企业、小型企业、微型企业）；</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以上企业，不属于大企业的分支机构，不存在控股股东</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为大企业的情形，也不存在与大企业的负责人为同一人的情</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形。</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本企业对上述声明内容的真实性负责。如有虚假，将依</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法承担相应责任。</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企业名称（盖章）： </w:t>
      </w:r>
    </w:p>
    <w:p>
      <w:pPr>
        <w:adjustRightInd w:val="0"/>
        <w:snapToGrid w:val="0"/>
        <w:spacing w:line="360" w:lineRule="auto"/>
        <w:ind w:firstLine="482"/>
        <w:jc w:val="left"/>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lang w:val="en-US" w:eastAsia="zh-CN"/>
        </w:rPr>
        <w:t xml:space="preserve">                                               </w:t>
      </w:r>
      <w:r>
        <w:rPr>
          <w:rFonts w:hint="eastAsia" w:ascii="新宋体" w:hAnsi="新宋体" w:eastAsia="新宋体" w:cs="新宋体"/>
          <w:b/>
          <w:bCs/>
          <w:color w:val="auto"/>
          <w:sz w:val="24"/>
          <w:szCs w:val="24"/>
        </w:rPr>
        <w:t xml:space="preserve">日期： </w:t>
      </w:r>
      <w:r>
        <w:rPr>
          <w:rFonts w:ascii="宋体" w:hAnsi="宋体" w:cs="仿宋"/>
          <w:sz w:val="28"/>
          <w:szCs w:val="28"/>
        </w:rPr>
        <w:t xml:space="preserve">      </w:t>
      </w:r>
      <w:r>
        <w:rPr>
          <w:rFonts w:ascii="宋体" w:hAnsi="宋体" w:cs="仿宋"/>
          <w:sz w:val="28"/>
          <w:szCs w:val="28"/>
        </w:rPr>
        <w:br w:type="page"/>
      </w:r>
      <w:r>
        <w:rPr>
          <w:rFonts w:hint="eastAsia" w:ascii="新宋体" w:hAnsi="新宋体" w:eastAsia="新宋体" w:cs="新宋体"/>
          <w:b/>
          <w:bCs/>
          <w:color w:val="auto"/>
          <w:sz w:val="24"/>
          <w:szCs w:val="24"/>
        </w:rPr>
        <w:t>（19）残疾人福利性单位声明函</w:t>
      </w:r>
      <w:bookmarkEnd w:id="164"/>
      <w:bookmarkEnd w:id="165"/>
      <w:bookmarkEnd w:id="166"/>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残疾人福利性单位声明函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青海锋业工程项目管理有限公司</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本单位对上述声明的真实性负责。如有虚假，将依法承担相应责任。</w:t>
      </w: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注：若无此项内容，可不提供此函。</w:t>
      </w: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jc w:val="right"/>
        <w:rPr>
          <w:rFonts w:hint="eastAsia" w:ascii="新宋体" w:hAnsi="新宋体" w:eastAsia="新宋体" w:cs="新宋体"/>
          <w:color w:val="auto"/>
          <w:sz w:val="24"/>
          <w:szCs w:val="24"/>
        </w:rPr>
      </w:pPr>
    </w:p>
    <w:p>
      <w:pPr>
        <w:adjustRightInd w:val="0"/>
        <w:snapToGrid w:val="0"/>
        <w:spacing w:line="360" w:lineRule="auto"/>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企业名称：（公章）</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企业法定代表人：（签字或盖章）</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年   月  日</w:t>
      </w:r>
    </w:p>
    <w:p>
      <w:pPr>
        <w:adjustRightInd w:val="0"/>
        <w:snapToGrid w:val="0"/>
        <w:spacing w:line="360" w:lineRule="auto"/>
        <w:ind w:firstLine="482"/>
        <w:jc w:val="right"/>
        <w:rPr>
          <w:rFonts w:hint="eastAsia" w:ascii="新宋体" w:hAnsi="新宋体" w:eastAsia="新宋体" w:cs="新宋体"/>
          <w:b/>
          <w:bCs/>
          <w:color w:val="auto"/>
          <w:sz w:val="24"/>
          <w:szCs w:val="24"/>
        </w:rPr>
      </w:pPr>
    </w:p>
    <w:p>
      <w:pPr>
        <w:pStyle w:val="4"/>
        <w:spacing w:line="360" w:lineRule="auto"/>
        <w:rPr>
          <w:rFonts w:hint="eastAsia" w:ascii="新宋体" w:hAnsi="新宋体" w:eastAsia="新宋体" w:cs="新宋体"/>
          <w:color w:val="auto"/>
          <w:sz w:val="24"/>
          <w:szCs w:val="24"/>
        </w:rPr>
      </w:pPr>
      <w:bookmarkStart w:id="167" w:name="_Toc30898"/>
      <w:bookmarkStart w:id="168" w:name="_Toc27223"/>
      <w:bookmarkStart w:id="169" w:name="_Toc5199"/>
      <w:r>
        <w:rPr>
          <w:rFonts w:hint="eastAsia" w:ascii="新宋体" w:hAnsi="新宋体" w:eastAsia="新宋体" w:cs="新宋体"/>
          <w:color w:val="auto"/>
          <w:sz w:val="24"/>
          <w:szCs w:val="24"/>
        </w:rPr>
        <w:t>（20）投标人认为在其他方面有必要说明的事项</w:t>
      </w:r>
      <w:bookmarkEnd w:id="167"/>
      <w:bookmarkEnd w:id="168"/>
      <w:bookmarkEnd w:id="169"/>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投标人认为在其他方面有必要说明的事项</w:t>
      </w:r>
    </w:p>
    <w:p>
      <w:pPr>
        <w:adjustRightInd w:val="0"/>
        <w:snapToGrid w:val="0"/>
        <w:spacing w:line="360" w:lineRule="auto"/>
        <w:ind w:firstLine="426"/>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格式自定</w:t>
      </w: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pStyle w:val="4"/>
        <w:spacing w:line="360" w:lineRule="auto"/>
        <w:rPr>
          <w:rFonts w:hint="eastAsia" w:ascii="新宋体" w:hAnsi="新宋体" w:eastAsia="新宋体" w:cs="新宋体"/>
          <w:color w:val="auto"/>
          <w:sz w:val="24"/>
          <w:szCs w:val="24"/>
        </w:rPr>
      </w:pPr>
      <w:bookmarkStart w:id="170" w:name="_Toc32679"/>
      <w:r>
        <w:rPr>
          <w:rFonts w:hint="eastAsia" w:ascii="新宋体" w:hAnsi="新宋体" w:eastAsia="新宋体" w:cs="新宋体"/>
          <w:color w:val="auto"/>
          <w:sz w:val="24"/>
          <w:szCs w:val="24"/>
        </w:rPr>
        <w:t>（21）投标人最终报价表</w:t>
      </w:r>
      <w:bookmarkEnd w:id="170"/>
    </w:p>
    <w:p>
      <w:pPr>
        <w:adjustRightInd w:val="0"/>
        <w:snapToGrid w:val="0"/>
        <w:spacing w:line="360" w:lineRule="auto"/>
        <w:jc w:val="center"/>
        <w:rPr>
          <w:rFonts w:hint="eastAsia" w:ascii="新宋体" w:hAnsi="新宋体" w:eastAsia="新宋体" w:cs="新宋体"/>
          <w:b/>
          <w:bCs/>
          <w:color w:val="auto"/>
          <w:sz w:val="32"/>
          <w:szCs w:val="32"/>
        </w:rPr>
      </w:pPr>
      <w:bookmarkStart w:id="171" w:name="_Toc16374"/>
      <w:r>
        <w:rPr>
          <w:rFonts w:hint="eastAsia" w:ascii="新宋体" w:hAnsi="新宋体" w:eastAsia="新宋体" w:cs="新宋体"/>
          <w:b/>
          <w:bCs/>
          <w:color w:val="auto"/>
          <w:sz w:val="32"/>
          <w:szCs w:val="32"/>
        </w:rPr>
        <w:t>最终报价表</w:t>
      </w:r>
    </w:p>
    <w:p>
      <w:pPr>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                                       项目编号/包号：</w:t>
      </w:r>
    </w:p>
    <w:tbl>
      <w:tblPr>
        <w:tblStyle w:val="34"/>
        <w:tblW w:w="974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724"/>
        <w:gridCol w:w="1868"/>
        <w:gridCol w:w="172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692" w:type="dxa"/>
            <w:vAlign w:val="center"/>
          </w:tcPr>
          <w:p>
            <w:pPr>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sz w:val="24"/>
                <w:szCs w:val="24"/>
                <w:lang w:eastAsia="zh-CN"/>
              </w:rPr>
              <w:t>项目名称</w:t>
            </w:r>
          </w:p>
        </w:tc>
        <w:tc>
          <w:tcPr>
            <w:tcW w:w="1724" w:type="dxa"/>
            <w:vAlign w:val="center"/>
          </w:tcPr>
          <w:p>
            <w:pPr>
              <w:pStyle w:val="17"/>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最初报价</w:t>
            </w:r>
          </w:p>
        </w:tc>
        <w:tc>
          <w:tcPr>
            <w:tcW w:w="1868" w:type="dxa"/>
            <w:vAlign w:val="center"/>
          </w:tcPr>
          <w:p>
            <w:pPr>
              <w:pStyle w:val="17"/>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调整因素</w:t>
            </w:r>
          </w:p>
        </w:tc>
        <w:tc>
          <w:tcPr>
            <w:tcW w:w="1724" w:type="dxa"/>
            <w:vAlign w:val="center"/>
          </w:tcPr>
          <w:p>
            <w:pPr>
              <w:pStyle w:val="17"/>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最终报价</w:t>
            </w:r>
          </w:p>
        </w:tc>
        <w:tc>
          <w:tcPr>
            <w:tcW w:w="2733" w:type="dxa"/>
            <w:vAlign w:val="center"/>
          </w:tcPr>
          <w:p>
            <w:pPr>
              <w:pStyle w:val="17"/>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7"/>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7"/>
              <w:adjustRightInd w:val="0"/>
              <w:snapToGrid w:val="0"/>
              <w:spacing w:line="360" w:lineRule="auto"/>
              <w:jc w:val="left"/>
              <w:rPr>
                <w:rFonts w:hint="eastAsia" w:ascii="新宋体" w:hAnsi="新宋体" w:eastAsia="新宋体" w:cs="新宋体"/>
                <w:color w:val="auto"/>
                <w:kern w:val="2"/>
              </w:rPr>
            </w:pPr>
          </w:p>
        </w:tc>
        <w:tc>
          <w:tcPr>
            <w:tcW w:w="1868" w:type="dxa"/>
          </w:tcPr>
          <w:p>
            <w:pPr>
              <w:pStyle w:val="17"/>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7"/>
              <w:adjustRightInd w:val="0"/>
              <w:snapToGrid w:val="0"/>
              <w:spacing w:line="360" w:lineRule="auto"/>
              <w:jc w:val="left"/>
              <w:rPr>
                <w:rFonts w:hint="eastAsia" w:ascii="新宋体" w:hAnsi="新宋体" w:eastAsia="新宋体" w:cs="新宋体"/>
                <w:color w:val="auto"/>
                <w:kern w:val="2"/>
              </w:rPr>
            </w:pPr>
          </w:p>
        </w:tc>
        <w:tc>
          <w:tcPr>
            <w:tcW w:w="2733" w:type="dxa"/>
          </w:tcPr>
          <w:p>
            <w:pPr>
              <w:pStyle w:val="17"/>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7"/>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7"/>
              <w:adjustRightInd w:val="0"/>
              <w:snapToGrid w:val="0"/>
              <w:spacing w:line="360" w:lineRule="auto"/>
              <w:jc w:val="left"/>
              <w:rPr>
                <w:rFonts w:hint="eastAsia" w:ascii="新宋体" w:hAnsi="新宋体" w:eastAsia="新宋体" w:cs="新宋体"/>
                <w:color w:val="auto"/>
                <w:kern w:val="2"/>
              </w:rPr>
            </w:pPr>
          </w:p>
        </w:tc>
        <w:tc>
          <w:tcPr>
            <w:tcW w:w="1868" w:type="dxa"/>
          </w:tcPr>
          <w:p>
            <w:pPr>
              <w:pStyle w:val="17"/>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7"/>
              <w:adjustRightInd w:val="0"/>
              <w:snapToGrid w:val="0"/>
              <w:spacing w:line="360" w:lineRule="auto"/>
              <w:jc w:val="left"/>
              <w:rPr>
                <w:rFonts w:hint="eastAsia" w:ascii="新宋体" w:hAnsi="新宋体" w:eastAsia="新宋体" w:cs="新宋体"/>
                <w:color w:val="auto"/>
                <w:kern w:val="2"/>
              </w:rPr>
            </w:pPr>
          </w:p>
        </w:tc>
        <w:tc>
          <w:tcPr>
            <w:tcW w:w="2733" w:type="dxa"/>
          </w:tcPr>
          <w:p>
            <w:pPr>
              <w:pStyle w:val="17"/>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7"/>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7"/>
              <w:adjustRightInd w:val="0"/>
              <w:snapToGrid w:val="0"/>
              <w:spacing w:line="360" w:lineRule="auto"/>
              <w:jc w:val="left"/>
              <w:rPr>
                <w:rFonts w:hint="eastAsia" w:ascii="新宋体" w:hAnsi="新宋体" w:eastAsia="新宋体" w:cs="新宋体"/>
                <w:color w:val="auto"/>
                <w:kern w:val="2"/>
              </w:rPr>
            </w:pPr>
          </w:p>
        </w:tc>
        <w:tc>
          <w:tcPr>
            <w:tcW w:w="1868" w:type="dxa"/>
          </w:tcPr>
          <w:p>
            <w:pPr>
              <w:pStyle w:val="17"/>
              <w:adjustRightInd w:val="0"/>
              <w:snapToGrid w:val="0"/>
              <w:spacing w:line="360" w:lineRule="auto"/>
              <w:jc w:val="left"/>
              <w:rPr>
                <w:rFonts w:hint="eastAsia" w:ascii="新宋体" w:hAnsi="新宋体" w:eastAsia="新宋体" w:cs="新宋体"/>
                <w:color w:val="auto"/>
                <w:kern w:val="2"/>
              </w:rPr>
            </w:pPr>
          </w:p>
        </w:tc>
        <w:tc>
          <w:tcPr>
            <w:tcW w:w="1724" w:type="dxa"/>
            <w:tcBorders>
              <w:top w:val="nil"/>
            </w:tcBorders>
          </w:tcPr>
          <w:p>
            <w:pPr>
              <w:pStyle w:val="17"/>
              <w:adjustRightInd w:val="0"/>
              <w:snapToGrid w:val="0"/>
              <w:spacing w:line="360" w:lineRule="auto"/>
              <w:jc w:val="left"/>
              <w:rPr>
                <w:rFonts w:hint="eastAsia" w:ascii="新宋体" w:hAnsi="新宋体" w:eastAsia="新宋体" w:cs="新宋体"/>
                <w:color w:val="auto"/>
                <w:kern w:val="2"/>
              </w:rPr>
            </w:pPr>
          </w:p>
        </w:tc>
        <w:tc>
          <w:tcPr>
            <w:tcW w:w="2733" w:type="dxa"/>
          </w:tcPr>
          <w:p>
            <w:pPr>
              <w:pStyle w:val="17"/>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9741" w:type="dxa"/>
            <w:gridSpan w:val="5"/>
          </w:tcPr>
          <w:p>
            <w:pPr>
              <w:pStyle w:val="17"/>
              <w:adjustRightInd w:val="0"/>
              <w:snapToGrid w:val="0"/>
              <w:spacing w:line="360" w:lineRule="auto"/>
              <w:jc w:val="left"/>
              <w:rPr>
                <w:rFonts w:hint="eastAsia" w:ascii="新宋体" w:hAnsi="新宋体" w:eastAsia="新宋体" w:cs="新宋体"/>
                <w:color w:val="auto"/>
                <w:kern w:val="2"/>
              </w:rPr>
            </w:pPr>
            <w:r>
              <w:rPr>
                <w:rFonts w:hint="eastAsia" w:ascii="新宋体" w:hAnsi="新宋体" w:eastAsia="新宋体" w:cs="新宋体"/>
                <w:color w:val="auto"/>
                <w:kern w:val="2"/>
              </w:rPr>
              <w:t>最终确定的质量保证及服务承诺（优惠条件）：</w:t>
            </w:r>
          </w:p>
        </w:tc>
      </w:tr>
    </w:tbl>
    <w:p>
      <w:pPr>
        <w:spacing w:line="540" w:lineRule="exact"/>
        <w:ind w:firstLine="0" w:firstLineChars="0"/>
        <w:jc w:val="left"/>
        <w:rPr>
          <w:rFonts w:ascii="宋体" w:hAnsi="宋体" w:cs="宋体"/>
          <w:sz w:val="24"/>
          <w:szCs w:val="24"/>
        </w:rPr>
      </w:pPr>
      <w:r>
        <w:rPr>
          <w:rFonts w:hint="eastAsia" w:ascii="新宋体" w:hAnsi="新宋体" w:eastAsia="新宋体" w:cs="新宋体"/>
          <w:color w:val="auto"/>
          <w:sz w:val="24"/>
          <w:szCs w:val="24"/>
          <w:lang w:val="zh-CN"/>
        </w:rPr>
        <w:t>注：在磋商期间，由磋商小组确定合格的供应商线上进行填写。</w:t>
      </w:r>
    </w:p>
    <w:p>
      <w:pPr>
        <w:spacing w:line="360" w:lineRule="auto"/>
        <w:ind w:firstLine="240" w:firstLineChars="100"/>
        <w:textAlignment w:val="baseline"/>
        <w:rPr>
          <w:rFonts w:hint="eastAsia" w:ascii="新宋体" w:hAnsi="新宋体" w:eastAsia="新宋体" w:cs="新宋体"/>
          <w:color w:val="auto"/>
          <w:sz w:val="24"/>
          <w:szCs w:val="24"/>
          <w:lang w:val="zh-CN"/>
        </w:rPr>
      </w:pPr>
    </w:p>
    <w:p>
      <w:pPr>
        <w:spacing w:line="360" w:lineRule="auto"/>
        <w:textAlignment w:val="baseline"/>
        <w:rPr>
          <w:rFonts w:hint="eastAsia" w:ascii="新宋体" w:hAnsi="新宋体" w:eastAsia="新宋体" w:cs="新宋体"/>
          <w:color w:val="auto"/>
          <w:sz w:val="24"/>
          <w:szCs w:val="24"/>
        </w:rPr>
      </w:pPr>
    </w:p>
    <w:p>
      <w:pPr>
        <w:spacing w:line="360" w:lineRule="auto"/>
        <w:ind w:right="560" w:firstLine="5385" w:firstLineChars="2244"/>
        <w:textAlignment w:val="baseline"/>
        <w:rPr>
          <w:rFonts w:hint="eastAsia" w:ascii="新宋体" w:hAnsi="新宋体" w:eastAsia="新宋体" w:cs="新宋体"/>
          <w:color w:val="auto"/>
          <w:sz w:val="24"/>
          <w:szCs w:val="24"/>
        </w:rPr>
      </w:pPr>
    </w:p>
    <w:p>
      <w:pPr>
        <w:spacing w:line="360" w:lineRule="auto"/>
        <w:ind w:right="560" w:firstLine="5385" w:firstLineChars="2244"/>
        <w:textAlignment w:val="baseline"/>
        <w:rPr>
          <w:rFonts w:hint="eastAsia" w:ascii="新宋体" w:hAnsi="新宋体" w:eastAsia="新宋体" w:cs="新宋体"/>
          <w:color w:val="auto"/>
          <w:sz w:val="24"/>
          <w:szCs w:val="24"/>
        </w:rPr>
      </w:pPr>
    </w:p>
    <w:p>
      <w:pPr>
        <w:spacing w:line="360" w:lineRule="auto"/>
        <w:ind w:right="560" w:firstLine="4252" w:firstLineChars="1772"/>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投标人名称（盖章）：</w:t>
      </w:r>
    </w:p>
    <w:p>
      <w:pPr>
        <w:spacing w:line="360" w:lineRule="auto"/>
        <w:ind w:right="560" w:firstLine="4252" w:firstLineChars="1772"/>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法定代表人或授权委托人（签字）：</w:t>
      </w:r>
    </w:p>
    <w:p>
      <w:pPr>
        <w:spacing w:line="360" w:lineRule="auto"/>
        <w:ind w:right="560" w:firstLine="5244" w:firstLineChars="218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年     月     日</w:t>
      </w:r>
    </w:p>
    <w:p>
      <w:pPr>
        <w:pStyle w:val="3"/>
        <w:spacing w:line="360" w:lineRule="auto"/>
        <w:jc w:val="both"/>
        <w:rPr>
          <w:rFonts w:hint="eastAsia" w:ascii="新宋体" w:hAnsi="新宋体" w:eastAsia="新宋体" w:cs="新宋体"/>
          <w:color w:val="auto"/>
          <w:sz w:val="32"/>
          <w:szCs w:val="32"/>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rPr>
          <w:rFonts w:hint="eastAsia" w:ascii="新宋体" w:hAnsi="新宋体" w:eastAsia="新宋体" w:cs="新宋体"/>
          <w:color w:val="auto"/>
        </w:rPr>
      </w:pPr>
      <w:r>
        <w:rPr>
          <w:rFonts w:hint="eastAsia" w:ascii="新宋体" w:hAnsi="新宋体" w:eastAsia="新宋体" w:cs="新宋体"/>
          <w:color w:val="auto"/>
        </w:rPr>
        <w:br w:type="page"/>
      </w:r>
    </w:p>
    <w:bookmarkEnd w:id="171"/>
    <w:p>
      <w:pPr>
        <w:bidi w:val="0"/>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第五部分 采购项目要求及技术参数</w:t>
      </w:r>
    </w:p>
    <w:p>
      <w:pPr>
        <w:pStyle w:val="32"/>
        <w:rPr>
          <w:rFonts w:hint="eastAsia" w:ascii="新宋体" w:hAnsi="新宋体" w:eastAsia="新宋体" w:cs="新宋体"/>
          <w:color w:val="auto"/>
          <w:szCs w:val="36"/>
        </w:rPr>
      </w:pPr>
      <w:bookmarkStart w:id="172" w:name="_Toc25924"/>
      <w:bookmarkStart w:id="173" w:name="_Toc484765902"/>
      <w:bookmarkStart w:id="174" w:name="_Toc484765903"/>
      <w:r>
        <w:rPr>
          <w:rFonts w:hint="eastAsia" w:ascii="新宋体" w:hAnsi="新宋体" w:eastAsia="新宋体" w:cs="新宋体"/>
          <w:color w:val="auto"/>
          <w:szCs w:val="36"/>
          <w:lang w:val="zh-CN"/>
        </w:rPr>
        <w:t>（一）投标要求</w:t>
      </w:r>
      <w:bookmarkEnd w:id="172"/>
      <w:bookmarkEnd w:id="173"/>
    </w:p>
    <w:p>
      <w:pPr>
        <w:pStyle w:val="32"/>
        <w:spacing w:line="360" w:lineRule="auto"/>
        <w:jc w:val="left"/>
        <w:rPr>
          <w:rFonts w:hint="eastAsia" w:ascii="新宋体" w:hAnsi="新宋体" w:eastAsia="新宋体" w:cs="新宋体"/>
          <w:color w:val="auto"/>
          <w:sz w:val="24"/>
          <w:szCs w:val="24"/>
          <w:lang w:val="zh-CN"/>
        </w:rPr>
      </w:pPr>
      <w:bookmarkStart w:id="175" w:name="_Toc13058"/>
      <w:bookmarkStart w:id="176" w:name="_Toc14529"/>
      <w:r>
        <w:rPr>
          <w:rFonts w:hint="eastAsia" w:ascii="新宋体" w:hAnsi="新宋体" w:eastAsia="新宋体" w:cs="新宋体"/>
          <w:color w:val="auto"/>
          <w:sz w:val="24"/>
          <w:szCs w:val="24"/>
          <w:lang w:val="zh-CN"/>
        </w:rPr>
        <w:t>1.投标说明</w:t>
      </w:r>
      <w:bookmarkEnd w:id="174"/>
      <w:bookmarkEnd w:id="175"/>
      <w:bookmarkEnd w:id="176"/>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r>
        <w:rPr>
          <w:rFonts w:hint="eastAsia" w:ascii="新宋体" w:hAnsi="新宋体" w:eastAsia="新宋体" w:cs="新宋体"/>
          <w:color w:val="auto"/>
          <w:kern w:val="0"/>
          <w:sz w:val="24"/>
          <w:szCs w:val="24"/>
          <w:highlight w:val="none"/>
          <w:lang w:val="zh-CN" w:eastAsia="zh-CN" w:bidi="ar-SA"/>
        </w:rPr>
        <w:t xml:space="preserve"> </w:t>
      </w:r>
      <w:r>
        <w:rPr>
          <w:rFonts w:hint="eastAsia" w:ascii="新宋体" w:hAnsi="新宋体" w:eastAsia="新宋体" w:cs="新宋体"/>
          <w:color w:val="auto"/>
          <w:kern w:val="0"/>
          <w:sz w:val="24"/>
          <w:szCs w:val="24"/>
          <w:highlight w:val="none"/>
          <w:lang w:val="en-US" w:eastAsia="zh-CN" w:bidi="ar-SA"/>
        </w:rPr>
        <w:t>1.1</w:t>
      </w:r>
      <w:r>
        <w:rPr>
          <w:rFonts w:hint="eastAsia" w:ascii="新宋体" w:hAnsi="新宋体" w:eastAsia="新宋体" w:cs="新宋体"/>
          <w:color w:val="auto"/>
          <w:kern w:val="0"/>
          <w:sz w:val="24"/>
          <w:szCs w:val="24"/>
          <w:highlight w:val="none"/>
          <w:lang w:val="zh-CN" w:eastAsia="zh-CN" w:bidi="ar-SA"/>
        </w:rPr>
        <w:t>投标人可以按照询比文件规定的包号选择投标，但必须对所投包号中的所有内容作为一个整体进行投标，不能拆分或少报。否则，投标无效。</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r>
        <w:rPr>
          <w:rFonts w:hint="eastAsia" w:ascii="新宋体" w:hAnsi="新宋体" w:eastAsia="新宋体" w:cs="新宋体"/>
          <w:color w:val="auto"/>
          <w:kern w:val="0"/>
          <w:sz w:val="24"/>
          <w:szCs w:val="24"/>
          <w:highlight w:val="none"/>
          <w:lang w:val="zh-CN" w:eastAsia="zh-CN" w:bidi="ar-SA"/>
        </w:rPr>
        <w:t>1.2 投标人必须如实填写“应答表”，投标人对超出或不满足最低指标要求的指标需列出“＋、-”偏差。</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r>
        <w:rPr>
          <w:rFonts w:hint="eastAsia" w:ascii="新宋体" w:hAnsi="新宋体" w:eastAsia="新宋体" w:cs="新宋体"/>
          <w:color w:val="auto"/>
          <w:kern w:val="0"/>
          <w:sz w:val="24"/>
          <w:szCs w:val="24"/>
          <w:highlight w:val="none"/>
          <w:lang w:val="zh-CN" w:eastAsia="zh-CN" w:bidi="ar-SA"/>
        </w:rPr>
        <w:t>1.3 项目中标后分包情况：不允许。</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bookmarkStart w:id="177" w:name="_Toc484765904"/>
      <w:r>
        <w:rPr>
          <w:rFonts w:hint="eastAsia" w:ascii="新宋体" w:hAnsi="新宋体" w:eastAsia="新宋体" w:cs="新宋体"/>
          <w:color w:val="auto"/>
          <w:kern w:val="0"/>
          <w:sz w:val="24"/>
          <w:szCs w:val="24"/>
          <w:highlight w:val="none"/>
          <w:lang w:val="en-US" w:eastAsia="zh-CN" w:bidi="ar-SA"/>
        </w:rPr>
        <w:t xml:space="preserve">1.4 </w:t>
      </w:r>
      <w:r>
        <w:rPr>
          <w:rFonts w:hint="eastAsia" w:ascii="新宋体" w:hAnsi="新宋体" w:eastAsia="新宋体" w:cs="新宋体"/>
          <w:color w:val="auto"/>
          <w:kern w:val="0"/>
          <w:sz w:val="24"/>
          <w:szCs w:val="24"/>
          <w:highlight w:val="none"/>
          <w:lang w:val="zh-CN" w:eastAsia="zh-CN" w:bidi="ar-SA"/>
        </w:rPr>
        <w:t>技术参数中除注明签订合同时提供的相关服务承诺等资料以外，其余相关资料在投标时必须附在投标文件中。</w:t>
      </w:r>
    </w:p>
    <w:p>
      <w:pPr>
        <w:autoSpaceDE w:val="0"/>
        <w:autoSpaceDN w:val="0"/>
        <w:adjustRightInd w:val="0"/>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highlight w:val="none"/>
          <w:lang w:val="zh-CN" w:eastAsia="zh-CN" w:bidi="ar-SA"/>
        </w:rPr>
        <w:t>2.报价说明</w:t>
      </w:r>
      <w:bookmarkEnd w:id="177"/>
    </w:p>
    <w:p>
      <w:pPr>
        <w:autoSpaceDE w:val="0"/>
        <w:autoSpaceDN w:val="0"/>
        <w:adjustRightIn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本次招标文件中规定的采购预算额度为招标最高限价，供应商的投标报价不得超出此额度。否则，投标无效。</w:t>
      </w:r>
    </w:p>
    <w:p>
      <w:pPr>
        <w:pStyle w:val="32"/>
        <w:spacing w:line="360" w:lineRule="auto"/>
        <w:jc w:val="left"/>
        <w:rPr>
          <w:rFonts w:hint="default" w:ascii="新宋体" w:hAnsi="新宋体" w:eastAsia="新宋体" w:cs="新宋体"/>
          <w:color w:val="auto"/>
          <w:kern w:val="0"/>
          <w:sz w:val="24"/>
          <w:szCs w:val="24"/>
          <w:highlight w:val="none"/>
          <w:lang w:val="en-US" w:eastAsia="zh-CN" w:bidi="ar-SA"/>
        </w:rPr>
      </w:pPr>
      <w:bookmarkStart w:id="178" w:name="_Toc484765905"/>
      <w:bookmarkStart w:id="179" w:name="_Toc24643"/>
      <w:bookmarkStart w:id="180" w:name="_Toc21502"/>
      <w:r>
        <w:rPr>
          <w:rFonts w:hint="eastAsia" w:ascii="新宋体" w:hAnsi="新宋体" w:eastAsia="新宋体" w:cs="新宋体"/>
          <w:color w:val="auto"/>
          <w:sz w:val="24"/>
          <w:szCs w:val="24"/>
        </w:rPr>
        <w:t>3</w:t>
      </w:r>
      <w:r>
        <w:rPr>
          <w:rFonts w:hint="eastAsia" w:ascii="新宋体" w:hAnsi="新宋体" w:eastAsia="新宋体" w:cs="新宋体"/>
          <w:color w:val="auto"/>
          <w:sz w:val="24"/>
          <w:szCs w:val="24"/>
          <w:lang w:val="zh-CN"/>
        </w:rPr>
        <w:t>.商务要求</w:t>
      </w:r>
      <w:bookmarkEnd w:id="178"/>
      <w:bookmarkEnd w:id="179"/>
      <w:bookmarkEnd w:id="180"/>
      <w:r>
        <w:rPr>
          <w:rFonts w:hint="eastAsia" w:ascii="新宋体" w:hAnsi="新宋体" w:eastAsia="新宋体" w:cs="新宋体"/>
          <w:color w:val="auto"/>
          <w:kern w:val="0"/>
          <w:sz w:val="24"/>
          <w:szCs w:val="24"/>
          <w:highlight w:val="none"/>
          <w:lang w:val="zh-CN"/>
        </w:rPr>
        <w:t xml:space="preserve"> </w:t>
      </w:r>
    </w:p>
    <w:p>
      <w:pPr>
        <w:autoSpaceDE w:val="0"/>
        <w:autoSpaceDN w:val="0"/>
        <w:adjustRightInd w:val="0"/>
        <w:spacing w:line="360" w:lineRule="auto"/>
        <w:ind w:firstLine="480"/>
        <w:rPr>
          <w:rFonts w:hint="eastAsia" w:ascii="新宋体" w:hAnsi="新宋体" w:eastAsia="宋体" w:cs="新宋体"/>
          <w:color w:val="auto"/>
          <w:kern w:val="0"/>
          <w:sz w:val="24"/>
          <w:szCs w:val="24"/>
          <w:lang w:val="zh-CN" w:eastAsia="zh-CN"/>
        </w:rPr>
      </w:pPr>
      <w:r>
        <w:rPr>
          <w:rFonts w:hint="eastAsia" w:ascii="新宋体" w:hAnsi="新宋体" w:eastAsia="新宋体" w:cs="新宋体"/>
          <w:color w:val="auto"/>
          <w:kern w:val="0"/>
          <w:sz w:val="24"/>
          <w:szCs w:val="24"/>
          <w:lang w:val="en-US" w:eastAsia="zh-CN"/>
        </w:rPr>
        <w:t>3.1.服务</w:t>
      </w:r>
      <w:r>
        <w:rPr>
          <w:rFonts w:hint="eastAsia" w:ascii="新宋体" w:hAnsi="新宋体" w:eastAsia="新宋体" w:cs="新宋体"/>
          <w:color w:val="auto"/>
          <w:kern w:val="0"/>
          <w:sz w:val="24"/>
          <w:szCs w:val="24"/>
          <w:lang w:val="zh-CN" w:eastAsia="zh-CN"/>
        </w:rPr>
        <w:t>期：</w:t>
      </w:r>
      <w:r>
        <w:rPr>
          <w:rFonts w:ascii="宋体" w:hAnsi="宋体" w:eastAsia="宋体" w:cs="宋体"/>
          <w:spacing w:val="-9"/>
          <w:sz w:val="24"/>
          <w:szCs w:val="24"/>
        </w:rPr>
        <w:t>签订</w:t>
      </w:r>
      <w:r>
        <w:rPr>
          <w:rFonts w:hint="eastAsia" w:ascii="宋体" w:hAnsi="宋体" w:cs="宋体"/>
          <w:spacing w:val="-9"/>
          <w:sz w:val="24"/>
          <w:szCs w:val="24"/>
          <w:lang w:val="en-US" w:eastAsia="zh-CN"/>
        </w:rPr>
        <w:t>合同</w:t>
      </w:r>
      <w:r>
        <w:rPr>
          <w:rFonts w:ascii="宋体" w:hAnsi="宋体" w:eastAsia="宋体" w:cs="宋体"/>
          <w:spacing w:val="-9"/>
          <w:sz w:val="24"/>
          <w:szCs w:val="24"/>
        </w:rPr>
        <w:t>后</w:t>
      </w:r>
      <w:r>
        <w:rPr>
          <w:rFonts w:hint="eastAsia" w:ascii="宋体" w:hAnsi="宋体" w:cs="宋体"/>
          <w:spacing w:val="-9"/>
          <w:sz w:val="24"/>
          <w:szCs w:val="24"/>
          <w:lang w:val="en-US" w:eastAsia="zh-CN"/>
        </w:rPr>
        <w:t>约定</w:t>
      </w:r>
    </w:p>
    <w:p>
      <w:pPr>
        <w:autoSpaceDE w:val="0"/>
        <w:autoSpaceDN w:val="0"/>
        <w:adjustRightInd w:val="0"/>
        <w:spacing w:line="360" w:lineRule="auto"/>
        <w:ind w:firstLine="480"/>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lang w:val="zh-CN" w:eastAsia="zh-CN"/>
        </w:rPr>
        <w:t>.</w:t>
      </w: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val="zh-CN" w:eastAsia="zh-CN"/>
        </w:rPr>
        <w:t>.付款方式：按合同约定执行。</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p>
    <w:p>
      <w:pPr>
        <w:pStyle w:val="4"/>
        <w:rPr>
          <w:rFonts w:hint="eastAsia"/>
          <w:color w:val="auto"/>
          <w:lang w:val="zh-CN" w:eastAsia="zh-CN"/>
        </w:rPr>
      </w:pPr>
    </w:p>
    <w:p>
      <w:pPr>
        <w:rPr>
          <w:rFonts w:hint="eastAsia" w:ascii="新宋体" w:hAnsi="新宋体" w:eastAsia="新宋体" w:cs="新宋体"/>
          <w:color w:val="auto"/>
          <w:szCs w:val="36"/>
          <w:lang w:val="zh-CN"/>
        </w:rPr>
      </w:pPr>
      <w:r>
        <w:rPr>
          <w:rFonts w:hint="eastAsia" w:ascii="新宋体" w:hAnsi="新宋体" w:eastAsia="新宋体" w:cs="新宋体"/>
          <w:color w:val="auto"/>
          <w:szCs w:val="36"/>
          <w:lang w:val="zh-CN"/>
        </w:rPr>
        <w:br w:type="page"/>
      </w:r>
    </w:p>
    <w:p>
      <w:pPr>
        <w:pStyle w:val="32"/>
        <w:numPr>
          <w:ilvl w:val="0"/>
          <w:numId w:val="8"/>
        </w:numPr>
        <w:jc w:val="center"/>
        <w:rPr>
          <w:rFonts w:hint="eastAsia" w:ascii="新宋体" w:hAnsi="新宋体" w:eastAsia="新宋体" w:cs="新宋体"/>
          <w:color w:val="auto"/>
          <w:szCs w:val="36"/>
          <w:lang w:val="zh-CN"/>
        </w:rPr>
      </w:pPr>
      <w:bookmarkStart w:id="181" w:name="_Toc22910"/>
      <w:r>
        <w:rPr>
          <w:rFonts w:hint="eastAsia" w:ascii="新宋体" w:hAnsi="新宋体" w:eastAsia="新宋体" w:cs="新宋体"/>
          <w:color w:val="auto"/>
          <w:szCs w:val="36"/>
          <w:lang w:val="zh-CN"/>
        </w:rPr>
        <w:t>项目概况及服务要求</w:t>
      </w:r>
      <w:bookmarkEnd w:id="181"/>
    </w:p>
    <w:p>
      <w:pPr>
        <w:pStyle w:val="32"/>
        <w:numPr>
          <w:ilvl w:val="0"/>
          <w:numId w:val="9"/>
        </w:numPr>
        <w:spacing w:line="360" w:lineRule="auto"/>
        <w:jc w:val="left"/>
        <w:rPr>
          <w:rFonts w:hint="eastAsia" w:ascii="新宋体" w:hAnsi="新宋体" w:eastAsia="新宋体" w:cs="新宋体"/>
          <w:color w:val="auto"/>
          <w:sz w:val="24"/>
          <w:szCs w:val="24"/>
          <w:lang w:val="en-US" w:eastAsia="zh-CN"/>
        </w:rPr>
      </w:pPr>
      <w:bookmarkStart w:id="182" w:name="_Toc23925"/>
      <w:r>
        <w:rPr>
          <w:rFonts w:hint="eastAsia" w:ascii="新宋体" w:hAnsi="新宋体" w:eastAsia="新宋体" w:cs="新宋体"/>
          <w:color w:val="auto"/>
          <w:sz w:val="24"/>
          <w:szCs w:val="24"/>
          <w:lang w:val="en-US" w:eastAsia="zh-CN"/>
        </w:rPr>
        <w:t>项目概况</w:t>
      </w:r>
      <w:bookmarkEnd w:id="182"/>
    </w:p>
    <w:tbl>
      <w:tblPr>
        <w:tblStyle w:val="34"/>
        <w:tblW w:w="0" w:type="auto"/>
        <w:tblInd w:w="545" w:type="dxa"/>
        <w:tblLayout w:type="fixed"/>
        <w:tblCellMar>
          <w:top w:w="0" w:type="dxa"/>
          <w:left w:w="108" w:type="dxa"/>
          <w:bottom w:w="0" w:type="dxa"/>
          <w:right w:w="108" w:type="dxa"/>
        </w:tblCellMar>
      </w:tblPr>
      <w:tblGrid>
        <w:gridCol w:w="1468"/>
        <w:gridCol w:w="7280"/>
      </w:tblGrid>
      <w:tr>
        <w:tblPrEx>
          <w:tblCellMar>
            <w:top w:w="0" w:type="dxa"/>
            <w:left w:w="108" w:type="dxa"/>
            <w:bottom w:w="0" w:type="dxa"/>
            <w:right w:w="108" w:type="dxa"/>
          </w:tblCellMar>
        </w:tblPrEx>
        <w:trPr>
          <w:trHeight w:val="494" w:hRule="atLeast"/>
        </w:trPr>
        <w:tc>
          <w:tcPr>
            <w:tcW w:w="1468"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防治面积</w:t>
            </w:r>
          </w:p>
          <w:p>
            <w:pPr>
              <w:widowControl/>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5万亩</w:t>
            </w:r>
          </w:p>
        </w:tc>
        <w:tc>
          <w:tcPr>
            <w:tcW w:w="72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云杉大灰象</w:t>
            </w:r>
            <w:r>
              <w:rPr>
                <w:rFonts w:hint="eastAsia" w:ascii="仿宋" w:hAnsi="仿宋" w:eastAsia="仿宋" w:cs="宋体"/>
                <w:kern w:val="0"/>
                <w:sz w:val="24"/>
                <w:szCs w:val="24"/>
                <w:u w:val="single"/>
              </w:rPr>
              <w:t xml:space="preserve"> 0.</w:t>
            </w:r>
            <w:r>
              <w:rPr>
                <w:rFonts w:hint="eastAsia" w:ascii="仿宋" w:hAnsi="仿宋" w:eastAsia="仿宋" w:cs="宋体"/>
                <w:kern w:val="0"/>
                <w:sz w:val="24"/>
                <w:szCs w:val="24"/>
                <w:u w:val="single"/>
                <w:lang w:val="en-US" w:eastAsia="zh-CN"/>
              </w:rPr>
              <w:t>58</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万亩</w:t>
            </w:r>
            <w:r>
              <w:rPr>
                <w:rFonts w:ascii="仿宋" w:hAnsi="仿宋" w:eastAsia="仿宋" w:cs="宋体"/>
                <w:kern w:val="0"/>
                <w:sz w:val="24"/>
                <w:szCs w:val="24"/>
              </w:rPr>
              <w:t xml:space="preserve"> </w:t>
            </w:r>
          </w:p>
        </w:tc>
      </w:tr>
      <w:tr>
        <w:tblPrEx>
          <w:tblCellMar>
            <w:top w:w="0" w:type="dxa"/>
            <w:left w:w="108" w:type="dxa"/>
            <w:bottom w:w="0" w:type="dxa"/>
            <w:right w:w="108" w:type="dxa"/>
          </w:tblCellMar>
        </w:tblPrEx>
        <w:trPr>
          <w:trHeight w:val="575" w:hRule="atLeast"/>
        </w:trPr>
        <w:tc>
          <w:tcPr>
            <w:tcW w:w="1468"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 w:val="24"/>
                <w:szCs w:val="24"/>
              </w:rPr>
            </w:pPr>
          </w:p>
        </w:tc>
        <w:tc>
          <w:tcPr>
            <w:tcW w:w="72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kern w:val="0"/>
                <w:sz w:val="24"/>
                <w:szCs w:val="24"/>
                <w:lang w:val="en-US" w:eastAsia="zh-CN" w:bidi="ar-SA"/>
              </w:rPr>
            </w:pPr>
            <w:r>
              <w:rPr>
                <w:rFonts w:hint="eastAsia" w:ascii="仿宋" w:hAnsi="仿宋" w:eastAsia="仿宋" w:cs="宋体"/>
                <w:kern w:val="0"/>
                <w:sz w:val="24"/>
                <w:szCs w:val="24"/>
              </w:rPr>
              <w:t>高原鼢鼠</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u w:val="single"/>
                <w:lang w:val="en-US" w:eastAsia="zh-CN"/>
              </w:rPr>
              <w:t>4</w:t>
            </w:r>
            <w:r>
              <w:rPr>
                <w:rFonts w:hint="eastAsia" w:ascii="仿宋" w:hAnsi="仿宋" w:eastAsia="仿宋" w:cs="宋体"/>
                <w:kern w:val="0"/>
                <w:sz w:val="24"/>
                <w:szCs w:val="24"/>
                <w:u w:val="single"/>
              </w:rPr>
              <w:t>.</w:t>
            </w:r>
            <w:r>
              <w:rPr>
                <w:rFonts w:hint="eastAsia" w:ascii="仿宋" w:hAnsi="仿宋" w:eastAsia="仿宋" w:cs="宋体"/>
                <w:kern w:val="0"/>
                <w:sz w:val="24"/>
                <w:szCs w:val="24"/>
                <w:u w:val="single"/>
                <w:lang w:val="en-US" w:eastAsia="zh-CN"/>
              </w:rPr>
              <w:t>92</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万亩</w:t>
            </w:r>
          </w:p>
        </w:tc>
      </w:tr>
      <w:tr>
        <w:tblPrEx>
          <w:tblCellMar>
            <w:top w:w="0" w:type="dxa"/>
            <w:left w:w="108" w:type="dxa"/>
            <w:bottom w:w="0" w:type="dxa"/>
            <w:right w:w="108" w:type="dxa"/>
          </w:tblCellMar>
        </w:tblPrEx>
        <w:trPr>
          <w:trHeight w:val="509" w:hRule="atLeast"/>
        </w:trPr>
        <w:tc>
          <w:tcPr>
            <w:tcW w:w="8748" w:type="dxa"/>
            <w:gridSpan w:val="2"/>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防治目标：</w:t>
            </w:r>
          </w:p>
        </w:tc>
      </w:tr>
      <w:tr>
        <w:tblPrEx>
          <w:tblCellMar>
            <w:top w:w="0" w:type="dxa"/>
            <w:left w:w="108" w:type="dxa"/>
            <w:bottom w:w="0" w:type="dxa"/>
            <w:right w:w="108" w:type="dxa"/>
          </w:tblCellMar>
        </w:tblPrEx>
        <w:trPr>
          <w:trHeight w:val="494" w:hRule="atLeast"/>
        </w:trPr>
        <w:tc>
          <w:tcPr>
            <w:tcW w:w="1468" w:type="dxa"/>
            <w:vMerge w:val="restart"/>
            <w:tcBorders>
              <w:top w:val="nil"/>
              <w:left w:val="single" w:color="auto" w:sz="4" w:space="0"/>
              <w:right w:val="single" w:color="auto" w:sz="4" w:space="0"/>
            </w:tcBorders>
            <w:noWrap w:val="0"/>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虫害</w:t>
            </w:r>
          </w:p>
        </w:tc>
        <w:tc>
          <w:tcPr>
            <w:tcW w:w="72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云杉大灰象当年平均针叶被害率控制在</w:t>
            </w:r>
            <w:r>
              <w:rPr>
                <w:rFonts w:hint="eastAsia" w:ascii="仿宋" w:hAnsi="仿宋" w:eastAsia="仿宋" w:cs="宋体"/>
                <w:kern w:val="0"/>
                <w:sz w:val="24"/>
                <w:szCs w:val="24"/>
                <w:u w:val="single"/>
                <w:lang w:val="en-US" w:eastAsia="zh-CN"/>
              </w:rPr>
              <w:t xml:space="preserve"> </w:t>
            </w:r>
            <w:r>
              <w:rPr>
                <w:rFonts w:hint="eastAsia" w:ascii="仿宋" w:hAnsi="仿宋" w:eastAsia="仿宋" w:cs="宋体"/>
                <w:kern w:val="0"/>
                <w:sz w:val="24"/>
                <w:szCs w:val="24"/>
                <w:u w:val="single"/>
              </w:rPr>
              <w:t>7%</w:t>
            </w:r>
            <w:r>
              <w:rPr>
                <w:rFonts w:hint="eastAsia" w:ascii="仿宋" w:hAnsi="仿宋" w:eastAsia="仿宋" w:cs="宋体"/>
                <w:kern w:val="0"/>
                <w:sz w:val="24"/>
                <w:szCs w:val="24"/>
                <w:u w:val="single"/>
                <w:lang w:val="en-US" w:eastAsia="zh-CN"/>
              </w:rPr>
              <w:t xml:space="preserve"> </w:t>
            </w:r>
            <w:r>
              <w:rPr>
                <w:rFonts w:hint="eastAsia" w:ascii="仿宋" w:hAnsi="仿宋" w:eastAsia="仿宋" w:cs="宋体"/>
                <w:kern w:val="0"/>
                <w:sz w:val="24"/>
                <w:szCs w:val="24"/>
              </w:rPr>
              <w:t>以下</w:t>
            </w:r>
          </w:p>
        </w:tc>
      </w:tr>
      <w:tr>
        <w:tblPrEx>
          <w:tblCellMar>
            <w:top w:w="0" w:type="dxa"/>
            <w:left w:w="108" w:type="dxa"/>
            <w:bottom w:w="0" w:type="dxa"/>
            <w:right w:w="108" w:type="dxa"/>
          </w:tblCellMar>
        </w:tblPrEx>
        <w:trPr>
          <w:trHeight w:val="521" w:hRule="atLeast"/>
        </w:trPr>
        <w:tc>
          <w:tcPr>
            <w:tcW w:w="1468" w:type="dxa"/>
            <w:vMerge w:val="continue"/>
            <w:tcBorders>
              <w:left w:val="single" w:color="auto" w:sz="4" w:space="0"/>
              <w:right w:val="single" w:color="auto" w:sz="4" w:space="0"/>
            </w:tcBorders>
            <w:noWrap w:val="0"/>
            <w:vAlign w:val="center"/>
          </w:tcPr>
          <w:p>
            <w:pPr>
              <w:widowControl/>
              <w:spacing w:line="360" w:lineRule="auto"/>
              <w:jc w:val="center"/>
              <w:rPr>
                <w:rFonts w:ascii="仿宋" w:hAnsi="仿宋" w:eastAsia="仿宋" w:cs="宋体"/>
                <w:kern w:val="0"/>
                <w:sz w:val="24"/>
                <w:szCs w:val="24"/>
              </w:rPr>
            </w:pPr>
          </w:p>
        </w:tc>
        <w:tc>
          <w:tcPr>
            <w:tcW w:w="72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防治效果在85%以上</w:t>
            </w:r>
          </w:p>
        </w:tc>
      </w:tr>
      <w:tr>
        <w:tblPrEx>
          <w:tblCellMar>
            <w:top w:w="0" w:type="dxa"/>
            <w:left w:w="108" w:type="dxa"/>
            <w:bottom w:w="0" w:type="dxa"/>
            <w:right w:w="108" w:type="dxa"/>
          </w:tblCellMar>
        </w:tblPrEx>
        <w:trPr>
          <w:trHeight w:val="522" w:hRule="atLeast"/>
        </w:trPr>
        <w:tc>
          <w:tcPr>
            <w:tcW w:w="146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仿宋" w:hAnsi="仿宋" w:eastAsia="仿宋" w:cs="宋体"/>
                <w:kern w:val="0"/>
                <w:sz w:val="24"/>
                <w:szCs w:val="24"/>
              </w:rPr>
            </w:pPr>
            <w:r>
              <w:rPr>
                <w:rFonts w:ascii="仿宋" w:hAnsi="仿宋" w:eastAsia="仿宋" w:cs="宋体"/>
                <w:kern w:val="0"/>
                <w:sz w:val="24"/>
                <w:szCs w:val="24"/>
              </w:rPr>
              <w:t>鼠害</w:t>
            </w:r>
          </w:p>
        </w:tc>
        <w:tc>
          <w:tcPr>
            <w:tcW w:w="7280" w:type="dxa"/>
            <w:tcBorders>
              <w:top w:val="single" w:color="auto" w:sz="4" w:space="0"/>
              <w:left w:val="nil"/>
              <w:right w:val="single" w:color="auto" w:sz="4" w:space="0"/>
            </w:tcBorders>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高原鼢鼠平均有效洞口数控制在</w:t>
            </w:r>
            <w:r>
              <w:rPr>
                <w:rFonts w:hint="eastAsia" w:ascii="仿宋" w:hAnsi="仿宋" w:eastAsia="仿宋" w:cs="宋体"/>
                <w:kern w:val="0"/>
                <w:sz w:val="24"/>
                <w:szCs w:val="24"/>
                <w:u w:val="single"/>
              </w:rPr>
              <w:t xml:space="preserve"> 5个/亩</w:t>
            </w:r>
            <w:r>
              <w:rPr>
                <w:rFonts w:hint="eastAsia" w:ascii="仿宋" w:hAnsi="仿宋" w:eastAsia="仿宋" w:cs="宋体"/>
                <w:kern w:val="0"/>
                <w:sz w:val="24"/>
                <w:szCs w:val="24"/>
              </w:rPr>
              <w:t>以下</w:t>
            </w:r>
          </w:p>
        </w:tc>
      </w:tr>
      <w:tr>
        <w:tblPrEx>
          <w:tblCellMar>
            <w:top w:w="0" w:type="dxa"/>
            <w:left w:w="108" w:type="dxa"/>
            <w:bottom w:w="0" w:type="dxa"/>
            <w:right w:w="108" w:type="dxa"/>
          </w:tblCellMar>
        </w:tblPrEx>
        <w:trPr>
          <w:trHeight w:val="494" w:hRule="atLeast"/>
        </w:trPr>
        <w:tc>
          <w:tcPr>
            <w:tcW w:w="1468"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仿宋" w:hAnsi="仿宋" w:eastAsia="仿宋" w:cs="宋体"/>
                <w:kern w:val="0"/>
                <w:sz w:val="24"/>
                <w:szCs w:val="24"/>
              </w:rPr>
            </w:pPr>
          </w:p>
        </w:tc>
        <w:tc>
          <w:tcPr>
            <w:tcW w:w="72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lang w:val="en-US" w:eastAsia="zh-CN"/>
              </w:rPr>
              <w:t>防治效果在85%以上</w:t>
            </w:r>
          </w:p>
        </w:tc>
      </w:tr>
      <w:tr>
        <w:tblPrEx>
          <w:tblCellMar>
            <w:top w:w="0" w:type="dxa"/>
            <w:left w:w="108" w:type="dxa"/>
            <w:bottom w:w="0" w:type="dxa"/>
            <w:right w:w="108" w:type="dxa"/>
          </w:tblCellMar>
        </w:tblPrEx>
        <w:trPr>
          <w:trHeight w:val="989" w:hRule="atLeast"/>
        </w:trPr>
        <w:tc>
          <w:tcPr>
            <w:tcW w:w="8748" w:type="dxa"/>
            <w:gridSpan w:val="2"/>
            <w:tcBorders>
              <w:left w:val="single" w:color="auto" w:sz="4" w:space="0"/>
              <w:bottom w:val="single" w:color="auto" w:sz="4" w:space="0"/>
              <w:right w:val="single" w:color="auto" w:sz="4" w:space="0"/>
            </w:tcBorders>
            <w:noWrap w:val="0"/>
            <w:vAlign w:val="center"/>
          </w:tcPr>
          <w:p>
            <w:pPr>
              <w:widowControl/>
              <w:spacing w:line="240" w:lineRule="atLeast"/>
              <w:jc w:val="left"/>
              <w:rPr>
                <w:rFonts w:ascii="仿宋" w:hAnsi="仿宋" w:eastAsia="仿宋" w:cs="宋体"/>
                <w:kern w:val="0"/>
                <w:sz w:val="24"/>
                <w:szCs w:val="24"/>
              </w:rPr>
            </w:pPr>
            <w:r>
              <w:rPr>
                <w:rFonts w:hint="eastAsia" w:ascii="仿宋" w:hAnsi="仿宋" w:eastAsia="仿宋" w:cs="宋体"/>
                <w:b/>
                <w:bCs/>
                <w:kern w:val="0"/>
                <w:sz w:val="24"/>
                <w:szCs w:val="24"/>
              </w:rPr>
              <w:t>总体目标：有害生物发生盛期前进行有效控制，发生面积缩小，危害程度减轻，对林木造成损失较小。发生区不造成严重危害。防治区林分生长健康</w:t>
            </w:r>
            <w:r>
              <w:rPr>
                <w:rFonts w:ascii="仿宋" w:hAnsi="仿宋" w:eastAsia="仿宋" w:cs="宋体"/>
                <w:b/>
                <w:bCs/>
                <w:kern w:val="0"/>
                <w:sz w:val="24"/>
                <w:szCs w:val="24"/>
              </w:rPr>
              <w:t>,</w:t>
            </w:r>
            <w:r>
              <w:rPr>
                <w:rFonts w:hint="eastAsia" w:ascii="仿宋" w:hAnsi="仿宋" w:eastAsia="仿宋" w:cs="宋体"/>
                <w:b/>
                <w:bCs/>
                <w:kern w:val="0"/>
                <w:sz w:val="24"/>
                <w:szCs w:val="24"/>
              </w:rPr>
              <w:t>没有大面积枯黄或林木死亡情况。社会、生态、经济效益明显。</w:t>
            </w:r>
          </w:p>
        </w:tc>
      </w:tr>
    </w:tbl>
    <w:p>
      <w:pPr>
        <w:pStyle w:val="30"/>
        <w:rPr>
          <w:rFonts w:hint="eastAsia"/>
          <w:color w:val="auto"/>
          <w:lang w:val="zh-CN" w:eastAsia="zh-CN"/>
        </w:rPr>
      </w:pPr>
    </w:p>
    <w:sectPr>
      <w:footerReference r:id="rId13" w:type="first"/>
      <w:footerReference r:id="rId11" w:type="default"/>
      <w:footerReference r:id="rId12" w:type="even"/>
      <w:pgSz w:w="11906" w:h="16838"/>
      <w:pgMar w:top="1247" w:right="999" w:bottom="1247" w:left="1247" w:header="851" w:footer="992" w:gutter="0"/>
      <w:pgBorders w:offsetFrom="page">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Arial" w:hAnsi="Arial" w:eastAsia="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Arial" w:hAnsi="Arial"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355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Arial" w:hAnsi="Arial" w:eastAsia="仿宋"/>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Arial" w:hAnsi="Arial" w:eastAsia="仿宋"/>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5"/>
      </w:pPr>
      <w:r>
        <w:rPr>
          <w:rStyle w:val="42"/>
        </w:rPr>
        <w:footnoteRef/>
      </w:r>
      <w:r>
        <w:rPr>
          <w:rFonts w:hint="eastAsia"/>
        </w:rPr>
        <w:t>征求意见稿，指乙方第一次向甲方提交的，用于甲方在部门内部或相关部门范围征求修改意见的稿件。</w:t>
      </w:r>
    </w:p>
  </w:footnote>
  <w:footnote w:id="1">
    <w:p>
      <w:pPr>
        <w:pStyle w:val="25"/>
      </w:pPr>
      <w:r>
        <w:rPr>
          <w:rStyle w:val="42"/>
        </w:rPr>
        <w:footnoteRef/>
      </w:r>
      <w:r>
        <w:rPr>
          <w:rFonts w:hint="eastAsia"/>
        </w:rPr>
        <w:t>送审稿，指乙方在对征求意见修改的基础上，第二次向甲方提交的，用于评审验收的稿件。</w:t>
      </w:r>
    </w:p>
  </w:footnote>
  <w:footnote w:id="2">
    <w:p>
      <w:pPr>
        <w:pStyle w:val="25"/>
      </w:pPr>
      <w:r>
        <w:rPr>
          <w:rStyle w:val="42"/>
        </w:rPr>
        <w:footnoteRef/>
      </w:r>
      <w:r>
        <w:rPr>
          <w:rFonts w:hint="eastAsia"/>
        </w:rPr>
        <w:t>定稿，指项目最终验收通过的成果稿。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ascii="宋体" w:hAnsi="宋体" w:eastAsia="宋体" w:cs="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sz w:val="21"/>
        <w:szCs w:val="21"/>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90FD5"/>
    <w:multiLevelType w:val="singleLevel"/>
    <w:tmpl w:val="82890FD5"/>
    <w:lvl w:ilvl="0" w:tentative="0">
      <w:start w:val="5"/>
      <w:numFmt w:val="decimal"/>
      <w:suff w:val="nothing"/>
      <w:lvlText w:val="%1、"/>
      <w:lvlJc w:val="left"/>
    </w:lvl>
  </w:abstractNum>
  <w:abstractNum w:abstractNumId="1">
    <w:nsid w:val="BA3533BC"/>
    <w:multiLevelType w:val="singleLevel"/>
    <w:tmpl w:val="BA3533BC"/>
    <w:lvl w:ilvl="0" w:tentative="0">
      <w:start w:val="1"/>
      <w:numFmt w:val="decimal"/>
      <w:lvlText w:val="%1."/>
      <w:lvlJc w:val="left"/>
      <w:pPr>
        <w:tabs>
          <w:tab w:val="left" w:pos="312"/>
        </w:tabs>
      </w:pPr>
    </w:lvl>
  </w:abstractNum>
  <w:abstractNum w:abstractNumId="2">
    <w:nsid w:val="DB0A5F54"/>
    <w:multiLevelType w:val="singleLevel"/>
    <w:tmpl w:val="DB0A5F54"/>
    <w:lvl w:ilvl="0" w:tentative="0">
      <w:start w:val="2"/>
      <w:numFmt w:val="decimal"/>
      <w:suff w:val="nothing"/>
      <w:lvlText w:val="（%1）"/>
      <w:lvlJc w:val="left"/>
    </w:lvl>
  </w:abstractNum>
  <w:abstractNum w:abstractNumId="3">
    <w:nsid w:val="0752FC75"/>
    <w:multiLevelType w:val="singleLevel"/>
    <w:tmpl w:val="0752FC75"/>
    <w:lvl w:ilvl="0" w:tentative="0">
      <w:start w:val="4"/>
      <w:numFmt w:val="decimal"/>
      <w:suff w:val="nothing"/>
      <w:lvlText w:val="%1、"/>
      <w:lvlJc w:val="left"/>
    </w:lvl>
  </w:abstractNum>
  <w:abstractNum w:abstractNumId="4">
    <w:nsid w:val="0BE2177F"/>
    <w:multiLevelType w:val="multilevel"/>
    <w:tmpl w:val="0BE2177F"/>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250E64E0"/>
    <w:multiLevelType w:val="singleLevel"/>
    <w:tmpl w:val="250E64E0"/>
    <w:lvl w:ilvl="0" w:tentative="0">
      <w:start w:val="2"/>
      <w:numFmt w:val="chineseCounting"/>
      <w:suff w:val="nothing"/>
      <w:lvlText w:val="（%1）"/>
      <w:lvlJc w:val="left"/>
      <w:rPr>
        <w:rFonts w:hint="eastAsia"/>
      </w:rPr>
    </w:lvl>
  </w:abstractNum>
  <w:abstractNum w:abstractNumId="6">
    <w:nsid w:val="5065048E"/>
    <w:multiLevelType w:val="multilevel"/>
    <w:tmpl w:val="5065048E"/>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sz w:val="48"/>
        <w:szCs w:val="48"/>
      </w:rPr>
    </w:lvl>
    <w:lvl w:ilvl="2" w:tentative="0">
      <w:start w:val="1"/>
      <w:numFmt w:val="decimal"/>
      <w:pStyle w:val="114"/>
      <w:lvlText w:val="%1.%2.%3"/>
      <w:lvlJc w:val="left"/>
      <w:pPr>
        <w:ind w:left="567" w:hanging="567"/>
      </w:pPr>
    </w:lvl>
    <w:lvl w:ilvl="3" w:tentative="0">
      <w:start w:val="1"/>
      <w:numFmt w:val="decimal"/>
      <w:lvlText w:val="%1.%2.%3.%4"/>
      <w:lvlJc w:val="left"/>
      <w:pPr>
        <w:ind w:left="1984" w:hanging="708"/>
      </w:pPr>
      <w:rPr>
        <w:rFonts w:ascii="黑体" w:hAnsi="黑体" w:eastAsia="黑体"/>
        <w:sz w:val="36"/>
        <w:szCs w:val="36"/>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550263F2"/>
    <w:multiLevelType w:val="multilevel"/>
    <w:tmpl w:val="550263F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FC4CCC"/>
    <w:multiLevelType w:val="singleLevel"/>
    <w:tmpl w:val="59FC4CCC"/>
    <w:lvl w:ilvl="0" w:tentative="0">
      <w:start w:val="1"/>
      <w:numFmt w:val="decimal"/>
      <w:suff w:val="nothing"/>
      <w:lvlText w:val="（%1）"/>
      <w:lvlJc w:val="left"/>
    </w:lvl>
  </w:abstractNum>
  <w:num w:numId="1">
    <w:abstractNumId w:val="6"/>
  </w:num>
  <w:num w:numId="2">
    <w:abstractNumId w:val="2"/>
  </w:num>
  <w:num w:numId="3">
    <w:abstractNumId w:val="3"/>
  </w:num>
  <w:num w:numId="4">
    <w:abstractNumId w:val="7"/>
  </w:num>
  <w:num w:numId="5">
    <w:abstractNumId w:val="0"/>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dit="readOnly" w:formatting="1"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46"/>
    <w:rsid w:val="00015226"/>
    <w:rsid w:val="00030CF5"/>
    <w:rsid w:val="00032AB6"/>
    <w:rsid w:val="00037051"/>
    <w:rsid w:val="00044342"/>
    <w:rsid w:val="000458AF"/>
    <w:rsid w:val="00053F8E"/>
    <w:rsid w:val="00055292"/>
    <w:rsid w:val="00060004"/>
    <w:rsid w:val="00061633"/>
    <w:rsid w:val="00067798"/>
    <w:rsid w:val="000679E2"/>
    <w:rsid w:val="00074714"/>
    <w:rsid w:val="000803E3"/>
    <w:rsid w:val="00081656"/>
    <w:rsid w:val="00090C88"/>
    <w:rsid w:val="000A0BEA"/>
    <w:rsid w:val="000A2540"/>
    <w:rsid w:val="000A426B"/>
    <w:rsid w:val="000B7229"/>
    <w:rsid w:val="000D35D9"/>
    <w:rsid w:val="000D51AB"/>
    <w:rsid w:val="000E0529"/>
    <w:rsid w:val="000E6FC2"/>
    <w:rsid w:val="000E7A59"/>
    <w:rsid w:val="000E7BA5"/>
    <w:rsid w:val="000F0DA7"/>
    <w:rsid w:val="000F2667"/>
    <w:rsid w:val="0010461B"/>
    <w:rsid w:val="0010799F"/>
    <w:rsid w:val="00111705"/>
    <w:rsid w:val="001342F6"/>
    <w:rsid w:val="00140C03"/>
    <w:rsid w:val="00146B57"/>
    <w:rsid w:val="00147E6F"/>
    <w:rsid w:val="00175FE7"/>
    <w:rsid w:val="001761CD"/>
    <w:rsid w:val="00183DDB"/>
    <w:rsid w:val="001841A1"/>
    <w:rsid w:val="00190B57"/>
    <w:rsid w:val="00191F18"/>
    <w:rsid w:val="0019408B"/>
    <w:rsid w:val="0019718F"/>
    <w:rsid w:val="001A0E1B"/>
    <w:rsid w:val="001A1C5D"/>
    <w:rsid w:val="001A1F42"/>
    <w:rsid w:val="001A3C04"/>
    <w:rsid w:val="001A3DC7"/>
    <w:rsid w:val="001A75F3"/>
    <w:rsid w:val="001C14C5"/>
    <w:rsid w:val="001C5A25"/>
    <w:rsid w:val="001C5BDC"/>
    <w:rsid w:val="001D3388"/>
    <w:rsid w:val="001D4581"/>
    <w:rsid w:val="001D74E0"/>
    <w:rsid w:val="001F292F"/>
    <w:rsid w:val="00203C1B"/>
    <w:rsid w:val="002123EC"/>
    <w:rsid w:val="00212DD5"/>
    <w:rsid w:val="0022185E"/>
    <w:rsid w:val="002238F4"/>
    <w:rsid w:val="0022771D"/>
    <w:rsid w:val="00242B4C"/>
    <w:rsid w:val="00242DDC"/>
    <w:rsid w:val="002474FD"/>
    <w:rsid w:val="00254C8B"/>
    <w:rsid w:val="0025585F"/>
    <w:rsid w:val="00266759"/>
    <w:rsid w:val="00270AD6"/>
    <w:rsid w:val="00271B88"/>
    <w:rsid w:val="00273593"/>
    <w:rsid w:val="00280571"/>
    <w:rsid w:val="00281B8B"/>
    <w:rsid w:val="0029385C"/>
    <w:rsid w:val="00294BCC"/>
    <w:rsid w:val="002A12D2"/>
    <w:rsid w:val="002A35C8"/>
    <w:rsid w:val="002A5866"/>
    <w:rsid w:val="002B0C04"/>
    <w:rsid w:val="002C0776"/>
    <w:rsid w:val="002D1845"/>
    <w:rsid w:val="002D60DE"/>
    <w:rsid w:val="002E0284"/>
    <w:rsid w:val="002E2DCF"/>
    <w:rsid w:val="002E6735"/>
    <w:rsid w:val="002E6832"/>
    <w:rsid w:val="002E6894"/>
    <w:rsid w:val="002F68AC"/>
    <w:rsid w:val="002F6B99"/>
    <w:rsid w:val="00321E13"/>
    <w:rsid w:val="00332017"/>
    <w:rsid w:val="00333AFE"/>
    <w:rsid w:val="00334628"/>
    <w:rsid w:val="003533F6"/>
    <w:rsid w:val="00355D6E"/>
    <w:rsid w:val="00355E9A"/>
    <w:rsid w:val="00356FBC"/>
    <w:rsid w:val="00360A08"/>
    <w:rsid w:val="00364612"/>
    <w:rsid w:val="00385F48"/>
    <w:rsid w:val="00387E0A"/>
    <w:rsid w:val="003B5AE9"/>
    <w:rsid w:val="003D7805"/>
    <w:rsid w:val="003D78AC"/>
    <w:rsid w:val="003E10AC"/>
    <w:rsid w:val="003E2617"/>
    <w:rsid w:val="003E292D"/>
    <w:rsid w:val="003F6001"/>
    <w:rsid w:val="00401193"/>
    <w:rsid w:val="00422407"/>
    <w:rsid w:val="00426DDB"/>
    <w:rsid w:val="004355E5"/>
    <w:rsid w:val="00450BB6"/>
    <w:rsid w:val="00452DB0"/>
    <w:rsid w:val="0045366F"/>
    <w:rsid w:val="0045628C"/>
    <w:rsid w:val="00466B36"/>
    <w:rsid w:val="00487291"/>
    <w:rsid w:val="00487993"/>
    <w:rsid w:val="0049019C"/>
    <w:rsid w:val="00493CCB"/>
    <w:rsid w:val="004A26FD"/>
    <w:rsid w:val="004B2A8B"/>
    <w:rsid w:val="004B3703"/>
    <w:rsid w:val="004B3D04"/>
    <w:rsid w:val="004B3DE6"/>
    <w:rsid w:val="004B3E6E"/>
    <w:rsid w:val="004B3EE0"/>
    <w:rsid w:val="004B575E"/>
    <w:rsid w:val="004C140F"/>
    <w:rsid w:val="004C7277"/>
    <w:rsid w:val="004D371B"/>
    <w:rsid w:val="004D49A6"/>
    <w:rsid w:val="004E0BEF"/>
    <w:rsid w:val="004E4B71"/>
    <w:rsid w:val="004F1FE5"/>
    <w:rsid w:val="004F34E4"/>
    <w:rsid w:val="005008C4"/>
    <w:rsid w:val="00513936"/>
    <w:rsid w:val="00524F68"/>
    <w:rsid w:val="00525F1F"/>
    <w:rsid w:val="00537C28"/>
    <w:rsid w:val="00545038"/>
    <w:rsid w:val="00545178"/>
    <w:rsid w:val="00553500"/>
    <w:rsid w:val="005708EB"/>
    <w:rsid w:val="005718D5"/>
    <w:rsid w:val="00571D16"/>
    <w:rsid w:val="00591E33"/>
    <w:rsid w:val="00592370"/>
    <w:rsid w:val="005946EA"/>
    <w:rsid w:val="005A1587"/>
    <w:rsid w:val="005B1D92"/>
    <w:rsid w:val="005D18E1"/>
    <w:rsid w:val="005D2A15"/>
    <w:rsid w:val="005D4D91"/>
    <w:rsid w:val="005E16DF"/>
    <w:rsid w:val="005E415A"/>
    <w:rsid w:val="005E5C95"/>
    <w:rsid w:val="005F12FB"/>
    <w:rsid w:val="005F16C4"/>
    <w:rsid w:val="00606B78"/>
    <w:rsid w:val="0061388A"/>
    <w:rsid w:val="00613A5A"/>
    <w:rsid w:val="00613B2E"/>
    <w:rsid w:val="00620738"/>
    <w:rsid w:val="00624496"/>
    <w:rsid w:val="006244CD"/>
    <w:rsid w:val="00627CA9"/>
    <w:rsid w:val="00633927"/>
    <w:rsid w:val="00641081"/>
    <w:rsid w:val="00642114"/>
    <w:rsid w:val="0065486A"/>
    <w:rsid w:val="00655651"/>
    <w:rsid w:val="006623E5"/>
    <w:rsid w:val="006625EC"/>
    <w:rsid w:val="006630A5"/>
    <w:rsid w:val="00670530"/>
    <w:rsid w:val="00670FE9"/>
    <w:rsid w:val="00672160"/>
    <w:rsid w:val="00685A3C"/>
    <w:rsid w:val="00686EAA"/>
    <w:rsid w:val="006915BE"/>
    <w:rsid w:val="006923DB"/>
    <w:rsid w:val="006952A7"/>
    <w:rsid w:val="006A2BFB"/>
    <w:rsid w:val="006C0D72"/>
    <w:rsid w:val="006C2D2B"/>
    <w:rsid w:val="006C5BF2"/>
    <w:rsid w:val="006C7F2C"/>
    <w:rsid w:val="006D475C"/>
    <w:rsid w:val="006D4A2C"/>
    <w:rsid w:val="006D675A"/>
    <w:rsid w:val="006E2C45"/>
    <w:rsid w:val="006E35D3"/>
    <w:rsid w:val="006F4954"/>
    <w:rsid w:val="00701990"/>
    <w:rsid w:val="007028D5"/>
    <w:rsid w:val="0071169A"/>
    <w:rsid w:val="00711A19"/>
    <w:rsid w:val="00712734"/>
    <w:rsid w:val="007140B6"/>
    <w:rsid w:val="00722186"/>
    <w:rsid w:val="007226AA"/>
    <w:rsid w:val="00722F21"/>
    <w:rsid w:val="00734F68"/>
    <w:rsid w:val="007427E9"/>
    <w:rsid w:val="007450BD"/>
    <w:rsid w:val="00756461"/>
    <w:rsid w:val="00765A01"/>
    <w:rsid w:val="007677A0"/>
    <w:rsid w:val="00770D6A"/>
    <w:rsid w:val="00784F5F"/>
    <w:rsid w:val="00786A85"/>
    <w:rsid w:val="007906D0"/>
    <w:rsid w:val="00793602"/>
    <w:rsid w:val="007956A3"/>
    <w:rsid w:val="007959A8"/>
    <w:rsid w:val="007966AE"/>
    <w:rsid w:val="007B1038"/>
    <w:rsid w:val="007C5F72"/>
    <w:rsid w:val="007D0866"/>
    <w:rsid w:val="007D31B7"/>
    <w:rsid w:val="007E1C8D"/>
    <w:rsid w:val="007E2AFE"/>
    <w:rsid w:val="007E7835"/>
    <w:rsid w:val="007F07E1"/>
    <w:rsid w:val="007F336C"/>
    <w:rsid w:val="007F6C82"/>
    <w:rsid w:val="008021F1"/>
    <w:rsid w:val="0080677D"/>
    <w:rsid w:val="00807CC5"/>
    <w:rsid w:val="00817DD4"/>
    <w:rsid w:val="0083032A"/>
    <w:rsid w:val="00830BC4"/>
    <w:rsid w:val="00831AF0"/>
    <w:rsid w:val="00837B21"/>
    <w:rsid w:val="00845022"/>
    <w:rsid w:val="00861AEA"/>
    <w:rsid w:val="00883246"/>
    <w:rsid w:val="00891C6A"/>
    <w:rsid w:val="008A5436"/>
    <w:rsid w:val="008B52A4"/>
    <w:rsid w:val="008C0332"/>
    <w:rsid w:val="008C2112"/>
    <w:rsid w:val="008C2157"/>
    <w:rsid w:val="008C4FA3"/>
    <w:rsid w:val="008C7E72"/>
    <w:rsid w:val="008D24CA"/>
    <w:rsid w:val="008D42A4"/>
    <w:rsid w:val="008D5807"/>
    <w:rsid w:val="008E765E"/>
    <w:rsid w:val="008F3E94"/>
    <w:rsid w:val="008F3F5B"/>
    <w:rsid w:val="008F6036"/>
    <w:rsid w:val="008F6C13"/>
    <w:rsid w:val="00900443"/>
    <w:rsid w:val="009072FE"/>
    <w:rsid w:val="00924FE7"/>
    <w:rsid w:val="00936A6C"/>
    <w:rsid w:val="00943822"/>
    <w:rsid w:val="00944EEA"/>
    <w:rsid w:val="00954C29"/>
    <w:rsid w:val="00960180"/>
    <w:rsid w:val="00963CB0"/>
    <w:rsid w:val="0096776F"/>
    <w:rsid w:val="00993081"/>
    <w:rsid w:val="009A0BAD"/>
    <w:rsid w:val="009A7BDF"/>
    <w:rsid w:val="009B30D9"/>
    <w:rsid w:val="009B6B4F"/>
    <w:rsid w:val="009B71BC"/>
    <w:rsid w:val="009C1568"/>
    <w:rsid w:val="009C18F2"/>
    <w:rsid w:val="009C3109"/>
    <w:rsid w:val="009C775D"/>
    <w:rsid w:val="009D026B"/>
    <w:rsid w:val="009D48D3"/>
    <w:rsid w:val="009D4A8E"/>
    <w:rsid w:val="009D4FC2"/>
    <w:rsid w:val="009F374E"/>
    <w:rsid w:val="009F3B8C"/>
    <w:rsid w:val="00A01C45"/>
    <w:rsid w:val="00A04F6F"/>
    <w:rsid w:val="00A074BA"/>
    <w:rsid w:val="00A1142C"/>
    <w:rsid w:val="00A13D1C"/>
    <w:rsid w:val="00A16EDC"/>
    <w:rsid w:val="00A21C38"/>
    <w:rsid w:val="00A414B5"/>
    <w:rsid w:val="00A4526E"/>
    <w:rsid w:val="00A60BE9"/>
    <w:rsid w:val="00A71874"/>
    <w:rsid w:val="00A71F2C"/>
    <w:rsid w:val="00A77B47"/>
    <w:rsid w:val="00A9685C"/>
    <w:rsid w:val="00A9799A"/>
    <w:rsid w:val="00AA1BBD"/>
    <w:rsid w:val="00AA309D"/>
    <w:rsid w:val="00AB1230"/>
    <w:rsid w:val="00AB1CDA"/>
    <w:rsid w:val="00AB477B"/>
    <w:rsid w:val="00AC7822"/>
    <w:rsid w:val="00AD7571"/>
    <w:rsid w:val="00AE0C66"/>
    <w:rsid w:val="00AE3B24"/>
    <w:rsid w:val="00AE59FB"/>
    <w:rsid w:val="00AE62D0"/>
    <w:rsid w:val="00AE6963"/>
    <w:rsid w:val="00AF440A"/>
    <w:rsid w:val="00B00C96"/>
    <w:rsid w:val="00B110AF"/>
    <w:rsid w:val="00B226A0"/>
    <w:rsid w:val="00B2318F"/>
    <w:rsid w:val="00B2441D"/>
    <w:rsid w:val="00B27A96"/>
    <w:rsid w:val="00B32E11"/>
    <w:rsid w:val="00B41959"/>
    <w:rsid w:val="00B41B88"/>
    <w:rsid w:val="00B4201D"/>
    <w:rsid w:val="00B44435"/>
    <w:rsid w:val="00B45CD6"/>
    <w:rsid w:val="00B524A3"/>
    <w:rsid w:val="00B574D0"/>
    <w:rsid w:val="00B61CA2"/>
    <w:rsid w:val="00B63D47"/>
    <w:rsid w:val="00B6774E"/>
    <w:rsid w:val="00B701AA"/>
    <w:rsid w:val="00B73C58"/>
    <w:rsid w:val="00B82989"/>
    <w:rsid w:val="00B82AD8"/>
    <w:rsid w:val="00B92F2B"/>
    <w:rsid w:val="00BA3FEF"/>
    <w:rsid w:val="00BB2065"/>
    <w:rsid w:val="00BB24E0"/>
    <w:rsid w:val="00BB38B5"/>
    <w:rsid w:val="00BB6AD9"/>
    <w:rsid w:val="00BB6EDD"/>
    <w:rsid w:val="00BB7475"/>
    <w:rsid w:val="00BC5F21"/>
    <w:rsid w:val="00BC7F26"/>
    <w:rsid w:val="00BD0263"/>
    <w:rsid w:val="00BD059E"/>
    <w:rsid w:val="00BD4DD6"/>
    <w:rsid w:val="00BE3F92"/>
    <w:rsid w:val="00BF09ED"/>
    <w:rsid w:val="00BF180E"/>
    <w:rsid w:val="00BF4301"/>
    <w:rsid w:val="00C04137"/>
    <w:rsid w:val="00C11617"/>
    <w:rsid w:val="00C11C59"/>
    <w:rsid w:val="00C11CA2"/>
    <w:rsid w:val="00C31734"/>
    <w:rsid w:val="00C335FD"/>
    <w:rsid w:val="00C36A46"/>
    <w:rsid w:val="00C4331B"/>
    <w:rsid w:val="00C45D79"/>
    <w:rsid w:val="00C52342"/>
    <w:rsid w:val="00C53A5E"/>
    <w:rsid w:val="00C67CDC"/>
    <w:rsid w:val="00C73AB2"/>
    <w:rsid w:val="00C82CED"/>
    <w:rsid w:val="00C85E18"/>
    <w:rsid w:val="00C90703"/>
    <w:rsid w:val="00C94F82"/>
    <w:rsid w:val="00CA2A94"/>
    <w:rsid w:val="00CA2A98"/>
    <w:rsid w:val="00CA5800"/>
    <w:rsid w:val="00CB45CE"/>
    <w:rsid w:val="00CC22CC"/>
    <w:rsid w:val="00CC2CBD"/>
    <w:rsid w:val="00CC5093"/>
    <w:rsid w:val="00CE4FF3"/>
    <w:rsid w:val="00CF2328"/>
    <w:rsid w:val="00CF4728"/>
    <w:rsid w:val="00D0711C"/>
    <w:rsid w:val="00D1039C"/>
    <w:rsid w:val="00D15AEC"/>
    <w:rsid w:val="00D228AD"/>
    <w:rsid w:val="00D2694C"/>
    <w:rsid w:val="00D35F3D"/>
    <w:rsid w:val="00D45539"/>
    <w:rsid w:val="00D469C6"/>
    <w:rsid w:val="00D54238"/>
    <w:rsid w:val="00D66A46"/>
    <w:rsid w:val="00D713B1"/>
    <w:rsid w:val="00D841B4"/>
    <w:rsid w:val="00D93C71"/>
    <w:rsid w:val="00DA0FB5"/>
    <w:rsid w:val="00DA2862"/>
    <w:rsid w:val="00DC1179"/>
    <w:rsid w:val="00DC455C"/>
    <w:rsid w:val="00DD2E7C"/>
    <w:rsid w:val="00DE6228"/>
    <w:rsid w:val="00DF23E5"/>
    <w:rsid w:val="00DF259B"/>
    <w:rsid w:val="00DF25FA"/>
    <w:rsid w:val="00DF43C3"/>
    <w:rsid w:val="00E172D1"/>
    <w:rsid w:val="00E17CBE"/>
    <w:rsid w:val="00E21D6D"/>
    <w:rsid w:val="00E27316"/>
    <w:rsid w:val="00E27EC9"/>
    <w:rsid w:val="00E33774"/>
    <w:rsid w:val="00E406AC"/>
    <w:rsid w:val="00E444CE"/>
    <w:rsid w:val="00E464F6"/>
    <w:rsid w:val="00E47430"/>
    <w:rsid w:val="00E47F22"/>
    <w:rsid w:val="00E5370A"/>
    <w:rsid w:val="00E67D82"/>
    <w:rsid w:val="00E71EE0"/>
    <w:rsid w:val="00E762A3"/>
    <w:rsid w:val="00E8411F"/>
    <w:rsid w:val="00E85859"/>
    <w:rsid w:val="00E85C89"/>
    <w:rsid w:val="00E86784"/>
    <w:rsid w:val="00E9749F"/>
    <w:rsid w:val="00EA5658"/>
    <w:rsid w:val="00EA7523"/>
    <w:rsid w:val="00EC03B7"/>
    <w:rsid w:val="00EC03DB"/>
    <w:rsid w:val="00EC4F6A"/>
    <w:rsid w:val="00ED75E3"/>
    <w:rsid w:val="00EE1ED7"/>
    <w:rsid w:val="00EF11E8"/>
    <w:rsid w:val="00EF18B1"/>
    <w:rsid w:val="00EF2356"/>
    <w:rsid w:val="00EF5E2F"/>
    <w:rsid w:val="00F01FD3"/>
    <w:rsid w:val="00F03797"/>
    <w:rsid w:val="00F06E0A"/>
    <w:rsid w:val="00F14880"/>
    <w:rsid w:val="00F166D9"/>
    <w:rsid w:val="00F21087"/>
    <w:rsid w:val="00F214B9"/>
    <w:rsid w:val="00F21531"/>
    <w:rsid w:val="00F24931"/>
    <w:rsid w:val="00F319E0"/>
    <w:rsid w:val="00F4336E"/>
    <w:rsid w:val="00F4412C"/>
    <w:rsid w:val="00F561B7"/>
    <w:rsid w:val="00F6123E"/>
    <w:rsid w:val="00F717FB"/>
    <w:rsid w:val="00F730CF"/>
    <w:rsid w:val="00F81BB7"/>
    <w:rsid w:val="00F92A79"/>
    <w:rsid w:val="00FA5409"/>
    <w:rsid w:val="00FA5571"/>
    <w:rsid w:val="00FB7DFB"/>
    <w:rsid w:val="00FC2103"/>
    <w:rsid w:val="00FC4136"/>
    <w:rsid w:val="00FC6740"/>
    <w:rsid w:val="00FE18B6"/>
    <w:rsid w:val="01497842"/>
    <w:rsid w:val="014C1E75"/>
    <w:rsid w:val="016B1550"/>
    <w:rsid w:val="01A1219E"/>
    <w:rsid w:val="01E360C4"/>
    <w:rsid w:val="01ED5150"/>
    <w:rsid w:val="01EF3B1A"/>
    <w:rsid w:val="02186511"/>
    <w:rsid w:val="022A3B71"/>
    <w:rsid w:val="024C032D"/>
    <w:rsid w:val="024C5BE5"/>
    <w:rsid w:val="02C20A39"/>
    <w:rsid w:val="02C54E79"/>
    <w:rsid w:val="02E605CF"/>
    <w:rsid w:val="03062598"/>
    <w:rsid w:val="03165421"/>
    <w:rsid w:val="03536793"/>
    <w:rsid w:val="035B2F77"/>
    <w:rsid w:val="03A212C5"/>
    <w:rsid w:val="03AA15DD"/>
    <w:rsid w:val="03B5003C"/>
    <w:rsid w:val="03E106AC"/>
    <w:rsid w:val="03F17782"/>
    <w:rsid w:val="041F7EC1"/>
    <w:rsid w:val="042A694F"/>
    <w:rsid w:val="0458512B"/>
    <w:rsid w:val="04701186"/>
    <w:rsid w:val="04870BA4"/>
    <w:rsid w:val="04881949"/>
    <w:rsid w:val="04982889"/>
    <w:rsid w:val="049A6930"/>
    <w:rsid w:val="04A62E13"/>
    <w:rsid w:val="04B2628B"/>
    <w:rsid w:val="04B457A8"/>
    <w:rsid w:val="04BB7986"/>
    <w:rsid w:val="04CF33A2"/>
    <w:rsid w:val="04DC4A52"/>
    <w:rsid w:val="05141A00"/>
    <w:rsid w:val="05253BB4"/>
    <w:rsid w:val="054146E3"/>
    <w:rsid w:val="05480BE0"/>
    <w:rsid w:val="055778BC"/>
    <w:rsid w:val="05677239"/>
    <w:rsid w:val="057A561E"/>
    <w:rsid w:val="05C80DF6"/>
    <w:rsid w:val="05D65675"/>
    <w:rsid w:val="05E05241"/>
    <w:rsid w:val="0607186C"/>
    <w:rsid w:val="06553B87"/>
    <w:rsid w:val="06785488"/>
    <w:rsid w:val="068874E9"/>
    <w:rsid w:val="069916B7"/>
    <w:rsid w:val="06A62D77"/>
    <w:rsid w:val="06B544F4"/>
    <w:rsid w:val="06DF0C43"/>
    <w:rsid w:val="06FF3AB0"/>
    <w:rsid w:val="07156EC0"/>
    <w:rsid w:val="077B5522"/>
    <w:rsid w:val="078F76F6"/>
    <w:rsid w:val="07912CB6"/>
    <w:rsid w:val="07BF349A"/>
    <w:rsid w:val="07D05716"/>
    <w:rsid w:val="07D13788"/>
    <w:rsid w:val="07FC6CDE"/>
    <w:rsid w:val="08B30E55"/>
    <w:rsid w:val="08C26799"/>
    <w:rsid w:val="08CC5EAC"/>
    <w:rsid w:val="08D341B3"/>
    <w:rsid w:val="08DE5081"/>
    <w:rsid w:val="08EB1A8C"/>
    <w:rsid w:val="08F4670C"/>
    <w:rsid w:val="09087E45"/>
    <w:rsid w:val="090E0F7D"/>
    <w:rsid w:val="091D1CC6"/>
    <w:rsid w:val="09357EBF"/>
    <w:rsid w:val="099D2A76"/>
    <w:rsid w:val="09AB7163"/>
    <w:rsid w:val="09AF1024"/>
    <w:rsid w:val="09BF2B9F"/>
    <w:rsid w:val="09D408B3"/>
    <w:rsid w:val="0A257523"/>
    <w:rsid w:val="0A4467E6"/>
    <w:rsid w:val="0A540567"/>
    <w:rsid w:val="0A5B064F"/>
    <w:rsid w:val="0A5D5923"/>
    <w:rsid w:val="0A6734DD"/>
    <w:rsid w:val="0A9614F7"/>
    <w:rsid w:val="0AB570D8"/>
    <w:rsid w:val="0B1C2A15"/>
    <w:rsid w:val="0B664E91"/>
    <w:rsid w:val="0B6A01F6"/>
    <w:rsid w:val="0B8C3BEF"/>
    <w:rsid w:val="0BC722BF"/>
    <w:rsid w:val="0BD43A51"/>
    <w:rsid w:val="0BEB6E55"/>
    <w:rsid w:val="0BF00331"/>
    <w:rsid w:val="0C131B70"/>
    <w:rsid w:val="0C220132"/>
    <w:rsid w:val="0C2D5B6E"/>
    <w:rsid w:val="0C636E38"/>
    <w:rsid w:val="0C7269F8"/>
    <w:rsid w:val="0C8B355C"/>
    <w:rsid w:val="0C9F3642"/>
    <w:rsid w:val="0CBD3E2A"/>
    <w:rsid w:val="0CC46A80"/>
    <w:rsid w:val="0CCA36BC"/>
    <w:rsid w:val="0CED131B"/>
    <w:rsid w:val="0D3555C7"/>
    <w:rsid w:val="0D391103"/>
    <w:rsid w:val="0D4C0385"/>
    <w:rsid w:val="0D6E27AC"/>
    <w:rsid w:val="0D731AD4"/>
    <w:rsid w:val="0D7A3C9B"/>
    <w:rsid w:val="0D7C6907"/>
    <w:rsid w:val="0D7E6039"/>
    <w:rsid w:val="0E5555C1"/>
    <w:rsid w:val="0E575486"/>
    <w:rsid w:val="0E6E7586"/>
    <w:rsid w:val="0E8370BE"/>
    <w:rsid w:val="0E8A66E0"/>
    <w:rsid w:val="0E994C5B"/>
    <w:rsid w:val="0EBA0699"/>
    <w:rsid w:val="0EE2301A"/>
    <w:rsid w:val="0EE4478A"/>
    <w:rsid w:val="0EF32C9F"/>
    <w:rsid w:val="0EFF47B9"/>
    <w:rsid w:val="0F011BB0"/>
    <w:rsid w:val="0F0D4228"/>
    <w:rsid w:val="0F3A3FBB"/>
    <w:rsid w:val="0F3C31E6"/>
    <w:rsid w:val="0F765709"/>
    <w:rsid w:val="0F83160E"/>
    <w:rsid w:val="0FA6253F"/>
    <w:rsid w:val="0FD15E3D"/>
    <w:rsid w:val="0FF04C5D"/>
    <w:rsid w:val="102E23AA"/>
    <w:rsid w:val="103949E9"/>
    <w:rsid w:val="105F67B2"/>
    <w:rsid w:val="10616FE3"/>
    <w:rsid w:val="10642C82"/>
    <w:rsid w:val="107048AC"/>
    <w:rsid w:val="10960D2D"/>
    <w:rsid w:val="10AA31D2"/>
    <w:rsid w:val="10B924CE"/>
    <w:rsid w:val="110D4EB8"/>
    <w:rsid w:val="11354260"/>
    <w:rsid w:val="11666B19"/>
    <w:rsid w:val="116B43C8"/>
    <w:rsid w:val="1172076E"/>
    <w:rsid w:val="118836C7"/>
    <w:rsid w:val="118C7CC2"/>
    <w:rsid w:val="11E913CF"/>
    <w:rsid w:val="11FE6D16"/>
    <w:rsid w:val="121E3D34"/>
    <w:rsid w:val="12371957"/>
    <w:rsid w:val="124C75C9"/>
    <w:rsid w:val="1250400F"/>
    <w:rsid w:val="12504669"/>
    <w:rsid w:val="12593133"/>
    <w:rsid w:val="12622636"/>
    <w:rsid w:val="12680CD5"/>
    <w:rsid w:val="127C52A5"/>
    <w:rsid w:val="1280514F"/>
    <w:rsid w:val="128A3C06"/>
    <w:rsid w:val="12A64612"/>
    <w:rsid w:val="12BE6B09"/>
    <w:rsid w:val="12D41BED"/>
    <w:rsid w:val="12F901BB"/>
    <w:rsid w:val="13246E1C"/>
    <w:rsid w:val="1330321F"/>
    <w:rsid w:val="13347445"/>
    <w:rsid w:val="138D6AF7"/>
    <w:rsid w:val="138E6C68"/>
    <w:rsid w:val="139542B6"/>
    <w:rsid w:val="13BF6717"/>
    <w:rsid w:val="13D80051"/>
    <w:rsid w:val="13DC2196"/>
    <w:rsid w:val="141A5DC5"/>
    <w:rsid w:val="14207D7A"/>
    <w:rsid w:val="14254C91"/>
    <w:rsid w:val="142569C1"/>
    <w:rsid w:val="14396EFA"/>
    <w:rsid w:val="144121E0"/>
    <w:rsid w:val="146153F4"/>
    <w:rsid w:val="148168E0"/>
    <w:rsid w:val="14D94C79"/>
    <w:rsid w:val="150A6536"/>
    <w:rsid w:val="15510D7A"/>
    <w:rsid w:val="15516FCD"/>
    <w:rsid w:val="155E69FB"/>
    <w:rsid w:val="1575047C"/>
    <w:rsid w:val="157D414D"/>
    <w:rsid w:val="158F03F6"/>
    <w:rsid w:val="15C6042E"/>
    <w:rsid w:val="15F74626"/>
    <w:rsid w:val="161A2BCA"/>
    <w:rsid w:val="163C71D3"/>
    <w:rsid w:val="16BE71BC"/>
    <w:rsid w:val="16CE3A99"/>
    <w:rsid w:val="16E35DF8"/>
    <w:rsid w:val="16FA1ED0"/>
    <w:rsid w:val="17410382"/>
    <w:rsid w:val="17552A9E"/>
    <w:rsid w:val="177611F5"/>
    <w:rsid w:val="17766483"/>
    <w:rsid w:val="17943642"/>
    <w:rsid w:val="179510B8"/>
    <w:rsid w:val="17A067FE"/>
    <w:rsid w:val="17C036C9"/>
    <w:rsid w:val="17C839E7"/>
    <w:rsid w:val="17F662AA"/>
    <w:rsid w:val="17F7389E"/>
    <w:rsid w:val="18074B7F"/>
    <w:rsid w:val="183E1E8F"/>
    <w:rsid w:val="18562223"/>
    <w:rsid w:val="1857217F"/>
    <w:rsid w:val="185B5474"/>
    <w:rsid w:val="1885262A"/>
    <w:rsid w:val="188C3B7A"/>
    <w:rsid w:val="18A47473"/>
    <w:rsid w:val="18D003B3"/>
    <w:rsid w:val="18D61F01"/>
    <w:rsid w:val="18DF3ABB"/>
    <w:rsid w:val="18E44BF0"/>
    <w:rsid w:val="19287F83"/>
    <w:rsid w:val="195B16C8"/>
    <w:rsid w:val="19602E4A"/>
    <w:rsid w:val="1962503B"/>
    <w:rsid w:val="196F58D1"/>
    <w:rsid w:val="19706CFD"/>
    <w:rsid w:val="19706F78"/>
    <w:rsid w:val="197278C0"/>
    <w:rsid w:val="197460BE"/>
    <w:rsid w:val="199131C9"/>
    <w:rsid w:val="199917EE"/>
    <w:rsid w:val="199F3756"/>
    <w:rsid w:val="199F496D"/>
    <w:rsid w:val="19A213F5"/>
    <w:rsid w:val="19CC336D"/>
    <w:rsid w:val="19E44B87"/>
    <w:rsid w:val="1A074D35"/>
    <w:rsid w:val="1A483DF2"/>
    <w:rsid w:val="1A4E2C6A"/>
    <w:rsid w:val="1A950336"/>
    <w:rsid w:val="1A9514A6"/>
    <w:rsid w:val="1A9D1257"/>
    <w:rsid w:val="1ABB1E5C"/>
    <w:rsid w:val="1ABC3687"/>
    <w:rsid w:val="1ACD1B7B"/>
    <w:rsid w:val="1AF31D46"/>
    <w:rsid w:val="1B0317CD"/>
    <w:rsid w:val="1B19589E"/>
    <w:rsid w:val="1B3833BE"/>
    <w:rsid w:val="1B3B28F4"/>
    <w:rsid w:val="1B4C44DE"/>
    <w:rsid w:val="1B746927"/>
    <w:rsid w:val="1B784C6E"/>
    <w:rsid w:val="1B81103B"/>
    <w:rsid w:val="1B8B701A"/>
    <w:rsid w:val="1B974E93"/>
    <w:rsid w:val="1BA95F17"/>
    <w:rsid w:val="1BAC0878"/>
    <w:rsid w:val="1BAD0B84"/>
    <w:rsid w:val="1BCA2B84"/>
    <w:rsid w:val="1C262BF4"/>
    <w:rsid w:val="1C2868E0"/>
    <w:rsid w:val="1C5C266B"/>
    <w:rsid w:val="1C6A59CB"/>
    <w:rsid w:val="1C791A14"/>
    <w:rsid w:val="1C876837"/>
    <w:rsid w:val="1C961E91"/>
    <w:rsid w:val="1CC44209"/>
    <w:rsid w:val="1CD17CDA"/>
    <w:rsid w:val="1CF15E48"/>
    <w:rsid w:val="1CFA1C98"/>
    <w:rsid w:val="1D0367BB"/>
    <w:rsid w:val="1D251E4C"/>
    <w:rsid w:val="1D2E35AD"/>
    <w:rsid w:val="1D4D0FB9"/>
    <w:rsid w:val="1D534F7D"/>
    <w:rsid w:val="1D704E7E"/>
    <w:rsid w:val="1D751774"/>
    <w:rsid w:val="1D9957DC"/>
    <w:rsid w:val="1D9A15CB"/>
    <w:rsid w:val="1DA1559D"/>
    <w:rsid w:val="1DA42A38"/>
    <w:rsid w:val="1DB41658"/>
    <w:rsid w:val="1DD60A60"/>
    <w:rsid w:val="1DE14B28"/>
    <w:rsid w:val="1DEB5663"/>
    <w:rsid w:val="1DFA3191"/>
    <w:rsid w:val="1DFD5251"/>
    <w:rsid w:val="1E014F9D"/>
    <w:rsid w:val="1E0C22AB"/>
    <w:rsid w:val="1E2175F5"/>
    <w:rsid w:val="1E30524C"/>
    <w:rsid w:val="1E545DF1"/>
    <w:rsid w:val="1E553F2C"/>
    <w:rsid w:val="1E6B03C2"/>
    <w:rsid w:val="1E8472D3"/>
    <w:rsid w:val="1E872C1D"/>
    <w:rsid w:val="1E887C9A"/>
    <w:rsid w:val="1EB95002"/>
    <w:rsid w:val="1EFA326A"/>
    <w:rsid w:val="1F0B6F7B"/>
    <w:rsid w:val="1F1C226B"/>
    <w:rsid w:val="1F244031"/>
    <w:rsid w:val="1F2F3C08"/>
    <w:rsid w:val="1F301688"/>
    <w:rsid w:val="1F4567AE"/>
    <w:rsid w:val="1F5C3FAB"/>
    <w:rsid w:val="1F68309C"/>
    <w:rsid w:val="1F8A395A"/>
    <w:rsid w:val="1FAD2827"/>
    <w:rsid w:val="1FD3165F"/>
    <w:rsid w:val="20064DF6"/>
    <w:rsid w:val="201959AD"/>
    <w:rsid w:val="201D02E8"/>
    <w:rsid w:val="2038576B"/>
    <w:rsid w:val="20395C39"/>
    <w:rsid w:val="20465A6C"/>
    <w:rsid w:val="2046779F"/>
    <w:rsid w:val="2052284D"/>
    <w:rsid w:val="20576347"/>
    <w:rsid w:val="206207D4"/>
    <w:rsid w:val="206869FC"/>
    <w:rsid w:val="208C0FBA"/>
    <w:rsid w:val="208D0848"/>
    <w:rsid w:val="20932577"/>
    <w:rsid w:val="20E3732C"/>
    <w:rsid w:val="20ED5591"/>
    <w:rsid w:val="20FB34EA"/>
    <w:rsid w:val="21176DA1"/>
    <w:rsid w:val="212E0514"/>
    <w:rsid w:val="213A1B2F"/>
    <w:rsid w:val="218155FE"/>
    <w:rsid w:val="219861B1"/>
    <w:rsid w:val="21A35779"/>
    <w:rsid w:val="21D847D4"/>
    <w:rsid w:val="21DA1BEA"/>
    <w:rsid w:val="21E643CE"/>
    <w:rsid w:val="21E75DA9"/>
    <w:rsid w:val="223924F0"/>
    <w:rsid w:val="224719FD"/>
    <w:rsid w:val="22750DCA"/>
    <w:rsid w:val="2295321E"/>
    <w:rsid w:val="22A42896"/>
    <w:rsid w:val="22BB2D63"/>
    <w:rsid w:val="22BD6D5C"/>
    <w:rsid w:val="22CE0119"/>
    <w:rsid w:val="23163F3B"/>
    <w:rsid w:val="23315FBB"/>
    <w:rsid w:val="238E2F4E"/>
    <w:rsid w:val="23A16974"/>
    <w:rsid w:val="23A521BE"/>
    <w:rsid w:val="23AD71C3"/>
    <w:rsid w:val="23BE3486"/>
    <w:rsid w:val="23D5691F"/>
    <w:rsid w:val="240330B1"/>
    <w:rsid w:val="24221E94"/>
    <w:rsid w:val="24710094"/>
    <w:rsid w:val="2471300C"/>
    <w:rsid w:val="2487598B"/>
    <w:rsid w:val="24975CCB"/>
    <w:rsid w:val="24A329DA"/>
    <w:rsid w:val="24A741C4"/>
    <w:rsid w:val="24AC31BC"/>
    <w:rsid w:val="24B24B2A"/>
    <w:rsid w:val="24CA60D5"/>
    <w:rsid w:val="24D41285"/>
    <w:rsid w:val="24D839E7"/>
    <w:rsid w:val="24EE7C31"/>
    <w:rsid w:val="250B4D69"/>
    <w:rsid w:val="252C1448"/>
    <w:rsid w:val="253157D0"/>
    <w:rsid w:val="255E6F9B"/>
    <w:rsid w:val="256D5708"/>
    <w:rsid w:val="256E50BB"/>
    <w:rsid w:val="25BC3C89"/>
    <w:rsid w:val="25D523E5"/>
    <w:rsid w:val="25DD0AF5"/>
    <w:rsid w:val="25EF49DB"/>
    <w:rsid w:val="25FB6DD6"/>
    <w:rsid w:val="26054963"/>
    <w:rsid w:val="260827C8"/>
    <w:rsid w:val="26A812BE"/>
    <w:rsid w:val="26BB39DC"/>
    <w:rsid w:val="26C13CFA"/>
    <w:rsid w:val="26D508C4"/>
    <w:rsid w:val="27006227"/>
    <w:rsid w:val="27010BC5"/>
    <w:rsid w:val="273C2EFB"/>
    <w:rsid w:val="2749750B"/>
    <w:rsid w:val="274D0062"/>
    <w:rsid w:val="2763715A"/>
    <w:rsid w:val="27667C2E"/>
    <w:rsid w:val="277B0A58"/>
    <w:rsid w:val="27932C4F"/>
    <w:rsid w:val="27980AE9"/>
    <w:rsid w:val="27A265D3"/>
    <w:rsid w:val="27A53B10"/>
    <w:rsid w:val="27B83068"/>
    <w:rsid w:val="27B9048D"/>
    <w:rsid w:val="27CD6AF8"/>
    <w:rsid w:val="27EF680F"/>
    <w:rsid w:val="27F70C42"/>
    <w:rsid w:val="281A3B5D"/>
    <w:rsid w:val="281F5A7E"/>
    <w:rsid w:val="282452E4"/>
    <w:rsid w:val="285B64EB"/>
    <w:rsid w:val="28717A3E"/>
    <w:rsid w:val="287921BB"/>
    <w:rsid w:val="287F1DF9"/>
    <w:rsid w:val="28D93213"/>
    <w:rsid w:val="28EB268D"/>
    <w:rsid w:val="29294506"/>
    <w:rsid w:val="293F5491"/>
    <w:rsid w:val="29403AD2"/>
    <w:rsid w:val="29702410"/>
    <w:rsid w:val="29851193"/>
    <w:rsid w:val="29A00396"/>
    <w:rsid w:val="29AA614A"/>
    <w:rsid w:val="29AE7040"/>
    <w:rsid w:val="29B2154C"/>
    <w:rsid w:val="29BA6D16"/>
    <w:rsid w:val="29C806AF"/>
    <w:rsid w:val="29D265DD"/>
    <w:rsid w:val="29D77DDD"/>
    <w:rsid w:val="29E750BD"/>
    <w:rsid w:val="29EF4BBA"/>
    <w:rsid w:val="2A157B5A"/>
    <w:rsid w:val="2A1E16EE"/>
    <w:rsid w:val="2A3361E6"/>
    <w:rsid w:val="2A3B6CFB"/>
    <w:rsid w:val="2A5D77E1"/>
    <w:rsid w:val="2A5D77EA"/>
    <w:rsid w:val="2A6607EA"/>
    <w:rsid w:val="2A726864"/>
    <w:rsid w:val="2A9D428B"/>
    <w:rsid w:val="2AB155D3"/>
    <w:rsid w:val="2ABF5A9F"/>
    <w:rsid w:val="2AC82017"/>
    <w:rsid w:val="2ACD064A"/>
    <w:rsid w:val="2ADC40C2"/>
    <w:rsid w:val="2AF434E9"/>
    <w:rsid w:val="2B3C19EC"/>
    <w:rsid w:val="2B405E06"/>
    <w:rsid w:val="2B5469BA"/>
    <w:rsid w:val="2B5B20B1"/>
    <w:rsid w:val="2B5C633A"/>
    <w:rsid w:val="2B8A7867"/>
    <w:rsid w:val="2BC473B0"/>
    <w:rsid w:val="2BC61503"/>
    <w:rsid w:val="2BCD11B5"/>
    <w:rsid w:val="2BD87E81"/>
    <w:rsid w:val="2BF71EC5"/>
    <w:rsid w:val="2C0278E1"/>
    <w:rsid w:val="2C167F25"/>
    <w:rsid w:val="2C2E1E31"/>
    <w:rsid w:val="2C520FF4"/>
    <w:rsid w:val="2C590A42"/>
    <w:rsid w:val="2C6E5783"/>
    <w:rsid w:val="2C7D2CF0"/>
    <w:rsid w:val="2CA65802"/>
    <w:rsid w:val="2CBA16A3"/>
    <w:rsid w:val="2CCB0713"/>
    <w:rsid w:val="2CE7375F"/>
    <w:rsid w:val="2CFD4B7F"/>
    <w:rsid w:val="2D3629FB"/>
    <w:rsid w:val="2D4F1DBC"/>
    <w:rsid w:val="2D4F1E67"/>
    <w:rsid w:val="2D5D661F"/>
    <w:rsid w:val="2D6F75AF"/>
    <w:rsid w:val="2D7C0A8A"/>
    <w:rsid w:val="2D7D3FB6"/>
    <w:rsid w:val="2D8B0FC1"/>
    <w:rsid w:val="2DB2367E"/>
    <w:rsid w:val="2DD56310"/>
    <w:rsid w:val="2E013FFE"/>
    <w:rsid w:val="2E143C5B"/>
    <w:rsid w:val="2E2749E0"/>
    <w:rsid w:val="2E276B2F"/>
    <w:rsid w:val="2E381856"/>
    <w:rsid w:val="2E3A5DFF"/>
    <w:rsid w:val="2E4B6766"/>
    <w:rsid w:val="2E5512E8"/>
    <w:rsid w:val="2E5F4DDE"/>
    <w:rsid w:val="2E607AF2"/>
    <w:rsid w:val="2E6A0F26"/>
    <w:rsid w:val="2E7D5647"/>
    <w:rsid w:val="2E9E7D67"/>
    <w:rsid w:val="2EA401F3"/>
    <w:rsid w:val="2EAD30A7"/>
    <w:rsid w:val="2EBA0F60"/>
    <w:rsid w:val="2ECF0E88"/>
    <w:rsid w:val="2EEA3F87"/>
    <w:rsid w:val="2EF17AA4"/>
    <w:rsid w:val="2EF672FB"/>
    <w:rsid w:val="2EF72D5A"/>
    <w:rsid w:val="2EF72DA3"/>
    <w:rsid w:val="2EFD4309"/>
    <w:rsid w:val="2F510D3D"/>
    <w:rsid w:val="2F5162C0"/>
    <w:rsid w:val="2F5C43D7"/>
    <w:rsid w:val="2F960B22"/>
    <w:rsid w:val="2F9F2A3B"/>
    <w:rsid w:val="2F9F4284"/>
    <w:rsid w:val="2FA806EE"/>
    <w:rsid w:val="2FAC7F33"/>
    <w:rsid w:val="2FAD4DDA"/>
    <w:rsid w:val="2FC45F3B"/>
    <w:rsid w:val="2FC75471"/>
    <w:rsid w:val="2FD14EDD"/>
    <w:rsid w:val="2FDC1BCE"/>
    <w:rsid w:val="2FE86632"/>
    <w:rsid w:val="302759C4"/>
    <w:rsid w:val="30476F04"/>
    <w:rsid w:val="3049548C"/>
    <w:rsid w:val="305C4F57"/>
    <w:rsid w:val="30783957"/>
    <w:rsid w:val="307B06DF"/>
    <w:rsid w:val="307E64E4"/>
    <w:rsid w:val="30A87494"/>
    <w:rsid w:val="30D72D6C"/>
    <w:rsid w:val="30E9348B"/>
    <w:rsid w:val="31025144"/>
    <w:rsid w:val="31081E0F"/>
    <w:rsid w:val="31332F4F"/>
    <w:rsid w:val="3155603B"/>
    <w:rsid w:val="318407A3"/>
    <w:rsid w:val="31AF6966"/>
    <w:rsid w:val="31FD13F6"/>
    <w:rsid w:val="32026C34"/>
    <w:rsid w:val="321C35D2"/>
    <w:rsid w:val="322A28F3"/>
    <w:rsid w:val="32473D5F"/>
    <w:rsid w:val="32644482"/>
    <w:rsid w:val="32807B59"/>
    <w:rsid w:val="3293788C"/>
    <w:rsid w:val="32B12408"/>
    <w:rsid w:val="32CF0D09"/>
    <w:rsid w:val="32F93738"/>
    <w:rsid w:val="330A12B4"/>
    <w:rsid w:val="33400A4C"/>
    <w:rsid w:val="335E4183"/>
    <w:rsid w:val="336260DE"/>
    <w:rsid w:val="33636692"/>
    <w:rsid w:val="33664238"/>
    <w:rsid w:val="336D304B"/>
    <w:rsid w:val="336D5CBE"/>
    <w:rsid w:val="336E6175"/>
    <w:rsid w:val="33766657"/>
    <w:rsid w:val="33884F17"/>
    <w:rsid w:val="339F6CA5"/>
    <w:rsid w:val="33AA46E0"/>
    <w:rsid w:val="33B35212"/>
    <w:rsid w:val="33CF2E4D"/>
    <w:rsid w:val="34403F12"/>
    <w:rsid w:val="344B023E"/>
    <w:rsid w:val="345B2D0A"/>
    <w:rsid w:val="34684AB8"/>
    <w:rsid w:val="346D3618"/>
    <w:rsid w:val="347A532B"/>
    <w:rsid w:val="349B72E6"/>
    <w:rsid w:val="34C5530E"/>
    <w:rsid w:val="34D43F58"/>
    <w:rsid w:val="34DB5FAC"/>
    <w:rsid w:val="34E429E7"/>
    <w:rsid w:val="34F031CD"/>
    <w:rsid w:val="35286D3B"/>
    <w:rsid w:val="35334BDA"/>
    <w:rsid w:val="35500968"/>
    <w:rsid w:val="356C04BA"/>
    <w:rsid w:val="357B11C2"/>
    <w:rsid w:val="357E58EE"/>
    <w:rsid w:val="3597729F"/>
    <w:rsid w:val="35CE2EB1"/>
    <w:rsid w:val="35D97668"/>
    <w:rsid w:val="35E7482E"/>
    <w:rsid w:val="35EA2BE5"/>
    <w:rsid w:val="35FA167E"/>
    <w:rsid w:val="360C5C79"/>
    <w:rsid w:val="36107C48"/>
    <w:rsid w:val="361A03EE"/>
    <w:rsid w:val="36301896"/>
    <w:rsid w:val="364F7C73"/>
    <w:rsid w:val="366B256C"/>
    <w:rsid w:val="366C0C74"/>
    <w:rsid w:val="366C3042"/>
    <w:rsid w:val="367C04F6"/>
    <w:rsid w:val="36810FAE"/>
    <w:rsid w:val="36863667"/>
    <w:rsid w:val="368645EE"/>
    <w:rsid w:val="36E97054"/>
    <w:rsid w:val="36F97D2A"/>
    <w:rsid w:val="36FA0C64"/>
    <w:rsid w:val="37436D6B"/>
    <w:rsid w:val="376A7367"/>
    <w:rsid w:val="376C51F4"/>
    <w:rsid w:val="378276E1"/>
    <w:rsid w:val="37890935"/>
    <w:rsid w:val="37A867B3"/>
    <w:rsid w:val="37B74E7A"/>
    <w:rsid w:val="37C973F8"/>
    <w:rsid w:val="37D40109"/>
    <w:rsid w:val="37FB4A58"/>
    <w:rsid w:val="382C46F3"/>
    <w:rsid w:val="383B0F9E"/>
    <w:rsid w:val="384A1E1D"/>
    <w:rsid w:val="38613EBC"/>
    <w:rsid w:val="38632593"/>
    <w:rsid w:val="38890E79"/>
    <w:rsid w:val="389F7B09"/>
    <w:rsid w:val="38BC00AA"/>
    <w:rsid w:val="38CB533D"/>
    <w:rsid w:val="38CF653A"/>
    <w:rsid w:val="38F07E91"/>
    <w:rsid w:val="39554629"/>
    <w:rsid w:val="39643530"/>
    <w:rsid w:val="397D169C"/>
    <w:rsid w:val="39D053BA"/>
    <w:rsid w:val="39E37C58"/>
    <w:rsid w:val="39FA0AE4"/>
    <w:rsid w:val="3A0213E5"/>
    <w:rsid w:val="3A141307"/>
    <w:rsid w:val="3A243771"/>
    <w:rsid w:val="3A281916"/>
    <w:rsid w:val="3A295F55"/>
    <w:rsid w:val="3A2C02A9"/>
    <w:rsid w:val="3A325BDD"/>
    <w:rsid w:val="3A786AD2"/>
    <w:rsid w:val="3A814B2B"/>
    <w:rsid w:val="3A9C1075"/>
    <w:rsid w:val="3AA0212D"/>
    <w:rsid w:val="3ABD5A8C"/>
    <w:rsid w:val="3ACC3B48"/>
    <w:rsid w:val="3AD04A7A"/>
    <w:rsid w:val="3B075D16"/>
    <w:rsid w:val="3B256AC3"/>
    <w:rsid w:val="3B2A7A52"/>
    <w:rsid w:val="3B4E1C8C"/>
    <w:rsid w:val="3B7F6CBF"/>
    <w:rsid w:val="3BCA7664"/>
    <w:rsid w:val="3BD045F1"/>
    <w:rsid w:val="3BE308A7"/>
    <w:rsid w:val="3C3B13C2"/>
    <w:rsid w:val="3C4B574F"/>
    <w:rsid w:val="3C4C48A1"/>
    <w:rsid w:val="3C582E23"/>
    <w:rsid w:val="3C5875B9"/>
    <w:rsid w:val="3CB10216"/>
    <w:rsid w:val="3CEE40A9"/>
    <w:rsid w:val="3CF17105"/>
    <w:rsid w:val="3D476616"/>
    <w:rsid w:val="3D492898"/>
    <w:rsid w:val="3D6D324C"/>
    <w:rsid w:val="3D7134D2"/>
    <w:rsid w:val="3D7D372F"/>
    <w:rsid w:val="3DA23526"/>
    <w:rsid w:val="3DB75CBB"/>
    <w:rsid w:val="3DBA0537"/>
    <w:rsid w:val="3DDC4BAF"/>
    <w:rsid w:val="3E057B34"/>
    <w:rsid w:val="3E4906F6"/>
    <w:rsid w:val="3E5A0AB4"/>
    <w:rsid w:val="3EB41185"/>
    <w:rsid w:val="3EC1687E"/>
    <w:rsid w:val="3ED20021"/>
    <w:rsid w:val="3EDD003A"/>
    <w:rsid w:val="3EE0424F"/>
    <w:rsid w:val="3EE32800"/>
    <w:rsid w:val="3EE82CAA"/>
    <w:rsid w:val="3EEB1788"/>
    <w:rsid w:val="3EEE6A32"/>
    <w:rsid w:val="3EF50683"/>
    <w:rsid w:val="3F0B6906"/>
    <w:rsid w:val="3F1906DA"/>
    <w:rsid w:val="3F2B14F8"/>
    <w:rsid w:val="3F3C2899"/>
    <w:rsid w:val="3F415C53"/>
    <w:rsid w:val="3F555B44"/>
    <w:rsid w:val="3F644866"/>
    <w:rsid w:val="3FBF34FE"/>
    <w:rsid w:val="3FCD59FF"/>
    <w:rsid w:val="406022FA"/>
    <w:rsid w:val="407E0341"/>
    <w:rsid w:val="40931131"/>
    <w:rsid w:val="409E01B2"/>
    <w:rsid w:val="40C92B5C"/>
    <w:rsid w:val="410E32C7"/>
    <w:rsid w:val="41302632"/>
    <w:rsid w:val="41502380"/>
    <w:rsid w:val="41574893"/>
    <w:rsid w:val="41964510"/>
    <w:rsid w:val="41A869DD"/>
    <w:rsid w:val="41DA63FD"/>
    <w:rsid w:val="41E4030E"/>
    <w:rsid w:val="41FD3807"/>
    <w:rsid w:val="420528DC"/>
    <w:rsid w:val="421351D3"/>
    <w:rsid w:val="421F78C3"/>
    <w:rsid w:val="42510CE5"/>
    <w:rsid w:val="42892554"/>
    <w:rsid w:val="42A6125C"/>
    <w:rsid w:val="42A90ED3"/>
    <w:rsid w:val="42B3293F"/>
    <w:rsid w:val="42CF7E9A"/>
    <w:rsid w:val="42E32C4D"/>
    <w:rsid w:val="42F50CD5"/>
    <w:rsid w:val="433A5E04"/>
    <w:rsid w:val="439550AC"/>
    <w:rsid w:val="43A450BC"/>
    <w:rsid w:val="43AF52E2"/>
    <w:rsid w:val="43C210B7"/>
    <w:rsid w:val="43D531D4"/>
    <w:rsid w:val="43EF4388"/>
    <w:rsid w:val="43F455E7"/>
    <w:rsid w:val="43F46AE6"/>
    <w:rsid w:val="43F5374F"/>
    <w:rsid w:val="440865ED"/>
    <w:rsid w:val="44246E14"/>
    <w:rsid w:val="442474FF"/>
    <w:rsid w:val="44344FF3"/>
    <w:rsid w:val="44592A66"/>
    <w:rsid w:val="44693E2F"/>
    <w:rsid w:val="446B6814"/>
    <w:rsid w:val="446C29DA"/>
    <w:rsid w:val="449A03F7"/>
    <w:rsid w:val="44AA5D38"/>
    <w:rsid w:val="44C0625A"/>
    <w:rsid w:val="44D43199"/>
    <w:rsid w:val="44D90AF3"/>
    <w:rsid w:val="44F630D6"/>
    <w:rsid w:val="451C2FE3"/>
    <w:rsid w:val="4527545C"/>
    <w:rsid w:val="4530473A"/>
    <w:rsid w:val="453F557A"/>
    <w:rsid w:val="455E2BE2"/>
    <w:rsid w:val="45610135"/>
    <w:rsid w:val="45665DCE"/>
    <w:rsid w:val="457E56EC"/>
    <w:rsid w:val="457E5BE1"/>
    <w:rsid w:val="45B215BC"/>
    <w:rsid w:val="45B73A59"/>
    <w:rsid w:val="45E67A15"/>
    <w:rsid w:val="45F05A5F"/>
    <w:rsid w:val="46062929"/>
    <w:rsid w:val="460D738D"/>
    <w:rsid w:val="46495ABB"/>
    <w:rsid w:val="465627E0"/>
    <w:rsid w:val="466A7582"/>
    <w:rsid w:val="466D596F"/>
    <w:rsid w:val="46964F86"/>
    <w:rsid w:val="46A55FE9"/>
    <w:rsid w:val="46A61F51"/>
    <w:rsid w:val="46B52E35"/>
    <w:rsid w:val="46CB0269"/>
    <w:rsid w:val="46F160D5"/>
    <w:rsid w:val="47200DD4"/>
    <w:rsid w:val="47304E3F"/>
    <w:rsid w:val="47396D4B"/>
    <w:rsid w:val="47554450"/>
    <w:rsid w:val="47652CAE"/>
    <w:rsid w:val="476658B1"/>
    <w:rsid w:val="477451FA"/>
    <w:rsid w:val="4788790F"/>
    <w:rsid w:val="47924F1C"/>
    <w:rsid w:val="47A0453E"/>
    <w:rsid w:val="47BE3DCB"/>
    <w:rsid w:val="47F84C80"/>
    <w:rsid w:val="48051962"/>
    <w:rsid w:val="484F18C3"/>
    <w:rsid w:val="48677879"/>
    <w:rsid w:val="487A1F8E"/>
    <w:rsid w:val="48966124"/>
    <w:rsid w:val="48973359"/>
    <w:rsid w:val="48A0297D"/>
    <w:rsid w:val="48AD022C"/>
    <w:rsid w:val="48D96A7A"/>
    <w:rsid w:val="4914302A"/>
    <w:rsid w:val="49434F76"/>
    <w:rsid w:val="4956558E"/>
    <w:rsid w:val="4968306D"/>
    <w:rsid w:val="49BA29A4"/>
    <w:rsid w:val="49BC6425"/>
    <w:rsid w:val="49E2072C"/>
    <w:rsid w:val="49E77BE0"/>
    <w:rsid w:val="4A1627B4"/>
    <w:rsid w:val="4A5019AC"/>
    <w:rsid w:val="4A621699"/>
    <w:rsid w:val="4A6500E3"/>
    <w:rsid w:val="4A735AC3"/>
    <w:rsid w:val="4A803875"/>
    <w:rsid w:val="4A836BE4"/>
    <w:rsid w:val="4ACE224C"/>
    <w:rsid w:val="4AF50017"/>
    <w:rsid w:val="4B275BDF"/>
    <w:rsid w:val="4B2A093E"/>
    <w:rsid w:val="4B350BDC"/>
    <w:rsid w:val="4B3A192E"/>
    <w:rsid w:val="4B7D27CA"/>
    <w:rsid w:val="4C0B6FDF"/>
    <w:rsid w:val="4C16682A"/>
    <w:rsid w:val="4C200323"/>
    <w:rsid w:val="4C441240"/>
    <w:rsid w:val="4C667027"/>
    <w:rsid w:val="4C8E3161"/>
    <w:rsid w:val="4CA816E8"/>
    <w:rsid w:val="4CAB1F3B"/>
    <w:rsid w:val="4CAC1141"/>
    <w:rsid w:val="4CCE2878"/>
    <w:rsid w:val="4CD91B57"/>
    <w:rsid w:val="4CEA0F53"/>
    <w:rsid w:val="4D1305F7"/>
    <w:rsid w:val="4D18798A"/>
    <w:rsid w:val="4D3824B1"/>
    <w:rsid w:val="4D825939"/>
    <w:rsid w:val="4D892202"/>
    <w:rsid w:val="4DA65A57"/>
    <w:rsid w:val="4DAB27BB"/>
    <w:rsid w:val="4DBE475C"/>
    <w:rsid w:val="4DC92E6D"/>
    <w:rsid w:val="4DDD4771"/>
    <w:rsid w:val="4DE526C5"/>
    <w:rsid w:val="4DEE3226"/>
    <w:rsid w:val="4DF353D0"/>
    <w:rsid w:val="4DF369FC"/>
    <w:rsid w:val="4DF800D4"/>
    <w:rsid w:val="4E095997"/>
    <w:rsid w:val="4E0B3E59"/>
    <w:rsid w:val="4E1021F4"/>
    <w:rsid w:val="4E8D0A73"/>
    <w:rsid w:val="4E9560D3"/>
    <w:rsid w:val="4EA85DFE"/>
    <w:rsid w:val="4EB23971"/>
    <w:rsid w:val="4EC20192"/>
    <w:rsid w:val="4ECC62DA"/>
    <w:rsid w:val="4EFA027B"/>
    <w:rsid w:val="4F097D41"/>
    <w:rsid w:val="4F1C1E5C"/>
    <w:rsid w:val="4F1C33F7"/>
    <w:rsid w:val="4F1C6CB9"/>
    <w:rsid w:val="4F32606E"/>
    <w:rsid w:val="4F327A96"/>
    <w:rsid w:val="4F330B85"/>
    <w:rsid w:val="4F342744"/>
    <w:rsid w:val="4F482446"/>
    <w:rsid w:val="4F4942F5"/>
    <w:rsid w:val="4F53414F"/>
    <w:rsid w:val="4F871E4C"/>
    <w:rsid w:val="4F934F18"/>
    <w:rsid w:val="4F976584"/>
    <w:rsid w:val="4FA14DA5"/>
    <w:rsid w:val="4FAE5C37"/>
    <w:rsid w:val="4FE1035D"/>
    <w:rsid w:val="4FF42A9D"/>
    <w:rsid w:val="5040795C"/>
    <w:rsid w:val="50507DC2"/>
    <w:rsid w:val="506E1241"/>
    <w:rsid w:val="50727FAB"/>
    <w:rsid w:val="508A72BB"/>
    <w:rsid w:val="5098147F"/>
    <w:rsid w:val="50A256B6"/>
    <w:rsid w:val="50EE5C41"/>
    <w:rsid w:val="5125066B"/>
    <w:rsid w:val="51364A11"/>
    <w:rsid w:val="5140159A"/>
    <w:rsid w:val="514220D0"/>
    <w:rsid w:val="514D4A9D"/>
    <w:rsid w:val="5156590B"/>
    <w:rsid w:val="515E0A4B"/>
    <w:rsid w:val="517346EE"/>
    <w:rsid w:val="51D53343"/>
    <w:rsid w:val="51E57BAF"/>
    <w:rsid w:val="51EA48F3"/>
    <w:rsid w:val="51FC471A"/>
    <w:rsid w:val="520D1CD6"/>
    <w:rsid w:val="52231418"/>
    <w:rsid w:val="52332E19"/>
    <w:rsid w:val="523D18C5"/>
    <w:rsid w:val="524D0233"/>
    <w:rsid w:val="525C7E26"/>
    <w:rsid w:val="52813A30"/>
    <w:rsid w:val="52CF1A20"/>
    <w:rsid w:val="52ED4CF1"/>
    <w:rsid w:val="52EE0A88"/>
    <w:rsid w:val="52FF6405"/>
    <w:rsid w:val="53071C0A"/>
    <w:rsid w:val="53170AB0"/>
    <w:rsid w:val="5334594D"/>
    <w:rsid w:val="535C0767"/>
    <w:rsid w:val="53883F32"/>
    <w:rsid w:val="538F34A4"/>
    <w:rsid w:val="53983C8A"/>
    <w:rsid w:val="539B6005"/>
    <w:rsid w:val="53B01995"/>
    <w:rsid w:val="53B937D6"/>
    <w:rsid w:val="53EB6086"/>
    <w:rsid w:val="54055295"/>
    <w:rsid w:val="542C2188"/>
    <w:rsid w:val="54700392"/>
    <w:rsid w:val="54712CDA"/>
    <w:rsid w:val="547F6051"/>
    <w:rsid w:val="548672CA"/>
    <w:rsid w:val="54956CF0"/>
    <w:rsid w:val="54C478B6"/>
    <w:rsid w:val="54C914DD"/>
    <w:rsid w:val="54CF2A05"/>
    <w:rsid w:val="54FF3AFF"/>
    <w:rsid w:val="55107F59"/>
    <w:rsid w:val="5567150F"/>
    <w:rsid w:val="556E1809"/>
    <w:rsid w:val="55810866"/>
    <w:rsid w:val="55E14247"/>
    <w:rsid w:val="55E16370"/>
    <w:rsid w:val="55F32960"/>
    <w:rsid w:val="56303E4A"/>
    <w:rsid w:val="563169C6"/>
    <w:rsid w:val="563C60F6"/>
    <w:rsid w:val="564360B5"/>
    <w:rsid w:val="56463C36"/>
    <w:rsid w:val="56AB51BB"/>
    <w:rsid w:val="56C05CEB"/>
    <w:rsid w:val="56EB4DC5"/>
    <w:rsid w:val="57137B92"/>
    <w:rsid w:val="57167B32"/>
    <w:rsid w:val="572221B5"/>
    <w:rsid w:val="5737452D"/>
    <w:rsid w:val="57390D08"/>
    <w:rsid w:val="573B5435"/>
    <w:rsid w:val="57521B41"/>
    <w:rsid w:val="576C0354"/>
    <w:rsid w:val="576D5496"/>
    <w:rsid w:val="577D61B4"/>
    <w:rsid w:val="57A83F36"/>
    <w:rsid w:val="57B2716B"/>
    <w:rsid w:val="57B336F4"/>
    <w:rsid w:val="57DB7830"/>
    <w:rsid w:val="57EE0B3A"/>
    <w:rsid w:val="57F44F24"/>
    <w:rsid w:val="58094866"/>
    <w:rsid w:val="580B6A1F"/>
    <w:rsid w:val="583F672C"/>
    <w:rsid w:val="585C51FD"/>
    <w:rsid w:val="5882454E"/>
    <w:rsid w:val="5885475B"/>
    <w:rsid w:val="58AE651B"/>
    <w:rsid w:val="58BF1674"/>
    <w:rsid w:val="58C468D7"/>
    <w:rsid w:val="590F48F6"/>
    <w:rsid w:val="59776021"/>
    <w:rsid w:val="597D3C9B"/>
    <w:rsid w:val="59821998"/>
    <w:rsid w:val="5982312D"/>
    <w:rsid w:val="59F36EB8"/>
    <w:rsid w:val="59FD0468"/>
    <w:rsid w:val="5A24024D"/>
    <w:rsid w:val="5A2C5DD4"/>
    <w:rsid w:val="5A6432F4"/>
    <w:rsid w:val="5A6D7A16"/>
    <w:rsid w:val="5A7B42BD"/>
    <w:rsid w:val="5A992D07"/>
    <w:rsid w:val="5AC05583"/>
    <w:rsid w:val="5ACA71C6"/>
    <w:rsid w:val="5ACB7660"/>
    <w:rsid w:val="5AE110A2"/>
    <w:rsid w:val="5AE1294D"/>
    <w:rsid w:val="5AE86B28"/>
    <w:rsid w:val="5AEF7617"/>
    <w:rsid w:val="5B13205B"/>
    <w:rsid w:val="5B1D2E54"/>
    <w:rsid w:val="5B2658CC"/>
    <w:rsid w:val="5B4067F0"/>
    <w:rsid w:val="5B4302DB"/>
    <w:rsid w:val="5B462A6B"/>
    <w:rsid w:val="5B5106E2"/>
    <w:rsid w:val="5B7F01BF"/>
    <w:rsid w:val="5BB26AFC"/>
    <w:rsid w:val="5BBB4BE3"/>
    <w:rsid w:val="5BFA5ACB"/>
    <w:rsid w:val="5C3D1377"/>
    <w:rsid w:val="5C88375E"/>
    <w:rsid w:val="5C8C4D64"/>
    <w:rsid w:val="5C8D23F2"/>
    <w:rsid w:val="5C921699"/>
    <w:rsid w:val="5C9B0D75"/>
    <w:rsid w:val="5CB622F6"/>
    <w:rsid w:val="5CCD6F47"/>
    <w:rsid w:val="5CCE0251"/>
    <w:rsid w:val="5CD17636"/>
    <w:rsid w:val="5CF0127F"/>
    <w:rsid w:val="5CF309BB"/>
    <w:rsid w:val="5D0532EA"/>
    <w:rsid w:val="5D40112D"/>
    <w:rsid w:val="5D426394"/>
    <w:rsid w:val="5D5E7EC1"/>
    <w:rsid w:val="5D6F070B"/>
    <w:rsid w:val="5D770FFE"/>
    <w:rsid w:val="5D9A7687"/>
    <w:rsid w:val="5DB539F3"/>
    <w:rsid w:val="5E283614"/>
    <w:rsid w:val="5E3A1DC7"/>
    <w:rsid w:val="5E482AB5"/>
    <w:rsid w:val="5E691016"/>
    <w:rsid w:val="5E6D0C39"/>
    <w:rsid w:val="5E791E93"/>
    <w:rsid w:val="5E967DCE"/>
    <w:rsid w:val="5E972EA5"/>
    <w:rsid w:val="5EAE6CC2"/>
    <w:rsid w:val="5EB42D80"/>
    <w:rsid w:val="5EF23E1E"/>
    <w:rsid w:val="5EFA5586"/>
    <w:rsid w:val="5F0542AF"/>
    <w:rsid w:val="5F056160"/>
    <w:rsid w:val="5F1B5C07"/>
    <w:rsid w:val="5F351769"/>
    <w:rsid w:val="5F460103"/>
    <w:rsid w:val="5F4B2066"/>
    <w:rsid w:val="5F5354F9"/>
    <w:rsid w:val="5F797AF0"/>
    <w:rsid w:val="5F924F3D"/>
    <w:rsid w:val="5F944BB5"/>
    <w:rsid w:val="5FC21220"/>
    <w:rsid w:val="5FDA6CA9"/>
    <w:rsid w:val="5FEC43C7"/>
    <w:rsid w:val="60142913"/>
    <w:rsid w:val="601B2AEB"/>
    <w:rsid w:val="60212E83"/>
    <w:rsid w:val="603603D8"/>
    <w:rsid w:val="60492B71"/>
    <w:rsid w:val="605232C5"/>
    <w:rsid w:val="608828DB"/>
    <w:rsid w:val="60AD7C2E"/>
    <w:rsid w:val="60B248C7"/>
    <w:rsid w:val="60B603AB"/>
    <w:rsid w:val="60C010C3"/>
    <w:rsid w:val="60CE566F"/>
    <w:rsid w:val="60D57D22"/>
    <w:rsid w:val="610A6E08"/>
    <w:rsid w:val="61147D5C"/>
    <w:rsid w:val="61284F0F"/>
    <w:rsid w:val="61325223"/>
    <w:rsid w:val="61414979"/>
    <w:rsid w:val="615B5079"/>
    <w:rsid w:val="615C59EA"/>
    <w:rsid w:val="61647EA5"/>
    <w:rsid w:val="617A6398"/>
    <w:rsid w:val="61972E73"/>
    <w:rsid w:val="61A16DBD"/>
    <w:rsid w:val="61BC1396"/>
    <w:rsid w:val="61DD162F"/>
    <w:rsid w:val="62112AE1"/>
    <w:rsid w:val="62482F53"/>
    <w:rsid w:val="625E2005"/>
    <w:rsid w:val="628053A2"/>
    <w:rsid w:val="62987776"/>
    <w:rsid w:val="629D6077"/>
    <w:rsid w:val="62D37531"/>
    <w:rsid w:val="62DB65C4"/>
    <w:rsid w:val="62F95E0D"/>
    <w:rsid w:val="630750A6"/>
    <w:rsid w:val="63190EDF"/>
    <w:rsid w:val="633B757A"/>
    <w:rsid w:val="63660B6A"/>
    <w:rsid w:val="637C78F2"/>
    <w:rsid w:val="637D0FA5"/>
    <w:rsid w:val="637D1F52"/>
    <w:rsid w:val="63923AA9"/>
    <w:rsid w:val="639A1DB9"/>
    <w:rsid w:val="63A964AF"/>
    <w:rsid w:val="63B103D9"/>
    <w:rsid w:val="63C7359D"/>
    <w:rsid w:val="63CA5192"/>
    <w:rsid w:val="63E6173A"/>
    <w:rsid w:val="63FE6CD1"/>
    <w:rsid w:val="640606C3"/>
    <w:rsid w:val="6413024D"/>
    <w:rsid w:val="64250698"/>
    <w:rsid w:val="64571672"/>
    <w:rsid w:val="64592C88"/>
    <w:rsid w:val="646575FB"/>
    <w:rsid w:val="646842A3"/>
    <w:rsid w:val="64C964D3"/>
    <w:rsid w:val="64D213DB"/>
    <w:rsid w:val="650E229D"/>
    <w:rsid w:val="651813C6"/>
    <w:rsid w:val="652A4C0C"/>
    <w:rsid w:val="652D5ABF"/>
    <w:rsid w:val="65451A44"/>
    <w:rsid w:val="65481896"/>
    <w:rsid w:val="654B463D"/>
    <w:rsid w:val="65693441"/>
    <w:rsid w:val="658B0C01"/>
    <w:rsid w:val="65B0513D"/>
    <w:rsid w:val="65B66983"/>
    <w:rsid w:val="65B97F4B"/>
    <w:rsid w:val="65E24792"/>
    <w:rsid w:val="65EE3F8B"/>
    <w:rsid w:val="65F27666"/>
    <w:rsid w:val="65FE68FE"/>
    <w:rsid w:val="66401951"/>
    <w:rsid w:val="66485740"/>
    <w:rsid w:val="664A73B7"/>
    <w:rsid w:val="664F04CF"/>
    <w:rsid w:val="668912D1"/>
    <w:rsid w:val="66C227EA"/>
    <w:rsid w:val="66DB2BFC"/>
    <w:rsid w:val="66F70F35"/>
    <w:rsid w:val="66FD08C3"/>
    <w:rsid w:val="66FE43F5"/>
    <w:rsid w:val="671833CD"/>
    <w:rsid w:val="671E25BB"/>
    <w:rsid w:val="672E2D40"/>
    <w:rsid w:val="676C546A"/>
    <w:rsid w:val="676E443E"/>
    <w:rsid w:val="67C30FD8"/>
    <w:rsid w:val="67C84496"/>
    <w:rsid w:val="67F95F05"/>
    <w:rsid w:val="681607CE"/>
    <w:rsid w:val="68221FDE"/>
    <w:rsid w:val="68332BE1"/>
    <w:rsid w:val="686F4091"/>
    <w:rsid w:val="68C1650D"/>
    <w:rsid w:val="68C23A7F"/>
    <w:rsid w:val="68D711CB"/>
    <w:rsid w:val="68E00A12"/>
    <w:rsid w:val="68E72772"/>
    <w:rsid w:val="68EB22D5"/>
    <w:rsid w:val="691A7986"/>
    <w:rsid w:val="694170DD"/>
    <w:rsid w:val="694811A0"/>
    <w:rsid w:val="69571B5A"/>
    <w:rsid w:val="69646A64"/>
    <w:rsid w:val="699056CF"/>
    <w:rsid w:val="69A50028"/>
    <w:rsid w:val="69B04B7D"/>
    <w:rsid w:val="6A1D0175"/>
    <w:rsid w:val="6A200676"/>
    <w:rsid w:val="6A257C74"/>
    <w:rsid w:val="6A3020CE"/>
    <w:rsid w:val="6A500861"/>
    <w:rsid w:val="6A5070F9"/>
    <w:rsid w:val="6A5446AA"/>
    <w:rsid w:val="6A643530"/>
    <w:rsid w:val="6A645EFA"/>
    <w:rsid w:val="6A6B388B"/>
    <w:rsid w:val="6A7F47F3"/>
    <w:rsid w:val="6A954D2E"/>
    <w:rsid w:val="6AB863D1"/>
    <w:rsid w:val="6AE1434B"/>
    <w:rsid w:val="6AE47FCE"/>
    <w:rsid w:val="6AEE2FE6"/>
    <w:rsid w:val="6AF53073"/>
    <w:rsid w:val="6AFD37D3"/>
    <w:rsid w:val="6B16254A"/>
    <w:rsid w:val="6B2B3E0F"/>
    <w:rsid w:val="6B346DDF"/>
    <w:rsid w:val="6B425467"/>
    <w:rsid w:val="6B647F4D"/>
    <w:rsid w:val="6B681349"/>
    <w:rsid w:val="6B866B06"/>
    <w:rsid w:val="6BCA0019"/>
    <w:rsid w:val="6BD86030"/>
    <w:rsid w:val="6BDA174C"/>
    <w:rsid w:val="6BF8000D"/>
    <w:rsid w:val="6C32777D"/>
    <w:rsid w:val="6C4E3B90"/>
    <w:rsid w:val="6C5B5AE7"/>
    <w:rsid w:val="6C5C4973"/>
    <w:rsid w:val="6CA23174"/>
    <w:rsid w:val="6CA47113"/>
    <w:rsid w:val="6CB877B2"/>
    <w:rsid w:val="6CD13957"/>
    <w:rsid w:val="6CFE17CB"/>
    <w:rsid w:val="6D0003DF"/>
    <w:rsid w:val="6D013CE8"/>
    <w:rsid w:val="6D2A7A89"/>
    <w:rsid w:val="6D3A35C3"/>
    <w:rsid w:val="6D3E18C0"/>
    <w:rsid w:val="6D42023E"/>
    <w:rsid w:val="6D6431F6"/>
    <w:rsid w:val="6D6A0199"/>
    <w:rsid w:val="6D745F31"/>
    <w:rsid w:val="6D8F471B"/>
    <w:rsid w:val="6D9B1E51"/>
    <w:rsid w:val="6DAF432C"/>
    <w:rsid w:val="6DC90E33"/>
    <w:rsid w:val="6DCC7B1A"/>
    <w:rsid w:val="6DF901E4"/>
    <w:rsid w:val="6E21660D"/>
    <w:rsid w:val="6E2C5DC6"/>
    <w:rsid w:val="6E2D6188"/>
    <w:rsid w:val="6E333850"/>
    <w:rsid w:val="6E495DDC"/>
    <w:rsid w:val="6E6669E4"/>
    <w:rsid w:val="6E68762C"/>
    <w:rsid w:val="6E6E5BC3"/>
    <w:rsid w:val="6EC757E5"/>
    <w:rsid w:val="6F052553"/>
    <w:rsid w:val="6F3C2404"/>
    <w:rsid w:val="6F43426C"/>
    <w:rsid w:val="6F50552F"/>
    <w:rsid w:val="6F513246"/>
    <w:rsid w:val="6F9C7BCC"/>
    <w:rsid w:val="6FCC1073"/>
    <w:rsid w:val="6FCF3A4B"/>
    <w:rsid w:val="6FD8635F"/>
    <w:rsid w:val="6FEC2835"/>
    <w:rsid w:val="70435DCD"/>
    <w:rsid w:val="7053653B"/>
    <w:rsid w:val="70591370"/>
    <w:rsid w:val="70667B58"/>
    <w:rsid w:val="70977C03"/>
    <w:rsid w:val="70A31FAD"/>
    <w:rsid w:val="70AA5DE4"/>
    <w:rsid w:val="70B738DF"/>
    <w:rsid w:val="70CA2C9C"/>
    <w:rsid w:val="70CE2D1E"/>
    <w:rsid w:val="70D60054"/>
    <w:rsid w:val="70DD4DAF"/>
    <w:rsid w:val="71140FF0"/>
    <w:rsid w:val="712302F4"/>
    <w:rsid w:val="71535554"/>
    <w:rsid w:val="71547E79"/>
    <w:rsid w:val="71795225"/>
    <w:rsid w:val="718028FB"/>
    <w:rsid w:val="71AF4D04"/>
    <w:rsid w:val="71C63338"/>
    <w:rsid w:val="71C64031"/>
    <w:rsid w:val="71FA61DD"/>
    <w:rsid w:val="72001B41"/>
    <w:rsid w:val="72012843"/>
    <w:rsid w:val="72095876"/>
    <w:rsid w:val="724B0CF6"/>
    <w:rsid w:val="725254CE"/>
    <w:rsid w:val="728922D1"/>
    <w:rsid w:val="730D4277"/>
    <w:rsid w:val="731F7578"/>
    <w:rsid w:val="7334498A"/>
    <w:rsid w:val="733C5E40"/>
    <w:rsid w:val="735A6FBF"/>
    <w:rsid w:val="73943AB1"/>
    <w:rsid w:val="73E27666"/>
    <w:rsid w:val="73E51AE6"/>
    <w:rsid w:val="73E541EB"/>
    <w:rsid w:val="744D11D4"/>
    <w:rsid w:val="74997E57"/>
    <w:rsid w:val="74A82068"/>
    <w:rsid w:val="74C604C5"/>
    <w:rsid w:val="751F4805"/>
    <w:rsid w:val="75474763"/>
    <w:rsid w:val="754F543D"/>
    <w:rsid w:val="757156CE"/>
    <w:rsid w:val="75877703"/>
    <w:rsid w:val="75A53419"/>
    <w:rsid w:val="75F05F86"/>
    <w:rsid w:val="76303819"/>
    <w:rsid w:val="764B7767"/>
    <w:rsid w:val="7681347C"/>
    <w:rsid w:val="76896F28"/>
    <w:rsid w:val="76936B55"/>
    <w:rsid w:val="76943E32"/>
    <w:rsid w:val="76AA5A61"/>
    <w:rsid w:val="76AE71A4"/>
    <w:rsid w:val="76B051E5"/>
    <w:rsid w:val="76BB42CC"/>
    <w:rsid w:val="76E25CB9"/>
    <w:rsid w:val="772C7184"/>
    <w:rsid w:val="773E21E7"/>
    <w:rsid w:val="77522F99"/>
    <w:rsid w:val="775467E8"/>
    <w:rsid w:val="7765483D"/>
    <w:rsid w:val="779302D3"/>
    <w:rsid w:val="77C97B60"/>
    <w:rsid w:val="77D0124C"/>
    <w:rsid w:val="77D27F23"/>
    <w:rsid w:val="783D3778"/>
    <w:rsid w:val="78466C80"/>
    <w:rsid w:val="784B4FA5"/>
    <w:rsid w:val="784B6232"/>
    <w:rsid w:val="7889466F"/>
    <w:rsid w:val="78C0027C"/>
    <w:rsid w:val="78E1151C"/>
    <w:rsid w:val="78E635D9"/>
    <w:rsid w:val="78E92711"/>
    <w:rsid w:val="78F15BD9"/>
    <w:rsid w:val="790B2BEC"/>
    <w:rsid w:val="790C3276"/>
    <w:rsid w:val="79474FA3"/>
    <w:rsid w:val="794C50AD"/>
    <w:rsid w:val="7986293B"/>
    <w:rsid w:val="799832E4"/>
    <w:rsid w:val="79A952E7"/>
    <w:rsid w:val="79BD5072"/>
    <w:rsid w:val="79F613C6"/>
    <w:rsid w:val="7A040FE8"/>
    <w:rsid w:val="7A0C5C8D"/>
    <w:rsid w:val="7A0E572E"/>
    <w:rsid w:val="7A150154"/>
    <w:rsid w:val="7A152ADF"/>
    <w:rsid w:val="7A2D53D6"/>
    <w:rsid w:val="7A30545F"/>
    <w:rsid w:val="7A4261B3"/>
    <w:rsid w:val="7A5F72FF"/>
    <w:rsid w:val="7A64150F"/>
    <w:rsid w:val="7A6C01F4"/>
    <w:rsid w:val="7A6E578B"/>
    <w:rsid w:val="7A793E85"/>
    <w:rsid w:val="7A844015"/>
    <w:rsid w:val="7A865E6F"/>
    <w:rsid w:val="7A8B0528"/>
    <w:rsid w:val="7A957699"/>
    <w:rsid w:val="7AA4625D"/>
    <w:rsid w:val="7AB80787"/>
    <w:rsid w:val="7AB83B91"/>
    <w:rsid w:val="7AD865CE"/>
    <w:rsid w:val="7AE11270"/>
    <w:rsid w:val="7B0E76FE"/>
    <w:rsid w:val="7B23237E"/>
    <w:rsid w:val="7B246C8B"/>
    <w:rsid w:val="7B3B17CB"/>
    <w:rsid w:val="7B3E14FC"/>
    <w:rsid w:val="7B516AB3"/>
    <w:rsid w:val="7B9D6898"/>
    <w:rsid w:val="7C074336"/>
    <w:rsid w:val="7C374A7A"/>
    <w:rsid w:val="7C454103"/>
    <w:rsid w:val="7C652D8C"/>
    <w:rsid w:val="7C842126"/>
    <w:rsid w:val="7C8F794C"/>
    <w:rsid w:val="7CA2100D"/>
    <w:rsid w:val="7CB20CA8"/>
    <w:rsid w:val="7CC95E74"/>
    <w:rsid w:val="7CF5634A"/>
    <w:rsid w:val="7D057346"/>
    <w:rsid w:val="7D191545"/>
    <w:rsid w:val="7D203E48"/>
    <w:rsid w:val="7D233395"/>
    <w:rsid w:val="7D307EE6"/>
    <w:rsid w:val="7D4A10E7"/>
    <w:rsid w:val="7D612984"/>
    <w:rsid w:val="7D807E48"/>
    <w:rsid w:val="7D810C01"/>
    <w:rsid w:val="7DA03487"/>
    <w:rsid w:val="7DDF61E2"/>
    <w:rsid w:val="7DDF7F4C"/>
    <w:rsid w:val="7E006B5F"/>
    <w:rsid w:val="7E132BFC"/>
    <w:rsid w:val="7E174A85"/>
    <w:rsid w:val="7E3008D5"/>
    <w:rsid w:val="7E921720"/>
    <w:rsid w:val="7EC20E9F"/>
    <w:rsid w:val="7EC9470F"/>
    <w:rsid w:val="7ECC48F3"/>
    <w:rsid w:val="7EFC071E"/>
    <w:rsid w:val="7F0132A5"/>
    <w:rsid w:val="7F242C20"/>
    <w:rsid w:val="7F26313D"/>
    <w:rsid w:val="7F6C6D5A"/>
    <w:rsid w:val="7F7E6F7B"/>
    <w:rsid w:val="7F872310"/>
    <w:rsid w:val="7FAF4FAB"/>
    <w:rsid w:val="7FF64360"/>
    <w:rsid w:val="7FFD60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44"/>
    <w:qFormat/>
    <w:uiPriority w:val="99"/>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6">
    <w:name w:val="toc 7"/>
    <w:basedOn w:val="1"/>
    <w:next w:val="1"/>
    <w:semiHidden/>
    <w:qFormat/>
    <w:uiPriority w:val="99"/>
    <w:pPr>
      <w:widowControl/>
      <w:adjustRightInd w:val="0"/>
      <w:snapToGrid w:val="0"/>
      <w:ind w:left="1100"/>
      <w:jc w:val="left"/>
    </w:pPr>
    <w:rPr>
      <w:rFonts w:eastAsia="微软雅黑"/>
      <w:kern w:val="0"/>
      <w:sz w:val="20"/>
      <w:szCs w:val="20"/>
    </w:rPr>
  </w:style>
  <w:style w:type="paragraph" w:styleId="7">
    <w:name w:val="Normal Indent"/>
    <w:basedOn w:val="1"/>
    <w:qFormat/>
    <w:uiPriority w:val="99"/>
    <w:pPr>
      <w:ind w:firstLine="420"/>
    </w:pPr>
    <w:rPr>
      <w:rFonts w:ascii="Times New Roman" w:hAnsi="Times New Roman" w:cs="Times New Roman"/>
    </w:rPr>
  </w:style>
  <w:style w:type="paragraph" w:styleId="8">
    <w:name w:val="Document Map"/>
    <w:basedOn w:val="1"/>
    <w:link w:val="48"/>
    <w:semiHidden/>
    <w:qFormat/>
    <w:uiPriority w:val="99"/>
    <w:pPr>
      <w:widowControl/>
      <w:adjustRightInd w:val="0"/>
      <w:snapToGrid w:val="0"/>
      <w:spacing w:after="200"/>
      <w:jc w:val="left"/>
    </w:pPr>
    <w:rPr>
      <w:rFonts w:ascii="宋体" w:hAnsi="Tahoma" w:cs="宋体"/>
      <w:kern w:val="0"/>
      <w:sz w:val="18"/>
      <w:szCs w:val="18"/>
      <w:lang w:val="zh-CN"/>
    </w:rPr>
  </w:style>
  <w:style w:type="paragraph" w:styleId="9">
    <w:name w:val="annotation text"/>
    <w:basedOn w:val="1"/>
    <w:link w:val="46"/>
    <w:semiHidden/>
    <w:qFormat/>
    <w:uiPriority w:val="99"/>
    <w:pPr>
      <w:jc w:val="left"/>
    </w:pPr>
    <w:rPr>
      <w:rFonts w:ascii="Times New Roman" w:hAnsi="Times New Roman" w:cs="Times New Roman"/>
      <w:lang w:val="zh-CN"/>
    </w:rPr>
  </w:style>
  <w:style w:type="paragraph" w:styleId="10">
    <w:name w:val="Body Text"/>
    <w:basedOn w:val="1"/>
    <w:next w:val="11"/>
    <w:link w:val="49"/>
    <w:qFormat/>
    <w:uiPriority w:val="99"/>
    <w:pPr>
      <w:spacing w:after="120"/>
    </w:pPr>
    <w:rPr>
      <w:rFonts w:ascii="Times New Roman" w:hAnsi="Times New Roman" w:cs="Times New Roman"/>
      <w:kern w:val="0"/>
      <w:sz w:val="20"/>
      <w:szCs w:val="20"/>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4">
    <w:name w:val="Body Text Indent"/>
    <w:basedOn w:val="1"/>
    <w:link w:val="50"/>
    <w:qFormat/>
    <w:uiPriority w:val="99"/>
    <w:pPr>
      <w:spacing w:line="360" w:lineRule="auto"/>
      <w:ind w:left="435" w:leftChars="207"/>
    </w:pPr>
    <w:rPr>
      <w:rFonts w:ascii="Times New Roman" w:hAnsi="Times New Roman" w:cs="Times New Roman"/>
      <w:sz w:val="24"/>
      <w:szCs w:val="24"/>
      <w:lang w:val="zh-CN"/>
    </w:rPr>
  </w:style>
  <w:style w:type="paragraph" w:styleId="15">
    <w:name w:val="toc 5"/>
    <w:basedOn w:val="1"/>
    <w:next w:val="1"/>
    <w:semiHidden/>
    <w:qFormat/>
    <w:uiPriority w:val="99"/>
    <w:pPr>
      <w:widowControl/>
      <w:adjustRightInd w:val="0"/>
      <w:snapToGrid w:val="0"/>
      <w:ind w:left="660"/>
      <w:jc w:val="left"/>
    </w:pPr>
    <w:rPr>
      <w:rFonts w:eastAsia="微软雅黑"/>
      <w:kern w:val="0"/>
      <w:sz w:val="20"/>
      <w:szCs w:val="20"/>
    </w:rPr>
  </w:style>
  <w:style w:type="paragraph" w:styleId="16">
    <w:name w:val="toc 3"/>
    <w:basedOn w:val="1"/>
    <w:next w:val="1"/>
    <w:semiHidden/>
    <w:qFormat/>
    <w:uiPriority w:val="99"/>
    <w:pPr>
      <w:widowControl/>
      <w:adjustRightInd w:val="0"/>
      <w:snapToGrid w:val="0"/>
      <w:ind w:left="220"/>
      <w:jc w:val="left"/>
    </w:pPr>
    <w:rPr>
      <w:rFonts w:eastAsia="微软雅黑"/>
      <w:kern w:val="0"/>
      <w:sz w:val="20"/>
      <w:szCs w:val="20"/>
    </w:rPr>
  </w:style>
  <w:style w:type="paragraph" w:styleId="17">
    <w:name w:val="Plain Text"/>
    <w:basedOn w:val="1"/>
    <w:link w:val="51"/>
    <w:qFormat/>
    <w:uiPriority w:val="99"/>
    <w:rPr>
      <w:rFonts w:ascii="宋体" w:hAnsi="Courier New" w:cs="宋体"/>
      <w:kern w:val="0"/>
      <w:sz w:val="24"/>
      <w:szCs w:val="24"/>
    </w:rPr>
  </w:style>
  <w:style w:type="paragraph" w:styleId="18">
    <w:name w:val="toc 8"/>
    <w:basedOn w:val="1"/>
    <w:next w:val="1"/>
    <w:semiHidden/>
    <w:qFormat/>
    <w:uiPriority w:val="99"/>
    <w:pPr>
      <w:widowControl/>
      <w:adjustRightInd w:val="0"/>
      <w:snapToGrid w:val="0"/>
      <w:ind w:left="1320"/>
      <w:jc w:val="left"/>
    </w:pPr>
    <w:rPr>
      <w:rFonts w:eastAsia="微软雅黑"/>
      <w:kern w:val="0"/>
      <w:sz w:val="20"/>
      <w:szCs w:val="20"/>
    </w:rPr>
  </w:style>
  <w:style w:type="paragraph" w:styleId="19">
    <w:name w:val="Date"/>
    <w:basedOn w:val="1"/>
    <w:next w:val="1"/>
    <w:link w:val="52"/>
    <w:qFormat/>
    <w:uiPriority w:val="99"/>
    <w:pPr>
      <w:ind w:left="100" w:leftChars="2500"/>
    </w:pPr>
    <w:rPr>
      <w:rFonts w:ascii="Times New Roman" w:hAnsi="Times New Roman" w:cs="Times New Roman"/>
      <w:lang w:val="zh-CN"/>
    </w:rPr>
  </w:style>
  <w:style w:type="paragraph" w:styleId="20">
    <w:name w:val="Balloon Text"/>
    <w:basedOn w:val="1"/>
    <w:link w:val="53"/>
    <w:semiHidden/>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99"/>
    <w:pPr>
      <w:widowControl/>
      <w:tabs>
        <w:tab w:val="right" w:leader="dot" w:pos="9514"/>
      </w:tabs>
      <w:spacing w:line="360" w:lineRule="auto"/>
      <w:jc w:val="center"/>
    </w:pPr>
    <w:rPr>
      <w:rFonts w:ascii="Arial" w:hAnsi="Arial" w:eastAsia="仿宋" w:cs="Arial"/>
      <w:b/>
      <w:bCs/>
      <w:kern w:val="44"/>
      <w:sz w:val="24"/>
      <w:szCs w:val="24"/>
    </w:rPr>
  </w:style>
  <w:style w:type="paragraph" w:styleId="24">
    <w:name w:val="toc 4"/>
    <w:basedOn w:val="1"/>
    <w:next w:val="1"/>
    <w:semiHidden/>
    <w:qFormat/>
    <w:uiPriority w:val="99"/>
    <w:pPr>
      <w:widowControl/>
      <w:adjustRightInd w:val="0"/>
      <w:snapToGrid w:val="0"/>
      <w:ind w:left="440"/>
      <w:jc w:val="left"/>
    </w:pPr>
    <w:rPr>
      <w:rFonts w:eastAsia="微软雅黑"/>
      <w:kern w:val="0"/>
      <w:sz w:val="20"/>
      <w:szCs w:val="20"/>
    </w:rPr>
  </w:style>
  <w:style w:type="paragraph" w:styleId="25">
    <w:name w:val="footnote text"/>
    <w:basedOn w:val="1"/>
    <w:qFormat/>
    <w:locked/>
    <w:uiPriority w:val="0"/>
    <w:pPr>
      <w:snapToGrid w:val="0"/>
      <w:jc w:val="left"/>
    </w:pPr>
    <w:rPr>
      <w:rFonts w:ascii="Calibri" w:hAnsi="Calibri" w:eastAsia="宋体" w:cs="Times New Roman"/>
      <w:sz w:val="18"/>
      <w:szCs w:val="18"/>
    </w:rPr>
  </w:style>
  <w:style w:type="paragraph" w:styleId="26">
    <w:name w:val="toc 6"/>
    <w:basedOn w:val="1"/>
    <w:next w:val="1"/>
    <w:semiHidden/>
    <w:qFormat/>
    <w:uiPriority w:val="99"/>
    <w:pPr>
      <w:widowControl/>
      <w:adjustRightInd w:val="0"/>
      <w:snapToGrid w:val="0"/>
      <w:ind w:left="880"/>
      <w:jc w:val="left"/>
    </w:pPr>
    <w:rPr>
      <w:rFonts w:eastAsia="微软雅黑"/>
      <w:kern w:val="0"/>
      <w:sz w:val="20"/>
      <w:szCs w:val="20"/>
    </w:rPr>
  </w:style>
  <w:style w:type="paragraph" w:styleId="27">
    <w:name w:val="Body Text Indent 3"/>
    <w:basedOn w:val="1"/>
    <w:link w:val="56"/>
    <w:qFormat/>
    <w:uiPriority w:val="99"/>
    <w:pPr>
      <w:spacing w:after="120"/>
      <w:ind w:left="420" w:leftChars="200"/>
    </w:pPr>
    <w:rPr>
      <w:rFonts w:ascii="Times New Roman" w:hAnsi="Times New Roman" w:cs="Times New Roman"/>
      <w:sz w:val="16"/>
      <w:szCs w:val="16"/>
      <w:lang w:val="zh-CN"/>
    </w:rPr>
  </w:style>
  <w:style w:type="paragraph" w:styleId="28">
    <w:name w:val="toc 2"/>
    <w:basedOn w:val="1"/>
    <w:next w:val="1"/>
    <w:semiHidden/>
    <w:qFormat/>
    <w:uiPriority w:val="99"/>
    <w:pPr>
      <w:widowControl/>
      <w:adjustRightInd w:val="0"/>
      <w:snapToGrid w:val="0"/>
      <w:spacing w:before="240"/>
      <w:jc w:val="left"/>
    </w:pPr>
    <w:rPr>
      <w:rFonts w:eastAsia="微软雅黑"/>
      <w:b/>
      <w:bCs/>
      <w:kern w:val="0"/>
      <w:sz w:val="20"/>
      <w:szCs w:val="20"/>
    </w:rPr>
  </w:style>
  <w:style w:type="paragraph" w:styleId="29">
    <w:name w:val="toc 9"/>
    <w:basedOn w:val="1"/>
    <w:next w:val="1"/>
    <w:semiHidden/>
    <w:qFormat/>
    <w:uiPriority w:val="99"/>
    <w:pPr>
      <w:widowControl/>
      <w:adjustRightInd w:val="0"/>
      <w:snapToGrid w:val="0"/>
      <w:ind w:left="1540"/>
      <w:jc w:val="left"/>
    </w:pPr>
    <w:rPr>
      <w:rFonts w:eastAsia="微软雅黑"/>
      <w:kern w:val="0"/>
      <w:sz w:val="20"/>
      <w:szCs w:val="20"/>
    </w:rPr>
  </w:style>
  <w:style w:type="paragraph" w:styleId="30">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57"/>
    <w:qFormat/>
    <w:uiPriority w:val="99"/>
    <w:pPr>
      <w:spacing w:before="240" w:after="60"/>
      <w:jc w:val="center"/>
      <w:outlineLvl w:val="0"/>
    </w:pPr>
    <w:rPr>
      <w:rFonts w:ascii="Cambria" w:hAnsi="Cambria" w:cs="Cambria"/>
      <w:b/>
      <w:bCs/>
      <w:sz w:val="32"/>
      <w:szCs w:val="32"/>
      <w:lang w:val="zh-CN"/>
    </w:rPr>
  </w:style>
  <w:style w:type="paragraph" w:styleId="33">
    <w:name w:val="annotation subject"/>
    <w:basedOn w:val="9"/>
    <w:next w:val="9"/>
    <w:link w:val="47"/>
    <w:semiHidden/>
    <w:qFormat/>
    <w:uiPriority w:val="99"/>
    <w:rPr>
      <w:b/>
      <w:bCs/>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800080"/>
      <w:u w:val="single"/>
    </w:rPr>
  </w:style>
  <w:style w:type="character" w:styleId="40">
    <w:name w:val="Hyperlink"/>
    <w:basedOn w:val="36"/>
    <w:qFormat/>
    <w:uiPriority w:val="99"/>
    <w:rPr>
      <w:color w:val="auto"/>
      <w:u w:val="none"/>
    </w:rPr>
  </w:style>
  <w:style w:type="character" w:styleId="41">
    <w:name w:val="annotation reference"/>
    <w:basedOn w:val="36"/>
    <w:semiHidden/>
    <w:qFormat/>
    <w:uiPriority w:val="99"/>
    <w:rPr>
      <w:sz w:val="21"/>
      <w:szCs w:val="21"/>
    </w:rPr>
  </w:style>
  <w:style w:type="character" w:styleId="42">
    <w:name w:val="footnote reference"/>
    <w:qFormat/>
    <w:locked/>
    <w:uiPriority w:val="0"/>
    <w:rPr>
      <w:vertAlign w:val="superscript"/>
    </w:rPr>
  </w:style>
  <w:style w:type="character" w:customStyle="1" w:styleId="43">
    <w:name w:val="标题 2 Char"/>
    <w:basedOn w:val="36"/>
    <w:link w:val="4"/>
    <w:qFormat/>
    <w:locked/>
    <w:uiPriority w:val="99"/>
    <w:rPr>
      <w:rFonts w:ascii="Cambria" w:hAnsi="Cambria" w:eastAsia="宋体" w:cs="Cambria"/>
      <w:b/>
      <w:bCs/>
      <w:sz w:val="32"/>
      <w:szCs w:val="32"/>
    </w:rPr>
  </w:style>
  <w:style w:type="character" w:customStyle="1" w:styleId="44">
    <w:name w:val="标题 3 Char"/>
    <w:basedOn w:val="36"/>
    <w:link w:val="5"/>
    <w:qFormat/>
    <w:locked/>
    <w:uiPriority w:val="99"/>
    <w:rPr>
      <w:b/>
      <w:bCs/>
      <w:sz w:val="32"/>
      <w:szCs w:val="32"/>
    </w:rPr>
  </w:style>
  <w:style w:type="character" w:customStyle="1" w:styleId="45">
    <w:name w:val="标题 1 Char"/>
    <w:basedOn w:val="36"/>
    <w:link w:val="3"/>
    <w:qFormat/>
    <w:locked/>
    <w:uiPriority w:val="99"/>
    <w:rPr>
      <w:b/>
      <w:bCs/>
      <w:kern w:val="44"/>
      <w:sz w:val="44"/>
      <w:szCs w:val="44"/>
    </w:rPr>
  </w:style>
  <w:style w:type="character" w:customStyle="1" w:styleId="46">
    <w:name w:val="批注文字 Char"/>
    <w:basedOn w:val="36"/>
    <w:link w:val="9"/>
    <w:qFormat/>
    <w:locked/>
    <w:uiPriority w:val="99"/>
    <w:rPr>
      <w:rFonts w:ascii="Times New Roman" w:hAnsi="Times New Roman" w:eastAsia="宋体" w:cs="Times New Roman"/>
      <w:sz w:val="24"/>
      <w:szCs w:val="24"/>
      <w:lang w:val="zh-CN" w:eastAsia="zh-CN"/>
    </w:rPr>
  </w:style>
  <w:style w:type="character" w:customStyle="1" w:styleId="47">
    <w:name w:val="批注主题 Char"/>
    <w:basedOn w:val="46"/>
    <w:link w:val="33"/>
    <w:qFormat/>
    <w:locked/>
    <w:uiPriority w:val="99"/>
    <w:rPr>
      <w:b/>
      <w:bCs/>
    </w:rPr>
  </w:style>
  <w:style w:type="character" w:customStyle="1" w:styleId="48">
    <w:name w:val="文档结构图 Char"/>
    <w:basedOn w:val="36"/>
    <w:link w:val="8"/>
    <w:semiHidden/>
    <w:qFormat/>
    <w:locked/>
    <w:uiPriority w:val="99"/>
    <w:rPr>
      <w:rFonts w:ascii="宋体" w:hAnsi="Tahoma" w:eastAsia="宋体" w:cs="宋体"/>
      <w:kern w:val="0"/>
      <w:sz w:val="18"/>
      <w:szCs w:val="18"/>
      <w:lang w:val="zh-CN" w:eastAsia="zh-CN"/>
    </w:rPr>
  </w:style>
  <w:style w:type="character" w:customStyle="1" w:styleId="49">
    <w:name w:val="正文文本 Char1"/>
    <w:basedOn w:val="36"/>
    <w:link w:val="10"/>
    <w:qFormat/>
    <w:locked/>
    <w:uiPriority w:val="99"/>
    <w:rPr>
      <w:sz w:val="24"/>
      <w:szCs w:val="24"/>
    </w:rPr>
  </w:style>
  <w:style w:type="character" w:customStyle="1" w:styleId="50">
    <w:name w:val="正文文本缩进 Char"/>
    <w:basedOn w:val="36"/>
    <w:link w:val="14"/>
    <w:qFormat/>
    <w:locked/>
    <w:uiPriority w:val="99"/>
    <w:rPr>
      <w:rFonts w:ascii="Times New Roman" w:hAnsi="Times New Roman" w:eastAsia="宋体" w:cs="Times New Roman"/>
      <w:sz w:val="24"/>
      <w:szCs w:val="24"/>
      <w:lang w:val="zh-CN" w:eastAsia="zh-CN"/>
    </w:rPr>
  </w:style>
  <w:style w:type="character" w:customStyle="1" w:styleId="51">
    <w:name w:val="纯文本 Char"/>
    <w:basedOn w:val="36"/>
    <w:link w:val="17"/>
    <w:qFormat/>
    <w:locked/>
    <w:uiPriority w:val="99"/>
    <w:rPr>
      <w:rFonts w:ascii="宋体" w:hAnsi="Courier New" w:cs="宋体"/>
      <w:sz w:val="24"/>
      <w:szCs w:val="24"/>
    </w:rPr>
  </w:style>
  <w:style w:type="character" w:customStyle="1" w:styleId="52">
    <w:name w:val="日期 Char"/>
    <w:basedOn w:val="36"/>
    <w:link w:val="19"/>
    <w:qFormat/>
    <w:locked/>
    <w:uiPriority w:val="99"/>
    <w:rPr>
      <w:rFonts w:ascii="Times New Roman" w:hAnsi="Times New Roman" w:eastAsia="宋体" w:cs="Times New Roman"/>
      <w:sz w:val="24"/>
      <w:szCs w:val="24"/>
      <w:lang w:val="zh-CN" w:eastAsia="zh-CN"/>
    </w:rPr>
  </w:style>
  <w:style w:type="character" w:customStyle="1" w:styleId="53">
    <w:name w:val="批注框文本 Char"/>
    <w:basedOn w:val="36"/>
    <w:link w:val="20"/>
    <w:qFormat/>
    <w:locked/>
    <w:uiPriority w:val="99"/>
    <w:rPr>
      <w:sz w:val="18"/>
      <w:szCs w:val="18"/>
    </w:rPr>
  </w:style>
  <w:style w:type="character" w:customStyle="1" w:styleId="54">
    <w:name w:val="页脚 Char"/>
    <w:basedOn w:val="36"/>
    <w:link w:val="21"/>
    <w:qFormat/>
    <w:locked/>
    <w:uiPriority w:val="99"/>
    <w:rPr>
      <w:sz w:val="18"/>
      <w:szCs w:val="18"/>
    </w:rPr>
  </w:style>
  <w:style w:type="character" w:customStyle="1" w:styleId="55">
    <w:name w:val="页眉 Char"/>
    <w:basedOn w:val="36"/>
    <w:link w:val="22"/>
    <w:qFormat/>
    <w:locked/>
    <w:uiPriority w:val="99"/>
    <w:rPr>
      <w:sz w:val="18"/>
      <w:szCs w:val="18"/>
    </w:rPr>
  </w:style>
  <w:style w:type="character" w:customStyle="1" w:styleId="56">
    <w:name w:val="正文文本缩进 3 Char"/>
    <w:basedOn w:val="36"/>
    <w:link w:val="27"/>
    <w:qFormat/>
    <w:locked/>
    <w:uiPriority w:val="99"/>
    <w:rPr>
      <w:rFonts w:ascii="Times New Roman" w:hAnsi="Times New Roman" w:eastAsia="宋体" w:cs="Times New Roman"/>
      <w:sz w:val="16"/>
      <w:szCs w:val="16"/>
      <w:lang w:val="zh-CN" w:eastAsia="zh-CN"/>
    </w:rPr>
  </w:style>
  <w:style w:type="character" w:customStyle="1" w:styleId="57">
    <w:name w:val="标题 Char"/>
    <w:basedOn w:val="36"/>
    <w:link w:val="32"/>
    <w:qFormat/>
    <w:locked/>
    <w:uiPriority w:val="99"/>
    <w:rPr>
      <w:rFonts w:ascii="Cambria" w:hAnsi="Cambria" w:eastAsia="宋体" w:cs="Cambria"/>
      <w:b/>
      <w:bCs/>
      <w:sz w:val="32"/>
      <w:szCs w:val="32"/>
      <w:lang w:val="zh-CN" w:eastAsia="zh-CN"/>
    </w:rPr>
  </w:style>
  <w:style w:type="paragraph" w:customStyle="1" w:styleId="58">
    <w:name w:val="列出段落1"/>
    <w:basedOn w:val="1"/>
    <w:link w:val="59"/>
    <w:qFormat/>
    <w:uiPriority w:val="99"/>
    <w:pPr>
      <w:ind w:firstLine="420" w:firstLineChars="200"/>
    </w:pPr>
  </w:style>
  <w:style w:type="character" w:customStyle="1" w:styleId="59">
    <w:name w:val="列出段落 Char"/>
    <w:link w:val="58"/>
    <w:qFormat/>
    <w:locked/>
    <w:uiPriority w:val="99"/>
  </w:style>
  <w:style w:type="character" w:customStyle="1" w:styleId="60">
    <w:name w:val="正文文本 Char"/>
    <w:basedOn w:val="36"/>
    <w:qFormat/>
    <w:uiPriority w:val="99"/>
  </w:style>
  <w:style w:type="character" w:customStyle="1" w:styleId="61">
    <w:name w:val="纯文本 Char1"/>
    <w:basedOn w:val="36"/>
    <w:semiHidden/>
    <w:qFormat/>
    <w:uiPriority w:val="99"/>
    <w:rPr>
      <w:rFonts w:ascii="宋体" w:hAnsi="Courier New" w:eastAsia="宋体" w:cs="宋体"/>
      <w:sz w:val="21"/>
      <w:szCs w:val="21"/>
    </w:rPr>
  </w:style>
  <w:style w:type="paragraph" w:customStyle="1" w:styleId="62">
    <w:name w:val="样式 标题 3 + (中文) 黑体 小四 非加粗 段前: 7.8 磅 段后: 0 磅 行距: 固定值 20 磅"/>
    <w:basedOn w:val="5"/>
    <w:qFormat/>
    <w:uiPriority w:val="99"/>
    <w:pPr>
      <w:spacing w:before="0" w:after="0" w:line="400" w:lineRule="exact"/>
    </w:pPr>
    <w:rPr>
      <w:rFonts w:ascii="Times New Roman" w:hAnsi="Times New Roman" w:eastAsia="黑体" w:cs="Times New Roman"/>
      <w:b w:val="0"/>
      <w:bCs w:val="0"/>
      <w:sz w:val="24"/>
      <w:szCs w:val="24"/>
      <w:lang w:val="zh-CN"/>
    </w:rPr>
  </w:style>
  <w:style w:type="paragraph" w:customStyle="1" w:styleId="63">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Times New Roman"/>
      <w:b w:val="0"/>
      <w:bCs w:val="0"/>
      <w:sz w:val="28"/>
      <w:szCs w:val="28"/>
      <w:lang w:val="zh-CN"/>
    </w:rPr>
  </w:style>
  <w:style w:type="paragraph" w:customStyle="1" w:styleId="64">
    <w:name w:val="1"/>
    <w:basedOn w:val="1"/>
    <w:next w:val="27"/>
    <w:qFormat/>
    <w:uiPriority w:val="99"/>
    <w:pPr>
      <w:spacing w:line="360" w:lineRule="auto"/>
      <w:ind w:firstLine="567"/>
    </w:pPr>
    <w:rPr>
      <w:rFonts w:ascii="Times New Roman" w:hAnsi="Times New Roman" w:cs="Times New Roman"/>
      <w:sz w:val="24"/>
      <w:szCs w:val="24"/>
    </w:rPr>
  </w:style>
  <w:style w:type="paragraph" w:customStyle="1" w:styleId="65">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66">
    <w:name w:val="Char2"/>
    <w:basedOn w:val="1"/>
    <w:qFormat/>
    <w:uiPriority w:val="99"/>
    <w:rPr>
      <w:rFonts w:ascii="Tahoma" w:hAnsi="Tahoma" w:cs="Tahoma"/>
      <w:sz w:val="24"/>
      <w:szCs w:val="24"/>
    </w:rPr>
  </w:style>
  <w:style w:type="character" w:customStyle="1" w:styleId="67">
    <w:name w:val="titletxt1"/>
    <w:qFormat/>
    <w:uiPriority w:val="99"/>
    <w:rPr>
      <w:color w:val="auto"/>
    </w:rPr>
  </w:style>
  <w:style w:type="paragraph" w:customStyle="1" w:styleId="68">
    <w:name w:val="Char"/>
    <w:basedOn w:val="1"/>
    <w:qFormat/>
    <w:uiPriority w:val="99"/>
    <w:pPr>
      <w:widowControl/>
      <w:adjustRightInd w:val="0"/>
      <w:spacing w:after="160" w:line="240" w:lineRule="exact"/>
      <w:jc w:val="left"/>
      <w:textAlignment w:val="baseline"/>
    </w:pPr>
    <w:rPr>
      <w:rFonts w:ascii="Times New Roman" w:hAnsi="Times New Roman" w:cs="Times New Roman"/>
      <w:kern w:val="0"/>
      <w:sz w:val="24"/>
      <w:szCs w:val="24"/>
    </w:rPr>
  </w:style>
  <w:style w:type="paragraph" w:customStyle="1" w:styleId="69">
    <w:name w:val="_Style 52"/>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xl63"/>
    <w:basedOn w:val="1"/>
    <w:qFormat/>
    <w:uiPriority w:val="99"/>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1">
    <w:name w:val="xl64"/>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2">
    <w:name w:val="xl65"/>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3">
    <w:name w:val="xl66"/>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74">
    <w:name w:val="xl67"/>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5">
    <w:name w:val="xl68"/>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6">
    <w:name w:val="xl69"/>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77">
    <w:name w:val="xl70"/>
    <w:basedOn w:val="1"/>
    <w:qFormat/>
    <w:uiPriority w:val="99"/>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8">
    <w:name w:val="xl71"/>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9">
    <w:name w:val="xl72"/>
    <w:basedOn w:val="1"/>
    <w:qFormat/>
    <w:uiPriority w:val="99"/>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0">
    <w:name w:val="xl73"/>
    <w:basedOn w:val="1"/>
    <w:qFormat/>
    <w:uiPriority w:val="99"/>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1">
    <w:name w:val="xl74"/>
    <w:basedOn w:val="1"/>
    <w:qFormat/>
    <w:uiPriority w:val="99"/>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2">
    <w:name w:val="xl75"/>
    <w:basedOn w:val="1"/>
    <w:qFormat/>
    <w:uiPriority w:val="99"/>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3">
    <w:name w:val="xl76"/>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4">
    <w:name w:val="无间隔1"/>
    <w:link w:val="85"/>
    <w:qFormat/>
    <w:uiPriority w:val="99"/>
    <w:rPr>
      <w:rFonts w:ascii="Calibri" w:hAnsi="Calibri" w:eastAsia="宋体" w:cs="Calibri"/>
      <w:sz w:val="22"/>
      <w:szCs w:val="22"/>
      <w:lang w:val="en-US" w:eastAsia="zh-CN" w:bidi="ar-SA"/>
    </w:rPr>
  </w:style>
  <w:style w:type="character" w:customStyle="1" w:styleId="85">
    <w:name w:val="无间隔 Char"/>
    <w:link w:val="84"/>
    <w:qFormat/>
    <w:locked/>
    <w:uiPriority w:val="99"/>
    <w:rPr>
      <w:rFonts w:ascii="Calibri" w:hAnsi="Calibri" w:cs="Calibri"/>
      <w:sz w:val="22"/>
      <w:szCs w:val="22"/>
    </w:rPr>
  </w:style>
  <w:style w:type="paragraph" w:customStyle="1" w:styleId="8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lang w:val="zh-CN"/>
    </w:rPr>
  </w:style>
  <w:style w:type="paragraph" w:customStyle="1" w:styleId="8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9">
    <w:name w:val="font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0">
    <w:name w:val="font8"/>
    <w:basedOn w:val="1"/>
    <w:qFormat/>
    <w:uiPriority w:val="99"/>
    <w:pPr>
      <w:widowControl/>
      <w:spacing w:before="100" w:beforeAutospacing="1" w:after="100" w:afterAutospacing="1"/>
      <w:jc w:val="left"/>
    </w:pPr>
    <w:rPr>
      <w:rFonts w:ascii="Times New Roman" w:hAnsi="Times New Roman" w:cs="Times New Roman"/>
      <w:b/>
      <w:bCs/>
      <w:kern w:val="0"/>
      <w:sz w:val="20"/>
      <w:szCs w:val="20"/>
    </w:rPr>
  </w:style>
  <w:style w:type="paragraph" w:customStyle="1" w:styleId="91">
    <w:name w:val="font9"/>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2">
    <w:name w:val="font10"/>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93">
    <w:name w:val="font11"/>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9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9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9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100">
    <w:name w:val="xl83"/>
    <w:basedOn w:val="1"/>
    <w:qFormat/>
    <w:uiPriority w:val="99"/>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10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10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00"/>
      <w:kern w:val="0"/>
      <w:sz w:val="20"/>
      <w:szCs w:val="20"/>
    </w:rPr>
  </w:style>
  <w:style w:type="paragraph" w:customStyle="1" w:styleId="10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10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18"/>
      <w:szCs w:val="18"/>
    </w:rPr>
  </w:style>
  <w:style w:type="paragraph" w:customStyle="1" w:styleId="106">
    <w:name w:val="xl89"/>
    <w:basedOn w:val="1"/>
    <w:qFormat/>
    <w:uiPriority w:val="99"/>
    <w:pPr>
      <w:widowControl/>
      <w:pBdr>
        <w:bottom w:val="single" w:color="auto" w:sz="4" w:space="0"/>
      </w:pBdr>
      <w:spacing w:before="100" w:beforeAutospacing="1" w:after="100" w:afterAutospacing="1"/>
      <w:jc w:val="center"/>
      <w:textAlignment w:val="center"/>
    </w:pPr>
    <w:rPr>
      <w:rFonts w:ascii="宋体" w:hAnsi="宋体" w:cs="宋体"/>
      <w:kern w:val="0"/>
      <w:sz w:val="40"/>
      <w:szCs w:val="40"/>
    </w:rPr>
  </w:style>
  <w:style w:type="paragraph" w:customStyle="1" w:styleId="107">
    <w:name w:val="xl9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8">
    <w:name w:val="xl9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table" w:customStyle="1" w:styleId="109">
    <w:name w:val="网格型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样式 小四 段前: 5 磅 段后: 5 磅 首行缩进:  2 字符"/>
    <w:basedOn w:val="1"/>
    <w:qFormat/>
    <w:uiPriority w:val="99"/>
    <w:pPr>
      <w:spacing w:line="360" w:lineRule="auto"/>
    </w:pPr>
    <w:rPr>
      <w:rFonts w:ascii="仿宋" w:hAnsi="仿宋" w:eastAsia="仿宋" w:cs="仿宋"/>
      <w:b/>
      <w:bCs/>
      <w:sz w:val="28"/>
      <w:szCs w:val="28"/>
    </w:rPr>
  </w:style>
  <w:style w:type="character" w:styleId="111">
    <w:name w:val="Placeholder Text"/>
    <w:basedOn w:val="36"/>
    <w:qFormat/>
    <w:uiPriority w:val="99"/>
    <w:rPr>
      <w:color w:val="808080"/>
    </w:rPr>
  </w:style>
  <w:style w:type="character" w:customStyle="1" w:styleId="112">
    <w:name w:val="font31"/>
    <w:basedOn w:val="36"/>
    <w:qFormat/>
    <w:uiPriority w:val="99"/>
    <w:rPr>
      <w:rFonts w:ascii="宋体" w:hAnsi="宋体" w:eastAsia="宋体" w:cs="宋体"/>
      <w:color w:val="000000"/>
      <w:sz w:val="24"/>
      <w:szCs w:val="24"/>
      <w:u w:val="none"/>
    </w:rPr>
  </w:style>
  <w:style w:type="paragraph" w:styleId="113">
    <w:name w:val="List Paragraph"/>
    <w:basedOn w:val="1"/>
    <w:qFormat/>
    <w:uiPriority w:val="99"/>
    <w:pPr>
      <w:jc w:val="left"/>
    </w:pPr>
  </w:style>
  <w:style w:type="paragraph" w:customStyle="1" w:styleId="114">
    <w:name w:val="样式 样式 标题 3h33Heading 3 hidden2hh31h32SectionHeading 2.3(Al... + ..."/>
    <w:basedOn w:val="1"/>
    <w:qFormat/>
    <w:uiPriority w:val="99"/>
    <w:pPr>
      <w:keepNext/>
      <w:widowControl/>
      <w:numPr>
        <w:ilvl w:val="2"/>
        <w:numId w:val="1"/>
      </w:numPr>
      <w:tabs>
        <w:tab w:val="left" w:pos="720"/>
        <w:tab w:val="left" w:pos="1004"/>
      </w:tabs>
      <w:spacing w:before="260" w:after="260" w:line="360" w:lineRule="auto"/>
      <w:ind w:left="1418"/>
      <w:outlineLvl w:val="2"/>
    </w:pPr>
    <w:rPr>
      <w:rFonts w:ascii="宋体" w:hAnsi="宋体" w:cs="宋体"/>
      <w:b/>
      <w:bCs/>
      <w:kern w:val="0"/>
      <w:sz w:val="24"/>
      <w:szCs w:val="24"/>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UserStyle_5"/>
    <w:basedOn w:val="1"/>
    <w:qFormat/>
    <w:uiPriority w:val="0"/>
    <w:pPr>
      <w:widowControl/>
      <w:textAlignment w:val="baseline"/>
    </w:pPr>
    <w:rPr>
      <w:rFonts w:ascii="宋体" w:hAnsi="宋体" w:cs="Times New Roman"/>
      <w:sz w:val="24"/>
      <w:lang w:val="zh-CN" w:bidi="zh-CN"/>
    </w:rPr>
  </w:style>
  <w:style w:type="character" w:customStyle="1" w:styleId="117">
    <w:name w:val="NormalCharacter"/>
    <w:qFormat/>
    <w:uiPriority w:val="0"/>
    <w:rPr>
      <w:rFonts w:ascii="Times New Roman" w:hAnsi="Times New Roman" w:eastAsia="宋体"/>
    </w:rPr>
  </w:style>
  <w:style w:type="paragraph" w:customStyle="1" w:styleId="118">
    <w:name w:val="Table Paragraph"/>
    <w:basedOn w:val="1"/>
    <w:qFormat/>
    <w:uiPriority w:val="1"/>
    <w:rPr>
      <w:rFonts w:ascii="宋体" w:hAnsi="宋体" w:eastAsia="宋体" w:cs="宋体"/>
      <w:lang w:val="zh-CN" w:eastAsia="zh-CN" w:bidi="zh-CN"/>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32172</Words>
  <Characters>33914</Characters>
  <Lines>254</Lines>
  <Paragraphs>71</Paragraphs>
  <TotalTime>5</TotalTime>
  <ScaleCrop>false</ScaleCrop>
  <LinksUpToDate>false</LinksUpToDate>
  <CharactersWithSpaces>36845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2018-05-11T07:09:00Z</dcterms:created>
  <dc:creator>20160321</dc:creator>
  <cp:lastModifiedBy>dell</cp:lastModifiedBy>
  <cp:lastPrinted>2020-04-02T08:23:00Z</cp:lastPrinted>
  <dcterms:modified xsi:type="dcterms:W3CDTF">2022-05-25T05:55:43Z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4F9991054F0245788539419DC6142468</vt:lpwstr>
  </property>
</Properties>
</file>