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480" w:lineRule="exact"/>
        <w:jc w:val="center"/>
        <w:textAlignment w:val="auto"/>
        <w:rPr>
          <w:rFonts w:hint="eastAsia" w:hAnsi="宋体" w:eastAsiaTheme="minorEastAsia"/>
          <w:b/>
          <w:color w:val="auto"/>
          <w:sz w:val="32"/>
          <w:szCs w:val="32"/>
          <w:lang w:eastAsia="zh-CN"/>
        </w:rPr>
      </w:pPr>
      <w:r>
        <w:rPr>
          <w:rFonts w:hint="eastAsia" w:hAnsi="宋体" w:eastAsiaTheme="minorEastAsia"/>
          <w:b/>
          <w:color w:val="auto"/>
          <w:sz w:val="32"/>
          <w:szCs w:val="32"/>
          <w:lang w:eastAsia="zh-CN"/>
        </w:rPr>
        <w:t>白蚁防治药物采购项目</w:t>
      </w:r>
    </w:p>
    <w:p>
      <w:pPr>
        <w:pStyle w:val="3"/>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采购项目</w:t>
      </w:r>
    </w:p>
    <w:p>
      <w:pPr>
        <w:pStyle w:val="3"/>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项目名称：</w:t>
      </w:r>
      <w:r>
        <w:rPr>
          <w:rFonts w:hint="eastAsia" w:ascii="宋体" w:hAnsi="宋体" w:eastAsia="宋体" w:cs="宋体"/>
          <w:bCs/>
          <w:sz w:val="24"/>
          <w:szCs w:val="24"/>
          <w:lang w:eastAsia="zh-CN"/>
        </w:rPr>
        <w:t>白蚁防治药物采购项目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hAnsi="宋体" w:cs="宋体"/>
          <w:color w:val="auto"/>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采购单</w:t>
      </w:r>
      <w:r>
        <w:rPr>
          <w:rFonts w:hint="eastAsia" w:ascii="宋体" w:hAnsi="宋体" w:eastAsia="宋体" w:cs="宋体"/>
          <w:bCs/>
          <w:sz w:val="24"/>
          <w:szCs w:val="24"/>
          <w:lang w:eastAsia="zh-CN"/>
        </w:rPr>
        <w:t>位：彭州市住房保障服务中心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w:t>
      </w:r>
      <w:r>
        <w:rPr>
          <w:rFonts w:hint="eastAsia" w:ascii="宋体" w:hAnsi="宋体" w:eastAsia="宋体" w:cs="宋体"/>
          <w:bCs/>
          <w:sz w:val="24"/>
          <w:szCs w:val="24"/>
          <w:lang w:eastAsia="zh-CN"/>
        </w:rPr>
        <w:t>方式：竞争性谈判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资金来源：一般公共预算</w:t>
      </w:r>
      <w:r>
        <w:rPr>
          <w:rFonts w:hint="eastAsia" w:ascii="宋体" w:hAnsi="宋体" w:eastAsia="宋体" w:cs="宋体"/>
          <w:sz w:val="24"/>
          <w:szCs w:val="24"/>
          <w:lang w:eastAsia="zh-CN"/>
        </w:rPr>
        <w:t>，已落实</w:t>
      </w:r>
    </w:p>
    <w:p>
      <w:pPr>
        <w:spacing w:line="420" w:lineRule="exact"/>
        <w:ind w:firstLine="480" w:firstLineChars="200"/>
        <w:rPr>
          <w:rFonts w:hint="eastAsia" w:hAnsi="宋体"/>
          <w:b w:val="0"/>
          <w:bCs/>
          <w:color w:val="auto"/>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采购内容：本次谈判共一个包，采购药物为35%吡虫啉悬浮剂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color w:val="auto"/>
          <w:sz w:val="24"/>
          <w:szCs w:val="24"/>
          <w:lang w:val="en-US" w:eastAsia="zh-CN"/>
        </w:rPr>
        <w:t>6</w:t>
      </w:r>
      <w:r>
        <w:rPr>
          <w:rFonts w:hint="eastAsia" w:ascii="宋体" w:hAnsi="宋体" w:eastAsia="宋体" w:cs="宋体"/>
          <w:sz w:val="24"/>
          <w:szCs w:val="24"/>
          <w:lang w:val="en-US" w:eastAsia="zh-CN"/>
        </w:rPr>
        <w:t>.采购预算：30万</w:t>
      </w:r>
      <w:r>
        <w:rPr>
          <w:rFonts w:hint="eastAsia" w:ascii="宋体" w:hAnsi="宋体" w:eastAsia="宋体" w:cs="宋体"/>
          <w:sz w:val="24"/>
          <w:szCs w:val="24"/>
          <w:lang w:val="zh-CN" w:eastAsia="zh-CN"/>
        </w:rPr>
        <w:t>元</w:t>
      </w:r>
    </w:p>
    <w:p>
      <w:pPr>
        <w:pStyle w:val="3"/>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二、供应商</w:t>
      </w:r>
      <w:r>
        <w:rPr>
          <w:rFonts w:hint="eastAsia" w:ascii="宋体" w:hAnsi="宋体" w:eastAsia="宋体" w:cs="宋体"/>
          <w:sz w:val="28"/>
          <w:szCs w:val="28"/>
        </w:rPr>
        <w:t>参加本次政府采购活动应具备下列条件</w:t>
      </w:r>
    </w:p>
    <w:p>
      <w:pPr>
        <w:tabs>
          <w:tab w:val="left" w:pos="7665"/>
        </w:tabs>
        <w:spacing w:line="480" w:lineRule="exact"/>
        <w:ind w:firstLine="480" w:firstLineChars="200"/>
        <w:rPr>
          <w:rFonts w:hAnsi="宋体" w:cs="宋体"/>
          <w:sz w:val="24"/>
          <w:szCs w:val="22"/>
        </w:rPr>
      </w:pPr>
      <w:r>
        <w:rPr>
          <w:rFonts w:hint="eastAsia" w:hAnsi="宋体" w:cs="宋体"/>
          <w:sz w:val="24"/>
          <w:szCs w:val="22"/>
        </w:rPr>
        <w:t>1.具备《中华人民共和国政府采购法》第二十二条规定的条件；</w:t>
      </w:r>
    </w:p>
    <w:p>
      <w:pPr>
        <w:tabs>
          <w:tab w:val="left" w:pos="7665"/>
        </w:tabs>
        <w:spacing w:line="480" w:lineRule="exact"/>
        <w:ind w:firstLine="480" w:firstLineChars="200"/>
        <w:rPr>
          <w:rFonts w:hAnsi="宋体" w:cs="宋体"/>
          <w:sz w:val="24"/>
          <w:szCs w:val="22"/>
        </w:rPr>
      </w:pPr>
      <w:r>
        <w:rPr>
          <w:rFonts w:hint="eastAsia" w:hAnsi="宋体" w:cs="宋体"/>
          <w:sz w:val="24"/>
          <w:szCs w:val="22"/>
        </w:rPr>
        <w:t>1.1具备独立的承担民事责任能力；</w:t>
      </w:r>
    </w:p>
    <w:p>
      <w:pPr>
        <w:tabs>
          <w:tab w:val="left" w:pos="7665"/>
        </w:tabs>
        <w:spacing w:line="480" w:lineRule="exact"/>
        <w:ind w:firstLine="480" w:firstLineChars="200"/>
        <w:rPr>
          <w:rFonts w:hAnsi="宋体" w:cs="宋体"/>
          <w:sz w:val="24"/>
          <w:szCs w:val="22"/>
        </w:rPr>
      </w:pPr>
      <w:r>
        <w:rPr>
          <w:rFonts w:hint="eastAsia" w:hAnsi="宋体" w:cs="宋体"/>
          <w:sz w:val="24"/>
          <w:szCs w:val="22"/>
        </w:rPr>
        <w:t>1.2具有良好的商业信誉和健全的财务会计制度；</w:t>
      </w:r>
    </w:p>
    <w:p>
      <w:pPr>
        <w:tabs>
          <w:tab w:val="left" w:pos="7665"/>
        </w:tabs>
        <w:spacing w:line="480" w:lineRule="exact"/>
        <w:ind w:firstLine="480" w:firstLineChars="200"/>
        <w:rPr>
          <w:rFonts w:hAnsi="宋体" w:cs="宋体"/>
          <w:sz w:val="24"/>
          <w:szCs w:val="22"/>
        </w:rPr>
      </w:pPr>
      <w:r>
        <w:rPr>
          <w:rFonts w:hint="eastAsia" w:hAnsi="宋体" w:cs="宋体"/>
          <w:sz w:val="24"/>
          <w:szCs w:val="22"/>
        </w:rPr>
        <w:t>1.3具有依法缴纳税收和社会保障资金的良好记录：</w:t>
      </w:r>
    </w:p>
    <w:p>
      <w:pPr>
        <w:tabs>
          <w:tab w:val="left" w:pos="7665"/>
        </w:tabs>
        <w:spacing w:line="480" w:lineRule="exact"/>
        <w:ind w:firstLine="480" w:firstLineChars="200"/>
        <w:rPr>
          <w:rFonts w:hAnsi="宋体" w:cs="宋体"/>
          <w:sz w:val="24"/>
          <w:szCs w:val="22"/>
        </w:rPr>
      </w:pPr>
      <w:r>
        <w:rPr>
          <w:rFonts w:hint="eastAsia" w:hAnsi="宋体" w:cs="宋体"/>
          <w:sz w:val="24"/>
          <w:szCs w:val="22"/>
        </w:rPr>
        <w:t>1.4具有履行合同所必需的设备和专业技术能力；</w:t>
      </w:r>
    </w:p>
    <w:p>
      <w:pPr>
        <w:tabs>
          <w:tab w:val="left" w:pos="7665"/>
        </w:tabs>
        <w:spacing w:line="480" w:lineRule="exact"/>
        <w:ind w:firstLine="480" w:firstLineChars="200"/>
        <w:rPr>
          <w:rFonts w:hAnsi="宋体" w:cs="宋体"/>
          <w:sz w:val="24"/>
          <w:szCs w:val="22"/>
        </w:rPr>
      </w:pPr>
      <w:r>
        <w:rPr>
          <w:rFonts w:hint="eastAsia" w:hAnsi="宋体" w:cs="宋体"/>
          <w:sz w:val="24"/>
          <w:szCs w:val="22"/>
        </w:rPr>
        <w:t>1.5</w:t>
      </w:r>
      <w:r>
        <w:rPr>
          <w:rFonts w:hint="eastAsia" w:hAnsi="宋体" w:cs="宋体"/>
          <w:sz w:val="24"/>
        </w:rPr>
        <w:t>参加政府采购活动前三年内，在经营活动中没有重大违法记录</w:t>
      </w:r>
      <w:r>
        <w:rPr>
          <w:rFonts w:hint="eastAsia" w:hAnsi="宋体" w:cs="宋体"/>
          <w:sz w:val="24"/>
          <w:szCs w:val="22"/>
        </w:rPr>
        <w:t>。</w:t>
      </w:r>
    </w:p>
    <w:p>
      <w:pPr>
        <w:tabs>
          <w:tab w:val="left" w:pos="7665"/>
        </w:tabs>
        <w:spacing w:line="480" w:lineRule="exact"/>
        <w:ind w:firstLine="480" w:firstLineChars="200"/>
        <w:rPr>
          <w:rFonts w:hAnsi="宋体" w:cs="宋体"/>
          <w:sz w:val="24"/>
          <w:szCs w:val="22"/>
        </w:rPr>
      </w:pPr>
      <w:r>
        <w:rPr>
          <w:rFonts w:hint="eastAsia" w:hAnsi="宋体" w:cs="宋体"/>
          <w:sz w:val="24"/>
          <w:szCs w:val="22"/>
        </w:rPr>
        <w:t>1.6法律、行政法规规定的其他条件。</w:t>
      </w:r>
    </w:p>
    <w:p>
      <w:pPr>
        <w:tabs>
          <w:tab w:val="left" w:pos="7665"/>
        </w:tabs>
        <w:spacing w:line="480" w:lineRule="exact"/>
        <w:ind w:firstLine="480" w:firstLineChars="200"/>
        <w:rPr>
          <w:rFonts w:hAnsi="宋体" w:cs="宋体"/>
          <w:sz w:val="24"/>
          <w:szCs w:val="22"/>
        </w:rPr>
      </w:pPr>
      <w:r>
        <w:rPr>
          <w:rFonts w:hint="eastAsia" w:hAnsi="宋体" w:cs="宋体"/>
          <w:sz w:val="24"/>
          <w:szCs w:val="22"/>
        </w:rPr>
        <w:t>2.供应商未对本次采购项目提供过整体设计、规范编制或者项目管理、监理、检测等服务；</w:t>
      </w:r>
    </w:p>
    <w:p>
      <w:pPr>
        <w:tabs>
          <w:tab w:val="left" w:pos="7665"/>
        </w:tabs>
        <w:spacing w:line="480" w:lineRule="exact"/>
        <w:ind w:firstLine="480" w:firstLineChars="200"/>
        <w:rPr>
          <w:rFonts w:hAnsi="宋体" w:cs="宋体"/>
          <w:sz w:val="24"/>
          <w:szCs w:val="22"/>
        </w:rPr>
      </w:pPr>
      <w:r>
        <w:rPr>
          <w:rFonts w:hint="eastAsia" w:hAnsi="宋体" w:cs="宋体"/>
          <w:sz w:val="24"/>
          <w:szCs w:val="22"/>
        </w:rPr>
        <w:t>3.单位负责人为同一人或者存在直接控股、管理关系的不同供应商，不得参加同一合同项下的政府采购活动；</w:t>
      </w:r>
    </w:p>
    <w:p>
      <w:pPr>
        <w:tabs>
          <w:tab w:val="left" w:pos="7665"/>
        </w:tabs>
        <w:spacing w:line="480" w:lineRule="exact"/>
        <w:ind w:firstLine="480" w:firstLineChars="200"/>
        <w:rPr>
          <w:rFonts w:hAnsi="宋体" w:cs="宋体"/>
          <w:sz w:val="24"/>
          <w:szCs w:val="22"/>
        </w:rPr>
      </w:pPr>
      <w:r>
        <w:rPr>
          <w:rFonts w:hint="eastAsia" w:hAnsi="宋体" w:cs="宋体"/>
          <w:sz w:val="24"/>
          <w:szCs w:val="22"/>
        </w:rPr>
        <w:t>4.供应商单位及其现任法定代表人不得具有行贿犯罪记录；</w:t>
      </w:r>
    </w:p>
    <w:p>
      <w:pPr>
        <w:tabs>
          <w:tab w:val="left" w:pos="7665"/>
        </w:tabs>
        <w:spacing w:line="480" w:lineRule="exact"/>
        <w:ind w:firstLine="480" w:firstLineChars="200"/>
        <w:rPr>
          <w:rFonts w:hAnsi="宋体" w:cs="宋体"/>
          <w:sz w:val="24"/>
          <w:szCs w:val="22"/>
        </w:rPr>
      </w:pPr>
      <w:r>
        <w:rPr>
          <w:rFonts w:hint="eastAsia" w:hAnsi="宋体" w:cs="宋体"/>
          <w:sz w:val="24"/>
          <w:szCs w:val="22"/>
        </w:rPr>
        <w:t>5.供应商“截至投标截止日未被列入失信被执行人、重大税收违法案件当事人、</w:t>
      </w:r>
      <w:r>
        <w:rPr>
          <w:rFonts w:hint="eastAsia" w:hAnsi="宋体" w:cs="宋体"/>
          <w:sz w:val="24"/>
          <w:szCs w:val="24"/>
        </w:rPr>
        <w:t>政府采购严重违法失信行为记录名单</w:t>
      </w:r>
      <w:r>
        <w:rPr>
          <w:rFonts w:hint="eastAsia" w:hAnsi="宋体" w:cs="宋体"/>
          <w:sz w:val="24"/>
          <w:szCs w:val="22"/>
        </w:rPr>
        <w:t>”；</w:t>
      </w:r>
    </w:p>
    <w:p>
      <w:pPr>
        <w:tabs>
          <w:tab w:val="left" w:pos="7665"/>
        </w:tabs>
        <w:spacing w:line="480" w:lineRule="exact"/>
        <w:ind w:firstLine="480" w:firstLineChars="200"/>
        <w:rPr>
          <w:rFonts w:hAnsi="宋体" w:cs="宋体"/>
          <w:sz w:val="24"/>
          <w:szCs w:val="22"/>
        </w:rPr>
      </w:pPr>
      <w:r>
        <w:rPr>
          <w:rFonts w:hint="eastAsia" w:hAnsi="宋体" w:cs="宋体"/>
          <w:sz w:val="24"/>
          <w:szCs w:val="22"/>
        </w:rPr>
        <w:t>6.本项目不接受联合体谈判。</w:t>
      </w:r>
    </w:p>
    <w:p>
      <w:pPr>
        <w:tabs>
          <w:tab w:val="left" w:pos="7665"/>
        </w:tabs>
        <w:adjustRightInd w:val="0"/>
        <w:snapToGrid w:val="0"/>
        <w:spacing w:line="500" w:lineRule="exact"/>
        <w:ind w:firstLine="480" w:firstLineChars="200"/>
        <w:rPr>
          <w:rFonts w:hAnsi="宋体" w:cs="宋体"/>
          <w:sz w:val="24"/>
          <w:szCs w:val="22"/>
        </w:rPr>
      </w:pPr>
      <w:r>
        <w:rPr>
          <w:rFonts w:hint="eastAsia" w:hAnsi="宋体" w:cs="宋体"/>
          <w:sz w:val="24"/>
          <w:szCs w:val="22"/>
        </w:rPr>
        <w:t>7.根据本项目提出的特殊要求：</w:t>
      </w:r>
    </w:p>
    <w:p>
      <w:pPr>
        <w:spacing w:line="500" w:lineRule="exact"/>
        <w:ind w:firstLine="480" w:firstLineChars="200"/>
        <w:rPr>
          <w:rFonts w:hAnsi="宋体" w:cs="宋体"/>
          <w:sz w:val="24"/>
          <w:szCs w:val="24"/>
        </w:rPr>
      </w:pPr>
      <w:r>
        <w:rPr>
          <w:rFonts w:hint="eastAsia" w:hAnsi="宋体" w:cs="宋体"/>
          <w:sz w:val="24"/>
          <w:szCs w:val="24"/>
        </w:rPr>
        <w:t>7.1若响应产品属于农药产品，须符合《农药管理规定》规定：</w:t>
      </w:r>
    </w:p>
    <w:p>
      <w:pPr>
        <w:spacing w:line="500" w:lineRule="exact"/>
        <w:ind w:firstLine="480" w:firstLineChars="200"/>
        <w:rPr>
          <w:rFonts w:hAnsi="宋体" w:cs="宋体"/>
          <w:sz w:val="24"/>
          <w:szCs w:val="24"/>
        </w:rPr>
      </w:pPr>
      <w:r>
        <w:rPr>
          <w:rFonts w:hint="eastAsia" w:hAnsi="宋体" w:cs="宋体"/>
          <w:sz w:val="24"/>
          <w:szCs w:val="24"/>
        </w:rPr>
        <w:t>7.1.1供应商为代理商的，需具有有效的农药经营许可证；且提供响应农药产品制造厂商具备的农药“三证”[农药生产许可证或者农药生产批准文件、农药产品标准证和农药登记证(防治对象为“白蚁”的卫生杀虫药剂)]</w:t>
      </w:r>
    </w:p>
    <w:p>
      <w:pPr>
        <w:spacing w:line="500" w:lineRule="exact"/>
        <w:ind w:firstLine="480" w:firstLineChars="200"/>
        <w:rPr>
          <w:rFonts w:hAnsi="宋体" w:cs="宋体"/>
          <w:i/>
          <w:iCs/>
          <w:sz w:val="24"/>
          <w:szCs w:val="24"/>
          <w:u w:val="single"/>
        </w:rPr>
      </w:pPr>
      <w:r>
        <w:rPr>
          <w:rFonts w:hint="eastAsia" w:hAnsi="宋体" w:cs="宋体"/>
          <w:sz w:val="24"/>
          <w:szCs w:val="24"/>
        </w:rPr>
        <w:t>7.1.2供应商为制造厂商的须提供农药“三证”[农药生产许可证或者农药生产批准文件、农药产品标准证和农药登记证(防治对象为“白蚁”的卫生杀虫药剂)]</w:t>
      </w:r>
    </w:p>
    <w:p>
      <w:pPr>
        <w:spacing w:line="500" w:lineRule="exact"/>
        <w:ind w:firstLine="480" w:firstLineChars="200"/>
        <w:rPr>
          <w:rFonts w:hAnsi="宋体" w:cs="宋体"/>
          <w:sz w:val="24"/>
          <w:szCs w:val="24"/>
        </w:rPr>
      </w:pPr>
      <w:r>
        <w:rPr>
          <w:rFonts w:hint="eastAsia" w:hAnsi="宋体" w:cs="宋体"/>
          <w:color w:val="000000"/>
          <w:sz w:val="24"/>
          <w:szCs w:val="24"/>
          <w:shd w:val="clear" w:color="auto" w:fill="FFFFFF"/>
        </w:rPr>
        <w:t>7.1.3</w:t>
      </w:r>
      <w:r>
        <w:rPr>
          <w:rFonts w:hint="eastAsia" w:hAnsi="宋体" w:cs="宋体"/>
          <w:sz w:val="24"/>
          <w:szCs w:val="24"/>
        </w:rPr>
        <w:t>不需要提供农药经营许可证的供应商，需提供证明材料证明其属于不需要提供农药经营许可证的情形。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lang w:val="en-US" w:eastAsia="zh-CN"/>
        </w:rPr>
      </w:pPr>
      <w:r>
        <w:rPr>
          <w:rFonts w:hint="eastAsia" w:hAnsi="宋体" w:cs="宋体"/>
          <w:sz w:val="24"/>
          <w:szCs w:val="24"/>
        </w:rPr>
        <w:t>8.</w:t>
      </w:r>
      <w:r>
        <w:rPr>
          <w:rFonts w:hint="eastAsia" w:hAnsi="宋体" w:cs="宋体"/>
          <w:kern w:val="2"/>
          <w:sz w:val="24"/>
          <w:szCs w:val="24"/>
        </w:rPr>
        <w:t>落实政府采购政策需满足的资格要求：本项目专门面向中小企业采购(监狱企业、残疾人福利性单位均视同小微企业)，非中小企业参与的将视为无效响应</w:t>
      </w:r>
      <w:r>
        <w:rPr>
          <w:rFonts w:hint="eastAsia" w:ascii="宋体" w:hAnsi="宋体" w:eastAsia="宋体" w:cs="宋体"/>
          <w:sz w:val="24"/>
          <w:szCs w:val="24"/>
          <w:lang w:val="en-US" w:eastAsia="zh-CN"/>
        </w:rPr>
        <w:t>。</w:t>
      </w:r>
    </w:p>
    <w:p>
      <w:pPr>
        <w:pStyle w:val="2"/>
        <w:spacing w:after="0" w:line="360" w:lineRule="auto"/>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lang w:eastAsia="zh-CN"/>
        </w:rPr>
        <w:t>三、</w:t>
      </w:r>
      <w:r>
        <w:rPr>
          <w:rFonts w:hint="eastAsia" w:hAnsi="宋体"/>
          <w:b/>
          <w:bCs/>
          <w:color w:val="auto"/>
          <w:sz w:val="28"/>
          <w:szCs w:val="28"/>
        </w:rPr>
        <w:t>采购内容及技术参数要求</w:t>
      </w:r>
      <w:r>
        <w:rPr>
          <w:rFonts w:hint="eastAsia" w:hAnsi="宋体" w:cs="宋体"/>
          <w:b/>
          <w:bCs/>
          <w:color w:val="auto"/>
          <w:sz w:val="28"/>
          <w:szCs w:val="28"/>
          <w:highlight w:val="none"/>
        </w:rPr>
        <w:t>（实质性要求）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325"/>
        <w:gridCol w:w="4680"/>
        <w:gridCol w:w="810"/>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ageBreakBefore w:val="0"/>
              <w:kinsoku/>
              <w:wordWrap/>
              <w:overflowPunct/>
              <w:topLinePunct w:val="0"/>
              <w:autoSpaceDE/>
              <w:autoSpaceDN/>
              <w:bidi w:val="0"/>
              <w:adjustRightInd/>
              <w:snapToGrid/>
              <w:spacing w:line="480" w:lineRule="exact"/>
              <w:textAlignment w:val="auto"/>
              <w:outlineLvl w:val="9"/>
              <w:rPr>
                <w:rFonts w:cs="宋体"/>
                <w:bCs/>
                <w:kern w:val="2"/>
                <w:sz w:val="24"/>
                <w:szCs w:val="24"/>
              </w:rPr>
            </w:pPr>
            <w:r>
              <w:rPr>
                <w:rFonts w:hint="eastAsia" w:cs="宋体"/>
                <w:bCs/>
                <w:kern w:val="2"/>
                <w:sz w:val="24"/>
                <w:szCs w:val="24"/>
              </w:rPr>
              <w:t>序号</w:t>
            </w:r>
          </w:p>
        </w:tc>
        <w:tc>
          <w:tcPr>
            <w:tcW w:w="2325" w:type="dxa"/>
            <w:vAlign w:val="center"/>
          </w:tcPr>
          <w:p>
            <w:pPr>
              <w:pageBreakBefore w:val="0"/>
              <w:kinsoku/>
              <w:wordWrap/>
              <w:overflowPunct/>
              <w:topLinePunct w:val="0"/>
              <w:autoSpaceDE/>
              <w:autoSpaceDN/>
              <w:bidi w:val="0"/>
              <w:adjustRightInd/>
              <w:snapToGrid/>
              <w:spacing w:line="480" w:lineRule="exact"/>
              <w:textAlignment w:val="auto"/>
              <w:outlineLvl w:val="9"/>
              <w:rPr>
                <w:rFonts w:cs="宋体"/>
                <w:bCs/>
                <w:kern w:val="2"/>
                <w:sz w:val="24"/>
                <w:szCs w:val="24"/>
              </w:rPr>
            </w:pPr>
            <w:r>
              <w:rPr>
                <w:rFonts w:hint="eastAsia" w:cs="宋体"/>
                <w:bCs/>
                <w:kern w:val="2"/>
                <w:sz w:val="24"/>
                <w:szCs w:val="24"/>
              </w:rPr>
              <w:t>标的名称</w:t>
            </w:r>
          </w:p>
        </w:tc>
        <w:tc>
          <w:tcPr>
            <w:tcW w:w="4680" w:type="dxa"/>
            <w:vAlign w:val="center"/>
          </w:tcPr>
          <w:p>
            <w:pPr>
              <w:pageBreakBefore w:val="0"/>
              <w:kinsoku/>
              <w:wordWrap/>
              <w:overflowPunct/>
              <w:topLinePunct w:val="0"/>
              <w:autoSpaceDE/>
              <w:autoSpaceDN/>
              <w:bidi w:val="0"/>
              <w:adjustRightInd/>
              <w:snapToGrid/>
              <w:spacing w:line="480" w:lineRule="exact"/>
              <w:textAlignment w:val="auto"/>
              <w:outlineLvl w:val="9"/>
              <w:rPr>
                <w:rFonts w:cs="宋体"/>
                <w:bCs/>
                <w:kern w:val="2"/>
                <w:sz w:val="24"/>
                <w:szCs w:val="24"/>
              </w:rPr>
            </w:pPr>
            <w:r>
              <w:rPr>
                <w:rFonts w:hint="eastAsia" w:cs="宋体"/>
                <w:bCs/>
                <w:kern w:val="2"/>
                <w:sz w:val="24"/>
                <w:szCs w:val="24"/>
              </w:rPr>
              <w:t>技术参数</w:t>
            </w:r>
          </w:p>
        </w:tc>
        <w:tc>
          <w:tcPr>
            <w:tcW w:w="810" w:type="dxa"/>
            <w:vAlign w:val="center"/>
          </w:tcPr>
          <w:p>
            <w:pPr>
              <w:pageBreakBefore w:val="0"/>
              <w:kinsoku/>
              <w:wordWrap/>
              <w:overflowPunct/>
              <w:topLinePunct w:val="0"/>
              <w:autoSpaceDE/>
              <w:autoSpaceDN/>
              <w:bidi w:val="0"/>
              <w:adjustRightInd/>
              <w:snapToGrid/>
              <w:spacing w:line="480" w:lineRule="exact"/>
              <w:textAlignment w:val="auto"/>
              <w:outlineLvl w:val="9"/>
              <w:rPr>
                <w:rFonts w:cs="宋体"/>
                <w:bCs/>
                <w:kern w:val="2"/>
                <w:sz w:val="24"/>
                <w:szCs w:val="24"/>
              </w:rPr>
            </w:pPr>
            <w:r>
              <w:rPr>
                <w:rFonts w:hint="eastAsia" w:cs="宋体"/>
                <w:bCs/>
                <w:kern w:val="2"/>
                <w:sz w:val="24"/>
                <w:szCs w:val="24"/>
              </w:rPr>
              <w:t>数量</w:t>
            </w:r>
          </w:p>
        </w:tc>
        <w:tc>
          <w:tcPr>
            <w:tcW w:w="713" w:type="dxa"/>
            <w:vAlign w:val="center"/>
          </w:tcPr>
          <w:p>
            <w:pPr>
              <w:pageBreakBefore w:val="0"/>
              <w:kinsoku/>
              <w:wordWrap/>
              <w:overflowPunct/>
              <w:topLinePunct w:val="0"/>
              <w:autoSpaceDE/>
              <w:autoSpaceDN/>
              <w:bidi w:val="0"/>
              <w:adjustRightInd/>
              <w:snapToGrid/>
              <w:spacing w:line="480" w:lineRule="exact"/>
              <w:textAlignment w:val="auto"/>
              <w:outlineLvl w:val="9"/>
              <w:rPr>
                <w:rFonts w:cs="宋体"/>
                <w:bCs/>
                <w:kern w:val="2"/>
                <w:sz w:val="24"/>
                <w:szCs w:val="24"/>
              </w:rPr>
            </w:pPr>
            <w:r>
              <w:rPr>
                <w:rFonts w:hint="eastAsia" w:cs="宋体"/>
                <w:bCs/>
                <w:kern w:val="2"/>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ageBreakBefore w:val="0"/>
              <w:kinsoku/>
              <w:wordWrap/>
              <w:overflowPunct/>
              <w:topLinePunct w:val="0"/>
              <w:autoSpaceDE/>
              <w:autoSpaceDN/>
              <w:bidi w:val="0"/>
              <w:adjustRightInd/>
              <w:snapToGrid/>
              <w:spacing w:line="480" w:lineRule="exact"/>
              <w:textAlignment w:val="auto"/>
              <w:outlineLvl w:val="9"/>
              <w:rPr>
                <w:rFonts w:cs="宋体"/>
                <w:b w:val="0"/>
                <w:kern w:val="2"/>
                <w:sz w:val="24"/>
                <w:szCs w:val="24"/>
              </w:rPr>
            </w:pPr>
            <w:r>
              <w:rPr>
                <w:rFonts w:hint="eastAsia" w:cs="宋体"/>
                <w:b w:val="0"/>
                <w:kern w:val="2"/>
                <w:sz w:val="24"/>
                <w:szCs w:val="24"/>
              </w:rPr>
              <w:t>1</w:t>
            </w:r>
          </w:p>
        </w:tc>
        <w:tc>
          <w:tcPr>
            <w:tcW w:w="2325" w:type="dxa"/>
            <w:vAlign w:val="center"/>
          </w:tcPr>
          <w:p>
            <w:pPr>
              <w:pageBreakBefore w:val="0"/>
              <w:kinsoku/>
              <w:wordWrap/>
              <w:overflowPunct/>
              <w:topLinePunct w:val="0"/>
              <w:autoSpaceDE/>
              <w:autoSpaceDN/>
              <w:bidi w:val="0"/>
              <w:adjustRightInd/>
              <w:snapToGrid/>
              <w:spacing w:line="480" w:lineRule="exact"/>
              <w:textAlignment w:val="auto"/>
              <w:outlineLvl w:val="9"/>
              <w:rPr>
                <w:rFonts w:cs="宋体"/>
                <w:b w:val="0"/>
                <w:kern w:val="2"/>
                <w:sz w:val="24"/>
                <w:szCs w:val="24"/>
              </w:rPr>
            </w:pPr>
            <w:r>
              <w:rPr>
                <w:rFonts w:hint="eastAsia" w:cs="宋体"/>
                <w:b w:val="0"/>
                <w:kern w:val="2"/>
                <w:sz w:val="24"/>
                <w:szCs w:val="24"/>
              </w:rPr>
              <w:t>35%吡虫啉悬浮剂</w:t>
            </w:r>
          </w:p>
        </w:tc>
        <w:tc>
          <w:tcPr>
            <w:tcW w:w="4680" w:type="dxa"/>
          </w:tcPr>
          <w:p>
            <w:pPr>
              <w:pageBreakBefore w:val="0"/>
              <w:kinsoku/>
              <w:wordWrap/>
              <w:overflowPunct/>
              <w:topLinePunct w:val="0"/>
              <w:autoSpaceDE/>
              <w:autoSpaceDN/>
              <w:bidi w:val="0"/>
              <w:adjustRightInd/>
              <w:snapToGrid/>
              <w:spacing w:line="480" w:lineRule="exact"/>
              <w:jc w:val="left"/>
              <w:textAlignment w:val="auto"/>
              <w:outlineLvl w:val="9"/>
              <w:rPr>
                <w:rFonts w:hAnsi="宋体" w:cs="宋体"/>
                <w:color w:val="000000"/>
                <w:sz w:val="24"/>
              </w:rPr>
            </w:pPr>
            <w:r>
              <w:rPr>
                <w:rFonts w:hint="eastAsia" w:hAnsi="宋体" w:cs="宋体"/>
                <w:color w:val="000000"/>
                <w:sz w:val="24"/>
              </w:rPr>
              <w:t>1、剂型：悬浮剂；</w:t>
            </w:r>
          </w:p>
          <w:p>
            <w:pPr>
              <w:pageBreakBefore w:val="0"/>
              <w:kinsoku/>
              <w:wordWrap/>
              <w:overflowPunct/>
              <w:topLinePunct w:val="0"/>
              <w:autoSpaceDE/>
              <w:autoSpaceDN/>
              <w:bidi w:val="0"/>
              <w:adjustRightInd/>
              <w:snapToGrid/>
              <w:spacing w:line="480" w:lineRule="exact"/>
              <w:jc w:val="left"/>
              <w:textAlignment w:val="auto"/>
              <w:outlineLvl w:val="9"/>
              <w:rPr>
                <w:rFonts w:hAnsi="宋体" w:cs="宋体"/>
                <w:color w:val="000000"/>
                <w:sz w:val="24"/>
              </w:rPr>
            </w:pPr>
            <w:r>
              <w:rPr>
                <w:rFonts w:hint="eastAsia" w:hAnsi="宋体" w:cs="宋体"/>
                <w:color w:val="000000"/>
                <w:sz w:val="24"/>
              </w:rPr>
              <w:t>2、有效成分：吡虫啉；有效成分含量：35%；</w:t>
            </w:r>
          </w:p>
          <w:p>
            <w:pPr>
              <w:pageBreakBefore w:val="0"/>
              <w:kinsoku/>
              <w:wordWrap/>
              <w:overflowPunct/>
              <w:topLinePunct w:val="0"/>
              <w:autoSpaceDE/>
              <w:autoSpaceDN/>
              <w:bidi w:val="0"/>
              <w:adjustRightInd/>
              <w:snapToGrid/>
              <w:spacing w:line="480" w:lineRule="exact"/>
              <w:jc w:val="left"/>
              <w:textAlignment w:val="auto"/>
              <w:outlineLvl w:val="9"/>
              <w:rPr>
                <w:rFonts w:hAnsi="宋体" w:cs="宋体"/>
                <w:color w:val="000000"/>
                <w:sz w:val="24"/>
              </w:rPr>
            </w:pPr>
            <w:r>
              <w:rPr>
                <w:rFonts w:hint="eastAsia" w:hAnsi="宋体" w:cs="宋体"/>
                <w:color w:val="000000"/>
                <w:sz w:val="24"/>
              </w:rPr>
              <w:t>3、毒性：对人畜低毒；</w:t>
            </w:r>
          </w:p>
          <w:p>
            <w:pPr>
              <w:pageBreakBefore w:val="0"/>
              <w:kinsoku/>
              <w:wordWrap/>
              <w:overflowPunct/>
              <w:topLinePunct w:val="0"/>
              <w:autoSpaceDE/>
              <w:autoSpaceDN/>
              <w:bidi w:val="0"/>
              <w:adjustRightInd/>
              <w:snapToGrid/>
              <w:spacing w:line="480" w:lineRule="exact"/>
              <w:jc w:val="left"/>
              <w:textAlignment w:val="auto"/>
              <w:outlineLvl w:val="9"/>
              <w:rPr>
                <w:rFonts w:hAnsi="宋体" w:cs="宋体"/>
                <w:color w:val="000000"/>
                <w:sz w:val="24"/>
              </w:rPr>
            </w:pPr>
            <w:r>
              <w:rPr>
                <w:rFonts w:hint="eastAsia" w:hAnsi="宋体" w:cs="宋体"/>
                <w:color w:val="000000"/>
                <w:sz w:val="24"/>
              </w:rPr>
              <w:t>4、理化性质：乳白色、无刺激性气味；</w:t>
            </w:r>
          </w:p>
          <w:p>
            <w:pPr>
              <w:pStyle w:val="4"/>
              <w:pageBreakBefore w:val="0"/>
              <w:kinsoku/>
              <w:wordWrap/>
              <w:overflowPunct/>
              <w:topLinePunct w:val="0"/>
              <w:autoSpaceDE/>
              <w:autoSpaceDN/>
              <w:bidi w:val="0"/>
              <w:adjustRightInd/>
              <w:snapToGrid/>
              <w:spacing w:line="480" w:lineRule="exact"/>
              <w:ind w:firstLine="0"/>
              <w:textAlignment w:val="auto"/>
              <w:outlineLvl w:val="9"/>
              <w:rPr>
                <w:rFonts w:ascii="宋体" w:hAnsi="宋体" w:cs="宋体"/>
                <w:sz w:val="24"/>
                <w:szCs w:val="24"/>
              </w:rPr>
            </w:pPr>
            <w:r>
              <w:rPr>
                <w:rFonts w:hint="eastAsia" w:ascii="宋体" w:hAnsi="宋体" w:cs="宋体"/>
                <w:color w:val="000000"/>
                <w:sz w:val="24"/>
              </w:rPr>
              <w:t>5、包装规格：20Kg/桶（塑料桶）。</w:t>
            </w:r>
          </w:p>
        </w:tc>
        <w:tc>
          <w:tcPr>
            <w:tcW w:w="810" w:type="dxa"/>
            <w:vAlign w:val="center"/>
          </w:tcPr>
          <w:p>
            <w:pPr>
              <w:pageBreakBefore w:val="0"/>
              <w:kinsoku/>
              <w:wordWrap/>
              <w:overflowPunct/>
              <w:topLinePunct w:val="0"/>
              <w:autoSpaceDE/>
              <w:autoSpaceDN/>
              <w:bidi w:val="0"/>
              <w:adjustRightInd/>
              <w:snapToGrid/>
              <w:spacing w:line="480" w:lineRule="exact"/>
              <w:textAlignment w:val="auto"/>
              <w:outlineLvl w:val="9"/>
              <w:rPr>
                <w:rFonts w:cs="宋体"/>
                <w:b w:val="0"/>
                <w:kern w:val="2"/>
                <w:sz w:val="24"/>
                <w:szCs w:val="24"/>
              </w:rPr>
            </w:pPr>
            <w:r>
              <w:rPr>
                <w:rFonts w:hint="eastAsia" w:cs="宋体"/>
                <w:b w:val="0"/>
                <w:kern w:val="2"/>
                <w:sz w:val="24"/>
                <w:szCs w:val="24"/>
              </w:rPr>
              <w:t>2</w:t>
            </w:r>
          </w:p>
        </w:tc>
        <w:tc>
          <w:tcPr>
            <w:tcW w:w="713" w:type="dxa"/>
            <w:vAlign w:val="center"/>
          </w:tcPr>
          <w:p>
            <w:pPr>
              <w:pageBreakBefore w:val="0"/>
              <w:kinsoku/>
              <w:wordWrap/>
              <w:overflowPunct/>
              <w:topLinePunct w:val="0"/>
              <w:autoSpaceDE/>
              <w:autoSpaceDN/>
              <w:bidi w:val="0"/>
              <w:adjustRightInd/>
              <w:snapToGrid/>
              <w:spacing w:line="480" w:lineRule="exact"/>
              <w:textAlignment w:val="auto"/>
              <w:outlineLvl w:val="9"/>
              <w:rPr>
                <w:rFonts w:cs="宋体"/>
                <w:b w:val="0"/>
                <w:kern w:val="2"/>
                <w:sz w:val="24"/>
                <w:szCs w:val="24"/>
              </w:rPr>
            </w:pPr>
            <w:r>
              <w:rPr>
                <w:rFonts w:hint="eastAsia" w:cs="宋体"/>
                <w:b w:val="0"/>
                <w:kern w:val="2"/>
                <w:sz w:val="24"/>
                <w:szCs w:val="24"/>
              </w:rPr>
              <w:t>吨</w:t>
            </w:r>
          </w:p>
        </w:tc>
      </w:tr>
    </w:tbl>
    <w:p>
      <w:pPr>
        <w:pStyle w:val="3"/>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注</w:t>
      </w:r>
      <w:r>
        <w:rPr>
          <w:rFonts w:hint="eastAsia" w:ascii="宋体" w:hAnsi="宋体" w:eastAsia="宋体" w:cs="宋体"/>
          <w:b w:val="0"/>
          <w:kern w:val="2"/>
          <w:sz w:val="24"/>
          <w:szCs w:val="24"/>
          <w:lang w:val="en-US" w:eastAsia="zh-CN" w:bidi="ar-SA"/>
        </w:rPr>
        <w:t>：竞争性谈判文件中的相关内容若存在品牌型号，则仅作为参照，各供应商在满足采购要求的前提下，可以提供质量、技术要求同档次或高于参照品牌要求的其他合格产品。</w:t>
      </w:r>
    </w:p>
    <w:p>
      <w:pPr>
        <w:pStyle w:val="3"/>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四、商务要求（实质性要求）</w:t>
      </w:r>
    </w:p>
    <w:p>
      <w:pPr>
        <w:pageBreakBefore w:val="0"/>
        <w:widowControl/>
        <w:kinsoku/>
        <w:wordWrap/>
        <w:overflowPunct/>
        <w:topLinePunct w:val="0"/>
        <w:autoSpaceDE/>
        <w:autoSpaceDN/>
        <w:bidi w:val="0"/>
        <w:adjustRightInd/>
        <w:snapToGrid/>
        <w:spacing w:line="360" w:lineRule="auto"/>
        <w:ind w:firstLine="470" w:firstLineChars="196"/>
        <w:textAlignment w:val="auto"/>
        <w:outlineLvl w:val="9"/>
        <w:rPr>
          <w:rFonts w:hAnsi="宋体" w:cs="宋体"/>
          <w:kern w:val="2"/>
          <w:sz w:val="24"/>
          <w:szCs w:val="24"/>
        </w:rPr>
      </w:pPr>
      <w:r>
        <w:rPr>
          <w:rFonts w:hint="eastAsia" w:hAnsi="宋体" w:cs="宋体"/>
          <w:kern w:val="2"/>
          <w:sz w:val="24"/>
          <w:szCs w:val="24"/>
        </w:rPr>
        <w:t>1、交货时间：合同签订后15日内完成交货。</w:t>
      </w:r>
    </w:p>
    <w:p>
      <w:pPr>
        <w:pageBreakBefore w:val="0"/>
        <w:widowControl/>
        <w:kinsoku/>
        <w:wordWrap/>
        <w:overflowPunct/>
        <w:topLinePunct w:val="0"/>
        <w:autoSpaceDE/>
        <w:autoSpaceDN/>
        <w:bidi w:val="0"/>
        <w:adjustRightInd/>
        <w:snapToGrid/>
        <w:spacing w:line="360" w:lineRule="auto"/>
        <w:ind w:firstLine="470" w:firstLineChars="196"/>
        <w:textAlignment w:val="auto"/>
        <w:outlineLvl w:val="9"/>
        <w:rPr>
          <w:rFonts w:hAnsi="宋体" w:cs="宋体"/>
          <w:kern w:val="2"/>
          <w:sz w:val="24"/>
          <w:szCs w:val="24"/>
        </w:rPr>
      </w:pPr>
      <w:r>
        <w:rPr>
          <w:rFonts w:hint="eastAsia" w:hAnsi="宋体" w:cs="宋体"/>
          <w:kern w:val="2"/>
          <w:sz w:val="24"/>
          <w:szCs w:val="24"/>
        </w:rPr>
        <w:t>2、交货地点：彭州市内采购人指定地点。</w:t>
      </w:r>
    </w:p>
    <w:p>
      <w:pPr>
        <w:pageBreakBefore w:val="0"/>
        <w:widowControl/>
        <w:kinsoku/>
        <w:wordWrap/>
        <w:overflowPunct/>
        <w:topLinePunct w:val="0"/>
        <w:autoSpaceDE/>
        <w:autoSpaceDN/>
        <w:bidi w:val="0"/>
        <w:adjustRightInd/>
        <w:snapToGrid/>
        <w:spacing w:line="360" w:lineRule="auto"/>
        <w:ind w:firstLine="470" w:firstLineChars="196"/>
        <w:textAlignment w:val="auto"/>
        <w:outlineLvl w:val="9"/>
        <w:rPr>
          <w:rFonts w:hAnsi="宋体" w:cs="宋体"/>
          <w:kern w:val="2"/>
          <w:sz w:val="24"/>
          <w:szCs w:val="24"/>
        </w:rPr>
      </w:pPr>
      <w:r>
        <w:rPr>
          <w:rFonts w:hint="eastAsia" w:hAnsi="宋体" w:cs="宋体"/>
          <w:kern w:val="2"/>
          <w:sz w:val="24"/>
          <w:szCs w:val="24"/>
        </w:rPr>
        <w:t>3、付款方式：交货并验收通过后支付合同金额的100%。</w:t>
      </w:r>
    </w:p>
    <w:p>
      <w:pPr>
        <w:widowControl/>
        <w:spacing w:line="360" w:lineRule="auto"/>
        <w:ind w:firstLine="470" w:firstLineChars="196"/>
        <w:rPr>
          <w:rFonts w:hint="eastAsia" w:ascii="宋体" w:hAnsi="宋体" w:eastAsia="宋体" w:cs="宋体"/>
          <w:b w:val="0"/>
          <w:kern w:val="2"/>
          <w:sz w:val="24"/>
          <w:szCs w:val="24"/>
          <w:lang w:val="en-US" w:eastAsia="zh-CN" w:bidi="ar-SA"/>
        </w:rPr>
      </w:pPr>
      <w:r>
        <w:rPr>
          <w:rFonts w:hint="eastAsia" w:hAnsi="宋体" w:cs="宋体"/>
          <w:kern w:val="2"/>
          <w:sz w:val="24"/>
          <w:szCs w:val="24"/>
        </w:rPr>
        <w:t>4、验收方式和标准：严格按照《中华人民共和国政府采购法》、《中华人民共和国政府采购法实施条例》和《财政部关于进一步加强政府采购需求和履约验收管理的指导意见》（财库〔2016〕205号）的要求进行验收</w:t>
      </w:r>
      <w:bookmarkStart w:id="0" w:name="_GoBack"/>
      <w:bookmarkEnd w:id="0"/>
      <w:r>
        <w:rPr>
          <w:rFonts w:hint="eastAsia" w:ascii="宋体" w:hAnsi="宋体" w:eastAsia="宋体" w:cs="宋体"/>
          <w:b w:val="0"/>
          <w:kern w:val="2"/>
          <w:sz w:val="24"/>
          <w:szCs w:val="24"/>
          <w:lang w:val="en-US" w:eastAsia="zh-CN" w:bidi="ar-SA"/>
        </w:rPr>
        <w:t>。</w:t>
      </w:r>
    </w:p>
    <w:p>
      <w:pPr>
        <w:rPr>
          <w:rFonts w:hint="eastAsia" w:ascii="宋体" w:hAnsi="宋体" w:eastAsia="宋体" w:cs="宋体"/>
          <w:b/>
          <w:sz w:val="28"/>
          <w:szCs w:val="28"/>
          <w:lang w:eastAsia="zh-CN"/>
        </w:rPr>
      </w:pPr>
      <w:r>
        <w:rPr>
          <w:rFonts w:hint="eastAsia" w:ascii="宋体" w:hAnsi="宋体" w:eastAsia="宋体" w:cs="宋体"/>
          <w:b/>
          <w:sz w:val="28"/>
          <w:szCs w:val="28"/>
          <w:lang w:eastAsia="zh-CN"/>
        </w:rPr>
        <w:t>五、确定成交供应商</w:t>
      </w:r>
      <w:r>
        <w:rPr>
          <w:rFonts w:hint="eastAsia" w:ascii="宋体" w:hAnsi="宋体" w:eastAsia="宋体" w:cs="宋体"/>
          <w:b/>
          <w:sz w:val="28"/>
          <w:szCs w:val="28"/>
        </w:rPr>
        <w:t>办法</w:t>
      </w:r>
      <w:r>
        <w:rPr>
          <w:rFonts w:hint="eastAsia" w:ascii="宋体" w:hAnsi="宋体" w:eastAsia="宋体" w:cs="宋体"/>
          <w:b/>
          <w:sz w:val="28"/>
          <w:szCs w:val="28"/>
          <w:lang w:eastAsia="zh-CN"/>
        </w:rPr>
        <w:t>（</w:t>
      </w:r>
      <w:r>
        <w:rPr>
          <w:rFonts w:hint="eastAsia" w:hAnsi="宋体"/>
          <w:b/>
          <w:bCs w:val="0"/>
          <w:kern w:val="2"/>
          <w:sz w:val="28"/>
          <w:szCs w:val="28"/>
        </w:rPr>
        <w:t>最低评标价法</w:t>
      </w:r>
      <w:r>
        <w:rPr>
          <w:rFonts w:hint="eastAsia" w:ascii="宋体" w:hAnsi="宋体" w:eastAsia="宋体" w:cs="宋体"/>
          <w:b/>
          <w:sz w:val="28"/>
          <w:szCs w:val="28"/>
          <w:lang w:eastAsia="zh-CN"/>
        </w:rPr>
        <w:t>）</w:t>
      </w:r>
    </w:p>
    <w:p>
      <w:pPr>
        <w:pStyle w:val="6"/>
        <w:snapToGrid w:val="0"/>
        <w:spacing w:line="50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1、</w:t>
      </w:r>
      <w:r>
        <w:rPr>
          <w:rFonts w:hAnsi="宋体"/>
          <w:color w:val="auto"/>
          <w:sz w:val="24"/>
          <w:szCs w:val="24"/>
          <w:highlight w:val="none"/>
        </w:rPr>
        <w:t>供应商报价结束后，谈判小组按照供应商的报价（评审价）由低到高排序，推荐成交候选供应商。供应商报价相同的，由谈判小组组织供应商抽签确定推荐的成交候选供应商顺序，谈判小组按照供应商的报价由低到高排序，推荐三名以上成交候选供应商。</w:t>
      </w:r>
    </w:p>
    <w:p>
      <w:pPr>
        <w:pStyle w:val="6"/>
        <w:snapToGrid w:val="0"/>
        <w:spacing w:line="500" w:lineRule="exact"/>
        <w:ind w:firstLine="460" w:firstLineChars="192"/>
        <w:rPr>
          <w:rFonts w:hAnsi="宋体"/>
          <w:color w:val="auto"/>
          <w:sz w:val="24"/>
          <w:highlight w:val="none"/>
        </w:rPr>
      </w:pPr>
      <w:r>
        <w:rPr>
          <w:rFonts w:hint="eastAsia" w:hAnsi="宋体"/>
          <w:color w:val="auto"/>
          <w:sz w:val="24"/>
          <w:szCs w:val="24"/>
          <w:highlight w:val="none"/>
          <w:lang w:val="en-US" w:eastAsia="zh-CN"/>
        </w:rPr>
        <w:t>2、</w:t>
      </w:r>
      <w:r>
        <w:rPr>
          <w:rFonts w:hAnsi="宋体"/>
          <w:color w:val="auto"/>
          <w:sz w:val="24"/>
          <w:szCs w:val="24"/>
          <w:highlight w:val="none"/>
        </w:rPr>
        <w:t>本次谈判活动遵循公平、公正、审慎的原则进行。谈判小组对最后报价进行评审，</w:t>
      </w:r>
      <w:r>
        <w:rPr>
          <w:rFonts w:hAnsi="宋体"/>
          <w:color w:val="auto"/>
          <w:sz w:val="24"/>
          <w:highlight w:val="none"/>
        </w:rPr>
        <w:t>根据国家扶持小型和微型企业发展政策和支持监狱企业发展，对最后报价中的小型、微型和监狱企业</w:t>
      </w:r>
      <w:r>
        <w:rPr>
          <w:rFonts w:hint="eastAsia" w:hAnsi="宋体"/>
          <w:color w:val="auto"/>
          <w:sz w:val="24"/>
          <w:highlight w:val="none"/>
        </w:rPr>
        <w:t>、残疾人福利性单位</w:t>
      </w:r>
      <w:r>
        <w:rPr>
          <w:rFonts w:hAnsi="宋体"/>
          <w:color w:val="auto"/>
          <w:sz w:val="24"/>
          <w:highlight w:val="none"/>
        </w:rPr>
        <w:t>产品价格给予</w:t>
      </w:r>
      <w:r>
        <w:rPr>
          <w:rFonts w:hint="eastAsia" w:hAnsi="宋体"/>
          <w:color w:val="auto"/>
          <w:sz w:val="24"/>
          <w:highlight w:val="none"/>
        </w:rPr>
        <w:t>10</w:t>
      </w:r>
      <w:r>
        <w:rPr>
          <w:rFonts w:hAnsi="宋体"/>
          <w:color w:val="auto"/>
          <w:sz w:val="24"/>
          <w:highlight w:val="none"/>
        </w:rPr>
        <w:t>%的扣除，用扣除后的价格参与评审。</w:t>
      </w:r>
    </w:p>
    <w:p>
      <w:pPr>
        <w:pStyle w:val="11"/>
        <w:spacing w:line="500" w:lineRule="exact"/>
        <w:ind w:firstLine="480" w:firstLineChars="200"/>
        <w:rPr>
          <w:color w:val="auto"/>
          <w:highlight w:val="none"/>
          <w:lang w:val="zh-CN"/>
        </w:rPr>
      </w:pPr>
      <w:r>
        <w:rPr>
          <w:rFonts w:hint="eastAsia"/>
          <w:color w:val="auto"/>
          <w:highlight w:val="none"/>
          <w:lang w:val="en-US" w:eastAsia="zh-CN"/>
        </w:rPr>
        <w:t>3、</w:t>
      </w:r>
      <w:r>
        <w:rPr>
          <w:rFonts w:hint="eastAsia"/>
          <w:color w:val="auto"/>
          <w:highlight w:val="none"/>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6"/>
        <w:snapToGrid w:val="0"/>
        <w:spacing w:line="500" w:lineRule="exact"/>
        <w:ind w:firstLine="460" w:firstLineChars="192"/>
        <w:rPr>
          <w:rFonts w:hAnsi="宋体"/>
          <w:color w:val="auto"/>
          <w:sz w:val="24"/>
          <w:szCs w:val="24"/>
          <w:highlight w:val="none"/>
        </w:rPr>
      </w:pPr>
      <w:r>
        <w:rPr>
          <w:rFonts w:hint="eastAsia" w:hAnsi="宋体"/>
          <w:color w:val="auto"/>
          <w:sz w:val="24"/>
          <w:szCs w:val="24"/>
          <w:highlight w:val="none"/>
        </w:rPr>
        <w:t>本项目采购的产品属于品目清单范围内强制采购的，供应商应按上述要求提供产品认证证书复印件并加盖供应商单位公章，否则投标无效。</w:t>
      </w:r>
    </w:p>
    <w:p>
      <w:pPr>
        <w:pStyle w:val="6"/>
        <w:snapToGrid w:val="0"/>
        <w:spacing w:line="50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4、</w:t>
      </w:r>
      <w:r>
        <w:rPr>
          <w:rFonts w:hAnsi="宋体"/>
          <w:color w:val="auto"/>
          <w:sz w:val="24"/>
          <w:szCs w:val="24"/>
          <w:highlight w:val="none"/>
        </w:rPr>
        <w:t>对于违反谈判纪律的将可能被取消成交供应商资格或视为无效响应。</w:t>
      </w:r>
    </w:p>
    <w:p>
      <w:pPr>
        <w:pStyle w:val="6"/>
        <w:keepNext w:val="0"/>
        <w:keepLines w:val="0"/>
        <w:pageBreakBefore w:val="0"/>
        <w:kinsoku/>
        <w:wordWrap/>
        <w:overflowPunct/>
        <w:topLinePunct w:val="0"/>
        <w:bidi w:val="0"/>
        <w:snapToGrid w:val="0"/>
        <w:spacing w:line="360" w:lineRule="auto"/>
        <w:textAlignment w:val="auto"/>
      </w:pPr>
    </w:p>
    <w:p/>
    <w:sectPr>
      <w:footerReference r:id="rId3" w:type="default"/>
      <w:pgSz w:w="11906" w:h="16838"/>
      <w:pgMar w:top="1361" w:right="1361" w:bottom="141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6F2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Normal Indent"/>
    <w:basedOn w:val="1"/>
    <w:qFormat/>
    <w:uiPriority w:val="0"/>
    <w:pPr>
      <w:ind w:firstLine="420" w:firstLineChars="200"/>
    </w:pPr>
    <w:rPr>
      <w:rFonts w:eastAsia="宋体"/>
    </w:rPr>
  </w:style>
  <w:style w:type="paragraph" w:styleId="5">
    <w:name w:val="annotation text"/>
    <w:basedOn w:val="1"/>
    <w:qFormat/>
    <w:uiPriority w:val="0"/>
    <w:pPr>
      <w:jc w:val="left"/>
    </w:pPr>
  </w:style>
  <w:style w:type="paragraph" w:styleId="6">
    <w:name w:val="Plain Text"/>
    <w:basedOn w:val="1"/>
    <w:qFormat/>
    <w:uiPriority w:val="0"/>
    <w:pPr>
      <w:autoSpaceDE w:val="0"/>
      <w:autoSpaceDN w:val="0"/>
      <w:adjustRightInd w:val="0"/>
    </w:pPr>
    <w:rPr>
      <w:rFonts w:ascii="宋体" w:hAnsi="Tms Rmn" w:cs="宋体"/>
      <w:szCs w:val="21"/>
    </w:rPr>
  </w:style>
  <w:style w:type="paragraph" w:styleId="7">
    <w:name w:val="footer"/>
    <w:basedOn w:val="1"/>
    <w:qFormat/>
    <w:uiPriority w:val="0"/>
    <w:pPr>
      <w:tabs>
        <w:tab w:val="center" w:pos="4153"/>
        <w:tab w:val="right" w:pos="8306"/>
      </w:tabs>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2022-04-20T08:44:05Z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8F8AD1C9012D4CF9AEC89EF9443FE8DC</vt:lpwstr>
  </property>
</Properties>
</file>