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ind w:firstLine="814" w:firstLineChars="250"/>
        <w:jc w:val="right"/>
        <w:rPr>
          <w:rFonts w:ascii="宋体" w:hAnsi="宋体" w:cs="宋体"/>
          <w:b/>
          <w:color w:val="auto"/>
          <w:w w:val="90"/>
          <w:sz w:val="36"/>
          <w:szCs w:val="36"/>
          <w:highlight w:val="none"/>
        </w:rPr>
      </w:pPr>
    </w:p>
    <w:p>
      <w:pPr>
        <w:pStyle w:val="43"/>
        <w:ind w:firstLine="814" w:firstLineChars="250"/>
        <w:jc w:val="right"/>
        <w:rPr>
          <w:rFonts w:ascii="宋体" w:hAnsi="宋体" w:cs="宋体"/>
          <w:b/>
          <w:color w:val="auto"/>
          <w:sz w:val="44"/>
          <w:szCs w:val="44"/>
          <w:highlight w:val="none"/>
        </w:rPr>
      </w:pPr>
      <w:r>
        <w:rPr>
          <w:rFonts w:hint="eastAsia" w:ascii="宋体" w:hAnsi="宋体" w:cs="宋体"/>
          <w:b/>
          <w:color w:val="auto"/>
          <w:w w:val="90"/>
          <w:sz w:val="36"/>
          <w:szCs w:val="36"/>
          <w:highlight w:val="none"/>
        </w:rPr>
        <w:t>项目编号：JSJJC-YZ-CG-2022001</w:t>
      </w:r>
    </w:p>
    <w:p>
      <w:pPr>
        <w:spacing w:line="360" w:lineRule="auto"/>
        <w:jc w:val="center"/>
        <w:rPr>
          <w:rFonts w:ascii="宋体" w:hAnsi="宋体" w:eastAsia="宋体" w:cs="宋体"/>
          <w:b/>
          <w:color w:val="auto"/>
          <w:sz w:val="36"/>
          <w:szCs w:val="36"/>
          <w:highlight w:val="none"/>
        </w:rPr>
      </w:pPr>
    </w:p>
    <w:p>
      <w:pPr>
        <w:spacing w:line="360" w:lineRule="auto"/>
        <w:jc w:val="center"/>
        <w:rPr>
          <w:rFonts w:ascii="宋体" w:hAnsi="宋体" w:eastAsia="宋体" w:cs="宋体"/>
          <w:b/>
          <w:color w:val="auto"/>
          <w:sz w:val="44"/>
          <w:szCs w:val="44"/>
          <w:highlight w:val="none"/>
        </w:rPr>
      </w:pPr>
    </w:p>
    <w:p>
      <w:pPr>
        <w:spacing w:line="360"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扬州市邗江区住房和城乡建设局</w:t>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2022年度白蚁防治药物采购项目</w:t>
      </w:r>
    </w:p>
    <w:p>
      <w:pPr>
        <w:spacing w:line="360" w:lineRule="auto"/>
        <w:jc w:val="center"/>
        <w:rPr>
          <w:rFonts w:ascii="宋体" w:hAnsi="宋体" w:eastAsia="宋体" w:cs="宋体"/>
          <w:b/>
          <w:color w:val="auto"/>
          <w:sz w:val="44"/>
          <w:szCs w:val="44"/>
          <w:highlight w:val="none"/>
        </w:rPr>
      </w:pPr>
    </w:p>
    <w:p>
      <w:pPr>
        <w:spacing w:line="360" w:lineRule="auto"/>
        <w:jc w:val="center"/>
        <w:rPr>
          <w:rFonts w:ascii="宋体" w:hAnsi="宋体" w:eastAsia="宋体" w:cs="宋体"/>
          <w:b/>
          <w:color w:val="auto"/>
          <w:sz w:val="36"/>
          <w:szCs w:val="36"/>
          <w:highlight w:val="none"/>
        </w:rPr>
      </w:pPr>
      <w:r>
        <w:rPr>
          <w:rFonts w:hint="eastAsia" w:ascii="宋体" w:hAnsi="宋体" w:eastAsia="宋体" w:cs="宋体"/>
          <w:b/>
          <w:color w:val="auto"/>
          <w:sz w:val="44"/>
          <w:szCs w:val="44"/>
          <w:highlight w:val="none"/>
        </w:rPr>
        <w:t>竞 争 性 谈 判 文 件</w:t>
      </w:r>
    </w:p>
    <w:p>
      <w:pPr>
        <w:pStyle w:val="10"/>
        <w:ind w:firstLine="640"/>
        <w:rPr>
          <w:rFonts w:ascii="宋体" w:hAnsi="宋体" w:eastAsia="宋体" w:cs="宋体"/>
          <w:color w:val="auto"/>
          <w:highlight w:val="none"/>
        </w:rPr>
      </w:pPr>
    </w:p>
    <w:p>
      <w:pPr>
        <w:jc w:val="center"/>
        <w:rPr>
          <w:rFonts w:ascii="宋体" w:hAnsi="宋体" w:eastAsia="宋体" w:cs="宋体"/>
          <w:color w:val="auto"/>
          <w:sz w:val="36"/>
          <w:highlight w:val="none"/>
        </w:rPr>
      </w:pPr>
    </w:p>
    <w:p>
      <w:pPr>
        <w:jc w:val="center"/>
        <w:rPr>
          <w:rFonts w:ascii="宋体" w:hAnsi="宋体" w:eastAsia="宋体" w:cs="宋体"/>
          <w:color w:val="auto"/>
          <w:sz w:val="36"/>
          <w:highlight w:val="none"/>
        </w:rPr>
      </w:pPr>
    </w:p>
    <w:p>
      <w:pPr>
        <w:jc w:val="center"/>
        <w:rPr>
          <w:rFonts w:ascii="宋体" w:hAnsi="宋体" w:eastAsia="宋体" w:cs="宋体"/>
          <w:color w:val="auto"/>
          <w:sz w:val="36"/>
          <w:highlight w:val="none"/>
        </w:rPr>
      </w:pPr>
    </w:p>
    <w:p>
      <w:pPr>
        <w:jc w:val="center"/>
        <w:rPr>
          <w:rFonts w:ascii="宋体" w:hAnsi="宋体" w:eastAsia="宋体" w:cs="宋体"/>
          <w:color w:val="auto"/>
          <w:sz w:val="36"/>
          <w:highlight w:val="none"/>
        </w:rPr>
      </w:pPr>
    </w:p>
    <w:p>
      <w:pPr>
        <w:jc w:val="center"/>
        <w:rPr>
          <w:rFonts w:ascii="宋体" w:hAnsi="宋体" w:eastAsia="宋体" w:cs="宋体"/>
          <w:color w:val="auto"/>
          <w:sz w:val="36"/>
          <w:highlight w:val="none"/>
        </w:rPr>
      </w:pPr>
    </w:p>
    <w:p>
      <w:pPr>
        <w:jc w:val="center"/>
        <w:rPr>
          <w:rFonts w:ascii="宋体" w:hAnsi="宋体" w:eastAsia="宋体" w:cs="宋体"/>
          <w:color w:val="auto"/>
          <w:sz w:val="36"/>
          <w:highlight w:val="none"/>
        </w:rPr>
      </w:pPr>
    </w:p>
    <w:p>
      <w:pPr>
        <w:jc w:val="center"/>
        <w:rPr>
          <w:rFonts w:ascii="宋体" w:hAnsi="宋体" w:eastAsia="宋体" w:cs="宋体"/>
          <w:color w:val="auto"/>
          <w:sz w:val="36"/>
          <w:highlight w:val="none"/>
        </w:rPr>
      </w:pPr>
    </w:p>
    <w:p>
      <w:pPr>
        <w:jc w:val="center"/>
        <w:rPr>
          <w:rFonts w:ascii="宋体" w:hAnsi="宋体" w:eastAsia="宋体" w:cs="宋体"/>
          <w:color w:val="auto"/>
          <w:sz w:val="36"/>
          <w:highlight w:val="none"/>
        </w:rPr>
      </w:pPr>
    </w:p>
    <w:p>
      <w:pPr>
        <w:jc w:val="center"/>
        <w:rPr>
          <w:rFonts w:ascii="宋体" w:hAnsi="宋体" w:eastAsia="宋体" w:cs="宋体"/>
          <w:color w:val="auto"/>
          <w:sz w:val="36"/>
          <w:highlight w:val="none"/>
        </w:rPr>
      </w:pPr>
    </w:p>
    <w:p>
      <w:pPr>
        <w:jc w:val="center"/>
        <w:rPr>
          <w:rFonts w:ascii="宋体" w:hAnsi="宋体" w:eastAsia="宋体" w:cs="宋体"/>
          <w:color w:val="auto"/>
          <w:sz w:val="36"/>
          <w:highlight w:val="none"/>
        </w:rPr>
      </w:pPr>
    </w:p>
    <w:p>
      <w:pPr>
        <w:jc w:val="center"/>
        <w:rPr>
          <w:rFonts w:ascii="宋体" w:hAnsi="宋体" w:eastAsia="宋体" w:cs="宋体"/>
          <w:color w:val="auto"/>
          <w:sz w:val="36"/>
          <w:highlight w:val="none"/>
        </w:rPr>
      </w:pPr>
    </w:p>
    <w:p>
      <w:pPr>
        <w:spacing w:line="360" w:lineRule="auto"/>
        <w:jc w:val="center"/>
        <w:rPr>
          <w:rFonts w:ascii="宋体" w:hAnsi="宋体" w:eastAsia="宋体" w:cs="宋体"/>
          <w:color w:val="auto"/>
          <w:sz w:val="36"/>
          <w:highlight w:val="none"/>
        </w:rPr>
      </w:pPr>
      <w:r>
        <w:rPr>
          <w:rFonts w:hint="eastAsia" w:ascii="宋体" w:hAnsi="宋体" w:eastAsia="宋体" w:cs="宋体"/>
          <w:color w:val="auto"/>
          <w:sz w:val="36"/>
          <w:highlight w:val="none"/>
        </w:rPr>
        <w:t>江苏嘉加诚工程投资咨询有限公司</w:t>
      </w:r>
    </w:p>
    <w:p>
      <w:pPr>
        <w:spacing w:line="360" w:lineRule="auto"/>
        <w:jc w:val="center"/>
        <w:rPr>
          <w:rFonts w:ascii="宋体" w:hAnsi="宋体" w:eastAsia="宋体" w:cs="宋体"/>
          <w:bCs/>
          <w:color w:val="auto"/>
          <w:w w:val="90"/>
          <w:kern w:val="0"/>
          <w:sz w:val="30"/>
          <w:szCs w:val="30"/>
          <w:highlight w:val="none"/>
        </w:rPr>
      </w:pPr>
      <w:r>
        <w:rPr>
          <w:rFonts w:hint="eastAsia" w:ascii="宋体" w:hAnsi="宋体" w:eastAsia="宋体" w:cs="宋体"/>
          <w:color w:val="auto"/>
          <w:sz w:val="36"/>
          <w:highlight w:val="none"/>
        </w:rPr>
        <w:t>2022年3月</w:t>
      </w:r>
    </w:p>
    <w:p>
      <w:pPr>
        <w:pStyle w:val="17"/>
        <w:rPr>
          <w:rFonts w:cs="宋体"/>
          <w:color w:val="auto"/>
          <w:highlight w:val="none"/>
        </w:rPr>
      </w:pPr>
    </w:p>
    <w:p>
      <w:pPr>
        <w:rPr>
          <w:rFonts w:ascii="宋体" w:hAnsi="宋体" w:eastAsia="宋体" w:cs="宋体"/>
          <w:color w:val="auto"/>
          <w:highlight w:val="none"/>
        </w:rPr>
      </w:pPr>
    </w:p>
    <w:p>
      <w:pPr>
        <w:pStyle w:val="28"/>
        <w:ind w:firstLine="420"/>
        <w:rPr>
          <w:rFonts w:hAnsi="宋体" w:eastAsia="宋体" w:cs="宋体"/>
          <w:color w:val="auto"/>
          <w:highlight w:val="none"/>
        </w:rPr>
      </w:pPr>
    </w:p>
    <w:p>
      <w:pPr>
        <w:rPr>
          <w:rFonts w:ascii="宋体" w:hAnsi="宋体" w:eastAsia="宋体" w:cs="宋体"/>
          <w:color w:val="auto"/>
          <w:highlight w:val="none"/>
        </w:rPr>
      </w:pPr>
    </w:p>
    <w:p>
      <w:pPr>
        <w:pStyle w:val="17"/>
        <w:rPr>
          <w:rFonts w:cs="宋体"/>
          <w:color w:val="auto"/>
          <w:sz w:val="44"/>
          <w:szCs w:val="44"/>
          <w:highlight w:val="none"/>
        </w:rPr>
      </w:pPr>
    </w:p>
    <w:p>
      <w:pPr>
        <w:pStyle w:val="17"/>
        <w:rPr>
          <w:rFonts w:cs="宋体"/>
          <w:color w:val="auto"/>
          <w:sz w:val="44"/>
          <w:szCs w:val="44"/>
          <w:highlight w:val="none"/>
        </w:rPr>
      </w:pPr>
    </w:p>
    <w:p>
      <w:pPr>
        <w:pStyle w:val="17"/>
        <w:rPr>
          <w:rFonts w:cs="宋体"/>
          <w:color w:val="auto"/>
          <w:sz w:val="44"/>
          <w:szCs w:val="44"/>
          <w:highlight w:val="none"/>
        </w:rPr>
      </w:pPr>
      <w:r>
        <w:rPr>
          <w:rFonts w:hint="eastAsia" w:cs="宋体"/>
          <w:color w:val="auto"/>
          <w:sz w:val="44"/>
          <w:szCs w:val="44"/>
          <w:highlight w:val="none"/>
        </w:rPr>
        <w:t>目   录</w:t>
      </w:r>
    </w:p>
    <w:p>
      <w:pPr>
        <w:pStyle w:val="17"/>
        <w:rPr>
          <w:rFonts w:cs="宋体"/>
          <w:color w:val="auto"/>
          <w:highlight w:val="none"/>
        </w:rPr>
      </w:pPr>
    </w:p>
    <w:p>
      <w:pPr>
        <w:pStyle w:val="17"/>
        <w:rPr>
          <w:rFonts w:cs="宋体"/>
          <w:color w:val="auto"/>
          <w:highlight w:val="none"/>
        </w:rPr>
      </w:pPr>
    </w:p>
    <w:p>
      <w:pPr>
        <w:pStyle w:val="17"/>
        <w:tabs>
          <w:tab w:val="right" w:leader="dot" w:pos="9072"/>
          <w:tab w:val="clear" w:pos="9060"/>
        </w:tabs>
        <w:spacing w:line="480" w:lineRule="auto"/>
        <w:rPr>
          <w:rFonts w:cs="宋体"/>
          <w:color w:val="auto"/>
          <w:sz w:val="24"/>
          <w:szCs w:val="24"/>
          <w:highlight w:val="none"/>
        </w:rPr>
      </w:pPr>
      <w:r>
        <w:rPr>
          <w:rFonts w:hint="eastAsia" w:cs="宋体"/>
          <w:color w:val="auto"/>
          <w:sz w:val="24"/>
          <w:szCs w:val="24"/>
          <w:highlight w:val="none"/>
        </w:rPr>
        <w:fldChar w:fldCharType="begin"/>
      </w:r>
      <w:r>
        <w:rPr>
          <w:rFonts w:hint="eastAsia" w:cs="宋体"/>
          <w:color w:val="auto"/>
          <w:sz w:val="24"/>
          <w:szCs w:val="24"/>
          <w:highlight w:val="none"/>
        </w:rPr>
        <w:instrText xml:space="preserve"> TOC \o "1-1" \h \z \u </w:instrText>
      </w:r>
      <w:r>
        <w:rPr>
          <w:rFonts w:hint="eastAsia"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"_Toc28112" </w:instrText>
      </w:r>
      <w:r>
        <w:rPr>
          <w:color w:val="auto"/>
          <w:highlight w:val="none"/>
        </w:rPr>
        <w:fldChar w:fldCharType="separate"/>
      </w:r>
      <w:r>
        <w:rPr>
          <w:rFonts w:hint="eastAsia" w:cs="宋体"/>
          <w:color w:val="auto"/>
          <w:sz w:val="24"/>
          <w:szCs w:val="24"/>
          <w:highlight w:val="none"/>
        </w:rPr>
        <w:t>第一章 招标公告</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_Toc28112 </w:instrText>
      </w:r>
      <w:r>
        <w:rPr>
          <w:rFonts w:hint="eastAsia" w:cs="宋体"/>
          <w:color w:val="auto"/>
          <w:sz w:val="24"/>
          <w:szCs w:val="24"/>
          <w:highlight w:val="none"/>
        </w:rPr>
        <w:fldChar w:fldCharType="separate"/>
      </w:r>
      <w:r>
        <w:rPr>
          <w:rFonts w:cs="宋体"/>
          <w:color w:val="auto"/>
          <w:sz w:val="24"/>
          <w:szCs w:val="24"/>
          <w:highlight w:val="none"/>
        </w:rPr>
        <w:t>2</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17"/>
        <w:tabs>
          <w:tab w:val="right" w:leader="dot" w:pos="9072"/>
          <w:tab w:val="clear" w:pos="9060"/>
        </w:tabs>
        <w:spacing w:line="48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"_Toc13724" </w:instrText>
      </w:r>
      <w:r>
        <w:rPr>
          <w:color w:val="auto"/>
          <w:highlight w:val="none"/>
        </w:rPr>
        <w:fldChar w:fldCharType="separate"/>
      </w:r>
      <w:r>
        <w:rPr>
          <w:rFonts w:hint="eastAsia" w:cs="宋体"/>
          <w:color w:val="auto"/>
          <w:sz w:val="24"/>
          <w:szCs w:val="24"/>
          <w:highlight w:val="none"/>
        </w:rPr>
        <w:t>第二章 投标人须知</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_Toc13724 </w:instrText>
      </w:r>
      <w:r>
        <w:rPr>
          <w:rFonts w:hint="eastAsia" w:cs="宋体"/>
          <w:color w:val="auto"/>
          <w:sz w:val="24"/>
          <w:szCs w:val="24"/>
          <w:highlight w:val="none"/>
        </w:rPr>
        <w:fldChar w:fldCharType="separate"/>
      </w:r>
      <w:r>
        <w:rPr>
          <w:rFonts w:cs="宋体"/>
          <w:color w:val="auto"/>
          <w:sz w:val="24"/>
          <w:szCs w:val="24"/>
          <w:highlight w:val="none"/>
        </w:rPr>
        <w:t>2</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17"/>
        <w:tabs>
          <w:tab w:val="right" w:leader="dot" w:pos="9072"/>
          <w:tab w:val="clear" w:pos="9060"/>
        </w:tabs>
        <w:spacing w:line="48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"_Toc21164" </w:instrText>
      </w:r>
      <w:r>
        <w:rPr>
          <w:color w:val="auto"/>
          <w:highlight w:val="none"/>
        </w:rPr>
        <w:fldChar w:fldCharType="separate"/>
      </w:r>
      <w:r>
        <w:rPr>
          <w:rFonts w:hint="eastAsia" w:cs="宋体"/>
          <w:bCs/>
          <w:color w:val="auto"/>
          <w:sz w:val="24"/>
          <w:szCs w:val="24"/>
          <w:highlight w:val="none"/>
        </w:rPr>
        <w:t>第三章 合同条款及格式</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_Toc21164 </w:instrText>
      </w:r>
      <w:r>
        <w:rPr>
          <w:rFonts w:hint="eastAsia" w:cs="宋体"/>
          <w:color w:val="auto"/>
          <w:sz w:val="24"/>
          <w:szCs w:val="24"/>
          <w:highlight w:val="none"/>
        </w:rPr>
        <w:fldChar w:fldCharType="separate"/>
      </w:r>
      <w:r>
        <w:rPr>
          <w:rFonts w:cs="宋体"/>
          <w:color w:val="auto"/>
          <w:sz w:val="24"/>
          <w:szCs w:val="24"/>
          <w:highlight w:val="none"/>
        </w:rPr>
        <w:t>2</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17"/>
        <w:tabs>
          <w:tab w:val="right" w:leader="dot" w:pos="9072"/>
          <w:tab w:val="clear" w:pos="9060"/>
        </w:tabs>
        <w:spacing w:line="48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"_Toc30314" </w:instrText>
      </w:r>
      <w:r>
        <w:rPr>
          <w:color w:val="auto"/>
          <w:highlight w:val="none"/>
        </w:rPr>
        <w:fldChar w:fldCharType="separate"/>
      </w:r>
      <w:r>
        <w:rPr>
          <w:rFonts w:hint="eastAsia" w:cs="宋体"/>
          <w:color w:val="auto"/>
          <w:sz w:val="24"/>
          <w:szCs w:val="24"/>
          <w:highlight w:val="none"/>
        </w:rPr>
        <w:t>第四章 项目需求</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_Toc30314 </w:instrText>
      </w:r>
      <w:r>
        <w:rPr>
          <w:rFonts w:hint="eastAsia" w:cs="宋体"/>
          <w:color w:val="auto"/>
          <w:sz w:val="24"/>
          <w:szCs w:val="24"/>
          <w:highlight w:val="none"/>
        </w:rPr>
        <w:fldChar w:fldCharType="separate"/>
      </w:r>
      <w:r>
        <w:rPr>
          <w:rFonts w:cs="宋体"/>
          <w:color w:val="auto"/>
          <w:sz w:val="24"/>
          <w:szCs w:val="24"/>
          <w:highlight w:val="none"/>
        </w:rPr>
        <w:t>2</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17"/>
        <w:tabs>
          <w:tab w:val="right" w:leader="dot" w:pos="9072"/>
          <w:tab w:val="clear" w:pos="9060"/>
        </w:tabs>
        <w:spacing w:line="48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"_Toc5063" </w:instrText>
      </w:r>
      <w:r>
        <w:rPr>
          <w:color w:val="auto"/>
          <w:highlight w:val="none"/>
        </w:rPr>
        <w:fldChar w:fldCharType="separate"/>
      </w:r>
      <w:r>
        <w:rPr>
          <w:rFonts w:hint="eastAsia" w:cs="宋体"/>
          <w:color w:val="auto"/>
          <w:sz w:val="24"/>
          <w:szCs w:val="24"/>
          <w:highlight w:val="none"/>
        </w:rPr>
        <w:t>第五章 评标方法及评标标准</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_Toc5063 </w:instrText>
      </w:r>
      <w:r>
        <w:rPr>
          <w:rFonts w:hint="eastAsia" w:cs="宋体"/>
          <w:color w:val="auto"/>
          <w:sz w:val="24"/>
          <w:szCs w:val="24"/>
          <w:highlight w:val="none"/>
        </w:rPr>
        <w:fldChar w:fldCharType="separate"/>
      </w:r>
      <w:r>
        <w:rPr>
          <w:rFonts w:cs="宋体"/>
          <w:color w:val="auto"/>
          <w:sz w:val="24"/>
          <w:szCs w:val="24"/>
          <w:highlight w:val="none"/>
        </w:rPr>
        <w:t>2</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17"/>
        <w:tabs>
          <w:tab w:val="right" w:leader="dot" w:pos="9072"/>
          <w:tab w:val="clear" w:pos="9060"/>
        </w:tabs>
        <w:spacing w:line="48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"_Toc1667" </w:instrText>
      </w:r>
      <w:r>
        <w:rPr>
          <w:color w:val="auto"/>
          <w:highlight w:val="none"/>
        </w:rPr>
        <w:fldChar w:fldCharType="separate"/>
      </w:r>
      <w:r>
        <w:rPr>
          <w:rFonts w:hint="eastAsia" w:cs="宋体"/>
          <w:color w:val="auto"/>
          <w:sz w:val="24"/>
          <w:szCs w:val="24"/>
          <w:highlight w:val="none"/>
        </w:rPr>
        <w:t>第六章 投标文件格式</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_Toc1667 </w:instrText>
      </w:r>
      <w:r>
        <w:rPr>
          <w:rFonts w:hint="eastAsia" w:cs="宋体"/>
          <w:color w:val="auto"/>
          <w:sz w:val="24"/>
          <w:szCs w:val="24"/>
          <w:highlight w:val="none"/>
        </w:rPr>
        <w:fldChar w:fldCharType="separate"/>
      </w:r>
      <w:r>
        <w:rPr>
          <w:rFonts w:cs="宋体"/>
          <w:color w:val="auto"/>
          <w:sz w:val="24"/>
          <w:szCs w:val="24"/>
          <w:highlight w:val="none"/>
        </w:rPr>
        <w:t>2</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bidi w:val="0"/>
        <w:rPr>
          <w:color w:val="auto"/>
          <w:highlight w:val="none"/>
        </w:rPr>
      </w:pPr>
      <w:r>
        <w:rPr>
          <w:rFonts w:hint="eastAsia"/>
          <w:color w:val="auto"/>
          <w:highlight w:val="none"/>
        </w:rPr>
        <w:fldChar w:fldCharType="end"/>
      </w:r>
    </w:p>
    <w:p>
      <w:pPr>
        <w:rPr>
          <w:rFonts w:ascii="宋体" w:hAnsi="宋体" w:eastAsia="宋体" w:cs="宋体"/>
          <w:color w:val="auto"/>
          <w:kern w:val="0"/>
          <w:sz w:val="36"/>
          <w:szCs w:val="28"/>
          <w:highlight w:val="none"/>
        </w:rPr>
      </w:pPr>
      <w:r>
        <w:rPr>
          <w:rFonts w:hint="eastAsia" w:ascii="宋体" w:hAnsi="宋体" w:eastAsia="宋体" w:cs="宋体"/>
          <w:color w:val="auto"/>
          <w:highlight w:val="none"/>
        </w:rPr>
        <w:br w:type="page"/>
      </w:r>
    </w:p>
    <w:p>
      <w:pPr>
        <w:pStyle w:val="2"/>
        <w:rPr>
          <w:rFonts w:ascii="宋体"/>
          <w:color w:val="auto"/>
          <w:highlight w:val="none"/>
        </w:rPr>
      </w:pPr>
      <w:bookmarkStart w:id="0" w:name="_Toc28112"/>
      <w:r>
        <w:rPr>
          <w:rFonts w:hint="eastAsia" w:ascii="宋体"/>
          <w:color w:val="auto"/>
          <w:highlight w:val="none"/>
        </w:rPr>
        <w:t xml:space="preserve">第一章 </w:t>
      </w:r>
      <w:bookmarkEnd w:id="0"/>
      <w:r>
        <w:rPr>
          <w:rFonts w:hint="eastAsia" w:ascii="宋体"/>
          <w:color w:val="auto"/>
          <w:highlight w:val="none"/>
        </w:rPr>
        <w:t>竞争性谈判采购邀请</w:t>
      </w:r>
    </w:p>
    <w:p>
      <w:pPr>
        <w:spacing w:line="360" w:lineRule="auto"/>
        <w:ind w:firstLine="420" w:firstLineChars="200"/>
        <w:rPr>
          <w:rFonts w:ascii="宋体" w:hAnsi="宋体" w:eastAsia="宋体" w:cs="宋体"/>
          <w:color w:val="auto"/>
          <w:szCs w:val="21"/>
          <w:highlight w:val="none"/>
        </w:rPr>
      </w:pPr>
      <w:bookmarkStart w:id="1" w:name="_Toc28359002"/>
      <w:bookmarkStart w:id="2" w:name="_Toc35393790"/>
      <w:bookmarkStart w:id="3" w:name="_Toc28359079"/>
      <w:bookmarkStart w:id="4" w:name="_Toc35393621"/>
      <w:bookmarkStart w:id="5" w:name="_Hlk24379207"/>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spacing w:line="360" w:lineRule="auto"/>
              <w:ind w:firstLine="420" w:firstLineChars="200"/>
              <w:rPr>
                <w:rFonts w:ascii="宋体"/>
                <w:color w:val="auto"/>
                <w:szCs w:val="21"/>
                <w:highlight w:val="none"/>
              </w:rPr>
            </w:pPr>
            <w:r>
              <w:rPr>
                <w:rFonts w:hint="eastAsia" w:ascii="宋体" w:hAnsi="宋体" w:eastAsia="宋体" w:cs="宋体"/>
                <w:bCs/>
                <w:color w:val="auto"/>
                <w:szCs w:val="21"/>
                <w:highlight w:val="none"/>
                <w:u w:val="single"/>
              </w:rPr>
              <w:t>扬州市邗江区住房和城乡建设局</w:t>
            </w:r>
            <w:r>
              <w:rPr>
                <w:rFonts w:hint="eastAsia" w:ascii="宋体" w:hAnsi="宋体" w:eastAsia="宋体" w:cs="宋体"/>
                <w:bCs/>
                <w:color w:val="auto"/>
                <w:szCs w:val="21"/>
                <w:highlight w:val="none"/>
                <w:u w:val="single"/>
                <w:lang w:eastAsia="zh-CN"/>
              </w:rPr>
              <w:t>2022年度白蚁防治药物采购项目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招标项目的潜在投标人应在</w:t>
            </w:r>
            <w:r>
              <w:rPr>
                <w:rFonts w:hint="eastAsia" w:ascii="宋体" w:hAnsi="宋体" w:eastAsia="宋体" w:cs="宋体"/>
                <w:color w:val="auto"/>
                <w:szCs w:val="21"/>
                <w:highlight w:val="none"/>
                <w:u w:val="single"/>
                <w:lang w:val="en-US" w:eastAsia="zh-CN"/>
              </w:rPr>
              <w:t>“扬州市政府采购网”、</w:t>
            </w:r>
            <w:r>
              <w:rPr>
                <w:rFonts w:hint="eastAsia" w:ascii="宋体" w:hAnsi="宋体" w:eastAsia="宋体" w:cs="宋体"/>
                <w:color w:val="auto"/>
                <w:szCs w:val="21"/>
                <w:highlight w:val="none"/>
                <w:u w:val="single"/>
              </w:rPr>
              <w:t>“扬州市邗江区政府采购网”</w:t>
            </w:r>
            <w:r>
              <w:rPr>
                <w:rFonts w:hint="eastAsia" w:ascii="宋体" w:hAnsi="宋体" w:eastAsia="宋体" w:cs="宋体"/>
                <w:color w:val="auto"/>
                <w:szCs w:val="21"/>
                <w:highlight w:val="none"/>
              </w:rPr>
              <w:t>获取招标文件，并于</w:t>
            </w:r>
            <w:r>
              <w:rPr>
                <w:rFonts w:hint="eastAsia" w:ascii="宋体" w:hAnsi="宋体" w:eastAsia="宋体" w:cs="宋体"/>
                <w:color w:val="auto"/>
                <w:szCs w:val="21"/>
                <w:highlight w:val="none"/>
                <w:u w:val="single"/>
              </w:rPr>
              <w:t>2022年</w:t>
            </w:r>
            <w:r>
              <w:rPr>
                <w:rFonts w:hint="eastAsia" w:ascii="宋体" w:hAnsi="宋体" w:eastAsia="宋体" w:cs="宋体"/>
                <w:color w:val="auto"/>
                <w:szCs w:val="21"/>
                <w:highlight w:val="none"/>
                <w:u w:val="single"/>
                <w:lang w:val="en-US" w:eastAsia="zh-CN"/>
              </w:rPr>
              <w:t>3月16日14</w:t>
            </w:r>
            <w:r>
              <w:rPr>
                <w:rFonts w:hint="eastAsia" w:ascii="宋体" w:hAnsi="宋体" w:eastAsia="宋体" w:cs="宋体"/>
                <w:color w:val="auto"/>
                <w:szCs w:val="21"/>
                <w:highlight w:val="none"/>
                <w:u w:val="single"/>
              </w:rPr>
              <w:t>点</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分</w:t>
            </w:r>
            <w:r>
              <w:rPr>
                <w:rFonts w:hint="eastAsia" w:ascii="宋体" w:hAnsi="宋体" w:eastAsia="宋体" w:cs="宋体"/>
                <w:color w:val="auto"/>
                <w:szCs w:val="21"/>
                <w:highlight w:val="none"/>
              </w:rPr>
              <w:t>（北京时间）前递交投标文件。</w:t>
            </w:r>
          </w:p>
        </w:tc>
      </w:tr>
    </w:tbl>
    <w:p>
      <w:pPr>
        <w:rPr>
          <w:color w:val="auto"/>
          <w:highlight w:val="none"/>
        </w:rPr>
      </w:pPr>
    </w:p>
    <w:p>
      <w:pPr>
        <w:adjustRightInd w:val="0"/>
        <w:snapToGri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一、</w:t>
      </w:r>
      <w:bookmarkEnd w:id="1"/>
      <w:bookmarkEnd w:id="2"/>
      <w:bookmarkEnd w:id="3"/>
      <w:bookmarkEnd w:id="4"/>
      <w:r>
        <w:rPr>
          <w:rFonts w:hint="eastAsia" w:ascii="宋体" w:hAnsi="宋体" w:eastAsia="宋体" w:cs="宋体"/>
          <w:b/>
          <w:color w:val="auto"/>
          <w:szCs w:val="21"/>
          <w:highlight w:val="none"/>
        </w:rPr>
        <w:t>采购项目名称及编号</w:t>
      </w:r>
    </w:p>
    <w:bookmarkEnd w:id="5"/>
    <w:p>
      <w:pPr>
        <w:spacing w:line="360" w:lineRule="auto"/>
        <w:ind w:firstLine="420" w:firstLineChars="200"/>
        <w:rPr>
          <w:rFonts w:ascii="宋体" w:hAnsi="宋体" w:eastAsia="宋体" w:cs="宋体"/>
          <w:color w:val="auto"/>
          <w:szCs w:val="21"/>
          <w:highlight w:val="none"/>
        </w:rPr>
      </w:pPr>
      <w:bookmarkStart w:id="6" w:name="_Toc35393622"/>
      <w:bookmarkStart w:id="7" w:name="_Toc35393791"/>
      <w:bookmarkStart w:id="8" w:name="_Toc28359080"/>
      <w:bookmarkStart w:id="9" w:name="_Toc28359003"/>
      <w:r>
        <w:rPr>
          <w:rFonts w:hint="eastAsia" w:ascii="宋体" w:hAnsi="宋体" w:eastAsia="宋体" w:cs="宋体"/>
          <w:color w:val="auto"/>
          <w:szCs w:val="21"/>
          <w:highlight w:val="none"/>
        </w:rPr>
        <w:t>项目编号：JSJJC-YZ-CG-2022001</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项目名称：扬州市邗江区住房和城乡建设局2022年度白蚁防治药物采购项目</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预算金额：本项目采购预算金额为30.8万元</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采购需求：详</w:t>
      </w:r>
      <w:r>
        <w:rPr>
          <w:rFonts w:hint="eastAsia" w:ascii="宋体" w:hAnsi="宋体" w:eastAsia="宋体" w:cs="宋体"/>
          <w:color w:val="auto"/>
          <w:szCs w:val="21"/>
          <w:highlight w:val="none"/>
          <w:lang w:val="en-US" w:eastAsia="zh-CN"/>
        </w:rPr>
        <w:t>见</w:t>
      </w:r>
      <w:r>
        <w:rPr>
          <w:rFonts w:hint="eastAsia" w:ascii="宋体" w:hAnsi="宋体" w:eastAsia="宋体" w:cs="宋体"/>
          <w:color w:val="auto"/>
          <w:szCs w:val="21"/>
          <w:highlight w:val="none"/>
        </w:rPr>
        <w:t>谈判文件</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服务年限：</w:t>
      </w:r>
      <w:r>
        <w:rPr>
          <w:rFonts w:hint="eastAsia" w:ascii="宋体" w:hAnsi="宋体" w:eastAsia="宋体" w:cs="宋体"/>
          <w:color w:val="auto"/>
          <w:szCs w:val="21"/>
          <w:highlight w:val="none"/>
          <w:lang w:eastAsia="zh-CN"/>
        </w:rPr>
        <w:t>合同签订之日起，20日内供货至采购人指定地点。</w:t>
      </w:r>
    </w:p>
    <w:p>
      <w:pPr>
        <w:adjustRightInd w:val="0"/>
        <w:snapToGri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bookmarkEnd w:id="6"/>
      <w:bookmarkEnd w:id="7"/>
      <w:bookmarkEnd w:id="8"/>
      <w:bookmarkEnd w:id="9"/>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1.满足《中华人民共和国政府采购法》第二十二条规定并提供下列材料：</w:t>
      </w:r>
    </w:p>
    <w:p>
      <w:pPr>
        <w:widowControl/>
        <w:adjustRightInd w:val="0"/>
        <w:snapToGrid w:val="0"/>
        <w:spacing w:line="360" w:lineRule="auto"/>
        <w:ind w:firstLine="420" w:firstLineChars="200"/>
        <w:jc w:val="left"/>
        <w:rPr>
          <w:color w:val="auto"/>
          <w:highlight w:val="none"/>
        </w:rPr>
      </w:pPr>
      <w:bookmarkStart w:id="10" w:name="_Toc28359004"/>
      <w:bookmarkStart w:id="11" w:name="_Toc28359081"/>
      <w:r>
        <w:rPr>
          <w:rFonts w:hint="eastAsia" w:ascii="宋体" w:hAnsi="宋体" w:eastAsia="宋体" w:cs="宋体"/>
          <w:i/>
          <w:iCs/>
          <w:color w:val="auto"/>
          <w:kern w:val="0"/>
          <w:szCs w:val="21"/>
          <w:highlight w:val="none"/>
          <w:lang w:bidi="ar"/>
        </w:rPr>
        <w:t>（1）谈判响应函</w:t>
      </w:r>
      <w:r>
        <w:rPr>
          <w:rFonts w:hint="eastAsia" w:ascii="宋体" w:hAnsi="宋体" w:eastAsia="宋体" w:cs="宋体"/>
          <w:b/>
          <w:bCs/>
          <w:i/>
          <w:iCs/>
          <w:color w:val="auto"/>
          <w:kern w:val="0"/>
          <w:szCs w:val="21"/>
          <w:highlight w:val="none"/>
          <w:lang w:bidi="ar"/>
        </w:rPr>
        <w:t>(原件)</w:t>
      </w:r>
    </w:p>
    <w:p>
      <w:pPr>
        <w:widowControl/>
        <w:adjustRightInd w:val="0"/>
        <w:snapToGrid w:val="0"/>
        <w:spacing w:line="360" w:lineRule="auto"/>
        <w:ind w:firstLine="420" w:firstLineChars="200"/>
        <w:jc w:val="left"/>
        <w:rPr>
          <w:color w:val="auto"/>
          <w:highlight w:val="none"/>
        </w:rPr>
      </w:pPr>
      <w:r>
        <w:rPr>
          <w:rFonts w:hint="eastAsia" w:ascii="宋体" w:hAnsi="宋体" w:eastAsia="宋体" w:cs="宋体"/>
          <w:i/>
          <w:iCs/>
          <w:color w:val="auto"/>
          <w:kern w:val="0"/>
          <w:szCs w:val="21"/>
          <w:highlight w:val="none"/>
          <w:lang w:bidi="ar"/>
        </w:rPr>
        <w:t>（2）资格声明</w:t>
      </w:r>
      <w:r>
        <w:rPr>
          <w:rFonts w:hint="eastAsia" w:ascii="宋体" w:hAnsi="宋体" w:eastAsia="宋体" w:cs="宋体"/>
          <w:b/>
          <w:bCs/>
          <w:i/>
          <w:iCs/>
          <w:color w:val="auto"/>
          <w:kern w:val="0"/>
          <w:szCs w:val="21"/>
          <w:highlight w:val="none"/>
          <w:lang w:bidi="ar"/>
        </w:rPr>
        <w:t>(原件)</w:t>
      </w:r>
    </w:p>
    <w:p>
      <w:pPr>
        <w:widowControl/>
        <w:adjustRightInd w:val="0"/>
        <w:snapToGrid w:val="0"/>
        <w:spacing w:line="360" w:lineRule="auto"/>
        <w:ind w:firstLine="420" w:firstLineChars="200"/>
        <w:jc w:val="left"/>
        <w:rPr>
          <w:color w:val="auto"/>
          <w:highlight w:val="none"/>
        </w:rPr>
      </w:pPr>
      <w:r>
        <w:rPr>
          <w:rFonts w:hint="eastAsia" w:ascii="宋体" w:hAnsi="宋体" w:eastAsia="宋体" w:cs="宋体"/>
          <w:i/>
          <w:iCs/>
          <w:color w:val="auto"/>
          <w:kern w:val="0"/>
          <w:szCs w:val="21"/>
          <w:highlight w:val="none"/>
          <w:lang w:bidi="ar"/>
        </w:rPr>
        <w:t>（3）若法定代表人参加谈判的，须提供本人身份证复印件</w:t>
      </w:r>
      <w:r>
        <w:rPr>
          <w:rFonts w:hint="eastAsia" w:ascii="宋体" w:hAnsi="宋体" w:eastAsia="宋体" w:cs="宋体"/>
          <w:b/>
          <w:bCs/>
          <w:i/>
          <w:iCs/>
          <w:color w:val="auto"/>
          <w:kern w:val="0"/>
          <w:szCs w:val="21"/>
          <w:highlight w:val="none"/>
          <w:lang w:bidi="ar"/>
        </w:rPr>
        <w:t>(原件备查)</w:t>
      </w:r>
      <w:r>
        <w:rPr>
          <w:rFonts w:hint="eastAsia" w:ascii="宋体" w:hAnsi="宋体" w:eastAsia="宋体" w:cs="宋体"/>
          <w:i/>
          <w:iCs/>
          <w:color w:val="auto"/>
          <w:kern w:val="0"/>
          <w:szCs w:val="21"/>
          <w:highlight w:val="none"/>
          <w:lang w:bidi="ar"/>
        </w:rPr>
        <w:t>；若授权代表参加的，须提供《法人授权书》原件和授权代表身份证复印件</w:t>
      </w:r>
      <w:r>
        <w:rPr>
          <w:rFonts w:hint="eastAsia" w:ascii="宋体" w:hAnsi="宋体" w:eastAsia="宋体" w:cs="宋体"/>
          <w:b/>
          <w:bCs/>
          <w:i/>
          <w:iCs/>
          <w:color w:val="auto"/>
          <w:kern w:val="0"/>
          <w:szCs w:val="21"/>
          <w:highlight w:val="none"/>
          <w:lang w:bidi="ar"/>
        </w:rPr>
        <w:t>（原件备查）</w:t>
      </w:r>
    </w:p>
    <w:p>
      <w:pPr>
        <w:widowControl/>
        <w:adjustRightInd w:val="0"/>
        <w:snapToGrid w:val="0"/>
        <w:spacing w:line="360" w:lineRule="auto"/>
        <w:ind w:firstLine="420" w:firstLineChars="200"/>
        <w:jc w:val="left"/>
        <w:rPr>
          <w:color w:val="auto"/>
          <w:highlight w:val="none"/>
        </w:rPr>
      </w:pPr>
      <w:r>
        <w:rPr>
          <w:rFonts w:hint="eastAsia" w:ascii="宋体" w:hAnsi="宋体" w:eastAsia="宋体" w:cs="宋体"/>
          <w:i/>
          <w:iCs/>
          <w:color w:val="auto"/>
          <w:kern w:val="0"/>
          <w:szCs w:val="21"/>
          <w:highlight w:val="none"/>
          <w:lang w:bidi="ar"/>
        </w:rPr>
        <w:t>（4）营业执照副本或民办非企业单位登记证书或事业单位法人证书等相关身份证明材料</w:t>
      </w:r>
      <w:r>
        <w:rPr>
          <w:rFonts w:hint="eastAsia" w:ascii="宋体" w:hAnsi="宋体" w:eastAsia="宋体" w:cs="宋体"/>
          <w:b/>
          <w:bCs/>
          <w:i/>
          <w:iCs/>
          <w:color w:val="auto"/>
          <w:kern w:val="0"/>
          <w:szCs w:val="21"/>
          <w:highlight w:val="none"/>
          <w:lang w:bidi="ar"/>
        </w:rPr>
        <w:t>(复印件加盖供应商公章)</w:t>
      </w:r>
    </w:p>
    <w:p>
      <w:pPr>
        <w:widowControl/>
        <w:adjustRightInd w:val="0"/>
        <w:snapToGrid w:val="0"/>
        <w:spacing w:line="360" w:lineRule="auto"/>
        <w:ind w:firstLine="420" w:firstLineChars="200"/>
        <w:jc w:val="left"/>
        <w:rPr>
          <w:color w:val="auto"/>
          <w:highlight w:val="none"/>
        </w:rPr>
      </w:pPr>
      <w:r>
        <w:rPr>
          <w:rFonts w:hint="eastAsia" w:ascii="宋体" w:hAnsi="宋体" w:eastAsia="宋体" w:cs="宋体"/>
          <w:i/>
          <w:iCs/>
          <w:color w:val="auto"/>
          <w:kern w:val="0"/>
          <w:szCs w:val="21"/>
          <w:highlight w:val="none"/>
          <w:lang w:bidi="ar"/>
        </w:rPr>
        <w:t>（5）依法缴纳职工社会保障资金的证明材料</w:t>
      </w:r>
      <w:r>
        <w:rPr>
          <w:rFonts w:hint="eastAsia" w:ascii="宋体" w:hAnsi="宋体" w:eastAsia="宋体" w:cs="宋体"/>
          <w:b/>
          <w:bCs/>
          <w:i/>
          <w:iCs/>
          <w:color w:val="auto"/>
          <w:kern w:val="0"/>
          <w:szCs w:val="21"/>
          <w:highlight w:val="none"/>
          <w:lang w:bidi="ar"/>
        </w:rPr>
        <w:t>(复印件加盖供应商公章)(税务、银行或社会保险基金管理部门出具的2021年12月-2022年2月三个月内任意一份缴纳职工社会保障资金的缴款凭证或缴款证明)</w:t>
      </w:r>
    </w:p>
    <w:p>
      <w:pPr>
        <w:widowControl/>
        <w:adjustRightInd w:val="0"/>
        <w:snapToGrid w:val="0"/>
        <w:spacing w:line="360" w:lineRule="auto"/>
        <w:ind w:firstLine="420" w:firstLineChars="200"/>
        <w:jc w:val="left"/>
        <w:rPr>
          <w:color w:val="auto"/>
          <w:highlight w:val="none"/>
        </w:rPr>
      </w:pPr>
      <w:r>
        <w:rPr>
          <w:rFonts w:hint="eastAsia" w:ascii="宋体" w:hAnsi="宋体" w:eastAsia="宋体" w:cs="宋体"/>
          <w:i/>
          <w:iCs/>
          <w:color w:val="auto"/>
          <w:kern w:val="0"/>
          <w:szCs w:val="21"/>
          <w:highlight w:val="none"/>
          <w:lang w:bidi="ar"/>
        </w:rPr>
        <w:t>（6）供应商2021年12月-2022年2月三个月内任意一份依法纳税的缴款凭证</w:t>
      </w:r>
      <w:r>
        <w:rPr>
          <w:rFonts w:hint="eastAsia" w:ascii="宋体" w:hAnsi="宋体" w:eastAsia="宋体" w:cs="宋体"/>
          <w:b/>
          <w:bCs/>
          <w:i/>
          <w:iCs/>
          <w:color w:val="auto"/>
          <w:kern w:val="0"/>
          <w:szCs w:val="21"/>
          <w:highlight w:val="none"/>
          <w:lang w:bidi="ar"/>
        </w:rPr>
        <w:t>(复印件加盖供应商公章)</w:t>
      </w:r>
    </w:p>
    <w:p>
      <w:pPr>
        <w:widowControl/>
        <w:adjustRightInd w:val="0"/>
        <w:snapToGrid w:val="0"/>
        <w:spacing w:line="360" w:lineRule="auto"/>
        <w:ind w:firstLine="420" w:firstLineChars="200"/>
        <w:jc w:val="left"/>
        <w:rPr>
          <w:color w:val="auto"/>
          <w:highlight w:val="none"/>
        </w:rPr>
      </w:pPr>
      <w:r>
        <w:rPr>
          <w:rFonts w:hint="eastAsia" w:ascii="宋体" w:hAnsi="宋体" w:eastAsia="宋体" w:cs="宋体"/>
          <w:i/>
          <w:iCs/>
          <w:color w:val="auto"/>
          <w:kern w:val="0"/>
          <w:szCs w:val="21"/>
          <w:highlight w:val="none"/>
          <w:lang w:bidi="ar"/>
        </w:rPr>
        <w:t>（7）供应商上一年度的财务报告情况</w:t>
      </w:r>
      <w:r>
        <w:rPr>
          <w:rFonts w:hint="eastAsia" w:ascii="宋体" w:hAnsi="宋体" w:eastAsia="宋体" w:cs="宋体"/>
          <w:b/>
          <w:bCs/>
          <w:i/>
          <w:iCs/>
          <w:color w:val="auto"/>
          <w:kern w:val="0"/>
          <w:szCs w:val="21"/>
          <w:highlight w:val="none"/>
          <w:lang w:bidi="ar"/>
        </w:rPr>
        <w:t>（成立不满一年不需提供，复印件加盖供应商公章)</w:t>
      </w:r>
    </w:p>
    <w:p>
      <w:pPr>
        <w:widowControl/>
        <w:adjustRightInd w:val="0"/>
        <w:snapToGrid w:val="0"/>
        <w:spacing w:line="360" w:lineRule="auto"/>
        <w:ind w:firstLine="420" w:firstLineChars="200"/>
        <w:jc w:val="left"/>
        <w:rPr>
          <w:color w:val="auto"/>
          <w:highlight w:val="none"/>
        </w:rPr>
      </w:pPr>
      <w:r>
        <w:rPr>
          <w:rFonts w:hint="eastAsia" w:ascii="宋体" w:hAnsi="宋体" w:eastAsia="宋体" w:cs="宋体"/>
          <w:i/>
          <w:iCs/>
          <w:color w:val="auto"/>
          <w:kern w:val="0"/>
          <w:szCs w:val="21"/>
          <w:highlight w:val="none"/>
          <w:lang w:bidi="ar"/>
        </w:rPr>
        <w:t>（8）供应商参加本次政府采购活动前3年内在经营活动中没有重大违法记录的书面声明</w:t>
      </w:r>
      <w:r>
        <w:rPr>
          <w:rFonts w:hint="eastAsia" w:ascii="宋体" w:hAnsi="宋体" w:eastAsia="宋体" w:cs="宋体"/>
          <w:b/>
          <w:bCs/>
          <w:i/>
          <w:iCs/>
          <w:color w:val="auto"/>
          <w:kern w:val="0"/>
          <w:szCs w:val="21"/>
          <w:highlight w:val="none"/>
          <w:lang w:bidi="ar"/>
        </w:rPr>
        <w:t>（原件）</w:t>
      </w:r>
    </w:p>
    <w:p>
      <w:pPr>
        <w:widowControl/>
        <w:adjustRightInd w:val="0"/>
        <w:snapToGrid w:val="0"/>
        <w:spacing w:line="360" w:lineRule="auto"/>
        <w:ind w:firstLine="420" w:firstLineChars="200"/>
        <w:jc w:val="left"/>
        <w:rPr>
          <w:color w:val="auto"/>
          <w:highlight w:val="none"/>
        </w:rPr>
      </w:pPr>
      <w:r>
        <w:rPr>
          <w:rFonts w:hint="eastAsia" w:ascii="宋体" w:hAnsi="宋体" w:eastAsia="宋体" w:cs="宋体"/>
          <w:i/>
          <w:iCs/>
          <w:color w:val="auto"/>
          <w:kern w:val="0"/>
          <w:szCs w:val="21"/>
          <w:highlight w:val="none"/>
          <w:lang w:bidi="ar"/>
        </w:rPr>
        <w:t>（9）供应商信用承诺书</w:t>
      </w:r>
      <w:r>
        <w:rPr>
          <w:rFonts w:hint="eastAsia" w:ascii="宋体" w:hAnsi="宋体" w:eastAsia="宋体" w:cs="宋体"/>
          <w:b/>
          <w:bCs/>
          <w:i/>
          <w:iCs/>
          <w:color w:val="auto"/>
          <w:kern w:val="0"/>
          <w:szCs w:val="21"/>
          <w:highlight w:val="none"/>
          <w:lang w:bidi="ar"/>
        </w:rPr>
        <w:t>（原件）</w:t>
      </w:r>
    </w:p>
    <w:p>
      <w:pPr>
        <w:spacing w:line="360" w:lineRule="auto"/>
        <w:ind w:right="-143" w:rightChars="-68"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ascii="宋体" w:hAnsi="宋体" w:eastAsia="宋体" w:cs="宋体"/>
          <w:b/>
          <w:color w:val="auto"/>
          <w:szCs w:val="21"/>
          <w:highlight w:val="none"/>
        </w:rPr>
        <w:t>投标人如有相关政策支持，延期缴纳或暂不缴纳职工社会保障资金、税收的，须提供相关证明材料。</w:t>
      </w:r>
    </w:p>
    <w:p>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2.落实政府采购政策需满足的资格要求</w:t>
      </w:r>
      <w:r>
        <w:rPr>
          <w:rFonts w:hint="eastAsia" w:ascii="宋体" w:hAnsi="宋体" w:eastAsia="宋体" w:cs="宋体"/>
          <w:color w:val="auto"/>
          <w:szCs w:val="21"/>
          <w:highlight w:val="none"/>
        </w:rPr>
        <w:t>：</w:t>
      </w:r>
      <w:r>
        <w:rPr>
          <w:rFonts w:hint="eastAsia" w:ascii="宋体" w:hAnsi="宋体" w:eastAsia="宋体" w:cs="宋体"/>
          <w:i/>
          <w:color w:val="auto"/>
          <w:szCs w:val="21"/>
          <w:highlight w:val="none"/>
          <w:u w:val="single"/>
        </w:rPr>
        <w:t>根据《政府采购促进中小企业发展管理办法》的规定，本项目专门面向中小企业采购，投标人投标时须提供《中小企业申明函》，《中小企业申明函》不符合要求或未提供的，投标文件无效。</w:t>
      </w:r>
    </w:p>
    <w:p>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3.本项目的特定资格要求</w:t>
      </w:r>
      <w:r>
        <w:rPr>
          <w:rFonts w:hint="eastAsia" w:ascii="宋体" w:hAnsi="宋体" w:eastAsia="宋体" w:cs="宋体"/>
          <w:color w:val="auto"/>
          <w:szCs w:val="21"/>
          <w:highlight w:val="none"/>
        </w:rPr>
        <w:t>：无</w:t>
      </w:r>
    </w:p>
    <w:p>
      <w:pPr>
        <w:adjustRightInd w:val="0"/>
        <w:snapToGrid w:val="0"/>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color w:val="auto"/>
          <w:szCs w:val="21"/>
          <w:highlight w:val="none"/>
        </w:rPr>
        <w:t>4.</w:t>
      </w:r>
      <w:r>
        <w:rPr>
          <w:rFonts w:ascii="宋体" w:hAnsi="宋体" w:eastAsia="宋体" w:cs="宋体"/>
          <w:b/>
          <w:color w:val="auto"/>
          <w:szCs w:val="21"/>
          <w:highlight w:val="none"/>
        </w:rPr>
        <w:t>拒绝下述供应商参加本次采购活动</w:t>
      </w:r>
      <w:r>
        <w:rPr>
          <w:rFonts w:ascii="宋体" w:hAnsi="宋体" w:eastAsia="宋体" w:cs="宋体"/>
          <w:color w:val="auto"/>
          <w:szCs w:val="21"/>
          <w:highlight w:val="none"/>
        </w:rPr>
        <w:t>：</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1）供应商单位负责人为同一人或者存在直接控股、管理关系的不同供应商，不得参加同一合同项下的政府采购活动。</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2）凡为采购项目提供整体设计、规范编制或者项目管理、监理、检测等服务的供应商，不得再参加该项目的其他采购活动。</w:t>
      </w:r>
    </w:p>
    <w:p>
      <w:pPr>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3）供应商被“信用中国”网站（www.creditchina.gov.cn）、“中国政府采购网"(www.ccgp.gov.cn)列入失信被执行人、重大税收违法案件当事人名单、政府采购严重违法失信行为记录名单。</w:t>
      </w:r>
    </w:p>
    <w:p>
      <w:pPr>
        <w:adjustRightInd w:val="0"/>
        <w:snapToGri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5.不集中考察或召开答疑会。</w:t>
      </w:r>
    </w:p>
    <w:p>
      <w:pPr>
        <w:adjustRightInd w:val="0"/>
        <w:snapToGri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6.本项目</w:t>
      </w:r>
      <w:r>
        <w:rPr>
          <w:rFonts w:hint="eastAsia" w:ascii="宋体" w:hAnsi="宋体" w:eastAsia="宋体" w:cs="宋体"/>
          <w:b/>
          <w:color w:val="auto"/>
          <w:szCs w:val="21"/>
          <w:highlight w:val="none"/>
          <w:u w:val="single"/>
        </w:rPr>
        <w:t>不接受</w:t>
      </w:r>
      <w:r>
        <w:rPr>
          <w:rFonts w:hint="eastAsia" w:ascii="宋体" w:hAnsi="宋体" w:eastAsia="宋体" w:cs="宋体"/>
          <w:b/>
          <w:color w:val="auto"/>
          <w:szCs w:val="21"/>
          <w:highlight w:val="none"/>
        </w:rPr>
        <w:t>联合体投标。</w:t>
      </w:r>
    </w:p>
    <w:p>
      <w:pPr>
        <w:adjustRightInd w:val="0"/>
        <w:snapToGri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7.本项目</w:t>
      </w:r>
      <w:r>
        <w:rPr>
          <w:rFonts w:hint="eastAsia" w:ascii="宋体" w:hAnsi="宋体" w:eastAsia="宋体" w:cs="宋体"/>
          <w:b/>
          <w:color w:val="auto"/>
          <w:szCs w:val="21"/>
          <w:highlight w:val="none"/>
          <w:u w:val="single"/>
        </w:rPr>
        <w:t>不接受</w:t>
      </w:r>
      <w:r>
        <w:rPr>
          <w:rFonts w:hint="eastAsia" w:ascii="宋体" w:hAnsi="宋体" w:eastAsia="宋体" w:cs="宋体"/>
          <w:b/>
          <w:color w:val="auto"/>
          <w:szCs w:val="21"/>
          <w:highlight w:val="none"/>
        </w:rPr>
        <w:t>进口产品投标。</w:t>
      </w:r>
    </w:p>
    <w:p>
      <w:pPr>
        <w:adjustRightInd w:val="0"/>
        <w:snapToGrid w:val="0"/>
        <w:spacing w:line="360" w:lineRule="auto"/>
        <w:ind w:firstLine="422" w:firstLineChars="200"/>
        <w:jc w:val="left"/>
        <w:rPr>
          <w:rFonts w:ascii="宋体" w:hAnsi="宋体" w:eastAsia="宋体" w:cs="宋体"/>
          <w:b/>
          <w:color w:val="auto"/>
          <w:szCs w:val="21"/>
          <w:highlight w:val="none"/>
        </w:rPr>
      </w:pPr>
      <w:bookmarkStart w:id="12" w:name="_Toc35393792"/>
      <w:bookmarkStart w:id="13" w:name="_Toc35393623"/>
      <w:r>
        <w:rPr>
          <w:rFonts w:hint="eastAsia" w:ascii="宋体" w:hAnsi="宋体" w:eastAsia="宋体" w:cs="宋体"/>
          <w:b/>
          <w:color w:val="auto"/>
          <w:szCs w:val="21"/>
          <w:highlight w:val="none"/>
        </w:rPr>
        <w:t>三、获取响应文件</w:t>
      </w:r>
      <w:bookmarkEnd w:id="10"/>
      <w:bookmarkEnd w:id="11"/>
      <w:bookmarkEnd w:id="12"/>
      <w:bookmarkEnd w:id="13"/>
    </w:p>
    <w:p>
      <w:pPr>
        <w:adjustRightInd w:val="0"/>
        <w:snapToGri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2022年</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 xml:space="preserve"> 2022年</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rPr>
        <w:t>日</w:t>
      </w:r>
    </w:p>
    <w:p>
      <w:pPr>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：“扬州市政府采购网”、“扬州市邗江区政府采购网”</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方式：自行下载招标文件</w:t>
      </w:r>
      <w:r>
        <w:rPr>
          <w:rFonts w:hint="eastAsia" w:ascii="宋体" w:hAnsi="宋体" w:eastAsia="宋体" w:cs="宋体"/>
          <w:color w:val="auto"/>
          <w:kern w:val="0"/>
          <w:szCs w:val="21"/>
          <w:highlight w:val="none"/>
        </w:rPr>
        <w:t>；</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ascii="宋体" w:hAnsi="宋体" w:eastAsia="宋体" w:cs="宋体"/>
          <w:color w:val="auto"/>
          <w:szCs w:val="21"/>
          <w:highlight w:val="none"/>
        </w:rPr>
        <w:t>售价：300元，开标时以现金形式缴纳</w:t>
      </w:r>
    </w:p>
    <w:p>
      <w:pPr>
        <w:adjustRightInd w:val="0"/>
        <w:snapToGrid w:val="0"/>
        <w:spacing w:line="360" w:lineRule="auto"/>
        <w:ind w:firstLine="422" w:firstLineChars="200"/>
        <w:jc w:val="left"/>
        <w:rPr>
          <w:rFonts w:ascii="宋体" w:hAnsi="宋体" w:eastAsia="宋体" w:cs="宋体"/>
          <w:b/>
          <w:color w:val="auto"/>
          <w:szCs w:val="21"/>
          <w:highlight w:val="none"/>
        </w:rPr>
      </w:pPr>
      <w:bookmarkStart w:id="14" w:name="_Toc28359082"/>
      <w:bookmarkStart w:id="15" w:name="_Toc28359005"/>
      <w:bookmarkStart w:id="16" w:name="_Toc35393624"/>
      <w:bookmarkStart w:id="17" w:name="_Toc35393793"/>
      <w:r>
        <w:rPr>
          <w:rFonts w:hint="eastAsia" w:ascii="宋体" w:hAnsi="宋体" w:eastAsia="宋体" w:cs="宋体"/>
          <w:b/>
          <w:color w:val="auto"/>
          <w:szCs w:val="21"/>
          <w:highlight w:val="none"/>
        </w:rPr>
        <w:t>四、提交投标文件</w:t>
      </w:r>
      <w:bookmarkEnd w:id="14"/>
      <w:bookmarkEnd w:id="15"/>
      <w:r>
        <w:rPr>
          <w:rFonts w:hint="eastAsia" w:ascii="宋体" w:hAnsi="宋体" w:eastAsia="宋体" w:cs="宋体"/>
          <w:b/>
          <w:color w:val="auto"/>
          <w:szCs w:val="21"/>
          <w:highlight w:val="none"/>
        </w:rPr>
        <w:t>截止时间、开标时间和地点</w:t>
      </w:r>
      <w:bookmarkEnd w:id="16"/>
      <w:bookmarkEnd w:id="17"/>
    </w:p>
    <w:p>
      <w:pPr>
        <w:adjustRightInd w:val="0"/>
        <w:snapToGrid w:val="0"/>
        <w:spacing w:line="360" w:lineRule="auto"/>
        <w:ind w:firstLine="420" w:firstLineChars="200"/>
        <w:jc w:val="left"/>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2022年</w:t>
      </w:r>
      <w:r>
        <w:rPr>
          <w:rFonts w:hint="eastAsia" w:ascii="宋体" w:hAnsi="宋体" w:eastAsia="宋体" w:cs="宋体"/>
          <w:bCs/>
          <w:color w:val="auto"/>
          <w:szCs w:val="21"/>
          <w:highlight w:val="none"/>
          <w:u w:val="single"/>
          <w:lang w:val="en-US" w:eastAsia="zh-CN"/>
        </w:rPr>
        <w:t>3月16日14</w:t>
      </w:r>
      <w:r>
        <w:rPr>
          <w:rFonts w:hint="eastAsia" w:ascii="宋体" w:hAnsi="宋体" w:eastAsia="宋体" w:cs="宋体"/>
          <w:bCs/>
          <w:color w:val="auto"/>
          <w:szCs w:val="21"/>
          <w:highlight w:val="none"/>
          <w:u w:val="single"/>
        </w:rPr>
        <w:t>点</w:t>
      </w:r>
      <w:r>
        <w:rPr>
          <w:rFonts w:hint="eastAsia" w:ascii="宋体" w:hAnsi="宋体" w:eastAsia="宋体" w:cs="宋体"/>
          <w:bCs/>
          <w:color w:val="auto"/>
          <w:szCs w:val="21"/>
          <w:highlight w:val="none"/>
          <w:u w:val="single"/>
          <w:lang w:val="en-US" w:eastAsia="zh-CN"/>
        </w:rPr>
        <w:t>30</w:t>
      </w:r>
      <w:r>
        <w:rPr>
          <w:rFonts w:hint="eastAsia" w:ascii="宋体" w:hAnsi="宋体" w:eastAsia="宋体" w:cs="宋体"/>
          <w:bCs/>
          <w:color w:val="auto"/>
          <w:szCs w:val="21"/>
          <w:highlight w:val="none"/>
          <w:u w:val="single"/>
        </w:rPr>
        <w:t>分</w:t>
      </w:r>
      <w:r>
        <w:rPr>
          <w:rFonts w:hint="eastAsia" w:ascii="宋体" w:hAnsi="宋体" w:eastAsia="宋体" w:cs="宋体"/>
          <w:bCs/>
          <w:color w:val="auto"/>
          <w:szCs w:val="21"/>
          <w:highlight w:val="none"/>
        </w:rPr>
        <w:t>（北京时间）</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地点：江苏嘉加诚工程投资咨询有限公司开标室（扬州文汇西路162号联合广场B座301室）</w:t>
      </w:r>
    </w:p>
    <w:p>
      <w:pPr>
        <w:adjustRightInd w:val="0"/>
        <w:snapToGrid w:val="0"/>
        <w:spacing w:line="360" w:lineRule="auto"/>
        <w:ind w:firstLine="422" w:firstLineChars="200"/>
        <w:jc w:val="left"/>
        <w:rPr>
          <w:rFonts w:ascii="宋体" w:hAnsi="宋体" w:eastAsia="宋体" w:cs="宋体"/>
          <w:b/>
          <w:color w:val="auto"/>
          <w:szCs w:val="21"/>
          <w:highlight w:val="none"/>
        </w:rPr>
      </w:pPr>
      <w:bookmarkStart w:id="18" w:name="_Toc28359084"/>
      <w:bookmarkStart w:id="19" w:name="_Toc35393625"/>
      <w:bookmarkStart w:id="20" w:name="_Toc35393794"/>
      <w:bookmarkStart w:id="21" w:name="_Toc28359007"/>
      <w:r>
        <w:rPr>
          <w:rFonts w:hint="eastAsia" w:ascii="宋体" w:hAnsi="宋体" w:eastAsia="宋体" w:cs="宋体"/>
          <w:b/>
          <w:color w:val="auto"/>
          <w:szCs w:val="21"/>
          <w:highlight w:val="none"/>
        </w:rPr>
        <w:t>五、公告期限</w:t>
      </w:r>
      <w:bookmarkEnd w:id="18"/>
      <w:bookmarkEnd w:id="19"/>
      <w:bookmarkEnd w:id="20"/>
      <w:bookmarkEnd w:id="21"/>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adjustRightInd w:val="0"/>
        <w:snapToGrid w:val="0"/>
        <w:spacing w:line="360" w:lineRule="auto"/>
        <w:ind w:firstLine="422" w:firstLineChars="200"/>
        <w:jc w:val="left"/>
        <w:rPr>
          <w:rFonts w:ascii="宋体" w:hAnsi="宋体" w:eastAsia="宋体" w:cs="宋体"/>
          <w:b/>
          <w:color w:val="auto"/>
          <w:szCs w:val="21"/>
          <w:highlight w:val="none"/>
        </w:rPr>
      </w:pPr>
      <w:bookmarkStart w:id="22" w:name="_Toc35393795"/>
      <w:bookmarkStart w:id="23" w:name="_Toc35393626"/>
      <w:r>
        <w:rPr>
          <w:rFonts w:hint="eastAsia" w:ascii="宋体" w:hAnsi="宋体" w:eastAsia="宋体" w:cs="宋体"/>
          <w:b/>
          <w:color w:val="auto"/>
          <w:szCs w:val="21"/>
          <w:highlight w:val="none"/>
        </w:rPr>
        <w:t>六、其他补充事宜</w:t>
      </w:r>
      <w:bookmarkEnd w:id="22"/>
      <w:bookmarkEnd w:id="23"/>
    </w:p>
    <w:p>
      <w:pPr>
        <w:adjustRightInd w:val="0"/>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i/>
          <w:iCs/>
          <w:color w:val="auto"/>
          <w:highlight w:val="none"/>
          <w:u w:val="single"/>
        </w:rPr>
        <w:t>本招标文件中斜体下划线部分为实质性响应条件，为必须遵守的条件，如不满足将作无效响应文件处理</w:t>
      </w:r>
      <w:r>
        <w:rPr>
          <w:rFonts w:hint="eastAsia" w:ascii="宋体" w:hAnsi="宋体" w:eastAsia="宋体" w:cs="宋体"/>
          <w:i/>
          <w:color w:val="auto"/>
          <w:highlight w:val="none"/>
          <w:u w:val="single"/>
        </w:rPr>
        <w:t>。</w:t>
      </w:r>
    </w:p>
    <w:p>
      <w:pPr>
        <w:adjustRightInd w:val="0"/>
        <w:snapToGrid w:val="0"/>
        <w:spacing w:line="360" w:lineRule="auto"/>
        <w:ind w:firstLine="420" w:firstLineChars="200"/>
        <w:jc w:val="left"/>
        <w:rPr>
          <w:rFonts w:ascii="宋体" w:hAnsi="宋体" w:eastAsia="宋体" w:cs="宋体"/>
          <w:bCs/>
          <w:color w:val="auto"/>
          <w:highlight w:val="none"/>
        </w:rPr>
      </w:pPr>
      <w:r>
        <w:rPr>
          <w:rFonts w:hint="eastAsia" w:ascii="宋体" w:hAnsi="宋体" w:eastAsia="宋体" w:cs="宋体"/>
          <w:bCs/>
          <w:color w:val="auto"/>
          <w:highlight w:val="none"/>
        </w:rPr>
        <w:t>2、本谈判文件提供及公告期限：自竞争性谈判公告在“扬州市政府采购网”</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“扬州市邗江区政府采购网”发布之日起3个工作日。谈判文件在“扬州市政府采购网”</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“扬州市邗江区政府采购网”上下载，供应商如确定参加谈判，请如实填写《供应商参加谈判确认函》</w:t>
      </w:r>
      <w:r>
        <w:rPr>
          <w:rFonts w:hint="eastAsia" w:ascii="宋体" w:hAnsi="宋体" w:eastAsia="宋体" w:cs="宋体"/>
          <w:color w:val="auto"/>
          <w:highlight w:val="none"/>
        </w:rPr>
        <w:t>（</w:t>
      </w:r>
      <w:r>
        <w:rPr>
          <w:rFonts w:hint="eastAsia" w:ascii="宋体" w:hAnsi="宋体" w:eastAsia="宋体" w:cs="宋体"/>
          <w:b/>
          <w:color w:val="auto"/>
          <w:highlight w:val="none"/>
        </w:rPr>
        <w:t>开标当日交付确认函原件</w:t>
      </w:r>
      <w:r>
        <w:rPr>
          <w:rFonts w:hint="eastAsia" w:ascii="宋体" w:hAnsi="宋体" w:eastAsia="宋体" w:cs="宋体"/>
          <w:color w:val="auto"/>
          <w:highlight w:val="none"/>
        </w:rPr>
        <w:t>）</w:t>
      </w:r>
      <w:r>
        <w:rPr>
          <w:rFonts w:hint="eastAsia" w:ascii="宋体" w:hAnsi="宋体" w:eastAsia="宋体" w:cs="宋体"/>
          <w:bCs/>
          <w:color w:val="auto"/>
          <w:highlight w:val="none"/>
        </w:rPr>
        <w:t>，填写打印后加盖公章，拍照或扫描发送至邮箱（电子邮箱：</w:t>
      </w:r>
      <w:r>
        <w:rPr>
          <w:rFonts w:ascii="宋体" w:hAnsi="宋体" w:eastAsia="宋体" w:cs="宋体"/>
          <w:color w:val="auto"/>
          <w:highlight w:val="none"/>
        </w:rPr>
        <w:t>419131615</w:t>
      </w:r>
      <w:r>
        <w:rPr>
          <w:rFonts w:hint="eastAsia" w:ascii="宋体" w:hAnsi="宋体" w:eastAsia="宋体" w:cs="宋体"/>
          <w:bCs/>
          <w:color w:val="auto"/>
          <w:highlight w:val="none"/>
        </w:rPr>
        <w:t>@qq.com，邮件标题备注企业全称+项目简称，联系电话：</w:t>
      </w:r>
      <w:r>
        <w:rPr>
          <w:rFonts w:hint="eastAsia" w:ascii="宋体" w:hAnsi="宋体" w:eastAsia="宋体" w:cs="宋体"/>
          <w:color w:val="auto"/>
          <w:highlight w:val="none"/>
        </w:rPr>
        <w:t>13921901223</w:t>
      </w:r>
      <w:r>
        <w:rPr>
          <w:rFonts w:hint="eastAsia" w:ascii="宋体" w:hAnsi="宋体" w:eastAsia="宋体" w:cs="宋体"/>
          <w:bCs/>
          <w:color w:val="auto"/>
          <w:highlight w:val="none"/>
        </w:rPr>
        <w:t>）。如供应商未按上述要求去做，将自行承担所产生的风险。有关本次谈判的事项若存在变动或修改，敬请及时关注“扬州市政府采购网”</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“扬州市邗江区政府采购网”发布的信息或更正公告。</w:t>
      </w:r>
    </w:p>
    <w:p>
      <w:pPr>
        <w:adjustRightInd w:val="0"/>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bCs/>
          <w:color w:val="auto"/>
          <w:highlight w:val="none"/>
        </w:rPr>
        <w:t>3、本次投标文件制作份数要求：</w:t>
      </w:r>
      <w:r>
        <w:rPr>
          <w:rFonts w:hint="eastAsia" w:ascii="宋体" w:hAnsi="宋体" w:eastAsia="宋体" w:cs="宋体"/>
          <w:color w:val="auto"/>
          <w:highlight w:val="none"/>
        </w:rPr>
        <w:t>一式三份（一份正本，两份副本），每份投标文件须清楚地标明“正本”或“副本”字样。</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4、根据苏财购〔2020〕52号《关于做好政府采购支持企业发展有关事项的通知》，本次招标</w:t>
      </w:r>
      <w:r>
        <w:rPr>
          <w:rFonts w:hint="eastAsia" w:ascii="宋体" w:hAnsi="宋体" w:eastAsia="宋体" w:cs="宋体"/>
          <w:b/>
          <w:bCs/>
          <w:color w:val="auto"/>
          <w:szCs w:val="21"/>
          <w:highlight w:val="none"/>
          <w:u w:val="single"/>
        </w:rPr>
        <w:t xml:space="preserve"> 不收取 </w:t>
      </w:r>
      <w:r>
        <w:rPr>
          <w:rFonts w:hint="eastAsia" w:ascii="宋体" w:hAnsi="宋体" w:eastAsia="宋体" w:cs="宋体"/>
          <w:color w:val="auto"/>
          <w:szCs w:val="21"/>
          <w:highlight w:val="none"/>
        </w:rPr>
        <w:t>投标保证金。</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5、疫情防控期间，供应商注意事项：</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供应商授权代表须无条件服从招标代理机构疫情防控措施，入场前在代理公司进行实名登记、接受体温测量、自行戴好口罩、做好手部卫生消毒和投标文件等消毒防护，主动向代理公司说明近一周的个人身体情况、发热病人接触史以及近14天内的旅行史特别是较重疫区的旅行史。</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（2）各供应商须明确项目授权代表，且出席活动的人数限</w:t>
      </w:r>
      <w:r>
        <w:rPr>
          <w:rFonts w:ascii="宋体" w:hAnsi="宋体" w:eastAsia="宋体" w:cs="宋体"/>
          <w:color w:val="auto"/>
          <w:szCs w:val="21"/>
          <w:highlight w:val="none"/>
        </w:rPr>
        <w:t>1</w:t>
      </w:r>
      <w:r>
        <w:rPr>
          <w:rFonts w:hint="eastAsia" w:ascii="宋体" w:hAnsi="宋体" w:eastAsia="宋体" w:cs="宋体"/>
          <w:color w:val="auto"/>
          <w:szCs w:val="21"/>
          <w:highlight w:val="none"/>
        </w:rPr>
        <w:t>人。进场后的供应商应在指定开标室等候并参加开标活动，自觉配合场内秩序管理，不得擅自至非相关场所活动，聚集讨论。</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（3）非本市的供应商授权代表须出具所在地的健康证明或苏康码（绿色）。</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6、欢迎本市行政区域内的市级（含市级）以上人大代表、政协委员参加本次采购监督活动。有意者请与我公司联系。</w:t>
      </w:r>
    </w:p>
    <w:p>
      <w:pPr>
        <w:adjustRightInd w:val="0"/>
        <w:snapToGrid w:val="0"/>
        <w:spacing w:line="360" w:lineRule="auto"/>
        <w:ind w:firstLine="422" w:firstLineChars="200"/>
        <w:jc w:val="left"/>
        <w:rPr>
          <w:rFonts w:ascii="宋体" w:hAnsi="宋体" w:eastAsia="宋体" w:cs="宋体"/>
          <w:b/>
          <w:color w:val="auto"/>
          <w:szCs w:val="21"/>
          <w:highlight w:val="none"/>
        </w:rPr>
      </w:pPr>
      <w:bookmarkStart w:id="24" w:name="_Toc28359085"/>
      <w:bookmarkStart w:id="25" w:name="_Toc35393627"/>
      <w:bookmarkStart w:id="26" w:name="_Toc28359008"/>
      <w:bookmarkStart w:id="27" w:name="_Toc35393796"/>
      <w:r>
        <w:rPr>
          <w:rFonts w:hint="eastAsia" w:ascii="宋体" w:hAnsi="宋体" w:eastAsia="宋体" w:cs="宋体"/>
          <w:b/>
          <w:color w:val="auto"/>
          <w:szCs w:val="21"/>
          <w:highlight w:val="none"/>
        </w:rPr>
        <w:t>七、对本次招标提出询问，请按以下方式联系</w:t>
      </w:r>
      <w:bookmarkEnd w:id="24"/>
      <w:bookmarkEnd w:id="25"/>
      <w:bookmarkEnd w:id="26"/>
      <w:bookmarkEnd w:id="27"/>
    </w:p>
    <w:p>
      <w:pPr>
        <w:widowControl/>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1.采购人信息</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xml:space="preserve">　扬州市邗江区住房和城乡建设局　       </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扬州市兴城西路201号                </w:t>
      </w:r>
    </w:p>
    <w:p>
      <w:pPr>
        <w:adjustRightInd w:val="0"/>
        <w:snapToGri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xml:space="preserve">　陈所长　 </w:t>
      </w:r>
      <w:bookmarkStart w:id="28" w:name="_Toc28359086"/>
      <w:bookmarkStart w:id="29" w:name="_Toc28359009"/>
      <w:r>
        <w:rPr>
          <w:rFonts w:hint="eastAsia" w:ascii="宋体" w:hAnsi="宋体" w:eastAsia="宋体" w:cs="宋体"/>
          <w:color w:val="auto"/>
          <w:szCs w:val="21"/>
          <w:highlight w:val="none"/>
          <w:u w:val="single"/>
        </w:rPr>
        <w:t xml:space="preserve">                            </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bookmarkEnd w:id="28"/>
      <w:bookmarkEnd w:id="29"/>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江苏嘉加诚工程投资咨询有限公司　　　　</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扬州文汇西路162号联合广场B座308室　</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xml:space="preserve">　　13921901223　　   　　　　　　　    </w:t>
      </w:r>
    </w:p>
    <w:p>
      <w:pPr>
        <w:adjustRightInd w:val="0"/>
        <w:snapToGrid w:val="0"/>
        <w:spacing w:line="360" w:lineRule="auto"/>
        <w:ind w:firstLine="420" w:firstLineChars="200"/>
        <w:jc w:val="left"/>
        <w:rPr>
          <w:rFonts w:ascii="宋体" w:hAnsi="宋体" w:eastAsia="宋体" w:cs="宋体"/>
          <w:color w:val="auto"/>
          <w:szCs w:val="21"/>
          <w:highlight w:val="none"/>
        </w:rPr>
      </w:pPr>
      <w:bookmarkStart w:id="30" w:name="_Toc28359098"/>
      <w:bookmarkStart w:id="31" w:name="_Toc35393808"/>
      <w:bookmarkStart w:id="32" w:name="_Toc28359021"/>
      <w:bookmarkStart w:id="33" w:name="_Toc35393639"/>
      <w:r>
        <w:rPr>
          <w:rFonts w:hint="eastAsia" w:ascii="宋体" w:hAnsi="宋体" w:eastAsia="宋体" w:cs="宋体"/>
          <w:color w:val="auto"/>
          <w:szCs w:val="21"/>
          <w:highlight w:val="none"/>
        </w:rPr>
        <w:t>3.项目联系方式</w:t>
      </w:r>
      <w:bookmarkEnd w:id="30"/>
      <w:bookmarkEnd w:id="31"/>
      <w:bookmarkEnd w:id="32"/>
      <w:bookmarkEnd w:id="33"/>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顾</w:t>
      </w:r>
      <w:r>
        <w:rPr>
          <w:rFonts w:hint="eastAsia" w:ascii="宋体" w:hAnsi="宋体" w:eastAsia="宋体" w:cs="宋体"/>
          <w:color w:val="auto"/>
          <w:szCs w:val="21"/>
          <w:highlight w:val="none"/>
          <w:u w:val="single"/>
        </w:rPr>
        <w:t xml:space="preserve">工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r>
        <w:rPr>
          <w:rFonts w:hint="eastAsia" w:ascii="宋体" w:hAnsi="宋体" w:eastAsia="宋体" w:cs="宋体"/>
          <w:color w:val="auto"/>
          <w:szCs w:val="21"/>
          <w:highlight w:val="none"/>
          <w:u w:val="single"/>
        </w:rPr>
        <w:t xml:space="preserve">　 13921901223                       </w:t>
      </w:r>
    </w:p>
    <w:p>
      <w:pPr>
        <w:adjustRightInd w:val="0"/>
        <w:snapToGrid w:val="0"/>
        <w:spacing w:line="360" w:lineRule="auto"/>
        <w:ind w:firstLine="420" w:firstLineChars="200"/>
        <w:jc w:val="right"/>
        <w:rPr>
          <w:color w:val="auto"/>
          <w:highlight w:val="none"/>
        </w:rPr>
      </w:pPr>
    </w:p>
    <w:p>
      <w:pPr>
        <w:adjustRightInd w:val="0"/>
        <w:snapToGrid w:val="0"/>
        <w:spacing w:line="360" w:lineRule="auto"/>
        <w:ind w:firstLine="420" w:firstLineChars="200"/>
        <w:jc w:val="right"/>
        <w:rPr>
          <w:rFonts w:ascii="宋体" w:hAnsi="宋体" w:eastAsia="宋体" w:cs="宋体"/>
          <w:color w:val="auto"/>
          <w:szCs w:val="21"/>
          <w:highlight w:val="none"/>
        </w:rPr>
      </w:pPr>
      <w:r>
        <w:rPr>
          <w:rFonts w:hint="eastAsia" w:ascii="宋体" w:hAnsi="宋体" w:eastAsia="宋体" w:cs="宋体"/>
          <w:color w:val="auto"/>
          <w:szCs w:val="21"/>
          <w:highlight w:val="none"/>
        </w:rPr>
        <w:t>江苏嘉加诚工程投资咨询有限公司</w:t>
      </w:r>
    </w:p>
    <w:p>
      <w:pPr>
        <w:adjustRightInd w:val="0"/>
        <w:snapToGrid w:val="0"/>
        <w:spacing w:line="360" w:lineRule="auto"/>
        <w:ind w:firstLine="420" w:firstLineChars="200"/>
        <w:jc w:val="right"/>
        <w:rPr>
          <w:rFonts w:ascii="宋体" w:hAnsi="宋体" w:eastAsia="宋体" w:cs="宋体"/>
          <w:color w:val="auto"/>
          <w:szCs w:val="21"/>
          <w:highlight w:val="none"/>
        </w:rPr>
      </w:pPr>
      <w:r>
        <w:rPr>
          <w:rFonts w:hint="eastAsia" w:ascii="宋体" w:hAnsi="宋体" w:eastAsia="宋体" w:cs="宋体"/>
          <w:color w:val="auto"/>
          <w:szCs w:val="21"/>
          <w:highlight w:val="none"/>
        </w:rPr>
        <w:t>2022年</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日</w:t>
      </w:r>
    </w:p>
    <w:p>
      <w:pPr>
        <w:rPr>
          <w:color w:val="auto"/>
          <w:highlight w:val="none"/>
        </w:rPr>
      </w:pPr>
      <w:bookmarkStart w:id="34" w:name="_Toc120614211"/>
      <w:bookmarkStart w:id="35" w:name="_Toc11258683"/>
      <w:bookmarkStart w:id="36" w:name="_Toc13724"/>
      <w:bookmarkStart w:id="37" w:name="_Toc11258610"/>
      <w:bookmarkStart w:id="38" w:name="_Toc11258660"/>
      <w:r>
        <w:rPr>
          <w:color w:val="auto"/>
          <w:highlight w:val="none"/>
        </w:rPr>
        <w:br w:type="page"/>
      </w:r>
    </w:p>
    <w:bookmarkEnd w:id="34"/>
    <w:bookmarkEnd w:id="35"/>
    <w:bookmarkEnd w:id="36"/>
    <w:bookmarkEnd w:id="37"/>
    <w:bookmarkEnd w:id="38"/>
    <w:p>
      <w:pPr>
        <w:pStyle w:val="2"/>
        <w:rPr>
          <w:rFonts w:ascii="宋体"/>
          <w:color w:val="auto"/>
          <w:highlight w:val="none"/>
        </w:rPr>
      </w:pPr>
      <w:r>
        <w:rPr>
          <w:rFonts w:hint="eastAsia" w:ascii="宋体"/>
          <w:color w:val="auto"/>
          <w:highlight w:val="none"/>
        </w:rPr>
        <w:t>第二章 谈判须知</w:t>
      </w:r>
    </w:p>
    <w:p>
      <w:pPr>
        <w:rPr>
          <w:rFonts w:ascii="宋体" w:hAnsi="宋体" w:eastAsia="宋体" w:cs="宋体"/>
          <w:color w:val="auto"/>
          <w:highlight w:val="none"/>
        </w:rPr>
      </w:pPr>
    </w:p>
    <w:p>
      <w:pPr>
        <w:numPr>
          <w:ilvl w:val="0"/>
          <w:numId w:val="1"/>
        </w:numPr>
        <w:snapToGrid w:val="0"/>
        <w:spacing w:line="360" w:lineRule="auto"/>
        <w:ind w:firstLine="420"/>
        <w:rPr>
          <w:rFonts w:ascii="宋体" w:hAnsi="宋体" w:eastAsia="宋体" w:cs="宋体"/>
          <w:b/>
          <w:color w:val="auto"/>
          <w:szCs w:val="21"/>
          <w:highlight w:val="none"/>
        </w:rPr>
      </w:pPr>
      <w:bookmarkStart w:id="39" w:name="_Toc479757207"/>
      <w:bookmarkStart w:id="40" w:name="_Toc20823314"/>
      <w:bookmarkStart w:id="41" w:name="_Toc16938558"/>
      <w:bookmarkStart w:id="42" w:name="_Toc120614221"/>
      <w:bookmarkStart w:id="43" w:name="_Toc513029242"/>
      <w:r>
        <w:rPr>
          <w:rFonts w:hint="eastAsia" w:ascii="宋体" w:hAnsi="宋体" w:eastAsia="宋体" w:cs="宋体"/>
          <w:b/>
          <w:color w:val="auto"/>
          <w:szCs w:val="21"/>
          <w:highlight w:val="none"/>
        </w:rPr>
        <w:t>总 则</w:t>
      </w:r>
    </w:p>
    <w:p>
      <w:pPr>
        <w:keepNext/>
        <w:keepLines/>
        <w:snapToGrid w:val="0"/>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1、适用范围</w:t>
      </w:r>
    </w:p>
    <w:p>
      <w:pPr>
        <w:adjustRightInd w:val="0"/>
        <w:snapToGrid w:val="0"/>
        <w:spacing w:line="360" w:lineRule="auto"/>
        <w:ind w:firstLine="420" w:firstLineChars="200"/>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本竞争性谈判文件（以下简称谈判文件）仅适用竞争性谈判采购邀请中所述项目。</w:t>
      </w:r>
    </w:p>
    <w:p>
      <w:pPr>
        <w:keepNext/>
        <w:keepLines/>
        <w:snapToGrid w:val="0"/>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2、项目采购方式</w:t>
      </w:r>
    </w:p>
    <w:p>
      <w:pPr>
        <w:adjustRightInd w:val="0"/>
        <w:snapToGrid w:val="0"/>
        <w:spacing w:line="360" w:lineRule="auto"/>
        <w:ind w:firstLine="420" w:firstLineChars="200"/>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本次采购采取竞争性谈判的方式。</w:t>
      </w:r>
    </w:p>
    <w:p>
      <w:pPr>
        <w:keepNext/>
        <w:keepLines/>
        <w:snapToGrid w:val="0"/>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3、合格的谈判供应商</w:t>
      </w:r>
    </w:p>
    <w:p>
      <w:pPr>
        <w:adjustRightInd w:val="0"/>
        <w:snapToGrid w:val="0"/>
        <w:spacing w:line="360" w:lineRule="auto"/>
        <w:ind w:left="420" w:leftChars="200"/>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3.1满足本谈判文件“竞争性谈判采购邀请”中合格谈判供应商资格要求的规定。</w:t>
      </w:r>
    </w:p>
    <w:p>
      <w:pPr>
        <w:adjustRightInd w:val="0"/>
        <w:snapToGrid w:val="0"/>
        <w:spacing w:line="360" w:lineRule="auto"/>
        <w:ind w:firstLine="420" w:firstLineChars="200"/>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3.2满足本谈判文件实质性要求和条件的规定。</w:t>
      </w:r>
    </w:p>
    <w:p>
      <w:pPr>
        <w:keepNext/>
        <w:keepLines/>
        <w:snapToGrid w:val="0"/>
        <w:spacing w:line="360" w:lineRule="auto"/>
        <w:ind w:firstLine="422"/>
        <w:rPr>
          <w:rFonts w:ascii="宋体" w:hAnsi="宋体" w:eastAsia="宋体" w:cs="宋体"/>
          <w:b/>
          <w:bCs/>
          <w:color w:val="auto"/>
          <w:szCs w:val="21"/>
          <w:highlight w:val="none"/>
        </w:rPr>
      </w:pPr>
      <w:r>
        <w:rPr>
          <w:rFonts w:hint="eastAsia" w:ascii="宋体" w:hAnsi="宋体" w:eastAsia="宋体" w:cs="宋体"/>
          <w:b/>
          <w:color w:val="auto"/>
          <w:szCs w:val="21"/>
          <w:highlight w:val="none"/>
        </w:rPr>
        <w:t>4、投标费用</w:t>
      </w:r>
    </w:p>
    <w:p>
      <w:pPr>
        <w:spacing w:line="360" w:lineRule="auto"/>
        <w:ind w:firstLine="420"/>
        <w:rPr>
          <w:rFonts w:ascii="宋体" w:hAnsi="宋体" w:eastAsia="宋体" w:cs="宋体"/>
          <w:color w:val="auto"/>
          <w:szCs w:val="21"/>
          <w:highlight w:val="none"/>
        </w:rPr>
      </w:pPr>
      <w:r>
        <w:rPr>
          <w:rFonts w:hint="eastAsia" w:ascii="宋体" w:hAnsi="宋体" w:eastAsia="宋体" w:cs="宋体"/>
          <w:bCs/>
          <w:color w:val="auto"/>
          <w:szCs w:val="21"/>
          <w:highlight w:val="none"/>
        </w:rPr>
        <w:t>4.1</w:t>
      </w:r>
      <w:r>
        <w:rPr>
          <w:rFonts w:hint="eastAsia" w:ascii="宋体" w:hAnsi="宋体" w:eastAsia="宋体" w:cs="宋体"/>
          <w:color w:val="auto"/>
          <w:szCs w:val="21"/>
          <w:highlight w:val="none"/>
        </w:rPr>
        <w:t xml:space="preserve"> 投标人应自行承担所有与参加投标有关的费用，无论投标过程中的做法和结果如何，江苏嘉加诚工程投资咨询有限公司（以下简称代理机构）在任何情况下均无义务和责任承担这些费用。</w:t>
      </w:r>
    </w:p>
    <w:p>
      <w:pPr>
        <w:spacing w:line="360" w:lineRule="auto"/>
        <w:ind w:firstLine="422"/>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4.2本次竞争性谈判文件售价300元，递交响应文件时缴纳，售后不退。</w:t>
      </w:r>
    </w:p>
    <w:p>
      <w:pPr>
        <w:spacing w:line="360" w:lineRule="auto"/>
        <w:ind w:firstLine="422"/>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4.3本次采购由中标人在领取中标通知书前根据国家计委印发的《招标代理服务收费管理暂行办法》(计价格【2011】534 号文</w:t>
      </w:r>
      <w:r>
        <w:rPr>
          <w:rFonts w:hint="eastAsia" w:ascii="宋体" w:hAnsi="宋体" w:eastAsia="宋体" w:cs="宋体"/>
          <w:b/>
          <w:bCs/>
          <w:color w:val="auto"/>
          <w:szCs w:val="21"/>
          <w:highlight w:val="none"/>
          <w:lang w:val="en-US" w:eastAsia="zh-CN"/>
        </w:rPr>
        <w:t>货物</w:t>
      </w:r>
      <w:r>
        <w:rPr>
          <w:rFonts w:hint="eastAsia" w:ascii="宋体" w:hAnsi="宋体" w:eastAsia="宋体" w:cs="宋体"/>
          <w:b/>
          <w:bCs/>
          <w:color w:val="auto"/>
          <w:szCs w:val="21"/>
          <w:highlight w:val="none"/>
        </w:rPr>
        <w:t>类标准的一次性支付给招标代理机构代理服务费（不足</w:t>
      </w:r>
      <w:r>
        <w:rPr>
          <w:rFonts w:ascii="宋体" w:hAnsi="宋体" w:eastAsia="宋体" w:cs="宋体"/>
          <w:b/>
          <w:bCs/>
          <w:color w:val="auto"/>
          <w:szCs w:val="21"/>
          <w:highlight w:val="none"/>
        </w:rPr>
        <w:t>3000元按3000元收取）；</w:t>
      </w:r>
    </w:p>
    <w:p>
      <w:pPr>
        <w:widowControl/>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（1）代理费计算方式：中标价×1.5%标准计算，代理服务费以人民币支付；</w:t>
      </w:r>
    </w:p>
    <w:p>
      <w:pPr>
        <w:widowControl/>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（2）代理服务费支付方式：一次性以电汇、转账等非现金形式支付；</w:t>
      </w:r>
    </w:p>
    <w:p>
      <w:pPr>
        <w:widowControl/>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（3）中标人如果不按规定交纳中标服务费，视为放弃中标资格，由采购人重新确定中标人或重新组织招标；</w:t>
      </w:r>
    </w:p>
    <w:p>
      <w:pPr>
        <w:widowControl/>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（4）招标代理服务费不在投标报价中单列，包含在投标总价中，由中标人支付给代理机构。</w:t>
      </w:r>
    </w:p>
    <w:p>
      <w:pPr>
        <w:widowControl/>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4.4专家评审费按照扬财购【2020】40号文《扬州市财政局关于进一步规范扬州市政府采购专家评审费标准的通知》执行。</w:t>
      </w:r>
    </w:p>
    <w:p>
      <w:pPr>
        <w:keepNext/>
        <w:keepLines/>
        <w:snapToGrid w:val="0"/>
        <w:spacing w:line="360" w:lineRule="auto"/>
        <w:ind w:firstLine="42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5、谈判文件的约束力</w:t>
      </w:r>
    </w:p>
    <w:p>
      <w:pPr>
        <w:spacing w:line="360" w:lineRule="auto"/>
        <w:ind w:firstLine="420"/>
        <w:rPr>
          <w:rFonts w:ascii="宋体" w:hAnsi="宋体" w:eastAsia="宋体" w:cs="宋体"/>
          <w:bCs/>
          <w:color w:val="auto"/>
          <w:szCs w:val="21"/>
          <w:highlight w:val="none"/>
        </w:rPr>
      </w:pPr>
      <w:r>
        <w:rPr>
          <w:rFonts w:hint="eastAsia" w:ascii="宋体" w:hAnsi="宋体" w:eastAsia="宋体" w:cs="宋体"/>
          <w:bCs/>
          <w:color w:val="auto"/>
          <w:szCs w:val="21"/>
          <w:highlight w:val="none"/>
        </w:rPr>
        <w:t>供应商一旦下载了本谈判文件并决定参加谈判，即被认为接受了本谈判文件的规定和约束，并且视为自竞争性谈判公告期限届满之日起知道或应当知道自身权益是否受到了损害。</w:t>
      </w:r>
    </w:p>
    <w:p>
      <w:pPr>
        <w:keepNext/>
        <w:keepLines/>
        <w:snapToGrid w:val="0"/>
        <w:spacing w:line="360" w:lineRule="auto"/>
        <w:ind w:firstLine="422"/>
        <w:rPr>
          <w:rFonts w:ascii="宋体" w:hAnsi="宋体" w:eastAsia="宋体" w:cs="宋体"/>
          <w:b/>
          <w:bCs/>
          <w:color w:val="auto"/>
          <w:szCs w:val="21"/>
          <w:highlight w:val="none"/>
        </w:rPr>
      </w:pPr>
      <w:bookmarkStart w:id="44" w:name="_Toc20823309"/>
      <w:bookmarkStart w:id="45" w:name="_Toc16938553"/>
      <w:bookmarkStart w:id="46" w:name="_Toc513029237"/>
      <w:r>
        <w:rPr>
          <w:rFonts w:hint="eastAsia" w:ascii="宋体" w:hAnsi="宋体" w:eastAsia="宋体" w:cs="宋体"/>
          <w:b/>
          <w:bCs/>
          <w:color w:val="auto"/>
          <w:szCs w:val="21"/>
          <w:highlight w:val="none"/>
        </w:rPr>
        <w:t>6、谈判文件的询问及修改</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任何要求对谈判文件进行询问的供应商，均应在提交首次响应文件截止时间3个工作日前按竞争性谈判采购邀请中的通讯地址，向代理机构或采购人提出。提交首次响应文件截止之日前，代理机构可以对已发出的谈判文件进行必要的澄清或者修改，澄清或者修改的内容作为谈判文件的组成部分。澄清或者修改的内容可能影响响应文件编制的，代理机构将在提交首次响应文件截止时间至少3个工作日前，发布书面更正公告通知所有获取谈判文件的供应商。不足3个工作日的，代理机构应当顺延提交首次响应文件截止时间。</w:t>
      </w:r>
    </w:p>
    <w:p>
      <w:pPr>
        <w:keepNext/>
        <w:keepLines/>
        <w:snapToGrid w:val="0"/>
        <w:spacing w:line="360" w:lineRule="auto"/>
        <w:ind w:firstLine="42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7、谈判文件的解释</w:t>
      </w:r>
    </w:p>
    <w:p>
      <w:pPr>
        <w:spacing w:line="360" w:lineRule="auto"/>
        <w:ind w:left="420"/>
        <w:rPr>
          <w:rFonts w:ascii="宋体" w:hAnsi="宋体" w:eastAsia="宋体" w:cs="宋体"/>
          <w:color w:val="auto"/>
          <w:szCs w:val="21"/>
          <w:highlight w:val="none"/>
        </w:rPr>
      </w:pPr>
      <w:r>
        <w:rPr>
          <w:rFonts w:hint="eastAsia" w:ascii="宋体" w:hAnsi="宋体" w:eastAsia="宋体" w:cs="宋体"/>
          <w:color w:val="auto"/>
          <w:szCs w:val="21"/>
          <w:highlight w:val="none"/>
        </w:rPr>
        <w:t>本谈判文件由代理机构负责解释。</w:t>
      </w:r>
    </w:p>
    <w:p>
      <w:pPr>
        <w:widowControl/>
        <w:wordWrap w:val="0"/>
        <w:adjustRightInd w:val="0"/>
        <w:snapToGrid w:val="0"/>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二、谈判响应文件的编制及保证金收取</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1、谈判响应文件份数和签署</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1.1参加谈判供应商应严格按照竞争性谈判采购邀请要求准备谈判响应文件（以下简称响应文件），每份响应文件须清楚地标明“正本”或“副本”字样。</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响应文件的正本和所有的副本均需打印或复印。响应文件正本中，谈判文件要求提供原件的必须按照要求提供，文字材料需打印或用不褪色墨水书写，响应文件正本须经法定代表人或授权代表签字和加盖谈判供应商公章。本谈判文件所表述（指定）的公章是指刻有供应商法定名称的印章，不包括合同、财务、税务、发票等形式的业务专用章。</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 除谈判供应商对错处做必要修改外，谈判响应文件不得行间插字、涂改或增删。如有修改错漏处，必须由响应文件签署人签字或盖章。</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2、响应文件编制要求</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2.1谈判供应商提交的响应文件以及谈判供应商与代理机构及采购人就有关谈判的所有来往函电均应使用简体中文。谈判文件中既有中文也有外文的，以中文意义为准。</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2.2除技术性能另有规定外，响应文件所使用的度量衡单位，均须采用国家法定计量单位。</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3、参加谈判供应商资格的文件证明</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3.1谈判供应商应提交证明其有资格参加谈判和成交后有能力独立履行合同的文件，并作为其响应文件的一部分。</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3.2谈判供应商除必须具有履行合同所需提供的设备以及服务的能力外，还必须具备相应的财务、技术方面的能力。</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3.3谈判供应商应填写并提交谈判文件所附的“资格证明文件”。</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4、供货一览表和谈判响应报价表</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4.1参加谈判的供应商应按照谈判文件规定格式填报供货一览表、谈判响应报价表（含分项报价），在表成交明所提供的设备品牌、规格、型号、原产地、主要部件型号及其功能的中文说明和供货期。每项货物设备只允许有一个报价，任何有选择的报价将不予接受（若有备选配件，则备选件的报价不属于选择性报价）。</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4.2标的物</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详见项目需求。</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4.3有关费用处理</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本次采购谈判供应商的总报价应包括为完成本项目发生的所有费用，本谈判文件中另有规定的除外。</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4.4其它费用处理</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谈判文件未列明，而谈判供应商认为必需的费用也需列入报价。</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4.5报价采用的货币</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响应文件中的单价和总价，无特殊规定的采用人民币报价，以元为单位标注。谈判文件中另有规定的按规定执行。</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4.6谈判响应报价表上的价格应按谈判文件规定填写。</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5、谈判保证金</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无</w:t>
      </w:r>
    </w:p>
    <w:p>
      <w:pPr>
        <w:widowControl/>
        <w:wordWrap w:val="0"/>
        <w:adjustRightInd w:val="0"/>
        <w:snapToGrid w:val="0"/>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三 、谈判响应文件的递交</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1、谈判响应文件的密封和标记</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1.1参加谈判供应商应将谈判响应文件密封，密封的谈判响应文件应标明“正本”、“副本”的字样。</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1.2密封的谈判响应文件应：</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（1）按采购邀请中注明的地址送达规定地点；</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（2）注明参加谈判项目名称、谈判文件编号；</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（3）密封包装上应写明参加谈判供应商名称和地址。</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1.3如果密封包装未按要求密封和加写标记，代理机构对误投或过早启封概不负责。对由此造成提前开封的谈判响应文件，代理机构将予以拒绝。</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2、响应文件开启时间 </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2.1代理机构收到响应文件的时间不得迟于本谈判文件规定的响应文件接收截止时间。</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2.2代理机构可通过修改谈判文件自行决定酌情推迟响应文件接收截止时间，在此情况</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下，谈判供应商的所有权利和义务以及受制的响应文件接收截止时间均应以延长后新的响应文件接收截止时间为准。</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3、迟交的谈判响应文件</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3.1代理机构将拒绝在其规定的响应文件接收截止时间后接收谈判响应文件。</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4、谈判响应文件的修改和撤回 </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4.1谈判供应商在递交谈判响应文件后，可以修改或撤回其谈判响应文件，但这种修改和撤回，必须在规定的响应文件接收截止时间前，以书面形式送达指定地点。</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4.2谈判供应商的修改或撤回通知书，应按本文件规定进行编制、密封、标记和发送，并应在封套上加注“修改”和“撤回”字样。</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4.3谈判供应商在提交最后报价之前，可以根据谈判情况退出谈判。</w:t>
      </w:r>
    </w:p>
    <w:p>
      <w:pPr>
        <w:widowControl/>
        <w:wordWrap w:val="0"/>
        <w:adjustRightInd w:val="0"/>
        <w:snapToGrid w:val="0"/>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 xml:space="preserve">四、谈判与评审 </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1、谈判仪式</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1.1代理机构将在采购邀请中规定的时间和地点组织谈判开始仪式，仪式由代理机构主持，供应商应委派携带有效证件的代表准时参加，参加仪式的代表需签名以证明其出席。</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2、谈判小组</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2.1谈判开始仪式结束后，代理机构将立即组织谈判小组进行评审、谈判。</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2.2谈判小组由政府采购评审专家、采购人代表组成，且人员构成符合政府采购有关规定。</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2.3谈判小组应以科学、公正的态度参加评审、谈判工作并推荐成交候选人。评审专家在评审过程中不受任何干扰，独立、负责地提出评审意见，并对自己的评审意见承担责任。</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2.4谈判小组将对供应商的商业、技术秘密予以保密。</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3、评审过程的保密与公正</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3.1谈判开始仪式结束后，直至签订合同之日止，凡是与审查、澄清、评价和比较谈判响应文件的有关资料以及推荐建议等，均不得向供应商或与评审无关的其他人员透露。</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3.2在评审过程中，如果供应商试图向代理机构和参与评审的人员施加任何影响，有可能对其响应文件按无效处理。</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4、评审过程的澄清、说明和更正</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4.2接到谈判小组要求的供应商应派人按谈判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4.3接到谈判小组澄清要求的供应商如未按规定做出澄清，其风险由供应商自行承担。</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5、对响应文件的初审</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5.1响应文件初审分为资格性检查和符合性检查。</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资格性检查：依据法律法规和采购文件的规定，对响应文件中的资格证明文件等进行审查，以确定供应商是否具备参加谈判的资格。</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符合性检查：依据采购文件的规定，从响应文件的有效性、完整性和对采购文件的响应程度进行审查，以确定是否对采购文件的实质性要求作出响应。</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5.2在正式谈判之前，谈判小组将首先审查每份谈判响应文件是否实质性响应了采购文件的要求。实质性响应的谈判响应文件应该是与采购文件要求的全部条款、条件和规格相符，没有重大偏离或保留。</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谈判响应文件本身的内容，而不寻求外部的证据。</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5.3被认定为未实质性和符合性响应谈判文件的响应文件的情形</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（1）未按要求交纳谈判保证金的；</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（2）未按照采购文件规定要求密封、签署、盖章的；</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（3）供应商在报价时采用选择性报价；</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（4）供应商不符合采购文件中规定的合格谈判供应商资格要求的；</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（5）不符合法律、法规和采购文件中规定的其他实质性要求的（本采购文件中斜体且有下划线部分为实质性要求和条件）；</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（6）其他法律、法规及本采购文件规定的属未实质性响应的响应文件的情形。</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5.4未实质性响应谈判文件的响应文件按无效响应处理，谈判小组将予以拒绝，供应商</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不得通过修改或撤销不合要求的偏离或保留而使其谈判响应文件成为实质性响应的文件。</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5.5同一项目（项目未分包）或同一分包（项目有不同分包），如出现同一品牌同一型号的产品有多个供应商参加谈判时，谈判中在其他条件合格的前提下，选取报价最低的供应商参加谈判报价，其他供应商作为无效谈判响应处理。</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6、谈判程序及成交原则</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6.1谈判程序</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6.1.1对于通过资格性和符合性审查的供应商，谈判小组所有成员将集中与单一供应商分别进行谈判。</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6.1.2谈判文件能够详细列明采购标的的技术、服务要求的，谈判结束后，谈判小组将要求所有实质性响应的供应商在规定时间内提交最后报价。</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最后报价是供应商响应文件的有效组成部分。符合《政府采购非招标采购方式管理暂行办法》规定情形的，提交最后报价的供应商可以为2家。</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6.1.3谈判供应商未在谈判小组规定的时间内完成最后报价的视为放弃谈判，其谈判响应按无效响应处理。最后报价须由谈判供应商法定代表人或授权代表签字或者加盖公章。已提交响应文件的供应商，在提交最后报价之前，可以根据谈判情况退出谈判。</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6.1.4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6.2成交原则</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6.2.1谈判小组将从质量和服务均能满足采购文件实质性响应要求的供应商中，按照最后报价由低到高顺序推荐成交候选人。</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6.2.2供应商的最后报价如相同，则优先采购“环境标志产品”或“节能产品”；若均非“环境标志产品”、“节能产品”，则将优先采购交货期短者。</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环境标志产品是指列入财政部、环境保护部最新公布的《环境标志产品政府采购清单》内的产品；节能产品是指列入财政部、国家发改委最新公布的《节能产品政府采购清单》内的产品。</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供应商如为联合体的，请按照采购文件的要求提供相应的《联合体协议》。</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6.3落实政府采购政策评审</w:t>
      </w:r>
    </w:p>
    <w:p>
      <w:pPr>
        <w:widowControl/>
        <w:wordWrap w:val="0"/>
        <w:adjustRightInd w:val="0"/>
        <w:snapToGrid w:val="0"/>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6.3.1小微型企业价格扣除</w:t>
      </w:r>
    </w:p>
    <w:p>
      <w:pPr>
        <w:widowControl/>
        <w:wordWrap w:val="0"/>
        <w:adjustRightInd w:val="0"/>
        <w:snapToGrid w:val="0"/>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（1）本项目对小型和微型企业产品给予10%扣除价格，用扣除后的价格参与评审。</w:t>
      </w:r>
    </w:p>
    <w:p>
      <w:pPr>
        <w:widowControl/>
        <w:wordWrap w:val="0"/>
        <w:adjustRightInd w:val="0"/>
        <w:snapToGrid w:val="0"/>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（2）供应商需按照采购文件的要求提供相应的《企业声明函》。</w:t>
      </w:r>
    </w:p>
    <w:p>
      <w:pPr>
        <w:widowControl/>
        <w:wordWrap w:val="0"/>
        <w:adjustRightInd w:val="0"/>
        <w:snapToGrid w:val="0"/>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（3）企业标准请参照《关于印发中小企业划型标准规定的通知》（工信部联企业[2011]300号）文件规定自行填写。</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6.3.2残疾人福利单位</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（1）本项目对残疾人福利性单位视同小型、微型企业</w:t>
      </w:r>
      <w:r>
        <w:rPr>
          <w:rFonts w:hint="eastAsia" w:ascii="宋体" w:hAnsi="宋体" w:eastAsia="宋体" w:cs="宋体"/>
          <w:color w:val="auto"/>
          <w:highlight w:val="none"/>
        </w:rPr>
        <w:t>，给予10%价格扣除，用扣除后的价格参与评审</w:t>
      </w:r>
      <w:r>
        <w:rPr>
          <w:rFonts w:hint="eastAsia" w:ascii="宋体" w:hAnsi="宋体" w:eastAsia="宋体" w:cs="宋体"/>
          <w:color w:val="auto"/>
          <w:kern w:val="0"/>
          <w:szCs w:val="21"/>
          <w:highlight w:val="none"/>
          <w:lang w:bidi="ar"/>
        </w:rPr>
        <w:t>。</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（2）残疾人福利单位需按照采购文件的要求提供《残疾人福利性单位声明函》。</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（3）残疾人福利单位标准请参照《关于促进残疾人就业政府采购政策的通知》（财库〔2017〕141 号）。</w:t>
      </w:r>
    </w:p>
    <w:p>
      <w:pPr>
        <w:widowControl/>
        <w:wordWrap w:val="0"/>
        <w:adjustRightInd w:val="0"/>
        <w:snapToGrid w:val="0"/>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6.3.3监狱和戒毒企业</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（1）本项目对监狱和戒毒企业（简称监狱企业）视同小型、微型企业</w:t>
      </w:r>
      <w:r>
        <w:rPr>
          <w:rFonts w:hint="eastAsia" w:ascii="宋体" w:hAnsi="宋体" w:eastAsia="宋体" w:cs="宋体"/>
          <w:color w:val="auto"/>
          <w:highlight w:val="none"/>
        </w:rPr>
        <w:t>，给予10%价格扣除，用扣除后的价格参与评审</w:t>
      </w:r>
      <w:r>
        <w:rPr>
          <w:rFonts w:hint="eastAsia" w:ascii="宋体" w:hAnsi="宋体" w:eastAsia="宋体" w:cs="宋体"/>
          <w:color w:val="auto"/>
          <w:kern w:val="0"/>
          <w:szCs w:val="21"/>
          <w:highlight w:val="none"/>
          <w:lang w:bidi="ar"/>
        </w:rPr>
        <w:t>。</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（2）监狱企业参加政府采购活动时，需提供由省级以上监狱管理局、戒毒管理局(含新疆生产建设兵团)出具的属于监狱企业的证明文件。供应商如不提供上述证明文件，价格将不做相应扣除。</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（3）监狱企业标准请参照《关于政府采购支持监狱企业发展有关问题的通知》（财库[2014]68号）。</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6.4采购活动终止的情况</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出现下列情形之一的，本次竞争性谈判采购活动将被终止：</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（1）因情况变化，不再符合规定的竞争性谈判采购方式适用情形的；</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（2）出现影响采购公正的违法、违规行为的；</w:t>
      </w:r>
    </w:p>
    <w:p>
      <w:pPr>
        <w:widowControl/>
        <w:wordWrap w:val="0"/>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（3）在采购过程中符合竞争要求的供应商或者报价未超过采购预算的供应商不足3家的</w:t>
      </w:r>
      <w:r>
        <w:rPr>
          <w:rFonts w:hint="eastAsia" w:ascii="宋体" w:hAnsi="宋体" w:eastAsia="宋体" w:cs="宋体"/>
          <w:color w:val="auto"/>
          <w:kern w:val="0"/>
          <w:szCs w:val="21"/>
          <w:highlight w:val="none"/>
          <w:lang w:eastAsia="zh-CN" w:bidi="ar"/>
        </w:rPr>
        <w:t>；</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（4）因重大变故，采购任务取消的。</w:t>
      </w:r>
    </w:p>
    <w:p>
      <w:pPr>
        <w:widowControl/>
        <w:wordWrap w:val="0"/>
        <w:adjustRightInd w:val="0"/>
        <w:snapToGrid w:val="0"/>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五、成交</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1、确定成交单位</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1.1谈判小组根据本采购文件规定评审办法、原始谈判记录和谈判结果，编写评审报告，推荐成交候选人。</w:t>
      </w:r>
    </w:p>
    <w:p>
      <w:pPr>
        <w:widowControl/>
        <w:wordWrap w:val="0"/>
        <w:adjustRightInd w:val="0"/>
        <w:snapToGrid w:val="0"/>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1.2采购人根据谈判小组推荐的成交候选人确定成交供应商。采购人确定成交供应商后，代理机构发布成交结果公告，公告期限为1个工作日。</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1.3若有充分证据证明，成交供应商出现下列情况之一的，一经查实，将被取消成交资格：</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（1）提供虚假材料谋取成交的；</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（2）与评审专家、采购人、其他供应商或者代理机构工作人员恶意串通的；</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（3）向评审专家、采购人或代理机构工作人员行贿或者提供其他不正当利益的；</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（4）恶意竞争，最终总报价明显低于其自身合理成本且又无法提供证明的；</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（5）不满足本采购文件规定的实质性要求，但在评审过程中又未被谈判小组发现的；</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（6）成交后无正当理由拒不与采购人签订政府采购合同或者未按照采购文件确定的事项签订政府采购合同；</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（7）将政府采购合同转包；</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（8）法律、法规、规章规定的属于成交无效的其他情形。</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2、质疑处理 </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2.12.1参加谈判供应商认为采购文件、采购过程和采购结果使自己的权益受到损害的，可以在知道或应知其权益受到损害之日起七个工作日内，以书面形式向代理机构或采购人提出质疑。上述应知其权益受到损害之日，是指：</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2.1.1对可以质疑的采购文件提出质疑的，为收到采购文件之日或者采购文件公告期限届满之日；</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2.1.2对采购过程提出质疑的，为各采购程序环节结束之日；</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2.1.3对成交结果提出质疑的，为成交结果公告期限届满之日。</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2.2质疑必须以参加谈判供应商法定代表人或授权代表（响应文件中所确定的）原件送</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达的方式提交，未按上述要求提交的质疑函（含传真、电子邮件等）代理机构有权不予受理。</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2.3未参加谈判采购活动的供应商或在谈判采购活动中自身权益未受到损害的供应商所提出的质疑不予受理。</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2.4质疑函应当包括下列内容：</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2.4.1质疑供应商的名称、地址、邮编、联系人、联系电话；</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2.4.2具体的质疑事项及明确的请求；</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2.4.3认为自己合法权益受到损害或可能受到损害的相关证据材料；</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2.4.4提起质疑的日期；</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2.4.5质疑函应当署名：质疑人为自然人的，应当由本人签字并附有效身份证明；质疑人为法人或其他组织的，应当由法定代表人签字并加盖单位公章。质疑人委托代理质疑的，</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应当向代理机构提交授权委托书，并载明委托代理的具体权限和事项。</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2.5代理机构收到质疑函后，将对质疑的形式和内容进行审查，如质疑函内容、格式不符合规定，代理机构将告知质疑人进行补正。</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2.6质疑人应当在法定质疑期限内进行补正并重新提交质疑函，拒不补正或者在法定期限内未重新提交质疑函的，为无效质疑，代理机构有权不予受理。</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2.7对于内容、格式符合规定的质疑函，代理机构应当在收到参加谈判供应商的书面质疑后七个工作日内作出答复，但答复的内容不得涉及商业秘密。</w:t>
      </w:r>
    </w:p>
    <w:p>
      <w:pPr>
        <w:widowControl/>
        <w:wordWrap w:val="0"/>
        <w:adjustRightInd w:val="0"/>
        <w:snapToGrid w:val="0"/>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2.8供应商提出书面质疑必须有理、有据，不得恶意质疑或提交虚假质疑。</w:t>
      </w:r>
    </w:p>
    <w:p>
      <w:pPr>
        <w:widowControl/>
        <w:wordWrap w:val="0"/>
        <w:adjustRightInd w:val="0"/>
        <w:snapToGrid w:val="0"/>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 xml:space="preserve">六、合同签订相关事项 </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1、签订合同</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1.l成交供应商确定后，代理机构将向成交供应商发出成交通知书。成交供应商应按成交通知书规定的时间、地点,按照采购文件及采购人确定的事项与采购人签订政府采购合同；</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成交供应商不得更改采购人确定的合同条款和内容，且应在成交通知书发出之日起十五日内签订政府采购合同，否则采购人有权取消该成交决定，由此给采购人造成损失的，成交供应商还应承担赔偿等法律责任。在此情况下，采购人将按国家有关规定另选成交供应商。对未能成交的供应商，采购人无任何义务和责任对其未能成交的原因作出说明和解释，供应商不得提出任何异议。</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1.2采购文件、成交供应商的谈判响应文件及谈判采购过程中有关澄清、承诺文件均应作为合同附件。</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1.3签订合同后</w:t>
      </w:r>
      <w:r>
        <w:rPr>
          <w:rFonts w:hint="eastAsia" w:ascii="宋体" w:hAnsi="宋体" w:eastAsia="宋体" w:cs="宋体"/>
          <w:i/>
          <w:iCs/>
          <w:color w:val="auto"/>
          <w:kern w:val="0"/>
          <w:szCs w:val="21"/>
          <w:highlight w:val="none"/>
          <w:lang w:bidi="ar"/>
        </w:rPr>
        <w:t>，成交供应商不得将成交产品及其他相关服务进行转包。</w:t>
      </w:r>
      <w:r>
        <w:rPr>
          <w:rFonts w:hint="eastAsia" w:ascii="宋体" w:hAnsi="宋体" w:eastAsia="宋体" w:cs="宋体"/>
          <w:color w:val="auto"/>
          <w:kern w:val="0"/>
          <w:szCs w:val="21"/>
          <w:highlight w:val="none"/>
          <w:lang w:bidi="ar"/>
        </w:rPr>
        <w:t>未经采购人书面同意，成交供应商也不得采用分包的形式履行合同，否则采购人有权终止合同。转包或分包造成采购人损失的，成交供应商应承担相应赔偿责任。</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2、履约保证金</w:t>
      </w:r>
    </w:p>
    <w:p>
      <w:pPr>
        <w:widowControl/>
        <w:wordWrap w:val="0"/>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本项目无履约保证金。</w:t>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28"/>
        <w:ind w:firstLine="420"/>
        <w:rPr>
          <w:rFonts w:hAnsi="宋体" w:eastAsia="宋体" w:cs="宋体"/>
          <w:color w:val="auto"/>
          <w:highlight w:val="none"/>
        </w:rPr>
      </w:pPr>
    </w:p>
    <w:bookmarkEnd w:id="44"/>
    <w:bookmarkEnd w:id="45"/>
    <w:bookmarkEnd w:id="46"/>
    <w:p>
      <w:pPr>
        <w:pStyle w:val="2"/>
        <w:numPr>
          <w:ilvl w:val="0"/>
          <w:numId w:val="2"/>
        </w:numPr>
        <w:ind w:firstLine="480"/>
        <w:rPr>
          <w:rFonts w:ascii="宋体"/>
          <w:b/>
          <w:bCs/>
          <w:color w:val="auto"/>
          <w:sz w:val="32"/>
          <w:szCs w:val="32"/>
          <w:highlight w:val="none"/>
        </w:rPr>
      </w:pPr>
      <w:bookmarkStart w:id="47" w:name="_Toc11258615"/>
      <w:bookmarkStart w:id="48" w:name="_Toc11258688"/>
      <w:bookmarkStart w:id="49" w:name="_Toc11258661"/>
      <w:r>
        <w:rPr>
          <w:rFonts w:hint="eastAsia" w:ascii="宋体"/>
          <w:b/>
          <w:bCs/>
          <w:color w:val="auto"/>
          <w:sz w:val="32"/>
          <w:szCs w:val="32"/>
          <w:highlight w:val="none"/>
        </w:rPr>
        <w:t xml:space="preserve"> </w:t>
      </w:r>
      <w:bookmarkStart w:id="50" w:name="_Toc21164"/>
      <w:r>
        <w:rPr>
          <w:rFonts w:hint="eastAsia" w:ascii="宋体"/>
          <w:b/>
          <w:bCs/>
          <w:color w:val="auto"/>
          <w:sz w:val="32"/>
          <w:szCs w:val="32"/>
          <w:highlight w:val="none"/>
        </w:rPr>
        <w:t>合同条款及</w:t>
      </w:r>
      <w:bookmarkEnd w:id="39"/>
      <w:bookmarkEnd w:id="40"/>
      <w:bookmarkEnd w:id="41"/>
      <w:bookmarkEnd w:id="42"/>
      <w:bookmarkEnd w:id="43"/>
      <w:r>
        <w:rPr>
          <w:rFonts w:hint="eastAsia" w:ascii="宋体"/>
          <w:b/>
          <w:bCs/>
          <w:color w:val="auto"/>
          <w:sz w:val="32"/>
          <w:szCs w:val="32"/>
          <w:highlight w:val="none"/>
        </w:rPr>
        <w:t>格式</w:t>
      </w:r>
      <w:bookmarkEnd w:id="47"/>
      <w:bookmarkEnd w:id="48"/>
      <w:bookmarkEnd w:id="49"/>
      <w:bookmarkEnd w:id="50"/>
    </w:p>
    <w:p>
      <w:pPr>
        <w:pStyle w:val="12"/>
        <w:spacing w:line="360" w:lineRule="auto"/>
        <w:ind w:firstLine="420" w:firstLineChars="200"/>
        <w:rPr>
          <w:rFonts w:hAnsi="宋体" w:cs="宋体"/>
          <w:color w:val="auto"/>
          <w:highlight w:val="none"/>
        </w:rPr>
      </w:pPr>
      <w:r>
        <w:rPr>
          <w:rFonts w:hint="eastAsia" w:hAnsi="宋体" w:cs="宋体"/>
          <w:color w:val="auto"/>
          <w:highlight w:val="none"/>
        </w:rPr>
        <w:t>以下为成交后签定本项目合同的通用条款，成交供应商不得提出实质性的修改。关于专用条款将由采购人与成交供应商结合本项目具体情况协商后补充，但补充内容对谈判文件和响应文件以及通用条款，不得作实质性修改。</w:t>
      </w:r>
    </w:p>
    <w:p>
      <w:pPr>
        <w:rPr>
          <w:rFonts w:ascii="宋体" w:hAnsi="宋体" w:eastAsia="宋体" w:cs="宋体"/>
          <w:color w:val="auto"/>
          <w:highlight w:val="none"/>
        </w:rPr>
      </w:pPr>
    </w:p>
    <w:p>
      <w:pPr>
        <w:spacing w:before="120" w:beforeLines="50" w:after="120" w:afterLines="50"/>
        <w:jc w:val="center"/>
        <w:outlineLvl w:val="0"/>
        <w:rPr>
          <w:rFonts w:hint="eastAsia" w:ascii="宋体" w:hAnsi="宋体" w:eastAsia="宋体" w:cs="宋体"/>
          <w:b/>
          <w:color w:val="auto"/>
          <w:sz w:val="21"/>
          <w:szCs w:val="21"/>
          <w:highlight w:val="none"/>
        </w:rPr>
      </w:pPr>
      <w:bookmarkStart w:id="51" w:name="_Toc21527"/>
      <w:bookmarkStart w:id="52" w:name="_Toc16845"/>
      <w:r>
        <w:rPr>
          <w:rFonts w:hint="eastAsia" w:ascii="宋体" w:hAnsi="宋体" w:eastAsia="宋体" w:cs="宋体"/>
          <w:b/>
          <w:color w:val="auto"/>
          <w:sz w:val="21"/>
          <w:szCs w:val="21"/>
          <w:highlight w:val="none"/>
        </w:rPr>
        <w:t>政府采购合同（货物）</w:t>
      </w:r>
    </w:p>
    <w:p>
      <w:pPr>
        <w:spacing w:before="120" w:beforeLines="50" w:after="120" w:afterLines="50"/>
        <w:jc w:val="center"/>
        <w:rPr>
          <w:rFonts w:hint="eastAsia" w:ascii="宋体" w:hAnsi="宋体" w:eastAsia="宋体" w:cs="宋体"/>
          <w:b/>
          <w:color w:val="auto"/>
          <w:kern w:val="0"/>
          <w:sz w:val="21"/>
          <w:szCs w:val="21"/>
          <w:highlight w:val="none"/>
        </w:rPr>
      </w:pPr>
    </w:p>
    <w:p>
      <w:pPr>
        <w:pStyle w:val="12"/>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项目名称：扬州市邗江区住房和城乡建设局2022年度白蚁防治药物采购项目</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编号：JSJJC-YZ-CG-2022001 号</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甲方（采购人/买方）：扬州市邗江区住房和城乡建设局</w:t>
      </w:r>
    </w:p>
    <w:p>
      <w:pPr>
        <w:pStyle w:val="12"/>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乙方（供应商/卖方）：</w:t>
      </w:r>
      <w:r>
        <w:rPr>
          <w:rFonts w:hint="eastAsia" w:ascii="宋体" w:hAnsi="宋体" w:eastAsia="宋体" w:cs="宋体"/>
          <w:color w:val="auto"/>
          <w:sz w:val="21"/>
          <w:szCs w:val="21"/>
          <w:highlight w:val="none"/>
          <w:u w:val="single"/>
        </w:rPr>
        <w:t xml:space="preserve">              </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见证方：江苏嘉加诚工程投资咨询有限公司</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根据《中华人民共和国政府采购法》、《中华人民共和国民法典》等法律法规的规定，甲乙双方按照江苏嘉加诚工程投资咨询有限公司关于本项目谈判结果签订本合同。</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1、合同标的</w:t>
      </w:r>
    </w:p>
    <w:p>
      <w:pPr>
        <w:spacing w:line="360" w:lineRule="auto"/>
        <w:ind w:left="-1"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乙方根据甲方需求，提供下列货物：</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pPr>
        <w:spacing w:line="360" w:lineRule="auto"/>
        <w:ind w:left="-1"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货物名称、规格及数量等要求详见谈判文件及乙方响应文件。</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2、合同金额</w:t>
      </w:r>
    </w:p>
    <w:p>
      <w:pPr>
        <w:spacing w:line="360" w:lineRule="auto"/>
        <w:ind w:left="-1" w:firstLine="420" w:firstLineChars="200"/>
        <w:rPr>
          <w:rStyle w:val="55"/>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Style w:val="55"/>
          <w:rFonts w:hint="eastAsia" w:ascii="宋体" w:hAnsi="宋体" w:eastAsia="宋体" w:cs="宋体"/>
          <w:color w:val="auto"/>
          <w:sz w:val="21"/>
          <w:szCs w:val="21"/>
          <w:highlight w:val="none"/>
        </w:rPr>
        <w:t>本合同金额为（大写）：</w:t>
      </w:r>
      <w:r>
        <w:rPr>
          <w:rStyle w:val="55"/>
          <w:rFonts w:hint="eastAsia" w:ascii="宋体" w:hAnsi="宋体" w:eastAsia="宋体" w:cs="宋体"/>
          <w:color w:val="auto"/>
          <w:sz w:val="21"/>
          <w:szCs w:val="21"/>
          <w:highlight w:val="none"/>
          <w:u w:val="single"/>
        </w:rPr>
        <w:t xml:space="preserve">                         </w:t>
      </w:r>
      <w:r>
        <w:rPr>
          <w:rStyle w:val="55"/>
          <w:rFonts w:hint="eastAsia" w:ascii="宋体" w:hAnsi="宋体" w:eastAsia="宋体" w:cs="宋体"/>
          <w:color w:val="auto"/>
          <w:sz w:val="21"/>
          <w:szCs w:val="21"/>
          <w:highlight w:val="none"/>
        </w:rPr>
        <w:t>元人民币（￥</w:t>
      </w:r>
      <w:r>
        <w:rPr>
          <w:rStyle w:val="55"/>
          <w:rFonts w:hint="eastAsia" w:ascii="宋体" w:hAnsi="宋体" w:eastAsia="宋体" w:cs="宋体"/>
          <w:color w:val="auto"/>
          <w:sz w:val="21"/>
          <w:szCs w:val="21"/>
          <w:highlight w:val="none"/>
          <w:u w:val="single"/>
        </w:rPr>
        <w:t xml:space="preserve">      </w:t>
      </w:r>
      <w:r>
        <w:rPr>
          <w:rStyle w:val="55"/>
          <w:rFonts w:hint="eastAsia" w:ascii="宋体" w:hAnsi="宋体" w:eastAsia="宋体" w:cs="宋体"/>
          <w:color w:val="auto"/>
          <w:sz w:val="21"/>
          <w:szCs w:val="21"/>
          <w:highlight w:val="none"/>
        </w:rPr>
        <w:t xml:space="preserve"> 元）。</w:t>
      </w:r>
    </w:p>
    <w:p>
      <w:pPr>
        <w:spacing w:line="360" w:lineRule="auto"/>
        <w:ind w:left="-1" w:firstLine="420" w:firstLineChars="200"/>
        <w:rPr>
          <w:rStyle w:val="55"/>
          <w:rFonts w:hint="eastAsia" w:ascii="宋体" w:hAnsi="宋体" w:eastAsia="宋体" w:cs="宋体"/>
          <w:color w:val="auto"/>
          <w:sz w:val="21"/>
          <w:szCs w:val="21"/>
          <w:highlight w:val="none"/>
        </w:rPr>
      </w:pPr>
      <w:r>
        <w:rPr>
          <w:rStyle w:val="55"/>
          <w:rFonts w:hint="eastAsia" w:ascii="宋体" w:hAnsi="宋体" w:eastAsia="宋体" w:cs="宋体"/>
          <w:color w:val="auto"/>
          <w:sz w:val="21"/>
          <w:szCs w:val="21"/>
          <w:highlight w:val="none"/>
        </w:rPr>
        <w:t>该金额为固定含税总价，系乙方为全面履行本合同而需甲方支付的全部对价。任何情况下， 乙方均无权要求甲方增加支付任何费用和款项。</w:t>
      </w:r>
    </w:p>
    <w:p>
      <w:pPr>
        <w:spacing w:line="360" w:lineRule="auto"/>
        <w:ind w:left="-1"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2.2</w:t>
      </w:r>
      <w:r>
        <w:rPr>
          <w:rStyle w:val="55"/>
          <w:rFonts w:hint="eastAsia" w:ascii="宋体" w:hAnsi="宋体" w:eastAsia="宋体" w:cs="宋体"/>
          <w:color w:val="auto"/>
          <w:sz w:val="21"/>
          <w:szCs w:val="21"/>
          <w:highlight w:val="none"/>
        </w:rPr>
        <w:t>本合同总金额包括所乙方提供货物的产品费用、安装调试费、测试验收费、培训费、运行维护费用、税金及其他有关的为完成本项目发生的所有费用，谈判文件中另有规定的除外。</w:t>
      </w:r>
    </w:p>
    <w:p>
      <w:pPr>
        <w:spacing w:line="360" w:lineRule="auto"/>
        <w:ind w:left="-1" w:firstLine="420" w:firstLineChars="200"/>
        <w:rPr>
          <w:rFonts w:hint="eastAsia" w:ascii="宋体" w:hAnsi="宋体" w:eastAsia="宋体" w:cs="宋体"/>
          <w:color w:val="auto"/>
          <w:sz w:val="21"/>
          <w:szCs w:val="21"/>
          <w:highlight w:val="none"/>
        </w:rPr>
      </w:pPr>
      <w:r>
        <w:rPr>
          <w:rStyle w:val="55"/>
          <w:rFonts w:hint="eastAsia" w:ascii="宋体" w:hAnsi="宋体" w:eastAsia="宋体" w:cs="宋体"/>
          <w:color w:val="auto"/>
          <w:sz w:val="21"/>
          <w:szCs w:val="21"/>
          <w:highlight w:val="none"/>
        </w:rPr>
        <w:t>2.3在招标文件未列明，而乙方认为履行本合同必需的费用也包含在合同总金额中。</w:t>
      </w:r>
    </w:p>
    <w:p>
      <w:pPr>
        <w:spacing w:line="360" w:lineRule="auto"/>
        <w:ind w:left="-1" w:firstLine="420" w:firstLineChars="200"/>
        <w:rPr>
          <w:rStyle w:val="55"/>
          <w:rFonts w:hint="eastAsia" w:ascii="宋体" w:hAnsi="宋体" w:eastAsia="宋体" w:cs="宋体"/>
          <w:color w:val="auto"/>
          <w:sz w:val="21"/>
          <w:szCs w:val="21"/>
          <w:highlight w:val="none"/>
        </w:rPr>
      </w:pPr>
      <w:r>
        <w:rPr>
          <w:rStyle w:val="55"/>
          <w:rFonts w:hint="eastAsia" w:ascii="宋体" w:hAnsi="宋体" w:eastAsia="宋体" w:cs="宋体"/>
          <w:color w:val="auto"/>
          <w:sz w:val="21"/>
          <w:szCs w:val="21"/>
          <w:highlight w:val="none"/>
        </w:rPr>
        <w:t>2.4本合同总金额还包含乙方提供的伴随服务/售后服务费用。</w:t>
      </w:r>
    </w:p>
    <w:p>
      <w:pPr>
        <w:spacing w:line="360" w:lineRule="auto"/>
        <w:ind w:left="-1" w:firstLine="420" w:firstLineChars="200"/>
        <w:rPr>
          <w:rStyle w:val="55"/>
          <w:rFonts w:hint="eastAsia" w:ascii="宋体" w:hAnsi="宋体" w:eastAsia="宋体" w:cs="宋体"/>
          <w:color w:val="auto"/>
          <w:sz w:val="21"/>
          <w:szCs w:val="21"/>
          <w:highlight w:val="none"/>
        </w:rPr>
      </w:pPr>
      <w:r>
        <w:rPr>
          <w:rStyle w:val="55"/>
          <w:rFonts w:hint="eastAsia" w:ascii="宋体" w:hAnsi="宋体" w:eastAsia="宋体" w:cs="宋体"/>
          <w:color w:val="auto"/>
          <w:sz w:val="21"/>
          <w:szCs w:val="21"/>
          <w:highlight w:val="none"/>
        </w:rPr>
        <w:t>2.5本合同签订后：甲方需追加与合同标的相同的货物和服务的，在不改变合同其他条款的前提下，可以与乙方协商签订补充合同，但所有补充合同的增加的金额不超过原合同金额的10%；甲方若由于各种客观原因，必须对采购项目所牵涉的货物和服务进行适当的减少时，在与乙方协商一致后，可以按照招标采购时的价格水平做相应的调减，并据此签订补充合同；除上述情况外，本合同执行期间合同总金额不变。</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3、组成本合同的有关文件</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3.1乙方应按招标文件规定的时间向甲方提供使用货物的有关技术资料。</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3.2没有甲方事先书面同意，乙方不得将由甲方提供的有关合同或任何合同条文、规格、计划、图纸、样品或资料提供给任何其他人。即使向履行本合同有关的人员提供，也应注意保密并限于履行合同的必需范围。</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3.3关于本项目政府采购的谈判文件、乙方响应文件或与本次采购活动方式相适应的文 件及有关附件是本合同不可分割的组成部分，这些文件包括但不限于：</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（1）谈判文件；                   （2）投标产品配置与报价文件；</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（3）供货一览表；                 （4）技术参数响应表；</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（5）服务承诺；                   （6）成交通知书；</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（7）甲乙双方补充协议；           （8）乙方投标时提供的响应文件。</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4、知识产权保证</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乙方保证甲方在使用、接受本合同货物和服务或其任何一部分时，不受第三方提出侵犯其专利权、版权、商标权和工业设计权等知识产权的起诉。一旦出现侵权，由乙方负全部责任。</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5、产权保证</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乙方保证所交付的货物的所有权无任何抵押、查封等权利瑕疵。</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6、履约保证金</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本项目无履约保证金</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7、转包或分包</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7.1本合同禁止转包，本合同范围的货物，应由乙方直接供应的，不得转让他人供应。</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7.2经甲方书面同意，乙方可以依法采取分包方式履行合同，但是分包方式履行的，乙方应就采购项目向甲方负全责。</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8、质保期</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质保期</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年。（（自交货验收合格之日起计，实际时间以乙方投标承诺为准））</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9、交货期、交货方式及交货地点</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9.1交货期：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9.2交货方式：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9.2交货地点：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10、货款支付</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本合同项下所有款项均以人民币支付。</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本合同项下的采购资金由甲方支付，付款前乙方向甲方开具发票，否则甲方有权拒绝付款且不构成违约。</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10.3付款：</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w:t>
      </w:r>
      <w:r>
        <w:rPr>
          <w:rFonts w:hint="eastAsia" w:ascii="宋体" w:hAnsi="宋体" w:eastAsia="宋体" w:cs="宋体"/>
          <w:color w:val="auto"/>
          <w:sz w:val="21"/>
          <w:szCs w:val="21"/>
          <w:highlight w:val="none"/>
          <w:lang w:val="en-US" w:eastAsia="zh-CN"/>
        </w:rPr>
        <w:t>完成</w:t>
      </w:r>
      <w:r>
        <w:rPr>
          <w:rFonts w:hint="eastAsia" w:ascii="宋体" w:hAnsi="宋体" w:eastAsia="宋体" w:cs="宋体"/>
          <w:color w:val="auto"/>
          <w:sz w:val="21"/>
          <w:szCs w:val="21"/>
          <w:highlight w:val="none"/>
        </w:rPr>
        <w:t>，甲方收齐全部货物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并经</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rPr>
        <w:t>合格后，乙方向甲方开具发票，甲方自收到发票之日起十五日内</w:t>
      </w:r>
      <w:r>
        <w:rPr>
          <w:rFonts w:hint="eastAsia" w:ascii="宋体" w:hAnsi="宋体" w:eastAsia="宋体" w:cs="宋体"/>
          <w:color w:val="auto"/>
          <w:sz w:val="21"/>
          <w:szCs w:val="21"/>
          <w:highlight w:val="none"/>
          <w:lang w:val="en-US" w:eastAsia="zh-CN"/>
        </w:rPr>
        <w:t>支付给乙方合同金额的100%</w:t>
      </w:r>
      <w:r>
        <w:rPr>
          <w:rFonts w:hint="eastAsia" w:ascii="宋体" w:hAnsi="宋体" w:eastAsia="宋体" w:cs="宋体"/>
          <w:color w:val="auto"/>
          <w:sz w:val="21"/>
          <w:szCs w:val="21"/>
          <w:highlight w:val="none"/>
        </w:rPr>
        <w:t>。</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11、税费</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12、质量保证及售后服务</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12.1乙方应按谈判文件规定及响应文件承诺的货物性能、技术要求、质量标准向甲方提供未经使用的全新产品；若技术性能无特殊说明，则按国家有关部门最新颁布的标准及规范为准。</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12.3乙方提供的货物在质保期内因货物本身的质量问题发生故障，乙方应负责免费更换。对达不到技术要求者，根据实际情况，经双方协商，货物可按以下办法处理：</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⑴更换：由乙方承担所发生的全部费用。</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⑵贬值处理：由甲乙双方合议定价。</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⑶退货处理：乙方应退还甲方支付的合同款，同时应承担该货物的直接费用（运输、保险、检验、货款利息及银行手续费等）。</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如在使用过程中发生质量问题，乙方在接到甲方通知后在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小时内作出响应并到达甲方现场。</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12.5在质保期内，乙方应对货物出现的质量及安全问题负责处理解决并承担一切费用。</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12.6上述的货物免费保修期为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年，因非甲方原因人为因素出现的故障不在免费 保修范围内。超过保修期的机器设备，终生维修，维修时只收部件成本费。</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12.7如果在服务承诺时间内中标人没有到达现场并且排除故障，则每次除继续维修以外另支付违约金给采购人每次壹仟元，采购人有权在中标人质保金中扣除，中标人对此不得提出异议。</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13、交货、调试和验收</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13.1乙方应当在合同生效后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将货物交付甲方，地点由甲方指定，谈判文件有约定的，从其约定。在发货前，乙方应对产品作出全面检查和对验收文件进行整理，并列出清单，作为甲方收货初验收和使用的技术条件依据，检验的结果应随货物交甲方。</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13.2货到甲方后，甲乙双方须在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工作日内初验收，甲方对乙方提交的货物依据谈判文件上的技术规格要求和国家有关质量标准进行现场初步验收，外观、说明书、包装符合谈判文件技术要求的，给予签收，初步验收不合格的不予签收。</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13.3乙方按照谈判文件要求负责产品安装并培训甲方的使用操作人员，乙方在甲方使用前进行调试，调试直到符合技术要求的甲方才做最终验收。</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对技术复杂的货物，甲方可请国家认可的专业检测机构参与初步验收及最终验收，并由其出具质量检测报告。验收时乙方必须在现场，验收完毕后作出验收结果报告；若聘请第三方中立机构验收，验收费用由甲乙双方协商解决。</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13.5甲乙双方关于调试和验收的其他约定：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14、货物包装、发运及运输</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乙方应在货物发运前对其进行满足运输距离、防潮、防震、防锈和防破损装卸等要求包装，以保证货物安全运达甲方指定地点。</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乙方发货时，产品使用说明书、检验证明书、随配附件和工具以及清单一并附于货物内。</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乙方在货物发运手续办理完毕后24小时内或货到甲方48小时前通知甲方，以准备甲方接货。根据甲方通知的时间和指定的地点，乙方负责安排送货、装卸、清点、堆放，设备初验收合格前的保管工作由乙方负责，费用乙方承担。</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货物在交付甲方前发生的风险均由乙方负责。</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 货物在规定的交付期限内由乙方送达甲方指定的地点，经初步验收即视为货物交付。</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15、违约责任</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甲方无正当理由拒绝初验收和终验收货物的，甲方应按未付货款金额每日万分之五向乙方支付违约金。</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甲方无故逾期验收和无故逾期办理货款支付手续的,甲方应按逾期付款金额每日万分之五向乙方支付违约金。</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15.3乙方违约，在消除违约情形前，应按货款总额每日万分之五向甲方支付违约金，甲方可以从待付货款中扣除。</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15.4乙方因逾期交货或因其他违约行为，导致甲方解除合同的，乙方应向甲方支付合同总值5%的违约金，如造成甲方损失超过违约金的，超出部分由乙方继续承担赔偿责任。</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 乙方所交的货物全部或部分品种、型号、规格、技术参数、质量不符合合同规定及谈判文件规定标准的，乙方更换货物但逾期交货的（甲方拒绝接受的除外），按乙方逾期交货处理；乙方拒绝更换货物的，甲方可选择解除本合同或本合同的一部分，并可追究乙方的其他违约责任。</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15.6合同生效后，发现乙方投标属虚假承诺，或经权威部门监测提供的货物不能满足谈判文件要求，造成合同无法继续履行的，乙方履约保证金不予退还外，还应向甲方支付不少于合同总价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%赔偿金。</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16、不可抗力事件处理</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17、争议解决</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因货物的质量问题发生争议的，可在国家认可的质量检测机构对货物质量进行鉴定。货物符合标准的，鉴定费由甲方承担；货物不符合质量标准的，鉴定费由乙方承担。</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因履行本合同引起的或与本合同有关的争议，甲、乙双方应首先通过友好协商解决；如果协商不能解决争议，甲乙双方同意采取下列两种方式的第（ ）种方式解决争议：</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（1）向甲方所在地有管辖权的人民法院提起诉讼，适用中华人民共和国法律；</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（2）向扬州仲裁委员会按其仲裁规则申请仲裁。</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 若甲乙双方任何一方都没有选择解除合同的，为避免扩大损失，在诉讼或仲裁期间，双方应继续履行。</w:t>
      </w:r>
    </w:p>
    <w:p>
      <w:pPr>
        <w:pStyle w:val="12"/>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18、合同其它</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乙方应诚实信用，严格按照谈判文件要求和响应承诺履行合同，不向甲方进行商业贿赂或者提供不正当利益。</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合同经双方法定代表人或授权代表签字并加盖单位公章并经江苏嘉加诚工程投资咨询有限公司见证盖章后后生效。</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18.2本合同未尽事宜，遵照《民法典》有关条文执行。</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18.3本合同正本一式四份，具有同等法律效力，甲方、乙方、见证方及财政监管部门 （扬州市邗江区财政局政府采购管理处）各执一份。</w:t>
      </w:r>
    </w:p>
    <w:p>
      <w:pPr>
        <w:pStyle w:val="12"/>
        <w:snapToGrid w:val="0"/>
        <w:spacing w:before="120" w:after="120" w:line="360" w:lineRule="auto"/>
        <w:ind w:left="420" w:leftChars="100" w:hanging="210" w:hangingChars="100"/>
        <w:rPr>
          <w:rFonts w:hint="eastAsia" w:ascii="宋体" w:hAnsi="宋体" w:eastAsia="宋体" w:cs="宋体"/>
          <w:color w:val="auto"/>
          <w:sz w:val="21"/>
          <w:szCs w:val="21"/>
          <w:highlight w:val="none"/>
        </w:rPr>
      </w:pPr>
    </w:p>
    <w:p>
      <w:pPr>
        <w:pStyle w:val="12"/>
        <w:snapToGrid w:val="0"/>
        <w:spacing w:before="120" w:after="120" w:line="360" w:lineRule="auto"/>
        <w:ind w:left="420" w:leftChars="100" w:hanging="210" w:hangingChars="100"/>
        <w:rPr>
          <w:rFonts w:hint="eastAsia" w:ascii="宋体" w:hAnsi="宋体" w:eastAsia="宋体" w:cs="宋体"/>
          <w:color w:val="auto"/>
          <w:sz w:val="21"/>
          <w:szCs w:val="21"/>
          <w:highlight w:val="none"/>
        </w:rPr>
      </w:pPr>
    </w:p>
    <w:p>
      <w:pPr>
        <w:pStyle w:val="12"/>
        <w:snapToGrid w:val="0"/>
        <w:spacing w:before="120" w:after="120" w:line="360" w:lineRule="auto"/>
        <w:ind w:left="420" w:leftChars="10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乙方： </w:t>
      </w:r>
    </w:p>
    <w:p>
      <w:pPr>
        <w:pStyle w:val="12"/>
        <w:snapToGrid w:val="0"/>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地址： </w:t>
      </w:r>
    </w:p>
    <w:p>
      <w:pPr>
        <w:pStyle w:val="12"/>
        <w:snapToGrid w:val="0"/>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法定代表人或授权代表：                   法定代表人或授权代表：</w:t>
      </w:r>
    </w:p>
    <w:p>
      <w:pPr>
        <w:pStyle w:val="12"/>
        <w:snapToGrid w:val="0"/>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联系电话：                               联系电话：</w:t>
      </w:r>
    </w:p>
    <w:p>
      <w:pPr>
        <w:pStyle w:val="12"/>
        <w:snapToGrid w:val="0"/>
        <w:spacing w:before="120" w:after="120"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               日期：      年    月    日</w:t>
      </w:r>
    </w:p>
    <w:p>
      <w:pPr>
        <w:pStyle w:val="12"/>
        <w:snapToGrid w:val="0"/>
        <w:spacing w:before="120" w:after="120" w:line="360" w:lineRule="auto"/>
        <w:rPr>
          <w:rFonts w:hint="eastAsia" w:ascii="宋体" w:hAnsi="宋体" w:eastAsia="宋体" w:cs="宋体"/>
          <w:color w:val="auto"/>
          <w:sz w:val="21"/>
          <w:szCs w:val="21"/>
          <w:highlight w:val="none"/>
        </w:rPr>
      </w:pPr>
    </w:p>
    <w:p>
      <w:pPr>
        <w:pStyle w:val="12"/>
        <w:snapToGrid w:val="0"/>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见证方： </w:t>
      </w:r>
    </w:p>
    <w:p>
      <w:pPr>
        <w:pStyle w:val="12"/>
        <w:snapToGrid w:val="0"/>
        <w:spacing w:before="120" w:after="120"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项目经办人：</w:t>
      </w:r>
    </w:p>
    <w:p>
      <w:pPr>
        <w:pStyle w:val="12"/>
        <w:snapToGrid w:val="0"/>
        <w:spacing w:before="120" w:after="120"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bookmarkEnd w:id="51"/>
    <w:bookmarkEnd w:id="52"/>
    <w:p>
      <w:pPr>
        <w:rPr>
          <w:rFonts w:ascii="宋体" w:hAnsi="宋体" w:eastAsia="宋体" w:cs="宋体"/>
          <w:color w:val="auto"/>
          <w:highlight w:val="none"/>
        </w:rPr>
      </w:pPr>
      <w:r>
        <w:rPr>
          <w:rFonts w:hint="eastAsia" w:ascii="宋体" w:hAnsi="宋体" w:eastAsia="宋体" w:cs="宋体"/>
          <w:color w:val="auto"/>
          <w:highlight w:val="none"/>
        </w:rPr>
        <w:br w:type="page"/>
      </w:r>
    </w:p>
    <w:p>
      <w:pPr>
        <w:pStyle w:val="2"/>
        <w:rPr>
          <w:rFonts w:ascii="宋体"/>
          <w:color w:val="auto"/>
          <w:highlight w:val="none"/>
        </w:rPr>
      </w:pPr>
      <w:bookmarkStart w:id="53" w:name="_Toc30314"/>
      <w:r>
        <w:rPr>
          <w:rFonts w:hint="eastAsia" w:ascii="宋体"/>
          <w:color w:val="auto"/>
          <w:highlight w:val="none"/>
        </w:rPr>
        <w:t>第四章项目需求</w:t>
      </w:r>
      <w:bookmarkEnd w:id="53"/>
    </w:p>
    <w:p>
      <w:pPr>
        <w:keepNext w:val="0"/>
        <w:keepLines w:val="0"/>
        <w:pageBreakBefore w:val="0"/>
        <w:kinsoku/>
        <w:wordWrap/>
        <w:overflowPunct/>
        <w:topLinePunct w:val="0"/>
        <w:autoSpaceDE/>
        <w:autoSpaceDN/>
        <w:bidi w:val="0"/>
        <w:snapToGrid w:val="0"/>
        <w:spacing w:line="360" w:lineRule="auto"/>
        <w:jc w:val="left"/>
        <w:textAlignment w:val="auto"/>
        <w:rPr>
          <w:color w:val="auto"/>
          <w:highlight w:val="none"/>
        </w:rPr>
      </w:pPr>
      <w:bookmarkStart w:id="54" w:name="_Toc5063"/>
      <w:r>
        <w:rPr>
          <w:rFonts w:hint="eastAsia" w:ascii="宋体" w:hAnsi="宋体" w:eastAsia="宋体" w:cs="宋体"/>
          <w:b/>
          <w:bCs/>
          <w:i/>
          <w:iCs/>
          <w:color w:val="auto"/>
          <w:highlight w:val="none"/>
          <w:u w:val="single"/>
        </w:rPr>
        <w:t>注：本章所有内容均为实质性响应条件，为必须遵守的条件，如不满足将作无效响应文件处理。</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一、采购清单及相关技术要求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912"/>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 w:type="pct"/>
            <w:vAlign w:val="center"/>
          </w:tcPr>
          <w:p>
            <w:pPr>
              <w:adjustRightInd w:val="0"/>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品名</w:t>
            </w:r>
          </w:p>
        </w:tc>
        <w:tc>
          <w:tcPr>
            <w:tcW w:w="3722" w:type="pct"/>
            <w:vAlign w:val="center"/>
          </w:tcPr>
          <w:p>
            <w:pPr>
              <w:adjustRightInd w:val="0"/>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参数</w:t>
            </w:r>
          </w:p>
        </w:tc>
        <w:tc>
          <w:tcPr>
            <w:tcW w:w="364" w:type="pct"/>
            <w:vAlign w:val="center"/>
          </w:tcPr>
          <w:p>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vAlign w:val="center"/>
          </w:tcPr>
          <w:p>
            <w:pPr>
              <w:adjustRightInd w:val="0"/>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70%吡虫啉可分散粒剂</w:t>
            </w:r>
          </w:p>
        </w:tc>
        <w:tc>
          <w:tcPr>
            <w:tcW w:w="3722" w:type="pct"/>
          </w:tcPr>
          <w:p>
            <w:pPr>
              <w:numPr>
                <w:ilvl w:val="0"/>
                <w:numId w:val="3"/>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有效成份：吡虫啉；</w:t>
            </w:r>
          </w:p>
          <w:p>
            <w:pPr>
              <w:numPr>
                <w:ilvl w:val="0"/>
                <w:numId w:val="3"/>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有效成分含量：≥70.0%；</w:t>
            </w:r>
          </w:p>
          <w:p>
            <w:pPr>
              <w:numPr>
                <w:ilvl w:val="0"/>
                <w:numId w:val="3"/>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剂型：可分散粒剂；</w:t>
            </w:r>
          </w:p>
          <w:p>
            <w:pPr>
              <w:numPr>
                <w:ilvl w:val="0"/>
                <w:numId w:val="3"/>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水分：≤2.0%；</w:t>
            </w:r>
          </w:p>
          <w:p>
            <w:pPr>
              <w:numPr>
                <w:ilvl w:val="0"/>
                <w:numId w:val="3"/>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PH值：6.0-10.0；</w:t>
            </w:r>
          </w:p>
          <w:p>
            <w:pPr>
              <w:numPr>
                <w:ilvl w:val="0"/>
                <w:numId w:val="3"/>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润湿时间：≤60s；</w:t>
            </w:r>
          </w:p>
          <w:p>
            <w:pPr>
              <w:numPr>
                <w:ilvl w:val="0"/>
                <w:numId w:val="3"/>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理化性质：外观应是干的，能自由流动的颗粒，基本无粉尘，无可见的外来杂质和硬团块；</w:t>
            </w:r>
          </w:p>
          <w:p>
            <w:pPr>
              <w:numPr>
                <w:ilvl w:val="0"/>
                <w:numId w:val="3"/>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湿筛试验（通过75μm试验筛）：≥98%；</w:t>
            </w:r>
          </w:p>
          <w:p>
            <w:pPr>
              <w:numPr>
                <w:ilvl w:val="0"/>
                <w:numId w:val="3"/>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悬浮率：≥90%；</w:t>
            </w:r>
          </w:p>
          <w:p>
            <w:pPr>
              <w:numPr>
                <w:ilvl w:val="0"/>
                <w:numId w:val="3"/>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粒度范围（1200μm~300μm试验筛）：≥95%；</w:t>
            </w:r>
          </w:p>
          <w:p>
            <w:pPr>
              <w:numPr>
                <w:ilvl w:val="0"/>
                <w:numId w:val="3"/>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粉尘：≤30mg；</w:t>
            </w:r>
          </w:p>
          <w:p>
            <w:pPr>
              <w:numPr>
                <w:ilvl w:val="0"/>
                <w:numId w:val="3"/>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分散性：≥90%；</w:t>
            </w:r>
          </w:p>
          <w:p>
            <w:pPr>
              <w:numPr>
                <w:ilvl w:val="0"/>
                <w:numId w:val="3"/>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持久起泡性(1min后)：≤25mL；</w:t>
            </w:r>
          </w:p>
          <w:p>
            <w:pPr>
              <w:numPr>
                <w:ilvl w:val="0"/>
                <w:numId w:val="3"/>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热贮稳定性：合格；</w:t>
            </w:r>
          </w:p>
          <w:p>
            <w:pPr>
              <w:numPr>
                <w:ilvl w:val="0"/>
                <w:numId w:val="3"/>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00g/袋×</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0袋（塑料袋纸箱）</w:t>
            </w:r>
            <w:r>
              <w:rPr>
                <w:rFonts w:hint="eastAsia" w:ascii="宋体" w:hAnsi="宋体" w:eastAsia="宋体" w:cs="宋体"/>
                <w:color w:val="auto"/>
                <w:sz w:val="21"/>
                <w:szCs w:val="21"/>
                <w:highlight w:val="none"/>
                <w:lang w:eastAsia="zh-CN"/>
              </w:rPr>
              <w:t>。</w:t>
            </w:r>
          </w:p>
        </w:tc>
        <w:tc>
          <w:tcPr>
            <w:tcW w:w="364" w:type="pct"/>
            <w:vAlign w:val="center"/>
          </w:tcPr>
          <w:p>
            <w:pPr>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720公斤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vAlign w:val="center"/>
          </w:tcPr>
          <w:p>
            <w:pPr>
              <w:adjustRightInd w:val="0"/>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5%联苯菊酯水乳剂</w:t>
            </w:r>
          </w:p>
        </w:tc>
        <w:tc>
          <w:tcPr>
            <w:tcW w:w="3722" w:type="pct"/>
          </w:tcPr>
          <w:p>
            <w:pPr>
              <w:numPr>
                <w:ilvl w:val="0"/>
                <w:numId w:val="4"/>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有效成份：联苯菊酯；</w:t>
            </w:r>
          </w:p>
          <w:p>
            <w:pPr>
              <w:numPr>
                <w:ilvl w:val="0"/>
                <w:numId w:val="4"/>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有效成分含量：（5.0±0.5）%；</w:t>
            </w:r>
          </w:p>
          <w:p>
            <w:pPr>
              <w:numPr>
                <w:ilvl w:val="0"/>
                <w:numId w:val="4"/>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剂型：水乳剂；</w:t>
            </w:r>
          </w:p>
          <w:p>
            <w:pPr>
              <w:numPr>
                <w:ilvl w:val="0"/>
                <w:numId w:val="4"/>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外观：应为乳白色稳定乳状液；</w:t>
            </w:r>
          </w:p>
          <w:p>
            <w:pPr>
              <w:numPr>
                <w:ilvl w:val="0"/>
                <w:numId w:val="4"/>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PH值范围：4.0-8.0；</w:t>
            </w:r>
          </w:p>
          <w:p>
            <w:pPr>
              <w:numPr>
                <w:ilvl w:val="0"/>
                <w:numId w:val="4"/>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倾倒性：倾倒后残余物≤5.0%，洗涤后残余物≤0.5%；</w:t>
            </w:r>
          </w:p>
          <w:p>
            <w:pPr>
              <w:numPr>
                <w:ilvl w:val="0"/>
                <w:numId w:val="4"/>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乳液稳定性（稀释200倍）：合格；</w:t>
            </w:r>
          </w:p>
          <w:p>
            <w:pPr>
              <w:numPr>
                <w:ilvl w:val="0"/>
                <w:numId w:val="4"/>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持久起泡性(1min后)：≤50mL；</w:t>
            </w:r>
          </w:p>
          <w:p>
            <w:pPr>
              <w:numPr>
                <w:ilvl w:val="0"/>
                <w:numId w:val="4"/>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低温稳定性：合格；</w:t>
            </w:r>
          </w:p>
          <w:p>
            <w:pPr>
              <w:numPr>
                <w:ilvl w:val="0"/>
                <w:numId w:val="4"/>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热贮稳定性：合格；</w:t>
            </w:r>
          </w:p>
          <w:p>
            <w:pPr>
              <w:numPr>
                <w:ilvl w:val="0"/>
                <w:numId w:val="4"/>
              </w:num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包装：≤20Kg/桶（塑料桶）</w:t>
            </w:r>
            <w:r>
              <w:rPr>
                <w:rFonts w:hint="eastAsia" w:ascii="宋体" w:hAnsi="宋体" w:eastAsia="宋体" w:cs="宋体"/>
                <w:color w:val="auto"/>
                <w:sz w:val="21"/>
                <w:szCs w:val="21"/>
                <w:highlight w:val="none"/>
                <w:lang w:eastAsia="zh-CN"/>
              </w:rPr>
              <w:t>。</w:t>
            </w:r>
          </w:p>
        </w:tc>
        <w:tc>
          <w:tcPr>
            <w:tcW w:w="364" w:type="pct"/>
            <w:vAlign w:val="center"/>
          </w:tcPr>
          <w:p>
            <w:pPr>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1000公斤</w:t>
            </w:r>
          </w:p>
        </w:tc>
      </w:tr>
    </w:tbl>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注：技术参数要求中各项内容为最基本要求，请各供应商选配不低于上述要求的优质产品。</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color w:val="auto"/>
          <w:szCs w:val="21"/>
          <w:highlight w:val="none"/>
        </w:rPr>
      </w:pPr>
      <w:r>
        <w:rPr>
          <w:rFonts w:hint="eastAsia" w:ascii="宋体" w:hAnsi="宋体" w:eastAsia="宋体" w:cs="宋体"/>
          <w:b/>
          <w:bCs/>
          <w:color w:val="auto"/>
          <w:kern w:val="0"/>
          <w:szCs w:val="21"/>
          <w:highlight w:val="none"/>
          <w:lang w:bidi="ar"/>
        </w:rPr>
        <w:t>二、其他要求</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rFonts w:hint="eastAsia" w:ascii="宋体" w:hAnsi="宋体" w:eastAsia="宋体" w:cs="宋体"/>
          <w:color w:val="auto"/>
          <w:kern w:val="0"/>
          <w:szCs w:val="21"/>
          <w:highlight w:val="none"/>
          <w:lang w:bidi="ar"/>
        </w:rPr>
        <w:t>1、药品毒性要求：安全、低毒。</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、供应商需提供农药生产型企业</w:t>
      </w:r>
      <w:r>
        <w:rPr>
          <w:rFonts w:hint="eastAsia" w:ascii="宋体" w:hAnsi="宋体" w:eastAsia="宋体" w:cs="宋体"/>
          <w:bCs/>
          <w:color w:val="auto"/>
          <w:szCs w:val="21"/>
          <w:highlight w:val="none"/>
        </w:rPr>
        <w:t>的农药三证&lt;农药登记证(农药登记使用范围必须包含木材和土壤，防治对象必须包含白蚁)、农药生产许可证或农药生产批准文件和产品质量标准&gt;。（复印件加盖鲜章）</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成交后，成交人与采购人签订合同前，成交人需提供农药生产型企业的农药登记证</w:t>
      </w:r>
      <w:r>
        <w:rPr>
          <w:rFonts w:hint="eastAsia" w:ascii="宋体" w:hAnsi="宋体" w:eastAsia="宋体" w:cs="宋体"/>
          <w:bCs/>
          <w:color w:val="auto"/>
          <w:szCs w:val="21"/>
          <w:highlight w:val="none"/>
        </w:rPr>
        <w:t>(农药登记使用范围必须包含木材和土壤，防治对象必须包含白蚁)</w:t>
      </w:r>
      <w:r>
        <w:rPr>
          <w:rFonts w:hint="eastAsia" w:ascii="宋体" w:hAnsi="宋体" w:eastAsia="宋体" w:cs="宋体"/>
          <w:color w:val="auto"/>
          <w:kern w:val="0"/>
          <w:szCs w:val="21"/>
          <w:highlight w:val="none"/>
          <w:lang w:bidi="ar"/>
        </w:rPr>
        <w:t>、农药生产许可证或农药生产批准证书原件及产品质量技术标准原件，采购单位对相关内容进行复核。未按要求提供相关材料的，视为虚假响应，取消其成交资格，采购人将依法追究因其虚假响应造成的损失及费用，并根据《中华人民共和国政府采购法实施条例》第四十九条，采购人可以按照评审报告推荐的中标或者成交候选人名单排序，确定下一候选人为中标或者成交供应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、质量要求：本次采购产品必须符合国家标准，并保证其各项检测指标达到国家规范要求，其安全性能符合国家标准要求。</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、技术服务要求：</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rFonts w:hint="eastAsia" w:ascii="宋体" w:hAnsi="宋体" w:eastAsia="宋体" w:cs="宋体"/>
          <w:color w:val="auto"/>
          <w:kern w:val="0"/>
          <w:szCs w:val="21"/>
          <w:highlight w:val="none"/>
          <w:lang w:bidi="ar"/>
        </w:rPr>
        <w:t>（1）所有供货产品应具备该类产品的功能要求，无瑕疵和缺陷，质量为合格产品。</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rFonts w:hint="eastAsia" w:ascii="宋体" w:hAnsi="宋体" w:eastAsia="宋体" w:cs="宋体"/>
          <w:color w:val="auto"/>
          <w:kern w:val="0"/>
          <w:szCs w:val="21"/>
          <w:highlight w:val="none"/>
          <w:lang w:bidi="ar"/>
        </w:rPr>
        <w:t>（2）售后服务：供应商应以优良的服务态度，便利、快捷的方式在1小时内响应，并在24小时内完成采购人提出的供货要求，全部产品要求至少壹年保质期（可以超出包装标注的保质期）；在使用过程中发生质量事故，1小时内响应，24小时内达到现场处理并解决，重大事故处理时限不超过 48 小时；免费送货上门，负责卸货，并负责卸货过程的安全，保证产品的完整，因运输和卸货造成破损，由成交人无偿调换。</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rFonts w:hint="eastAsia" w:ascii="宋体" w:hAnsi="宋体" w:eastAsia="宋体" w:cs="宋体"/>
          <w:color w:val="auto"/>
          <w:kern w:val="0"/>
          <w:szCs w:val="21"/>
          <w:highlight w:val="none"/>
          <w:lang w:bidi="ar"/>
        </w:rPr>
        <w:t>（3）供应商必须提供产品生产厂家、联系方式、联系人等项目清单。</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rFonts w:hint="eastAsia" w:ascii="宋体" w:hAnsi="宋体" w:eastAsia="宋体" w:cs="宋体"/>
          <w:color w:val="auto"/>
          <w:kern w:val="0"/>
          <w:szCs w:val="21"/>
          <w:highlight w:val="none"/>
          <w:lang w:bidi="ar"/>
        </w:rPr>
        <w:t>（4）供应商在响应文件中承诺事项如有虚假，将会导致采购人在履行合同时扣除虚假部分款项或拒绝接受不符合要求的产品直至解除合同。</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rFonts w:hint="eastAsia" w:ascii="宋体" w:hAnsi="宋体" w:eastAsia="宋体" w:cs="宋体"/>
          <w:color w:val="auto"/>
          <w:kern w:val="0"/>
          <w:szCs w:val="21"/>
          <w:highlight w:val="none"/>
          <w:lang w:val="en-US" w:eastAsia="zh-CN" w:bidi="ar"/>
        </w:rPr>
        <w:t>6</w:t>
      </w:r>
      <w:r>
        <w:rPr>
          <w:rFonts w:hint="eastAsia" w:ascii="宋体" w:hAnsi="宋体" w:eastAsia="宋体" w:cs="宋体"/>
          <w:color w:val="auto"/>
          <w:kern w:val="0"/>
          <w:szCs w:val="21"/>
          <w:highlight w:val="none"/>
          <w:lang w:bidi="ar"/>
        </w:rPr>
        <w:t>、成交供应商不得以任何方式转包或分包本项目。</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、本次采购全部内容为</w:t>
      </w:r>
      <w:r>
        <w:rPr>
          <w:rFonts w:ascii="Calibri" w:hAnsi="Calibri" w:eastAsia="宋体" w:cs="Calibri"/>
          <w:color w:val="auto"/>
          <w:kern w:val="0"/>
          <w:szCs w:val="21"/>
          <w:highlight w:val="none"/>
          <w:lang w:bidi="ar"/>
        </w:rPr>
        <w:t>“</w:t>
      </w:r>
      <w:r>
        <w:rPr>
          <w:rFonts w:hint="eastAsia" w:ascii="宋体" w:hAnsi="宋体" w:eastAsia="宋体" w:cs="宋体"/>
          <w:color w:val="auto"/>
          <w:kern w:val="0"/>
          <w:szCs w:val="21"/>
          <w:highlight w:val="none"/>
          <w:lang w:bidi="ar"/>
        </w:rPr>
        <w:t>交钥匙</w:t>
      </w:r>
      <w:r>
        <w:rPr>
          <w:rFonts w:ascii="Calibri" w:hAnsi="Calibri" w:eastAsia="宋体" w:cs="Calibri"/>
          <w:color w:val="auto"/>
          <w:kern w:val="0"/>
          <w:szCs w:val="21"/>
          <w:highlight w:val="none"/>
          <w:lang w:bidi="ar"/>
        </w:rPr>
        <w:t>”</w:t>
      </w:r>
      <w:r>
        <w:rPr>
          <w:rFonts w:hint="eastAsia" w:ascii="宋体" w:hAnsi="宋体" w:eastAsia="宋体" w:cs="宋体"/>
          <w:color w:val="auto"/>
          <w:kern w:val="0"/>
          <w:szCs w:val="21"/>
          <w:highlight w:val="none"/>
          <w:lang w:bidi="ar"/>
        </w:rPr>
        <w:t>工程，所需货物、劳务、运输、装卸、装配、调试、验收、保险、整个项目正常可靠运行所必须的各项费用及伴随服务费用等均包含在报价内；请各谈判供应商真考虑其各种风险。除合同另有规定之外，采购人不再另行支付。</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color w:val="auto"/>
          <w:szCs w:val="21"/>
          <w:highlight w:val="none"/>
          <w:lang w:eastAsia="zh-CN"/>
        </w:rPr>
      </w:pP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、供货周期要求：</w:t>
      </w:r>
      <w:r>
        <w:rPr>
          <w:rFonts w:hint="eastAsia" w:ascii="宋体" w:hAnsi="宋体" w:eastAsia="宋体" w:cs="宋体"/>
          <w:color w:val="auto"/>
          <w:kern w:val="0"/>
          <w:szCs w:val="21"/>
          <w:highlight w:val="none"/>
          <w:lang w:eastAsia="zh-CN" w:bidi="ar"/>
        </w:rPr>
        <w:t>合同签订之日起，20日内供货至采购人指定地点。</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rFonts w:hint="eastAsia" w:ascii="宋体" w:hAnsi="宋体" w:eastAsia="宋体" w:cs="宋体"/>
          <w:color w:val="auto"/>
          <w:kern w:val="0"/>
          <w:szCs w:val="21"/>
          <w:highlight w:val="none"/>
          <w:lang w:val="en-US" w:eastAsia="zh-CN" w:bidi="ar"/>
        </w:rPr>
        <w:t>9</w:t>
      </w:r>
      <w:r>
        <w:rPr>
          <w:rFonts w:hint="eastAsia" w:ascii="宋体" w:hAnsi="宋体" w:eastAsia="宋体" w:cs="宋体"/>
          <w:color w:val="auto"/>
          <w:kern w:val="0"/>
          <w:szCs w:val="21"/>
          <w:highlight w:val="none"/>
          <w:lang w:bidi="ar"/>
        </w:rPr>
        <w:t>、所有货物在开箱检验时必须完好，无破损，配置与装箱单相符。货物外观清洁，标记编号以及等字体清晰、明确。</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0</w:t>
      </w:r>
      <w:r>
        <w:rPr>
          <w:rFonts w:hint="eastAsia" w:ascii="宋体" w:hAnsi="宋体" w:eastAsia="宋体" w:cs="宋体"/>
          <w:color w:val="auto"/>
          <w:kern w:val="0"/>
          <w:szCs w:val="21"/>
          <w:highlight w:val="none"/>
          <w:lang w:bidi="ar"/>
        </w:rPr>
        <w:t>、供应商在实际供货时，若被发现提供的货物未能达到谈判文件中的有关要求，将按有关法规进行处罚，采购人将有权单方面中止合同的执行,并追究因成交供应商所提供的未达到所承诺准确率产品而产生的所有损失和责任。</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color w:val="auto"/>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由成交供应商负责按国家相关标准进行货物包装，货物的包装均应有良好的防湿、防锈、防潮、防雨、防腐及防碰撞的措施，并适宜当地的气候条件。凡由于包装不良造成的损失和由此产生的费用均由成交供应商承担。</w:t>
      </w:r>
    </w:p>
    <w:p>
      <w:pPr>
        <w:rPr>
          <w:color w:val="auto"/>
          <w:highlight w:val="none"/>
        </w:rPr>
      </w:pPr>
      <w:r>
        <w:rPr>
          <w:rFonts w:hint="eastAsia"/>
          <w:color w:val="auto"/>
          <w:highlight w:val="none"/>
        </w:rPr>
        <w:br w:type="page"/>
      </w:r>
    </w:p>
    <w:p>
      <w:pPr>
        <w:rPr>
          <w:color w:val="auto"/>
          <w:highlight w:val="none"/>
        </w:rPr>
      </w:pPr>
    </w:p>
    <w:p>
      <w:pPr>
        <w:pStyle w:val="2"/>
        <w:rPr>
          <w:rFonts w:ascii="宋体"/>
          <w:color w:val="auto"/>
          <w:highlight w:val="none"/>
        </w:rPr>
      </w:pPr>
      <w:r>
        <w:rPr>
          <w:rFonts w:hint="eastAsia" w:ascii="宋体"/>
          <w:color w:val="auto"/>
          <w:highlight w:val="none"/>
        </w:rPr>
        <w:t xml:space="preserve">第五章 </w:t>
      </w:r>
      <w:bookmarkEnd w:id="54"/>
      <w:bookmarkStart w:id="55" w:name="_Toc1667"/>
      <w:r>
        <w:rPr>
          <w:rFonts w:hint="eastAsia" w:ascii="宋体"/>
          <w:color w:val="auto"/>
          <w:highlight w:val="none"/>
        </w:rPr>
        <w:t>谈判响应文件格式</w:t>
      </w:r>
      <w:bookmarkEnd w:id="55"/>
    </w:p>
    <w:p>
      <w:pPr>
        <w:snapToGrid w:val="0"/>
        <w:jc w:val="center"/>
        <w:rPr>
          <w:rFonts w:ascii="宋体" w:hAnsi="宋体" w:eastAsia="宋体" w:cs="宋体"/>
          <w:b/>
          <w:bCs/>
          <w:color w:val="auto"/>
          <w:sz w:val="72"/>
          <w:szCs w:val="72"/>
          <w:highlight w:val="none"/>
        </w:rPr>
      </w:pPr>
      <w:bookmarkStart w:id="56" w:name="_Hlt26671244"/>
      <w:bookmarkEnd w:id="56"/>
      <w:bookmarkStart w:id="57" w:name="_Hlt26955039"/>
      <w:bookmarkEnd w:id="57"/>
      <w:bookmarkStart w:id="58" w:name="_Toc26554094"/>
      <w:bookmarkStart w:id="59" w:name="_Toc49090576"/>
      <w:bookmarkStart w:id="60" w:name="_Toc120614282"/>
    </w:p>
    <w:p>
      <w:pPr>
        <w:snapToGrid w:val="0"/>
        <w:jc w:val="center"/>
        <w:rPr>
          <w:rFonts w:ascii="宋体" w:hAnsi="宋体" w:eastAsia="宋体" w:cs="宋体"/>
          <w:b/>
          <w:bCs/>
          <w:color w:val="auto"/>
          <w:sz w:val="72"/>
          <w:szCs w:val="72"/>
          <w:highlight w:val="none"/>
        </w:rPr>
      </w:pPr>
    </w:p>
    <w:p>
      <w:pPr>
        <w:snapToGrid w:val="0"/>
        <w:jc w:val="center"/>
        <w:rPr>
          <w:rFonts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投  标  文  件</w:t>
      </w:r>
    </w:p>
    <w:p>
      <w:pPr>
        <w:snapToGrid w:val="0"/>
        <w:jc w:val="center"/>
        <w:rPr>
          <w:rFonts w:ascii="宋体" w:hAnsi="宋体" w:eastAsia="宋体" w:cs="宋体"/>
          <w:b/>
          <w:bCs/>
          <w:color w:val="auto"/>
          <w:sz w:val="72"/>
          <w:szCs w:val="72"/>
          <w:highlight w:val="none"/>
        </w:rPr>
      </w:pPr>
    </w:p>
    <w:p>
      <w:pPr>
        <w:snapToGrid w:val="0"/>
        <w:jc w:val="center"/>
        <w:rPr>
          <w:rFonts w:ascii="宋体" w:hAnsi="宋体" w:eastAsia="宋体" w:cs="宋体"/>
          <w:b/>
          <w:bCs/>
          <w:color w:val="auto"/>
          <w:sz w:val="72"/>
          <w:szCs w:val="72"/>
          <w:highlight w:val="none"/>
        </w:rPr>
      </w:pPr>
    </w:p>
    <w:p>
      <w:pPr>
        <w:snapToGrid w:val="0"/>
        <w:jc w:val="center"/>
        <w:rPr>
          <w:rFonts w:ascii="宋体" w:hAnsi="宋体" w:eastAsia="宋体" w:cs="宋体"/>
          <w:b/>
          <w:bCs/>
          <w:color w:val="auto"/>
          <w:sz w:val="36"/>
          <w:szCs w:val="36"/>
          <w:highlight w:val="none"/>
        </w:rPr>
      </w:pPr>
    </w:p>
    <w:p>
      <w:pPr>
        <w:snapToGrid w:val="0"/>
        <w:jc w:val="center"/>
        <w:rPr>
          <w:rFonts w:ascii="宋体" w:hAnsi="宋体" w:eastAsia="宋体" w:cs="宋体"/>
          <w:b/>
          <w:bCs/>
          <w:color w:val="auto"/>
          <w:sz w:val="36"/>
          <w:szCs w:val="36"/>
          <w:highlight w:val="none"/>
        </w:rPr>
      </w:pPr>
    </w:p>
    <w:p>
      <w:pPr>
        <w:snapToGrid w:val="0"/>
        <w:jc w:val="center"/>
        <w:rPr>
          <w:rFonts w:ascii="宋体" w:hAnsi="宋体" w:eastAsia="宋体" w:cs="宋体"/>
          <w:b/>
          <w:bCs/>
          <w:color w:val="auto"/>
          <w:sz w:val="36"/>
          <w:szCs w:val="36"/>
          <w:highlight w:val="none"/>
        </w:rPr>
      </w:pPr>
    </w:p>
    <w:p>
      <w:pPr>
        <w:spacing w:line="360" w:lineRule="auto"/>
        <w:ind w:left="2315" w:leftChars="500" w:hanging="1265" w:hangingChars="350"/>
        <w:rPr>
          <w:rFonts w:ascii="宋体" w:hAnsi="宋体" w:eastAsia="宋体" w:cs="宋体"/>
          <w:b/>
          <w:color w:val="auto"/>
          <w:sz w:val="36"/>
          <w:highlight w:val="none"/>
          <w:u w:val="single"/>
        </w:rPr>
      </w:pPr>
      <w:r>
        <w:rPr>
          <w:rFonts w:hint="eastAsia" w:ascii="宋体" w:hAnsi="宋体" w:eastAsia="宋体" w:cs="宋体"/>
          <w:b/>
          <w:color w:val="auto"/>
          <w:sz w:val="36"/>
          <w:highlight w:val="none"/>
        </w:rPr>
        <w:t>项 目 名 称：</w:t>
      </w:r>
    </w:p>
    <w:p>
      <w:pPr>
        <w:spacing w:line="360" w:lineRule="auto"/>
        <w:ind w:firstLine="1084" w:firstLineChars="300"/>
        <w:rPr>
          <w:rFonts w:ascii="宋体" w:hAnsi="宋体" w:eastAsia="宋体" w:cs="宋体"/>
          <w:b/>
          <w:color w:val="auto"/>
          <w:sz w:val="36"/>
          <w:highlight w:val="none"/>
          <w:u w:val="single"/>
        </w:rPr>
      </w:pPr>
      <w:r>
        <w:rPr>
          <w:rFonts w:hint="eastAsia" w:ascii="宋体" w:hAnsi="宋体" w:eastAsia="宋体" w:cs="宋体"/>
          <w:b/>
          <w:color w:val="auto"/>
          <w:sz w:val="36"/>
          <w:highlight w:val="none"/>
        </w:rPr>
        <w:t>编       号：</w:t>
      </w:r>
    </w:p>
    <w:p>
      <w:pPr>
        <w:spacing w:line="360" w:lineRule="auto"/>
        <w:ind w:firstLine="723"/>
        <w:rPr>
          <w:rFonts w:ascii="宋体" w:hAnsi="宋体" w:eastAsia="宋体" w:cs="宋体"/>
          <w:b/>
          <w:color w:val="auto"/>
          <w:sz w:val="36"/>
          <w:highlight w:val="none"/>
          <w:u w:val="single"/>
        </w:rPr>
      </w:pPr>
      <w:r>
        <w:rPr>
          <w:rFonts w:hint="eastAsia" w:ascii="宋体" w:hAnsi="宋体" w:eastAsia="宋体" w:cs="宋体"/>
          <w:b/>
          <w:color w:val="auto"/>
          <w:sz w:val="36"/>
          <w:highlight w:val="none"/>
        </w:rPr>
        <w:t xml:space="preserve">  谈判供应商名称 ：</w:t>
      </w:r>
    </w:p>
    <w:p>
      <w:pPr>
        <w:spacing w:line="360" w:lineRule="auto"/>
        <w:ind w:firstLine="723"/>
        <w:rPr>
          <w:rFonts w:ascii="宋体" w:hAnsi="宋体" w:eastAsia="宋体" w:cs="宋体"/>
          <w:b/>
          <w:color w:val="auto"/>
          <w:sz w:val="36"/>
          <w:highlight w:val="none"/>
        </w:rPr>
      </w:pPr>
      <w:r>
        <w:rPr>
          <w:rFonts w:hint="eastAsia" w:ascii="宋体" w:hAnsi="宋体" w:eastAsia="宋体" w:cs="宋体"/>
          <w:b/>
          <w:color w:val="auto"/>
          <w:sz w:val="36"/>
          <w:highlight w:val="none"/>
        </w:rPr>
        <w:t xml:space="preserve">  日      期 ：</w:t>
      </w:r>
    </w:p>
    <w:p>
      <w:pPr>
        <w:snapToGrid w:val="0"/>
        <w:spacing w:line="360" w:lineRule="auto"/>
        <w:ind w:firstLine="723"/>
        <w:rPr>
          <w:rFonts w:ascii="宋体" w:hAnsi="宋体" w:eastAsia="宋体" w:cs="宋体"/>
          <w:b/>
          <w:bCs/>
          <w:color w:val="auto"/>
          <w:sz w:val="36"/>
          <w:szCs w:val="36"/>
          <w:highlight w:val="none"/>
          <w:u w:val="single"/>
        </w:rPr>
      </w:pPr>
    </w:p>
    <w:p>
      <w:pPr>
        <w:spacing w:before="240" w:beforeLines="100" w:after="240" w:afterLines="100" w:line="360" w:lineRule="auto"/>
        <w:ind w:firstLine="1133" w:firstLineChars="403"/>
        <w:jc w:val="left"/>
        <w:rPr>
          <w:rFonts w:ascii="宋体" w:hAnsi="宋体" w:eastAsia="宋体" w:cs="宋体"/>
          <w:b/>
          <w:color w:val="auto"/>
          <w:sz w:val="28"/>
          <w:szCs w:val="28"/>
          <w:highlight w:val="none"/>
        </w:rPr>
      </w:pPr>
      <w:r>
        <w:rPr>
          <w:rFonts w:ascii="宋体" w:hAnsi="宋体" w:eastAsia="宋体" w:cs="宋体"/>
          <w:b/>
          <w:color w:val="auto"/>
          <w:sz w:val="28"/>
          <w:szCs w:val="28"/>
          <w:highlight w:val="none"/>
        </w:rPr>
        <w:t>说明：</w:t>
      </w:r>
    </w:p>
    <w:p>
      <w:pPr>
        <w:spacing w:before="240" w:beforeLines="100" w:after="240" w:afterLines="100" w:line="360" w:lineRule="auto"/>
        <w:ind w:left="567" w:leftChars="270" w:firstLine="565" w:firstLineChars="201"/>
        <w:jc w:val="left"/>
        <w:rPr>
          <w:rFonts w:ascii="宋体" w:hAnsi="宋体" w:eastAsia="宋体" w:cs="宋体"/>
          <w:b/>
          <w:color w:val="auto"/>
          <w:sz w:val="28"/>
          <w:szCs w:val="28"/>
          <w:highlight w:val="none"/>
        </w:rPr>
      </w:pPr>
      <w:r>
        <w:rPr>
          <w:rFonts w:ascii="宋体" w:hAnsi="宋体" w:eastAsia="宋体" w:cs="宋体"/>
          <w:b/>
          <w:color w:val="auto"/>
          <w:sz w:val="28"/>
          <w:szCs w:val="28"/>
          <w:highlight w:val="none"/>
        </w:rPr>
        <w:t>对本章所有的</w:t>
      </w:r>
      <w:r>
        <w:rPr>
          <w:rFonts w:hint="eastAsia" w:ascii="宋体" w:hAnsi="宋体" w:eastAsia="宋体" w:cs="宋体"/>
          <w:b/>
          <w:color w:val="auto"/>
          <w:sz w:val="28"/>
          <w:szCs w:val="28"/>
          <w:highlight w:val="none"/>
        </w:rPr>
        <w:t>响应</w:t>
      </w:r>
      <w:r>
        <w:rPr>
          <w:rFonts w:ascii="宋体" w:hAnsi="宋体" w:eastAsia="宋体" w:cs="宋体"/>
          <w:b/>
          <w:color w:val="auto"/>
          <w:sz w:val="28"/>
          <w:szCs w:val="28"/>
          <w:highlight w:val="none"/>
        </w:rPr>
        <w:t>文件格式，</w:t>
      </w:r>
      <w:r>
        <w:rPr>
          <w:rFonts w:hint="eastAsia" w:ascii="宋体" w:hAnsi="宋体" w:eastAsia="宋体" w:cs="宋体"/>
          <w:b/>
          <w:color w:val="auto"/>
          <w:sz w:val="28"/>
          <w:szCs w:val="28"/>
          <w:highlight w:val="none"/>
        </w:rPr>
        <w:t>供应商</w:t>
      </w:r>
      <w:r>
        <w:rPr>
          <w:rFonts w:ascii="宋体" w:hAnsi="宋体" w:eastAsia="宋体" w:cs="宋体"/>
          <w:b/>
          <w:color w:val="auto"/>
          <w:sz w:val="28"/>
          <w:szCs w:val="28"/>
          <w:highlight w:val="none"/>
        </w:rPr>
        <w:t>可根据自身情况进行补充和修改，但补充和修改不得造成与本格式内容有实质性的违背。</w:t>
      </w:r>
    </w:p>
    <w:bookmarkEnd w:id="58"/>
    <w:bookmarkEnd w:id="59"/>
    <w:bookmarkEnd w:id="60"/>
    <w:p>
      <w:pPr>
        <w:spacing w:before="240" w:beforeLines="100" w:after="240" w:afterLines="100"/>
        <w:ind w:firstLine="422"/>
        <w:jc w:val="center"/>
        <w:rPr>
          <w:rFonts w:ascii="宋体" w:hAnsi="宋体" w:eastAsia="宋体" w:cs="宋体"/>
          <w:b/>
          <w:color w:val="auto"/>
          <w:szCs w:val="21"/>
          <w:highlight w:val="none"/>
        </w:rPr>
      </w:pPr>
    </w:p>
    <w:p>
      <w:pPr>
        <w:rPr>
          <w:rFonts w:hAnsi="宋体" w:eastAsia="宋体" w:cs="宋体"/>
          <w:color w:val="auto"/>
          <w:highlight w:val="none"/>
        </w:rPr>
      </w:pPr>
      <w:r>
        <w:rPr>
          <w:rFonts w:hAnsi="宋体" w:eastAsia="宋体" w:cs="宋体"/>
          <w:color w:val="auto"/>
          <w:highlight w:val="none"/>
        </w:rPr>
        <w:br w:type="page"/>
      </w:r>
    </w:p>
    <w:p>
      <w:pPr>
        <w:rPr>
          <w:color w:val="auto"/>
          <w:highlight w:val="none"/>
        </w:rPr>
      </w:pPr>
    </w:p>
    <w:p>
      <w:pPr>
        <w:spacing w:before="240" w:beforeLines="100" w:after="240" w:afterLines="10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评分索引表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2"/>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en-US"/>
              </w:rPr>
              <w:t>评分项目</w:t>
            </w:r>
          </w:p>
        </w:tc>
        <w:tc>
          <w:tcPr>
            <w:tcW w:w="3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b/>
                <w:color w:val="auto"/>
                <w:szCs w:val="21"/>
                <w:highlight w:val="none"/>
                <w:lang w:bidi="en-US"/>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c>
          <w:tcPr>
            <w:tcW w:w="3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4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c>
          <w:tcPr>
            <w:tcW w:w="3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c>
          <w:tcPr>
            <w:tcW w:w="3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c>
          <w:tcPr>
            <w:tcW w:w="3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c>
          <w:tcPr>
            <w:tcW w:w="3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c>
          <w:tcPr>
            <w:tcW w:w="3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c>
          <w:tcPr>
            <w:tcW w:w="3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c>
          <w:tcPr>
            <w:tcW w:w="3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c>
          <w:tcPr>
            <w:tcW w:w="3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c>
          <w:tcPr>
            <w:tcW w:w="3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c>
          <w:tcPr>
            <w:tcW w:w="3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4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c>
          <w:tcPr>
            <w:tcW w:w="3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c>
          <w:tcPr>
            <w:tcW w:w="3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c>
          <w:tcPr>
            <w:tcW w:w="3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4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c>
          <w:tcPr>
            <w:tcW w:w="3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c>
          <w:tcPr>
            <w:tcW w:w="3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b/>
                <w:color w:val="auto"/>
                <w:sz w:val="24"/>
                <w:highlight w:val="none"/>
                <w:lang w:bidi="en-US"/>
              </w:rPr>
            </w:pPr>
          </w:p>
        </w:tc>
      </w:tr>
    </w:tbl>
    <w:p>
      <w:pPr>
        <w:rPr>
          <w:rFonts w:ascii="宋体" w:hAnsi="宋体" w:eastAsia="宋体" w:cs="宋体"/>
          <w:color w:val="auto"/>
          <w:highlight w:val="none"/>
        </w:rPr>
      </w:pPr>
    </w:p>
    <w:p>
      <w:pPr>
        <w:spacing w:after="240" w:afterLines="100"/>
        <w:jc w:val="center"/>
        <w:rPr>
          <w:rFonts w:ascii="宋体" w:hAnsi="宋体" w:eastAsia="宋体" w:cs="宋体"/>
          <w:color w:val="auto"/>
          <w:szCs w:val="21"/>
          <w:highlight w:val="none"/>
        </w:rPr>
      </w:pPr>
      <w:r>
        <w:rPr>
          <w:rFonts w:hint="eastAsia" w:ascii="宋体" w:hAnsi="宋体" w:eastAsia="宋体" w:cs="宋体"/>
          <w:color w:val="auto"/>
          <w:sz w:val="36"/>
          <w:highlight w:val="none"/>
        </w:rPr>
        <w:br w:type="page"/>
      </w:r>
    </w:p>
    <w:p>
      <w:pPr>
        <w:spacing w:after="240" w:afterLines="100"/>
        <w:jc w:val="center"/>
        <w:rPr>
          <w:rFonts w:ascii="宋体" w:hAnsi="宋体" w:eastAsia="宋体" w:cs="宋体"/>
          <w:b/>
          <w:bCs/>
          <w:color w:val="auto"/>
          <w:sz w:val="24"/>
          <w:szCs w:val="24"/>
          <w:highlight w:val="none"/>
        </w:rPr>
      </w:pPr>
    </w:p>
    <w:p>
      <w:pPr>
        <w:spacing w:after="240" w:afterLines="10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投标文件主要目录</w:t>
      </w:r>
    </w:p>
    <w:p>
      <w:pPr>
        <w:adjustRightInd w:val="0"/>
        <w:snapToGrid w:val="0"/>
        <w:spacing w:line="360" w:lineRule="auto"/>
        <w:ind w:firstLine="420" w:firstLineChars="200"/>
        <w:jc w:val="left"/>
        <w:rPr>
          <w:rFonts w:ascii="宋体" w:hAnsi="宋体" w:eastAsia="宋体" w:cs="宋体"/>
          <w:color w:val="auto"/>
          <w:highlight w:val="none"/>
        </w:rPr>
      </w:pP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一、资格性和符合性检查响应对照表</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二、资信证明文件</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三、投标报价一览表</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四、投标产品配置及分项报价表</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、供货一览表</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、技术参数响应及偏离表</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、商务条款响应及偏离表</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p>
    <w:p>
      <w:pPr>
        <w:spacing w:after="240" w:afterLines="100"/>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pPr>
        <w:spacing w:after="240" w:afterLines="100"/>
        <w:jc w:val="center"/>
        <w:rPr>
          <w:rFonts w:ascii="宋体" w:hAnsi="宋体" w:eastAsia="宋体" w:cs="宋体"/>
          <w:b/>
          <w:color w:val="auto"/>
          <w:sz w:val="24"/>
          <w:szCs w:val="24"/>
          <w:highlight w:val="none"/>
        </w:rPr>
      </w:pPr>
    </w:p>
    <w:p>
      <w:pPr>
        <w:spacing w:after="240" w:afterLines="10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一、资格性和符合性检查响应对照表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4056"/>
        <w:gridCol w:w="232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1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资格性和符合性检查响应内容</w:t>
            </w:r>
          </w:p>
        </w:tc>
        <w:tc>
          <w:tcPr>
            <w:tcW w:w="12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是否响应</w:t>
            </w:r>
          </w:p>
          <w:p>
            <w:pPr>
              <w:adjustRightInd w:val="0"/>
              <w:snapToGrid w:val="0"/>
              <w:spacing w:after="20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（填是或者否）</w:t>
            </w:r>
          </w:p>
        </w:tc>
        <w:tc>
          <w:tcPr>
            <w:tcW w:w="10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响应文件中的</w:t>
            </w:r>
          </w:p>
          <w:p>
            <w:pPr>
              <w:adjustRightInd w:val="0"/>
              <w:snapToGrid w:val="0"/>
              <w:spacing w:after="20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bCs/>
                <w:i/>
                <w:color w:val="auto"/>
                <w:szCs w:val="21"/>
                <w:highlight w:val="none"/>
                <w:u w:val="single"/>
              </w:rPr>
            </w:pPr>
            <w:r>
              <w:rPr>
                <w:rFonts w:hint="eastAsia" w:ascii="宋体" w:hAnsi="宋体" w:eastAsia="宋体" w:cs="宋体"/>
                <w:bCs/>
                <w:i/>
                <w:color w:val="auto"/>
                <w:szCs w:val="21"/>
                <w:highlight w:val="none"/>
                <w:u w:val="single"/>
              </w:rPr>
              <w:t>1</w:t>
            </w:r>
          </w:p>
        </w:tc>
        <w:tc>
          <w:tcPr>
            <w:tcW w:w="21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i/>
                <w:iCs/>
                <w:color w:val="auto"/>
                <w:szCs w:val="21"/>
                <w:highlight w:val="none"/>
                <w:u w:val="single"/>
              </w:rPr>
            </w:pPr>
          </w:p>
        </w:tc>
        <w:tc>
          <w:tcPr>
            <w:tcW w:w="12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b/>
                <w:color w:val="auto"/>
                <w:szCs w:val="21"/>
                <w:highlight w:val="none"/>
              </w:rPr>
            </w:pPr>
          </w:p>
        </w:tc>
        <w:tc>
          <w:tcPr>
            <w:tcW w:w="10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i/>
                <w:color w:val="auto"/>
                <w:szCs w:val="21"/>
                <w:highlight w:val="none"/>
                <w:u w:val="single"/>
              </w:rPr>
            </w:pPr>
            <w:r>
              <w:rPr>
                <w:rFonts w:hint="eastAsia" w:ascii="宋体" w:hAnsi="宋体" w:eastAsia="宋体" w:cs="宋体"/>
                <w:i/>
                <w:color w:val="auto"/>
                <w:szCs w:val="21"/>
                <w:highlight w:val="none"/>
                <w:u w:val="single"/>
              </w:rPr>
              <w:t>2</w:t>
            </w:r>
          </w:p>
        </w:tc>
        <w:tc>
          <w:tcPr>
            <w:tcW w:w="21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i/>
                <w:iCs/>
                <w:color w:val="auto"/>
                <w:szCs w:val="21"/>
                <w:highlight w:val="none"/>
                <w:u w:val="single"/>
              </w:rPr>
            </w:pPr>
          </w:p>
        </w:tc>
        <w:tc>
          <w:tcPr>
            <w:tcW w:w="12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color w:val="auto"/>
                <w:szCs w:val="21"/>
                <w:highlight w:val="none"/>
              </w:rPr>
            </w:pPr>
          </w:p>
        </w:tc>
        <w:tc>
          <w:tcPr>
            <w:tcW w:w="10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i/>
                <w:color w:val="auto"/>
                <w:szCs w:val="21"/>
                <w:highlight w:val="none"/>
                <w:u w:val="single"/>
              </w:rPr>
            </w:pPr>
            <w:r>
              <w:rPr>
                <w:rFonts w:hint="eastAsia" w:ascii="宋体" w:hAnsi="宋体" w:eastAsia="宋体" w:cs="宋体"/>
                <w:i/>
                <w:color w:val="auto"/>
                <w:szCs w:val="21"/>
                <w:highlight w:val="none"/>
                <w:u w:val="single"/>
              </w:rPr>
              <w:t>3</w:t>
            </w:r>
          </w:p>
        </w:tc>
        <w:tc>
          <w:tcPr>
            <w:tcW w:w="21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i/>
                <w:iCs/>
                <w:color w:val="auto"/>
                <w:szCs w:val="21"/>
                <w:highlight w:val="none"/>
                <w:u w:val="single"/>
              </w:rPr>
            </w:pPr>
          </w:p>
        </w:tc>
        <w:tc>
          <w:tcPr>
            <w:tcW w:w="12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color w:val="auto"/>
                <w:szCs w:val="21"/>
                <w:highlight w:val="none"/>
              </w:rPr>
            </w:pPr>
          </w:p>
        </w:tc>
        <w:tc>
          <w:tcPr>
            <w:tcW w:w="10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i/>
                <w:color w:val="auto"/>
                <w:szCs w:val="21"/>
                <w:highlight w:val="none"/>
                <w:u w:val="single"/>
              </w:rPr>
            </w:pPr>
            <w:r>
              <w:rPr>
                <w:rFonts w:hint="eastAsia" w:ascii="宋体" w:hAnsi="宋体" w:eastAsia="宋体" w:cs="宋体"/>
                <w:i/>
                <w:color w:val="auto"/>
                <w:szCs w:val="21"/>
                <w:highlight w:val="none"/>
                <w:u w:val="single"/>
              </w:rPr>
              <w:t>4</w:t>
            </w:r>
          </w:p>
        </w:tc>
        <w:tc>
          <w:tcPr>
            <w:tcW w:w="21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i/>
                <w:iCs/>
                <w:color w:val="auto"/>
                <w:szCs w:val="21"/>
                <w:highlight w:val="none"/>
                <w:u w:val="single"/>
              </w:rPr>
            </w:pPr>
          </w:p>
        </w:tc>
        <w:tc>
          <w:tcPr>
            <w:tcW w:w="12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color w:val="auto"/>
                <w:szCs w:val="21"/>
                <w:highlight w:val="none"/>
              </w:rPr>
            </w:pPr>
          </w:p>
        </w:tc>
        <w:tc>
          <w:tcPr>
            <w:tcW w:w="10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i/>
                <w:color w:val="auto"/>
                <w:szCs w:val="21"/>
                <w:highlight w:val="none"/>
                <w:u w:val="single"/>
              </w:rPr>
            </w:pPr>
            <w:r>
              <w:rPr>
                <w:rFonts w:hint="eastAsia" w:ascii="宋体" w:hAnsi="宋体" w:eastAsia="宋体" w:cs="宋体"/>
                <w:i/>
                <w:color w:val="auto"/>
                <w:szCs w:val="21"/>
                <w:highlight w:val="none"/>
                <w:u w:val="single"/>
              </w:rPr>
              <w:t>5</w:t>
            </w:r>
          </w:p>
        </w:tc>
        <w:tc>
          <w:tcPr>
            <w:tcW w:w="21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i/>
                <w:iCs/>
                <w:color w:val="auto"/>
                <w:szCs w:val="21"/>
                <w:highlight w:val="none"/>
                <w:u w:val="single"/>
              </w:rPr>
            </w:pPr>
          </w:p>
        </w:tc>
        <w:tc>
          <w:tcPr>
            <w:tcW w:w="12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color w:val="auto"/>
                <w:highlight w:val="none"/>
              </w:rPr>
            </w:pPr>
          </w:p>
        </w:tc>
        <w:tc>
          <w:tcPr>
            <w:tcW w:w="10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i/>
                <w:color w:val="auto"/>
                <w:szCs w:val="21"/>
                <w:highlight w:val="none"/>
                <w:u w:val="single"/>
              </w:rPr>
            </w:pPr>
            <w:r>
              <w:rPr>
                <w:rFonts w:hint="eastAsia" w:ascii="宋体" w:hAnsi="宋体" w:eastAsia="宋体" w:cs="宋体"/>
                <w:i/>
                <w:color w:val="auto"/>
                <w:szCs w:val="21"/>
                <w:highlight w:val="none"/>
                <w:u w:val="single"/>
              </w:rPr>
              <w:t>6</w:t>
            </w:r>
          </w:p>
        </w:tc>
        <w:tc>
          <w:tcPr>
            <w:tcW w:w="21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i/>
                <w:iCs/>
                <w:color w:val="auto"/>
                <w:szCs w:val="21"/>
                <w:highlight w:val="none"/>
                <w:u w:val="single"/>
              </w:rPr>
            </w:pPr>
          </w:p>
        </w:tc>
        <w:tc>
          <w:tcPr>
            <w:tcW w:w="12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color w:val="auto"/>
                <w:highlight w:val="none"/>
              </w:rPr>
            </w:pPr>
          </w:p>
        </w:tc>
        <w:tc>
          <w:tcPr>
            <w:tcW w:w="10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i/>
                <w:color w:val="auto"/>
                <w:szCs w:val="21"/>
                <w:highlight w:val="none"/>
                <w:u w:val="single"/>
              </w:rPr>
            </w:pPr>
            <w:r>
              <w:rPr>
                <w:rFonts w:hint="eastAsia" w:ascii="宋体" w:hAnsi="宋体" w:eastAsia="宋体" w:cs="宋体"/>
                <w:i/>
                <w:color w:val="auto"/>
                <w:szCs w:val="21"/>
                <w:highlight w:val="none"/>
                <w:u w:val="single"/>
              </w:rPr>
              <w:t>7</w:t>
            </w:r>
          </w:p>
        </w:tc>
        <w:tc>
          <w:tcPr>
            <w:tcW w:w="21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i/>
                <w:iCs/>
                <w:color w:val="auto"/>
                <w:szCs w:val="21"/>
                <w:highlight w:val="none"/>
                <w:u w:val="single"/>
              </w:rPr>
            </w:pPr>
            <w:r>
              <w:rPr>
                <w:rFonts w:hint="eastAsia" w:ascii="宋体" w:hAnsi="宋体" w:eastAsia="宋体" w:cs="宋体"/>
                <w:i/>
                <w:iCs/>
                <w:color w:val="auto"/>
                <w:szCs w:val="21"/>
                <w:highlight w:val="none"/>
                <w:u w:val="single"/>
              </w:rPr>
              <w:t>谈判文件中的其他实质性要求</w:t>
            </w:r>
          </w:p>
        </w:tc>
        <w:tc>
          <w:tcPr>
            <w:tcW w:w="12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color w:val="auto"/>
                <w:highlight w:val="none"/>
              </w:rPr>
            </w:pPr>
          </w:p>
        </w:tc>
        <w:tc>
          <w:tcPr>
            <w:tcW w:w="10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jc w:val="center"/>
              <w:rPr>
                <w:rFonts w:ascii="宋体" w:hAnsi="宋体" w:eastAsia="宋体" w:cs="宋体"/>
                <w:color w:val="auto"/>
                <w:highlight w:val="none"/>
              </w:rPr>
            </w:pPr>
          </w:p>
        </w:tc>
      </w:tr>
    </w:tbl>
    <w:p>
      <w:pPr>
        <w:spacing w:after="240" w:afterLines="100" w:line="360" w:lineRule="auto"/>
        <w:ind w:right="210" w:rightChars="100" w:firstLine="210" w:firstLineChars="100"/>
        <w:rPr>
          <w:rFonts w:ascii="宋体" w:hAnsi="宋体" w:eastAsia="宋体" w:cs="宋体"/>
          <w:color w:val="auto"/>
          <w:szCs w:val="21"/>
          <w:highlight w:val="none"/>
        </w:rPr>
      </w:pPr>
    </w:p>
    <w:p>
      <w:pPr>
        <w:spacing w:after="240" w:afterLines="100" w:line="360" w:lineRule="auto"/>
        <w:ind w:right="210" w:rightChars="100"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供应商全称（加盖公章）：</w:t>
      </w:r>
    </w:p>
    <w:p>
      <w:pPr>
        <w:rPr>
          <w:rFonts w:ascii="宋体" w:hAnsi="宋体" w:eastAsia="宋体" w:cs="宋体"/>
          <w:color w:val="auto"/>
          <w:highlight w:val="none"/>
        </w:rPr>
      </w:pPr>
    </w:p>
    <w:p>
      <w:pPr>
        <w:rPr>
          <w:rFonts w:ascii="宋体" w:hAnsi="宋体" w:eastAsia="宋体" w:cs="宋体"/>
          <w:color w:val="auto"/>
          <w:kern w:val="0"/>
          <w:sz w:val="22"/>
          <w:szCs w:val="21"/>
          <w:highlight w:val="none"/>
        </w:rPr>
      </w:pPr>
      <w:r>
        <w:rPr>
          <w:rFonts w:ascii="宋体" w:hAnsi="宋体" w:eastAsia="宋体" w:cs="宋体"/>
          <w:color w:val="auto"/>
          <w:kern w:val="0"/>
          <w:sz w:val="22"/>
          <w:szCs w:val="21"/>
          <w:highlight w:val="none"/>
        </w:rPr>
        <w:br w:type="page"/>
      </w:r>
    </w:p>
    <w:p>
      <w:pPr>
        <w:pStyle w:val="2"/>
        <w:rPr>
          <w:color w:val="auto"/>
          <w:highlight w:val="none"/>
        </w:rPr>
      </w:pPr>
    </w:p>
    <w:p>
      <w:pPr>
        <w:spacing w:after="240" w:line="360" w:lineRule="auto"/>
        <w:ind w:left="2943"/>
        <w:rPr>
          <w:rFonts w:ascii="宋体" w:hAnsi="宋体" w:eastAsia="宋体" w:cs="宋体"/>
          <w:b/>
          <w:bCs/>
          <w:color w:val="auto"/>
          <w:szCs w:val="21"/>
          <w:highlight w:val="none"/>
        </w:rPr>
      </w:pPr>
      <w:r>
        <w:rPr>
          <w:rFonts w:hint="eastAsia" w:ascii="宋体" w:hAnsi="宋体" w:eastAsia="宋体" w:cs="宋体"/>
          <w:b/>
          <w:bCs/>
          <w:color w:val="auto"/>
          <w:sz w:val="24"/>
          <w:szCs w:val="24"/>
          <w:highlight w:val="none"/>
        </w:rPr>
        <w:t>二、资格证明文件</w:t>
      </w:r>
    </w:p>
    <w:p>
      <w:pPr>
        <w:spacing w:line="360" w:lineRule="auto"/>
        <w:ind w:firstLine="422" w:firstLineChars="200"/>
        <w:rPr>
          <w:rFonts w:ascii="宋体" w:hAnsi="宋体" w:eastAsia="宋体" w:cs="宋体"/>
          <w:color w:val="auto"/>
          <w:highlight w:val="none"/>
        </w:rPr>
      </w:pPr>
      <w:r>
        <w:rPr>
          <w:rFonts w:hint="eastAsia" w:ascii="宋体" w:hAnsi="宋体" w:eastAsia="宋体" w:cs="宋体"/>
          <w:b/>
          <w:color w:val="auto"/>
          <w:highlight w:val="none"/>
        </w:rPr>
        <w:t>1、</w:t>
      </w:r>
      <w:r>
        <w:rPr>
          <w:rFonts w:hint="eastAsia" w:ascii="宋体" w:hAnsi="宋体" w:eastAsia="宋体" w:cs="宋体"/>
          <w:b/>
          <w:color w:val="auto"/>
          <w:szCs w:val="21"/>
          <w:highlight w:val="none"/>
        </w:rPr>
        <w:t>实质性资格证明文件目录</w:t>
      </w:r>
      <w:r>
        <w:rPr>
          <w:rFonts w:hint="eastAsia" w:ascii="宋体" w:hAnsi="宋体" w:eastAsia="宋体" w:cs="宋体"/>
          <w:color w:val="auto"/>
          <w:szCs w:val="21"/>
          <w:highlight w:val="none"/>
        </w:rPr>
        <w:t>：</w:t>
      </w:r>
    </w:p>
    <w:p>
      <w:pPr>
        <w:widowControl/>
        <w:adjustRightInd w:val="0"/>
        <w:snapToGrid w:val="0"/>
        <w:spacing w:line="360" w:lineRule="auto"/>
        <w:ind w:firstLine="420" w:firstLineChars="200"/>
        <w:jc w:val="left"/>
        <w:rPr>
          <w:color w:val="auto"/>
          <w:highlight w:val="none"/>
        </w:rPr>
      </w:pPr>
      <w:r>
        <w:rPr>
          <w:rFonts w:hint="eastAsia" w:ascii="宋体" w:hAnsi="宋体" w:eastAsia="宋体" w:cs="宋体"/>
          <w:i/>
          <w:iCs/>
          <w:color w:val="auto"/>
          <w:kern w:val="0"/>
          <w:szCs w:val="21"/>
          <w:highlight w:val="none"/>
          <w:lang w:bidi="ar"/>
        </w:rPr>
        <w:t>（1）谈判响应函</w:t>
      </w:r>
      <w:r>
        <w:rPr>
          <w:rFonts w:hint="eastAsia" w:ascii="宋体" w:hAnsi="宋体" w:eastAsia="宋体" w:cs="宋体"/>
          <w:b/>
          <w:bCs/>
          <w:i/>
          <w:iCs/>
          <w:color w:val="auto"/>
          <w:kern w:val="0"/>
          <w:szCs w:val="21"/>
          <w:highlight w:val="none"/>
          <w:lang w:bidi="ar"/>
        </w:rPr>
        <w:t>(原件)</w:t>
      </w:r>
    </w:p>
    <w:p>
      <w:pPr>
        <w:widowControl/>
        <w:adjustRightInd w:val="0"/>
        <w:snapToGrid w:val="0"/>
        <w:spacing w:line="360" w:lineRule="auto"/>
        <w:ind w:firstLine="420" w:firstLineChars="200"/>
        <w:jc w:val="left"/>
        <w:rPr>
          <w:color w:val="auto"/>
          <w:highlight w:val="none"/>
        </w:rPr>
      </w:pPr>
      <w:r>
        <w:rPr>
          <w:rFonts w:hint="eastAsia" w:ascii="宋体" w:hAnsi="宋体" w:eastAsia="宋体" w:cs="宋体"/>
          <w:i/>
          <w:iCs/>
          <w:color w:val="auto"/>
          <w:kern w:val="0"/>
          <w:szCs w:val="21"/>
          <w:highlight w:val="none"/>
          <w:lang w:bidi="ar"/>
        </w:rPr>
        <w:t>（2）资格声明</w:t>
      </w:r>
      <w:r>
        <w:rPr>
          <w:rFonts w:hint="eastAsia" w:ascii="宋体" w:hAnsi="宋体" w:eastAsia="宋体" w:cs="宋体"/>
          <w:b/>
          <w:bCs/>
          <w:i/>
          <w:iCs/>
          <w:color w:val="auto"/>
          <w:kern w:val="0"/>
          <w:szCs w:val="21"/>
          <w:highlight w:val="none"/>
          <w:lang w:bidi="ar"/>
        </w:rPr>
        <w:t>(原件)</w:t>
      </w:r>
    </w:p>
    <w:p>
      <w:pPr>
        <w:widowControl/>
        <w:adjustRightInd w:val="0"/>
        <w:snapToGrid w:val="0"/>
        <w:spacing w:line="360" w:lineRule="auto"/>
        <w:ind w:firstLine="420" w:firstLineChars="200"/>
        <w:jc w:val="left"/>
        <w:rPr>
          <w:color w:val="auto"/>
          <w:highlight w:val="none"/>
        </w:rPr>
      </w:pPr>
      <w:r>
        <w:rPr>
          <w:rFonts w:hint="eastAsia" w:ascii="宋体" w:hAnsi="宋体" w:eastAsia="宋体" w:cs="宋体"/>
          <w:i/>
          <w:iCs/>
          <w:color w:val="auto"/>
          <w:kern w:val="0"/>
          <w:szCs w:val="21"/>
          <w:highlight w:val="none"/>
          <w:lang w:bidi="ar"/>
        </w:rPr>
        <w:t>（3）若法定代表人参加谈判的，须提供本人身份证复印件</w:t>
      </w:r>
      <w:r>
        <w:rPr>
          <w:rFonts w:hint="eastAsia" w:ascii="宋体" w:hAnsi="宋体" w:eastAsia="宋体" w:cs="宋体"/>
          <w:b/>
          <w:bCs/>
          <w:i/>
          <w:iCs/>
          <w:color w:val="auto"/>
          <w:kern w:val="0"/>
          <w:szCs w:val="21"/>
          <w:highlight w:val="none"/>
          <w:lang w:bidi="ar"/>
        </w:rPr>
        <w:t>(原件备查)</w:t>
      </w:r>
      <w:r>
        <w:rPr>
          <w:rFonts w:hint="eastAsia" w:ascii="宋体" w:hAnsi="宋体" w:eastAsia="宋体" w:cs="宋体"/>
          <w:i/>
          <w:iCs/>
          <w:color w:val="auto"/>
          <w:kern w:val="0"/>
          <w:szCs w:val="21"/>
          <w:highlight w:val="none"/>
          <w:lang w:bidi="ar"/>
        </w:rPr>
        <w:t>；若授权代表参加的，须提供《法人授权书》原件和授权代表身份证复印件</w:t>
      </w:r>
      <w:r>
        <w:rPr>
          <w:rFonts w:hint="eastAsia" w:ascii="宋体" w:hAnsi="宋体" w:eastAsia="宋体" w:cs="宋体"/>
          <w:b/>
          <w:bCs/>
          <w:i/>
          <w:iCs/>
          <w:color w:val="auto"/>
          <w:kern w:val="0"/>
          <w:szCs w:val="21"/>
          <w:highlight w:val="none"/>
          <w:lang w:bidi="ar"/>
        </w:rPr>
        <w:t>（原件备查）</w:t>
      </w:r>
    </w:p>
    <w:p>
      <w:pPr>
        <w:widowControl/>
        <w:adjustRightInd w:val="0"/>
        <w:snapToGrid w:val="0"/>
        <w:spacing w:line="360" w:lineRule="auto"/>
        <w:ind w:firstLine="420" w:firstLineChars="200"/>
        <w:jc w:val="left"/>
        <w:rPr>
          <w:color w:val="auto"/>
          <w:highlight w:val="none"/>
        </w:rPr>
      </w:pPr>
      <w:r>
        <w:rPr>
          <w:rFonts w:hint="eastAsia" w:ascii="宋体" w:hAnsi="宋体" w:eastAsia="宋体" w:cs="宋体"/>
          <w:i/>
          <w:iCs/>
          <w:color w:val="auto"/>
          <w:kern w:val="0"/>
          <w:szCs w:val="21"/>
          <w:highlight w:val="none"/>
          <w:lang w:bidi="ar"/>
        </w:rPr>
        <w:t>（4）营业执照副本或民办非企业单位登记证书或事业单位法人证书等相关身份证明材料</w:t>
      </w:r>
      <w:r>
        <w:rPr>
          <w:rFonts w:hint="eastAsia" w:ascii="宋体" w:hAnsi="宋体" w:eastAsia="宋体" w:cs="宋体"/>
          <w:b/>
          <w:bCs/>
          <w:i/>
          <w:iCs/>
          <w:color w:val="auto"/>
          <w:kern w:val="0"/>
          <w:szCs w:val="21"/>
          <w:highlight w:val="none"/>
          <w:lang w:bidi="ar"/>
        </w:rPr>
        <w:t xml:space="preserve">(复印件加盖供应商公章) </w:t>
      </w:r>
    </w:p>
    <w:p>
      <w:pPr>
        <w:widowControl/>
        <w:adjustRightInd w:val="0"/>
        <w:snapToGrid w:val="0"/>
        <w:spacing w:line="360" w:lineRule="auto"/>
        <w:ind w:firstLine="420" w:firstLineChars="200"/>
        <w:jc w:val="left"/>
        <w:rPr>
          <w:color w:val="auto"/>
          <w:highlight w:val="none"/>
        </w:rPr>
      </w:pPr>
      <w:r>
        <w:rPr>
          <w:rFonts w:hint="eastAsia" w:ascii="宋体" w:hAnsi="宋体" w:eastAsia="宋体" w:cs="宋体"/>
          <w:i/>
          <w:iCs/>
          <w:color w:val="auto"/>
          <w:kern w:val="0"/>
          <w:szCs w:val="21"/>
          <w:highlight w:val="none"/>
          <w:lang w:bidi="ar"/>
        </w:rPr>
        <w:t>（5）依法缴纳职工社会保障资金的证明材料</w:t>
      </w:r>
      <w:r>
        <w:rPr>
          <w:rFonts w:hint="eastAsia" w:ascii="宋体" w:hAnsi="宋体" w:eastAsia="宋体" w:cs="宋体"/>
          <w:b/>
          <w:bCs/>
          <w:i/>
          <w:iCs/>
          <w:color w:val="auto"/>
          <w:kern w:val="0"/>
          <w:szCs w:val="21"/>
          <w:highlight w:val="none"/>
          <w:lang w:bidi="ar"/>
        </w:rPr>
        <w:t>(复印件加盖供应商公章)(税务、银行或社会保险基金管理部门出具的2021年12月-2022年2月三个月内任意一份缴纳职工社会保障资金的缴款凭证或缴款证明)</w:t>
      </w:r>
    </w:p>
    <w:p>
      <w:pPr>
        <w:widowControl/>
        <w:adjustRightInd w:val="0"/>
        <w:snapToGrid w:val="0"/>
        <w:spacing w:line="360" w:lineRule="auto"/>
        <w:ind w:firstLine="420" w:firstLineChars="200"/>
        <w:jc w:val="left"/>
        <w:rPr>
          <w:color w:val="auto"/>
          <w:highlight w:val="none"/>
        </w:rPr>
      </w:pPr>
      <w:r>
        <w:rPr>
          <w:rFonts w:hint="eastAsia" w:ascii="宋体" w:hAnsi="宋体" w:eastAsia="宋体" w:cs="宋体"/>
          <w:i/>
          <w:iCs/>
          <w:color w:val="auto"/>
          <w:kern w:val="0"/>
          <w:szCs w:val="21"/>
          <w:highlight w:val="none"/>
          <w:lang w:bidi="ar"/>
        </w:rPr>
        <w:t>（6）供应商2021年12月-2022年2月三个月内任意一份依法纳税的缴款凭证</w:t>
      </w:r>
      <w:r>
        <w:rPr>
          <w:rFonts w:hint="eastAsia" w:ascii="宋体" w:hAnsi="宋体" w:eastAsia="宋体" w:cs="宋体"/>
          <w:b/>
          <w:bCs/>
          <w:i/>
          <w:iCs/>
          <w:color w:val="auto"/>
          <w:kern w:val="0"/>
          <w:szCs w:val="21"/>
          <w:highlight w:val="none"/>
          <w:lang w:bidi="ar"/>
        </w:rPr>
        <w:t xml:space="preserve">(复印件加盖供应商公章) </w:t>
      </w:r>
    </w:p>
    <w:p>
      <w:pPr>
        <w:widowControl/>
        <w:adjustRightInd w:val="0"/>
        <w:snapToGrid w:val="0"/>
        <w:spacing w:line="360" w:lineRule="auto"/>
        <w:ind w:firstLine="420" w:firstLineChars="200"/>
        <w:jc w:val="left"/>
        <w:rPr>
          <w:color w:val="auto"/>
          <w:highlight w:val="none"/>
        </w:rPr>
      </w:pPr>
      <w:r>
        <w:rPr>
          <w:rFonts w:hint="eastAsia" w:ascii="宋体" w:hAnsi="宋体" w:eastAsia="宋体" w:cs="宋体"/>
          <w:i/>
          <w:iCs/>
          <w:color w:val="auto"/>
          <w:kern w:val="0"/>
          <w:szCs w:val="21"/>
          <w:highlight w:val="none"/>
          <w:lang w:bidi="ar"/>
        </w:rPr>
        <w:t>（7）供应商上一年度的财务报告情况</w:t>
      </w:r>
      <w:r>
        <w:rPr>
          <w:rFonts w:hint="eastAsia" w:ascii="宋体" w:hAnsi="宋体" w:eastAsia="宋体" w:cs="宋体"/>
          <w:b/>
          <w:bCs/>
          <w:i/>
          <w:iCs/>
          <w:color w:val="auto"/>
          <w:kern w:val="0"/>
          <w:szCs w:val="21"/>
          <w:highlight w:val="none"/>
          <w:lang w:bidi="ar"/>
        </w:rPr>
        <w:t>（成立不满一年不需提供，复印件加盖供应商公章)</w:t>
      </w:r>
    </w:p>
    <w:p>
      <w:pPr>
        <w:widowControl/>
        <w:adjustRightInd w:val="0"/>
        <w:snapToGrid w:val="0"/>
        <w:spacing w:line="360" w:lineRule="auto"/>
        <w:ind w:firstLine="420" w:firstLineChars="200"/>
        <w:jc w:val="left"/>
        <w:rPr>
          <w:color w:val="auto"/>
          <w:highlight w:val="none"/>
        </w:rPr>
      </w:pPr>
      <w:r>
        <w:rPr>
          <w:rFonts w:hint="eastAsia" w:ascii="宋体" w:hAnsi="宋体" w:eastAsia="宋体" w:cs="宋体"/>
          <w:i/>
          <w:iCs/>
          <w:color w:val="auto"/>
          <w:kern w:val="0"/>
          <w:szCs w:val="21"/>
          <w:highlight w:val="none"/>
          <w:lang w:bidi="ar"/>
        </w:rPr>
        <w:t>（8）供应商参加本次政府采购活动前3年内在经营活动中没有重大违法记录的书面声明</w:t>
      </w:r>
      <w:r>
        <w:rPr>
          <w:rFonts w:hint="eastAsia" w:ascii="宋体" w:hAnsi="宋体" w:eastAsia="宋体" w:cs="宋体"/>
          <w:b/>
          <w:bCs/>
          <w:i/>
          <w:iCs/>
          <w:color w:val="auto"/>
          <w:kern w:val="0"/>
          <w:szCs w:val="21"/>
          <w:highlight w:val="none"/>
          <w:lang w:bidi="ar"/>
        </w:rPr>
        <w:t>（原件）</w:t>
      </w:r>
    </w:p>
    <w:p>
      <w:pPr>
        <w:pStyle w:val="29"/>
        <w:spacing w:line="360" w:lineRule="auto"/>
        <w:ind w:firstLine="420"/>
        <w:rPr>
          <w:rFonts w:ascii="宋体" w:hAnsi="宋体" w:eastAsia="宋体" w:cs="宋体"/>
          <w:b/>
          <w:bCs/>
          <w:i/>
          <w:iCs/>
          <w:color w:val="auto"/>
          <w:kern w:val="0"/>
          <w:szCs w:val="21"/>
          <w:highlight w:val="none"/>
          <w:lang w:bidi="ar"/>
        </w:rPr>
      </w:pPr>
      <w:r>
        <w:rPr>
          <w:rFonts w:hint="eastAsia" w:ascii="宋体" w:hAnsi="宋体" w:eastAsia="宋体" w:cs="宋体"/>
          <w:i/>
          <w:iCs/>
          <w:color w:val="auto"/>
          <w:kern w:val="0"/>
          <w:szCs w:val="21"/>
          <w:highlight w:val="none"/>
          <w:lang w:bidi="ar"/>
        </w:rPr>
        <w:t>（9）供应商信用承诺书</w:t>
      </w:r>
      <w:r>
        <w:rPr>
          <w:rFonts w:hint="eastAsia" w:ascii="宋体" w:hAnsi="宋体" w:eastAsia="宋体" w:cs="宋体"/>
          <w:b/>
          <w:bCs/>
          <w:i/>
          <w:iCs/>
          <w:color w:val="auto"/>
          <w:kern w:val="0"/>
          <w:szCs w:val="21"/>
          <w:highlight w:val="none"/>
          <w:lang w:bidi="ar"/>
        </w:rPr>
        <w:t>（原件）</w:t>
      </w:r>
    </w:p>
    <w:p>
      <w:pPr>
        <w:pStyle w:val="29"/>
        <w:spacing w:line="360" w:lineRule="auto"/>
        <w:ind w:firstLine="420"/>
        <w:rPr>
          <w:rFonts w:ascii="宋体" w:hAnsi="宋体" w:eastAsia="宋体" w:cs="宋体"/>
          <w:i/>
          <w:iCs/>
          <w:color w:val="auto"/>
          <w:szCs w:val="21"/>
          <w:highlight w:val="none"/>
          <w:u w:val="single"/>
        </w:rPr>
      </w:pPr>
      <w:r>
        <w:rPr>
          <w:rFonts w:hint="eastAsia" w:ascii="宋体" w:hAnsi="宋体" w:eastAsia="宋体" w:cs="宋体"/>
          <w:i/>
          <w:iCs/>
          <w:color w:val="auto"/>
          <w:kern w:val="0"/>
          <w:szCs w:val="21"/>
          <w:highlight w:val="none"/>
          <w:lang w:bidi="ar"/>
        </w:rPr>
        <w:t>（10）</w:t>
      </w:r>
      <w:r>
        <w:rPr>
          <w:rFonts w:hint="eastAsia" w:ascii="宋体" w:hAnsi="宋体" w:eastAsia="宋体" w:cs="宋体"/>
          <w:i/>
          <w:iCs/>
          <w:color w:val="auto"/>
          <w:szCs w:val="21"/>
          <w:highlight w:val="none"/>
          <w:u w:val="single"/>
        </w:rPr>
        <w:t>根据《政府采购促进中小企业发展管理办法》规定，本项目专门面向中小企业采购， 供应商应在响应文件中按要求提供《中小企业声明函》(原件）</w:t>
      </w:r>
    </w:p>
    <w:p>
      <w:pPr>
        <w:pStyle w:val="29"/>
        <w:spacing w:line="360" w:lineRule="auto"/>
        <w:ind w:firstLine="422"/>
        <w:rPr>
          <w:rFonts w:ascii="宋体" w:hAnsi="宋体" w:eastAsia="宋体" w:cs="宋体"/>
          <w:color w:val="auto"/>
          <w:highlight w:val="none"/>
        </w:rPr>
      </w:pPr>
      <w:r>
        <w:rPr>
          <w:rFonts w:hint="eastAsia" w:ascii="宋体" w:hAnsi="宋体" w:eastAsia="宋体" w:cs="宋体"/>
          <w:b/>
          <w:color w:val="auto"/>
          <w:szCs w:val="21"/>
          <w:highlight w:val="none"/>
        </w:rPr>
        <w:t>备注：</w:t>
      </w:r>
      <w:r>
        <w:rPr>
          <w:rFonts w:hint="eastAsia" w:ascii="宋体" w:hAnsi="宋体" w:eastAsia="宋体" w:cs="宋体"/>
          <w:color w:val="auto"/>
          <w:szCs w:val="21"/>
          <w:highlight w:val="none"/>
        </w:rPr>
        <w:t>投标文件的正本和副本中均须提供上述资格证明文件。资格证明文件须清晰可辨，若有缺失或不清晰，将导致投标被拒绝且不允许在开标后补正。</w:t>
      </w:r>
    </w:p>
    <w:p>
      <w:pPr>
        <w:jc w:val="center"/>
        <w:rPr>
          <w:rFonts w:ascii="宋体" w:hAnsi="宋体" w:eastAsia="宋体" w:cs="宋体"/>
          <w:b/>
          <w:bCs/>
          <w:color w:val="auto"/>
          <w:sz w:val="24"/>
          <w:szCs w:val="24"/>
          <w:highlight w:val="none"/>
        </w:rPr>
      </w:pPr>
    </w:p>
    <w:p>
      <w:pPr>
        <w:jc w:val="center"/>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br w:type="page"/>
      </w:r>
    </w:p>
    <w:p>
      <w:pPr>
        <w:jc w:val="center"/>
        <w:rPr>
          <w:rFonts w:ascii="宋体" w:hAnsi="宋体" w:eastAsia="宋体" w:cs="宋体"/>
          <w:b/>
          <w:bCs/>
          <w:color w:val="auto"/>
          <w:sz w:val="28"/>
          <w:szCs w:val="28"/>
          <w:highlight w:val="none"/>
        </w:rPr>
      </w:pPr>
    </w:p>
    <w:p>
      <w:pPr>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谈 判 响 应 函</w:t>
      </w:r>
    </w:p>
    <w:p>
      <w:pPr>
        <w:pStyle w:val="43"/>
        <w:spacing w:before="0" w:after="0"/>
        <w:ind w:firstLine="0"/>
        <w:rPr>
          <w:rFonts w:ascii="宋体" w:hAnsi="宋体" w:cs="宋体"/>
          <w:color w:val="auto"/>
          <w:kern w:val="2"/>
          <w:sz w:val="21"/>
          <w:szCs w:val="21"/>
          <w:highlight w:val="none"/>
        </w:rPr>
      </w:pPr>
    </w:p>
    <w:p>
      <w:pPr>
        <w:pStyle w:val="43"/>
        <w:spacing w:before="0" w:after="0"/>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致：江苏嘉加诚工程投资咨询有限公司</w:t>
      </w:r>
    </w:p>
    <w:p>
      <w:pPr>
        <w:pStyle w:val="43"/>
        <w:spacing w:before="0" w:after="0"/>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根据贵方的</w:t>
      </w:r>
      <w:r>
        <w:rPr>
          <w:rFonts w:hint="eastAsia" w:ascii="宋体" w:hAnsi="宋体" w:cs="宋体"/>
          <w:color w:val="auto"/>
          <w:sz w:val="21"/>
          <w:szCs w:val="21"/>
          <w:highlight w:val="none"/>
          <w:u w:val="single"/>
        </w:rPr>
        <w:t xml:space="preserve">        </w:t>
      </w:r>
      <w:r>
        <w:rPr>
          <w:rFonts w:hint="eastAsia" w:ascii="宋体" w:hAnsi="宋体" w:cs="宋体"/>
          <w:color w:val="auto"/>
          <w:kern w:val="2"/>
          <w:sz w:val="21"/>
          <w:szCs w:val="21"/>
          <w:highlight w:val="none"/>
        </w:rPr>
        <w:t>号谈判文件，正式授权下述签字人</w:t>
      </w:r>
      <w:r>
        <w:rPr>
          <w:rFonts w:hint="eastAsia" w:ascii="宋体" w:hAnsi="宋体" w:cs="宋体"/>
          <w:color w:val="auto"/>
          <w:sz w:val="21"/>
          <w:szCs w:val="21"/>
          <w:highlight w:val="none"/>
          <w:u w:val="single"/>
        </w:rPr>
        <w:t xml:space="preserve">        </w:t>
      </w:r>
      <w:r>
        <w:rPr>
          <w:rFonts w:hint="eastAsia" w:ascii="宋体" w:hAnsi="宋体" w:cs="宋体"/>
          <w:color w:val="auto"/>
          <w:kern w:val="2"/>
          <w:sz w:val="21"/>
          <w:szCs w:val="21"/>
          <w:highlight w:val="none"/>
        </w:rPr>
        <w:t>(姓名和职务)代表我方</w:t>
      </w:r>
      <w:r>
        <w:rPr>
          <w:rFonts w:hint="eastAsia" w:ascii="宋体" w:hAnsi="宋体" w:cs="宋体"/>
          <w:color w:val="auto"/>
          <w:sz w:val="21"/>
          <w:szCs w:val="21"/>
          <w:highlight w:val="none"/>
          <w:u w:val="single"/>
        </w:rPr>
        <w:t xml:space="preserve">        </w:t>
      </w:r>
      <w:r>
        <w:rPr>
          <w:rFonts w:hint="eastAsia" w:ascii="宋体" w:hAnsi="宋体" w:cs="宋体"/>
          <w:color w:val="auto"/>
          <w:kern w:val="2"/>
          <w:sz w:val="21"/>
          <w:szCs w:val="21"/>
          <w:highlight w:val="none"/>
        </w:rPr>
        <w:t>（供应商的名称），全权处理本次项目谈判采购的有关事宜。</w:t>
      </w:r>
    </w:p>
    <w:p>
      <w:pPr>
        <w:pStyle w:val="43"/>
        <w:spacing w:before="0" w:after="0"/>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据此函， </w:t>
      </w:r>
      <w:r>
        <w:rPr>
          <w:rFonts w:hint="eastAsia" w:ascii="宋体" w:hAnsi="宋体" w:cs="宋体"/>
          <w:color w:val="auto"/>
          <w:sz w:val="21"/>
          <w:szCs w:val="21"/>
          <w:highlight w:val="none"/>
          <w:u w:val="single"/>
        </w:rPr>
        <w:t xml:space="preserve">        </w:t>
      </w:r>
      <w:r>
        <w:rPr>
          <w:rFonts w:hint="eastAsia" w:ascii="宋体" w:hAnsi="宋体" w:cs="宋体"/>
          <w:color w:val="auto"/>
          <w:kern w:val="2"/>
          <w:sz w:val="21"/>
          <w:szCs w:val="21"/>
          <w:highlight w:val="none"/>
        </w:rPr>
        <w:t>（签字人）兹宣布同意如下：</w:t>
      </w:r>
    </w:p>
    <w:p>
      <w:pPr>
        <w:pStyle w:val="43"/>
        <w:spacing w:before="0" w:after="0"/>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1.按谈判文件规定的各项要求，向买方提供所需服务。</w:t>
      </w:r>
    </w:p>
    <w:p>
      <w:pPr>
        <w:pStyle w:val="44"/>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2.我们已详细审核全部谈判文件及其有效补充文件，我们知道必须放弃提出含糊不清或误解问题的权利。</w:t>
      </w:r>
    </w:p>
    <w:p>
      <w:pPr>
        <w:pStyle w:val="44"/>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3.我们同意从规定的响应文件接收截止时间起遵循本响应文件，并在规定的谈判有效期期满之前均具有约束力。</w:t>
      </w:r>
    </w:p>
    <w:p>
      <w:pPr>
        <w:pStyle w:val="44"/>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4.如果在响应文件接收截止时间后规定的谈判有效期内撤回响应文件或成交后拒绝签订合同，我们将承担相应的后果。</w:t>
      </w:r>
    </w:p>
    <w:p>
      <w:pPr>
        <w:pStyle w:val="44"/>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5.同意向贵方提供贵方可能另外要求的与谈判采购有关的任何证据或资料，并保证我方已提供和将要提供的文件是真实的、准确的。</w:t>
      </w:r>
    </w:p>
    <w:p>
      <w:pPr>
        <w:pStyle w:val="44"/>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6.一旦我方成交，我方将根据谈判文件的规定，严格履行合同的责任和义务，并保证在谈判文件规定的时间完成项目，交付买方验收、使用。</w:t>
      </w:r>
    </w:p>
    <w:p>
      <w:pPr>
        <w:pStyle w:val="44"/>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7.遵守谈判文件中要求的收费项目和标准。</w:t>
      </w:r>
    </w:p>
    <w:p>
      <w:pPr>
        <w:pStyle w:val="44"/>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8.与本谈判采购有关的正式通讯地址为：</w:t>
      </w:r>
    </w:p>
    <w:p>
      <w:pPr>
        <w:pStyle w:val="43"/>
        <w:spacing w:before="0" w:after="0"/>
        <w:ind w:firstLine="478" w:firstLineChars="228"/>
        <w:rPr>
          <w:rFonts w:ascii="宋体" w:hAnsi="宋体" w:cs="宋体"/>
          <w:color w:val="auto"/>
          <w:kern w:val="2"/>
          <w:sz w:val="21"/>
          <w:szCs w:val="21"/>
          <w:highlight w:val="none"/>
        </w:rPr>
      </w:pPr>
    </w:p>
    <w:p>
      <w:pPr>
        <w:pStyle w:val="43"/>
        <w:spacing w:before="0" w:after="0" w:line="480" w:lineRule="auto"/>
        <w:ind w:firstLine="478" w:firstLineChars="228"/>
        <w:rPr>
          <w:rFonts w:ascii="宋体" w:hAnsi="宋体" w:cs="宋体"/>
          <w:color w:val="auto"/>
          <w:kern w:val="2"/>
          <w:sz w:val="21"/>
          <w:szCs w:val="21"/>
          <w:highlight w:val="none"/>
        </w:rPr>
      </w:pPr>
      <w:r>
        <w:rPr>
          <w:rFonts w:hint="eastAsia" w:ascii="宋体" w:hAnsi="宋体" w:cs="宋体"/>
          <w:color w:val="auto"/>
          <w:kern w:val="2"/>
          <w:sz w:val="21"/>
          <w:szCs w:val="21"/>
          <w:highlight w:val="none"/>
        </w:rPr>
        <w:t>地 址：                                   邮 编：</w:t>
      </w:r>
    </w:p>
    <w:p>
      <w:pPr>
        <w:pStyle w:val="43"/>
        <w:spacing w:before="0" w:after="0" w:line="480" w:lineRule="auto"/>
        <w:ind w:firstLine="478" w:firstLineChars="228"/>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电 话：                                   传 真： </w:t>
      </w:r>
    </w:p>
    <w:p>
      <w:pPr>
        <w:pStyle w:val="43"/>
        <w:spacing w:before="0" w:after="0" w:line="480" w:lineRule="auto"/>
        <w:ind w:firstLine="478" w:firstLineChars="228"/>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供应商开户行：                            账 户： </w:t>
      </w:r>
    </w:p>
    <w:p>
      <w:pPr>
        <w:pStyle w:val="43"/>
        <w:spacing w:before="0" w:after="0" w:line="480" w:lineRule="auto"/>
        <w:ind w:firstLine="478" w:firstLineChars="228"/>
        <w:rPr>
          <w:rFonts w:ascii="宋体" w:hAnsi="宋体" w:cs="宋体"/>
          <w:color w:val="auto"/>
          <w:kern w:val="2"/>
          <w:sz w:val="21"/>
          <w:szCs w:val="21"/>
          <w:highlight w:val="none"/>
        </w:rPr>
      </w:pPr>
      <w:r>
        <w:rPr>
          <w:rFonts w:hint="eastAsia" w:ascii="宋体" w:hAnsi="宋体" w:cs="宋体"/>
          <w:color w:val="auto"/>
          <w:kern w:val="2"/>
          <w:sz w:val="21"/>
          <w:szCs w:val="21"/>
          <w:highlight w:val="none"/>
        </w:rPr>
        <w:t>法定代表人或授权代表（签字）：           联系电话：</w:t>
      </w:r>
    </w:p>
    <w:p>
      <w:pPr>
        <w:pStyle w:val="43"/>
        <w:spacing w:before="0" w:after="0" w:line="480" w:lineRule="auto"/>
        <w:ind w:firstLine="478" w:firstLineChars="228"/>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供应商名称（公章）： </w:t>
      </w:r>
    </w:p>
    <w:p>
      <w:pPr>
        <w:pStyle w:val="43"/>
        <w:spacing w:before="0" w:after="0" w:line="480" w:lineRule="auto"/>
        <w:ind w:firstLine="478" w:firstLineChars="228"/>
        <w:rPr>
          <w:rFonts w:ascii="宋体" w:hAnsi="宋体" w:cs="宋体"/>
          <w:color w:val="auto"/>
          <w:kern w:val="2"/>
          <w:sz w:val="21"/>
          <w:szCs w:val="21"/>
          <w:highlight w:val="none"/>
        </w:rPr>
      </w:pPr>
      <w:r>
        <w:rPr>
          <w:rFonts w:hint="eastAsia" w:ascii="宋体" w:hAnsi="宋体" w:cs="宋体"/>
          <w:color w:val="auto"/>
          <w:kern w:val="2"/>
          <w:sz w:val="21"/>
          <w:szCs w:val="21"/>
          <w:highlight w:val="none"/>
        </w:rPr>
        <w:t>日 期：________年____月____日</w:t>
      </w:r>
    </w:p>
    <w:p>
      <w:pPr>
        <w:rPr>
          <w:rFonts w:ascii="宋体" w:hAnsi="宋体" w:eastAsia="宋体" w:cs="宋体"/>
          <w:b/>
          <w:bCs/>
          <w:color w:val="auto"/>
          <w:szCs w:val="21"/>
          <w:highlight w:val="none"/>
        </w:rPr>
      </w:pPr>
    </w:p>
    <w:p>
      <w:pPr>
        <w:pStyle w:val="28"/>
        <w:ind w:firstLine="482"/>
        <w:rPr>
          <w:rFonts w:hAnsi="宋体" w:eastAsia="宋体" w:cs="宋体"/>
          <w:b/>
          <w:bCs/>
          <w:color w:val="auto"/>
          <w:sz w:val="24"/>
          <w:szCs w:val="24"/>
          <w:highlight w:val="none"/>
        </w:rPr>
      </w:pPr>
    </w:p>
    <w:p>
      <w:pPr>
        <w:ind w:firstLine="482" w:firstLineChars="200"/>
        <w:jc w:val="center"/>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br w:type="page"/>
      </w:r>
    </w:p>
    <w:p>
      <w:pPr>
        <w:ind w:firstLine="482" w:firstLineChars="200"/>
        <w:jc w:val="center"/>
        <w:rPr>
          <w:rFonts w:ascii="宋体" w:hAnsi="宋体" w:eastAsia="宋体" w:cs="宋体"/>
          <w:b/>
          <w:bCs/>
          <w:color w:val="auto"/>
          <w:sz w:val="24"/>
          <w:szCs w:val="24"/>
          <w:highlight w:val="none"/>
        </w:rPr>
      </w:pPr>
    </w:p>
    <w:p>
      <w:pPr>
        <w:ind w:firstLine="482" w:firstLineChars="200"/>
        <w:jc w:val="center"/>
        <w:rPr>
          <w:rFonts w:ascii="宋体" w:hAnsi="宋体" w:eastAsia="宋体" w:cs="宋体"/>
          <w:b/>
          <w:bCs/>
          <w:color w:val="auto"/>
          <w:kern w:val="0"/>
          <w:szCs w:val="21"/>
          <w:highlight w:val="none"/>
        </w:rPr>
      </w:pPr>
      <w:r>
        <w:rPr>
          <w:rFonts w:hint="eastAsia" w:ascii="宋体" w:hAnsi="宋体" w:eastAsia="宋体" w:cs="宋体"/>
          <w:b/>
          <w:bCs/>
          <w:color w:val="auto"/>
          <w:sz w:val="24"/>
          <w:szCs w:val="24"/>
          <w:highlight w:val="none"/>
        </w:rPr>
        <w:t>资 格 声 明</w:t>
      </w:r>
    </w:p>
    <w:p>
      <w:pPr>
        <w:spacing w:line="312" w:lineRule="auto"/>
        <w:ind w:firstLine="420" w:firstLineChars="200"/>
        <w:jc w:val="left"/>
        <w:rPr>
          <w:rFonts w:ascii="宋体" w:hAnsi="宋体" w:eastAsia="宋体" w:cs="宋体"/>
          <w:color w:val="auto"/>
          <w:szCs w:val="21"/>
          <w:highlight w:val="none"/>
        </w:rPr>
      </w:pPr>
    </w:p>
    <w:p>
      <w:pPr>
        <w:spacing w:line="336" w:lineRule="auto"/>
        <w:ind w:firstLine="420" w:firstLineChars="200"/>
        <w:jc w:val="left"/>
        <w:rPr>
          <w:rFonts w:ascii="宋体" w:hAnsi="宋体" w:eastAsia="宋体" w:cs="宋体"/>
          <w:b/>
          <w:bCs/>
          <w:color w:val="auto"/>
          <w:kern w:val="0"/>
          <w:szCs w:val="21"/>
          <w:highlight w:val="none"/>
        </w:rPr>
      </w:pPr>
      <w:r>
        <w:rPr>
          <w:rFonts w:hint="eastAsia" w:ascii="宋体" w:hAnsi="宋体" w:eastAsia="宋体" w:cs="宋体"/>
          <w:color w:val="auto"/>
          <w:szCs w:val="21"/>
          <w:highlight w:val="none"/>
        </w:rPr>
        <w:t>1、名称及其它情况：</w:t>
      </w:r>
    </w:p>
    <w:p>
      <w:pPr>
        <w:spacing w:line="336"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（1）供应商名称：</w:t>
      </w:r>
      <w:r>
        <w:rPr>
          <w:rFonts w:hint="eastAsia" w:ascii="宋体" w:hAnsi="宋体" w:eastAsia="宋体" w:cs="宋体"/>
          <w:color w:val="auto"/>
          <w:szCs w:val="21"/>
          <w:highlight w:val="none"/>
          <w:u w:val="single"/>
        </w:rPr>
        <w:t xml:space="preserve">                            </w:t>
      </w:r>
    </w:p>
    <w:p>
      <w:pPr>
        <w:tabs>
          <w:tab w:val="left" w:pos="4530"/>
        </w:tabs>
        <w:spacing w:line="336"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（2）地址：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tabs>
          <w:tab w:val="left" w:pos="600"/>
          <w:tab w:val="left" w:pos="4320"/>
        </w:tabs>
        <w:spacing w:line="336" w:lineRule="auto"/>
        <w:ind w:firstLine="840" w:firstLineChars="400"/>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p>
    <w:p>
      <w:pPr>
        <w:spacing w:line="336" w:lineRule="auto"/>
        <w:ind w:firstLine="315" w:firstLineChars="150"/>
        <w:rPr>
          <w:rFonts w:ascii="宋体" w:hAnsi="宋体" w:eastAsia="宋体" w:cs="宋体"/>
          <w:color w:val="auto"/>
          <w:szCs w:val="21"/>
          <w:highlight w:val="none"/>
          <w:u w:val="single"/>
        </w:rPr>
      </w:pPr>
      <w:r>
        <w:rPr>
          <w:rFonts w:hint="eastAsia" w:ascii="宋体" w:hAnsi="宋体" w:eastAsia="宋体" w:cs="宋体"/>
          <w:color w:val="auto"/>
          <w:szCs w:val="21"/>
          <w:highlight w:val="none"/>
        </w:rPr>
        <w:t>（3）成立和/或注册日期：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36"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（4）法定代表人：</w:t>
      </w:r>
      <w:r>
        <w:rPr>
          <w:rFonts w:hint="eastAsia" w:ascii="宋体" w:hAnsi="宋体" w:eastAsia="宋体" w:cs="宋体"/>
          <w:color w:val="auto"/>
          <w:szCs w:val="21"/>
          <w:highlight w:val="none"/>
          <w:u w:val="single"/>
        </w:rPr>
        <w:t xml:space="preserve">                    </w:t>
      </w:r>
    </w:p>
    <w:p>
      <w:pPr>
        <w:spacing w:line="336" w:lineRule="auto"/>
        <w:ind w:firstLine="315" w:firstLineChars="150"/>
        <w:rPr>
          <w:rFonts w:ascii="宋体" w:hAnsi="宋体" w:eastAsia="宋体" w:cs="宋体"/>
          <w:color w:val="auto"/>
          <w:szCs w:val="21"/>
          <w:highlight w:val="none"/>
          <w:u w:val="single"/>
        </w:rPr>
      </w:pPr>
      <w:r>
        <w:rPr>
          <w:rFonts w:hint="eastAsia" w:ascii="宋体" w:hAnsi="宋体" w:eastAsia="宋体" w:cs="宋体"/>
          <w:color w:val="auto"/>
          <w:szCs w:val="21"/>
          <w:highlight w:val="none"/>
        </w:rPr>
        <w:t>（5）实收资本：</w:t>
      </w:r>
      <w:r>
        <w:rPr>
          <w:rFonts w:hint="eastAsia" w:ascii="宋体" w:hAnsi="宋体" w:eastAsia="宋体" w:cs="宋体"/>
          <w:color w:val="auto"/>
          <w:szCs w:val="21"/>
          <w:highlight w:val="none"/>
          <w:u w:val="single"/>
        </w:rPr>
        <w:t xml:space="preserve">                                 </w:t>
      </w:r>
    </w:p>
    <w:p>
      <w:pPr>
        <w:spacing w:line="336"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（6）近期资产负债表：（到</w:t>
      </w:r>
      <w:r>
        <w:rPr>
          <w:rFonts w:hint="eastAsia" w:ascii="宋体" w:hAnsi="宋体" w:eastAsia="宋体" w:cs="宋体"/>
          <w:color w:val="auto"/>
          <w:szCs w:val="21"/>
          <w:highlight w:val="none"/>
          <w:u w:val="single"/>
        </w:rPr>
        <w:t>20  年12月31日</w:t>
      </w:r>
      <w:r>
        <w:rPr>
          <w:rFonts w:hint="eastAsia" w:ascii="宋体" w:hAnsi="宋体" w:eastAsia="宋体" w:cs="宋体"/>
          <w:color w:val="auto"/>
          <w:szCs w:val="21"/>
          <w:highlight w:val="none"/>
        </w:rPr>
        <w:t>）</w:t>
      </w:r>
    </w:p>
    <w:p>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&lt;1&gt; 固定资产：</w:t>
      </w:r>
      <w:r>
        <w:rPr>
          <w:rFonts w:hint="eastAsia" w:ascii="宋体" w:hAnsi="宋体" w:eastAsia="宋体" w:cs="宋体"/>
          <w:color w:val="auto"/>
          <w:highlight w:val="none"/>
          <w:u w:val="single"/>
        </w:rPr>
        <w:t xml:space="preserve">                          </w:t>
      </w:r>
    </w:p>
    <w:p>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&lt;2&gt; 流动资金：</w:t>
      </w:r>
      <w:r>
        <w:rPr>
          <w:rFonts w:hint="eastAsia" w:ascii="宋体" w:hAnsi="宋体" w:eastAsia="宋体" w:cs="宋体"/>
          <w:color w:val="auto"/>
          <w:highlight w:val="none"/>
          <w:u w:val="single"/>
        </w:rPr>
        <w:t xml:space="preserve">                          </w:t>
      </w:r>
    </w:p>
    <w:p>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&lt;3&gt; 长期负债：</w:t>
      </w:r>
      <w:r>
        <w:rPr>
          <w:rFonts w:hint="eastAsia" w:ascii="宋体" w:hAnsi="宋体" w:eastAsia="宋体" w:cs="宋体"/>
          <w:color w:val="auto"/>
          <w:highlight w:val="none"/>
          <w:u w:val="single"/>
        </w:rPr>
        <w:t xml:space="preserve">                          </w:t>
      </w:r>
    </w:p>
    <w:p>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&lt;4&gt; 短期负债：</w:t>
      </w:r>
      <w:r>
        <w:rPr>
          <w:rFonts w:hint="eastAsia" w:ascii="宋体" w:hAnsi="宋体" w:eastAsia="宋体" w:cs="宋体"/>
          <w:color w:val="auto"/>
          <w:highlight w:val="none"/>
          <w:u w:val="single"/>
        </w:rPr>
        <w:t xml:space="preserve">                          </w:t>
      </w:r>
    </w:p>
    <w:p>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2、近三年同类货物和服务的主要销售业绩（无有效联系人、联系方式和合同复印件的视为未填报本项目）：</w:t>
      </w:r>
    </w:p>
    <w:tbl>
      <w:tblPr>
        <w:tblStyle w:val="22"/>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adjustRightInd w:val="0"/>
              <w:snapToGrid w:val="0"/>
              <w:spacing w:after="200" w:line="336" w:lineRule="auto"/>
              <w:jc w:val="center"/>
              <w:rPr>
                <w:rFonts w:ascii="宋体" w:hAnsi="宋体" w:eastAsia="宋体" w:cs="宋体"/>
                <w:color w:val="auto"/>
                <w:highlight w:val="none"/>
                <w:u w:val="single"/>
              </w:rPr>
            </w:pPr>
            <w:r>
              <w:rPr>
                <w:rFonts w:hint="eastAsia" w:ascii="宋体" w:hAnsi="宋体" w:eastAsia="宋体" w:cs="宋体"/>
                <w:color w:val="auto"/>
                <w:highlight w:val="none"/>
                <w:u w:val="single"/>
              </w:rPr>
              <w:t>甲方名称、联系人、联系方式</w:t>
            </w:r>
          </w:p>
        </w:tc>
        <w:tc>
          <w:tcPr>
            <w:tcW w:w="4251" w:type="dxa"/>
          </w:tcPr>
          <w:p>
            <w:pPr>
              <w:adjustRightInd w:val="0"/>
              <w:snapToGrid w:val="0"/>
              <w:spacing w:after="200" w:line="336" w:lineRule="auto"/>
              <w:jc w:val="center"/>
              <w:rPr>
                <w:rFonts w:ascii="宋体" w:hAnsi="宋体" w:eastAsia="宋体" w:cs="宋体"/>
                <w:color w:val="auto"/>
                <w:highlight w:val="none"/>
                <w:u w:val="single"/>
              </w:rPr>
            </w:pPr>
            <w:r>
              <w:rPr>
                <w:rFonts w:hint="eastAsia" w:ascii="宋体" w:hAnsi="宋体" w:eastAsia="宋体" w:cs="宋体"/>
                <w:color w:val="auto"/>
                <w:highlight w:val="none"/>
                <w:u w:val="single"/>
              </w:rPr>
              <w:t>项   目   名   称</w:t>
            </w:r>
          </w:p>
        </w:tc>
      </w:tr>
      <w:tr>
        <w:tblPrEx>
          <w:tblCellMar>
            <w:top w:w="0" w:type="dxa"/>
            <w:left w:w="108" w:type="dxa"/>
            <w:bottom w:w="0" w:type="dxa"/>
            <w:right w:w="108" w:type="dxa"/>
          </w:tblCellMar>
        </w:tblPrEx>
        <w:tc>
          <w:tcPr>
            <w:tcW w:w="4271" w:type="dxa"/>
          </w:tcPr>
          <w:p>
            <w:pPr>
              <w:adjustRightInd w:val="0"/>
              <w:snapToGrid w:val="0"/>
              <w:spacing w:after="200" w:line="336" w:lineRule="auto"/>
              <w:rPr>
                <w:rFonts w:ascii="宋体" w:hAnsi="宋体" w:eastAsia="宋体" w:cs="宋体"/>
                <w:color w:val="auto"/>
                <w:highlight w:val="none"/>
              </w:rPr>
            </w:pPr>
            <w:r>
              <w:rPr>
                <w:rFonts w:hint="eastAsia" w:ascii="宋体" w:hAnsi="宋体" w:eastAsia="宋体" w:cs="宋体"/>
                <w:color w:val="auto"/>
                <w:highlight w:val="none"/>
                <w:u w:val="single"/>
              </w:rPr>
              <w:t xml:space="preserve">                                                    </w:t>
            </w:r>
          </w:p>
        </w:tc>
        <w:tc>
          <w:tcPr>
            <w:tcW w:w="4251" w:type="dxa"/>
          </w:tcPr>
          <w:p>
            <w:pPr>
              <w:adjustRightInd w:val="0"/>
              <w:snapToGrid w:val="0"/>
              <w:spacing w:after="200" w:line="336" w:lineRule="auto"/>
              <w:rPr>
                <w:rFonts w:ascii="宋体" w:hAnsi="宋体" w:eastAsia="宋体" w:cs="宋体"/>
                <w:color w:val="auto"/>
                <w:highlight w:val="none"/>
              </w:rPr>
            </w:pPr>
            <w:r>
              <w:rPr>
                <w:rFonts w:hint="eastAsia" w:ascii="宋体" w:hAnsi="宋体" w:eastAsia="宋体" w:cs="宋体"/>
                <w:color w:val="auto"/>
                <w:highlight w:val="none"/>
                <w:u w:val="single"/>
              </w:rPr>
              <w:t xml:space="preserve">                                          </w:t>
            </w:r>
          </w:p>
        </w:tc>
      </w:tr>
      <w:tr>
        <w:tblPrEx>
          <w:tblCellMar>
            <w:top w:w="0" w:type="dxa"/>
            <w:left w:w="108" w:type="dxa"/>
            <w:bottom w:w="0" w:type="dxa"/>
            <w:right w:w="108" w:type="dxa"/>
          </w:tblCellMar>
        </w:tblPrEx>
        <w:tc>
          <w:tcPr>
            <w:tcW w:w="4271" w:type="dxa"/>
          </w:tcPr>
          <w:p>
            <w:pPr>
              <w:adjustRightInd w:val="0"/>
              <w:snapToGrid w:val="0"/>
              <w:spacing w:after="200" w:line="336" w:lineRule="auto"/>
              <w:rPr>
                <w:rFonts w:ascii="宋体" w:hAnsi="宋体" w:eastAsia="宋体" w:cs="宋体"/>
                <w:color w:val="auto"/>
                <w:highlight w:val="none"/>
              </w:rPr>
            </w:pPr>
            <w:r>
              <w:rPr>
                <w:rFonts w:hint="eastAsia" w:ascii="宋体" w:hAnsi="宋体" w:eastAsia="宋体" w:cs="宋体"/>
                <w:color w:val="auto"/>
                <w:highlight w:val="none"/>
                <w:u w:val="single"/>
              </w:rPr>
              <w:t xml:space="preserve">                                          </w:t>
            </w:r>
          </w:p>
        </w:tc>
        <w:tc>
          <w:tcPr>
            <w:tcW w:w="4251" w:type="dxa"/>
          </w:tcPr>
          <w:p>
            <w:pPr>
              <w:adjustRightInd w:val="0"/>
              <w:snapToGrid w:val="0"/>
              <w:spacing w:after="200" w:line="336" w:lineRule="auto"/>
              <w:rPr>
                <w:rFonts w:ascii="宋体" w:hAnsi="宋体" w:eastAsia="宋体" w:cs="宋体"/>
                <w:color w:val="auto"/>
                <w:highlight w:val="none"/>
              </w:rPr>
            </w:pPr>
            <w:r>
              <w:rPr>
                <w:rFonts w:hint="eastAsia" w:ascii="宋体" w:hAnsi="宋体" w:eastAsia="宋体" w:cs="宋体"/>
                <w:color w:val="auto"/>
                <w:highlight w:val="none"/>
                <w:u w:val="single"/>
              </w:rPr>
              <w:t xml:space="preserve">                                          </w:t>
            </w:r>
          </w:p>
        </w:tc>
      </w:tr>
    </w:tbl>
    <w:p>
      <w:pPr>
        <w:widowControl/>
        <w:jc w:val="left"/>
        <w:rPr>
          <w:color w:val="auto"/>
          <w:highlight w:val="none"/>
        </w:rPr>
      </w:pPr>
      <w:r>
        <w:rPr>
          <w:rFonts w:hint="eastAsia" w:ascii="宋体" w:hAnsi="宋体" w:eastAsia="宋体" w:cs="宋体"/>
          <w:color w:val="auto"/>
          <w:kern w:val="0"/>
          <w:sz w:val="20"/>
          <w:szCs w:val="20"/>
          <w:highlight w:val="none"/>
          <w:lang w:bidi="ar"/>
        </w:rPr>
        <w:t xml:space="preserve">3、近三年的营业额： </w:t>
      </w:r>
    </w:p>
    <w:p>
      <w:pPr>
        <w:widowControl/>
        <w:jc w:val="left"/>
        <w:rPr>
          <w:color w:val="auto"/>
          <w:highlight w:val="none"/>
        </w:rPr>
      </w:pPr>
      <w:r>
        <w:rPr>
          <w:rFonts w:hint="eastAsia" w:ascii="宋体" w:hAnsi="宋体" w:eastAsia="宋体" w:cs="宋体"/>
          <w:color w:val="auto"/>
          <w:kern w:val="0"/>
          <w:sz w:val="20"/>
          <w:szCs w:val="20"/>
          <w:highlight w:val="none"/>
          <w:lang w:bidi="ar"/>
        </w:rPr>
        <w:t xml:space="preserve">年 份 国 内（万元） 出 口（万元） 总 额（万元） </w:t>
      </w:r>
    </w:p>
    <w:p>
      <w:pPr>
        <w:widowControl/>
        <w:jc w:val="left"/>
        <w:rPr>
          <w:color w:val="auto"/>
          <w:highlight w:val="none"/>
        </w:rPr>
      </w:pPr>
      <w:r>
        <w:rPr>
          <w:rFonts w:hint="eastAsia" w:ascii="宋体" w:hAnsi="宋体" w:eastAsia="宋体" w:cs="宋体"/>
          <w:color w:val="auto"/>
          <w:kern w:val="0"/>
          <w:sz w:val="20"/>
          <w:szCs w:val="20"/>
          <w:highlight w:val="none"/>
          <w:lang w:bidi="ar"/>
        </w:rPr>
        <w:t>年</w:t>
      </w:r>
    </w:p>
    <w:p>
      <w:pPr>
        <w:widowControl/>
        <w:jc w:val="left"/>
        <w:rPr>
          <w:color w:val="auto"/>
          <w:highlight w:val="none"/>
        </w:rPr>
      </w:pPr>
      <w:r>
        <w:rPr>
          <w:rFonts w:hint="eastAsia" w:ascii="宋体" w:hAnsi="宋体" w:eastAsia="宋体" w:cs="宋体"/>
          <w:color w:val="auto"/>
          <w:kern w:val="0"/>
          <w:sz w:val="20"/>
          <w:szCs w:val="20"/>
          <w:highlight w:val="none"/>
          <w:lang w:bidi="ar"/>
        </w:rPr>
        <w:t>年</w:t>
      </w:r>
    </w:p>
    <w:p>
      <w:pPr>
        <w:widowControl/>
        <w:jc w:val="left"/>
        <w:rPr>
          <w:color w:val="auto"/>
          <w:highlight w:val="none"/>
        </w:rPr>
      </w:pPr>
      <w:r>
        <w:rPr>
          <w:rFonts w:hint="eastAsia" w:ascii="宋体" w:hAnsi="宋体" w:eastAsia="宋体" w:cs="宋体"/>
          <w:color w:val="auto"/>
          <w:kern w:val="0"/>
          <w:sz w:val="20"/>
          <w:szCs w:val="20"/>
          <w:highlight w:val="none"/>
          <w:lang w:bidi="ar"/>
        </w:rPr>
        <w:t>年</w:t>
      </w:r>
    </w:p>
    <w:p>
      <w:pPr>
        <w:spacing w:line="336" w:lineRule="auto"/>
        <w:ind w:firstLine="420" w:firstLineChars="200"/>
        <w:rPr>
          <w:rFonts w:ascii="宋体" w:hAnsi="宋体" w:eastAsia="宋体" w:cs="宋体"/>
          <w:color w:val="auto"/>
          <w:highlight w:val="none"/>
        </w:rPr>
      </w:pPr>
    </w:p>
    <w:p>
      <w:pPr>
        <w:spacing w:line="336" w:lineRule="auto"/>
        <w:ind w:firstLine="420" w:firstLineChars="200"/>
        <w:rPr>
          <w:rFonts w:ascii="宋体" w:hAnsi="宋体" w:eastAsia="宋体" w:cs="宋体"/>
          <w:color w:val="auto"/>
          <w:kern w:val="0"/>
          <w:sz w:val="22"/>
          <w:highlight w:val="none"/>
        </w:rPr>
      </w:pPr>
      <w:r>
        <w:rPr>
          <w:rFonts w:hint="eastAsia" w:ascii="宋体" w:hAnsi="宋体" w:eastAsia="宋体" w:cs="宋体"/>
          <w:color w:val="auto"/>
          <w:highlight w:val="none"/>
        </w:rPr>
        <w:t>3、本次采购要求的其他资格文件以及供应商认为需要声明的其他情况：</w:t>
      </w:r>
      <w:r>
        <w:rPr>
          <w:rFonts w:hint="eastAsia" w:ascii="宋体" w:hAnsi="宋体" w:eastAsia="宋体" w:cs="宋体"/>
          <w:color w:val="auto"/>
          <w:highlight w:val="none"/>
          <w:u w:val="single"/>
        </w:rPr>
        <w:t xml:space="preserve">                         </w:t>
      </w:r>
    </w:p>
    <w:p>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兹证明上述声明是真实的、正确的，并提供了全部能提供的资料和数据，我们同意遵照贵方要求出示有关证明文件，如有虚假，自愿丧失中标资格，一年内退出扬州政府采购市场。</w:t>
      </w:r>
    </w:p>
    <w:p>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供应商公章：</w:t>
      </w:r>
      <w:r>
        <w:rPr>
          <w:rFonts w:hint="eastAsia" w:ascii="宋体" w:hAnsi="宋体" w:eastAsia="宋体" w:cs="宋体"/>
          <w:color w:val="auto"/>
          <w:highlight w:val="none"/>
          <w:u w:val="single"/>
        </w:rPr>
        <w:t xml:space="preserve">                         </w:t>
      </w:r>
    </w:p>
    <w:p>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法定代表人或授权代表签字：</w:t>
      </w:r>
      <w:r>
        <w:rPr>
          <w:rFonts w:hint="eastAsia" w:ascii="宋体" w:hAnsi="宋体" w:eastAsia="宋体" w:cs="宋体"/>
          <w:color w:val="auto"/>
          <w:highlight w:val="none"/>
          <w:u w:val="single"/>
        </w:rPr>
        <w:t xml:space="preserve">                          </w:t>
      </w:r>
    </w:p>
    <w:p>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        </w:t>
      </w:r>
    </w:p>
    <w:p>
      <w:pPr>
        <w:spacing w:line="336" w:lineRule="auto"/>
        <w:rPr>
          <w:rFonts w:ascii="宋体" w:hAnsi="宋体" w:eastAsia="宋体" w:cs="宋体"/>
          <w:b/>
          <w:bCs/>
          <w:color w:val="auto"/>
          <w:highlight w:val="none"/>
        </w:rPr>
      </w:pPr>
      <w:r>
        <w:rPr>
          <w:rFonts w:hint="eastAsia" w:ascii="宋体" w:hAnsi="宋体" w:eastAsia="宋体" w:cs="宋体"/>
          <w:b/>
          <w:bCs/>
          <w:color w:val="auto"/>
          <w:highlight w:val="none"/>
        </w:rPr>
        <w:t>（注：资格声明为格式文件,实质性内容请勿修改，否则将导致响应文件无效。）</w:t>
      </w:r>
    </w:p>
    <w:p>
      <w:pPr>
        <w:pStyle w:val="44"/>
        <w:ind w:firstLine="482"/>
        <w:jc w:val="center"/>
        <w:rPr>
          <w:rFonts w:ascii="宋体" w:hAnsi="宋体" w:cs="宋体"/>
          <w:b/>
          <w:color w:val="auto"/>
          <w:sz w:val="24"/>
          <w:szCs w:val="24"/>
          <w:highlight w:val="none"/>
        </w:rPr>
      </w:pPr>
    </w:p>
    <w:p>
      <w:pPr>
        <w:pStyle w:val="44"/>
        <w:ind w:firstLine="482"/>
        <w:jc w:val="center"/>
        <w:rPr>
          <w:rFonts w:ascii="宋体" w:hAnsi="宋体" w:cs="宋体"/>
          <w:b/>
          <w:color w:val="auto"/>
          <w:sz w:val="24"/>
          <w:szCs w:val="24"/>
          <w:highlight w:val="none"/>
        </w:rPr>
      </w:pPr>
      <w:r>
        <w:rPr>
          <w:rFonts w:ascii="宋体" w:hAnsi="宋体" w:cs="宋体"/>
          <w:b/>
          <w:color w:val="auto"/>
          <w:sz w:val="24"/>
          <w:szCs w:val="24"/>
          <w:highlight w:val="none"/>
        </w:rPr>
        <w:br w:type="page"/>
      </w:r>
    </w:p>
    <w:p>
      <w:pPr>
        <w:pStyle w:val="44"/>
        <w:ind w:firstLine="482"/>
        <w:jc w:val="center"/>
        <w:rPr>
          <w:rFonts w:ascii="宋体" w:hAnsi="宋体" w:cs="宋体"/>
          <w:b/>
          <w:color w:val="auto"/>
          <w:sz w:val="24"/>
          <w:szCs w:val="24"/>
          <w:highlight w:val="none"/>
        </w:rPr>
      </w:pPr>
    </w:p>
    <w:p>
      <w:pPr>
        <w:pStyle w:val="44"/>
        <w:ind w:firstLine="482"/>
        <w:jc w:val="center"/>
        <w:rPr>
          <w:rFonts w:ascii="宋体" w:hAnsi="宋体" w:cs="宋体"/>
          <w:b/>
          <w:color w:val="auto"/>
          <w:sz w:val="24"/>
          <w:szCs w:val="24"/>
          <w:highlight w:val="none"/>
        </w:rPr>
      </w:pPr>
      <w:r>
        <w:rPr>
          <w:rFonts w:hint="eastAsia" w:ascii="宋体" w:hAnsi="宋体" w:cs="宋体"/>
          <w:b/>
          <w:color w:val="auto"/>
          <w:sz w:val="24"/>
          <w:szCs w:val="24"/>
          <w:highlight w:val="none"/>
        </w:rPr>
        <w:t>法人授权书</w:t>
      </w:r>
    </w:p>
    <w:p>
      <w:pPr>
        <w:pStyle w:val="44"/>
        <w:spacing w:line="360" w:lineRule="auto"/>
        <w:ind w:firstLine="420"/>
        <w:rPr>
          <w:rFonts w:ascii="宋体" w:hAnsi="宋体" w:cs="宋体"/>
          <w:color w:val="auto"/>
          <w:sz w:val="21"/>
          <w:szCs w:val="21"/>
          <w:highlight w:val="none"/>
        </w:rPr>
      </w:pPr>
    </w:p>
    <w:p>
      <w:pPr>
        <w:pStyle w:val="44"/>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本授权书声明：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（供应商名称）授权</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（被授权人的姓名）为我方就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（项目编号及名称）采购活动的合法代理人，以本公司名义全权处理一切与该项目采购有关的事务。</w:t>
      </w:r>
    </w:p>
    <w:p>
      <w:pPr>
        <w:pStyle w:val="44"/>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本授权书于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日起生效，特此声明。</w:t>
      </w:r>
    </w:p>
    <w:p>
      <w:pPr>
        <w:pStyle w:val="44"/>
        <w:spacing w:line="36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pPr>
        <w:pStyle w:val="44"/>
        <w:spacing w:line="360" w:lineRule="auto"/>
        <w:ind w:firstLine="420"/>
        <w:rPr>
          <w:rFonts w:ascii="宋体" w:hAnsi="宋体" w:cs="宋体"/>
          <w:color w:val="auto"/>
          <w:sz w:val="21"/>
          <w:szCs w:val="21"/>
          <w:highlight w:val="none"/>
          <w:u w:val="single"/>
        </w:rPr>
      </w:pPr>
      <w:r>
        <w:rPr>
          <w:rFonts w:hint="eastAsia" w:ascii="宋体" w:hAnsi="宋体" w:cs="宋体"/>
          <w:color w:val="auto"/>
          <w:sz w:val="21"/>
          <w:szCs w:val="21"/>
          <w:highlight w:val="none"/>
        </w:rPr>
        <w:t>被授权人签字：</w:t>
      </w:r>
      <w:r>
        <w:rPr>
          <w:rFonts w:hint="eastAsia" w:ascii="宋体" w:hAnsi="宋体" w:cs="宋体"/>
          <w:color w:val="auto"/>
          <w:sz w:val="21"/>
          <w:szCs w:val="21"/>
          <w:highlight w:val="none"/>
          <w:u w:val="single"/>
        </w:rPr>
        <w:t xml:space="preserve">                             </w:t>
      </w:r>
    </w:p>
    <w:p>
      <w:pPr>
        <w:pStyle w:val="44"/>
        <w:spacing w:line="360" w:lineRule="auto"/>
        <w:ind w:firstLine="420"/>
        <w:rPr>
          <w:rFonts w:ascii="宋体" w:hAnsi="宋体" w:cs="宋体"/>
          <w:color w:val="auto"/>
          <w:sz w:val="21"/>
          <w:szCs w:val="21"/>
          <w:highlight w:val="none"/>
          <w:u w:val="single"/>
        </w:rPr>
      </w:pPr>
      <w:r>
        <w:rPr>
          <w:rFonts w:hint="eastAsia" w:ascii="宋体" w:hAnsi="宋体" w:cs="宋体"/>
          <w:color w:val="auto"/>
          <w:sz w:val="21"/>
          <w:szCs w:val="21"/>
          <w:highlight w:val="none"/>
        </w:rPr>
        <w:t>联系电话（手机）：</w:t>
      </w:r>
      <w:r>
        <w:rPr>
          <w:rFonts w:hint="eastAsia" w:ascii="宋体" w:hAnsi="宋体" w:cs="宋体"/>
          <w:color w:val="auto"/>
          <w:sz w:val="21"/>
          <w:szCs w:val="21"/>
          <w:highlight w:val="none"/>
          <w:u w:val="single"/>
        </w:rPr>
        <w:t xml:space="preserve">                           </w:t>
      </w:r>
    </w:p>
    <w:p>
      <w:pPr>
        <w:pStyle w:val="44"/>
        <w:spacing w:line="360" w:lineRule="auto"/>
        <w:ind w:firstLine="420"/>
        <w:rPr>
          <w:rFonts w:ascii="宋体" w:hAnsi="宋体" w:cs="宋体"/>
          <w:color w:val="auto"/>
          <w:sz w:val="21"/>
          <w:szCs w:val="21"/>
          <w:highlight w:val="none"/>
          <w:u w:val="single"/>
        </w:rPr>
      </w:pPr>
      <w:r>
        <w:rPr>
          <w:rFonts w:hint="eastAsia" w:ascii="宋体" w:hAnsi="宋体" w:cs="宋体"/>
          <w:color w:val="auto"/>
          <w:sz w:val="21"/>
          <w:szCs w:val="21"/>
          <w:highlight w:val="none"/>
        </w:rPr>
        <w:t>单位名称：</w:t>
      </w:r>
      <w:r>
        <w:rPr>
          <w:rFonts w:hint="eastAsia" w:ascii="宋体" w:hAnsi="宋体" w:cs="宋体"/>
          <w:color w:val="auto"/>
          <w:sz w:val="21"/>
          <w:szCs w:val="21"/>
          <w:highlight w:val="none"/>
          <w:u w:val="single"/>
        </w:rPr>
        <w:t xml:space="preserve">                                 </w:t>
      </w:r>
    </w:p>
    <w:p>
      <w:pPr>
        <w:pStyle w:val="44"/>
        <w:spacing w:line="360" w:lineRule="auto"/>
        <w:ind w:firstLine="420"/>
        <w:rPr>
          <w:rFonts w:ascii="宋体" w:hAnsi="宋体" w:cs="宋体"/>
          <w:color w:val="auto"/>
          <w:sz w:val="21"/>
          <w:szCs w:val="21"/>
          <w:highlight w:val="none"/>
          <w:u w:val="single"/>
        </w:rPr>
      </w:pPr>
      <w:r>
        <w:rPr>
          <w:rFonts w:hint="eastAsia" w:ascii="宋体" w:hAnsi="宋体" w:cs="宋体"/>
          <w:color w:val="auto"/>
          <w:sz w:val="21"/>
          <w:szCs w:val="21"/>
          <w:highlight w:val="none"/>
        </w:rPr>
        <w:t>授权单位盖章：</w:t>
      </w:r>
      <w:r>
        <w:rPr>
          <w:rFonts w:hint="eastAsia" w:ascii="宋体" w:hAnsi="宋体" w:cs="宋体"/>
          <w:color w:val="auto"/>
          <w:sz w:val="21"/>
          <w:szCs w:val="21"/>
          <w:highlight w:val="none"/>
          <w:u w:val="single"/>
        </w:rPr>
        <w:t xml:space="preserve">                                 </w:t>
      </w:r>
    </w:p>
    <w:p>
      <w:pPr>
        <w:pStyle w:val="44"/>
        <w:spacing w:line="360" w:lineRule="auto"/>
        <w:ind w:firstLine="420"/>
        <w:rPr>
          <w:rFonts w:ascii="宋体" w:hAnsi="宋体" w:cs="宋体"/>
          <w:color w:val="auto"/>
          <w:sz w:val="21"/>
          <w:szCs w:val="21"/>
          <w:highlight w:val="none"/>
          <w:u w:val="singl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single"/>
        </w:rPr>
        <w:t xml:space="preserve">                                         </w:t>
      </w:r>
    </w:p>
    <w:p>
      <w:pPr>
        <w:pStyle w:val="44"/>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460" w:lineRule="exact"/>
        <w:ind w:firstLine="420" w:firstLineChars="200"/>
        <w:rPr>
          <w:rFonts w:ascii="宋体" w:hAnsi="宋体" w:eastAsia="宋体" w:cs="宋体"/>
          <w:bCs/>
          <w:color w:val="auto"/>
          <w:szCs w:val="21"/>
          <w:highlight w:val="none"/>
        </w:rPr>
      </w:pPr>
    </w:p>
    <w:p>
      <w:pPr>
        <w:spacing w:line="46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被授权人身份证复印件：</w:t>
      </w:r>
    </w:p>
    <w:p>
      <w:pPr>
        <w:spacing w:line="460" w:lineRule="exact"/>
        <w:ind w:firstLine="420" w:firstLineChars="200"/>
        <w:rPr>
          <w:rFonts w:ascii="宋体" w:hAnsi="宋体" w:eastAsia="宋体" w:cs="宋体"/>
          <w:bCs/>
          <w:color w:val="auto"/>
          <w:szCs w:val="21"/>
          <w:highlight w:val="none"/>
        </w:rPr>
      </w:pPr>
    </w:p>
    <w:p>
      <w:pPr>
        <w:spacing w:line="460" w:lineRule="exact"/>
        <w:ind w:firstLine="420" w:firstLineChars="200"/>
        <w:rPr>
          <w:rFonts w:ascii="宋体" w:hAnsi="宋体" w:eastAsia="宋体" w:cs="宋体"/>
          <w:bCs/>
          <w:color w:val="auto"/>
          <w:szCs w:val="21"/>
          <w:highlight w:val="none"/>
        </w:rPr>
      </w:pPr>
    </w:p>
    <w:p>
      <w:pPr>
        <w:spacing w:line="460" w:lineRule="exact"/>
        <w:ind w:firstLine="420" w:firstLineChars="200"/>
        <w:rPr>
          <w:rFonts w:ascii="宋体" w:hAnsi="宋体" w:eastAsia="宋体" w:cs="宋体"/>
          <w:bCs/>
          <w:color w:val="auto"/>
          <w:szCs w:val="21"/>
          <w:highlight w:val="none"/>
        </w:rPr>
      </w:pPr>
    </w:p>
    <w:p>
      <w:pPr>
        <w:spacing w:line="460" w:lineRule="exact"/>
        <w:ind w:firstLine="420" w:firstLineChars="200"/>
        <w:rPr>
          <w:rFonts w:ascii="宋体" w:hAnsi="宋体" w:eastAsia="宋体" w:cs="宋体"/>
          <w:bCs/>
          <w:color w:val="auto"/>
          <w:szCs w:val="21"/>
          <w:highlight w:val="none"/>
        </w:rPr>
      </w:pPr>
    </w:p>
    <w:p>
      <w:pPr>
        <w:spacing w:line="460" w:lineRule="exact"/>
        <w:ind w:firstLine="420" w:firstLineChars="200"/>
        <w:rPr>
          <w:rFonts w:ascii="宋体" w:hAnsi="宋体" w:eastAsia="宋体" w:cs="宋体"/>
          <w:bCs/>
          <w:color w:val="auto"/>
          <w:szCs w:val="21"/>
          <w:highlight w:val="none"/>
        </w:rPr>
      </w:pPr>
    </w:p>
    <w:p>
      <w:pPr>
        <w:spacing w:line="460" w:lineRule="exact"/>
        <w:rPr>
          <w:rFonts w:ascii="宋体" w:hAnsi="宋体" w:eastAsia="宋体" w:cs="宋体"/>
          <w:bCs/>
          <w:color w:val="auto"/>
          <w:szCs w:val="21"/>
          <w:highlight w:val="none"/>
        </w:rPr>
      </w:pPr>
    </w:p>
    <w:p>
      <w:pPr>
        <w:spacing w:line="46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法定代表人身份证复印件：</w:t>
      </w:r>
    </w:p>
    <w:p>
      <w:pPr>
        <w:pStyle w:val="28"/>
        <w:ind w:firstLine="420"/>
        <w:rPr>
          <w:rFonts w:hAnsi="宋体" w:eastAsia="宋体" w:cs="宋体"/>
          <w:color w:val="auto"/>
          <w:szCs w:val="21"/>
          <w:highlight w:val="none"/>
        </w:rPr>
      </w:pPr>
    </w:p>
    <w:p>
      <w:pPr>
        <w:spacing w:line="360" w:lineRule="auto"/>
        <w:rPr>
          <w:rFonts w:ascii="宋体" w:hAnsi="宋体" w:eastAsia="宋体" w:cs="宋体"/>
          <w:b/>
          <w:color w:val="auto"/>
          <w:szCs w:val="21"/>
          <w:highlight w:val="none"/>
        </w:rPr>
      </w:pPr>
    </w:p>
    <w:p>
      <w:pPr>
        <w:spacing w:line="360" w:lineRule="auto"/>
        <w:rPr>
          <w:rFonts w:ascii="宋体" w:hAnsi="宋体" w:eastAsia="宋体" w:cs="宋体"/>
          <w:b/>
          <w:color w:val="auto"/>
          <w:szCs w:val="21"/>
          <w:highlight w:val="none"/>
        </w:rPr>
      </w:pPr>
    </w:p>
    <w:p>
      <w:pPr>
        <w:spacing w:line="360" w:lineRule="auto"/>
        <w:rPr>
          <w:rFonts w:ascii="宋体" w:hAnsi="宋体" w:eastAsia="宋体" w:cs="宋体"/>
          <w:b/>
          <w:color w:val="auto"/>
          <w:szCs w:val="21"/>
          <w:highlight w:val="none"/>
        </w:rPr>
      </w:pPr>
      <w:r>
        <w:rPr>
          <w:rFonts w:ascii="宋体" w:hAnsi="宋体" w:eastAsia="宋体" w:cs="宋体"/>
          <w:b/>
          <w:color w:val="auto"/>
          <w:szCs w:val="21"/>
          <w:highlight w:val="none"/>
        </w:rPr>
        <w:br w:type="page"/>
      </w:r>
    </w:p>
    <w:p>
      <w:pPr>
        <w:spacing w:line="360" w:lineRule="auto"/>
        <w:rPr>
          <w:rFonts w:ascii="宋体" w:hAnsi="宋体" w:eastAsia="宋体" w:cs="宋体"/>
          <w:b/>
          <w:color w:val="auto"/>
          <w:szCs w:val="21"/>
          <w:highlight w:val="none"/>
        </w:rPr>
      </w:pPr>
    </w:p>
    <w:p>
      <w:pPr>
        <w:spacing w:line="360" w:lineRule="auto"/>
        <w:rPr>
          <w:rFonts w:ascii="宋体" w:hAnsi="宋体" w:eastAsia="宋体" w:cs="宋体"/>
          <w:b/>
          <w:color w:val="auto"/>
          <w:szCs w:val="21"/>
          <w:highlight w:val="none"/>
        </w:rPr>
      </w:pPr>
    </w:p>
    <w:p>
      <w:pPr>
        <w:spacing w:line="360"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参加本次政府采购活动前 3 年内在经营活动中没有重大违法记</w:t>
      </w:r>
      <w:r>
        <w:rPr>
          <w:rFonts w:hint="eastAsia" w:ascii="宋体" w:hAnsi="宋体" w:eastAsia="宋体" w:cs="宋体"/>
          <w:b/>
          <w:bCs/>
          <w:color w:val="auto"/>
          <w:szCs w:val="21"/>
          <w:highlight w:val="none"/>
        </w:rPr>
        <w:t>录的书面声明</w:t>
      </w:r>
    </w:p>
    <w:p>
      <w:pPr>
        <w:rPr>
          <w:color w:val="auto"/>
          <w:highlight w:val="none"/>
        </w:rPr>
      </w:pPr>
    </w:p>
    <w:p>
      <w:pPr>
        <w:rPr>
          <w:color w:val="auto"/>
          <w:highlight w:val="none"/>
        </w:rPr>
      </w:pPr>
    </w:p>
    <w:p>
      <w:pPr>
        <w:spacing w:after="240" w:afterLines="100"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 w:val="24"/>
          <w:szCs w:val="24"/>
          <w:highlight w:val="none"/>
        </w:rPr>
        <w:t>声  明</w:t>
      </w:r>
    </w:p>
    <w:p>
      <w:pPr>
        <w:spacing w:line="360" w:lineRule="auto"/>
        <w:rPr>
          <w:rFonts w:ascii="宋体" w:hAnsi="宋体" w:eastAsia="宋体" w:cs="宋体"/>
          <w:bCs/>
          <w:color w:val="auto"/>
          <w:szCs w:val="21"/>
          <w:highlight w:val="none"/>
        </w:rPr>
      </w:pPr>
      <w:r>
        <w:rPr>
          <w:rFonts w:hint="eastAsia" w:ascii="宋体" w:hAnsi="宋体" w:eastAsia="宋体" w:cs="宋体"/>
          <w:b/>
          <w:bCs/>
          <w:color w:val="auto"/>
          <w:szCs w:val="21"/>
          <w:highlight w:val="none"/>
        </w:rPr>
        <w:t xml:space="preserve">    </w:t>
      </w:r>
      <w:r>
        <w:rPr>
          <w:rFonts w:hint="eastAsia" w:ascii="宋体" w:hAnsi="宋体" w:eastAsia="宋体" w:cs="宋体"/>
          <w:bCs/>
          <w:color w:val="auto"/>
          <w:szCs w:val="21"/>
          <w:highlight w:val="none"/>
        </w:rPr>
        <w:t>我公司郑重声明：参加本次政府采购活动前3年内，我公司在经营活动中没有因违法经营受到刑事处罚或者责令停产停业、吊销许可证或者执照、较大数额罚款等行政处罚。</w:t>
      </w:r>
    </w:p>
    <w:p>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p>
      <w:pPr>
        <w:spacing w:line="360" w:lineRule="auto"/>
        <w:ind w:firstLine="3150" w:firstLineChars="1500"/>
        <w:rPr>
          <w:rFonts w:ascii="宋体" w:hAnsi="宋体" w:eastAsia="宋体" w:cs="宋体"/>
          <w:bCs/>
          <w:color w:val="auto"/>
          <w:szCs w:val="21"/>
          <w:highlight w:val="none"/>
        </w:rPr>
      </w:pPr>
    </w:p>
    <w:p>
      <w:pPr>
        <w:spacing w:line="360" w:lineRule="auto"/>
        <w:ind w:firstLine="3150" w:firstLineChars="1500"/>
        <w:rPr>
          <w:rFonts w:ascii="宋体" w:hAnsi="宋体" w:eastAsia="宋体" w:cs="宋体"/>
          <w:bCs/>
          <w:color w:val="auto"/>
          <w:szCs w:val="21"/>
          <w:highlight w:val="none"/>
        </w:rPr>
      </w:pPr>
      <w:r>
        <w:rPr>
          <w:rFonts w:hint="eastAsia" w:ascii="宋体" w:hAnsi="宋体" w:eastAsia="宋体" w:cs="宋体"/>
          <w:bCs/>
          <w:color w:val="auto"/>
          <w:szCs w:val="21"/>
          <w:highlight w:val="none"/>
        </w:rPr>
        <w:t xml:space="preserve"> 供应商名称（公章）：</w:t>
      </w:r>
    </w:p>
    <w:p>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 xml:space="preserve">                               法定代表人或授权代表签字：</w:t>
      </w:r>
      <w:r>
        <w:rPr>
          <w:rFonts w:hint="eastAsia" w:ascii="宋体" w:hAnsi="宋体" w:eastAsia="宋体" w:cs="宋体"/>
          <w:bCs/>
          <w:color w:val="auto"/>
          <w:szCs w:val="21"/>
          <w:highlight w:val="none"/>
          <w:u w:val="single"/>
        </w:rPr>
        <w:t xml:space="preserve">                  </w:t>
      </w:r>
    </w:p>
    <w:p>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 xml:space="preserve">                               日期：</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p>
    <w:p>
      <w:pPr>
        <w:spacing w:line="460" w:lineRule="exact"/>
        <w:rPr>
          <w:rFonts w:ascii="宋体" w:hAnsi="宋体" w:eastAsia="宋体" w:cs="宋体"/>
          <w:bCs/>
          <w:color w:val="auto"/>
          <w:sz w:val="24"/>
          <w:highlight w:val="none"/>
        </w:rPr>
      </w:pPr>
    </w:p>
    <w:p>
      <w:pPr>
        <w:spacing w:line="460" w:lineRule="exact"/>
        <w:rPr>
          <w:rFonts w:ascii="宋体" w:hAnsi="宋体" w:eastAsia="宋体" w:cs="宋体"/>
          <w:bCs/>
          <w:color w:val="auto"/>
          <w:sz w:val="24"/>
          <w:highlight w:val="none"/>
        </w:rPr>
      </w:pPr>
    </w:p>
    <w:p>
      <w:pPr>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pPr>
        <w:jc w:val="center"/>
        <w:rPr>
          <w:rFonts w:ascii="宋体" w:hAnsi="宋体" w:eastAsia="宋体" w:cs="宋体"/>
          <w:b/>
          <w:color w:val="auto"/>
          <w:sz w:val="24"/>
          <w:szCs w:val="24"/>
          <w:highlight w:val="none"/>
        </w:rPr>
      </w:pPr>
    </w:p>
    <w:p>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供应商信用承诺书</w:t>
      </w:r>
    </w:p>
    <w:p>
      <w:pPr>
        <w:spacing w:line="540" w:lineRule="exact"/>
        <w:rPr>
          <w:rFonts w:ascii="宋体" w:hAnsi="宋体" w:eastAsia="宋体" w:cs="宋体"/>
          <w:color w:val="auto"/>
          <w:szCs w:val="32"/>
          <w:highlight w:val="none"/>
        </w:rPr>
      </w:pPr>
      <w:r>
        <w:rPr>
          <w:rFonts w:hint="eastAsia" w:ascii="宋体" w:hAnsi="宋体" w:eastAsia="宋体" w:cs="宋体"/>
          <w:color w:val="auto"/>
          <w:szCs w:val="32"/>
          <w:highlight w:val="none"/>
        </w:rPr>
        <w:t>承诺主体名称：</w:t>
      </w:r>
    </w:p>
    <w:p>
      <w:pPr>
        <w:spacing w:line="540" w:lineRule="exact"/>
        <w:rPr>
          <w:rFonts w:ascii="宋体" w:hAnsi="宋体" w:eastAsia="宋体" w:cs="宋体"/>
          <w:color w:val="auto"/>
          <w:szCs w:val="32"/>
          <w:highlight w:val="none"/>
        </w:rPr>
      </w:pPr>
      <w:r>
        <w:rPr>
          <w:rFonts w:hint="eastAsia" w:ascii="宋体" w:hAnsi="宋体" w:eastAsia="宋体" w:cs="宋体"/>
          <w:color w:val="auto"/>
          <w:szCs w:val="32"/>
          <w:highlight w:val="none"/>
        </w:rPr>
        <w:t>统一社会信用代码：</w:t>
      </w:r>
    </w:p>
    <w:p>
      <w:pPr>
        <w:spacing w:line="540" w:lineRule="exact"/>
        <w:ind w:firstLine="420" w:firstLineChars="200"/>
        <w:rPr>
          <w:rFonts w:ascii="宋体" w:hAnsi="宋体" w:eastAsia="宋体" w:cs="宋体"/>
          <w:color w:val="auto"/>
          <w:szCs w:val="32"/>
          <w:highlight w:val="none"/>
        </w:rPr>
      </w:pPr>
      <w:r>
        <w:rPr>
          <w:rFonts w:hint="eastAsia" w:ascii="宋体" w:hAnsi="宋体" w:eastAsia="宋体" w:cs="宋体"/>
          <w:color w:val="auto"/>
          <w:szCs w:val="32"/>
          <w:highlight w:val="none"/>
        </w:rPr>
        <w:t>为维护公平竞争、规范有序的市场秩序，营造诚实守信的信用环境，共同推进社会信用体系建设完善，树立企业诚信守法形象，本企业对</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项目政府采购活动郑重承诺如下:</w:t>
      </w:r>
    </w:p>
    <w:p>
      <w:pPr>
        <w:spacing w:line="540" w:lineRule="exact"/>
        <w:ind w:firstLine="420" w:firstLineChars="200"/>
        <w:rPr>
          <w:rFonts w:ascii="宋体" w:hAnsi="宋体" w:eastAsia="宋体" w:cs="宋体"/>
          <w:color w:val="auto"/>
          <w:szCs w:val="32"/>
          <w:highlight w:val="none"/>
        </w:rPr>
      </w:pPr>
      <w:r>
        <w:rPr>
          <w:rFonts w:hint="eastAsia" w:ascii="宋体" w:hAnsi="宋体" w:eastAsia="宋体" w:cs="宋体"/>
          <w:color w:val="auto"/>
          <w:szCs w:val="32"/>
          <w:highlight w:val="none"/>
        </w:rPr>
        <w:t>一、对提供给注册登记部门、行业管理部门、司法部门、行业组织以及在政府采购活动中提交的所有资料的合法性、真实性、准确性和有效性负责；</w:t>
      </w:r>
    </w:p>
    <w:p>
      <w:pPr>
        <w:spacing w:line="540" w:lineRule="exact"/>
        <w:ind w:firstLine="420" w:firstLineChars="200"/>
        <w:rPr>
          <w:rFonts w:ascii="宋体" w:hAnsi="宋体" w:eastAsia="宋体" w:cs="宋体"/>
          <w:color w:val="auto"/>
          <w:szCs w:val="32"/>
          <w:highlight w:val="none"/>
        </w:rPr>
      </w:pPr>
      <w:r>
        <w:rPr>
          <w:rFonts w:hint="eastAsia" w:ascii="宋体" w:hAnsi="宋体" w:eastAsia="宋体" w:cs="宋体"/>
          <w:color w:val="auto"/>
          <w:szCs w:val="32"/>
          <w:highlight w:val="none"/>
        </w:rPr>
        <w:t>二、严格按照国家法律、法规和规章开展采购活动，全面履行应尽的责任和义务，全面做到履约守信，具备《中华人民共和国政府采购法》第二十二条第一款规定的条件;</w:t>
      </w:r>
    </w:p>
    <w:p>
      <w:pPr>
        <w:spacing w:line="540" w:lineRule="exact"/>
        <w:ind w:firstLine="420" w:firstLineChars="200"/>
        <w:rPr>
          <w:rFonts w:ascii="宋体" w:hAnsi="宋体" w:eastAsia="宋体" w:cs="宋体"/>
          <w:color w:val="auto"/>
          <w:szCs w:val="32"/>
          <w:highlight w:val="none"/>
        </w:rPr>
      </w:pPr>
      <w:r>
        <w:rPr>
          <w:rFonts w:hint="eastAsia" w:ascii="宋体" w:hAnsi="宋体" w:eastAsia="宋体" w:cs="宋体"/>
          <w:color w:val="auto"/>
          <w:szCs w:val="32"/>
          <w:highlight w:val="none"/>
        </w:rPr>
        <w:t>三、严格依法开展生产经营活动，主动接受行业监管，自愿接受依法开展的日常检查；违法失信经营后将自愿接受约束和惩戒，并依法承担相应责任；</w:t>
      </w:r>
    </w:p>
    <w:p>
      <w:pPr>
        <w:spacing w:line="540" w:lineRule="exact"/>
        <w:ind w:firstLine="420" w:firstLineChars="200"/>
        <w:rPr>
          <w:rFonts w:ascii="宋体" w:hAnsi="宋体" w:eastAsia="宋体" w:cs="宋体"/>
          <w:color w:val="auto"/>
          <w:szCs w:val="32"/>
          <w:highlight w:val="none"/>
        </w:rPr>
      </w:pPr>
      <w:r>
        <w:rPr>
          <w:rFonts w:hint="eastAsia" w:ascii="宋体" w:hAnsi="宋体" w:eastAsia="宋体" w:cs="宋体"/>
          <w:color w:val="auto"/>
          <w:szCs w:val="32"/>
          <w:highlight w:val="none"/>
        </w:rPr>
        <w:t>四、自觉接受行政管理部门、行业组织、社会公众、新闻舆论的监督；</w:t>
      </w:r>
    </w:p>
    <w:p>
      <w:pPr>
        <w:spacing w:line="540" w:lineRule="exact"/>
        <w:ind w:firstLine="420" w:firstLineChars="200"/>
        <w:rPr>
          <w:rFonts w:ascii="宋体" w:hAnsi="宋体" w:eastAsia="宋体" w:cs="宋体"/>
          <w:color w:val="auto"/>
          <w:szCs w:val="32"/>
          <w:highlight w:val="none"/>
        </w:rPr>
      </w:pPr>
      <w:r>
        <w:rPr>
          <w:rFonts w:hint="eastAsia" w:ascii="宋体" w:hAnsi="宋体" w:eastAsia="宋体" w:cs="宋体"/>
          <w:color w:val="auto"/>
          <w:szCs w:val="32"/>
          <w:highlight w:val="none"/>
        </w:rPr>
        <w:t>五、自觉做到自我约束、自我管理，不制假售假、商标侵权、虚假宣传、违约毁约、恶意逃债、偷税漏税、垄断和不正当竞争，维护经营者、消费者的合法权益；</w:t>
      </w:r>
    </w:p>
    <w:p>
      <w:pPr>
        <w:spacing w:line="540" w:lineRule="exact"/>
        <w:ind w:firstLine="420" w:firstLineChars="200"/>
        <w:rPr>
          <w:rFonts w:ascii="宋体" w:hAnsi="宋体" w:eastAsia="宋体" w:cs="宋体"/>
          <w:color w:val="auto"/>
          <w:szCs w:val="32"/>
          <w:highlight w:val="none"/>
        </w:rPr>
      </w:pPr>
      <w:r>
        <w:rPr>
          <w:rFonts w:hint="eastAsia" w:ascii="宋体" w:hAnsi="宋体" w:eastAsia="宋体" w:cs="宋体"/>
          <w:color w:val="auto"/>
          <w:szCs w:val="32"/>
          <w:highlight w:val="none"/>
        </w:rPr>
        <w:t>六、提出政府采购质疑和投诉坚持依法依规、诚实信用原则，在全国范围12个月内没有三次以上查无实据的政府采购投诉；</w:t>
      </w:r>
    </w:p>
    <w:p>
      <w:pPr>
        <w:spacing w:line="540" w:lineRule="exact"/>
        <w:ind w:firstLine="420" w:firstLineChars="200"/>
        <w:rPr>
          <w:rFonts w:ascii="宋体" w:hAnsi="宋体" w:eastAsia="宋体" w:cs="宋体"/>
          <w:color w:val="auto"/>
          <w:szCs w:val="32"/>
          <w:highlight w:val="none"/>
        </w:rPr>
      </w:pPr>
      <w:r>
        <w:rPr>
          <w:rFonts w:hint="eastAsia" w:ascii="宋体" w:hAnsi="宋体" w:eastAsia="宋体" w:cs="宋体"/>
          <w:color w:val="auto"/>
          <w:szCs w:val="32"/>
          <w:highlight w:val="none"/>
        </w:rPr>
        <w:t>七、严格遵守信用信息公示相关规定，向社会公示信用信息；</w:t>
      </w:r>
    </w:p>
    <w:p>
      <w:pPr>
        <w:spacing w:line="540" w:lineRule="exact"/>
        <w:ind w:firstLine="420" w:firstLineChars="200"/>
        <w:rPr>
          <w:rFonts w:ascii="宋体" w:hAnsi="宋体" w:eastAsia="宋体" w:cs="宋体"/>
          <w:color w:val="auto"/>
          <w:szCs w:val="32"/>
          <w:highlight w:val="none"/>
        </w:rPr>
      </w:pPr>
      <w:r>
        <w:rPr>
          <w:rFonts w:hint="eastAsia" w:ascii="宋体" w:hAnsi="宋体" w:eastAsia="宋体" w:cs="宋体"/>
          <w:color w:val="auto"/>
          <w:szCs w:val="32"/>
          <w:highlight w:val="none"/>
        </w:rPr>
        <w:t>八、在“信用中国”和“中国政府采购网”网站中无违法违规、较重或严重失信记录；</w:t>
      </w:r>
    </w:p>
    <w:p>
      <w:pPr>
        <w:spacing w:line="540" w:lineRule="exact"/>
        <w:ind w:firstLine="420" w:firstLineChars="200"/>
        <w:rPr>
          <w:rFonts w:ascii="宋体" w:hAnsi="宋体" w:eastAsia="宋体" w:cs="宋体"/>
          <w:color w:val="auto"/>
          <w:szCs w:val="32"/>
          <w:highlight w:val="none"/>
        </w:rPr>
      </w:pPr>
      <w:r>
        <w:rPr>
          <w:rFonts w:hint="eastAsia" w:ascii="宋体" w:hAnsi="宋体" w:eastAsia="宋体" w:cs="宋体"/>
          <w:color w:val="auto"/>
          <w:szCs w:val="32"/>
          <w:highlight w:val="none"/>
        </w:rPr>
        <w:t>九、如违反承诺，自愿接受管理部门依法给予的行政处罚，同意将违反承诺的行为作为不良记录记入信用档案，依法依规进行信息公示，并承担所产生的一切法律责任和经济损失。</w:t>
      </w:r>
    </w:p>
    <w:p>
      <w:pPr>
        <w:spacing w:line="540" w:lineRule="exact"/>
        <w:ind w:firstLine="420" w:firstLineChars="200"/>
        <w:rPr>
          <w:rFonts w:ascii="宋体" w:hAnsi="宋体" w:eastAsia="宋体" w:cs="宋体"/>
          <w:color w:val="auto"/>
          <w:szCs w:val="32"/>
          <w:highlight w:val="none"/>
        </w:rPr>
      </w:pPr>
      <w:r>
        <w:rPr>
          <w:rFonts w:hint="eastAsia" w:ascii="宋体" w:hAnsi="宋体" w:eastAsia="宋体" w:cs="宋体"/>
          <w:color w:val="auto"/>
          <w:szCs w:val="32"/>
          <w:highlight w:val="none"/>
        </w:rPr>
        <w:t>十、本承诺书自签订之日起生效。</w:t>
      </w:r>
    </w:p>
    <w:p>
      <w:pPr>
        <w:spacing w:line="540" w:lineRule="exact"/>
        <w:ind w:firstLine="420" w:firstLineChars="200"/>
        <w:rPr>
          <w:rFonts w:ascii="宋体" w:hAnsi="宋体" w:eastAsia="宋体" w:cs="宋体"/>
          <w:color w:val="auto"/>
          <w:szCs w:val="32"/>
          <w:highlight w:val="none"/>
        </w:rPr>
      </w:pPr>
      <w:r>
        <w:rPr>
          <w:rFonts w:hint="eastAsia" w:ascii="宋体" w:hAnsi="宋体" w:eastAsia="宋体" w:cs="宋体"/>
          <w:color w:val="auto"/>
          <w:szCs w:val="32"/>
          <w:highlight w:val="none"/>
        </w:rPr>
        <w:t> （注：法定代表人或负责人、主体名称发生变更的应当重新做出承诺。）</w:t>
      </w:r>
    </w:p>
    <w:p>
      <w:pPr>
        <w:spacing w:line="540" w:lineRule="exact"/>
        <w:jc w:val="center"/>
        <w:rPr>
          <w:rFonts w:ascii="宋体" w:hAnsi="宋体" w:eastAsia="宋体" w:cs="宋体"/>
          <w:color w:val="auto"/>
          <w:szCs w:val="32"/>
          <w:highlight w:val="none"/>
        </w:rPr>
      </w:pPr>
      <w:r>
        <w:rPr>
          <w:rFonts w:hint="eastAsia" w:ascii="宋体" w:hAnsi="宋体" w:eastAsia="宋体" w:cs="宋体"/>
          <w:color w:val="auto"/>
          <w:szCs w:val="32"/>
          <w:highlight w:val="none"/>
        </w:rPr>
        <w:t xml:space="preserve">　　　　　　　　　　        承诺单位（签章）：           </w:t>
      </w:r>
    </w:p>
    <w:p>
      <w:pPr>
        <w:spacing w:line="540" w:lineRule="exact"/>
        <w:jc w:val="center"/>
        <w:rPr>
          <w:rFonts w:ascii="宋体" w:hAnsi="宋体" w:eastAsia="宋体" w:cs="宋体"/>
          <w:color w:val="auto"/>
          <w:szCs w:val="32"/>
          <w:highlight w:val="none"/>
        </w:rPr>
      </w:pPr>
      <w:r>
        <w:rPr>
          <w:rFonts w:hint="eastAsia" w:ascii="宋体" w:hAnsi="宋体" w:eastAsia="宋体" w:cs="宋体"/>
          <w:color w:val="auto"/>
          <w:szCs w:val="32"/>
          <w:highlight w:val="none"/>
        </w:rPr>
        <w:t>　　　　　　　　　   　  法定代表人（负责人）：</w:t>
      </w:r>
    </w:p>
    <w:p>
      <w:pPr>
        <w:spacing w:line="540" w:lineRule="exact"/>
        <w:jc w:val="center"/>
        <w:rPr>
          <w:rFonts w:ascii="宋体" w:hAnsi="宋体" w:eastAsia="宋体" w:cs="宋体"/>
          <w:color w:val="auto"/>
          <w:szCs w:val="32"/>
          <w:highlight w:val="none"/>
        </w:rPr>
      </w:pPr>
      <w:r>
        <w:rPr>
          <w:rFonts w:hint="eastAsia" w:ascii="宋体" w:hAnsi="宋体" w:eastAsia="宋体" w:cs="宋体"/>
          <w:color w:val="auto"/>
          <w:szCs w:val="32"/>
          <w:highlight w:val="none"/>
        </w:rPr>
        <w:t>　　　　　　　　　      　年    月    日</w:t>
      </w:r>
    </w:p>
    <w:p>
      <w:pPr>
        <w:pStyle w:val="29"/>
        <w:ind w:firstLine="420"/>
        <w:rPr>
          <w:rFonts w:ascii="宋体" w:hAnsi="宋体" w:eastAsia="宋体" w:cs="宋体"/>
          <w:color w:val="auto"/>
          <w:highlight w:val="none"/>
        </w:rPr>
      </w:pPr>
    </w:p>
    <w:p>
      <w:pPr>
        <w:rPr>
          <w:rStyle w:val="55"/>
          <w:rFonts w:hint="default"/>
          <w:b/>
          <w:color w:val="auto"/>
          <w:highlight w:val="none"/>
        </w:rPr>
      </w:pPr>
      <w:r>
        <w:rPr>
          <w:rStyle w:val="55"/>
          <w:rFonts w:hint="default"/>
          <w:b/>
          <w:color w:val="auto"/>
          <w:highlight w:val="none"/>
        </w:rPr>
        <w:br w:type="page"/>
      </w:r>
    </w:p>
    <w:p>
      <w:pPr>
        <w:spacing w:line="360" w:lineRule="auto"/>
        <w:jc w:val="center"/>
        <w:rPr>
          <w:rStyle w:val="55"/>
          <w:rFonts w:hint="default"/>
          <w:b/>
          <w:color w:val="auto"/>
          <w:highlight w:val="none"/>
        </w:rPr>
      </w:pPr>
      <w:r>
        <w:rPr>
          <w:rStyle w:val="55"/>
          <w:rFonts w:hint="default"/>
          <w:b/>
          <w:color w:val="auto"/>
          <w:highlight w:val="none"/>
        </w:rPr>
        <w:t>格式一 联合体协议</w:t>
      </w:r>
    </w:p>
    <w:p>
      <w:pPr>
        <w:spacing w:line="360" w:lineRule="auto"/>
        <w:rPr>
          <w:rStyle w:val="55"/>
          <w:rFonts w:hint="default"/>
          <w:color w:val="auto"/>
          <w:highlight w:val="none"/>
        </w:rPr>
      </w:pPr>
      <w:r>
        <w:rPr>
          <w:rStyle w:val="55"/>
          <w:rFonts w:hint="default"/>
          <w:color w:val="auto"/>
          <w:highlight w:val="none"/>
        </w:rPr>
        <w:t>（联合体中各供应商全称）在此达成以下协议：</w:t>
      </w:r>
    </w:p>
    <w:p>
      <w:pPr>
        <w:spacing w:line="360" w:lineRule="auto"/>
        <w:rPr>
          <w:rStyle w:val="55"/>
          <w:rFonts w:hint="default"/>
          <w:color w:val="auto"/>
          <w:highlight w:val="none"/>
        </w:rPr>
      </w:pPr>
      <w:r>
        <w:rPr>
          <w:rStyle w:val="55"/>
          <w:rFonts w:hint="default"/>
          <w:color w:val="auto"/>
          <w:highlight w:val="none"/>
        </w:rPr>
        <w:t>1、我们自愿组成联合体， 参加江苏嘉加诚工程投资咨询有限公司组织的采购编号为</w:t>
      </w:r>
      <w:r>
        <w:rPr>
          <w:rStyle w:val="55"/>
          <w:rFonts w:hint="default"/>
          <w:color w:val="auto"/>
          <w:highlight w:val="none"/>
          <w:u w:val="single"/>
        </w:rPr>
        <w:t xml:space="preserve">   </w:t>
      </w:r>
      <w:r>
        <w:rPr>
          <w:rStyle w:val="55"/>
          <w:rFonts w:hint="default"/>
          <w:color w:val="auto"/>
          <w:highlight w:val="none"/>
        </w:rPr>
        <w:t>号（项目全称）</w:t>
      </w:r>
      <w:r>
        <w:rPr>
          <w:rStyle w:val="55"/>
          <w:rFonts w:hint="default"/>
          <w:color w:val="auto"/>
          <w:highlight w:val="none"/>
          <w:u w:val="single"/>
        </w:rPr>
        <w:t xml:space="preserve">          </w:t>
      </w:r>
      <w:r>
        <w:rPr>
          <w:rStyle w:val="55"/>
          <w:rFonts w:hint="default"/>
          <w:color w:val="auto"/>
          <w:highlight w:val="none"/>
        </w:rPr>
        <w:t>的政府采购活动。</w:t>
      </w:r>
      <w:r>
        <w:rPr>
          <w:rStyle w:val="55"/>
          <w:rFonts w:hint="default"/>
          <w:color w:val="auto"/>
          <w:highlight w:val="none"/>
        </w:rPr>
        <w:br w:type="textWrapping"/>
      </w:r>
      <w:r>
        <w:rPr>
          <w:rStyle w:val="55"/>
          <w:rFonts w:hint="default"/>
          <w:color w:val="auto"/>
          <w:highlight w:val="none"/>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pPr>
        <w:spacing w:line="360" w:lineRule="auto"/>
        <w:rPr>
          <w:rStyle w:val="55"/>
          <w:rFonts w:hint="default"/>
          <w:color w:val="auto"/>
          <w:highlight w:val="none"/>
        </w:rPr>
      </w:pPr>
    </w:p>
    <w:p>
      <w:pPr>
        <w:spacing w:line="360" w:lineRule="auto"/>
        <w:rPr>
          <w:rStyle w:val="55"/>
          <w:rFonts w:hint="default"/>
          <w:color w:val="auto"/>
          <w:highlight w:val="none"/>
        </w:rPr>
      </w:pPr>
    </w:p>
    <w:p>
      <w:pPr>
        <w:spacing w:line="360" w:lineRule="auto"/>
        <w:ind w:right="989" w:rightChars="471"/>
        <w:jc w:val="right"/>
        <w:rPr>
          <w:rStyle w:val="55"/>
          <w:rFonts w:hint="default"/>
          <w:color w:val="auto"/>
          <w:highlight w:val="none"/>
        </w:rPr>
      </w:pPr>
      <w:r>
        <w:rPr>
          <w:rStyle w:val="55"/>
          <w:rFonts w:hint="default"/>
          <w:color w:val="auto"/>
          <w:highlight w:val="none"/>
        </w:rPr>
        <w:t>供应商全称（公章） ：</w:t>
      </w:r>
    </w:p>
    <w:p>
      <w:pPr>
        <w:spacing w:line="360" w:lineRule="auto"/>
        <w:jc w:val="right"/>
        <w:rPr>
          <w:rStyle w:val="55"/>
          <w:rFonts w:hint="default"/>
          <w:color w:val="auto"/>
          <w:highlight w:val="none"/>
        </w:rPr>
      </w:pPr>
      <w:r>
        <w:rPr>
          <w:rStyle w:val="55"/>
          <w:rFonts w:hint="default"/>
          <w:color w:val="auto"/>
          <w:highlight w:val="none"/>
        </w:rPr>
        <w:t>法定代表人或授权代表（签字） ：</w:t>
      </w:r>
    </w:p>
    <w:p>
      <w:pPr>
        <w:spacing w:line="360" w:lineRule="auto"/>
        <w:ind w:right="2690" w:rightChars="1281"/>
        <w:jc w:val="right"/>
        <w:rPr>
          <w:rStyle w:val="55"/>
          <w:rFonts w:hint="default"/>
          <w:color w:val="auto"/>
          <w:highlight w:val="none"/>
        </w:rPr>
      </w:pPr>
      <w:r>
        <w:rPr>
          <w:rStyle w:val="55"/>
          <w:rFonts w:hint="default"/>
          <w:color w:val="auto"/>
          <w:highlight w:val="none"/>
        </w:rPr>
        <w:t>日期：</w:t>
      </w:r>
    </w:p>
    <w:p>
      <w:pPr>
        <w:spacing w:line="360" w:lineRule="auto"/>
        <w:rPr>
          <w:rStyle w:val="55"/>
          <w:rFonts w:hint="default"/>
          <w:color w:val="auto"/>
          <w:highlight w:val="none"/>
        </w:rPr>
      </w:pPr>
      <w:r>
        <w:rPr>
          <w:rStyle w:val="55"/>
          <w:rFonts w:hint="default"/>
          <w:color w:val="auto"/>
          <w:highlight w:val="none"/>
        </w:rPr>
        <w:t>注：（1）联合体中各供应商均须加盖单位公章，并由法定代表人或授权代表签字。</w:t>
      </w:r>
    </w:p>
    <w:p>
      <w:pPr>
        <w:pStyle w:val="29"/>
        <w:ind w:firstLine="420"/>
        <w:rPr>
          <w:rFonts w:ascii="宋体" w:hAnsi="宋体" w:eastAsia="宋体" w:cs="宋体"/>
          <w:color w:val="auto"/>
          <w:highlight w:val="none"/>
        </w:rPr>
      </w:pPr>
    </w:p>
    <w:p>
      <w:pPr>
        <w:spacing w:line="360" w:lineRule="auto"/>
        <w:rPr>
          <w:rStyle w:val="55"/>
          <w:rFonts w:hint="default"/>
          <w:color w:val="auto"/>
          <w:highlight w:val="none"/>
        </w:rPr>
      </w:pPr>
    </w:p>
    <w:p>
      <w:pPr>
        <w:spacing w:line="360" w:lineRule="auto"/>
        <w:jc w:val="center"/>
        <w:rPr>
          <w:rStyle w:val="55"/>
          <w:rFonts w:hint="default"/>
          <w:b/>
          <w:color w:val="auto"/>
          <w:highlight w:val="none"/>
        </w:rPr>
      </w:pPr>
      <w:r>
        <w:rPr>
          <w:rStyle w:val="55"/>
          <w:rFonts w:hint="default"/>
          <w:b/>
          <w:color w:val="auto"/>
          <w:highlight w:val="none"/>
        </w:rPr>
        <w:t>格式二 残疾人福利性单位声明函</w:t>
      </w:r>
    </w:p>
    <w:p>
      <w:pPr>
        <w:spacing w:line="360" w:lineRule="auto"/>
        <w:ind w:firstLine="440" w:firstLineChars="200"/>
        <w:rPr>
          <w:rStyle w:val="55"/>
          <w:rFonts w:hint="default"/>
          <w:color w:val="auto"/>
          <w:highlight w:val="none"/>
        </w:rPr>
      </w:pPr>
    </w:p>
    <w:p>
      <w:pPr>
        <w:spacing w:line="360" w:lineRule="auto"/>
        <w:ind w:firstLine="440" w:firstLineChars="200"/>
        <w:rPr>
          <w:rStyle w:val="55"/>
          <w:rFonts w:hint="default"/>
          <w:color w:val="auto"/>
          <w:highlight w:val="none"/>
        </w:rPr>
      </w:pPr>
      <w:r>
        <w:rPr>
          <w:rStyle w:val="55"/>
          <w:rFonts w:hint="default"/>
          <w:color w:val="auto"/>
          <w:highlight w:val="none"/>
        </w:rPr>
        <w:t>本公司郑重声明，根据《财政部  民政部  中国残疾人联合会关于促进残疾人就业政府采购政策的通知》（财库〔2017〕141号）的规定，本单位为符合条件的残疾人福利性单位，且本单位参加江苏嘉加诚工程投资咨询有限公司采购编号为</w:t>
      </w:r>
      <w:r>
        <w:rPr>
          <w:rStyle w:val="55"/>
          <w:rFonts w:hint="default"/>
          <w:color w:val="auto"/>
          <w:highlight w:val="none"/>
          <w:u w:val="single"/>
        </w:rPr>
        <w:t xml:space="preserve">         </w:t>
      </w:r>
      <w:r>
        <w:rPr>
          <w:rStyle w:val="55"/>
          <w:rFonts w:hint="default"/>
          <w:color w:val="auto"/>
          <w:highlight w:val="none"/>
        </w:rPr>
        <w:t>的</w:t>
      </w:r>
      <w:r>
        <w:rPr>
          <w:rStyle w:val="55"/>
          <w:rFonts w:hint="default"/>
          <w:color w:val="auto"/>
          <w:highlight w:val="none"/>
          <w:u w:val="single"/>
        </w:rPr>
        <w:t xml:space="preserve">           </w:t>
      </w:r>
      <w:r>
        <w:rPr>
          <w:rStyle w:val="55"/>
          <w:rFonts w:hint="default"/>
          <w:color w:val="auto"/>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40" w:firstLineChars="200"/>
        <w:rPr>
          <w:rStyle w:val="55"/>
          <w:rFonts w:hint="default"/>
          <w:color w:val="auto"/>
          <w:highlight w:val="none"/>
        </w:rPr>
      </w:pPr>
      <w:r>
        <w:rPr>
          <w:rStyle w:val="55"/>
          <w:rFonts w:hint="default"/>
          <w:color w:val="auto"/>
          <w:highlight w:val="none"/>
        </w:rPr>
        <w:t>本公司对上述声明的真实性负责。如有虚假，将依法承担相应责任。</w:t>
      </w:r>
    </w:p>
    <w:p>
      <w:pPr>
        <w:spacing w:line="360" w:lineRule="auto"/>
        <w:ind w:firstLine="440" w:firstLineChars="200"/>
        <w:rPr>
          <w:rStyle w:val="55"/>
          <w:rFonts w:hint="default"/>
          <w:color w:val="auto"/>
          <w:highlight w:val="none"/>
        </w:rPr>
      </w:pPr>
    </w:p>
    <w:p>
      <w:pPr>
        <w:spacing w:line="360" w:lineRule="auto"/>
        <w:ind w:firstLine="440" w:firstLineChars="200"/>
        <w:rPr>
          <w:rStyle w:val="55"/>
          <w:rFonts w:hint="default"/>
          <w:color w:val="auto"/>
          <w:highlight w:val="none"/>
        </w:rPr>
      </w:pPr>
    </w:p>
    <w:p>
      <w:pPr>
        <w:spacing w:line="360" w:lineRule="auto"/>
        <w:ind w:firstLine="440" w:firstLineChars="200"/>
        <w:rPr>
          <w:rStyle w:val="55"/>
          <w:rFonts w:hint="default"/>
          <w:color w:val="auto"/>
          <w:highlight w:val="none"/>
        </w:rPr>
      </w:pPr>
    </w:p>
    <w:p>
      <w:pPr>
        <w:spacing w:line="360" w:lineRule="auto"/>
        <w:ind w:firstLine="440" w:firstLineChars="200"/>
        <w:rPr>
          <w:rStyle w:val="55"/>
          <w:rFonts w:hint="default"/>
          <w:color w:val="auto"/>
          <w:highlight w:val="none"/>
        </w:rPr>
      </w:pPr>
      <w:r>
        <w:rPr>
          <w:rStyle w:val="55"/>
          <w:rFonts w:hint="default"/>
          <w:color w:val="auto"/>
          <w:highlight w:val="none"/>
        </w:rPr>
        <w:t>企业名称(盖章)：</w:t>
      </w:r>
    </w:p>
    <w:p>
      <w:pPr>
        <w:spacing w:line="360" w:lineRule="auto"/>
        <w:ind w:firstLine="440" w:firstLineChars="200"/>
        <w:rPr>
          <w:rStyle w:val="55"/>
          <w:rFonts w:hint="default"/>
          <w:color w:val="auto"/>
          <w:highlight w:val="none"/>
        </w:rPr>
      </w:pPr>
      <w:r>
        <w:rPr>
          <w:rStyle w:val="55"/>
          <w:rFonts w:hint="default"/>
          <w:color w:val="auto"/>
          <w:highlight w:val="none"/>
        </w:rPr>
        <w:t xml:space="preserve">日 期： </w:t>
      </w:r>
      <w:r>
        <w:rPr>
          <w:rStyle w:val="55"/>
          <w:rFonts w:hint="default"/>
          <w:color w:val="auto"/>
          <w:highlight w:val="none"/>
        </w:rPr>
        <w:br w:type="page"/>
      </w:r>
    </w:p>
    <w:p>
      <w:pPr>
        <w:widowControl/>
        <w:jc w:val="center"/>
        <w:rPr>
          <w:rFonts w:ascii="宋体" w:hAnsi="宋体" w:eastAsia="宋体" w:cs="宋体"/>
          <w:b/>
          <w:color w:val="auto"/>
          <w:szCs w:val="21"/>
          <w:highlight w:val="none"/>
        </w:rPr>
      </w:pPr>
    </w:p>
    <w:p>
      <w:pPr>
        <w:widowControl/>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格式三  中小企业声明函</w:t>
      </w:r>
    </w:p>
    <w:p>
      <w:pPr>
        <w:pStyle w:val="28"/>
        <w:ind w:firstLine="420"/>
        <w:rPr>
          <w:rFonts w:hAnsi="宋体" w:eastAsia="宋体" w:cs="宋体"/>
          <w:color w:val="auto"/>
          <w:szCs w:val="21"/>
          <w:highlight w:val="none"/>
        </w:rPr>
      </w:pPr>
    </w:p>
    <w:p>
      <w:pPr>
        <w:spacing w:line="360"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本公司（联合体）郑重声明，根据《政府采购促进中小企业发展暂行办法》(财库[2020]46号)的规定，本公司（联合体）参加</w:t>
      </w:r>
      <w:r>
        <w:rPr>
          <w:rFonts w:hint="eastAsia" w:ascii="宋体" w:hAnsi="宋体" w:eastAsia="宋体" w:cs="宋体"/>
          <w:color w:val="auto"/>
          <w:szCs w:val="21"/>
          <w:highlight w:val="none"/>
          <w:u w:val="single"/>
        </w:rPr>
        <w:t>（单位名称）的（项目名称）</w:t>
      </w:r>
      <w:r>
        <w:rPr>
          <w:rFonts w:hint="eastAsia" w:ascii="宋体" w:hAnsi="宋体" w:eastAsia="宋体" w:cs="宋体"/>
          <w:color w:val="auto"/>
          <w:szCs w:val="21"/>
          <w:highlight w:val="none"/>
        </w:rPr>
        <w:t>采购活动，提供的货物全部由符合政策要求的中小企业制造（或者：服务全部由符合政策要求的中小企业承接）。相关企业（含联合体中的中小企业、签订分包意向协议的中小企业）的具体情况如下：</w:t>
      </w:r>
    </w:p>
    <w:p>
      <w:pPr>
        <w:pStyle w:val="28"/>
        <w:numPr>
          <w:ilvl w:val="0"/>
          <w:numId w:val="5"/>
        </w:numPr>
        <w:spacing w:line="360" w:lineRule="auto"/>
        <w:ind w:firstLine="420"/>
        <w:rPr>
          <w:rFonts w:hAnsi="宋体" w:eastAsia="宋体" w:cs="宋体"/>
          <w:color w:val="auto"/>
          <w:szCs w:val="21"/>
          <w:highlight w:val="none"/>
        </w:rPr>
      </w:pPr>
      <w:r>
        <w:rPr>
          <w:rFonts w:hint="eastAsia" w:hAnsi="宋体" w:eastAsia="宋体" w:cs="宋体"/>
          <w:color w:val="auto"/>
          <w:szCs w:val="21"/>
          <w:highlight w:val="none"/>
          <w:u w:val="single"/>
        </w:rPr>
        <w:t>（标的名称）</w:t>
      </w:r>
      <w:r>
        <w:rPr>
          <w:rFonts w:hint="eastAsia" w:hAnsi="宋体" w:eastAsia="宋体" w:cs="宋体"/>
          <w:color w:val="auto"/>
          <w:szCs w:val="21"/>
          <w:highlight w:val="none"/>
        </w:rPr>
        <w:t>，属于</w:t>
      </w:r>
      <w:r>
        <w:rPr>
          <w:rFonts w:hint="eastAsia" w:hAnsi="宋体" w:eastAsia="宋体" w:cs="宋体"/>
          <w:color w:val="auto"/>
          <w:szCs w:val="21"/>
          <w:highlight w:val="none"/>
          <w:u w:val="single"/>
        </w:rPr>
        <w:t>（采购文件中明确的所属行业）</w:t>
      </w:r>
      <w:r>
        <w:rPr>
          <w:rFonts w:hint="eastAsia" w:hAnsi="宋体" w:eastAsia="宋体" w:cs="宋体"/>
          <w:color w:val="auto"/>
          <w:szCs w:val="21"/>
          <w:highlight w:val="none"/>
        </w:rPr>
        <w:t>；制造商为</w:t>
      </w:r>
      <w:r>
        <w:rPr>
          <w:rFonts w:hint="eastAsia" w:hAnsi="宋体" w:eastAsia="宋体" w:cs="宋体"/>
          <w:color w:val="auto"/>
          <w:szCs w:val="21"/>
          <w:highlight w:val="none"/>
          <w:u w:val="single"/>
        </w:rPr>
        <w:t>（企业名称）</w:t>
      </w:r>
      <w:r>
        <w:rPr>
          <w:rFonts w:hint="eastAsia" w:hAnsi="宋体" w:eastAsia="宋体" w:cs="宋体"/>
          <w:color w:val="auto"/>
          <w:szCs w:val="21"/>
          <w:highlight w:val="none"/>
        </w:rPr>
        <w:t>，从业人员</w:t>
      </w:r>
      <w:r>
        <w:rPr>
          <w:rFonts w:hint="eastAsia" w:hAnsi="宋体" w:eastAsia="宋体" w:cs="宋体"/>
          <w:color w:val="auto"/>
          <w:szCs w:val="21"/>
          <w:highlight w:val="none"/>
          <w:u w:val="single"/>
        </w:rPr>
        <w:t xml:space="preserve">    </w:t>
      </w:r>
      <w:r>
        <w:rPr>
          <w:rFonts w:hint="eastAsia" w:hAnsi="宋体" w:eastAsia="宋体" w:cs="宋体"/>
          <w:color w:val="auto"/>
          <w:szCs w:val="21"/>
          <w:highlight w:val="none"/>
        </w:rPr>
        <w:t>人，营业收入为</w:t>
      </w:r>
      <w:r>
        <w:rPr>
          <w:rFonts w:hint="eastAsia" w:hAnsi="宋体" w:eastAsia="宋体" w:cs="宋体"/>
          <w:color w:val="auto"/>
          <w:szCs w:val="21"/>
          <w:highlight w:val="none"/>
          <w:u w:val="single"/>
        </w:rPr>
        <w:t xml:space="preserve">    </w:t>
      </w:r>
      <w:r>
        <w:rPr>
          <w:rFonts w:hint="eastAsia" w:hAnsi="宋体" w:eastAsia="宋体" w:cs="宋体"/>
          <w:color w:val="auto"/>
          <w:szCs w:val="21"/>
          <w:highlight w:val="none"/>
        </w:rPr>
        <w:t>万元，资产总额为</w:t>
      </w:r>
      <w:r>
        <w:rPr>
          <w:rFonts w:hint="eastAsia" w:hAnsi="宋体" w:eastAsia="宋体" w:cs="宋体"/>
          <w:color w:val="auto"/>
          <w:szCs w:val="21"/>
          <w:highlight w:val="none"/>
          <w:u w:val="single"/>
        </w:rPr>
        <w:t xml:space="preserve">    </w:t>
      </w:r>
      <w:r>
        <w:rPr>
          <w:rFonts w:hint="eastAsia" w:hAnsi="宋体" w:eastAsia="宋体" w:cs="宋体"/>
          <w:color w:val="auto"/>
          <w:szCs w:val="21"/>
          <w:highlight w:val="none"/>
        </w:rPr>
        <w:t>万元，属于</w:t>
      </w:r>
      <w:r>
        <w:rPr>
          <w:rFonts w:hint="eastAsia" w:hAnsi="宋体" w:eastAsia="宋体" w:cs="宋体"/>
          <w:color w:val="auto"/>
          <w:szCs w:val="21"/>
          <w:highlight w:val="none"/>
          <w:u w:val="single"/>
        </w:rPr>
        <w:t>（中型企业、小型企业、微型企业）</w:t>
      </w:r>
      <w:r>
        <w:rPr>
          <w:rFonts w:hint="eastAsia" w:hAnsi="宋体" w:eastAsia="宋体" w:cs="宋体"/>
          <w:color w:val="auto"/>
          <w:szCs w:val="21"/>
          <w:highlight w:val="none"/>
        </w:rPr>
        <w:t>；</w:t>
      </w:r>
    </w:p>
    <w:p>
      <w:pPr>
        <w:numPr>
          <w:ilvl w:val="0"/>
          <w:numId w:val="5"/>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pPr>
        <w:pStyle w:val="28"/>
        <w:spacing w:line="360" w:lineRule="auto"/>
        <w:ind w:firstLine="420" w:firstLineChars="0"/>
        <w:rPr>
          <w:rFonts w:hAnsi="宋体" w:eastAsia="宋体" w:cs="宋体"/>
          <w:color w:val="auto"/>
          <w:szCs w:val="21"/>
          <w:highlight w:val="none"/>
        </w:rPr>
      </w:pPr>
      <w:r>
        <w:rPr>
          <w:rFonts w:hint="eastAsia" w:hAnsi="宋体" w:eastAsia="宋体" w:cs="宋体"/>
          <w:color w:val="auto"/>
          <w:szCs w:val="21"/>
          <w:highlight w:val="none"/>
        </w:rPr>
        <w:t>.......</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以上企业，不属于大企业的分支机构，不存在控股股东为大企业的情形，在不存在与大企业的负责人为同一人的情形。</w:t>
      </w:r>
    </w:p>
    <w:p>
      <w:pPr>
        <w:pStyle w:val="28"/>
        <w:spacing w:line="360" w:lineRule="auto"/>
        <w:ind w:firstLine="420"/>
        <w:rPr>
          <w:rFonts w:hAnsi="宋体" w:eastAsia="宋体" w:cs="宋体"/>
          <w:color w:val="auto"/>
          <w:szCs w:val="21"/>
          <w:highlight w:val="none"/>
        </w:rPr>
      </w:pPr>
      <w:r>
        <w:rPr>
          <w:rFonts w:hint="eastAsia" w:hAnsi="宋体" w:eastAsia="宋体" w:cs="宋体"/>
          <w:color w:val="auto"/>
          <w:szCs w:val="21"/>
          <w:highlight w:val="none"/>
        </w:rPr>
        <w:t>本企业对上述声明内容的真实性负责。如有虚假，将依法承担相应责任。</w:t>
      </w:r>
    </w:p>
    <w:p>
      <w:pPr>
        <w:spacing w:line="360" w:lineRule="auto"/>
        <w:rPr>
          <w:rFonts w:ascii="宋体" w:hAnsi="宋体" w:eastAsia="宋体" w:cs="宋体"/>
          <w:color w:val="auto"/>
          <w:szCs w:val="21"/>
          <w:highlight w:val="none"/>
        </w:rPr>
      </w:pPr>
    </w:p>
    <w:p>
      <w:pPr>
        <w:pStyle w:val="28"/>
        <w:spacing w:line="360" w:lineRule="auto"/>
        <w:ind w:firstLine="420"/>
        <w:rPr>
          <w:rFonts w:hAnsi="宋体" w:eastAsia="宋体" w:cs="宋体"/>
          <w:color w:val="auto"/>
          <w:szCs w:val="21"/>
          <w:highlight w:val="none"/>
        </w:rPr>
      </w:pPr>
      <w:r>
        <w:rPr>
          <w:rFonts w:hint="eastAsia" w:hAnsi="宋体" w:eastAsia="宋体" w:cs="宋体"/>
          <w:color w:val="auto"/>
          <w:szCs w:val="21"/>
          <w:highlight w:val="none"/>
        </w:rPr>
        <w:t xml:space="preserve">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企业名称（盖章）：</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rPr>
        <w:t xml:space="preserve">                                 日期：</w:t>
      </w:r>
    </w:p>
    <w:p>
      <w:pPr>
        <w:spacing w:line="360" w:lineRule="auto"/>
        <w:ind w:firstLine="420" w:firstLineChars="200"/>
        <w:rPr>
          <w:rFonts w:ascii="宋体" w:hAnsi="宋体" w:eastAsia="宋体" w:cs="宋体"/>
          <w:bCs/>
          <w:color w:val="auto"/>
          <w:szCs w:val="21"/>
          <w:highlight w:val="none"/>
        </w:rPr>
      </w:pPr>
    </w:p>
    <w:p>
      <w:pPr>
        <w:rPr>
          <w:color w:val="auto"/>
          <w:highlight w:val="none"/>
        </w:rPr>
      </w:pPr>
    </w:p>
    <w:p>
      <w:pPr>
        <w:rPr>
          <w:color w:val="auto"/>
          <w:highlight w:val="none"/>
        </w:rPr>
      </w:pPr>
    </w:p>
    <w:p>
      <w:pPr>
        <w:pStyle w:val="29"/>
        <w:spacing w:line="360" w:lineRule="auto"/>
        <w:ind w:firstLine="424" w:firstLineChars="193"/>
        <w:rPr>
          <w:color w:val="auto"/>
          <w:sz w:val="22"/>
          <w:highlight w:val="none"/>
        </w:rPr>
      </w:pPr>
      <w:r>
        <w:rPr>
          <w:rStyle w:val="55"/>
          <w:rFonts w:hint="default"/>
          <w:color w:val="auto"/>
          <w:highlight w:val="none"/>
        </w:rPr>
        <w:t>1、从业人员、营业收入、资产总额填报上一年度数据，无上一年度数据的新成立企业可不填报。</w:t>
      </w:r>
    </w:p>
    <w:p>
      <w:pPr>
        <w:pStyle w:val="29"/>
        <w:spacing w:line="360" w:lineRule="auto"/>
        <w:ind w:firstLine="424" w:firstLineChars="193"/>
        <w:rPr>
          <w:color w:val="auto"/>
          <w:sz w:val="22"/>
          <w:highlight w:val="none"/>
        </w:rPr>
      </w:pPr>
      <w:r>
        <w:rPr>
          <w:rStyle w:val="55"/>
          <w:rFonts w:hint="default"/>
          <w:color w:val="auto"/>
          <w:highlight w:val="none"/>
        </w:rPr>
        <w:t xml:space="preserve">2、本项目采购标的按中小企业划分标准所属行业区分为【制造业】。（中小微企业划型标准网址： </w:t>
      </w:r>
      <w:r>
        <w:rPr>
          <w:color w:val="auto"/>
          <w:highlight w:val="none"/>
        </w:rPr>
        <w:fldChar w:fldCharType="begin"/>
      </w:r>
      <w:r>
        <w:rPr>
          <w:color w:val="auto"/>
          <w:highlight w:val="none"/>
        </w:rPr>
        <w:instrText xml:space="preserve"> HYPERLINK "http://www.gov.cn/zwgk/2011-07/04/content_1898747.htm" </w:instrText>
      </w:r>
      <w:r>
        <w:rPr>
          <w:color w:val="auto"/>
          <w:highlight w:val="none"/>
        </w:rPr>
        <w:fldChar w:fldCharType="separate"/>
      </w:r>
      <w:r>
        <w:rPr>
          <w:rStyle w:val="26"/>
          <w:rFonts w:ascii="宋体" w:hAnsi="宋体" w:eastAsia="宋体"/>
          <w:color w:val="auto"/>
          <w:sz w:val="22"/>
          <w:highlight w:val="none"/>
        </w:rPr>
        <w:t>http://www.gov.cn/zwgk/2011-07/04/content_1898747.htm</w:t>
      </w:r>
      <w:r>
        <w:rPr>
          <w:rStyle w:val="26"/>
          <w:rFonts w:ascii="宋体" w:hAnsi="宋体" w:eastAsia="宋体"/>
          <w:color w:val="auto"/>
          <w:sz w:val="22"/>
          <w:highlight w:val="none"/>
        </w:rPr>
        <w:fldChar w:fldCharType="end"/>
      </w:r>
      <w:r>
        <w:rPr>
          <w:rStyle w:val="55"/>
          <w:rFonts w:hint="default"/>
          <w:color w:val="auto"/>
          <w:highlight w:val="none"/>
        </w:rPr>
        <w:t>）</w:t>
      </w:r>
    </w:p>
    <w:p>
      <w:pPr>
        <w:pStyle w:val="29"/>
        <w:spacing w:line="360" w:lineRule="auto"/>
        <w:ind w:firstLine="424" w:firstLineChars="193"/>
        <w:rPr>
          <w:color w:val="auto"/>
          <w:sz w:val="22"/>
          <w:highlight w:val="none"/>
        </w:rPr>
      </w:pPr>
      <w:r>
        <w:rPr>
          <w:rStyle w:val="55"/>
          <w:rFonts w:hint="default"/>
          <w:color w:val="auto"/>
          <w:highlight w:val="none"/>
        </w:rPr>
        <w:t>3、供应商投标（响应）文件中须提供《中小企业申明函》，《中小企业申明函》不符合要求或未提供的，作如下处理：①如本项目专门面向中小企业采购，则投标（响应）文件无效；②如本项目不专门面向中小企业采购，则价格将不做相应扣除。</w:t>
      </w:r>
    </w:p>
    <w:p>
      <w:pPr>
        <w:pStyle w:val="29"/>
        <w:spacing w:line="360" w:lineRule="auto"/>
        <w:ind w:firstLine="424" w:firstLineChars="193"/>
        <w:rPr>
          <w:color w:val="auto"/>
          <w:sz w:val="22"/>
          <w:highlight w:val="none"/>
        </w:rPr>
      </w:pPr>
      <w:r>
        <w:rPr>
          <w:rStyle w:val="55"/>
          <w:rFonts w:hint="default"/>
          <w:color w:val="auto"/>
          <w:highlight w:val="none"/>
        </w:rPr>
        <w:t>4、中小企业声明函请完整填写，成交（成交）后将公示。</w:t>
      </w:r>
    </w:p>
    <w:p>
      <w:pPr>
        <w:pStyle w:val="29"/>
        <w:spacing w:line="360" w:lineRule="auto"/>
        <w:ind w:firstLine="424" w:firstLineChars="193"/>
        <w:rPr>
          <w:rFonts w:ascii="宋体" w:hAnsi="宋体" w:eastAsia="宋体" w:cs="宋体"/>
          <w:color w:val="auto"/>
          <w:highlight w:val="none"/>
        </w:rPr>
      </w:pPr>
      <w:r>
        <w:rPr>
          <w:rStyle w:val="55"/>
          <w:rFonts w:hint="default"/>
          <w:color w:val="auto"/>
          <w:highlight w:val="none"/>
        </w:rPr>
        <w:t>5、供应商应当对其出具的《中小企业声明函》真实性负责，供应商出具的《中小企业声明函》 内容不实的，属于提供虚假材料谋取成交。对相关制造商信息了解不充分，或者不能确定相关信息真实、准确的，不建议出具《中小企业声明函》。</w:t>
      </w:r>
    </w:p>
    <w:p>
      <w:pPr>
        <w:spacing w:line="360" w:lineRule="auto"/>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pPr>
        <w:spacing w:line="360" w:lineRule="auto"/>
        <w:jc w:val="center"/>
        <w:rPr>
          <w:rFonts w:ascii="宋体" w:hAnsi="宋体" w:eastAsia="宋体" w:cs="宋体"/>
          <w:b/>
          <w:color w:val="auto"/>
          <w:sz w:val="24"/>
          <w:szCs w:val="24"/>
          <w:highlight w:val="none"/>
        </w:rPr>
      </w:pPr>
    </w:p>
    <w:p>
      <w:pPr>
        <w:spacing w:line="360" w:lineRule="auto"/>
        <w:jc w:val="center"/>
        <w:rPr>
          <w:rFonts w:ascii="宋体" w:hAnsi="宋体" w:eastAsia="宋体" w:cs="宋体"/>
          <w:color w:val="auto"/>
          <w:szCs w:val="21"/>
          <w:highlight w:val="none"/>
        </w:rPr>
      </w:pPr>
      <w:r>
        <w:rPr>
          <w:rFonts w:hint="eastAsia" w:ascii="宋体" w:hAnsi="宋体" w:eastAsia="宋体" w:cs="宋体"/>
          <w:b/>
          <w:color w:val="auto"/>
          <w:sz w:val="24"/>
          <w:szCs w:val="24"/>
          <w:highlight w:val="none"/>
        </w:rPr>
        <w:t>三、投标报价一览表</w:t>
      </w:r>
    </w:p>
    <w:p>
      <w:pPr>
        <w:pStyle w:val="13"/>
        <w:spacing w:line="360" w:lineRule="auto"/>
        <w:rPr>
          <w:rFonts w:ascii="宋体" w:hAnsi="宋体" w:eastAsia="宋体" w:cs="宋体"/>
          <w:color w:val="auto"/>
          <w:sz w:val="21"/>
          <w:szCs w:val="21"/>
          <w:highlight w:val="none"/>
        </w:rPr>
      </w:pPr>
    </w:p>
    <w:p>
      <w:pPr>
        <w:spacing w:line="360" w:lineRule="auto"/>
        <w:rPr>
          <w:rFonts w:ascii="宋体" w:hAnsi="宋体" w:eastAsia="宋体"/>
          <w:color w:val="auto"/>
          <w:sz w:val="22"/>
          <w:highlight w:val="none"/>
        </w:rPr>
      </w:pPr>
      <w:r>
        <w:rPr>
          <w:rFonts w:ascii="宋体" w:hAnsi="宋体" w:eastAsia="宋体"/>
          <w:color w:val="auto"/>
          <w:sz w:val="22"/>
          <w:highlight w:val="none"/>
        </w:rPr>
        <w:t xml:space="preserve">项目名称： </w:t>
      </w:r>
    </w:p>
    <w:p>
      <w:pPr>
        <w:spacing w:line="360" w:lineRule="auto"/>
        <w:rPr>
          <w:rFonts w:ascii="宋体" w:hAnsi="宋体" w:eastAsia="宋体"/>
          <w:color w:val="auto"/>
          <w:sz w:val="22"/>
          <w:highlight w:val="none"/>
        </w:rPr>
      </w:pPr>
      <w:r>
        <w:rPr>
          <w:rFonts w:ascii="宋体" w:hAnsi="宋体" w:eastAsia="宋体"/>
          <w:color w:val="auto"/>
          <w:sz w:val="22"/>
          <w:highlight w:val="none"/>
        </w:rPr>
        <w:t xml:space="preserve">项目编号： </w:t>
      </w:r>
    </w:p>
    <w:p>
      <w:pPr>
        <w:spacing w:line="360" w:lineRule="auto"/>
        <w:rPr>
          <w:rFonts w:ascii="宋体" w:hAnsi="宋体" w:eastAsia="宋体" w:cs="宋体"/>
          <w:color w:val="auto"/>
          <w:szCs w:val="21"/>
          <w:highlight w:val="none"/>
        </w:rPr>
      </w:pPr>
      <w:r>
        <w:rPr>
          <w:rFonts w:ascii="宋体" w:hAnsi="宋体" w:eastAsia="宋体"/>
          <w:color w:val="auto"/>
          <w:sz w:val="22"/>
          <w:highlight w:val="none"/>
        </w:rPr>
        <w:t>分 包 号：</w:t>
      </w:r>
    </w:p>
    <w:tbl>
      <w:tblPr>
        <w:tblStyle w:val="22"/>
        <w:tblW w:w="91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6"/>
        <w:gridCol w:w="4617"/>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9" w:hRule="atLeast"/>
          <w:jc w:val="center"/>
        </w:trPr>
        <w:tc>
          <w:tcPr>
            <w:tcW w:w="2096" w:type="dxa"/>
            <w:tcBorders>
              <w:top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4617" w:type="dxa"/>
            <w:tcBorders>
              <w:top w:val="single" w:color="auto" w:sz="4" w:space="0"/>
              <w:left w:val="single" w:color="auto" w:sz="4" w:space="0"/>
              <w:bottom w:val="single" w:color="auto" w:sz="4" w:space="0"/>
            </w:tcBorders>
            <w:vAlign w:val="center"/>
          </w:tcPr>
          <w:p>
            <w:pPr>
              <w:autoSpaceDN w:val="0"/>
              <w:ind w:firstLine="28"/>
              <w:jc w:val="center"/>
              <w:rPr>
                <w:rFonts w:ascii="宋体" w:hAnsi="宋体" w:eastAsia="宋体" w:cs="宋体"/>
                <w:color w:val="auto"/>
                <w:szCs w:val="21"/>
                <w:highlight w:val="none"/>
              </w:rPr>
            </w:pPr>
            <w:r>
              <w:rPr>
                <w:rFonts w:ascii="宋体" w:hAnsi="宋体" w:eastAsia="宋体" w:cs="宋体"/>
                <w:color w:val="auto"/>
                <w:szCs w:val="21"/>
                <w:highlight w:val="none"/>
              </w:rPr>
              <w:t>投标总报价</w:t>
            </w:r>
          </w:p>
        </w:tc>
        <w:tc>
          <w:tcPr>
            <w:tcW w:w="2410" w:type="dxa"/>
            <w:tcBorders>
              <w:top w:val="single" w:color="auto" w:sz="4" w:space="0"/>
              <w:left w:val="single" w:color="auto" w:sz="4" w:space="0"/>
              <w:bottom w:val="single" w:color="auto" w:sz="4" w:space="0"/>
            </w:tcBorders>
            <w:vAlign w:val="center"/>
          </w:tcPr>
          <w:p>
            <w:pPr>
              <w:autoSpaceDN w:val="0"/>
              <w:ind w:firstLine="28"/>
              <w:jc w:val="center"/>
              <w:rPr>
                <w:rFonts w:ascii="宋体" w:hAnsi="宋体" w:eastAsia="宋体" w:cs="宋体"/>
                <w:color w:val="auto"/>
                <w:szCs w:val="21"/>
                <w:highlight w:val="none"/>
              </w:rPr>
            </w:pPr>
            <w:r>
              <w:rPr>
                <w:rFonts w:ascii="宋体" w:hAnsi="宋体" w:eastAsia="宋体" w:cs="宋体"/>
                <w:color w:val="auto"/>
                <w:szCs w:val="21"/>
                <w:highlight w:val="none"/>
              </w:rPr>
              <w:t>是否为小微企业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7" w:hRule="atLeast"/>
          <w:jc w:val="center"/>
        </w:trPr>
        <w:tc>
          <w:tcPr>
            <w:tcW w:w="2096" w:type="dxa"/>
            <w:tcBorders>
              <w:top w:val="single" w:color="auto" w:sz="4" w:space="0"/>
              <w:bottom w:val="single" w:color="auto" w:sz="4" w:space="0"/>
              <w:right w:val="single" w:color="auto" w:sz="4" w:space="0"/>
            </w:tcBorders>
            <w:vAlign w:val="center"/>
          </w:tcPr>
          <w:p>
            <w:pPr>
              <w:autoSpaceDN w:val="0"/>
              <w:ind w:firstLine="28"/>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报  价</w:t>
            </w:r>
          </w:p>
        </w:tc>
        <w:tc>
          <w:tcPr>
            <w:tcW w:w="4617" w:type="dxa"/>
            <w:tcBorders>
              <w:top w:val="single" w:color="auto" w:sz="4" w:space="0"/>
              <w:left w:val="single" w:color="auto" w:sz="4" w:space="0"/>
              <w:bottom w:val="single" w:color="auto" w:sz="4" w:space="0"/>
            </w:tcBorders>
            <w:vAlign w:val="center"/>
          </w:tcPr>
          <w:p>
            <w:pPr>
              <w:spacing w:line="480" w:lineRule="auto"/>
              <w:jc w:val="left"/>
              <w:rPr>
                <w:rFonts w:ascii="宋体" w:hAnsi="宋体" w:eastAsia="宋体" w:cs="宋体"/>
                <w:color w:val="auto"/>
                <w:sz w:val="24"/>
                <w:szCs w:val="24"/>
                <w:highlight w:val="none"/>
                <w:u w:val="single"/>
              </w:rPr>
            </w:pPr>
            <w:r>
              <w:rPr>
                <w:rStyle w:val="55"/>
                <w:rFonts w:hint="default"/>
                <w:color w:val="auto"/>
                <w:highlight w:val="none"/>
              </w:rPr>
              <w:t>大写：</w:t>
            </w:r>
            <w:r>
              <w:rPr>
                <w:rStyle w:val="55"/>
                <w:rFonts w:hint="default"/>
                <w:color w:val="auto"/>
                <w:highlight w:val="none"/>
                <w:u w:val="single"/>
              </w:rPr>
              <w:t xml:space="preserve">                      </w:t>
            </w:r>
            <w:r>
              <w:rPr>
                <w:rStyle w:val="55"/>
                <w:rFonts w:hint="default"/>
                <w:color w:val="auto"/>
                <w:highlight w:val="none"/>
              </w:rPr>
              <w:t>元人民币</w:t>
            </w:r>
          </w:p>
          <w:p>
            <w:pPr>
              <w:autoSpaceDN w:val="0"/>
              <w:spacing w:line="480" w:lineRule="auto"/>
              <w:ind w:firstLine="28"/>
              <w:jc w:val="left"/>
              <w:rPr>
                <w:rFonts w:ascii="宋体" w:hAnsi="宋体" w:eastAsia="宋体" w:cs="宋体"/>
                <w:color w:val="auto"/>
                <w:szCs w:val="21"/>
                <w:highlight w:val="none"/>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410" w:type="dxa"/>
            <w:tcBorders>
              <w:top w:val="single" w:color="auto" w:sz="4" w:space="0"/>
              <w:left w:val="single" w:color="auto" w:sz="4" w:space="0"/>
              <w:bottom w:val="single" w:color="auto" w:sz="4" w:space="0"/>
            </w:tcBorders>
            <w:vAlign w:val="center"/>
          </w:tcPr>
          <w:p>
            <w:pPr>
              <w:jc w:val="center"/>
              <w:rPr>
                <w:rStyle w:val="55"/>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36" w:hRule="atLeast"/>
          <w:jc w:val="center"/>
        </w:trPr>
        <w:tc>
          <w:tcPr>
            <w:tcW w:w="2096" w:type="dxa"/>
            <w:tcBorders>
              <w:top w:val="single" w:color="auto" w:sz="4" w:space="0"/>
              <w:bottom w:val="single" w:color="auto" w:sz="4" w:space="0"/>
              <w:right w:val="single" w:color="auto" w:sz="4" w:space="0"/>
            </w:tcBorders>
            <w:vAlign w:val="center"/>
          </w:tcPr>
          <w:p>
            <w:pPr>
              <w:autoSpaceDN w:val="0"/>
              <w:snapToGrid w:val="0"/>
              <w:spacing w:line="30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主要货物制</w:t>
            </w:r>
          </w:p>
          <w:p>
            <w:pPr>
              <w:autoSpaceDN w:val="0"/>
              <w:snapToGrid w:val="0"/>
              <w:spacing w:line="30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造商及产地</w:t>
            </w:r>
          </w:p>
        </w:tc>
        <w:tc>
          <w:tcPr>
            <w:tcW w:w="7027" w:type="dxa"/>
            <w:gridSpan w:val="2"/>
            <w:tcBorders>
              <w:top w:val="single" w:color="auto" w:sz="4" w:space="0"/>
              <w:left w:val="single" w:color="auto" w:sz="4" w:space="0"/>
              <w:bottom w:val="single" w:color="auto" w:sz="4" w:space="0"/>
            </w:tcBorders>
            <w:vAlign w:val="center"/>
          </w:tcPr>
          <w:p>
            <w:pPr>
              <w:autoSpaceDN w:val="0"/>
              <w:snapToGrid w:val="0"/>
              <w:spacing w:line="300" w:lineRule="auto"/>
              <w:rPr>
                <w:rFonts w:ascii="宋体" w:hAnsi="宋体" w:eastAsia="宋体" w:cs="宋体"/>
                <w:color w:val="auto"/>
                <w:szCs w:val="21"/>
                <w:highlight w:val="none"/>
              </w:rPr>
            </w:pPr>
          </w:p>
        </w:tc>
      </w:tr>
    </w:tbl>
    <w:p>
      <w:pPr>
        <w:spacing w:line="360" w:lineRule="auto"/>
        <w:ind w:firstLine="1141" w:firstLineChars="541"/>
        <w:rPr>
          <w:rFonts w:ascii="宋体" w:hAnsi="宋体" w:eastAsia="宋体" w:cs="宋体"/>
          <w:b/>
          <w:bCs/>
          <w:color w:val="auto"/>
          <w:szCs w:val="21"/>
          <w:highlight w:val="none"/>
        </w:rPr>
      </w:pPr>
    </w:p>
    <w:p>
      <w:pPr>
        <w:spacing w:after="240" w:afterLines="100"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投标人全称（加盖公章）：</w:t>
      </w:r>
    </w:p>
    <w:p>
      <w:pPr>
        <w:spacing w:before="240" w:beforeLines="100"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pPr>
        <w:spacing w:line="360" w:lineRule="auto"/>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日期：    年   月    日</w:t>
      </w:r>
    </w:p>
    <w:p>
      <w:pPr>
        <w:spacing w:after="240" w:afterLines="100"/>
        <w:jc w:val="center"/>
        <w:rPr>
          <w:rFonts w:ascii="宋体" w:hAnsi="宋体" w:eastAsia="宋体" w:cs="宋体"/>
          <w:color w:val="auto"/>
          <w:sz w:val="24"/>
          <w:szCs w:val="24"/>
          <w:highlight w:val="none"/>
        </w:rPr>
      </w:pPr>
    </w:p>
    <w:p>
      <w:pPr>
        <w:spacing w:after="240" w:afterLines="100"/>
        <w:jc w:val="center"/>
        <w:rPr>
          <w:rFonts w:ascii="宋体" w:hAnsi="宋体" w:eastAsia="宋体" w:cs="宋体"/>
          <w:color w:val="auto"/>
          <w:sz w:val="24"/>
          <w:szCs w:val="24"/>
          <w:highlight w:val="none"/>
        </w:rPr>
      </w:pPr>
    </w:p>
    <w:p>
      <w:pPr>
        <w:spacing w:line="360" w:lineRule="auto"/>
        <w:ind w:firstLine="424" w:firstLineChars="202"/>
        <w:rPr>
          <w:rFonts w:ascii="宋体" w:hAnsi="宋体" w:eastAsia="宋体" w:cs="宋体"/>
          <w:i/>
          <w:color w:val="auto"/>
          <w:szCs w:val="21"/>
          <w:highlight w:val="none"/>
          <w:u w:val="single"/>
        </w:rPr>
      </w:pPr>
      <w:r>
        <w:rPr>
          <w:rFonts w:ascii="宋体" w:hAnsi="宋体" w:eastAsia="宋体" w:cs="宋体"/>
          <w:i/>
          <w:color w:val="auto"/>
          <w:szCs w:val="21"/>
          <w:highlight w:val="none"/>
          <w:u w:val="single"/>
        </w:rPr>
        <w:t>1.</w:t>
      </w:r>
      <w:r>
        <w:rPr>
          <w:rFonts w:ascii="宋体" w:hAnsi="宋体" w:eastAsia="宋体" w:cs="宋体"/>
          <w:i/>
          <w:color w:val="auto"/>
          <w:szCs w:val="21"/>
          <w:highlight w:val="none"/>
          <w:u w:val="single"/>
        </w:rPr>
        <w:tab/>
      </w:r>
      <w:r>
        <w:rPr>
          <w:rFonts w:ascii="宋体" w:hAnsi="宋体" w:eastAsia="宋体" w:cs="宋体"/>
          <w:i/>
          <w:color w:val="auto"/>
          <w:szCs w:val="21"/>
          <w:highlight w:val="none"/>
          <w:u w:val="single"/>
        </w:rPr>
        <w:t>开标一览表必须加盖投标人公章（复印件无效）</w:t>
      </w:r>
      <w:r>
        <w:rPr>
          <w:rFonts w:hint="eastAsia" w:ascii="宋体" w:hAnsi="宋体" w:eastAsia="宋体" w:cs="宋体"/>
          <w:i/>
          <w:color w:val="auto"/>
          <w:szCs w:val="21"/>
          <w:highlight w:val="none"/>
          <w:u w:val="single"/>
        </w:rPr>
        <w:t>，</w:t>
      </w:r>
      <w:bookmarkStart w:id="61" w:name="_GoBack"/>
      <w:bookmarkEnd w:id="61"/>
      <w:r>
        <w:rPr>
          <w:rFonts w:hint="eastAsia" w:ascii="宋体" w:hAnsi="宋体" w:eastAsia="宋体" w:cs="宋体"/>
          <w:i/>
          <w:color w:val="auto"/>
          <w:szCs w:val="21"/>
          <w:highlight w:val="none"/>
          <w:u w:val="single"/>
        </w:rPr>
        <w:t>单独密封在信封中，在投标截止时间前与投标文件分别递交，否则视为无效投标。</w:t>
      </w:r>
    </w:p>
    <w:p>
      <w:pPr>
        <w:spacing w:line="360" w:lineRule="auto"/>
        <w:ind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2.</w:t>
      </w:r>
      <w:r>
        <w:rPr>
          <w:rFonts w:ascii="宋体" w:hAnsi="宋体" w:eastAsia="宋体" w:cs="宋体"/>
          <w:color w:val="auto"/>
          <w:szCs w:val="21"/>
          <w:highlight w:val="none"/>
        </w:rPr>
        <w:tab/>
      </w:r>
      <w:r>
        <w:rPr>
          <w:rFonts w:ascii="宋体" w:hAnsi="宋体" w:eastAsia="宋体" w:cs="宋体"/>
          <w:color w:val="auto"/>
          <w:szCs w:val="21"/>
          <w:highlight w:val="none"/>
        </w:rPr>
        <w:t>如有分包，投标人投任何一个包的标的，都需单独填写开标一览表。</w:t>
      </w:r>
    </w:p>
    <w:p>
      <w:pPr>
        <w:spacing w:line="360" w:lineRule="auto"/>
        <w:ind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3.</w:t>
      </w:r>
      <w:r>
        <w:rPr>
          <w:rFonts w:ascii="宋体" w:hAnsi="宋体" w:eastAsia="宋体" w:cs="宋体"/>
          <w:color w:val="auto"/>
          <w:szCs w:val="21"/>
          <w:highlight w:val="none"/>
        </w:rPr>
        <w:tab/>
      </w:r>
      <w:r>
        <w:rPr>
          <w:rFonts w:ascii="宋体" w:hAnsi="宋体" w:eastAsia="宋体" w:cs="宋体"/>
          <w:color w:val="auto"/>
          <w:szCs w:val="21"/>
          <w:highlight w:val="none"/>
        </w:rPr>
        <w:t>本工程项目总报价不得超过</w:t>
      </w:r>
      <w:r>
        <w:rPr>
          <w:rFonts w:hint="eastAsia" w:ascii="宋体" w:hAnsi="宋体" w:eastAsia="宋体" w:cs="宋体"/>
          <w:color w:val="auto"/>
          <w:szCs w:val="21"/>
          <w:highlight w:val="none"/>
        </w:rPr>
        <w:t>最高</w:t>
      </w:r>
      <w:r>
        <w:rPr>
          <w:rFonts w:ascii="宋体" w:hAnsi="宋体" w:eastAsia="宋体" w:cs="宋体"/>
          <w:color w:val="auto"/>
          <w:szCs w:val="21"/>
          <w:highlight w:val="none"/>
        </w:rPr>
        <w:t>限价，超过作为废标处理。</w:t>
      </w:r>
    </w:p>
    <w:p>
      <w:pPr>
        <w:spacing w:line="360" w:lineRule="auto"/>
        <w:ind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4.</w:t>
      </w:r>
      <w:r>
        <w:rPr>
          <w:rFonts w:ascii="宋体" w:hAnsi="宋体" w:eastAsia="宋体" w:cs="宋体"/>
          <w:color w:val="auto"/>
          <w:szCs w:val="21"/>
          <w:highlight w:val="none"/>
        </w:rPr>
        <w:tab/>
      </w:r>
      <w:r>
        <w:rPr>
          <w:rFonts w:ascii="宋体" w:hAnsi="宋体" w:eastAsia="宋体" w:cs="宋体"/>
          <w:color w:val="auto"/>
          <w:szCs w:val="21"/>
          <w:highlight w:val="none"/>
        </w:rPr>
        <w:t>投标价格应包括完成采购人招标范围的全部内容并通过上级管理部门审查验收且能满足日常工作需求所需要的人工、设备、材料、管理费、合理利润、税金等一切费用。</w:t>
      </w:r>
    </w:p>
    <w:p>
      <w:pPr>
        <w:rPr>
          <w:rFonts w:ascii="宋体" w:hAnsi="宋体" w:eastAsia="宋体" w:cs="宋体"/>
          <w:color w:val="auto"/>
          <w:sz w:val="21"/>
          <w:szCs w:val="21"/>
          <w:highlight w:val="none"/>
        </w:rPr>
      </w:pPr>
    </w:p>
    <w:p>
      <w:pP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p>
    <w:p>
      <w:pPr>
        <w:rPr>
          <w:color w:val="auto"/>
          <w:highlight w:val="none"/>
        </w:rPr>
      </w:pPr>
    </w:p>
    <w:p>
      <w:pPr>
        <w:bidi w:val="0"/>
        <w:jc w:val="center"/>
        <w:rPr>
          <w:color w:val="auto"/>
          <w:highlight w:val="none"/>
        </w:rPr>
      </w:pPr>
      <w:r>
        <w:rPr>
          <w:rFonts w:ascii="宋体" w:hAnsi="宋体" w:eastAsia="宋体" w:cs="宋体"/>
          <w:b/>
          <w:color w:val="auto"/>
          <w:sz w:val="24"/>
          <w:szCs w:val="24"/>
          <w:highlight w:val="none"/>
        </w:rPr>
        <w:t>四、 投标产品配置及分项报价表</w:t>
      </w:r>
    </w:p>
    <w:p>
      <w:pPr>
        <w:rPr>
          <w:color w:val="auto"/>
          <w:highlight w:val="none"/>
        </w:rPr>
      </w:pP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5291"/>
        <w:gridCol w:w="997"/>
        <w:gridCol w:w="997"/>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7" w:type="pct"/>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849" w:type="pct"/>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货物（或服务）名称及规格、型号</w:t>
            </w:r>
          </w:p>
        </w:tc>
        <w:tc>
          <w:tcPr>
            <w:tcW w:w="537" w:type="pct"/>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537" w:type="pct"/>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tc>
        <w:tc>
          <w:tcPr>
            <w:tcW w:w="537" w:type="pct"/>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7" w:type="pct"/>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849" w:type="pct"/>
            <w:vAlign w:val="center"/>
          </w:tcPr>
          <w:p>
            <w:pPr>
              <w:adjustRightInd w:val="0"/>
              <w:snapToGrid w:val="0"/>
              <w:jc w:val="center"/>
              <w:rPr>
                <w:rFonts w:ascii="宋体" w:hAnsi="宋体" w:eastAsia="宋体" w:cs="宋体"/>
                <w:b/>
                <w:bCs/>
                <w:color w:val="auto"/>
                <w:szCs w:val="21"/>
                <w:highlight w:val="none"/>
              </w:rPr>
            </w:pPr>
          </w:p>
        </w:tc>
        <w:tc>
          <w:tcPr>
            <w:tcW w:w="537" w:type="pct"/>
            <w:vAlign w:val="center"/>
          </w:tcPr>
          <w:p>
            <w:pPr>
              <w:adjustRightInd w:val="0"/>
              <w:snapToGrid w:val="0"/>
              <w:jc w:val="center"/>
              <w:rPr>
                <w:rFonts w:ascii="宋体" w:hAnsi="宋体" w:eastAsia="宋体" w:cs="宋体"/>
                <w:b/>
                <w:bCs/>
                <w:color w:val="auto"/>
                <w:szCs w:val="21"/>
                <w:highlight w:val="none"/>
              </w:rPr>
            </w:pPr>
          </w:p>
        </w:tc>
        <w:tc>
          <w:tcPr>
            <w:tcW w:w="537" w:type="pct"/>
            <w:vAlign w:val="center"/>
          </w:tcPr>
          <w:p>
            <w:pPr>
              <w:adjustRightInd w:val="0"/>
              <w:snapToGrid w:val="0"/>
              <w:jc w:val="center"/>
              <w:rPr>
                <w:rFonts w:ascii="宋体" w:hAnsi="宋体" w:eastAsia="宋体" w:cs="宋体"/>
                <w:b/>
                <w:bCs/>
                <w:color w:val="auto"/>
                <w:szCs w:val="21"/>
                <w:highlight w:val="none"/>
              </w:rPr>
            </w:pPr>
          </w:p>
        </w:tc>
        <w:tc>
          <w:tcPr>
            <w:tcW w:w="537" w:type="pct"/>
            <w:vAlign w:val="center"/>
          </w:tcPr>
          <w:p>
            <w:pPr>
              <w:adjustRightInd w:val="0"/>
              <w:snapToGrid w:val="0"/>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7" w:type="pct"/>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2849" w:type="pct"/>
            <w:vAlign w:val="center"/>
          </w:tcPr>
          <w:p>
            <w:pPr>
              <w:adjustRightInd w:val="0"/>
              <w:snapToGrid w:val="0"/>
              <w:jc w:val="center"/>
              <w:rPr>
                <w:rFonts w:ascii="宋体" w:hAnsi="宋体" w:eastAsia="宋体" w:cs="宋体"/>
                <w:b/>
                <w:bCs/>
                <w:color w:val="auto"/>
                <w:szCs w:val="21"/>
                <w:highlight w:val="none"/>
              </w:rPr>
            </w:pPr>
          </w:p>
        </w:tc>
        <w:tc>
          <w:tcPr>
            <w:tcW w:w="537" w:type="pct"/>
            <w:vAlign w:val="center"/>
          </w:tcPr>
          <w:p>
            <w:pPr>
              <w:adjustRightInd w:val="0"/>
              <w:snapToGrid w:val="0"/>
              <w:jc w:val="center"/>
              <w:rPr>
                <w:rFonts w:ascii="宋体" w:hAnsi="宋体" w:eastAsia="宋体" w:cs="宋体"/>
                <w:b/>
                <w:bCs/>
                <w:color w:val="auto"/>
                <w:szCs w:val="21"/>
                <w:highlight w:val="none"/>
              </w:rPr>
            </w:pPr>
          </w:p>
        </w:tc>
        <w:tc>
          <w:tcPr>
            <w:tcW w:w="537" w:type="pct"/>
            <w:vAlign w:val="center"/>
          </w:tcPr>
          <w:p>
            <w:pPr>
              <w:adjustRightInd w:val="0"/>
              <w:snapToGrid w:val="0"/>
              <w:jc w:val="center"/>
              <w:rPr>
                <w:rFonts w:ascii="宋体" w:hAnsi="宋体" w:eastAsia="宋体" w:cs="宋体"/>
                <w:b/>
                <w:bCs/>
                <w:color w:val="auto"/>
                <w:szCs w:val="21"/>
                <w:highlight w:val="none"/>
              </w:rPr>
            </w:pPr>
          </w:p>
        </w:tc>
        <w:tc>
          <w:tcPr>
            <w:tcW w:w="537" w:type="pct"/>
            <w:vAlign w:val="center"/>
          </w:tcPr>
          <w:p>
            <w:pPr>
              <w:adjustRightInd w:val="0"/>
              <w:snapToGrid w:val="0"/>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7" w:type="pct"/>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849" w:type="pct"/>
            <w:vAlign w:val="center"/>
          </w:tcPr>
          <w:p>
            <w:pPr>
              <w:adjustRightInd w:val="0"/>
              <w:snapToGrid w:val="0"/>
              <w:jc w:val="center"/>
              <w:rPr>
                <w:rFonts w:ascii="宋体" w:hAnsi="宋体" w:eastAsia="宋体" w:cs="宋体"/>
                <w:b/>
                <w:bCs/>
                <w:color w:val="auto"/>
                <w:szCs w:val="21"/>
                <w:highlight w:val="none"/>
              </w:rPr>
            </w:pPr>
          </w:p>
        </w:tc>
        <w:tc>
          <w:tcPr>
            <w:tcW w:w="537" w:type="pct"/>
            <w:vAlign w:val="center"/>
          </w:tcPr>
          <w:p>
            <w:pPr>
              <w:adjustRightInd w:val="0"/>
              <w:snapToGrid w:val="0"/>
              <w:jc w:val="center"/>
              <w:rPr>
                <w:rFonts w:ascii="宋体" w:hAnsi="宋体" w:eastAsia="宋体" w:cs="宋体"/>
                <w:b/>
                <w:bCs/>
                <w:color w:val="auto"/>
                <w:szCs w:val="21"/>
                <w:highlight w:val="none"/>
              </w:rPr>
            </w:pPr>
          </w:p>
        </w:tc>
        <w:tc>
          <w:tcPr>
            <w:tcW w:w="537" w:type="pct"/>
            <w:vAlign w:val="center"/>
          </w:tcPr>
          <w:p>
            <w:pPr>
              <w:adjustRightInd w:val="0"/>
              <w:snapToGrid w:val="0"/>
              <w:jc w:val="center"/>
              <w:rPr>
                <w:rFonts w:ascii="宋体" w:hAnsi="宋体" w:eastAsia="宋体" w:cs="宋体"/>
                <w:b/>
                <w:bCs/>
                <w:color w:val="auto"/>
                <w:szCs w:val="21"/>
                <w:highlight w:val="none"/>
              </w:rPr>
            </w:pPr>
          </w:p>
        </w:tc>
        <w:tc>
          <w:tcPr>
            <w:tcW w:w="537" w:type="pct"/>
            <w:vAlign w:val="center"/>
          </w:tcPr>
          <w:p>
            <w:pPr>
              <w:adjustRightInd w:val="0"/>
              <w:snapToGrid w:val="0"/>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7" w:type="pct"/>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c>
          <w:tcPr>
            <w:tcW w:w="2849" w:type="pct"/>
            <w:vAlign w:val="center"/>
          </w:tcPr>
          <w:p>
            <w:pPr>
              <w:adjustRightInd w:val="0"/>
              <w:snapToGrid w:val="0"/>
              <w:jc w:val="center"/>
              <w:rPr>
                <w:rFonts w:ascii="宋体" w:hAnsi="宋体" w:eastAsia="宋体" w:cs="宋体"/>
                <w:b/>
                <w:bCs/>
                <w:color w:val="auto"/>
                <w:szCs w:val="21"/>
                <w:highlight w:val="none"/>
              </w:rPr>
            </w:pPr>
          </w:p>
        </w:tc>
        <w:tc>
          <w:tcPr>
            <w:tcW w:w="537" w:type="pct"/>
            <w:vAlign w:val="center"/>
          </w:tcPr>
          <w:p>
            <w:pPr>
              <w:adjustRightInd w:val="0"/>
              <w:snapToGrid w:val="0"/>
              <w:jc w:val="center"/>
              <w:rPr>
                <w:rFonts w:ascii="宋体" w:hAnsi="宋体" w:eastAsia="宋体" w:cs="宋体"/>
                <w:b/>
                <w:bCs/>
                <w:color w:val="auto"/>
                <w:szCs w:val="21"/>
                <w:highlight w:val="none"/>
              </w:rPr>
            </w:pPr>
          </w:p>
        </w:tc>
        <w:tc>
          <w:tcPr>
            <w:tcW w:w="537" w:type="pct"/>
            <w:vAlign w:val="center"/>
          </w:tcPr>
          <w:p>
            <w:pPr>
              <w:adjustRightInd w:val="0"/>
              <w:snapToGrid w:val="0"/>
              <w:jc w:val="center"/>
              <w:rPr>
                <w:rFonts w:ascii="宋体" w:hAnsi="宋体" w:eastAsia="宋体" w:cs="宋体"/>
                <w:b/>
                <w:bCs/>
                <w:color w:val="auto"/>
                <w:szCs w:val="21"/>
                <w:highlight w:val="none"/>
              </w:rPr>
            </w:pPr>
          </w:p>
        </w:tc>
        <w:tc>
          <w:tcPr>
            <w:tcW w:w="537" w:type="pct"/>
            <w:vAlign w:val="center"/>
          </w:tcPr>
          <w:p>
            <w:pPr>
              <w:adjustRightInd w:val="0"/>
              <w:snapToGrid w:val="0"/>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7" w:type="pct"/>
            <w:gridSpan w:val="2"/>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合计</w:t>
            </w:r>
          </w:p>
        </w:tc>
        <w:tc>
          <w:tcPr>
            <w:tcW w:w="1612" w:type="pct"/>
            <w:gridSpan w:val="3"/>
            <w:vAlign w:val="center"/>
          </w:tcPr>
          <w:p>
            <w:pPr>
              <w:adjustRightInd w:val="0"/>
              <w:snapToGrid w:val="0"/>
              <w:jc w:val="center"/>
              <w:rPr>
                <w:rFonts w:ascii="宋体" w:hAnsi="宋体" w:eastAsia="宋体" w:cs="宋体"/>
                <w:b/>
                <w:bCs/>
                <w:color w:val="auto"/>
                <w:szCs w:val="21"/>
                <w:highlight w:val="none"/>
              </w:rPr>
            </w:pPr>
          </w:p>
        </w:tc>
      </w:tr>
    </w:tbl>
    <w:p>
      <w:pPr>
        <w:spacing w:line="360" w:lineRule="auto"/>
        <w:ind w:firstLine="1141" w:firstLineChars="541"/>
        <w:rPr>
          <w:rFonts w:ascii="宋体" w:hAnsi="宋体" w:eastAsia="宋体" w:cs="宋体"/>
          <w:b/>
          <w:bCs/>
          <w:color w:val="auto"/>
          <w:szCs w:val="21"/>
          <w:highlight w:val="none"/>
        </w:rPr>
      </w:pPr>
    </w:p>
    <w:p>
      <w:pPr>
        <w:spacing w:after="240" w:afterLines="100"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法定代表人或者授权代表（签字或盖章）：</w:t>
      </w:r>
    </w:p>
    <w:p>
      <w:pPr>
        <w:spacing w:before="240" w:beforeLines="100"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谈判供应商全称（盖章）：</w:t>
      </w:r>
    </w:p>
    <w:p>
      <w:pPr>
        <w:spacing w:line="360" w:lineRule="auto"/>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日期：    年   月    日</w:t>
      </w:r>
    </w:p>
    <w:p>
      <w:pPr>
        <w:spacing w:after="240" w:afterLines="100"/>
        <w:jc w:val="center"/>
        <w:rPr>
          <w:rFonts w:ascii="宋体" w:hAnsi="宋体" w:eastAsia="宋体" w:cs="宋体"/>
          <w:color w:val="auto"/>
          <w:sz w:val="24"/>
          <w:szCs w:val="24"/>
          <w:highlight w:val="none"/>
        </w:rPr>
      </w:pPr>
    </w:p>
    <w:p>
      <w:pPr>
        <w:spacing w:before="240" w:beforeLines="100" w:line="360" w:lineRule="auto"/>
        <w:ind w:firstLine="424" w:firstLineChars="202"/>
        <w:rPr>
          <w:rFonts w:ascii="宋体" w:hAnsi="宋体" w:eastAsia="宋体" w:cs="宋体"/>
          <w:i/>
          <w:color w:val="auto"/>
          <w:szCs w:val="21"/>
          <w:highlight w:val="none"/>
          <w:u w:val="single"/>
        </w:rPr>
      </w:pPr>
    </w:p>
    <w:p>
      <w:pPr>
        <w:widowControl/>
        <w:adjustRightInd w:val="0"/>
        <w:snapToGrid w:val="0"/>
        <w:spacing w:line="360" w:lineRule="auto"/>
        <w:jc w:val="left"/>
        <w:rPr>
          <w:color w:val="auto"/>
          <w:highlight w:val="none"/>
        </w:rPr>
      </w:pPr>
      <w:r>
        <w:rPr>
          <w:rFonts w:hint="eastAsia" w:ascii="宋体" w:hAnsi="宋体" w:eastAsia="宋体" w:cs="宋体"/>
          <w:b/>
          <w:bCs/>
          <w:color w:val="auto"/>
          <w:kern w:val="0"/>
          <w:sz w:val="20"/>
          <w:szCs w:val="20"/>
          <w:highlight w:val="none"/>
          <w:lang w:bidi="ar"/>
        </w:rPr>
        <w:t xml:space="preserve">价格构成或报价要求： </w:t>
      </w:r>
    </w:p>
    <w:p>
      <w:pPr>
        <w:widowControl/>
        <w:adjustRightInd w:val="0"/>
        <w:snapToGrid w:val="0"/>
        <w:spacing w:line="360" w:lineRule="auto"/>
        <w:jc w:val="left"/>
        <w:rPr>
          <w:color w:val="auto"/>
          <w:highlight w:val="none"/>
        </w:rPr>
      </w:pPr>
      <w:r>
        <w:rPr>
          <w:rFonts w:hint="eastAsia" w:ascii="宋体" w:hAnsi="宋体" w:eastAsia="宋体" w:cs="宋体"/>
          <w:color w:val="auto"/>
          <w:kern w:val="0"/>
          <w:sz w:val="20"/>
          <w:szCs w:val="20"/>
          <w:highlight w:val="none"/>
          <w:lang w:bidi="ar"/>
        </w:rPr>
        <w:t xml:space="preserve">1、此表可以根据需要自行增减行数，且该表报价非本次谈判中的最后报价。 </w:t>
      </w:r>
    </w:p>
    <w:p>
      <w:pPr>
        <w:widowControl/>
        <w:adjustRightInd w:val="0"/>
        <w:snapToGrid w:val="0"/>
        <w:spacing w:line="360" w:lineRule="auto"/>
        <w:jc w:val="left"/>
        <w:rPr>
          <w:color w:val="auto"/>
          <w:highlight w:val="none"/>
        </w:rPr>
      </w:pPr>
      <w:r>
        <w:rPr>
          <w:rFonts w:hint="eastAsia" w:ascii="宋体" w:hAnsi="宋体" w:eastAsia="宋体" w:cs="宋体"/>
          <w:color w:val="auto"/>
          <w:kern w:val="0"/>
          <w:sz w:val="20"/>
          <w:szCs w:val="20"/>
          <w:highlight w:val="none"/>
          <w:lang w:bidi="ar"/>
        </w:rPr>
        <w:t>2、项目如有分包，请各谈判供应商按投报的分包分别列表。</w:t>
      </w:r>
    </w:p>
    <w:p>
      <w:pPr>
        <w:pStyle w:val="29"/>
        <w:ind w:firstLine="420"/>
        <w:rPr>
          <w:rFonts w:ascii="宋体" w:hAnsi="宋体" w:eastAsia="宋体" w:cs="宋体"/>
          <w:color w:val="auto"/>
          <w:highlight w:val="none"/>
        </w:rPr>
      </w:pPr>
    </w:p>
    <w:p>
      <w:pPr>
        <w:pStyle w:val="29"/>
        <w:ind w:firstLine="420"/>
        <w:rPr>
          <w:rFonts w:ascii="宋体" w:hAnsi="宋体" w:eastAsia="宋体" w:cs="宋体"/>
          <w:color w:val="auto"/>
          <w:highlight w:val="none"/>
        </w:rPr>
      </w:pPr>
      <w:r>
        <w:rPr>
          <w:rFonts w:hint="eastAsia" w:ascii="宋体" w:hAnsi="宋体" w:eastAsia="宋体" w:cs="宋体"/>
          <w:color w:val="auto"/>
          <w:highlight w:val="none"/>
        </w:rPr>
        <w:br w:type="page"/>
      </w:r>
    </w:p>
    <w:p>
      <w:pPr>
        <w:jc w:val="center"/>
        <w:rPr>
          <w:rFonts w:ascii="宋体" w:hAnsi="宋体" w:eastAsia="宋体" w:cs="宋体"/>
          <w:b/>
          <w:color w:val="auto"/>
          <w:sz w:val="24"/>
          <w:szCs w:val="24"/>
          <w:highlight w:val="none"/>
        </w:rPr>
      </w:pPr>
    </w:p>
    <w:p>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ascii="宋体" w:hAnsi="宋体" w:eastAsia="宋体" w:cs="宋体"/>
          <w:b/>
          <w:color w:val="auto"/>
          <w:sz w:val="24"/>
          <w:szCs w:val="24"/>
          <w:highlight w:val="none"/>
        </w:rPr>
        <w:t>、供货一览表</w:t>
      </w:r>
    </w:p>
    <w:p>
      <w:pPr>
        <w:jc w:val="center"/>
        <w:rPr>
          <w:rFonts w:ascii="宋体" w:hAnsi="宋体" w:eastAsia="宋体" w:cs="宋体"/>
          <w:b/>
          <w:color w:val="auto"/>
          <w:sz w:val="24"/>
          <w:szCs w:val="24"/>
          <w:highlight w:val="none"/>
        </w:rPr>
      </w:pPr>
    </w:p>
    <w:tbl>
      <w:tblPr>
        <w:tblStyle w:val="22"/>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211"/>
        <w:gridCol w:w="2655"/>
        <w:gridCol w:w="1324"/>
        <w:gridCol w:w="1324"/>
        <w:gridCol w:w="17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highlight w:val="none"/>
              </w:rPr>
            </w:pPr>
            <w:r>
              <w:rPr>
                <w:rStyle w:val="55"/>
                <w:rFonts w:hint="default"/>
                <w:color w:val="auto"/>
                <w:highlight w:val="none"/>
              </w:rPr>
              <w:t>货物名称</w:t>
            </w:r>
          </w:p>
        </w:tc>
        <w:tc>
          <w:tcPr>
            <w:tcW w:w="143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highlight w:val="none"/>
              </w:rPr>
            </w:pPr>
            <w:r>
              <w:rPr>
                <w:rStyle w:val="55"/>
                <w:rFonts w:hint="default"/>
                <w:color w:val="auto"/>
                <w:highlight w:val="none"/>
              </w:rPr>
              <w:t>品牌及型号</w:t>
            </w:r>
          </w:p>
        </w:tc>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highlight w:val="none"/>
              </w:rPr>
            </w:pPr>
            <w:r>
              <w:rPr>
                <w:rStyle w:val="55"/>
                <w:rFonts w:hint="default"/>
                <w:color w:val="auto"/>
                <w:highlight w:val="none"/>
              </w:rPr>
              <w:t>产地</w:t>
            </w:r>
          </w:p>
        </w:tc>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highlight w:val="none"/>
              </w:rPr>
            </w:pPr>
            <w:r>
              <w:rPr>
                <w:rStyle w:val="55"/>
                <w:rFonts w:hint="default"/>
                <w:color w:val="auto"/>
                <w:highlight w:val="none"/>
              </w:rPr>
              <w:t>数量</w:t>
            </w:r>
          </w:p>
        </w:tc>
        <w:tc>
          <w:tcPr>
            <w:tcW w:w="95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highlight w:val="none"/>
              </w:rPr>
            </w:pPr>
            <w:r>
              <w:rPr>
                <w:rStyle w:val="55"/>
                <w:rFonts w:hint="default"/>
                <w:color w:val="auto"/>
                <w:highlight w:val="none"/>
              </w:rPr>
              <w:t>交货期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91" w:type="pct"/>
            <w:tcBorders>
              <w:top w:val="single" w:color="auto" w:sz="4" w:space="0"/>
              <w:left w:val="single" w:color="auto" w:sz="4" w:space="0"/>
              <w:bottom w:val="single" w:color="auto" w:sz="4" w:space="0"/>
              <w:right w:val="single" w:color="auto" w:sz="4" w:space="0"/>
            </w:tcBorders>
            <w:vAlign w:val="center"/>
          </w:tcPr>
          <w:p>
            <w:pPr>
              <w:jc w:val="center"/>
              <w:rPr>
                <w:rStyle w:val="55"/>
                <w:rFonts w:hint="default"/>
                <w:color w:val="auto"/>
                <w:highlight w:val="none"/>
              </w:rPr>
            </w:pPr>
          </w:p>
        </w:tc>
        <w:tc>
          <w:tcPr>
            <w:tcW w:w="1430" w:type="pct"/>
            <w:tcBorders>
              <w:top w:val="single" w:color="auto" w:sz="4" w:space="0"/>
              <w:left w:val="single" w:color="auto" w:sz="4" w:space="0"/>
              <w:bottom w:val="single" w:color="auto" w:sz="4" w:space="0"/>
              <w:right w:val="single" w:color="auto" w:sz="4" w:space="0"/>
            </w:tcBorders>
            <w:vAlign w:val="center"/>
          </w:tcPr>
          <w:p>
            <w:pPr>
              <w:jc w:val="center"/>
              <w:rPr>
                <w:rStyle w:val="55"/>
                <w:rFonts w:hint="default"/>
                <w:color w:val="auto"/>
                <w:highlight w:val="none"/>
              </w:rPr>
            </w:pPr>
          </w:p>
        </w:tc>
        <w:tc>
          <w:tcPr>
            <w:tcW w:w="713" w:type="pct"/>
            <w:tcBorders>
              <w:top w:val="single" w:color="auto" w:sz="4" w:space="0"/>
              <w:left w:val="single" w:color="auto" w:sz="4" w:space="0"/>
              <w:bottom w:val="single" w:color="auto" w:sz="4" w:space="0"/>
              <w:right w:val="single" w:color="auto" w:sz="4" w:space="0"/>
            </w:tcBorders>
            <w:vAlign w:val="center"/>
          </w:tcPr>
          <w:p>
            <w:pPr>
              <w:jc w:val="center"/>
              <w:rPr>
                <w:rStyle w:val="55"/>
                <w:rFonts w:hint="default"/>
                <w:color w:val="auto"/>
                <w:highlight w:val="none"/>
              </w:rPr>
            </w:pPr>
          </w:p>
        </w:tc>
        <w:tc>
          <w:tcPr>
            <w:tcW w:w="713" w:type="pct"/>
            <w:tcBorders>
              <w:top w:val="single" w:color="auto" w:sz="4" w:space="0"/>
              <w:left w:val="single" w:color="auto" w:sz="4" w:space="0"/>
              <w:bottom w:val="single" w:color="auto" w:sz="4" w:space="0"/>
              <w:right w:val="single" w:color="auto" w:sz="4" w:space="0"/>
            </w:tcBorders>
            <w:vAlign w:val="center"/>
          </w:tcPr>
          <w:p>
            <w:pPr>
              <w:jc w:val="center"/>
              <w:rPr>
                <w:rStyle w:val="55"/>
                <w:rFonts w:hint="default"/>
                <w:color w:val="auto"/>
                <w:highlight w:val="none"/>
              </w:rPr>
            </w:pPr>
          </w:p>
        </w:tc>
        <w:tc>
          <w:tcPr>
            <w:tcW w:w="952" w:type="pct"/>
            <w:tcBorders>
              <w:top w:val="single" w:color="auto" w:sz="4" w:space="0"/>
              <w:left w:val="single" w:color="auto" w:sz="4" w:space="0"/>
              <w:bottom w:val="single" w:color="auto" w:sz="4" w:space="0"/>
              <w:right w:val="single" w:color="auto" w:sz="4" w:space="0"/>
            </w:tcBorders>
            <w:vAlign w:val="center"/>
          </w:tcPr>
          <w:p>
            <w:pPr>
              <w:jc w:val="center"/>
              <w:rPr>
                <w:rStyle w:val="55"/>
                <w:rFonts w:hint="default"/>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91" w:type="pct"/>
            <w:tcBorders>
              <w:top w:val="single" w:color="auto" w:sz="4" w:space="0"/>
              <w:left w:val="single" w:color="auto" w:sz="4" w:space="0"/>
              <w:bottom w:val="single" w:color="auto" w:sz="4" w:space="0"/>
              <w:right w:val="single" w:color="auto" w:sz="4" w:space="0"/>
            </w:tcBorders>
            <w:vAlign w:val="center"/>
          </w:tcPr>
          <w:p>
            <w:pPr>
              <w:jc w:val="center"/>
              <w:rPr>
                <w:rStyle w:val="55"/>
                <w:rFonts w:hint="default"/>
                <w:color w:val="auto"/>
                <w:highlight w:val="none"/>
              </w:rPr>
            </w:pPr>
          </w:p>
        </w:tc>
        <w:tc>
          <w:tcPr>
            <w:tcW w:w="1430" w:type="pct"/>
            <w:tcBorders>
              <w:top w:val="single" w:color="auto" w:sz="4" w:space="0"/>
              <w:left w:val="single" w:color="auto" w:sz="4" w:space="0"/>
              <w:bottom w:val="single" w:color="auto" w:sz="4" w:space="0"/>
              <w:right w:val="single" w:color="auto" w:sz="4" w:space="0"/>
            </w:tcBorders>
            <w:vAlign w:val="center"/>
          </w:tcPr>
          <w:p>
            <w:pPr>
              <w:jc w:val="center"/>
              <w:rPr>
                <w:rStyle w:val="55"/>
                <w:rFonts w:hint="default"/>
                <w:color w:val="auto"/>
                <w:highlight w:val="none"/>
              </w:rPr>
            </w:pPr>
          </w:p>
        </w:tc>
        <w:tc>
          <w:tcPr>
            <w:tcW w:w="713" w:type="pct"/>
            <w:tcBorders>
              <w:top w:val="single" w:color="auto" w:sz="4" w:space="0"/>
              <w:left w:val="single" w:color="auto" w:sz="4" w:space="0"/>
              <w:bottom w:val="single" w:color="auto" w:sz="4" w:space="0"/>
              <w:right w:val="single" w:color="auto" w:sz="4" w:space="0"/>
            </w:tcBorders>
            <w:vAlign w:val="center"/>
          </w:tcPr>
          <w:p>
            <w:pPr>
              <w:jc w:val="center"/>
              <w:rPr>
                <w:rStyle w:val="55"/>
                <w:rFonts w:hint="default"/>
                <w:color w:val="auto"/>
                <w:highlight w:val="none"/>
              </w:rPr>
            </w:pPr>
          </w:p>
        </w:tc>
        <w:tc>
          <w:tcPr>
            <w:tcW w:w="713" w:type="pct"/>
            <w:tcBorders>
              <w:top w:val="single" w:color="auto" w:sz="4" w:space="0"/>
              <w:left w:val="single" w:color="auto" w:sz="4" w:space="0"/>
              <w:bottom w:val="single" w:color="auto" w:sz="4" w:space="0"/>
              <w:right w:val="single" w:color="auto" w:sz="4" w:space="0"/>
            </w:tcBorders>
            <w:vAlign w:val="center"/>
          </w:tcPr>
          <w:p>
            <w:pPr>
              <w:jc w:val="center"/>
              <w:rPr>
                <w:rStyle w:val="55"/>
                <w:rFonts w:hint="default"/>
                <w:color w:val="auto"/>
                <w:highlight w:val="none"/>
              </w:rPr>
            </w:pPr>
          </w:p>
        </w:tc>
        <w:tc>
          <w:tcPr>
            <w:tcW w:w="952" w:type="pct"/>
            <w:tcBorders>
              <w:top w:val="single" w:color="auto" w:sz="4" w:space="0"/>
              <w:left w:val="single" w:color="auto" w:sz="4" w:space="0"/>
              <w:bottom w:val="single" w:color="auto" w:sz="4" w:space="0"/>
              <w:right w:val="single" w:color="auto" w:sz="4" w:space="0"/>
            </w:tcBorders>
            <w:vAlign w:val="center"/>
          </w:tcPr>
          <w:p>
            <w:pPr>
              <w:jc w:val="center"/>
              <w:rPr>
                <w:rStyle w:val="55"/>
                <w:rFonts w:hint="default"/>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91" w:type="pct"/>
            <w:tcBorders>
              <w:top w:val="single" w:color="auto" w:sz="4" w:space="0"/>
              <w:left w:val="single" w:color="auto" w:sz="4" w:space="0"/>
              <w:bottom w:val="single" w:color="auto" w:sz="4" w:space="0"/>
              <w:right w:val="single" w:color="auto" w:sz="4" w:space="0"/>
            </w:tcBorders>
            <w:vAlign w:val="center"/>
          </w:tcPr>
          <w:p>
            <w:pPr>
              <w:jc w:val="center"/>
              <w:rPr>
                <w:rStyle w:val="55"/>
                <w:rFonts w:hint="default"/>
                <w:color w:val="auto"/>
                <w:highlight w:val="none"/>
              </w:rPr>
            </w:pPr>
          </w:p>
        </w:tc>
        <w:tc>
          <w:tcPr>
            <w:tcW w:w="1430" w:type="pct"/>
            <w:tcBorders>
              <w:top w:val="single" w:color="auto" w:sz="4" w:space="0"/>
              <w:left w:val="single" w:color="auto" w:sz="4" w:space="0"/>
              <w:bottom w:val="single" w:color="auto" w:sz="4" w:space="0"/>
              <w:right w:val="single" w:color="auto" w:sz="4" w:space="0"/>
            </w:tcBorders>
            <w:vAlign w:val="center"/>
          </w:tcPr>
          <w:p>
            <w:pPr>
              <w:jc w:val="center"/>
              <w:rPr>
                <w:rStyle w:val="55"/>
                <w:rFonts w:hint="default"/>
                <w:color w:val="auto"/>
                <w:highlight w:val="none"/>
              </w:rPr>
            </w:pPr>
          </w:p>
        </w:tc>
        <w:tc>
          <w:tcPr>
            <w:tcW w:w="713" w:type="pct"/>
            <w:tcBorders>
              <w:top w:val="single" w:color="auto" w:sz="4" w:space="0"/>
              <w:left w:val="single" w:color="auto" w:sz="4" w:space="0"/>
              <w:bottom w:val="single" w:color="auto" w:sz="4" w:space="0"/>
              <w:right w:val="single" w:color="auto" w:sz="4" w:space="0"/>
            </w:tcBorders>
            <w:vAlign w:val="center"/>
          </w:tcPr>
          <w:p>
            <w:pPr>
              <w:jc w:val="center"/>
              <w:rPr>
                <w:rStyle w:val="55"/>
                <w:rFonts w:hint="default"/>
                <w:color w:val="auto"/>
                <w:highlight w:val="none"/>
              </w:rPr>
            </w:pPr>
          </w:p>
        </w:tc>
        <w:tc>
          <w:tcPr>
            <w:tcW w:w="713" w:type="pct"/>
            <w:tcBorders>
              <w:top w:val="single" w:color="auto" w:sz="4" w:space="0"/>
              <w:left w:val="single" w:color="auto" w:sz="4" w:space="0"/>
              <w:bottom w:val="single" w:color="auto" w:sz="4" w:space="0"/>
              <w:right w:val="single" w:color="auto" w:sz="4" w:space="0"/>
            </w:tcBorders>
            <w:vAlign w:val="center"/>
          </w:tcPr>
          <w:p>
            <w:pPr>
              <w:jc w:val="center"/>
              <w:rPr>
                <w:rStyle w:val="55"/>
                <w:rFonts w:hint="default"/>
                <w:color w:val="auto"/>
                <w:highlight w:val="none"/>
              </w:rPr>
            </w:pPr>
          </w:p>
        </w:tc>
        <w:tc>
          <w:tcPr>
            <w:tcW w:w="952" w:type="pct"/>
            <w:tcBorders>
              <w:top w:val="single" w:color="auto" w:sz="4" w:space="0"/>
              <w:left w:val="single" w:color="auto" w:sz="4" w:space="0"/>
              <w:bottom w:val="single" w:color="auto" w:sz="4" w:space="0"/>
              <w:right w:val="single" w:color="auto" w:sz="4" w:space="0"/>
            </w:tcBorders>
            <w:vAlign w:val="center"/>
          </w:tcPr>
          <w:p>
            <w:pPr>
              <w:jc w:val="center"/>
              <w:rPr>
                <w:rStyle w:val="55"/>
                <w:rFonts w:hint="default"/>
                <w:color w:val="auto"/>
                <w:highlight w:val="none"/>
              </w:rPr>
            </w:pPr>
          </w:p>
        </w:tc>
      </w:tr>
    </w:tbl>
    <w:p>
      <w:pPr>
        <w:spacing w:after="240" w:afterLines="100" w:line="360" w:lineRule="auto"/>
        <w:jc w:val="left"/>
        <w:rPr>
          <w:rFonts w:ascii="宋体" w:hAnsi="宋体" w:eastAsia="宋体" w:cs="宋体"/>
          <w:color w:val="auto"/>
          <w:szCs w:val="21"/>
          <w:highlight w:val="none"/>
        </w:rPr>
      </w:pPr>
    </w:p>
    <w:p>
      <w:pPr>
        <w:spacing w:after="240" w:afterLines="10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供应商全称（加盖公章）：</w:t>
      </w:r>
    </w:p>
    <w:p>
      <w:pPr>
        <w:pStyle w:val="29"/>
        <w:ind w:firstLine="420"/>
        <w:rPr>
          <w:rFonts w:ascii="宋体" w:hAnsi="宋体" w:eastAsia="宋体" w:cs="宋体"/>
          <w:color w:val="auto"/>
          <w:szCs w:val="21"/>
          <w:highlight w:val="none"/>
        </w:rPr>
      </w:pPr>
    </w:p>
    <w:p>
      <w:pPr>
        <w:pStyle w:val="29"/>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pPr>
        <w:spacing w:line="360" w:lineRule="auto"/>
        <w:jc w:val="right"/>
        <w:rPr>
          <w:rFonts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pPr>
        <w:numPr>
          <w:ilvl w:val="0"/>
          <w:numId w:val="6"/>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技术参数响应及偏离表</w:t>
      </w:r>
    </w:p>
    <w:p>
      <w:pPr>
        <w:bidi w:val="0"/>
        <w:rPr>
          <w:color w:val="auto"/>
          <w:highlight w:val="none"/>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473"/>
        <w:gridCol w:w="542"/>
        <w:gridCol w:w="1263"/>
        <w:gridCol w:w="3509"/>
        <w:gridCol w:w="1354"/>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货物（或服务）名称</w:t>
            </w:r>
          </w:p>
        </w:tc>
        <w:tc>
          <w:tcPr>
            <w:tcW w:w="2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谈判文件要求参数</w:t>
            </w:r>
          </w:p>
        </w:tc>
        <w:tc>
          <w:tcPr>
            <w:tcW w:w="18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响应货物（或服务）实际参数（与谈判文件要求一一对应）</w:t>
            </w: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超出、符合或偏离</w:t>
            </w:r>
          </w:p>
        </w:tc>
        <w:tc>
          <w:tcPr>
            <w:tcW w:w="2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18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18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18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18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18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18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18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c>
          <w:tcPr>
            <w:tcW w:w="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4680" w:type="pct"/>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eastAsia="宋体" w:cs="宋体"/>
                <w:color w:val="auto"/>
                <w:szCs w:val="21"/>
                <w:highlight w:val="none"/>
              </w:rPr>
            </w:pPr>
          </w:p>
        </w:tc>
      </w:tr>
    </w:tbl>
    <w:p>
      <w:pPr>
        <w:rPr>
          <w:rFonts w:ascii="宋体" w:hAnsi="宋体" w:eastAsia="宋体" w:cs="宋体"/>
          <w:color w:val="auto"/>
          <w:szCs w:val="21"/>
          <w:highlight w:val="none"/>
        </w:rPr>
      </w:pPr>
    </w:p>
    <w:p>
      <w:pPr>
        <w:spacing w:after="240" w:afterLines="10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供应商全称（加盖公章）：</w:t>
      </w:r>
    </w:p>
    <w:p>
      <w:pPr>
        <w:pStyle w:val="29"/>
        <w:ind w:firstLine="420"/>
        <w:rPr>
          <w:rFonts w:ascii="宋体" w:hAnsi="宋体" w:eastAsia="宋体" w:cs="宋体"/>
          <w:color w:val="auto"/>
          <w:szCs w:val="21"/>
          <w:highlight w:val="none"/>
        </w:rPr>
      </w:pPr>
    </w:p>
    <w:p>
      <w:pPr>
        <w:pStyle w:val="29"/>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pPr>
        <w:pStyle w:val="28"/>
        <w:ind w:firstLine="420"/>
        <w:rPr>
          <w:rFonts w:hAnsi="宋体" w:eastAsia="宋体" w:cs="宋体"/>
          <w:color w:val="auto"/>
          <w:szCs w:val="21"/>
          <w:highlight w:val="none"/>
        </w:rPr>
      </w:pPr>
    </w:p>
    <w:p>
      <w:pPr>
        <w:spacing w:after="240" w:afterLines="100"/>
        <w:jc w:val="center"/>
        <w:rPr>
          <w:rFonts w:ascii="宋体" w:hAnsi="宋体" w:eastAsia="宋体" w:cs="宋体"/>
          <w:color w:val="auto"/>
          <w:sz w:val="24"/>
          <w:szCs w:val="24"/>
          <w:highlight w:val="none"/>
        </w:rPr>
      </w:pPr>
      <w:r>
        <w:rPr>
          <w:rFonts w:hint="eastAsia" w:ascii="宋体" w:hAnsi="宋体" w:eastAsia="宋体" w:cs="宋体"/>
          <w:color w:val="auto"/>
          <w:szCs w:val="21"/>
          <w:highlight w:val="none"/>
        </w:rPr>
        <w:t xml:space="preserve">                     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ascii="宋体" w:hAnsi="宋体" w:eastAsia="宋体" w:cs="宋体"/>
          <w:color w:val="auto"/>
          <w:kern w:val="0"/>
          <w:szCs w:val="21"/>
          <w:highlight w:val="none"/>
        </w:rPr>
      </w:pPr>
    </w:p>
    <w:p>
      <w:pPr>
        <w:rPr>
          <w:rFonts w:ascii="宋体" w:hAnsi="宋体" w:eastAsia="宋体" w:cs="宋体"/>
          <w:color w:val="auto"/>
          <w:szCs w:val="21"/>
          <w:highlight w:val="none"/>
        </w:rPr>
      </w:pP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注：</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1、按照基本技术要求详细填列；</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2、行数不够，可自行添加。</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3、技术偏离表应针对项目需求逐条应答。</w:t>
      </w:r>
    </w:p>
    <w:p>
      <w:pPr>
        <w:rPr>
          <w:rFonts w:ascii="宋体" w:hAnsi="宋体" w:eastAsia="宋体" w:cs="宋体"/>
          <w:color w:val="auto"/>
          <w:szCs w:val="21"/>
          <w:highlight w:val="none"/>
        </w:rPr>
      </w:pPr>
    </w:p>
    <w:p>
      <w:pPr>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pPr>
        <w:jc w:val="center"/>
        <w:rPr>
          <w:rFonts w:ascii="宋体" w:hAnsi="宋体" w:eastAsia="宋体" w:cs="宋体"/>
          <w:b/>
          <w:color w:val="auto"/>
          <w:sz w:val="24"/>
          <w:szCs w:val="24"/>
          <w:highlight w:val="none"/>
        </w:rPr>
      </w:pPr>
    </w:p>
    <w:p>
      <w:pPr>
        <w:jc w:val="center"/>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、商务条款响应及偏离表</w:t>
      </w:r>
    </w:p>
    <w:p>
      <w:pPr>
        <w:pStyle w:val="29"/>
        <w:ind w:firstLine="420"/>
        <w:rPr>
          <w:rFonts w:ascii="宋体" w:hAnsi="宋体" w:eastAsia="宋体" w:cs="宋体"/>
          <w:color w:val="auto"/>
          <w:szCs w:val="21"/>
          <w:highlight w:val="none"/>
        </w:rPr>
      </w:pPr>
    </w:p>
    <w:tbl>
      <w:tblPr>
        <w:tblStyle w:val="22"/>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3"/>
        <w:gridCol w:w="2209"/>
        <w:gridCol w:w="2733"/>
        <w:gridCol w:w="1081"/>
        <w:gridCol w:w="25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14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响应要求</w:t>
            </w: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136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1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质保期</w:t>
            </w:r>
          </w:p>
        </w:tc>
        <w:tc>
          <w:tcPr>
            <w:tcW w:w="14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36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1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售后技术服务要求</w:t>
            </w:r>
          </w:p>
        </w:tc>
        <w:tc>
          <w:tcPr>
            <w:tcW w:w="14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36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1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交付时间</w:t>
            </w:r>
          </w:p>
        </w:tc>
        <w:tc>
          <w:tcPr>
            <w:tcW w:w="14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合同签订后     天内</w:t>
            </w: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36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1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交付方式</w:t>
            </w:r>
          </w:p>
        </w:tc>
        <w:tc>
          <w:tcPr>
            <w:tcW w:w="14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p>
            <w:pPr>
              <w:jc w:val="center"/>
              <w:rPr>
                <w:rFonts w:ascii="宋体" w:hAnsi="宋体" w:eastAsia="宋体" w:cs="宋体"/>
                <w:color w:val="auto"/>
                <w:szCs w:val="21"/>
                <w:highlight w:val="none"/>
              </w:rPr>
            </w:pP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36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1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交付地点</w:t>
            </w:r>
          </w:p>
        </w:tc>
        <w:tc>
          <w:tcPr>
            <w:tcW w:w="14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p>
            <w:pPr>
              <w:jc w:val="center"/>
              <w:rPr>
                <w:rFonts w:ascii="宋体" w:hAnsi="宋体" w:eastAsia="宋体" w:cs="宋体"/>
                <w:color w:val="auto"/>
                <w:szCs w:val="21"/>
                <w:highlight w:val="none"/>
              </w:rPr>
            </w:pP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36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1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14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36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1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投标货币</w:t>
            </w:r>
          </w:p>
        </w:tc>
        <w:tc>
          <w:tcPr>
            <w:tcW w:w="14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p>
            <w:pPr>
              <w:jc w:val="center"/>
              <w:rPr>
                <w:rFonts w:ascii="宋体" w:hAnsi="宋体" w:eastAsia="宋体" w:cs="宋体"/>
                <w:color w:val="auto"/>
                <w:szCs w:val="21"/>
                <w:highlight w:val="none"/>
              </w:rPr>
            </w:pP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36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1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备品备件及耗材等要求</w:t>
            </w:r>
          </w:p>
        </w:tc>
        <w:tc>
          <w:tcPr>
            <w:tcW w:w="14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36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1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14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36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bl>
    <w:p>
      <w:pPr>
        <w:rPr>
          <w:rFonts w:ascii="宋体" w:hAnsi="宋体" w:eastAsia="宋体" w:cs="宋体"/>
          <w:color w:val="auto"/>
          <w:szCs w:val="21"/>
          <w:highlight w:val="none"/>
        </w:rPr>
      </w:pPr>
    </w:p>
    <w:p>
      <w:pPr>
        <w:pStyle w:val="29"/>
        <w:ind w:firstLine="420"/>
        <w:rPr>
          <w:rFonts w:ascii="宋体" w:hAnsi="宋体" w:eastAsia="宋体" w:cs="宋体"/>
          <w:color w:val="auto"/>
          <w:szCs w:val="21"/>
          <w:highlight w:val="none"/>
        </w:rPr>
      </w:pPr>
    </w:p>
    <w:p>
      <w:pPr>
        <w:pStyle w:val="29"/>
        <w:ind w:firstLine="420"/>
        <w:rPr>
          <w:rFonts w:ascii="宋体" w:hAnsi="宋体" w:eastAsia="宋体" w:cs="宋体"/>
          <w:color w:val="auto"/>
          <w:szCs w:val="21"/>
          <w:highlight w:val="none"/>
        </w:rPr>
      </w:pPr>
    </w:p>
    <w:p>
      <w:pPr>
        <w:spacing w:after="240" w:afterLines="10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供应商全称（加盖公章）：</w:t>
      </w:r>
    </w:p>
    <w:p>
      <w:pPr>
        <w:pStyle w:val="29"/>
        <w:ind w:firstLine="420"/>
        <w:rPr>
          <w:rFonts w:ascii="宋体" w:hAnsi="宋体" w:eastAsia="宋体" w:cs="宋体"/>
          <w:color w:val="auto"/>
          <w:szCs w:val="21"/>
          <w:highlight w:val="none"/>
        </w:rPr>
      </w:pPr>
    </w:p>
    <w:p>
      <w:pPr>
        <w:pStyle w:val="29"/>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pPr>
        <w:pStyle w:val="29"/>
        <w:ind w:firstLine="420"/>
        <w:rPr>
          <w:rFonts w:ascii="宋体" w:hAnsi="宋体" w:eastAsia="宋体" w:cs="宋体"/>
          <w:color w:val="auto"/>
          <w:szCs w:val="21"/>
          <w:highlight w:val="none"/>
        </w:rPr>
      </w:pPr>
    </w:p>
    <w:p>
      <w:pPr>
        <w:spacing w:after="240" w:afterLines="100"/>
        <w:jc w:val="center"/>
        <w:rPr>
          <w:rFonts w:ascii="宋体" w:hAnsi="宋体" w:eastAsia="宋体" w:cs="宋体"/>
          <w:color w:val="auto"/>
          <w:sz w:val="24"/>
          <w:szCs w:val="24"/>
          <w:highlight w:val="none"/>
        </w:rPr>
      </w:pPr>
      <w:r>
        <w:rPr>
          <w:rFonts w:hint="eastAsia" w:ascii="宋体" w:hAnsi="宋体" w:eastAsia="宋体" w:cs="宋体"/>
          <w:color w:val="auto"/>
          <w:szCs w:val="21"/>
          <w:highlight w:val="none"/>
        </w:rPr>
        <w:t xml:space="preserve">                             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29"/>
        <w:ind w:firstLine="420"/>
        <w:rPr>
          <w:rFonts w:ascii="宋体" w:hAnsi="宋体" w:eastAsia="宋体" w:cs="宋体"/>
          <w:color w:val="auto"/>
          <w:szCs w:val="21"/>
          <w:highlight w:val="none"/>
        </w:rPr>
      </w:pPr>
    </w:p>
    <w:p>
      <w:pPr>
        <w:pStyle w:val="29"/>
        <w:ind w:firstLine="0" w:firstLineChars="0"/>
        <w:rPr>
          <w:rFonts w:ascii="宋体" w:hAnsi="宋体" w:eastAsia="宋体" w:cs="宋体"/>
          <w:color w:val="auto"/>
          <w:highlight w:val="none"/>
        </w:rPr>
      </w:pPr>
    </w:p>
    <w:p>
      <w:pPr>
        <w:jc w:val="center"/>
        <w:rPr>
          <w:rFonts w:ascii="宋体" w:hAnsi="宋体" w:eastAsia="宋体" w:cs="宋体"/>
          <w:b/>
          <w:color w:val="auto"/>
          <w:sz w:val="24"/>
          <w:szCs w:val="24"/>
          <w:highlight w:val="none"/>
        </w:rPr>
      </w:pPr>
    </w:p>
    <w:p>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w:t>
      </w:r>
    </w:p>
    <w:p>
      <w:pPr>
        <w:spacing w:after="240" w:afterLines="100" w:line="360" w:lineRule="auto"/>
        <w:jc w:val="center"/>
        <w:rPr>
          <w:rFonts w:ascii="宋体" w:hAnsi="宋体" w:eastAsia="宋体" w:cs="宋体"/>
          <w:color w:val="auto"/>
          <w:sz w:val="24"/>
          <w:szCs w:val="24"/>
          <w:highlight w:val="none"/>
        </w:rPr>
        <w:sectPr>
          <w:headerReference r:id="rId4" w:type="first"/>
          <w:footerReference r:id="rId6" w:type="first"/>
          <w:headerReference r:id="rId3" w:type="default"/>
          <w:footerReference r:id="rId5" w:type="default"/>
          <w:pgSz w:w="11906" w:h="16838"/>
          <w:pgMar w:top="1418" w:right="1418" w:bottom="993" w:left="1418" w:header="567" w:footer="715" w:gutter="0"/>
          <w:cols w:space="0" w:num="1"/>
          <w:titlePg/>
          <w:docGrid w:linePitch="312" w:charSpace="0"/>
        </w:sectPr>
      </w:pPr>
      <w:r>
        <w:rPr>
          <w:rFonts w:hint="eastAsia" w:ascii="宋体" w:hAnsi="宋体" w:eastAsia="宋体" w:cs="宋体"/>
          <w:color w:val="auto"/>
          <w:sz w:val="24"/>
          <w:szCs w:val="24"/>
          <w:highlight w:val="none"/>
        </w:rPr>
        <w:t>（招标文件中要求提供的资料及投标供应商认为需要提供的资料）</w:t>
      </w:r>
    </w:p>
    <w:p>
      <w:pPr>
        <w:spacing w:line="360" w:lineRule="auto"/>
        <w:jc w:val="center"/>
        <w:rPr>
          <w:rFonts w:ascii="楷体" w:hAnsi="楷体" w:eastAsia="楷体" w:cs="仿宋"/>
          <w:b/>
          <w:color w:val="auto"/>
          <w:sz w:val="32"/>
          <w:szCs w:val="32"/>
          <w:highlight w:val="none"/>
        </w:rPr>
      </w:pPr>
      <w:r>
        <w:rPr>
          <w:rFonts w:hint="eastAsia" w:ascii="楷体" w:hAnsi="楷体" w:eastAsia="楷体" w:cs="仿宋"/>
          <w:b/>
          <w:color w:val="auto"/>
          <w:sz w:val="32"/>
          <w:szCs w:val="32"/>
          <w:highlight w:val="none"/>
        </w:rPr>
        <w:t>供应商参加投标确认函</w:t>
      </w:r>
    </w:p>
    <w:p>
      <w:pPr>
        <w:spacing w:line="360" w:lineRule="auto"/>
        <w:rPr>
          <w:rFonts w:ascii="楷体" w:hAnsi="楷体" w:eastAsia="楷体" w:cs="仿宋"/>
          <w:color w:val="auto"/>
          <w:sz w:val="30"/>
          <w:szCs w:val="30"/>
          <w:highlight w:val="none"/>
        </w:rPr>
      </w:pPr>
    </w:p>
    <w:p>
      <w:pPr>
        <w:adjustRightInd w:val="0"/>
        <w:snapToGrid w:val="0"/>
        <w:spacing w:line="360" w:lineRule="auto"/>
        <w:ind w:firstLine="600" w:firstLineChars="200"/>
        <w:jc w:val="left"/>
        <w:rPr>
          <w:rFonts w:ascii="楷体" w:hAnsi="楷体" w:eastAsia="楷体" w:cs="仿宋"/>
          <w:color w:val="auto"/>
          <w:sz w:val="30"/>
          <w:szCs w:val="30"/>
          <w:highlight w:val="none"/>
        </w:rPr>
      </w:pPr>
      <w:r>
        <w:rPr>
          <w:rFonts w:hint="eastAsia" w:ascii="楷体" w:hAnsi="楷体" w:eastAsia="楷体" w:cs="仿宋"/>
          <w:color w:val="auto"/>
          <w:sz w:val="30"/>
          <w:szCs w:val="30"/>
          <w:highlight w:val="none"/>
        </w:rPr>
        <w:t>江苏嘉加诚工程投资咨询有限公司：</w:t>
      </w:r>
    </w:p>
    <w:p>
      <w:pPr>
        <w:adjustRightInd w:val="0"/>
        <w:snapToGrid w:val="0"/>
        <w:spacing w:line="360" w:lineRule="auto"/>
        <w:ind w:firstLine="600" w:firstLineChars="200"/>
        <w:jc w:val="left"/>
        <w:rPr>
          <w:rFonts w:ascii="楷体" w:hAnsi="楷体" w:eastAsia="楷体" w:cs="仿宋"/>
          <w:color w:val="auto"/>
          <w:sz w:val="30"/>
          <w:szCs w:val="30"/>
          <w:highlight w:val="none"/>
        </w:rPr>
      </w:pPr>
      <w:r>
        <w:rPr>
          <w:rFonts w:hint="eastAsia" w:ascii="楷体" w:hAnsi="楷体" w:eastAsia="楷体" w:cs="仿宋"/>
          <w:color w:val="auto"/>
          <w:sz w:val="30"/>
          <w:szCs w:val="30"/>
          <w:highlight w:val="none"/>
        </w:rPr>
        <w:t>本单位将参加贵公司于</w:t>
      </w:r>
      <w:r>
        <w:rPr>
          <w:rFonts w:hint="eastAsia" w:ascii="楷体" w:hAnsi="楷体" w:eastAsia="楷体" w:cs="仿宋"/>
          <w:color w:val="auto"/>
          <w:sz w:val="30"/>
          <w:szCs w:val="30"/>
          <w:highlight w:val="none"/>
          <w:u w:val="single"/>
        </w:rPr>
        <w:t xml:space="preserve">    </w:t>
      </w:r>
      <w:r>
        <w:rPr>
          <w:rFonts w:hint="eastAsia" w:ascii="楷体" w:hAnsi="楷体" w:eastAsia="楷体" w:cs="仿宋"/>
          <w:color w:val="auto"/>
          <w:sz w:val="30"/>
          <w:szCs w:val="30"/>
          <w:highlight w:val="none"/>
        </w:rPr>
        <w:t>月</w:t>
      </w:r>
      <w:r>
        <w:rPr>
          <w:rFonts w:hint="eastAsia" w:ascii="楷体" w:hAnsi="楷体" w:eastAsia="楷体" w:cs="仿宋"/>
          <w:color w:val="auto"/>
          <w:sz w:val="30"/>
          <w:szCs w:val="30"/>
          <w:highlight w:val="none"/>
          <w:u w:val="single"/>
        </w:rPr>
        <w:t xml:space="preserve">    </w:t>
      </w:r>
      <w:r>
        <w:rPr>
          <w:rFonts w:hint="eastAsia" w:ascii="楷体" w:hAnsi="楷体" w:eastAsia="楷体" w:cs="仿宋"/>
          <w:color w:val="auto"/>
          <w:sz w:val="30"/>
          <w:szCs w:val="30"/>
          <w:highlight w:val="none"/>
        </w:rPr>
        <w:t>日开标的采购编号为</w:t>
      </w:r>
      <w:r>
        <w:rPr>
          <w:rFonts w:hint="eastAsia" w:ascii="楷体" w:hAnsi="楷体" w:eastAsia="楷体" w:cs="仿宋"/>
          <w:color w:val="auto"/>
          <w:sz w:val="30"/>
          <w:szCs w:val="30"/>
          <w:highlight w:val="none"/>
          <w:u w:val="single"/>
        </w:rPr>
        <w:t xml:space="preserve">      </w:t>
      </w:r>
      <w:r>
        <w:rPr>
          <w:rFonts w:hint="eastAsia" w:ascii="楷体" w:hAnsi="楷体" w:eastAsia="楷体" w:cs="仿宋"/>
          <w:color w:val="auto"/>
          <w:sz w:val="30"/>
          <w:szCs w:val="30"/>
          <w:highlight w:val="none"/>
        </w:rPr>
        <w:t>的</w:t>
      </w:r>
      <w:r>
        <w:rPr>
          <w:rFonts w:hint="eastAsia" w:ascii="楷体" w:hAnsi="楷体" w:eastAsia="楷体" w:cs="仿宋"/>
          <w:color w:val="auto"/>
          <w:sz w:val="30"/>
          <w:szCs w:val="30"/>
          <w:highlight w:val="none"/>
          <w:u w:val="single"/>
        </w:rPr>
        <w:t xml:space="preserve">    </w:t>
      </w:r>
      <w:r>
        <w:rPr>
          <w:rFonts w:hint="eastAsia" w:ascii="楷体" w:hAnsi="楷体" w:eastAsia="楷体" w:cs="仿宋"/>
          <w:color w:val="auto"/>
          <w:sz w:val="30"/>
          <w:szCs w:val="30"/>
          <w:highlight w:val="none"/>
        </w:rPr>
        <w:t>项目的谈判。本单位已在扬州市政府采购网成功下载标书，特发函确认。</w:t>
      </w:r>
    </w:p>
    <w:p>
      <w:pPr>
        <w:spacing w:line="360" w:lineRule="auto"/>
        <w:ind w:left="3900" w:hanging="3900" w:hangingChars="1300"/>
        <w:rPr>
          <w:rFonts w:ascii="楷体" w:hAnsi="楷体" w:eastAsia="楷体" w:cs="仿宋"/>
          <w:color w:val="auto"/>
          <w:sz w:val="30"/>
          <w:szCs w:val="30"/>
          <w:highlight w:val="none"/>
        </w:rPr>
      </w:pPr>
      <w:r>
        <w:rPr>
          <w:rFonts w:hint="eastAsia" w:ascii="楷体" w:hAnsi="楷体" w:eastAsia="楷体" w:cs="仿宋"/>
          <w:color w:val="auto"/>
          <w:sz w:val="30"/>
          <w:szCs w:val="30"/>
          <w:highlight w:val="none"/>
        </w:rPr>
        <w:t xml:space="preserve">　　　　　　          </w:t>
      </w:r>
      <w:r>
        <w:rPr>
          <w:rFonts w:hint="eastAsia" w:ascii="楷体" w:hAnsi="楷体" w:eastAsia="楷体" w:cs="仿宋"/>
          <w:color w:val="auto"/>
          <w:sz w:val="30"/>
          <w:szCs w:val="30"/>
          <w:highlight w:val="none"/>
          <w:u w:val="single"/>
        </w:rPr>
        <w:t xml:space="preserve">  　             </w:t>
      </w:r>
      <w:r>
        <w:rPr>
          <w:rFonts w:hint="eastAsia" w:ascii="楷体" w:hAnsi="楷体" w:eastAsia="楷体" w:cs="仿宋"/>
          <w:color w:val="auto"/>
          <w:sz w:val="30"/>
          <w:szCs w:val="30"/>
          <w:highlight w:val="none"/>
        </w:rPr>
        <w:t>（单位公章）</w:t>
      </w:r>
    </w:p>
    <w:p>
      <w:pPr>
        <w:pBdr>
          <w:bottom w:val="single" w:color="auto" w:sz="6" w:space="1"/>
        </w:pBdr>
        <w:spacing w:line="360" w:lineRule="auto"/>
        <w:ind w:left="4950" w:hanging="4950" w:hangingChars="1650"/>
        <w:rPr>
          <w:rFonts w:ascii="楷体" w:hAnsi="楷体" w:eastAsia="楷体" w:cs="仿宋"/>
          <w:color w:val="auto"/>
          <w:sz w:val="30"/>
          <w:szCs w:val="30"/>
          <w:highlight w:val="none"/>
        </w:rPr>
      </w:pPr>
      <w:r>
        <w:rPr>
          <w:rFonts w:hint="eastAsia" w:ascii="楷体" w:hAnsi="楷体" w:eastAsia="楷体" w:cs="仿宋"/>
          <w:color w:val="auto"/>
          <w:sz w:val="30"/>
          <w:szCs w:val="30"/>
          <w:highlight w:val="none"/>
        </w:rPr>
        <w:t>　　　　　　　　　　　　　    　年　　　月　　　日</w:t>
      </w:r>
    </w:p>
    <w:p>
      <w:pPr>
        <w:spacing w:line="360" w:lineRule="auto"/>
        <w:ind w:left="4950" w:hanging="4950" w:hangingChars="1650"/>
        <w:rPr>
          <w:rFonts w:ascii="楷体" w:hAnsi="楷体" w:eastAsia="楷体" w:cs="仿宋"/>
          <w:color w:val="auto"/>
          <w:sz w:val="30"/>
          <w:szCs w:val="30"/>
          <w:highlight w:val="none"/>
        </w:rPr>
      </w:pPr>
      <w:r>
        <w:rPr>
          <w:rFonts w:hint="eastAsia" w:ascii="楷体" w:hAnsi="楷体" w:eastAsia="楷体" w:cs="仿宋"/>
          <w:color w:val="auto"/>
          <w:sz w:val="30"/>
          <w:szCs w:val="30"/>
          <w:highlight w:val="none"/>
        </w:rPr>
        <w:t>附：</w:t>
      </w:r>
    </w:p>
    <w:p>
      <w:pPr>
        <w:spacing w:line="360" w:lineRule="auto"/>
        <w:ind w:left="5963" w:hanging="5963" w:hangingChars="1650"/>
        <w:jc w:val="center"/>
        <w:rPr>
          <w:rFonts w:ascii="楷体" w:hAnsi="楷体" w:eastAsia="楷体" w:cs="仿宋"/>
          <w:b/>
          <w:color w:val="auto"/>
          <w:sz w:val="36"/>
          <w:szCs w:val="36"/>
          <w:highlight w:val="none"/>
        </w:rPr>
      </w:pPr>
      <w:r>
        <w:rPr>
          <w:rFonts w:hint="eastAsia" w:ascii="楷体" w:hAnsi="楷体" w:eastAsia="楷体" w:cs="仿宋"/>
          <w:b/>
          <w:color w:val="auto"/>
          <w:sz w:val="36"/>
          <w:szCs w:val="36"/>
          <w:highlight w:val="none"/>
        </w:rPr>
        <w:t>供应商联系表</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467"/>
        <w:gridCol w:w="2467"/>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pct"/>
            <w:vAlign w:val="center"/>
          </w:tcPr>
          <w:p>
            <w:pPr>
              <w:spacing w:line="360" w:lineRule="auto"/>
              <w:rPr>
                <w:rFonts w:ascii="楷体" w:hAnsi="楷体" w:eastAsia="楷体" w:cs="仿宋"/>
                <w:color w:val="auto"/>
                <w:sz w:val="28"/>
                <w:szCs w:val="28"/>
                <w:highlight w:val="none"/>
              </w:rPr>
            </w:pPr>
            <w:r>
              <w:rPr>
                <w:rFonts w:hint="eastAsia" w:ascii="楷体" w:hAnsi="楷体" w:eastAsia="楷体" w:cs="仿宋"/>
                <w:color w:val="auto"/>
                <w:sz w:val="28"/>
                <w:szCs w:val="28"/>
                <w:highlight w:val="none"/>
              </w:rPr>
              <w:t>单位名称</w:t>
            </w:r>
          </w:p>
        </w:tc>
        <w:tc>
          <w:tcPr>
            <w:tcW w:w="3818" w:type="pct"/>
            <w:gridSpan w:val="3"/>
            <w:vAlign w:val="center"/>
          </w:tcPr>
          <w:p>
            <w:pPr>
              <w:spacing w:line="360" w:lineRule="auto"/>
              <w:rPr>
                <w:rFonts w:ascii="楷体" w:hAnsi="楷体" w:eastAsia="楷体"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pct"/>
            <w:vAlign w:val="center"/>
          </w:tcPr>
          <w:p>
            <w:pPr>
              <w:spacing w:line="360" w:lineRule="auto"/>
              <w:rPr>
                <w:rFonts w:ascii="楷体" w:hAnsi="楷体" w:eastAsia="楷体" w:cs="仿宋"/>
                <w:color w:val="auto"/>
                <w:sz w:val="28"/>
                <w:szCs w:val="28"/>
                <w:highlight w:val="none"/>
              </w:rPr>
            </w:pPr>
            <w:r>
              <w:rPr>
                <w:rFonts w:hint="eastAsia" w:ascii="楷体" w:hAnsi="楷体" w:eastAsia="楷体" w:cs="仿宋"/>
                <w:color w:val="auto"/>
                <w:sz w:val="28"/>
                <w:szCs w:val="28"/>
                <w:highlight w:val="none"/>
              </w:rPr>
              <w:t>单位地址</w:t>
            </w:r>
          </w:p>
        </w:tc>
        <w:tc>
          <w:tcPr>
            <w:tcW w:w="3818" w:type="pct"/>
            <w:gridSpan w:val="3"/>
            <w:vAlign w:val="center"/>
          </w:tcPr>
          <w:p>
            <w:pPr>
              <w:spacing w:line="360" w:lineRule="auto"/>
              <w:rPr>
                <w:rFonts w:ascii="楷体" w:hAnsi="楷体" w:eastAsia="楷体"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pct"/>
            <w:vAlign w:val="center"/>
          </w:tcPr>
          <w:p>
            <w:pPr>
              <w:spacing w:line="360" w:lineRule="auto"/>
              <w:rPr>
                <w:rFonts w:ascii="楷体" w:hAnsi="楷体" w:eastAsia="楷体" w:cs="仿宋"/>
                <w:color w:val="auto"/>
                <w:sz w:val="28"/>
                <w:szCs w:val="28"/>
                <w:highlight w:val="none"/>
              </w:rPr>
            </w:pPr>
            <w:r>
              <w:rPr>
                <w:rFonts w:hint="eastAsia" w:ascii="楷体" w:hAnsi="楷体" w:eastAsia="楷体" w:cs="仿宋"/>
                <w:color w:val="auto"/>
                <w:sz w:val="28"/>
                <w:szCs w:val="28"/>
                <w:highlight w:val="none"/>
              </w:rPr>
              <w:t>法定代表人</w:t>
            </w:r>
          </w:p>
        </w:tc>
        <w:tc>
          <w:tcPr>
            <w:tcW w:w="1328" w:type="pct"/>
            <w:vAlign w:val="center"/>
          </w:tcPr>
          <w:p>
            <w:pPr>
              <w:spacing w:line="360" w:lineRule="auto"/>
              <w:rPr>
                <w:rFonts w:ascii="楷体" w:hAnsi="楷体" w:eastAsia="楷体" w:cs="仿宋"/>
                <w:color w:val="auto"/>
                <w:sz w:val="28"/>
                <w:szCs w:val="28"/>
                <w:highlight w:val="none"/>
              </w:rPr>
            </w:pPr>
          </w:p>
        </w:tc>
        <w:tc>
          <w:tcPr>
            <w:tcW w:w="1328" w:type="pct"/>
            <w:vAlign w:val="center"/>
          </w:tcPr>
          <w:p>
            <w:pPr>
              <w:spacing w:line="360" w:lineRule="auto"/>
              <w:rPr>
                <w:rFonts w:ascii="楷体" w:hAnsi="楷体" w:eastAsia="楷体" w:cs="仿宋"/>
                <w:color w:val="auto"/>
                <w:sz w:val="28"/>
                <w:szCs w:val="28"/>
                <w:highlight w:val="none"/>
              </w:rPr>
            </w:pPr>
            <w:r>
              <w:rPr>
                <w:rFonts w:hint="eastAsia" w:ascii="楷体" w:hAnsi="楷体" w:eastAsia="楷体" w:cs="仿宋"/>
                <w:color w:val="auto"/>
                <w:sz w:val="28"/>
                <w:szCs w:val="28"/>
                <w:highlight w:val="none"/>
              </w:rPr>
              <w:t>邮    编</w:t>
            </w:r>
          </w:p>
        </w:tc>
        <w:tc>
          <w:tcPr>
            <w:tcW w:w="1161" w:type="pct"/>
            <w:vAlign w:val="center"/>
          </w:tcPr>
          <w:p>
            <w:pPr>
              <w:spacing w:line="360" w:lineRule="auto"/>
              <w:rPr>
                <w:rFonts w:ascii="楷体" w:hAnsi="楷体" w:eastAsia="楷体"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pct"/>
            <w:vAlign w:val="center"/>
          </w:tcPr>
          <w:p>
            <w:pPr>
              <w:spacing w:line="360" w:lineRule="auto"/>
              <w:rPr>
                <w:rFonts w:ascii="楷体" w:hAnsi="楷体" w:eastAsia="楷体" w:cs="仿宋"/>
                <w:color w:val="auto"/>
                <w:sz w:val="28"/>
                <w:szCs w:val="28"/>
                <w:highlight w:val="none"/>
              </w:rPr>
            </w:pPr>
            <w:r>
              <w:rPr>
                <w:rFonts w:hint="eastAsia" w:ascii="楷体" w:hAnsi="楷体" w:eastAsia="楷体" w:cs="仿宋"/>
                <w:color w:val="auto"/>
                <w:sz w:val="28"/>
                <w:szCs w:val="28"/>
                <w:highlight w:val="none"/>
              </w:rPr>
              <w:t>单位电话</w:t>
            </w:r>
          </w:p>
        </w:tc>
        <w:tc>
          <w:tcPr>
            <w:tcW w:w="1328" w:type="pct"/>
            <w:vAlign w:val="center"/>
          </w:tcPr>
          <w:p>
            <w:pPr>
              <w:spacing w:line="360" w:lineRule="auto"/>
              <w:rPr>
                <w:rFonts w:ascii="楷体" w:hAnsi="楷体" w:eastAsia="楷体" w:cs="仿宋"/>
                <w:color w:val="auto"/>
                <w:sz w:val="28"/>
                <w:szCs w:val="28"/>
                <w:highlight w:val="none"/>
              </w:rPr>
            </w:pPr>
          </w:p>
        </w:tc>
        <w:tc>
          <w:tcPr>
            <w:tcW w:w="1328" w:type="pct"/>
            <w:vAlign w:val="center"/>
          </w:tcPr>
          <w:p>
            <w:pPr>
              <w:spacing w:line="360" w:lineRule="auto"/>
              <w:rPr>
                <w:rFonts w:ascii="楷体" w:hAnsi="楷体" w:eastAsia="楷体" w:cs="仿宋"/>
                <w:color w:val="auto"/>
                <w:sz w:val="28"/>
                <w:szCs w:val="28"/>
                <w:highlight w:val="none"/>
              </w:rPr>
            </w:pPr>
            <w:r>
              <w:rPr>
                <w:rFonts w:hint="eastAsia" w:ascii="楷体" w:hAnsi="楷体" w:eastAsia="楷体" w:cs="仿宋"/>
                <w:color w:val="auto"/>
                <w:sz w:val="28"/>
                <w:szCs w:val="28"/>
                <w:highlight w:val="none"/>
              </w:rPr>
              <w:t>传真号码</w:t>
            </w:r>
          </w:p>
        </w:tc>
        <w:tc>
          <w:tcPr>
            <w:tcW w:w="1161" w:type="pct"/>
            <w:vAlign w:val="center"/>
          </w:tcPr>
          <w:p>
            <w:pPr>
              <w:spacing w:line="360" w:lineRule="auto"/>
              <w:rPr>
                <w:rFonts w:ascii="楷体" w:hAnsi="楷体" w:eastAsia="楷体"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pct"/>
            <w:vAlign w:val="center"/>
          </w:tcPr>
          <w:p>
            <w:pPr>
              <w:spacing w:line="360" w:lineRule="auto"/>
              <w:rPr>
                <w:rFonts w:ascii="楷体" w:hAnsi="楷体" w:eastAsia="楷体" w:cs="仿宋"/>
                <w:color w:val="auto"/>
                <w:sz w:val="28"/>
                <w:szCs w:val="28"/>
                <w:highlight w:val="none"/>
              </w:rPr>
            </w:pPr>
            <w:r>
              <w:rPr>
                <w:rFonts w:hint="eastAsia" w:ascii="楷体" w:hAnsi="楷体" w:eastAsia="楷体" w:cs="仿宋"/>
                <w:color w:val="auto"/>
                <w:sz w:val="28"/>
                <w:szCs w:val="28"/>
                <w:highlight w:val="none"/>
              </w:rPr>
              <w:t>项目联系人</w:t>
            </w:r>
          </w:p>
        </w:tc>
        <w:tc>
          <w:tcPr>
            <w:tcW w:w="3818" w:type="pct"/>
            <w:gridSpan w:val="3"/>
            <w:vAlign w:val="center"/>
          </w:tcPr>
          <w:p>
            <w:pPr>
              <w:spacing w:line="360" w:lineRule="auto"/>
              <w:rPr>
                <w:rFonts w:ascii="楷体" w:hAnsi="楷体" w:eastAsia="楷体"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pct"/>
            <w:vAlign w:val="center"/>
          </w:tcPr>
          <w:p>
            <w:pPr>
              <w:spacing w:line="360" w:lineRule="auto"/>
              <w:rPr>
                <w:rFonts w:ascii="楷体" w:hAnsi="楷体" w:eastAsia="楷体" w:cs="仿宋"/>
                <w:color w:val="auto"/>
                <w:sz w:val="28"/>
                <w:szCs w:val="28"/>
                <w:highlight w:val="none"/>
              </w:rPr>
            </w:pPr>
            <w:r>
              <w:rPr>
                <w:rFonts w:hint="eastAsia" w:ascii="楷体" w:hAnsi="楷体" w:eastAsia="楷体" w:cs="仿宋"/>
                <w:color w:val="auto"/>
                <w:sz w:val="28"/>
                <w:szCs w:val="28"/>
                <w:highlight w:val="none"/>
              </w:rPr>
              <w:t>联系人电话</w:t>
            </w:r>
          </w:p>
        </w:tc>
        <w:tc>
          <w:tcPr>
            <w:tcW w:w="1328" w:type="pct"/>
            <w:vAlign w:val="center"/>
          </w:tcPr>
          <w:p>
            <w:pPr>
              <w:spacing w:line="360" w:lineRule="auto"/>
              <w:rPr>
                <w:rFonts w:ascii="楷体" w:hAnsi="楷体" w:eastAsia="楷体" w:cs="仿宋"/>
                <w:color w:val="auto"/>
                <w:sz w:val="28"/>
                <w:szCs w:val="28"/>
                <w:highlight w:val="none"/>
              </w:rPr>
            </w:pPr>
          </w:p>
        </w:tc>
        <w:tc>
          <w:tcPr>
            <w:tcW w:w="1328" w:type="pct"/>
            <w:vAlign w:val="center"/>
          </w:tcPr>
          <w:p>
            <w:pPr>
              <w:spacing w:line="360" w:lineRule="auto"/>
              <w:rPr>
                <w:rFonts w:ascii="楷体" w:hAnsi="楷体" w:eastAsia="楷体" w:cs="仿宋"/>
                <w:color w:val="auto"/>
                <w:sz w:val="28"/>
                <w:szCs w:val="28"/>
                <w:highlight w:val="none"/>
              </w:rPr>
            </w:pPr>
            <w:r>
              <w:rPr>
                <w:rFonts w:hint="eastAsia" w:ascii="楷体" w:hAnsi="楷体" w:eastAsia="楷体" w:cs="仿宋"/>
                <w:color w:val="auto"/>
                <w:sz w:val="28"/>
                <w:szCs w:val="28"/>
                <w:highlight w:val="none"/>
              </w:rPr>
              <w:t>联系人手机</w:t>
            </w:r>
          </w:p>
        </w:tc>
        <w:tc>
          <w:tcPr>
            <w:tcW w:w="1161" w:type="pct"/>
            <w:vAlign w:val="center"/>
          </w:tcPr>
          <w:p>
            <w:pPr>
              <w:spacing w:line="360" w:lineRule="auto"/>
              <w:rPr>
                <w:rFonts w:ascii="楷体" w:hAnsi="楷体" w:eastAsia="楷体"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1" w:type="pct"/>
            <w:vAlign w:val="center"/>
          </w:tcPr>
          <w:p>
            <w:pPr>
              <w:spacing w:line="360" w:lineRule="auto"/>
              <w:rPr>
                <w:rFonts w:ascii="楷体" w:hAnsi="楷体" w:eastAsia="楷体" w:cs="仿宋"/>
                <w:color w:val="auto"/>
                <w:sz w:val="28"/>
                <w:szCs w:val="28"/>
                <w:highlight w:val="none"/>
              </w:rPr>
            </w:pPr>
            <w:r>
              <w:rPr>
                <w:rFonts w:hint="eastAsia" w:ascii="楷体" w:hAnsi="楷体" w:eastAsia="楷体" w:cs="仿宋"/>
                <w:color w:val="auto"/>
                <w:sz w:val="28"/>
                <w:szCs w:val="28"/>
                <w:highlight w:val="none"/>
              </w:rPr>
              <w:t>所投项目名称</w:t>
            </w:r>
          </w:p>
        </w:tc>
        <w:tc>
          <w:tcPr>
            <w:tcW w:w="3818" w:type="pct"/>
            <w:gridSpan w:val="3"/>
            <w:vAlign w:val="center"/>
          </w:tcPr>
          <w:p>
            <w:pPr>
              <w:spacing w:line="360" w:lineRule="auto"/>
              <w:rPr>
                <w:rFonts w:ascii="楷体" w:hAnsi="楷体" w:eastAsia="楷体" w:cs="仿宋"/>
                <w:color w:val="auto"/>
                <w:sz w:val="28"/>
                <w:szCs w:val="28"/>
                <w:highlight w:val="none"/>
              </w:rPr>
            </w:pPr>
          </w:p>
        </w:tc>
      </w:tr>
    </w:tbl>
    <w:p>
      <w:pPr>
        <w:spacing w:line="360" w:lineRule="auto"/>
        <w:rPr>
          <w:rFonts w:ascii="仿宋" w:hAnsi="仿宋" w:eastAsia="仿宋" w:cs="仿宋"/>
          <w:b/>
          <w:color w:val="auto"/>
          <w:sz w:val="28"/>
          <w:szCs w:val="28"/>
          <w:highlight w:val="none"/>
        </w:rPr>
      </w:pPr>
    </w:p>
    <w:p>
      <w:pPr>
        <w:spacing w:line="360" w:lineRule="auto"/>
        <w:rPr>
          <w:rFonts w:ascii="楷体" w:hAnsi="楷体" w:eastAsia="楷体" w:cs="仿宋"/>
          <w:color w:val="auto"/>
          <w:sz w:val="28"/>
          <w:szCs w:val="28"/>
          <w:highlight w:val="none"/>
        </w:rPr>
      </w:pPr>
      <w:r>
        <w:rPr>
          <w:rFonts w:hint="eastAsia" w:ascii="楷体" w:hAnsi="楷体" w:eastAsia="楷体" w:cs="仿宋"/>
          <w:color w:val="auto"/>
          <w:sz w:val="28"/>
          <w:szCs w:val="28"/>
          <w:highlight w:val="none"/>
        </w:rPr>
        <w:t>备注：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楷体" w:hAnsi="楷体" w:eastAsia="楷体" w:cs="仿宋"/>
          <w:color w:val="auto"/>
          <w:sz w:val="28"/>
          <w:szCs w:val="28"/>
          <w:highlight w:val="none"/>
        </w:rPr>
      </w:pPr>
      <w:r>
        <w:rPr>
          <w:rFonts w:hint="eastAsia" w:ascii="楷体" w:hAnsi="楷体" w:eastAsia="楷体" w:cs="仿宋"/>
          <w:color w:val="auto"/>
          <w:sz w:val="28"/>
          <w:szCs w:val="28"/>
          <w:highlight w:val="none"/>
        </w:rPr>
        <w:t>1、请准备参与本项目谈判的供应商如实填写（以上信息均为必填内容）后邮件或送至我单位（邮箱：</w:t>
      </w:r>
      <w:r>
        <w:rPr>
          <w:rFonts w:ascii="楷体" w:hAnsi="楷体" w:eastAsia="楷体" w:cs="仿宋"/>
          <w:color w:val="auto"/>
          <w:sz w:val="28"/>
          <w:szCs w:val="28"/>
          <w:highlight w:val="none"/>
        </w:rPr>
        <w:t>419131615@qq.com，联系电话：13921901223</w:t>
      </w:r>
      <w:r>
        <w:rPr>
          <w:rFonts w:hint="eastAsia" w:ascii="楷体" w:hAnsi="楷体" w:eastAsia="楷体"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楷体" w:hAnsi="楷体" w:eastAsia="楷体" w:cs="仿宋"/>
          <w:color w:val="auto"/>
          <w:sz w:val="28"/>
          <w:szCs w:val="28"/>
          <w:highlight w:val="none"/>
        </w:rPr>
      </w:pPr>
      <w:r>
        <w:rPr>
          <w:rFonts w:hint="eastAsia" w:ascii="楷体" w:hAnsi="楷体" w:eastAsia="楷体" w:cs="仿宋"/>
          <w:color w:val="auto"/>
          <w:sz w:val="28"/>
          <w:szCs w:val="28"/>
          <w:highlight w:val="none"/>
        </w:rPr>
        <w:t>2、因投标人填写有误，造成以上信息资料的不实将由投标人承担责任。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楷体" w:hAnsi="楷体" w:eastAsia="楷体" w:cs="仿宋"/>
          <w:color w:val="auto"/>
          <w:sz w:val="28"/>
          <w:szCs w:val="28"/>
          <w:highlight w:val="none"/>
        </w:rPr>
      </w:pPr>
      <w:r>
        <w:rPr>
          <w:rFonts w:hint="eastAsia" w:ascii="楷体" w:hAnsi="楷体" w:eastAsia="楷体" w:cs="仿宋"/>
          <w:color w:val="auto"/>
          <w:sz w:val="28"/>
          <w:szCs w:val="28"/>
          <w:highlight w:val="none"/>
        </w:rPr>
        <w:t>3、已确认参加谈判的供应商，故意迟到或无故不参加，影响谈判活动正常进行的，根据《江苏省政府采购信用管理暂行办法》，将被列为一般失信行为。</w:t>
      </w:r>
    </w:p>
    <w:sectPr>
      <w:pgSz w:w="11906" w:h="16838"/>
      <w:pgMar w:top="1417" w:right="1417" w:bottom="992" w:left="1417" w:header="510"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golian Baiti">
    <w:panose1 w:val="03000500000000000000"/>
    <w:charset w:val="00"/>
    <w:family w:val="script"/>
    <w:pitch w:val="default"/>
    <w:sig w:usb0="80000023" w:usb1="00000000" w:usb2="0002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fldChar w:fldCharType="begin"/>
    </w:r>
    <w:r>
      <w:instrText xml:space="preserve"> PAGE  \* MERGEFORMAT </w:instrText>
    </w:r>
    <w:r>
      <w:fldChar w:fldCharType="separate"/>
    </w:r>
    <w:r>
      <w:t>34</w:t>
    </w:r>
    <w:r>
      <w:fldChar w:fldCharType="end"/>
    </w:r>
    <w:r>
      <mc:AlternateContent>
        <mc:Choice Requires="wps">
          <w:drawing>
            <wp:anchor distT="0" distB="0" distL="114300" distR="114300" simplePos="0" relativeHeight="251659264" behindDoc="0" locked="0" layoutInCell="1" allowOverlap="1">
              <wp:simplePos x="0" y="0"/>
              <wp:positionH relativeFrom="margin">
                <wp:posOffset>2795270</wp:posOffset>
              </wp:positionH>
              <wp:positionV relativeFrom="paragraph">
                <wp:posOffset>285750</wp:posOffset>
              </wp:positionV>
              <wp:extent cx="114935" cy="180340"/>
              <wp:effectExtent l="0" t="0" r="18415" b="10160"/>
              <wp:wrapNone/>
              <wp:docPr id="26" name="文本框 23"/>
              <wp:cNvGraphicFramePr/>
              <a:graphic xmlns:a="http://schemas.openxmlformats.org/drawingml/2006/main">
                <a:graphicData uri="http://schemas.microsoft.com/office/word/2010/wordprocessingShape">
                  <wps:wsp>
                    <wps:cNvSpPr txBox="1"/>
                    <wps:spPr>
                      <a:xfrm>
                        <a:off x="0" y="0"/>
                        <a:ext cx="114935" cy="180340"/>
                      </a:xfrm>
                      <a:prstGeom prst="rect">
                        <a:avLst/>
                      </a:prstGeom>
                      <a:noFill/>
                      <a:ln>
                        <a:noFill/>
                      </a:ln>
                    </wps:spPr>
                    <wps:txbx>
                      <w:txbxContent>
                        <w:p/>
                      </w:txbxContent>
                    </wps:txbx>
                    <wps:bodyPr wrap="none" lIns="0" tIns="0" rIns="0" bIns="0">
                      <a:spAutoFit/>
                    </wps:bodyPr>
                  </wps:wsp>
                </a:graphicData>
              </a:graphic>
            </wp:anchor>
          </w:drawing>
        </mc:Choice>
        <mc:Fallback>
          <w:pict>
            <v:shape id="文本框 23" o:spid="_x0000_s1026" o:spt="202" type="#_x0000_t202" style="position:absolute;left:0pt;margin-left:220.1pt;margin-top:22.5pt;height:14.2pt;width:9.05pt;mso-position-horizontal-relative:margin;mso-wrap-style:none;z-index:251659264;mso-width-relative:page;mso-height-relative:page;" filled="f" stroked="f" coordsize="21600,21600" o:gfxdata="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6JNO/VAAAACQEAAA8AAAAAAAAAAQAgAAAAIgAAAGRycy9kb3du&#10;cmV2LnhtbFBLAQIUABQAAAAIAIdO4kA8fIktyQEAAI0DAAAOAAAAAAAAAAEAIAAAACQBAABkcnMv&#10;ZTJvRG9jLnhtbFBLBQYAAAAABgAGAFkBAABf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9250" cy="154940"/>
              <wp:effectExtent l="0" t="0" r="12700" b="16510"/>
              <wp:wrapNone/>
              <wp:docPr id="27" name="文本框 24"/>
              <wp:cNvGraphicFramePr/>
              <a:graphic xmlns:a="http://schemas.openxmlformats.org/drawingml/2006/main">
                <a:graphicData uri="http://schemas.microsoft.com/office/word/2010/wordprocessingShape">
                  <wps:wsp>
                    <wps:cNvSpPr txBox="1"/>
                    <wps:spPr>
                      <a:xfrm>
                        <a:off x="0" y="0"/>
                        <a:ext cx="349250" cy="154940"/>
                      </a:xfrm>
                      <a:prstGeom prst="rect">
                        <a:avLst/>
                      </a:prstGeom>
                      <a:noFill/>
                      <a:ln>
                        <a:noFill/>
                      </a:ln>
                    </wps:spPr>
                    <wps:txbx>
                      <w:txbxContent>
                        <w:p>
                          <w:pPr>
                            <w:pStyle w:val="15"/>
                            <w:ind w:firstLine="360"/>
                          </w:pPr>
                          <w:r>
                            <w:fldChar w:fldCharType="begin"/>
                          </w:r>
                          <w:r>
                            <w:instrText xml:space="preserve"> PAGE  \* MERGEFORMAT </w:instrText>
                          </w:r>
                          <w:r>
                            <w:fldChar w:fldCharType="separate"/>
                          </w:r>
                          <w:r>
                            <w:t>38</w:t>
                          </w:r>
                          <w:r>
                            <w:fldChar w:fldCharType="end"/>
                          </w:r>
                        </w:p>
                      </w:txbxContent>
                    </wps:txbx>
                    <wps:bodyPr wrap="none" lIns="0" tIns="0" rIns="0" bIns="0">
                      <a:spAutoFit/>
                    </wps:bodyPr>
                  </wps:wsp>
                </a:graphicData>
              </a:graphic>
            </wp:anchor>
          </w:drawing>
        </mc:Choice>
        <mc:Fallback>
          <w:pict>
            <v:shape id="文本框 24" o:spid="_x0000_s1026" o:spt="202" type="#_x0000_t202" style="position:absolute;left:0pt;margin-top:0pt;height:12.2pt;width:27.5pt;mso-position-horizontal:center;mso-position-horizontal-relative:margin;mso-wrap-style:none;z-index:251660288;mso-width-relative:page;mso-height-relative:page;" filled="f" stroked="f" coordsize="21600,21600" o:gfxdata="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hDql9EAAAADAQAADwAAAAAAAAABACAAAAAiAAAAZHJzL2Rvd25yZXYu&#10;eG1sUEsBAhQAFAAAAAgAh07iQDsIDtPJAQAAjQMAAA4AAAAAAAAAAQAgAAAAIAEAAGRycy9lMm9E&#10;b2MueG1sUEsFBgAAAAAGAAYAWQEAAFsFAAAAAA==&#10;">
              <v:fill on="f" focussize="0,0"/>
              <v:stroke on="f"/>
              <v:imagedata o:title=""/>
              <o:lock v:ext="edit" aspectratio="f"/>
              <v:textbox inset="0mm,0mm,0mm,0mm" style="mso-fit-shape-to-text:t;">
                <w:txbxContent>
                  <w:p>
                    <w:pPr>
                      <w:pStyle w:val="15"/>
                      <w:ind w:firstLine="36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eastAsia="宋体"/>
        <w:sz w:val="21"/>
        <w:szCs w:val="21"/>
      </w:rPr>
      <w:t>JSJJC-YZ-CG-2022001 号                                  江苏嘉加诚工程投资咨询有限公司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sz w:val="21"/>
        <w:szCs w:val="21"/>
      </w:rPr>
    </w:pPr>
  </w:p>
  <w:p>
    <w:pPr>
      <w:pStyle w:val="16"/>
      <w:rPr>
        <w:rFonts w:ascii="宋体" w:hAnsi="宋体" w:eastAsia="宋体"/>
      </w:rPr>
    </w:pPr>
    <w:r>
      <w:rPr>
        <w:rFonts w:hint="eastAsia" w:ascii="宋体" w:hAnsi="宋体" w:eastAsia="宋体"/>
        <w:sz w:val="21"/>
        <w:szCs w:val="21"/>
      </w:rPr>
      <w:t>JSJJC-YZ-CG-2022001 号                                  江苏嘉加诚工程投资咨询有限公司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9C60E"/>
    <w:multiLevelType w:val="singleLevel"/>
    <w:tmpl w:val="9BF9C60E"/>
    <w:lvl w:ilvl="0" w:tentative="0">
      <w:start w:val="1"/>
      <w:numFmt w:val="decimal"/>
      <w:suff w:val="nothing"/>
      <w:lvlText w:val="%1、"/>
      <w:lvlJc w:val="left"/>
    </w:lvl>
  </w:abstractNum>
  <w:abstractNum w:abstractNumId="1">
    <w:nsid w:val="BAC361EA"/>
    <w:multiLevelType w:val="singleLevel"/>
    <w:tmpl w:val="BAC361EA"/>
    <w:lvl w:ilvl="0" w:tentative="0">
      <w:start w:val="3"/>
      <w:numFmt w:val="chineseCounting"/>
      <w:suff w:val="space"/>
      <w:lvlText w:val="第%1章"/>
      <w:lvlJc w:val="left"/>
      <w:rPr>
        <w:rFonts w:hint="eastAsia"/>
      </w:rPr>
    </w:lvl>
  </w:abstractNum>
  <w:abstractNum w:abstractNumId="2">
    <w:nsid w:val="DE6BF511"/>
    <w:multiLevelType w:val="singleLevel"/>
    <w:tmpl w:val="DE6BF511"/>
    <w:lvl w:ilvl="0" w:tentative="0">
      <w:start w:val="6"/>
      <w:numFmt w:val="chineseCounting"/>
      <w:suff w:val="nothing"/>
      <w:lvlText w:val="%1、"/>
      <w:lvlJc w:val="left"/>
      <w:rPr>
        <w:rFonts w:hint="eastAsia"/>
      </w:rPr>
    </w:lvl>
  </w:abstractNum>
  <w:abstractNum w:abstractNumId="3">
    <w:nsid w:val="E361B703"/>
    <w:multiLevelType w:val="singleLevel"/>
    <w:tmpl w:val="E361B703"/>
    <w:lvl w:ilvl="0" w:tentative="0">
      <w:start w:val="1"/>
      <w:numFmt w:val="decimal"/>
      <w:lvlText w:val="%1."/>
      <w:lvlJc w:val="left"/>
      <w:pPr>
        <w:tabs>
          <w:tab w:val="left" w:pos="312"/>
        </w:tabs>
      </w:pPr>
    </w:lvl>
  </w:abstractNum>
  <w:abstractNum w:abstractNumId="4">
    <w:nsid w:val="35FAA7BE"/>
    <w:multiLevelType w:val="singleLevel"/>
    <w:tmpl w:val="35FAA7BE"/>
    <w:lvl w:ilvl="0" w:tentative="0">
      <w:start w:val="1"/>
      <w:numFmt w:val="decimal"/>
      <w:suff w:val="nothing"/>
      <w:lvlText w:val="%1、"/>
      <w:lvlJc w:val="left"/>
    </w:lvl>
  </w:abstractNum>
  <w:abstractNum w:abstractNumId="5">
    <w:nsid w:val="5837E667"/>
    <w:multiLevelType w:val="singleLevel"/>
    <w:tmpl w:val="5837E667"/>
    <w:lvl w:ilvl="0" w:tentative="0">
      <w:start w:val="1"/>
      <w:numFmt w:val="chineseCounting"/>
      <w:suff w:val="nothing"/>
      <w:lvlText w:val="%1、"/>
      <w:lvlJc w:val="left"/>
      <w:rPr>
        <w:rFonts w:hint="eastAsia"/>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656"/>
    <w:rsid w:val="00012460"/>
    <w:rsid w:val="000131FB"/>
    <w:rsid w:val="00015759"/>
    <w:rsid w:val="00022FEB"/>
    <w:rsid w:val="00040DCD"/>
    <w:rsid w:val="00046367"/>
    <w:rsid w:val="0006764F"/>
    <w:rsid w:val="000706D6"/>
    <w:rsid w:val="00075BB4"/>
    <w:rsid w:val="00095127"/>
    <w:rsid w:val="000D4D40"/>
    <w:rsid w:val="000E0CEA"/>
    <w:rsid w:val="001028DD"/>
    <w:rsid w:val="0012075E"/>
    <w:rsid w:val="00144A30"/>
    <w:rsid w:val="00156CC0"/>
    <w:rsid w:val="00172019"/>
    <w:rsid w:val="00191ECE"/>
    <w:rsid w:val="00194374"/>
    <w:rsid w:val="001A5B27"/>
    <w:rsid w:val="001C31A5"/>
    <w:rsid w:val="001C5C2A"/>
    <w:rsid w:val="001D7FDA"/>
    <w:rsid w:val="001E7FA8"/>
    <w:rsid w:val="001F5679"/>
    <w:rsid w:val="001F7CA7"/>
    <w:rsid w:val="0021470E"/>
    <w:rsid w:val="00215043"/>
    <w:rsid w:val="0022629D"/>
    <w:rsid w:val="0024401A"/>
    <w:rsid w:val="00252FF7"/>
    <w:rsid w:val="0026392F"/>
    <w:rsid w:val="0028384E"/>
    <w:rsid w:val="002930C2"/>
    <w:rsid w:val="002A38C3"/>
    <w:rsid w:val="002B3B46"/>
    <w:rsid w:val="002C6094"/>
    <w:rsid w:val="002D047D"/>
    <w:rsid w:val="002E1059"/>
    <w:rsid w:val="002E470B"/>
    <w:rsid w:val="002F04F6"/>
    <w:rsid w:val="002F355A"/>
    <w:rsid w:val="003126DB"/>
    <w:rsid w:val="00320AD8"/>
    <w:rsid w:val="003422AC"/>
    <w:rsid w:val="00343B8B"/>
    <w:rsid w:val="00344DC3"/>
    <w:rsid w:val="003471F1"/>
    <w:rsid w:val="00353886"/>
    <w:rsid w:val="00354ACA"/>
    <w:rsid w:val="00356185"/>
    <w:rsid w:val="003574A0"/>
    <w:rsid w:val="00370CD6"/>
    <w:rsid w:val="00372BF8"/>
    <w:rsid w:val="00376D14"/>
    <w:rsid w:val="00377359"/>
    <w:rsid w:val="00393377"/>
    <w:rsid w:val="003B0C70"/>
    <w:rsid w:val="003B7DB4"/>
    <w:rsid w:val="003D3D1D"/>
    <w:rsid w:val="003D5EC9"/>
    <w:rsid w:val="003D749C"/>
    <w:rsid w:val="0041052B"/>
    <w:rsid w:val="00422EC0"/>
    <w:rsid w:val="00430F01"/>
    <w:rsid w:val="00432839"/>
    <w:rsid w:val="004455EE"/>
    <w:rsid w:val="00470FE4"/>
    <w:rsid w:val="00473664"/>
    <w:rsid w:val="004803D7"/>
    <w:rsid w:val="00482B5D"/>
    <w:rsid w:val="004A0F80"/>
    <w:rsid w:val="004A1494"/>
    <w:rsid w:val="004B1597"/>
    <w:rsid w:val="004B5D83"/>
    <w:rsid w:val="004C1F7B"/>
    <w:rsid w:val="004D2996"/>
    <w:rsid w:val="004E1577"/>
    <w:rsid w:val="004E4C56"/>
    <w:rsid w:val="004F0EF8"/>
    <w:rsid w:val="004F2FC5"/>
    <w:rsid w:val="00500E7A"/>
    <w:rsid w:val="00505D03"/>
    <w:rsid w:val="00512CD0"/>
    <w:rsid w:val="00542EDA"/>
    <w:rsid w:val="00564BAB"/>
    <w:rsid w:val="00565794"/>
    <w:rsid w:val="00566098"/>
    <w:rsid w:val="00571CF5"/>
    <w:rsid w:val="005833D2"/>
    <w:rsid w:val="00596AC0"/>
    <w:rsid w:val="005B51CA"/>
    <w:rsid w:val="005B6B0F"/>
    <w:rsid w:val="005D6585"/>
    <w:rsid w:val="005F44C7"/>
    <w:rsid w:val="0060749A"/>
    <w:rsid w:val="00623A6A"/>
    <w:rsid w:val="00642878"/>
    <w:rsid w:val="00646A87"/>
    <w:rsid w:val="00664E55"/>
    <w:rsid w:val="006765D5"/>
    <w:rsid w:val="0068074E"/>
    <w:rsid w:val="00696DD7"/>
    <w:rsid w:val="006A2A7D"/>
    <w:rsid w:val="006B0E33"/>
    <w:rsid w:val="0070569A"/>
    <w:rsid w:val="007103A7"/>
    <w:rsid w:val="007113D0"/>
    <w:rsid w:val="00712AEF"/>
    <w:rsid w:val="00714E53"/>
    <w:rsid w:val="007153A8"/>
    <w:rsid w:val="00715EDA"/>
    <w:rsid w:val="00722095"/>
    <w:rsid w:val="007306C8"/>
    <w:rsid w:val="00732541"/>
    <w:rsid w:val="00732600"/>
    <w:rsid w:val="00736A8F"/>
    <w:rsid w:val="0074088D"/>
    <w:rsid w:val="00751A50"/>
    <w:rsid w:val="00761521"/>
    <w:rsid w:val="007634E5"/>
    <w:rsid w:val="00785656"/>
    <w:rsid w:val="00786254"/>
    <w:rsid w:val="007916A0"/>
    <w:rsid w:val="007A59F1"/>
    <w:rsid w:val="007B1E9D"/>
    <w:rsid w:val="007C1703"/>
    <w:rsid w:val="007C171D"/>
    <w:rsid w:val="007C4F52"/>
    <w:rsid w:val="007E0CA1"/>
    <w:rsid w:val="007F28ED"/>
    <w:rsid w:val="00810870"/>
    <w:rsid w:val="00810E3A"/>
    <w:rsid w:val="00813ECC"/>
    <w:rsid w:val="00834359"/>
    <w:rsid w:val="00841253"/>
    <w:rsid w:val="00861A11"/>
    <w:rsid w:val="00864210"/>
    <w:rsid w:val="00864787"/>
    <w:rsid w:val="00875548"/>
    <w:rsid w:val="0088072F"/>
    <w:rsid w:val="00894EE4"/>
    <w:rsid w:val="00895939"/>
    <w:rsid w:val="008A769C"/>
    <w:rsid w:val="008A79E7"/>
    <w:rsid w:val="008C1250"/>
    <w:rsid w:val="008C277D"/>
    <w:rsid w:val="008C46F5"/>
    <w:rsid w:val="008E2CDB"/>
    <w:rsid w:val="008F16DE"/>
    <w:rsid w:val="00912E54"/>
    <w:rsid w:val="00927998"/>
    <w:rsid w:val="00933741"/>
    <w:rsid w:val="009338FC"/>
    <w:rsid w:val="00942116"/>
    <w:rsid w:val="00956CD9"/>
    <w:rsid w:val="00975EF7"/>
    <w:rsid w:val="009773FC"/>
    <w:rsid w:val="009872E8"/>
    <w:rsid w:val="00994A8F"/>
    <w:rsid w:val="009B23CC"/>
    <w:rsid w:val="009B61CE"/>
    <w:rsid w:val="009C3EF5"/>
    <w:rsid w:val="009C4309"/>
    <w:rsid w:val="009C594E"/>
    <w:rsid w:val="009C6328"/>
    <w:rsid w:val="009D3465"/>
    <w:rsid w:val="009D6A0C"/>
    <w:rsid w:val="00A079ED"/>
    <w:rsid w:val="00A117BA"/>
    <w:rsid w:val="00A13CEA"/>
    <w:rsid w:val="00A15295"/>
    <w:rsid w:val="00A4529D"/>
    <w:rsid w:val="00A51A84"/>
    <w:rsid w:val="00A60CC2"/>
    <w:rsid w:val="00A6188C"/>
    <w:rsid w:val="00A63848"/>
    <w:rsid w:val="00A719D9"/>
    <w:rsid w:val="00A821F4"/>
    <w:rsid w:val="00A836BD"/>
    <w:rsid w:val="00A8678F"/>
    <w:rsid w:val="00A9012C"/>
    <w:rsid w:val="00A925B5"/>
    <w:rsid w:val="00A9325F"/>
    <w:rsid w:val="00AA6337"/>
    <w:rsid w:val="00AB17A1"/>
    <w:rsid w:val="00AC65B2"/>
    <w:rsid w:val="00AD6D4E"/>
    <w:rsid w:val="00AF4016"/>
    <w:rsid w:val="00B00A2B"/>
    <w:rsid w:val="00B3618A"/>
    <w:rsid w:val="00B618C1"/>
    <w:rsid w:val="00B62300"/>
    <w:rsid w:val="00B729C2"/>
    <w:rsid w:val="00BA4D96"/>
    <w:rsid w:val="00BE4960"/>
    <w:rsid w:val="00BE52F8"/>
    <w:rsid w:val="00C07C51"/>
    <w:rsid w:val="00C27DBB"/>
    <w:rsid w:val="00C32C6D"/>
    <w:rsid w:val="00C3623E"/>
    <w:rsid w:val="00C441AB"/>
    <w:rsid w:val="00C502C0"/>
    <w:rsid w:val="00C6025A"/>
    <w:rsid w:val="00C62887"/>
    <w:rsid w:val="00C65674"/>
    <w:rsid w:val="00C769BF"/>
    <w:rsid w:val="00C76C67"/>
    <w:rsid w:val="00C80E34"/>
    <w:rsid w:val="00CB43B3"/>
    <w:rsid w:val="00CC2A57"/>
    <w:rsid w:val="00CC57E9"/>
    <w:rsid w:val="00CC6B65"/>
    <w:rsid w:val="00CD3174"/>
    <w:rsid w:val="00CE0EA1"/>
    <w:rsid w:val="00CF28E6"/>
    <w:rsid w:val="00D014F2"/>
    <w:rsid w:val="00D1309D"/>
    <w:rsid w:val="00D1663A"/>
    <w:rsid w:val="00D25E92"/>
    <w:rsid w:val="00D3373E"/>
    <w:rsid w:val="00D35130"/>
    <w:rsid w:val="00D44189"/>
    <w:rsid w:val="00D506D5"/>
    <w:rsid w:val="00D55453"/>
    <w:rsid w:val="00D624F5"/>
    <w:rsid w:val="00D65E65"/>
    <w:rsid w:val="00D7341D"/>
    <w:rsid w:val="00DB2430"/>
    <w:rsid w:val="00DC2B4A"/>
    <w:rsid w:val="00DC7FCF"/>
    <w:rsid w:val="00DD46C9"/>
    <w:rsid w:val="00DE05EB"/>
    <w:rsid w:val="00DE0B9D"/>
    <w:rsid w:val="00DE1C4E"/>
    <w:rsid w:val="00E24ECB"/>
    <w:rsid w:val="00E42BED"/>
    <w:rsid w:val="00E434B2"/>
    <w:rsid w:val="00E47D36"/>
    <w:rsid w:val="00E72DF4"/>
    <w:rsid w:val="00E84595"/>
    <w:rsid w:val="00E90D47"/>
    <w:rsid w:val="00EA2716"/>
    <w:rsid w:val="00EB11A5"/>
    <w:rsid w:val="00EB5355"/>
    <w:rsid w:val="00EB6B1D"/>
    <w:rsid w:val="00EB73D5"/>
    <w:rsid w:val="00EE3D6B"/>
    <w:rsid w:val="00F01AD9"/>
    <w:rsid w:val="00F07711"/>
    <w:rsid w:val="00F2601C"/>
    <w:rsid w:val="00F51CE2"/>
    <w:rsid w:val="00F60E70"/>
    <w:rsid w:val="00F723DA"/>
    <w:rsid w:val="00F76020"/>
    <w:rsid w:val="00F94C16"/>
    <w:rsid w:val="00FA49CD"/>
    <w:rsid w:val="00FB3F72"/>
    <w:rsid w:val="00FB4EE2"/>
    <w:rsid w:val="00FD63EA"/>
    <w:rsid w:val="00FF2D63"/>
    <w:rsid w:val="01183112"/>
    <w:rsid w:val="0137469E"/>
    <w:rsid w:val="013B4FCC"/>
    <w:rsid w:val="01570F8C"/>
    <w:rsid w:val="01950836"/>
    <w:rsid w:val="034F6CA3"/>
    <w:rsid w:val="039046CE"/>
    <w:rsid w:val="03AF5A5B"/>
    <w:rsid w:val="03B5316F"/>
    <w:rsid w:val="03FC1F7B"/>
    <w:rsid w:val="043A39E7"/>
    <w:rsid w:val="04830983"/>
    <w:rsid w:val="04D17715"/>
    <w:rsid w:val="050A03FC"/>
    <w:rsid w:val="052A01DC"/>
    <w:rsid w:val="054A15C4"/>
    <w:rsid w:val="05F01E68"/>
    <w:rsid w:val="06D07334"/>
    <w:rsid w:val="06F92ABB"/>
    <w:rsid w:val="0729331B"/>
    <w:rsid w:val="076B10E7"/>
    <w:rsid w:val="07D44EE3"/>
    <w:rsid w:val="080E508C"/>
    <w:rsid w:val="08352306"/>
    <w:rsid w:val="090241F7"/>
    <w:rsid w:val="091B7C51"/>
    <w:rsid w:val="093C07F1"/>
    <w:rsid w:val="09B6147D"/>
    <w:rsid w:val="09CE07D6"/>
    <w:rsid w:val="09E03D5F"/>
    <w:rsid w:val="0A240729"/>
    <w:rsid w:val="0A37097F"/>
    <w:rsid w:val="0A435D4C"/>
    <w:rsid w:val="0A952DE0"/>
    <w:rsid w:val="0AAF1315"/>
    <w:rsid w:val="0ABA034C"/>
    <w:rsid w:val="0ABA4AA0"/>
    <w:rsid w:val="0C262251"/>
    <w:rsid w:val="0C424FDC"/>
    <w:rsid w:val="0D014551"/>
    <w:rsid w:val="0D677034"/>
    <w:rsid w:val="0DFD23BB"/>
    <w:rsid w:val="0EB17690"/>
    <w:rsid w:val="0F081270"/>
    <w:rsid w:val="0F52134B"/>
    <w:rsid w:val="0F6F287E"/>
    <w:rsid w:val="0FCD115D"/>
    <w:rsid w:val="101A6958"/>
    <w:rsid w:val="101B10A4"/>
    <w:rsid w:val="10DD7CCF"/>
    <w:rsid w:val="11134B7F"/>
    <w:rsid w:val="1246394D"/>
    <w:rsid w:val="129426B8"/>
    <w:rsid w:val="13941EDD"/>
    <w:rsid w:val="14493883"/>
    <w:rsid w:val="144E2E22"/>
    <w:rsid w:val="146F3151"/>
    <w:rsid w:val="14B7457C"/>
    <w:rsid w:val="14EB5959"/>
    <w:rsid w:val="15071DB3"/>
    <w:rsid w:val="155C0A42"/>
    <w:rsid w:val="161D456E"/>
    <w:rsid w:val="16A039BD"/>
    <w:rsid w:val="16E93590"/>
    <w:rsid w:val="16F95C02"/>
    <w:rsid w:val="17371A28"/>
    <w:rsid w:val="176968BA"/>
    <w:rsid w:val="178948B5"/>
    <w:rsid w:val="17A50390"/>
    <w:rsid w:val="17C91173"/>
    <w:rsid w:val="182D6854"/>
    <w:rsid w:val="182F302B"/>
    <w:rsid w:val="18532EDA"/>
    <w:rsid w:val="19215CA3"/>
    <w:rsid w:val="19345475"/>
    <w:rsid w:val="19403FB9"/>
    <w:rsid w:val="197537C3"/>
    <w:rsid w:val="198249D7"/>
    <w:rsid w:val="19A743DB"/>
    <w:rsid w:val="1A4C3F97"/>
    <w:rsid w:val="1A8460A0"/>
    <w:rsid w:val="1AAD62E2"/>
    <w:rsid w:val="1AD212C1"/>
    <w:rsid w:val="1B24209B"/>
    <w:rsid w:val="1BA32470"/>
    <w:rsid w:val="1BC84C34"/>
    <w:rsid w:val="1CA7076D"/>
    <w:rsid w:val="1CFA38A4"/>
    <w:rsid w:val="1D110CAB"/>
    <w:rsid w:val="1D2E2D67"/>
    <w:rsid w:val="1DC72A95"/>
    <w:rsid w:val="1E0D4AA8"/>
    <w:rsid w:val="1E716EF5"/>
    <w:rsid w:val="1EB875D4"/>
    <w:rsid w:val="1ED249EB"/>
    <w:rsid w:val="1EEC7B0F"/>
    <w:rsid w:val="1F6844BF"/>
    <w:rsid w:val="1F935A19"/>
    <w:rsid w:val="1FFE5234"/>
    <w:rsid w:val="20144A48"/>
    <w:rsid w:val="204602A8"/>
    <w:rsid w:val="204F48F2"/>
    <w:rsid w:val="210A12B5"/>
    <w:rsid w:val="21A85A76"/>
    <w:rsid w:val="21E3713C"/>
    <w:rsid w:val="21FC1A0C"/>
    <w:rsid w:val="228F77B4"/>
    <w:rsid w:val="22AD7F4D"/>
    <w:rsid w:val="22CE23AD"/>
    <w:rsid w:val="233A0302"/>
    <w:rsid w:val="235F5D45"/>
    <w:rsid w:val="238C6355"/>
    <w:rsid w:val="23D61145"/>
    <w:rsid w:val="247A7F4D"/>
    <w:rsid w:val="24885245"/>
    <w:rsid w:val="24DC47EC"/>
    <w:rsid w:val="2516117B"/>
    <w:rsid w:val="252135EF"/>
    <w:rsid w:val="2536304C"/>
    <w:rsid w:val="254F780B"/>
    <w:rsid w:val="25AF6254"/>
    <w:rsid w:val="260638E1"/>
    <w:rsid w:val="26387A42"/>
    <w:rsid w:val="26B50716"/>
    <w:rsid w:val="26DA297E"/>
    <w:rsid w:val="270C6094"/>
    <w:rsid w:val="277731DD"/>
    <w:rsid w:val="27870754"/>
    <w:rsid w:val="27C2228C"/>
    <w:rsid w:val="27E71D0D"/>
    <w:rsid w:val="290C7599"/>
    <w:rsid w:val="291D6340"/>
    <w:rsid w:val="29212222"/>
    <w:rsid w:val="2A194F1F"/>
    <w:rsid w:val="2A534F1D"/>
    <w:rsid w:val="2A63023F"/>
    <w:rsid w:val="2A693584"/>
    <w:rsid w:val="2A837910"/>
    <w:rsid w:val="2AB27267"/>
    <w:rsid w:val="2ACC4A89"/>
    <w:rsid w:val="2AF9291E"/>
    <w:rsid w:val="2B03056D"/>
    <w:rsid w:val="2BF86FE6"/>
    <w:rsid w:val="2C4275B2"/>
    <w:rsid w:val="2C684258"/>
    <w:rsid w:val="2CAD4CFF"/>
    <w:rsid w:val="2D1A5E26"/>
    <w:rsid w:val="2DD42B9F"/>
    <w:rsid w:val="2E117A18"/>
    <w:rsid w:val="2E362695"/>
    <w:rsid w:val="2E5E32FA"/>
    <w:rsid w:val="2F5572FF"/>
    <w:rsid w:val="2F9452C4"/>
    <w:rsid w:val="2FFE5F09"/>
    <w:rsid w:val="30202C3D"/>
    <w:rsid w:val="30943DBB"/>
    <w:rsid w:val="30EA4425"/>
    <w:rsid w:val="30F7748F"/>
    <w:rsid w:val="314E2DB3"/>
    <w:rsid w:val="31903CED"/>
    <w:rsid w:val="319422C5"/>
    <w:rsid w:val="31C24C7A"/>
    <w:rsid w:val="31C83ECE"/>
    <w:rsid w:val="31CD5338"/>
    <w:rsid w:val="31DD631D"/>
    <w:rsid w:val="32085CC6"/>
    <w:rsid w:val="32C461A8"/>
    <w:rsid w:val="32FD7520"/>
    <w:rsid w:val="33153D6B"/>
    <w:rsid w:val="332A6A05"/>
    <w:rsid w:val="33B63E57"/>
    <w:rsid w:val="340B5C2F"/>
    <w:rsid w:val="3452176C"/>
    <w:rsid w:val="347549CA"/>
    <w:rsid w:val="349067A5"/>
    <w:rsid w:val="34E86FA5"/>
    <w:rsid w:val="35541E7A"/>
    <w:rsid w:val="359131F5"/>
    <w:rsid w:val="35B2566D"/>
    <w:rsid w:val="35C85E55"/>
    <w:rsid w:val="35EA18FD"/>
    <w:rsid w:val="361160AD"/>
    <w:rsid w:val="362C5DE0"/>
    <w:rsid w:val="3676666A"/>
    <w:rsid w:val="3680544F"/>
    <w:rsid w:val="375A5FCE"/>
    <w:rsid w:val="37A61681"/>
    <w:rsid w:val="37DC1B3B"/>
    <w:rsid w:val="381B69B8"/>
    <w:rsid w:val="3835524C"/>
    <w:rsid w:val="38D976FC"/>
    <w:rsid w:val="3924159B"/>
    <w:rsid w:val="39653A8C"/>
    <w:rsid w:val="398C1B44"/>
    <w:rsid w:val="39953921"/>
    <w:rsid w:val="3A965EBB"/>
    <w:rsid w:val="3ABF65BC"/>
    <w:rsid w:val="3B241C7C"/>
    <w:rsid w:val="3B32687B"/>
    <w:rsid w:val="3BA7354C"/>
    <w:rsid w:val="3BDC7256"/>
    <w:rsid w:val="3BDE11F3"/>
    <w:rsid w:val="3CA97C59"/>
    <w:rsid w:val="3D4634A4"/>
    <w:rsid w:val="3D4D6C5A"/>
    <w:rsid w:val="3DE44384"/>
    <w:rsid w:val="3EA65FF6"/>
    <w:rsid w:val="3EB830D7"/>
    <w:rsid w:val="3F177034"/>
    <w:rsid w:val="3F353AA8"/>
    <w:rsid w:val="3F7C6A7D"/>
    <w:rsid w:val="3F9372D9"/>
    <w:rsid w:val="40446ABF"/>
    <w:rsid w:val="40BD100E"/>
    <w:rsid w:val="40FD1711"/>
    <w:rsid w:val="42033F0D"/>
    <w:rsid w:val="424F04AC"/>
    <w:rsid w:val="42727A2F"/>
    <w:rsid w:val="43442B99"/>
    <w:rsid w:val="4449383C"/>
    <w:rsid w:val="44626CF9"/>
    <w:rsid w:val="44666A21"/>
    <w:rsid w:val="4473024C"/>
    <w:rsid w:val="44E36422"/>
    <w:rsid w:val="454F4303"/>
    <w:rsid w:val="45F63E93"/>
    <w:rsid w:val="46AD06BF"/>
    <w:rsid w:val="471E7FE1"/>
    <w:rsid w:val="47411935"/>
    <w:rsid w:val="475161FF"/>
    <w:rsid w:val="47AF3299"/>
    <w:rsid w:val="47F316F4"/>
    <w:rsid w:val="48565C00"/>
    <w:rsid w:val="48807DE6"/>
    <w:rsid w:val="489A79B8"/>
    <w:rsid w:val="48ED337E"/>
    <w:rsid w:val="493912C8"/>
    <w:rsid w:val="49466887"/>
    <w:rsid w:val="49CA19CB"/>
    <w:rsid w:val="4AB177F5"/>
    <w:rsid w:val="4AF9798C"/>
    <w:rsid w:val="4B0469DD"/>
    <w:rsid w:val="4B5B385C"/>
    <w:rsid w:val="4BF0647F"/>
    <w:rsid w:val="4C014B26"/>
    <w:rsid w:val="4C7C23AC"/>
    <w:rsid w:val="4C85109E"/>
    <w:rsid w:val="4C8D4B61"/>
    <w:rsid w:val="4C9F2BB7"/>
    <w:rsid w:val="4CAC7E02"/>
    <w:rsid w:val="4D4F168C"/>
    <w:rsid w:val="4D5744F2"/>
    <w:rsid w:val="4DC33F8C"/>
    <w:rsid w:val="4E1C7FF3"/>
    <w:rsid w:val="4E351E43"/>
    <w:rsid w:val="4E43181E"/>
    <w:rsid w:val="4E6A0627"/>
    <w:rsid w:val="4E8A14B5"/>
    <w:rsid w:val="4E9D7D74"/>
    <w:rsid w:val="4EC9374C"/>
    <w:rsid w:val="4FE43C27"/>
    <w:rsid w:val="501621DD"/>
    <w:rsid w:val="514425AC"/>
    <w:rsid w:val="51DE5641"/>
    <w:rsid w:val="524B4C92"/>
    <w:rsid w:val="528B3F2A"/>
    <w:rsid w:val="52B23AFA"/>
    <w:rsid w:val="52D11D03"/>
    <w:rsid w:val="52E33125"/>
    <w:rsid w:val="53046D3F"/>
    <w:rsid w:val="530B5CB6"/>
    <w:rsid w:val="533D3B8A"/>
    <w:rsid w:val="539B7B80"/>
    <w:rsid w:val="53CD0A67"/>
    <w:rsid w:val="543C0A47"/>
    <w:rsid w:val="544F36E1"/>
    <w:rsid w:val="546A5340"/>
    <w:rsid w:val="549725FE"/>
    <w:rsid w:val="54E424B0"/>
    <w:rsid w:val="55254B4F"/>
    <w:rsid w:val="55692400"/>
    <w:rsid w:val="557E4AED"/>
    <w:rsid w:val="558156E6"/>
    <w:rsid w:val="55A5716A"/>
    <w:rsid w:val="56135BAC"/>
    <w:rsid w:val="56632386"/>
    <w:rsid w:val="566F7A9D"/>
    <w:rsid w:val="56D470CF"/>
    <w:rsid w:val="573A34B2"/>
    <w:rsid w:val="576B1319"/>
    <w:rsid w:val="57BF1964"/>
    <w:rsid w:val="57DC60D0"/>
    <w:rsid w:val="57F61555"/>
    <w:rsid w:val="582A57FB"/>
    <w:rsid w:val="583472CC"/>
    <w:rsid w:val="58630AC2"/>
    <w:rsid w:val="58815CEE"/>
    <w:rsid w:val="59AB6036"/>
    <w:rsid w:val="59AB65D2"/>
    <w:rsid w:val="5A0D39A2"/>
    <w:rsid w:val="5A3970FA"/>
    <w:rsid w:val="5A825215"/>
    <w:rsid w:val="5AB71422"/>
    <w:rsid w:val="5AC97694"/>
    <w:rsid w:val="5AE10CDE"/>
    <w:rsid w:val="5AF70D6B"/>
    <w:rsid w:val="5B153309"/>
    <w:rsid w:val="5B797BA4"/>
    <w:rsid w:val="5B914E60"/>
    <w:rsid w:val="5BFE2A4C"/>
    <w:rsid w:val="5C2A5A3F"/>
    <w:rsid w:val="5C7D45FC"/>
    <w:rsid w:val="5CC70CA1"/>
    <w:rsid w:val="5D0C3A80"/>
    <w:rsid w:val="5EC97E88"/>
    <w:rsid w:val="5F0838DF"/>
    <w:rsid w:val="5F8F4D73"/>
    <w:rsid w:val="5F9A6F2F"/>
    <w:rsid w:val="5FD05B5A"/>
    <w:rsid w:val="6089112B"/>
    <w:rsid w:val="614E200C"/>
    <w:rsid w:val="61761104"/>
    <w:rsid w:val="61CC20A4"/>
    <w:rsid w:val="61D4199B"/>
    <w:rsid w:val="61DA2602"/>
    <w:rsid w:val="6201096B"/>
    <w:rsid w:val="62B06156"/>
    <w:rsid w:val="62B14F2E"/>
    <w:rsid w:val="6374279D"/>
    <w:rsid w:val="6383097F"/>
    <w:rsid w:val="63C35F35"/>
    <w:rsid w:val="63C60C57"/>
    <w:rsid w:val="63F53B6F"/>
    <w:rsid w:val="63F76ACF"/>
    <w:rsid w:val="6419241C"/>
    <w:rsid w:val="6427567C"/>
    <w:rsid w:val="64315EB7"/>
    <w:rsid w:val="64AF7FC3"/>
    <w:rsid w:val="64B42D16"/>
    <w:rsid w:val="658A6755"/>
    <w:rsid w:val="659F4A86"/>
    <w:rsid w:val="65AB0E07"/>
    <w:rsid w:val="65D2327F"/>
    <w:rsid w:val="668B1C42"/>
    <w:rsid w:val="66DC4EC5"/>
    <w:rsid w:val="66E35CE5"/>
    <w:rsid w:val="66E41AC8"/>
    <w:rsid w:val="673F3288"/>
    <w:rsid w:val="685519F9"/>
    <w:rsid w:val="68571EF7"/>
    <w:rsid w:val="68EF7605"/>
    <w:rsid w:val="692C207C"/>
    <w:rsid w:val="69476D57"/>
    <w:rsid w:val="69C0770F"/>
    <w:rsid w:val="6A925EDF"/>
    <w:rsid w:val="6AAD3EEC"/>
    <w:rsid w:val="6AFF36F3"/>
    <w:rsid w:val="6B165372"/>
    <w:rsid w:val="6B8229E9"/>
    <w:rsid w:val="6BD94E54"/>
    <w:rsid w:val="6C5E5817"/>
    <w:rsid w:val="6CB772B8"/>
    <w:rsid w:val="6CF97607"/>
    <w:rsid w:val="6CFC2274"/>
    <w:rsid w:val="6CFC6209"/>
    <w:rsid w:val="6D0D56A0"/>
    <w:rsid w:val="6D987544"/>
    <w:rsid w:val="6E2649B8"/>
    <w:rsid w:val="6E331DEA"/>
    <w:rsid w:val="6E3808C1"/>
    <w:rsid w:val="6E694A7F"/>
    <w:rsid w:val="6E75068F"/>
    <w:rsid w:val="6EF50FC1"/>
    <w:rsid w:val="6F0D5CCB"/>
    <w:rsid w:val="6F6612EE"/>
    <w:rsid w:val="709E58CE"/>
    <w:rsid w:val="70AD1348"/>
    <w:rsid w:val="70C30D0B"/>
    <w:rsid w:val="71207685"/>
    <w:rsid w:val="712F43B0"/>
    <w:rsid w:val="719E279E"/>
    <w:rsid w:val="71A012B0"/>
    <w:rsid w:val="71AF10BB"/>
    <w:rsid w:val="71D76393"/>
    <w:rsid w:val="71FD45D0"/>
    <w:rsid w:val="72037C70"/>
    <w:rsid w:val="72223B76"/>
    <w:rsid w:val="73336087"/>
    <w:rsid w:val="734454D7"/>
    <w:rsid w:val="74341D79"/>
    <w:rsid w:val="745A6518"/>
    <w:rsid w:val="749518AC"/>
    <w:rsid w:val="75064893"/>
    <w:rsid w:val="75437DA2"/>
    <w:rsid w:val="75CE2784"/>
    <w:rsid w:val="75F20863"/>
    <w:rsid w:val="75F22B24"/>
    <w:rsid w:val="76D75F95"/>
    <w:rsid w:val="77317284"/>
    <w:rsid w:val="77370999"/>
    <w:rsid w:val="77535440"/>
    <w:rsid w:val="776B294A"/>
    <w:rsid w:val="77BF5C5A"/>
    <w:rsid w:val="77C560D2"/>
    <w:rsid w:val="77F253D5"/>
    <w:rsid w:val="7A195B54"/>
    <w:rsid w:val="7A205DC5"/>
    <w:rsid w:val="7A5A3E6D"/>
    <w:rsid w:val="7A87129C"/>
    <w:rsid w:val="7B6F4CE9"/>
    <w:rsid w:val="7B8E3AFB"/>
    <w:rsid w:val="7BE22736"/>
    <w:rsid w:val="7C3E7BD6"/>
    <w:rsid w:val="7C4E306D"/>
    <w:rsid w:val="7CAF35FB"/>
    <w:rsid w:val="7D684FC8"/>
    <w:rsid w:val="7D974A9C"/>
    <w:rsid w:val="7E9054A8"/>
    <w:rsid w:val="7ECA4506"/>
    <w:rsid w:val="7EE26DCC"/>
    <w:rsid w:val="7EEF06EE"/>
    <w:rsid w:val="7F1B581A"/>
    <w:rsid w:val="7F7F4AC0"/>
    <w:rsid w:val="7FB14D18"/>
    <w:rsid w:val="7FD11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widowControl/>
      <w:spacing w:line="360" w:lineRule="auto"/>
      <w:jc w:val="center"/>
      <w:outlineLvl w:val="0"/>
    </w:pPr>
    <w:rPr>
      <w:rFonts w:ascii="楷体_GB2312" w:hAnsi="宋体" w:eastAsia="宋体" w:cs="宋体"/>
      <w:kern w:val="0"/>
      <w:sz w:val="36"/>
      <w:szCs w:val="28"/>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6"/>
    <w:qFormat/>
    <w:uiPriority w:val="0"/>
    <w:pPr>
      <w:spacing w:before="280" w:after="290" w:line="377" w:lineRule="auto"/>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0"/>
    <w:unhideWhenUsed/>
    <w:qFormat/>
    <w:uiPriority w:val="0"/>
    <w:pPr>
      <w:ind w:firstLine="420" w:firstLineChars="200"/>
    </w:pPr>
  </w:style>
  <w:style w:type="paragraph" w:styleId="7">
    <w:name w:val="toa heading"/>
    <w:basedOn w:val="1"/>
    <w:next w:val="1"/>
    <w:unhideWhenUsed/>
    <w:qFormat/>
    <w:uiPriority w:val="99"/>
    <w:pPr>
      <w:spacing w:before="120"/>
    </w:pPr>
    <w:rPr>
      <w:rFonts w:ascii="Cambria" w:hAnsi="Cambria"/>
      <w:sz w:val="24"/>
    </w:rPr>
  </w:style>
  <w:style w:type="paragraph" w:styleId="8">
    <w:name w:val="annotation text"/>
    <w:basedOn w:val="1"/>
    <w:link w:val="59"/>
    <w:semiHidden/>
    <w:unhideWhenUsed/>
    <w:qFormat/>
    <w:uiPriority w:val="99"/>
    <w:pPr>
      <w:jc w:val="left"/>
    </w:pPr>
  </w:style>
  <w:style w:type="paragraph" w:styleId="9">
    <w:name w:val="Body Text"/>
    <w:basedOn w:val="1"/>
    <w:link w:val="37"/>
    <w:qFormat/>
    <w:uiPriority w:val="0"/>
    <w:rPr>
      <w:rFonts w:ascii="楷体_GB2312" w:hAnsi="Arial" w:eastAsia="楷体_GB2312"/>
      <w:sz w:val="28"/>
      <w:szCs w:val="28"/>
    </w:rPr>
  </w:style>
  <w:style w:type="paragraph" w:styleId="10">
    <w:name w:val="Body Text Indent"/>
    <w:basedOn w:val="1"/>
    <w:link w:val="48"/>
    <w:unhideWhenUsed/>
    <w:qFormat/>
    <w:uiPriority w:val="99"/>
    <w:pPr>
      <w:spacing w:after="120"/>
      <w:ind w:left="420" w:leftChars="200"/>
    </w:pPr>
  </w:style>
  <w:style w:type="paragraph" w:styleId="11">
    <w:name w:val="List 2"/>
    <w:basedOn w:val="1"/>
    <w:qFormat/>
    <w:uiPriority w:val="0"/>
    <w:pPr>
      <w:spacing w:line="360" w:lineRule="auto"/>
      <w:ind w:left="100" w:leftChars="200" w:hanging="200" w:hangingChars="200"/>
    </w:pPr>
    <w:rPr>
      <w:rFonts w:ascii="Times New Roman" w:hAnsi="Times New Roman"/>
      <w:sz w:val="24"/>
      <w:szCs w:val="24"/>
    </w:rPr>
  </w:style>
  <w:style w:type="paragraph" w:styleId="12">
    <w:name w:val="Plain Text"/>
    <w:basedOn w:val="1"/>
    <w:link w:val="45"/>
    <w:qFormat/>
    <w:uiPriority w:val="0"/>
    <w:rPr>
      <w:rFonts w:ascii="宋体" w:hAnsi="Courier New" w:eastAsia="宋体" w:cs="Times New Roman"/>
    </w:rPr>
  </w:style>
  <w:style w:type="paragraph" w:styleId="13">
    <w:name w:val="Date"/>
    <w:basedOn w:val="1"/>
    <w:next w:val="1"/>
    <w:qFormat/>
    <w:uiPriority w:val="0"/>
    <w:rPr>
      <w:rFonts w:ascii="Times New Roman" w:hAnsi="Times New Roman"/>
      <w:kern w:val="0"/>
      <w:sz w:val="24"/>
      <w:szCs w:val="20"/>
    </w:rPr>
  </w:style>
  <w:style w:type="paragraph" w:styleId="14">
    <w:name w:val="Balloon Text"/>
    <w:basedOn w:val="1"/>
    <w:link w:val="47"/>
    <w:semiHidden/>
    <w:unhideWhenUsed/>
    <w:qFormat/>
    <w:uiPriority w:val="99"/>
    <w:rPr>
      <w:rFonts w:ascii="Calibri" w:hAnsi="Calibri" w:eastAsia="宋体" w:cs="Times New Roman"/>
      <w:sz w:val="18"/>
      <w:szCs w:val="18"/>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9060"/>
      </w:tabs>
      <w:jc w:val="center"/>
    </w:pPr>
    <w:rPr>
      <w:rFonts w:ascii="宋体" w:hAnsi="宋体" w:eastAsia="宋体"/>
      <w:sz w:val="32"/>
      <w:szCs w:val="32"/>
    </w:rPr>
  </w:style>
  <w:style w:type="paragraph" w:styleId="18">
    <w:name w:val="toc 2"/>
    <w:basedOn w:val="1"/>
    <w:next w:val="1"/>
    <w:unhideWhenUsed/>
    <w:qFormat/>
    <w:uiPriority w:val="39"/>
    <w:pPr>
      <w:ind w:left="420" w:leftChars="200"/>
    </w:pPr>
  </w:style>
  <w:style w:type="paragraph" w:styleId="1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8"/>
    <w:next w:val="8"/>
    <w:link w:val="60"/>
    <w:semiHidden/>
    <w:unhideWhenUsed/>
    <w:qFormat/>
    <w:uiPriority w:val="99"/>
    <w:rPr>
      <w:b/>
      <w:bCs/>
    </w:rPr>
  </w:style>
  <w:style w:type="paragraph" w:styleId="21">
    <w:name w:val="Body Text First Indent 2"/>
    <w:basedOn w:val="10"/>
    <w:qFormat/>
    <w:uiPriority w:val="0"/>
    <w:pPr>
      <w:ind w:firstLine="420"/>
    </w:pPr>
    <w:rPr>
      <w:kern w:val="0"/>
      <w:sz w:val="20"/>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Hyperlink"/>
    <w:qFormat/>
    <w:uiPriority w:val="99"/>
    <w:rPr>
      <w:color w:val="0000FF"/>
      <w:u w:val="single"/>
    </w:rPr>
  </w:style>
  <w:style w:type="character" w:styleId="27">
    <w:name w:val="annotation reference"/>
    <w:basedOn w:val="24"/>
    <w:semiHidden/>
    <w:unhideWhenUsed/>
    <w:qFormat/>
    <w:uiPriority w:val="99"/>
    <w:rPr>
      <w:sz w:val="21"/>
      <w:szCs w:val="21"/>
    </w:rPr>
  </w:style>
  <w:style w:type="paragraph" w:customStyle="1" w:styleId="28">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29">
    <w:name w:val="正文（缩进）"/>
    <w:basedOn w:val="1"/>
    <w:qFormat/>
    <w:uiPriority w:val="0"/>
    <w:pPr>
      <w:ind w:firstLine="480" w:firstLineChars="200"/>
    </w:pPr>
  </w:style>
  <w:style w:type="character" w:customStyle="1" w:styleId="30">
    <w:name w:val="标题 1 Char"/>
    <w:basedOn w:val="24"/>
    <w:link w:val="2"/>
    <w:qFormat/>
    <w:uiPriority w:val="9"/>
    <w:rPr>
      <w:rFonts w:ascii="楷体_GB2312" w:hAnsi="宋体" w:eastAsia="宋体" w:cs="宋体"/>
      <w:kern w:val="0"/>
      <w:sz w:val="36"/>
      <w:szCs w:val="28"/>
    </w:rPr>
  </w:style>
  <w:style w:type="character" w:customStyle="1" w:styleId="31">
    <w:name w:val="标题 2 Char"/>
    <w:basedOn w:val="24"/>
    <w:link w:val="3"/>
    <w:qFormat/>
    <w:uiPriority w:val="9"/>
    <w:rPr>
      <w:rFonts w:asciiTheme="majorHAnsi" w:hAnsiTheme="majorHAnsi" w:eastAsiaTheme="majorEastAsia" w:cstheme="majorBidi"/>
      <w:b/>
      <w:bCs/>
      <w:sz w:val="32"/>
      <w:szCs w:val="32"/>
    </w:rPr>
  </w:style>
  <w:style w:type="paragraph" w:styleId="32">
    <w:name w:val="List Paragraph"/>
    <w:basedOn w:val="1"/>
    <w:link w:val="33"/>
    <w:qFormat/>
    <w:uiPriority w:val="34"/>
    <w:pPr>
      <w:ind w:firstLine="420" w:firstLineChars="200"/>
    </w:pPr>
  </w:style>
  <w:style w:type="character" w:customStyle="1" w:styleId="33">
    <w:name w:val="列出段落 Char1"/>
    <w:link w:val="32"/>
    <w:qFormat/>
    <w:uiPriority w:val="34"/>
  </w:style>
  <w:style w:type="character" w:customStyle="1" w:styleId="34">
    <w:name w:val="页眉 Char"/>
    <w:basedOn w:val="24"/>
    <w:link w:val="16"/>
    <w:qFormat/>
    <w:uiPriority w:val="0"/>
    <w:rPr>
      <w:sz w:val="18"/>
      <w:szCs w:val="18"/>
    </w:rPr>
  </w:style>
  <w:style w:type="character" w:customStyle="1" w:styleId="35">
    <w:name w:val="页脚 Char"/>
    <w:basedOn w:val="24"/>
    <w:link w:val="15"/>
    <w:qFormat/>
    <w:uiPriority w:val="99"/>
    <w:rPr>
      <w:sz w:val="18"/>
      <w:szCs w:val="18"/>
    </w:rPr>
  </w:style>
  <w:style w:type="character" w:customStyle="1" w:styleId="36">
    <w:name w:val="标题 4 Char"/>
    <w:basedOn w:val="24"/>
    <w:link w:val="5"/>
    <w:qFormat/>
    <w:uiPriority w:val="0"/>
    <w:rPr>
      <w:rFonts w:ascii="Arial" w:hAnsi="Arial" w:eastAsia="黑体" w:cs="Times New Roman"/>
      <w:b/>
      <w:bCs/>
      <w:kern w:val="0"/>
      <w:sz w:val="28"/>
      <w:szCs w:val="28"/>
    </w:rPr>
  </w:style>
  <w:style w:type="character" w:customStyle="1" w:styleId="37">
    <w:name w:val="正文文本 Char"/>
    <w:link w:val="9"/>
    <w:qFormat/>
    <w:uiPriority w:val="0"/>
    <w:rPr>
      <w:rFonts w:ascii="楷体_GB2312" w:hAnsi="Arial" w:eastAsia="楷体_GB2312"/>
      <w:sz w:val="28"/>
      <w:szCs w:val="28"/>
    </w:rPr>
  </w:style>
  <w:style w:type="character" w:customStyle="1" w:styleId="38">
    <w:name w:val="列出段落 Char"/>
    <w:link w:val="39"/>
    <w:qFormat/>
    <w:locked/>
    <w:uiPriority w:val="34"/>
    <w:rPr>
      <w:sz w:val="24"/>
      <w:szCs w:val="24"/>
      <w:lang w:eastAsia="en-US" w:bidi="en-US"/>
    </w:rPr>
  </w:style>
  <w:style w:type="paragraph" w:customStyle="1" w:styleId="39">
    <w:name w:val="列出段落1"/>
    <w:basedOn w:val="1"/>
    <w:link w:val="38"/>
    <w:qFormat/>
    <w:uiPriority w:val="0"/>
    <w:pPr>
      <w:widowControl/>
      <w:ind w:left="720"/>
      <w:contextualSpacing/>
      <w:jc w:val="left"/>
    </w:pPr>
    <w:rPr>
      <w:sz w:val="24"/>
      <w:szCs w:val="24"/>
      <w:lang w:eastAsia="en-US" w:bidi="en-US"/>
    </w:rPr>
  </w:style>
  <w:style w:type="character" w:customStyle="1" w:styleId="40">
    <w:name w:val="正文缩进 Char"/>
    <w:link w:val="6"/>
    <w:qFormat/>
    <w:uiPriority w:val="0"/>
  </w:style>
  <w:style w:type="character" w:customStyle="1" w:styleId="41">
    <w:name w:val="正文文本 字符1"/>
    <w:basedOn w:val="24"/>
    <w:semiHidden/>
    <w:qFormat/>
    <w:uiPriority w:val="99"/>
  </w:style>
  <w:style w:type="character" w:customStyle="1" w:styleId="42">
    <w:name w:val="正文文本 Char1"/>
    <w:basedOn w:val="24"/>
    <w:semiHidden/>
    <w:qFormat/>
    <w:uiPriority w:val="99"/>
  </w:style>
  <w:style w:type="paragraph" w:customStyle="1" w:styleId="43">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44">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character" w:customStyle="1" w:styleId="45">
    <w:name w:val="纯文本 Char"/>
    <w:basedOn w:val="24"/>
    <w:link w:val="12"/>
    <w:qFormat/>
    <w:uiPriority w:val="0"/>
    <w:rPr>
      <w:rFonts w:ascii="宋体" w:hAnsi="Courier New" w:eastAsia="宋体" w:cs="Times New Roman"/>
    </w:rPr>
  </w:style>
  <w:style w:type="paragraph" w:customStyle="1" w:styleId="46">
    <w:name w:val="目录 11"/>
    <w:basedOn w:val="1"/>
    <w:next w:val="1"/>
    <w:unhideWhenUsed/>
    <w:qFormat/>
    <w:uiPriority w:val="39"/>
    <w:rPr>
      <w:rFonts w:ascii="Calibri" w:hAnsi="Calibri" w:eastAsia="宋体" w:cs="Times New Roman"/>
    </w:rPr>
  </w:style>
  <w:style w:type="character" w:customStyle="1" w:styleId="47">
    <w:name w:val="批注框文本 Char"/>
    <w:basedOn w:val="24"/>
    <w:link w:val="14"/>
    <w:semiHidden/>
    <w:qFormat/>
    <w:uiPriority w:val="99"/>
    <w:rPr>
      <w:rFonts w:ascii="Calibri" w:hAnsi="Calibri" w:eastAsia="宋体" w:cs="Times New Roman"/>
      <w:sz w:val="18"/>
      <w:szCs w:val="18"/>
    </w:rPr>
  </w:style>
  <w:style w:type="character" w:customStyle="1" w:styleId="48">
    <w:name w:val="正文文本缩进 Char"/>
    <w:basedOn w:val="24"/>
    <w:link w:val="10"/>
    <w:qFormat/>
    <w:uiPriority w:val="99"/>
  </w:style>
  <w:style w:type="paragraph" w:customStyle="1" w:styleId="49">
    <w:name w:val="TOC 标题1"/>
    <w:basedOn w:val="2"/>
    <w:next w:val="1"/>
    <w:semiHidden/>
    <w:unhideWhenUsed/>
    <w:qFormat/>
    <w:uiPriority w:val="39"/>
    <w:pPr>
      <w:keepLines/>
      <w:spacing w:before="480" w:line="276" w:lineRule="auto"/>
      <w:jc w:val="left"/>
      <w:outlineLvl w:val="9"/>
    </w:pPr>
    <w:rPr>
      <w:rFonts w:asciiTheme="majorHAnsi" w:hAnsiTheme="majorHAnsi" w:eastAsiaTheme="majorEastAsia" w:cstheme="majorBidi"/>
      <w:b/>
      <w:bCs/>
      <w:color w:val="2F5597" w:themeColor="accent1" w:themeShade="BF"/>
      <w:sz w:val="28"/>
    </w:rPr>
  </w:style>
  <w:style w:type="paragraph" w:customStyle="1" w:styleId="50">
    <w:name w:val="Heading2"/>
    <w:basedOn w:val="1"/>
    <w:next w:val="1"/>
    <w:qFormat/>
    <w:uiPriority w:val="0"/>
    <w:pPr>
      <w:keepNext/>
      <w:keepLines/>
      <w:spacing w:before="260" w:after="260" w:line="416" w:lineRule="auto"/>
      <w:textAlignment w:val="baseline"/>
    </w:pPr>
    <w:rPr>
      <w:rFonts w:ascii="Cambria" w:hAnsi="Cambria" w:eastAsia="宋体" w:cs="Mongolian Baiti"/>
      <w:b/>
      <w:bCs/>
      <w:sz w:val="32"/>
      <w:szCs w:val="32"/>
    </w:rPr>
  </w:style>
  <w:style w:type="character" w:customStyle="1" w:styleId="51">
    <w:name w:val="font51"/>
    <w:basedOn w:val="24"/>
    <w:qFormat/>
    <w:uiPriority w:val="0"/>
    <w:rPr>
      <w:rFonts w:hint="eastAsia" w:ascii="宋体" w:hAnsi="宋体" w:eastAsia="宋体" w:cs="宋体"/>
      <w:color w:val="000000"/>
      <w:sz w:val="22"/>
      <w:szCs w:val="22"/>
      <w:u w:val="none"/>
    </w:rPr>
  </w:style>
  <w:style w:type="character" w:customStyle="1" w:styleId="52">
    <w:name w:val="font101"/>
    <w:basedOn w:val="24"/>
    <w:qFormat/>
    <w:uiPriority w:val="0"/>
    <w:rPr>
      <w:rFonts w:hint="eastAsia" w:ascii="宋体" w:hAnsi="宋体" w:eastAsia="宋体" w:cs="宋体"/>
      <w:color w:val="000000"/>
      <w:sz w:val="20"/>
      <w:szCs w:val="20"/>
      <w:u w:val="none"/>
    </w:rPr>
  </w:style>
  <w:style w:type="character" w:customStyle="1" w:styleId="53">
    <w:name w:val="font01"/>
    <w:basedOn w:val="24"/>
    <w:qFormat/>
    <w:uiPriority w:val="0"/>
    <w:rPr>
      <w:rFonts w:hint="eastAsia" w:ascii="宋体" w:hAnsi="宋体" w:eastAsia="宋体" w:cs="宋体"/>
      <w:color w:val="000000"/>
      <w:sz w:val="20"/>
      <w:szCs w:val="20"/>
      <w:u w:val="none"/>
      <w:vertAlign w:val="superscript"/>
    </w:rPr>
  </w:style>
  <w:style w:type="paragraph" w:customStyle="1" w:styleId="54">
    <w:name w:val="p0"/>
    <w:basedOn w:val="1"/>
    <w:qFormat/>
    <w:uiPriority w:val="0"/>
    <w:pPr>
      <w:widowControl/>
    </w:pPr>
    <w:rPr>
      <w:rFonts w:ascii="Times New Roman" w:hAnsi="Times New Roman" w:eastAsia="宋体" w:cs="Times New Roman"/>
      <w:kern w:val="0"/>
      <w:szCs w:val="21"/>
    </w:rPr>
  </w:style>
  <w:style w:type="character" w:customStyle="1" w:styleId="55">
    <w:name w:val="fontstyle01"/>
    <w:basedOn w:val="24"/>
    <w:qFormat/>
    <w:uiPriority w:val="0"/>
    <w:rPr>
      <w:rFonts w:hint="eastAsia" w:ascii="宋体" w:hAnsi="宋体" w:eastAsia="宋体"/>
      <w:color w:val="000000"/>
      <w:sz w:val="22"/>
      <w:szCs w:val="22"/>
    </w:rPr>
  </w:style>
  <w:style w:type="character" w:customStyle="1" w:styleId="56">
    <w:name w:val="fontstyle21"/>
    <w:basedOn w:val="24"/>
    <w:qFormat/>
    <w:uiPriority w:val="0"/>
    <w:rPr>
      <w:rFonts w:hint="eastAsia" w:ascii="TimesNewRomanPSMT" w:eastAsia="TimesNewRomanPSMT"/>
      <w:color w:val="000000"/>
      <w:sz w:val="22"/>
      <w:szCs w:val="22"/>
    </w:rPr>
  </w:style>
  <w:style w:type="character" w:customStyle="1" w:styleId="57">
    <w:name w:val="标题 3 Char"/>
    <w:basedOn w:val="24"/>
    <w:link w:val="4"/>
    <w:qFormat/>
    <w:uiPriority w:val="0"/>
    <w:rPr>
      <w:rFonts w:ascii="Times New Roman" w:hAnsi="Times New Roman" w:eastAsia="宋体" w:cs="Times New Roman"/>
      <w:b/>
      <w:bCs/>
      <w:kern w:val="2"/>
      <w:sz w:val="32"/>
      <w:szCs w:val="32"/>
    </w:rPr>
  </w:style>
  <w:style w:type="character" w:customStyle="1" w:styleId="58">
    <w:name w:val="样式 正文 +"/>
    <w:basedOn w:val="24"/>
    <w:qFormat/>
    <w:uiPriority w:val="0"/>
    <w:rPr>
      <w:rFonts w:ascii="Times New Roman" w:hAnsi="Times New Roman" w:eastAsia="宋体"/>
      <w:kern w:val="0"/>
      <w:sz w:val="28"/>
    </w:rPr>
  </w:style>
  <w:style w:type="character" w:customStyle="1" w:styleId="59">
    <w:name w:val="批注文字 Char"/>
    <w:basedOn w:val="24"/>
    <w:link w:val="8"/>
    <w:semiHidden/>
    <w:qFormat/>
    <w:uiPriority w:val="99"/>
    <w:rPr>
      <w:rFonts w:asciiTheme="minorHAnsi" w:hAnsiTheme="minorHAnsi" w:eastAsiaTheme="minorEastAsia" w:cstheme="minorBidi"/>
      <w:kern w:val="2"/>
      <w:sz w:val="21"/>
      <w:szCs w:val="22"/>
    </w:rPr>
  </w:style>
  <w:style w:type="character" w:customStyle="1" w:styleId="60">
    <w:name w:val="批注主题 Char"/>
    <w:basedOn w:val="59"/>
    <w:link w:val="20"/>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4D31CF-785F-4249-A386-1C3AA835B3C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19628</Words>
  <Characters>4593</Characters>
  <Lines>38</Lines>
  <Paragraphs>48</Paragraphs>
  <TotalTime>43</TotalTime>
  <ScaleCrop>false</ScaleCrop>
  <LinksUpToDate>false</LinksUpToDate>
  <CharactersWithSpaces>24173</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2022-03-01T05:55:00Z</dcterms:created>
  <dc:creator>Tatsu Tsui</dc:creator>
  <cp:lastModifiedBy>Administrator</cp:lastModifiedBy>
  <cp:lastPrinted>2021-09-26T03:54:00Z</cp:lastPrinted>
  <dcterms:modified xsi:type="dcterms:W3CDTF">2022-03-09T07:52:02Z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61D77E8BAD69482FBA649F0B78D1C3C8</vt:lpwstr>
  </property>
</Properties>
</file>