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sz w:val="36"/>
        </w:rPr>
      </w:pPr>
      <w:r>
        <w:rPr>
          <w:rFonts w:hint="eastAsia" w:eastAsia="黑体"/>
          <w:b/>
          <w:sz w:val="28"/>
        </w:rPr>
        <w:drawing>
          <wp:inline distT="0" distB="0" distL="114300" distR="114300">
            <wp:extent cx="533400" cy="514350"/>
            <wp:effectExtent l="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10" cstate="print"/>
                    <a:srcRect/>
                    <a:stretch>
                      <a:fillRect/>
                    </a:stretch>
                  </pic:blipFill>
                  <pic:spPr>
                    <a:xfrm>
                      <a:off x="0" y="0"/>
                      <a:ext cx="533400" cy="514350"/>
                    </a:xfrm>
                    <a:prstGeom prst="rect">
                      <a:avLst/>
                    </a:prstGeom>
                    <a:noFill/>
                    <a:ln w="9525">
                      <a:noFill/>
                      <a:miter lim="800000"/>
                      <a:headEnd/>
                      <a:tailEnd/>
                    </a:ln>
                  </pic:spPr>
                </pic:pic>
              </a:graphicData>
            </a:graphic>
          </wp:inline>
        </w:drawing>
      </w:r>
    </w:p>
    <w:p>
      <w:pPr>
        <w:jc w:val="right"/>
        <w:rPr>
          <w:rFonts w:eastAsia="黑体"/>
          <w:b/>
          <w:sz w:val="36"/>
        </w:rPr>
      </w:pPr>
    </w:p>
    <w:p/>
    <w:p/>
    <w:p/>
    <w:p>
      <w:pPr>
        <w:jc w:val="center"/>
        <w:rPr>
          <w:rFonts w:ascii="黑体" w:eastAsia="黑体"/>
          <w:b/>
          <w:sz w:val="72"/>
          <w:szCs w:val="32"/>
        </w:rPr>
      </w:pPr>
      <w:r>
        <w:rPr>
          <w:rFonts w:hint="eastAsia" w:ascii="黑体" w:eastAsia="黑体"/>
          <w:b/>
          <w:sz w:val="72"/>
          <w:szCs w:val="32"/>
        </w:rPr>
        <w:t>国内采购</w:t>
      </w:r>
    </w:p>
    <w:p>
      <w:pPr>
        <w:jc w:val="center"/>
        <w:rPr>
          <w:b/>
          <w:sz w:val="72"/>
          <w:szCs w:val="32"/>
        </w:rPr>
      </w:pPr>
      <w:r>
        <w:rPr>
          <w:rFonts w:hint="eastAsia" w:ascii="黑体" w:eastAsia="黑体"/>
          <w:b/>
          <w:sz w:val="72"/>
          <w:szCs w:val="32"/>
        </w:rPr>
        <w:t>竞争性磋商文件</w:t>
      </w:r>
    </w:p>
    <w:p>
      <w:pPr>
        <w:jc w:val="center"/>
      </w:pPr>
    </w:p>
    <w:p>
      <w:pPr>
        <w:jc w:val="center"/>
      </w:pPr>
    </w:p>
    <w:p/>
    <w:tbl>
      <w:tblPr>
        <w:tblStyle w:val="22"/>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项目名称：</w:t>
            </w:r>
          </w:p>
        </w:tc>
        <w:tc>
          <w:tcPr>
            <w:tcW w:w="620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水乡城资除“四害”生物防制服务项目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项目编号：</w:t>
            </w:r>
          </w:p>
        </w:tc>
        <w:tc>
          <w:tcPr>
            <w:tcW w:w="620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0832-SFCX21DG202C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采购人：</w:t>
            </w:r>
          </w:p>
        </w:tc>
        <w:tc>
          <w:tcPr>
            <w:tcW w:w="620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东莞水乡城市资源经营管理有限公司</w:t>
            </w:r>
          </w:p>
        </w:tc>
      </w:tr>
    </w:tbl>
    <w:p>
      <w:pPr>
        <w:jc w:val="center"/>
        <w:rPr>
          <w:rFonts w:ascii="黑体" w:eastAsia="黑体"/>
          <w:szCs w:val="21"/>
        </w:rPr>
      </w:pPr>
    </w:p>
    <w:p>
      <w:pPr>
        <w:jc w:val="center"/>
        <w:rPr>
          <w:rFonts w:ascii="黑体" w:eastAsia="黑体"/>
          <w:szCs w:val="21"/>
        </w:rPr>
      </w:pPr>
    </w:p>
    <w:p>
      <w:pPr>
        <w:jc w:val="center"/>
        <w:rPr>
          <w:rFonts w:ascii="黑体" w:eastAsia="黑体"/>
          <w:szCs w:val="21"/>
        </w:rPr>
      </w:pPr>
    </w:p>
    <w:p/>
    <w:p>
      <w:pPr>
        <w:pStyle w:val="2"/>
      </w:pPr>
    </w:p>
    <w:p>
      <w:pPr>
        <w:jc w:val="center"/>
        <w:rPr>
          <w:rFonts w:ascii="黑体" w:eastAsia="黑体"/>
          <w:sz w:val="52"/>
          <w:szCs w:val="44"/>
        </w:rPr>
      </w:pPr>
      <w:r>
        <w:rPr>
          <w:rFonts w:hint="eastAsia" w:ascii="黑体" w:eastAsia="黑体"/>
          <w:sz w:val="52"/>
          <w:szCs w:val="44"/>
        </w:rPr>
        <w:t>三方诚信招标有限公司</w:t>
      </w:r>
    </w:p>
    <w:p>
      <w:pPr>
        <w:jc w:val="center"/>
        <w:rPr>
          <w:rFonts w:ascii="黑体" w:eastAsia="黑体"/>
          <w:sz w:val="52"/>
          <w:szCs w:val="44"/>
        </w:rPr>
      </w:pPr>
      <w:r>
        <w:rPr>
          <w:rFonts w:hint="eastAsia" w:ascii="黑体" w:eastAsia="黑体"/>
          <w:sz w:val="52"/>
          <w:szCs w:val="44"/>
        </w:rPr>
        <w:t>东莞分公司</w:t>
      </w:r>
    </w:p>
    <w:p>
      <w:pPr>
        <w:pStyle w:val="19"/>
        <w:rPr>
          <w:sz w:val="32"/>
          <w:szCs w:val="32"/>
        </w:rPr>
        <w:sectPr>
          <w:headerReference r:id="rId4" w:type="default"/>
          <w:headerReference r:id="rId5" w:type="even"/>
          <w:footerReference r:id="rId6" w:type="even"/>
          <w:pgSz w:w="11906" w:h="16838"/>
          <w:pgMar w:top="1440" w:right="1800" w:bottom="1440" w:left="1800" w:header="708" w:footer="708" w:gutter="0"/>
          <w:pgNumType w:start="0"/>
          <w:cols w:space="708" w:num="1"/>
          <w:titlePg/>
          <w:docGrid w:type="lines" w:linePitch="360" w:charSpace="0"/>
        </w:sectPr>
      </w:pPr>
    </w:p>
    <w:p>
      <w:pPr>
        <w:pStyle w:val="19"/>
        <w:ind w:left="0" w:leftChars="0"/>
        <w:rPr>
          <w:b/>
          <w:bCs/>
          <w:sz w:val="44"/>
          <w:szCs w:val="44"/>
        </w:rPr>
      </w:pPr>
      <w:r>
        <w:rPr>
          <w:rFonts w:hint="eastAsia"/>
          <w:b/>
          <w:bCs/>
          <w:sz w:val="44"/>
          <w:szCs w:val="44"/>
        </w:rPr>
        <w:t>温馨提示</w:t>
      </w:r>
    </w:p>
    <w:p>
      <w:pPr>
        <w:pStyle w:val="27"/>
        <w:spacing w:line="360" w:lineRule="auto"/>
        <w:ind w:firstLine="0" w:firstLineChars="0"/>
        <w:rPr>
          <w:rFonts w:ascii="宋体" w:hAnsi="宋体" w:eastAsia="宋体"/>
        </w:rPr>
      </w:pPr>
      <w:r>
        <w:rPr>
          <w:rFonts w:hint="eastAsia" w:ascii="宋体" w:hAnsi="宋体" w:eastAsia="宋体"/>
        </w:rPr>
        <w:t>1、响应截止时间一到，本公司不接收任何响应文件，因此，请按规定时间到达。</w:t>
      </w:r>
    </w:p>
    <w:p>
      <w:pPr>
        <w:pStyle w:val="27"/>
        <w:spacing w:line="360" w:lineRule="auto"/>
        <w:ind w:firstLine="0" w:firstLineChars="0"/>
        <w:rPr>
          <w:rFonts w:ascii="宋体" w:hAnsi="宋体" w:eastAsia="宋体"/>
        </w:rPr>
      </w:pPr>
      <w:r>
        <w:rPr>
          <w:rFonts w:hint="eastAsia" w:ascii="宋体" w:hAnsi="宋体" w:eastAsia="宋体"/>
        </w:rPr>
        <w:t>2、请正确填写《报价一览表》。多包项目请仔细检查包组号，包组号跟包组名称必须一致。</w:t>
      </w:r>
    </w:p>
    <w:p>
      <w:pPr>
        <w:pStyle w:val="27"/>
        <w:spacing w:line="360" w:lineRule="auto"/>
        <w:ind w:firstLine="0" w:firstLineChars="0"/>
        <w:rPr>
          <w:rFonts w:ascii="宋体" w:hAnsi="宋体" w:eastAsia="宋体"/>
        </w:rPr>
      </w:pPr>
      <w:r>
        <w:rPr>
          <w:rFonts w:hint="eastAsia" w:ascii="宋体" w:hAnsi="宋体" w:eastAsia="宋体"/>
        </w:rPr>
        <w:t>3、请仔细检查响应文件是否已按磋商文件盖章、签名(或盖私章)、签署日期。</w:t>
      </w:r>
    </w:p>
    <w:p>
      <w:pPr>
        <w:pStyle w:val="27"/>
        <w:spacing w:line="360" w:lineRule="auto"/>
        <w:ind w:firstLine="0" w:firstLineChars="0"/>
        <w:rPr>
          <w:rFonts w:ascii="宋体" w:hAnsi="宋体" w:eastAsia="宋体"/>
        </w:rPr>
      </w:pPr>
      <w:r>
        <w:rPr>
          <w:rFonts w:hint="eastAsia" w:ascii="宋体" w:hAnsi="宋体" w:eastAsia="宋体"/>
        </w:rPr>
        <w:t>4、加★号的条款必须一一响应。</w:t>
      </w:r>
    </w:p>
    <w:p>
      <w:pPr>
        <w:pStyle w:val="27"/>
        <w:spacing w:line="360" w:lineRule="auto"/>
        <w:ind w:firstLine="0" w:firstLineChars="0"/>
        <w:rPr>
          <w:rFonts w:ascii="宋体" w:hAnsi="宋体" w:eastAsia="宋体"/>
        </w:rPr>
      </w:pPr>
      <w:r>
        <w:rPr>
          <w:rFonts w:hint="eastAsia" w:ascii="宋体" w:hAnsi="宋体" w:eastAsia="宋体"/>
        </w:rPr>
        <w:t>5、响应文件应按顺序编制页码。</w:t>
      </w:r>
    </w:p>
    <w:p>
      <w:pPr>
        <w:pStyle w:val="27"/>
        <w:spacing w:line="360" w:lineRule="auto"/>
        <w:ind w:firstLine="0" w:firstLineChars="0"/>
        <w:rPr>
          <w:rFonts w:ascii="宋体" w:hAnsi="宋体" w:eastAsia="宋体"/>
        </w:rPr>
      </w:pPr>
      <w:r>
        <w:rPr>
          <w:rFonts w:hint="eastAsia" w:ascii="宋体" w:hAnsi="宋体" w:eastAsia="宋体"/>
        </w:rPr>
        <w:t>6、我公司为采购代理机构，不对潜在供应商获取磋商文件时提交的相关资料的真实性负责，如潜在供应商发现相关资料被盗用、复制、伪造、变造等情况，应遵循法律途径解决，追究侵权者责任。</w:t>
      </w:r>
    </w:p>
    <w:p>
      <w:pPr>
        <w:pStyle w:val="2"/>
        <w:ind w:left="0"/>
        <w:rPr>
          <w:sz w:val="22"/>
          <w:szCs w:val="21"/>
          <w:lang w:val="en-US"/>
        </w:rPr>
      </w:pPr>
    </w:p>
    <w:p>
      <w:pPr>
        <w:tabs>
          <w:tab w:val="left" w:pos="709"/>
        </w:tabs>
        <w:spacing w:beforeLines="50" w:line="360" w:lineRule="auto"/>
        <w:rPr>
          <w:rFonts w:ascii="宋体" w:hAnsi="宋体" w:eastAsia="宋体"/>
          <w:b/>
          <w:bCs/>
        </w:rPr>
      </w:pPr>
      <w:r>
        <w:rPr>
          <w:rFonts w:hint="eastAsia" w:ascii="宋体" w:hAnsi="宋体" w:eastAsia="宋体"/>
          <w:b/>
          <w:bCs/>
        </w:rPr>
        <w:t>(本提示内容非磋商文件的组成部分，仅为善意提醒。如有不一致，以磋商文件为准。)</w:t>
      </w:r>
    </w:p>
    <w:p>
      <w:pPr>
        <w:rPr>
          <w:sz w:val="40"/>
          <w:szCs w:val="40"/>
        </w:rPr>
      </w:pPr>
      <w:r>
        <w:rPr>
          <w:rFonts w:hint="eastAsia"/>
          <w:sz w:val="40"/>
          <w:szCs w:val="40"/>
        </w:rPr>
        <w:br w:type="page"/>
      </w:r>
    </w:p>
    <w:p>
      <w:pPr>
        <w:pStyle w:val="11"/>
        <w:tabs>
          <w:tab w:val="right" w:leader="dot" w:pos="8306"/>
          <w:tab w:val="clear" w:pos="8296"/>
        </w:tabs>
        <w:spacing w:beforeLines="20" w:afterLines="20"/>
        <w:ind w:left="0" w:leftChars="0"/>
        <w:jc w:val="center"/>
        <w:rPr>
          <w:rFonts w:ascii="宋体" w:hAnsi="宋体" w:eastAsia="宋体" w:cs="宋体"/>
          <w:sz w:val="20"/>
          <w:szCs w:val="20"/>
        </w:rPr>
      </w:pPr>
      <w:r>
        <w:rPr>
          <w:rFonts w:hint="eastAsia" w:ascii="宋体" w:hAnsi="宋体" w:eastAsia="宋体"/>
          <w:sz w:val="40"/>
          <w:szCs w:val="40"/>
        </w:rPr>
        <w:t>目录</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TOC \o "1-4" \h \z \u </w:instrText>
      </w:r>
      <w:r>
        <w:rPr>
          <w:rFonts w:hint="eastAsia" w:ascii="宋体" w:hAnsi="宋体" w:eastAsia="宋体" w:cs="宋体"/>
          <w:sz w:val="20"/>
          <w:szCs w:val="20"/>
        </w:rPr>
        <w:fldChar w:fldCharType="separate"/>
      </w:r>
    </w:p>
    <w:p>
      <w:pPr>
        <w:pStyle w:val="11"/>
        <w:tabs>
          <w:tab w:val="right" w:leader="dot" w:pos="8306"/>
          <w:tab w:val="clear" w:pos="8296"/>
        </w:tabs>
        <w:spacing w:beforeLines="20" w:afterLines="20"/>
        <w:ind w:left="0" w:leftChars="0"/>
        <w:rPr>
          <w:rFonts w:ascii="宋体" w:hAnsi="宋体" w:eastAsia="宋体" w:cs="宋体"/>
          <w:b/>
          <w:bCs/>
        </w:rPr>
      </w:pPr>
      <w:r>
        <w:fldChar w:fldCharType="begin"/>
      </w:r>
      <w:r>
        <w:instrText xml:space="preserve"> HYPERLINK \l "_Toc15103" </w:instrText>
      </w:r>
      <w:r>
        <w:fldChar w:fldCharType="separate"/>
      </w:r>
      <w:r>
        <w:rPr>
          <w:rFonts w:hint="eastAsia" w:ascii="宋体" w:hAnsi="宋体" w:eastAsia="宋体" w:cs="宋体"/>
          <w:b/>
          <w:bCs/>
        </w:rPr>
        <w:t>第一部分 磋商邀请</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_Toc15103 \h </w:instrText>
      </w:r>
      <w:r>
        <w:rPr>
          <w:rFonts w:hint="eastAsia" w:ascii="宋体" w:hAnsi="宋体" w:eastAsia="宋体" w:cs="宋体"/>
          <w:b/>
          <w:bCs/>
        </w:rPr>
        <w:fldChar w:fldCharType="separate"/>
      </w:r>
      <w:r>
        <w:rPr>
          <w:rFonts w:hint="eastAsia" w:ascii="宋体" w:hAnsi="宋体" w:eastAsia="宋体" w:cs="宋体"/>
          <w:b/>
          <w:bCs/>
        </w:rPr>
        <w:t>5</w:t>
      </w:r>
      <w:r>
        <w:rPr>
          <w:rFonts w:hint="eastAsia" w:ascii="宋体" w:hAnsi="宋体" w:eastAsia="宋体" w:cs="宋体"/>
          <w:b/>
          <w:bCs/>
        </w:rPr>
        <w:fldChar w:fldCharType="end"/>
      </w:r>
      <w:r>
        <w:rPr>
          <w:rFonts w:hint="eastAsia" w:ascii="宋体" w:hAnsi="宋体" w:eastAsia="宋体" w:cs="宋体"/>
          <w:b/>
          <w:bCs/>
        </w:rPr>
        <w:fldChar w:fldCharType="end"/>
      </w:r>
    </w:p>
    <w:p>
      <w:pPr>
        <w:pStyle w:val="11"/>
        <w:tabs>
          <w:tab w:val="right" w:leader="dot" w:pos="8306"/>
          <w:tab w:val="clear" w:pos="8296"/>
        </w:tabs>
        <w:spacing w:beforeLines="20" w:afterLines="20"/>
        <w:ind w:left="0" w:leftChars="0" w:firstLine="420" w:firstLineChars="200"/>
        <w:rPr>
          <w:rFonts w:ascii="宋体" w:hAnsi="宋体" w:eastAsia="宋体" w:cs="宋体"/>
        </w:rPr>
      </w:pPr>
      <w:r>
        <w:fldChar w:fldCharType="begin"/>
      </w:r>
      <w:r>
        <w:instrText xml:space="preserve"> HYPERLINK \l "_Toc31803" </w:instrText>
      </w:r>
      <w:r>
        <w:fldChar w:fldCharType="separate"/>
      </w:r>
      <w:r>
        <w:rPr>
          <w:rFonts w:hint="eastAsia" w:ascii="宋体" w:hAnsi="宋体" w:eastAsia="宋体" w:cs="宋体"/>
        </w:rPr>
        <w:t>磋商邀请函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_Toc31803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rPr>
          <w:rFonts w:ascii="宋体" w:hAnsi="宋体" w:eastAsia="宋体" w:cs="宋体"/>
          <w:b/>
          <w:bCs/>
        </w:rPr>
      </w:pPr>
      <w:r>
        <w:fldChar w:fldCharType="begin"/>
      </w:r>
      <w:r>
        <w:instrText xml:space="preserve"> HYPERLINK \l "_Toc11653" </w:instrText>
      </w:r>
      <w:r>
        <w:fldChar w:fldCharType="separate"/>
      </w:r>
      <w:r>
        <w:rPr>
          <w:rFonts w:hint="eastAsia" w:ascii="宋体" w:hAnsi="宋体" w:eastAsia="宋体" w:cs="宋体"/>
          <w:b/>
          <w:bCs/>
        </w:rPr>
        <w:t>第二部分 相关资料表格</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_Toc11653 \h </w:instrText>
      </w:r>
      <w:r>
        <w:rPr>
          <w:rFonts w:hint="eastAsia" w:ascii="宋体" w:hAnsi="宋体" w:eastAsia="宋体" w:cs="宋体"/>
          <w:b/>
          <w:bCs/>
        </w:rPr>
        <w:fldChar w:fldCharType="separate"/>
      </w:r>
      <w:r>
        <w:rPr>
          <w:rFonts w:hint="eastAsia" w:ascii="宋体" w:hAnsi="宋体" w:eastAsia="宋体" w:cs="宋体"/>
          <w:b/>
          <w:bCs/>
        </w:rPr>
        <w:t>8</w:t>
      </w:r>
      <w:r>
        <w:rPr>
          <w:rFonts w:hint="eastAsia" w:ascii="宋体" w:hAnsi="宋体" w:eastAsia="宋体" w:cs="宋体"/>
          <w:b/>
          <w:bCs/>
        </w:rPr>
        <w:fldChar w:fldCharType="end"/>
      </w:r>
      <w:r>
        <w:rPr>
          <w:rFonts w:hint="eastAsia" w:ascii="宋体" w:hAnsi="宋体" w:eastAsia="宋体" w:cs="宋体"/>
          <w:b/>
          <w:bCs/>
        </w:rPr>
        <w:fldChar w:fldCharType="end"/>
      </w:r>
    </w:p>
    <w:p>
      <w:pPr>
        <w:pStyle w:val="11"/>
        <w:tabs>
          <w:tab w:val="right" w:leader="dot" w:pos="8306"/>
          <w:tab w:val="clear" w:pos="8296"/>
        </w:tabs>
        <w:spacing w:beforeLines="20" w:afterLines="20"/>
        <w:ind w:left="0" w:leftChars="0" w:firstLine="420" w:firstLineChars="200"/>
        <w:rPr>
          <w:rFonts w:ascii="宋体" w:hAnsi="宋体" w:eastAsia="宋体" w:cs="宋体"/>
        </w:rPr>
      </w:pPr>
      <w:r>
        <w:fldChar w:fldCharType="begin"/>
      </w:r>
      <w:r>
        <w:instrText xml:space="preserve"> HYPERLINK \l "_Toc20631" </w:instrText>
      </w:r>
      <w:r>
        <w:fldChar w:fldCharType="separate"/>
      </w:r>
      <w:r>
        <w:rPr>
          <w:rFonts w:hint="eastAsia" w:ascii="宋体" w:hAnsi="宋体" w:eastAsia="宋体" w:cs="宋体"/>
        </w:rPr>
        <w:t>附表一：磋商资料表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_Toc20631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420" w:firstLineChars="200"/>
        <w:rPr>
          <w:rFonts w:ascii="宋体" w:hAnsi="宋体" w:eastAsia="宋体" w:cs="宋体"/>
        </w:rPr>
      </w:pPr>
      <w:r>
        <w:fldChar w:fldCharType="begin"/>
      </w:r>
      <w:r>
        <w:instrText xml:space="preserve"> HYPERLINK \l "_Toc10689" </w:instrText>
      </w:r>
      <w:r>
        <w:fldChar w:fldCharType="separate"/>
      </w:r>
      <w:r>
        <w:rPr>
          <w:rFonts w:hint="eastAsia" w:ascii="宋体" w:hAnsi="宋体" w:eastAsia="宋体" w:cs="宋体"/>
        </w:rPr>
        <w:t>附表二：商务技术评分及价格权重表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_Toc10689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420" w:firstLineChars="200"/>
        <w:rPr>
          <w:rFonts w:ascii="宋体" w:hAnsi="宋体" w:eastAsia="宋体" w:cs="宋体"/>
        </w:rPr>
      </w:pPr>
      <w:r>
        <w:fldChar w:fldCharType="begin"/>
      </w:r>
      <w:r>
        <w:instrText xml:space="preserve"> HYPERLINK \l "_Toc24980" </w:instrText>
      </w:r>
      <w:r>
        <w:fldChar w:fldCharType="separate"/>
      </w:r>
      <w:r>
        <w:rPr>
          <w:rFonts w:hint="eastAsia" w:ascii="宋体" w:hAnsi="宋体" w:eastAsia="宋体" w:cs="宋体"/>
        </w:rPr>
        <w:t>附表三：初步审查表（含资格审查及符合性审查）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_Toc24980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420" w:firstLineChars="200"/>
        <w:rPr>
          <w:rFonts w:ascii="宋体" w:hAnsi="宋体" w:eastAsia="宋体" w:cs="宋体"/>
        </w:rPr>
      </w:pPr>
      <w:r>
        <w:fldChar w:fldCharType="begin"/>
      </w:r>
      <w:r>
        <w:instrText xml:space="preserve"> HYPERLINK \l "_Toc4314" </w:instrText>
      </w:r>
      <w:r>
        <w:fldChar w:fldCharType="separate"/>
      </w:r>
      <w:r>
        <w:rPr>
          <w:rFonts w:hint="eastAsia" w:ascii="宋体" w:hAnsi="宋体" w:eastAsia="宋体" w:cs="宋体"/>
        </w:rPr>
        <w:t>第三部分 用户需求书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_Toc4314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rPr>
          <w:rFonts w:ascii="宋体" w:hAnsi="宋体" w:eastAsia="宋体" w:cs="宋体"/>
          <w:b/>
          <w:bCs/>
        </w:rPr>
      </w:pPr>
      <w:r>
        <w:fldChar w:fldCharType="begin"/>
      </w:r>
      <w:r>
        <w:instrText xml:space="preserve"> HYPERLINK \l "_Toc4653" </w:instrText>
      </w:r>
      <w:r>
        <w:fldChar w:fldCharType="separate"/>
      </w:r>
      <w:r>
        <w:rPr>
          <w:rFonts w:hint="eastAsia" w:ascii="宋体" w:hAnsi="宋体" w:eastAsia="宋体" w:cs="宋体"/>
          <w:b/>
          <w:bCs/>
        </w:rPr>
        <w:t>第四部分 供应商须知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_Toc4653 \h </w:instrText>
      </w:r>
      <w:r>
        <w:rPr>
          <w:rFonts w:hint="eastAsia" w:ascii="宋体" w:hAnsi="宋体" w:eastAsia="宋体" w:cs="宋体"/>
          <w:b/>
          <w:bCs/>
        </w:rPr>
        <w:fldChar w:fldCharType="separate"/>
      </w:r>
      <w:r>
        <w:rPr>
          <w:rFonts w:hint="eastAsia" w:ascii="宋体" w:hAnsi="宋体" w:eastAsia="宋体" w:cs="宋体"/>
          <w:b/>
          <w:bCs/>
        </w:rPr>
        <w:t>21</w:t>
      </w:r>
      <w:r>
        <w:rPr>
          <w:rFonts w:hint="eastAsia" w:ascii="宋体" w:hAnsi="宋体" w:eastAsia="宋体" w:cs="宋体"/>
          <w:b/>
          <w:bCs/>
        </w:rPr>
        <w:fldChar w:fldCharType="end"/>
      </w:r>
      <w:r>
        <w:rPr>
          <w:rFonts w:hint="eastAsia" w:ascii="宋体" w:hAnsi="宋体" w:eastAsia="宋体" w:cs="宋体"/>
          <w:b/>
          <w:bCs/>
        </w:rPr>
        <w:fldChar w:fldCharType="end"/>
      </w:r>
    </w:p>
    <w:p>
      <w:pPr>
        <w:pStyle w:val="11"/>
        <w:tabs>
          <w:tab w:val="right" w:leader="dot" w:pos="8306"/>
          <w:tab w:val="clear" w:pos="8296"/>
        </w:tabs>
        <w:spacing w:beforeLines="20" w:afterLines="20"/>
        <w:ind w:left="0" w:leftChars="0" w:firstLine="420" w:firstLineChars="200"/>
        <w:rPr>
          <w:rFonts w:ascii="宋体" w:hAnsi="宋体" w:eastAsia="宋体" w:cs="宋体"/>
        </w:rPr>
      </w:pPr>
      <w:r>
        <w:fldChar w:fldCharType="begin"/>
      </w:r>
      <w:r>
        <w:instrText xml:space="preserve"> HYPERLINK \l "_Toc29703" </w:instrText>
      </w:r>
      <w:r>
        <w:fldChar w:fldCharType="separate"/>
      </w:r>
      <w:r>
        <w:rPr>
          <w:rFonts w:ascii="宋体" w:hAnsi="宋体" w:eastAsia="宋体" w:cs="宋体"/>
        </w:rPr>
        <w:t>一、</w:t>
      </w:r>
      <w:r>
        <w:rPr>
          <w:rFonts w:hint="eastAsia" w:ascii="宋体" w:hAnsi="宋体" w:eastAsia="宋体" w:cs="宋体"/>
        </w:rPr>
        <w:t>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_Toc29703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"_Toc8083" </w:instrText>
      </w:r>
      <w:r>
        <w:fldChar w:fldCharType="separate"/>
      </w:r>
      <w:r>
        <w:rPr>
          <w:rFonts w:hint="eastAsia" w:ascii="宋体" w:hAnsi="宋体" w:eastAsia="宋体" w:cs="宋体"/>
        </w:rPr>
        <w:t>1.适用范围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_Toc8083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"_Toc25237" </w:instrText>
      </w:r>
      <w:r>
        <w:fldChar w:fldCharType="separate"/>
      </w:r>
      <w:r>
        <w:rPr>
          <w:rFonts w:hint="eastAsia" w:ascii="宋体" w:hAnsi="宋体" w:eastAsia="宋体" w:cs="宋体"/>
        </w:rPr>
        <w:t>2.定义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_Toc25237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"_Toc24019" </w:instrText>
      </w:r>
      <w:r>
        <w:fldChar w:fldCharType="separate"/>
      </w:r>
      <w:r>
        <w:rPr>
          <w:rFonts w:hint="eastAsia" w:ascii="宋体" w:hAnsi="宋体" w:eastAsia="宋体" w:cs="宋体"/>
        </w:rPr>
        <w:t>3.货物和服务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_Toc24019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"_Toc8119" </w:instrText>
      </w:r>
      <w:r>
        <w:fldChar w:fldCharType="separate"/>
      </w:r>
      <w:r>
        <w:rPr>
          <w:rFonts w:hint="eastAsia" w:ascii="宋体" w:hAnsi="宋体" w:eastAsia="宋体" w:cs="宋体"/>
        </w:rPr>
        <w:t>4.响应费用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_Toc8119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"_Toc32220" </w:instrText>
      </w:r>
      <w:r>
        <w:fldChar w:fldCharType="separate"/>
      </w:r>
      <w:r>
        <w:rPr>
          <w:rFonts w:hint="eastAsia" w:ascii="宋体" w:hAnsi="宋体" w:eastAsia="宋体" w:cs="宋体"/>
        </w:rPr>
        <w:t>5.知识产权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_Toc32220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"_Toc31725" </w:instrText>
      </w:r>
      <w:r>
        <w:fldChar w:fldCharType="separate"/>
      </w:r>
      <w:r>
        <w:rPr>
          <w:rFonts w:hint="eastAsia" w:ascii="宋体" w:hAnsi="宋体" w:eastAsia="宋体" w:cs="宋体"/>
        </w:rPr>
        <w:t>6.关于联合体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_Toc31725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"_Toc27755" </w:instrText>
      </w:r>
      <w:r>
        <w:fldChar w:fldCharType="separate"/>
      </w:r>
      <w:r>
        <w:rPr>
          <w:rFonts w:hint="eastAsia" w:ascii="宋体" w:hAnsi="宋体" w:eastAsia="宋体" w:cs="宋体"/>
        </w:rPr>
        <w:t>7.关于分支机构响应</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_Toc27755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420" w:firstLineChars="200"/>
        <w:rPr>
          <w:rFonts w:ascii="宋体" w:hAnsi="宋体" w:eastAsia="宋体" w:cs="宋体"/>
        </w:rPr>
      </w:pPr>
      <w:r>
        <w:fldChar w:fldCharType="begin"/>
      </w:r>
      <w:r>
        <w:instrText xml:space="preserve"> HYPERLINK \l "_Toc32331" </w:instrText>
      </w:r>
      <w:r>
        <w:fldChar w:fldCharType="separate"/>
      </w:r>
      <w:r>
        <w:rPr>
          <w:rFonts w:ascii="宋体" w:hAnsi="宋体" w:eastAsia="宋体" w:cs="宋体"/>
        </w:rPr>
        <w:t>二、</w:t>
      </w:r>
      <w:r>
        <w:rPr>
          <w:rFonts w:hint="eastAsia" w:ascii="宋体" w:hAnsi="宋体" w:eastAsia="宋体" w:cs="宋体"/>
        </w:rPr>
        <w:t>磋商文件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_Toc32331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"_Toc29774" </w:instrText>
      </w:r>
      <w:r>
        <w:fldChar w:fldCharType="separate"/>
      </w:r>
      <w:r>
        <w:rPr>
          <w:rFonts w:hint="eastAsia" w:ascii="宋体" w:hAnsi="宋体" w:eastAsia="宋体" w:cs="宋体"/>
        </w:rPr>
        <w:t>8.磋商文件的组成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_Toc29774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"_Toc20046" </w:instrText>
      </w:r>
      <w:r>
        <w:fldChar w:fldCharType="separate"/>
      </w:r>
      <w:r>
        <w:rPr>
          <w:rFonts w:hint="eastAsia" w:ascii="宋体" w:hAnsi="宋体" w:eastAsia="宋体" w:cs="宋体"/>
        </w:rPr>
        <w:t>9.磋商文件的澄清或修改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_Toc20046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420" w:firstLineChars="200"/>
        <w:rPr>
          <w:rFonts w:ascii="宋体" w:hAnsi="宋体" w:eastAsia="宋体" w:cs="宋体"/>
        </w:rPr>
      </w:pPr>
      <w:r>
        <w:fldChar w:fldCharType="begin"/>
      </w:r>
      <w:r>
        <w:instrText xml:space="preserve"> HYPERLINK \l "_Toc3945" </w:instrText>
      </w:r>
      <w:r>
        <w:fldChar w:fldCharType="separate"/>
      </w:r>
      <w:r>
        <w:rPr>
          <w:rFonts w:ascii="宋体" w:hAnsi="宋体" w:eastAsia="宋体" w:cs="宋体"/>
        </w:rPr>
        <w:t>三、</w:t>
      </w:r>
      <w:r>
        <w:rPr>
          <w:rFonts w:hint="eastAsia" w:ascii="宋体" w:hAnsi="宋体" w:eastAsia="宋体" w:cs="宋体"/>
        </w:rPr>
        <w:t>响应文件的编制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_Toc3945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"_Toc5431" </w:instrText>
      </w:r>
      <w:r>
        <w:fldChar w:fldCharType="separate"/>
      </w:r>
      <w:r>
        <w:rPr>
          <w:rFonts w:hint="eastAsia" w:ascii="宋体" w:hAnsi="宋体" w:eastAsia="宋体" w:cs="宋体"/>
        </w:rPr>
        <w:t>10.响应文件的语言及度量衡单位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_Toc5431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"_Toc17694" </w:instrText>
      </w:r>
      <w:r>
        <w:fldChar w:fldCharType="separate"/>
      </w:r>
      <w:r>
        <w:rPr>
          <w:rFonts w:hint="eastAsia" w:ascii="宋体" w:hAnsi="宋体" w:eastAsia="宋体" w:cs="宋体"/>
        </w:rPr>
        <w:t>11.响应文件的组成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_Toc17694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"_Toc23396" </w:instrText>
      </w:r>
      <w:r>
        <w:fldChar w:fldCharType="separate"/>
      </w:r>
      <w:r>
        <w:rPr>
          <w:rFonts w:hint="eastAsia" w:ascii="宋体" w:hAnsi="宋体" w:eastAsia="宋体" w:cs="宋体"/>
        </w:rPr>
        <w:t>12.响应文件编制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_Toc23396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"_Toc10449" </w:instrText>
      </w:r>
      <w:r>
        <w:fldChar w:fldCharType="separate"/>
      </w:r>
      <w:r>
        <w:rPr>
          <w:rFonts w:hint="eastAsia" w:ascii="宋体" w:hAnsi="宋体" w:eastAsia="宋体" w:cs="宋体"/>
        </w:rPr>
        <w:t>13.响应报价说明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_Toc10449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"_Toc18749" </w:instrText>
      </w:r>
      <w:r>
        <w:fldChar w:fldCharType="separate"/>
      </w:r>
      <w:r>
        <w:rPr>
          <w:rFonts w:hint="eastAsia" w:ascii="宋体" w:hAnsi="宋体" w:eastAsia="宋体" w:cs="宋体"/>
        </w:rPr>
        <w:t>14.供应商所提供的服务或货物的证明文件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_Toc18749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"_Toc12457" </w:instrText>
      </w:r>
      <w:r>
        <w:fldChar w:fldCharType="separate"/>
      </w:r>
      <w:r>
        <w:rPr>
          <w:rFonts w:hint="eastAsia" w:ascii="宋体" w:hAnsi="宋体" w:eastAsia="宋体" w:cs="宋体"/>
        </w:rPr>
        <w:t>15.★响应有效期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_Toc12457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"_Toc11339" </w:instrText>
      </w:r>
      <w:r>
        <w:fldChar w:fldCharType="separate"/>
      </w:r>
      <w:r>
        <w:rPr>
          <w:rFonts w:hint="eastAsia" w:ascii="宋体" w:hAnsi="宋体" w:eastAsia="宋体" w:cs="宋体"/>
        </w:rPr>
        <w:t>16.★磋商保证金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_Toc11339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420" w:firstLineChars="200"/>
        <w:rPr>
          <w:rFonts w:ascii="宋体" w:hAnsi="宋体" w:eastAsia="宋体" w:cs="宋体"/>
        </w:rPr>
      </w:pPr>
      <w:r>
        <w:fldChar w:fldCharType="begin"/>
      </w:r>
      <w:r>
        <w:instrText xml:space="preserve"> HYPERLINK \l "_Toc11059" </w:instrText>
      </w:r>
      <w:r>
        <w:fldChar w:fldCharType="separate"/>
      </w:r>
      <w:r>
        <w:rPr>
          <w:rFonts w:ascii="宋体" w:hAnsi="宋体" w:eastAsia="宋体" w:cs="宋体"/>
        </w:rPr>
        <w:t>四、</w:t>
      </w:r>
      <w:r>
        <w:rPr>
          <w:rFonts w:hint="eastAsia" w:ascii="宋体" w:hAnsi="宋体" w:eastAsia="宋体" w:cs="宋体"/>
        </w:rPr>
        <w:t>响应文件的递交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_Toc11059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"_Toc5055" </w:instrText>
      </w:r>
      <w:r>
        <w:fldChar w:fldCharType="separate"/>
      </w:r>
      <w:r>
        <w:rPr>
          <w:rFonts w:hint="eastAsia" w:ascii="宋体" w:hAnsi="宋体" w:eastAsia="宋体" w:cs="宋体"/>
        </w:rPr>
        <w:t>17.响应文件的装订，签署，密封和标记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_Toc5055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"_Toc14913" </w:instrText>
      </w:r>
      <w:r>
        <w:fldChar w:fldCharType="separate"/>
      </w:r>
      <w:r>
        <w:rPr>
          <w:rFonts w:hint="eastAsia" w:ascii="宋体" w:hAnsi="宋体" w:eastAsia="宋体" w:cs="宋体"/>
        </w:rPr>
        <w:t>18.迟交的响应文件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_Toc14913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"_Toc13946" </w:instrText>
      </w:r>
      <w:r>
        <w:fldChar w:fldCharType="separate"/>
      </w:r>
      <w:r>
        <w:rPr>
          <w:rFonts w:hint="eastAsia" w:ascii="宋体" w:hAnsi="宋体" w:eastAsia="宋体" w:cs="宋体"/>
        </w:rPr>
        <w:t>19.磋商样品、磋商演示（如有要求）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_Toc13946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"_Toc518" </w:instrText>
      </w:r>
      <w:r>
        <w:fldChar w:fldCharType="separate"/>
      </w:r>
      <w:r>
        <w:rPr>
          <w:rFonts w:hint="eastAsia" w:ascii="宋体" w:hAnsi="宋体" w:eastAsia="宋体" w:cs="宋体"/>
        </w:rPr>
        <w:t>20.响应截止期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_Toc518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"_Toc28776" </w:instrText>
      </w:r>
      <w:r>
        <w:fldChar w:fldCharType="separate"/>
      </w:r>
      <w:r>
        <w:rPr>
          <w:rFonts w:hint="eastAsia" w:ascii="宋体" w:hAnsi="宋体" w:eastAsia="宋体" w:cs="宋体"/>
        </w:rPr>
        <w:t>21.响应文件的补充、修改与撤回</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_Toc28776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420" w:firstLineChars="200"/>
        <w:rPr>
          <w:rFonts w:ascii="宋体" w:hAnsi="宋体" w:eastAsia="宋体" w:cs="宋体"/>
        </w:rPr>
      </w:pPr>
      <w:r>
        <w:fldChar w:fldCharType="begin"/>
      </w:r>
      <w:r>
        <w:instrText xml:space="preserve"> HYPERLINK \l "_Toc15649" </w:instrText>
      </w:r>
      <w:r>
        <w:fldChar w:fldCharType="separate"/>
      </w:r>
      <w:r>
        <w:rPr>
          <w:rFonts w:ascii="宋体" w:hAnsi="宋体" w:eastAsia="宋体" w:cs="宋体"/>
        </w:rPr>
        <w:t>五、</w:t>
      </w:r>
      <w:r>
        <w:rPr>
          <w:rFonts w:hint="eastAsia" w:ascii="宋体" w:hAnsi="宋体" w:eastAsia="宋体" w:cs="宋体"/>
        </w:rPr>
        <w:t>磋商与评审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_Toc15649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"_Toc11914" </w:instrText>
      </w:r>
      <w:r>
        <w:fldChar w:fldCharType="separate"/>
      </w:r>
      <w:r>
        <w:rPr>
          <w:rFonts w:hint="eastAsia" w:ascii="宋体" w:hAnsi="宋体" w:eastAsia="宋体" w:cs="宋体"/>
        </w:rPr>
        <w:t>22.磋商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_Toc11914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"_Toc13823" </w:instrText>
      </w:r>
      <w:r>
        <w:fldChar w:fldCharType="separate"/>
      </w:r>
      <w:r>
        <w:rPr>
          <w:rFonts w:hint="eastAsia" w:ascii="宋体" w:hAnsi="宋体" w:eastAsia="宋体" w:cs="宋体"/>
        </w:rPr>
        <w:t>23.磋商小组及评审方法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_Toc13823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"_Toc9540" </w:instrText>
      </w:r>
      <w:r>
        <w:fldChar w:fldCharType="separate"/>
      </w:r>
      <w:r>
        <w:rPr>
          <w:rFonts w:hint="eastAsia" w:ascii="宋体" w:hAnsi="宋体" w:eastAsia="宋体" w:cs="宋体"/>
        </w:rPr>
        <w:t>24.评审原则及评审过程的保密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_Toc9540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"_Toc15479" </w:instrText>
      </w:r>
      <w:r>
        <w:fldChar w:fldCharType="separate"/>
      </w:r>
      <w:r>
        <w:rPr>
          <w:rFonts w:hint="eastAsia" w:ascii="宋体" w:hAnsi="宋体" w:eastAsia="宋体" w:cs="宋体"/>
        </w:rPr>
        <w:t>25.响应文件的初审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_Toc15479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"_Toc9736" </w:instrText>
      </w:r>
      <w:r>
        <w:fldChar w:fldCharType="separate"/>
      </w:r>
      <w:r>
        <w:rPr>
          <w:rFonts w:hint="eastAsia" w:ascii="宋体" w:hAnsi="宋体" w:eastAsia="宋体" w:cs="宋体"/>
        </w:rPr>
        <w:t>26.商务、技术、价格评审（具体评审项目详见磋商资料表）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_Toc9736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"_Toc325" </w:instrText>
      </w:r>
      <w:r>
        <w:fldChar w:fldCharType="separate"/>
      </w:r>
      <w:r>
        <w:rPr>
          <w:rFonts w:hint="eastAsia" w:ascii="宋体" w:hAnsi="宋体" w:eastAsia="宋体" w:cs="宋体"/>
        </w:rPr>
        <w:t>27.优惠政策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_Toc325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"_Toc30573" </w:instrText>
      </w:r>
      <w:r>
        <w:fldChar w:fldCharType="separate"/>
      </w:r>
      <w:r>
        <w:rPr>
          <w:rFonts w:hint="eastAsia" w:ascii="宋体" w:hAnsi="宋体" w:eastAsia="宋体" w:cs="宋体"/>
        </w:rPr>
        <w:t>28.纪律和保密事项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_Toc30573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420" w:firstLineChars="200"/>
        <w:rPr>
          <w:rFonts w:ascii="宋体" w:hAnsi="宋体" w:eastAsia="宋体" w:cs="宋体"/>
        </w:rPr>
      </w:pPr>
      <w:r>
        <w:fldChar w:fldCharType="begin"/>
      </w:r>
      <w:r>
        <w:instrText xml:space="preserve"> HYPERLINK \l "_Toc20038" </w:instrText>
      </w:r>
      <w:r>
        <w:fldChar w:fldCharType="separate"/>
      </w:r>
      <w:r>
        <w:rPr>
          <w:rFonts w:ascii="宋体" w:hAnsi="宋体" w:eastAsia="宋体" w:cs="宋体"/>
        </w:rPr>
        <w:t>六、</w:t>
      </w:r>
      <w:r>
        <w:rPr>
          <w:rFonts w:hint="eastAsia" w:ascii="宋体" w:hAnsi="宋体" w:eastAsia="宋体" w:cs="宋体"/>
        </w:rPr>
        <w:t>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_Toc20038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"_Toc27383" </w:instrText>
      </w:r>
      <w:r>
        <w:fldChar w:fldCharType="separate"/>
      </w:r>
      <w:r>
        <w:rPr>
          <w:rFonts w:hint="eastAsia" w:ascii="宋体" w:hAnsi="宋体" w:eastAsia="宋体" w:cs="宋体"/>
        </w:rPr>
        <w:t>29.确定成交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_Toc27383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"_Toc2468" </w:instrText>
      </w:r>
      <w:r>
        <w:fldChar w:fldCharType="separate"/>
      </w:r>
      <w:r>
        <w:rPr>
          <w:rFonts w:hint="eastAsia" w:ascii="宋体" w:hAnsi="宋体" w:eastAsia="宋体" w:cs="宋体"/>
        </w:rPr>
        <w:t>30.发布采购结果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_Toc2468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"_Toc1555" </w:instrText>
      </w:r>
      <w:r>
        <w:fldChar w:fldCharType="separate"/>
      </w:r>
      <w:r>
        <w:rPr>
          <w:rFonts w:hint="eastAsia" w:ascii="宋体" w:hAnsi="宋体" w:eastAsia="宋体" w:cs="宋体"/>
        </w:rPr>
        <w:t>31.合同的签订与履行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_Toc1555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"_Toc9041" </w:instrText>
      </w:r>
      <w:r>
        <w:fldChar w:fldCharType="separate"/>
      </w:r>
      <w:r>
        <w:rPr>
          <w:rFonts w:hint="eastAsia" w:ascii="宋体" w:hAnsi="宋体" w:eastAsia="宋体" w:cs="宋体"/>
        </w:rPr>
        <w:t>32.履约保证金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_Toc9041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420" w:firstLineChars="200"/>
        <w:rPr>
          <w:rFonts w:ascii="宋体" w:hAnsi="宋体" w:eastAsia="宋体" w:cs="宋体"/>
        </w:rPr>
      </w:pPr>
      <w:r>
        <w:fldChar w:fldCharType="begin"/>
      </w:r>
      <w:r>
        <w:instrText xml:space="preserve"> HYPERLINK \l "_Toc17979" </w:instrText>
      </w:r>
      <w:r>
        <w:fldChar w:fldCharType="separate"/>
      </w:r>
      <w:r>
        <w:rPr>
          <w:rFonts w:hint="eastAsia" w:ascii="宋体" w:hAnsi="宋体" w:eastAsia="宋体" w:cs="宋体"/>
        </w:rPr>
        <w:t>七</w:t>
      </w:r>
      <w:r>
        <w:rPr>
          <w:rFonts w:ascii="宋体" w:hAnsi="宋体" w:eastAsia="宋体" w:cs="宋体"/>
        </w:rPr>
        <w:t>、</w:t>
      </w:r>
      <w:r>
        <w:rPr>
          <w:rFonts w:hint="eastAsia" w:ascii="宋体" w:hAnsi="宋体" w:eastAsia="宋体" w:cs="宋体"/>
        </w:rPr>
        <w:t>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_Toc17979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"_Toc28585" </w:instrText>
      </w:r>
      <w:r>
        <w:fldChar w:fldCharType="separate"/>
      </w:r>
      <w:r>
        <w:rPr>
          <w:rFonts w:hint="eastAsia" w:ascii="宋体" w:hAnsi="宋体" w:eastAsia="宋体" w:cs="宋体"/>
        </w:rPr>
        <w:t>35.磋商文件的解释权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_Toc28585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rPr>
          <w:rFonts w:ascii="宋体" w:hAnsi="宋体" w:eastAsia="宋体" w:cs="宋体"/>
          <w:b/>
          <w:bCs/>
        </w:rPr>
      </w:pPr>
      <w:r>
        <w:fldChar w:fldCharType="begin"/>
      </w:r>
      <w:r>
        <w:instrText xml:space="preserve"> HYPERLINK \l "_Toc24157" </w:instrText>
      </w:r>
      <w:r>
        <w:fldChar w:fldCharType="separate"/>
      </w:r>
      <w:r>
        <w:rPr>
          <w:rFonts w:hint="eastAsia" w:ascii="宋体" w:hAnsi="宋体" w:eastAsia="宋体" w:cs="宋体"/>
          <w:b/>
          <w:bCs/>
        </w:rPr>
        <w:t>第五部分 合同格式（仅供参考）</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_Toc24157 \h </w:instrText>
      </w:r>
      <w:r>
        <w:rPr>
          <w:rFonts w:hint="eastAsia" w:ascii="宋体" w:hAnsi="宋体" w:eastAsia="宋体" w:cs="宋体"/>
          <w:b/>
          <w:bCs/>
        </w:rPr>
        <w:fldChar w:fldCharType="separate"/>
      </w:r>
      <w:r>
        <w:rPr>
          <w:rFonts w:hint="eastAsia" w:ascii="宋体" w:hAnsi="宋体" w:eastAsia="宋体" w:cs="宋体"/>
          <w:b/>
          <w:bCs/>
        </w:rPr>
        <w:t>39</w:t>
      </w:r>
      <w:r>
        <w:rPr>
          <w:rFonts w:hint="eastAsia" w:ascii="宋体" w:hAnsi="宋体" w:eastAsia="宋体" w:cs="宋体"/>
          <w:b/>
          <w:bCs/>
        </w:rPr>
        <w:fldChar w:fldCharType="end"/>
      </w:r>
      <w:r>
        <w:rPr>
          <w:rFonts w:hint="eastAsia" w:ascii="宋体" w:hAnsi="宋体" w:eastAsia="宋体" w:cs="宋体"/>
          <w:b/>
          <w:bCs/>
        </w:rPr>
        <w:fldChar w:fldCharType="end"/>
      </w:r>
    </w:p>
    <w:p>
      <w:pPr>
        <w:pStyle w:val="11"/>
        <w:tabs>
          <w:tab w:val="right" w:leader="dot" w:pos="8306"/>
          <w:tab w:val="clear" w:pos="8296"/>
        </w:tabs>
        <w:spacing w:beforeLines="20" w:afterLines="20"/>
        <w:ind w:left="0" w:leftChars="0" w:firstLine="420" w:firstLineChars="200"/>
        <w:rPr>
          <w:rFonts w:ascii="宋体" w:hAnsi="宋体" w:eastAsia="宋体" w:cs="宋体"/>
        </w:rPr>
      </w:pPr>
      <w:r>
        <w:fldChar w:fldCharType="begin"/>
      </w:r>
      <w:r>
        <w:instrText xml:space="preserve"> HYPERLINK \l "_Toc26105" </w:instrText>
      </w:r>
      <w:r>
        <w:fldChar w:fldCharType="separate"/>
      </w:r>
      <w:r>
        <w:rPr>
          <w:rFonts w:hint="eastAsia" w:ascii="宋体" w:hAnsi="宋体" w:eastAsia="宋体" w:cs="宋体"/>
        </w:rPr>
        <w:t>合同格式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_Toc26105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rPr>
          <w:rFonts w:ascii="宋体" w:hAnsi="宋体" w:eastAsia="宋体" w:cs="宋体"/>
          <w:b/>
          <w:bCs/>
        </w:rPr>
      </w:pPr>
      <w:r>
        <w:fldChar w:fldCharType="begin"/>
      </w:r>
      <w:r>
        <w:instrText xml:space="preserve"> HYPERLINK \l "_Toc21996" </w:instrText>
      </w:r>
      <w:r>
        <w:fldChar w:fldCharType="separate"/>
      </w:r>
      <w:r>
        <w:rPr>
          <w:rFonts w:hint="eastAsia" w:ascii="宋体" w:hAnsi="宋体" w:eastAsia="宋体" w:cs="宋体"/>
          <w:b/>
          <w:bCs/>
        </w:rPr>
        <w:t>第六部分  附件－响应文件格式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_Toc21996 \h </w:instrText>
      </w:r>
      <w:r>
        <w:rPr>
          <w:rFonts w:hint="eastAsia" w:ascii="宋体" w:hAnsi="宋体" w:eastAsia="宋体" w:cs="宋体"/>
          <w:b/>
          <w:bCs/>
        </w:rPr>
        <w:fldChar w:fldCharType="separate"/>
      </w:r>
      <w:r>
        <w:rPr>
          <w:rFonts w:hint="eastAsia" w:ascii="宋体" w:hAnsi="宋体" w:eastAsia="宋体" w:cs="宋体"/>
          <w:b/>
          <w:bCs/>
        </w:rPr>
        <w:t>48</w:t>
      </w:r>
      <w:r>
        <w:rPr>
          <w:rFonts w:hint="eastAsia" w:ascii="宋体" w:hAnsi="宋体" w:eastAsia="宋体" w:cs="宋体"/>
          <w:b/>
          <w:bCs/>
        </w:rPr>
        <w:fldChar w:fldCharType="end"/>
      </w:r>
      <w:r>
        <w:rPr>
          <w:rFonts w:hint="eastAsia" w:ascii="宋体" w:hAnsi="宋体" w:eastAsia="宋体" w:cs="宋体"/>
          <w:b/>
          <w:bCs/>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"_Toc11241" </w:instrText>
      </w:r>
      <w:r>
        <w:fldChar w:fldCharType="separate"/>
      </w:r>
      <w:r>
        <w:rPr>
          <w:rFonts w:hint="eastAsia" w:ascii="宋体" w:hAnsi="宋体" w:eastAsia="宋体" w:cs="宋体"/>
        </w:rPr>
        <w:t>附件1.响应文件目录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_Toc11241 \h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"_Toc18913" </w:instrText>
      </w:r>
      <w:r>
        <w:fldChar w:fldCharType="separate"/>
      </w:r>
      <w:r>
        <w:rPr>
          <w:rFonts w:hint="eastAsia" w:ascii="宋体" w:hAnsi="宋体" w:eastAsia="宋体" w:cs="宋体"/>
        </w:rPr>
        <w:t>附件1-1 评分标准索引表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_Toc18913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"_Toc7131" </w:instrText>
      </w:r>
      <w:r>
        <w:fldChar w:fldCharType="separate"/>
      </w:r>
      <w:r>
        <w:rPr>
          <w:rFonts w:hint="eastAsia" w:ascii="宋体" w:hAnsi="宋体" w:eastAsia="宋体" w:cs="宋体"/>
        </w:rPr>
        <w:t>附件2.响应书格式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_Toc7131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"_Toc16183" </w:instrText>
      </w:r>
      <w:r>
        <w:fldChar w:fldCharType="separate"/>
      </w:r>
      <w:r>
        <w:rPr>
          <w:rFonts w:hint="eastAsia" w:ascii="宋体" w:hAnsi="宋体" w:eastAsia="宋体" w:cs="宋体"/>
        </w:rPr>
        <w:t>附件3.报价一览表格式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_Toc16183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"_Toc29307" </w:instrText>
      </w:r>
      <w:r>
        <w:fldChar w:fldCharType="separate"/>
      </w:r>
      <w:r>
        <w:rPr>
          <w:rFonts w:hint="eastAsia" w:ascii="宋体" w:hAnsi="宋体" w:eastAsia="宋体" w:cs="宋体"/>
        </w:rPr>
        <w:t>附件4.分项报价表格式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_Toc29307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"_Toc1306" </w:instrText>
      </w:r>
      <w:r>
        <w:fldChar w:fldCharType="separate"/>
      </w:r>
      <w:r>
        <w:rPr>
          <w:rFonts w:hint="eastAsia" w:ascii="宋体" w:hAnsi="宋体" w:eastAsia="宋体" w:cs="宋体"/>
        </w:rPr>
        <w:t>附件5.法定代表人证明书格式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_Toc1306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"_Toc31397" </w:instrText>
      </w:r>
      <w:r>
        <w:fldChar w:fldCharType="separate"/>
      </w:r>
      <w:r>
        <w:rPr>
          <w:rFonts w:hint="eastAsia" w:ascii="宋体" w:hAnsi="宋体" w:eastAsia="宋体" w:cs="宋体"/>
        </w:rPr>
        <w:t>附件6.法定代表人授权书格式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_Toc31397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"_Toc14777" </w:instrText>
      </w:r>
      <w:r>
        <w:fldChar w:fldCharType="separate"/>
      </w:r>
      <w:r>
        <w:rPr>
          <w:rFonts w:hint="eastAsia" w:ascii="宋体" w:hAnsi="宋体" w:eastAsia="宋体" w:cs="宋体"/>
        </w:rPr>
        <w:t>附件7.资格申明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_Toc14777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"_Toc26001" </w:instrText>
      </w:r>
      <w:r>
        <w:fldChar w:fldCharType="separate"/>
      </w:r>
      <w:r>
        <w:rPr>
          <w:rFonts w:hint="eastAsia" w:ascii="宋体" w:hAnsi="宋体" w:eastAsia="宋体" w:cs="宋体"/>
        </w:rPr>
        <w:t>附件8.营业执照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_Toc26001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"_Toc3647" </w:instrText>
      </w:r>
      <w:r>
        <w:fldChar w:fldCharType="separate"/>
      </w:r>
      <w:r>
        <w:rPr>
          <w:rFonts w:hint="eastAsia" w:ascii="宋体" w:hAnsi="宋体" w:eastAsia="宋体" w:cs="宋体"/>
        </w:rPr>
        <w:t>附件9.相关资质证明文件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_Toc3647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"_Toc6466" </w:instrText>
      </w:r>
      <w:r>
        <w:fldChar w:fldCharType="separate"/>
      </w:r>
      <w:r>
        <w:rPr>
          <w:rFonts w:hint="eastAsia" w:ascii="宋体" w:hAnsi="宋体" w:eastAsia="宋体" w:cs="宋体"/>
        </w:rPr>
        <w:t>附件10.商务条款偏离表格式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_Toc6466 \h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"_Toc3076" </w:instrText>
      </w:r>
      <w:r>
        <w:fldChar w:fldCharType="separate"/>
      </w:r>
      <w:r>
        <w:rPr>
          <w:rFonts w:hint="eastAsia" w:ascii="宋体" w:hAnsi="宋体" w:eastAsia="宋体" w:cs="宋体"/>
        </w:rPr>
        <w:t>附件11.技术条款偏离表格式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_Toc3076 \h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"_Toc20363" </w:instrText>
      </w:r>
      <w:r>
        <w:fldChar w:fldCharType="separate"/>
      </w:r>
      <w:r>
        <w:rPr>
          <w:rFonts w:hint="eastAsia" w:ascii="宋体" w:hAnsi="宋体" w:eastAsia="宋体" w:cs="宋体"/>
        </w:rPr>
        <w:t>附件12.重要技术参数（▲）响应表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_Toc20363 \h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"_Toc17609" </w:instrText>
      </w:r>
      <w:r>
        <w:fldChar w:fldCharType="separate"/>
      </w:r>
      <w:r>
        <w:rPr>
          <w:rFonts w:hint="eastAsia" w:ascii="宋体" w:hAnsi="宋体" w:eastAsia="宋体" w:cs="宋体"/>
        </w:rPr>
        <w:t>附件13.业绩表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_Toc17609 \h </w:instrText>
      </w:r>
      <w:r>
        <w:rPr>
          <w:rFonts w:hint="eastAsia" w:ascii="宋体" w:hAnsi="宋体" w:eastAsia="宋体" w:cs="宋体"/>
        </w:rPr>
        <w:fldChar w:fldCharType="separate"/>
      </w:r>
      <w:r>
        <w:rPr>
          <w:rFonts w:hint="eastAsia" w:ascii="宋体" w:hAnsi="宋体" w:eastAsia="宋体" w:cs="宋体"/>
        </w:rPr>
        <w:t>62</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"_Toc6162" </w:instrText>
      </w:r>
      <w:r>
        <w:fldChar w:fldCharType="separate"/>
      </w:r>
      <w:r>
        <w:rPr>
          <w:rFonts w:hint="eastAsia" w:ascii="宋体" w:hAnsi="宋体" w:eastAsia="宋体" w:cs="宋体"/>
        </w:rPr>
        <w:t>附件14.项目实施方案格式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_Toc6162 \h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"_Toc13274" </w:instrText>
      </w:r>
      <w:r>
        <w:fldChar w:fldCharType="separate"/>
      </w:r>
      <w:r>
        <w:rPr>
          <w:rFonts w:hint="eastAsia" w:ascii="宋体" w:hAnsi="宋体" w:eastAsia="宋体" w:cs="宋体"/>
        </w:rPr>
        <w:t>附件15.实施本项目的有关人员资料表格式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_Toc13274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"_Toc2178" </w:instrText>
      </w:r>
      <w:r>
        <w:fldChar w:fldCharType="separate"/>
      </w:r>
      <w:r>
        <w:rPr>
          <w:rFonts w:hint="eastAsia" w:ascii="宋体" w:hAnsi="宋体" w:eastAsia="宋体" w:cs="宋体"/>
        </w:rPr>
        <w:t>附件16.货物说明一览表格式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_Toc2178 \h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"_Toc6077" </w:instrText>
      </w:r>
      <w:r>
        <w:fldChar w:fldCharType="separate"/>
      </w:r>
      <w:r>
        <w:rPr>
          <w:rFonts w:hint="eastAsia" w:ascii="宋体" w:hAnsi="宋体" w:eastAsia="宋体" w:cs="宋体"/>
        </w:rPr>
        <w:t>附件17.在经营活动中没有重大违法记录的书面声明格式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_Toc6077 \h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"_Toc29416" </w:instrText>
      </w:r>
      <w:r>
        <w:fldChar w:fldCharType="separate"/>
      </w:r>
      <w:r>
        <w:rPr>
          <w:rFonts w:hint="eastAsia" w:ascii="宋体" w:hAnsi="宋体" w:eastAsia="宋体" w:cs="宋体"/>
        </w:rPr>
        <w:t>附件18.磋商保证金汇入情况说明格式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_Toc29416 \h </w:instrText>
      </w:r>
      <w:r>
        <w:rPr>
          <w:rFonts w:hint="eastAsia" w:ascii="宋体" w:hAnsi="宋体" w:eastAsia="宋体" w:cs="宋体"/>
        </w:rPr>
        <w:fldChar w:fldCharType="separate"/>
      </w:r>
      <w:r>
        <w:rPr>
          <w:rFonts w:hint="eastAsia" w:ascii="宋体" w:hAnsi="宋体" w:eastAsia="宋体" w:cs="宋体"/>
        </w:rPr>
        <w:t>67</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rPr>
          <w:rFonts w:ascii="宋体" w:hAnsi="宋体" w:eastAsia="宋体" w:cs="宋体"/>
          <w:b/>
          <w:bCs/>
        </w:rPr>
      </w:pPr>
      <w:r>
        <w:fldChar w:fldCharType="begin"/>
      </w:r>
      <w:r>
        <w:instrText xml:space="preserve"> HYPERLINK \l "_Toc30082" </w:instrText>
      </w:r>
      <w:r>
        <w:fldChar w:fldCharType="separate"/>
      </w:r>
      <w:r>
        <w:rPr>
          <w:rFonts w:hint="eastAsia" w:ascii="宋体" w:hAnsi="宋体" w:eastAsia="宋体" w:cs="宋体"/>
          <w:b/>
          <w:bCs/>
        </w:rPr>
        <w:t>第七部分 附件-报价文件格式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_Toc30082 \h </w:instrText>
      </w:r>
      <w:r>
        <w:rPr>
          <w:rFonts w:hint="eastAsia" w:ascii="宋体" w:hAnsi="宋体" w:eastAsia="宋体" w:cs="宋体"/>
          <w:b/>
          <w:bCs/>
        </w:rPr>
        <w:fldChar w:fldCharType="separate"/>
      </w:r>
      <w:r>
        <w:rPr>
          <w:rFonts w:hint="eastAsia" w:ascii="宋体" w:hAnsi="宋体" w:eastAsia="宋体" w:cs="宋体"/>
          <w:b/>
          <w:bCs/>
        </w:rPr>
        <w:t>69</w:t>
      </w:r>
      <w:r>
        <w:rPr>
          <w:rFonts w:hint="eastAsia" w:ascii="宋体" w:hAnsi="宋体" w:eastAsia="宋体" w:cs="宋体"/>
          <w:b/>
          <w:bCs/>
        </w:rPr>
        <w:fldChar w:fldCharType="end"/>
      </w:r>
      <w:r>
        <w:rPr>
          <w:rFonts w:hint="eastAsia" w:ascii="宋体" w:hAnsi="宋体" w:eastAsia="宋体" w:cs="宋体"/>
          <w:b/>
          <w:bCs/>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"_Toc25936" </w:instrText>
      </w:r>
      <w:r>
        <w:fldChar w:fldCharType="separate"/>
      </w:r>
      <w:r>
        <w:rPr>
          <w:rFonts w:hint="eastAsia" w:ascii="宋体" w:hAnsi="宋体" w:eastAsia="宋体" w:cs="宋体"/>
        </w:rPr>
        <w:t>附件1.报价一览表格式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_Toc25936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"_Toc21316" </w:instrText>
      </w:r>
      <w:r>
        <w:fldChar w:fldCharType="separate"/>
      </w:r>
      <w:r>
        <w:rPr>
          <w:rFonts w:hint="eastAsia" w:ascii="宋体" w:hAnsi="宋体" w:eastAsia="宋体" w:cs="宋体"/>
        </w:rPr>
        <w:t>附件2.法定代表人证明书格式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_Toc21316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"_Toc9407" </w:instrText>
      </w:r>
      <w:r>
        <w:fldChar w:fldCharType="separate"/>
      </w:r>
      <w:r>
        <w:rPr>
          <w:rFonts w:hint="eastAsia" w:ascii="宋体" w:hAnsi="宋体" w:eastAsia="宋体" w:cs="宋体"/>
        </w:rPr>
        <w:t>附件3.法定代表人授权书格式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_Toc9407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"_Toc9213" </w:instrText>
      </w:r>
      <w:r>
        <w:fldChar w:fldCharType="separate"/>
      </w:r>
      <w:r>
        <w:rPr>
          <w:rFonts w:hint="eastAsia" w:ascii="宋体" w:hAnsi="宋体" w:eastAsia="宋体" w:cs="宋体"/>
        </w:rPr>
        <w:t>附件4.磋商保证金汇入情况说明格式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_Toc9213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rPr>
          <w:rFonts w:ascii="宋体" w:hAnsi="宋体" w:eastAsia="宋体" w:cs="宋体"/>
          <w:b/>
          <w:bCs/>
        </w:rPr>
      </w:pPr>
      <w:r>
        <w:fldChar w:fldCharType="begin"/>
      </w:r>
      <w:r>
        <w:instrText xml:space="preserve"> HYPERLINK \l "_Toc14884" </w:instrText>
      </w:r>
      <w:r>
        <w:fldChar w:fldCharType="separate"/>
      </w:r>
      <w:r>
        <w:rPr>
          <w:rFonts w:hint="eastAsia" w:ascii="宋体" w:hAnsi="宋体" w:eastAsia="宋体" w:cs="宋体"/>
          <w:b/>
          <w:bCs/>
        </w:rPr>
        <w:t>第八部分 附件-其他文件格式（如有需求）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_Toc14884 \h </w:instrText>
      </w:r>
      <w:r>
        <w:rPr>
          <w:rFonts w:hint="eastAsia" w:ascii="宋体" w:hAnsi="宋体" w:eastAsia="宋体" w:cs="宋体"/>
          <w:b/>
          <w:bCs/>
        </w:rPr>
        <w:fldChar w:fldCharType="separate"/>
      </w:r>
      <w:r>
        <w:rPr>
          <w:rFonts w:hint="eastAsia" w:ascii="宋体" w:hAnsi="宋体" w:eastAsia="宋体" w:cs="宋体"/>
          <w:b/>
          <w:bCs/>
        </w:rPr>
        <w:t>70</w:t>
      </w:r>
      <w:r>
        <w:rPr>
          <w:rFonts w:hint="eastAsia" w:ascii="宋体" w:hAnsi="宋体" w:eastAsia="宋体" w:cs="宋体"/>
          <w:b/>
          <w:bCs/>
        </w:rPr>
        <w:fldChar w:fldCharType="end"/>
      </w:r>
      <w:r>
        <w:rPr>
          <w:rFonts w:hint="eastAsia" w:ascii="宋体" w:hAnsi="宋体" w:eastAsia="宋体" w:cs="宋体"/>
          <w:b/>
          <w:bCs/>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"_Toc12086" </w:instrText>
      </w:r>
      <w:r>
        <w:fldChar w:fldCharType="separate"/>
      </w:r>
      <w:r>
        <w:rPr>
          <w:rFonts w:hint="eastAsia" w:ascii="宋体" w:hAnsi="宋体" w:eastAsia="宋体" w:cs="宋体"/>
        </w:rPr>
        <w:t>附件1.中小企业声明函（供应商为中小企业时适用）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_Toc12086 \h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"_Toc4061" </w:instrText>
      </w:r>
      <w:r>
        <w:fldChar w:fldCharType="separate"/>
      </w:r>
      <w:r>
        <w:rPr>
          <w:rFonts w:hint="eastAsia" w:ascii="宋体" w:hAnsi="宋体" w:eastAsia="宋体" w:cs="宋体"/>
        </w:rPr>
        <w:t>附件2.《残疾人福利性单位声明函》（残疾人福利性单位适用）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_Toc4061 \h </w:instrText>
      </w:r>
      <w:r>
        <w:rPr>
          <w:rFonts w:hint="eastAsia" w:ascii="宋体" w:hAnsi="宋体" w:eastAsia="宋体" w:cs="宋体"/>
        </w:rPr>
        <w:fldChar w:fldCharType="separate"/>
      </w:r>
      <w:r>
        <w:rPr>
          <w:rFonts w:hint="eastAsia" w:ascii="宋体" w:hAnsi="宋体" w:eastAsia="宋体" w:cs="宋体"/>
        </w:rPr>
        <w:t>73</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"_Toc13115" </w:instrText>
      </w:r>
      <w:r>
        <w:fldChar w:fldCharType="separate"/>
      </w:r>
      <w:r>
        <w:rPr>
          <w:rFonts w:hint="eastAsia" w:ascii="宋体" w:hAnsi="宋体" w:eastAsia="宋体" w:cs="宋体"/>
        </w:rPr>
        <w:t>附件3.采购担保函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_Toc13115 \h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cs="宋体"/>
        </w:rPr>
      </w:pPr>
      <w:r>
        <w:fldChar w:fldCharType="begin"/>
      </w:r>
      <w:r>
        <w:instrText xml:space="preserve"> HYPERLINK \l "_Toc14361" </w:instrText>
      </w:r>
      <w:r>
        <w:fldChar w:fldCharType="separate"/>
      </w:r>
      <w:r>
        <w:rPr>
          <w:rFonts w:hint="eastAsia" w:ascii="宋体" w:hAnsi="宋体" w:eastAsia="宋体" w:cs="宋体"/>
        </w:rPr>
        <w:t>附件4.履约担保函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_Toc14361 \h </w:instrText>
      </w:r>
      <w:r>
        <w:rPr>
          <w:rFonts w:hint="eastAsia" w:ascii="宋体" w:hAnsi="宋体" w:eastAsia="宋体" w:cs="宋体"/>
        </w:rPr>
        <w:fldChar w:fldCharType="separate"/>
      </w:r>
      <w:r>
        <w:rPr>
          <w:rFonts w:hint="eastAsia" w:ascii="宋体" w:hAnsi="宋体" w:eastAsia="宋体" w:cs="宋体"/>
        </w:rPr>
        <w:t>76</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spacing w:beforeLines="20" w:afterLines="20"/>
        <w:ind w:left="0" w:leftChars="0" w:firstLine="840" w:firstLineChars="400"/>
        <w:rPr>
          <w:rFonts w:ascii="宋体" w:hAnsi="宋体" w:eastAsia="宋体"/>
          <w:sz w:val="20"/>
          <w:szCs w:val="18"/>
        </w:rPr>
      </w:pPr>
      <w:r>
        <w:fldChar w:fldCharType="begin"/>
      </w:r>
      <w:r>
        <w:instrText xml:space="preserve"> HYPERLINK \l "_Toc7848" </w:instrText>
      </w:r>
      <w:r>
        <w:fldChar w:fldCharType="separate"/>
      </w:r>
      <w:r>
        <w:rPr>
          <w:rFonts w:hint="eastAsia" w:ascii="宋体" w:hAnsi="宋体" w:eastAsia="宋体" w:cs="宋体"/>
        </w:rPr>
        <w:t>附件5.获取磋商文件登记表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_Toc7848 \h </w:instrText>
      </w:r>
      <w:r>
        <w:rPr>
          <w:rFonts w:hint="eastAsia" w:ascii="宋体" w:hAnsi="宋体" w:eastAsia="宋体" w:cs="宋体"/>
        </w:rPr>
        <w:fldChar w:fldCharType="separate"/>
      </w:r>
      <w:r>
        <w:rPr>
          <w:rFonts w:hint="eastAsia" w:ascii="宋体" w:hAnsi="宋体" w:eastAsia="宋体" w:cs="宋体"/>
        </w:rPr>
        <w:t>79</w:t>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sz w:val="20"/>
          <w:szCs w:val="20"/>
        </w:rPr>
        <w:fldChar w:fldCharType="end"/>
      </w:r>
      <w:r>
        <w:rPr>
          <w:rFonts w:hint="eastAsia" w:ascii="宋体" w:hAnsi="宋体" w:eastAsia="宋体"/>
          <w:sz w:val="20"/>
          <w:szCs w:val="18"/>
        </w:rPr>
        <w:br w:type="page"/>
      </w:r>
    </w:p>
    <w:p>
      <w:pPr>
        <w:pStyle w:val="4"/>
        <w:spacing w:before="0" w:after="0" w:line="240" w:lineRule="auto"/>
        <w:rPr>
          <w:sz w:val="28"/>
          <w:szCs w:val="28"/>
        </w:rPr>
      </w:pPr>
      <w:bookmarkStart w:id="0" w:name="_Toc15103"/>
      <w:bookmarkStart w:id="1" w:name="_Toc28294"/>
      <w:bookmarkStart w:id="2" w:name="_Toc14052"/>
      <w:r>
        <w:rPr>
          <w:rFonts w:hint="eastAsia"/>
          <w:sz w:val="28"/>
          <w:szCs w:val="28"/>
        </w:rPr>
        <w:t>第一部分磋商邀请</w:t>
      </w:r>
      <w:bookmarkEnd w:id="0"/>
      <w:bookmarkEnd w:id="1"/>
      <w:bookmarkEnd w:id="2"/>
    </w:p>
    <w:p>
      <w:pPr>
        <w:pStyle w:val="6"/>
        <w:spacing w:before="0" w:after="0" w:line="360" w:lineRule="auto"/>
        <w:jc w:val="center"/>
        <w:rPr>
          <w:rFonts w:ascii="宋体" w:hAnsi="宋体" w:eastAsia="宋体" w:cs="宋体"/>
        </w:rPr>
      </w:pPr>
      <w:bookmarkStart w:id="3" w:name="_Toc31803"/>
      <w:r>
        <w:rPr>
          <w:rFonts w:hint="eastAsia" w:ascii="宋体" w:hAnsi="宋体" w:eastAsia="宋体" w:cs="宋体"/>
        </w:rPr>
        <w:t>磋商邀请函</w:t>
      </w:r>
      <w:bookmarkEnd w:id="3"/>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三方诚信招标有限公司东莞分公司</w:t>
      </w:r>
      <w:r>
        <w:rPr>
          <w:rFonts w:ascii="宋体" w:hAnsi="宋体" w:eastAsia="宋体"/>
          <w:sz w:val="21"/>
          <w:szCs w:val="21"/>
        </w:rPr>
        <w:t>（以下简称</w:t>
      </w:r>
      <w:r>
        <w:rPr>
          <w:rFonts w:hint="eastAsia" w:ascii="宋体" w:hAnsi="宋体" w:eastAsia="宋体"/>
          <w:sz w:val="21"/>
          <w:szCs w:val="21"/>
        </w:rPr>
        <w:t>“采购代理机构”</w:t>
      </w:r>
      <w:r>
        <w:rPr>
          <w:rFonts w:ascii="宋体" w:hAnsi="宋体" w:eastAsia="宋体"/>
          <w:sz w:val="21"/>
          <w:szCs w:val="21"/>
        </w:rPr>
        <w:t>）受</w:t>
      </w:r>
      <w:r>
        <w:rPr>
          <w:rFonts w:hint="eastAsia" w:ascii="宋体" w:hAnsi="宋体" w:eastAsia="宋体"/>
          <w:sz w:val="21"/>
          <w:szCs w:val="21"/>
          <w:u w:val="single"/>
        </w:rPr>
        <w:t>东莞水乡城市资源经营管理有限公司</w:t>
      </w:r>
      <w:r>
        <w:rPr>
          <w:rFonts w:ascii="宋体" w:hAnsi="宋体" w:eastAsia="宋体"/>
          <w:sz w:val="21"/>
          <w:szCs w:val="21"/>
        </w:rPr>
        <w:t>（以下简称</w:t>
      </w:r>
      <w:r>
        <w:rPr>
          <w:rFonts w:hint="eastAsia" w:ascii="宋体" w:hAnsi="宋体" w:eastAsia="宋体"/>
          <w:sz w:val="21"/>
          <w:szCs w:val="21"/>
        </w:rPr>
        <w:t>“采购人”</w:t>
      </w:r>
      <w:r>
        <w:rPr>
          <w:rFonts w:ascii="宋体" w:hAnsi="宋体" w:eastAsia="宋体"/>
          <w:sz w:val="21"/>
          <w:szCs w:val="21"/>
        </w:rPr>
        <w:t>）委托，</w:t>
      </w:r>
      <w:r>
        <w:rPr>
          <w:rFonts w:hint="eastAsia" w:ascii="宋体" w:hAnsi="宋体" w:eastAsia="宋体"/>
          <w:sz w:val="21"/>
          <w:szCs w:val="21"/>
        </w:rPr>
        <w:t>现</w:t>
      </w:r>
      <w:r>
        <w:rPr>
          <w:rFonts w:ascii="宋体" w:hAnsi="宋体" w:eastAsia="宋体"/>
          <w:sz w:val="21"/>
          <w:szCs w:val="21"/>
        </w:rPr>
        <w:t>就</w:t>
      </w:r>
      <w:r>
        <w:rPr>
          <w:rFonts w:hint="eastAsia" w:ascii="宋体" w:hAnsi="宋体" w:eastAsia="宋体"/>
          <w:sz w:val="21"/>
          <w:szCs w:val="21"/>
          <w:u w:val="single"/>
        </w:rPr>
        <w:t>水乡城资除“四害”生物防制服务项目</w:t>
      </w:r>
      <w:r>
        <w:rPr>
          <w:rFonts w:hint="eastAsia" w:ascii="宋体" w:hAnsi="宋体" w:eastAsia="宋体"/>
          <w:sz w:val="21"/>
          <w:szCs w:val="21"/>
        </w:rPr>
        <w:t>（项目编号：</w:t>
      </w:r>
      <w:r>
        <w:rPr>
          <w:rFonts w:hint="eastAsia" w:ascii="宋体" w:hAnsi="宋体" w:eastAsia="宋体"/>
          <w:sz w:val="21"/>
          <w:szCs w:val="21"/>
          <w:u w:val="single"/>
        </w:rPr>
        <w:t>0832-SFCX21DG202C</w:t>
      </w:r>
      <w:r>
        <w:rPr>
          <w:rFonts w:hint="eastAsia" w:ascii="宋体" w:hAnsi="宋体" w:eastAsia="宋体"/>
          <w:sz w:val="21"/>
          <w:szCs w:val="21"/>
        </w:rPr>
        <w:t>）</w:t>
      </w:r>
      <w:r>
        <w:rPr>
          <w:rFonts w:hint="eastAsia" w:ascii="宋体" w:hAnsi="宋体" w:eastAsia="宋体" w:cs="Times New Roman"/>
          <w:sz w:val="21"/>
          <w:szCs w:val="21"/>
        </w:rPr>
        <w:t>进行竞争性磋商采购</w:t>
      </w:r>
      <w:r>
        <w:rPr>
          <w:rFonts w:hint="eastAsia" w:ascii="宋体" w:hAnsi="宋体" w:eastAsia="宋体"/>
          <w:sz w:val="21"/>
          <w:szCs w:val="21"/>
        </w:rPr>
        <w:t>，欢迎符合磋商文件要求的国内供应商参加磋商</w:t>
      </w:r>
      <w:r>
        <w:rPr>
          <w:rFonts w:ascii="宋体" w:hAnsi="宋体" w:eastAsia="宋体"/>
          <w:sz w:val="21"/>
          <w:szCs w:val="21"/>
        </w:rPr>
        <w:t>。有关事项如下：</w:t>
      </w:r>
    </w:p>
    <w:p>
      <w:pPr>
        <w:spacing w:after="0" w:line="400" w:lineRule="exact"/>
        <w:ind w:firstLine="413" w:firstLineChars="196"/>
        <w:rPr>
          <w:rFonts w:ascii="宋体" w:hAnsi="宋体" w:eastAsia="宋体"/>
          <w:b/>
          <w:sz w:val="21"/>
          <w:szCs w:val="21"/>
        </w:rPr>
      </w:pPr>
    </w:p>
    <w:p>
      <w:pPr>
        <w:spacing w:after="0" w:line="400" w:lineRule="exact"/>
        <w:ind w:firstLine="413" w:firstLineChars="196"/>
        <w:rPr>
          <w:rFonts w:ascii="宋体" w:hAnsi="宋体" w:eastAsia="宋体"/>
          <w:b/>
          <w:sz w:val="21"/>
          <w:szCs w:val="21"/>
        </w:rPr>
      </w:pPr>
      <w:r>
        <w:rPr>
          <w:rFonts w:hint="eastAsia" w:ascii="宋体" w:hAnsi="宋体" w:eastAsia="宋体"/>
          <w:b/>
          <w:sz w:val="21"/>
          <w:szCs w:val="21"/>
        </w:rPr>
        <w:t>一、磋商项目的名称、用途、简要技术要求或者磋商项目的性质</w:t>
      </w: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1、项目内容：</w:t>
      </w:r>
      <w:r>
        <w:rPr>
          <w:rFonts w:hint="eastAsia" w:ascii="宋体" w:hAnsi="宋体" w:eastAsia="宋体"/>
          <w:sz w:val="21"/>
          <w:szCs w:val="21"/>
          <w:u w:val="single"/>
        </w:rPr>
        <w:t>水乡城资除“四害”生物防制服务项目</w:t>
      </w:r>
      <w:r>
        <w:rPr>
          <w:rFonts w:hint="eastAsia" w:ascii="宋体" w:hAnsi="宋体" w:eastAsia="宋体"/>
          <w:sz w:val="21"/>
          <w:szCs w:val="21"/>
        </w:rPr>
        <w:t>采购一项，预算：</w:t>
      </w:r>
      <w:r>
        <w:rPr>
          <w:rFonts w:hint="eastAsia" w:ascii="宋体" w:hAnsi="宋体" w:eastAsia="宋体"/>
          <w:b/>
          <w:bCs/>
          <w:sz w:val="21"/>
          <w:szCs w:val="21"/>
        </w:rPr>
        <w:t>¥</w:t>
      </w:r>
      <w:r>
        <w:rPr>
          <w:rFonts w:hint="eastAsia" w:ascii="宋体" w:hAnsi="宋体" w:eastAsia="宋体"/>
          <w:b/>
          <w:sz w:val="21"/>
          <w:szCs w:val="21"/>
          <w:u w:val="single"/>
        </w:rPr>
        <w:t>3</w:t>
      </w:r>
      <w:r>
        <w:rPr>
          <w:rFonts w:ascii="宋体" w:hAnsi="宋体" w:eastAsia="宋体"/>
          <w:b/>
          <w:sz w:val="21"/>
          <w:szCs w:val="21"/>
          <w:u w:val="single"/>
        </w:rPr>
        <w:t>10</w:t>
      </w:r>
      <w:r>
        <w:rPr>
          <w:rFonts w:hint="eastAsia" w:ascii="宋体" w:hAnsi="宋体" w:eastAsia="宋体"/>
          <w:b/>
          <w:sz w:val="21"/>
          <w:szCs w:val="21"/>
          <w:u w:val="single"/>
        </w:rPr>
        <w:t>,000.00</w:t>
      </w:r>
      <w:r>
        <w:rPr>
          <w:rFonts w:hint="eastAsia" w:ascii="宋体" w:hAnsi="宋体" w:eastAsia="宋体"/>
          <w:sz w:val="21"/>
          <w:szCs w:val="21"/>
        </w:rPr>
        <w:t>元。</w:t>
      </w: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2、本项目不接受联合体。</w:t>
      </w: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3、简要技术要求或磋商项目的性质：详细内容请参阅磋商文件第三部分《用户需求书》。</w:t>
      </w:r>
    </w:p>
    <w:p>
      <w:pPr>
        <w:spacing w:after="0" w:line="400" w:lineRule="exact"/>
        <w:ind w:firstLine="413" w:firstLineChars="196"/>
        <w:rPr>
          <w:rFonts w:ascii="宋体" w:hAnsi="宋体" w:eastAsia="宋体"/>
          <w:b/>
          <w:sz w:val="21"/>
          <w:szCs w:val="21"/>
        </w:rPr>
      </w:pPr>
    </w:p>
    <w:p>
      <w:pPr>
        <w:spacing w:after="0" w:line="400" w:lineRule="exact"/>
        <w:ind w:firstLine="413" w:firstLineChars="196"/>
        <w:rPr>
          <w:rFonts w:ascii="宋体" w:hAnsi="宋体" w:eastAsia="宋体"/>
          <w:b/>
          <w:sz w:val="21"/>
          <w:szCs w:val="21"/>
        </w:rPr>
      </w:pPr>
      <w:r>
        <w:rPr>
          <w:rFonts w:hint="eastAsia" w:ascii="宋体" w:hAnsi="宋体" w:eastAsia="宋体"/>
          <w:b/>
          <w:sz w:val="21"/>
          <w:szCs w:val="21"/>
        </w:rPr>
        <w:t>二、供应商资格要求</w:t>
      </w:r>
    </w:p>
    <w:p>
      <w:pPr>
        <w:spacing w:after="0" w:line="400" w:lineRule="exact"/>
        <w:ind w:firstLine="411" w:firstLineChars="196"/>
        <w:rPr>
          <w:rFonts w:ascii="宋体" w:hAnsi="宋体" w:eastAsia="宋体"/>
          <w:sz w:val="21"/>
          <w:szCs w:val="21"/>
        </w:rPr>
      </w:pPr>
      <w:r>
        <w:rPr>
          <w:rFonts w:hint="eastAsia" w:ascii="宋体" w:hAnsi="宋体" w:eastAsia="宋体"/>
          <w:sz w:val="21"/>
          <w:szCs w:val="21"/>
        </w:rPr>
        <w:t>1.供应商应具备《政府采购法》第二十二条规定的条件，提供下列材料：</w:t>
      </w:r>
    </w:p>
    <w:p>
      <w:pPr>
        <w:spacing w:after="0" w:line="400" w:lineRule="exact"/>
        <w:ind w:firstLine="411" w:firstLineChars="196"/>
        <w:rPr>
          <w:rFonts w:ascii="宋体" w:hAnsi="宋体" w:eastAsia="宋体"/>
          <w:sz w:val="21"/>
          <w:szCs w:val="21"/>
        </w:rPr>
      </w:pPr>
      <w:r>
        <w:rPr>
          <w:rFonts w:hint="eastAsia" w:ascii="宋体" w:hAnsi="宋体" w:eastAsia="宋体"/>
          <w:sz w:val="21"/>
          <w:szCs w:val="21"/>
        </w:rPr>
        <w:t>1）具有独立承担民事责任的能力：在中华人民共和国境内注册的法人或其他组织或自然人，响应时提交有效的营业执照（或事业法人登记证或身份证等相关证明）副本复印件。</w:t>
      </w:r>
    </w:p>
    <w:p>
      <w:pPr>
        <w:spacing w:after="0" w:line="400" w:lineRule="exact"/>
        <w:ind w:firstLine="411" w:firstLineChars="196"/>
        <w:rPr>
          <w:rFonts w:ascii="宋体" w:hAnsi="宋体" w:eastAsia="宋体"/>
          <w:sz w:val="21"/>
          <w:szCs w:val="21"/>
        </w:rPr>
      </w:pPr>
      <w:r>
        <w:rPr>
          <w:rFonts w:hint="eastAsia" w:ascii="宋体" w:hAnsi="宋体" w:eastAsia="宋体"/>
          <w:sz w:val="21"/>
          <w:szCs w:val="21"/>
        </w:rPr>
        <w:t>2）有依法缴纳税收和社会保障资金的良好记录：提供响应截止日前6个月内任意1个月依法缴纳税收和社会保障资金的相关材料。如依法免税或不需要缴纳社会保障资金的，须提供相应证明材料。</w:t>
      </w:r>
    </w:p>
    <w:p>
      <w:pPr>
        <w:spacing w:after="0" w:line="400" w:lineRule="exact"/>
        <w:ind w:firstLine="411" w:firstLineChars="196"/>
        <w:rPr>
          <w:rFonts w:ascii="宋体" w:hAnsi="宋体" w:eastAsia="宋体"/>
          <w:sz w:val="21"/>
          <w:szCs w:val="21"/>
        </w:rPr>
      </w:pPr>
      <w:r>
        <w:rPr>
          <w:rFonts w:hint="eastAsia" w:ascii="宋体" w:hAnsi="宋体" w:eastAsia="宋体"/>
          <w:sz w:val="21"/>
          <w:szCs w:val="21"/>
        </w:rPr>
        <w:t>3）具有良好的商业信誉和健全的财务会计制度：供应商必须具有良好的商业信誉和健全的财务会计制度（提供2020年度财务状况报告或基本开户行出具的资信证明）。</w:t>
      </w:r>
    </w:p>
    <w:p>
      <w:pPr>
        <w:spacing w:after="0" w:line="400" w:lineRule="exact"/>
        <w:ind w:firstLine="411" w:firstLineChars="196"/>
        <w:rPr>
          <w:rFonts w:ascii="宋体" w:hAnsi="宋体" w:eastAsia="宋体"/>
          <w:sz w:val="21"/>
          <w:szCs w:val="21"/>
        </w:rPr>
      </w:pPr>
      <w:r>
        <w:rPr>
          <w:rFonts w:hint="eastAsia" w:ascii="宋体" w:hAnsi="宋体" w:eastAsia="宋体"/>
          <w:sz w:val="21"/>
          <w:szCs w:val="21"/>
        </w:rPr>
        <w:t>4）履行合同所必须的设备和专业技术能力：填报设备及专业技术能力情况，格式自拟。</w:t>
      </w:r>
    </w:p>
    <w:p>
      <w:pPr>
        <w:spacing w:after="0" w:line="400" w:lineRule="exact"/>
        <w:ind w:firstLine="411" w:firstLineChars="196"/>
        <w:rPr>
          <w:rFonts w:ascii="宋体" w:hAnsi="宋体" w:eastAsia="宋体"/>
          <w:sz w:val="21"/>
          <w:szCs w:val="21"/>
        </w:rPr>
      </w:pPr>
      <w:r>
        <w:rPr>
          <w:rFonts w:hint="eastAsia" w:ascii="宋体" w:hAnsi="宋体" w:eastAsia="宋体"/>
          <w:sz w:val="21"/>
          <w:szCs w:val="21"/>
        </w:rPr>
        <w:t>5）参加采购活动前3年内，在经营活动中没有重大违法记录；在经营活动中没有重大违法记录；参照相关响应文件格式（详见“第六部分 附件17 在经营活动中没有重大违法记录的书面声明格式”）作出响应承诺。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adjustRightInd/>
        <w:snapToGrid/>
        <w:spacing w:after="0" w:line="400" w:lineRule="exact"/>
        <w:ind w:firstLine="422" w:firstLineChars="200"/>
        <w:rPr>
          <w:rFonts w:ascii="宋体" w:hAnsi="宋体" w:eastAsia="宋体"/>
          <w:sz w:val="21"/>
          <w:szCs w:val="21"/>
        </w:rPr>
      </w:pPr>
      <w:r>
        <w:rPr>
          <w:rFonts w:hint="eastAsia" w:ascii="宋体" w:hAnsi="宋体" w:eastAsia="宋体"/>
          <w:b/>
          <w:bCs/>
          <w:sz w:val="21"/>
          <w:szCs w:val="21"/>
        </w:rPr>
        <w:t>投标人如不能完整提供上述2）-4）项证明资料的，须提供资格申明（参照投标文件格式相关承诺格式内容）。</w:t>
      </w:r>
    </w:p>
    <w:p>
      <w:pPr>
        <w:spacing w:after="0" w:line="400" w:lineRule="exact"/>
        <w:ind w:firstLine="411" w:firstLineChars="196"/>
        <w:rPr>
          <w:rFonts w:ascii="宋体" w:hAnsi="宋体" w:eastAsia="宋体"/>
          <w:sz w:val="21"/>
          <w:szCs w:val="21"/>
        </w:rPr>
      </w:pPr>
      <w:r>
        <w:rPr>
          <w:rFonts w:hint="eastAsia" w:ascii="宋体" w:hAnsi="宋体" w:eastAsia="宋体"/>
          <w:sz w:val="21"/>
          <w:szCs w:val="21"/>
        </w:rPr>
        <w:t>6）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 （以采购代理机构于响应截止时间当天在“信用中国”网站（www.creditchina.gov.cn） 及中国政府采购网（http://www.ccgp.gov.cn/）查询结果为准，如相关失信记录已失效，供应商需提供相关证明资料） 。</w:t>
      </w: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7）供应商必须符合法律、行政法规规定的其他条件：单位负责人为同一人或者存在直接控股、管理关系的不同供应商，不得同时参加本采购项目（或采购包）响应。为本项目提供整体设计、规范编制或者项目管理、监理、检测等服务的供应商，不得再参与本项目响应。</w:t>
      </w:r>
    </w:p>
    <w:p>
      <w:pPr>
        <w:adjustRightInd/>
        <w:snapToGrid/>
        <w:spacing w:after="0" w:line="400" w:lineRule="exact"/>
        <w:ind w:firstLine="420" w:firstLineChars="200"/>
        <w:rPr>
          <w:rFonts w:ascii="宋体" w:hAnsi="宋体" w:eastAsia="宋体"/>
          <w:sz w:val="21"/>
          <w:szCs w:val="21"/>
        </w:rPr>
      </w:pPr>
      <w:r>
        <w:rPr>
          <w:rFonts w:hint="eastAsia" w:ascii="宋体" w:hAnsi="宋体" w:eastAsia="宋体"/>
          <w:sz w:val="21"/>
          <w:szCs w:val="21"/>
        </w:rPr>
        <w:t>2.本项目的特定资格要求：</w:t>
      </w: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投标人必须按规定在东莞市办理病媒生物预防控制有偿服务机构备案并公示（需在投标文件提供备案及公示资料并加盖投标人公章），或承诺中标后七个工作日内完成相关备案。</w:t>
      </w:r>
    </w:p>
    <w:p>
      <w:pPr>
        <w:spacing w:after="0" w:line="400" w:lineRule="exact"/>
        <w:ind w:firstLine="413" w:firstLineChars="196"/>
        <w:rPr>
          <w:rFonts w:ascii="宋体" w:hAnsi="宋体" w:eastAsia="宋体"/>
          <w:b/>
          <w:sz w:val="21"/>
          <w:szCs w:val="21"/>
        </w:rPr>
      </w:pPr>
    </w:p>
    <w:p>
      <w:pPr>
        <w:spacing w:after="0" w:line="400" w:lineRule="exact"/>
        <w:ind w:firstLine="413" w:firstLineChars="196"/>
        <w:rPr>
          <w:rFonts w:ascii="宋体" w:hAnsi="宋体" w:eastAsia="宋体"/>
          <w:b/>
          <w:sz w:val="21"/>
          <w:szCs w:val="21"/>
        </w:rPr>
      </w:pPr>
      <w:r>
        <w:rPr>
          <w:rFonts w:hint="eastAsia" w:ascii="宋体" w:hAnsi="宋体" w:eastAsia="宋体"/>
          <w:b/>
          <w:sz w:val="21"/>
          <w:szCs w:val="21"/>
        </w:rPr>
        <w:t>三、项目公示时间、磋商文件领购时间、地点、方式</w:t>
      </w: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1、项目公示时间：2021年</w:t>
      </w:r>
      <w:r>
        <w:rPr>
          <w:rFonts w:hint="eastAsia" w:ascii="宋体" w:hAnsi="宋体" w:eastAsia="宋体"/>
          <w:sz w:val="21"/>
          <w:szCs w:val="21"/>
          <w:lang w:val="en-US" w:eastAsia="zh-CN"/>
        </w:rPr>
        <w:t>9</w:t>
      </w:r>
      <w:r>
        <w:rPr>
          <w:rFonts w:hint="eastAsia" w:ascii="宋体" w:hAnsi="宋体" w:eastAsia="宋体"/>
          <w:sz w:val="21"/>
          <w:szCs w:val="21"/>
        </w:rPr>
        <w:t>月</w:t>
      </w:r>
      <w:r>
        <w:rPr>
          <w:rFonts w:hint="eastAsia" w:ascii="宋体" w:hAnsi="宋体" w:eastAsia="宋体"/>
          <w:sz w:val="21"/>
          <w:szCs w:val="21"/>
          <w:lang w:val="en-US" w:eastAsia="zh-CN"/>
        </w:rPr>
        <w:t>7</w:t>
      </w:r>
      <w:r>
        <w:rPr>
          <w:rFonts w:hint="eastAsia" w:ascii="宋体" w:hAnsi="宋体" w:eastAsia="宋体"/>
          <w:sz w:val="21"/>
          <w:szCs w:val="21"/>
        </w:rPr>
        <w:t>日起至2021年</w:t>
      </w:r>
      <w:r>
        <w:rPr>
          <w:rFonts w:hint="eastAsia" w:ascii="宋体" w:hAnsi="宋体" w:eastAsia="宋体"/>
          <w:sz w:val="21"/>
          <w:szCs w:val="21"/>
          <w:lang w:val="en-US" w:eastAsia="zh-CN"/>
        </w:rPr>
        <w:t>9</w:t>
      </w:r>
      <w:r>
        <w:rPr>
          <w:rFonts w:hint="eastAsia" w:ascii="宋体" w:hAnsi="宋体" w:eastAsia="宋体"/>
          <w:sz w:val="21"/>
          <w:szCs w:val="21"/>
        </w:rPr>
        <w:t>月</w:t>
      </w:r>
      <w:r>
        <w:rPr>
          <w:rFonts w:hint="eastAsia" w:ascii="宋体" w:hAnsi="宋体" w:eastAsia="宋体"/>
          <w:sz w:val="21"/>
          <w:szCs w:val="21"/>
          <w:lang w:val="en-US" w:eastAsia="zh-CN"/>
        </w:rPr>
        <w:t>10</w:t>
      </w:r>
      <w:r>
        <w:rPr>
          <w:rFonts w:hint="eastAsia" w:ascii="宋体" w:hAnsi="宋体" w:eastAsia="宋体"/>
          <w:sz w:val="21"/>
          <w:szCs w:val="21"/>
        </w:rPr>
        <w:t>日。</w:t>
      </w: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2、磋商文件领购</w:t>
      </w:r>
      <w:r>
        <w:rPr>
          <w:rFonts w:ascii="宋体" w:hAnsi="宋体" w:eastAsia="宋体"/>
          <w:sz w:val="21"/>
          <w:szCs w:val="21"/>
        </w:rPr>
        <w:t>时间：</w:t>
      </w:r>
      <w:r>
        <w:rPr>
          <w:rFonts w:hint="eastAsia" w:ascii="宋体" w:hAnsi="宋体" w:eastAsia="宋体"/>
          <w:sz w:val="21"/>
          <w:szCs w:val="21"/>
        </w:rPr>
        <w:t>2021年</w:t>
      </w:r>
      <w:r>
        <w:rPr>
          <w:rFonts w:hint="eastAsia" w:ascii="宋体" w:hAnsi="宋体" w:eastAsia="宋体"/>
          <w:sz w:val="21"/>
          <w:szCs w:val="21"/>
          <w:lang w:val="en-US" w:eastAsia="zh-CN"/>
        </w:rPr>
        <w:t>9</w:t>
      </w:r>
      <w:r>
        <w:rPr>
          <w:rFonts w:hint="eastAsia" w:ascii="宋体" w:hAnsi="宋体" w:eastAsia="宋体"/>
          <w:sz w:val="21"/>
          <w:szCs w:val="21"/>
        </w:rPr>
        <w:t>月</w:t>
      </w:r>
      <w:r>
        <w:rPr>
          <w:rFonts w:hint="eastAsia" w:ascii="宋体" w:hAnsi="宋体" w:eastAsia="宋体"/>
          <w:sz w:val="21"/>
          <w:szCs w:val="21"/>
          <w:lang w:val="en-US" w:eastAsia="zh-CN"/>
        </w:rPr>
        <w:t>7</w:t>
      </w:r>
      <w:r>
        <w:rPr>
          <w:rFonts w:hint="eastAsia" w:ascii="宋体" w:hAnsi="宋体" w:eastAsia="宋体"/>
          <w:sz w:val="21"/>
          <w:szCs w:val="21"/>
        </w:rPr>
        <w:t>日起至2021年</w:t>
      </w:r>
      <w:r>
        <w:rPr>
          <w:rFonts w:hint="eastAsia" w:ascii="宋体" w:hAnsi="宋体" w:eastAsia="宋体"/>
          <w:sz w:val="21"/>
          <w:szCs w:val="21"/>
          <w:lang w:val="en-US" w:eastAsia="zh-CN"/>
        </w:rPr>
        <w:t>9</w:t>
      </w:r>
      <w:r>
        <w:rPr>
          <w:rFonts w:hint="eastAsia" w:ascii="宋体" w:hAnsi="宋体" w:eastAsia="宋体"/>
          <w:sz w:val="21"/>
          <w:szCs w:val="21"/>
        </w:rPr>
        <w:t>月</w:t>
      </w:r>
      <w:r>
        <w:rPr>
          <w:rFonts w:hint="eastAsia" w:ascii="宋体" w:hAnsi="宋体" w:eastAsia="宋体"/>
          <w:sz w:val="21"/>
          <w:szCs w:val="21"/>
          <w:lang w:val="en-US" w:eastAsia="zh-CN"/>
        </w:rPr>
        <w:t>14</w:t>
      </w:r>
      <w:r>
        <w:rPr>
          <w:rFonts w:hint="eastAsia" w:ascii="宋体" w:hAnsi="宋体" w:eastAsia="宋体"/>
          <w:sz w:val="21"/>
          <w:szCs w:val="21"/>
        </w:rPr>
        <w:t xml:space="preserve">日（节假日除外），上午9：00～12：00，下午14：30～17：30（北京时间）。 </w:t>
      </w: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注：（1）供应商可自行打印磋商文件中的“第八部分 附件7 获取磋商文件登记表”进行填写并带到现场进行领购，并现场领取发票。（磋商文件领购价：人民币200元整）</w:t>
      </w: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（2）现场支持现金支付、微信支付、支付宝支付等支付方式，请将相应表格交予我司黄小姐。</w:t>
      </w:r>
    </w:p>
    <w:p>
      <w:pPr>
        <w:spacing w:after="0" w:line="400" w:lineRule="exact"/>
        <w:ind w:firstLine="420" w:firstLineChars="200"/>
      </w:pPr>
      <w:r>
        <w:rPr>
          <w:rFonts w:hint="eastAsia" w:ascii="宋体" w:hAnsi="宋体" w:eastAsia="宋体"/>
          <w:sz w:val="21"/>
          <w:szCs w:val="21"/>
        </w:rPr>
        <w:t>（3）磋商文件电子版可在三方诚信招标网（</w:t>
      </w:r>
      <w:r>
        <w:rPr>
          <w:rFonts w:hint="eastAsia" w:ascii="宋体" w:hAnsi="宋体" w:eastAsia="宋体"/>
          <w:bCs/>
          <w:sz w:val="21"/>
          <w:szCs w:val="21"/>
        </w:rPr>
        <w:t>http://www.sfcx.cn/</w:t>
      </w:r>
      <w:r>
        <w:rPr>
          <w:rFonts w:hint="eastAsia" w:ascii="宋体" w:hAnsi="宋体" w:eastAsia="宋体"/>
          <w:sz w:val="21"/>
          <w:szCs w:val="21"/>
        </w:rPr>
        <w:t>）相关信息公告下自行下载。</w:t>
      </w: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3、磋商文件领购地点：东莞市南城街道鸿福西路81号国际商会大厦706室。</w:t>
      </w: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联系人：黄雯静</w:t>
      </w: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联系电话：0769-21682660</w:t>
      </w: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4、磋商文件领购方式：现场领购。</w:t>
      </w: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供应商在领购磋商文件时须提供如下证明材料：《营业执照》复印件（加盖公章）或《事业单位法人证书》复印件（加盖公章）或其他主体证书复印件（加盖公章），自然人参加磋商须提供自然人的身份证明材料；</w:t>
      </w:r>
    </w:p>
    <w:p>
      <w:pPr>
        <w:spacing w:after="0" w:line="400" w:lineRule="exact"/>
        <w:ind w:firstLine="413" w:firstLineChars="196"/>
        <w:rPr>
          <w:rFonts w:ascii="宋体" w:hAnsi="宋体" w:eastAsia="宋体"/>
          <w:b/>
          <w:sz w:val="21"/>
          <w:szCs w:val="21"/>
        </w:rPr>
      </w:pPr>
    </w:p>
    <w:p>
      <w:pPr>
        <w:spacing w:after="0" w:line="400" w:lineRule="exact"/>
        <w:ind w:firstLine="413" w:firstLineChars="196"/>
        <w:rPr>
          <w:rFonts w:ascii="宋体" w:hAnsi="宋体" w:eastAsia="宋体"/>
          <w:b/>
          <w:sz w:val="21"/>
          <w:szCs w:val="21"/>
        </w:rPr>
      </w:pPr>
      <w:r>
        <w:rPr>
          <w:rFonts w:hint="eastAsia" w:ascii="宋体" w:hAnsi="宋体" w:eastAsia="宋体"/>
          <w:b/>
          <w:sz w:val="21"/>
          <w:szCs w:val="21"/>
        </w:rPr>
        <w:t>四、接收响应文件截止时间、开启响应文件时间及地点</w:t>
      </w:r>
    </w:p>
    <w:p>
      <w:pPr>
        <w:spacing w:after="0" w:line="400" w:lineRule="exact"/>
        <w:ind w:firstLine="420" w:firstLineChars="200"/>
        <w:rPr>
          <w:rFonts w:ascii="宋体" w:hAnsi="宋体" w:eastAsia="宋体"/>
          <w:bCs/>
          <w:sz w:val="21"/>
          <w:szCs w:val="21"/>
        </w:rPr>
      </w:pPr>
      <w:r>
        <w:rPr>
          <w:rFonts w:hint="eastAsia" w:ascii="宋体" w:hAnsi="宋体" w:eastAsia="宋体"/>
          <w:bCs/>
          <w:sz w:val="21"/>
          <w:szCs w:val="21"/>
        </w:rPr>
        <w:t>1、接收响应文件时间：2021年</w:t>
      </w:r>
      <w:r>
        <w:rPr>
          <w:rFonts w:hint="eastAsia" w:ascii="宋体" w:hAnsi="宋体" w:eastAsia="宋体"/>
          <w:bCs/>
          <w:sz w:val="21"/>
          <w:szCs w:val="21"/>
          <w:lang w:val="en-US" w:eastAsia="zh-CN"/>
        </w:rPr>
        <w:t>9</w:t>
      </w:r>
      <w:r>
        <w:rPr>
          <w:rFonts w:hint="eastAsia" w:ascii="宋体" w:hAnsi="宋体" w:eastAsia="宋体"/>
          <w:bCs/>
          <w:sz w:val="21"/>
          <w:szCs w:val="21"/>
        </w:rPr>
        <w:t>月</w:t>
      </w:r>
      <w:r>
        <w:rPr>
          <w:rFonts w:hint="eastAsia" w:ascii="宋体" w:hAnsi="宋体" w:eastAsia="宋体"/>
          <w:bCs/>
          <w:sz w:val="21"/>
          <w:szCs w:val="21"/>
          <w:lang w:val="en-US" w:eastAsia="zh-CN"/>
        </w:rPr>
        <w:t>18</w:t>
      </w:r>
      <w:r>
        <w:rPr>
          <w:rFonts w:hint="eastAsia" w:ascii="宋体" w:hAnsi="宋体" w:eastAsia="宋体"/>
          <w:bCs/>
          <w:sz w:val="21"/>
          <w:szCs w:val="21"/>
        </w:rPr>
        <w:t>日上午9：00～9：30。</w:t>
      </w:r>
    </w:p>
    <w:p>
      <w:pPr>
        <w:spacing w:after="0" w:line="400" w:lineRule="exact"/>
        <w:ind w:firstLine="420" w:firstLineChars="200"/>
        <w:rPr>
          <w:rFonts w:ascii="宋体" w:hAnsi="宋体" w:eastAsia="宋体"/>
          <w:bCs/>
          <w:sz w:val="21"/>
          <w:szCs w:val="21"/>
        </w:rPr>
      </w:pPr>
      <w:r>
        <w:rPr>
          <w:rFonts w:hint="eastAsia" w:ascii="宋体" w:hAnsi="宋体" w:eastAsia="宋体"/>
          <w:bCs/>
          <w:sz w:val="21"/>
          <w:szCs w:val="21"/>
        </w:rPr>
        <w:t>2、接收响应文件</w:t>
      </w:r>
      <w:r>
        <w:rPr>
          <w:rFonts w:ascii="宋体" w:hAnsi="宋体" w:eastAsia="宋体"/>
          <w:bCs/>
          <w:sz w:val="21"/>
          <w:szCs w:val="21"/>
        </w:rPr>
        <w:t>截止</w:t>
      </w:r>
      <w:r>
        <w:rPr>
          <w:rFonts w:hint="eastAsia" w:ascii="宋体" w:hAnsi="宋体" w:eastAsia="宋体"/>
          <w:bCs/>
          <w:sz w:val="21"/>
          <w:szCs w:val="21"/>
        </w:rPr>
        <w:t>：2021年</w:t>
      </w:r>
      <w:r>
        <w:rPr>
          <w:rFonts w:hint="eastAsia" w:ascii="宋体" w:hAnsi="宋体" w:eastAsia="宋体"/>
          <w:bCs/>
          <w:sz w:val="21"/>
          <w:szCs w:val="21"/>
          <w:lang w:val="en-US" w:eastAsia="zh-CN"/>
        </w:rPr>
        <w:t>9</w:t>
      </w:r>
      <w:r>
        <w:rPr>
          <w:rFonts w:hint="eastAsia" w:ascii="宋体" w:hAnsi="宋体" w:eastAsia="宋体"/>
          <w:bCs/>
          <w:sz w:val="21"/>
          <w:szCs w:val="21"/>
        </w:rPr>
        <w:t>月</w:t>
      </w:r>
      <w:r>
        <w:rPr>
          <w:rFonts w:hint="eastAsia" w:ascii="宋体" w:hAnsi="宋体" w:eastAsia="宋体"/>
          <w:bCs/>
          <w:sz w:val="21"/>
          <w:szCs w:val="21"/>
          <w:lang w:val="en-US" w:eastAsia="zh-CN"/>
        </w:rPr>
        <w:t>18</w:t>
      </w:r>
      <w:r>
        <w:rPr>
          <w:rFonts w:hint="eastAsia" w:ascii="宋体" w:hAnsi="宋体" w:eastAsia="宋体"/>
          <w:bCs/>
          <w:sz w:val="21"/>
          <w:szCs w:val="21"/>
        </w:rPr>
        <w:t>日上午9时30分。</w:t>
      </w:r>
    </w:p>
    <w:p>
      <w:pPr>
        <w:spacing w:after="0" w:line="400" w:lineRule="exact"/>
        <w:ind w:firstLine="420" w:firstLineChars="200"/>
        <w:rPr>
          <w:rFonts w:ascii="宋体" w:hAnsi="宋体" w:eastAsia="宋体"/>
          <w:b/>
          <w:sz w:val="21"/>
          <w:szCs w:val="21"/>
        </w:rPr>
      </w:pPr>
      <w:r>
        <w:rPr>
          <w:rFonts w:hint="eastAsia" w:ascii="宋体" w:hAnsi="宋体" w:eastAsia="宋体"/>
          <w:bCs/>
          <w:sz w:val="21"/>
          <w:szCs w:val="21"/>
        </w:rPr>
        <w:t>3、开启响应文件时间</w:t>
      </w:r>
      <w:r>
        <w:rPr>
          <w:rFonts w:ascii="宋体" w:hAnsi="宋体" w:eastAsia="宋体"/>
          <w:bCs/>
          <w:sz w:val="21"/>
          <w:szCs w:val="21"/>
        </w:rPr>
        <w:t>：</w:t>
      </w:r>
      <w:r>
        <w:rPr>
          <w:rFonts w:hint="eastAsia" w:ascii="宋体" w:hAnsi="宋体" w:eastAsia="宋体"/>
          <w:bCs/>
          <w:sz w:val="21"/>
          <w:szCs w:val="21"/>
        </w:rPr>
        <w:t>2021年</w:t>
      </w:r>
      <w:r>
        <w:rPr>
          <w:rFonts w:hint="eastAsia" w:ascii="宋体" w:hAnsi="宋体" w:eastAsia="宋体"/>
          <w:bCs/>
          <w:sz w:val="21"/>
          <w:szCs w:val="21"/>
          <w:lang w:val="en-US" w:eastAsia="zh-CN"/>
        </w:rPr>
        <w:t>9</w:t>
      </w:r>
      <w:r>
        <w:rPr>
          <w:rFonts w:hint="eastAsia" w:ascii="宋体" w:hAnsi="宋体" w:eastAsia="宋体"/>
          <w:bCs/>
          <w:sz w:val="21"/>
          <w:szCs w:val="21"/>
        </w:rPr>
        <w:t>月</w:t>
      </w:r>
      <w:r>
        <w:rPr>
          <w:rFonts w:hint="eastAsia" w:ascii="宋体" w:hAnsi="宋体" w:eastAsia="宋体"/>
          <w:bCs/>
          <w:sz w:val="21"/>
          <w:szCs w:val="21"/>
          <w:lang w:val="en-US" w:eastAsia="zh-CN"/>
        </w:rPr>
        <w:t>18</w:t>
      </w:r>
      <w:r>
        <w:rPr>
          <w:rFonts w:hint="eastAsia" w:ascii="宋体" w:hAnsi="宋体" w:eastAsia="宋体"/>
          <w:bCs/>
          <w:sz w:val="21"/>
          <w:szCs w:val="21"/>
        </w:rPr>
        <w:t>日上午9时30分</w:t>
      </w:r>
    </w:p>
    <w:p>
      <w:pPr>
        <w:spacing w:after="0" w:line="400" w:lineRule="exact"/>
        <w:ind w:firstLine="420" w:firstLineChars="200"/>
        <w:rPr>
          <w:rFonts w:ascii="宋体" w:hAnsi="宋体" w:eastAsia="宋体"/>
          <w:bCs/>
          <w:sz w:val="21"/>
          <w:szCs w:val="21"/>
        </w:rPr>
      </w:pPr>
      <w:r>
        <w:rPr>
          <w:rFonts w:hint="eastAsia" w:ascii="宋体" w:hAnsi="宋体" w:eastAsia="宋体"/>
          <w:bCs/>
          <w:sz w:val="21"/>
          <w:szCs w:val="21"/>
        </w:rPr>
        <w:t>4、响应</w:t>
      </w:r>
      <w:r>
        <w:rPr>
          <w:rFonts w:ascii="宋体" w:hAnsi="宋体" w:eastAsia="宋体"/>
          <w:bCs/>
          <w:sz w:val="21"/>
          <w:szCs w:val="21"/>
        </w:rPr>
        <w:t>地点</w:t>
      </w:r>
      <w:r>
        <w:rPr>
          <w:rFonts w:hint="eastAsia" w:ascii="宋体" w:hAnsi="宋体" w:eastAsia="宋体"/>
          <w:bCs/>
          <w:sz w:val="21"/>
          <w:szCs w:val="21"/>
        </w:rPr>
        <w:t>：</w:t>
      </w:r>
      <w:r>
        <w:rPr>
          <w:rFonts w:hint="eastAsia" w:ascii="宋体" w:hAnsi="宋体" w:eastAsia="宋体"/>
          <w:sz w:val="21"/>
          <w:szCs w:val="21"/>
        </w:rPr>
        <w:t>东莞市南城街道鸿福西路81号国际商会大厦701室</w:t>
      </w:r>
      <w:r>
        <w:rPr>
          <w:rFonts w:hint="eastAsia" w:ascii="宋体" w:hAnsi="宋体" w:eastAsia="宋体"/>
          <w:bCs/>
          <w:sz w:val="21"/>
          <w:szCs w:val="21"/>
        </w:rPr>
        <w:t>。</w:t>
      </w:r>
    </w:p>
    <w:p>
      <w:pPr>
        <w:spacing w:after="0" w:line="400" w:lineRule="exact"/>
        <w:ind w:firstLine="411" w:firstLineChars="196"/>
        <w:rPr>
          <w:rFonts w:ascii="宋体" w:hAnsi="宋体" w:eastAsia="宋体"/>
          <w:bCs/>
          <w:sz w:val="21"/>
          <w:szCs w:val="21"/>
        </w:rPr>
      </w:pPr>
    </w:p>
    <w:p>
      <w:pPr>
        <w:spacing w:after="0" w:line="400" w:lineRule="exact"/>
        <w:ind w:firstLine="413" w:firstLineChars="196"/>
        <w:rPr>
          <w:rFonts w:ascii="宋体" w:hAnsi="宋体" w:eastAsia="宋体"/>
          <w:bCs/>
          <w:sz w:val="21"/>
          <w:szCs w:val="21"/>
        </w:rPr>
      </w:pPr>
      <w:r>
        <w:rPr>
          <w:rFonts w:hint="eastAsia" w:ascii="宋体" w:hAnsi="宋体" w:eastAsia="宋体"/>
          <w:b/>
          <w:sz w:val="21"/>
          <w:szCs w:val="21"/>
        </w:rPr>
        <w:t>五、采购人及采购代理机构的名称、地址和联系方法：</w:t>
      </w:r>
    </w:p>
    <w:p>
      <w:pPr>
        <w:spacing w:after="0" w:line="400" w:lineRule="exact"/>
        <w:ind w:firstLine="420" w:firstLineChars="200"/>
        <w:rPr>
          <w:rFonts w:ascii="宋体" w:hAnsi="宋体" w:eastAsia="宋体"/>
          <w:bCs/>
          <w:sz w:val="21"/>
          <w:szCs w:val="21"/>
        </w:rPr>
      </w:pPr>
      <w:r>
        <w:rPr>
          <w:rFonts w:hint="eastAsia" w:ascii="宋体" w:hAnsi="宋体" w:eastAsia="宋体"/>
          <w:bCs/>
          <w:sz w:val="21"/>
          <w:szCs w:val="21"/>
        </w:rPr>
        <w:t>采购人联系人：白威</w:t>
      </w:r>
    </w:p>
    <w:p>
      <w:pPr>
        <w:spacing w:after="0" w:line="400" w:lineRule="exact"/>
        <w:ind w:firstLine="420" w:firstLineChars="200"/>
        <w:rPr>
          <w:rFonts w:ascii="宋体" w:hAnsi="宋体" w:eastAsia="宋体"/>
          <w:bCs/>
          <w:sz w:val="21"/>
          <w:szCs w:val="21"/>
        </w:rPr>
      </w:pPr>
      <w:r>
        <w:rPr>
          <w:rFonts w:hint="eastAsia" w:ascii="宋体" w:hAnsi="宋体" w:eastAsia="宋体"/>
          <w:bCs/>
          <w:sz w:val="21"/>
          <w:szCs w:val="21"/>
        </w:rPr>
        <w:t>地址：东莞市望牛墩镇1</w:t>
      </w:r>
      <w:r>
        <w:rPr>
          <w:rFonts w:ascii="宋体" w:hAnsi="宋体" w:eastAsia="宋体"/>
          <w:bCs/>
          <w:sz w:val="21"/>
          <w:szCs w:val="21"/>
        </w:rPr>
        <w:t>99</w:t>
      </w:r>
      <w:r>
        <w:rPr>
          <w:rFonts w:hint="eastAsia" w:ascii="宋体" w:hAnsi="宋体" w:eastAsia="宋体"/>
          <w:bCs/>
          <w:sz w:val="21"/>
          <w:szCs w:val="21"/>
        </w:rPr>
        <w:t>号</w:t>
      </w:r>
    </w:p>
    <w:p>
      <w:pPr>
        <w:spacing w:after="0" w:line="400" w:lineRule="exact"/>
        <w:ind w:firstLine="420" w:firstLineChars="200"/>
        <w:rPr>
          <w:rFonts w:ascii="宋体" w:hAnsi="宋体" w:eastAsia="宋体"/>
          <w:bCs/>
          <w:sz w:val="21"/>
          <w:szCs w:val="21"/>
        </w:rPr>
      </w:pPr>
      <w:r>
        <w:rPr>
          <w:rFonts w:hint="eastAsia" w:ascii="宋体" w:hAnsi="宋体" w:eastAsia="宋体"/>
          <w:bCs/>
          <w:sz w:val="21"/>
          <w:szCs w:val="21"/>
        </w:rPr>
        <w:t>联系电话：1</w:t>
      </w:r>
      <w:r>
        <w:rPr>
          <w:rFonts w:ascii="宋体" w:hAnsi="宋体" w:eastAsia="宋体"/>
          <w:bCs/>
          <w:sz w:val="21"/>
          <w:szCs w:val="21"/>
        </w:rPr>
        <w:t>8929138802</w:t>
      </w:r>
    </w:p>
    <w:p>
      <w:pPr>
        <w:spacing w:after="0" w:line="400" w:lineRule="exact"/>
        <w:ind w:firstLine="420" w:firstLineChars="200"/>
        <w:rPr>
          <w:rFonts w:ascii="宋体" w:hAnsi="宋体" w:eastAsia="宋体"/>
          <w:sz w:val="21"/>
          <w:szCs w:val="21"/>
        </w:rPr>
      </w:pP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采购代理机构名称：三方诚信招标有限公司东莞分公司</w:t>
      </w:r>
    </w:p>
    <w:p>
      <w:pPr>
        <w:spacing w:after="0" w:line="400" w:lineRule="exact"/>
        <w:ind w:firstLine="420" w:firstLineChars="200"/>
        <w:rPr>
          <w:rFonts w:ascii="宋体" w:hAnsi="宋体" w:eastAsia="宋体"/>
          <w:sz w:val="21"/>
          <w:szCs w:val="21"/>
        </w:rPr>
      </w:pPr>
      <w:r>
        <w:rPr>
          <w:rFonts w:hint="eastAsia" w:ascii="宋体" w:hAnsi="宋体" w:eastAsia="宋体"/>
          <w:sz w:val="21"/>
          <w:szCs w:val="21"/>
        </w:rPr>
        <w:t>地址：东莞市南城街道鸿福西路81号国际商会大厦706室。</w:t>
      </w:r>
    </w:p>
    <w:p>
      <w:pPr>
        <w:spacing w:after="0" w:line="400" w:lineRule="exact"/>
        <w:ind w:firstLine="420" w:firstLineChars="200"/>
        <w:rPr>
          <w:rFonts w:ascii="宋体" w:hAnsi="宋体" w:eastAsia="宋体"/>
          <w:color w:val="000000" w:themeColor="text1"/>
          <w:sz w:val="21"/>
          <w:szCs w:val="21"/>
        </w:rPr>
      </w:pPr>
      <w:r>
        <w:rPr>
          <w:rFonts w:hint="eastAsia" w:ascii="宋体" w:hAnsi="宋体" w:eastAsia="宋体"/>
          <w:color w:val="000000" w:themeColor="text1"/>
          <w:sz w:val="21"/>
          <w:szCs w:val="21"/>
        </w:rPr>
        <w:t>采购代理机构联系人：陈树辉</w:t>
      </w:r>
    </w:p>
    <w:p>
      <w:pPr>
        <w:spacing w:after="0" w:line="400" w:lineRule="exact"/>
        <w:ind w:firstLine="420" w:firstLineChars="200"/>
        <w:rPr>
          <w:rFonts w:ascii="宋体" w:hAnsi="宋体" w:eastAsia="宋体"/>
          <w:color w:val="000000" w:themeColor="text1"/>
          <w:sz w:val="21"/>
          <w:szCs w:val="21"/>
        </w:rPr>
      </w:pPr>
      <w:r>
        <w:rPr>
          <w:rFonts w:hint="eastAsia" w:ascii="宋体" w:hAnsi="宋体" w:eastAsia="宋体"/>
          <w:color w:val="000000" w:themeColor="text1"/>
          <w:sz w:val="21"/>
          <w:szCs w:val="21"/>
        </w:rPr>
        <w:t>联系电话：0769-21682660-805</w:t>
      </w:r>
    </w:p>
    <w:p>
      <w:pPr>
        <w:spacing w:after="0" w:line="400" w:lineRule="exact"/>
        <w:ind w:firstLine="420" w:firstLineChars="200"/>
        <w:rPr>
          <w:rFonts w:ascii="宋体" w:hAnsi="宋体" w:eastAsia="宋体"/>
          <w:color w:val="000000" w:themeColor="text1"/>
          <w:sz w:val="21"/>
          <w:szCs w:val="21"/>
        </w:rPr>
      </w:pPr>
      <w:r>
        <w:rPr>
          <w:rFonts w:hint="eastAsia" w:ascii="宋体" w:hAnsi="宋体" w:eastAsia="宋体"/>
          <w:color w:val="000000" w:themeColor="text1"/>
          <w:sz w:val="21"/>
          <w:szCs w:val="21"/>
        </w:rPr>
        <w:t>E－ mail：2726688173@qq.com</w:t>
      </w:r>
    </w:p>
    <w:p>
      <w:pPr>
        <w:spacing w:after="0" w:line="360" w:lineRule="auto"/>
        <w:ind w:firstLine="440" w:firstLineChars="200"/>
        <w:rPr>
          <w:rFonts w:eastAsia="宋体"/>
        </w:rPr>
      </w:pPr>
    </w:p>
    <w:p>
      <w:pPr>
        <w:ind w:right="788" w:rightChars="358"/>
        <w:jc w:val="right"/>
        <w:rPr>
          <w:rFonts w:ascii="宋体" w:hAnsi="宋体" w:eastAsia="宋体" w:cs="宋体"/>
          <w:sz w:val="21"/>
          <w:szCs w:val="21"/>
        </w:rPr>
      </w:pPr>
    </w:p>
    <w:p>
      <w:pPr>
        <w:ind w:right="788" w:rightChars="358"/>
        <w:jc w:val="right"/>
        <w:rPr>
          <w:rFonts w:ascii="宋体" w:hAnsi="宋体" w:eastAsia="宋体" w:cs="宋体"/>
          <w:sz w:val="21"/>
          <w:szCs w:val="21"/>
        </w:rPr>
      </w:pPr>
    </w:p>
    <w:p>
      <w:pPr>
        <w:ind w:right="788" w:rightChars="358"/>
        <w:jc w:val="right"/>
        <w:rPr>
          <w:rFonts w:ascii="宋体" w:hAnsi="宋体" w:eastAsia="宋体" w:cs="宋体"/>
          <w:sz w:val="21"/>
          <w:szCs w:val="21"/>
        </w:rPr>
      </w:pPr>
      <w:r>
        <w:rPr>
          <w:rFonts w:hint="eastAsia" w:ascii="宋体" w:hAnsi="宋体" w:eastAsia="宋体" w:cs="宋体"/>
          <w:sz w:val="21"/>
          <w:szCs w:val="21"/>
        </w:rPr>
        <w:t>三方诚信招标有限公司东莞分公司</w:t>
      </w:r>
    </w:p>
    <w:p>
      <w:pPr>
        <w:ind w:right="788" w:rightChars="358"/>
        <w:jc w:val="right"/>
        <w:rPr>
          <w:rFonts w:ascii="宋体" w:hAnsi="宋体" w:eastAsia="宋体" w:cs="宋体"/>
          <w:sz w:val="21"/>
          <w:szCs w:val="21"/>
        </w:rPr>
      </w:pPr>
      <w:r>
        <w:rPr>
          <w:rFonts w:hint="eastAsia" w:ascii="宋体" w:hAnsi="宋体" w:eastAsia="宋体" w:cs="宋体"/>
          <w:sz w:val="21"/>
          <w:szCs w:val="21"/>
        </w:rPr>
        <w:t>2021年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p>
    <w:p>
      <w:pPr>
        <w:ind w:left="6481" w:leftChars="2755" w:hanging="420" w:hangingChars="200"/>
        <w:rPr>
          <w:rFonts w:ascii="黑体" w:hAnsi="宋体" w:eastAsia="黑体"/>
        </w:rPr>
      </w:pPr>
      <w:r>
        <w:rPr>
          <w:rFonts w:hint="eastAsia" w:ascii="宋体" w:hAnsi="宋体" w:eastAsia="宋体" w:cs="宋体"/>
          <w:sz w:val="21"/>
          <w:szCs w:val="21"/>
        </w:rPr>
        <w:br w:type="page"/>
      </w:r>
    </w:p>
    <w:p>
      <w:pPr>
        <w:pStyle w:val="4"/>
        <w:spacing w:before="0" w:after="0" w:line="240" w:lineRule="auto"/>
        <w:rPr>
          <w:sz w:val="28"/>
          <w:szCs w:val="28"/>
        </w:rPr>
      </w:pPr>
      <w:bookmarkStart w:id="4" w:name="_Toc11653"/>
      <w:r>
        <w:rPr>
          <w:rFonts w:hint="eastAsia"/>
          <w:sz w:val="28"/>
          <w:szCs w:val="28"/>
        </w:rPr>
        <w:t>第二部分相关资料</w:t>
      </w:r>
      <w:bookmarkEnd w:id="4"/>
      <w:r>
        <w:rPr>
          <w:rFonts w:hint="eastAsia"/>
          <w:sz w:val="28"/>
          <w:szCs w:val="28"/>
        </w:rPr>
        <w:t>表格</w:t>
      </w:r>
    </w:p>
    <w:p>
      <w:pPr>
        <w:pStyle w:val="6"/>
        <w:spacing w:before="0" w:after="0" w:line="240" w:lineRule="auto"/>
        <w:rPr>
          <w:rFonts w:ascii="宋体" w:hAnsi="宋体" w:eastAsia="宋体" w:cs="宋体"/>
          <w:sz w:val="24"/>
          <w:szCs w:val="24"/>
        </w:rPr>
      </w:pPr>
      <w:bookmarkStart w:id="5" w:name="_Toc20631"/>
      <w:r>
        <w:rPr>
          <w:rFonts w:hint="eastAsia" w:ascii="宋体" w:hAnsi="宋体" w:eastAsia="宋体" w:cs="宋体"/>
          <w:sz w:val="24"/>
          <w:szCs w:val="24"/>
        </w:rPr>
        <w:t>附表一：磋商资料表</w:t>
      </w:r>
      <w:bookmarkEnd w:id="5"/>
    </w:p>
    <w:tbl>
      <w:tblPr>
        <w:tblStyle w:val="21"/>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7"/>
        <w:gridCol w:w="1157"/>
        <w:gridCol w:w="3768"/>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7532"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4"/>
            <w:vAlign w:val="center"/>
          </w:tcPr>
          <w:p>
            <w:pPr>
              <w:spacing w:after="0"/>
              <w:jc w:val="center"/>
              <w:rPr>
                <w:rFonts w:ascii="宋体" w:hAnsi="宋体" w:eastAsia="宋体"/>
                <w:b/>
                <w:sz w:val="21"/>
                <w:szCs w:val="21"/>
              </w:rPr>
            </w:pPr>
            <w:r>
              <w:rPr>
                <w:rFonts w:hint="eastAsia" w:ascii="宋体" w:hAnsi="宋体" w:eastAsia="宋体"/>
                <w:b/>
                <w:sz w:val="21"/>
                <w:szCs w:val="21"/>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w:t>
            </w:r>
          </w:p>
        </w:tc>
        <w:tc>
          <w:tcPr>
            <w:tcW w:w="7532" w:type="dxa"/>
            <w:gridSpan w:val="3"/>
            <w:vAlign w:val="center"/>
          </w:tcPr>
          <w:p>
            <w:pPr>
              <w:spacing w:after="0"/>
              <w:rPr>
                <w:rFonts w:ascii="宋体" w:hAnsi="宋体" w:eastAsia="宋体"/>
                <w:b/>
                <w:bCs/>
                <w:sz w:val="21"/>
                <w:szCs w:val="21"/>
              </w:rPr>
            </w:pPr>
            <w:r>
              <w:rPr>
                <w:rFonts w:hint="eastAsia" w:ascii="宋体" w:hAnsi="宋体" w:eastAsia="宋体"/>
                <w:b/>
                <w:bCs/>
                <w:sz w:val="21"/>
                <w:szCs w:val="21"/>
              </w:rPr>
              <w:t>项目最高限价（单位：¥3</w:t>
            </w:r>
            <w:r>
              <w:rPr>
                <w:rFonts w:ascii="宋体" w:hAnsi="宋体" w:eastAsia="宋体"/>
                <w:b/>
                <w:bCs/>
                <w:sz w:val="21"/>
                <w:szCs w:val="21"/>
              </w:rPr>
              <w:t>10</w:t>
            </w:r>
            <w:r>
              <w:rPr>
                <w:rFonts w:hint="eastAsia" w:ascii="宋体" w:hAnsi="宋体" w:eastAsia="宋体"/>
                <w:b/>
                <w:bCs/>
                <w:sz w:val="21"/>
                <w:szCs w:val="21"/>
              </w:rPr>
              <w:t>,</w:t>
            </w:r>
            <w:r>
              <w:rPr>
                <w:rFonts w:ascii="宋体" w:hAnsi="宋体" w:eastAsia="宋体"/>
                <w:b/>
                <w:bCs/>
                <w:sz w:val="21"/>
                <w:szCs w:val="21"/>
              </w:rPr>
              <w:t>000</w:t>
            </w:r>
            <w:r>
              <w:rPr>
                <w:rFonts w:hint="eastAsia" w:ascii="宋体" w:hAnsi="宋体" w:eastAsia="宋体"/>
                <w:b/>
                <w:bCs/>
                <w:sz w:val="21"/>
                <w:szCs w:val="21"/>
              </w:rPr>
              <w:t>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rPr>
                <w:rFonts w:ascii="宋体" w:hAnsi="宋体" w:eastAsia="宋体"/>
                <w:b/>
                <w:bCs/>
                <w:sz w:val="21"/>
                <w:szCs w:val="21"/>
              </w:rPr>
            </w:pPr>
            <w:r>
              <w:rPr>
                <w:rFonts w:hint="eastAsia" w:ascii="宋体" w:hAnsi="宋体" w:eastAsia="宋体"/>
                <w:bCs/>
                <w:sz w:val="21"/>
                <w:szCs w:val="21"/>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85"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2</w:t>
            </w:r>
          </w:p>
        </w:tc>
        <w:tc>
          <w:tcPr>
            <w:tcW w:w="7532" w:type="dxa"/>
            <w:gridSpan w:val="3"/>
            <w:vAlign w:val="center"/>
          </w:tcPr>
          <w:p>
            <w:pPr>
              <w:spacing w:after="0"/>
              <w:rPr>
                <w:rFonts w:ascii="宋体" w:hAnsi="宋体" w:eastAsia="宋体"/>
                <w:b/>
                <w:bCs/>
                <w:sz w:val="21"/>
                <w:szCs w:val="21"/>
              </w:rPr>
            </w:pPr>
            <w:r>
              <w:rPr>
                <w:rFonts w:hint="eastAsia" w:ascii="宋体" w:hAnsi="宋体" w:eastAsia="宋体"/>
                <w:b/>
                <w:bCs/>
                <w:sz w:val="21"/>
                <w:szCs w:val="21"/>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rPr>
                <w:rFonts w:ascii="宋体" w:hAnsi="宋体" w:eastAsia="宋体"/>
                <w:bCs/>
                <w:sz w:val="21"/>
                <w:szCs w:val="21"/>
              </w:rPr>
            </w:pPr>
            <w:r>
              <w:rPr>
                <w:rFonts w:hint="eastAsia" w:ascii="宋体" w:hAnsi="宋体" w:eastAsia="宋体"/>
                <w:bCs/>
                <w:sz w:val="21"/>
                <w:szCs w:val="21"/>
              </w:rPr>
              <w:t>货物</w:t>
            </w:r>
            <w:r>
              <w:rPr>
                <w:rFonts w:hint="eastAsia" w:ascii="宋体" w:hAnsi="宋体" w:eastAsia="宋体"/>
                <w:bCs/>
                <w:sz w:val="21"/>
                <w:szCs w:val="21"/>
              </w:rPr>
              <w:sym w:font="Wingdings" w:char="00A8"/>
            </w:r>
            <w:r>
              <w:rPr>
                <w:rFonts w:hint="eastAsia" w:ascii="宋体" w:hAnsi="宋体" w:eastAsia="宋体"/>
                <w:bCs/>
                <w:sz w:val="21"/>
                <w:szCs w:val="21"/>
              </w:rPr>
              <w:t xml:space="preserve">   工程</w:t>
            </w:r>
            <w:r>
              <w:rPr>
                <w:rFonts w:hint="eastAsia" w:ascii="宋体" w:hAnsi="宋体" w:eastAsia="宋体"/>
                <w:bCs/>
                <w:sz w:val="21"/>
                <w:szCs w:val="21"/>
              </w:rPr>
              <w:sym w:font="Wingdings" w:char="00A8"/>
            </w:r>
            <w:r>
              <w:rPr>
                <w:rFonts w:hint="eastAsia" w:ascii="宋体" w:hAnsi="宋体" w:eastAsia="宋体"/>
                <w:bCs/>
                <w:sz w:val="21"/>
                <w:szCs w:val="21"/>
              </w:rPr>
              <w:t xml:space="preserve">   服务</w:t>
            </w:r>
            <w:r>
              <w:rPr>
                <w:rFonts w:hint="eastAsia" w:ascii="宋体" w:hAnsi="宋体" w:eastAsia="宋体"/>
                <w:bCs/>
                <w:sz w:val="21"/>
                <w:szCs w:val="21"/>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rPr>
                <w:rFonts w:ascii="宋体" w:hAnsi="宋体" w:eastAsia="宋体"/>
                <w:bCs/>
                <w:sz w:val="21"/>
                <w:szCs w:val="21"/>
              </w:rPr>
            </w:pPr>
            <w:r>
              <w:rPr>
                <w:rFonts w:hint="eastAsia" w:ascii="宋体" w:hAnsi="宋体" w:eastAsia="宋体"/>
                <w:bCs/>
                <w:sz w:val="21"/>
                <w:szCs w:val="21"/>
              </w:rPr>
              <w:t>所属行业：其他未列明行业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3</w:t>
            </w:r>
          </w:p>
        </w:tc>
        <w:tc>
          <w:tcPr>
            <w:tcW w:w="7532" w:type="dxa"/>
            <w:gridSpan w:val="3"/>
            <w:vAlign w:val="center"/>
          </w:tcPr>
          <w:p>
            <w:pPr>
              <w:spacing w:after="0"/>
              <w:rPr>
                <w:rFonts w:ascii="宋体" w:hAnsi="宋体" w:eastAsia="宋体"/>
                <w:b/>
                <w:bCs/>
                <w:sz w:val="21"/>
                <w:szCs w:val="21"/>
              </w:rPr>
            </w:pPr>
            <w:r>
              <w:rPr>
                <w:rFonts w:hint="eastAsia" w:ascii="宋体" w:hAnsi="宋体" w:eastAsia="宋体"/>
                <w:b/>
                <w:bCs/>
                <w:sz w:val="21"/>
                <w:szCs w:val="21"/>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rPr>
                <w:rFonts w:ascii="宋体" w:hAnsi="宋体" w:eastAsia="宋体"/>
                <w:b/>
                <w:bCs/>
                <w:sz w:val="21"/>
                <w:szCs w:val="21"/>
              </w:rPr>
            </w:pPr>
            <w:r>
              <w:rPr>
                <w:rFonts w:hint="eastAsia" w:ascii="宋体" w:hAnsi="宋体" w:eastAsia="宋体"/>
                <w:sz w:val="21"/>
                <w:szCs w:val="21"/>
              </w:rPr>
              <w:t>自筹资金。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4</w:t>
            </w:r>
          </w:p>
        </w:tc>
        <w:tc>
          <w:tcPr>
            <w:tcW w:w="7532" w:type="dxa"/>
            <w:gridSpan w:val="3"/>
            <w:vAlign w:val="center"/>
          </w:tcPr>
          <w:p>
            <w:pPr>
              <w:spacing w:after="0"/>
              <w:rPr>
                <w:rFonts w:ascii="宋体" w:hAnsi="宋体" w:eastAsia="宋体"/>
                <w:sz w:val="21"/>
                <w:szCs w:val="21"/>
              </w:rPr>
            </w:pPr>
            <w:r>
              <w:rPr>
                <w:rFonts w:hint="eastAsia" w:ascii="宋体" w:hAnsi="宋体" w:eastAsia="宋体"/>
                <w:b/>
                <w:sz w:val="21"/>
                <w:szCs w:val="21"/>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rPr>
                <w:rFonts w:ascii="宋体" w:hAnsi="宋体" w:eastAsia="宋体"/>
                <w:sz w:val="21"/>
                <w:szCs w:val="21"/>
              </w:rPr>
            </w:pPr>
            <w:r>
              <w:rPr>
                <w:rFonts w:hint="eastAsia" w:ascii="宋体" w:hAnsi="宋体" w:eastAsia="宋体"/>
                <w:bCs/>
                <w:sz w:val="21"/>
                <w:szCs w:val="21"/>
              </w:rPr>
              <w:t>是</w:t>
            </w:r>
            <w:r>
              <w:rPr>
                <w:rFonts w:hint="eastAsia" w:ascii="宋体" w:hAnsi="宋体" w:eastAsia="宋体"/>
                <w:bCs/>
                <w:sz w:val="21"/>
                <w:szCs w:val="21"/>
              </w:rPr>
              <w:sym w:font="Wingdings" w:char="00A8"/>
            </w:r>
            <w:r>
              <w:rPr>
                <w:rFonts w:hint="eastAsia" w:ascii="宋体" w:hAnsi="宋体" w:eastAsia="宋体"/>
                <w:bCs/>
                <w:sz w:val="21"/>
                <w:szCs w:val="21"/>
              </w:rPr>
              <w:t xml:space="preserve">    否</w:t>
            </w:r>
            <w:r>
              <w:rPr>
                <w:rFonts w:hint="eastAsia" w:ascii="宋体" w:hAnsi="宋体" w:eastAsia="宋体"/>
                <w:bCs/>
                <w:sz w:val="21"/>
                <w:szCs w:val="21"/>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29"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5</w:t>
            </w:r>
          </w:p>
        </w:tc>
        <w:tc>
          <w:tcPr>
            <w:tcW w:w="7532" w:type="dxa"/>
            <w:gridSpan w:val="3"/>
            <w:vAlign w:val="center"/>
          </w:tcPr>
          <w:p>
            <w:pPr>
              <w:spacing w:after="0"/>
              <w:rPr>
                <w:rFonts w:ascii="宋体" w:hAnsi="宋体" w:eastAsia="宋体"/>
                <w:b/>
                <w:sz w:val="21"/>
                <w:szCs w:val="21"/>
              </w:rPr>
            </w:pPr>
            <w:r>
              <w:rPr>
                <w:rFonts w:hint="eastAsia" w:ascii="宋体" w:hAnsi="宋体" w:eastAsia="宋体"/>
                <w:b/>
                <w:sz w:val="21"/>
                <w:szCs w:val="21"/>
              </w:rPr>
              <w:t>是否为预留份额专门面向中小企业采购</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7" w:hRule="atLeast"/>
        </w:trPr>
        <w:tc>
          <w:tcPr>
            <w:tcW w:w="878" w:type="dxa"/>
            <w:vMerge w:val="continue"/>
            <w:vAlign w:val="center"/>
          </w:tcPr>
          <w:p>
            <w:pPr>
              <w:spacing w:after="0"/>
            </w:pPr>
          </w:p>
        </w:tc>
        <w:tc>
          <w:tcPr>
            <w:tcW w:w="7532" w:type="dxa"/>
            <w:gridSpan w:val="3"/>
            <w:vAlign w:val="center"/>
          </w:tcPr>
          <w:p>
            <w:pPr>
              <w:spacing w:after="0"/>
              <w:rPr>
                <w:rFonts w:ascii="宋体" w:hAnsi="宋体" w:eastAsia="宋体"/>
                <w:b/>
                <w:sz w:val="21"/>
                <w:szCs w:val="21"/>
              </w:rPr>
            </w:pPr>
            <w:r>
              <w:rPr>
                <w:rFonts w:hint="eastAsia" w:ascii="宋体" w:hAnsi="宋体" w:eastAsia="宋体"/>
                <w:bCs/>
                <w:sz w:val="21"/>
                <w:szCs w:val="21"/>
              </w:rPr>
              <w:t>是</w:t>
            </w:r>
            <w:r>
              <w:rPr>
                <w:rFonts w:hint="eastAsia" w:ascii="宋体" w:hAnsi="宋体" w:eastAsia="宋体"/>
                <w:bCs/>
                <w:sz w:val="21"/>
                <w:szCs w:val="21"/>
              </w:rPr>
              <w:sym w:font="Wingdings" w:char="00A8"/>
            </w:r>
            <w:r>
              <w:rPr>
                <w:rFonts w:hint="eastAsia" w:ascii="宋体" w:hAnsi="宋体" w:eastAsia="宋体"/>
                <w:bCs/>
                <w:sz w:val="21"/>
                <w:szCs w:val="21"/>
              </w:rPr>
              <w:t>（预留份额为</w:t>
            </w:r>
            <w:r>
              <w:rPr>
                <w:rFonts w:hint="eastAsia" w:ascii="宋体" w:hAnsi="宋体" w:eastAsia="宋体"/>
                <w:bCs/>
                <w:sz w:val="21"/>
                <w:szCs w:val="21"/>
                <w:u w:val="single"/>
              </w:rPr>
              <w:t>：</w:t>
            </w:r>
            <w:r>
              <w:rPr>
                <w:rFonts w:hint="eastAsia" w:ascii="宋体" w:hAnsi="宋体" w:eastAsia="宋体"/>
                <w:bCs/>
                <w:sz w:val="21"/>
                <w:szCs w:val="21"/>
              </w:rPr>
              <w:t>）    否</w:t>
            </w:r>
            <w:r>
              <w:rPr>
                <w:rFonts w:hint="eastAsia" w:ascii="宋体" w:hAnsi="宋体" w:eastAsia="宋体"/>
                <w:bCs/>
                <w:sz w:val="21"/>
                <w:szCs w:val="21"/>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6</w:t>
            </w:r>
          </w:p>
        </w:tc>
        <w:tc>
          <w:tcPr>
            <w:tcW w:w="7532" w:type="dxa"/>
            <w:gridSpan w:val="3"/>
            <w:vAlign w:val="center"/>
          </w:tcPr>
          <w:p>
            <w:pPr>
              <w:spacing w:after="0"/>
              <w:rPr>
                <w:rFonts w:ascii="宋体" w:hAnsi="宋体" w:eastAsia="宋体"/>
                <w:b/>
                <w:sz w:val="21"/>
                <w:szCs w:val="21"/>
              </w:rPr>
            </w:pPr>
            <w:r>
              <w:rPr>
                <w:rFonts w:hint="eastAsia" w:ascii="宋体" w:hAnsi="宋体" w:eastAsia="宋体"/>
                <w:b/>
                <w:sz w:val="21"/>
                <w:szCs w:val="21"/>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rPr>
                <w:rFonts w:ascii="宋体" w:hAnsi="宋体" w:eastAsia="宋体"/>
                <w:b/>
                <w:sz w:val="21"/>
                <w:szCs w:val="21"/>
              </w:rPr>
            </w:pPr>
            <w:r>
              <w:rPr>
                <w:rFonts w:hint="eastAsia" w:ascii="宋体" w:hAnsi="宋体" w:eastAsia="宋体"/>
                <w:bCs/>
                <w:sz w:val="21"/>
                <w:szCs w:val="21"/>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7</w:t>
            </w:r>
          </w:p>
        </w:tc>
        <w:tc>
          <w:tcPr>
            <w:tcW w:w="7532"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磋商信息发布网站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sz w:val="21"/>
                <w:szCs w:val="21"/>
              </w:rPr>
            </w:pPr>
          </w:p>
        </w:tc>
        <w:tc>
          <w:tcPr>
            <w:tcW w:w="3762"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三方诚信招标网</w:t>
            </w:r>
          </w:p>
        </w:tc>
        <w:tc>
          <w:tcPr>
            <w:tcW w:w="3770" w:type="dxa"/>
            <w:vAlign w:val="center"/>
          </w:tcPr>
          <w:p>
            <w:pPr>
              <w:spacing w:after="0"/>
              <w:jc w:val="center"/>
              <w:rPr>
                <w:rFonts w:ascii="宋体" w:hAnsi="宋体" w:eastAsia="宋体"/>
                <w:b/>
                <w:sz w:val="21"/>
                <w:szCs w:val="21"/>
              </w:rPr>
            </w:pPr>
            <w:r>
              <w:rPr>
                <w:rFonts w:hint="eastAsia" w:ascii="宋体" w:hAnsi="宋体" w:eastAsia="宋体"/>
                <w:b/>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sz w:val="21"/>
                <w:szCs w:val="21"/>
              </w:rPr>
            </w:pPr>
          </w:p>
        </w:tc>
        <w:tc>
          <w:tcPr>
            <w:tcW w:w="3762" w:type="dxa"/>
            <w:gridSpan w:val="2"/>
            <w:vAlign w:val="center"/>
          </w:tcPr>
          <w:p>
            <w:pPr>
              <w:spacing w:after="0"/>
              <w:jc w:val="center"/>
              <w:rPr>
                <w:rFonts w:ascii="宋体" w:hAnsi="宋体" w:eastAsia="宋体"/>
                <w:b/>
                <w:sz w:val="21"/>
                <w:szCs w:val="21"/>
              </w:rPr>
            </w:pPr>
            <w:r>
              <w:rPr>
                <w:rFonts w:hint="eastAsia" w:ascii="宋体" w:hAnsi="宋体" w:eastAsia="宋体"/>
                <w:bCs/>
                <w:sz w:val="21"/>
                <w:szCs w:val="21"/>
              </w:rPr>
              <w:t>http://www.sfcx.cn/</w:t>
            </w:r>
          </w:p>
        </w:tc>
        <w:tc>
          <w:tcPr>
            <w:tcW w:w="3770" w:type="dxa"/>
            <w:vAlign w:val="center"/>
          </w:tcPr>
          <w:p>
            <w:pPr>
              <w:spacing w:after="0"/>
              <w:jc w:val="center"/>
              <w:rPr>
                <w:rFonts w:ascii="宋体" w:hAnsi="宋体" w:eastAsia="宋体"/>
                <w:b/>
                <w:sz w:val="21"/>
                <w:szCs w:val="21"/>
              </w:rPr>
            </w:pPr>
            <w:r>
              <w:rPr>
                <w:rFonts w:ascii="宋体" w:hAnsi="宋体" w:eastAsia="宋体"/>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4"/>
            <w:vAlign w:val="center"/>
          </w:tcPr>
          <w:p>
            <w:pPr>
              <w:spacing w:after="0"/>
              <w:jc w:val="center"/>
              <w:rPr>
                <w:rFonts w:ascii="宋体" w:hAnsi="宋体" w:eastAsia="宋体"/>
                <w:b/>
                <w:sz w:val="21"/>
                <w:szCs w:val="21"/>
              </w:rPr>
            </w:pPr>
            <w:r>
              <w:rPr>
                <w:rFonts w:hint="eastAsia" w:ascii="宋体" w:hAnsi="宋体" w:eastAsia="宋体"/>
                <w:b/>
                <w:sz w:val="21"/>
                <w:szCs w:val="21"/>
              </w:rPr>
              <w:t>二、响应文件的编制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8</w:t>
            </w:r>
          </w:p>
        </w:tc>
        <w:tc>
          <w:tcPr>
            <w:tcW w:w="7532" w:type="dxa"/>
            <w:gridSpan w:val="3"/>
            <w:vAlign w:val="center"/>
          </w:tcPr>
          <w:p>
            <w:pPr>
              <w:spacing w:after="0"/>
              <w:rPr>
                <w:rFonts w:ascii="宋体" w:hAnsi="宋体" w:eastAsia="宋体"/>
                <w:b/>
                <w:sz w:val="21"/>
                <w:szCs w:val="21"/>
              </w:rPr>
            </w:pPr>
            <w:r>
              <w:rPr>
                <w:rFonts w:hint="eastAsia" w:ascii="宋体" w:hAnsi="宋体" w:eastAsia="宋体"/>
                <w:b/>
                <w:sz w:val="21"/>
                <w:szCs w:val="21"/>
              </w:rPr>
              <w:t>响应语言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rPr>
                <w:rFonts w:ascii="宋体" w:hAnsi="宋体" w:eastAsia="宋体"/>
                <w:b/>
                <w:sz w:val="21"/>
                <w:szCs w:val="21"/>
              </w:rPr>
            </w:pPr>
            <w:r>
              <w:rPr>
                <w:rFonts w:hint="eastAsia" w:ascii="宋体" w:hAnsi="宋体" w:eastAsia="宋体"/>
                <w:sz w:val="21"/>
                <w:szCs w:val="21"/>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9</w:t>
            </w: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b/>
                <w:sz w:val="21"/>
                <w:szCs w:val="21"/>
              </w:rPr>
              <w:t>响应报价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sz w:val="21"/>
                <w:szCs w:val="21"/>
              </w:rPr>
              <w:t>详见“第四部分供应商须知”。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10</w:t>
            </w: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b/>
                <w:sz w:val="21"/>
                <w:szCs w:val="21"/>
              </w:rPr>
              <w:t>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sz w:val="21"/>
                <w:szCs w:val="21"/>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11</w:t>
            </w: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b/>
                <w:sz w:val="21"/>
                <w:szCs w:val="21"/>
              </w:rPr>
              <w:t>核心产品（本项目为服务项目，无核心产品）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sz w:val="21"/>
                <w:szCs w:val="21"/>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12</w:t>
            </w: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sz w:val="21"/>
                <w:szCs w:val="21"/>
              </w:rPr>
              <w:t>★</w:t>
            </w:r>
            <w:r>
              <w:rPr>
                <w:rFonts w:hint="eastAsia" w:ascii="宋体" w:hAnsi="宋体" w:eastAsia="宋体"/>
                <w:b/>
                <w:sz w:val="21"/>
                <w:szCs w:val="21"/>
              </w:rPr>
              <w:t>磋商保证金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sz w:val="21"/>
                <w:szCs w:val="21"/>
              </w:rPr>
              <w:t>（1）磋商保证金金额：人民币</w:t>
            </w:r>
            <w:r>
              <w:rPr>
                <w:rFonts w:hint="eastAsia" w:ascii="宋体" w:hAnsi="宋体" w:eastAsia="宋体"/>
                <w:sz w:val="21"/>
                <w:szCs w:val="21"/>
                <w:lang w:eastAsia="zh-CN"/>
              </w:rPr>
              <w:t>叁仟壹佰</w:t>
            </w:r>
            <w:r>
              <w:rPr>
                <w:rFonts w:hint="eastAsia" w:ascii="宋体" w:hAnsi="宋体" w:eastAsia="宋体"/>
                <w:sz w:val="21"/>
                <w:szCs w:val="21"/>
              </w:rPr>
              <w:t>元整（¥3,100.00）。</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sz w:val="21"/>
                <w:szCs w:val="21"/>
              </w:rPr>
              <w:t>（2）</w:t>
            </w:r>
            <w:r>
              <w:rPr>
                <w:rFonts w:hint="eastAsia" w:ascii="宋体" w:hAnsi="宋体" w:eastAsia="宋体"/>
                <w:sz w:val="21"/>
                <w:szCs w:val="21"/>
                <w:lang w:val="zh-CN"/>
              </w:rPr>
              <w:t>投磋商保证金须严格按“磋商文件第</w:t>
            </w:r>
            <w:r>
              <w:rPr>
                <w:rFonts w:hint="eastAsia" w:ascii="宋体" w:hAnsi="宋体" w:eastAsia="宋体"/>
                <w:sz w:val="21"/>
                <w:szCs w:val="21"/>
              </w:rPr>
              <w:t>四部分供应商</w:t>
            </w:r>
            <w:r>
              <w:rPr>
                <w:rFonts w:hint="eastAsia" w:ascii="宋体" w:hAnsi="宋体" w:eastAsia="宋体"/>
                <w:sz w:val="21"/>
                <w:szCs w:val="21"/>
                <w:lang w:val="zh-CN"/>
              </w:rPr>
              <w:t>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lang w:val="zh-CN"/>
              </w:rPr>
            </w:pPr>
            <w:r>
              <w:rPr>
                <w:rFonts w:hint="eastAsia" w:ascii="宋体" w:hAnsi="宋体" w:eastAsia="宋体"/>
                <w:sz w:val="21"/>
                <w:szCs w:val="21"/>
                <w:lang w:val="zh-CN"/>
              </w:rPr>
              <w:t>（3）保证金递交账户：</w:t>
            </w:r>
          </w:p>
          <w:p>
            <w:pPr>
              <w:spacing w:after="0"/>
              <w:jc w:val="both"/>
              <w:rPr>
                <w:rFonts w:ascii="宋体" w:hAnsi="宋体" w:eastAsia="宋体"/>
                <w:sz w:val="21"/>
                <w:szCs w:val="21"/>
                <w:lang w:val="zh-CN"/>
              </w:rPr>
            </w:pPr>
            <w:r>
              <w:rPr>
                <w:rFonts w:hint="eastAsia" w:ascii="宋体" w:hAnsi="宋体" w:eastAsia="宋体"/>
                <w:sz w:val="21"/>
                <w:szCs w:val="21"/>
                <w:lang w:val="zh-CN"/>
              </w:rPr>
              <w:t>收款人：三方诚信招标有限公司东莞分公司</w:t>
            </w:r>
          </w:p>
          <w:p>
            <w:pPr>
              <w:spacing w:after="0"/>
              <w:jc w:val="both"/>
              <w:rPr>
                <w:rFonts w:ascii="宋体" w:hAnsi="宋体" w:eastAsia="宋体"/>
                <w:sz w:val="21"/>
                <w:szCs w:val="21"/>
                <w:lang w:val="zh-CN"/>
              </w:rPr>
            </w:pPr>
            <w:r>
              <w:rPr>
                <w:rFonts w:hint="eastAsia" w:ascii="宋体" w:hAnsi="宋体" w:eastAsia="宋体"/>
                <w:sz w:val="21"/>
                <w:szCs w:val="21"/>
                <w:lang w:val="zh-CN"/>
              </w:rPr>
              <w:t>开户行：广发银行股份有限公司东莞南城支行</w:t>
            </w:r>
          </w:p>
          <w:p>
            <w:pPr>
              <w:spacing w:after="0"/>
              <w:jc w:val="both"/>
              <w:rPr>
                <w:rFonts w:ascii="宋体" w:hAnsi="宋体" w:eastAsia="宋体"/>
                <w:sz w:val="21"/>
                <w:szCs w:val="21"/>
                <w:lang w:val="zh-CN"/>
              </w:rPr>
            </w:pPr>
            <w:r>
              <w:rPr>
                <w:rFonts w:hint="eastAsia" w:ascii="宋体" w:hAnsi="宋体" w:eastAsia="宋体"/>
                <w:sz w:val="21"/>
                <w:szCs w:val="21"/>
                <w:lang w:val="zh-CN"/>
              </w:rPr>
              <w:t>账  号：6232590699050038445</w:t>
            </w:r>
          </w:p>
          <w:p>
            <w:pPr>
              <w:spacing w:after="0"/>
              <w:jc w:val="both"/>
            </w:pPr>
            <w:r>
              <w:rPr>
                <w:rFonts w:hint="eastAsia" w:ascii="宋体" w:hAnsi="宋体" w:eastAsia="宋体"/>
                <w:sz w:val="21"/>
                <w:szCs w:val="21"/>
                <w:lang w:val="zh-CN"/>
              </w:rPr>
              <w:t>（各供应商在转账或电汇时须在用途栏上写明项目编号）。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13</w:t>
            </w:r>
          </w:p>
        </w:tc>
        <w:tc>
          <w:tcPr>
            <w:tcW w:w="7532" w:type="dxa"/>
            <w:gridSpan w:val="3"/>
            <w:vAlign w:val="center"/>
          </w:tcPr>
          <w:p>
            <w:pPr>
              <w:spacing w:after="0"/>
              <w:jc w:val="both"/>
              <w:rPr>
                <w:rFonts w:ascii="宋体" w:hAnsi="宋体" w:eastAsia="宋体"/>
                <w:b/>
                <w:bCs/>
                <w:sz w:val="21"/>
                <w:szCs w:val="21"/>
                <w:lang w:val="zh-CN"/>
              </w:rPr>
            </w:pPr>
            <w:r>
              <w:rPr>
                <w:rFonts w:hint="eastAsia" w:ascii="宋体" w:hAnsi="宋体" w:eastAsia="宋体"/>
                <w:b/>
                <w:bCs/>
                <w:sz w:val="21"/>
                <w:szCs w:val="21"/>
                <w:lang w:val="zh-CN"/>
              </w:rPr>
              <w:t>磋商保证金退还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lang w:val="zh-CN"/>
              </w:rPr>
            </w:pPr>
            <w:r>
              <w:rPr>
                <w:rFonts w:hint="eastAsia" w:ascii="宋体" w:hAnsi="宋体" w:eastAsia="宋体"/>
                <w:sz w:val="21"/>
                <w:szCs w:val="21"/>
                <w:lang w:val="zh-CN"/>
              </w:rPr>
              <w:t>（</w:t>
            </w:r>
            <w:r>
              <w:rPr>
                <w:rFonts w:hint="eastAsia" w:ascii="宋体" w:hAnsi="宋体" w:eastAsia="宋体"/>
                <w:sz w:val="21"/>
                <w:szCs w:val="21"/>
              </w:rPr>
              <w:t>1</w:t>
            </w:r>
            <w:r>
              <w:rPr>
                <w:rFonts w:hint="eastAsia" w:ascii="宋体" w:hAnsi="宋体" w:eastAsia="宋体"/>
                <w:sz w:val="21"/>
                <w:szCs w:val="21"/>
                <w:lang w:val="zh-CN"/>
              </w:rPr>
              <w:t>）未成交的供应商的保证金在采购结果公示发出后5个工作日内退还，成交供应商的保证金在采购合同签订后5个工作日内退还。</w:t>
            </w:r>
          </w:p>
          <w:p>
            <w:pPr>
              <w:spacing w:after="0"/>
              <w:jc w:val="both"/>
              <w:rPr>
                <w:rFonts w:ascii="宋体" w:hAnsi="宋体" w:eastAsia="宋体"/>
                <w:sz w:val="21"/>
                <w:szCs w:val="21"/>
                <w:lang w:val="zh-CN"/>
              </w:rPr>
            </w:pPr>
            <w:r>
              <w:rPr>
                <w:rFonts w:hint="eastAsia" w:ascii="宋体" w:hAnsi="宋体" w:eastAsia="宋体"/>
                <w:sz w:val="21"/>
                <w:szCs w:val="21"/>
                <w:lang w:val="zh-CN"/>
              </w:rPr>
              <w:t>（</w:t>
            </w:r>
            <w:r>
              <w:rPr>
                <w:rFonts w:hint="eastAsia" w:ascii="宋体" w:hAnsi="宋体" w:eastAsia="宋体"/>
                <w:sz w:val="21"/>
                <w:szCs w:val="21"/>
              </w:rPr>
              <w:t>2</w:t>
            </w:r>
            <w:r>
              <w:rPr>
                <w:rFonts w:hint="eastAsia" w:ascii="宋体" w:hAnsi="宋体" w:eastAsia="宋体"/>
                <w:sz w:val="21"/>
                <w:szCs w:val="21"/>
                <w:lang w:val="zh-CN"/>
              </w:rPr>
              <w:t>）为方便退还未成交的投保人的保证金，供应商应制作《磋商保证金汇入情况说明》随报价文件一并递交。</w:t>
            </w:r>
          </w:p>
          <w:p>
            <w:pPr>
              <w:spacing w:after="0"/>
              <w:jc w:val="both"/>
              <w:rPr>
                <w:rFonts w:eastAsia="宋体"/>
              </w:rPr>
            </w:pPr>
            <w:r>
              <w:rPr>
                <w:rFonts w:hint="eastAsia" w:ascii="宋体" w:hAnsi="宋体" w:eastAsia="宋体"/>
                <w:sz w:val="21"/>
                <w:szCs w:val="21"/>
                <w:lang w:val="zh-CN"/>
              </w:rPr>
              <w:t>（</w:t>
            </w:r>
            <w:r>
              <w:rPr>
                <w:rFonts w:hint="eastAsia" w:ascii="宋体" w:hAnsi="宋体" w:eastAsia="宋体"/>
                <w:sz w:val="21"/>
                <w:szCs w:val="21"/>
              </w:rPr>
              <w:t>3</w:t>
            </w:r>
            <w:r>
              <w:rPr>
                <w:rFonts w:hint="eastAsia" w:ascii="宋体" w:hAnsi="宋体" w:eastAsia="宋体"/>
                <w:sz w:val="21"/>
                <w:szCs w:val="21"/>
                <w:lang w:val="zh-CN"/>
              </w:rPr>
              <w:t>）磋商保证金退还联系电话：</w:t>
            </w:r>
            <w:r>
              <w:rPr>
                <w:rFonts w:hint="eastAsia" w:ascii="宋体" w:hAnsi="宋体" w:eastAsia="宋体"/>
                <w:sz w:val="21"/>
                <w:szCs w:val="21"/>
              </w:rPr>
              <w:t>0769-21682660-803。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14</w:t>
            </w: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sz w:val="21"/>
                <w:szCs w:val="21"/>
              </w:rPr>
              <w:t>★</w:t>
            </w:r>
            <w:r>
              <w:rPr>
                <w:rFonts w:hint="eastAsia" w:ascii="宋体" w:hAnsi="宋体" w:eastAsia="宋体"/>
                <w:b/>
                <w:sz w:val="21"/>
                <w:szCs w:val="21"/>
              </w:rPr>
              <w:t>响应有效期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sz w:val="21"/>
                <w:szCs w:val="21"/>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15</w:t>
            </w:r>
          </w:p>
        </w:tc>
        <w:tc>
          <w:tcPr>
            <w:tcW w:w="7532" w:type="dxa"/>
            <w:gridSpan w:val="3"/>
            <w:vAlign w:val="center"/>
          </w:tcPr>
          <w:p>
            <w:pPr>
              <w:spacing w:after="0"/>
              <w:jc w:val="center"/>
              <w:rPr>
                <w:rFonts w:ascii="宋体" w:hAnsi="宋体" w:eastAsia="宋体"/>
                <w:sz w:val="21"/>
                <w:szCs w:val="21"/>
              </w:rPr>
            </w:pPr>
            <w:r>
              <w:rPr>
                <w:rFonts w:hint="eastAsia" w:ascii="宋体" w:hAnsi="宋体" w:eastAsia="宋体"/>
                <w:b/>
                <w:sz w:val="21"/>
                <w:szCs w:val="21"/>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3766"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信用中国</w:t>
            </w:r>
          </w:p>
        </w:tc>
        <w:tc>
          <w:tcPr>
            <w:tcW w:w="3766" w:type="dxa"/>
            <w:vAlign w:val="center"/>
          </w:tcPr>
          <w:p>
            <w:pPr>
              <w:spacing w:after="0"/>
              <w:jc w:val="center"/>
              <w:rPr>
                <w:rFonts w:ascii="宋体" w:hAnsi="宋体" w:eastAsia="宋体"/>
                <w:b/>
                <w:sz w:val="21"/>
                <w:szCs w:val="21"/>
              </w:rPr>
            </w:pPr>
            <w:r>
              <w:rPr>
                <w:rFonts w:hint="eastAsia" w:ascii="宋体" w:hAnsi="宋体" w:eastAsia="宋体"/>
                <w:b/>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3766" w:type="dxa"/>
            <w:gridSpan w:val="2"/>
            <w:vAlign w:val="center"/>
          </w:tcPr>
          <w:p>
            <w:pPr>
              <w:spacing w:after="0"/>
              <w:jc w:val="center"/>
              <w:rPr>
                <w:rFonts w:ascii="宋体" w:hAnsi="宋体" w:eastAsia="宋体"/>
                <w:sz w:val="21"/>
                <w:szCs w:val="21"/>
              </w:rPr>
            </w:pPr>
            <w:r>
              <w:rPr>
                <w:rFonts w:hint="eastAsia" w:ascii="宋体" w:hAnsi="宋体" w:eastAsia="宋体"/>
                <w:sz w:val="21"/>
                <w:szCs w:val="21"/>
              </w:rPr>
              <w:t>https://www.creditchina.gov.cn/</w:t>
            </w:r>
          </w:p>
        </w:tc>
        <w:tc>
          <w:tcPr>
            <w:tcW w:w="3766" w:type="dxa"/>
            <w:vAlign w:val="center"/>
          </w:tcPr>
          <w:p>
            <w:pPr>
              <w:spacing w:after="0"/>
              <w:jc w:val="center"/>
              <w:rPr>
                <w:rFonts w:ascii="宋体" w:hAnsi="宋体" w:eastAsia="宋体"/>
                <w:sz w:val="21"/>
                <w:szCs w:val="21"/>
              </w:rPr>
            </w:pPr>
            <w:r>
              <w:rPr>
                <w:rFonts w:ascii="宋体" w:hAnsi="宋体" w:eastAsia="宋体"/>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16</w:t>
            </w:r>
          </w:p>
        </w:tc>
        <w:tc>
          <w:tcPr>
            <w:tcW w:w="7532"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供应商应提交以下响应文件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响应文件类型</w:t>
            </w:r>
          </w:p>
        </w:tc>
        <w:tc>
          <w:tcPr>
            <w:tcW w:w="4924"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报价文件</w:t>
            </w:r>
          </w:p>
        </w:tc>
        <w:tc>
          <w:tcPr>
            <w:tcW w:w="4924"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响应文件正本</w:t>
            </w:r>
          </w:p>
        </w:tc>
        <w:tc>
          <w:tcPr>
            <w:tcW w:w="4924"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响应文件副本</w:t>
            </w:r>
          </w:p>
        </w:tc>
        <w:tc>
          <w:tcPr>
            <w:tcW w:w="4924"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电子文档</w:t>
            </w:r>
          </w:p>
        </w:tc>
        <w:tc>
          <w:tcPr>
            <w:tcW w:w="4924"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97" w:hRule="atLeast"/>
        </w:trPr>
        <w:tc>
          <w:tcPr>
            <w:tcW w:w="8410" w:type="dxa"/>
            <w:gridSpan w:val="4"/>
            <w:vAlign w:val="center"/>
          </w:tcPr>
          <w:p>
            <w:pPr>
              <w:spacing w:after="0"/>
              <w:jc w:val="center"/>
              <w:rPr>
                <w:rFonts w:ascii="宋体" w:hAnsi="宋体" w:eastAsia="宋体"/>
                <w:b/>
                <w:sz w:val="21"/>
                <w:szCs w:val="21"/>
              </w:rPr>
            </w:pPr>
            <w:r>
              <w:rPr>
                <w:rFonts w:hint="eastAsia" w:ascii="宋体" w:hAnsi="宋体" w:eastAsia="宋体"/>
                <w:b/>
                <w:sz w:val="21"/>
                <w:szCs w:val="21"/>
              </w:rPr>
              <w:t>三、签到与评审</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17</w:t>
            </w: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b/>
                <w:sz w:val="21"/>
                <w:szCs w:val="21"/>
              </w:rPr>
              <w:t>本项目评审方法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sz w:val="21"/>
                <w:szCs w:val="21"/>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18</w:t>
            </w: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b/>
                <w:sz w:val="21"/>
                <w:szCs w:val="21"/>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sz w:val="21"/>
                <w:szCs w:val="21"/>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19（仅适用于政府采购）</w:t>
            </w: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b/>
                <w:sz w:val="21"/>
                <w:szCs w:val="21"/>
              </w:rPr>
              <w:t>小型或微型企业、监狱企业、残疾人福利性单位响应价格折扣标准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sz w:val="21"/>
                <w:szCs w:val="21"/>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b/>
                <w:sz w:val="21"/>
                <w:szCs w:val="21"/>
              </w:rPr>
              <w:t>供应商符合须知“优惠政策”中联合体规定的响应价格折扣标准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sz w:val="21"/>
                <w:szCs w:val="21"/>
              </w:rPr>
              <w:t>对于联合协议或者分包意向协议约定小微企业的合同份额占到合同总金额30%以上的，报价给予</w:t>
            </w:r>
            <w:r>
              <w:rPr>
                <w:rFonts w:ascii="宋体" w:hAnsi="宋体" w:eastAsia="宋体"/>
                <w:b/>
                <w:bCs/>
                <w:sz w:val="21"/>
                <w:szCs w:val="21"/>
                <w:u w:val="single"/>
              </w:rPr>
              <w:t>2%</w:t>
            </w:r>
            <w:r>
              <w:rPr>
                <w:rFonts w:hint="eastAsia" w:ascii="宋体" w:hAnsi="宋体" w:eastAsia="宋体"/>
                <w:sz w:val="21"/>
                <w:szCs w:val="21"/>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b/>
                <w:bCs/>
                <w:sz w:val="21"/>
                <w:szCs w:val="21"/>
              </w:rPr>
              <w:t>供应商所投产品为获得节能产品认证或环境标志产品认证证书的价格折扣标准（相关规定详见供应商须知“优惠政策”）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spacing w:after="0"/>
              <w:jc w:val="both"/>
              <w:rPr>
                <w:rFonts w:ascii="宋体" w:hAnsi="宋体" w:eastAsia="宋体"/>
                <w:sz w:val="21"/>
                <w:szCs w:val="21"/>
              </w:rPr>
            </w:pPr>
            <w:r>
              <w:rPr>
                <w:rFonts w:hint="eastAsia" w:ascii="宋体" w:hAnsi="宋体" w:eastAsia="宋体"/>
                <w:sz w:val="21"/>
                <w:szCs w:val="21"/>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4"/>
            <w:vAlign w:val="center"/>
          </w:tcPr>
          <w:p>
            <w:pPr>
              <w:spacing w:after="0"/>
              <w:jc w:val="center"/>
              <w:rPr>
                <w:rFonts w:ascii="宋体" w:hAnsi="宋体" w:eastAsia="宋体"/>
                <w:b/>
                <w:sz w:val="21"/>
                <w:szCs w:val="21"/>
              </w:rPr>
            </w:pPr>
            <w:r>
              <w:rPr>
                <w:rFonts w:hint="eastAsia" w:ascii="宋体" w:hAnsi="宋体" w:eastAsia="宋体"/>
                <w:b/>
                <w:sz w:val="21"/>
                <w:szCs w:val="21"/>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20</w:t>
            </w:r>
          </w:p>
        </w:tc>
        <w:tc>
          <w:tcPr>
            <w:tcW w:w="7532" w:type="dxa"/>
            <w:gridSpan w:val="3"/>
            <w:shd w:val="clear" w:color="auto" w:fill="auto"/>
            <w:vAlign w:val="center"/>
          </w:tcPr>
          <w:p>
            <w:pPr>
              <w:spacing w:after="0"/>
              <w:jc w:val="both"/>
              <w:rPr>
                <w:rFonts w:ascii="宋体" w:hAnsi="宋体" w:eastAsia="宋体"/>
                <w:b/>
                <w:sz w:val="21"/>
                <w:szCs w:val="21"/>
              </w:rPr>
            </w:pPr>
            <w:r>
              <w:rPr>
                <w:rFonts w:hint="eastAsia" w:ascii="宋体" w:hAnsi="宋体" w:eastAsia="宋体"/>
                <w:b/>
                <w:sz w:val="21"/>
                <w:szCs w:val="21"/>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shd w:val="clear" w:color="auto" w:fill="auto"/>
            <w:vAlign w:val="center"/>
          </w:tcPr>
          <w:p>
            <w:pPr>
              <w:spacing w:after="0"/>
              <w:jc w:val="both"/>
              <w:rPr>
                <w:rFonts w:ascii="宋体" w:hAnsi="宋体" w:eastAsia="宋体"/>
                <w:b/>
                <w:sz w:val="21"/>
                <w:szCs w:val="21"/>
              </w:rPr>
            </w:pPr>
            <w:r>
              <w:rPr>
                <w:rFonts w:hint="eastAsia" w:ascii="宋体" w:hAnsi="宋体" w:eastAsia="宋体"/>
                <w:sz w:val="21"/>
                <w:szCs w:val="21"/>
              </w:rPr>
              <w:t>履约保证金的数额为采购合同金额的5%。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21</w:t>
            </w:r>
          </w:p>
        </w:tc>
        <w:tc>
          <w:tcPr>
            <w:tcW w:w="7532" w:type="dxa"/>
            <w:gridSpan w:val="3"/>
            <w:vAlign w:val="center"/>
          </w:tcPr>
          <w:p>
            <w:pPr>
              <w:spacing w:after="0"/>
              <w:jc w:val="both"/>
              <w:rPr>
                <w:rFonts w:ascii="宋体" w:hAnsi="宋体" w:eastAsia="宋体"/>
                <w:b/>
                <w:sz w:val="21"/>
                <w:szCs w:val="21"/>
              </w:rPr>
            </w:pPr>
            <w:r>
              <w:rPr>
                <w:rFonts w:hint="eastAsia" w:ascii="宋体" w:hAnsi="宋体" w:eastAsia="宋体"/>
                <w:b/>
                <w:sz w:val="21"/>
                <w:szCs w:val="21"/>
              </w:rPr>
              <w:t>成交服务费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1）成交服务费参照国家计委[计价格[2002]1980号]文和国家发改委[发改价格[2011]534号]文及相关规定向成交单位收取，按差额定率累进法计算，以成交通知书中确定的成交总金额作为收费的计算参照；成交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3"/>
            <w:vAlign w:val="center"/>
          </w:tcPr>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（2）成交服务费以转账或现金的形式支付。采购代理机构服务费汇入账号：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收 款 人：三方诚信招标有限公司东莞分公司</w:t>
            </w:r>
          </w:p>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开户银行：中国工商银行东莞市分行</w:t>
            </w:r>
          </w:p>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账　　号：2010021309900018461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4"/>
            <w:vAlign w:val="center"/>
          </w:tcPr>
          <w:p>
            <w:pPr>
              <w:widowControl w:val="0"/>
              <w:tabs>
                <w:tab w:val="left" w:pos="907"/>
              </w:tabs>
              <w:adjustRightInd/>
              <w:snapToGrid/>
              <w:spacing w:after="0"/>
              <w:ind w:firstLine="420" w:firstLineChars="200"/>
              <w:jc w:val="both"/>
              <w:rPr>
                <w:rFonts w:ascii="宋体" w:hAnsi="宋体" w:eastAsia="宋体"/>
                <w:sz w:val="21"/>
                <w:szCs w:val="21"/>
              </w:rPr>
            </w:pPr>
            <w:r>
              <w:rPr>
                <w:rFonts w:hint="eastAsia" w:ascii="宋体" w:hAnsi="宋体" w:eastAsia="宋体"/>
                <w:sz w:val="21"/>
                <w:szCs w:val="21"/>
              </w:rPr>
              <w:t>注：本表关于要采购项目的具体资料，是对供应商须知的具体补充和修改，如有矛盾，应以本资料表为准。</w:t>
            </w:r>
          </w:p>
        </w:tc>
      </w:tr>
    </w:tbl>
    <w:p>
      <w:pPr>
        <w:jc w:val="center"/>
      </w:pPr>
      <w:r>
        <w:rPr>
          <w:rFonts w:hint="eastAsia"/>
        </w:rPr>
        <w:br w:type="page"/>
      </w:r>
    </w:p>
    <w:p>
      <w:pPr>
        <w:pStyle w:val="6"/>
        <w:spacing w:before="0" w:after="0" w:line="240" w:lineRule="auto"/>
        <w:rPr>
          <w:sz w:val="28"/>
          <w:szCs w:val="28"/>
        </w:rPr>
      </w:pPr>
      <w:bookmarkStart w:id="6" w:name="_Toc10689"/>
      <w:r>
        <w:rPr>
          <w:rFonts w:hint="eastAsia" w:ascii="宋体" w:hAnsi="宋体" w:eastAsia="宋体" w:cs="宋体"/>
          <w:sz w:val="24"/>
          <w:szCs w:val="24"/>
        </w:rPr>
        <w:t>附表二：商务技术评分及价格权重表</w:t>
      </w:r>
      <w:bookmarkEnd w:id="6"/>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商务评审（35分）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1</w:t>
            </w:r>
          </w:p>
        </w:tc>
        <w:tc>
          <w:tcPr>
            <w:tcW w:w="1607" w:type="dxa"/>
            <w:tcBorders>
              <w:top w:val="single" w:color="auto" w:sz="4" w:space="0"/>
              <w:left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sz w:val="21"/>
                <w:szCs w:val="21"/>
              </w:rPr>
              <w:t>投标人实力</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5分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6"/>
              <w:snapToGrid w:val="0"/>
              <w:spacing w:line="240" w:lineRule="auto"/>
              <w:ind w:firstLine="420" w:firstLineChars="200"/>
              <w:rPr>
                <w:rFonts w:ascii="宋体" w:eastAsia="宋体" w:cs="宋体"/>
                <w:bCs/>
                <w:sz w:val="21"/>
                <w:szCs w:val="21"/>
                <w:lang w:val="zh-CN"/>
              </w:rPr>
            </w:pPr>
            <w:r>
              <w:rPr>
                <w:rFonts w:hint="eastAsia" w:ascii="宋体" w:eastAsia="宋体" w:cs="宋体"/>
                <w:bCs/>
                <w:sz w:val="21"/>
                <w:szCs w:val="21"/>
                <w:lang w:val="zh-CN"/>
              </w:rPr>
              <w:t>投标人具有中国卫生有害生物防制协会A级资质的得5分，具有省级有害生物防制协会A级资质的得2分，本项最高得分5分。</w:t>
            </w:r>
          </w:p>
          <w:p>
            <w:pPr>
              <w:pStyle w:val="26"/>
              <w:snapToGrid w:val="0"/>
              <w:spacing w:line="240" w:lineRule="auto"/>
              <w:ind w:firstLine="420" w:firstLineChars="200"/>
              <w:rPr>
                <w:rFonts w:ascii="宋体" w:eastAsia="宋体" w:cs="宋体"/>
                <w:bCs/>
                <w:sz w:val="21"/>
                <w:szCs w:val="21"/>
                <w:lang w:val="zh-CN"/>
              </w:rPr>
            </w:pPr>
            <w:r>
              <w:rPr>
                <w:rFonts w:hint="eastAsia" w:ascii="宋体" w:eastAsia="宋体" w:cs="宋体"/>
                <w:bCs/>
                <w:sz w:val="21"/>
                <w:szCs w:val="21"/>
                <w:lang w:val="zh-CN"/>
              </w:rPr>
              <w:t>注：须提供有效证书复印件并加盖投标人公章，不符合以上要求的不得分。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2</w:t>
            </w:r>
          </w:p>
        </w:tc>
        <w:tc>
          <w:tcPr>
            <w:tcW w:w="1607"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sz w:val="21"/>
                <w:szCs w:val="21"/>
              </w:rPr>
              <w:t>体系认证</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8分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6"/>
              <w:snapToGrid w:val="0"/>
              <w:spacing w:line="240" w:lineRule="auto"/>
              <w:ind w:firstLine="420" w:firstLineChars="200"/>
              <w:rPr>
                <w:rFonts w:ascii="宋体" w:eastAsia="宋体" w:cs="宋体"/>
                <w:bCs/>
                <w:sz w:val="21"/>
                <w:szCs w:val="21"/>
                <w:lang w:val="zh-CN"/>
              </w:rPr>
            </w:pPr>
            <w:r>
              <w:rPr>
                <w:rFonts w:hint="eastAsia" w:ascii="宋体" w:eastAsia="宋体" w:cs="宋体"/>
                <w:bCs/>
                <w:sz w:val="21"/>
                <w:szCs w:val="21"/>
                <w:lang w:val="zh-CN"/>
              </w:rPr>
              <w:t>投标人具有由国家认证认可监督管理部门批准设立的认证机构颁发并在有效期内的质量管理体系认证证书、环境管理体系认证证书、职业健康安全管理体系认证证书、诚信管理体系认证证书，每个得2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3</w:t>
            </w:r>
          </w:p>
        </w:tc>
        <w:tc>
          <w:tcPr>
            <w:tcW w:w="1607"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sz w:val="21"/>
                <w:szCs w:val="21"/>
              </w:rPr>
              <w:t>项目业绩</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18分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6"/>
              <w:snapToGrid w:val="0"/>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投标人自成立至今具有灭（除）四害业绩，每个业绩得2分，满分18分。</w:t>
            </w:r>
          </w:p>
          <w:p>
            <w:pPr>
              <w:pStyle w:val="26"/>
              <w:snapToGrid w:val="0"/>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注：以上业绩不重复计分，本项合计最高18分，须提供中标通知书和服务合同的复印件加盖公章。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4</w:t>
            </w:r>
          </w:p>
        </w:tc>
        <w:tc>
          <w:tcPr>
            <w:tcW w:w="1607"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sz w:val="21"/>
                <w:szCs w:val="21"/>
              </w:rPr>
              <w:t>服务便利性</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4分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6"/>
              <w:snapToGrid w:val="0"/>
              <w:spacing w:line="240" w:lineRule="auto"/>
              <w:ind w:firstLine="420" w:firstLineChars="200"/>
              <w:rPr>
                <w:rFonts w:ascii="宋体" w:eastAsia="宋体" w:cs="宋体"/>
                <w:sz w:val="21"/>
                <w:szCs w:val="21"/>
                <w:lang w:val="zh-CN"/>
              </w:rPr>
            </w:pPr>
            <w:r>
              <w:rPr>
                <w:rFonts w:hint="eastAsia" w:ascii="宋体" w:eastAsia="宋体" w:cs="宋体"/>
                <w:sz w:val="21"/>
                <w:szCs w:val="21"/>
              </w:rPr>
              <w:t>1、</w:t>
            </w:r>
            <w:r>
              <w:rPr>
                <w:rFonts w:hint="eastAsia" w:ascii="宋体" w:eastAsia="宋体" w:cs="宋体"/>
                <w:sz w:val="21"/>
                <w:szCs w:val="21"/>
                <w:lang w:val="zh-CN"/>
              </w:rPr>
              <w:t>投标人承诺在接到采购人通知后0.5（含）小时内到现场，得4分；</w:t>
            </w:r>
          </w:p>
          <w:p>
            <w:pPr>
              <w:pStyle w:val="26"/>
              <w:snapToGrid w:val="0"/>
              <w:spacing w:line="240" w:lineRule="auto"/>
              <w:ind w:firstLine="420" w:firstLineChars="200"/>
              <w:rPr>
                <w:rFonts w:ascii="宋体" w:eastAsia="宋体" w:cs="宋体"/>
                <w:sz w:val="21"/>
                <w:szCs w:val="21"/>
                <w:lang w:val="zh-CN"/>
              </w:rPr>
            </w:pPr>
            <w:r>
              <w:rPr>
                <w:rFonts w:hint="eastAsia" w:ascii="宋体" w:eastAsia="宋体" w:cs="宋体"/>
                <w:sz w:val="21"/>
                <w:szCs w:val="21"/>
              </w:rPr>
              <w:t>2、</w:t>
            </w:r>
            <w:r>
              <w:rPr>
                <w:rFonts w:hint="eastAsia" w:ascii="宋体" w:eastAsia="宋体" w:cs="宋体"/>
                <w:sz w:val="21"/>
                <w:szCs w:val="21"/>
                <w:lang w:val="zh-CN"/>
              </w:rPr>
              <w:t>投标人承诺在接到采购人通知后0.5（不含）至1.5小时内到现场，得2分；</w:t>
            </w:r>
          </w:p>
          <w:p>
            <w:pPr>
              <w:pStyle w:val="26"/>
              <w:snapToGrid w:val="0"/>
              <w:spacing w:line="240" w:lineRule="auto"/>
              <w:ind w:firstLine="420" w:firstLineChars="200"/>
              <w:rPr>
                <w:rFonts w:ascii="宋体" w:eastAsia="宋体" w:cs="宋体"/>
                <w:sz w:val="21"/>
                <w:szCs w:val="21"/>
                <w:lang w:val="zh-CN"/>
              </w:rPr>
            </w:pPr>
            <w:r>
              <w:rPr>
                <w:rFonts w:hint="eastAsia" w:ascii="宋体" w:eastAsia="宋体" w:cs="宋体"/>
                <w:sz w:val="21"/>
                <w:szCs w:val="21"/>
              </w:rPr>
              <w:t>3、</w:t>
            </w:r>
            <w:r>
              <w:rPr>
                <w:rFonts w:hint="eastAsia" w:ascii="宋体" w:eastAsia="宋体" w:cs="宋体"/>
                <w:sz w:val="21"/>
                <w:szCs w:val="21"/>
                <w:lang w:val="zh-CN"/>
              </w:rPr>
              <w:t>投标人承诺在接到采购人通知后1.5（不含）至3小时内到现场，得1分；</w:t>
            </w:r>
          </w:p>
          <w:p>
            <w:pPr>
              <w:pStyle w:val="26"/>
              <w:snapToGrid w:val="0"/>
              <w:spacing w:line="240" w:lineRule="auto"/>
              <w:ind w:firstLine="420" w:firstLineChars="200"/>
              <w:rPr>
                <w:rFonts w:ascii="宋体" w:eastAsia="宋体" w:cs="宋体"/>
                <w:sz w:val="21"/>
                <w:szCs w:val="21"/>
                <w:lang w:val="zh-CN"/>
              </w:rPr>
            </w:pPr>
            <w:r>
              <w:rPr>
                <w:rFonts w:hint="eastAsia" w:ascii="宋体" w:eastAsia="宋体" w:cs="宋体"/>
                <w:sz w:val="21"/>
                <w:szCs w:val="21"/>
              </w:rPr>
              <w:t>4、</w:t>
            </w:r>
            <w:r>
              <w:rPr>
                <w:rFonts w:hint="eastAsia" w:ascii="宋体" w:eastAsia="宋体" w:cs="宋体"/>
                <w:sz w:val="21"/>
                <w:szCs w:val="21"/>
                <w:lang w:val="zh-CN"/>
              </w:rPr>
              <w:t>其他情况不得分。</w:t>
            </w:r>
          </w:p>
          <w:p>
            <w:pPr>
              <w:pStyle w:val="26"/>
              <w:snapToGrid w:val="0"/>
              <w:spacing w:line="240" w:lineRule="auto"/>
              <w:ind w:firstLine="420" w:firstLineChars="200"/>
              <w:rPr>
                <w:rFonts w:ascii="宋体" w:eastAsia="宋体" w:cs="宋体"/>
                <w:sz w:val="21"/>
                <w:szCs w:val="21"/>
                <w:lang w:val="zh-CN"/>
              </w:rPr>
            </w:pPr>
            <w:r>
              <w:rPr>
                <w:rFonts w:hint="eastAsia" w:ascii="宋体" w:eastAsia="宋体" w:cs="宋体"/>
                <w:sz w:val="21"/>
                <w:szCs w:val="21"/>
                <w:lang w:val="zh-CN"/>
              </w:rPr>
              <w:t>注：投标人需提供服务承诺书，并加盖投标人公章。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技术评审（55分）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1</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eastAsia="宋体" w:cs="宋体"/>
                <w:sz w:val="21"/>
                <w:szCs w:val="21"/>
              </w:rPr>
            </w:pPr>
            <w:r>
              <w:rPr>
                <w:rFonts w:hint="eastAsia" w:ascii="宋体" w:eastAsia="宋体" w:cs="宋体"/>
                <w:sz w:val="21"/>
                <w:szCs w:val="21"/>
              </w:rPr>
              <w:t>本底调查</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eastAsia="宋体" w:cs="宋体"/>
                <w:sz w:val="21"/>
                <w:szCs w:val="21"/>
              </w:rPr>
            </w:pPr>
            <w:r>
              <w:rPr>
                <w:rFonts w:hint="eastAsia" w:ascii="宋体" w:eastAsia="宋体" w:cs="宋体"/>
                <w:sz w:val="21"/>
                <w:szCs w:val="21"/>
              </w:rPr>
              <w:t>10分</w:t>
            </w:r>
          </w:p>
        </w:tc>
        <w:tc>
          <w:tcPr>
            <w:tcW w:w="5463"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420" w:firstLineChars="200"/>
              <w:jc w:val="both"/>
              <w:rPr>
                <w:rFonts w:ascii="宋体" w:eastAsia="宋体" w:cs="宋体"/>
                <w:sz w:val="21"/>
                <w:szCs w:val="21"/>
              </w:rPr>
            </w:pPr>
            <w:r>
              <w:rPr>
                <w:rFonts w:hint="eastAsia" w:ascii="宋体" w:eastAsia="宋体" w:cs="宋体"/>
                <w:sz w:val="21"/>
                <w:szCs w:val="21"/>
              </w:rPr>
              <w:t>针对本项目本底调查全面、深入、细致，能抓住重点，有充分的资料作证明（含虫害密度数据和现场检测图片）的，得10分；</w:t>
            </w:r>
          </w:p>
          <w:p>
            <w:pPr>
              <w:widowControl w:val="0"/>
              <w:spacing w:after="0"/>
              <w:ind w:firstLine="420" w:firstLineChars="200"/>
              <w:jc w:val="both"/>
              <w:rPr>
                <w:rFonts w:ascii="宋体" w:eastAsia="宋体" w:cs="宋体"/>
                <w:sz w:val="21"/>
                <w:szCs w:val="21"/>
              </w:rPr>
            </w:pPr>
            <w:r>
              <w:rPr>
                <w:rFonts w:hint="eastAsia" w:ascii="宋体" w:eastAsia="宋体" w:cs="宋体"/>
                <w:sz w:val="21"/>
                <w:szCs w:val="21"/>
              </w:rPr>
              <w:t>针对本项目本底有全面的调查，对重点情况有一定了解，有资料作证明（含虫害密度数据和现场检测图片）的，得6分；</w:t>
            </w:r>
          </w:p>
          <w:p>
            <w:pPr>
              <w:widowControl w:val="0"/>
              <w:spacing w:after="0"/>
              <w:ind w:firstLine="420" w:firstLineChars="200"/>
              <w:jc w:val="both"/>
              <w:rPr>
                <w:rFonts w:ascii="宋体" w:eastAsia="宋体" w:cs="宋体"/>
                <w:sz w:val="21"/>
                <w:szCs w:val="21"/>
              </w:rPr>
            </w:pPr>
            <w:r>
              <w:rPr>
                <w:rFonts w:hint="eastAsia" w:ascii="宋体" w:eastAsia="宋体" w:cs="宋体"/>
                <w:sz w:val="21"/>
                <w:szCs w:val="21"/>
              </w:rPr>
              <w:t>针对本项目有基本本底调查，但不够全面和细致，重点情况缺乏了解，资料（含虫害密度数据和现场检测图片）的，得3分；</w:t>
            </w:r>
          </w:p>
          <w:p>
            <w:pPr>
              <w:widowControl w:val="0"/>
              <w:spacing w:after="0"/>
              <w:ind w:firstLine="420" w:firstLineChars="200"/>
              <w:jc w:val="both"/>
              <w:rPr>
                <w:rFonts w:ascii="宋体" w:eastAsia="宋体" w:cs="宋体"/>
                <w:sz w:val="21"/>
                <w:szCs w:val="21"/>
              </w:rPr>
            </w:pPr>
            <w:r>
              <w:rPr>
                <w:rFonts w:hint="eastAsia" w:ascii="宋体" w:eastAsia="宋体" w:cs="宋体"/>
                <w:sz w:val="21"/>
                <w:szCs w:val="21"/>
              </w:rPr>
              <w:t>针对本项目本底缺乏认知者，得1分。</w:t>
            </w:r>
          </w:p>
          <w:p>
            <w:pPr>
              <w:widowControl w:val="0"/>
              <w:spacing w:after="0"/>
              <w:ind w:firstLine="420" w:firstLineChars="200"/>
              <w:jc w:val="both"/>
              <w:rPr>
                <w:rFonts w:ascii="宋体" w:eastAsia="宋体" w:cs="宋体"/>
                <w:sz w:val="21"/>
                <w:szCs w:val="21"/>
              </w:rPr>
            </w:pPr>
            <w:r>
              <w:rPr>
                <w:rFonts w:hint="eastAsia" w:ascii="宋体" w:eastAsia="宋体" w:cs="宋体"/>
                <w:sz w:val="21"/>
                <w:szCs w:val="21"/>
              </w:rPr>
              <w:t>未提供本底调查得0分。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2</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eastAsia="宋体" w:cs="宋体"/>
                <w:sz w:val="21"/>
                <w:szCs w:val="21"/>
              </w:rPr>
            </w:pPr>
            <w:r>
              <w:rPr>
                <w:rFonts w:hint="eastAsia" w:ascii="宋体" w:eastAsia="宋体" w:cs="宋体"/>
                <w:sz w:val="21"/>
                <w:szCs w:val="21"/>
              </w:rPr>
              <w:t>新技术运用</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eastAsia="宋体" w:cs="宋体"/>
                <w:sz w:val="21"/>
                <w:szCs w:val="21"/>
              </w:rPr>
            </w:pPr>
            <w:r>
              <w:rPr>
                <w:rFonts w:hint="eastAsia" w:ascii="宋体" w:eastAsia="宋体" w:cs="宋体"/>
                <w:sz w:val="21"/>
                <w:szCs w:val="21"/>
              </w:rPr>
              <w:t>7分</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ascii="宋体" w:eastAsia="宋体" w:cs="宋体"/>
                <w:sz w:val="21"/>
                <w:szCs w:val="21"/>
                <w:lang w:val="zh-CN"/>
              </w:rPr>
            </w:pPr>
            <w:r>
              <w:rPr>
                <w:rFonts w:hint="eastAsia" w:ascii="宋体" w:eastAsia="宋体" w:cs="宋体"/>
                <w:sz w:val="21"/>
                <w:szCs w:val="21"/>
                <w:lang w:val="zh-CN"/>
              </w:rPr>
              <w:t>供应商具有病媒生物防治或“除四害”类自主知识产权证书（含国家发明专利、实用新型专利、著作权等），每个证书得0.5分，最高得7分，提供相关知识产权证书复印件加盖供应商公章。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3</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eastAsia="宋体" w:cs="宋体"/>
                <w:sz w:val="21"/>
                <w:szCs w:val="21"/>
              </w:rPr>
            </w:pPr>
            <w:r>
              <w:rPr>
                <w:rFonts w:hint="eastAsia" w:ascii="宋体" w:hAnsi="宋体" w:eastAsia="宋体" w:cs="宋体"/>
                <w:sz w:val="21"/>
                <w:szCs w:val="21"/>
              </w:rPr>
              <w:t>技术方案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eastAsia="宋体" w:cs="宋体"/>
                <w:sz w:val="21"/>
                <w:szCs w:val="21"/>
              </w:rPr>
            </w:pPr>
            <w:r>
              <w:rPr>
                <w:rFonts w:hint="eastAsia" w:ascii="宋体" w:eastAsia="宋体" w:cs="宋体"/>
                <w:sz w:val="21"/>
                <w:szCs w:val="21"/>
              </w:rPr>
              <w:t>10分</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ascii="宋体" w:eastAsia="宋体" w:cs="宋体"/>
                <w:sz w:val="21"/>
                <w:szCs w:val="21"/>
                <w:lang w:val="zh-CN"/>
              </w:rPr>
            </w:pPr>
            <w:r>
              <w:rPr>
                <w:rFonts w:hint="eastAsia" w:ascii="宋体" w:eastAsia="宋体" w:cs="宋体"/>
                <w:sz w:val="21"/>
                <w:szCs w:val="21"/>
                <w:lang w:val="zh-CN"/>
              </w:rPr>
              <w:t>技术方案科学，现场调查资料详细，依据充分，措施明确、合理，施工组织严密，运作流程清晰的，得10分；</w:t>
            </w:r>
          </w:p>
          <w:p>
            <w:pPr>
              <w:spacing w:after="0"/>
              <w:ind w:firstLine="420" w:firstLineChars="200"/>
              <w:rPr>
                <w:rFonts w:ascii="宋体" w:eastAsia="宋体" w:cs="宋体"/>
                <w:sz w:val="21"/>
                <w:szCs w:val="21"/>
                <w:lang w:val="zh-CN"/>
              </w:rPr>
            </w:pPr>
            <w:r>
              <w:rPr>
                <w:rFonts w:hint="eastAsia" w:ascii="宋体" w:eastAsia="宋体" w:cs="宋体"/>
                <w:sz w:val="21"/>
                <w:szCs w:val="21"/>
                <w:lang w:val="zh-CN"/>
              </w:rPr>
              <w:t>技术方案符合虫控原理，有现场调查，有一定依据，措施基本合理，有施工组织，运作流程基本清晰的，得6分；</w:t>
            </w:r>
          </w:p>
          <w:p>
            <w:pPr>
              <w:spacing w:after="0"/>
              <w:ind w:firstLine="420" w:firstLineChars="200"/>
              <w:rPr>
                <w:rFonts w:ascii="宋体" w:eastAsia="宋体" w:cs="宋体"/>
                <w:sz w:val="21"/>
                <w:szCs w:val="21"/>
                <w:lang w:val="zh-CN"/>
              </w:rPr>
            </w:pPr>
            <w:r>
              <w:rPr>
                <w:rFonts w:hint="eastAsia" w:ascii="宋体" w:eastAsia="宋体" w:cs="宋体"/>
                <w:sz w:val="21"/>
                <w:szCs w:val="21"/>
                <w:lang w:val="zh-CN"/>
              </w:rPr>
              <w:t>技术方案不够科学、现场情况不明，依据不足，未有具体的措施，施工组织设计不明确，流程不够清晰的，得3分。</w:t>
            </w:r>
          </w:p>
          <w:p>
            <w:pPr>
              <w:spacing w:after="0"/>
              <w:ind w:firstLine="420" w:firstLineChars="200"/>
              <w:rPr>
                <w:rFonts w:ascii="宋体" w:eastAsia="宋体" w:cs="宋体"/>
                <w:sz w:val="21"/>
                <w:szCs w:val="21"/>
                <w:lang w:val="zh-CN"/>
              </w:rPr>
            </w:pPr>
            <w:r>
              <w:rPr>
                <w:rFonts w:hint="eastAsia" w:ascii="宋体" w:eastAsia="宋体" w:cs="宋体"/>
                <w:sz w:val="21"/>
                <w:szCs w:val="21"/>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4</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eastAsia="宋体" w:cs="宋体"/>
                <w:sz w:val="21"/>
                <w:szCs w:val="21"/>
              </w:rPr>
            </w:pPr>
            <w:r>
              <w:rPr>
                <w:rFonts w:hint="eastAsia" w:ascii="宋体" w:hAnsi="宋体" w:eastAsia="宋体" w:cs="宋体"/>
                <w:sz w:val="21"/>
                <w:szCs w:val="21"/>
              </w:rPr>
              <w:t>针对本项目虫害管控的具体建议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eastAsia="宋体" w:cs="宋体"/>
                <w:sz w:val="21"/>
                <w:szCs w:val="21"/>
              </w:rPr>
            </w:pPr>
            <w:r>
              <w:rPr>
                <w:rFonts w:hint="eastAsia" w:ascii="宋体" w:eastAsia="宋体" w:cs="宋体"/>
                <w:sz w:val="21"/>
                <w:szCs w:val="21"/>
              </w:rPr>
              <w:t>5分</w:t>
            </w:r>
          </w:p>
        </w:tc>
        <w:tc>
          <w:tcPr>
            <w:tcW w:w="5463"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根据项目区域多年的虫害治理和本底能提出科学可行明确的建议以改善本项目虫害管理的，得5分；</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根据项目区域多年的虫害治理和本底有提出相关具体建议以改善本项目虫害管控者的，得3分；</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根据项目区域多年的虫害治理和本底有提出相关建议，但建议不中肯或建议不合理者的，得1分；</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无具体建议得0分。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5</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eastAsia="宋体" w:cs="宋体"/>
                <w:sz w:val="21"/>
                <w:szCs w:val="21"/>
              </w:rPr>
            </w:pPr>
            <w:r>
              <w:rPr>
                <w:rFonts w:hint="eastAsia" w:ascii="宋体" w:hAnsi="宋体" w:eastAsia="宋体" w:cs="宋体"/>
                <w:sz w:val="21"/>
                <w:szCs w:val="21"/>
              </w:rPr>
              <w:t>拟投入本项目的人员</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eastAsia="宋体" w:cs="宋体"/>
                <w:sz w:val="21"/>
                <w:szCs w:val="21"/>
              </w:rPr>
            </w:pPr>
            <w:r>
              <w:rPr>
                <w:rFonts w:hint="eastAsia" w:ascii="宋体" w:eastAsia="宋体" w:cs="宋体"/>
                <w:sz w:val="21"/>
                <w:szCs w:val="21"/>
              </w:rPr>
              <w:t>5分</w:t>
            </w:r>
          </w:p>
        </w:tc>
        <w:tc>
          <w:tcPr>
            <w:tcW w:w="5463"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1.根据投标人拟投入本项目（除项目负责人外）具有有害生物防制员高级（三级）证书</w:t>
            </w:r>
            <w:r>
              <w:rPr>
                <w:rFonts w:hint="eastAsia" w:ascii="宋体" w:eastAsia="宋体" w:cs="宋体"/>
                <w:sz w:val="21"/>
                <w:szCs w:val="21"/>
                <w:lang w:val="zh-CN" w:eastAsia="zh-CN"/>
              </w:rPr>
              <w:t>或以上</w:t>
            </w:r>
            <w:bookmarkStart w:id="300" w:name="_GoBack"/>
            <w:bookmarkEnd w:id="300"/>
            <w:r>
              <w:rPr>
                <w:rFonts w:hint="eastAsia" w:ascii="宋体" w:eastAsia="宋体" w:cs="宋体"/>
                <w:sz w:val="21"/>
                <w:szCs w:val="21"/>
                <w:lang w:val="zh-CN"/>
              </w:rPr>
              <w:t>的，每提供一个得0.5分；具有有害生物防制员中级（四级）证书的，每提供一个得0.3分；具有有害生物防制员初级（五级）证书的，每提供一个得0.1分。此项最高得5分。</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注：须提供以上人员最近3个月（开标当月除外）投标人为其缴纳的社会养老保险凭证复印件加盖投标人公章、职业技能鉴定资格的机构颁发的有害生物防制员证书复印件加盖投标人公章。同一人具有多个证书的不重复计分，得分按最高分值的证书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6</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eastAsia="宋体" w:cs="宋体"/>
                <w:sz w:val="21"/>
                <w:szCs w:val="21"/>
              </w:rPr>
            </w:pPr>
            <w:r>
              <w:rPr>
                <w:rFonts w:hint="eastAsia" w:ascii="宋体" w:hAnsi="宋体" w:eastAsia="宋体" w:cs="宋体"/>
                <w:sz w:val="21"/>
                <w:szCs w:val="21"/>
              </w:rPr>
              <w:t>拟投入设备</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eastAsia="宋体" w:cs="宋体"/>
                <w:sz w:val="21"/>
                <w:szCs w:val="21"/>
              </w:rPr>
            </w:pPr>
            <w:r>
              <w:rPr>
                <w:rFonts w:hint="eastAsia" w:ascii="宋体" w:eastAsia="宋体" w:cs="宋体"/>
                <w:sz w:val="21"/>
                <w:szCs w:val="21"/>
              </w:rPr>
              <w:t>5分</w:t>
            </w:r>
          </w:p>
        </w:tc>
        <w:tc>
          <w:tcPr>
            <w:tcW w:w="5463"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根据投标人拟投入车辆、设备，配备是否合理、数量是否充足、性能和质量等方面进行评审：</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车辆、设备、配备非常合理、数量十分充足、性能优越、耐用质量性价比高的，得5分；</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车辆、设备、配备合理、数量充足、性能一般、性价比低的，得3分；</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车辆、设备、配备不合理、数量不充足、性能一般、性价比低的，得1分；</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无提供设备方案的，得0分。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7</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eastAsia="宋体" w:cs="宋体"/>
                <w:sz w:val="21"/>
                <w:szCs w:val="21"/>
              </w:rPr>
            </w:pPr>
            <w:r>
              <w:rPr>
                <w:rFonts w:hint="eastAsia" w:ascii="宋体" w:hAnsi="宋体" w:eastAsia="宋体" w:cs="宋体"/>
                <w:sz w:val="21"/>
                <w:szCs w:val="21"/>
              </w:rPr>
              <w:t>拟投入药物</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eastAsia="宋体" w:cs="宋体"/>
                <w:sz w:val="21"/>
                <w:szCs w:val="21"/>
              </w:rPr>
            </w:pPr>
            <w:r>
              <w:rPr>
                <w:rFonts w:hint="eastAsia" w:ascii="宋体" w:eastAsia="宋体" w:cs="宋体"/>
                <w:sz w:val="21"/>
                <w:szCs w:val="21"/>
              </w:rPr>
              <w:t>8分</w:t>
            </w:r>
          </w:p>
        </w:tc>
        <w:tc>
          <w:tcPr>
            <w:tcW w:w="5463"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根据投标人拟投入药物配备是否合理、数量是否充足、是否符合国家标准要求等方面，以及药物的污染、环保、残留性等进行评审：</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药物配备十分合理、数量十分充足、符合国家标准要求，药物无污染、非常环保、无残留性的，得8分；</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药物配备较合理、数量较充足、符合国家标准要求，药物轻微污染、较环保、残留性较少的，得4分；</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药物配备合理、数量充足、符合国家标准要求，药物中度污染、环保、残留性较多的，得2分；</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无提供相应方案得0分。</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注：须提供农药登记证、农药生产批准证书、企业标准证明材料复印件加盖投标人公章。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8</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eastAsia="宋体" w:cs="宋体"/>
                <w:sz w:val="21"/>
                <w:szCs w:val="21"/>
              </w:rPr>
            </w:pPr>
            <w:r>
              <w:rPr>
                <w:rFonts w:hint="eastAsia" w:ascii="宋体" w:hAnsi="宋体" w:eastAsia="宋体" w:cs="宋体"/>
                <w:sz w:val="21"/>
                <w:szCs w:val="21"/>
              </w:rPr>
              <w:t>应急处置方案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eastAsia="宋体" w:cs="宋体"/>
                <w:sz w:val="21"/>
                <w:szCs w:val="21"/>
              </w:rPr>
            </w:pPr>
            <w:r>
              <w:rPr>
                <w:rFonts w:hint="eastAsia" w:ascii="宋体" w:eastAsia="宋体" w:cs="宋体"/>
                <w:sz w:val="21"/>
                <w:szCs w:val="21"/>
              </w:rPr>
              <w:t>5分</w:t>
            </w:r>
          </w:p>
        </w:tc>
        <w:tc>
          <w:tcPr>
            <w:tcW w:w="5463"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根据投标人所提供针对台风、暴风等天气影响，重大接待任务，重大节假日或活动，四害疫情等特殊情况制定应急处置方案，包括传达机制、人员和设备调配、责任分工等应急事件做出的应急方案进行评审：</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应急方案非常明确、清晰，传达机制十分完善、人员和设备调配非常明确、合理，责任分工十分明确的，得5分；</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应急方案较明确、清晰，传达机制较完善、人员和设备调配较明确、合理，责任分工较明确的，得3分；</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应急方案简单，传达机制简单、人员和设备调配不合理，责任分工不明确的，得1分；</w:t>
            </w:r>
          </w:p>
          <w:p>
            <w:pPr>
              <w:widowControl w:val="0"/>
              <w:spacing w:after="0"/>
              <w:ind w:firstLine="420" w:firstLineChars="200"/>
              <w:jc w:val="both"/>
              <w:rPr>
                <w:rFonts w:ascii="宋体" w:eastAsia="宋体" w:cs="宋体"/>
                <w:sz w:val="21"/>
                <w:szCs w:val="21"/>
                <w:lang w:val="zh-CN"/>
              </w:rPr>
            </w:pPr>
            <w:r>
              <w:rPr>
                <w:rFonts w:hint="eastAsia" w:ascii="宋体" w:eastAsia="宋体" w:cs="宋体"/>
                <w:sz w:val="21"/>
                <w:szCs w:val="21"/>
                <w:lang w:val="zh-CN"/>
              </w:rPr>
              <w:t>无提供相应方案得0分。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widowControl w:val="0"/>
              <w:tabs>
                <w:tab w:val="left" w:pos="907"/>
              </w:tabs>
              <w:spacing w:after="0"/>
              <w:jc w:val="both"/>
              <w:rPr>
                <w:rFonts w:ascii="宋体" w:hAnsi="宋体" w:eastAsia="宋体"/>
                <w:b/>
                <w:sz w:val="21"/>
                <w:szCs w:val="21"/>
              </w:rPr>
            </w:pPr>
            <w:r>
              <w:rPr>
                <w:rFonts w:hint="eastAsia" w:ascii="宋体" w:hAnsi="宋体" w:eastAsia="宋体"/>
                <w:b/>
                <w:sz w:val="21"/>
                <w:szCs w:val="21"/>
              </w:rPr>
              <w:t>注：</w:t>
            </w:r>
          </w:p>
          <w:p>
            <w:pPr>
              <w:widowControl w:val="0"/>
              <w:tabs>
                <w:tab w:val="left" w:pos="907"/>
              </w:tabs>
              <w:spacing w:after="0"/>
              <w:jc w:val="both"/>
              <w:rPr>
                <w:rFonts w:ascii="宋体" w:hAnsi="宋体" w:eastAsia="宋体"/>
                <w:b/>
                <w:sz w:val="21"/>
                <w:szCs w:val="21"/>
              </w:rPr>
            </w:pPr>
            <w:r>
              <w:rPr>
                <w:rFonts w:hint="eastAsia" w:ascii="宋体" w:hAnsi="宋体" w:eastAsia="宋体"/>
                <w:b/>
                <w:sz w:val="21"/>
                <w:szCs w:val="21"/>
              </w:rPr>
              <w:t>（1）无特殊说明外，以上评审项，同一证明文件不重复计分。</w:t>
            </w:r>
          </w:p>
          <w:p>
            <w:pPr>
              <w:widowControl w:val="0"/>
              <w:tabs>
                <w:tab w:val="left" w:pos="907"/>
              </w:tabs>
              <w:spacing w:after="0"/>
              <w:jc w:val="both"/>
              <w:rPr>
                <w:rFonts w:ascii="宋体" w:hAnsi="宋体" w:eastAsia="宋体"/>
                <w:b/>
                <w:sz w:val="21"/>
                <w:szCs w:val="21"/>
              </w:rPr>
            </w:pPr>
            <w:r>
              <w:rPr>
                <w:rFonts w:hint="eastAsia" w:ascii="宋体" w:hAnsi="宋体" w:eastAsia="宋体"/>
                <w:b/>
                <w:sz w:val="21"/>
                <w:szCs w:val="21"/>
              </w:rPr>
              <w:t>（2）供应商根据以上评分要求提供的响应材料因模糊不清导致磋商小组无法清晰辨认进行评审的，视为无效材料。</w:t>
            </w:r>
          </w:p>
          <w:p>
            <w:pPr>
              <w:widowControl w:val="0"/>
              <w:tabs>
                <w:tab w:val="left" w:pos="907"/>
              </w:tabs>
              <w:spacing w:after="0"/>
              <w:jc w:val="both"/>
              <w:rPr>
                <w:rFonts w:ascii="宋体" w:eastAsia="宋体" w:cs="宋体"/>
                <w:sz w:val="21"/>
                <w:szCs w:val="21"/>
              </w:rPr>
            </w:pPr>
            <w:r>
              <w:rPr>
                <w:rFonts w:hint="eastAsia" w:ascii="宋体" w:hAnsi="宋体" w:eastAsia="宋体"/>
                <w:b/>
                <w:sz w:val="21"/>
                <w:szCs w:val="21"/>
              </w:rPr>
              <w:t>（3）若因疫情原因暂缓统一托收或阶段性减免社会保险费而导致无法打印社保缴费证明的需提供书面说明并加盖供应商公章。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lang w:val="zh-CN"/>
              </w:rPr>
            </w:pPr>
            <w:r>
              <w:rPr>
                <w:rFonts w:hint="eastAsia" w:ascii="宋体" w:eastAsia="宋体" w:cs="宋体"/>
                <w:sz w:val="21"/>
                <w:szCs w:val="21"/>
              </w:rPr>
              <w:t>价格评审（10分）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40" w:lineRule="auto"/>
              <w:ind w:firstLine="0" w:firstLineChars="0"/>
              <w:jc w:val="center"/>
              <w:rPr>
                <w:rFonts w:ascii="宋体" w:eastAsia="宋体" w:cs="宋体"/>
                <w:sz w:val="21"/>
                <w:szCs w:val="21"/>
              </w:rPr>
            </w:pPr>
            <w:r>
              <w:rPr>
                <w:rFonts w:hint="eastAsia" w:ascii="宋体" w:eastAsia="宋体" w:cs="宋体"/>
                <w:sz w:val="21"/>
                <w:szCs w:val="21"/>
              </w:rPr>
              <w:t>1</w:t>
            </w:r>
          </w:p>
        </w:tc>
        <w:tc>
          <w:tcPr>
            <w:tcW w:w="1610"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eastAsia="宋体" w:cs="宋体"/>
                <w:kern w:val="2"/>
                <w:sz w:val="21"/>
                <w:szCs w:val="21"/>
              </w:rPr>
            </w:pPr>
            <w:r>
              <w:rPr>
                <w:rFonts w:hint="eastAsia" w:ascii="宋体" w:hAnsi="宋体" w:eastAsia="宋体" w:cs="宋体"/>
                <w:kern w:val="2"/>
                <w:sz w:val="21"/>
                <w:szCs w:val="21"/>
              </w:rPr>
              <w:t>经磋商后的报价</w:t>
            </w:r>
          </w:p>
        </w:tc>
        <w:tc>
          <w:tcPr>
            <w:tcW w:w="734"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eastAsia="宋体" w:cs="宋体"/>
                <w:kern w:val="2"/>
                <w:sz w:val="21"/>
                <w:szCs w:val="21"/>
              </w:rPr>
            </w:pPr>
            <w:r>
              <w:rPr>
                <w:rFonts w:hint="eastAsia" w:ascii="宋体" w:hAnsi="宋体" w:eastAsia="宋体" w:cs="宋体"/>
                <w:kern w:val="2"/>
                <w:sz w:val="21"/>
                <w:szCs w:val="21"/>
              </w:rPr>
              <w:t>10</w:t>
            </w:r>
          </w:p>
        </w:tc>
        <w:tc>
          <w:tcPr>
            <w:tcW w:w="548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rPr>
                <w:rFonts w:ascii="宋体" w:hAnsi="宋体" w:eastAsia="宋体" w:cs="宋体"/>
                <w:kern w:val="2"/>
                <w:sz w:val="21"/>
                <w:szCs w:val="21"/>
              </w:rPr>
            </w:pPr>
            <w:r>
              <w:rPr>
                <w:rFonts w:hint="eastAsia" w:ascii="宋体" w:hAnsi="宋体" w:eastAsia="宋体" w:cs="宋体"/>
                <w:kern w:val="2"/>
                <w:sz w:val="21"/>
                <w:szCs w:val="21"/>
              </w:rPr>
              <w:t>价格分计算方法：满足磋商文件要求且经磋商后的供应商报价最低的报价为评审基准价，其价格分为满分。其他供应商的价格分统一按照下列公式计算：</w:t>
            </w:r>
          </w:p>
          <w:p>
            <w:pPr>
              <w:widowControl w:val="0"/>
              <w:spacing w:after="0"/>
              <w:rPr>
                <w:rFonts w:ascii="宋体" w:hAnsi="宋体" w:eastAsia="宋体" w:cs="宋体"/>
                <w:kern w:val="2"/>
                <w:sz w:val="21"/>
                <w:szCs w:val="21"/>
              </w:rPr>
            </w:pPr>
            <w:r>
              <w:rPr>
                <w:rFonts w:hint="eastAsia" w:ascii="宋体" w:hAnsi="宋体" w:eastAsia="宋体" w:cs="宋体"/>
                <w:kern w:val="2"/>
                <w:sz w:val="21"/>
                <w:szCs w:val="21"/>
              </w:rPr>
              <w:t>报价得分=(评审基准价／经磋商后的报价)×价格权值×100</w:t>
            </w:r>
          </w:p>
        </w:tc>
      </w:tr>
    </w:tbl>
    <w:p>
      <w:pPr>
        <w:outlineLvl w:val="2"/>
        <w:rPr>
          <w:rFonts w:ascii="宋体" w:hAnsi="宋体" w:eastAsia="宋体" w:cs="宋体"/>
          <w:b/>
          <w:bCs/>
          <w:sz w:val="24"/>
          <w:szCs w:val="24"/>
        </w:rPr>
      </w:pPr>
      <w:r>
        <w:rPr>
          <w:rFonts w:hint="eastAsia"/>
          <w:sz w:val="28"/>
          <w:szCs w:val="28"/>
        </w:rPr>
        <w:br w:type="page"/>
      </w:r>
      <w:bookmarkStart w:id="7" w:name="_Toc24980"/>
      <w:r>
        <w:rPr>
          <w:rFonts w:hint="eastAsia" w:ascii="宋体" w:hAnsi="宋体" w:eastAsia="宋体" w:cs="宋体"/>
          <w:b/>
          <w:bCs/>
          <w:sz w:val="24"/>
          <w:szCs w:val="24"/>
        </w:rPr>
        <w:t>附表三：初步审查表（含资格审查及符合性审查）</w:t>
      </w:r>
      <w:bookmarkEnd w:id="7"/>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5676"/>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79" w:type="pct"/>
            <w:noWrap/>
            <w:vAlign w:val="center"/>
          </w:tcPr>
          <w:p>
            <w:pPr>
              <w:pStyle w:val="27"/>
              <w:widowControl w:val="0"/>
              <w:adjustRightInd/>
              <w:snapToGrid/>
              <w:ind w:firstLine="0" w:firstLineChars="0"/>
              <w:jc w:val="center"/>
              <w:rPr>
                <w:rFonts w:ascii="宋体" w:hAnsi="宋体" w:eastAsia="宋体" w:cs="宋体"/>
                <w:b/>
                <w:bCs/>
                <w:sz w:val="21"/>
                <w:szCs w:val="21"/>
              </w:rPr>
            </w:pPr>
            <w:r>
              <w:rPr>
                <w:rFonts w:hint="eastAsia" w:ascii="宋体" w:hAnsi="宋体" w:eastAsia="宋体" w:cs="宋体"/>
                <w:b/>
                <w:bCs/>
                <w:sz w:val="21"/>
                <w:szCs w:val="21"/>
              </w:rPr>
              <w:t>审查项目</w:t>
            </w:r>
          </w:p>
        </w:tc>
        <w:tc>
          <w:tcPr>
            <w:tcW w:w="3317" w:type="pct"/>
            <w:noWrap/>
            <w:vAlign w:val="center"/>
          </w:tcPr>
          <w:p>
            <w:pPr>
              <w:pStyle w:val="27"/>
              <w:widowControl w:val="0"/>
              <w:adjustRightInd/>
              <w:snapToGrid/>
              <w:ind w:firstLine="0" w:firstLineChars="0"/>
              <w:jc w:val="center"/>
              <w:rPr>
                <w:rFonts w:ascii="宋体" w:hAnsi="宋体" w:eastAsia="宋体" w:cs="宋体"/>
                <w:b/>
                <w:bCs/>
                <w:sz w:val="21"/>
                <w:szCs w:val="21"/>
              </w:rPr>
            </w:pPr>
            <w:r>
              <w:rPr>
                <w:rFonts w:hint="eastAsia" w:ascii="宋体" w:hAnsi="宋体" w:eastAsia="宋体" w:cs="宋体"/>
                <w:b/>
                <w:bCs/>
                <w:sz w:val="21"/>
                <w:szCs w:val="21"/>
              </w:rPr>
              <w:t>内容</w:t>
            </w:r>
          </w:p>
        </w:tc>
        <w:tc>
          <w:tcPr>
            <w:tcW w:w="703" w:type="pct"/>
            <w:noWrap/>
            <w:vAlign w:val="center"/>
          </w:tcPr>
          <w:p>
            <w:pPr>
              <w:pStyle w:val="27"/>
              <w:widowControl w:val="0"/>
              <w:adjustRightInd/>
              <w:snapToGrid/>
              <w:ind w:firstLine="0" w:firstLineChars="0"/>
              <w:jc w:val="center"/>
              <w:rPr>
                <w:rFonts w:ascii="宋体" w:hAnsi="宋体" w:eastAsia="宋体" w:cs="宋体"/>
                <w:b/>
                <w:bCs/>
                <w:sz w:val="21"/>
                <w:szCs w:val="21"/>
              </w:rPr>
            </w:pPr>
            <w:r>
              <w:rPr>
                <w:rFonts w:hint="eastAsia" w:ascii="宋体" w:hAnsi="宋体" w:eastAsia="宋体" w:cs="宋体"/>
                <w:b/>
                <w:bCs/>
                <w:sz w:val="21"/>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restart"/>
            <w:noWrap/>
            <w:vAlign w:val="center"/>
          </w:tcPr>
          <w:p>
            <w:pPr>
              <w:pStyle w:val="27"/>
              <w:widowControl w:val="0"/>
              <w:adjustRightInd/>
              <w:snapToGrid/>
              <w:ind w:firstLine="0" w:firstLineChars="0"/>
              <w:jc w:val="center"/>
              <w:rPr>
                <w:rFonts w:ascii="宋体" w:hAnsi="宋体" w:eastAsia="宋体" w:cs="宋体"/>
                <w:bCs/>
                <w:sz w:val="21"/>
                <w:szCs w:val="21"/>
              </w:rPr>
            </w:pPr>
            <w:r>
              <w:rPr>
                <w:rFonts w:hint="eastAsia" w:ascii="宋体" w:hAnsi="宋体" w:eastAsia="宋体" w:cs="宋体"/>
                <w:bCs/>
                <w:sz w:val="21"/>
                <w:szCs w:val="21"/>
              </w:rPr>
              <w:t>资格性审查</w:t>
            </w:r>
          </w:p>
        </w:tc>
        <w:tc>
          <w:tcPr>
            <w:tcW w:w="3317" w:type="pct"/>
            <w:noWrap/>
            <w:vAlign w:val="center"/>
          </w:tcPr>
          <w:p>
            <w:pPr>
              <w:widowControl w:val="0"/>
              <w:adjustRightInd/>
              <w:snapToGrid/>
              <w:rPr>
                <w:rFonts w:ascii="宋体" w:hAnsi="宋体" w:eastAsia="宋体" w:cs="宋体"/>
                <w:sz w:val="21"/>
                <w:szCs w:val="21"/>
              </w:rPr>
            </w:pPr>
            <w:r>
              <w:rPr>
                <w:rFonts w:hint="eastAsia" w:ascii="宋体" w:hAnsi="宋体" w:eastAsia="宋体" w:cs="宋体"/>
                <w:sz w:val="21"/>
                <w:szCs w:val="21"/>
              </w:rPr>
              <w:t>资格审查</w:t>
            </w:r>
          </w:p>
        </w:tc>
        <w:tc>
          <w:tcPr>
            <w:tcW w:w="703" w:type="pct"/>
            <w:noWrap/>
          </w:tcPr>
          <w:p>
            <w:pPr>
              <w:pStyle w:val="27"/>
              <w:widowControl w:val="0"/>
              <w:adjustRightInd/>
              <w:snapToGrid/>
              <w:ind w:firstLine="0" w:firstLineChars="0"/>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noWrap/>
            <w:vAlign w:val="center"/>
          </w:tcPr>
          <w:p>
            <w:pPr>
              <w:pStyle w:val="27"/>
              <w:widowControl w:val="0"/>
              <w:adjustRightInd/>
              <w:snapToGrid/>
              <w:ind w:firstLine="0" w:firstLineChars="0"/>
              <w:jc w:val="center"/>
              <w:rPr>
                <w:rFonts w:ascii="宋体" w:hAnsi="宋体" w:eastAsia="宋体" w:cs="宋体"/>
                <w:bCs/>
                <w:sz w:val="21"/>
                <w:szCs w:val="21"/>
              </w:rPr>
            </w:pPr>
          </w:p>
        </w:tc>
        <w:tc>
          <w:tcPr>
            <w:tcW w:w="3317" w:type="pct"/>
            <w:noWrap/>
            <w:vAlign w:val="center"/>
          </w:tcPr>
          <w:p>
            <w:pPr>
              <w:widowControl w:val="0"/>
              <w:adjustRightInd/>
              <w:snapToGrid/>
              <w:rPr>
                <w:rFonts w:ascii="宋体" w:hAnsi="宋体" w:eastAsia="宋体" w:cs="宋体"/>
                <w:sz w:val="21"/>
                <w:szCs w:val="21"/>
              </w:rPr>
            </w:pPr>
            <w:r>
              <w:rPr>
                <w:rFonts w:hint="eastAsia" w:ascii="宋体" w:hAnsi="宋体" w:eastAsia="宋体" w:cs="宋体"/>
                <w:sz w:val="21"/>
                <w:szCs w:val="21"/>
              </w:rPr>
              <w:t>磋商保证金审查</w:t>
            </w:r>
          </w:p>
        </w:tc>
        <w:tc>
          <w:tcPr>
            <w:tcW w:w="703" w:type="pct"/>
            <w:noWrap/>
          </w:tcPr>
          <w:p>
            <w:pPr>
              <w:pStyle w:val="27"/>
              <w:widowControl w:val="0"/>
              <w:adjustRightInd/>
              <w:snapToGrid/>
              <w:ind w:firstLine="0" w:firstLineChars="0"/>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restart"/>
            <w:noWrap/>
            <w:vAlign w:val="center"/>
          </w:tcPr>
          <w:p>
            <w:pPr>
              <w:pStyle w:val="27"/>
              <w:widowControl w:val="0"/>
              <w:adjustRightInd/>
              <w:snapToGrid/>
              <w:ind w:firstLine="0" w:firstLineChars="0"/>
              <w:jc w:val="center"/>
              <w:rPr>
                <w:rFonts w:ascii="宋体" w:hAnsi="宋体" w:eastAsia="宋体" w:cs="宋体"/>
                <w:bCs/>
                <w:sz w:val="21"/>
                <w:szCs w:val="21"/>
              </w:rPr>
            </w:pPr>
            <w:r>
              <w:rPr>
                <w:rFonts w:hint="eastAsia" w:ascii="宋体" w:hAnsi="宋体" w:eastAsia="宋体" w:cs="宋体"/>
                <w:bCs/>
                <w:sz w:val="21"/>
                <w:szCs w:val="21"/>
              </w:rPr>
              <w:t>符合性审查</w:t>
            </w:r>
          </w:p>
        </w:tc>
        <w:tc>
          <w:tcPr>
            <w:tcW w:w="3317" w:type="pct"/>
            <w:noWrap/>
            <w:vAlign w:val="center"/>
          </w:tcPr>
          <w:p>
            <w:pPr>
              <w:widowControl w:val="0"/>
              <w:adjustRightInd/>
              <w:snapToGrid/>
              <w:rPr>
                <w:rFonts w:ascii="宋体" w:hAnsi="宋体" w:eastAsia="宋体" w:cs="宋体"/>
                <w:sz w:val="21"/>
                <w:szCs w:val="21"/>
              </w:rPr>
            </w:pPr>
            <w:r>
              <w:rPr>
                <w:rFonts w:hint="eastAsia" w:ascii="宋体" w:hAnsi="宋体" w:eastAsia="宋体" w:cs="宋体"/>
                <w:sz w:val="21"/>
                <w:szCs w:val="21"/>
              </w:rPr>
              <w:t>供应商代表身份审查</w:t>
            </w:r>
          </w:p>
        </w:tc>
        <w:tc>
          <w:tcPr>
            <w:tcW w:w="703" w:type="pct"/>
            <w:noWrap/>
          </w:tcPr>
          <w:p>
            <w:pPr>
              <w:pStyle w:val="27"/>
              <w:widowControl w:val="0"/>
              <w:adjustRightInd/>
              <w:snapToGrid/>
              <w:ind w:firstLine="0" w:firstLineChars="0"/>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noWrap/>
            <w:vAlign w:val="center"/>
          </w:tcPr>
          <w:p>
            <w:pPr>
              <w:pStyle w:val="27"/>
              <w:widowControl w:val="0"/>
              <w:adjustRightInd/>
              <w:snapToGrid/>
              <w:ind w:firstLine="0" w:firstLineChars="0"/>
              <w:jc w:val="center"/>
              <w:rPr>
                <w:rFonts w:ascii="宋体" w:hAnsi="宋体" w:eastAsia="宋体" w:cs="宋体"/>
                <w:bCs/>
                <w:sz w:val="21"/>
                <w:szCs w:val="21"/>
              </w:rPr>
            </w:pPr>
          </w:p>
        </w:tc>
        <w:tc>
          <w:tcPr>
            <w:tcW w:w="3317" w:type="pct"/>
            <w:noWrap/>
            <w:vAlign w:val="center"/>
          </w:tcPr>
          <w:p>
            <w:pPr>
              <w:widowControl w:val="0"/>
              <w:adjustRightInd/>
              <w:snapToGrid/>
              <w:rPr>
                <w:rFonts w:ascii="宋体" w:hAnsi="宋体" w:eastAsia="宋体" w:cs="宋体"/>
                <w:sz w:val="21"/>
                <w:szCs w:val="21"/>
              </w:rPr>
            </w:pPr>
            <w:r>
              <w:rPr>
                <w:rFonts w:hint="eastAsia" w:ascii="宋体" w:hAnsi="宋体" w:eastAsia="宋体" w:cs="宋体"/>
                <w:sz w:val="21"/>
                <w:szCs w:val="21"/>
              </w:rPr>
              <w:t>磋商响应文件的有效性、完整性审查</w:t>
            </w:r>
          </w:p>
        </w:tc>
        <w:tc>
          <w:tcPr>
            <w:tcW w:w="703" w:type="pct"/>
            <w:noWrap/>
          </w:tcPr>
          <w:p>
            <w:pPr>
              <w:pStyle w:val="27"/>
              <w:widowControl w:val="0"/>
              <w:adjustRightInd/>
              <w:snapToGrid/>
              <w:ind w:firstLine="0" w:firstLineChars="0"/>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noWrap/>
            <w:vAlign w:val="center"/>
          </w:tcPr>
          <w:p>
            <w:pPr>
              <w:pStyle w:val="27"/>
              <w:widowControl w:val="0"/>
              <w:adjustRightInd/>
              <w:snapToGrid/>
              <w:ind w:firstLine="0" w:firstLineChars="0"/>
              <w:jc w:val="center"/>
              <w:rPr>
                <w:rFonts w:ascii="宋体" w:hAnsi="宋体" w:eastAsia="宋体" w:cs="宋体"/>
                <w:bCs/>
                <w:sz w:val="21"/>
                <w:szCs w:val="21"/>
              </w:rPr>
            </w:pPr>
          </w:p>
        </w:tc>
        <w:tc>
          <w:tcPr>
            <w:tcW w:w="3317" w:type="pct"/>
            <w:noWrap/>
            <w:vAlign w:val="center"/>
          </w:tcPr>
          <w:p>
            <w:pPr>
              <w:widowControl w:val="0"/>
              <w:adjustRightInd/>
              <w:snapToGrid/>
              <w:rPr>
                <w:rFonts w:ascii="宋体" w:hAnsi="宋体" w:eastAsia="宋体" w:cs="宋体"/>
                <w:sz w:val="21"/>
                <w:szCs w:val="21"/>
              </w:rPr>
            </w:pPr>
            <w:r>
              <w:rPr>
                <w:rFonts w:hint="eastAsia" w:ascii="宋体" w:hAnsi="宋体" w:eastAsia="宋体" w:cs="宋体"/>
                <w:sz w:val="21"/>
                <w:szCs w:val="21"/>
              </w:rPr>
              <w:t>技术响应审查</w:t>
            </w:r>
          </w:p>
        </w:tc>
        <w:tc>
          <w:tcPr>
            <w:tcW w:w="703" w:type="pct"/>
            <w:noWrap/>
          </w:tcPr>
          <w:p>
            <w:pPr>
              <w:pStyle w:val="27"/>
              <w:widowControl w:val="0"/>
              <w:adjustRightInd/>
              <w:snapToGrid/>
              <w:ind w:firstLine="0" w:firstLineChars="0"/>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noWrap/>
            <w:vAlign w:val="center"/>
          </w:tcPr>
          <w:p>
            <w:pPr>
              <w:pStyle w:val="27"/>
              <w:widowControl w:val="0"/>
              <w:adjustRightInd/>
              <w:snapToGrid/>
              <w:ind w:firstLine="0" w:firstLineChars="0"/>
              <w:jc w:val="center"/>
              <w:rPr>
                <w:rFonts w:ascii="宋体" w:hAnsi="宋体" w:eastAsia="宋体" w:cs="宋体"/>
                <w:bCs/>
                <w:sz w:val="21"/>
                <w:szCs w:val="21"/>
              </w:rPr>
            </w:pPr>
          </w:p>
        </w:tc>
        <w:tc>
          <w:tcPr>
            <w:tcW w:w="3317" w:type="pct"/>
            <w:noWrap/>
            <w:vAlign w:val="center"/>
          </w:tcPr>
          <w:p>
            <w:pPr>
              <w:widowControl w:val="0"/>
              <w:adjustRightInd/>
              <w:snapToGrid/>
              <w:rPr>
                <w:rFonts w:ascii="宋体" w:hAnsi="宋体" w:eastAsia="宋体" w:cs="宋体"/>
                <w:sz w:val="21"/>
                <w:szCs w:val="21"/>
              </w:rPr>
            </w:pPr>
            <w:r>
              <w:rPr>
                <w:rFonts w:hint="eastAsia" w:ascii="宋体" w:hAnsi="宋体" w:eastAsia="宋体" w:cs="宋体"/>
                <w:sz w:val="21"/>
                <w:szCs w:val="21"/>
              </w:rPr>
              <w:t>商务响应审查</w:t>
            </w:r>
          </w:p>
        </w:tc>
        <w:tc>
          <w:tcPr>
            <w:tcW w:w="703" w:type="pct"/>
            <w:noWrap/>
          </w:tcPr>
          <w:p>
            <w:pPr>
              <w:pStyle w:val="27"/>
              <w:widowControl w:val="0"/>
              <w:adjustRightInd/>
              <w:snapToGrid/>
              <w:ind w:firstLine="0" w:firstLineChars="0"/>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noWrap/>
            <w:vAlign w:val="center"/>
          </w:tcPr>
          <w:p>
            <w:pPr>
              <w:pStyle w:val="27"/>
              <w:widowControl w:val="0"/>
              <w:adjustRightInd/>
              <w:snapToGrid/>
              <w:ind w:firstLine="0" w:firstLineChars="0"/>
              <w:jc w:val="center"/>
              <w:rPr>
                <w:rFonts w:ascii="宋体" w:hAnsi="宋体" w:eastAsia="宋体" w:cs="宋体"/>
                <w:bCs/>
                <w:sz w:val="21"/>
                <w:szCs w:val="21"/>
              </w:rPr>
            </w:pPr>
          </w:p>
        </w:tc>
        <w:tc>
          <w:tcPr>
            <w:tcW w:w="3317" w:type="pct"/>
            <w:noWrap/>
            <w:vAlign w:val="center"/>
          </w:tcPr>
          <w:p>
            <w:pPr>
              <w:widowControl w:val="0"/>
              <w:adjustRightInd/>
              <w:snapToGrid/>
              <w:rPr>
                <w:rFonts w:ascii="宋体" w:hAnsi="宋体" w:eastAsia="宋体" w:cs="宋体"/>
                <w:sz w:val="21"/>
                <w:szCs w:val="21"/>
              </w:rPr>
            </w:pPr>
            <w:r>
              <w:rPr>
                <w:rFonts w:hint="eastAsia" w:ascii="宋体" w:hAnsi="宋体" w:eastAsia="宋体" w:cs="宋体"/>
                <w:sz w:val="21"/>
                <w:szCs w:val="21"/>
              </w:rPr>
              <w:t>首次磋商报价是固定价且是唯一的，未超过本项目采购预算</w:t>
            </w:r>
          </w:p>
        </w:tc>
        <w:tc>
          <w:tcPr>
            <w:tcW w:w="703" w:type="pct"/>
            <w:noWrap/>
          </w:tcPr>
          <w:p>
            <w:pPr>
              <w:pStyle w:val="27"/>
              <w:widowControl w:val="0"/>
              <w:adjustRightInd/>
              <w:snapToGrid/>
              <w:ind w:firstLine="0" w:firstLineChars="0"/>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noWrap/>
            <w:vAlign w:val="center"/>
          </w:tcPr>
          <w:p>
            <w:pPr>
              <w:pStyle w:val="27"/>
              <w:widowControl w:val="0"/>
              <w:adjustRightInd/>
              <w:snapToGrid/>
              <w:ind w:firstLine="0" w:firstLineChars="0"/>
              <w:jc w:val="center"/>
              <w:rPr>
                <w:rFonts w:ascii="宋体" w:hAnsi="宋体" w:eastAsia="宋体" w:cs="宋体"/>
                <w:bCs/>
                <w:sz w:val="21"/>
                <w:szCs w:val="21"/>
              </w:rPr>
            </w:pPr>
          </w:p>
        </w:tc>
        <w:tc>
          <w:tcPr>
            <w:tcW w:w="3317" w:type="pct"/>
            <w:noWrap/>
            <w:vAlign w:val="center"/>
          </w:tcPr>
          <w:p>
            <w:pPr>
              <w:widowControl w:val="0"/>
              <w:adjustRightInd/>
              <w:snapToGrid/>
              <w:rPr>
                <w:rFonts w:ascii="宋体" w:hAnsi="宋体" w:eastAsia="宋体" w:cs="宋体"/>
                <w:sz w:val="21"/>
                <w:szCs w:val="21"/>
              </w:rPr>
            </w:pPr>
            <w:r>
              <w:rPr>
                <w:rFonts w:hint="eastAsia" w:ascii="宋体" w:hAnsi="宋体" w:eastAsia="宋体" w:cs="宋体"/>
                <w:sz w:val="21"/>
                <w:szCs w:val="21"/>
              </w:rPr>
              <w:t>违规行为</w:t>
            </w:r>
          </w:p>
        </w:tc>
        <w:tc>
          <w:tcPr>
            <w:tcW w:w="703" w:type="pct"/>
            <w:noWrap/>
          </w:tcPr>
          <w:p>
            <w:pPr>
              <w:pStyle w:val="27"/>
              <w:widowControl w:val="0"/>
              <w:adjustRightInd/>
              <w:snapToGrid/>
              <w:ind w:firstLine="0" w:firstLineChars="0"/>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noWrap/>
            <w:vAlign w:val="center"/>
          </w:tcPr>
          <w:p>
            <w:pPr>
              <w:pStyle w:val="27"/>
              <w:widowControl w:val="0"/>
              <w:adjustRightInd/>
              <w:snapToGrid/>
              <w:ind w:firstLine="0" w:firstLineChars="0"/>
              <w:jc w:val="center"/>
              <w:rPr>
                <w:rFonts w:ascii="宋体" w:hAnsi="宋体" w:eastAsia="宋体" w:cs="宋体"/>
                <w:bCs/>
                <w:sz w:val="21"/>
                <w:szCs w:val="21"/>
              </w:rPr>
            </w:pPr>
          </w:p>
        </w:tc>
        <w:tc>
          <w:tcPr>
            <w:tcW w:w="3317" w:type="pct"/>
            <w:noWrap/>
            <w:vAlign w:val="center"/>
          </w:tcPr>
          <w:p>
            <w:pPr>
              <w:widowControl w:val="0"/>
              <w:adjustRightInd/>
              <w:snapToGrid/>
              <w:rPr>
                <w:rFonts w:ascii="宋体" w:hAnsi="宋体" w:eastAsia="宋体" w:cs="宋体"/>
                <w:sz w:val="21"/>
                <w:szCs w:val="21"/>
              </w:rPr>
            </w:pPr>
            <w:r>
              <w:rPr>
                <w:rFonts w:hint="eastAsia" w:ascii="宋体" w:hAnsi="宋体" w:eastAsia="宋体" w:cs="宋体"/>
                <w:sz w:val="21"/>
                <w:szCs w:val="21"/>
              </w:rPr>
              <w:t>法律法规及磋商文件中规定的其它情形</w:t>
            </w:r>
          </w:p>
        </w:tc>
        <w:tc>
          <w:tcPr>
            <w:tcW w:w="703" w:type="pct"/>
            <w:noWrap/>
          </w:tcPr>
          <w:p>
            <w:pPr>
              <w:pStyle w:val="27"/>
              <w:widowControl w:val="0"/>
              <w:adjustRightInd/>
              <w:snapToGrid/>
              <w:ind w:firstLine="0" w:firstLineChars="0"/>
              <w:rPr>
                <w:rFonts w:ascii="宋体" w:hAnsi="宋体" w:eastAsia="宋体" w:cs="宋体"/>
                <w:bCs/>
                <w:sz w:val="21"/>
                <w:szCs w:val="21"/>
              </w:rPr>
            </w:pPr>
          </w:p>
        </w:tc>
      </w:tr>
    </w:tbl>
    <w:p/>
    <w:p>
      <w:pPr>
        <w:rPr>
          <w:sz w:val="28"/>
          <w:szCs w:val="28"/>
        </w:rPr>
      </w:pPr>
      <w:r>
        <w:rPr>
          <w:rFonts w:hint="eastAsia"/>
          <w:sz w:val="28"/>
          <w:szCs w:val="28"/>
        </w:rPr>
        <w:br w:type="page"/>
      </w:r>
    </w:p>
    <w:p>
      <w:pPr>
        <w:pStyle w:val="4"/>
        <w:spacing w:before="0" w:after="0" w:line="240" w:lineRule="auto"/>
        <w:rPr>
          <w:sz w:val="36"/>
          <w:szCs w:val="36"/>
        </w:rPr>
      </w:pPr>
      <w:bookmarkStart w:id="8" w:name="_Toc4314"/>
      <w:r>
        <w:rPr>
          <w:rFonts w:hint="eastAsia"/>
          <w:sz w:val="28"/>
          <w:szCs w:val="28"/>
        </w:rPr>
        <w:t>第三部分用户需求书</w:t>
      </w:r>
      <w:bookmarkEnd w:id="8"/>
    </w:p>
    <w:p>
      <w:pPr>
        <w:pStyle w:val="6"/>
        <w:spacing w:before="0" w:after="0" w:line="360" w:lineRule="auto"/>
        <w:jc w:val="center"/>
      </w:pPr>
      <w:bookmarkStart w:id="9" w:name="_Toc23739"/>
      <w:r>
        <w:rPr>
          <w:rFonts w:hint="eastAsia" w:ascii="宋体" w:hAnsi="宋体" w:eastAsia="宋体" w:cs="宋体"/>
          <w:sz w:val="24"/>
          <w:szCs w:val="24"/>
        </w:rPr>
        <w:t>商务需求</w:t>
      </w:r>
      <w:bookmarkEnd w:id="9"/>
    </w:p>
    <w:tbl>
      <w:tblPr>
        <w:tblStyle w:val="21"/>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1588"/>
        <w:gridCol w:w="63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8" w:type="pct"/>
            <w:vAlign w:val="center"/>
          </w:tcPr>
          <w:p>
            <w:pPr>
              <w:adjustRightInd/>
              <w:snapToGrid/>
              <w:spacing w:after="0" w:line="400" w:lineRule="exact"/>
              <w:jc w:val="center"/>
              <w:rPr>
                <w:rFonts w:ascii="宋体" w:hAnsi="宋体" w:eastAsia="宋体"/>
                <w:szCs w:val="21"/>
              </w:rPr>
            </w:pPr>
            <w:r>
              <w:rPr>
                <w:rFonts w:hint="eastAsia" w:ascii="宋体" w:hAnsi="宋体" w:eastAsia="宋体"/>
                <w:szCs w:val="21"/>
              </w:rPr>
              <w:t>序号</w:t>
            </w:r>
          </w:p>
        </w:tc>
        <w:tc>
          <w:tcPr>
            <w:tcW w:w="907" w:type="pct"/>
            <w:vAlign w:val="center"/>
          </w:tcPr>
          <w:p>
            <w:pPr>
              <w:adjustRightInd/>
              <w:snapToGrid/>
              <w:spacing w:after="0" w:line="400" w:lineRule="exact"/>
              <w:jc w:val="center"/>
              <w:rPr>
                <w:rFonts w:ascii="宋体" w:hAnsi="宋体" w:eastAsia="宋体"/>
                <w:szCs w:val="21"/>
              </w:rPr>
            </w:pPr>
            <w:r>
              <w:rPr>
                <w:rFonts w:hint="eastAsia" w:ascii="宋体" w:hAnsi="宋体" w:eastAsia="宋体"/>
                <w:szCs w:val="21"/>
              </w:rPr>
              <w:t>条款名称</w:t>
            </w:r>
          </w:p>
        </w:tc>
        <w:tc>
          <w:tcPr>
            <w:tcW w:w="3643" w:type="pct"/>
            <w:vAlign w:val="center"/>
          </w:tcPr>
          <w:p>
            <w:pPr>
              <w:adjustRightInd/>
              <w:snapToGrid/>
              <w:spacing w:after="0" w:line="400" w:lineRule="exact"/>
              <w:jc w:val="center"/>
              <w:rPr>
                <w:rFonts w:ascii="宋体" w:hAnsi="宋体" w:eastAsia="宋体"/>
                <w:szCs w:val="21"/>
              </w:rPr>
            </w:pPr>
            <w:r>
              <w:rPr>
                <w:rFonts w:hint="eastAsia" w:ascii="宋体" w:hAnsi="宋体" w:eastAsia="宋体"/>
                <w:szCs w:val="21"/>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8" w:type="pct"/>
            <w:vAlign w:val="center"/>
          </w:tcPr>
          <w:p>
            <w:pPr>
              <w:adjustRightInd/>
              <w:snapToGrid/>
              <w:spacing w:after="0" w:line="400" w:lineRule="exact"/>
              <w:jc w:val="center"/>
              <w:rPr>
                <w:rFonts w:ascii="宋体" w:hAnsi="宋体" w:eastAsia="宋体"/>
                <w:szCs w:val="21"/>
              </w:rPr>
            </w:pPr>
            <w:r>
              <w:rPr>
                <w:rFonts w:hint="eastAsia" w:ascii="宋体" w:hAnsi="宋体" w:eastAsia="宋体"/>
                <w:szCs w:val="21"/>
              </w:rPr>
              <w:t>1</w:t>
            </w:r>
          </w:p>
        </w:tc>
        <w:tc>
          <w:tcPr>
            <w:tcW w:w="907" w:type="pct"/>
            <w:vAlign w:val="center"/>
          </w:tcPr>
          <w:p>
            <w:pPr>
              <w:adjustRightInd/>
              <w:snapToGrid/>
              <w:spacing w:after="0" w:line="400" w:lineRule="exact"/>
              <w:jc w:val="center"/>
              <w:rPr>
                <w:rFonts w:ascii="宋体" w:hAnsi="宋体" w:eastAsia="宋体"/>
                <w:szCs w:val="21"/>
              </w:rPr>
            </w:pPr>
            <w:r>
              <w:rPr>
                <w:rFonts w:hint="eastAsia" w:ascii="宋体" w:hAnsi="宋体" w:eastAsia="宋体"/>
                <w:szCs w:val="21"/>
              </w:rPr>
              <w:t>★服务期</w:t>
            </w:r>
          </w:p>
        </w:tc>
        <w:tc>
          <w:tcPr>
            <w:tcW w:w="3643" w:type="pct"/>
            <w:vAlign w:val="center"/>
          </w:tcPr>
          <w:p>
            <w:pPr>
              <w:adjustRightInd/>
              <w:snapToGrid/>
              <w:spacing w:after="0" w:line="400" w:lineRule="exact"/>
              <w:rPr>
                <w:rFonts w:ascii="宋体" w:hAnsi="宋体" w:eastAsia="宋体"/>
                <w:szCs w:val="21"/>
              </w:rPr>
            </w:pPr>
            <w:r>
              <w:rPr>
                <w:rFonts w:hint="eastAsia" w:ascii="宋体" w:hAnsi="宋体" w:eastAsia="宋体"/>
                <w:szCs w:val="21"/>
              </w:rPr>
              <w:t>自合同签订之日起壹年。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8" w:type="pct"/>
            <w:vAlign w:val="center"/>
          </w:tcPr>
          <w:p>
            <w:pPr>
              <w:adjustRightInd/>
              <w:snapToGrid/>
              <w:spacing w:after="0" w:line="400" w:lineRule="exact"/>
              <w:jc w:val="center"/>
              <w:rPr>
                <w:rFonts w:ascii="宋体" w:hAnsi="宋体" w:eastAsia="宋体"/>
                <w:szCs w:val="21"/>
              </w:rPr>
            </w:pPr>
            <w:r>
              <w:rPr>
                <w:rFonts w:hint="eastAsia" w:ascii="宋体" w:hAnsi="宋体" w:eastAsia="宋体"/>
                <w:szCs w:val="21"/>
              </w:rPr>
              <w:t>3</w:t>
            </w:r>
          </w:p>
        </w:tc>
        <w:tc>
          <w:tcPr>
            <w:tcW w:w="907" w:type="pct"/>
            <w:vAlign w:val="center"/>
          </w:tcPr>
          <w:p>
            <w:pPr>
              <w:adjustRightInd/>
              <w:snapToGrid/>
              <w:spacing w:after="0" w:line="400" w:lineRule="exact"/>
              <w:jc w:val="center"/>
              <w:rPr>
                <w:rFonts w:ascii="宋体" w:hAnsi="宋体" w:eastAsia="宋体"/>
                <w:szCs w:val="21"/>
              </w:rPr>
            </w:pPr>
            <w:r>
              <w:rPr>
                <w:rFonts w:hint="eastAsia" w:ascii="宋体" w:hAnsi="宋体" w:eastAsia="宋体"/>
                <w:szCs w:val="21"/>
              </w:rPr>
              <w:t>★付款方法和条件</w:t>
            </w:r>
          </w:p>
        </w:tc>
        <w:tc>
          <w:tcPr>
            <w:tcW w:w="3643" w:type="pct"/>
            <w:vAlign w:val="center"/>
          </w:tcPr>
          <w:p>
            <w:pPr>
              <w:adjustRightInd/>
              <w:snapToGrid/>
              <w:spacing w:after="0" w:line="400" w:lineRule="exact"/>
              <w:rPr>
                <w:rFonts w:ascii="宋体" w:hAnsi="宋体" w:eastAsia="宋体"/>
                <w:szCs w:val="21"/>
              </w:rPr>
            </w:pPr>
            <w:r>
              <w:rPr>
                <w:rFonts w:hint="eastAsia" w:ascii="宋体" w:hAnsi="宋体" w:eastAsia="宋体"/>
                <w:szCs w:val="21"/>
              </w:rPr>
              <w:t>1、按月支付费用，每月支付合同总价的十二分之一，采购人于每月考评后20日内拨付上个月的承包费；</w:t>
            </w:r>
          </w:p>
          <w:p>
            <w:pPr>
              <w:adjustRightInd/>
              <w:snapToGrid/>
              <w:spacing w:after="0" w:line="400" w:lineRule="exact"/>
              <w:rPr>
                <w:rFonts w:ascii="宋体" w:hAnsi="宋体" w:eastAsia="宋体"/>
                <w:szCs w:val="21"/>
              </w:rPr>
            </w:pPr>
            <w:r>
              <w:rPr>
                <w:rFonts w:hint="eastAsia" w:ascii="宋体" w:hAnsi="宋体" w:eastAsia="宋体"/>
                <w:szCs w:val="21"/>
              </w:rPr>
              <w:t>2、每月承包费须经采购人现场考核评分，根据评分结果是否须扣除违约金的情形确定实际应付款数额后支付；成交人必须在考评后5日内出具与实际应付款数额相符的增值税专用发票给采购人。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8" w:type="pct"/>
            <w:vAlign w:val="center"/>
          </w:tcPr>
          <w:p>
            <w:pPr>
              <w:adjustRightInd/>
              <w:snapToGrid/>
              <w:spacing w:after="0" w:line="400" w:lineRule="exact"/>
              <w:jc w:val="center"/>
              <w:rPr>
                <w:rFonts w:ascii="宋体" w:hAnsi="宋体" w:eastAsia="宋体"/>
                <w:szCs w:val="21"/>
              </w:rPr>
            </w:pPr>
            <w:r>
              <w:rPr>
                <w:rFonts w:hint="eastAsia" w:ascii="宋体" w:hAnsi="宋体" w:eastAsia="宋体"/>
                <w:szCs w:val="21"/>
              </w:rPr>
              <w:t>4</w:t>
            </w:r>
          </w:p>
        </w:tc>
        <w:tc>
          <w:tcPr>
            <w:tcW w:w="907" w:type="pct"/>
            <w:vAlign w:val="center"/>
          </w:tcPr>
          <w:p>
            <w:pPr>
              <w:adjustRightInd/>
              <w:snapToGrid/>
              <w:spacing w:after="0" w:line="400" w:lineRule="exact"/>
              <w:jc w:val="center"/>
              <w:rPr>
                <w:rFonts w:ascii="宋体" w:hAnsi="宋体" w:eastAsia="宋体"/>
                <w:szCs w:val="21"/>
              </w:rPr>
            </w:pPr>
            <w:r>
              <w:rPr>
                <w:rFonts w:hint="eastAsia" w:ascii="宋体" w:hAnsi="宋体" w:eastAsia="宋体"/>
                <w:szCs w:val="21"/>
              </w:rPr>
              <w:t>报价内容</w:t>
            </w:r>
          </w:p>
        </w:tc>
        <w:tc>
          <w:tcPr>
            <w:tcW w:w="3643" w:type="pct"/>
            <w:vAlign w:val="center"/>
          </w:tcPr>
          <w:p>
            <w:pPr>
              <w:adjustRightInd/>
              <w:snapToGrid/>
              <w:spacing w:after="0" w:line="400" w:lineRule="exact"/>
              <w:rPr>
                <w:rFonts w:ascii="宋体" w:hAnsi="宋体" w:eastAsia="宋体"/>
                <w:szCs w:val="21"/>
              </w:rPr>
            </w:pPr>
            <w:r>
              <w:rPr>
                <w:rFonts w:hint="eastAsia" w:ascii="宋体" w:hAnsi="宋体" w:eastAsia="宋体"/>
                <w:szCs w:val="21"/>
              </w:rPr>
              <w:t>1、报价应包含完成本次招标所有内容的费用，包含但不限于人工费、各种税费、验收费及合同实施过程中的应预见和不可预见费用等完成合同规定责任和义务、达到合同目的的一切费用。</w:t>
            </w:r>
          </w:p>
          <w:p>
            <w:pPr>
              <w:adjustRightInd/>
              <w:snapToGrid/>
              <w:spacing w:after="0" w:line="400" w:lineRule="exact"/>
              <w:rPr>
                <w:rFonts w:ascii="宋体" w:hAnsi="宋体" w:eastAsia="宋体"/>
                <w:szCs w:val="21"/>
              </w:rPr>
            </w:pPr>
            <w:r>
              <w:rPr>
                <w:rFonts w:hint="eastAsia" w:ascii="宋体" w:hAnsi="宋体" w:eastAsia="宋体"/>
                <w:szCs w:val="21"/>
              </w:rPr>
              <w:t>2、不能在报价之外还有其他费用出现。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8" w:type="pct"/>
            <w:vAlign w:val="center"/>
          </w:tcPr>
          <w:p>
            <w:pPr>
              <w:adjustRightInd/>
              <w:snapToGrid/>
              <w:spacing w:after="0" w:line="400" w:lineRule="exact"/>
              <w:jc w:val="center"/>
              <w:rPr>
                <w:rFonts w:ascii="宋体" w:hAnsi="宋体" w:eastAsia="宋体"/>
                <w:szCs w:val="21"/>
              </w:rPr>
            </w:pPr>
            <w:r>
              <w:rPr>
                <w:rFonts w:hint="eastAsia" w:ascii="宋体" w:hAnsi="宋体" w:eastAsia="宋体"/>
                <w:szCs w:val="21"/>
              </w:rPr>
              <w:t>5</w:t>
            </w:r>
          </w:p>
        </w:tc>
        <w:tc>
          <w:tcPr>
            <w:tcW w:w="907" w:type="pct"/>
            <w:vAlign w:val="center"/>
          </w:tcPr>
          <w:p>
            <w:pPr>
              <w:adjustRightInd/>
              <w:snapToGrid/>
              <w:spacing w:after="0" w:line="400" w:lineRule="exact"/>
              <w:jc w:val="center"/>
              <w:rPr>
                <w:rFonts w:ascii="宋体" w:hAnsi="宋体" w:eastAsia="宋体"/>
                <w:szCs w:val="21"/>
              </w:rPr>
            </w:pPr>
            <w:r>
              <w:rPr>
                <w:rFonts w:hint="eastAsia" w:ascii="宋体" w:hAnsi="宋体" w:eastAsia="宋体"/>
                <w:szCs w:val="21"/>
              </w:rPr>
              <w:t>服务地点</w:t>
            </w:r>
          </w:p>
        </w:tc>
        <w:tc>
          <w:tcPr>
            <w:tcW w:w="3643" w:type="pct"/>
            <w:vAlign w:val="center"/>
          </w:tcPr>
          <w:p>
            <w:pPr>
              <w:adjustRightInd/>
              <w:snapToGrid/>
              <w:spacing w:after="0" w:line="400" w:lineRule="exact"/>
              <w:rPr>
                <w:rFonts w:ascii="宋体" w:hAnsi="宋体" w:eastAsia="宋体"/>
                <w:szCs w:val="21"/>
              </w:rPr>
            </w:pPr>
            <w:r>
              <w:rPr>
                <w:rFonts w:hint="eastAsia" w:ascii="宋体" w:hAnsi="宋体" w:eastAsia="宋体"/>
                <w:szCs w:val="21"/>
              </w:rPr>
              <w:t>采购人指定的地点。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8" w:type="pct"/>
            <w:vAlign w:val="center"/>
          </w:tcPr>
          <w:p>
            <w:pPr>
              <w:adjustRightInd/>
              <w:snapToGrid/>
              <w:spacing w:after="0" w:line="400" w:lineRule="exact"/>
              <w:jc w:val="center"/>
              <w:rPr>
                <w:rFonts w:ascii="宋体" w:hAnsi="宋体" w:eastAsia="宋体"/>
                <w:szCs w:val="21"/>
              </w:rPr>
            </w:pPr>
            <w:r>
              <w:rPr>
                <w:rFonts w:hint="eastAsia" w:ascii="宋体" w:hAnsi="宋体" w:eastAsia="宋体"/>
                <w:szCs w:val="21"/>
              </w:rPr>
              <w:t>6</w:t>
            </w:r>
          </w:p>
        </w:tc>
        <w:tc>
          <w:tcPr>
            <w:tcW w:w="907" w:type="pct"/>
            <w:vAlign w:val="center"/>
          </w:tcPr>
          <w:p>
            <w:pPr>
              <w:adjustRightInd/>
              <w:snapToGrid/>
              <w:spacing w:after="0" w:line="400" w:lineRule="exact"/>
              <w:jc w:val="center"/>
              <w:rPr>
                <w:rFonts w:ascii="宋体" w:hAnsi="宋体" w:eastAsia="宋体"/>
                <w:szCs w:val="21"/>
              </w:rPr>
            </w:pPr>
            <w:r>
              <w:rPr>
                <w:rFonts w:hint="eastAsia" w:ascii="宋体" w:hAnsi="宋体" w:eastAsia="宋体"/>
                <w:szCs w:val="21"/>
              </w:rPr>
              <w:t>★磋商有效期</w:t>
            </w:r>
          </w:p>
        </w:tc>
        <w:tc>
          <w:tcPr>
            <w:tcW w:w="3643" w:type="pct"/>
            <w:vAlign w:val="center"/>
          </w:tcPr>
          <w:p>
            <w:pPr>
              <w:adjustRightInd/>
              <w:snapToGrid/>
              <w:spacing w:after="0" w:line="400" w:lineRule="exact"/>
              <w:rPr>
                <w:rFonts w:ascii="宋体" w:hAnsi="宋体" w:eastAsia="宋体"/>
                <w:szCs w:val="21"/>
              </w:rPr>
            </w:pPr>
            <w:r>
              <w:rPr>
                <w:rFonts w:hint="eastAsia" w:ascii="宋体" w:hAnsi="宋体" w:eastAsia="宋体"/>
                <w:szCs w:val="21"/>
              </w:rPr>
              <w:t>自开标日起90个日历日。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448" w:type="pct"/>
            <w:vAlign w:val="center"/>
          </w:tcPr>
          <w:p>
            <w:pPr>
              <w:adjustRightInd/>
              <w:snapToGrid/>
              <w:spacing w:after="0" w:line="400" w:lineRule="exact"/>
              <w:jc w:val="center"/>
              <w:rPr>
                <w:rFonts w:ascii="宋体" w:hAnsi="宋体" w:eastAsia="宋体"/>
                <w:szCs w:val="21"/>
              </w:rPr>
            </w:pPr>
            <w:r>
              <w:rPr>
                <w:rFonts w:hint="eastAsia" w:ascii="宋体" w:hAnsi="宋体" w:eastAsia="宋体"/>
                <w:szCs w:val="21"/>
              </w:rPr>
              <w:t>7</w:t>
            </w:r>
          </w:p>
        </w:tc>
        <w:tc>
          <w:tcPr>
            <w:tcW w:w="907" w:type="pct"/>
            <w:vAlign w:val="center"/>
          </w:tcPr>
          <w:p>
            <w:pPr>
              <w:adjustRightInd/>
              <w:snapToGrid/>
              <w:spacing w:after="0" w:line="400" w:lineRule="exact"/>
              <w:jc w:val="center"/>
              <w:rPr>
                <w:rFonts w:ascii="宋体" w:hAnsi="宋体" w:eastAsia="宋体"/>
                <w:szCs w:val="21"/>
              </w:rPr>
            </w:pPr>
            <w:r>
              <w:rPr>
                <w:rFonts w:ascii="宋体" w:hAnsi="宋体" w:eastAsia="宋体"/>
                <w:szCs w:val="21"/>
              </w:rPr>
              <w:t>合同条款</w:t>
            </w:r>
          </w:p>
        </w:tc>
        <w:tc>
          <w:tcPr>
            <w:tcW w:w="3643" w:type="pct"/>
          </w:tcPr>
          <w:p>
            <w:pPr>
              <w:adjustRightInd/>
              <w:snapToGrid/>
              <w:spacing w:after="0" w:line="400" w:lineRule="exact"/>
              <w:rPr>
                <w:rFonts w:ascii="宋体" w:hAnsi="宋体" w:eastAsia="宋体"/>
                <w:b/>
                <w:szCs w:val="21"/>
              </w:rPr>
            </w:pPr>
            <w:r>
              <w:rPr>
                <w:rFonts w:hint="eastAsia" w:ascii="宋体" w:hAnsi="宋体" w:eastAsia="宋体"/>
                <w:szCs w:val="21"/>
              </w:rPr>
              <w:t>供应商</w:t>
            </w:r>
            <w:r>
              <w:rPr>
                <w:rFonts w:ascii="宋体" w:hAnsi="宋体" w:eastAsia="宋体"/>
                <w:szCs w:val="21"/>
              </w:rPr>
              <w:t>实质响应合同各条款。</w:t>
            </w:r>
          </w:p>
        </w:tc>
      </w:tr>
    </w:tbl>
    <w:p>
      <w:pPr>
        <w:spacing w:after="0" w:line="360" w:lineRule="auto"/>
        <w:ind w:firstLine="420" w:firstLineChars="200"/>
        <w:rPr>
          <w:rFonts w:ascii="宋体" w:hAnsi="宋体" w:eastAsia="宋体"/>
          <w:sz w:val="21"/>
          <w:szCs w:val="21"/>
        </w:rPr>
      </w:pPr>
    </w:p>
    <w:p>
      <w:pPr>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360" w:lineRule="auto"/>
        <w:jc w:val="center"/>
        <w:rPr>
          <w:rFonts w:ascii="宋体" w:hAnsi="宋体" w:eastAsia="宋体" w:cs="宋体"/>
          <w:sz w:val="24"/>
          <w:szCs w:val="24"/>
        </w:rPr>
      </w:pPr>
      <w:r>
        <w:rPr>
          <w:rFonts w:hint="eastAsia" w:ascii="宋体" w:hAnsi="宋体" w:eastAsia="宋体" w:cs="宋体"/>
          <w:sz w:val="24"/>
          <w:szCs w:val="24"/>
        </w:rPr>
        <w:t>技术需求</w:t>
      </w:r>
    </w:p>
    <w:p>
      <w:pPr>
        <w:pStyle w:val="27"/>
        <w:spacing w:after="0" w:line="360" w:lineRule="auto"/>
        <w:ind w:firstLine="0" w:firstLineChars="0"/>
        <w:rPr>
          <w:rFonts w:ascii="宋体" w:hAnsi="宋体" w:eastAsia="宋体" w:cs="宋体"/>
          <w:b/>
          <w:sz w:val="21"/>
          <w:szCs w:val="21"/>
        </w:rPr>
      </w:pPr>
      <w:r>
        <w:rPr>
          <w:rFonts w:hint="eastAsia" w:ascii="宋体" w:hAnsi="宋体" w:eastAsia="宋体" w:cs="宋体"/>
          <w:b/>
          <w:sz w:val="21"/>
          <w:szCs w:val="21"/>
        </w:rPr>
        <w:t>一、项目概况</w:t>
      </w:r>
    </w:p>
    <w:p>
      <w:pPr>
        <w:spacing w:after="0" w:line="360" w:lineRule="auto"/>
        <w:ind w:firstLine="420" w:firstLineChars="200"/>
        <w:rPr>
          <w:rFonts w:ascii="宋体" w:hAnsi="宋体" w:eastAsia="宋体" w:cs="宋体"/>
          <w:strike/>
          <w:sz w:val="21"/>
          <w:szCs w:val="21"/>
        </w:rPr>
      </w:pPr>
      <w:r>
        <w:rPr>
          <w:rFonts w:hint="eastAsia" w:ascii="宋体" w:hAnsi="宋体" w:eastAsia="宋体" w:cs="宋体"/>
          <w:sz w:val="21"/>
          <w:szCs w:val="21"/>
        </w:rPr>
        <w:t>镇区、居民社区的灭“四害”及孳生地的清理消杀服务管理工作，“四害”工作包括灭蚊、灭蝇、灭蟑螂、灭鼠四项，承包期壹年。</w:t>
      </w:r>
    </w:p>
    <w:p>
      <w:pPr>
        <w:pStyle w:val="27"/>
        <w:spacing w:after="0" w:line="360" w:lineRule="auto"/>
        <w:ind w:firstLine="0" w:firstLineChars="0"/>
        <w:rPr>
          <w:rFonts w:ascii="宋体" w:hAnsi="宋体" w:eastAsia="宋体" w:cs="宋体"/>
          <w:b/>
          <w:sz w:val="21"/>
          <w:szCs w:val="21"/>
        </w:rPr>
      </w:pPr>
    </w:p>
    <w:p>
      <w:pPr>
        <w:pStyle w:val="27"/>
        <w:spacing w:after="0" w:line="360" w:lineRule="auto"/>
        <w:ind w:firstLine="0" w:firstLineChars="0"/>
        <w:rPr>
          <w:rFonts w:ascii="宋体" w:hAnsi="宋体" w:eastAsia="宋体" w:cs="宋体"/>
          <w:b/>
          <w:sz w:val="21"/>
          <w:szCs w:val="21"/>
        </w:rPr>
      </w:pPr>
      <w:r>
        <w:rPr>
          <w:rFonts w:hint="eastAsia" w:ascii="宋体" w:hAnsi="宋体" w:eastAsia="宋体" w:cs="宋体"/>
          <w:b/>
          <w:sz w:val="21"/>
          <w:szCs w:val="21"/>
        </w:rPr>
        <w:t>二、招标范围：</w:t>
      </w:r>
    </w:p>
    <w:p>
      <w:pPr>
        <w:pStyle w:val="27"/>
        <w:spacing w:after="0" w:line="360" w:lineRule="auto"/>
        <w:rPr>
          <w:rFonts w:ascii="宋体" w:hAnsi="宋体" w:eastAsia="宋体" w:cs="宋体"/>
          <w:sz w:val="21"/>
          <w:szCs w:val="21"/>
        </w:rPr>
      </w:pPr>
      <w:r>
        <w:rPr>
          <w:rFonts w:hint="eastAsia" w:ascii="宋体" w:hAnsi="宋体" w:eastAsia="宋体" w:cs="宋体"/>
          <w:sz w:val="21"/>
          <w:szCs w:val="21"/>
        </w:rPr>
        <w:t>水乡城资管辖区域，主要包括：</w:t>
      </w:r>
    </w:p>
    <w:p>
      <w:pPr>
        <w:pStyle w:val="27"/>
        <w:spacing w:after="0" w:line="360" w:lineRule="auto"/>
        <w:rPr>
          <w:rFonts w:ascii="宋体" w:hAnsi="宋体" w:eastAsia="宋体" w:cs="宋体"/>
          <w:sz w:val="21"/>
          <w:szCs w:val="21"/>
        </w:rPr>
      </w:pPr>
      <w:r>
        <w:rPr>
          <w:rFonts w:hint="eastAsia" w:ascii="宋体" w:hAnsi="宋体" w:eastAsia="宋体" w:cs="宋体"/>
          <w:sz w:val="21"/>
          <w:szCs w:val="21"/>
        </w:rPr>
        <w:t>1、居民社区、道路、商业街、管辖区大道等。包括道路、大街、小巷、河边、沟渠、明渠和暗渠口，建筑工地外围，镇府大院，闲置地、所有绿化地、广场、公园，并且把居民住户外、工厂、学校、铺位、酒店和各事业单位等建筑物外或者围墙外的公共地方纳为除四害要求地域。</w:t>
      </w:r>
    </w:p>
    <w:p>
      <w:pPr>
        <w:pStyle w:val="31"/>
        <w:adjustRightInd w:val="0"/>
        <w:spacing w:after="0" w:line="360" w:lineRule="auto"/>
        <w:ind w:firstLine="420" w:firstLineChars="200"/>
        <w:rPr>
          <w:rFonts w:ascii="宋体" w:hAnsi="宋体" w:eastAsia="宋体" w:cs="宋体"/>
          <w:kern w:val="2"/>
        </w:rPr>
      </w:pPr>
      <w:r>
        <w:rPr>
          <w:rFonts w:hint="eastAsia" w:ascii="宋体" w:hAnsi="宋体" w:eastAsia="宋体" w:cs="宋体"/>
        </w:rPr>
        <w:t>2、</w:t>
      </w:r>
      <w:r>
        <w:rPr>
          <w:rFonts w:hint="eastAsia" w:ascii="宋体" w:hAnsi="宋体" w:eastAsia="宋体" w:cs="宋体"/>
          <w:kern w:val="2"/>
        </w:rPr>
        <w:t>重点单位：农贸市场、饭店、宾馆、饮食店、食品加工厂、酿造厂、屠宰厂、粮库、医院、码头、轻轨站和长途汽车站等（包括创建国家卫生镇复检备检所有场所在内）。</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3、根据我镇创建国家卫生镇要求：本次还增加所有中小学、幼儿园、食品站（屠宰场）、粮所、中心市场、社卫中心、医院建筑楼外大院等创国卫必检单位的日常和突击检查的除四害工作。而各住户、工厂、铺位、酒店、事业单位内面积则不纳入本次承包范围内。</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最后范围以镇爱卫会和镇创卫办跟据创卫要求确定的为准。</w:t>
      </w:r>
    </w:p>
    <w:p>
      <w:pPr>
        <w:pStyle w:val="27"/>
        <w:spacing w:after="0" w:line="360" w:lineRule="auto"/>
        <w:ind w:firstLine="0" w:firstLineChars="0"/>
        <w:rPr>
          <w:rFonts w:ascii="宋体" w:hAnsi="宋体" w:eastAsia="宋体" w:cs="宋体"/>
          <w:b/>
          <w:sz w:val="21"/>
          <w:szCs w:val="21"/>
        </w:rPr>
      </w:pPr>
    </w:p>
    <w:p>
      <w:pPr>
        <w:pStyle w:val="27"/>
        <w:spacing w:after="0" w:line="360" w:lineRule="auto"/>
        <w:ind w:firstLine="0" w:firstLineChars="0"/>
        <w:rPr>
          <w:rFonts w:ascii="宋体" w:hAnsi="宋体" w:eastAsia="宋体" w:cs="宋体"/>
          <w:b/>
          <w:sz w:val="21"/>
          <w:szCs w:val="21"/>
        </w:rPr>
      </w:pPr>
      <w:r>
        <w:rPr>
          <w:rFonts w:hint="eastAsia" w:ascii="宋体" w:hAnsi="宋体" w:eastAsia="宋体" w:cs="宋体"/>
          <w:b/>
          <w:sz w:val="21"/>
          <w:szCs w:val="21"/>
        </w:rPr>
        <w:t>三、工作内容：</w:t>
      </w:r>
    </w:p>
    <w:p>
      <w:pPr>
        <w:tabs>
          <w:tab w:val="left" w:pos="1080"/>
        </w:tabs>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成交人在以上范围内全年除“四害”， 开展灭蚊、灭蝇、灭鼠、灭蟑各项工作，具体工作如下：</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（一）承包范围内除“四害”工作，包括路面、下水道、街道内巷、绿化带、垃圾中转站、学校、农贸市场、各机关办公大楼等其他重点孳生地。</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（二）承包范围内收集动物尸体工作（含老鼠、蟑螂等收集清理工作），并将尸体做无害化处理。</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（三）用药要求：该工程全部使用国家爱卫会批准的药物。所使用的“四害”杀虫药物按国家规定要有“三证”或使用全国或市爱卫会专家委员会推荐的认定药物，严禁使用急性“四害”药或其他明文禁用药物。</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（四）灭 蚊：灭蚊4次/月，要求全年进行孳生地的检查处理，在成蚊栖息的阴暗角落每月进行一次“滞留喷洒”。创建国家卫生镇要求检查的重点单位、重点场所内外一定要做好灭蚊工作，如饮食店、医院、机关、学校、住宅区范围必须得到有效巩固。下水道每月进行烟薰一次，每两个月放置浸药木塞1次，每年不少于6次。对不流动的水体要定期检测蚊虫孳生情况，定期对其施药保证蚊虫孳生地达到国家标准。根据省爱卫会关于全面深化爱国卫生运动的实施意见，每年的4月为全市“爱国卫生月”，4、5、9、10月第一个工作周为“爱卫突击周”，乙方应适当增加灭蚊消杀频次，无条件配合甲方有效落实登革热、基孔肯亚热、疟疾、乙脑、流行性出血热等病媒传染病防控、喷洒药物工作。</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（五）灭 蝇：灭蝇4次/月，要求根据苍蝇繁殖规律，在繁殖高峰期按要求对孳生地每周检查一次，每周对辖区内农贸市场、公厕、垃圾中转站、公共场所、卫生死角、绿化地、闲置地进行“空间喷洒”灭成蝇一次或以上，每月对室内进行一次“滞留喷洒”。</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（六）灭 鼠：灭鼠4次/月，灭鼠药每次不少于150斤全部当次放完，一个月4次需要用药不少于600斤，大街道灭鼠必须全部安装灭鼠屋，约</w:t>
      </w:r>
      <w:r>
        <w:rPr>
          <w:rFonts w:ascii="宋体" w:hAnsi="宋体" w:eastAsia="宋体" w:cs="宋体"/>
          <w:sz w:val="21"/>
          <w:szCs w:val="21"/>
        </w:rPr>
        <w:t>4</w:t>
      </w:r>
      <w:r>
        <w:rPr>
          <w:rFonts w:hint="eastAsia" w:ascii="宋体" w:hAnsi="宋体" w:eastAsia="宋体" w:cs="宋体"/>
          <w:sz w:val="21"/>
          <w:szCs w:val="21"/>
        </w:rPr>
        <w:t>000个，2平方公里共</w:t>
      </w:r>
      <w:r>
        <w:rPr>
          <w:rFonts w:ascii="宋体" w:hAnsi="宋体" w:eastAsia="宋体" w:cs="宋体"/>
          <w:sz w:val="21"/>
          <w:szCs w:val="21"/>
        </w:rPr>
        <w:t>4</w:t>
      </w:r>
      <w:r>
        <w:rPr>
          <w:rFonts w:hint="eastAsia" w:ascii="宋体" w:hAnsi="宋体" w:eastAsia="宋体" w:cs="宋体"/>
          <w:sz w:val="21"/>
          <w:szCs w:val="21"/>
        </w:rPr>
        <w:t>000个放药点必须做好警示装置，有固定的鼠尸处理场地及防疫实验室，能确保鼠尸病不传播，杜绝环境污染。灭鼠屋不能用PVC管等胶质管，需改用省、市规定的硅瓦型、防盗型。向机关事业单位（特别是中小学、幼儿园）投药时必须通知该单位相关人员，并做好相关警示标识，采取有效措施防止人畜误食；在个别不适宜药物灭鼠的场所，必须采取有效的物理灭鼠，消灭老鼠。镇中心区垃圾中转站及公共厕所必须做好每月的灭鼠工作。同时，乙方要结合绿化养护工作，组织人员队伍对绿化地进行清除四害孳生地工作，特别是及时填补鼠洞，在绿化地按标准设置老鼠屋，投放药物。</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（七）灭 蟑：灭蟑4次/月，要求对蟑螂的栖息的下水道取用烟雾灭虫法消灭蟑螂，其它不能使用该办法的场所要求使用毒饵、喷雾或物理的办法消灭蟑螂。</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（八）严格按照采购人的要求除“四害”，并配合采购人做好各项检查工作，提供相关的技术指导。</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（九）资料编写：无条件配合采购人按国家卫生镇除四害复检要求编写的资料验收标准，编写好除四害计划、总结、技术实施报告等相关材料，以备国家、省和市的领导查阅，并达到复检验收标准。</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十）密度监测：要求在辖区范围内设置东、南、西、北、中五个密度监测点，进行定时、定期、定点的密度监测，其中蚊、蝇密度要求每月监测三次，老鼠密度要求每个季度监测一次，对监测的数据进行分析汇报，造册存档，以备省市领导检查。</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（十一）成交人要加强大型水体的检测和处理工作，发动单位和居民清理庭院和室内的小型水体，做好有机物（如动物内脏、尸体）的处理，同时做好公共区域路段积水和翻盆倒罐工作。</w:t>
      </w:r>
    </w:p>
    <w:p>
      <w:pPr>
        <w:pStyle w:val="27"/>
        <w:spacing w:after="0" w:line="360" w:lineRule="auto"/>
        <w:ind w:firstLine="0" w:firstLineChars="0"/>
        <w:rPr>
          <w:rFonts w:ascii="宋体" w:hAnsi="宋体" w:eastAsia="宋体" w:cs="宋体"/>
          <w:b/>
          <w:sz w:val="21"/>
          <w:szCs w:val="21"/>
        </w:rPr>
      </w:pPr>
    </w:p>
    <w:p>
      <w:pPr>
        <w:pStyle w:val="27"/>
        <w:spacing w:after="0" w:line="360" w:lineRule="auto"/>
        <w:ind w:firstLine="0" w:firstLineChars="0"/>
        <w:rPr>
          <w:rFonts w:ascii="宋体" w:hAnsi="宋体" w:eastAsia="宋体" w:cs="宋体"/>
          <w:b/>
          <w:sz w:val="21"/>
          <w:szCs w:val="21"/>
        </w:rPr>
      </w:pPr>
      <w:r>
        <w:rPr>
          <w:rFonts w:hint="eastAsia" w:ascii="宋体" w:hAnsi="宋体" w:eastAsia="宋体" w:cs="宋体"/>
          <w:b/>
          <w:sz w:val="21"/>
          <w:szCs w:val="21"/>
        </w:rPr>
        <w:t>四、质量要求</w:t>
      </w:r>
    </w:p>
    <w:p>
      <w:pPr>
        <w:spacing w:after="0"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（一）消杀标准</w:t>
      </w:r>
    </w:p>
    <w:p>
      <w:pPr>
        <w:shd w:val="clear" w:color="auto" w:fill="FFFFFF"/>
        <w:spacing w:after="0" w:line="360" w:lineRule="auto"/>
        <w:ind w:firstLine="422" w:firstLineChars="200"/>
        <w:rPr>
          <w:rFonts w:ascii="宋体" w:hAnsi="宋体" w:eastAsia="宋体" w:cs="宋体"/>
          <w:sz w:val="21"/>
          <w:szCs w:val="21"/>
        </w:rPr>
      </w:pPr>
      <w:r>
        <w:rPr>
          <w:rFonts w:hint="eastAsia" w:ascii="宋体" w:hAnsi="宋体" w:eastAsia="宋体" w:cs="宋体"/>
          <w:b/>
          <w:sz w:val="21"/>
          <w:szCs w:val="21"/>
        </w:rPr>
        <w:t>1、灭蚊国家标准：</w:t>
      </w:r>
      <w:r>
        <w:rPr>
          <w:rFonts w:hint="eastAsia" w:ascii="宋体" w:hAnsi="宋体" w:eastAsia="宋体" w:cs="宋体"/>
          <w:sz w:val="21"/>
          <w:szCs w:val="21"/>
        </w:rPr>
        <w:t>居民住宅、单位内外环境各种存水容器和积水中，蚊幼及蛹的阳性率不超过3%；用500ml收集勺采集城区内大中型水体中的蚊幼及蛹阳性率不超过3%，阳性勺内幼虫及蛹的平均数不超过5只；特殊场所白天人诱蚊30分钟，平均每人次诱获成蚊数不超过1只。</w:t>
      </w:r>
    </w:p>
    <w:p>
      <w:pPr>
        <w:shd w:val="clear" w:color="auto" w:fill="FFFFFF"/>
        <w:spacing w:after="0" w:line="360" w:lineRule="auto"/>
        <w:ind w:firstLine="422" w:firstLineChars="200"/>
        <w:rPr>
          <w:rFonts w:ascii="宋体" w:hAnsi="宋体" w:eastAsia="宋体" w:cs="宋体"/>
          <w:sz w:val="21"/>
          <w:szCs w:val="21"/>
        </w:rPr>
      </w:pPr>
      <w:r>
        <w:rPr>
          <w:rFonts w:hint="eastAsia" w:ascii="宋体" w:hAnsi="宋体" w:eastAsia="宋体" w:cs="宋体"/>
          <w:b/>
          <w:sz w:val="21"/>
          <w:szCs w:val="21"/>
        </w:rPr>
        <w:t>2、灭蝇国家标准</w:t>
      </w:r>
      <w:r>
        <w:rPr>
          <w:rFonts w:hint="eastAsia" w:ascii="宋体" w:hAnsi="宋体" w:eastAsia="宋体" w:cs="宋体"/>
          <w:sz w:val="21"/>
          <w:szCs w:val="21"/>
        </w:rPr>
        <w:t>：重点单位有蝇房间不超过1%，其它单位不超过3%，平均每阳性房间不超过3只；重点单位防蝇设施不合格房间不超过5%；加工、销售直接入口食品的场所不得有蝇；蝇类孳生地得到有效治理，幼虫和蛹的检出率不超过3%。</w:t>
      </w:r>
    </w:p>
    <w:p>
      <w:pPr>
        <w:shd w:val="clear" w:color="auto" w:fill="FFFFFF"/>
        <w:spacing w:after="0" w:line="360" w:lineRule="auto"/>
        <w:ind w:firstLine="422" w:firstLineChars="200"/>
        <w:rPr>
          <w:rFonts w:ascii="宋体" w:hAnsi="宋体" w:eastAsia="宋体" w:cs="宋体"/>
          <w:sz w:val="21"/>
          <w:szCs w:val="21"/>
        </w:rPr>
      </w:pPr>
      <w:r>
        <w:rPr>
          <w:rFonts w:hint="eastAsia" w:ascii="宋体" w:hAnsi="宋体" w:eastAsia="宋体" w:cs="宋体"/>
          <w:b/>
          <w:sz w:val="21"/>
          <w:szCs w:val="21"/>
        </w:rPr>
        <w:t>3、灭鼠国家标准：</w:t>
      </w:r>
      <w:r>
        <w:rPr>
          <w:rFonts w:hint="eastAsia" w:ascii="宋体" w:hAnsi="宋体" w:eastAsia="宋体" w:cs="宋体"/>
          <w:sz w:val="21"/>
          <w:szCs w:val="21"/>
        </w:rPr>
        <w:t>15平方米标准房间布放20×20厘米滑石粉块两块，一夜后阳性粉块不超过3%；有鼠洞、鼠粪、鼠咬痕等鼠迹的房间不超过2%；重点单位防鼠设施不合格处不超过5%；不同类型的外环境累计2000延长米，鼠迹不超过5处。</w:t>
      </w:r>
    </w:p>
    <w:p>
      <w:pPr>
        <w:shd w:val="clear" w:color="auto" w:fill="FFFFFF"/>
        <w:spacing w:after="0" w:line="360" w:lineRule="auto"/>
        <w:ind w:firstLine="422" w:firstLineChars="200"/>
        <w:rPr>
          <w:rFonts w:ascii="宋体" w:hAnsi="宋体" w:eastAsia="宋体" w:cs="宋体"/>
          <w:sz w:val="21"/>
          <w:szCs w:val="21"/>
        </w:rPr>
      </w:pPr>
      <w:r>
        <w:rPr>
          <w:rFonts w:hint="eastAsia" w:ascii="宋体" w:hAnsi="宋体" w:eastAsia="宋体" w:cs="宋体"/>
          <w:b/>
          <w:sz w:val="21"/>
          <w:szCs w:val="21"/>
        </w:rPr>
        <w:t>4、灭蟑国家标准：</w:t>
      </w:r>
      <w:r>
        <w:rPr>
          <w:rFonts w:hint="eastAsia" w:ascii="宋体" w:hAnsi="宋体" w:eastAsia="宋体" w:cs="宋体"/>
          <w:sz w:val="21"/>
          <w:szCs w:val="21"/>
        </w:rPr>
        <w:t>室内有蟑螂成虫和若虫阳性房间不超过3%，平均每阳性房间大蠊不超过5只，小蠊不超过10只；有活蟑螂卵鞘房间不超过2%，平均每阳性房间不超过4只；有蟑螂粪便、蜕皮等蟑迹的房间不超过5%。</w:t>
      </w:r>
    </w:p>
    <w:p>
      <w:pPr>
        <w:shd w:val="clear" w:color="auto" w:fill="FFFFFF"/>
        <w:spacing w:after="0" w:line="360" w:lineRule="auto"/>
        <w:ind w:firstLine="422" w:firstLineChars="200"/>
        <w:rPr>
          <w:rFonts w:ascii="宋体" w:hAnsi="宋体" w:eastAsia="宋体" w:cs="宋体"/>
          <w:sz w:val="21"/>
          <w:szCs w:val="21"/>
        </w:rPr>
      </w:pPr>
      <w:r>
        <w:rPr>
          <w:rFonts w:ascii="宋体" w:hAnsi="宋体" w:eastAsia="宋体" w:cs="宋体"/>
          <w:b/>
          <w:sz w:val="21"/>
          <w:szCs w:val="21"/>
        </w:rPr>
        <w:t>5</w:t>
      </w:r>
      <w:r>
        <w:rPr>
          <w:rFonts w:hint="eastAsia" w:ascii="宋体" w:hAnsi="宋体" w:eastAsia="宋体" w:cs="宋体"/>
          <w:b/>
          <w:sz w:val="21"/>
          <w:szCs w:val="21"/>
        </w:rPr>
        <w:t>、密度监测：</w:t>
      </w:r>
      <w:r>
        <w:rPr>
          <w:rFonts w:hint="eastAsia" w:ascii="宋体" w:hAnsi="宋体" w:eastAsia="宋体" w:cs="宋体"/>
          <w:sz w:val="21"/>
          <w:szCs w:val="21"/>
        </w:rPr>
        <w:t>要求在辖区范围内设置东、南、西、北、中及重点区域，每个区域设置20个密度监测点，总数不少于100个监测点，并记录蚊虫密度数据，进行定时、定期、定点的密度监测，其中蚊、蝇密度要求每月监测三次，老鼠密度要求每个季度监测一次，对监测的数据进行分析汇报，造册存档，以备省市领导检查。</w:t>
      </w:r>
    </w:p>
    <w:p>
      <w:pPr>
        <w:shd w:val="clear" w:color="auto" w:fill="FFFFFF"/>
        <w:spacing w:after="0" w:line="360" w:lineRule="auto"/>
        <w:ind w:firstLine="422" w:firstLineChars="200"/>
        <w:rPr>
          <w:rFonts w:ascii="宋体" w:hAnsi="宋体" w:eastAsia="宋体" w:cs="宋体"/>
          <w:b/>
          <w:kern w:val="2"/>
          <w:sz w:val="21"/>
          <w:szCs w:val="21"/>
        </w:rPr>
      </w:pPr>
      <w:r>
        <w:rPr>
          <w:rFonts w:hint="eastAsia" w:ascii="宋体" w:hAnsi="宋体" w:eastAsia="宋体" w:cs="宋体"/>
          <w:b/>
          <w:sz w:val="21"/>
          <w:szCs w:val="21"/>
        </w:rPr>
        <w:t>（二）人</w:t>
      </w:r>
      <w:r>
        <w:rPr>
          <w:rFonts w:hint="eastAsia" w:ascii="宋体" w:hAnsi="宋体" w:eastAsia="宋体" w:cs="宋体"/>
          <w:b/>
          <w:kern w:val="2"/>
          <w:sz w:val="21"/>
          <w:szCs w:val="21"/>
        </w:rPr>
        <w:t>员配置、设备配置、药物要求</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1、除“四害”项目人员：需配置、配备“四害”消杀项目负责人一名，应具有病媒生物防制行业高级（或副高含以上）职称或硕士以上学位，在防控病媒生物（如登革热、基孔肯亚热）有熟练经验，能熟练完成创建国家卫生镇除“四害”相关资料；其他投入的人员(包括应急人员)不得少于10人且必须取得有害生物防制员资格证。</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2、本项目要具备必要的应急机械设备及工具数量：7 座的应急车辆 4 台，热烟雾机 20台，背负式机动喷雾机20台，背负式机动（电动）超低容量喷雾机6台，车载式电动超低容量喷雾机 1 台。</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3、★用药标准：成交企业必须注重科学合理用药，不能使用假药、国家禁用的药物。使用的药物必须符合《病媒生物控制药物器械安全使用准则》，确保病媒生物控制达到“安全、高效、环保”的要求，用于本服务项目的消杀药物投入不能少于消杀面积的正常用药。</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附表：为保证用药质量，使用药物必须与以下要求相对应或高于此标准。</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482"/>
        <w:gridCol w:w="3066"/>
        <w:gridCol w:w="1324"/>
        <w:gridCol w:w="21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28" w:type="pct"/>
            <w:tcBorders>
              <w:top w:val="single" w:color="auto" w:sz="12" w:space="0"/>
            </w:tcBorders>
            <w:noWrap/>
            <w:vAlign w:val="center"/>
          </w:tcPr>
          <w:p>
            <w:pPr>
              <w:spacing w:after="0" w:line="360"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028" w:type="pct"/>
            <w:tcBorders>
              <w:top w:val="single" w:color="auto" w:sz="12" w:space="0"/>
            </w:tcBorders>
            <w:noWrap/>
            <w:vAlign w:val="center"/>
          </w:tcPr>
          <w:p>
            <w:pPr>
              <w:spacing w:after="0" w:line="360" w:lineRule="auto"/>
              <w:jc w:val="center"/>
              <w:rPr>
                <w:rFonts w:ascii="宋体" w:hAnsi="宋体" w:eastAsia="宋体" w:cs="宋体"/>
                <w:b/>
                <w:bCs/>
                <w:sz w:val="21"/>
                <w:szCs w:val="21"/>
              </w:rPr>
            </w:pPr>
            <w:r>
              <w:rPr>
                <w:rFonts w:hint="eastAsia" w:ascii="宋体" w:hAnsi="宋体" w:eastAsia="宋体" w:cs="宋体"/>
                <w:b/>
                <w:bCs/>
                <w:sz w:val="21"/>
                <w:szCs w:val="21"/>
              </w:rPr>
              <w:t>药品名称</w:t>
            </w:r>
          </w:p>
        </w:tc>
        <w:tc>
          <w:tcPr>
            <w:tcW w:w="1538" w:type="pct"/>
            <w:tcBorders>
              <w:top w:val="single" w:color="auto" w:sz="12" w:space="0"/>
            </w:tcBorders>
            <w:noWrap/>
            <w:vAlign w:val="center"/>
          </w:tcPr>
          <w:p>
            <w:pPr>
              <w:spacing w:after="0" w:line="360" w:lineRule="auto"/>
              <w:jc w:val="center"/>
              <w:rPr>
                <w:rFonts w:ascii="宋体" w:hAnsi="宋体" w:eastAsia="宋体" w:cs="宋体"/>
                <w:b/>
                <w:bCs/>
                <w:sz w:val="21"/>
                <w:szCs w:val="21"/>
              </w:rPr>
            </w:pPr>
            <w:r>
              <w:rPr>
                <w:rFonts w:hint="eastAsia" w:ascii="宋体" w:hAnsi="宋体" w:eastAsia="宋体" w:cs="宋体"/>
                <w:b/>
                <w:bCs/>
                <w:sz w:val="21"/>
                <w:szCs w:val="21"/>
              </w:rPr>
              <w:t>有效成份含量</w:t>
            </w:r>
          </w:p>
        </w:tc>
        <w:tc>
          <w:tcPr>
            <w:tcW w:w="924" w:type="pct"/>
            <w:tcBorders>
              <w:top w:val="single" w:color="auto" w:sz="12" w:space="0"/>
            </w:tcBorders>
            <w:noWrap/>
            <w:vAlign w:val="center"/>
          </w:tcPr>
          <w:p>
            <w:pPr>
              <w:spacing w:after="0" w:line="360" w:lineRule="auto"/>
              <w:jc w:val="center"/>
              <w:rPr>
                <w:rFonts w:ascii="宋体" w:hAnsi="宋体" w:eastAsia="宋体" w:cs="宋体"/>
                <w:b/>
                <w:bCs/>
                <w:sz w:val="21"/>
                <w:szCs w:val="21"/>
              </w:rPr>
            </w:pPr>
            <w:r>
              <w:rPr>
                <w:rFonts w:hint="eastAsia" w:ascii="宋体" w:hAnsi="宋体" w:eastAsia="宋体" w:cs="宋体"/>
                <w:b/>
                <w:bCs/>
                <w:sz w:val="21"/>
                <w:szCs w:val="21"/>
              </w:rPr>
              <w:t>剂型</w:t>
            </w:r>
          </w:p>
        </w:tc>
        <w:tc>
          <w:tcPr>
            <w:tcW w:w="982" w:type="pct"/>
            <w:tcBorders>
              <w:top w:val="single" w:color="auto" w:sz="12" w:space="0"/>
            </w:tcBorders>
            <w:noWrap/>
            <w:vAlign w:val="center"/>
          </w:tcPr>
          <w:p>
            <w:pPr>
              <w:spacing w:after="0" w:line="360" w:lineRule="auto"/>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0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高效氯氰菊酯</w:t>
            </w:r>
          </w:p>
        </w:tc>
        <w:tc>
          <w:tcPr>
            <w:tcW w:w="153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高效氯氰菊酯含量≥4.5%</w:t>
            </w:r>
          </w:p>
        </w:tc>
        <w:tc>
          <w:tcPr>
            <w:tcW w:w="924"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微乳剂、悬浮剂</w:t>
            </w:r>
          </w:p>
        </w:tc>
        <w:tc>
          <w:tcPr>
            <w:tcW w:w="982" w:type="pct"/>
            <w:vMerge w:val="restar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室内外灭成蚊、蝇等。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0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右胺·高氯氟</w:t>
            </w:r>
          </w:p>
        </w:tc>
        <w:tc>
          <w:tcPr>
            <w:tcW w:w="153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右旋胺菊酯≥2%、高效氯氟氰菊酯≥3%</w:t>
            </w:r>
          </w:p>
        </w:tc>
        <w:tc>
          <w:tcPr>
            <w:tcW w:w="924"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水乳剂</w:t>
            </w:r>
          </w:p>
        </w:tc>
        <w:tc>
          <w:tcPr>
            <w:tcW w:w="982" w:type="pct"/>
            <w:vMerge w:val="continue"/>
            <w:noWrap/>
            <w:vAlign w:val="center"/>
          </w:tcPr>
          <w:p>
            <w:pPr>
              <w:spacing w:after="0" w:line="360" w:lineRule="auto"/>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0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高氯·残杀威</w:t>
            </w:r>
          </w:p>
        </w:tc>
        <w:tc>
          <w:tcPr>
            <w:tcW w:w="153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混配总含量≥10%</w:t>
            </w:r>
          </w:p>
        </w:tc>
        <w:tc>
          <w:tcPr>
            <w:tcW w:w="924"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悬浮剂</w:t>
            </w:r>
          </w:p>
        </w:tc>
        <w:tc>
          <w:tcPr>
            <w:tcW w:w="982" w:type="pct"/>
            <w:vMerge w:val="continue"/>
            <w:noWrap/>
            <w:vAlign w:val="center"/>
          </w:tcPr>
          <w:p>
            <w:pPr>
              <w:spacing w:after="0" w:line="360" w:lineRule="auto"/>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0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烯丙·氯菊</w:t>
            </w:r>
          </w:p>
        </w:tc>
        <w:tc>
          <w:tcPr>
            <w:tcW w:w="153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富右旋反式烯丙菊酯≥4%，氯菊酯≥8%以</w:t>
            </w:r>
          </w:p>
        </w:tc>
        <w:tc>
          <w:tcPr>
            <w:tcW w:w="924"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水乳剂</w:t>
            </w:r>
          </w:p>
        </w:tc>
        <w:tc>
          <w:tcPr>
            <w:tcW w:w="982"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超低容量控制蚊、蝇密度。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5</w:t>
            </w:r>
          </w:p>
        </w:tc>
        <w:tc>
          <w:tcPr>
            <w:tcW w:w="10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杀虫颗粒剂</w:t>
            </w:r>
          </w:p>
        </w:tc>
        <w:tc>
          <w:tcPr>
            <w:tcW w:w="153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倍硫磷≥4.5%</w:t>
            </w:r>
          </w:p>
          <w:p>
            <w:pPr>
              <w:spacing w:after="0" w:line="360" w:lineRule="auto"/>
              <w:jc w:val="center"/>
              <w:rPr>
                <w:rFonts w:ascii="宋体" w:hAnsi="宋体" w:eastAsia="宋体" w:cs="宋体"/>
                <w:sz w:val="21"/>
                <w:szCs w:val="21"/>
              </w:rPr>
            </w:pPr>
            <w:r>
              <w:rPr>
                <w:rFonts w:hint="eastAsia" w:ascii="宋体" w:hAnsi="宋体" w:eastAsia="宋体" w:cs="宋体"/>
                <w:sz w:val="21"/>
                <w:szCs w:val="21"/>
              </w:rPr>
              <w:t>吡丙醚≥0.5%</w:t>
            </w:r>
          </w:p>
        </w:tc>
        <w:tc>
          <w:tcPr>
            <w:tcW w:w="924"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颗粒剂</w:t>
            </w:r>
          </w:p>
        </w:tc>
        <w:tc>
          <w:tcPr>
            <w:tcW w:w="982"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化学水体灭蚊幼虫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6</w:t>
            </w:r>
          </w:p>
        </w:tc>
        <w:tc>
          <w:tcPr>
            <w:tcW w:w="10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苏云金杆菌悬浮剂</w:t>
            </w:r>
          </w:p>
        </w:tc>
        <w:tc>
          <w:tcPr>
            <w:tcW w:w="153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苏云金杆菌(以色列亚种)≥600ITU/毫克</w:t>
            </w:r>
          </w:p>
        </w:tc>
        <w:tc>
          <w:tcPr>
            <w:tcW w:w="924"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悬浮剂</w:t>
            </w:r>
          </w:p>
        </w:tc>
        <w:tc>
          <w:tcPr>
            <w:tcW w:w="982"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生物水体灭蚊幼虫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7</w:t>
            </w:r>
          </w:p>
        </w:tc>
        <w:tc>
          <w:tcPr>
            <w:tcW w:w="10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杀虫饵剂</w:t>
            </w:r>
          </w:p>
        </w:tc>
        <w:tc>
          <w:tcPr>
            <w:tcW w:w="153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氟蚁腙≥0.05%</w:t>
            </w:r>
          </w:p>
          <w:p>
            <w:pPr>
              <w:spacing w:after="0" w:line="360" w:lineRule="auto"/>
              <w:jc w:val="center"/>
              <w:rPr>
                <w:rFonts w:ascii="宋体" w:hAnsi="宋体" w:eastAsia="宋体" w:cs="宋体"/>
                <w:sz w:val="21"/>
                <w:szCs w:val="21"/>
              </w:rPr>
            </w:pPr>
            <w:r>
              <w:rPr>
                <w:rFonts w:hint="eastAsia" w:ascii="宋体" w:hAnsi="宋体" w:eastAsia="宋体" w:cs="宋体"/>
                <w:sz w:val="21"/>
                <w:szCs w:val="21"/>
              </w:rPr>
              <w:t>吡虫啉≥2%</w:t>
            </w:r>
          </w:p>
        </w:tc>
        <w:tc>
          <w:tcPr>
            <w:tcW w:w="924"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饵剂（针剂）</w:t>
            </w:r>
          </w:p>
        </w:tc>
        <w:tc>
          <w:tcPr>
            <w:tcW w:w="982"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灭蟑螂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5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8</w:t>
            </w:r>
          </w:p>
        </w:tc>
        <w:tc>
          <w:tcPr>
            <w:tcW w:w="10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杀虫热雾剂</w:t>
            </w:r>
          </w:p>
        </w:tc>
        <w:tc>
          <w:tcPr>
            <w:tcW w:w="153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高效氯氰菊酯≥2%、右旋胺菊酯≥0.5%</w:t>
            </w:r>
          </w:p>
        </w:tc>
        <w:tc>
          <w:tcPr>
            <w:tcW w:w="924"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热雾剂</w:t>
            </w:r>
          </w:p>
        </w:tc>
        <w:tc>
          <w:tcPr>
            <w:tcW w:w="982"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烟熏下水道灭蚊、蟑。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9</w:t>
            </w:r>
          </w:p>
        </w:tc>
        <w:tc>
          <w:tcPr>
            <w:tcW w:w="10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溴敌隆毒（稻谷）</w:t>
            </w:r>
          </w:p>
        </w:tc>
        <w:tc>
          <w:tcPr>
            <w:tcW w:w="153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溴敌隆≥0.005%</w:t>
            </w:r>
          </w:p>
        </w:tc>
        <w:tc>
          <w:tcPr>
            <w:tcW w:w="924"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毒饵</w:t>
            </w:r>
          </w:p>
        </w:tc>
        <w:tc>
          <w:tcPr>
            <w:tcW w:w="982" w:type="pct"/>
            <w:vMerge w:val="restar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灭鼠类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10</w:t>
            </w:r>
          </w:p>
        </w:tc>
        <w:tc>
          <w:tcPr>
            <w:tcW w:w="102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溴鼠灵毒（稻谷）</w:t>
            </w:r>
          </w:p>
        </w:tc>
        <w:tc>
          <w:tcPr>
            <w:tcW w:w="1538"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溴鼠灵≥0.005%</w:t>
            </w:r>
          </w:p>
        </w:tc>
        <w:tc>
          <w:tcPr>
            <w:tcW w:w="924" w:type="pct"/>
            <w:noWrap/>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毒饵</w:t>
            </w:r>
          </w:p>
        </w:tc>
        <w:tc>
          <w:tcPr>
            <w:tcW w:w="982" w:type="pct"/>
            <w:vMerge w:val="continue"/>
            <w:noWrap/>
            <w:vAlign w:val="center"/>
          </w:tcPr>
          <w:p>
            <w:pPr>
              <w:spacing w:after="0" w:line="360" w:lineRule="auto"/>
              <w:jc w:val="center"/>
              <w:rPr>
                <w:rFonts w:ascii="宋体" w:hAnsi="宋体" w:eastAsia="宋体" w:cs="宋体"/>
                <w:sz w:val="21"/>
                <w:szCs w:val="21"/>
              </w:rPr>
            </w:pPr>
          </w:p>
        </w:tc>
      </w:tr>
    </w:tbl>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备注：</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投入本项目的药物参数不可负偏离。</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响应文件必须提供药品以下资料扫描件或复印件并加盖产品登记证持有人红色公章及供应商红色公章。</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①农业部颁发的农药登记证。</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②省级农业部门颁发的登记证持有人或委托加工企业农药生产许可证（生产范围包括投标产品剂型）。</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③质量技术监督部门或企业标准信息公共服务平台备案的企业标准封面。</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④序号①-③资料的备案须在有效期内，续展期顺延三个月。</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⑤药品标签。</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⑥药品第三方检测报告。</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⑦药品化学品安全技术说明书或农药产品安全数据单（MSDS）。</w:t>
      </w:r>
    </w:p>
    <w:p>
      <w:pPr>
        <w:pStyle w:val="27"/>
        <w:spacing w:after="0" w:line="360" w:lineRule="auto"/>
        <w:ind w:firstLine="0" w:firstLineChars="0"/>
        <w:rPr>
          <w:rFonts w:ascii="宋体" w:hAnsi="宋体" w:eastAsia="宋体" w:cs="宋体"/>
          <w:b/>
          <w:sz w:val="21"/>
          <w:szCs w:val="21"/>
        </w:rPr>
      </w:pPr>
    </w:p>
    <w:p>
      <w:pPr>
        <w:pStyle w:val="27"/>
        <w:spacing w:after="0" w:line="360" w:lineRule="auto"/>
        <w:ind w:firstLine="0" w:firstLineChars="0"/>
        <w:rPr>
          <w:rFonts w:ascii="宋体" w:hAnsi="宋体" w:eastAsia="宋体" w:cs="宋体"/>
          <w:b/>
          <w:sz w:val="21"/>
          <w:szCs w:val="21"/>
        </w:rPr>
      </w:pPr>
      <w:r>
        <w:rPr>
          <w:rFonts w:hint="eastAsia" w:ascii="宋体" w:hAnsi="宋体" w:eastAsia="宋体" w:cs="宋体"/>
          <w:b/>
          <w:sz w:val="21"/>
          <w:szCs w:val="21"/>
        </w:rPr>
        <w:t>五、工作责任</w:t>
      </w:r>
    </w:p>
    <w:p>
      <w:pPr>
        <w:spacing w:after="0" w:line="360" w:lineRule="auto"/>
        <w:ind w:firstLine="315" w:firstLineChars="150"/>
        <w:rPr>
          <w:rFonts w:ascii="宋体" w:hAnsi="宋体" w:eastAsia="宋体" w:cs="宋体"/>
          <w:b/>
          <w:sz w:val="21"/>
          <w:szCs w:val="21"/>
        </w:rPr>
      </w:pPr>
      <w:r>
        <w:rPr>
          <w:rFonts w:hint="eastAsia" w:ascii="宋体" w:hAnsi="宋体" w:eastAsia="宋体" w:cs="宋体"/>
          <w:sz w:val="21"/>
          <w:szCs w:val="21"/>
        </w:rPr>
        <w:t>1、成交人必须无条件服从采购人或市组织的一些突击性任务及迎检活动，按时、按标准、按要求完成所分配的工作。</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2、中标进场一个月内在招标单位所在地设置固定办公室，并设置固定联系电话，建立24小时值班制度，应付突发事件的发生；</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3、成交人必须具备足量背负式储压式喷雾器，背负式机动喷雾器，热烟雾机，电动式超低容量喷雾器等工具；配备除“四害”项目负责人一名，能熟练完成巩固国家卫生镇除“四害”资料。</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4、采购人原则上不干预成交人公司内部管理、人员安排等，但如成交人现场管理人员工作严重失职，不能配合采购人突击检查和其它工作，造成工作不到位或管理水平低下等，采购人有权责令成交人更换管理人员。</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5、成交人应按采购人的承包管理内容和标准做好各项管理工作，经检查若达不到项目作业标准的，采购人将按规定扣减成交人当月承包款的相应金额。</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6、成交人根据所承担的承包内容，按实际上岗人数自行到有关部门申办相关手续。</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7、成交人禁止雇佣18周岁以下和62周岁以上员工从事本项目工作。</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8、成交人必须落实安全生产和安全防火措施，如发生任何安全事故，一切责任及造成损失由成交人负责。</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9、成交人在进行本项目作业时不得以任何名义向企业、商铺和居民住户收费。</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10、成交人未经采购人同意，不得擅自将本项目部分或全部转包或分包给他人，否则视为违约，采购人有权解除合同，同时扣减合同价款总额的20%作为违约金。</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11、成交人必须遵守国家法律、法规的规定。如有违纪违法，发生工伤意外事故，成交人承担一切经济责任和法律责任。</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12、灭蚊罩等除四害设备由成交人做预算及安装。有能大面积清理及安装固定的防鼠设施等相关防护措施经验，并起到巩固作用（各学校、分局、单位的防鼠设施及材料由各单位自行负责），在政府大院、路两边服务范围区内的灭鼠罩等设备由成交人配置及安装，费用由成交人负责。由于承包范围内的设备、器械被盗或损坏或操作不当而导致他人死伤或造成其他损失的，由成交人负责赔偿和承担一切法律责任。</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13、成交人投入到本项目的工人工资、保险费、工具等一切费用支出，由乙方负责，自负盈亏，与甲方无关。</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14、承包期间，成交人无故停止工作或随意终止合同，采购人有权按损失程度扣减承包款，同时扣减当年承包服务费的20%违约金，情节严重时，采购人有权单方面解除合同。</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15、由于成交人原因，导致双方签订的合同终止或被解除的，成交人因此而遭受的损失，将由成交人独立承担，采购人对此不负任何责任，也不作任何赔偿。</w:t>
      </w:r>
    </w:p>
    <w:p>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16、每次放药打药前必须通知采购人，并出示药物合格证明，由采购人检查药品数量、质量、人员设备后再去施放，同时必须全部放完不能偷工减料。</w:t>
      </w:r>
    </w:p>
    <w:p>
      <w:pPr>
        <w:pStyle w:val="27"/>
        <w:spacing w:after="0" w:line="360" w:lineRule="auto"/>
        <w:ind w:firstLine="0" w:firstLineChars="0"/>
        <w:rPr>
          <w:rFonts w:ascii="宋体" w:hAnsi="宋体" w:eastAsia="宋体" w:cs="宋体"/>
          <w:b/>
          <w:sz w:val="21"/>
          <w:szCs w:val="21"/>
        </w:rPr>
      </w:pPr>
    </w:p>
    <w:p>
      <w:pPr>
        <w:spacing w:after="0" w:line="360" w:lineRule="auto"/>
        <w:ind w:firstLine="422" w:firstLineChars="200"/>
        <w:rPr>
          <w:rFonts w:ascii="宋体" w:hAnsi="宋体" w:eastAsia="宋体" w:cs="Times New Roman"/>
          <w:b/>
          <w:bCs/>
          <w:sz w:val="21"/>
          <w:szCs w:val="21"/>
        </w:rPr>
      </w:pPr>
      <w:bookmarkStart w:id="10" w:name="_Toc31278"/>
      <w:bookmarkStart w:id="11" w:name="_Toc24679"/>
      <w:bookmarkStart w:id="12" w:name="_Toc13112"/>
      <w:bookmarkStart w:id="13" w:name="_Toc14462"/>
      <w:r>
        <w:rPr>
          <w:rFonts w:hint="eastAsia" w:ascii="宋体" w:hAnsi="宋体" w:eastAsia="宋体" w:cs="Times New Roman"/>
          <w:b/>
          <w:bCs/>
          <w:sz w:val="21"/>
          <w:szCs w:val="21"/>
        </w:rPr>
        <w:t>注：不满足磋商文件中 “★”条款的响应文件将作无效处理。</w:t>
      </w:r>
      <w:bookmarkEnd w:id="10"/>
      <w:bookmarkEnd w:id="11"/>
      <w:bookmarkEnd w:id="12"/>
      <w:bookmarkEnd w:id="13"/>
    </w:p>
    <w:p>
      <w:pPr>
        <w:pStyle w:val="4"/>
        <w:spacing w:before="0" w:after="0" w:line="240" w:lineRule="auto"/>
        <w:rPr>
          <w:sz w:val="24"/>
          <w:szCs w:val="24"/>
        </w:rPr>
      </w:pPr>
      <w:r>
        <w:rPr>
          <w:rFonts w:hint="eastAsia"/>
          <w:sz w:val="24"/>
          <w:szCs w:val="24"/>
        </w:rPr>
        <w:br w:type="page"/>
      </w:r>
      <w:bookmarkStart w:id="14" w:name="_Toc4653"/>
      <w:r>
        <w:rPr>
          <w:rFonts w:hint="eastAsia"/>
          <w:sz w:val="28"/>
          <w:szCs w:val="28"/>
        </w:rPr>
        <w:t>第四部分供应商须知</w:t>
      </w:r>
      <w:bookmarkEnd w:id="14"/>
    </w:p>
    <w:p>
      <w:pPr>
        <w:pStyle w:val="6"/>
        <w:numPr>
          <w:ilvl w:val="0"/>
          <w:numId w:val="1"/>
        </w:numPr>
        <w:spacing w:before="0" w:after="0" w:line="480" w:lineRule="auto"/>
        <w:jc w:val="center"/>
        <w:rPr>
          <w:rFonts w:ascii="宋体" w:hAnsi="宋体" w:eastAsia="宋体"/>
        </w:rPr>
      </w:pPr>
      <w:bookmarkStart w:id="15" w:name="_Toc29703"/>
      <w:r>
        <w:rPr>
          <w:rFonts w:hint="eastAsia" w:ascii="宋体" w:hAnsi="宋体" w:eastAsia="宋体"/>
        </w:rPr>
        <w:t>说明</w:t>
      </w:r>
      <w:bookmarkEnd w:id="15"/>
    </w:p>
    <w:p>
      <w:pPr>
        <w:pStyle w:val="7"/>
        <w:widowControl w:val="0"/>
        <w:overflowPunct w:val="0"/>
        <w:spacing w:before="0" w:after="0" w:line="400" w:lineRule="exact"/>
        <w:rPr>
          <w:rFonts w:ascii="宋体" w:hAnsi="宋体" w:eastAsia="宋体"/>
          <w:sz w:val="21"/>
          <w:szCs w:val="21"/>
        </w:rPr>
      </w:pPr>
      <w:bookmarkStart w:id="16" w:name="_Toc10658"/>
      <w:bookmarkStart w:id="17" w:name="_Toc8083"/>
      <w:r>
        <w:rPr>
          <w:rFonts w:hint="eastAsia" w:ascii="宋体" w:hAnsi="宋体" w:eastAsia="宋体"/>
          <w:sz w:val="21"/>
          <w:szCs w:val="21"/>
        </w:rPr>
        <w:t>1.适用范围</w:t>
      </w:r>
      <w:bookmarkEnd w:id="16"/>
      <w:bookmarkEnd w:id="17"/>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本磋商文件仅适用于本次采购邀请中所叙述的项目</w:t>
      </w:r>
    </w:p>
    <w:p>
      <w:pPr>
        <w:spacing w:after="0" w:line="400" w:lineRule="exact"/>
      </w:pPr>
    </w:p>
    <w:p>
      <w:pPr>
        <w:pStyle w:val="7"/>
        <w:widowControl w:val="0"/>
        <w:overflowPunct w:val="0"/>
        <w:spacing w:before="0" w:after="0" w:line="400" w:lineRule="exact"/>
        <w:rPr>
          <w:rFonts w:ascii="宋体" w:hAnsi="宋体" w:eastAsia="宋体"/>
          <w:sz w:val="21"/>
          <w:szCs w:val="21"/>
        </w:rPr>
      </w:pPr>
      <w:bookmarkStart w:id="18" w:name="_Toc25237"/>
      <w:bookmarkStart w:id="19" w:name="_Toc720"/>
      <w:r>
        <w:rPr>
          <w:rFonts w:hint="eastAsia" w:ascii="宋体" w:hAnsi="宋体" w:eastAsia="宋体"/>
          <w:sz w:val="21"/>
          <w:szCs w:val="21"/>
        </w:rPr>
        <w:t>2.</w:t>
      </w:r>
      <w:bookmarkStart w:id="20" w:name="_Toc1530"/>
      <w:bookmarkStart w:id="21" w:name="_Toc303084246"/>
      <w:bookmarkStart w:id="22" w:name="_Toc382049092"/>
      <w:bookmarkStart w:id="23" w:name="_Toc298847174"/>
      <w:r>
        <w:rPr>
          <w:rFonts w:hint="eastAsia" w:ascii="宋体" w:hAnsi="宋体" w:eastAsia="宋体"/>
          <w:sz w:val="21"/>
          <w:szCs w:val="21"/>
        </w:rPr>
        <w:t>定义</w:t>
      </w:r>
      <w:bookmarkEnd w:id="18"/>
      <w:bookmarkEnd w:id="19"/>
      <w:bookmarkEnd w:id="20"/>
      <w:bookmarkEnd w:id="21"/>
      <w:bookmarkEnd w:id="22"/>
      <w:bookmarkEnd w:id="23"/>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采购人：</w:t>
      </w:r>
      <w:r>
        <w:rPr>
          <w:rFonts w:ascii="宋体" w:hAnsi="宋体" w:eastAsia="宋体"/>
          <w:sz w:val="21"/>
          <w:szCs w:val="21"/>
        </w:rPr>
        <w:t>是指依法进行政府采购的国家机关、事业单位</w:t>
      </w:r>
      <w:r>
        <w:rPr>
          <w:rFonts w:hint="eastAsia" w:ascii="宋体" w:hAnsi="宋体" w:eastAsia="宋体"/>
          <w:sz w:val="21"/>
          <w:szCs w:val="21"/>
        </w:rPr>
        <w:t>等</w:t>
      </w:r>
      <w:r>
        <w:rPr>
          <w:rFonts w:ascii="宋体" w:hAnsi="宋体" w:eastAsia="宋体"/>
          <w:sz w:val="21"/>
          <w:szCs w:val="21"/>
        </w:rPr>
        <w:t>团体组织</w:t>
      </w:r>
      <w:r>
        <w:rPr>
          <w:rFonts w:hint="eastAsia" w:ascii="宋体" w:hAnsi="宋体" w:eastAsia="宋体"/>
          <w:sz w:val="21"/>
          <w:szCs w:val="21"/>
        </w:rPr>
        <w:t>。</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供应商：响应磋商并且符合磋商文件规定资格条件和参加竞争的法人、其他组织或者自然人。</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法人：法人是依法在国内进行注册并具有民事权利能力和民事行为能力，依法独立享有民事权利和承担民事义务的组织。</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成交供应商：指经磋商小组评审推荐、采购人确认的获得本项目成交资格的供应商。</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采购代理机构：三方诚信招标有限公司东莞分公司。</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磋商小组：磋商小组是依据《中华人民共和国政府采购法》及其实施条例、《政府采购货物和服务招标投标管理办法》等组建的专门负责本次磋商其评审工作的临时性机构。</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合同：指由本次磋商所产生的合同或合约文件。</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公章：</w:t>
      </w:r>
      <w:r>
        <w:rPr>
          <w:rFonts w:ascii="宋体" w:hAnsi="宋体" w:eastAsia="宋体"/>
          <w:sz w:val="21"/>
          <w:szCs w:val="21"/>
        </w:rPr>
        <w:t>公章是</w:t>
      </w:r>
      <w:r>
        <w:rPr>
          <w:rFonts w:ascii="宋体" w:hAnsi="宋体" w:eastAsia="宋体"/>
          <w:iCs/>
          <w:sz w:val="21"/>
          <w:szCs w:val="21"/>
        </w:rPr>
        <w:t>指</w:t>
      </w:r>
      <w:r>
        <w:rPr>
          <w:rFonts w:hint="eastAsia" w:ascii="宋体" w:hAnsi="宋体" w:eastAsia="宋体"/>
          <w:iCs/>
          <w:sz w:val="21"/>
          <w:szCs w:val="21"/>
        </w:rPr>
        <w:t>经过正规的法定程序并备案的法人公章与专用章。（供应商如在响应文件中使用“专用章”，应提供法定代表人签字或加盖公章说明该“专用章”与法人公章具备同等效力的证明文件，且响应当天应携带相关原件到现场，以供核查。因响应文件未提供相关手续复印件和无法核查专用章的真实性而导致的后果由供应商自行承担。</w:t>
      </w:r>
      <w:r>
        <w:rPr>
          <w:rFonts w:hint="eastAsia" w:ascii="宋体" w:hAnsi="宋体" w:eastAsia="宋体"/>
          <w:sz w:val="21"/>
          <w:szCs w:val="21"/>
        </w:rPr>
        <w:t>）</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时间</w:t>
      </w:r>
      <w:r>
        <w:rPr>
          <w:rFonts w:hint="eastAsia" w:ascii="宋体" w:hAnsi="宋体" w:eastAsia="宋体"/>
          <w:iCs/>
          <w:sz w:val="21"/>
          <w:szCs w:val="21"/>
        </w:rPr>
        <w:t>：本文件规定按日计算期间的，开始当天不计入，从次日开始计算。期限的最后一日是国家法定节假日的，顺延到节假日后的次日为期限的最后一日。</w:t>
      </w:r>
    </w:p>
    <w:p>
      <w:pPr>
        <w:spacing w:after="0" w:line="400" w:lineRule="exact"/>
      </w:pPr>
    </w:p>
    <w:p>
      <w:pPr>
        <w:pStyle w:val="7"/>
        <w:widowControl w:val="0"/>
        <w:overflowPunct w:val="0"/>
        <w:spacing w:before="0" w:after="0" w:line="400" w:lineRule="exact"/>
        <w:rPr>
          <w:rFonts w:ascii="宋体" w:hAnsi="宋体" w:eastAsia="宋体"/>
          <w:sz w:val="21"/>
          <w:szCs w:val="21"/>
        </w:rPr>
      </w:pPr>
      <w:bookmarkStart w:id="24" w:name="_Toc9030"/>
      <w:bookmarkStart w:id="25" w:name="_Toc24019"/>
      <w:r>
        <w:rPr>
          <w:rFonts w:hint="eastAsia" w:ascii="宋体" w:hAnsi="宋体" w:eastAsia="宋体"/>
          <w:sz w:val="21"/>
          <w:szCs w:val="21"/>
        </w:rPr>
        <w:t>3.货物和服务</w:t>
      </w:r>
      <w:bookmarkEnd w:id="24"/>
      <w:bookmarkEnd w:id="25"/>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iCs/>
          <w:sz w:val="21"/>
          <w:szCs w:val="21"/>
        </w:rPr>
      </w:pPr>
      <w:r>
        <w:rPr>
          <w:rFonts w:hint="eastAsia" w:ascii="宋体" w:hAnsi="宋体" w:eastAsia="宋体"/>
          <w:iCs/>
          <w:sz w:val="21"/>
          <w:szCs w:val="21"/>
        </w:rPr>
        <w:t>货物是指供应商制造或组织符合磋商文件要求的货物等。响应的货物必须是其合法生产、合法来源的符合国家有关标准要求的货物，并满足磋商文件规定的规格、参数、质量、价格、有效期、售后服务等要求。</w:t>
      </w:r>
    </w:p>
    <w:p>
      <w:pPr>
        <w:widowControl w:val="0"/>
        <w:numPr>
          <w:ilvl w:val="1"/>
          <w:numId w:val="2"/>
        </w:numPr>
        <w:adjustRightInd/>
        <w:snapToGrid/>
        <w:spacing w:after="0" w:line="400" w:lineRule="exact"/>
        <w:jc w:val="both"/>
        <w:rPr>
          <w:rFonts w:ascii="宋体" w:hAnsi="宋体" w:eastAsia="宋体"/>
          <w:iCs/>
          <w:sz w:val="21"/>
          <w:szCs w:val="21"/>
        </w:rPr>
      </w:pPr>
      <w:r>
        <w:rPr>
          <w:rFonts w:hint="eastAsia" w:ascii="宋体" w:hAnsi="宋体" w:eastAsia="宋体"/>
          <w:iCs/>
          <w:sz w:val="21"/>
          <w:szCs w:val="21"/>
        </w:rPr>
        <w:t>服务是指除货物和工程以外的其他政府采购对象，且满足实质性采购需求。</w:t>
      </w:r>
    </w:p>
    <w:p>
      <w:pPr>
        <w:widowControl w:val="0"/>
        <w:numPr>
          <w:ilvl w:val="1"/>
          <w:numId w:val="2"/>
        </w:numPr>
        <w:adjustRightInd/>
        <w:snapToGrid/>
        <w:spacing w:after="0" w:line="400" w:lineRule="exact"/>
        <w:jc w:val="both"/>
        <w:rPr>
          <w:rFonts w:ascii="宋体" w:hAnsi="宋体" w:eastAsia="宋体"/>
          <w:iCs/>
          <w:sz w:val="21"/>
          <w:szCs w:val="21"/>
        </w:rPr>
      </w:pPr>
      <w:r>
        <w:rPr>
          <w:rFonts w:hint="eastAsia" w:ascii="宋体" w:hAnsi="宋体" w:eastAsia="宋体"/>
          <w:iCs/>
          <w:sz w:val="21"/>
          <w:szCs w:val="21"/>
        </w:rPr>
        <w:t>政府采购应当采购本国产品，确需采购进口产品（是指通过中国海关报关验放进入中国境内且产自关境外的产品）的，</w:t>
      </w:r>
      <w:bookmarkStart w:id="26" w:name="_Toc211763038"/>
      <w:r>
        <w:rPr>
          <w:rFonts w:hint="eastAsia" w:ascii="宋体" w:hAnsi="宋体" w:eastAsia="宋体"/>
          <w:iCs/>
          <w:sz w:val="21"/>
          <w:szCs w:val="21"/>
        </w:rPr>
        <w:t>应当获得财政部门核准。依据《政府采购进口产品管理办法</w:t>
      </w:r>
      <w:bookmarkEnd w:id="26"/>
      <w:r>
        <w:rPr>
          <w:rFonts w:hint="eastAsia" w:ascii="宋体" w:hAnsi="宋体" w:eastAsia="宋体"/>
          <w:iCs/>
          <w:sz w:val="21"/>
          <w:szCs w:val="21"/>
        </w:rPr>
        <w:t>》优先采购向我国企业转让技术、与我国企业签订消化吸收再创新方案的供应商的进口产品。</w:t>
      </w:r>
    </w:p>
    <w:p>
      <w:pPr>
        <w:widowControl w:val="0"/>
        <w:numPr>
          <w:ilvl w:val="1"/>
          <w:numId w:val="2"/>
        </w:numPr>
        <w:adjustRightInd/>
        <w:snapToGrid/>
        <w:spacing w:after="0" w:line="400" w:lineRule="exact"/>
        <w:jc w:val="both"/>
        <w:rPr>
          <w:rFonts w:ascii="宋体" w:hAnsi="宋体" w:eastAsia="宋体"/>
          <w:iCs/>
          <w:sz w:val="21"/>
          <w:szCs w:val="21"/>
        </w:rPr>
      </w:pPr>
      <w:r>
        <w:rPr>
          <w:rFonts w:hint="eastAsia" w:ascii="宋体" w:hAnsi="宋体" w:eastAsia="宋体"/>
          <w:iCs/>
          <w:sz w:val="21"/>
          <w:szCs w:val="21"/>
        </w:rPr>
        <w:t>若所投产品属于政府强制采购节能产品的，则供应商必须提供该产品国家强制性节能产品进行响应，并提供有效的中国节能产品认证证书，否则视为无效响应。</w:t>
      </w:r>
    </w:p>
    <w:p>
      <w:pPr>
        <w:widowControl w:val="0"/>
        <w:numPr>
          <w:ilvl w:val="1"/>
          <w:numId w:val="2"/>
        </w:numPr>
        <w:adjustRightInd/>
        <w:snapToGrid/>
        <w:spacing w:after="0" w:line="400" w:lineRule="exact"/>
        <w:jc w:val="both"/>
        <w:rPr>
          <w:rFonts w:ascii="宋体" w:hAnsi="宋体" w:eastAsia="宋体"/>
          <w:iCs/>
          <w:sz w:val="21"/>
          <w:szCs w:val="21"/>
        </w:rPr>
      </w:pPr>
      <w:r>
        <w:rPr>
          <w:rFonts w:hint="eastAsia" w:ascii="宋体" w:hAnsi="宋体" w:eastAsia="宋体"/>
          <w:iCs/>
          <w:sz w:val="21"/>
          <w:szCs w:val="21"/>
        </w:rPr>
        <w:t>供应商提供的所有服务，其质量、技术等特征必须符合国家、行业现行法律、法规的相关标准和《中华人民共和国政府采购法》的有关规定及用户需求。</w:t>
      </w:r>
    </w:p>
    <w:p>
      <w:pPr>
        <w:widowControl w:val="0"/>
        <w:numPr>
          <w:ilvl w:val="1"/>
          <w:numId w:val="2"/>
        </w:numPr>
        <w:adjustRightInd/>
        <w:snapToGrid/>
        <w:spacing w:after="0" w:line="400" w:lineRule="exact"/>
        <w:jc w:val="both"/>
        <w:rPr>
          <w:rFonts w:ascii="宋体" w:hAnsi="宋体" w:eastAsia="宋体"/>
          <w:iCs/>
          <w:sz w:val="21"/>
          <w:szCs w:val="21"/>
        </w:rPr>
      </w:pPr>
      <w:r>
        <w:rPr>
          <w:rFonts w:hint="eastAsia" w:ascii="宋体" w:hAnsi="宋体" w:eastAsia="宋体"/>
          <w:iCs/>
          <w:sz w:val="21"/>
          <w:szCs w:val="21"/>
        </w:rPr>
        <w:t>采购人有权拒绝接受任何不合格的服务，由此产生的费用及相关后果均由成交单位自行承担；</w:t>
      </w:r>
    </w:p>
    <w:p>
      <w:pPr>
        <w:widowControl w:val="0"/>
        <w:numPr>
          <w:ilvl w:val="1"/>
          <w:numId w:val="2"/>
        </w:numPr>
        <w:adjustRightInd/>
        <w:snapToGrid/>
        <w:spacing w:after="0" w:line="400" w:lineRule="exact"/>
        <w:jc w:val="both"/>
        <w:rPr>
          <w:rFonts w:ascii="宋体" w:hAnsi="宋体" w:eastAsia="宋体"/>
          <w:iCs/>
          <w:sz w:val="21"/>
          <w:szCs w:val="21"/>
        </w:rPr>
      </w:pPr>
      <w:r>
        <w:rPr>
          <w:rFonts w:hint="eastAsia" w:ascii="宋体" w:hAnsi="宋体" w:eastAsia="宋体"/>
          <w:iCs/>
          <w:sz w:val="21"/>
          <w:szCs w:val="21"/>
        </w:rPr>
        <w:t>供应商应保证本项目的响应技术、服务或其任何一部分不会产生因第三方提出侵犯其专利权、商标权或其他知识产权而引起的法律和经济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pPr>
        <w:spacing w:after="0" w:line="400" w:lineRule="exact"/>
      </w:pPr>
    </w:p>
    <w:p>
      <w:pPr>
        <w:pStyle w:val="7"/>
        <w:widowControl w:val="0"/>
        <w:overflowPunct w:val="0"/>
        <w:spacing w:before="0" w:after="0" w:line="400" w:lineRule="exact"/>
        <w:rPr>
          <w:rFonts w:ascii="宋体" w:hAnsi="宋体" w:eastAsia="宋体"/>
          <w:sz w:val="21"/>
          <w:szCs w:val="21"/>
        </w:rPr>
      </w:pPr>
      <w:bookmarkStart w:id="27" w:name="_Toc8119"/>
      <w:bookmarkStart w:id="28" w:name="_Toc14543"/>
      <w:r>
        <w:rPr>
          <w:rFonts w:hint="eastAsia" w:ascii="宋体" w:hAnsi="宋体" w:eastAsia="宋体"/>
          <w:sz w:val="21"/>
          <w:szCs w:val="21"/>
        </w:rPr>
        <w:t>4.响应费用</w:t>
      </w:r>
      <w:bookmarkEnd w:id="27"/>
      <w:bookmarkEnd w:id="28"/>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供应商应承担所有与编写响应文件和参加磋商有关的自身的所有费用，不论磋商的结果如何，采购代理机构和采购人在任何情况下均无义务和责任承担这些费用。</w:t>
      </w:r>
    </w:p>
    <w:p>
      <w:pPr>
        <w:widowControl w:val="0"/>
        <w:adjustRightInd/>
        <w:snapToGrid/>
        <w:spacing w:after="0" w:line="400" w:lineRule="exact"/>
        <w:jc w:val="both"/>
        <w:rPr>
          <w:rFonts w:ascii="宋体" w:hAnsi="宋体" w:eastAsia="宋体"/>
          <w:sz w:val="21"/>
          <w:szCs w:val="21"/>
        </w:rPr>
      </w:pPr>
    </w:p>
    <w:p>
      <w:pPr>
        <w:pStyle w:val="7"/>
        <w:widowControl w:val="0"/>
        <w:overflowPunct w:val="0"/>
        <w:spacing w:before="0" w:after="0" w:line="400" w:lineRule="exact"/>
        <w:rPr>
          <w:rFonts w:ascii="宋体" w:hAnsi="宋体" w:eastAsia="宋体"/>
          <w:sz w:val="21"/>
          <w:szCs w:val="21"/>
        </w:rPr>
      </w:pPr>
      <w:bookmarkStart w:id="29" w:name="_Toc32220"/>
      <w:bookmarkStart w:id="30" w:name="_Toc25254"/>
      <w:r>
        <w:rPr>
          <w:rFonts w:hint="eastAsia" w:ascii="宋体" w:hAnsi="宋体" w:eastAsia="宋体"/>
          <w:sz w:val="21"/>
          <w:szCs w:val="21"/>
        </w:rPr>
        <w:t>5.知识产权</w:t>
      </w:r>
      <w:bookmarkEnd w:id="29"/>
      <w:bookmarkEnd w:id="30"/>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采购人享有本项目实施过程中产生的知识成果及知识产权。</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供应商如欲在项目实施过程中采用自有知识成果，需在响应文件中声明，并提供相关知识产权证明文件。使用该知识成果后，供应商需提供开发接口和开发手册等技术文档。</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采购货物为计算机办公设备时，供应商提供的产品必须是预装正版操作系统软件的计算机产品。</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供应商提供的服务、货物经认定存在侵权行为的，其响应无效，并上报相关监管部门。</w:t>
      </w:r>
    </w:p>
    <w:p>
      <w:pPr>
        <w:widowControl w:val="0"/>
        <w:adjustRightInd/>
        <w:snapToGrid/>
        <w:spacing w:after="0" w:line="400" w:lineRule="exact"/>
        <w:ind w:left="567"/>
        <w:jc w:val="both"/>
        <w:rPr>
          <w:rFonts w:ascii="宋体" w:hAnsi="宋体" w:eastAsia="宋体"/>
          <w:sz w:val="21"/>
          <w:szCs w:val="21"/>
        </w:rPr>
      </w:pPr>
    </w:p>
    <w:p>
      <w:pPr>
        <w:pStyle w:val="7"/>
        <w:widowControl w:val="0"/>
        <w:overflowPunct w:val="0"/>
        <w:spacing w:before="0" w:after="0" w:line="400" w:lineRule="exact"/>
        <w:rPr>
          <w:rFonts w:ascii="宋体" w:hAnsi="宋体" w:eastAsia="宋体"/>
          <w:sz w:val="21"/>
          <w:szCs w:val="21"/>
        </w:rPr>
      </w:pPr>
      <w:bookmarkStart w:id="31" w:name="_Toc31725"/>
      <w:bookmarkStart w:id="32" w:name="_Toc30779"/>
      <w:r>
        <w:rPr>
          <w:rFonts w:hint="eastAsia" w:ascii="宋体" w:hAnsi="宋体" w:eastAsia="宋体"/>
          <w:sz w:val="21"/>
          <w:szCs w:val="21"/>
        </w:rPr>
        <w:t>6.关于联合体</w:t>
      </w:r>
      <w:bookmarkEnd w:id="31"/>
      <w:bookmarkEnd w:id="32"/>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联合体必须满足以下条款。（除非磋商邀请函中另有规定不接受联合体）</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对接受联合体的项目：两个以上的自然人、法人或者其他组织可以组成一个联合体，以一个供应商的身份共同参加政府采购。</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以联合体形式参与项目的供应商在领购磋商文件时，应提供所有联合体组成成员的营业执照复印件，并加盖各联合体组成成员的公章。</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联合体各方均应当符合《政府采购法》第二十二条规定的条件。</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采购人根据采购项目的特殊要求规定供应商特定条件的，联合体各方中至少应当有一方符合采购人规定的特定条件。</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联合体各方之间应当签订协议书并</w:t>
      </w:r>
      <w:r>
        <w:rPr>
          <w:rFonts w:ascii="宋体" w:hAnsi="宋体" w:eastAsia="宋体"/>
          <w:sz w:val="21"/>
          <w:szCs w:val="21"/>
        </w:rPr>
        <w:t>在</w:t>
      </w:r>
      <w:r>
        <w:rPr>
          <w:rFonts w:hint="eastAsia" w:ascii="宋体" w:hAnsi="宋体" w:eastAsia="宋体"/>
          <w:sz w:val="21"/>
          <w:szCs w:val="21"/>
        </w:rPr>
        <w:t>响应文件</w:t>
      </w:r>
      <w:r>
        <w:rPr>
          <w:rFonts w:ascii="宋体" w:hAnsi="宋体" w:eastAsia="宋体"/>
          <w:sz w:val="21"/>
          <w:szCs w:val="21"/>
        </w:rPr>
        <w:t>内提交</w:t>
      </w:r>
      <w:r>
        <w:rPr>
          <w:rFonts w:hint="eastAsia" w:ascii="宋体" w:hAnsi="宋体" w:eastAsia="宋体"/>
          <w:sz w:val="21"/>
          <w:szCs w:val="21"/>
        </w:rPr>
        <w:t>，明确约定联合体各方承担的工作和相应的责任。联合体各方签订协议书后，不得再以自己名义单独在同一项目中响应，也不得组成新的联合体参加同一项目响应。</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供应商为联合体的，可以由联合体中的任意一方交纳保证金，其交纳的保证金对联合体各方均具有约束力。</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联合体中有同类资质的供应商按照联合体分工承担相同工作的，应当按照资质等级较低的供应商确定资质等级。</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以联合体形式参加政府采购活动，联合体各方均为中小企业的，联合体视同中小企业。其中，联合体各方均为小微企业的，联合体视同小微企业。双方均应提供《中小企业声明函》。</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除联合体协议书明确授权盖章单位外，联合体响应磋商时响应文件中所有要求盖章的地方均须加盖联合体所有组成成员的公章，否则该处盖章无效。</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联合体进行评分时，业绩、奖项等的认定和评分根据协议书约定的各方承担的工作和相应责任，确定一方打分，不累加打分；评审标准不明确或难以明确以哪一方计算评分情况时，则按主体方情况评分。</w:t>
      </w:r>
    </w:p>
    <w:p>
      <w:pPr>
        <w:widowControl w:val="0"/>
        <w:adjustRightInd/>
        <w:snapToGrid/>
        <w:spacing w:after="0" w:line="400" w:lineRule="exact"/>
        <w:ind w:left="567"/>
        <w:jc w:val="both"/>
        <w:rPr>
          <w:rFonts w:ascii="宋体" w:hAnsi="宋体" w:eastAsia="宋体"/>
          <w:sz w:val="21"/>
          <w:szCs w:val="21"/>
        </w:rPr>
      </w:pPr>
    </w:p>
    <w:p>
      <w:pPr>
        <w:pStyle w:val="7"/>
        <w:widowControl w:val="0"/>
        <w:overflowPunct w:val="0"/>
        <w:spacing w:before="0" w:after="0" w:line="400" w:lineRule="exact"/>
        <w:rPr>
          <w:rFonts w:ascii="宋体" w:hAnsi="宋体" w:eastAsia="宋体"/>
          <w:sz w:val="21"/>
          <w:szCs w:val="21"/>
        </w:rPr>
      </w:pPr>
      <w:bookmarkStart w:id="33" w:name="_Toc18142"/>
      <w:bookmarkStart w:id="34" w:name="_Toc27755"/>
      <w:r>
        <w:rPr>
          <w:rFonts w:hint="eastAsia" w:ascii="宋体" w:hAnsi="宋体" w:eastAsia="宋体"/>
          <w:sz w:val="21"/>
          <w:szCs w:val="21"/>
        </w:rPr>
        <w:t>7.关于分支机构响应</w:t>
      </w:r>
      <w:bookmarkEnd w:id="33"/>
      <w:bookmarkEnd w:id="34"/>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bookmarkStart w:id="35" w:name="EB389f116341dd4693875bc7987e7327f3"/>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分支机构响应</w:t>
      </w:r>
      <w:r>
        <w:rPr>
          <w:rFonts w:ascii="宋体" w:hAnsi="宋体" w:eastAsia="宋体"/>
          <w:sz w:val="21"/>
          <w:szCs w:val="21"/>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35"/>
    </w:p>
    <w:p>
      <w:pPr>
        <w:spacing w:line="400" w:lineRule="exact"/>
      </w:pPr>
    </w:p>
    <w:p>
      <w:pPr>
        <w:pStyle w:val="6"/>
        <w:numPr>
          <w:ilvl w:val="0"/>
          <w:numId w:val="1"/>
        </w:numPr>
        <w:spacing w:before="0" w:after="0" w:line="480" w:lineRule="auto"/>
        <w:jc w:val="center"/>
        <w:rPr>
          <w:rFonts w:ascii="宋体" w:hAnsi="宋体" w:eastAsia="宋体"/>
        </w:rPr>
      </w:pPr>
      <w:bookmarkStart w:id="36" w:name="_Toc32331"/>
      <w:r>
        <w:rPr>
          <w:rFonts w:hint="eastAsia" w:ascii="宋体" w:hAnsi="宋体" w:eastAsia="宋体"/>
        </w:rPr>
        <w:t>磋商文件</w:t>
      </w:r>
      <w:bookmarkEnd w:id="36"/>
    </w:p>
    <w:p>
      <w:pPr>
        <w:pStyle w:val="7"/>
        <w:widowControl w:val="0"/>
        <w:overflowPunct w:val="0"/>
        <w:spacing w:before="0" w:after="0" w:line="400" w:lineRule="exact"/>
        <w:rPr>
          <w:rFonts w:ascii="宋体" w:hAnsi="宋体" w:eastAsia="宋体"/>
          <w:sz w:val="21"/>
          <w:szCs w:val="21"/>
        </w:rPr>
      </w:pPr>
      <w:bookmarkStart w:id="37" w:name="_Toc29774"/>
      <w:bookmarkStart w:id="38" w:name="_Toc5596"/>
      <w:r>
        <w:rPr>
          <w:rFonts w:hint="eastAsia" w:ascii="宋体" w:hAnsi="宋体" w:eastAsia="宋体"/>
          <w:sz w:val="21"/>
          <w:szCs w:val="21"/>
        </w:rPr>
        <w:t>8.磋商文件的组成</w:t>
      </w:r>
      <w:bookmarkEnd w:id="37"/>
      <w:bookmarkEnd w:id="38"/>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adjustRightInd/>
        <w:snapToGrid/>
        <w:spacing w:after="0" w:line="400" w:lineRule="exact"/>
        <w:jc w:val="both"/>
        <w:rPr>
          <w:rFonts w:ascii="宋体" w:hAnsi="宋体" w:eastAsia="宋体"/>
          <w:sz w:val="21"/>
          <w:szCs w:val="21"/>
        </w:rPr>
      </w:pPr>
      <w:r>
        <w:rPr>
          <w:rFonts w:hint="eastAsia" w:ascii="宋体" w:hAnsi="宋体" w:eastAsia="宋体"/>
          <w:sz w:val="21"/>
          <w:szCs w:val="21"/>
        </w:rPr>
        <w:t>（1）磋商邀请函；</w:t>
      </w:r>
    </w:p>
    <w:p>
      <w:pPr>
        <w:widowControl w:val="0"/>
        <w:adjustRightInd/>
        <w:snapToGrid/>
        <w:spacing w:after="0" w:line="400" w:lineRule="exact"/>
        <w:jc w:val="both"/>
        <w:rPr>
          <w:rFonts w:ascii="宋体" w:hAnsi="宋体" w:eastAsia="宋体"/>
          <w:sz w:val="21"/>
          <w:szCs w:val="21"/>
        </w:rPr>
      </w:pPr>
      <w:r>
        <w:rPr>
          <w:rFonts w:hint="eastAsia" w:ascii="宋体" w:hAnsi="宋体" w:eastAsia="宋体"/>
          <w:sz w:val="21"/>
          <w:szCs w:val="21"/>
        </w:rPr>
        <w:t>（2）磋商资料表；</w:t>
      </w:r>
    </w:p>
    <w:p>
      <w:pPr>
        <w:widowControl w:val="0"/>
        <w:adjustRightInd/>
        <w:snapToGrid/>
        <w:spacing w:after="0" w:line="400" w:lineRule="exact"/>
        <w:jc w:val="both"/>
        <w:rPr>
          <w:rFonts w:ascii="宋体" w:hAnsi="宋体" w:eastAsia="宋体"/>
          <w:sz w:val="21"/>
          <w:szCs w:val="21"/>
        </w:rPr>
      </w:pPr>
      <w:r>
        <w:rPr>
          <w:rFonts w:hint="eastAsia" w:ascii="宋体" w:hAnsi="宋体" w:eastAsia="宋体"/>
          <w:sz w:val="21"/>
          <w:szCs w:val="21"/>
        </w:rPr>
        <w:t>（3）用户需求书；</w:t>
      </w:r>
    </w:p>
    <w:p>
      <w:pPr>
        <w:widowControl w:val="0"/>
        <w:adjustRightInd/>
        <w:snapToGrid/>
        <w:spacing w:after="0" w:line="400" w:lineRule="exact"/>
        <w:jc w:val="both"/>
        <w:rPr>
          <w:rFonts w:ascii="宋体" w:hAnsi="宋体" w:eastAsia="宋体"/>
          <w:sz w:val="21"/>
          <w:szCs w:val="21"/>
        </w:rPr>
      </w:pPr>
      <w:r>
        <w:rPr>
          <w:rFonts w:hint="eastAsia" w:ascii="宋体" w:hAnsi="宋体" w:eastAsia="宋体"/>
          <w:sz w:val="21"/>
          <w:szCs w:val="21"/>
        </w:rPr>
        <w:t>（4）供应商须知；</w:t>
      </w:r>
    </w:p>
    <w:p>
      <w:pPr>
        <w:widowControl w:val="0"/>
        <w:adjustRightInd/>
        <w:snapToGrid/>
        <w:spacing w:after="0" w:line="400" w:lineRule="exact"/>
        <w:jc w:val="both"/>
        <w:rPr>
          <w:rFonts w:ascii="宋体" w:hAnsi="宋体" w:eastAsia="宋体"/>
          <w:sz w:val="21"/>
          <w:szCs w:val="21"/>
        </w:rPr>
      </w:pPr>
      <w:r>
        <w:rPr>
          <w:rFonts w:hint="eastAsia" w:ascii="宋体" w:hAnsi="宋体" w:eastAsia="宋体"/>
          <w:sz w:val="21"/>
          <w:szCs w:val="21"/>
        </w:rPr>
        <w:t>（5）合同文本参考格式；</w:t>
      </w:r>
    </w:p>
    <w:p>
      <w:pPr>
        <w:widowControl w:val="0"/>
        <w:adjustRightInd/>
        <w:snapToGrid/>
        <w:spacing w:after="0" w:line="400" w:lineRule="exact"/>
        <w:jc w:val="both"/>
        <w:rPr>
          <w:rFonts w:ascii="宋体" w:hAnsi="宋体" w:eastAsia="宋体"/>
          <w:sz w:val="21"/>
          <w:szCs w:val="21"/>
        </w:rPr>
      </w:pPr>
      <w:r>
        <w:rPr>
          <w:rFonts w:hint="eastAsia" w:ascii="宋体" w:hAnsi="宋体" w:eastAsia="宋体"/>
          <w:sz w:val="21"/>
          <w:szCs w:val="21"/>
        </w:rPr>
        <w:t>（6）响应文件参考格式；</w:t>
      </w:r>
    </w:p>
    <w:p>
      <w:pPr>
        <w:widowControl w:val="0"/>
        <w:adjustRightInd/>
        <w:snapToGrid/>
        <w:spacing w:after="0" w:line="400" w:lineRule="exact"/>
        <w:jc w:val="both"/>
        <w:rPr>
          <w:rFonts w:ascii="宋体" w:hAnsi="宋体" w:eastAsia="宋体"/>
          <w:sz w:val="21"/>
          <w:szCs w:val="21"/>
        </w:rPr>
      </w:pPr>
      <w:r>
        <w:rPr>
          <w:rFonts w:hint="eastAsia" w:ascii="宋体" w:hAnsi="宋体" w:eastAsia="宋体"/>
          <w:sz w:val="21"/>
          <w:szCs w:val="21"/>
        </w:rPr>
        <w:t>（7）在采购过程中由采购代理机构发出的澄清更正文件等。</w:t>
      </w:r>
    </w:p>
    <w:p>
      <w:pPr>
        <w:spacing w:after="0" w:line="400" w:lineRule="exact"/>
      </w:pPr>
    </w:p>
    <w:p>
      <w:pPr>
        <w:pStyle w:val="7"/>
        <w:widowControl w:val="0"/>
        <w:overflowPunct w:val="0"/>
        <w:spacing w:before="0" w:after="0" w:line="400" w:lineRule="exact"/>
        <w:rPr>
          <w:rFonts w:ascii="宋体" w:hAnsi="宋体" w:eastAsia="宋体"/>
          <w:sz w:val="21"/>
          <w:szCs w:val="21"/>
        </w:rPr>
      </w:pPr>
      <w:bookmarkStart w:id="39" w:name="_Toc20046"/>
      <w:bookmarkStart w:id="40" w:name="_Toc28076"/>
      <w:r>
        <w:rPr>
          <w:rFonts w:hint="eastAsia" w:ascii="宋体" w:hAnsi="宋体" w:eastAsia="宋体"/>
          <w:sz w:val="21"/>
          <w:szCs w:val="21"/>
        </w:rPr>
        <w:t>9.磋商文件的澄清或修改</w:t>
      </w:r>
      <w:bookmarkEnd w:id="39"/>
      <w:bookmarkEnd w:id="40"/>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采购人或者采购代理机构可以对已发出的磋商文件、资格预审文件、磋商邀请函进行必要的澄清或者修改。澄清或者修改的内容为磋商文件、资格预审文件、磋商邀请函的组成部分，</w:t>
      </w:r>
      <w:r>
        <w:rPr>
          <w:rFonts w:ascii="宋体" w:hAnsi="宋体" w:eastAsia="宋体"/>
          <w:sz w:val="21"/>
          <w:szCs w:val="21"/>
        </w:rPr>
        <w:t>具有约束作用</w:t>
      </w:r>
      <w:r>
        <w:rPr>
          <w:rFonts w:hint="eastAsia" w:ascii="宋体" w:hAnsi="宋体" w:eastAsia="宋体"/>
          <w:sz w:val="21"/>
          <w:szCs w:val="21"/>
        </w:rPr>
        <w:t>。</w:t>
      </w:r>
      <w:r>
        <w:rPr>
          <w:rFonts w:ascii="宋体" w:hAnsi="宋体" w:eastAsia="宋体"/>
          <w:sz w:val="21"/>
          <w:szCs w:val="21"/>
        </w:rPr>
        <w:t>当</w:t>
      </w:r>
      <w:r>
        <w:rPr>
          <w:rFonts w:hint="eastAsia" w:ascii="宋体" w:hAnsi="宋体" w:eastAsia="宋体"/>
          <w:sz w:val="21"/>
          <w:szCs w:val="21"/>
        </w:rPr>
        <w:t>磋商文件</w:t>
      </w:r>
      <w:r>
        <w:rPr>
          <w:rFonts w:ascii="宋体" w:hAnsi="宋体" w:eastAsia="宋体"/>
          <w:sz w:val="21"/>
          <w:szCs w:val="21"/>
        </w:rPr>
        <w:t>的澄清</w:t>
      </w:r>
      <w:r>
        <w:rPr>
          <w:rFonts w:hint="eastAsia" w:ascii="宋体" w:hAnsi="宋体" w:eastAsia="宋体"/>
          <w:sz w:val="21"/>
          <w:szCs w:val="21"/>
        </w:rPr>
        <w:t>或</w:t>
      </w:r>
      <w:r>
        <w:rPr>
          <w:rFonts w:ascii="宋体" w:hAnsi="宋体" w:eastAsia="宋体"/>
          <w:sz w:val="21"/>
          <w:szCs w:val="21"/>
        </w:rPr>
        <w:t>修改等在同一内容的表述上不一致时，以最后发出的书面文件</w:t>
      </w:r>
      <w:r>
        <w:rPr>
          <w:rFonts w:hint="eastAsia" w:ascii="宋体" w:hAnsi="宋体" w:eastAsia="宋体"/>
          <w:sz w:val="21"/>
          <w:szCs w:val="21"/>
        </w:rPr>
        <w:t>及公告</w:t>
      </w:r>
      <w:r>
        <w:rPr>
          <w:rFonts w:ascii="宋体" w:hAnsi="宋体" w:eastAsia="宋体"/>
          <w:sz w:val="21"/>
          <w:szCs w:val="21"/>
        </w:rPr>
        <w:t>为准。</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采购人或者采购代理机构可以对已发出的磋商文件进行必要的澄清或者修改。澄清或者修改的内容可能影响响应文件编制的，采购人或者采购代理机构应当在响应截止时间至少5日或3个工作日前，以书面形式通知所有获取磋商文件的潜在供应商；不足5日或3个工作日的，采购人或者采购代理机构应当顺延提交响应文件的截止时间。</w:t>
      </w:r>
    </w:p>
    <w:p>
      <w:pPr>
        <w:widowControl w:val="0"/>
        <w:adjustRightInd/>
        <w:snapToGrid/>
        <w:spacing w:after="0" w:line="360" w:lineRule="exact"/>
        <w:ind w:left="567"/>
        <w:jc w:val="both"/>
        <w:rPr>
          <w:rFonts w:ascii="宋体" w:hAnsi="宋体" w:eastAsia="宋体"/>
          <w:sz w:val="21"/>
          <w:szCs w:val="21"/>
        </w:rPr>
      </w:pPr>
    </w:p>
    <w:p>
      <w:pPr>
        <w:pStyle w:val="6"/>
        <w:numPr>
          <w:ilvl w:val="0"/>
          <w:numId w:val="1"/>
        </w:numPr>
        <w:spacing w:before="0" w:after="0" w:line="480" w:lineRule="auto"/>
        <w:jc w:val="center"/>
        <w:rPr>
          <w:rFonts w:ascii="宋体" w:hAnsi="宋体" w:eastAsia="宋体"/>
        </w:rPr>
      </w:pPr>
      <w:bookmarkStart w:id="41" w:name="_Toc3945"/>
      <w:r>
        <w:rPr>
          <w:rFonts w:hint="eastAsia" w:ascii="宋体" w:hAnsi="宋体" w:eastAsia="宋体"/>
        </w:rPr>
        <w:t>响应文件的编制</w:t>
      </w:r>
      <w:bookmarkEnd w:id="41"/>
    </w:p>
    <w:p>
      <w:pPr>
        <w:pStyle w:val="7"/>
        <w:widowControl w:val="0"/>
        <w:overflowPunct w:val="0"/>
        <w:spacing w:before="0" w:after="0" w:line="400" w:lineRule="exact"/>
        <w:rPr>
          <w:rFonts w:ascii="宋体" w:hAnsi="宋体" w:eastAsia="宋体"/>
          <w:sz w:val="21"/>
          <w:szCs w:val="21"/>
        </w:rPr>
      </w:pPr>
      <w:bookmarkStart w:id="42" w:name="_Toc5431"/>
      <w:bookmarkStart w:id="43" w:name="_Toc28595"/>
      <w:r>
        <w:rPr>
          <w:rFonts w:hint="eastAsia" w:ascii="宋体" w:hAnsi="宋体" w:eastAsia="宋体"/>
          <w:sz w:val="21"/>
          <w:szCs w:val="21"/>
        </w:rPr>
        <w:t>10.响应文件的语言及度量衡单位</w:t>
      </w:r>
      <w:bookmarkEnd w:id="42"/>
      <w:bookmarkEnd w:id="43"/>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提交的响应文件以及供应商与采购代理机构就有关磋商的所有来往函件均应使用简体中文书写。供应商提交的支持资料和已印刷的文献可以用另一种语言，但相应内容应附有中文翻译本（中文译本应由翻译机构盖章或者翻译人员签名确认，否则按无效处理），在解释响应文件的修改内容时以中文翻译本为准。</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除非磋商文件在技术规格中另有规定，供应商在响应文件中及其与采购代理机构和采购人所有往来文件中的所有</w:t>
      </w:r>
      <w:r>
        <w:rPr>
          <w:rFonts w:ascii="宋体" w:hAnsi="宋体" w:eastAsia="宋体"/>
          <w:sz w:val="21"/>
          <w:szCs w:val="21"/>
        </w:rPr>
        <w:t>计量单位</w:t>
      </w:r>
      <w:r>
        <w:rPr>
          <w:rFonts w:hint="eastAsia" w:ascii="宋体" w:hAnsi="宋体" w:eastAsia="宋体"/>
          <w:sz w:val="21"/>
          <w:szCs w:val="21"/>
        </w:rPr>
        <w:t>均应采用中华人民共和国法定计量单位</w:t>
      </w:r>
      <w:r>
        <w:rPr>
          <w:rFonts w:ascii="宋体" w:hAnsi="宋体" w:eastAsia="宋体"/>
          <w:sz w:val="21"/>
          <w:szCs w:val="21"/>
        </w:rPr>
        <w:t>。</w:t>
      </w:r>
    </w:p>
    <w:p>
      <w:pPr>
        <w:widowControl w:val="0"/>
        <w:adjustRightInd/>
        <w:snapToGrid/>
        <w:spacing w:after="0" w:line="400" w:lineRule="exact"/>
        <w:ind w:left="567"/>
        <w:jc w:val="both"/>
        <w:rPr>
          <w:rFonts w:ascii="宋体" w:hAnsi="宋体" w:eastAsia="宋体"/>
          <w:sz w:val="21"/>
          <w:szCs w:val="21"/>
        </w:rPr>
      </w:pPr>
    </w:p>
    <w:p>
      <w:pPr>
        <w:pStyle w:val="7"/>
        <w:widowControl w:val="0"/>
        <w:overflowPunct w:val="0"/>
        <w:spacing w:before="0" w:after="0" w:line="400" w:lineRule="exact"/>
        <w:rPr>
          <w:rFonts w:ascii="宋体" w:hAnsi="宋体" w:eastAsia="宋体"/>
          <w:sz w:val="21"/>
          <w:szCs w:val="21"/>
        </w:rPr>
      </w:pPr>
      <w:bookmarkStart w:id="44" w:name="_Toc303084256"/>
      <w:bookmarkStart w:id="45" w:name="_Toc17694"/>
      <w:bookmarkStart w:id="46" w:name="_Toc307934854"/>
      <w:bookmarkStart w:id="47" w:name="_Toc25080"/>
      <w:bookmarkStart w:id="48" w:name="_Toc28866"/>
      <w:bookmarkStart w:id="49" w:name="_Toc382049103"/>
      <w:r>
        <w:rPr>
          <w:rFonts w:hint="eastAsia" w:ascii="宋体" w:hAnsi="宋体" w:eastAsia="宋体"/>
          <w:sz w:val="21"/>
          <w:szCs w:val="21"/>
        </w:rPr>
        <w:t>11.响应文件</w:t>
      </w:r>
      <w:r>
        <w:rPr>
          <w:rFonts w:ascii="宋体" w:hAnsi="宋体" w:eastAsia="宋体"/>
          <w:sz w:val="21"/>
          <w:szCs w:val="21"/>
        </w:rPr>
        <w:t>的组成</w:t>
      </w:r>
      <w:bookmarkEnd w:id="44"/>
      <w:bookmarkEnd w:id="45"/>
      <w:bookmarkEnd w:id="46"/>
      <w:bookmarkEnd w:id="47"/>
      <w:bookmarkEnd w:id="48"/>
      <w:bookmarkEnd w:id="49"/>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包括但不限于磋商文件附件格式中要求提供的表格。</w:t>
      </w:r>
    </w:p>
    <w:p>
      <w:pPr>
        <w:widowControl w:val="0"/>
        <w:numPr>
          <w:ilvl w:val="1"/>
          <w:numId w:val="2"/>
        </w:numPr>
        <w:adjustRightInd/>
        <w:snapToGrid/>
        <w:spacing w:after="0" w:line="400" w:lineRule="exact"/>
        <w:jc w:val="both"/>
      </w:pPr>
      <w:r>
        <w:rPr>
          <w:rFonts w:hint="eastAsia" w:ascii="宋体" w:hAnsi="宋体" w:eastAsia="宋体"/>
          <w:sz w:val="21"/>
          <w:szCs w:val="21"/>
        </w:rPr>
        <w:t>上述文件须按顺序装订成册，并编制响应文件目录。除上述文件资料外供应商还须按供应商须知的要求制作“报价文件”。“报价文件”作为响应文件的一部分，但须单独密封。</w:t>
      </w:r>
    </w:p>
    <w:p>
      <w:pPr>
        <w:spacing w:line="400" w:lineRule="exact"/>
      </w:pPr>
    </w:p>
    <w:p>
      <w:pPr>
        <w:pStyle w:val="7"/>
        <w:widowControl w:val="0"/>
        <w:overflowPunct w:val="0"/>
        <w:spacing w:before="0" w:after="0" w:line="400" w:lineRule="exact"/>
        <w:rPr>
          <w:rFonts w:ascii="宋体" w:hAnsi="宋体" w:eastAsia="宋体"/>
          <w:sz w:val="21"/>
          <w:szCs w:val="21"/>
        </w:rPr>
      </w:pPr>
      <w:bookmarkStart w:id="50" w:name="_Toc26322"/>
      <w:bookmarkStart w:id="51" w:name="_Toc23396"/>
      <w:r>
        <w:rPr>
          <w:rFonts w:hint="eastAsia" w:ascii="宋体" w:hAnsi="宋体" w:eastAsia="宋体"/>
          <w:sz w:val="21"/>
          <w:szCs w:val="21"/>
        </w:rPr>
        <w:t>12.响应文件编制</w:t>
      </w:r>
      <w:bookmarkEnd w:id="50"/>
      <w:bookmarkEnd w:id="51"/>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bookmarkStart w:id="52" w:name="_Toc303084258"/>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供应商应按磋商文件的规定以及附件要求的内容和格式完整地填写</w:t>
      </w:r>
      <w:r>
        <w:rPr>
          <w:rFonts w:ascii="宋体" w:hAnsi="宋体" w:eastAsia="宋体"/>
          <w:sz w:val="21"/>
          <w:szCs w:val="21"/>
        </w:rPr>
        <w:t>（表格可以按同样格式扩展）</w:t>
      </w:r>
      <w:r>
        <w:rPr>
          <w:rFonts w:hint="eastAsia" w:ascii="宋体" w:hAnsi="宋体" w:eastAsia="宋体"/>
          <w:sz w:val="21"/>
          <w:szCs w:val="21"/>
        </w:rPr>
        <w:t>和提供资料，供应商必须对响应文件所提供的全部材料的真实性承担法律责任，并无条件接受采购人或采购代理机构及政府采购监督管理部门等对其中任何资料进行核实的要求。</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因响应文件编制存在歧义对供应商产生负面影响的，供应商自行承担后果。</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响应单位名称与供应商公章不一致，若响应单位名称已进行变更，应在响应文件中提供相应的证明材料并加盖公章，否则响应文件无效。</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响应文件若出现以下内容，经磋商小组认定有可能间接影响评审秩序，其响应无效：</w:t>
      </w:r>
    </w:p>
    <w:p>
      <w:pPr>
        <w:pStyle w:val="27"/>
        <w:widowControl w:val="0"/>
        <w:adjustRightInd/>
        <w:snapToGrid/>
        <w:spacing w:after="0" w:line="400" w:lineRule="exact"/>
        <w:ind w:left="418" w:leftChars="190" w:firstLine="0" w:firstLineChars="0"/>
        <w:jc w:val="both"/>
        <w:rPr>
          <w:rFonts w:ascii="宋体" w:hAnsi="宋体" w:eastAsia="宋体"/>
          <w:sz w:val="21"/>
          <w:szCs w:val="21"/>
        </w:rPr>
      </w:pPr>
      <w:r>
        <w:rPr>
          <w:rFonts w:hint="eastAsia" w:ascii="宋体" w:hAnsi="宋体" w:eastAsia="宋体"/>
          <w:sz w:val="21"/>
          <w:szCs w:val="21"/>
        </w:rPr>
        <w:t>（1）响应文件内出现无官方证明文件的行业地域排名或</w:t>
      </w:r>
      <w:r>
        <w:rPr>
          <w:rFonts w:ascii="宋体" w:hAnsi="宋体" w:eastAsia="宋体"/>
          <w:sz w:val="21"/>
          <w:szCs w:val="21"/>
        </w:rPr>
        <w:t>使用“国家级”、“最高级”、“最佳”等用语</w:t>
      </w:r>
      <w:r>
        <w:rPr>
          <w:rFonts w:hint="eastAsia" w:ascii="宋体" w:hAnsi="宋体" w:eastAsia="宋体"/>
          <w:sz w:val="21"/>
          <w:szCs w:val="21"/>
        </w:rPr>
        <w:t>字眼的。</w:t>
      </w:r>
    </w:p>
    <w:p>
      <w:pPr>
        <w:pStyle w:val="27"/>
        <w:widowControl w:val="0"/>
        <w:adjustRightInd/>
        <w:snapToGrid/>
        <w:spacing w:after="0" w:line="400" w:lineRule="exact"/>
        <w:jc w:val="both"/>
        <w:rPr>
          <w:rFonts w:ascii="宋体" w:hAnsi="宋体" w:eastAsia="宋体"/>
          <w:sz w:val="21"/>
          <w:szCs w:val="21"/>
        </w:rPr>
      </w:pPr>
      <w:r>
        <w:rPr>
          <w:rFonts w:hint="eastAsia" w:ascii="宋体" w:hAnsi="宋体" w:eastAsia="宋体"/>
          <w:sz w:val="21"/>
          <w:szCs w:val="21"/>
        </w:rPr>
        <w:t>（2）响应文件内出现恶意诋毁、</w:t>
      </w:r>
      <w:r>
        <w:rPr>
          <w:rFonts w:ascii="宋体" w:hAnsi="宋体" w:eastAsia="宋体"/>
          <w:sz w:val="21"/>
          <w:szCs w:val="21"/>
        </w:rPr>
        <w:t>贬低其他生产经营者的商品或者服务</w:t>
      </w:r>
      <w:r>
        <w:rPr>
          <w:rFonts w:hint="eastAsia" w:ascii="宋体" w:hAnsi="宋体" w:eastAsia="宋体"/>
          <w:sz w:val="21"/>
          <w:szCs w:val="21"/>
        </w:rPr>
        <w:t>的内容。</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有下列情形之一的，视为供应商串通磋商，其响应无效：</w:t>
      </w:r>
    </w:p>
    <w:bookmarkEnd w:id="52"/>
    <w:p>
      <w:pPr>
        <w:widowControl w:val="0"/>
        <w:adjustRightInd/>
        <w:snapToGrid/>
        <w:spacing w:after="0" w:line="400" w:lineRule="exact"/>
        <w:ind w:left="440" w:leftChars="200"/>
        <w:jc w:val="both"/>
        <w:rPr>
          <w:rFonts w:ascii="宋体" w:hAnsi="宋体" w:eastAsia="宋体"/>
          <w:sz w:val="21"/>
          <w:szCs w:val="21"/>
        </w:rPr>
      </w:pPr>
      <w:r>
        <w:rPr>
          <w:rFonts w:hint="eastAsia" w:ascii="宋体" w:hAnsi="宋体" w:eastAsia="宋体"/>
          <w:sz w:val="21"/>
          <w:szCs w:val="21"/>
        </w:rPr>
        <w:t>（一）不同供应商的响应文件由同一单位或者个人编制；</w:t>
      </w:r>
    </w:p>
    <w:p>
      <w:pPr>
        <w:widowControl w:val="0"/>
        <w:adjustRightInd/>
        <w:snapToGrid/>
        <w:spacing w:after="0" w:line="400" w:lineRule="exact"/>
        <w:ind w:left="440" w:leftChars="200"/>
        <w:jc w:val="both"/>
        <w:rPr>
          <w:rFonts w:ascii="宋体" w:hAnsi="宋体" w:eastAsia="宋体"/>
          <w:sz w:val="21"/>
          <w:szCs w:val="21"/>
        </w:rPr>
      </w:pPr>
      <w:r>
        <w:rPr>
          <w:rFonts w:hint="eastAsia" w:ascii="宋体" w:hAnsi="宋体" w:eastAsia="宋体"/>
          <w:sz w:val="21"/>
          <w:szCs w:val="21"/>
        </w:rPr>
        <w:t>（二）不同供应商委托同一单位或者个人办理磋商事宜；</w:t>
      </w:r>
    </w:p>
    <w:p>
      <w:pPr>
        <w:widowControl w:val="0"/>
        <w:adjustRightInd/>
        <w:snapToGrid/>
        <w:spacing w:after="0" w:line="400" w:lineRule="exact"/>
        <w:ind w:left="440" w:leftChars="200"/>
        <w:jc w:val="both"/>
        <w:rPr>
          <w:rFonts w:ascii="宋体" w:hAnsi="宋体" w:eastAsia="宋体"/>
          <w:sz w:val="21"/>
          <w:szCs w:val="21"/>
        </w:rPr>
      </w:pPr>
      <w:r>
        <w:rPr>
          <w:rFonts w:hint="eastAsia" w:ascii="宋体" w:hAnsi="宋体" w:eastAsia="宋体"/>
          <w:sz w:val="21"/>
          <w:szCs w:val="21"/>
        </w:rPr>
        <w:t>（三）不同供应商的响应文件载明的项目管理成员或者联系人员为同一人；</w:t>
      </w:r>
    </w:p>
    <w:p>
      <w:pPr>
        <w:widowControl w:val="0"/>
        <w:adjustRightInd/>
        <w:snapToGrid/>
        <w:spacing w:after="0" w:line="400" w:lineRule="exact"/>
        <w:ind w:left="440" w:leftChars="200"/>
        <w:jc w:val="both"/>
        <w:rPr>
          <w:rFonts w:ascii="宋体" w:hAnsi="宋体" w:eastAsia="宋体"/>
          <w:sz w:val="21"/>
          <w:szCs w:val="21"/>
        </w:rPr>
      </w:pPr>
      <w:r>
        <w:rPr>
          <w:rFonts w:hint="eastAsia" w:ascii="宋体" w:hAnsi="宋体" w:eastAsia="宋体"/>
          <w:sz w:val="21"/>
          <w:szCs w:val="21"/>
        </w:rPr>
        <w:t>（四）不同供应商的响应文件异常一致或者响应报价呈规律性差异；</w:t>
      </w:r>
    </w:p>
    <w:p>
      <w:pPr>
        <w:widowControl w:val="0"/>
        <w:adjustRightInd/>
        <w:snapToGrid/>
        <w:spacing w:after="0" w:line="400" w:lineRule="exact"/>
        <w:ind w:left="440" w:leftChars="200"/>
        <w:jc w:val="both"/>
        <w:rPr>
          <w:rFonts w:ascii="宋体" w:hAnsi="宋体" w:eastAsia="宋体"/>
          <w:sz w:val="21"/>
          <w:szCs w:val="21"/>
        </w:rPr>
      </w:pPr>
      <w:r>
        <w:rPr>
          <w:rFonts w:hint="eastAsia" w:ascii="宋体" w:hAnsi="宋体" w:eastAsia="宋体"/>
          <w:sz w:val="21"/>
          <w:szCs w:val="21"/>
        </w:rPr>
        <w:t>（五）不同供应商的响应文件相互混装；</w:t>
      </w:r>
    </w:p>
    <w:p>
      <w:pPr>
        <w:widowControl w:val="0"/>
        <w:adjustRightInd/>
        <w:snapToGrid/>
        <w:spacing w:after="0" w:line="400" w:lineRule="exact"/>
        <w:ind w:left="440" w:leftChars="200"/>
        <w:jc w:val="both"/>
        <w:rPr>
          <w:rFonts w:ascii="宋体" w:hAnsi="宋体" w:eastAsia="宋体"/>
          <w:sz w:val="21"/>
          <w:szCs w:val="21"/>
        </w:rPr>
      </w:pPr>
      <w:r>
        <w:rPr>
          <w:rFonts w:hint="eastAsia" w:ascii="宋体" w:hAnsi="宋体" w:eastAsia="宋体"/>
          <w:sz w:val="21"/>
          <w:szCs w:val="21"/>
        </w:rPr>
        <w:t>（六）不同供应商的磋商保证金从同一单位或者个人的账户转出。</w:t>
      </w:r>
    </w:p>
    <w:p>
      <w:pPr>
        <w:widowControl w:val="0"/>
        <w:adjustRightInd/>
        <w:snapToGrid/>
        <w:spacing w:after="0" w:line="400" w:lineRule="exact"/>
        <w:jc w:val="both"/>
      </w:pPr>
    </w:p>
    <w:p>
      <w:pPr>
        <w:pStyle w:val="7"/>
        <w:widowControl w:val="0"/>
        <w:overflowPunct w:val="0"/>
        <w:spacing w:before="0" w:after="0" w:line="400" w:lineRule="exact"/>
        <w:rPr>
          <w:rFonts w:ascii="宋体" w:hAnsi="宋体" w:eastAsia="宋体"/>
          <w:sz w:val="21"/>
          <w:szCs w:val="21"/>
        </w:rPr>
      </w:pPr>
      <w:bookmarkStart w:id="53" w:name="_Toc11253"/>
      <w:bookmarkStart w:id="54" w:name="_Toc10449"/>
      <w:r>
        <w:rPr>
          <w:rFonts w:hint="eastAsia" w:ascii="宋体" w:hAnsi="宋体" w:eastAsia="宋体"/>
          <w:sz w:val="21"/>
          <w:szCs w:val="21"/>
        </w:rPr>
        <w:t>13.响应报价说明</w:t>
      </w:r>
      <w:bookmarkEnd w:id="53"/>
      <w:bookmarkEnd w:id="54"/>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本次磋商，供应商应按用户需求中的要求进行响应报价，少报无效。</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供应商所提供的货物或服务均以人民币（或相关费率）报价。</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响应报价应包含完成本次磋商所有服务内容的费用，包含各种税务费及合同实施过程中的全部费用和售后服务费等。</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成交后开出的所有发票必须与成交供应商的名称一致。</w:t>
      </w:r>
    </w:p>
    <w:p>
      <w:pPr>
        <w:spacing w:line="400" w:lineRule="exact"/>
      </w:pPr>
    </w:p>
    <w:p>
      <w:pPr>
        <w:pStyle w:val="7"/>
        <w:widowControl w:val="0"/>
        <w:overflowPunct w:val="0"/>
        <w:spacing w:before="0" w:after="0" w:line="400" w:lineRule="exact"/>
        <w:rPr>
          <w:rFonts w:ascii="宋体" w:hAnsi="宋体" w:eastAsia="宋体"/>
          <w:sz w:val="21"/>
          <w:szCs w:val="21"/>
        </w:rPr>
      </w:pPr>
      <w:bookmarkStart w:id="55" w:name="_Toc28006"/>
      <w:bookmarkStart w:id="56" w:name="_Toc18749"/>
      <w:r>
        <w:rPr>
          <w:rFonts w:hint="eastAsia" w:ascii="宋体" w:hAnsi="宋体" w:eastAsia="宋体"/>
          <w:sz w:val="21"/>
          <w:szCs w:val="21"/>
        </w:rPr>
        <w:t>14.供应商所提供的服务或货物的证明文件</w:t>
      </w:r>
      <w:bookmarkEnd w:id="55"/>
      <w:bookmarkEnd w:id="56"/>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bookmarkStart w:id="57" w:name="_Hlt107925638"/>
      <w:bookmarkEnd w:id="57"/>
      <w:bookmarkStart w:id="58" w:name="_Hlt107925668"/>
      <w:bookmarkEnd w:id="58"/>
      <w:r>
        <w:rPr>
          <w:rFonts w:hint="eastAsia" w:ascii="宋体" w:hAnsi="宋体" w:eastAsia="宋体"/>
          <w:sz w:val="21"/>
          <w:szCs w:val="21"/>
        </w:rPr>
        <w:t>证明服务或货物的文件，它可以是文字资料、图纸和数据包括但不限于：服务主要内容、标准、质量、人员资质、计划安排、报告审核等的详细说明；对磋商文件第三部分《用户需求书》中规定的要求进行详细应答和说明。</w:t>
      </w:r>
    </w:p>
    <w:p>
      <w:pPr>
        <w:pStyle w:val="27"/>
        <w:widowControl w:val="0"/>
        <w:adjustRightInd/>
        <w:snapToGrid/>
        <w:spacing w:after="0" w:line="400" w:lineRule="exact"/>
        <w:ind w:left="425" w:firstLine="0" w:firstLineChars="0"/>
        <w:jc w:val="both"/>
      </w:pPr>
    </w:p>
    <w:p>
      <w:pPr>
        <w:pStyle w:val="7"/>
        <w:widowControl w:val="0"/>
        <w:overflowPunct w:val="0"/>
        <w:spacing w:before="0" w:after="0" w:line="400" w:lineRule="exact"/>
        <w:rPr>
          <w:rFonts w:ascii="宋体" w:hAnsi="宋体" w:eastAsia="宋体"/>
          <w:sz w:val="21"/>
          <w:szCs w:val="21"/>
        </w:rPr>
      </w:pPr>
      <w:bookmarkStart w:id="59" w:name="_Toc4792"/>
      <w:bookmarkStart w:id="60" w:name="_Toc12457"/>
      <w:r>
        <w:rPr>
          <w:rFonts w:hint="eastAsia" w:ascii="宋体" w:hAnsi="宋体" w:eastAsia="宋体"/>
          <w:sz w:val="21"/>
          <w:szCs w:val="21"/>
        </w:rPr>
        <w:t>15.★响应有效期</w:t>
      </w:r>
      <w:bookmarkEnd w:id="59"/>
      <w:bookmarkEnd w:id="60"/>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响应文件应根据供应商须知的规定在响应截止日后的90天内保持有效。</w:t>
      </w:r>
    </w:p>
    <w:p>
      <w:pPr>
        <w:widowControl w:val="0"/>
        <w:adjustRightInd/>
        <w:snapToGrid/>
        <w:spacing w:after="0" w:line="400" w:lineRule="exact"/>
        <w:ind w:left="567"/>
        <w:jc w:val="both"/>
      </w:pPr>
    </w:p>
    <w:p>
      <w:pPr>
        <w:pStyle w:val="7"/>
        <w:widowControl w:val="0"/>
        <w:overflowPunct w:val="0"/>
        <w:spacing w:before="0" w:after="0" w:line="400" w:lineRule="exact"/>
        <w:rPr>
          <w:rFonts w:ascii="宋体" w:hAnsi="宋体" w:eastAsia="宋体"/>
          <w:sz w:val="21"/>
          <w:szCs w:val="21"/>
        </w:rPr>
      </w:pPr>
      <w:bookmarkStart w:id="61" w:name="_Toc20804"/>
      <w:bookmarkStart w:id="62" w:name="_Toc11339"/>
      <w:r>
        <w:rPr>
          <w:rFonts w:hint="eastAsia" w:ascii="宋体" w:hAnsi="宋体" w:eastAsia="宋体"/>
          <w:sz w:val="21"/>
          <w:szCs w:val="21"/>
        </w:rPr>
        <w:t>16.★磋商保证金</w:t>
      </w:r>
      <w:bookmarkEnd w:id="61"/>
      <w:bookmarkEnd w:id="62"/>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bookmarkStart w:id="63" w:name="_Ref179619405"/>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供应商应按磋商资料表中规定数额及法律规定的时间按相应包号保证金金额要求一次性提交磋商保证金，以多次汇入达到磋商文件要求金额的磋商保证金无效。</w:t>
      </w:r>
      <w:bookmarkEnd w:id="63"/>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磋商保证金金额与磋商文件要求金额保持一致（详见磋商资料表）。</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磋商保证金有效期与响应有效期保持一致。</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供应商应一次性缴交磋商文件规定数额的磋商保证金，供应商与交款人名称必须一致（分公司响应的，其保证金可由上级公司缴纳并提供加盖公章的相关证明），非供应商缴纳的磋商保证金无效。</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采用银行转账、电汇方式提交的,付至采购代理机构指定账户上。 (详见供应商资料表)</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响应担保。是指由担保机构为供应商交纳磋商保证金向采购人或者采购代理机构提供的保证担保。供应商在响应有效期内撤回响应文件或成交后不签订政府采购合同的，由担保机构按照担保函的约定履行支付磋商保证金的责任。（担保格式详见附件《政府采购担保函》）</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采用《政府采购担保函》提交的，应符合下列规定：</w:t>
      </w:r>
    </w:p>
    <w:p>
      <w:pPr>
        <w:spacing w:after="0" w:line="400" w:lineRule="exact"/>
        <w:ind w:firstLine="422" w:firstLineChars="200"/>
        <w:rPr>
          <w:rFonts w:ascii="宋体" w:hAnsi="宋体" w:eastAsia="宋体"/>
          <w:b/>
          <w:sz w:val="21"/>
          <w:szCs w:val="21"/>
        </w:rPr>
      </w:pPr>
      <w:r>
        <w:rPr>
          <w:rFonts w:hint="eastAsia" w:ascii="宋体" w:hAnsi="宋体" w:eastAsia="宋体"/>
          <w:b/>
          <w:sz w:val="21"/>
          <w:szCs w:val="21"/>
        </w:rPr>
        <w:t>①担保函有效期应与响应有效期一致；</w:t>
      </w:r>
    </w:p>
    <w:p>
      <w:pPr>
        <w:spacing w:after="0" w:line="400" w:lineRule="exact"/>
        <w:ind w:firstLine="422" w:firstLineChars="200"/>
        <w:rPr>
          <w:rFonts w:ascii="宋体" w:hAnsi="宋体" w:eastAsia="宋体"/>
          <w:b/>
          <w:sz w:val="21"/>
          <w:szCs w:val="21"/>
        </w:rPr>
      </w:pPr>
      <w:r>
        <w:rPr>
          <w:rFonts w:hint="eastAsia" w:ascii="宋体" w:hAnsi="宋体" w:eastAsia="宋体"/>
          <w:b/>
          <w:sz w:val="21"/>
          <w:szCs w:val="21"/>
        </w:rPr>
        <w:t>②担保金额应与本项目的磋商保证金一致；</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保证金不接受现金方式（包括以存现方式）提交，未按要求提交磋商保证金的将导致废标。</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未成交的供应商的保证金在采购结果公示发出后5个工作日内退还，成交供应商的保证金在采购合同签订后5个工作日内退还。</w:t>
      </w:r>
    </w:p>
    <w:p>
      <w:pPr>
        <w:widowControl w:val="0"/>
        <w:numPr>
          <w:ilvl w:val="1"/>
          <w:numId w:val="2"/>
        </w:numPr>
        <w:tabs>
          <w:tab w:val="left" w:pos="440"/>
          <w:tab w:val="left" w:pos="660"/>
          <w:tab w:val="clear" w:pos="56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为方便退还未成交的投保人的保证金，供应商应制作《磋商保证金汇入情况说明》随报价文件一并递交。</w:t>
      </w:r>
    </w:p>
    <w:p>
      <w:pPr>
        <w:widowControl w:val="0"/>
        <w:numPr>
          <w:ilvl w:val="1"/>
          <w:numId w:val="2"/>
        </w:numPr>
        <w:adjustRightInd/>
        <w:snapToGrid/>
        <w:spacing w:after="0" w:line="400" w:lineRule="exact"/>
        <w:jc w:val="both"/>
        <w:rPr>
          <w:rFonts w:ascii="宋体" w:hAnsi="宋体" w:eastAsia="宋体"/>
          <w:b/>
          <w:bCs/>
          <w:sz w:val="21"/>
          <w:szCs w:val="21"/>
        </w:rPr>
      </w:pPr>
      <w:r>
        <w:rPr>
          <w:rFonts w:hint="eastAsia" w:ascii="宋体" w:hAnsi="宋体" w:eastAsia="宋体"/>
          <w:b/>
          <w:bCs/>
          <w:sz w:val="21"/>
          <w:szCs w:val="21"/>
        </w:rPr>
        <w:t>有下列情形之一的，响应保证金将不予退还：</w:t>
      </w:r>
    </w:p>
    <w:p>
      <w:pPr>
        <w:spacing w:after="0" w:line="400" w:lineRule="exact"/>
        <w:ind w:firstLine="422" w:firstLineChars="200"/>
        <w:rPr>
          <w:rFonts w:ascii="宋体" w:hAnsi="宋体" w:eastAsia="宋体"/>
          <w:b/>
          <w:bCs/>
          <w:sz w:val="21"/>
          <w:szCs w:val="21"/>
        </w:rPr>
      </w:pPr>
      <w:r>
        <w:rPr>
          <w:rFonts w:hint="eastAsia" w:ascii="宋体" w:hAnsi="宋体" w:eastAsia="宋体"/>
          <w:b/>
          <w:bCs/>
          <w:sz w:val="21"/>
          <w:szCs w:val="21"/>
        </w:rPr>
        <w:t>①供应商在招磋商文件中规定的响应有效期内撤销其响应。</w:t>
      </w:r>
    </w:p>
    <w:p>
      <w:pPr>
        <w:spacing w:after="0" w:line="400" w:lineRule="exact"/>
        <w:ind w:firstLine="422" w:firstLineChars="200"/>
        <w:rPr>
          <w:rFonts w:ascii="宋体" w:hAnsi="宋体" w:eastAsia="宋体"/>
          <w:b/>
          <w:bCs/>
          <w:sz w:val="21"/>
          <w:szCs w:val="21"/>
        </w:rPr>
      </w:pPr>
      <w:r>
        <w:rPr>
          <w:rFonts w:hint="eastAsia" w:ascii="宋体" w:hAnsi="宋体" w:eastAsia="宋体"/>
          <w:b/>
          <w:bCs/>
          <w:sz w:val="21"/>
          <w:szCs w:val="21"/>
        </w:rPr>
        <w:t>②法律法规规定不予退还响应保证金的其它情形。</w:t>
      </w:r>
    </w:p>
    <w:p/>
    <w:p>
      <w:pPr>
        <w:pStyle w:val="6"/>
        <w:numPr>
          <w:ilvl w:val="0"/>
          <w:numId w:val="1"/>
        </w:numPr>
        <w:spacing w:before="0" w:after="0" w:line="480" w:lineRule="auto"/>
        <w:jc w:val="center"/>
        <w:rPr>
          <w:rFonts w:ascii="宋体" w:hAnsi="宋体" w:eastAsia="宋体"/>
        </w:rPr>
      </w:pPr>
      <w:bookmarkStart w:id="64" w:name="_Toc11059"/>
      <w:r>
        <w:rPr>
          <w:rFonts w:hint="eastAsia" w:ascii="宋体" w:hAnsi="宋体" w:eastAsia="宋体"/>
        </w:rPr>
        <w:t>响应文件的递交</w:t>
      </w:r>
      <w:bookmarkEnd w:id="64"/>
    </w:p>
    <w:p>
      <w:pPr>
        <w:pStyle w:val="7"/>
        <w:widowControl w:val="0"/>
        <w:overflowPunct w:val="0"/>
        <w:spacing w:before="0" w:after="0" w:line="400" w:lineRule="exact"/>
        <w:rPr>
          <w:rFonts w:ascii="宋体" w:hAnsi="宋体" w:eastAsia="宋体"/>
          <w:sz w:val="21"/>
          <w:szCs w:val="21"/>
        </w:rPr>
      </w:pPr>
      <w:bookmarkStart w:id="65" w:name="_Toc382049111"/>
      <w:bookmarkStart w:id="66" w:name="_Toc24997"/>
      <w:bookmarkStart w:id="67" w:name="_Toc303084264"/>
      <w:bookmarkStart w:id="68" w:name="_Toc21699"/>
      <w:bookmarkStart w:id="69" w:name="_Toc5055"/>
      <w:r>
        <w:rPr>
          <w:rFonts w:hint="eastAsia" w:ascii="宋体" w:hAnsi="宋体" w:eastAsia="宋体"/>
          <w:sz w:val="21"/>
          <w:szCs w:val="21"/>
        </w:rPr>
        <w:t>17.响应文件</w:t>
      </w:r>
      <w:r>
        <w:rPr>
          <w:rFonts w:ascii="宋体" w:hAnsi="宋体" w:eastAsia="宋体"/>
          <w:sz w:val="21"/>
          <w:szCs w:val="21"/>
        </w:rPr>
        <w:t>的</w:t>
      </w:r>
      <w:r>
        <w:rPr>
          <w:rFonts w:hint="eastAsia" w:ascii="宋体" w:hAnsi="宋体" w:eastAsia="宋体"/>
          <w:sz w:val="21"/>
          <w:szCs w:val="21"/>
        </w:rPr>
        <w:t>装订，签署，</w:t>
      </w:r>
      <w:r>
        <w:rPr>
          <w:rFonts w:ascii="宋体" w:hAnsi="宋体" w:eastAsia="宋体"/>
          <w:sz w:val="21"/>
          <w:szCs w:val="21"/>
        </w:rPr>
        <w:t>密封和标记</w:t>
      </w:r>
      <w:bookmarkEnd w:id="65"/>
      <w:bookmarkEnd w:id="66"/>
      <w:bookmarkEnd w:id="67"/>
      <w:bookmarkEnd w:id="68"/>
      <w:bookmarkEnd w:id="69"/>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为方便磋商小组对响应文件进行评审</w:t>
      </w:r>
      <w:r>
        <w:rPr>
          <w:rFonts w:ascii="宋体" w:hAnsi="宋体" w:eastAsia="宋体"/>
          <w:sz w:val="21"/>
          <w:szCs w:val="21"/>
        </w:rPr>
        <w:t>，</w:t>
      </w:r>
      <w:r>
        <w:rPr>
          <w:rFonts w:hint="eastAsia" w:ascii="宋体" w:hAnsi="宋体" w:eastAsia="宋体"/>
          <w:sz w:val="21"/>
          <w:szCs w:val="21"/>
        </w:rPr>
        <w:t>建议供应商对响应文件进行装订，</w:t>
      </w:r>
      <w:r>
        <w:rPr>
          <w:rFonts w:ascii="宋体" w:hAnsi="宋体" w:eastAsia="宋体"/>
          <w:sz w:val="21"/>
          <w:szCs w:val="21"/>
        </w:rPr>
        <w:t>对未经装订的</w:t>
      </w:r>
      <w:r>
        <w:rPr>
          <w:rFonts w:hint="eastAsia" w:ascii="宋体" w:hAnsi="宋体" w:eastAsia="宋体"/>
          <w:sz w:val="21"/>
          <w:szCs w:val="21"/>
        </w:rPr>
        <w:t>响应文件</w:t>
      </w:r>
      <w:r>
        <w:rPr>
          <w:rFonts w:ascii="宋体" w:hAnsi="宋体" w:eastAsia="宋体"/>
          <w:sz w:val="21"/>
          <w:szCs w:val="21"/>
        </w:rPr>
        <w:t>可能发生的文件缺</w:t>
      </w:r>
      <w:r>
        <w:rPr>
          <w:rFonts w:hint="eastAsia" w:ascii="宋体" w:hAnsi="宋体" w:eastAsia="宋体"/>
          <w:sz w:val="21"/>
          <w:szCs w:val="21"/>
        </w:rPr>
        <w:t>损</w:t>
      </w:r>
      <w:r>
        <w:rPr>
          <w:rFonts w:ascii="宋体" w:hAnsi="宋体" w:eastAsia="宋体"/>
          <w:sz w:val="21"/>
          <w:szCs w:val="21"/>
        </w:rPr>
        <w:t>，由此产生的后果由</w:t>
      </w:r>
      <w:r>
        <w:rPr>
          <w:rFonts w:hint="eastAsia" w:ascii="宋体" w:hAnsi="宋体" w:eastAsia="宋体"/>
          <w:sz w:val="21"/>
          <w:szCs w:val="21"/>
        </w:rPr>
        <w:t>供应商</w:t>
      </w:r>
      <w:r>
        <w:rPr>
          <w:rFonts w:ascii="宋体" w:hAnsi="宋体" w:eastAsia="宋体"/>
          <w:sz w:val="21"/>
          <w:szCs w:val="21"/>
        </w:rPr>
        <w:t>承担。</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响应文件正本均须用不褪色墨水书写或打印。响应文件的副本可采用响应文件的正本复印件，每套响应文件应当标</w:t>
      </w:r>
      <w:r>
        <w:rPr>
          <w:rFonts w:ascii="宋体" w:hAnsi="宋体" w:eastAsia="宋体"/>
          <w:sz w:val="21"/>
          <w:szCs w:val="21"/>
        </w:rPr>
        <w:t>明“正本”</w:t>
      </w:r>
      <w:r>
        <w:rPr>
          <w:rFonts w:hint="eastAsia" w:ascii="宋体" w:hAnsi="宋体" w:eastAsia="宋体"/>
          <w:sz w:val="21"/>
          <w:szCs w:val="21"/>
        </w:rPr>
        <w:t>、</w:t>
      </w:r>
      <w:r>
        <w:rPr>
          <w:rFonts w:ascii="宋体" w:hAnsi="宋体" w:eastAsia="宋体"/>
          <w:sz w:val="21"/>
          <w:szCs w:val="21"/>
        </w:rPr>
        <w:t>“副本”</w:t>
      </w:r>
      <w:r>
        <w:rPr>
          <w:rFonts w:hint="eastAsia" w:ascii="宋体" w:hAnsi="宋体" w:eastAsia="宋体"/>
          <w:sz w:val="21"/>
          <w:szCs w:val="21"/>
        </w:rPr>
        <w:t>的字样</w:t>
      </w:r>
      <w:r>
        <w:rPr>
          <w:rFonts w:ascii="宋体" w:hAnsi="宋体" w:eastAsia="宋体"/>
          <w:sz w:val="21"/>
          <w:szCs w:val="21"/>
        </w:rPr>
        <w:t>。</w:t>
      </w:r>
      <w:r>
        <w:rPr>
          <w:rFonts w:hint="eastAsia" w:ascii="宋体" w:hAnsi="宋体" w:eastAsia="宋体"/>
          <w:sz w:val="21"/>
          <w:szCs w:val="21"/>
        </w:rPr>
        <w:t>响应文件的【正本】及所有【副本】的封面及骑缝均须加盖供应商公章（文件每页盖章等同于盖骑缝章）。若</w:t>
      </w:r>
      <w:r>
        <w:rPr>
          <w:rFonts w:ascii="宋体" w:hAnsi="宋体" w:eastAsia="宋体"/>
          <w:sz w:val="21"/>
          <w:szCs w:val="21"/>
        </w:rPr>
        <w:t>正本</w:t>
      </w:r>
      <w:r>
        <w:rPr>
          <w:rFonts w:hint="eastAsia" w:ascii="宋体" w:hAnsi="宋体" w:eastAsia="宋体"/>
          <w:sz w:val="21"/>
          <w:szCs w:val="21"/>
        </w:rPr>
        <w:t>与</w:t>
      </w:r>
      <w:r>
        <w:rPr>
          <w:rFonts w:ascii="宋体" w:hAnsi="宋体" w:eastAsia="宋体"/>
          <w:sz w:val="21"/>
          <w:szCs w:val="21"/>
        </w:rPr>
        <w:t>副本</w:t>
      </w:r>
      <w:r>
        <w:rPr>
          <w:rFonts w:hint="eastAsia" w:ascii="宋体" w:hAnsi="宋体" w:eastAsia="宋体"/>
          <w:sz w:val="21"/>
          <w:szCs w:val="21"/>
        </w:rPr>
        <w:t>不符，以</w:t>
      </w:r>
      <w:r>
        <w:rPr>
          <w:rFonts w:ascii="宋体" w:hAnsi="宋体" w:eastAsia="宋体"/>
          <w:sz w:val="21"/>
          <w:szCs w:val="21"/>
        </w:rPr>
        <w:t>正本为准。</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联合体响应文件的【正本】及【副本】的封面及骑缝均须加盖所有联合体组成成员的公章。（文件每页盖章等同于盖骑缝章）如联合体协议中有明确分工说明除外。</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建议供应商将响应文件正本和所有的副本分开密封装在单独的信封中，且在信封上标明“正本”“副本”字样。然后再将所有信封封装在一个外层信封中（“报价文件”除外）。电子文件与正本密封包装，随正本提交。</w:t>
      </w:r>
    </w:p>
    <w:p>
      <w:pPr>
        <w:widowControl w:val="0"/>
        <w:numPr>
          <w:ilvl w:val="1"/>
          <w:numId w:val="2"/>
        </w:numPr>
        <w:adjustRightInd/>
        <w:snapToGrid/>
        <w:spacing w:after="0" w:line="400" w:lineRule="exact"/>
        <w:jc w:val="both"/>
        <w:rPr>
          <w:rFonts w:ascii="宋体" w:hAnsi="宋体" w:eastAsia="宋体"/>
          <w:sz w:val="21"/>
          <w:szCs w:val="21"/>
        </w:rPr>
      </w:pPr>
      <w:r>
        <w:rPr>
          <w:rFonts w:ascii="宋体" w:hAnsi="宋体" w:eastAsia="宋体"/>
          <w:sz w:val="21"/>
          <w:szCs w:val="21"/>
        </w:rPr>
        <w:t>电子文件内容包括：由</w:t>
      </w:r>
      <w:r>
        <w:rPr>
          <w:rFonts w:hint="eastAsia" w:ascii="宋体" w:hAnsi="宋体" w:eastAsia="宋体"/>
          <w:sz w:val="21"/>
          <w:szCs w:val="21"/>
        </w:rPr>
        <w:t>供应商</w:t>
      </w:r>
      <w:r>
        <w:rPr>
          <w:rFonts w:ascii="宋体" w:hAnsi="宋体" w:eastAsia="宋体"/>
          <w:sz w:val="21"/>
          <w:szCs w:val="21"/>
        </w:rPr>
        <w:t>自行制作的与正本文件一致的所有文件。电子文件</w:t>
      </w:r>
      <w:r>
        <w:rPr>
          <w:rFonts w:hint="eastAsia" w:ascii="宋体" w:hAnsi="宋体" w:eastAsia="宋体"/>
          <w:sz w:val="21"/>
          <w:szCs w:val="21"/>
        </w:rPr>
        <w:t>由</w:t>
      </w:r>
      <w:r>
        <w:rPr>
          <w:rFonts w:ascii="宋体" w:hAnsi="宋体" w:eastAsia="宋体"/>
          <w:sz w:val="21"/>
          <w:szCs w:val="21"/>
        </w:rPr>
        <w:t>光盘</w:t>
      </w:r>
      <w:r>
        <w:rPr>
          <w:rFonts w:hint="eastAsia" w:ascii="宋体" w:hAnsi="宋体" w:eastAsia="宋体"/>
          <w:sz w:val="21"/>
          <w:szCs w:val="21"/>
        </w:rPr>
        <w:t>或U盘</w:t>
      </w:r>
      <w:r>
        <w:rPr>
          <w:rFonts w:ascii="宋体" w:hAnsi="宋体" w:eastAsia="宋体"/>
          <w:sz w:val="21"/>
          <w:szCs w:val="21"/>
        </w:rPr>
        <w:t>储存</w:t>
      </w:r>
      <w:r>
        <w:rPr>
          <w:rFonts w:hint="eastAsia" w:ascii="宋体" w:hAnsi="宋体" w:eastAsia="宋体"/>
          <w:sz w:val="21"/>
          <w:szCs w:val="21"/>
        </w:rPr>
        <w:t>（须含盖章版PDF响应文件和WORD版响应文件各一版，文字采用WORD文档，计算表格采用 EXCEL文档），并注明供应商名称及项目名称、项目编号，随响应文件一同密封提交。</w:t>
      </w:r>
    </w:p>
    <w:p>
      <w:pPr>
        <w:widowControl w:val="0"/>
        <w:numPr>
          <w:ilvl w:val="1"/>
          <w:numId w:val="2"/>
        </w:numPr>
        <w:adjustRightInd/>
        <w:snapToGrid/>
        <w:spacing w:after="0" w:line="400" w:lineRule="exact"/>
        <w:jc w:val="both"/>
        <w:rPr>
          <w:rFonts w:ascii="宋体" w:hAnsi="宋体" w:eastAsia="宋体"/>
          <w:sz w:val="21"/>
          <w:szCs w:val="21"/>
        </w:rPr>
      </w:pPr>
      <w:r>
        <w:rPr>
          <w:rFonts w:ascii="宋体" w:hAnsi="宋体" w:eastAsia="宋体"/>
          <w:sz w:val="21"/>
          <w:szCs w:val="21"/>
        </w:rPr>
        <w:t>除</w:t>
      </w:r>
      <w:r>
        <w:rPr>
          <w:rFonts w:hint="eastAsia" w:ascii="宋体" w:hAnsi="宋体" w:eastAsia="宋体"/>
          <w:sz w:val="21"/>
          <w:szCs w:val="21"/>
        </w:rPr>
        <w:t>供应商</w:t>
      </w:r>
      <w:r>
        <w:rPr>
          <w:rFonts w:ascii="宋体" w:hAnsi="宋体" w:eastAsia="宋体"/>
          <w:sz w:val="21"/>
          <w:szCs w:val="21"/>
        </w:rPr>
        <w:t>对错误处修改外，全套</w:t>
      </w:r>
      <w:r>
        <w:rPr>
          <w:rFonts w:hint="eastAsia" w:ascii="宋体" w:hAnsi="宋体" w:eastAsia="宋体"/>
          <w:sz w:val="21"/>
          <w:szCs w:val="21"/>
        </w:rPr>
        <w:t>响应文件</w:t>
      </w:r>
      <w:r>
        <w:rPr>
          <w:rFonts w:ascii="宋体" w:hAnsi="宋体" w:eastAsia="宋体"/>
          <w:sz w:val="21"/>
          <w:szCs w:val="21"/>
        </w:rPr>
        <w:t>应无涂改或行间插字和增删。如有修改，修改处</w:t>
      </w:r>
      <w:r>
        <w:rPr>
          <w:rFonts w:hint="eastAsia" w:ascii="宋体" w:hAnsi="宋体" w:eastAsia="宋体"/>
          <w:sz w:val="21"/>
          <w:szCs w:val="21"/>
        </w:rPr>
        <w:t>须由法定代表人或其正式授权代表在旁边签字及盖章</w:t>
      </w:r>
      <w:r>
        <w:rPr>
          <w:rFonts w:ascii="宋体" w:hAnsi="宋体" w:eastAsia="宋体"/>
          <w:sz w:val="21"/>
          <w:szCs w:val="21"/>
        </w:rPr>
        <w:t>。</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应将报价一览表、法人代表证明书、法定代表人授权书（法人响应无需提交授权书）、磋商保证金汇入情况说明（加盖公章）和磋商保证金支付凭证银行汇款底单（复印件加盖公章）单独密封提交，并在信封上标明“报价文件”字样。“报价文件”份数及签章等要求与响应文件正本相同（1份）。若供应商采用担保函形式的，则无需密封在“报价文件”内，供应商需在接收响应文件截止时间前将原件提交至代理机构。</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供应商未提交“报价文件”或“报价文件”中无“报价一览表”的，报价以响应文件正本为准。</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 xml:space="preserve">所有的信封均应注明： </w:t>
      </w:r>
    </w:p>
    <w:p>
      <w:pPr>
        <w:widowControl w:val="0"/>
        <w:numPr>
          <w:ilvl w:val="0"/>
          <w:numId w:val="3"/>
        </w:numPr>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收件人：三方诚信招标有限公司东莞分公司</w:t>
      </w:r>
    </w:p>
    <w:p>
      <w:pPr>
        <w:widowControl w:val="0"/>
        <w:numPr>
          <w:ilvl w:val="0"/>
          <w:numId w:val="3"/>
        </w:numPr>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响应单位名称：</w:t>
      </w:r>
    </w:p>
    <w:p>
      <w:pPr>
        <w:widowControl w:val="0"/>
        <w:numPr>
          <w:ilvl w:val="0"/>
          <w:numId w:val="3"/>
        </w:numPr>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项目名称：</w:t>
      </w:r>
    </w:p>
    <w:p>
      <w:pPr>
        <w:widowControl w:val="0"/>
        <w:numPr>
          <w:ilvl w:val="0"/>
          <w:numId w:val="3"/>
        </w:numPr>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项目编号：</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采购代理机构将拒绝接收出现以下情况的响应文件：</w:t>
      </w:r>
    </w:p>
    <w:p>
      <w:pPr>
        <w:widowControl w:val="0"/>
        <w:numPr>
          <w:ilvl w:val="0"/>
          <w:numId w:val="4"/>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采用透明包装进行密封或未进行密封的响应文件；</w:t>
      </w:r>
    </w:p>
    <w:p>
      <w:pPr>
        <w:widowControl w:val="0"/>
        <w:numPr>
          <w:ilvl w:val="0"/>
          <w:numId w:val="4"/>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密封破损导致响应文件内容直接或间接泄露的响应文件；</w:t>
      </w:r>
    </w:p>
    <w:p>
      <w:pPr>
        <w:widowControl w:val="0"/>
        <w:numPr>
          <w:ilvl w:val="0"/>
          <w:numId w:val="4"/>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密封信封上项目编号错误的响应文件；</w:t>
      </w:r>
    </w:p>
    <w:p>
      <w:pPr>
        <w:widowControl w:val="0"/>
        <w:numPr>
          <w:ilvl w:val="0"/>
          <w:numId w:val="4"/>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未在规定时间内领购文件的供应商的响应文件；</w:t>
      </w:r>
    </w:p>
    <w:p>
      <w:pPr>
        <w:widowControl w:val="0"/>
        <w:numPr>
          <w:ilvl w:val="0"/>
          <w:numId w:val="4"/>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项目名称出现严重歧义或未标注所投项目信息导致无法分辨所投项目为本项目的响应文件；</w:t>
      </w:r>
    </w:p>
    <w:p>
      <w:pPr>
        <w:widowControl w:val="0"/>
        <w:numPr>
          <w:ilvl w:val="0"/>
          <w:numId w:val="4"/>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采用传真、电传的响应文件；</w:t>
      </w:r>
    </w:p>
    <w:p>
      <w:pPr>
        <w:widowControl w:val="0"/>
        <w:numPr>
          <w:ilvl w:val="0"/>
          <w:numId w:val="4"/>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磋商文件规定的其他情形。</w:t>
      </w:r>
    </w:p>
    <w:p>
      <w:pPr>
        <w:widowControl w:val="0"/>
        <w:numPr>
          <w:ilvl w:val="1"/>
          <w:numId w:val="2"/>
        </w:numPr>
        <w:tabs>
          <w:tab w:val="left" w:pos="440"/>
          <w:tab w:val="left" w:pos="660"/>
          <w:tab w:val="clear" w:pos="56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采购代理机构对所有响应文件的误投或提前启封概不负责。</w:t>
      </w:r>
    </w:p>
    <w:p>
      <w:pPr>
        <w:widowControl w:val="0"/>
        <w:numPr>
          <w:ilvl w:val="1"/>
          <w:numId w:val="2"/>
        </w:numPr>
        <w:tabs>
          <w:tab w:val="left" w:pos="660"/>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供应商同时参加几个包磋商时必须按磋商文件要求按包号分别制作响应文件，分别密封递交。</w:t>
      </w:r>
    </w:p>
    <w:p>
      <w:pPr>
        <w:widowControl w:val="0"/>
        <w:numPr>
          <w:ilvl w:val="1"/>
          <w:numId w:val="2"/>
        </w:numPr>
        <w:tabs>
          <w:tab w:val="left" w:pos="440"/>
          <w:tab w:val="left" w:pos="660"/>
          <w:tab w:val="clear" w:pos="56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递交的响应文件中所提供的通讯方式应保持联络畅通，因联系不上而导致的所有后果由供应商自行承担。</w:t>
      </w:r>
    </w:p>
    <w:p>
      <w:pPr>
        <w:spacing w:line="400" w:lineRule="exact"/>
      </w:pPr>
    </w:p>
    <w:p>
      <w:pPr>
        <w:pStyle w:val="7"/>
        <w:widowControl w:val="0"/>
        <w:overflowPunct w:val="0"/>
        <w:spacing w:before="0" w:after="0" w:line="400" w:lineRule="exact"/>
        <w:rPr>
          <w:rFonts w:ascii="宋体" w:hAnsi="宋体" w:eastAsia="宋体"/>
          <w:sz w:val="21"/>
          <w:szCs w:val="21"/>
        </w:rPr>
      </w:pPr>
      <w:bookmarkStart w:id="70" w:name="_Toc14913"/>
      <w:bookmarkStart w:id="71" w:name="_Toc1911"/>
      <w:r>
        <w:rPr>
          <w:rFonts w:hint="eastAsia" w:ascii="宋体" w:hAnsi="宋体" w:eastAsia="宋体"/>
          <w:sz w:val="21"/>
          <w:szCs w:val="21"/>
        </w:rPr>
        <w:t>18.迟交的响应文件</w:t>
      </w:r>
      <w:bookmarkEnd w:id="70"/>
      <w:bookmarkEnd w:id="71"/>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供应商在响应截止时间之后提交的响应文件，采购代理机构将拒绝接收</w:t>
      </w:r>
      <w:r>
        <w:rPr>
          <w:rFonts w:ascii="宋体" w:hAnsi="宋体" w:eastAsia="宋体"/>
          <w:sz w:val="21"/>
          <w:szCs w:val="21"/>
        </w:rPr>
        <w:t>。</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有违反其他法律规定情形的，采购代理机构将拒绝接收。</w:t>
      </w:r>
    </w:p>
    <w:p>
      <w:pPr>
        <w:spacing w:line="400" w:lineRule="exact"/>
      </w:pPr>
    </w:p>
    <w:p>
      <w:pPr>
        <w:pStyle w:val="7"/>
        <w:widowControl w:val="0"/>
        <w:overflowPunct w:val="0"/>
        <w:spacing w:before="0" w:after="0" w:line="400" w:lineRule="exact"/>
        <w:rPr>
          <w:rFonts w:ascii="宋体" w:hAnsi="宋体" w:eastAsia="宋体"/>
          <w:sz w:val="21"/>
          <w:szCs w:val="21"/>
        </w:rPr>
      </w:pPr>
      <w:bookmarkStart w:id="72" w:name="_Toc8387"/>
      <w:bookmarkStart w:id="73" w:name="_Toc13946"/>
      <w:r>
        <w:rPr>
          <w:rFonts w:hint="eastAsia" w:ascii="宋体" w:hAnsi="宋体" w:eastAsia="宋体"/>
          <w:sz w:val="21"/>
          <w:szCs w:val="21"/>
        </w:rPr>
        <w:t>19.磋商样品、磋商演示（如有要求）</w:t>
      </w:r>
      <w:bookmarkEnd w:id="72"/>
      <w:bookmarkEnd w:id="73"/>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如有必要，采购代理机构可以要求供应商提供本服务项目涉及的部分设备或产品样品，供应商在磋商时应提交《样品清单》。</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为方便评审，供应商在提供样品时，应在所提供的样品表面显著位置标注供应商的名称、包号、样品名称、磋商文件规定的服务或货物编号。</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样品作为响应文件的一部分，除非另有说明，成交单位的样品将作为履约验收标准的参考不再退还，未成交单位须在成交公告发布后五个工作日内，前往采购代理机构领取磋商样品，逾期不领，采购代理机构将不承担样品的保管责任，由此引发的样品丢失、毁损，采购代理机构不予负责。</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如有要求供应商现场演示环节，演示现场提供投影仪及电脑，所需的网络环境及设备全部由供应商自行解决，且供应商不得超过2名工作人员进场演示。演示过程不设置问答环节。</w:t>
      </w:r>
    </w:p>
    <w:p>
      <w:pPr>
        <w:spacing w:line="400" w:lineRule="exact"/>
      </w:pPr>
    </w:p>
    <w:p>
      <w:pPr>
        <w:pStyle w:val="7"/>
        <w:widowControl w:val="0"/>
        <w:overflowPunct w:val="0"/>
        <w:spacing w:before="0" w:after="0" w:line="400" w:lineRule="exact"/>
        <w:rPr>
          <w:rFonts w:ascii="宋体" w:hAnsi="宋体" w:eastAsia="宋体"/>
          <w:sz w:val="21"/>
          <w:szCs w:val="21"/>
        </w:rPr>
      </w:pPr>
      <w:bookmarkStart w:id="74" w:name="_Toc303084265"/>
      <w:bookmarkStart w:id="75" w:name="_Toc9777"/>
      <w:bookmarkStart w:id="76" w:name="_Toc382049112"/>
      <w:bookmarkStart w:id="77" w:name="_Toc1364"/>
      <w:bookmarkStart w:id="78" w:name="_Toc518"/>
      <w:r>
        <w:rPr>
          <w:rFonts w:hint="eastAsia" w:ascii="宋体" w:hAnsi="宋体" w:eastAsia="宋体"/>
          <w:sz w:val="21"/>
          <w:szCs w:val="21"/>
        </w:rPr>
        <w:t>20.响应截止期</w:t>
      </w:r>
      <w:bookmarkEnd w:id="74"/>
      <w:bookmarkEnd w:id="75"/>
      <w:bookmarkEnd w:id="76"/>
      <w:bookmarkEnd w:id="77"/>
      <w:bookmarkEnd w:id="78"/>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供应商应在磋商文件规定的截止日期和时间内，将响应文件送达到指定地点。</w:t>
      </w:r>
    </w:p>
    <w:p>
      <w:pPr>
        <w:spacing w:line="400" w:lineRule="exact"/>
      </w:pPr>
    </w:p>
    <w:p>
      <w:pPr>
        <w:pStyle w:val="7"/>
        <w:widowControl w:val="0"/>
        <w:overflowPunct w:val="0"/>
        <w:spacing w:before="0" w:after="0" w:line="400" w:lineRule="exact"/>
        <w:rPr>
          <w:rFonts w:ascii="宋体" w:hAnsi="宋体" w:eastAsia="宋体"/>
          <w:sz w:val="21"/>
          <w:szCs w:val="21"/>
        </w:rPr>
      </w:pPr>
      <w:bookmarkStart w:id="79" w:name="_Toc14390"/>
      <w:bookmarkStart w:id="80" w:name="_Toc28776"/>
      <w:r>
        <w:rPr>
          <w:rFonts w:hint="eastAsia" w:ascii="宋体" w:hAnsi="宋体" w:eastAsia="宋体"/>
          <w:sz w:val="21"/>
          <w:szCs w:val="21"/>
        </w:rPr>
        <w:t>21.响应文件的补充、修改与撤回</w:t>
      </w:r>
      <w:bookmarkEnd w:id="79"/>
      <w:bookmarkEnd w:id="80"/>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供应商在提交响应文件截止时间前，可以对所提交的响应文件进行补充、修改或撤回，并以纸质版形式通知采购代理机构。在提交响应文件截止时间之后，供应商不得对其响应文件做出任何的补充和修改。</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供应商对响应文件的补充、修改的内容应当按磋商文件要求的签署、盖章、密封后，作为响应文件的组成部分。并按照磋商文件规定密封和标记的要求提交，并在响应文件密封袋上标明“补充、修改”字样。</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响应文件一经递交不予退还。</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在提交响应文件截止时间至响应有效期满之前，供应商不得撤回其响应文件，否则其磋商保证金将不予退还。</w:t>
      </w:r>
    </w:p>
    <w:p>
      <w:pPr>
        <w:pStyle w:val="2"/>
        <w:spacing w:before="0" w:after="0"/>
        <w:ind w:left="119"/>
      </w:pPr>
    </w:p>
    <w:p>
      <w:pPr>
        <w:pStyle w:val="6"/>
        <w:numPr>
          <w:ilvl w:val="0"/>
          <w:numId w:val="1"/>
        </w:numPr>
        <w:spacing w:before="0" w:after="0" w:line="480" w:lineRule="auto"/>
        <w:jc w:val="center"/>
        <w:rPr>
          <w:rFonts w:ascii="宋体" w:hAnsi="宋体" w:eastAsia="宋体"/>
        </w:rPr>
      </w:pPr>
      <w:bookmarkStart w:id="81" w:name="_Toc15649"/>
      <w:r>
        <w:rPr>
          <w:rFonts w:hint="eastAsia" w:ascii="宋体" w:hAnsi="宋体" w:eastAsia="宋体"/>
        </w:rPr>
        <w:t>磋商与评审</w:t>
      </w:r>
      <w:bookmarkEnd w:id="81"/>
    </w:p>
    <w:p>
      <w:pPr>
        <w:pStyle w:val="7"/>
        <w:widowControl w:val="0"/>
        <w:overflowPunct w:val="0"/>
        <w:spacing w:before="0" w:after="0" w:line="400" w:lineRule="exact"/>
        <w:rPr>
          <w:rFonts w:ascii="宋体" w:hAnsi="宋体" w:eastAsia="宋体"/>
          <w:sz w:val="21"/>
          <w:szCs w:val="21"/>
        </w:rPr>
      </w:pPr>
      <w:bookmarkStart w:id="82" w:name="_Toc191"/>
      <w:bookmarkStart w:id="83" w:name="_Toc11914"/>
      <w:r>
        <w:rPr>
          <w:rFonts w:hint="eastAsia" w:ascii="宋体" w:hAnsi="宋体" w:eastAsia="宋体"/>
          <w:sz w:val="21"/>
          <w:szCs w:val="21"/>
        </w:rPr>
        <w:t>22.磋商</w:t>
      </w:r>
      <w:bookmarkEnd w:id="82"/>
      <w:bookmarkEnd w:id="83"/>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供应商应在《磋商邀请函》规定的日期、时间和地点递交响应文件并进行现场签到</w:t>
      </w:r>
      <w:r>
        <w:rPr>
          <w:rFonts w:ascii="宋体" w:hAnsi="宋体" w:eastAsia="宋体"/>
          <w:sz w:val="21"/>
          <w:szCs w:val="21"/>
        </w:rPr>
        <w:t>。</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接收响应文件时间截止，由供应商或者其推选的代表检查响应文件的密封情况；经确认密封完好后的响应文件不当众予以拆封，不宣读第一次报价和响应文件的其它主要内容。</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进入评审环节，通过资格性审查和符合性审查的有效供应商方有资格提交最终报价及进入综合评审。</w:t>
      </w:r>
    </w:p>
    <w:p>
      <w:pPr>
        <w:pStyle w:val="2"/>
        <w:spacing w:before="0" w:after="0" w:line="400" w:lineRule="exact"/>
        <w:ind w:left="630" w:hanging="630" w:hangingChars="300"/>
        <w:rPr>
          <w:lang w:val="en-US"/>
        </w:rPr>
      </w:pPr>
      <w:r>
        <w:rPr>
          <w:rFonts w:hint="eastAsia"/>
          <w:sz w:val="21"/>
          <w:szCs w:val="21"/>
          <w:lang w:val="en-US"/>
        </w:rPr>
        <w:t>22.4. 根据财库〔2015〕124 号，在采购过程中符合要求的供应商只有 2 家的，竞争性磋商采购活动继续进行。</w:t>
      </w:r>
    </w:p>
    <w:p>
      <w:pPr>
        <w:widowControl w:val="0"/>
        <w:adjustRightInd/>
        <w:snapToGrid/>
        <w:spacing w:after="0" w:line="400" w:lineRule="exact"/>
        <w:ind w:left="567"/>
        <w:jc w:val="both"/>
      </w:pPr>
    </w:p>
    <w:p>
      <w:pPr>
        <w:pStyle w:val="7"/>
        <w:widowControl w:val="0"/>
        <w:overflowPunct w:val="0"/>
        <w:spacing w:before="0" w:after="0" w:line="400" w:lineRule="exact"/>
        <w:rPr>
          <w:rFonts w:ascii="宋体" w:hAnsi="宋体" w:eastAsia="宋体"/>
          <w:sz w:val="21"/>
          <w:szCs w:val="21"/>
        </w:rPr>
      </w:pPr>
      <w:bookmarkStart w:id="84" w:name="_Toc13823"/>
      <w:bookmarkStart w:id="85" w:name="_Toc31198"/>
      <w:r>
        <w:rPr>
          <w:rFonts w:hint="eastAsia" w:ascii="宋体" w:hAnsi="宋体" w:eastAsia="宋体"/>
          <w:sz w:val="21"/>
          <w:szCs w:val="21"/>
        </w:rPr>
        <w:t>23.磋商小组及评审方法</w:t>
      </w:r>
      <w:bookmarkEnd w:id="84"/>
      <w:bookmarkEnd w:id="85"/>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磋商小组根据磋商项目的特点进行组建，并负责评审工作。</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评审方法：本次磋商的评审方法采用综合评分法。</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磋商文件中要求供应商提供的相关资质证书证明材料因国家政策变动导致新旧证书名称不一致，旧证书未取消且新旧证书具有同等效力的，供应商提供新证书与提供在有效期内的旧证书给予同等认可。</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定标原则：在</w:t>
      </w:r>
      <w:r>
        <w:rPr>
          <w:rFonts w:ascii="宋体" w:hAnsi="宋体" w:eastAsia="宋体"/>
          <w:sz w:val="21"/>
          <w:szCs w:val="21"/>
        </w:rPr>
        <w:t>满足</w:t>
      </w:r>
      <w:r>
        <w:rPr>
          <w:rFonts w:hint="eastAsia" w:ascii="宋体" w:hAnsi="宋体" w:eastAsia="宋体"/>
          <w:sz w:val="21"/>
          <w:szCs w:val="21"/>
        </w:rPr>
        <w:t>磋商文件实质性要求前提下，按照磋商文件规定的各项评价因素进行量化打分，以评审总得分最高的供应商作为成交候选人或成交供应商。</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磋商小组对响应文件的评审内容，分为商务评议、技术评议和价格评议。评审流程包括符合性检查、澄清问题、比较与评价、推荐成交候选人或确定成交供应商、编写评审报告等步骤。</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在评审期间，磋商小组可要求供应商对其响应文件进行澄清，但不得寻求、提供或允许对响应报价等实质性内容做任何更改。有关澄清的要求和答复均应以纸质版形式提交，如供应商拒绝磋商小组要求对其响应文件进行澄清的要求，所造成的后果由供应商自行承担。</w:t>
      </w:r>
    </w:p>
    <w:p>
      <w:pPr>
        <w:spacing w:after="0" w:line="400" w:lineRule="exact"/>
      </w:pPr>
    </w:p>
    <w:p>
      <w:pPr>
        <w:pStyle w:val="7"/>
        <w:widowControl w:val="0"/>
        <w:overflowPunct w:val="0"/>
        <w:spacing w:before="0" w:after="0" w:line="400" w:lineRule="exact"/>
        <w:rPr>
          <w:rFonts w:ascii="宋体" w:hAnsi="宋体" w:eastAsia="宋体"/>
          <w:sz w:val="21"/>
          <w:szCs w:val="21"/>
        </w:rPr>
      </w:pPr>
      <w:bookmarkStart w:id="86" w:name="_Toc20823"/>
      <w:bookmarkStart w:id="87" w:name="_Toc9540"/>
      <w:r>
        <w:rPr>
          <w:rFonts w:hint="eastAsia" w:ascii="宋体" w:hAnsi="宋体" w:eastAsia="宋体"/>
          <w:sz w:val="21"/>
          <w:szCs w:val="21"/>
        </w:rPr>
        <w:t>24.评审原则及评审过程的保密</w:t>
      </w:r>
      <w:bookmarkEnd w:id="86"/>
      <w:bookmarkEnd w:id="87"/>
    </w:p>
    <w:p>
      <w:pPr>
        <w:pStyle w:val="27"/>
        <w:widowControl w:val="0"/>
        <w:numPr>
          <w:ilvl w:val="0"/>
          <w:numId w:val="2"/>
        </w:numPr>
        <w:adjustRightInd/>
        <w:snapToGrid/>
        <w:spacing w:after="0" w:line="400" w:lineRule="exact"/>
        <w:ind w:firstLineChars="0"/>
        <w:jc w:val="both"/>
        <w:rPr>
          <w:rFonts w:ascii="宋体" w:hAnsi="宋体" w:eastAsia="宋体"/>
          <w:vanish/>
          <w:sz w:val="21"/>
          <w:szCs w:val="21"/>
        </w:rPr>
      </w:pP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评审的基本原则：磋商小组将依据《中华人民共和国政府采购法》及国家和地方政府有关法规的规定，遵循“客观、公正、审慎”的原则进行评审工作。</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从递交响应文件截止到签订合同，凡与审查、澄清、评审和供应商响应文件有关的资料以及定标意见相关的事项，均不得向供应商及与评审无关的其他人透露。</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任何单位和个人不得非法干预、影响评审的过程和结果。</w:t>
      </w:r>
    </w:p>
    <w:p>
      <w:pPr>
        <w:spacing w:after="0" w:line="400" w:lineRule="exact"/>
      </w:pPr>
    </w:p>
    <w:p>
      <w:pPr>
        <w:pStyle w:val="7"/>
        <w:widowControl w:val="0"/>
        <w:overflowPunct w:val="0"/>
        <w:spacing w:before="0" w:after="0" w:line="400" w:lineRule="exact"/>
        <w:rPr>
          <w:rFonts w:ascii="宋体" w:hAnsi="宋体" w:eastAsia="宋体"/>
          <w:sz w:val="21"/>
          <w:szCs w:val="21"/>
        </w:rPr>
      </w:pPr>
      <w:bookmarkStart w:id="88" w:name="_Toc15479"/>
      <w:bookmarkStart w:id="89" w:name="_Toc7072"/>
      <w:r>
        <w:rPr>
          <w:rFonts w:hint="eastAsia" w:ascii="宋体" w:hAnsi="宋体" w:eastAsia="宋体"/>
          <w:sz w:val="21"/>
          <w:szCs w:val="21"/>
        </w:rPr>
        <w:t>25.响应文件的初审</w:t>
      </w:r>
      <w:bookmarkEnd w:id="88"/>
      <w:bookmarkEnd w:id="89"/>
    </w:p>
    <w:p>
      <w:pPr>
        <w:pStyle w:val="27"/>
        <w:widowControl w:val="0"/>
        <w:numPr>
          <w:ilvl w:val="0"/>
          <w:numId w:val="2"/>
        </w:numPr>
        <w:tabs>
          <w:tab w:val="left" w:pos="907"/>
        </w:tabs>
        <w:adjustRightInd/>
        <w:snapToGrid/>
        <w:spacing w:after="0" w:line="400" w:lineRule="exact"/>
        <w:ind w:firstLineChars="0"/>
        <w:jc w:val="both"/>
        <w:rPr>
          <w:rFonts w:ascii="宋体" w:hAnsi="宋体" w:eastAsia="宋体"/>
          <w:vanish/>
          <w:sz w:val="21"/>
          <w:szCs w:val="21"/>
        </w:rPr>
      </w:pPr>
    </w:p>
    <w:p>
      <w:pPr>
        <w:widowControl w:val="0"/>
        <w:numPr>
          <w:ilvl w:val="1"/>
          <w:numId w:val="2"/>
        </w:numPr>
        <w:tabs>
          <w:tab w:val="left" w:pos="907"/>
        </w:tabs>
        <w:adjustRightInd/>
        <w:snapToGrid/>
        <w:spacing w:after="0" w:line="400" w:lineRule="exact"/>
        <w:jc w:val="both"/>
        <w:rPr>
          <w:rFonts w:ascii="宋体" w:hAnsi="宋体" w:eastAsia="宋体"/>
          <w:b/>
          <w:sz w:val="21"/>
          <w:szCs w:val="21"/>
        </w:rPr>
      </w:pPr>
      <w:r>
        <w:rPr>
          <w:rFonts w:hint="eastAsia" w:ascii="宋体" w:hAnsi="宋体" w:eastAsia="宋体"/>
          <w:sz w:val="21"/>
          <w:szCs w:val="21"/>
        </w:rPr>
        <w:t>进入评审环节，磋商小组将依法对供应商的进行资格性审查。供应商存在不符合资格性检查所要求事项情况的，其报价及响应文件作无效处理。未通过资格性审查的供应商不进行符合性审查，</w:t>
      </w:r>
      <w:r>
        <w:rPr>
          <w:rFonts w:hint="eastAsia" w:ascii="宋体" w:hAnsi="宋体" w:eastAsia="宋体"/>
          <w:b/>
          <w:sz w:val="21"/>
          <w:szCs w:val="21"/>
        </w:rPr>
        <w:t>资格性检查中发现下列情形之一的，其报价及响应文件作无效处理：</w:t>
      </w:r>
    </w:p>
    <w:p>
      <w:pPr>
        <w:widowControl w:val="0"/>
        <w:tabs>
          <w:tab w:val="left" w:pos="907"/>
        </w:tabs>
        <w:adjustRightInd/>
        <w:snapToGrid/>
        <w:spacing w:after="0" w:line="400" w:lineRule="exact"/>
        <w:ind w:left="567"/>
        <w:jc w:val="both"/>
        <w:rPr>
          <w:rFonts w:ascii="宋体" w:hAnsi="宋体" w:eastAsia="宋体"/>
          <w:b/>
          <w:sz w:val="21"/>
          <w:szCs w:val="21"/>
        </w:rPr>
      </w:pPr>
      <w:r>
        <w:rPr>
          <w:rFonts w:hint="eastAsia" w:ascii="宋体" w:hAnsi="宋体" w:eastAsia="宋体"/>
          <w:b/>
          <w:sz w:val="21"/>
          <w:szCs w:val="21"/>
        </w:rPr>
        <w:t>1) 资格瑕疵</w:t>
      </w:r>
    </w:p>
    <w:p>
      <w:pPr>
        <w:widowControl w:val="0"/>
        <w:tabs>
          <w:tab w:val="left" w:pos="907"/>
        </w:tabs>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包括但不限于：①资格证明文件未提供或不符合磋商文件要求的；②资格证明文件有效期过期的；③《营业执照》复印件（加盖公章）或《事业单位法人证书》复印件（加盖公章）或其他主体证书复印件（加盖公章）未提供或有效期过期的；④提供的资质材料模糊不清导致无法辨认的。⑤供应商名称与响应文件公章不一致的。</w:t>
      </w:r>
    </w:p>
    <w:p>
      <w:pPr>
        <w:widowControl w:val="0"/>
        <w:tabs>
          <w:tab w:val="left" w:pos="907"/>
        </w:tabs>
        <w:adjustRightInd/>
        <w:snapToGrid/>
        <w:spacing w:after="0" w:line="400" w:lineRule="exact"/>
        <w:ind w:left="567"/>
        <w:jc w:val="both"/>
        <w:rPr>
          <w:rFonts w:ascii="宋体" w:hAnsi="宋体" w:eastAsia="宋体"/>
          <w:b/>
          <w:sz w:val="21"/>
          <w:szCs w:val="21"/>
        </w:rPr>
      </w:pPr>
      <w:r>
        <w:rPr>
          <w:rFonts w:hint="eastAsia" w:ascii="宋体" w:hAnsi="宋体" w:eastAsia="宋体"/>
          <w:b/>
          <w:sz w:val="21"/>
          <w:szCs w:val="21"/>
        </w:rPr>
        <w:t>2) 磋商保证金瑕疵</w:t>
      </w:r>
    </w:p>
    <w:p>
      <w:pPr>
        <w:widowControl w:val="0"/>
        <w:tabs>
          <w:tab w:val="left" w:pos="907"/>
        </w:tabs>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包括但不限于：①供应商未按磋商文件要求提交磋商保证金；②提交方式、提交时间、提交金额不符合磋商文件要求；③磋商保证金有效期不符合磋商文件要求。</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磋商小组将对通过资格性审查供应商的响应文件进行符合性审查，以确定是否对磋商文件的实质性要求作出响应，包括审查响应文件是否完整，有否计算错误，文件签署是否合格等。符合性审查过程中，</w:t>
      </w:r>
      <w:r>
        <w:rPr>
          <w:rFonts w:hint="eastAsia" w:ascii="宋体" w:hAnsi="宋体" w:eastAsia="宋体"/>
          <w:b/>
          <w:sz w:val="21"/>
          <w:szCs w:val="21"/>
        </w:rPr>
        <w:t>发现下列情况之一的，其报价及响应文件将作无效处理</w:t>
      </w:r>
      <w:r>
        <w:rPr>
          <w:rFonts w:hint="eastAsia" w:ascii="宋体" w:hAnsi="宋体" w:eastAsia="宋体"/>
          <w:sz w:val="21"/>
          <w:szCs w:val="21"/>
        </w:rPr>
        <w:t>：</w:t>
      </w:r>
    </w:p>
    <w:p>
      <w:pPr>
        <w:widowControl w:val="0"/>
        <w:tabs>
          <w:tab w:val="left" w:pos="907"/>
        </w:tabs>
        <w:adjustRightInd/>
        <w:snapToGrid/>
        <w:spacing w:after="0" w:line="400" w:lineRule="exact"/>
        <w:ind w:left="567"/>
        <w:jc w:val="both"/>
        <w:rPr>
          <w:rFonts w:ascii="宋体" w:hAnsi="宋体" w:eastAsia="宋体"/>
          <w:sz w:val="21"/>
          <w:szCs w:val="21"/>
        </w:rPr>
      </w:pPr>
      <w:r>
        <w:rPr>
          <w:rFonts w:hint="eastAsia" w:ascii="宋体" w:hAnsi="宋体" w:eastAsia="宋体"/>
          <w:b/>
          <w:sz w:val="21"/>
          <w:szCs w:val="21"/>
        </w:rPr>
        <w:t>1) 响应文件的有效性、完整性瑕疵</w:t>
      </w:r>
    </w:p>
    <w:p>
      <w:pPr>
        <w:widowControl w:val="0"/>
        <w:tabs>
          <w:tab w:val="left" w:pos="907"/>
        </w:tabs>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包括但不限于：①响应文件的数量、制作不符合要求、响应文件内容与采购内容不符的（包括但不限于响应文件项目项目编号错误，响应文件项目名称错误导致无法分辨所投项目为本项目，响应文件数量少于磋商文件要求的）；②响应文件中要求签字的内容无法定代表人或其授权代表签字，或签字人无法定代表人有效授权的；③签字盖章不符合磋商文件要求的；④响应文件内容有严重缺漏项的；⑤响应文件的关键内容字迹模糊、无法辨认的；⑥响应文件（报价）有效期不符合文件要求的。</w:t>
      </w:r>
    </w:p>
    <w:p>
      <w:pPr>
        <w:widowControl w:val="0"/>
        <w:tabs>
          <w:tab w:val="left" w:pos="907"/>
        </w:tabs>
        <w:adjustRightInd/>
        <w:snapToGrid/>
        <w:spacing w:after="0" w:line="400" w:lineRule="exact"/>
        <w:ind w:left="567"/>
        <w:jc w:val="both"/>
        <w:rPr>
          <w:rFonts w:ascii="宋体" w:hAnsi="宋体" w:eastAsia="宋体"/>
          <w:b/>
          <w:sz w:val="21"/>
          <w:szCs w:val="21"/>
        </w:rPr>
      </w:pPr>
      <w:r>
        <w:rPr>
          <w:rFonts w:hint="eastAsia" w:ascii="宋体" w:hAnsi="宋体" w:eastAsia="宋体"/>
          <w:b/>
          <w:sz w:val="21"/>
          <w:szCs w:val="21"/>
        </w:rPr>
        <w:t>2) 技术响应瑕疵</w:t>
      </w:r>
    </w:p>
    <w:p>
      <w:pPr>
        <w:widowControl w:val="0"/>
        <w:tabs>
          <w:tab w:val="left" w:pos="907"/>
        </w:tabs>
        <w:adjustRightInd/>
        <w:snapToGrid/>
        <w:spacing w:after="0" w:line="400" w:lineRule="exact"/>
        <w:ind w:left="567"/>
        <w:jc w:val="both"/>
        <w:rPr>
          <w:rFonts w:ascii="宋体" w:hAnsi="宋体" w:eastAsia="宋体"/>
          <w:b/>
          <w:sz w:val="21"/>
          <w:szCs w:val="21"/>
        </w:rPr>
      </w:pPr>
      <w:r>
        <w:rPr>
          <w:rFonts w:hint="eastAsia" w:ascii="宋体" w:hAnsi="宋体" w:eastAsia="宋体"/>
          <w:bCs/>
          <w:sz w:val="21"/>
          <w:szCs w:val="21"/>
        </w:rPr>
        <w:t>包括但不限于：①响应文件不满足采购文件中加注星号（★）的主要参数要求或加注星号的主要参数无技术资料支持的；②一般参数超出允许偏离的最大范围或最高项数的；③响应文件技术响应与事实不符或虚假应标的；④《技术条款偏离表》未提供的；⑤将一个包中的内容拆开响应的；⑥供应商对同一货物或服务报价时，方案不唯一；⑦明显不符合技术规格、技术标准要求的；⑧其他未实质性响应采购文件技术要求的。</w:t>
      </w:r>
      <w:r>
        <w:rPr>
          <w:rFonts w:hint="eastAsia" w:ascii="宋体" w:hAnsi="宋体" w:eastAsia="宋体"/>
          <w:b/>
          <w:sz w:val="21"/>
          <w:szCs w:val="21"/>
        </w:rPr>
        <w:t>3) 商务响应瑕疵</w:t>
      </w:r>
    </w:p>
    <w:p>
      <w:pPr>
        <w:widowControl w:val="0"/>
        <w:tabs>
          <w:tab w:val="left" w:pos="907"/>
        </w:tabs>
        <w:adjustRightInd/>
        <w:snapToGrid/>
        <w:spacing w:after="0" w:line="400" w:lineRule="exact"/>
        <w:ind w:left="567"/>
        <w:jc w:val="both"/>
        <w:rPr>
          <w:rFonts w:ascii="宋体" w:hAnsi="宋体" w:eastAsia="宋体"/>
          <w:bCs/>
          <w:sz w:val="21"/>
          <w:szCs w:val="21"/>
        </w:rPr>
      </w:pPr>
      <w:r>
        <w:rPr>
          <w:rFonts w:hint="eastAsia" w:ascii="宋体" w:hAnsi="宋体" w:eastAsia="宋体"/>
          <w:bCs/>
          <w:sz w:val="21"/>
          <w:szCs w:val="21"/>
        </w:rPr>
        <w:t>包括但不限于：①采购文件加注星号（★）的商务要求负偏离的；②完成期（包括但不限于：工期，服务期，交货期等）未满足采购文件要求的；③响应文件载明的货物包装方式、检验标准和方法不符合采购文件要求，采购人无法接受的；④《商务条款偏离表》未提供的；⑤采购文件附有采购人不能接受的条件的；⑥其他未实质性响应磋商文件商务要求的。</w:t>
      </w:r>
    </w:p>
    <w:p>
      <w:pPr>
        <w:widowControl w:val="0"/>
        <w:tabs>
          <w:tab w:val="left" w:pos="907"/>
        </w:tabs>
        <w:adjustRightInd/>
        <w:snapToGrid/>
        <w:spacing w:after="0" w:line="400" w:lineRule="exact"/>
        <w:ind w:left="567"/>
        <w:jc w:val="both"/>
        <w:rPr>
          <w:rFonts w:ascii="宋体" w:hAnsi="宋体" w:eastAsia="宋体"/>
          <w:b/>
          <w:sz w:val="21"/>
          <w:szCs w:val="21"/>
        </w:rPr>
      </w:pPr>
      <w:r>
        <w:rPr>
          <w:rFonts w:hint="eastAsia" w:ascii="宋体" w:hAnsi="宋体" w:eastAsia="宋体"/>
          <w:b/>
          <w:sz w:val="21"/>
          <w:szCs w:val="21"/>
        </w:rPr>
        <w:t>4）报价瑕疵</w:t>
      </w:r>
    </w:p>
    <w:p>
      <w:pPr>
        <w:widowControl w:val="0"/>
        <w:tabs>
          <w:tab w:val="left" w:pos="907"/>
        </w:tabs>
        <w:adjustRightInd/>
        <w:snapToGrid/>
        <w:spacing w:after="0" w:line="400" w:lineRule="exact"/>
        <w:ind w:left="567"/>
        <w:jc w:val="both"/>
        <w:rPr>
          <w:rFonts w:ascii="宋体" w:hAnsi="宋体" w:eastAsia="宋体"/>
          <w:bCs/>
          <w:sz w:val="21"/>
          <w:szCs w:val="21"/>
        </w:rPr>
      </w:pPr>
      <w:r>
        <w:rPr>
          <w:rFonts w:hint="eastAsia" w:ascii="宋体" w:hAnsi="宋体" w:eastAsia="宋体"/>
          <w:bCs/>
          <w:sz w:val="21"/>
          <w:szCs w:val="21"/>
        </w:rPr>
        <w:t>包括但不限于：①一次报价或最终报价超过本采购文件明确的项目预算或文件明确的最高限价；②未按采购文件要求进行报价的；③报价内容或报价格式不符合采购文件要求的；④报价有严重缺漏项的。</w:t>
      </w:r>
    </w:p>
    <w:p>
      <w:pPr>
        <w:widowControl w:val="0"/>
        <w:tabs>
          <w:tab w:val="left" w:pos="907"/>
        </w:tabs>
        <w:adjustRightInd/>
        <w:snapToGrid/>
        <w:spacing w:after="0" w:line="400" w:lineRule="exact"/>
        <w:ind w:left="567"/>
        <w:jc w:val="both"/>
        <w:rPr>
          <w:rFonts w:ascii="宋体" w:hAnsi="宋体" w:eastAsia="宋体"/>
          <w:b/>
          <w:sz w:val="21"/>
          <w:szCs w:val="21"/>
        </w:rPr>
      </w:pPr>
      <w:r>
        <w:rPr>
          <w:rFonts w:hint="eastAsia" w:ascii="宋体" w:hAnsi="宋体" w:eastAsia="宋体"/>
          <w:b/>
          <w:sz w:val="21"/>
          <w:szCs w:val="21"/>
        </w:rPr>
        <w:t>5）违规行为</w:t>
      </w:r>
    </w:p>
    <w:p>
      <w:pPr>
        <w:widowControl w:val="0"/>
        <w:tabs>
          <w:tab w:val="left" w:pos="907"/>
        </w:tabs>
        <w:adjustRightInd/>
        <w:snapToGrid/>
        <w:spacing w:after="0" w:line="400" w:lineRule="exact"/>
        <w:ind w:left="567"/>
        <w:jc w:val="both"/>
        <w:rPr>
          <w:rFonts w:ascii="宋体" w:hAnsi="宋体" w:eastAsia="宋体"/>
          <w:bCs/>
          <w:sz w:val="21"/>
          <w:szCs w:val="21"/>
        </w:rPr>
      </w:pPr>
      <w:r>
        <w:rPr>
          <w:rFonts w:hint="eastAsia" w:ascii="宋体" w:hAnsi="宋体" w:eastAsia="宋体"/>
          <w:bCs/>
          <w:sz w:val="21"/>
          <w:szCs w:val="21"/>
        </w:rPr>
        <w:t>包括但不限于：①以他人的名义报价、串通响应、以行贿手段谋取成交或者以其他弄虚作假方式响应磋商的；②扰乱磋商评审秩序，干扰采购工作正常进行的。③存在经磋商小组认定的其他违规违法行为。</w:t>
      </w:r>
    </w:p>
    <w:p>
      <w:pPr>
        <w:widowControl w:val="0"/>
        <w:tabs>
          <w:tab w:val="left" w:pos="907"/>
        </w:tabs>
        <w:adjustRightInd/>
        <w:snapToGrid/>
        <w:spacing w:after="0" w:line="400" w:lineRule="exact"/>
        <w:ind w:left="567"/>
        <w:jc w:val="both"/>
        <w:rPr>
          <w:rFonts w:ascii="宋体" w:hAnsi="宋体" w:eastAsia="宋体"/>
          <w:b/>
          <w:sz w:val="21"/>
          <w:szCs w:val="21"/>
        </w:rPr>
      </w:pPr>
      <w:r>
        <w:rPr>
          <w:rFonts w:hint="eastAsia" w:ascii="宋体" w:hAnsi="宋体" w:eastAsia="宋体"/>
          <w:b/>
          <w:sz w:val="21"/>
          <w:szCs w:val="21"/>
        </w:rPr>
        <w:t>6)法律法规及磋商文件中规定的其它情形。</w:t>
      </w:r>
    </w:p>
    <w:p>
      <w:pPr>
        <w:widowControl w:val="0"/>
        <w:tabs>
          <w:tab w:val="left" w:pos="907"/>
        </w:tabs>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根据项目情况，磋商小组有权决定磋商文件中“可能导致废标”或“可能导致其响应文件被拒绝”等具体条款是否实施“废标”或“响应文件被拒绝”，但对同一条款的裁决应适用于每个供应商。</w:t>
      </w:r>
    </w:p>
    <w:p>
      <w:pPr>
        <w:widowControl w:val="0"/>
        <w:numPr>
          <w:ilvl w:val="1"/>
          <w:numId w:val="2"/>
        </w:numPr>
        <w:adjustRightInd/>
        <w:snapToGrid/>
        <w:spacing w:after="0" w:line="400" w:lineRule="exact"/>
        <w:jc w:val="both"/>
      </w:pPr>
      <w:r>
        <w:rPr>
          <w:rFonts w:hint="eastAsia" w:ascii="宋体" w:hAnsi="宋体" w:eastAsia="宋体"/>
          <w:sz w:val="21"/>
          <w:szCs w:val="21"/>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widowControl w:val="0"/>
        <w:numPr>
          <w:ilvl w:val="1"/>
          <w:numId w:val="2"/>
        </w:numPr>
        <w:adjustRightInd/>
        <w:snapToGrid/>
        <w:spacing w:after="0" w:line="400" w:lineRule="exact"/>
        <w:jc w:val="both"/>
      </w:pPr>
      <w:r>
        <w:rPr>
          <w:rFonts w:hint="eastAsia" w:ascii="宋体" w:hAnsi="宋体" w:eastAsia="宋体"/>
          <w:sz w:val="21"/>
          <w:szCs w:val="21"/>
        </w:rPr>
        <w:t>在详细评审之前，磋商小组要审查每份响应文件是否实质上响应了磋商文件的要求。实质上的响应应该是与磋商文件要求的全部主要条款（加“★”号）、条件和规格相符，没有重大偏离的响应。对关键条文的偏离、保留或反对，例如关于磋商保证金、合同条款的重大偏离将被认为是实质上的偏离。磋商小组决定响应文件的响应性只根据响应文件本身的内容，而不寻求外部的证据。</w:t>
      </w:r>
    </w:p>
    <w:p>
      <w:pPr>
        <w:widowControl w:val="0"/>
        <w:numPr>
          <w:ilvl w:val="1"/>
          <w:numId w:val="2"/>
        </w:numPr>
        <w:adjustRightInd/>
        <w:snapToGrid/>
        <w:spacing w:after="0" w:line="400" w:lineRule="exact"/>
        <w:jc w:val="both"/>
        <w:rPr>
          <w:rFonts w:ascii="宋体" w:hAnsi="宋体" w:eastAsia="宋体"/>
          <w:sz w:val="21"/>
          <w:szCs w:val="21"/>
        </w:rPr>
      </w:pPr>
      <w:r>
        <w:rPr>
          <w:rFonts w:hint="eastAsia" w:ascii="宋体" w:hAnsi="宋体" w:eastAsia="宋体"/>
          <w:sz w:val="21"/>
          <w:szCs w:val="21"/>
        </w:rPr>
        <w:t>实质上没有响应磋商文件要求的响应文件将被拒绝。供应商不得通过修正或撤销不合要求的偏离或保留从而使其响应成为实质上的响应。</w:t>
      </w:r>
    </w:p>
    <w:p>
      <w:pPr>
        <w:widowControl w:val="0"/>
        <w:adjustRightInd/>
        <w:snapToGrid/>
        <w:spacing w:after="0" w:line="400" w:lineRule="exact"/>
        <w:jc w:val="both"/>
        <w:rPr>
          <w:rFonts w:ascii="宋体" w:hAnsi="宋体" w:eastAsia="宋体"/>
          <w:sz w:val="21"/>
          <w:szCs w:val="21"/>
        </w:rPr>
      </w:pPr>
    </w:p>
    <w:p>
      <w:pPr>
        <w:pStyle w:val="7"/>
        <w:widowControl w:val="0"/>
        <w:overflowPunct w:val="0"/>
        <w:spacing w:before="0" w:after="0" w:line="400" w:lineRule="exact"/>
        <w:rPr>
          <w:rFonts w:ascii="宋体" w:hAnsi="宋体" w:eastAsia="宋体"/>
          <w:sz w:val="21"/>
          <w:szCs w:val="21"/>
        </w:rPr>
      </w:pPr>
      <w:bookmarkStart w:id="90" w:name="_Toc9736"/>
      <w:bookmarkStart w:id="91" w:name="_Toc16157"/>
      <w:r>
        <w:rPr>
          <w:rFonts w:hint="eastAsia" w:ascii="宋体" w:hAnsi="宋体" w:eastAsia="宋体"/>
          <w:sz w:val="21"/>
          <w:szCs w:val="21"/>
        </w:rPr>
        <w:t>26.商务、技术、价格评审（具体评审项目详见磋商资料表）</w:t>
      </w:r>
      <w:bookmarkEnd w:id="90"/>
      <w:bookmarkEnd w:id="91"/>
    </w:p>
    <w:p>
      <w:pPr>
        <w:pStyle w:val="27"/>
        <w:widowControl w:val="0"/>
        <w:numPr>
          <w:ilvl w:val="0"/>
          <w:numId w:val="2"/>
        </w:numPr>
        <w:tabs>
          <w:tab w:val="left" w:pos="907"/>
        </w:tabs>
        <w:adjustRightInd/>
        <w:snapToGrid/>
        <w:spacing w:after="0" w:line="400" w:lineRule="exact"/>
        <w:ind w:firstLineChars="0"/>
        <w:jc w:val="both"/>
        <w:rPr>
          <w:rFonts w:ascii="宋体" w:hAnsi="宋体" w:eastAsia="宋体"/>
          <w:vanish/>
          <w:sz w:val="21"/>
          <w:szCs w:val="21"/>
        </w:rPr>
      </w:pP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 xml:space="preserve"> 磋商小组所有成员应当集中与单一供应商分别进行磋商，并给予所有参加磋商的供应商平等的磋商机会。其磋商顺序以供应商签到顺序为准。 </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磋商小组将拒绝与出现以下情况的供应商授权代表进行磋商：</w:t>
      </w:r>
    </w:p>
    <w:p>
      <w:pPr>
        <w:widowControl w:val="0"/>
        <w:tabs>
          <w:tab w:val="left" w:pos="907"/>
        </w:tabs>
        <w:adjustRightInd/>
        <w:snapToGrid/>
        <w:spacing w:after="0" w:line="400" w:lineRule="exact"/>
        <w:ind w:firstLine="420" w:firstLineChars="200"/>
        <w:jc w:val="both"/>
        <w:rPr>
          <w:rFonts w:ascii="宋体" w:hAnsi="宋体" w:eastAsia="宋体"/>
          <w:sz w:val="21"/>
          <w:szCs w:val="21"/>
        </w:rPr>
      </w:pPr>
      <w:r>
        <w:rPr>
          <w:rFonts w:hint="eastAsia" w:ascii="宋体" w:hAnsi="宋体" w:eastAsia="宋体"/>
          <w:sz w:val="21"/>
          <w:szCs w:val="21"/>
        </w:rPr>
        <w:t>（一）供应商授权代表无有效授权的；</w:t>
      </w:r>
    </w:p>
    <w:p>
      <w:pPr>
        <w:widowControl w:val="0"/>
        <w:tabs>
          <w:tab w:val="left" w:pos="907"/>
        </w:tabs>
        <w:adjustRightInd/>
        <w:snapToGrid/>
        <w:spacing w:after="0" w:line="400" w:lineRule="exact"/>
        <w:ind w:firstLine="420" w:firstLineChars="200"/>
        <w:jc w:val="both"/>
        <w:rPr>
          <w:rFonts w:ascii="宋体" w:hAnsi="宋体" w:eastAsia="宋体"/>
          <w:sz w:val="21"/>
          <w:szCs w:val="21"/>
        </w:rPr>
      </w:pPr>
      <w:r>
        <w:rPr>
          <w:rFonts w:hint="eastAsia" w:ascii="宋体" w:hAnsi="宋体" w:eastAsia="宋体"/>
          <w:sz w:val="21"/>
          <w:szCs w:val="21"/>
        </w:rPr>
        <w:t>（二）供应商响应文件中的授权代表与现场进行磋商的授权代表不一致的；</w:t>
      </w:r>
    </w:p>
    <w:p>
      <w:pPr>
        <w:widowControl w:val="0"/>
        <w:tabs>
          <w:tab w:val="left" w:pos="907"/>
        </w:tabs>
        <w:adjustRightInd/>
        <w:snapToGrid/>
        <w:spacing w:after="0" w:line="400" w:lineRule="exact"/>
        <w:ind w:firstLine="420" w:firstLineChars="200"/>
        <w:jc w:val="both"/>
        <w:rPr>
          <w:rFonts w:ascii="宋体" w:hAnsi="宋体" w:eastAsia="宋体"/>
          <w:sz w:val="21"/>
          <w:szCs w:val="21"/>
        </w:rPr>
      </w:pPr>
      <w:r>
        <w:rPr>
          <w:rFonts w:hint="eastAsia" w:ascii="宋体" w:hAnsi="宋体" w:eastAsia="宋体"/>
          <w:sz w:val="21"/>
          <w:szCs w:val="21"/>
        </w:rPr>
        <w:t>（三）法人参加磋商但无法定代表人证明书的；</w:t>
      </w:r>
    </w:p>
    <w:p>
      <w:pPr>
        <w:widowControl w:val="0"/>
        <w:tabs>
          <w:tab w:val="left" w:pos="907"/>
        </w:tabs>
        <w:adjustRightInd/>
        <w:snapToGrid/>
        <w:spacing w:after="0" w:line="400" w:lineRule="exact"/>
        <w:ind w:firstLine="420" w:firstLineChars="200"/>
        <w:jc w:val="both"/>
        <w:rPr>
          <w:rFonts w:ascii="宋体" w:hAnsi="宋体" w:eastAsia="宋体"/>
          <w:sz w:val="21"/>
          <w:szCs w:val="21"/>
        </w:rPr>
      </w:pPr>
      <w:r>
        <w:rPr>
          <w:rFonts w:hint="eastAsia" w:ascii="宋体" w:hAnsi="宋体" w:eastAsia="宋体"/>
          <w:sz w:val="21"/>
          <w:szCs w:val="21"/>
        </w:rPr>
        <w:t>（四）授权代表现场不能出具可证明其身份信息的证件或文件的；</w:t>
      </w:r>
    </w:p>
    <w:p>
      <w:pPr>
        <w:widowControl w:val="0"/>
        <w:tabs>
          <w:tab w:val="left" w:pos="907"/>
        </w:tabs>
        <w:adjustRightInd/>
        <w:snapToGrid/>
        <w:spacing w:after="0" w:line="400" w:lineRule="exact"/>
        <w:ind w:firstLine="420" w:firstLineChars="200"/>
        <w:jc w:val="both"/>
        <w:rPr>
          <w:rFonts w:ascii="宋体" w:hAnsi="宋体" w:eastAsia="宋体"/>
          <w:sz w:val="21"/>
          <w:szCs w:val="21"/>
        </w:rPr>
      </w:pPr>
      <w:r>
        <w:rPr>
          <w:rFonts w:hint="eastAsia" w:ascii="宋体" w:hAnsi="宋体" w:eastAsia="宋体"/>
          <w:sz w:val="21"/>
          <w:szCs w:val="21"/>
        </w:rPr>
        <w:t>（五）供应商一次报价超出采购文件所规定的预算或最高限价的；</w:t>
      </w:r>
    </w:p>
    <w:p>
      <w:pPr>
        <w:widowControl w:val="0"/>
        <w:tabs>
          <w:tab w:val="left" w:pos="907"/>
        </w:tabs>
        <w:adjustRightInd/>
        <w:snapToGrid/>
        <w:spacing w:after="0" w:line="400" w:lineRule="exact"/>
        <w:ind w:firstLine="420" w:firstLineChars="200"/>
        <w:jc w:val="both"/>
        <w:rPr>
          <w:rFonts w:ascii="宋体" w:hAnsi="宋体" w:eastAsia="宋体"/>
          <w:sz w:val="21"/>
          <w:szCs w:val="21"/>
        </w:rPr>
      </w:pPr>
      <w:r>
        <w:rPr>
          <w:rFonts w:hint="eastAsia" w:ascii="宋体" w:hAnsi="宋体" w:eastAsia="宋体"/>
          <w:sz w:val="21"/>
          <w:szCs w:val="21"/>
        </w:rPr>
        <w:t>（六）扰乱磋商秩序，干扰采购工作正常进行的；</w:t>
      </w:r>
    </w:p>
    <w:p>
      <w:pPr>
        <w:widowControl w:val="0"/>
        <w:tabs>
          <w:tab w:val="left" w:pos="907"/>
        </w:tabs>
        <w:adjustRightInd/>
        <w:snapToGrid/>
        <w:spacing w:after="0" w:line="400" w:lineRule="exact"/>
        <w:ind w:firstLine="420" w:firstLineChars="200"/>
        <w:jc w:val="both"/>
        <w:rPr>
          <w:rFonts w:ascii="宋体" w:hAnsi="宋体" w:eastAsia="宋体"/>
          <w:sz w:val="21"/>
          <w:szCs w:val="21"/>
        </w:rPr>
      </w:pPr>
      <w:r>
        <w:rPr>
          <w:rFonts w:hint="eastAsia" w:ascii="宋体" w:hAnsi="宋体" w:eastAsia="宋体"/>
          <w:sz w:val="21"/>
          <w:szCs w:val="21"/>
        </w:rPr>
        <w:t>（七）直接或间接影响其他供应商进行最终报价的；</w:t>
      </w:r>
    </w:p>
    <w:p>
      <w:pPr>
        <w:widowControl w:val="0"/>
        <w:tabs>
          <w:tab w:val="left" w:pos="907"/>
        </w:tabs>
        <w:adjustRightInd/>
        <w:snapToGrid/>
        <w:spacing w:after="0" w:line="400" w:lineRule="exact"/>
        <w:ind w:firstLine="420" w:firstLineChars="200"/>
        <w:jc w:val="both"/>
        <w:rPr>
          <w:rFonts w:ascii="宋体" w:hAnsi="宋体" w:eastAsia="宋体"/>
          <w:sz w:val="21"/>
          <w:szCs w:val="21"/>
        </w:rPr>
      </w:pPr>
      <w:r>
        <w:rPr>
          <w:rFonts w:hint="eastAsia" w:ascii="宋体" w:hAnsi="宋体" w:eastAsia="宋体"/>
          <w:sz w:val="21"/>
          <w:szCs w:val="21"/>
        </w:rPr>
        <w:t>（八）磋商小组认定为违规的情况；</w:t>
      </w:r>
    </w:p>
    <w:p>
      <w:pPr>
        <w:widowControl w:val="0"/>
        <w:tabs>
          <w:tab w:val="left" w:pos="907"/>
        </w:tabs>
        <w:adjustRightInd/>
        <w:snapToGrid/>
        <w:spacing w:after="0" w:line="400" w:lineRule="exact"/>
        <w:ind w:firstLine="420" w:firstLineChars="200"/>
        <w:jc w:val="both"/>
        <w:rPr>
          <w:rFonts w:ascii="宋体" w:hAnsi="宋体" w:eastAsia="宋体"/>
          <w:sz w:val="21"/>
          <w:szCs w:val="21"/>
        </w:rPr>
      </w:pPr>
      <w:r>
        <w:rPr>
          <w:rFonts w:hint="eastAsia" w:ascii="宋体" w:hAnsi="宋体" w:eastAsia="宋体"/>
          <w:sz w:val="21"/>
          <w:szCs w:val="21"/>
        </w:rPr>
        <w:t>（九）采购文件规定的其他情况。</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最终报价</w:t>
      </w:r>
    </w:p>
    <w:p>
      <w:pPr>
        <w:widowControl w:val="0"/>
        <w:tabs>
          <w:tab w:val="left" w:pos="907"/>
        </w:tabs>
        <w:adjustRightInd/>
        <w:snapToGrid/>
        <w:spacing w:after="0" w:line="400" w:lineRule="exact"/>
        <w:ind w:left="630" w:hanging="630" w:hangingChars="300"/>
        <w:jc w:val="both"/>
        <w:rPr>
          <w:rFonts w:ascii="宋体" w:hAnsi="宋体" w:eastAsia="宋体"/>
          <w:sz w:val="21"/>
          <w:szCs w:val="21"/>
        </w:rPr>
      </w:pPr>
      <w:r>
        <w:rPr>
          <w:rFonts w:hint="eastAsia" w:ascii="宋体" w:hAnsi="宋体" w:eastAsia="宋体"/>
          <w:sz w:val="21"/>
          <w:szCs w:val="21"/>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pStyle w:val="2"/>
        <w:spacing w:before="0" w:after="0" w:line="400" w:lineRule="exact"/>
        <w:ind w:left="630" w:hanging="630" w:hangingChars="300"/>
        <w:rPr>
          <w:rFonts w:cstheme="minorBidi"/>
          <w:sz w:val="21"/>
          <w:szCs w:val="21"/>
          <w:lang w:val="en-US" w:bidi="ar-SA"/>
        </w:rPr>
      </w:pPr>
      <w:r>
        <w:rPr>
          <w:rFonts w:hint="eastAsia" w:cstheme="minorBidi"/>
          <w:sz w:val="21"/>
          <w:szCs w:val="21"/>
          <w:lang w:val="en-US" w:bidi="ar-SA"/>
        </w:rPr>
        <w:t>26.6.2.通过初审，但未在规定时间内进行最终报价的供应商，其报价文件上的报价视为其最终报价。</w:t>
      </w:r>
    </w:p>
    <w:p>
      <w:pPr>
        <w:pStyle w:val="2"/>
        <w:spacing w:before="0" w:after="0" w:line="400" w:lineRule="exact"/>
        <w:ind w:left="630" w:hanging="630" w:hangingChars="300"/>
        <w:rPr>
          <w:rFonts w:cstheme="minorBidi"/>
          <w:sz w:val="21"/>
          <w:szCs w:val="21"/>
          <w:lang w:val="en-US" w:bidi="ar-SA"/>
        </w:rPr>
      </w:pPr>
      <w:r>
        <w:rPr>
          <w:rFonts w:hint="eastAsia" w:cstheme="minorBidi"/>
          <w:sz w:val="21"/>
          <w:szCs w:val="21"/>
          <w:lang w:val="en-US" w:bidi="ar-SA"/>
        </w:rPr>
        <w:t>26.6.3.已提交响应文件的供应商，在提交最后报价之前，可以根据磋商情况退出磋商。响应文件不予退还，磋商保证金按采购文件规定进行退还。退出磋商的供应商不进入综合评分环节。</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综合评分法</w:t>
      </w:r>
    </w:p>
    <w:p>
      <w:pPr>
        <w:pStyle w:val="2"/>
        <w:spacing w:before="0" w:after="0" w:line="400" w:lineRule="exact"/>
        <w:ind w:left="630" w:hanging="630" w:hangingChars="300"/>
        <w:rPr>
          <w:rFonts w:cstheme="minorBidi"/>
          <w:sz w:val="21"/>
          <w:szCs w:val="21"/>
          <w:lang w:val="en-US" w:bidi="ar-SA"/>
        </w:rPr>
      </w:pPr>
      <w:r>
        <w:rPr>
          <w:rFonts w:hint="eastAsia" w:cstheme="minorBidi"/>
          <w:sz w:val="21"/>
          <w:szCs w:val="21"/>
          <w:lang w:val="en-US" w:bidi="ar-SA"/>
        </w:rPr>
        <w:t>26.7.1经磋商确定最终采购需求和提交最后报价的供应商后，由磋商小组采用综合评分法对提交最后报价的供应商的响应文件和最后报价进行综合评分。</w:t>
      </w:r>
    </w:p>
    <w:p>
      <w:pPr>
        <w:pStyle w:val="2"/>
        <w:spacing w:before="0" w:after="0" w:line="400" w:lineRule="exact"/>
        <w:ind w:left="0"/>
        <w:rPr>
          <w:rFonts w:cstheme="minorBidi"/>
          <w:sz w:val="21"/>
          <w:szCs w:val="21"/>
          <w:lang w:val="en-US" w:bidi="ar-SA"/>
        </w:rPr>
      </w:pPr>
      <w:r>
        <w:rPr>
          <w:rFonts w:hint="eastAsia" w:cstheme="minorBidi"/>
          <w:sz w:val="21"/>
          <w:szCs w:val="21"/>
          <w:lang w:val="en-US" w:bidi="ar-SA"/>
        </w:rPr>
        <w:t>26.7.2.价格评审：</w:t>
      </w:r>
    </w:p>
    <w:p>
      <w:pPr>
        <w:pStyle w:val="2"/>
        <w:spacing w:before="0" w:after="0" w:line="400" w:lineRule="exact"/>
        <w:ind w:left="0" w:firstLine="879" w:firstLineChars="419"/>
        <w:rPr>
          <w:rFonts w:cstheme="minorBidi"/>
          <w:sz w:val="21"/>
          <w:szCs w:val="21"/>
          <w:lang w:val="en-US" w:bidi="ar-SA"/>
        </w:rPr>
      </w:pPr>
      <w:r>
        <w:rPr>
          <w:rFonts w:hint="eastAsia" w:cstheme="minorBidi"/>
          <w:sz w:val="21"/>
          <w:szCs w:val="21"/>
          <w:lang w:val="en-US" w:bidi="ar-SA"/>
        </w:rPr>
        <w:t>（一）以各供应商最终报价进行评审；</w:t>
      </w:r>
    </w:p>
    <w:p>
      <w:pPr>
        <w:pStyle w:val="2"/>
        <w:spacing w:before="0" w:after="0" w:line="400" w:lineRule="exact"/>
        <w:ind w:left="880" w:leftChars="400"/>
        <w:rPr>
          <w:rFonts w:cstheme="minorBidi"/>
          <w:sz w:val="21"/>
          <w:szCs w:val="21"/>
          <w:lang w:val="en-US" w:bidi="ar-SA"/>
        </w:rPr>
      </w:pPr>
      <w:r>
        <w:rPr>
          <w:rFonts w:hint="eastAsia" w:cstheme="minorBidi"/>
          <w:sz w:val="21"/>
          <w:szCs w:val="21"/>
          <w:lang w:val="en-US"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pPr>
        <w:pStyle w:val="2"/>
        <w:numPr>
          <w:ilvl w:val="0"/>
          <w:numId w:val="5"/>
        </w:numPr>
        <w:spacing w:before="0" w:after="0" w:line="400" w:lineRule="exact"/>
        <w:ind w:firstLine="758" w:firstLineChars="361"/>
        <w:rPr>
          <w:rFonts w:cstheme="minorBidi"/>
          <w:sz w:val="21"/>
          <w:szCs w:val="21"/>
          <w:lang w:val="en-US" w:bidi="ar-SA"/>
        </w:rPr>
      </w:pPr>
      <w:r>
        <w:rPr>
          <w:rFonts w:hint="eastAsia" w:cstheme="minorBidi"/>
          <w:sz w:val="21"/>
          <w:szCs w:val="21"/>
          <w:lang w:val="en-US" w:bidi="ar-SA"/>
        </w:rPr>
        <w:t>对报价服务报价漏项的，作非实质性响应处理。</w:t>
      </w:r>
    </w:p>
    <w:p>
      <w:pPr>
        <w:spacing w:after="0" w:line="400" w:lineRule="exact"/>
        <w:ind w:left="840" w:hanging="840" w:hangingChars="400"/>
        <w:rPr>
          <w:rFonts w:ascii="宋体" w:hAnsi="宋体" w:eastAsia="宋体"/>
          <w:sz w:val="21"/>
          <w:szCs w:val="21"/>
        </w:rPr>
      </w:pPr>
      <w:r>
        <w:rPr>
          <w:rFonts w:hint="eastAsia" w:ascii="宋体" w:hAnsi="宋体" w:eastAsia="宋体"/>
          <w:sz w:val="21"/>
          <w:szCs w:val="21"/>
        </w:rPr>
        <w:t>26.7.3. 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采购文件要求的响应情况进行评议和比较，评出其技术评分和商务评分。根据采购文件规定评出得分，将价格得分、商务得分、技术得分相加得出最终评审得分（最终评审得分分值按四舍五入原则精确到小数点后两位）。</w:t>
      </w:r>
    </w:p>
    <w:p>
      <w:pPr>
        <w:spacing w:after="0" w:line="400" w:lineRule="exact"/>
        <w:ind w:left="840" w:hanging="840" w:hangingChars="400"/>
        <w:rPr>
          <w:rFonts w:ascii="宋体" w:hAnsi="宋体" w:eastAsia="宋体"/>
          <w:sz w:val="21"/>
          <w:szCs w:val="21"/>
        </w:rPr>
      </w:pPr>
      <w:r>
        <w:rPr>
          <w:rFonts w:hint="eastAsia" w:ascii="宋体" w:hAnsi="宋体" w:eastAsia="宋体"/>
          <w:sz w:val="21"/>
          <w:szCs w:val="21"/>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pPr>
        <w:spacing w:after="0" w:line="400" w:lineRule="exact"/>
        <w:ind w:left="840" w:hanging="840" w:hangingChars="400"/>
        <w:rPr>
          <w:rFonts w:ascii="宋体" w:hAnsi="宋体" w:eastAsia="宋体"/>
          <w:sz w:val="21"/>
          <w:szCs w:val="21"/>
        </w:rPr>
      </w:pPr>
      <w:r>
        <w:rPr>
          <w:rFonts w:hint="eastAsia" w:ascii="宋体" w:hAnsi="宋体" w:eastAsia="宋体"/>
          <w:sz w:val="21"/>
          <w:szCs w:val="21"/>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pStyle w:val="2"/>
        <w:spacing w:before="0" w:after="0" w:line="400" w:lineRule="exact"/>
        <w:ind w:left="840" w:hanging="840" w:hangingChars="400"/>
        <w:rPr>
          <w:rFonts w:cstheme="minorBidi"/>
          <w:sz w:val="21"/>
          <w:szCs w:val="21"/>
          <w:lang w:val="en-US" w:bidi="ar-SA"/>
        </w:rPr>
      </w:pPr>
      <w:r>
        <w:rPr>
          <w:rFonts w:hint="eastAsia" w:cstheme="minorBidi"/>
          <w:sz w:val="21"/>
          <w:szCs w:val="21"/>
          <w:lang w:val="en-US" w:bidi="ar-SA"/>
        </w:rPr>
        <w:t>26.7.6.采用综合评分法的，评审结果按评审后得分由高到低顺序排列。得分相同的，按最终报价由低到高顺序排列。</w:t>
      </w:r>
      <w:r>
        <w:rPr>
          <w:rFonts w:hint="eastAsia"/>
          <w:sz w:val="21"/>
          <w:szCs w:val="21"/>
        </w:rPr>
        <w:t>评审得分及报价均相同时，以随机抽取方式决定。</w:t>
      </w:r>
      <w:r>
        <w:rPr>
          <w:rFonts w:hint="eastAsia" w:cstheme="minorBidi"/>
          <w:sz w:val="21"/>
          <w:szCs w:val="21"/>
          <w:lang w:val="en-US" w:bidi="ar-SA"/>
        </w:rPr>
        <w:t>响应文件满足采购文件全部实质性要求，且按照评审因素的量化指标评审得分最高的供应商为排名第一的成交候选人。</w:t>
      </w:r>
    </w:p>
    <w:p>
      <w:pPr>
        <w:widowControl w:val="0"/>
        <w:adjustRightInd/>
        <w:snapToGrid/>
        <w:spacing w:after="0" w:line="400" w:lineRule="exact"/>
        <w:jc w:val="both"/>
      </w:pPr>
    </w:p>
    <w:p>
      <w:pPr>
        <w:pStyle w:val="7"/>
        <w:widowControl w:val="0"/>
        <w:overflowPunct w:val="0"/>
        <w:spacing w:before="0" w:after="0" w:line="400" w:lineRule="exact"/>
        <w:rPr>
          <w:rFonts w:ascii="宋体" w:hAnsi="宋体" w:eastAsia="宋体"/>
          <w:sz w:val="21"/>
          <w:szCs w:val="21"/>
        </w:rPr>
      </w:pPr>
      <w:bookmarkStart w:id="92" w:name="_Toc12361"/>
      <w:bookmarkStart w:id="93" w:name="_Toc325"/>
      <w:r>
        <w:rPr>
          <w:rFonts w:hint="eastAsia" w:ascii="宋体" w:hAnsi="宋体" w:eastAsia="宋体"/>
          <w:sz w:val="21"/>
          <w:szCs w:val="21"/>
        </w:rPr>
        <w:t>27.优惠政策</w:t>
      </w:r>
      <w:bookmarkEnd w:id="92"/>
      <w:bookmarkEnd w:id="93"/>
      <w:r>
        <w:rPr>
          <w:rFonts w:hint="eastAsia" w:ascii="宋体" w:hAnsi="宋体" w:eastAsia="宋体"/>
          <w:sz w:val="21"/>
          <w:szCs w:val="21"/>
        </w:rPr>
        <w:t>（仅适用于政府采购）</w:t>
      </w:r>
    </w:p>
    <w:p>
      <w:pPr>
        <w:pStyle w:val="27"/>
        <w:widowControl w:val="0"/>
        <w:numPr>
          <w:ilvl w:val="0"/>
          <w:numId w:val="2"/>
        </w:numPr>
        <w:tabs>
          <w:tab w:val="left" w:pos="907"/>
        </w:tabs>
        <w:adjustRightInd/>
        <w:snapToGrid/>
        <w:spacing w:after="0" w:line="400" w:lineRule="exact"/>
        <w:ind w:firstLineChars="0"/>
        <w:jc w:val="both"/>
        <w:rPr>
          <w:rFonts w:ascii="宋体" w:hAnsi="宋体" w:eastAsia="宋体"/>
          <w:vanish/>
          <w:sz w:val="21"/>
          <w:szCs w:val="21"/>
        </w:rPr>
      </w:pP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对小型或微型企业、监狱企业、残疾人福利性单位响应磋商的扶持：</w:t>
      </w:r>
    </w:p>
    <w:p>
      <w:pPr>
        <w:widowControl w:val="0"/>
        <w:tabs>
          <w:tab w:val="left" w:pos="907"/>
        </w:tabs>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根据财政部、工业和信息化部制定了《政府采购促进中小企业发展管理办法》（财库〔2020〕46号）的规定，对小型或微型企业产品的价格给予一定比例扣除，用扣除后的价格参与评审。（参加政府采购活动的中小企业应按照磋商文件中响应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供应商同时为小型、微型企业、监狱企业、残疾人福利性单位任两种或以上情况的，评审中只享受一次价格扣除，不重复进行价格扣除。</w:t>
      </w:r>
    </w:p>
    <w:p>
      <w:pPr>
        <w:widowControl w:val="0"/>
        <w:numPr>
          <w:ilvl w:val="1"/>
          <w:numId w:val="2"/>
        </w:numPr>
        <w:tabs>
          <w:tab w:val="left" w:pos="907"/>
        </w:tabs>
        <w:adjustRightInd/>
        <w:snapToGrid/>
        <w:spacing w:after="0" w:line="400" w:lineRule="exact"/>
        <w:jc w:val="both"/>
        <w:rPr>
          <w:rFonts w:ascii="宋体" w:hAnsi="宋体" w:eastAsia="宋体"/>
          <w:b/>
          <w:bCs/>
          <w:sz w:val="21"/>
          <w:szCs w:val="21"/>
          <w:u w:val="single"/>
        </w:rPr>
      </w:pPr>
      <w:r>
        <w:rPr>
          <w:rFonts w:hint="eastAsia" w:ascii="宋体" w:hAnsi="宋体" w:eastAsia="宋体"/>
          <w:b/>
          <w:bCs/>
          <w:sz w:val="21"/>
          <w:szCs w:val="21"/>
          <w:u w:val="single"/>
        </w:rPr>
        <w:t>成交、成交供应商享受本办法（财库〔2020〕46号）规定的中小企业扶持政策的，采购代理机构将随成交、成交结果公开成交、成交供应商的《中小企业声明函》。各供应商不得提供虚假声明，提供虚假声明取消成交、成交资格，并追究其法律责任。</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（1）安置的残疾人占本单位在职职工人数的比例不低于25%（含25%），并且安置的残疾人人数不少于10人（含10人）；</w:t>
      </w:r>
    </w:p>
    <w:p>
      <w:pPr>
        <w:widowControl w:val="0"/>
        <w:tabs>
          <w:tab w:val="left" w:pos="907"/>
        </w:tabs>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（2）依法与安置的每位残疾人签订了一年以上（含一年）的劳动合同或服务协议；</w:t>
      </w:r>
    </w:p>
    <w:p>
      <w:pPr>
        <w:widowControl w:val="0"/>
        <w:tabs>
          <w:tab w:val="left" w:pos="907"/>
        </w:tabs>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（3）为安置的每位残疾人按月足额缴纳了基本养老保险、基本医疗保险、失业保险、工伤保险和生育保险等社会保险费；</w:t>
      </w:r>
    </w:p>
    <w:p>
      <w:pPr>
        <w:widowControl w:val="0"/>
        <w:tabs>
          <w:tab w:val="left" w:pos="907"/>
        </w:tabs>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（5）提供本单位制造的货物、承担的工程或者服务（以下简称产品），或者提供其他残疾人福利性单位制造的货物（不包括使用非残疾人福利性单位注册商标的货物）。</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对节能产品或环境标志产品的扶持：</w:t>
      </w:r>
    </w:p>
    <w:p>
      <w:pPr>
        <w:widowControl w:val="0"/>
        <w:tabs>
          <w:tab w:val="left" w:pos="907"/>
        </w:tabs>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环境标志产品政府采购执行机制的通知》（粤财采购函〔2019〕1号）的规定，对提供节能产品或环境标志产品的响应单位的价格给予一定比例扣除（扣除比例详见磋商资料表）。</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提供节能产品或环境标志产品的供应商其产品应符合以下规定：</w:t>
      </w:r>
    </w:p>
    <w:p>
      <w:pPr>
        <w:widowControl w:val="0"/>
        <w:numPr>
          <w:ilvl w:val="0"/>
          <w:numId w:val="6"/>
        </w:numPr>
        <w:tabs>
          <w:tab w:val="left" w:pos="907"/>
        </w:tabs>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所投产品属于《节能产品政府采购品目清单》或《环境标志产品政府采购品目清单》的，供应商应如实填写《节能产品或环境标志产品列价表》并提供在有效期内的“节能产品认证证书”或“环境标志产品认证证书”。</w:t>
      </w:r>
    </w:p>
    <w:p>
      <w:pPr>
        <w:widowControl w:val="0"/>
        <w:numPr>
          <w:ilvl w:val="0"/>
          <w:numId w:val="6"/>
        </w:numPr>
        <w:tabs>
          <w:tab w:val="left" w:pos="907"/>
        </w:tabs>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供应商所投节能产品或环境标志产品其认证证书的认证机构应属于《市场监管总局关于发布参与实施政府采购节能产品、环境标志产品认证机构名录的公告（2019年第16号）》公告中所公示的认证机构，若供应商所提供的产品认证证书其认证机构不属于以上公示中的机构，则视为无效认证，不给予价格扣除优惠。</w:t>
      </w:r>
    </w:p>
    <w:p>
      <w:pPr>
        <w:widowControl w:val="0"/>
        <w:numPr>
          <w:ilvl w:val="0"/>
          <w:numId w:val="6"/>
        </w:numPr>
        <w:tabs>
          <w:tab w:val="left" w:pos="907"/>
        </w:tabs>
        <w:adjustRightInd/>
        <w:snapToGrid/>
        <w:spacing w:after="0" w:line="400" w:lineRule="exact"/>
        <w:ind w:left="567"/>
        <w:jc w:val="both"/>
        <w:rPr>
          <w:rFonts w:ascii="宋体" w:hAnsi="宋体" w:eastAsia="宋体"/>
          <w:sz w:val="21"/>
          <w:szCs w:val="21"/>
        </w:rPr>
      </w:pPr>
      <w:r>
        <w:rPr>
          <w:rFonts w:hint="eastAsia" w:ascii="宋体" w:hAnsi="宋体" w:eastAsia="宋体"/>
          <w:sz w:val="21"/>
          <w:szCs w:val="21"/>
        </w:rPr>
        <w:t>若用户需求中含有《节能产品政府采购品目清单》中的政府强制采购产品，供应商应根据要求提供所对应的节能产品，否则做响应无效处理。</w:t>
      </w:r>
    </w:p>
    <w:p>
      <w:pPr>
        <w:widowControl w:val="0"/>
        <w:tabs>
          <w:tab w:val="left" w:pos="907"/>
        </w:tabs>
        <w:adjustRightInd/>
        <w:snapToGrid/>
        <w:spacing w:after="0" w:line="400" w:lineRule="exact"/>
        <w:ind w:left="567"/>
        <w:jc w:val="both"/>
        <w:rPr>
          <w:rFonts w:ascii="宋体" w:hAnsi="宋体" w:eastAsia="宋体"/>
          <w:sz w:val="21"/>
          <w:szCs w:val="21"/>
        </w:rPr>
      </w:pPr>
    </w:p>
    <w:p>
      <w:pPr>
        <w:pStyle w:val="7"/>
        <w:widowControl w:val="0"/>
        <w:overflowPunct w:val="0"/>
        <w:spacing w:before="0" w:after="0" w:line="400" w:lineRule="exact"/>
        <w:rPr>
          <w:rFonts w:ascii="宋体" w:hAnsi="宋体" w:eastAsia="宋体"/>
          <w:sz w:val="21"/>
          <w:szCs w:val="21"/>
        </w:rPr>
      </w:pPr>
      <w:bookmarkStart w:id="94" w:name="_Toc316375620"/>
      <w:bookmarkStart w:id="95" w:name="_Toc382049120"/>
      <w:bookmarkStart w:id="96" w:name="_Toc20328"/>
      <w:bookmarkStart w:id="97" w:name="_Toc25030"/>
      <w:bookmarkStart w:id="98" w:name="_Toc30573"/>
      <w:r>
        <w:rPr>
          <w:rFonts w:hint="eastAsia" w:ascii="宋体" w:hAnsi="宋体" w:eastAsia="宋体"/>
          <w:sz w:val="21"/>
          <w:szCs w:val="21"/>
        </w:rPr>
        <w:t>28.纪律和</w:t>
      </w:r>
      <w:r>
        <w:rPr>
          <w:rFonts w:ascii="宋体" w:hAnsi="宋体" w:eastAsia="宋体"/>
          <w:sz w:val="21"/>
          <w:szCs w:val="21"/>
        </w:rPr>
        <w:t>保密</w:t>
      </w:r>
      <w:bookmarkEnd w:id="94"/>
      <w:r>
        <w:rPr>
          <w:rFonts w:hint="eastAsia" w:ascii="宋体" w:hAnsi="宋体" w:eastAsia="宋体"/>
          <w:sz w:val="21"/>
          <w:szCs w:val="21"/>
        </w:rPr>
        <w:t>事项</w:t>
      </w:r>
      <w:bookmarkEnd w:id="95"/>
      <w:bookmarkEnd w:id="96"/>
      <w:bookmarkEnd w:id="97"/>
      <w:bookmarkEnd w:id="98"/>
    </w:p>
    <w:p>
      <w:pPr>
        <w:pStyle w:val="27"/>
        <w:widowControl w:val="0"/>
        <w:numPr>
          <w:ilvl w:val="0"/>
          <w:numId w:val="2"/>
        </w:numPr>
        <w:tabs>
          <w:tab w:val="left" w:pos="907"/>
        </w:tabs>
        <w:adjustRightInd/>
        <w:snapToGrid/>
        <w:spacing w:after="0" w:line="400" w:lineRule="exact"/>
        <w:ind w:firstLineChars="0"/>
        <w:jc w:val="both"/>
        <w:rPr>
          <w:rFonts w:ascii="宋体" w:hAnsi="宋体" w:eastAsia="宋体"/>
          <w:vanish/>
          <w:sz w:val="21"/>
          <w:szCs w:val="21"/>
        </w:rPr>
      </w:pP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采购全过程期间，在响应文件的审查、澄清、比较和评价阶段，供应商试图对磋商小组和采购代理机构施加任何影响或对采购人的比较及授予合同的决定产生影响，都可能导致其响应文件被拒绝。</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供应商不得串通作弊，以不正当的手段妨碍、排挤其他供应商，扰乱市场，破坏公平竞争原则。否则将按相关法律规定严肃处理。</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获得本磋商文件的供应商，应对文件进行保密，不得用作本次响应以外的任何用途。签到后，供应商应归还磋商文件中要求保密的文件和资料。</w:t>
      </w:r>
    </w:p>
    <w:p>
      <w:pPr>
        <w:spacing w:line="400" w:lineRule="exact"/>
      </w:pPr>
    </w:p>
    <w:p>
      <w:pPr>
        <w:pStyle w:val="6"/>
        <w:numPr>
          <w:ilvl w:val="0"/>
          <w:numId w:val="1"/>
        </w:numPr>
        <w:spacing w:before="0" w:after="0" w:line="480" w:lineRule="auto"/>
        <w:jc w:val="center"/>
        <w:rPr>
          <w:rFonts w:ascii="宋体" w:hAnsi="宋体" w:eastAsia="宋体"/>
        </w:rPr>
      </w:pPr>
      <w:bookmarkStart w:id="99" w:name="_Toc20038"/>
      <w:r>
        <w:rPr>
          <w:rFonts w:hint="eastAsia" w:ascii="宋体" w:hAnsi="宋体" w:eastAsia="宋体"/>
        </w:rPr>
        <w:t>授予合同</w:t>
      </w:r>
      <w:bookmarkEnd w:id="99"/>
    </w:p>
    <w:p>
      <w:pPr>
        <w:pStyle w:val="7"/>
        <w:widowControl w:val="0"/>
        <w:overflowPunct w:val="0"/>
        <w:spacing w:before="0" w:after="0" w:line="400" w:lineRule="exact"/>
        <w:rPr>
          <w:rFonts w:ascii="宋体" w:hAnsi="宋体" w:eastAsia="宋体"/>
          <w:sz w:val="21"/>
          <w:szCs w:val="21"/>
        </w:rPr>
      </w:pPr>
      <w:bookmarkStart w:id="100" w:name="_Toc508284011"/>
      <w:bookmarkStart w:id="101" w:name="_Toc21560"/>
      <w:bookmarkStart w:id="102" w:name="_Toc27383"/>
      <w:r>
        <w:rPr>
          <w:rFonts w:hint="eastAsia" w:ascii="宋体" w:hAnsi="宋体" w:eastAsia="宋体"/>
          <w:sz w:val="21"/>
          <w:szCs w:val="21"/>
        </w:rPr>
        <w:t>29.</w:t>
      </w:r>
      <w:bookmarkEnd w:id="100"/>
      <w:r>
        <w:rPr>
          <w:rFonts w:hint="eastAsia" w:ascii="宋体" w:hAnsi="宋体" w:eastAsia="宋体"/>
          <w:sz w:val="21"/>
          <w:szCs w:val="21"/>
        </w:rPr>
        <w:t>确定成交</w:t>
      </w:r>
      <w:bookmarkEnd w:id="101"/>
      <w:bookmarkEnd w:id="102"/>
    </w:p>
    <w:p>
      <w:pPr>
        <w:pStyle w:val="27"/>
        <w:widowControl w:val="0"/>
        <w:numPr>
          <w:ilvl w:val="0"/>
          <w:numId w:val="2"/>
        </w:numPr>
        <w:tabs>
          <w:tab w:val="left" w:pos="907"/>
        </w:tabs>
        <w:adjustRightInd/>
        <w:snapToGrid/>
        <w:spacing w:after="0" w:line="400" w:lineRule="exact"/>
        <w:ind w:firstLineChars="0"/>
        <w:jc w:val="both"/>
        <w:rPr>
          <w:rFonts w:ascii="宋体" w:hAnsi="宋体" w:eastAsia="宋体"/>
          <w:vanish/>
          <w:sz w:val="21"/>
          <w:szCs w:val="21"/>
        </w:rPr>
      </w:pP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磋商小组完成评审工作后，出具评审报告，推荐3名以上成交候选供应商。符合法律法规允许的情况的，可以推荐2家成交候选供应商。</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采购人从成交候选供应商名单中按照综合得分排序确定1名成交供应商</w:t>
      </w:r>
      <w:r>
        <w:rPr>
          <w:rFonts w:ascii="宋体" w:hAnsi="宋体" w:eastAsia="宋体"/>
          <w:sz w:val="21"/>
          <w:szCs w:val="21"/>
        </w:rPr>
        <w:t>。</w:t>
      </w:r>
    </w:p>
    <w:p>
      <w:pPr>
        <w:spacing w:line="400" w:lineRule="exact"/>
      </w:pPr>
    </w:p>
    <w:p>
      <w:pPr>
        <w:pStyle w:val="7"/>
        <w:widowControl w:val="0"/>
        <w:overflowPunct w:val="0"/>
        <w:spacing w:before="0" w:after="0" w:line="400" w:lineRule="exact"/>
        <w:rPr>
          <w:rFonts w:ascii="宋体" w:hAnsi="宋体" w:eastAsia="宋体"/>
          <w:sz w:val="21"/>
          <w:szCs w:val="21"/>
        </w:rPr>
      </w:pPr>
      <w:bookmarkStart w:id="103" w:name="_Toc24851"/>
      <w:bookmarkStart w:id="104" w:name="_Toc508284013"/>
      <w:bookmarkStart w:id="105" w:name="_Toc2468"/>
      <w:r>
        <w:rPr>
          <w:rFonts w:hint="eastAsia" w:ascii="宋体" w:hAnsi="宋体" w:eastAsia="宋体"/>
          <w:sz w:val="21"/>
          <w:szCs w:val="21"/>
        </w:rPr>
        <w:t>30.发布采购结果</w:t>
      </w:r>
      <w:bookmarkEnd w:id="103"/>
      <w:bookmarkEnd w:id="104"/>
      <w:bookmarkEnd w:id="105"/>
    </w:p>
    <w:p>
      <w:pPr>
        <w:pStyle w:val="27"/>
        <w:widowControl w:val="0"/>
        <w:numPr>
          <w:ilvl w:val="0"/>
          <w:numId w:val="2"/>
        </w:numPr>
        <w:tabs>
          <w:tab w:val="left" w:pos="907"/>
        </w:tabs>
        <w:adjustRightInd/>
        <w:snapToGrid/>
        <w:spacing w:after="0" w:line="400" w:lineRule="exact"/>
        <w:ind w:firstLineChars="0"/>
        <w:jc w:val="both"/>
        <w:rPr>
          <w:rFonts w:ascii="宋体" w:hAnsi="宋体" w:eastAsia="宋体"/>
          <w:vanish/>
          <w:sz w:val="21"/>
          <w:szCs w:val="21"/>
        </w:rPr>
      </w:pP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磋商小组提出评审书面报告和推荐成交意见报采购人确认后，采购代理机构将在指定的信息发布媒体上发布公告。</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成交公告期限为1个工作日。</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结果公示发布后，成交单位应及时领取成交通知书。《成交通知书》是合同的一个组成部分，《成交通知书》对采购人和成交供应商均具有同等法律效力。</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成交供应商无正当理由不得放弃成交，因成交供应商放弃成交而对采购人造成的损失由放弃成交的成交供应商承担。</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成交供应商为残疾人福利性单位的，采购人或者其委托的采购代理机构应当随成交、成交结果同时公告其《残疾人福利性单位声明函》，接受社会监督。</w:t>
      </w:r>
    </w:p>
    <w:p>
      <w:pPr>
        <w:widowControl w:val="0"/>
        <w:numPr>
          <w:ilvl w:val="1"/>
          <w:numId w:val="2"/>
        </w:numPr>
        <w:tabs>
          <w:tab w:val="left" w:pos="907"/>
        </w:tabs>
        <w:adjustRightInd/>
        <w:snapToGrid/>
        <w:spacing w:after="0" w:line="400" w:lineRule="exact"/>
        <w:jc w:val="both"/>
        <w:rPr>
          <w:rFonts w:ascii="宋体" w:hAnsi="宋体" w:eastAsia="宋体"/>
          <w:b/>
          <w:bCs/>
          <w:sz w:val="21"/>
          <w:szCs w:val="21"/>
        </w:rPr>
      </w:pPr>
      <w:r>
        <w:rPr>
          <w:rFonts w:hint="eastAsia" w:ascii="宋体" w:hAnsi="宋体" w:eastAsia="宋体"/>
          <w:b/>
          <w:bCs/>
          <w:sz w:val="21"/>
          <w:szCs w:val="21"/>
        </w:rPr>
        <w:t>原件核查</w:t>
      </w:r>
    </w:p>
    <w:p>
      <w:pPr>
        <w:widowControl w:val="0"/>
        <w:numPr>
          <w:ilvl w:val="2"/>
          <w:numId w:val="2"/>
        </w:numPr>
        <w:tabs>
          <w:tab w:val="left" w:pos="567"/>
          <w:tab w:val="left" w:pos="907"/>
          <w:tab w:val="clear" w:pos="794"/>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采购结果发布后，采购代理机构或采购人有权对成交单位进行原件核查，成交单位应在五个工作日内把相关原件递交至采购代理机构办公地址或采购人指定地址进行核查。</w:t>
      </w:r>
    </w:p>
    <w:p>
      <w:pPr>
        <w:widowControl w:val="0"/>
        <w:numPr>
          <w:ilvl w:val="2"/>
          <w:numId w:val="2"/>
        </w:numPr>
        <w:tabs>
          <w:tab w:val="left" w:pos="567"/>
          <w:tab w:val="left" w:pos="907"/>
          <w:tab w:val="clear" w:pos="794"/>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成交单位有下列情形之一的，取消成交资格：</w:t>
      </w:r>
    </w:p>
    <w:p>
      <w:pPr>
        <w:widowControl w:val="0"/>
        <w:numPr>
          <w:ilvl w:val="0"/>
          <w:numId w:val="7"/>
        </w:numPr>
        <w:tabs>
          <w:tab w:val="left" w:pos="567"/>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拒绝采购人或采购代理机构原件核查要求的；</w:t>
      </w:r>
    </w:p>
    <w:p>
      <w:pPr>
        <w:widowControl w:val="0"/>
        <w:numPr>
          <w:ilvl w:val="0"/>
          <w:numId w:val="7"/>
        </w:numPr>
        <w:tabs>
          <w:tab w:val="left" w:pos="567"/>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未在规定时间内将原件递交到到采购代理机构办公地址或采购人指定地址进行核查的；</w:t>
      </w:r>
    </w:p>
    <w:p>
      <w:pPr>
        <w:widowControl w:val="0"/>
        <w:numPr>
          <w:ilvl w:val="0"/>
          <w:numId w:val="7"/>
        </w:numPr>
        <w:tabs>
          <w:tab w:val="left" w:pos="567"/>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在规定时间内递交的原件数量、内容与采购人、采购代理机构要求不一致的；</w:t>
      </w:r>
    </w:p>
    <w:p>
      <w:pPr>
        <w:widowControl w:val="0"/>
        <w:numPr>
          <w:ilvl w:val="0"/>
          <w:numId w:val="7"/>
        </w:numPr>
        <w:tabs>
          <w:tab w:val="left" w:pos="567"/>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因原件续期、更改等原因不能按时递交原件且未能在规定时间内提供相应部门开具的变更、续期等证明的；</w:t>
      </w:r>
    </w:p>
    <w:p>
      <w:pPr>
        <w:widowControl w:val="0"/>
        <w:numPr>
          <w:ilvl w:val="0"/>
          <w:numId w:val="7"/>
        </w:numPr>
        <w:tabs>
          <w:tab w:val="left" w:pos="567"/>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经查原件，响应文件内容有造假行为的。</w:t>
      </w:r>
    </w:p>
    <w:p>
      <w:pPr>
        <w:widowControl w:val="0"/>
        <w:numPr>
          <w:ilvl w:val="2"/>
          <w:numId w:val="2"/>
        </w:numPr>
        <w:tabs>
          <w:tab w:val="left" w:pos="567"/>
          <w:tab w:val="left" w:pos="907"/>
          <w:tab w:val="clear" w:pos="794"/>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采购结果发布后，采购代理机构或采购人有权对递交了响应文件的未成交供应商进行原件核查。供应商应在采购代理机构或采购人发出纸质通知五个工作日内将原件递交到采购代理机构办公地址或采购人指定地址进行核查。</w:t>
      </w:r>
    </w:p>
    <w:p>
      <w:pPr>
        <w:widowControl w:val="0"/>
        <w:numPr>
          <w:ilvl w:val="2"/>
          <w:numId w:val="2"/>
        </w:numPr>
        <w:tabs>
          <w:tab w:val="left" w:pos="567"/>
          <w:tab w:val="left" w:pos="907"/>
          <w:tab w:val="clear" w:pos="794"/>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供应商有下列情形之一的，响应文件作无效处理，其响应无效：</w:t>
      </w:r>
    </w:p>
    <w:p>
      <w:pPr>
        <w:widowControl w:val="0"/>
        <w:numPr>
          <w:ilvl w:val="0"/>
          <w:numId w:val="8"/>
        </w:numPr>
        <w:tabs>
          <w:tab w:val="left" w:pos="567"/>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拒绝采购人或采购代理机构原件核查要求的；</w:t>
      </w:r>
    </w:p>
    <w:p>
      <w:pPr>
        <w:widowControl w:val="0"/>
        <w:numPr>
          <w:ilvl w:val="0"/>
          <w:numId w:val="8"/>
        </w:numPr>
        <w:tabs>
          <w:tab w:val="left" w:pos="567"/>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未在规定时间内将原件递交到到采购代理机构办公地址或采购人指定地址进行核查的；</w:t>
      </w:r>
    </w:p>
    <w:p>
      <w:pPr>
        <w:widowControl w:val="0"/>
        <w:numPr>
          <w:ilvl w:val="0"/>
          <w:numId w:val="8"/>
        </w:numPr>
        <w:tabs>
          <w:tab w:val="left" w:pos="567"/>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在规定时间内递交的原件数量、内容不符合采购人、采购代理机构要求的；</w:t>
      </w:r>
    </w:p>
    <w:p>
      <w:pPr>
        <w:widowControl w:val="0"/>
        <w:numPr>
          <w:ilvl w:val="0"/>
          <w:numId w:val="8"/>
        </w:numPr>
        <w:tabs>
          <w:tab w:val="left" w:pos="567"/>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因原件续期、更改等原因不能按时递交原件且未能在规定时间内提供相应部门开具的变更、续期等证明的；</w:t>
      </w:r>
    </w:p>
    <w:p>
      <w:pPr>
        <w:widowControl w:val="0"/>
        <w:numPr>
          <w:ilvl w:val="0"/>
          <w:numId w:val="8"/>
        </w:numPr>
        <w:tabs>
          <w:tab w:val="left" w:pos="567"/>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经查原件，响应文件内容有造假行为的。</w:t>
      </w:r>
    </w:p>
    <w:p>
      <w:pPr>
        <w:widowControl w:val="0"/>
        <w:numPr>
          <w:ilvl w:val="2"/>
          <w:numId w:val="2"/>
        </w:numPr>
        <w:tabs>
          <w:tab w:val="left" w:pos="567"/>
          <w:tab w:val="left" w:pos="907"/>
          <w:tab w:val="clear" w:pos="794"/>
        </w:tabs>
        <w:adjustRightInd/>
        <w:snapToGrid/>
        <w:spacing w:after="0" w:line="400" w:lineRule="exact"/>
        <w:jc w:val="both"/>
        <w:rPr>
          <w:rFonts w:ascii="宋体" w:hAnsi="宋体" w:eastAsia="宋体"/>
          <w:b/>
          <w:bCs/>
          <w:sz w:val="21"/>
          <w:szCs w:val="21"/>
        </w:rPr>
      </w:pPr>
      <w:r>
        <w:rPr>
          <w:rFonts w:hint="eastAsia" w:ascii="宋体" w:hAnsi="宋体" w:eastAsia="宋体"/>
          <w:b/>
          <w:bCs/>
          <w:sz w:val="21"/>
          <w:szCs w:val="21"/>
        </w:rPr>
        <w:t>若供应商出现虚假应标情况，响应文件作无效处理，其响应、成交无效。并根据相关法律上报相关监管部门。</w:t>
      </w:r>
    </w:p>
    <w:p>
      <w:pPr>
        <w:widowControl w:val="0"/>
        <w:numPr>
          <w:ilvl w:val="2"/>
          <w:numId w:val="2"/>
        </w:numPr>
        <w:tabs>
          <w:tab w:val="left" w:pos="567"/>
          <w:tab w:val="left" w:pos="907"/>
          <w:tab w:val="clear" w:pos="794"/>
        </w:tabs>
        <w:adjustRightInd/>
        <w:snapToGrid/>
        <w:spacing w:after="0" w:line="400" w:lineRule="exact"/>
        <w:jc w:val="both"/>
      </w:pPr>
      <w:r>
        <w:rPr>
          <w:rFonts w:hint="eastAsia" w:ascii="宋体" w:hAnsi="宋体" w:eastAsia="宋体"/>
          <w:sz w:val="21"/>
          <w:szCs w:val="21"/>
        </w:rPr>
        <w:t>属于建办市函[2016]462号通知内的证件可不提供原件，仅提供带二维码原件的复印件即可。</w:t>
      </w:r>
    </w:p>
    <w:p>
      <w:pPr>
        <w:spacing w:line="400" w:lineRule="exact"/>
      </w:pPr>
    </w:p>
    <w:p>
      <w:pPr>
        <w:pStyle w:val="7"/>
        <w:widowControl w:val="0"/>
        <w:overflowPunct w:val="0"/>
        <w:spacing w:before="0" w:after="0" w:line="400" w:lineRule="exact"/>
        <w:rPr>
          <w:rFonts w:ascii="宋体" w:hAnsi="宋体" w:eastAsia="宋体"/>
          <w:sz w:val="21"/>
          <w:szCs w:val="21"/>
        </w:rPr>
      </w:pPr>
      <w:bookmarkStart w:id="106" w:name="_Toc7001"/>
      <w:bookmarkStart w:id="107" w:name="_Toc1555"/>
      <w:r>
        <w:rPr>
          <w:rFonts w:hint="eastAsia" w:ascii="宋体" w:hAnsi="宋体" w:eastAsia="宋体"/>
          <w:sz w:val="21"/>
          <w:szCs w:val="21"/>
        </w:rPr>
        <w:t>31.合同的签订与履行</w:t>
      </w:r>
      <w:bookmarkEnd w:id="106"/>
      <w:bookmarkEnd w:id="107"/>
    </w:p>
    <w:p>
      <w:pPr>
        <w:pStyle w:val="27"/>
        <w:widowControl w:val="0"/>
        <w:numPr>
          <w:ilvl w:val="0"/>
          <w:numId w:val="2"/>
        </w:numPr>
        <w:tabs>
          <w:tab w:val="left" w:pos="907"/>
        </w:tabs>
        <w:adjustRightInd/>
        <w:snapToGrid/>
        <w:spacing w:after="0" w:line="400" w:lineRule="exact"/>
        <w:ind w:firstLineChars="0"/>
        <w:jc w:val="both"/>
        <w:rPr>
          <w:rFonts w:ascii="宋体" w:hAnsi="宋体" w:eastAsia="宋体"/>
          <w:vanish/>
          <w:sz w:val="21"/>
          <w:szCs w:val="21"/>
        </w:rPr>
      </w:pP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采购人应当自采购结果公示发出之日起30日内，按照磋商文件和成交供应商响应文件的规定，与成交供应商签订书面合同。所签订的合同不得对磋商文件确定的事项和成交供应商响应文件作实质性修改。</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采购人与成交供应商应当根据合同的约定依法履行合同义务。</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政府采购合同的履行、违约责任和解决争议的方法等适用《中华人民共和国民法典》。</w:t>
      </w:r>
    </w:p>
    <w:p>
      <w:pPr>
        <w:widowControl w:val="0"/>
        <w:numPr>
          <w:ilvl w:val="1"/>
          <w:numId w:val="2"/>
        </w:numPr>
        <w:tabs>
          <w:tab w:val="left" w:pos="907"/>
        </w:tabs>
        <w:adjustRightInd/>
        <w:snapToGrid/>
        <w:spacing w:after="0" w:line="400" w:lineRule="exact"/>
        <w:jc w:val="both"/>
        <w:rPr>
          <w:rFonts w:ascii="宋体" w:hAnsi="宋体" w:eastAsia="宋体"/>
          <w:b/>
          <w:sz w:val="21"/>
          <w:szCs w:val="21"/>
        </w:rPr>
      </w:pPr>
      <w:r>
        <w:rPr>
          <w:rFonts w:hint="eastAsia" w:ascii="宋体" w:hAnsi="宋体" w:eastAsia="宋体"/>
          <w:b/>
          <w:sz w:val="21"/>
          <w:szCs w:val="21"/>
        </w:rPr>
        <w:t>合同签订之日起2个工作日内，成交供应商应将所签订的合同副本（加盖公章）交至三方诚信招标有限公司东莞分公司归档。</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widowControl w:val="0"/>
        <w:numPr>
          <w:ilvl w:val="1"/>
          <w:numId w:val="2"/>
        </w:numPr>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成交供应商在评审结束当天至合同履行结束，若因不可抗力的因素（如国家出台新法律法规等）造成供应商资质的变动，供应商应以纸质版形式通知采购人。若资质变动导致成交供应商不再具备履行合同资质要求，采购人有权中止合同。</w:t>
      </w:r>
    </w:p>
    <w:p>
      <w:pPr>
        <w:widowControl w:val="0"/>
        <w:numPr>
          <w:ilvl w:val="1"/>
          <w:numId w:val="2"/>
        </w:numPr>
        <w:tabs>
          <w:tab w:val="left" w:pos="907"/>
        </w:tabs>
        <w:adjustRightInd/>
        <w:snapToGrid/>
        <w:spacing w:after="0" w:line="400" w:lineRule="exact"/>
        <w:jc w:val="both"/>
      </w:pPr>
      <w:r>
        <w:rPr>
          <w:rFonts w:hint="eastAsia" w:ascii="宋体" w:hAnsi="宋体" w:eastAsia="宋体"/>
          <w:sz w:val="21"/>
          <w:szCs w:val="21"/>
        </w:rPr>
        <w:t>成交供应商拒绝与采购人签订合同的，采购人可以按照评审报告推荐的成交候选人名单排序，确定下一候选人为成交供应商，也可以重新开展政府采购活动。</w:t>
      </w:r>
    </w:p>
    <w:p>
      <w:pPr>
        <w:pStyle w:val="2"/>
        <w:spacing w:line="400" w:lineRule="exact"/>
      </w:pPr>
    </w:p>
    <w:p>
      <w:pPr>
        <w:pStyle w:val="7"/>
        <w:widowControl w:val="0"/>
        <w:overflowPunct w:val="0"/>
        <w:spacing w:before="0" w:after="0" w:line="400" w:lineRule="exact"/>
        <w:rPr>
          <w:rFonts w:ascii="宋体" w:hAnsi="宋体" w:eastAsia="宋体"/>
          <w:sz w:val="21"/>
          <w:szCs w:val="21"/>
        </w:rPr>
      </w:pPr>
      <w:bookmarkStart w:id="108" w:name="_Toc9041"/>
      <w:r>
        <w:rPr>
          <w:rFonts w:hint="eastAsia" w:ascii="宋体" w:hAnsi="宋体" w:eastAsia="宋体"/>
          <w:sz w:val="21"/>
          <w:szCs w:val="21"/>
        </w:rPr>
        <w:t>32.履约保证金</w:t>
      </w:r>
      <w:bookmarkEnd w:id="108"/>
    </w:p>
    <w:p>
      <w:pPr>
        <w:widowControl w:val="0"/>
        <w:tabs>
          <w:tab w:val="left" w:pos="907"/>
        </w:tabs>
        <w:adjustRightInd/>
        <w:snapToGrid/>
        <w:spacing w:after="0" w:line="400" w:lineRule="exact"/>
        <w:ind w:left="630" w:hanging="630" w:hangingChars="300"/>
        <w:jc w:val="both"/>
        <w:rPr>
          <w:rFonts w:ascii="宋体" w:hAnsi="宋体" w:eastAsia="宋体"/>
          <w:sz w:val="21"/>
          <w:szCs w:val="21"/>
        </w:rPr>
      </w:pPr>
      <w:r>
        <w:rPr>
          <w:rFonts w:hint="eastAsia" w:ascii="宋体" w:hAnsi="宋体" w:eastAsia="宋体"/>
          <w:sz w:val="21"/>
          <w:szCs w:val="21"/>
        </w:rPr>
        <w:t>32.1. 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widowControl w:val="0"/>
        <w:tabs>
          <w:tab w:val="left" w:pos="907"/>
        </w:tabs>
        <w:adjustRightInd/>
        <w:snapToGrid/>
        <w:spacing w:after="0" w:line="400" w:lineRule="exact"/>
        <w:ind w:left="659" w:leftChars="13" w:hanging="630" w:hangingChars="300"/>
        <w:jc w:val="both"/>
        <w:rPr>
          <w:rFonts w:ascii="宋体" w:hAnsi="宋体" w:eastAsia="宋体"/>
          <w:sz w:val="21"/>
          <w:szCs w:val="21"/>
        </w:rPr>
      </w:pPr>
      <w:r>
        <w:rPr>
          <w:rFonts w:hint="eastAsia" w:ascii="宋体" w:hAnsi="宋体" w:eastAsia="宋体"/>
          <w:sz w:val="21"/>
          <w:szCs w:val="21"/>
        </w:rPr>
        <w:t>32.2. 采用保证金（银行转账、电汇）方式：成交单位必须保证资金在签订合同前到账。履约保证金账户采购人另行通知，到期后无息退还。</w:t>
      </w:r>
    </w:p>
    <w:p>
      <w:pPr>
        <w:widowControl w:val="0"/>
        <w:tabs>
          <w:tab w:val="left" w:pos="907"/>
        </w:tabs>
        <w:adjustRightInd/>
        <w:snapToGrid/>
        <w:spacing w:after="0" w:line="400" w:lineRule="exact"/>
        <w:ind w:left="630" w:hanging="630" w:hangingChars="300"/>
        <w:jc w:val="both"/>
        <w:rPr>
          <w:rFonts w:ascii="宋体" w:hAnsi="宋体" w:eastAsia="宋体"/>
          <w:sz w:val="21"/>
          <w:szCs w:val="21"/>
        </w:rPr>
      </w:pPr>
      <w:r>
        <w:rPr>
          <w:rFonts w:hint="eastAsia" w:ascii="宋体" w:hAnsi="宋体" w:eastAsia="宋体"/>
          <w:sz w:val="21"/>
          <w:szCs w:val="21"/>
        </w:rPr>
        <w:t>32.3. 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政府采购担保函》）</w:t>
      </w:r>
    </w:p>
    <w:p>
      <w:pPr>
        <w:widowControl w:val="0"/>
        <w:tabs>
          <w:tab w:val="left" w:pos="907"/>
        </w:tabs>
        <w:adjustRightInd/>
        <w:snapToGrid/>
        <w:spacing w:after="0" w:line="400" w:lineRule="exact"/>
        <w:ind w:left="630" w:hanging="630" w:hangingChars="300"/>
        <w:jc w:val="both"/>
        <w:rPr>
          <w:rFonts w:ascii="宋体" w:hAnsi="宋体" w:eastAsia="宋体"/>
          <w:sz w:val="21"/>
          <w:szCs w:val="21"/>
        </w:rPr>
      </w:pPr>
      <w:r>
        <w:rPr>
          <w:rFonts w:hint="eastAsia" w:ascii="宋体" w:hAnsi="宋体" w:eastAsia="宋体"/>
          <w:sz w:val="21"/>
          <w:szCs w:val="21"/>
        </w:rPr>
        <w:t>32.4. 成交单位须将履约保证金的汇款凭证 (注明成交通知书或项目编号)或履约保函（采购人注明原件已收到并盖章）用A4纸复印一式四份并加盖成交单位的公章送至采购代理机构。</w:t>
      </w:r>
    </w:p>
    <w:p>
      <w:pPr>
        <w:widowControl w:val="0"/>
        <w:tabs>
          <w:tab w:val="left" w:pos="907"/>
        </w:tabs>
        <w:adjustRightInd/>
        <w:snapToGrid/>
        <w:spacing w:after="0" w:line="400" w:lineRule="exact"/>
        <w:ind w:left="630" w:hanging="630" w:hangingChars="300"/>
        <w:jc w:val="both"/>
        <w:rPr>
          <w:rFonts w:ascii="宋体" w:hAnsi="宋体" w:eastAsia="宋体"/>
          <w:sz w:val="21"/>
          <w:szCs w:val="21"/>
        </w:rPr>
      </w:pPr>
      <w:r>
        <w:rPr>
          <w:rFonts w:hint="eastAsia" w:ascii="宋体" w:hAnsi="宋体" w:eastAsia="宋体"/>
          <w:sz w:val="21"/>
          <w:szCs w:val="21"/>
        </w:rPr>
        <w:t>32.5. 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p>
    <w:p>
      <w:pPr>
        <w:spacing w:line="400" w:lineRule="exact"/>
      </w:pPr>
    </w:p>
    <w:p>
      <w:pPr>
        <w:pStyle w:val="6"/>
        <w:numPr>
          <w:ilvl w:val="0"/>
          <w:numId w:val="1"/>
        </w:numPr>
        <w:spacing w:before="0" w:after="0" w:line="480" w:lineRule="auto"/>
        <w:jc w:val="center"/>
        <w:rPr>
          <w:rFonts w:ascii="宋体" w:hAnsi="宋体" w:eastAsia="宋体"/>
        </w:rPr>
      </w:pPr>
      <w:bookmarkStart w:id="109" w:name="_Toc17979"/>
      <w:r>
        <w:rPr>
          <w:rFonts w:hint="eastAsia" w:ascii="宋体" w:hAnsi="宋体" w:eastAsia="宋体"/>
        </w:rPr>
        <w:t>其他</w:t>
      </w:r>
      <w:bookmarkEnd w:id="109"/>
    </w:p>
    <w:p>
      <w:pPr>
        <w:pStyle w:val="7"/>
        <w:widowControl w:val="0"/>
        <w:overflowPunct w:val="0"/>
        <w:spacing w:before="0" w:after="0" w:line="400" w:lineRule="exact"/>
        <w:rPr>
          <w:rFonts w:ascii="宋体" w:hAnsi="宋体" w:eastAsia="宋体"/>
          <w:sz w:val="21"/>
          <w:szCs w:val="21"/>
        </w:rPr>
      </w:pPr>
      <w:bookmarkStart w:id="110" w:name="_Toc32390"/>
      <w:bookmarkStart w:id="111" w:name="_Toc28585"/>
      <w:r>
        <w:rPr>
          <w:rFonts w:hint="eastAsia" w:ascii="宋体" w:hAnsi="宋体" w:eastAsia="宋体"/>
          <w:sz w:val="21"/>
          <w:szCs w:val="21"/>
        </w:rPr>
        <w:t>35.磋商文件的解释权</w:t>
      </w:r>
      <w:bookmarkEnd w:id="110"/>
      <w:bookmarkEnd w:id="111"/>
    </w:p>
    <w:p>
      <w:pPr>
        <w:pStyle w:val="27"/>
        <w:widowControl w:val="0"/>
        <w:numPr>
          <w:ilvl w:val="0"/>
          <w:numId w:val="2"/>
        </w:numPr>
        <w:tabs>
          <w:tab w:val="left" w:pos="907"/>
        </w:tabs>
        <w:adjustRightInd/>
        <w:snapToGrid/>
        <w:spacing w:after="0" w:line="400" w:lineRule="exact"/>
        <w:ind w:firstLineChars="0"/>
        <w:jc w:val="both"/>
        <w:rPr>
          <w:rFonts w:ascii="宋体" w:hAnsi="宋体" w:eastAsia="宋体"/>
          <w:vanish/>
          <w:sz w:val="21"/>
          <w:szCs w:val="21"/>
        </w:rPr>
      </w:pPr>
    </w:p>
    <w:p>
      <w:pPr>
        <w:widowControl w:val="0"/>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35.1.磋商文件版本号：三方诚信20210813。</w:t>
      </w:r>
    </w:p>
    <w:p>
      <w:pPr>
        <w:widowControl w:val="0"/>
        <w:tabs>
          <w:tab w:val="left" w:pos="907"/>
        </w:tabs>
        <w:adjustRightInd/>
        <w:snapToGrid/>
        <w:spacing w:after="0" w:line="400" w:lineRule="exact"/>
        <w:jc w:val="both"/>
        <w:rPr>
          <w:rFonts w:ascii="宋体" w:hAnsi="宋体" w:eastAsia="宋体"/>
          <w:sz w:val="21"/>
          <w:szCs w:val="21"/>
        </w:rPr>
      </w:pPr>
      <w:r>
        <w:rPr>
          <w:rFonts w:hint="eastAsia" w:ascii="宋体" w:hAnsi="宋体" w:eastAsia="宋体"/>
          <w:sz w:val="21"/>
          <w:szCs w:val="21"/>
        </w:rPr>
        <w:t>35.2.本磋商文件是参照国家有关法律、法规以及政府采购管理有关规定和参照国际惯例编制，解释权属本采购代理机构。</w:t>
      </w:r>
    </w:p>
    <w:p>
      <w:pPr>
        <w:widowControl w:val="0"/>
        <w:numPr>
          <w:ilvl w:val="1"/>
          <w:numId w:val="2"/>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br w:type="page"/>
      </w:r>
    </w:p>
    <w:p>
      <w:pPr>
        <w:pStyle w:val="4"/>
        <w:spacing w:before="0" w:after="0" w:line="240" w:lineRule="auto"/>
        <w:rPr>
          <w:sz w:val="28"/>
          <w:szCs w:val="28"/>
        </w:rPr>
      </w:pPr>
      <w:bookmarkStart w:id="112" w:name="_Toc24157"/>
      <w:r>
        <w:rPr>
          <w:rFonts w:hint="eastAsia"/>
          <w:sz w:val="28"/>
          <w:szCs w:val="28"/>
        </w:rPr>
        <w:t>第五部分合同格式（仅供参考）</w:t>
      </w:r>
      <w:bookmarkEnd w:id="112"/>
      <w:bookmarkStart w:id="113" w:name="_Toc21155"/>
      <w:bookmarkStart w:id="114" w:name="_Toc13430"/>
      <w:bookmarkStart w:id="115" w:name="_Toc1534"/>
    </w:p>
    <w:p>
      <w:pPr>
        <w:spacing w:after="0" w:line="360" w:lineRule="auto"/>
        <w:jc w:val="center"/>
        <w:rPr>
          <w:rFonts w:ascii="宋体" w:hAnsi="宋体" w:eastAsia="宋体" w:cs="宋体"/>
        </w:rPr>
      </w:pPr>
      <w:bookmarkStart w:id="116" w:name="_Toc26105"/>
      <w:r>
        <w:rPr>
          <w:rFonts w:hint="eastAsia" w:ascii="宋体" w:hAnsi="宋体" w:eastAsia="宋体" w:cs="宋体"/>
          <w:b/>
          <w:bCs/>
          <w:sz w:val="28"/>
          <w:szCs w:val="28"/>
        </w:rPr>
        <w:t>（本格式编排在磋商文件中，供投标人参考，投标时不需填写）</w:t>
      </w:r>
    </w:p>
    <w:bookmarkEnd w:id="113"/>
    <w:bookmarkEnd w:id="114"/>
    <w:bookmarkEnd w:id="115"/>
    <w:bookmarkEnd w:id="116"/>
    <w:p>
      <w:pPr>
        <w:pStyle w:val="6"/>
        <w:spacing w:before="0" w:after="0" w:line="240" w:lineRule="auto"/>
        <w:jc w:val="center"/>
        <w:rPr>
          <w:rFonts w:ascii="宋体" w:hAnsi="宋体" w:eastAsia="宋体" w:cs="宋体"/>
        </w:rPr>
      </w:pPr>
      <w:r>
        <w:rPr>
          <w:rFonts w:hint="eastAsia" w:ascii="宋体" w:hAnsi="宋体"/>
          <w:sz w:val="28"/>
          <w:szCs w:val="28"/>
        </w:rPr>
        <w:t>消杀服务承包合同书</w:t>
      </w:r>
    </w:p>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6"/>
        <w:gridCol w:w="3005"/>
        <w:gridCol w:w="1257"/>
        <w:gridCol w:w="3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pPr>
              <w:widowControl w:val="0"/>
              <w:spacing w:after="0" w:line="360" w:lineRule="auto"/>
              <w:ind w:left="400" w:hanging="400"/>
              <w:jc w:val="both"/>
              <w:rPr>
                <w:rFonts w:ascii="宋体" w:hAnsi="宋体" w:eastAsia="宋体"/>
                <w:b/>
                <w:sz w:val="21"/>
                <w:szCs w:val="21"/>
              </w:rPr>
            </w:pPr>
            <w:bookmarkStart w:id="117" w:name="_Hlk505627853"/>
            <w:r>
              <w:rPr>
                <w:rFonts w:hint="eastAsia" w:ascii="宋体" w:hAnsi="宋体" w:eastAsia="宋体"/>
                <w:sz w:val="21"/>
                <w:szCs w:val="21"/>
              </w:rPr>
              <w:t>甲方：</w:t>
            </w:r>
          </w:p>
        </w:tc>
        <w:tc>
          <w:tcPr>
            <w:tcW w:w="3254" w:type="dxa"/>
          </w:tcPr>
          <w:p>
            <w:pPr>
              <w:widowControl w:val="0"/>
              <w:spacing w:after="0" w:line="360" w:lineRule="auto"/>
              <w:ind w:left="-29"/>
              <w:jc w:val="both"/>
              <w:rPr>
                <w:rFonts w:ascii="宋体" w:hAnsi="宋体" w:eastAsia="宋体"/>
                <w:b/>
                <w:sz w:val="21"/>
                <w:szCs w:val="21"/>
                <w:u w:val="single"/>
              </w:rPr>
            </w:pPr>
          </w:p>
        </w:tc>
        <w:tc>
          <w:tcPr>
            <w:tcW w:w="1277" w:type="dxa"/>
          </w:tcPr>
          <w:p>
            <w:pPr>
              <w:widowControl w:val="0"/>
              <w:spacing w:after="0" w:line="360" w:lineRule="auto"/>
              <w:ind w:left="400" w:hanging="400"/>
              <w:jc w:val="both"/>
              <w:rPr>
                <w:rFonts w:ascii="宋体" w:hAnsi="宋体" w:eastAsia="宋体"/>
                <w:b/>
                <w:sz w:val="21"/>
                <w:szCs w:val="21"/>
              </w:rPr>
            </w:pPr>
            <w:r>
              <w:rPr>
                <w:rFonts w:hint="eastAsia" w:ascii="宋体" w:hAnsi="宋体" w:eastAsia="宋体"/>
                <w:sz w:val="21"/>
                <w:szCs w:val="21"/>
              </w:rPr>
              <w:t>乙方：</w:t>
            </w:r>
          </w:p>
        </w:tc>
        <w:tc>
          <w:tcPr>
            <w:tcW w:w="3253" w:type="dxa"/>
          </w:tcPr>
          <w:p>
            <w:pPr>
              <w:widowControl w:val="0"/>
              <w:spacing w:after="0" w:line="360" w:lineRule="auto"/>
              <w:ind w:left="44"/>
              <w:jc w:val="both"/>
              <w:rPr>
                <w:rFonts w:ascii="宋体" w:hAnsi="宋体" w:eastAsia="宋体"/>
                <w: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pPr>
              <w:widowControl w:val="0"/>
              <w:spacing w:after="0" w:line="360" w:lineRule="auto"/>
              <w:ind w:left="400" w:hanging="400"/>
              <w:jc w:val="both"/>
              <w:rPr>
                <w:rFonts w:ascii="宋体" w:hAnsi="宋体" w:eastAsia="宋体"/>
                <w:b/>
                <w:sz w:val="21"/>
                <w:szCs w:val="21"/>
              </w:rPr>
            </w:pPr>
            <w:r>
              <w:rPr>
                <w:rFonts w:hint="eastAsia" w:ascii="宋体" w:hAnsi="宋体" w:eastAsia="宋体"/>
                <w:sz w:val="21"/>
                <w:szCs w:val="21"/>
              </w:rPr>
              <w:t>负责人：</w:t>
            </w:r>
          </w:p>
        </w:tc>
        <w:tc>
          <w:tcPr>
            <w:tcW w:w="3254" w:type="dxa"/>
          </w:tcPr>
          <w:p>
            <w:pPr>
              <w:widowControl w:val="0"/>
              <w:spacing w:after="0" w:line="360" w:lineRule="auto"/>
              <w:jc w:val="both"/>
              <w:rPr>
                <w:rFonts w:ascii="宋体" w:hAnsi="宋体" w:eastAsia="宋体"/>
                <w:b/>
                <w:sz w:val="21"/>
                <w:szCs w:val="21"/>
                <w:u w:val="single"/>
              </w:rPr>
            </w:pPr>
          </w:p>
        </w:tc>
        <w:tc>
          <w:tcPr>
            <w:tcW w:w="1277" w:type="dxa"/>
          </w:tcPr>
          <w:p>
            <w:pPr>
              <w:widowControl w:val="0"/>
              <w:spacing w:after="0" w:line="360" w:lineRule="auto"/>
              <w:ind w:left="400" w:hanging="400"/>
              <w:jc w:val="both"/>
              <w:rPr>
                <w:rFonts w:ascii="宋体" w:hAnsi="宋体" w:eastAsia="宋体"/>
                <w:b/>
                <w:sz w:val="21"/>
                <w:szCs w:val="21"/>
              </w:rPr>
            </w:pPr>
            <w:r>
              <w:rPr>
                <w:rFonts w:hint="eastAsia" w:ascii="宋体" w:hAnsi="宋体" w:eastAsia="宋体"/>
                <w:sz w:val="21"/>
                <w:szCs w:val="21"/>
              </w:rPr>
              <w:t>负责人：</w:t>
            </w:r>
          </w:p>
        </w:tc>
        <w:tc>
          <w:tcPr>
            <w:tcW w:w="3253" w:type="dxa"/>
          </w:tcPr>
          <w:p>
            <w:pPr>
              <w:widowControl w:val="0"/>
              <w:spacing w:after="0" w:line="360" w:lineRule="auto"/>
              <w:jc w:val="both"/>
              <w:rPr>
                <w:rFonts w:ascii="宋体" w:hAnsi="宋体" w:eastAsia="宋体"/>
                <w: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276" w:type="dxa"/>
          </w:tcPr>
          <w:p>
            <w:pPr>
              <w:widowControl w:val="0"/>
              <w:spacing w:after="0" w:line="360" w:lineRule="auto"/>
              <w:ind w:left="400" w:hanging="400"/>
              <w:jc w:val="both"/>
              <w:rPr>
                <w:rFonts w:ascii="宋体" w:hAnsi="宋体" w:eastAsia="宋体"/>
                <w:b/>
                <w:sz w:val="21"/>
                <w:szCs w:val="21"/>
              </w:rPr>
            </w:pPr>
            <w:r>
              <w:rPr>
                <w:rFonts w:hint="eastAsia" w:ascii="宋体" w:hAnsi="宋体" w:eastAsia="宋体"/>
                <w:sz w:val="21"/>
                <w:szCs w:val="21"/>
              </w:rPr>
              <w:t>住所地：</w:t>
            </w:r>
          </w:p>
        </w:tc>
        <w:tc>
          <w:tcPr>
            <w:tcW w:w="3254" w:type="dxa"/>
          </w:tcPr>
          <w:p>
            <w:pPr>
              <w:widowControl w:val="0"/>
              <w:spacing w:after="0" w:line="360" w:lineRule="auto"/>
              <w:jc w:val="both"/>
              <w:rPr>
                <w:rFonts w:ascii="宋体" w:hAnsi="宋体" w:eastAsia="宋体"/>
                <w:sz w:val="21"/>
                <w:szCs w:val="21"/>
                <w:u w:val="single"/>
              </w:rPr>
            </w:pPr>
          </w:p>
        </w:tc>
        <w:tc>
          <w:tcPr>
            <w:tcW w:w="1277" w:type="dxa"/>
          </w:tcPr>
          <w:p>
            <w:pPr>
              <w:widowControl w:val="0"/>
              <w:spacing w:after="0" w:line="360" w:lineRule="auto"/>
              <w:ind w:left="400" w:hanging="400"/>
              <w:jc w:val="both"/>
              <w:rPr>
                <w:rFonts w:ascii="宋体" w:hAnsi="宋体" w:eastAsia="宋体"/>
                <w:b/>
                <w:sz w:val="21"/>
                <w:szCs w:val="21"/>
              </w:rPr>
            </w:pPr>
            <w:r>
              <w:rPr>
                <w:rFonts w:hint="eastAsia" w:ascii="宋体" w:hAnsi="宋体" w:eastAsia="宋体"/>
                <w:sz w:val="21"/>
                <w:szCs w:val="21"/>
              </w:rPr>
              <w:t>住所地：</w:t>
            </w:r>
          </w:p>
        </w:tc>
        <w:tc>
          <w:tcPr>
            <w:tcW w:w="3253" w:type="dxa"/>
          </w:tcPr>
          <w:p>
            <w:pPr>
              <w:widowControl w:val="0"/>
              <w:spacing w:after="0" w:line="360" w:lineRule="auto"/>
              <w:ind w:left="44"/>
              <w:jc w:val="both"/>
              <w:rPr>
                <w:rFonts w:ascii="宋体" w:hAnsi="宋体" w:eastAsia="宋体"/>
                <w: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pPr>
              <w:widowControl w:val="0"/>
              <w:spacing w:after="0" w:line="360" w:lineRule="auto"/>
              <w:ind w:left="400" w:hanging="400"/>
              <w:jc w:val="both"/>
              <w:rPr>
                <w:rFonts w:ascii="宋体" w:hAnsi="宋体" w:eastAsia="宋体"/>
                <w:b/>
                <w:sz w:val="21"/>
                <w:szCs w:val="21"/>
              </w:rPr>
            </w:pPr>
            <w:r>
              <w:rPr>
                <w:rFonts w:hint="eastAsia" w:ascii="宋体" w:hAnsi="宋体" w:eastAsia="宋体"/>
                <w:sz w:val="21"/>
                <w:szCs w:val="21"/>
              </w:rPr>
              <w:t>联系电话：</w:t>
            </w:r>
          </w:p>
        </w:tc>
        <w:tc>
          <w:tcPr>
            <w:tcW w:w="3254" w:type="dxa"/>
          </w:tcPr>
          <w:p>
            <w:pPr>
              <w:widowControl w:val="0"/>
              <w:spacing w:after="0" w:line="360" w:lineRule="auto"/>
              <w:jc w:val="both"/>
              <w:rPr>
                <w:rFonts w:ascii="宋体" w:hAnsi="宋体" w:eastAsia="宋体"/>
                <w:b/>
                <w:sz w:val="21"/>
                <w:szCs w:val="21"/>
                <w:u w:val="single"/>
              </w:rPr>
            </w:pPr>
          </w:p>
        </w:tc>
        <w:tc>
          <w:tcPr>
            <w:tcW w:w="1277" w:type="dxa"/>
          </w:tcPr>
          <w:p>
            <w:pPr>
              <w:widowControl w:val="0"/>
              <w:spacing w:after="0" w:line="360" w:lineRule="auto"/>
              <w:ind w:left="400" w:hanging="400"/>
              <w:jc w:val="left"/>
              <w:rPr>
                <w:rFonts w:ascii="宋体" w:hAnsi="宋体" w:eastAsia="宋体"/>
                <w:b/>
                <w:sz w:val="21"/>
                <w:szCs w:val="21"/>
              </w:rPr>
            </w:pPr>
            <w:r>
              <w:rPr>
                <w:rFonts w:hint="eastAsia" w:ascii="宋体" w:hAnsi="宋体" w:eastAsia="宋体"/>
                <w:sz w:val="21"/>
                <w:szCs w:val="21"/>
              </w:rPr>
              <w:t>联系电话：</w:t>
            </w:r>
          </w:p>
        </w:tc>
        <w:tc>
          <w:tcPr>
            <w:tcW w:w="3253" w:type="dxa"/>
          </w:tcPr>
          <w:p>
            <w:pPr>
              <w:widowControl w:val="0"/>
              <w:spacing w:after="0" w:line="360" w:lineRule="auto"/>
              <w:ind w:left="44"/>
              <w:jc w:val="both"/>
              <w:rPr>
                <w:rFonts w:ascii="宋体" w:hAnsi="宋体" w:eastAsia="宋体"/>
                <w:b/>
                <w:sz w:val="21"/>
                <w:szCs w:val="21"/>
                <w:u w:val="single"/>
              </w:rPr>
            </w:pPr>
          </w:p>
        </w:tc>
      </w:tr>
      <w:bookmarkEnd w:id="117"/>
    </w:tbl>
    <w:p>
      <w:pPr>
        <w:spacing w:after="0" w:line="360" w:lineRule="auto"/>
        <w:ind w:left="220" w:leftChars="100" w:firstLine="315" w:firstLineChars="150"/>
        <w:rPr>
          <w:rFonts w:ascii="宋体" w:hAnsi="宋体" w:eastAsia="宋体"/>
          <w:sz w:val="21"/>
          <w:szCs w:val="21"/>
        </w:rPr>
      </w:pPr>
      <w:r>
        <w:rPr>
          <w:rFonts w:hint="eastAsia" w:ascii="宋体" w:hAnsi="宋体" w:eastAsia="宋体"/>
          <w:sz w:val="21"/>
          <w:szCs w:val="21"/>
        </w:rPr>
        <w:t>根据《民法典》的有关规定。甲、乙双方经友好协商，确定由乙方承包甲方管理的</w:t>
      </w:r>
      <w:r>
        <w:rPr>
          <w:rFonts w:hint="eastAsia" w:ascii="宋体" w:hAnsi="宋体" w:eastAsia="宋体"/>
          <w:sz w:val="21"/>
          <w:szCs w:val="21"/>
          <w:u w:val="single"/>
        </w:rPr>
        <w:t xml:space="preserve"> 水乡城资管辖</w:t>
      </w:r>
      <w:r>
        <w:rPr>
          <w:rFonts w:hint="eastAsia" w:ascii="宋体" w:hAnsi="宋体" w:eastAsia="宋体"/>
          <w:sz w:val="21"/>
          <w:szCs w:val="21"/>
        </w:rPr>
        <w:t>区域内消杀服务。为明确双方权利义务，特制定以下条款。</w:t>
      </w:r>
    </w:p>
    <w:p>
      <w:pPr>
        <w:spacing w:after="0" w:line="360" w:lineRule="auto"/>
        <w:rPr>
          <w:rFonts w:ascii="宋体" w:hAnsi="宋体" w:eastAsia="宋体"/>
          <w:b/>
          <w:sz w:val="21"/>
          <w:szCs w:val="21"/>
        </w:rPr>
      </w:pPr>
    </w:p>
    <w:p>
      <w:pPr>
        <w:spacing w:after="0" w:line="360" w:lineRule="auto"/>
        <w:rPr>
          <w:rFonts w:ascii="宋体" w:hAnsi="宋体" w:eastAsia="宋体"/>
          <w:b/>
          <w:sz w:val="21"/>
          <w:szCs w:val="21"/>
        </w:rPr>
      </w:pPr>
      <w:r>
        <w:rPr>
          <w:rFonts w:hint="eastAsia" w:ascii="宋体" w:hAnsi="宋体" w:eastAsia="宋体"/>
          <w:b/>
          <w:sz w:val="21"/>
          <w:szCs w:val="21"/>
        </w:rPr>
        <w:t>一、基本要求</w:t>
      </w:r>
    </w:p>
    <w:p>
      <w:pPr>
        <w:spacing w:after="0" w:line="360" w:lineRule="auto"/>
        <w:ind w:firstLine="422" w:firstLineChars="200"/>
        <w:rPr>
          <w:rFonts w:ascii="宋体" w:hAnsi="宋体" w:eastAsia="宋体" w:cs="宋体"/>
          <w:b/>
          <w:sz w:val="21"/>
          <w:szCs w:val="21"/>
        </w:rPr>
      </w:pPr>
      <w:r>
        <w:rPr>
          <w:rFonts w:ascii="宋体" w:hAnsi="宋体" w:eastAsia="宋体" w:cs="宋体"/>
          <w:b/>
          <w:sz w:val="21"/>
          <w:szCs w:val="21"/>
        </w:rPr>
        <w:t>1.1</w:t>
      </w:r>
      <w:r>
        <w:rPr>
          <w:rFonts w:hint="eastAsia" w:ascii="宋体" w:hAnsi="宋体" w:eastAsia="宋体" w:cs="宋体"/>
          <w:b/>
          <w:sz w:val="21"/>
          <w:szCs w:val="21"/>
        </w:rPr>
        <w:t>服务内容</w:t>
      </w:r>
    </w:p>
    <w:p>
      <w:pPr>
        <w:spacing w:after="0" w:line="360" w:lineRule="auto"/>
        <w:ind w:firstLine="420" w:firstLineChars="200"/>
        <w:rPr>
          <w:rFonts w:ascii="宋体" w:hAnsi="宋体" w:eastAsia="宋体"/>
          <w:sz w:val="21"/>
          <w:szCs w:val="21"/>
        </w:rPr>
      </w:pPr>
      <w:r>
        <w:rPr>
          <w:rFonts w:ascii="宋体" w:hAnsi="宋体" w:eastAsia="宋体"/>
          <w:sz w:val="21"/>
          <w:szCs w:val="21"/>
        </w:rPr>
        <w:t>1.1.1</w:t>
      </w:r>
      <w:r>
        <w:rPr>
          <w:rFonts w:hint="eastAsia" w:ascii="宋体" w:hAnsi="宋体" w:eastAsia="宋体" w:cs="宋体"/>
          <w:sz w:val="21"/>
          <w:szCs w:val="21"/>
        </w:rPr>
        <w:t>控制老鼠、苍蝇、蚊子、蟑螂的密度；</w:t>
      </w:r>
    </w:p>
    <w:p>
      <w:pPr>
        <w:spacing w:after="0" w:line="360" w:lineRule="auto"/>
        <w:ind w:firstLine="420" w:firstLineChars="200"/>
        <w:rPr>
          <w:rFonts w:ascii="宋体" w:hAnsi="宋体" w:eastAsia="宋体" w:cs="宋体"/>
          <w:sz w:val="21"/>
          <w:szCs w:val="21"/>
        </w:rPr>
      </w:pPr>
      <w:r>
        <w:rPr>
          <w:rFonts w:ascii="宋体" w:hAnsi="宋体" w:eastAsia="宋体"/>
          <w:sz w:val="21"/>
          <w:szCs w:val="21"/>
        </w:rPr>
        <w:t>1.1.2</w:t>
      </w:r>
      <w:r>
        <w:rPr>
          <w:rFonts w:hint="eastAsia" w:ascii="宋体" w:hAnsi="宋体" w:eastAsia="宋体" w:cs="宋体"/>
          <w:sz w:val="21"/>
          <w:szCs w:val="21"/>
        </w:rPr>
        <w:t>协助甲方落实预防老鼠、蚊蝇、蟑螂孳生的相关措施、提高甲方对小区“四害”防治的水平。</w:t>
      </w:r>
    </w:p>
    <w:p>
      <w:pPr>
        <w:pStyle w:val="35"/>
        <w:adjustRightInd w:val="0"/>
        <w:snapToGrid w:val="0"/>
        <w:spacing w:line="360" w:lineRule="auto"/>
        <w:ind w:firstLine="422"/>
        <w:rPr>
          <w:rFonts w:ascii="宋体" w:hAnsi="宋体" w:cs="宋体"/>
          <w:szCs w:val="21"/>
        </w:rPr>
      </w:pPr>
      <w:r>
        <w:rPr>
          <w:rFonts w:ascii="宋体" w:hAnsi="宋体" w:cs="宋体"/>
          <w:b/>
          <w:kern w:val="0"/>
          <w:szCs w:val="21"/>
        </w:rPr>
        <w:t>1.2</w:t>
      </w:r>
      <w:r>
        <w:rPr>
          <w:rFonts w:hint="eastAsia" w:ascii="宋体" w:hAnsi="宋体" w:cs="宋体"/>
          <w:b/>
          <w:kern w:val="0"/>
          <w:szCs w:val="21"/>
        </w:rPr>
        <w:t>服务范围：</w:t>
      </w:r>
      <w:r>
        <w:rPr>
          <w:rFonts w:hint="eastAsia" w:ascii="宋体" w:hAnsi="宋体"/>
          <w:szCs w:val="21"/>
        </w:rPr>
        <w:t>红线范围内所有公共区（</w:t>
      </w:r>
      <w:r>
        <w:rPr>
          <w:rFonts w:hint="eastAsia" w:ascii="宋体" w:hAnsi="宋体" w:cs="宋体"/>
          <w:szCs w:val="21"/>
        </w:rPr>
        <w:t>居民社区、黎洲角村、桥东路、商业街、中心大道等。包括道路、大街、小巷、河边、沟渠、明渠和暗渠口，建筑工地外围，镇政府大院，闲置地、所有绿化地、广场、公园，并且把居民住户外、工厂、学校、铺位、酒店和各事业单位等建筑物外或围墙外的公共地方纳为除四害要求地域。</w:t>
      </w:r>
    </w:p>
    <w:p>
      <w:pPr>
        <w:pStyle w:val="35"/>
        <w:adjustRightInd w:val="0"/>
        <w:snapToGrid w:val="0"/>
        <w:spacing w:line="360" w:lineRule="auto"/>
        <w:rPr>
          <w:rFonts w:ascii="宋体" w:hAnsi="宋体" w:cs="宋体"/>
          <w:szCs w:val="21"/>
        </w:rPr>
      </w:pPr>
      <w:r>
        <w:rPr>
          <w:rFonts w:hint="eastAsia" w:ascii="宋体" w:hAnsi="宋体" w:cs="宋体"/>
          <w:szCs w:val="21"/>
        </w:rPr>
        <w:t>重点单位：农贸市场、饭店、宾馆、饮食店、食品加工厂、酿造厂、屠宰厂、粮库、医院、码头、轻轨站和长途汽车站等（包括创建国家卫生镇复检备检所有场所在内）。</w:t>
      </w:r>
    </w:p>
    <w:p>
      <w:pPr>
        <w:pStyle w:val="35"/>
        <w:adjustRightInd w:val="0"/>
        <w:snapToGrid w:val="0"/>
        <w:spacing w:line="360" w:lineRule="auto"/>
        <w:rPr>
          <w:rFonts w:ascii="宋体" w:hAnsi="宋体" w:cs="宋体"/>
          <w:szCs w:val="21"/>
        </w:rPr>
      </w:pPr>
      <w:r>
        <w:rPr>
          <w:rFonts w:hint="eastAsia" w:ascii="宋体" w:hAnsi="宋体" w:cs="宋体"/>
          <w:szCs w:val="21"/>
        </w:rPr>
        <w:t>创建国家卫生镇要求：会临时增加创国卫必检单位的日常和突击检查的除四害工作。</w:t>
      </w:r>
    </w:p>
    <w:p>
      <w:pPr>
        <w:pStyle w:val="35"/>
        <w:adjustRightInd w:val="0"/>
        <w:snapToGrid w:val="0"/>
        <w:spacing w:line="360" w:lineRule="auto"/>
        <w:ind w:firstLine="422"/>
        <w:rPr>
          <w:rFonts w:ascii="宋体" w:hAnsi="宋体" w:cs="宋体"/>
          <w:szCs w:val="21"/>
        </w:rPr>
      </w:pPr>
      <w:r>
        <w:rPr>
          <w:rFonts w:ascii="宋体" w:hAnsi="宋体" w:cs="宋体"/>
          <w:b/>
          <w:kern w:val="0"/>
          <w:szCs w:val="21"/>
        </w:rPr>
        <w:t>1.3</w:t>
      </w:r>
      <w:r>
        <w:rPr>
          <w:rFonts w:hint="eastAsia" w:ascii="宋体" w:hAnsi="宋体" w:cs="宋体"/>
          <w:b/>
          <w:kern w:val="0"/>
          <w:szCs w:val="21"/>
        </w:rPr>
        <w:t>承包方式：</w:t>
      </w:r>
      <w:r>
        <w:rPr>
          <w:rFonts w:hint="eastAsia" w:ascii="宋体" w:hAnsi="宋体"/>
          <w:color w:val="000000"/>
          <w:szCs w:val="21"/>
        </w:rPr>
        <w:t>采用由乙方包人工、材料、工具、设备、器械、税金、安全的全包方式。</w:t>
      </w:r>
    </w:p>
    <w:p>
      <w:pPr>
        <w:spacing w:after="0" w:line="360" w:lineRule="auto"/>
        <w:rPr>
          <w:rFonts w:ascii="宋体" w:hAnsi="宋体" w:eastAsia="宋体"/>
          <w:b/>
          <w:sz w:val="21"/>
          <w:szCs w:val="21"/>
        </w:rPr>
      </w:pPr>
    </w:p>
    <w:p>
      <w:pPr>
        <w:spacing w:after="0" w:line="360" w:lineRule="auto"/>
        <w:rPr>
          <w:rFonts w:ascii="宋体" w:hAnsi="宋体" w:eastAsia="宋体"/>
          <w:b/>
          <w:sz w:val="21"/>
          <w:szCs w:val="21"/>
        </w:rPr>
      </w:pPr>
      <w:r>
        <w:rPr>
          <w:rFonts w:hint="eastAsia" w:ascii="宋体" w:hAnsi="宋体" w:eastAsia="宋体"/>
          <w:b/>
          <w:sz w:val="21"/>
          <w:szCs w:val="21"/>
        </w:rPr>
        <w:t>二、双方权责</w:t>
      </w:r>
    </w:p>
    <w:p>
      <w:pPr>
        <w:spacing w:after="0" w:line="360" w:lineRule="auto"/>
        <w:ind w:firstLine="422" w:firstLineChars="200"/>
        <w:rPr>
          <w:rFonts w:ascii="宋体" w:hAnsi="宋体" w:eastAsia="宋体" w:cs="宋体"/>
          <w:b/>
          <w:sz w:val="21"/>
          <w:szCs w:val="21"/>
        </w:rPr>
      </w:pPr>
      <w:r>
        <w:rPr>
          <w:rFonts w:ascii="宋体" w:hAnsi="宋体" w:eastAsia="宋体" w:cs="宋体"/>
          <w:b/>
          <w:sz w:val="21"/>
          <w:szCs w:val="21"/>
        </w:rPr>
        <w:t>2.1</w:t>
      </w:r>
      <w:r>
        <w:rPr>
          <w:rFonts w:hint="eastAsia" w:ascii="宋体" w:hAnsi="宋体" w:eastAsia="宋体" w:cs="宋体"/>
          <w:b/>
          <w:sz w:val="21"/>
          <w:szCs w:val="21"/>
        </w:rPr>
        <w:t>甲方权利和义务</w:t>
      </w:r>
    </w:p>
    <w:p>
      <w:pPr>
        <w:spacing w:after="0" w:line="360" w:lineRule="auto"/>
        <w:ind w:firstLine="420" w:firstLineChars="200"/>
        <w:rPr>
          <w:rFonts w:ascii="宋体" w:hAnsi="宋体" w:eastAsia="宋体"/>
          <w:color w:val="000000"/>
          <w:sz w:val="21"/>
          <w:szCs w:val="21"/>
        </w:rPr>
      </w:pPr>
      <w:r>
        <w:rPr>
          <w:rFonts w:hint="eastAsia" w:ascii="宋体" w:hAnsi="宋体" w:eastAsia="宋体"/>
          <w:sz w:val="21"/>
          <w:szCs w:val="21"/>
        </w:rPr>
        <w:t>2.1.</w:t>
      </w:r>
      <w:r>
        <w:rPr>
          <w:rFonts w:ascii="宋体" w:hAnsi="宋体" w:eastAsia="宋体"/>
          <w:sz w:val="21"/>
          <w:szCs w:val="21"/>
        </w:rPr>
        <w:t>1</w:t>
      </w:r>
      <w:r>
        <w:rPr>
          <w:rFonts w:hint="eastAsia" w:ascii="宋体" w:hAnsi="宋体" w:eastAsia="宋体"/>
          <w:color w:val="000000"/>
          <w:sz w:val="21"/>
          <w:szCs w:val="21"/>
        </w:rPr>
        <w:t>负责派员监督乙方的消杀服务质量，发现问题及时知会乙方，以便处理。对乙方合理的工作协助要求及建议，甲方应全力支持。</w:t>
      </w:r>
    </w:p>
    <w:p>
      <w:pPr>
        <w:spacing w:after="0" w:line="360" w:lineRule="auto"/>
        <w:ind w:firstLine="420" w:firstLineChars="200"/>
        <w:rPr>
          <w:rFonts w:ascii="宋体" w:hAnsi="宋体" w:eastAsia="宋体"/>
          <w:color w:val="000000"/>
          <w:sz w:val="21"/>
          <w:szCs w:val="21"/>
        </w:rPr>
      </w:pPr>
      <w:r>
        <w:rPr>
          <w:rFonts w:hint="eastAsia" w:ascii="宋体" w:hAnsi="宋体" w:eastAsia="宋体"/>
          <w:sz w:val="21"/>
          <w:szCs w:val="21"/>
        </w:rPr>
        <w:t>2.1.</w:t>
      </w:r>
      <w:r>
        <w:rPr>
          <w:rFonts w:ascii="宋体" w:hAnsi="宋体" w:eastAsia="宋体"/>
          <w:sz w:val="21"/>
          <w:szCs w:val="21"/>
        </w:rPr>
        <w:t>2</w:t>
      </w:r>
      <w:r>
        <w:rPr>
          <w:rFonts w:hint="eastAsia" w:ascii="宋体" w:hAnsi="宋体" w:eastAsia="宋体"/>
          <w:color w:val="000000"/>
          <w:sz w:val="21"/>
          <w:szCs w:val="21"/>
        </w:rPr>
        <w:t>如遇特殊消杀工作需求时，须至少提前</w:t>
      </w:r>
      <w:r>
        <w:rPr>
          <w:rFonts w:ascii="宋体" w:hAnsi="宋体" w:eastAsia="宋体"/>
          <w:color w:val="000000"/>
          <w:sz w:val="21"/>
          <w:szCs w:val="21"/>
        </w:rPr>
        <w:t>3</w:t>
      </w:r>
      <w:r>
        <w:rPr>
          <w:rFonts w:hint="eastAsia" w:ascii="宋体" w:hAnsi="宋体" w:eastAsia="宋体"/>
          <w:color w:val="000000"/>
          <w:sz w:val="21"/>
          <w:szCs w:val="21"/>
        </w:rPr>
        <w:t>天以</w:t>
      </w:r>
      <w:r>
        <w:rPr>
          <w:rFonts w:ascii="宋体" w:hAnsi="宋体" w:eastAsia="宋体"/>
          <w:sz w:val="21"/>
          <w:szCs w:val="21"/>
          <w:u w:val="single"/>
        </w:rPr>
        <w:t>书面/邮件</w:t>
      </w:r>
      <w:r>
        <w:rPr>
          <w:rFonts w:hint="eastAsia" w:ascii="宋体" w:hAnsi="宋体" w:eastAsia="宋体"/>
          <w:sz w:val="21"/>
          <w:szCs w:val="21"/>
        </w:rPr>
        <w:t>（书面/邮件）形式通知乙方安排人员进行消杀工作，乙方应全力配合。【以邮件形式通知的，乙方的对接收件箱为：】</w:t>
      </w:r>
    </w:p>
    <w:p>
      <w:pPr>
        <w:spacing w:after="0" w:line="360" w:lineRule="auto"/>
        <w:ind w:firstLine="420" w:firstLineChars="200"/>
        <w:rPr>
          <w:rFonts w:ascii="宋体" w:hAnsi="宋体" w:eastAsia="宋体"/>
          <w:color w:val="000000"/>
          <w:sz w:val="21"/>
          <w:szCs w:val="21"/>
        </w:rPr>
      </w:pPr>
      <w:r>
        <w:rPr>
          <w:rFonts w:hint="eastAsia" w:ascii="宋体" w:hAnsi="宋体" w:eastAsia="宋体"/>
          <w:sz w:val="21"/>
          <w:szCs w:val="21"/>
        </w:rPr>
        <w:t>2.1.</w:t>
      </w:r>
      <w:r>
        <w:rPr>
          <w:rFonts w:ascii="宋体" w:hAnsi="宋体" w:eastAsia="宋体"/>
          <w:sz w:val="21"/>
          <w:szCs w:val="21"/>
        </w:rPr>
        <w:t>3</w:t>
      </w:r>
      <w:r>
        <w:rPr>
          <w:rFonts w:hint="eastAsia" w:ascii="宋体" w:hAnsi="宋体" w:eastAsia="宋体"/>
          <w:color w:val="000000"/>
          <w:sz w:val="21"/>
          <w:szCs w:val="21"/>
        </w:rPr>
        <w:t>乙方员工受到业主书面表扬，甲方可根据情况给予适当奖励，以鼓励员工优质服务。</w:t>
      </w:r>
    </w:p>
    <w:p>
      <w:pPr>
        <w:spacing w:after="0" w:line="360" w:lineRule="auto"/>
        <w:ind w:firstLine="420" w:firstLineChars="200"/>
        <w:rPr>
          <w:rFonts w:ascii="宋体" w:hAnsi="宋体" w:eastAsia="宋体"/>
          <w:bCs/>
          <w:sz w:val="21"/>
          <w:szCs w:val="21"/>
        </w:rPr>
      </w:pPr>
      <w:r>
        <w:rPr>
          <w:rFonts w:hint="eastAsia" w:ascii="宋体" w:hAnsi="宋体" w:eastAsia="宋体"/>
          <w:sz w:val="21"/>
          <w:szCs w:val="21"/>
        </w:rPr>
        <w:t>2.1.</w:t>
      </w:r>
      <w:r>
        <w:rPr>
          <w:rFonts w:ascii="宋体" w:hAnsi="宋体" w:eastAsia="宋体"/>
          <w:sz w:val="21"/>
          <w:szCs w:val="21"/>
        </w:rPr>
        <w:t>4</w:t>
      </w:r>
      <w:r>
        <w:rPr>
          <w:rFonts w:hint="eastAsia" w:ascii="宋体" w:hAnsi="宋体" w:eastAsia="宋体"/>
          <w:color w:val="000000"/>
          <w:sz w:val="21"/>
          <w:szCs w:val="21"/>
        </w:rPr>
        <w:t>甲方负责根据情况，指定一名或以上的监控人员对乙方的服务过程及服务质量进行监控。</w:t>
      </w:r>
      <w:r>
        <w:rPr>
          <w:rFonts w:hint="eastAsia" w:ascii="宋体" w:hAnsi="宋体" w:eastAsia="宋体"/>
          <w:sz w:val="21"/>
          <w:szCs w:val="21"/>
        </w:rPr>
        <w:t>对不安全、不规范的行为予</w:t>
      </w:r>
      <w:r>
        <w:rPr>
          <w:rFonts w:hint="eastAsia" w:ascii="宋体" w:hAnsi="宋体" w:eastAsia="宋体"/>
          <w:bCs/>
          <w:sz w:val="21"/>
          <w:szCs w:val="21"/>
        </w:rPr>
        <w:t>以制止、纠正，并作出相应考核。</w:t>
      </w:r>
    </w:p>
    <w:p>
      <w:pPr>
        <w:spacing w:after="0" w:line="360" w:lineRule="auto"/>
        <w:ind w:firstLine="420" w:firstLineChars="200"/>
        <w:rPr>
          <w:rFonts w:ascii="宋体" w:hAnsi="宋体" w:eastAsia="宋体"/>
          <w:color w:val="000000"/>
          <w:sz w:val="21"/>
          <w:szCs w:val="21"/>
        </w:rPr>
      </w:pPr>
      <w:r>
        <w:rPr>
          <w:rFonts w:hint="eastAsia" w:ascii="宋体" w:hAnsi="宋体" w:eastAsia="宋体"/>
          <w:sz w:val="21"/>
          <w:szCs w:val="21"/>
        </w:rPr>
        <w:t>2.1.</w:t>
      </w:r>
      <w:r>
        <w:rPr>
          <w:rFonts w:ascii="宋体" w:hAnsi="宋体" w:eastAsia="宋体"/>
          <w:sz w:val="21"/>
          <w:szCs w:val="21"/>
        </w:rPr>
        <w:t>5</w:t>
      </w:r>
      <w:r>
        <w:rPr>
          <w:rFonts w:hint="eastAsia" w:ascii="宋体" w:hAnsi="宋体" w:eastAsia="宋体"/>
          <w:color w:val="000000"/>
          <w:sz w:val="21"/>
          <w:szCs w:val="21"/>
        </w:rPr>
        <w:t>每月</w:t>
      </w:r>
      <w:r>
        <w:rPr>
          <w:rFonts w:ascii="宋体" w:hAnsi="宋体" w:eastAsia="宋体"/>
          <w:sz w:val="21"/>
          <w:szCs w:val="21"/>
          <w:u w:val="single"/>
        </w:rPr>
        <w:t>5</w:t>
      </w:r>
      <w:r>
        <w:rPr>
          <w:rFonts w:hint="eastAsia" w:ascii="宋体" w:hAnsi="宋体" w:eastAsia="宋体"/>
          <w:color w:val="000000"/>
          <w:sz w:val="21"/>
          <w:szCs w:val="21"/>
        </w:rPr>
        <w:t>日前对乙方的服务效果进行总结，填写《</w:t>
      </w:r>
      <w:r>
        <w:rPr>
          <w:rFonts w:ascii="宋体" w:hAnsi="宋体" w:eastAsia="宋体"/>
          <w:sz w:val="21"/>
          <w:szCs w:val="21"/>
          <w:u w:val="single"/>
        </w:rPr>
        <w:t>消杀</w:t>
      </w:r>
      <w:r>
        <w:rPr>
          <w:rFonts w:hint="eastAsia" w:ascii="宋体" w:hAnsi="宋体" w:eastAsia="宋体"/>
          <w:color w:val="000000"/>
          <w:sz w:val="21"/>
          <w:szCs w:val="21"/>
        </w:rPr>
        <w:t>工作评估报告》。当月甲方就乙方违反本合同约定作出的违约处罚应在该报告中体现并交乙方书面确认。</w:t>
      </w:r>
    </w:p>
    <w:p>
      <w:pPr>
        <w:spacing w:after="0" w:line="360" w:lineRule="auto"/>
        <w:ind w:firstLine="420" w:firstLineChars="200"/>
        <w:rPr>
          <w:rFonts w:ascii="宋体" w:hAnsi="宋体" w:eastAsia="宋体"/>
          <w:bCs/>
          <w:sz w:val="21"/>
          <w:szCs w:val="21"/>
        </w:rPr>
      </w:pPr>
      <w:r>
        <w:rPr>
          <w:rFonts w:hint="eastAsia" w:ascii="宋体" w:hAnsi="宋体" w:eastAsia="宋体"/>
          <w:sz w:val="21"/>
          <w:szCs w:val="21"/>
        </w:rPr>
        <w:t>2.1.</w:t>
      </w:r>
      <w:r>
        <w:rPr>
          <w:rFonts w:ascii="宋体" w:hAnsi="宋体" w:eastAsia="宋体"/>
          <w:sz w:val="21"/>
          <w:szCs w:val="21"/>
        </w:rPr>
        <w:t>6</w:t>
      </w:r>
      <w:r>
        <w:rPr>
          <w:rFonts w:hint="eastAsia" w:ascii="宋体" w:hAnsi="宋体" w:eastAsia="宋体"/>
          <w:color w:val="000000"/>
          <w:sz w:val="21"/>
          <w:szCs w:val="21"/>
        </w:rPr>
        <w:t>为监督乙方消杀工作的有序开展、确保现场消杀服务品质，甲方编制了《</w:t>
      </w:r>
      <w:r>
        <w:rPr>
          <w:rFonts w:hint="eastAsia" w:ascii="宋体" w:hAnsi="宋体" w:eastAsia="宋体"/>
          <w:b/>
          <w:bCs/>
          <w:color w:val="000000"/>
          <w:sz w:val="21"/>
          <w:szCs w:val="21"/>
        </w:rPr>
        <w:t>消杀服务质量评审及考核细则</w:t>
      </w:r>
      <w:r>
        <w:rPr>
          <w:rFonts w:hint="eastAsia" w:ascii="宋体" w:hAnsi="宋体" w:eastAsia="宋体"/>
          <w:color w:val="000000"/>
          <w:sz w:val="21"/>
          <w:szCs w:val="21"/>
        </w:rPr>
        <w:t>》，</w:t>
      </w:r>
      <w:r>
        <w:rPr>
          <w:rFonts w:hint="eastAsia" w:ascii="宋体" w:hAnsi="宋体" w:eastAsia="宋体"/>
          <w:sz w:val="21"/>
          <w:szCs w:val="21"/>
        </w:rPr>
        <w:t>明确了具体的考核指标、考核方式</w:t>
      </w:r>
      <w:r>
        <w:rPr>
          <w:rFonts w:hint="eastAsia" w:ascii="宋体" w:hAnsi="宋体" w:eastAsia="宋体"/>
          <w:bCs/>
          <w:sz w:val="21"/>
          <w:szCs w:val="21"/>
        </w:rPr>
        <w:t>，具体内容参见附件三。</w:t>
      </w:r>
    </w:p>
    <w:p>
      <w:pPr>
        <w:spacing w:after="0" w:line="360" w:lineRule="auto"/>
        <w:ind w:firstLine="422" w:firstLineChars="200"/>
        <w:rPr>
          <w:rFonts w:ascii="宋体" w:hAnsi="宋体" w:eastAsia="宋体" w:cs="宋体"/>
          <w:b/>
          <w:sz w:val="21"/>
          <w:szCs w:val="21"/>
        </w:rPr>
      </w:pPr>
    </w:p>
    <w:p>
      <w:pPr>
        <w:spacing w:after="0" w:line="360" w:lineRule="auto"/>
        <w:ind w:firstLine="422" w:firstLineChars="200"/>
        <w:rPr>
          <w:rFonts w:ascii="宋体" w:hAnsi="宋体" w:eastAsia="宋体" w:cs="宋体"/>
          <w:b/>
          <w:sz w:val="21"/>
          <w:szCs w:val="21"/>
        </w:rPr>
      </w:pPr>
      <w:r>
        <w:rPr>
          <w:rFonts w:ascii="宋体" w:hAnsi="宋体" w:eastAsia="宋体"/>
          <w:b/>
          <w:sz w:val="21"/>
          <w:szCs w:val="21"/>
        </w:rPr>
        <w:t>2.</w:t>
      </w:r>
      <w:r>
        <w:rPr>
          <w:rFonts w:ascii="宋体" w:hAnsi="宋体" w:eastAsia="宋体" w:cs="宋体"/>
          <w:b/>
          <w:sz w:val="21"/>
          <w:szCs w:val="21"/>
        </w:rPr>
        <w:t>2.</w:t>
      </w:r>
      <w:r>
        <w:rPr>
          <w:rFonts w:hint="eastAsia" w:ascii="宋体" w:hAnsi="宋体" w:eastAsia="宋体" w:cs="宋体"/>
          <w:b/>
          <w:sz w:val="21"/>
          <w:szCs w:val="21"/>
        </w:rPr>
        <w:t>乙方权利和义务</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2.2.1消杀标准</w:t>
      </w:r>
    </w:p>
    <w:p>
      <w:pPr>
        <w:spacing w:after="0" w:line="360" w:lineRule="auto"/>
        <w:ind w:firstLine="422" w:firstLineChars="200"/>
        <w:rPr>
          <w:rFonts w:ascii="宋体" w:hAnsi="宋体" w:eastAsia="宋体"/>
          <w:sz w:val="21"/>
          <w:szCs w:val="21"/>
        </w:rPr>
      </w:pPr>
      <w:r>
        <w:rPr>
          <w:rFonts w:hint="eastAsia" w:ascii="宋体" w:hAnsi="宋体" w:eastAsia="宋体"/>
          <w:b/>
          <w:sz w:val="21"/>
          <w:szCs w:val="21"/>
        </w:rPr>
        <w:t>2.2.1.1全国爱卫会消杀标准</w:t>
      </w:r>
      <w:r>
        <w:rPr>
          <w:rFonts w:hint="eastAsia" w:ascii="宋体" w:hAnsi="宋体" w:eastAsia="宋体"/>
          <w:sz w:val="21"/>
          <w:szCs w:val="21"/>
        </w:rPr>
        <w:t>：乙方应严格落实</w:t>
      </w:r>
      <w:r>
        <w:rPr>
          <w:rFonts w:hint="eastAsia" w:ascii="宋体" w:hAnsi="宋体" w:eastAsia="宋体" w:cs="Arial"/>
          <w:color w:val="000000"/>
          <w:sz w:val="21"/>
          <w:szCs w:val="21"/>
        </w:rPr>
        <w:t>全国爱卫会</w:t>
      </w:r>
      <w:r>
        <w:rPr>
          <w:rFonts w:ascii="宋体" w:hAnsi="宋体" w:eastAsia="宋体" w:cs="Arial"/>
          <w:color w:val="000000"/>
          <w:sz w:val="21"/>
          <w:szCs w:val="21"/>
        </w:rPr>
        <w:t>2001</w:t>
      </w:r>
      <w:r>
        <w:rPr>
          <w:rFonts w:hint="eastAsia" w:ascii="宋体" w:hAnsi="宋体" w:eastAsia="宋体" w:cs="Arial"/>
          <w:color w:val="000000"/>
          <w:sz w:val="21"/>
          <w:szCs w:val="21"/>
        </w:rPr>
        <w:t>年</w:t>
      </w:r>
      <w:r>
        <w:rPr>
          <w:rFonts w:ascii="宋体" w:hAnsi="宋体" w:eastAsia="宋体" w:cs="Arial"/>
          <w:color w:val="000000"/>
          <w:sz w:val="21"/>
          <w:szCs w:val="21"/>
        </w:rPr>
        <w:t>3</w:t>
      </w:r>
      <w:r>
        <w:rPr>
          <w:rFonts w:hint="eastAsia" w:ascii="宋体" w:hAnsi="宋体" w:eastAsia="宋体" w:cs="Arial"/>
          <w:color w:val="000000"/>
          <w:sz w:val="21"/>
          <w:szCs w:val="21"/>
        </w:rPr>
        <w:t>月</w:t>
      </w:r>
      <w:r>
        <w:rPr>
          <w:rFonts w:ascii="宋体" w:hAnsi="宋体" w:eastAsia="宋体" w:cs="Arial"/>
          <w:color w:val="000000"/>
          <w:sz w:val="21"/>
          <w:szCs w:val="21"/>
        </w:rPr>
        <w:t>15</w:t>
      </w:r>
      <w:r>
        <w:rPr>
          <w:rFonts w:hint="eastAsia" w:ascii="宋体" w:hAnsi="宋体" w:eastAsia="宋体" w:cs="Arial"/>
          <w:color w:val="000000"/>
          <w:sz w:val="21"/>
          <w:szCs w:val="21"/>
        </w:rPr>
        <w:t>日下发的《鼠、蚊、蝇、蟑螂控制标准》，具体内容详见</w:t>
      </w:r>
      <w:r>
        <w:rPr>
          <w:rFonts w:hint="eastAsia" w:ascii="宋体" w:hAnsi="宋体" w:eastAsia="宋体"/>
          <w:bCs/>
          <w:color w:val="000000"/>
          <w:sz w:val="21"/>
          <w:szCs w:val="21"/>
        </w:rPr>
        <w:t>《</w:t>
      </w:r>
      <w:r>
        <w:rPr>
          <w:rFonts w:ascii="宋体" w:hAnsi="宋体" w:eastAsia="宋体"/>
          <w:sz w:val="21"/>
          <w:szCs w:val="21"/>
        </w:rPr>
        <w:t>VK-WY/BHT-F01</w:t>
      </w:r>
      <w:r>
        <w:rPr>
          <w:rFonts w:hint="eastAsia" w:ascii="宋体" w:hAnsi="宋体" w:eastAsia="宋体"/>
          <w:sz w:val="21"/>
          <w:szCs w:val="21"/>
        </w:rPr>
        <w:t>附件二消杀标准及检查方法</w:t>
      </w:r>
      <w:r>
        <w:rPr>
          <w:rFonts w:hint="eastAsia" w:ascii="宋体" w:hAnsi="宋体" w:eastAsia="宋体"/>
          <w:bCs/>
          <w:color w:val="000000"/>
          <w:sz w:val="21"/>
          <w:szCs w:val="21"/>
        </w:rPr>
        <w:t>》</w:t>
      </w:r>
      <w:r>
        <w:rPr>
          <w:rFonts w:hint="eastAsia" w:ascii="宋体" w:hAnsi="宋体" w:eastAsia="宋体" w:cs="Arial"/>
          <w:color w:val="000000"/>
          <w:sz w:val="21"/>
          <w:szCs w:val="21"/>
        </w:rPr>
        <w:t>。</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2.2.1.2作业要求</w:t>
      </w:r>
    </w:p>
    <w:p>
      <w:pPr>
        <w:spacing w:after="0" w:line="360" w:lineRule="auto"/>
        <w:ind w:firstLine="420" w:firstLineChars="200"/>
        <w:rPr>
          <w:rFonts w:ascii="宋体" w:hAnsi="宋体" w:eastAsia="宋体"/>
          <w:b/>
          <w:sz w:val="21"/>
          <w:szCs w:val="21"/>
        </w:rPr>
      </w:pPr>
      <w:r>
        <w:rPr>
          <w:rFonts w:hint="eastAsia" w:ascii="宋体" w:hAnsi="宋体" w:eastAsia="宋体"/>
          <w:sz w:val="21"/>
          <w:szCs w:val="21"/>
        </w:rPr>
        <w:t>2.2.1.2.1乙方应积极听取甲方对消杀工作的意见，认真配合并完成特殊消杀事项。如遇台风、水浸、火灾等意外情况，有义务在甲方统一指挥下参加抢险工作。</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2.2.1.2.2乙方应严格执行政府部门关于除“四害”的管理规定，如遇政府有关部门日常检查，乙方须配合做好消杀工作。如因乙方消杀服务质量不达标而被政府相关部门处罚，一切责任均由乙方承担（包括因此受到的罚款）；</w:t>
      </w:r>
      <w:r>
        <w:rPr>
          <w:rFonts w:hint="eastAsia" w:ascii="宋体" w:hAnsi="宋体" w:eastAsia="宋体"/>
          <w:color w:val="000000"/>
          <w:sz w:val="21"/>
          <w:szCs w:val="21"/>
        </w:rPr>
        <w:t>政府部门在检查过程中，提出消杀服务质量的严重不合格，每出现</w:t>
      </w:r>
      <w:r>
        <w:rPr>
          <w:rFonts w:ascii="宋体" w:hAnsi="宋体" w:eastAsia="宋体"/>
          <w:color w:val="000000"/>
          <w:sz w:val="21"/>
          <w:szCs w:val="21"/>
        </w:rPr>
        <w:t>1</w:t>
      </w:r>
      <w:r>
        <w:rPr>
          <w:rFonts w:hint="eastAsia" w:ascii="宋体" w:hAnsi="宋体" w:eastAsia="宋体"/>
          <w:color w:val="000000"/>
          <w:sz w:val="21"/>
          <w:szCs w:val="21"/>
        </w:rPr>
        <w:t>项，扣除乙方当月消杀服务承包费的</w:t>
      </w:r>
      <w:r>
        <w:rPr>
          <w:rFonts w:ascii="宋体" w:hAnsi="宋体" w:eastAsia="宋体"/>
          <w:sz w:val="21"/>
          <w:szCs w:val="21"/>
          <w:u w:val="single"/>
        </w:rPr>
        <w:t>20</w:t>
      </w:r>
      <w:r>
        <w:rPr>
          <w:rFonts w:hint="eastAsia" w:ascii="宋体" w:hAnsi="宋体" w:eastAsia="宋体"/>
          <w:color w:val="000000"/>
          <w:sz w:val="21"/>
          <w:szCs w:val="21"/>
        </w:rPr>
        <w:t>％。</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2.2.1.2.3每月至少一次指派质量管理人员到该项目检查承包范围内的消杀服务情况，并积极征询甲方相关负责人意见，不断提高服务品质。</w:t>
      </w:r>
    </w:p>
    <w:p>
      <w:pPr>
        <w:spacing w:after="0" w:line="360" w:lineRule="auto"/>
        <w:ind w:firstLine="420" w:firstLineChars="200"/>
        <w:rPr>
          <w:rFonts w:ascii="宋体" w:hAnsi="宋体" w:eastAsia="宋体"/>
          <w:color w:val="000000"/>
          <w:sz w:val="21"/>
          <w:szCs w:val="21"/>
        </w:rPr>
      </w:pPr>
      <w:r>
        <w:rPr>
          <w:rFonts w:hint="eastAsia" w:ascii="宋体" w:hAnsi="宋体" w:eastAsia="宋体"/>
          <w:sz w:val="21"/>
          <w:szCs w:val="21"/>
        </w:rPr>
        <w:t>2.2.1.2.</w:t>
      </w:r>
      <w:r>
        <w:rPr>
          <w:rFonts w:ascii="宋体" w:hAnsi="宋体" w:eastAsia="宋体"/>
          <w:sz w:val="21"/>
          <w:szCs w:val="21"/>
        </w:rPr>
        <w:t>4</w:t>
      </w:r>
      <w:r>
        <w:rPr>
          <w:rFonts w:hint="eastAsia" w:ascii="宋体" w:hAnsi="宋体" w:eastAsia="宋体" w:cs="宋体"/>
          <w:b/>
          <w:sz w:val="21"/>
          <w:szCs w:val="21"/>
        </w:rPr>
        <w:t>开展灭蚊、灭蝇、灭鼠、灭蟑各项工作，具体工作如下：</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（一）灭蚊：</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频次及要求：灭蚊4次/月，要求全面进行孳生地的检查处理，在成蚊栖息的阴暗角落每月进行一次“滞留喷洒”，对公厕，垃圾中转站做到重点消杀和密度控制，每月至少一次滞留喷雾和一次烟雾熏杀.对蚊虫滋生源的处理和控制要采用高效，低毒的环保药物进行有效控制，每月至少一次重点处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2、创建国家卫生镇要求检查的重点单位、重点场所内外一定要做好灭蚊工作，如饮食店、医院、机关、学校、住宅区范围必须得到有效巩固。下水道每月进行烟薰一次，每月投放施药1次，每年不少于</w:t>
      </w:r>
      <w:r>
        <w:rPr>
          <w:rFonts w:ascii="宋体" w:hAnsi="宋体" w:eastAsia="宋体"/>
          <w:sz w:val="21"/>
          <w:szCs w:val="21"/>
        </w:rPr>
        <w:t>12</w:t>
      </w:r>
      <w:r>
        <w:rPr>
          <w:rFonts w:hint="eastAsia" w:ascii="宋体" w:hAnsi="宋体" w:eastAsia="宋体"/>
          <w:sz w:val="21"/>
          <w:szCs w:val="21"/>
        </w:rPr>
        <w:t>次。对不流动的水体要定期检测蚊虫孳生情况，定期对其施药保证蚊虫孳生地达到国家标准。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3、根据省爱卫会关于全面深化爱国卫生运动的实施意见，每年的4月为全市“爱国卫生月”，4、5、9、10月第一个工作周为“爱卫突击周”，乙方应适当增加灭蚊消杀频次，无条件配合甲方有效落实登革热、基孔肯亚热、疟疾、乙脑、流行性出血热等病媒传染病防控、喷洒药物以及配合甲方做好社区登革热防控宣导工作，比如不定期对居民登革热预防知识的普及。</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4、灭杀蚊虫措施：采用空间喷洒与滞留喷洒相结合，快速杀灭成蚊。根据成蚊在黄昏、夜晚、早晨活动范围大，且喜栖息于阴暗潮湿地的特点，采用常用剂量喷杀承包范围内的绿化带附近的下水道口、沙井盖上的成蚊，将蚊害活动密度降低直至灭治。</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5、在蚊害高发季节和蚊类危害突发的情况下，应增加喷杀次数，保障环境清新优美。</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6、 施工跟进：在施工完毕后的次日，应派出施工人员对喷杀范围环境进行检查，对容易滋生蚊类幼虫的场所如污水积水，阴暗处等，采取能排干或倾倒进行排干或倾倒，对不能排干的，投放化学灭蚊虫幼剂进行灭治。对水体投放专门的环保，高效，灭治幼虫及虫卵进行灭治处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二）灭蝇：灭蝇4次/月，要求根据苍蝇繁殖规律，在繁殖高峰期按要求对孳生地每周检查一次，每周对辖区内农贸市场、公厕、垃圾中转站、公共场所、卫生死角、绿化地、闲置地进行“空间喷洒”灭成蝇一次或以上，每月对室内进行一次“滞留喷洒”。灭蚊药物的使用，喷施必须基于“环保．高效”的基础，采用除虫菊酯类药物、生物防治型药物进行消杀防治处理，使用过程中应根据虫害的情况不定期轮番更换施工药物。</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（三）灭鼠：灭鼠4次/月，灭鼠药每次不少于</w:t>
      </w:r>
      <w:r>
        <w:rPr>
          <w:rFonts w:ascii="宋体" w:hAnsi="宋体" w:eastAsia="宋体"/>
          <w:sz w:val="21"/>
          <w:szCs w:val="21"/>
        </w:rPr>
        <w:t>200</w:t>
      </w:r>
      <w:r>
        <w:rPr>
          <w:rFonts w:hint="eastAsia" w:ascii="宋体" w:hAnsi="宋体" w:eastAsia="宋体"/>
          <w:sz w:val="21"/>
          <w:szCs w:val="21"/>
        </w:rPr>
        <w:t>斤全部当次放完，一个月4次需要用药不少于</w:t>
      </w:r>
      <w:r>
        <w:rPr>
          <w:rFonts w:ascii="宋体" w:hAnsi="宋体" w:eastAsia="宋体"/>
          <w:sz w:val="21"/>
          <w:szCs w:val="21"/>
        </w:rPr>
        <w:t>8</w:t>
      </w:r>
      <w:r>
        <w:rPr>
          <w:rFonts w:hint="eastAsia" w:ascii="宋体" w:hAnsi="宋体" w:eastAsia="宋体"/>
          <w:sz w:val="21"/>
          <w:szCs w:val="21"/>
        </w:rPr>
        <w:t>00斤，大街道灭鼠必须全部安装灭鼠屋，约</w:t>
      </w:r>
      <w:r>
        <w:rPr>
          <w:rFonts w:ascii="宋体" w:hAnsi="宋体" w:eastAsia="宋体"/>
          <w:sz w:val="21"/>
          <w:szCs w:val="21"/>
        </w:rPr>
        <w:t>4</w:t>
      </w:r>
      <w:r>
        <w:rPr>
          <w:rFonts w:hint="eastAsia" w:ascii="宋体" w:hAnsi="宋体" w:eastAsia="宋体"/>
          <w:sz w:val="21"/>
          <w:szCs w:val="21"/>
        </w:rPr>
        <w:t>000个，2平方公里共</w:t>
      </w:r>
      <w:r>
        <w:rPr>
          <w:rFonts w:ascii="宋体" w:hAnsi="宋体" w:eastAsia="宋体"/>
          <w:sz w:val="21"/>
          <w:szCs w:val="21"/>
        </w:rPr>
        <w:t>4</w:t>
      </w:r>
      <w:r>
        <w:rPr>
          <w:rFonts w:hint="eastAsia" w:ascii="宋体" w:hAnsi="宋体" w:eastAsia="宋体"/>
          <w:sz w:val="21"/>
          <w:szCs w:val="21"/>
        </w:rPr>
        <w:t>000个放药点必须做好警示装置。</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1、使用老鼠的嗜好食物，如稻谷、小麦、花生米、快食面等，混拌第一代及第二代的低毒、抗凝血慢性灭鼠药剂配制成毒饵，作为防治药物进行诱杀。</w:t>
      </w:r>
    </w:p>
    <w:p>
      <w:pPr>
        <w:spacing w:after="0" w:line="360" w:lineRule="auto"/>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、根据老鼠的生活习性和活动范围分类灭鼠对闲置工地附近的绿化带、公园实施灭鼠:因绿化带地面较潮湿,采用防潮的小塑料袋装毒饵或药箱定点布放投药。</w:t>
      </w:r>
    </w:p>
    <w:p>
      <w:pPr>
        <w:spacing w:after="0" w:line="360" w:lineRule="auto"/>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、对市场、垃圾中转站、厕所附近的绿化树木实施灭鼠:因上述几处是老鼠活动频繁区域,所以根椐鼠害活动区域环境特点,采用沿线周边毒鼠药箱饱和投药。</w:t>
      </w:r>
    </w:p>
    <w:p>
      <w:pPr>
        <w:spacing w:after="0" w:line="360" w:lineRule="auto"/>
        <w:ind w:firstLine="420" w:firstLineChars="200"/>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效果检查和施工跟进老鼠在取食毒饵后，一般在5-7天内中毒而亡。中标单位应在5天内进行效果检查，发现在承包范围内捕获和中毒死亡的鼠类进行清检收回，统一集中进行无毒化处理。发现诱饵被食完要及时补投毒饵，确保消杀效果彻底。</w:t>
      </w:r>
    </w:p>
    <w:p>
      <w:pPr>
        <w:spacing w:after="0" w:line="360" w:lineRule="auto"/>
        <w:ind w:firstLine="420" w:firstLineChars="200"/>
        <w:rPr>
          <w:rFonts w:ascii="宋体" w:hAnsi="宋体" w:eastAsia="宋体"/>
          <w:sz w:val="21"/>
          <w:szCs w:val="21"/>
        </w:rPr>
      </w:pPr>
      <w:r>
        <w:rPr>
          <w:rFonts w:ascii="宋体" w:hAnsi="宋体" w:eastAsia="宋体"/>
          <w:sz w:val="21"/>
          <w:szCs w:val="21"/>
        </w:rPr>
        <w:t xml:space="preserve"> 5</w:t>
      </w:r>
      <w:r>
        <w:rPr>
          <w:rFonts w:hint="eastAsia" w:ascii="宋体" w:hAnsi="宋体" w:eastAsia="宋体"/>
          <w:sz w:val="21"/>
          <w:szCs w:val="21"/>
        </w:rPr>
        <w:t>、药物投放应采用轮番换药及定时补充投药量相结合的方式，根据鼠害活动走道区域的变化适时调整布药点，让存活鼠害对毒饵有更好的口味和足够的吸食量。同时在施工过程中不断对绿化树木、闲置工地下水道、排水口、管道口、墙洞等附近的绿化树木、绿化带周围环境加以检查，及时完善上述环境的防鼠设施。</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（四）灭蟑：灭蟑4次/月，要求对蟑螂的栖息的下水道取用烟雾灭虫法消灭蟑螂，其它不能使用该办法的场所要求使用毒饵、喷雾或物理的办法消灭蟑螂。</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（五）严格按照采购人的要求除“四害”，并配合采购人做好各项检查工作，提供相关的技术指导。</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（六）资料编写：无条件配合采购人按国家卫生镇除四害复检要求编写的资料验收标准，编写好除四害计划、总结、技术实施报告等相关材料，以备国家、省和市的领导查阅，并达到复检验收标准。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七）密度监测：要求在辖区范围内设置东、南、西、北、中及重点区域，每个区域设置20个密度监测点，总数不少于100个监测点，并记录蚊虫密度数据，进行定时、定期、定点的密度监测，其中蚊、蝇密度要求每月监测三次，老鼠密度要求每个季度监测一次，对监测的数据进行分析汇报，造册存档，以备省市领导检查。</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（八）乙方要加强大型水体的检测和处理工作，发动单位和居民清理庭院和室内的小型水体，做好有机物（如动物内脏、尸体）的处理，同时做好公共区域路段积水和翻盆倒罐工作。</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2.2.1.2.5乙方应根据“四害”的生活特性和发生季节，在不低于上述标准的基础上，合理调整消杀频度，以达到较好的消杀效果。</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2.2.1.2.7在气候反常</w:t>
      </w:r>
      <w:r>
        <w:rPr>
          <w:rFonts w:ascii="宋体" w:hAnsi="宋体" w:eastAsia="宋体"/>
          <w:sz w:val="21"/>
          <w:szCs w:val="21"/>
        </w:rPr>
        <w:t>/</w:t>
      </w:r>
      <w:r>
        <w:rPr>
          <w:rFonts w:hint="eastAsia" w:ascii="宋体" w:hAnsi="宋体" w:eastAsia="宋体"/>
          <w:sz w:val="21"/>
          <w:szCs w:val="21"/>
        </w:rPr>
        <w:t>气温变化较大导致蚊虫活动明显增加时，在甲方通知乙方的情况下，乙方应积极配合甲方及时调整消杀工作重点和消杀频次。</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2.2.1.2.8乙方每月必须严格按照月度消杀计划进行消杀；对因现场住户要求及其他原因而致使计划未能完成的，应安排人员、时间及时补杀。</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2.2.1.2.9乙方须在每月</w:t>
      </w:r>
      <w:r>
        <w:rPr>
          <w:rFonts w:ascii="宋体" w:hAnsi="宋体" w:eastAsia="宋体"/>
          <w:sz w:val="21"/>
          <w:szCs w:val="21"/>
        </w:rPr>
        <w:t>25</w:t>
      </w:r>
      <w:r>
        <w:rPr>
          <w:rFonts w:hint="eastAsia" w:ascii="宋体" w:hAnsi="宋体" w:eastAsia="宋体"/>
          <w:sz w:val="21"/>
          <w:szCs w:val="21"/>
        </w:rPr>
        <w:t>日前向甲方书面提交下一月的消杀计划（该计划应包含消杀时间、拟采用的消杀药品、喷洒药品的药力对人体产生影响的持续时间等内容），已制定的月度作业计划如需修正或调整须及时通知甲方；使用烟雾消杀的需明确注明，便于甲方在小区内公示消杀计划，且每次消杀时乙方应在醒目处摆放提示标识，提醒住户注意，并在药力失效后去掉标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2.2.1.2.10乙方须在每月</w:t>
      </w:r>
      <w:r>
        <w:rPr>
          <w:rFonts w:ascii="宋体" w:hAnsi="宋体" w:eastAsia="宋体"/>
          <w:sz w:val="21"/>
          <w:szCs w:val="21"/>
        </w:rPr>
        <w:t>10</w:t>
      </w:r>
      <w:r>
        <w:rPr>
          <w:rFonts w:hint="eastAsia" w:ascii="宋体" w:hAnsi="宋体" w:eastAsia="宋体"/>
          <w:sz w:val="21"/>
          <w:szCs w:val="21"/>
        </w:rPr>
        <w:t>日前向甲方提交上月月度工作总结及改进措施，并接受甲方对消杀作业计划的合理化建议。同时，还须在每季度首月</w:t>
      </w:r>
      <w:r>
        <w:rPr>
          <w:rFonts w:ascii="宋体" w:hAnsi="宋体" w:eastAsia="宋体"/>
          <w:sz w:val="21"/>
          <w:szCs w:val="21"/>
        </w:rPr>
        <w:t>10</w:t>
      </w:r>
      <w:r>
        <w:rPr>
          <w:rFonts w:hint="eastAsia" w:ascii="宋体" w:hAnsi="宋体" w:eastAsia="宋体"/>
          <w:sz w:val="21"/>
          <w:szCs w:val="21"/>
        </w:rPr>
        <w:t>日前</w:t>
      </w:r>
      <w:r>
        <w:rPr>
          <w:rFonts w:ascii="宋体" w:hAnsi="宋体" w:eastAsia="宋体"/>
          <w:sz w:val="21"/>
          <w:szCs w:val="21"/>
        </w:rPr>
        <w:t>,</w:t>
      </w:r>
      <w:r>
        <w:rPr>
          <w:rFonts w:hint="eastAsia" w:ascii="宋体" w:hAnsi="宋体" w:eastAsia="宋体"/>
          <w:sz w:val="21"/>
          <w:szCs w:val="21"/>
        </w:rPr>
        <w:t>提交上季度“四害”消杀季度检测报告和季度检查中问题点的整改措施。</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2.2.1.2.1</w:t>
      </w:r>
      <w:r>
        <w:rPr>
          <w:rFonts w:ascii="宋体" w:hAnsi="宋体" w:eastAsia="宋体"/>
          <w:sz w:val="21"/>
          <w:szCs w:val="21"/>
        </w:rPr>
        <w:t>1</w:t>
      </w:r>
      <w:r>
        <w:rPr>
          <w:rFonts w:hint="eastAsia" w:ascii="宋体" w:hAnsi="宋体" w:eastAsia="宋体"/>
          <w:sz w:val="21"/>
          <w:szCs w:val="21"/>
        </w:rPr>
        <w:t>甲方每年会通过展板、讲座等形式开展</w:t>
      </w:r>
      <w:r>
        <w:rPr>
          <w:rFonts w:ascii="宋体" w:hAnsi="宋体" w:eastAsia="宋体"/>
          <w:sz w:val="21"/>
          <w:szCs w:val="21"/>
        </w:rPr>
        <w:t>2</w:t>
      </w:r>
      <w:r>
        <w:rPr>
          <w:rFonts w:hint="eastAsia" w:ascii="宋体" w:hAnsi="宋体" w:eastAsia="宋体"/>
          <w:sz w:val="21"/>
          <w:szCs w:val="21"/>
        </w:rPr>
        <w:t>次四害防治宣传，引导客户共同做好室内、庭院等部位消杀，乙方应按照甲方的要求做好免费的讲座授课等协助工作。</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2.2.2作业安全</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2.2.2.1乙方应对派驻甲方现场的员工进行安全生产教育、风险防范及消防安全培训，严格遵守安全生产、消防法规。合同期间乙方员工发生的任何安全事故均由乙方承担。</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2.2.2.2乙方应严格按照双方约定的消杀服务标准，指派具有相应资质的从业人员为甲方提供消杀服务，即持证上岗（对消杀过敏者严禁从事消杀工作），并确保每次消杀作业时现场有6名消杀员（包括消杀主管1名，省、市级技术专家1名（可外聘），培训合格人员不少于8名（“四害”高发季节，如现场消杀员不能满足消杀需求时，乙方应根据甲方要求增派人员）。</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2.2.2.3乙方应与派驻该项目的员工签订劳动合同，承担员工工资、劳保福利、员工食宿等一切费用，并为员工购买社会保险及人身意外保险。</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2.2.2.4</w:t>
      </w:r>
      <w:r>
        <w:rPr>
          <w:rFonts w:hint="eastAsia" w:ascii="宋体" w:hAnsi="宋体" w:eastAsia="宋体"/>
          <w:b/>
          <w:sz w:val="21"/>
          <w:szCs w:val="21"/>
        </w:rPr>
        <w:t>其他作业安全管理详见《</w:t>
      </w:r>
      <w:r>
        <w:rPr>
          <w:rFonts w:ascii="宋体" w:hAnsi="宋体" w:eastAsia="宋体"/>
          <w:b/>
          <w:sz w:val="21"/>
          <w:szCs w:val="21"/>
        </w:rPr>
        <w:t>VK-WY/BHT-F01</w:t>
      </w:r>
      <w:r>
        <w:rPr>
          <w:rFonts w:hint="eastAsia" w:ascii="宋体" w:hAnsi="宋体" w:eastAsia="宋体"/>
          <w:b/>
          <w:sz w:val="21"/>
          <w:szCs w:val="21"/>
        </w:rPr>
        <w:t>附件一消杀作业安全管理要求》。</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2.2.3药品（危险品）管理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2.2.3.1</w:t>
      </w:r>
      <w:r>
        <w:rPr>
          <w:rFonts w:hint="eastAsia" w:ascii="宋体" w:hAnsi="宋体" w:eastAsia="宋体" w:cs="宋体"/>
          <w:sz w:val="21"/>
          <w:szCs w:val="21"/>
        </w:rPr>
        <w:t>用药要求：该工程全部使用国家爱卫会批准的药物。所使用的“四害”杀虫药物按国家规定要有“三证”或使用全国或市爱卫会专家委员会推荐的认定药物，严禁使用急性“四害”药或其他明文禁用药物。备注：灭蚊、灭蝇、灭蟑螂药烟雾剂不少于</w:t>
      </w:r>
      <w:r>
        <w:rPr>
          <w:rFonts w:ascii="宋体" w:hAnsi="宋体" w:eastAsia="宋体" w:cs="宋体"/>
          <w:sz w:val="21"/>
          <w:szCs w:val="21"/>
        </w:rPr>
        <w:t>3</w:t>
      </w:r>
      <w:r>
        <w:rPr>
          <w:rFonts w:hint="eastAsia" w:ascii="宋体" w:hAnsi="宋体" w:eastAsia="宋体" w:cs="宋体"/>
          <w:sz w:val="21"/>
          <w:szCs w:val="21"/>
        </w:rPr>
        <w:t>40升/次（5升/罐*48罐），混合水剂不少于</w:t>
      </w:r>
      <w:r>
        <w:rPr>
          <w:rFonts w:ascii="宋体" w:hAnsi="宋体" w:eastAsia="宋体" w:cs="宋体"/>
          <w:sz w:val="21"/>
          <w:szCs w:val="21"/>
        </w:rPr>
        <w:t>1275</w:t>
      </w:r>
      <w:r>
        <w:rPr>
          <w:rFonts w:hint="eastAsia" w:ascii="宋体" w:hAnsi="宋体" w:eastAsia="宋体" w:cs="宋体"/>
          <w:sz w:val="21"/>
          <w:szCs w:val="21"/>
        </w:rPr>
        <w:t>00毫升/次（500毫升/瓶*1</w:t>
      </w:r>
      <w:r>
        <w:rPr>
          <w:rFonts w:ascii="宋体" w:hAnsi="宋体" w:eastAsia="宋体" w:cs="宋体"/>
          <w:sz w:val="21"/>
          <w:szCs w:val="21"/>
        </w:rPr>
        <w:t>5</w:t>
      </w:r>
      <w:r>
        <w:rPr>
          <w:rFonts w:hint="eastAsia" w:ascii="宋体" w:hAnsi="宋体" w:eastAsia="宋体" w:cs="宋体"/>
          <w:sz w:val="21"/>
          <w:szCs w:val="21"/>
        </w:rPr>
        <w:t>0瓶高效氯氰菊酯类和350毫升/瓶*1</w:t>
      </w:r>
      <w:r>
        <w:rPr>
          <w:rFonts w:ascii="宋体" w:hAnsi="宋体" w:eastAsia="宋体" w:cs="宋体"/>
          <w:sz w:val="21"/>
          <w:szCs w:val="21"/>
        </w:rPr>
        <w:t>5</w:t>
      </w:r>
      <w:r>
        <w:rPr>
          <w:rFonts w:hint="eastAsia" w:ascii="宋体" w:hAnsi="宋体" w:eastAsia="宋体" w:cs="宋体"/>
          <w:sz w:val="21"/>
          <w:szCs w:val="21"/>
        </w:rPr>
        <w:t>0瓶高效氯氟氰菊类）。</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2.2.3.2乙方须通过合法、正规途径购买消杀药品，并确保提供消杀服务使用的</w:t>
      </w:r>
      <w:r>
        <w:rPr>
          <w:rFonts w:hint="eastAsia" w:ascii="宋体" w:hAnsi="宋体" w:eastAsia="宋体"/>
          <w:color w:val="000000"/>
          <w:sz w:val="21"/>
          <w:szCs w:val="21"/>
        </w:rPr>
        <w:t>药物必须符合全国爱卫办对药品规定的要求。</w:t>
      </w:r>
      <w:r>
        <w:rPr>
          <w:rFonts w:hint="eastAsia" w:ascii="宋体" w:hAnsi="宋体" w:eastAsia="宋体"/>
          <w:sz w:val="21"/>
          <w:szCs w:val="21"/>
        </w:rPr>
        <w:t>禁止使用剧毒化学品及其他可能影响居民日常生活的化学产品。同时，乙方应至少每月更换一次消杀药品，且须在当期消杀作业开始前将药品清单报甲方备案。</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2.2.3.</w:t>
      </w:r>
      <w:r>
        <w:rPr>
          <w:rFonts w:ascii="宋体" w:hAnsi="宋体" w:eastAsia="宋体"/>
          <w:sz w:val="21"/>
          <w:szCs w:val="21"/>
        </w:rPr>
        <w:t>3</w:t>
      </w:r>
      <w:r>
        <w:rPr>
          <w:rFonts w:hint="eastAsia" w:ascii="宋体" w:hAnsi="宋体" w:eastAsia="宋体"/>
          <w:sz w:val="21"/>
          <w:szCs w:val="21"/>
        </w:rPr>
        <w:t>乙方在作业过程中，应做好对药品的安全管理及安全使用。</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2.2.3.</w:t>
      </w:r>
      <w:r>
        <w:rPr>
          <w:rFonts w:ascii="宋体" w:hAnsi="宋体" w:eastAsia="宋体"/>
          <w:sz w:val="21"/>
          <w:szCs w:val="21"/>
        </w:rPr>
        <w:t>4</w:t>
      </w:r>
      <w:r>
        <w:rPr>
          <w:rFonts w:hint="eastAsia" w:ascii="宋体" w:hAnsi="宋体" w:eastAsia="宋体"/>
          <w:sz w:val="21"/>
          <w:szCs w:val="21"/>
        </w:rPr>
        <w:t>乙方使用的消杀药品原则上不允许在甲方服务区域存放。如需存放的，须征得甲方同意，并按照甲方危险品的管理要求执行，并自行承担全部管理责任。相关管理要求包括但不限于：</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2.2.3.</w:t>
      </w:r>
      <w:r>
        <w:rPr>
          <w:rFonts w:ascii="宋体" w:hAnsi="宋体" w:eastAsia="宋体"/>
          <w:sz w:val="21"/>
          <w:szCs w:val="21"/>
        </w:rPr>
        <w:t>5</w:t>
      </w:r>
      <w:r>
        <w:rPr>
          <w:rFonts w:hint="eastAsia" w:ascii="宋体" w:hAnsi="宋体" w:eastAsia="宋体"/>
          <w:sz w:val="21"/>
          <w:szCs w:val="21"/>
        </w:rPr>
        <w:t>专人上锁管理、专门地方存放、分区</w:t>
      </w:r>
      <w:r>
        <w:rPr>
          <w:rFonts w:ascii="宋体" w:hAnsi="宋体" w:eastAsia="宋体"/>
          <w:sz w:val="21"/>
          <w:szCs w:val="21"/>
        </w:rPr>
        <w:t>\</w:t>
      </w:r>
      <w:r>
        <w:rPr>
          <w:rFonts w:hint="eastAsia" w:ascii="宋体" w:hAnsi="宋体" w:eastAsia="宋体"/>
          <w:sz w:val="21"/>
          <w:szCs w:val="21"/>
        </w:rPr>
        <w:t>分架放置且严禁混放。</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2.2.3.</w:t>
      </w:r>
      <w:r>
        <w:rPr>
          <w:rFonts w:ascii="宋体" w:hAnsi="宋体" w:eastAsia="宋体"/>
          <w:sz w:val="21"/>
          <w:szCs w:val="21"/>
        </w:rPr>
        <w:t>6</w:t>
      </w:r>
      <w:r>
        <w:rPr>
          <w:rFonts w:hint="eastAsia" w:ascii="宋体" w:hAnsi="宋体" w:eastAsia="宋体"/>
          <w:sz w:val="21"/>
          <w:szCs w:val="21"/>
        </w:rPr>
        <w:t>建立</w:t>
      </w:r>
      <w:r>
        <w:rPr>
          <w:rFonts w:ascii="宋体" w:hAnsi="宋体" w:eastAsia="宋体"/>
          <w:sz w:val="21"/>
          <w:szCs w:val="21"/>
        </w:rPr>
        <w:t>MSDS</w:t>
      </w:r>
      <w:r>
        <w:rPr>
          <w:rFonts w:hint="eastAsia" w:ascii="宋体" w:hAnsi="宋体" w:eastAsia="宋体"/>
          <w:sz w:val="21"/>
          <w:szCs w:val="21"/>
        </w:rPr>
        <w:t>表（或物品本身安全标签）并确保清晰。</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2.2.3.</w:t>
      </w:r>
      <w:r>
        <w:rPr>
          <w:rFonts w:ascii="宋体" w:hAnsi="宋体" w:eastAsia="宋体"/>
          <w:sz w:val="21"/>
          <w:szCs w:val="21"/>
        </w:rPr>
        <w:t>7</w:t>
      </w:r>
      <w:r>
        <w:rPr>
          <w:rFonts w:hint="eastAsia" w:ascii="宋体" w:hAnsi="宋体" w:eastAsia="宋体"/>
          <w:sz w:val="21"/>
          <w:szCs w:val="21"/>
        </w:rPr>
        <w:t>存放危险品的空间应设立醒目的警示标识（门牌标识、禁烟</w:t>
      </w:r>
      <w:r>
        <w:rPr>
          <w:rFonts w:ascii="宋体" w:hAnsi="宋体" w:eastAsia="宋体"/>
          <w:sz w:val="21"/>
          <w:szCs w:val="21"/>
        </w:rPr>
        <w:t>/</w:t>
      </w:r>
      <w:r>
        <w:rPr>
          <w:rFonts w:hint="eastAsia" w:ascii="宋体" w:hAnsi="宋体" w:eastAsia="宋体"/>
          <w:sz w:val="21"/>
          <w:szCs w:val="21"/>
        </w:rPr>
        <w:t>明火标识等）。</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2.2.3</w:t>
      </w:r>
      <w:r>
        <w:rPr>
          <w:rFonts w:ascii="宋体" w:hAnsi="宋体" w:eastAsia="宋体"/>
          <w:sz w:val="21"/>
          <w:szCs w:val="21"/>
        </w:rPr>
        <w:t>.8</w:t>
      </w:r>
      <w:r>
        <w:rPr>
          <w:rFonts w:hint="eastAsia" w:ascii="宋体" w:hAnsi="宋体" w:eastAsia="宋体"/>
          <w:sz w:val="21"/>
          <w:szCs w:val="21"/>
        </w:rPr>
        <w:t>危险品相关安全卫生资料向乙方员工公开，并培训员工识别安全标签、了解安全技术说明书、掌握必要的应急处理方法和自救措施等。</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2.2.3.</w:t>
      </w:r>
      <w:r>
        <w:rPr>
          <w:rFonts w:ascii="宋体" w:hAnsi="宋体" w:eastAsia="宋体"/>
          <w:sz w:val="21"/>
          <w:szCs w:val="21"/>
        </w:rPr>
        <w:t>9</w:t>
      </w:r>
      <w:r>
        <w:rPr>
          <w:rFonts w:hint="eastAsia" w:ascii="宋体" w:hAnsi="宋体" w:eastAsia="宋体"/>
          <w:sz w:val="21"/>
          <w:szCs w:val="21"/>
        </w:rPr>
        <w:t>存放危险品的空间须具备良好的通风效果，并采用防爆灯照明装置。</w:t>
      </w:r>
    </w:p>
    <w:p>
      <w:pPr>
        <w:spacing w:after="0" w:line="360" w:lineRule="auto"/>
        <w:rPr>
          <w:rFonts w:ascii="宋体" w:hAnsi="宋体" w:eastAsia="宋体"/>
          <w:b/>
          <w:sz w:val="21"/>
          <w:szCs w:val="21"/>
        </w:rPr>
      </w:pPr>
    </w:p>
    <w:p>
      <w:pPr>
        <w:spacing w:after="0" w:line="360" w:lineRule="auto"/>
        <w:rPr>
          <w:rFonts w:ascii="宋体" w:hAnsi="宋体" w:eastAsia="宋体"/>
          <w:b/>
          <w:sz w:val="21"/>
          <w:szCs w:val="21"/>
        </w:rPr>
      </w:pPr>
      <w:r>
        <w:rPr>
          <w:rFonts w:hint="eastAsia" w:ascii="宋体" w:hAnsi="宋体" w:eastAsia="宋体"/>
          <w:b/>
          <w:sz w:val="21"/>
          <w:szCs w:val="21"/>
        </w:rPr>
        <w:t>三、质量要求</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.1</w:t>
      </w:r>
      <w:r>
        <w:rPr>
          <w:rFonts w:hint="eastAsia" w:ascii="宋体" w:hAnsi="宋体" w:eastAsia="宋体"/>
          <w:sz w:val="21"/>
          <w:szCs w:val="21"/>
        </w:rPr>
        <w:t>消杀标准：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灭蚊国家标准：居民住宅、单位内外环境各种存水容器和积水中，蚊幼及蛹的阳性率不超过3%；用500ml收集勺采集城区内大中型水体中的蚊幼及蛹阳性率不超过3%，阳性勺内幼虫及蛹的平均数不超过5只；特殊场所白天人诱蚊30分钟，平均每人次诱获成蚊数不超过1只。</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灭蝇国家标准：重点单位有蝇房间不超过1%，其它单位不超过3%，平均每阳性房间不超过3只；重点单位防蝇设施不合格房间不超过5%；加工、销售直接入口食品的场所不得有蝇；蝇类孳生地得到有效治理，幼虫和蛹的检出率不超过3%。</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3、灭鼠国家标准：15平方米标准房间布放20×20厘米滑石粉块两块，一夜后阳性粉块不超过3%；有鼠洞、鼠粪、鼠咬痕等鼠迹的房间不超过2%；重点单位防鼠设施不合格处不超过5%；不同类型的外环境累计2000延长米，鼠迹不超过5处。</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4、灭蟑国家标准：室内有蟑螂成虫和若虫阳性房间不超过3%，平均每阳性房间大蠊不超过5只，小蠊不超过10只；有活蟑螂卵鞘房间不超过2%，平均每阳性房间不超过4只；有蟑螂粪便、蜕皮等蟑迹的房间不超过5%。</w:t>
      </w:r>
    </w:p>
    <w:p>
      <w:pPr>
        <w:spacing w:after="0" w:line="360" w:lineRule="auto"/>
        <w:rPr>
          <w:rFonts w:ascii="宋体" w:hAnsi="宋体" w:eastAsia="宋体"/>
          <w:b/>
          <w:sz w:val="21"/>
          <w:szCs w:val="21"/>
        </w:rPr>
      </w:pPr>
    </w:p>
    <w:p>
      <w:pPr>
        <w:spacing w:after="0" w:line="360" w:lineRule="auto"/>
        <w:rPr>
          <w:rFonts w:ascii="宋体" w:hAnsi="宋体" w:eastAsia="宋体"/>
          <w:b/>
          <w:sz w:val="21"/>
          <w:szCs w:val="21"/>
        </w:rPr>
      </w:pPr>
      <w:r>
        <w:rPr>
          <w:rFonts w:hint="eastAsia" w:ascii="宋体" w:hAnsi="宋体" w:eastAsia="宋体"/>
          <w:b/>
          <w:sz w:val="21"/>
          <w:szCs w:val="21"/>
        </w:rPr>
        <w:t>四、合同期限及承包费用</w:t>
      </w:r>
    </w:p>
    <w:p>
      <w:pPr>
        <w:spacing w:after="0" w:line="360" w:lineRule="auto"/>
        <w:ind w:firstLine="420" w:firstLineChars="200"/>
        <w:rPr>
          <w:rFonts w:ascii="宋体" w:hAnsi="宋体" w:eastAsia="宋体"/>
          <w:sz w:val="21"/>
          <w:szCs w:val="21"/>
        </w:rPr>
      </w:pPr>
      <w:r>
        <w:rPr>
          <w:rFonts w:ascii="宋体" w:hAnsi="宋体" w:eastAsia="宋体"/>
          <w:sz w:val="21"/>
          <w:szCs w:val="21"/>
        </w:rPr>
        <w:t>4.1</w:t>
      </w:r>
      <w:r>
        <w:rPr>
          <w:rFonts w:hint="eastAsia" w:ascii="宋体" w:hAnsi="宋体" w:eastAsia="宋体"/>
          <w:sz w:val="21"/>
          <w:szCs w:val="21"/>
        </w:rPr>
        <w:t>合同期限：本合同期限自</w:t>
      </w:r>
      <w:r>
        <w:rPr>
          <w:rFonts w:ascii="宋体" w:hAnsi="宋体" w:eastAsia="宋体"/>
          <w:sz w:val="21"/>
          <w:szCs w:val="21"/>
        </w:rPr>
        <w:t>2021年9月1日</w:t>
      </w:r>
      <w:r>
        <w:rPr>
          <w:rFonts w:hint="eastAsia" w:ascii="宋体" w:hAnsi="宋体" w:eastAsia="宋体"/>
          <w:sz w:val="21"/>
          <w:szCs w:val="21"/>
        </w:rPr>
        <w:t>起至</w:t>
      </w:r>
      <w:r>
        <w:rPr>
          <w:rFonts w:ascii="宋体" w:hAnsi="宋体" w:eastAsia="宋体"/>
          <w:sz w:val="21"/>
          <w:szCs w:val="21"/>
        </w:rPr>
        <w:t>2022年8月31日</w:t>
      </w:r>
      <w:r>
        <w:rPr>
          <w:rFonts w:hint="eastAsia" w:ascii="宋体" w:hAnsi="宋体" w:eastAsia="宋体"/>
          <w:sz w:val="21"/>
          <w:szCs w:val="21"/>
        </w:rPr>
        <w:t>止（如因甲方场地等原因变动的，则以实际进场时间为准）。合同期内，如甲方退出</w:t>
      </w:r>
      <w:r>
        <w:rPr>
          <w:rFonts w:ascii="宋体" w:hAnsi="宋体" w:eastAsia="宋体"/>
          <w:sz w:val="21"/>
          <w:szCs w:val="21"/>
        </w:rPr>
        <w:t>合同约定</w:t>
      </w:r>
      <w:r>
        <w:rPr>
          <w:rFonts w:hint="eastAsia" w:ascii="宋体" w:hAnsi="宋体" w:eastAsia="宋体"/>
          <w:sz w:val="21"/>
          <w:szCs w:val="21"/>
        </w:rPr>
        <w:t>小区的物业管理，本合同自动终止。</w:t>
      </w:r>
    </w:p>
    <w:p>
      <w:pPr>
        <w:spacing w:after="0" w:line="360" w:lineRule="auto"/>
        <w:ind w:firstLine="420" w:firstLineChars="200"/>
        <w:rPr>
          <w:rFonts w:ascii="宋体" w:hAnsi="宋体" w:eastAsia="宋体"/>
          <w:sz w:val="21"/>
          <w:szCs w:val="21"/>
        </w:rPr>
      </w:pPr>
      <w:r>
        <w:rPr>
          <w:rFonts w:ascii="宋体" w:hAnsi="宋体" w:eastAsia="宋体"/>
          <w:sz w:val="21"/>
          <w:szCs w:val="21"/>
        </w:rPr>
        <w:t>4.2</w:t>
      </w:r>
      <w:r>
        <w:rPr>
          <w:rFonts w:hint="eastAsia" w:ascii="宋体" w:hAnsi="宋体" w:eastAsia="宋体"/>
          <w:sz w:val="21"/>
          <w:szCs w:val="21"/>
        </w:rPr>
        <w:t>承包费用及支付方式</w:t>
      </w:r>
    </w:p>
    <w:p>
      <w:pPr>
        <w:spacing w:after="0" w:line="360" w:lineRule="auto"/>
        <w:ind w:firstLine="420" w:firstLineChars="200"/>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.2.1本消杀服务费用为每月人民币：小写</w:t>
      </w:r>
      <w:r>
        <w:rPr>
          <w:rFonts w:ascii="宋体" w:hAnsi="宋体" w:eastAsia="宋体"/>
          <w:sz w:val="21"/>
          <w:szCs w:val="21"/>
        </w:rPr>
        <w:t>¥</w:t>
      </w:r>
      <w:r>
        <w:rPr>
          <w:rFonts w:hint="eastAsia" w:ascii="宋体" w:hAnsi="宋体" w:eastAsia="宋体"/>
          <w:sz w:val="21"/>
          <w:szCs w:val="21"/>
        </w:rPr>
        <w:t>： 元，大写</w:t>
      </w:r>
      <w:r>
        <w:rPr>
          <w:rFonts w:ascii="宋体" w:hAnsi="宋体" w:eastAsia="宋体"/>
          <w:sz w:val="21"/>
          <w:szCs w:val="21"/>
        </w:rPr>
        <w:t>元</w:t>
      </w:r>
      <w:r>
        <w:rPr>
          <w:rFonts w:hint="eastAsia" w:ascii="宋体" w:hAnsi="宋体" w:eastAsia="宋体"/>
          <w:sz w:val="21"/>
          <w:szCs w:val="21"/>
        </w:rPr>
        <w:t>。</w:t>
      </w:r>
      <w:r>
        <w:rPr>
          <w:rFonts w:ascii="宋体" w:hAnsi="宋体" w:eastAsia="宋体"/>
          <w:sz w:val="21"/>
          <w:szCs w:val="21"/>
        </w:rPr>
        <w:t>本合同价格为含税价，合同价格=不含税价+不含税价×增值税率（该税率指乙方提供增值税发票上显示的税率）。乙方为一般纳税人(小规模纳税人</w:t>
      </w:r>
      <w:r>
        <w:rPr>
          <w:rFonts w:hint="eastAsia" w:ascii="宋体" w:hAnsi="宋体" w:eastAsia="宋体"/>
          <w:sz w:val="21"/>
          <w:szCs w:val="21"/>
        </w:rPr>
        <w:t>/</w:t>
      </w:r>
      <w:r>
        <w:rPr>
          <w:rFonts w:ascii="宋体" w:hAnsi="宋体" w:eastAsia="宋体"/>
          <w:sz w:val="21"/>
          <w:szCs w:val="21"/>
        </w:rPr>
        <w:t>一般纳税人)，应向甲方提供税率为3%（0%、3%、6%、11%、13%、17%）的增值税专用发票(增值税专用发票</w:t>
      </w:r>
      <w:r>
        <w:rPr>
          <w:rFonts w:hint="eastAsia" w:ascii="宋体" w:hAnsi="宋体" w:eastAsia="宋体"/>
          <w:sz w:val="21"/>
          <w:szCs w:val="21"/>
        </w:rPr>
        <w:t>/</w:t>
      </w:r>
      <w:r>
        <w:rPr>
          <w:rFonts w:ascii="宋体" w:hAnsi="宋体" w:eastAsia="宋体"/>
          <w:sz w:val="21"/>
          <w:szCs w:val="21"/>
        </w:rPr>
        <w:t>增值税普通发票)（如适用两个及以上不同税目税率，应分别计算）。</w:t>
      </w:r>
    </w:p>
    <w:p>
      <w:pPr>
        <w:spacing w:after="0" w:line="360" w:lineRule="auto"/>
        <w:ind w:firstLine="420" w:firstLineChars="200"/>
        <w:rPr>
          <w:rFonts w:ascii="宋体" w:hAnsi="宋体" w:eastAsia="宋体"/>
          <w:sz w:val="21"/>
          <w:szCs w:val="21"/>
        </w:rPr>
      </w:pPr>
      <w:r>
        <w:rPr>
          <w:rFonts w:ascii="宋体" w:hAnsi="宋体" w:eastAsia="宋体"/>
          <w:sz w:val="21"/>
          <w:szCs w:val="21"/>
        </w:rPr>
        <w:t>4.2.2</w:t>
      </w:r>
      <w:r>
        <w:rPr>
          <w:rFonts w:hint="eastAsia" w:ascii="宋体" w:hAnsi="宋体" w:eastAsia="宋体"/>
          <w:sz w:val="21"/>
          <w:szCs w:val="21"/>
        </w:rPr>
        <w:t>费用按</w:t>
      </w:r>
      <w:r>
        <w:rPr>
          <w:rFonts w:ascii="宋体" w:hAnsi="宋体" w:eastAsia="宋体"/>
          <w:sz w:val="21"/>
          <w:szCs w:val="21"/>
        </w:rPr>
        <w:t>月</w:t>
      </w:r>
      <w:r>
        <w:rPr>
          <w:rFonts w:hint="eastAsia" w:ascii="宋体" w:hAnsi="宋体" w:eastAsia="宋体"/>
          <w:sz w:val="21"/>
          <w:szCs w:val="21"/>
        </w:rPr>
        <w:t>结算，乙方于每</w:t>
      </w:r>
      <w:r>
        <w:rPr>
          <w:rFonts w:ascii="宋体" w:hAnsi="宋体" w:eastAsia="宋体"/>
          <w:sz w:val="21"/>
          <w:szCs w:val="21"/>
        </w:rPr>
        <w:t>15</w:t>
      </w:r>
      <w:r>
        <w:rPr>
          <w:rFonts w:hint="eastAsia" w:ascii="宋体" w:hAnsi="宋体" w:eastAsia="宋体"/>
          <w:sz w:val="21"/>
          <w:szCs w:val="21"/>
        </w:rPr>
        <w:t>日前向甲方提交正式有效发票，</w:t>
      </w:r>
      <w:r>
        <w:rPr>
          <w:rFonts w:ascii="宋体" w:hAnsi="宋体" w:eastAsia="宋体"/>
          <w:sz w:val="21"/>
          <w:szCs w:val="21"/>
        </w:rPr>
        <w:t>甲方在收到乙方发票并进行国</w:t>
      </w:r>
      <w:r>
        <w:rPr>
          <w:rFonts w:ascii="宋体" w:hAnsi="宋体" w:eastAsia="宋体"/>
          <w:sz w:val="21"/>
          <w:szCs w:val="21"/>
          <w:lang w:val="zh-TW"/>
        </w:rPr>
        <w:t>税业务系统认证</w:t>
      </w:r>
      <w:r>
        <w:rPr>
          <w:rFonts w:ascii="宋体" w:hAnsi="宋体" w:eastAsia="宋体"/>
          <w:sz w:val="21"/>
          <w:szCs w:val="21"/>
        </w:rPr>
        <w:t>(</w:t>
      </w:r>
      <w:r>
        <w:rPr>
          <w:rFonts w:ascii="宋体" w:hAnsi="宋体" w:eastAsia="宋体"/>
          <w:sz w:val="21"/>
          <w:szCs w:val="21"/>
          <w:lang w:val="zh-TW"/>
        </w:rPr>
        <w:t>限增值税专用发票</w:t>
      </w:r>
      <w:r>
        <w:rPr>
          <w:rFonts w:ascii="宋体" w:hAnsi="宋体" w:eastAsia="宋体"/>
          <w:sz w:val="21"/>
          <w:szCs w:val="21"/>
        </w:rPr>
        <w:t>)</w:t>
      </w:r>
      <w:r>
        <w:rPr>
          <w:rFonts w:ascii="宋体" w:hAnsi="宋体" w:eastAsia="宋体"/>
          <w:sz w:val="21"/>
          <w:szCs w:val="21"/>
          <w:lang w:val="zh-TW"/>
        </w:rPr>
        <w:t>后</w:t>
      </w:r>
      <w:r>
        <w:rPr>
          <w:rFonts w:ascii="宋体" w:hAnsi="宋体" w:eastAsia="宋体"/>
          <w:sz w:val="21"/>
          <w:szCs w:val="21"/>
          <w:u w:val="single"/>
        </w:rPr>
        <w:t>30</w:t>
      </w:r>
      <w:r>
        <w:rPr>
          <w:rFonts w:ascii="宋体" w:hAnsi="宋体" w:eastAsia="宋体"/>
          <w:sz w:val="21"/>
          <w:szCs w:val="21"/>
          <w:lang w:val="zh-TW"/>
        </w:rPr>
        <w:t>日内，将当期应付款项划转至乙方指定的账户。</w:t>
      </w:r>
    </w:p>
    <w:p>
      <w:pPr>
        <w:pStyle w:val="34"/>
        <w:adjustRightInd w:val="0"/>
        <w:snapToGrid w:val="0"/>
        <w:spacing w:line="360" w:lineRule="auto"/>
        <w:ind w:firstLine="422" w:firstLineChars="200"/>
        <w:rPr>
          <w:rFonts w:ascii="宋体" w:hAnsi="宋体" w:eastAsia="宋体" w:cs="楷体_GB2312"/>
          <w:b/>
          <w:lang w:val="zh-TW"/>
        </w:rPr>
      </w:pPr>
      <w:r>
        <w:rPr>
          <w:rFonts w:hint="eastAsia" w:ascii="宋体" w:hAnsi="宋体" w:eastAsia="宋体" w:cs="楷体_GB2312"/>
          <w:b/>
          <w:lang w:val="zh-TW"/>
        </w:rPr>
        <w:t>双方税务信息</w:t>
      </w:r>
    </w:p>
    <w:tbl>
      <w:tblPr>
        <w:tblStyle w:val="21"/>
        <w:tblW w:w="5000" w:type="pct"/>
        <w:jc w:val="center"/>
        <w:shd w:val="clear" w:color="auto" w:fill="FFFFFF" w:themeFill="background1"/>
        <w:tblLayout w:type="autofit"/>
        <w:tblCellMar>
          <w:top w:w="0" w:type="dxa"/>
          <w:left w:w="108" w:type="dxa"/>
          <w:bottom w:w="0" w:type="dxa"/>
          <w:right w:w="108" w:type="dxa"/>
        </w:tblCellMar>
      </w:tblPr>
      <w:tblGrid>
        <w:gridCol w:w="4259"/>
        <w:gridCol w:w="4263"/>
      </w:tblGrid>
      <w:tr>
        <w:tblPrEx>
          <w:shd w:val="clear" w:color="auto" w:fill="FFFFFF" w:themeFill="background1"/>
          <w:tblCellMar>
            <w:top w:w="0" w:type="dxa"/>
            <w:left w:w="108" w:type="dxa"/>
            <w:bottom w:w="0" w:type="dxa"/>
            <w:right w:w="108" w:type="dxa"/>
          </w:tblCellMar>
        </w:tblPrEx>
        <w:trPr>
          <w:trHeight w:val="267" w:hRule="atLeast"/>
          <w:jc w:val="center"/>
        </w:trPr>
        <w:tc>
          <w:tcPr>
            <w:tcW w:w="2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line="360" w:lineRule="auto"/>
              <w:rPr>
                <w:rFonts w:ascii="宋体" w:hAnsi="宋体" w:eastAsia="宋体" w:cs="宋体"/>
                <w:sz w:val="21"/>
                <w:szCs w:val="21"/>
                <w:u w:color="000000"/>
              </w:rPr>
            </w:pPr>
            <w:r>
              <w:rPr>
                <w:rFonts w:ascii="宋体" w:hAnsi="宋体" w:eastAsia="宋体" w:cs="宋体"/>
                <w:sz w:val="21"/>
                <w:szCs w:val="21"/>
                <w:u w:color="000000"/>
                <w:lang w:eastAsia="zh-TW"/>
              </w:rPr>
              <w:t>甲方名称：</w:t>
            </w:r>
          </w:p>
        </w:tc>
        <w:tc>
          <w:tcPr>
            <w:tcW w:w="2501" w:type="pct"/>
            <w:tcBorders>
              <w:top w:val="single" w:color="auto" w:sz="4" w:space="0"/>
              <w:left w:val="nil"/>
              <w:bottom w:val="single" w:color="auto" w:sz="4" w:space="0"/>
              <w:right w:val="single" w:color="auto" w:sz="4" w:space="0"/>
            </w:tcBorders>
            <w:shd w:val="clear" w:color="auto" w:fill="FFFFFF" w:themeFill="background1"/>
            <w:vAlign w:val="center"/>
          </w:tcPr>
          <w:p>
            <w:pPr>
              <w:spacing w:after="0" w:line="360" w:lineRule="auto"/>
              <w:rPr>
                <w:rFonts w:ascii="宋体" w:hAnsi="宋体" w:eastAsia="宋体" w:cs="宋体"/>
                <w:sz w:val="21"/>
                <w:szCs w:val="21"/>
                <w:u w:color="000000"/>
              </w:rPr>
            </w:pPr>
            <w:r>
              <w:rPr>
                <w:rFonts w:ascii="宋体" w:hAnsi="宋体" w:eastAsia="宋体" w:cs="宋体"/>
                <w:sz w:val="21"/>
                <w:szCs w:val="21"/>
                <w:u w:color="000000"/>
                <w:lang w:eastAsia="zh-TW"/>
              </w:rPr>
              <w:t>乙方名称：</w:t>
            </w:r>
          </w:p>
        </w:tc>
      </w:tr>
      <w:tr>
        <w:tblPrEx>
          <w:tblCellMar>
            <w:top w:w="0" w:type="dxa"/>
            <w:left w:w="108" w:type="dxa"/>
            <w:bottom w:w="0" w:type="dxa"/>
            <w:right w:w="108" w:type="dxa"/>
          </w:tblCellMar>
        </w:tblPrEx>
        <w:trPr>
          <w:trHeight w:val="267" w:hRule="atLeast"/>
          <w:jc w:val="center"/>
        </w:trPr>
        <w:tc>
          <w:tcPr>
            <w:tcW w:w="2499" w:type="pct"/>
            <w:tcBorders>
              <w:top w:val="nil"/>
              <w:left w:val="single" w:color="auto" w:sz="4" w:space="0"/>
              <w:bottom w:val="single" w:color="auto" w:sz="4" w:space="0"/>
              <w:right w:val="single" w:color="auto" w:sz="4" w:space="0"/>
            </w:tcBorders>
            <w:shd w:val="clear" w:color="auto" w:fill="FFFFFF" w:themeFill="background1"/>
            <w:vAlign w:val="center"/>
          </w:tcPr>
          <w:p>
            <w:pPr>
              <w:spacing w:after="0" w:line="360" w:lineRule="auto"/>
              <w:rPr>
                <w:rFonts w:ascii="宋体" w:hAnsi="宋体" w:eastAsia="宋体" w:cs="宋体"/>
                <w:sz w:val="21"/>
                <w:szCs w:val="21"/>
                <w:u w:color="000000"/>
              </w:rPr>
            </w:pPr>
            <w:r>
              <w:rPr>
                <w:rFonts w:ascii="宋体" w:hAnsi="宋体" w:eastAsia="宋体" w:cs="宋体"/>
                <w:sz w:val="21"/>
                <w:szCs w:val="21"/>
                <w:u w:color="000000"/>
                <w:lang w:eastAsia="zh-TW"/>
              </w:rPr>
              <w:t>纳税人识别号：</w:t>
            </w:r>
          </w:p>
        </w:tc>
        <w:tc>
          <w:tcPr>
            <w:tcW w:w="2501" w:type="pct"/>
            <w:tcBorders>
              <w:top w:val="nil"/>
              <w:left w:val="nil"/>
              <w:bottom w:val="single" w:color="auto" w:sz="4" w:space="0"/>
              <w:right w:val="single" w:color="auto" w:sz="4" w:space="0"/>
            </w:tcBorders>
            <w:shd w:val="clear" w:color="auto" w:fill="FFFFFF" w:themeFill="background1"/>
            <w:vAlign w:val="center"/>
          </w:tcPr>
          <w:p>
            <w:pPr>
              <w:spacing w:after="0" w:line="360" w:lineRule="auto"/>
              <w:rPr>
                <w:rFonts w:ascii="宋体" w:hAnsi="宋体" w:eastAsia="宋体" w:cs="宋体"/>
                <w:sz w:val="21"/>
                <w:szCs w:val="21"/>
                <w:u w:color="000000"/>
              </w:rPr>
            </w:pPr>
            <w:r>
              <w:rPr>
                <w:rFonts w:ascii="宋体" w:hAnsi="宋体" w:eastAsia="宋体" w:cs="宋体"/>
                <w:sz w:val="21"/>
                <w:szCs w:val="21"/>
                <w:u w:color="000000"/>
                <w:lang w:eastAsia="zh-TW"/>
              </w:rPr>
              <w:t>纳税人识别号：</w:t>
            </w:r>
          </w:p>
        </w:tc>
      </w:tr>
      <w:tr>
        <w:tblPrEx>
          <w:tblCellMar>
            <w:top w:w="0" w:type="dxa"/>
            <w:left w:w="108" w:type="dxa"/>
            <w:bottom w:w="0" w:type="dxa"/>
            <w:right w:w="108" w:type="dxa"/>
          </w:tblCellMar>
        </w:tblPrEx>
        <w:trPr>
          <w:trHeight w:val="267" w:hRule="atLeast"/>
          <w:jc w:val="center"/>
        </w:trPr>
        <w:tc>
          <w:tcPr>
            <w:tcW w:w="2499" w:type="pct"/>
            <w:tcBorders>
              <w:top w:val="nil"/>
              <w:left w:val="single" w:color="auto" w:sz="4" w:space="0"/>
              <w:bottom w:val="single" w:color="auto" w:sz="4" w:space="0"/>
              <w:right w:val="single" w:color="auto" w:sz="4" w:space="0"/>
            </w:tcBorders>
            <w:shd w:val="clear" w:color="auto" w:fill="FFFFFF" w:themeFill="background1"/>
            <w:vAlign w:val="center"/>
          </w:tcPr>
          <w:p>
            <w:pPr>
              <w:spacing w:after="0" w:line="360" w:lineRule="auto"/>
              <w:rPr>
                <w:rFonts w:ascii="宋体" w:hAnsi="宋体" w:eastAsia="宋体" w:cs="宋体"/>
                <w:sz w:val="21"/>
                <w:szCs w:val="21"/>
                <w:u w:color="000000"/>
              </w:rPr>
            </w:pPr>
            <w:r>
              <w:rPr>
                <w:rFonts w:ascii="宋体" w:hAnsi="宋体" w:eastAsia="宋体" w:cs="宋体"/>
                <w:sz w:val="21"/>
                <w:szCs w:val="21"/>
                <w:u w:color="000000"/>
                <w:lang w:eastAsia="zh-TW"/>
              </w:rPr>
              <w:t>户    名：</w:t>
            </w:r>
          </w:p>
        </w:tc>
        <w:tc>
          <w:tcPr>
            <w:tcW w:w="2501" w:type="pct"/>
            <w:tcBorders>
              <w:top w:val="nil"/>
              <w:left w:val="nil"/>
              <w:bottom w:val="single" w:color="auto" w:sz="4" w:space="0"/>
              <w:right w:val="single" w:color="auto" w:sz="4" w:space="0"/>
            </w:tcBorders>
            <w:shd w:val="clear" w:color="auto" w:fill="FFFFFF" w:themeFill="background1"/>
            <w:vAlign w:val="center"/>
          </w:tcPr>
          <w:p>
            <w:pPr>
              <w:spacing w:after="0" w:line="360" w:lineRule="auto"/>
              <w:rPr>
                <w:rFonts w:ascii="宋体" w:hAnsi="宋体" w:eastAsia="宋体" w:cs="宋体"/>
                <w:sz w:val="21"/>
                <w:szCs w:val="21"/>
                <w:u w:color="000000"/>
              </w:rPr>
            </w:pPr>
            <w:r>
              <w:rPr>
                <w:rFonts w:ascii="宋体" w:hAnsi="宋体" w:eastAsia="宋体" w:cs="宋体"/>
                <w:sz w:val="21"/>
                <w:szCs w:val="21"/>
                <w:u w:color="000000"/>
                <w:lang w:eastAsia="zh-TW"/>
              </w:rPr>
              <w:t>户    名：</w:t>
            </w:r>
          </w:p>
        </w:tc>
      </w:tr>
      <w:tr>
        <w:tblPrEx>
          <w:tblCellMar>
            <w:top w:w="0" w:type="dxa"/>
            <w:left w:w="108" w:type="dxa"/>
            <w:bottom w:w="0" w:type="dxa"/>
            <w:right w:w="108" w:type="dxa"/>
          </w:tblCellMar>
        </w:tblPrEx>
        <w:trPr>
          <w:trHeight w:val="267" w:hRule="atLeast"/>
          <w:jc w:val="center"/>
        </w:trPr>
        <w:tc>
          <w:tcPr>
            <w:tcW w:w="2499" w:type="pct"/>
            <w:tcBorders>
              <w:top w:val="nil"/>
              <w:left w:val="single" w:color="auto" w:sz="4" w:space="0"/>
              <w:bottom w:val="single" w:color="auto" w:sz="4" w:space="0"/>
              <w:right w:val="single" w:color="auto" w:sz="4" w:space="0"/>
            </w:tcBorders>
            <w:shd w:val="clear" w:color="auto" w:fill="FFFFFF" w:themeFill="background1"/>
            <w:vAlign w:val="center"/>
          </w:tcPr>
          <w:p>
            <w:pPr>
              <w:spacing w:after="0" w:line="360" w:lineRule="auto"/>
              <w:rPr>
                <w:rFonts w:ascii="宋体" w:hAnsi="宋体" w:eastAsia="宋体" w:cs="宋体"/>
                <w:sz w:val="21"/>
                <w:szCs w:val="21"/>
                <w:u w:color="000000"/>
              </w:rPr>
            </w:pPr>
            <w:r>
              <w:rPr>
                <w:rFonts w:ascii="宋体" w:hAnsi="宋体" w:eastAsia="宋体" w:cs="宋体"/>
                <w:sz w:val="21"/>
                <w:szCs w:val="21"/>
                <w:u w:color="000000"/>
                <w:lang w:eastAsia="zh-TW"/>
              </w:rPr>
              <w:t>开 户 行：</w:t>
            </w:r>
          </w:p>
        </w:tc>
        <w:tc>
          <w:tcPr>
            <w:tcW w:w="2501" w:type="pct"/>
            <w:tcBorders>
              <w:top w:val="nil"/>
              <w:left w:val="nil"/>
              <w:bottom w:val="single" w:color="auto" w:sz="4" w:space="0"/>
              <w:right w:val="single" w:color="auto" w:sz="4" w:space="0"/>
            </w:tcBorders>
            <w:shd w:val="clear" w:color="auto" w:fill="FFFFFF" w:themeFill="background1"/>
            <w:vAlign w:val="center"/>
          </w:tcPr>
          <w:p>
            <w:pPr>
              <w:spacing w:after="0" w:line="360" w:lineRule="auto"/>
              <w:rPr>
                <w:rFonts w:ascii="宋体" w:hAnsi="宋体" w:eastAsia="宋体" w:cs="宋体"/>
                <w:sz w:val="21"/>
                <w:szCs w:val="21"/>
                <w:u w:color="000000"/>
              </w:rPr>
            </w:pPr>
            <w:r>
              <w:rPr>
                <w:rFonts w:ascii="宋体" w:hAnsi="宋体" w:eastAsia="宋体" w:cs="宋体"/>
                <w:sz w:val="21"/>
                <w:szCs w:val="21"/>
                <w:u w:color="000000"/>
                <w:lang w:eastAsia="zh-TW"/>
              </w:rPr>
              <w:t>开 户 行：</w:t>
            </w:r>
          </w:p>
          <w:p>
            <w:pPr>
              <w:spacing w:after="0" w:line="360" w:lineRule="auto"/>
              <w:rPr>
                <w:rFonts w:ascii="宋体" w:hAnsi="宋体" w:eastAsia="宋体" w:cs="宋体"/>
                <w:sz w:val="21"/>
                <w:szCs w:val="21"/>
                <w:u w:color="000000"/>
              </w:rPr>
            </w:pPr>
          </w:p>
        </w:tc>
      </w:tr>
      <w:tr>
        <w:tblPrEx>
          <w:tblCellMar>
            <w:top w:w="0" w:type="dxa"/>
            <w:left w:w="108" w:type="dxa"/>
            <w:bottom w:w="0" w:type="dxa"/>
            <w:right w:w="108" w:type="dxa"/>
          </w:tblCellMar>
        </w:tblPrEx>
        <w:trPr>
          <w:trHeight w:val="267" w:hRule="atLeast"/>
          <w:jc w:val="center"/>
        </w:trPr>
        <w:tc>
          <w:tcPr>
            <w:tcW w:w="2499" w:type="pct"/>
            <w:tcBorders>
              <w:top w:val="nil"/>
              <w:left w:val="single" w:color="auto" w:sz="4" w:space="0"/>
              <w:bottom w:val="single" w:color="auto" w:sz="4" w:space="0"/>
              <w:right w:val="single" w:color="auto" w:sz="4" w:space="0"/>
            </w:tcBorders>
            <w:shd w:val="clear" w:color="auto" w:fill="FFFFFF" w:themeFill="background1"/>
            <w:vAlign w:val="center"/>
          </w:tcPr>
          <w:p>
            <w:pPr>
              <w:spacing w:after="0" w:line="360" w:lineRule="auto"/>
              <w:rPr>
                <w:rFonts w:ascii="宋体" w:hAnsi="宋体" w:eastAsia="宋体" w:cs="宋体"/>
                <w:sz w:val="21"/>
                <w:szCs w:val="21"/>
                <w:u w:color="000000"/>
              </w:rPr>
            </w:pPr>
            <w:r>
              <w:rPr>
                <w:rFonts w:ascii="宋体" w:hAnsi="宋体" w:eastAsia="宋体" w:cs="宋体"/>
                <w:sz w:val="21"/>
                <w:szCs w:val="21"/>
                <w:u w:color="000000"/>
                <w:lang w:eastAsia="zh-TW"/>
              </w:rPr>
              <w:t>帐    号：</w:t>
            </w:r>
          </w:p>
        </w:tc>
        <w:tc>
          <w:tcPr>
            <w:tcW w:w="2501" w:type="pct"/>
            <w:tcBorders>
              <w:top w:val="nil"/>
              <w:left w:val="nil"/>
              <w:bottom w:val="single" w:color="auto" w:sz="4" w:space="0"/>
              <w:right w:val="single" w:color="auto" w:sz="4" w:space="0"/>
            </w:tcBorders>
            <w:shd w:val="clear" w:color="auto" w:fill="FFFFFF" w:themeFill="background1"/>
            <w:vAlign w:val="center"/>
          </w:tcPr>
          <w:p>
            <w:pPr>
              <w:spacing w:after="0" w:line="360" w:lineRule="auto"/>
              <w:rPr>
                <w:rFonts w:ascii="宋体" w:hAnsi="宋体" w:eastAsia="宋体" w:cs="宋体"/>
                <w:sz w:val="21"/>
                <w:szCs w:val="21"/>
                <w:u w:color="000000"/>
              </w:rPr>
            </w:pPr>
            <w:r>
              <w:rPr>
                <w:rFonts w:ascii="宋体" w:hAnsi="宋体" w:eastAsia="宋体" w:cs="宋体"/>
                <w:sz w:val="21"/>
                <w:szCs w:val="21"/>
                <w:u w:color="000000"/>
                <w:lang w:eastAsia="zh-TW"/>
              </w:rPr>
              <w:t>帐    号：</w:t>
            </w:r>
          </w:p>
        </w:tc>
      </w:tr>
      <w:tr>
        <w:tblPrEx>
          <w:tblCellMar>
            <w:top w:w="0" w:type="dxa"/>
            <w:left w:w="108" w:type="dxa"/>
            <w:bottom w:w="0" w:type="dxa"/>
            <w:right w:w="108" w:type="dxa"/>
          </w:tblCellMar>
        </w:tblPrEx>
        <w:trPr>
          <w:trHeight w:val="267" w:hRule="atLeast"/>
          <w:jc w:val="center"/>
        </w:trPr>
        <w:tc>
          <w:tcPr>
            <w:tcW w:w="2499" w:type="pct"/>
            <w:tcBorders>
              <w:top w:val="nil"/>
              <w:left w:val="single" w:color="auto" w:sz="4" w:space="0"/>
              <w:bottom w:val="single" w:color="auto" w:sz="4" w:space="0"/>
              <w:right w:val="single" w:color="auto" w:sz="4" w:space="0"/>
            </w:tcBorders>
            <w:shd w:val="clear" w:color="auto" w:fill="FFFFFF" w:themeFill="background1"/>
            <w:vAlign w:val="center"/>
          </w:tcPr>
          <w:p>
            <w:pPr>
              <w:spacing w:after="0" w:line="360" w:lineRule="auto"/>
              <w:rPr>
                <w:rFonts w:ascii="宋体" w:hAnsi="宋体" w:eastAsia="宋体" w:cs="宋体"/>
                <w:sz w:val="21"/>
                <w:szCs w:val="21"/>
                <w:u w:color="000000"/>
              </w:rPr>
            </w:pPr>
            <w:r>
              <w:rPr>
                <w:rFonts w:ascii="宋体" w:hAnsi="宋体" w:eastAsia="宋体" w:cs="宋体"/>
                <w:sz w:val="21"/>
                <w:szCs w:val="21"/>
                <w:u w:color="000000"/>
                <w:lang w:eastAsia="zh-TW"/>
              </w:rPr>
              <w:t>地    址：</w:t>
            </w:r>
          </w:p>
        </w:tc>
        <w:tc>
          <w:tcPr>
            <w:tcW w:w="2501" w:type="pct"/>
            <w:tcBorders>
              <w:top w:val="nil"/>
              <w:left w:val="nil"/>
              <w:bottom w:val="single" w:color="auto" w:sz="4" w:space="0"/>
              <w:right w:val="single" w:color="auto" w:sz="4" w:space="0"/>
            </w:tcBorders>
            <w:shd w:val="clear" w:color="auto" w:fill="FFFFFF" w:themeFill="background1"/>
            <w:vAlign w:val="center"/>
          </w:tcPr>
          <w:p>
            <w:pPr>
              <w:spacing w:after="0" w:line="360" w:lineRule="auto"/>
              <w:rPr>
                <w:rFonts w:ascii="宋体" w:hAnsi="宋体" w:eastAsia="宋体" w:cs="宋体"/>
                <w:sz w:val="21"/>
                <w:szCs w:val="21"/>
                <w:u w:color="000000"/>
              </w:rPr>
            </w:pPr>
            <w:r>
              <w:rPr>
                <w:rFonts w:ascii="宋体" w:hAnsi="宋体" w:eastAsia="宋体" w:cs="宋体"/>
                <w:sz w:val="21"/>
                <w:szCs w:val="21"/>
                <w:u w:color="000000"/>
                <w:lang w:eastAsia="zh-TW"/>
              </w:rPr>
              <w:t>地    址：</w:t>
            </w:r>
          </w:p>
        </w:tc>
      </w:tr>
      <w:tr>
        <w:tblPrEx>
          <w:tblCellMar>
            <w:top w:w="0" w:type="dxa"/>
            <w:left w:w="108" w:type="dxa"/>
            <w:bottom w:w="0" w:type="dxa"/>
            <w:right w:w="108" w:type="dxa"/>
          </w:tblCellMar>
        </w:tblPrEx>
        <w:trPr>
          <w:trHeight w:val="267" w:hRule="atLeast"/>
          <w:jc w:val="center"/>
        </w:trPr>
        <w:tc>
          <w:tcPr>
            <w:tcW w:w="2499" w:type="pct"/>
            <w:tcBorders>
              <w:top w:val="nil"/>
              <w:left w:val="single" w:color="auto" w:sz="4" w:space="0"/>
              <w:bottom w:val="single" w:color="auto" w:sz="4" w:space="0"/>
              <w:right w:val="single" w:color="auto" w:sz="4" w:space="0"/>
            </w:tcBorders>
            <w:shd w:val="clear" w:color="auto" w:fill="FFFFFF" w:themeFill="background1"/>
            <w:vAlign w:val="center"/>
          </w:tcPr>
          <w:p>
            <w:pPr>
              <w:spacing w:after="0" w:line="360" w:lineRule="auto"/>
              <w:rPr>
                <w:rFonts w:ascii="宋体" w:hAnsi="宋体" w:eastAsia="宋体" w:cs="宋体"/>
                <w:sz w:val="21"/>
                <w:szCs w:val="21"/>
                <w:u w:color="000000"/>
              </w:rPr>
            </w:pPr>
            <w:r>
              <w:rPr>
                <w:rFonts w:ascii="宋体" w:hAnsi="宋体" w:eastAsia="宋体" w:cs="宋体"/>
                <w:sz w:val="21"/>
                <w:szCs w:val="21"/>
                <w:u w:color="000000"/>
                <w:lang w:eastAsia="zh-TW"/>
              </w:rPr>
              <w:t>联系电话：</w:t>
            </w:r>
          </w:p>
        </w:tc>
        <w:tc>
          <w:tcPr>
            <w:tcW w:w="2501" w:type="pct"/>
            <w:tcBorders>
              <w:top w:val="nil"/>
              <w:left w:val="nil"/>
              <w:bottom w:val="single" w:color="auto" w:sz="4" w:space="0"/>
              <w:right w:val="single" w:color="auto" w:sz="4" w:space="0"/>
            </w:tcBorders>
            <w:shd w:val="clear" w:color="auto" w:fill="FFFFFF" w:themeFill="background1"/>
            <w:vAlign w:val="center"/>
          </w:tcPr>
          <w:p>
            <w:pPr>
              <w:spacing w:after="0" w:line="360" w:lineRule="auto"/>
              <w:rPr>
                <w:rFonts w:ascii="宋体" w:hAnsi="宋体" w:eastAsia="宋体" w:cs="宋体"/>
                <w:sz w:val="21"/>
                <w:szCs w:val="21"/>
                <w:u w:color="000000"/>
              </w:rPr>
            </w:pPr>
            <w:r>
              <w:rPr>
                <w:rFonts w:ascii="宋体" w:hAnsi="宋体" w:eastAsia="宋体" w:cs="宋体"/>
                <w:sz w:val="21"/>
                <w:szCs w:val="21"/>
                <w:u w:color="000000"/>
                <w:lang w:eastAsia="zh-TW"/>
              </w:rPr>
              <w:t>联系电话：</w:t>
            </w:r>
          </w:p>
        </w:tc>
      </w:tr>
    </w:tbl>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任何一方如需改变上述账户，应提前</w:t>
      </w:r>
      <w:r>
        <w:rPr>
          <w:rFonts w:ascii="宋体" w:hAnsi="宋体" w:eastAsia="宋体"/>
          <w:sz w:val="21"/>
          <w:szCs w:val="21"/>
          <w:u w:val="single"/>
        </w:rPr>
        <w:t>30</w:t>
      </w:r>
      <w:r>
        <w:rPr>
          <w:rFonts w:hint="eastAsia" w:ascii="宋体" w:hAnsi="宋体" w:eastAsia="宋体"/>
          <w:sz w:val="21"/>
          <w:szCs w:val="21"/>
        </w:rPr>
        <w:t>日以书面形式通知另一方。如一方未按本合同规定通知而遭受损失的自行承担，若使另一方遭受损失的，应赔偿相应损失并承担当期付款金额</w:t>
      </w:r>
      <w:r>
        <w:rPr>
          <w:rFonts w:ascii="宋体" w:hAnsi="宋体" w:eastAsia="宋体"/>
          <w:sz w:val="21"/>
          <w:szCs w:val="21"/>
        </w:rPr>
        <w:t>20%的违约金。</w:t>
      </w:r>
    </w:p>
    <w:p>
      <w:pPr>
        <w:spacing w:after="0" w:line="360" w:lineRule="auto"/>
        <w:ind w:firstLine="420" w:firstLineChars="200"/>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.2.3</w:t>
      </w:r>
      <w:r>
        <w:rPr>
          <w:rFonts w:ascii="宋体" w:hAnsi="宋体" w:eastAsia="宋体"/>
          <w:color w:val="000000"/>
          <w:sz w:val="21"/>
          <w:szCs w:val="21"/>
          <w:lang w:val="zh-TW"/>
        </w:rPr>
        <w:t>乙方无法按约定提供合法有效的发票，需向甲方支付应提供发票总金额</w:t>
      </w:r>
      <w:r>
        <w:rPr>
          <w:rFonts w:ascii="宋体" w:hAnsi="宋体" w:eastAsia="宋体"/>
          <w:color w:val="000000"/>
          <w:sz w:val="21"/>
          <w:szCs w:val="21"/>
        </w:rPr>
        <w:t>20%</w:t>
      </w:r>
      <w:r>
        <w:rPr>
          <w:rFonts w:ascii="宋体" w:hAnsi="宋体" w:eastAsia="宋体"/>
          <w:color w:val="000000"/>
          <w:sz w:val="21"/>
          <w:szCs w:val="21"/>
          <w:lang w:val="zh-TW"/>
        </w:rPr>
        <w:t>的违约金，并按甲方要求采取重新开具发票等补救措施。如因乙方原因（包括但不限于无法提供增值税专用发票等其他凭证）造成甲方不能抵扣的，按</w:t>
      </w:r>
      <w:r>
        <w:rPr>
          <w:rFonts w:ascii="宋体" w:hAnsi="宋体" w:eastAsia="宋体"/>
          <w:color w:val="000000"/>
          <w:sz w:val="21"/>
          <w:szCs w:val="21"/>
        </w:rPr>
        <w:t>“</w:t>
      </w:r>
      <w:r>
        <w:rPr>
          <w:rFonts w:ascii="宋体" w:hAnsi="宋体" w:eastAsia="宋体"/>
          <w:color w:val="000000"/>
          <w:sz w:val="21"/>
          <w:szCs w:val="21"/>
          <w:lang w:val="zh-TW"/>
        </w:rPr>
        <w:t>合同不含税价格</w:t>
      </w:r>
      <w:r>
        <w:rPr>
          <w:rFonts w:ascii="宋体" w:hAnsi="宋体" w:eastAsia="宋体"/>
          <w:color w:val="000000"/>
          <w:sz w:val="21"/>
          <w:szCs w:val="21"/>
        </w:rPr>
        <w:t>”</w:t>
      </w:r>
      <w:r>
        <w:rPr>
          <w:rFonts w:ascii="宋体" w:hAnsi="宋体" w:eastAsia="宋体"/>
          <w:color w:val="000000"/>
          <w:sz w:val="21"/>
          <w:szCs w:val="21"/>
          <w:lang w:val="zh-TW"/>
        </w:rPr>
        <w:t>进行结算，同时甲方有权终止合同并要求乙方支付合同总价格（含税）</w:t>
      </w:r>
      <w:r>
        <w:rPr>
          <w:rFonts w:ascii="宋体" w:hAnsi="宋体" w:eastAsia="宋体"/>
          <w:color w:val="000000"/>
          <w:sz w:val="21"/>
          <w:szCs w:val="21"/>
        </w:rPr>
        <w:t xml:space="preserve">20% </w:t>
      </w:r>
      <w:r>
        <w:rPr>
          <w:rFonts w:ascii="宋体" w:hAnsi="宋体" w:eastAsia="宋体"/>
          <w:color w:val="000000"/>
          <w:sz w:val="21"/>
          <w:szCs w:val="21"/>
          <w:lang w:val="zh-TW"/>
        </w:rPr>
        <w:t>的违约金。</w:t>
      </w:r>
    </w:p>
    <w:p>
      <w:pPr>
        <w:spacing w:after="0" w:line="360" w:lineRule="auto"/>
        <w:rPr>
          <w:rFonts w:ascii="宋体" w:hAnsi="宋体" w:eastAsia="宋体"/>
          <w:sz w:val="21"/>
          <w:szCs w:val="21"/>
        </w:rPr>
      </w:pPr>
    </w:p>
    <w:p>
      <w:pPr>
        <w:spacing w:after="0" w:line="360" w:lineRule="auto"/>
        <w:rPr>
          <w:rFonts w:ascii="宋体" w:hAnsi="宋体" w:eastAsia="宋体"/>
          <w:b/>
          <w:sz w:val="21"/>
          <w:szCs w:val="21"/>
        </w:rPr>
      </w:pPr>
      <w:r>
        <w:rPr>
          <w:rFonts w:hint="eastAsia" w:ascii="宋体" w:hAnsi="宋体" w:eastAsia="宋体"/>
          <w:b/>
          <w:sz w:val="21"/>
          <w:szCs w:val="21"/>
        </w:rPr>
        <w:t>五、解除合同的条件及违约责任的承担</w:t>
      </w:r>
    </w:p>
    <w:p>
      <w:pPr>
        <w:spacing w:after="0" w:line="360" w:lineRule="auto"/>
        <w:ind w:firstLine="420" w:firstLineChars="200"/>
        <w:rPr>
          <w:rFonts w:ascii="宋体" w:hAnsi="宋体" w:eastAsia="宋体"/>
          <w:sz w:val="21"/>
          <w:szCs w:val="21"/>
        </w:rPr>
      </w:pPr>
      <w:r>
        <w:rPr>
          <w:rFonts w:ascii="宋体" w:hAnsi="宋体" w:eastAsia="宋体"/>
          <w:sz w:val="21"/>
          <w:szCs w:val="21"/>
        </w:rPr>
        <w:t>5.1</w:t>
      </w:r>
      <w:r>
        <w:rPr>
          <w:rFonts w:hint="eastAsia" w:ascii="宋体" w:hAnsi="宋体" w:eastAsia="宋体"/>
          <w:sz w:val="21"/>
          <w:szCs w:val="21"/>
        </w:rPr>
        <w:t>考虑到甲方内部招投标管理要求，如乙方因受到客观因素影响需提前终止合同的，乙方同意至少提前</w:t>
      </w:r>
      <w:r>
        <w:rPr>
          <w:rFonts w:ascii="宋体" w:hAnsi="宋体" w:eastAsia="宋体"/>
          <w:sz w:val="21"/>
          <w:szCs w:val="21"/>
          <w:u w:val="single"/>
        </w:rPr>
        <w:t>3个月</w:t>
      </w:r>
      <w:r>
        <w:rPr>
          <w:rFonts w:hint="eastAsia" w:ascii="宋体" w:hAnsi="宋体" w:eastAsia="宋体"/>
          <w:sz w:val="21"/>
          <w:szCs w:val="21"/>
        </w:rPr>
        <w:t>以书面形式通知对方，否则乙方愿意赔偿对方相当于</w:t>
      </w:r>
      <w:r>
        <w:rPr>
          <w:rFonts w:ascii="宋体" w:hAnsi="宋体" w:eastAsia="宋体"/>
          <w:sz w:val="21"/>
          <w:szCs w:val="21"/>
          <w:u w:val="single"/>
        </w:rPr>
        <w:t>3个月</w:t>
      </w:r>
      <w:r>
        <w:rPr>
          <w:rFonts w:hint="eastAsia" w:ascii="宋体" w:hAnsi="宋体" w:eastAsia="宋体"/>
          <w:sz w:val="21"/>
          <w:szCs w:val="21"/>
        </w:rPr>
        <w:t>承包费用的违约金。</w:t>
      </w:r>
    </w:p>
    <w:p>
      <w:pPr>
        <w:spacing w:after="0" w:line="360" w:lineRule="auto"/>
        <w:ind w:firstLine="420" w:firstLineChars="200"/>
        <w:rPr>
          <w:rFonts w:ascii="宋体" w:hAnsi="宋体" w:eastAsia="宋体"/>
          <w:sz w:val="21"/>
          <w:szCs w:val="21"/>
        </w:rPr>
      </w:pPr>
      <w:r>
        <w:rPr>
          <w:rFonts w:ascii="宋体" w:hAnsi="宋体" w:eastAsia="宋体"/>
          <w:sz w:val="21"/>
          <w:szCs w:val="21"/>
        </w:rPr>
        <w:t>5.2</w:t>
      </w:r>
      <w:r>
        <w:rPr>
          <w:rFonts w:hint="eastAsia" w:ascii="宋体" w:hAnsi="宋体" w:eastAsia="宋体"/>
          <w:sz w:val="21"/>
          <w:szCs w:val="21"/>
        </w:rPr>
        <w:t>发生以下情况，甲方有权随时单方面解除本合同，并要求乙方承担相应的违约处罚。</w:t>
      </w:r>
    </w:p>
    <w:p>
      <w:pPr>
        <w:spacing w:after="0" w:line="360" w:lineRule="auto"/>
        <w:ind w:firstLine="420" w:firstLineChars="200"/>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.2.1若乙方所承包之消杀服务在政府部门卫生检查中不达标或影响甲方创优的，第一次发生将扣除当月承包费的</w:t>
      </w:r>
      <w:r>
        <w:rPr>
          <w:rFonts w:ascii="宋体" w:hAnsi="宋体" w:eastAsia="宋体"/>
          <w:sz w:val="21"/>
          <w:szCs w:val="21"/>
          <w:u w:val="single"/>
        </w:rPr>
        <w:t>50</w:t>
      </w:r>
      <w:r>
        <w:rPr>
          <w:rFonts w:ascii="宋体" w:hAnsi="宋体" w:eastAsia="宋体"/>
          <w:sz w:val="21"/>
          <w:szCs w:val="21"/>
        </w:rPr>
        <w:t>%</w:t>
      </w:r>
      <w:r>
        <w:rPr>
          <w:rFonts w:hint="eastAsia" w:ascii="宋体" w:hAnsi="宋体" w:eastAsia="宋体"/>
          <w:sz w:val="21"/>
          <w:szCs w:val="21"/>
        </w:rPr>
        <w:t>；第二次发生将全额扣除当月承包费，并有权随时单方面解除合同。</w:t>
      </w:r>
    </w:p>
    <w:p>
      <w:pPr>
        <w:spacing w:after="0" w:line="360" w:lineRule="auto"/>
        <w:ind w:firstLine="420" w:firstLineChars="200"/>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.2.2甲方严禁自己的任何员工接受乙方的礼品、娱乐性招待、金钱等的馈赠，乙方如有任何馈赠或贿赂甲方人员行为的。且甲方还将扣除乙方当月承包费用作为违约处罚。</w:t>
      </w:r>
    </w:p>
    <w:p>
      <w:pPr>
        <w:spacing w:after="0" w:line="360" w:lineRule="auto"/>
        <w:ind w:firstLine="420" w:firstLineChars="200"/>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.2.3乙方服务质量不达标或乙方违反本合同规定义务，经甲方三次书面警告及或罚款均无效果的。甲方将全额扣除当月承包费用（因不可抗力、第三方人为恶意破坏等因素造成的，不在此列）。</w:t>
      </w:r>
    </w:p>
    <w:p>
      <w:pPr>
        <w:spacing w:after="0" w:line="360" w:lineRule="auto"/>
        <w:ind w:firstLine="420" w:firstLineChars="200"/>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.2.4如因乙方在消杀服务过程中造成甲方客户在一个自然月内连续投诉达三次（含网络投诉），经整改且在下一个自然月投诉仍达三次的。每发生一单有效投诉的，甲方将扣除当月承包费的</w:t>
      </w:r>
      <w:r>
        <w:rPr>
          <w:rFonts w:ascii="宋体" w:hAnsi="宋体" w:eastAsia="宋体"/>
          <w:sz w:val="21"/>
          <w:szCs w:val="21"/>
        </w:rPr>
        <w:t>30%</w:t>
      </w:r>
      <w:r>
        <w:rPr>
          <w:rFonts w:hint="eastAsia" w:ascii="宋体" w:hAnsi="宋体" w:eastAsia="宋体"/>
          <w:sz w:val="21"/>
          <w:szCs w:val="21"/>
        </w:rPr>
        <w:t>。</w:t>
      </w:r>
    </w:p>
    <w:p>
      <w:pPr>
        <w:spacing w:after="0" w:line="360" w:lineRule="auto"/>
        <w:ind w:firstLine="420" w:firstLineChars="200"/>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.2.5如乙方现场服务人员擅离职守或未经甲方书面许可擅自撤场或派驻现场人数不足本合同约定配备人数</w:t>
      </w:r>
      <w:r>
        <w:rPr>
          <w:rFonts w:ascii="宋体" w:hAnsi="宋体" w:eastAsia="宋体"/>
          <w:sz w:val="21"/>
          <w:szCs w:val="21"/>
          <w:u w:val="single"/>
        </w:rPr>
        <w:t>80</w:t>
      </w:r>
      <w:r>
        <w:rPr>
          <w:rFonts w:ascii="宋体" w:hAnsi="宋体" w:eastAsia="宋体"/>
          <w:sz w:val="21"/>
          <w:szCs w:val="21"/>
        </w:rPr>
        <w:t>%</w:t>
      </w:r>
      <w:r>
        <w:rPr>
          <w:rFonts w:hint="eastAsia" w:ascii="宋体" w:hAnsi="宋体" w:eastAsia="宋体"/>
          <w:sz w:val="21"/>
          <w:szCs w:val="21"/>
        </w:rPr>
        <w:t>的。甲方将全额扣除当月承包费用。</w:t>
      </w:r>
    </w:p>
    <w:p>
      <w:pPr>
        <w:spacing w:after="0" w:line="360" w:lineRule="auto"/>
        <w:ind w:firstLine="420" w:firstLineChars="200"/>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.2.6乙方员工向甲方客户或外部散布查无实据的谣言，严重影响甲方形象或被媒体负面曝光的。甲方除全额扣除当月费用外，乙方还须向甲方支付不低于</w:t>
      </w:r>
      <w:r>
        <w:rPr>
          <w:rFonts w:ascii="宋体" w:hAnsi="宋体" w:eastAsia="宋体"/>
          <w:sz w:val="21"/>
          <w:szCs w:val="21"/>
          <w:u w:val="single"/>
        </w:rPr>
        <w:t>10000</w:t>
      </w:r>
      <w:r>
        <w:rPr>
          <w:rFonts w:hint="eastAsia" w:ascii="宋体" w:hAnsi="宋体" w:eastAsia="宋体"/>
          <w:sz w:val="21"/>
          <w:szCs w:val="21"/>
        </w:rPr>
        <w:t>元的名誉损害赔偿责任。</w:t>
      </w:r>
    </w:p>
    <w:p>
      <w:pPr>
        <w:spacing w:after="0" w:line="360" w:lineRule="auto"/>
        <w:ind w:firstLine="420" w:firstLineChars="200"/>
        <w:rPr>
          <w:rFonts w:ascii="宋体" w:hAnsi="宋体" w:eastAsia="宋体"/>
          <w:color w:val="0000FF"/>
          <w:sz w:val="21"/>
          <w:szCs w:val="21"/>
        </w:rPr>
      </w:pPr>
      <w:r>
        <w:rPr>
          <w:rFonts w:ascii="宋体" w:hAnsi="宋体" w:eastAsia="宋体"/>
          <w:sz w:val="21"/>
          <w:szCs w:val="21"/>
        </w:rPr>
        <w:t>5</w:t>
      </w:r>
      <w:r>
        <w:rPr>
          <w:rFonts w:hint="eastAsia" w:ascii="宋体" w:hAnsi="宋体" w:eastAsia="宋体"/>
          <w:sz w:val="21"/>
          <w:szCs w:val="21"/>
        </w:rPr>
        <w:t>.2.7如</w:t>
      </w:r>
      <w:r>
        <w:rPr>
          <w:rFonts w:hint="eastAsia" w:ascii="宋体" w:hAnsi="宋体" w:eastAsia="宋体"/>
          <w:color w:val="000000"/>
          <w:sz w:val="21"/>
          <w:szCs w:val="21"/>
        </w:rPr>
        <w:t>乙方不遵守本合同</w:t>
      </w:r>
      <w:r>
        <w:rPr>
          <w:rFonts w:ascii="宋体" w:hAnsi="宋体" w:eastAsia="宋体"/>
          <w:color w:val="000000"/>
          <w:sz w:val="21"/>
          <w:szCs w:val="21"/>
        </w:rPr>
        <w:t>2.2.2</w:t>
      </w:r>
      <w:r>
        <w:rPr>
          <w:rFonts w:hint="eastAsia" w:ascii="宋体" w:hAnsi="宋体" w:eastAsia="宋体"/>
          <w:color w:val="000000"/>
          <w:sz w:val="21"/>
          <w:szCs w:val="21"/>
        </w:rPr>
        <w:t>及</w:t>
      </w:r>
      <w:r>
        <w:rPr>
          <w:rFonts w:ascii="宋体" w:hAnsi="宋体" w:eastAsia="宋体"/>
          <w:color w:val="000000"/>
          <w:sz w:val="21"/>
          <w:szCs w:val="21"/>
        </w:rPr>
        <w:t>2.2.3</w:t>
      </w:r>
      <w:r>
        <w:rPr>
          <w:rFonts w:hint="eastAsia" w:ascii="宋体" w:hAnsi="宋体" w:eastAsia="宋体"/>
          <w:color w:val="000000"/>
          <w:sz w:val="21"/>
          <w:szCs w:val="21"/>
        </w:rPr>
        <w:t>规定造成他人或自身损害的，由乙方承担全部责任。</w:t>
      </w:r>
    </w:p>
    <w:p>
      <w:pPr>
        <w:spacing w:after="0" w:line="360" w:lineRule="auto"/>
        <w:ind w:firstLine="420" w:firstLineChars="200"/>
        <w:rPr>
          <w:rFonts w:ascii="宋体" w:hAnsi="宋体" w:eastAsia="宋体"/>
          <w:sz w:val="21"/>
          <w:szCs w:val="21"/>
        </w:rPr>
      </w:pPr>
      <w:r>
        <w:rPr>
          <w:rFonts w:ascii="宋体" w:hAnsi="宋体" w:eastAsia="宋体"/>
          <w:sz w:val="21"/>
          <w:szCs w:val="21"/>
        </w:rPr>
        <w:t>5.3</w:t>
      </w:r>
      <w:r>
        <w:rPr>
          <w:rFonts w:hint="eastAsia" w:ascii="宋体" w:hAnsi="宋体" w:eastAsia="宋体"/>
          <w:sz w:val="21"/>
          <w:szCs w:val="21"/>
        </w:rPr>
        <w:t>合同期内，甲方如受到业务调整等客观原因影响的，可在提前</w:t>
      </w:r>
      <w:r>
        <w:rPr>
          <w:rFonts w:ascii="宋体" w:hAnsi="宋体" w:eastAsia="宋体"/>
          <w:sz w:val="21"/>
          <w:szCs w:val="21"/>
          <w:u w:val="single"/>
        </w:rPr>
        <w:t>1个月</w:t>
      </w:r>
      <w:r>
        <w:rPr>
          <w:rFonts w:hint="eastAsia" w:ascii="宋体" w:hAnsi="宋体" w:eastAsia="宋体"/>
          <w:sz w:val="21"/>
          <w:szCs w:val="21"/>
        </w:rPr>
        <w:t>书面知会乙方的情形下单方面终止本合同，并予以及时结清款项，而无须承担其他责任。</w:t>
      </w:r>
    </w:p>
    <w:p>
      <w:pPr>
        <w:spacing w:after="0" w:line="360" w:lineRule="auto"/>
        <w:ind w:firstLine="420" w:firstLineChars="200"/>
        <w:rPr>
          <w:rFonts w:ascii="宋体" w:hAnsi="宋体" w:eastAsia="宋体"/>
          <w:sz w:val="21"/>
          <w:szCs w:val="21"/>
        </w:rPr>
      </w:pPr>
      <w:r>
        <w:rPr>
          <w:rFonts w:ascii="宋体" w:hAnsi="宋体" w:eastAsia="宋体"/>
          <w:sz w:val="21"/>
          <w:szCs w:val="21"/>
        </w:rPr>
        <w:t>5.4</w:t>
      </w:r>
      <w:r>
        <w:rPr>
          <w:rFonts w:hint="eastAsia" w:ascii="宋体" w:hAnsi="宋体" w:eastAsia="宋体"/>
          <w:sz w:val="21"/>
          <w:szCs w:val="21"/>
        </w:rPr>
        <w:t>乙方员工严禁向甲方客户索取财物或</w:t>
      </w:r>
      <w:r>
        <w:rPr>
          <w:rFonts w:hint="eastAsia" w:ascii="宋体" w:hAnsi="宋体" w:eastAsia="宋体"/>
          <w:color w:val="000000"/>
          <w:sz w:val="21"/>
          <w:szCs w:val="21"/>
        </w:rPr>
        <w:t>私拿、盗窃他人物品的</w:t>
      </w:r>
      <w:r>
        <w:rPr>
          <w:rFonts w:hint="eastAsia" w:ascii="宋体" w:hAnsi="宋体" w:eastAsia="宋体"/>
          <w:sz w:val="21"/>
          <w:szCs w:val="21"/>
        </w:rPr>
        <w:t>，由乙方承担相应的赔偿责任。同时，每发生一单，甲方将扣除当月承包费用的</w:t>
      </w:r>
      <w:r>
        <w:rPr>
          <w:rFonts w:ascii="宋体" w:hAnsi="宋体" w:eastAsia="宋体"/>
          <w:sz w:val="21"/>
          <w:szCs w:val="21"/>
        </w:rPr>
        <w:t>50%</w:t>
      </w:r>
      <w:r>
        <w:rPr>
          <w:rFonts w:hint="eastAsia" w:ascii="宋体" w:hAnsi="宋体" w:eastAsia="宋体"/>
          <w:sz w:val="21"/>
          <w:szCs w:val="21"/>
        </w:rPr>
        <w:t>。情况严重的，甲方有权随时解除合同。</w:t>
      </w:r>
    </w:p>
    <w:p>
      <w:pPr>
        <w:spacing w:after="0" w:line="360" w:lineRule="auto"/>
        <w:ind w:firstLine="420" w:firstLineChars="200"/>
        <w:rPr>
          <w:rFonts w:ascii="宋体" w:hAnsi="宋体" w:eastAsia="宋体"/>
          <w:sz w:val="21"/>
          <w:szCs w:val="21"/>
        </w:rPr>
      </w:pPr>
      <w:r>
        <w:rPr>
          <w:rFonts w:ascii="宋体" w:hAnsi="宋体" w:eastAsia="宋体"/>
          <w:sz w:val="21"/>
          <w:szCs w:val="21"/>
        </w:rPr>
        <w:t>5.5</w:t>
      </w:r>
      <w:r>
        <w:rPr>
          <w:rFonts w:hint="eastAsia" w:ascii="宋体" w:hAnsi="宋体" w:eastAsia="宋体"/>
          <w:sz w:val="21"/>
          <w:szCs w:val="21"/>
        </w:rPr>
        <w:t>乙方员工之间发生冲突的，每发生一单甲方将扣除乙方当月</w:t>
      </w:r>
      <w:r>
        <w:rPr>
          <w:rFonts w:ascii="宋体" w:hAnsi="宋体" w:eastAsia="宋体"/>
          <w:sz w:val="21"/>
          <w:szCs w:val="21"/>
          <w:u w:val="single"/>
        </w:rPr>
        <w:t>5</w:t>
      </w:r>
      <w:r>
        <w:rPr>
          <w:rFonts w:ascii="宋体" w:hAnsi="宋体" w:eastAsia="宋体"/>
          <w:sz w:val="21"/>
          <w:szCs w:val="21"/>
        </w:rPr>
        <w:t>%</w:t>
      </w:r>
      <w:r>
        <w:rPr>
          <w:rFonts w:hint="eastAsia" w:ascii="宋体" w:hAnsi="宋体" w:eastAsia="宋体"/>
          <w:sz w:val="21"/>
          <w:szCs w:val="21"/>
        </w:rPr>
        <w:t>的承包费用；乙方员工与任何第三方（包括业主）发生冲突的，每发生一单甲方将扣除乙方当月</w:t>
      </w:r>
      <w:r>
        <w:rPr>
          <w:rFonts w:ascii="宋体" w:hAnsi="宋体" w:eastAsia="宋体"/>
          <w:sz w:val="21"/>
          <w:szCs w:val="21"/>
          <w:u w:val="single"/>
        </w:rPr>
        <w:t>10</w:t>
      </w:r>
      <w:r>
        <w:rPr>
          <w:rFonts w:ascii="宋体" w:hAnsi="宋体" w:eastAsia="宋体"/>
          <w:sz w:val="21"/>
          <w:szCs w:val="21"/>
        </w:rPr>
        <w:t>%</w:t>
      </w:r>
      <w:r>
        <w:rPr>
          <w:rFonts w:hint="eastAsia" w:ascii="宋体" w:hAnsi="宋体" w:eastAsia="宋体"/>
          <w:sz w:val="21"/>
          <w:szCs w:val="21"/>
        </w:rPr>
        <w:t>的承包费用，如造成第三方人身伤害被判定轻伤以上级别的，除全额扣除当月承包费用外，乙方还须承担由此给甲方及第三方所造成损失的赔偿责任，同时，甲方有权要求乙方撤换该员工或随时单方面解除合同。</w:t>
      </w:r>
    </w:p>
    <w:p>
      <w:pPr>
        <w:spacing w:after="0" w:line="360" w:lineRule="auto"/>
        <w:ind w:firstLine="420" w:firstLineChars="200"/>
        <w:rPr>
          <w:rFonts w:ascii="宋体" w:hAnsi="宋体" w:eastAsia="宋体"/>
          <w:bCs/>
          <w:color w:val="000000"/>
          <w:sz w:val="21"/>
          <w:szCs w:val="21"/>
        </w:rPr>
      </w:pPr>
      <w:r>
        <w:rPr>
          <w:rFonts w:ascii="宋体" w:hAnsi="宋体" w:eastAsia="宋体"/>
          <w:sz w:val="21"/>
          <w:szCs w:val="21"/>
        </w:rPr>
        <w:t>5.6</w:t>
      </w:r>
      <w:r>
        <w:rPr>
          <w:rFonts w:hint="eastAsia" w:ascii="宋体" w:hAnsi="宋体" w:eastAsia="宋体"/>
          <w:sz w:val="21"/>
          <w:szCs w:val="21"/>
        </w:rPr>
        <w:t>其他违约责任处罚要求详见</w:t>
      </w:r>
      <w:r>
        <w:rPr>
          <w:rFonts w:hint="eastAsia" w:ascii="宋体" w:hAnsi="宋体" w:eastAsia="宋体"/>
          <w:bCs/>
          <w:color w:val="000000"/>
          <w:sz w:val="21"/>
          <w:szCs w:val="21"/>
        </w:rPr>
        <w:t>《</w:t>
      </w:r>
      <w:r>
        <w:rPr>
          <w:rFonts w:ascii="宋体" w:hAnsi="宋体" w:eastAsia="宋体"/>
          <w:sz w:val="21"/>
          <w:szCs w:val="21"/>
        </w:rPr>
        <w:t>VK-WY/BHT-F01</w:t>
      </w:r>
      <w:r>
        <w:rPr>
          <w:rFonts w:hint="eastAsia" w:ascii="宋体" w:hAnsi="宋体" w:eastAsia="宋体"/>
          <w:sz w:val="21"/>
          <w:szCs w:val="21"/>
        </w:rPr>
        <w:t>附件三</w:t>
      </w:r>
      <w:r>
        <w:rPr>
          <w:rFonts w:hint="eastAsia" w:ascii="宋体" w:hAnsi="宋体" w:eastAsia="宋体"/>
          <w:bCs/>
          <w:color w:val="000000"/>
          <w:sz w:val="21"/>
          <w:szCs w:val="21"/>
        </w:rPr>
        <w:t>消杀服务</w:t>
      </w:r>
      <w:r>
        <w:rPr>
          <w:rFonts w:hint="eastAsia" w:ascii="宋体" w:hAnsi="宋体" w:eastAsia="宋体"/>
          <w:sz w:val="21"/>
          <w:szCs w:val="21"/>
        </w:rPr>
        <w:t>质量评审细则及考核办法</w:t>
      </w:r>
      <w:r>
        <w:rPr>
          <w:rFonts w:hint="eastAsia" w:ascii="宋体" w:hAnsi="宋体" w:eastAsia="宋体"/>
          <w:bCs/>
          <w:color w:val="000000"/>
          <w:sz w:val="21"/>
          <w:szCs w:val="21"/>
        </w:rPr>
        <w:t>》。</w:t>
      </w:r>
    </w:p>
    <w:p>
      <w:pPr>
        <w:pStyle w:val="17"/>
        <w:adjustRightInd w:val="0"/>
        <w:snapToGrid w:val="0"/>
        <w:spacing w:line="360" w:lineRule="auto"/>
        <w:ind w:left="0" w:firstLine="0" w:firstLineChars="0"/>
        <w:rPr>
          <w:rFonts w:ascii="宋体" w:hAnsi="宋体"/>
          <w:b/>
          <w:szCs w:val="21"/>
        </w:rPr>
      </w:pPr>
    </w:p>
    <w:p>
      <w:pPr>
        <w:pStyle w:val="17"/>
        <w:adjustRightInd w:val="0"/>
        <w:snapToGrid w:val="0"/>
        <w:spacing w:line="360" w:lineRule="auto"/>
        <w:ind w:left="0" w:firstLine="0" w:firstLineChars="0"/>
        <w:rPr>
          <w:rFonts w:ascii="宋体" w:hAnsi="宋体"/>
          <w:b/>
          <w:szCs w:val="21"/>
        </w:rPr>
      </w:pPr>
      <w:r>
        <w:rPr>
          <w:rFonts w:hint="eastAsia" w:ascii="宋体" w:hAnsi="宋体"/>
          <w:b/>
          <w:szCs w:val="21"/>
        </w:rPr>
        <w:t>六、其它事项：</w:t>
      </w:r>
    </w:p>
    <w:p>
      <w:pPr>
        <w:pStyle w:val="17"/>
        <w:adjustRightInd w:val="0"/>
        <w:snapToGrid w:val="0"/>
        <w:spacing w:line="360" w:lineRule="auto"/>
        <w:ind w:left="0" w:firstLine="420" w:firstLineChars="200"/>
        <w:rPr>
          <w:rFonts w:ascii="宋体" w:hAnsi="宋体"/>
          <w:b/>
          <w:szCs w:val="21"/>
        </w:rPr>
      </w:pPr>
      <w:r>
        <w:rPr>
          <w:rFonts w:ascii="宋体" w:hAnsi="宋体"/>
          <w:szCs w:val="21"/>
        </w:rPr>
        <w:t>6.1</w:t>
      </w:r>
      <w:r>
        <w:rPr>
          <w:rFonts w:hint="eastAsia" w:ascii="宋体" w:hAnsi="宋体"/>
          <w:szCs w:val="21"/>
        </w:rPr>
        <w:t>双方本着友好合作原则商定，合同期内，若因服务范围扩大要求增加工作量的，需增加人工及费用时，由双方另行以书面形式协商议定。</w:t>
      </w:r>
    </w:p>
    <w:p>
      <w:pPr>
        <w:pStyle w:val="17"/>
        <w:adjustRightInd w:val="0"/>
        <w:snapToGrid w:val="0"/>
        <w:spacing w:line="360" w:lineRule="auto"/>
        <w:ind w:left="0" w:firstLine="420" w:firstLineChars="200"/>
        <w:rPr>
          <w:rFonts w:ascii="宋体" w:hAnsi="宋体"/>
          <w:b/>
          <w:szCs w:val="21"/>
        </w:rPr>
      </w:pPr>
      <w:r>
        <w:rPr>
          <w:rFonts w:ascii="宋体" w:hAnsi="宋体"/>
          <w:szCs w:val="21"/>
        </w:rPr>
        <w:t>6.2</w:t>
      </w:r>
      <w:r>
        <w:rPr>
          <w:rFonts w:hint="eastAsia" w:ascii="宋体" w:hAnsi="宋体"/>
          <w:kern w:val="0"/>
          <w:szCs w:val="21"/>
        </w:rPr>
        <w:t>双方终止合作的，乙方应做好以下工作，否则视为违约：</w:t>
      </w:r>
    </w:p>
    <w:p>
      <w:pPr>
        <w:pStyle w:val="10"/>
        <w:adjustRightInd w:val="0"/>
        <w:snapToGrid w:val="0"/>
        <w:spacing w:line="360" w:lineRule="auto"/>
        <w:ind w:left="0" w:leftChars="0" w:firstLine="420" w:firstLineChars="200"/>
        <w:contextualSpacing w:val="0"/>
        <w:rPr>
          <w:rFonts w:ascii="宋体" w:hAnsi="宋体"/>
          <w:kern w:val="0"/>
          <w:szCs w:val="21"/>
        </w:rPr>
      </w:pPr>
      <w:r>
        <w:rPr>
          <w:rFonts w:ascii="宋体" w:hAnsi="宋体"/>
          <w:szCs w:val="21"/>
        </w:rPr>
        <w:t>6</w:t>
      </w:r>
      <w:r>
        <w:rPr>
          <w:rFonts w:hint="eastAsia" w:ascii="宋体" w:hAnsi="宋体"/>
          <w:szCs w:val="21"/>
        </w:rPr>
        <w:t>.2.1</w:t>
      </w:r>
      <w:r>
        <w:rPr>
          <w:rFonts w:hint="eastAsia" w:ascii="宋体" w:hAnsi="宋体"/>
          <w:kern w:val="0"/>
          <w:szCs w:val="21"/>
        </w:rPr>
        <w:t>乙方应按时撤场并配合新供方完善交接手续。如乙方出现人员自愿留守等情况，乙方应于撤场前最后一个工作日，安排专人到甲方项目现场为本项目留守人员办理离职手续。</w:t>
      </w:r>
    </w:p>
    <w:p>
      <w:pPr>
        <w:pStyle w:val="10"/>
        <w:adjustRightInd w:val="0"/>
        <w:snapToGrid w:val="0"/>
        <w:spacing w:line="360" w:lineRule="auto"/>
        <w:ind w:left="0" w:leftChars="0" w:firstLine="420" w:firstLineChars="200"/>
        <w:contextualSpacing w:val="0"/>
        <w:rPr>
          <w:rFonts w:ascii="宋体" w:hAnsi="宋体"/>
          <w:kern w:val="0"/>
          <w:szCs w:val="21"/>
        </w:rPr>
      </w:pPr>
      <w:r>
        <w:rPr>
          <w:rFonts w:ascii="宋体" w:hAnsi="宋体"/>
          <w:szCs w:val="21"/>
        </w:rPr>
        <w:t>6</w:t>
      </w:r>
      <w:r>
        <w:rPr>
          <w:rFonts w:hint="eastAsia" w:ascii="宋体" w:hAnsi="宋体"/>
          <w:szCs w:val="21"/>
        </w:rPr>
        <w:t>.2.2</w:t>
      </w:r>
      <w:r>
        <w:rPr>
          <w:rFonts w:hint="eastAsia" w:ascii="宋体" w:hAnsi="宋体"/>
          <w:kern w:val="0"/>
          <w:szCs w:val="21"/>
        </w:rPr>
        <w:t>为确保乙方人员的合法权益，避免乙方与员工间劳资纠纷对甲方产生影响，乙方应及时与员工结算薪资。经甲方确认，在乙方与员工薪资结算完毕后，甲方向乙方支付最后一个月度的承包费。否则，甲方将予以扣除并作为对其员工的补偿款项。</w:t>
      </w:r>
    </w:p>
    <w:p>
      <w:pPr>
        <w:pStyle w:val="10"/>
        <w:adjustRightInd w:val="0"/>
        <w:snapToGrid w:val="0"/>
        <w:spacing w:line="360" w:lineRule="auto"/>
        <w:ind w:left="0" w:leftChars="0" w:firstLine="420" w:firstLineChars="200"/>
        <w:contextualSpacing w:val="0"/>
        <w:rPr>
          <w:rFonts w:ascii="宋体" w:hAnsi="宋体"/>
          <w:szCs w:val="21"/>
        </w:rPr>
      </w:pPr>
      <w:r>
        <w:rPr>
          <w:rFonts w:ascii="宋体" w:hAnsi="宋体"/>
          <w:szCs w:val="21"/>
        </w:rPr>
        <w:t>6.3</w:t>
      </w:r>
      <w:r>
        <w:rPr>
          <w:rFonts w:hint="eastAsia" w:ascii="宋体" w:hAnsi="宋体"/>
          <w:szCs w:val="21"/>
        </w:rPr>
        <w:t>为便于双方的正常工作联系，甲方视情况可为乙方提供内线分机电话一部，并免费提供甲方所用无线频道供乙方使用，乙方自行配备对讲机及相应设备；乙方使用人员不得利用对讲机传递非工作信息，只能在工作时间内在乙方项目范围内使用，并保持在工作期间内通信状态良好。</w:t>
      </w:r>
    </w:p>
    <w:p>
      <w:pPr>
        <w:pStyle w:val="10"/>
        <w:adjustRightInd w:val="0"/>
        <w:snapToGrid w:val="0"/>
        <w:spacing w:line="360" w:lineRule="auto"/>
        <w:ind w:leftChars="0" w:firstLine="420" w:firstLineChars="200"/>
        <w:contextualSpacing w:val="0"/>
        <w:rPr>
          <w:rFonts w:ascii="宋体" w:hAnsi="宋体"/>
          <w:color w:val="000000"/>
          <w:szCs w:val="21"/>
        </w:rPr>
      </w:pPr>
      <w:r>
        <w:rPr>
          <w:rFonts w:ascii="宋体" w:hAnsi="宋体"/>
          <w:szCs w:val="21"/>
        </w:rPr>
        <w:t>6.4</w:t>
      </w:r>
      <w:r>
        <w:rPr>
          <w:rFonts w:hint="eastAsia" w:ascii="宋体" w:hAnsi="宋体"/>
          <w:color w:val="000000"/>
          <w:szCs w:val="21"/>
        </w:rPr>
        <w:t>其它未尽事宜，由双方协商解决，并可另行签订补充协议。若协商不成，任何一方可向甲方所</w:t>
      </w:r>
    </w:p>
    <w:p>
      <w:pPr>
        <w:pStyle w:val="10"/>
        <w:adjustRightInd w:val="0"/>
        <w:snapToGrid w:val="0"/>
        <w:spacing w:line="360" w:lineRule="auto"/>
        <w:ind w:left="0" w:leftChars="0" w:firstLine="420" w:firstLineChars="200"/>
        <w:contextualSpacing w:val="0"/>
        <w:rPr>
          <w:rFonts w:ascii="宋体" w:hAnsi="宋体"/>
          <w:color w:val="000000"/>
          <w:szCs w:val="21"/>
        </w:rPr>
      </w:pPr>
      <w:r>
        <w:rPr>
          <w:rFonts w:hint="eastAsia" w:ascii="宋体" w:hAnsi="宋体"/>
          <w:color w:val="000000"/>
          <w:szCs w:val="21"/>
        </w:rPr>
        <w:t>在地人民法院提起诉讼。</w:t>
      </w:r>
    </w:p>
    <w:p>
      <w:pPr>
        <w:pStyle w:val="10"/>
        <w:adjustRightInd w:val="0"/>
        <w:snapToGrid w:val="0"/>
        <w:spacing w:line="360" w:lineRule="auto"/>
        <w:ind w:left="99" w:leftChars="0" w:firstLine="420" w:firstLineChars="200"/>
        <w:contextualSpacing w:val="0"/>
        <w:rPr>
          <w:rFonts w:ascii="宋体" w:hAnsi="宋体"/>
          <w:color w:val="000000"/>
          <w:szCs w:val="21"/>
        </w:rPr>
      </w:pPr>
      <w:r>
        <w:rPr>
          <w:rFonts w:ascii="宋体" w:hAnsi="宋体"/>
          <w:szCs w:val="21"/>
        </w:rPr>
        <w:t>6.5</w:t>
      </w:r>
      <w:r>
        <w:rPr>
          <w:rFonts w:hint="eastAsia" w:ascii="宋体" w:hAnsi="宋体"/>
          <w:color w:val="000000"/>
          <w:szCs w:val="21"/>
        </w:rPr>
        <w:t>本合同一式</w:t>
      </w:r>
      <w:r>
        <w:rPr>
          <w:rFonts w:ascii="宋体" w:hAnsi="宋体"/>
          <w:szCs w:val="21"/>
          <w:u w:val="single"/>
        </w:rPr>
        <w:t>2</w:t>
      </w:r>
      <w:r>
        <w:rPr>
          <w:rFonts w:hint="eastAsia" w:ascii="宋体" w:hAnsi="宋体"/>
          <w:color w:val="000000"/>
          <w:szCs w:val="21"/>
        </w:rPr>
        <w:t>份，双方各执</w:t>
      </w:r>
      <w:r>
        <w:rPr>
          <w:rFonts w:ascii="宋体" w:hAnsi="宋体"/>
          <w:szCs w:val="21"/>
          <w:u w:val="single"/>
        </w:rPr>
        <w:t>1</w:t>
      </w:r>
      <w:r>
        <w:rPr>
          <w:rFonts w:hint="eastAsia" w:ascii="宋体" w:hAnsi="宋体"/>
          <w:color w:val="000000"/>
          <w:szCs w:val="21"/>
        </w:rPr>
        <w:t>份，</w:t>
      </w:r>
      <w:r>
        <w:rPr>
          <w:rFonts w:hint="eastAsia" w:ascii="宋体" w:hAnsi="宋体"/>
          <w:szCs w:val="21"/>
        </w:rPr>
        <w:t>每份</w:t>
      </w:r>
      <w:r>
        <w:rPr>
          <w:rFonts w:ascii="宋体" w:hAnsi="宋体"/>
          <w:szCs w:val="21"/>
          <w:u w:val="single"/>
        </w:rPr>
        <w:t>7</w:t>
      </w:r>
      <w:r>
        <w:rPr>
          <w:rFonts w:hint="eastAsia" w:ascii="宋体" w:hAnsi="宋体"/>
          <w:szCs w:val="21"/>
        </w:rPr>
        <w:t>页，</w:t>
      </w:r>
      <w:r>
        <w:rPr>
          <w:rFonts w:hint="eastAsia" w:ascii="宋体" w:hAnsi="宋体"/>
          <w:color w:val="000000"/>
          <w:szCs w:val="21"/>
        </w:rPr>
        <w:t>并具同等法律效力。</w:t>
      </w:r>
    </w:p>
    <w:p>
      <w:pPr>
        <w:pStyle w:val="10"/>
        <w:adjustRightInd w:val="0"/>
        <w:snapToGrid w:val="0"/>
        <w:spacing w:line="360" w:lineRule="auto"/>
        <w:ind w:leftChars="0" w:firstLine="420" w:firstLineChars="200"/>
        <w:contextualSpacing w:val="0"/>
        <w:rPr>
          <w:rFonts w:ascii="宋体" w:hAnsi="宋体"/>
          <w:color w:val="000000"/>
          <w:szCs w:val="21"/>
        </w:rPr>
      </w:pPr>
      <w:r>
        <w:rPr>
          <w:rFonts w:ascii="宋体" w:hAnsi="宋体"/>
          <w:szCs w:val="21"/>
        </w:rPr>
        <w:t>6.6</w:t>
      </w:r>
      <w:r>
        <w:rPr>
          <w:rFonts w:hint="eastAsia" w:ascii="宋体" w:hAnsi="宋体"/>
          <w:color w:val="000000"/>
          <w:szCs w:val="21"/>
        </w:rPr>
        <w:t>本合同所列附件为合同正文的组成部分，具同等法律效力，自双方签字、盖章之日起一并生效。</w:t>
      </w:r>
    </w:p>
    <w:p>
      <w:pPr>
        <w:pStyle w:val="9"/>
        <w:adjustRightInd w:val="0"/>
        <w:snapToGrid w:val="0"/>
        <w:spacing w:after="0" w:line="360" w:lineRule="auto"/>
        <w:ind w:left="0" w:leftChars="0"/>
        <w:rPr>
          <w:rFonts w:ascii="宋体" w:hAnsi="宋体"/>
          <w:bCs/>
          <w:color w:val="000000"/>
          <w:szCs w:val="21"/>
        </w:rPr>
      </w:pPr>
    </w:p>
    <w:p>
      <w:pPr>
        <w:pStyle w:val="9"/>
        <w:adjustRightInd w:val="0"/>
        <w:snapToGrid w:val="0"/>
        <w:spacing w:after="0" w:line="360" w:lineRule="auto"/>
        <w:ind w:left="0" w:leftChars="0"/>
        <w:rPr>
          <w:rFonts w:ascii="宋体" w:hAnsi="宋体"/>
          <w:b/>
          <w:bCs/>
          <w:color w:val="000000"/>
          <w:szCs w:val="21"/>
        </w:rPr>
      </w:pPr>
      <w:r>
        <w:rPr>
          <w:rFonts w:hint="eastAsia" w:ascii="宋体" w:hAnsi="宋体"/>
          <w:b/>
          <w:bCs/>
          <w:color w:val="000000"/>
          <w:szCs w:val="21"/>
        </w:rPr>
        <w:t>七、附件：</w:t>
      </w:r>
    </w:p>
    <w:p>
      <w:pPr>
        <w:pStyle w:val="9"/>
        <w:adjustRightInd w:val="0"/>
        <w:snapToGrid w:val="0"/>
        <w:spacing w:after="0" w:line="360" w:lineRule="auto"/>
        <w:ind w:left="0" w:leftChars="0" w:firstLine="420" w:firstLineChars="200"/>
        <w:rPr>
          <w:rFonts w:ascii="宋体" w:hAnsi="宋体"/>
          <w:bCs/>
          <w:color w:val="000000"/>
          <w:szCs w:val="21"/>
        </w:rPr>
      </w:pPr>
      <w:r>
        <w:rPr>
          <w:rFonts w:ascii="宋体" w:hAnsi="宋体"/>
          <w:szCs w:val="21"/>
        </w:rPr>
        <w:t>7.1</w:t>
      </w:r>
      <w:r>
        <w:rPr>
          <w:rFonts w:hint="eastAsia" w:ascii="宋体" w:hAnsi="宋体"/>
          <w:bCs/>
          <w:color w:val="000000"/>
          <w:szCs w:val="21"/>
        </w:rPr>
        <w:t>《</w:t>
      </w:r>
      <w:r>
        <w:rPr>
          <w:rFonts w:ascii="宋体" w:hAnsi="宋体"/>
          <w:szCs w:val="21"/>
        </w:rPr>
        <w:t>VK-WY/BHT-F01</w:t>
      </w:r>
      <w:r>
        <w:rPr>
          <w:rFonts w:hint="eastAsia" w:ascii="宋体" w:hAnsi="宋体"/>
          <w:szCs w:val="21"/>
        </w:rPr>
        <w:t>附件一消杀作业安全管理要求</w:t>
      </w:r>
      <w:r>
        <w:rPr>
          <w:rFonts w:hint="eastAsia" w:ascii="宋体" w:hAnsi="宋体"/>
          <w:bCs/>
          <w:color w:val="000000"/>
          <w:szCs w:val="21"/>
        </w:rPr>
        <w:t>》</w:t>
      </w:r>
    </w:p>
    <w:p>
      <w:pPr>
        <w:pStyle w:val="9"/>
        <w:adjustRightInd w:val="0"/>
        <w:snapToGrid w:val="0"/>
        <w:spacing w:after="0" w:line="360" w:lineRule="auto"/>
        <w:ind w:left="0" w:leftChars="0" w:firstLine="420" w:firstLineChars="200"/>
        <w:rPr>
          <w:rFonts w:ascii="宋体" w:hAnsi="宋体"/>
          <w:bCs/>
          <w:color w:val="000000"/>
          <w:szCs w:val="21"/>
        </w:rPr>
      </w:pPr>
      <w:bookmarkStart w:id="118" w:name="_MON_1552221568"/>
      <w:bookmarkEnd w:id="118"/>
      <w:r>
        <w:rPr>
          <w:rFonts w:ascii="宋体" w:hAnsi="宋体"/>
          <w:bCs/>
          <w:color w:val="000000"/>
          <w:szCs w:val="21"/>
        </w:rPr>
        <w:object>
          <v:shape id="_x0000_i1025" o:spt="75" type="#_x0000_t75" style="height:51.95pt;width:75.75pt;" o:ole="t" filled="f" o:preferrelative="t" stroked="f" coordsize="21600,21600">
            <v:path/>
            <v:fill on="f" focussize="0,0"/>
            <v:stroke on="f" joinstyle="miter"/>
            <v:imagedata r:id="rId12" o:title=""/>
            <o:lock v:ext="edit" aspectratio="t"/>
            <w10:wrap type="none"/>
            <w10:anchorlock/>
          </v:shape>
          <o:OLEObject Type="Embed" ProgID="Word.Document.12" ShapeID="_x0000_i1025" DrawAspect="Icon" ObjectID="_1468075725" r:id="rId11">
            <o:LockedField>false</o:LockedField>
          </o:OLEObject>
        </w:object>
      </w:r>
    </w:p>
    <w:p>
      <w:pPr>
        <w:pStyle w:val="9"/>
        <w:adjustRightInd w:val="0"/>
        <w:snapToGrid w:val="0"/>
        <w:spacing w:after="0" w:line="360" w:lineRule="auto"/>
        <w:ind w:left="0" w:leftChars="0" w:firstLine="420" w:firstLineChars="200"/>
        <w:rPr>
          <w:rFonts w:ascii="宋体" w:hAnsi="宋体"/>
          <w:bCs/>
          <w:color w:val="000000"/>
          <w:szCs w:val="21"/>
        </w:rPr>
      </w:pPr>
      <w:r>
        <w:rPr>
          <w:rFonts w:ascii="宋体" w:hAnsi="宋体"/>
          <w:szCs w:val="21"/>
        </w:rPr>
        <w:t>7.2</w:t>
      </w:r>
      <w:r>
        <w:rPr>
          <w:rFonts w:hint="eastAsia" w:ascii="宋体" w:hAnsi="宋体"/>
          <w:bCs/>
          <w:color w:val="000000"/>
          <w:szCs w:val="21"/>
        </w:rPr>
        <w:t>《</w:t>
      </w:r>
      <w:r>
        <w:rPr>
          <w:rFonts w:ascii="宋体" w:hAnsi="宋体"/>
          <w:szCs w:val="21"/>
        </w:rPr>
        <w:t>VK-WY/BHT-F01</w:t>
      </w:r>
      <w:r>
        <w:rPr>
          <w:rFonts w:hint="eastAsia" w:ascii="宋体" w:hAnsi="宋体"/>
          <w:szCs w:val="21"/>
        </w:rPr>
        <w:t>附件二消杀标准及检查方法</w:t>
      </w:r>
      <w:r>
        <w:rPr>
          <w:rFonts w:hint="eastAsia" w:ascii="宋体" w:hAnsi="宋体"/>
          <w:bCs/>
          <w:color w:val="000000"/>
          <w:szCs w:val="21"/>
        </w:rPr>
        <w:t>》</w:t>
      </w:r>
      <w:bookmarkStart w:id="119" w:name="_MON_1414406138"/>
      <w:bookmarkEnd w:id="119"/>
      <w:bookmarkStart w:id="120" w:name="_MON_1414827210"/>
      <w:bookmarkEnd w:id="120"/>
      <w:bookmarkStart w:id="121" w:name="_MON_1414827216"/>
      <w:bookmarkEnd w:id="121"/>
      <w:bookmarkStart w:id="122" w:name="_MON_1334672176"/>
      <w:bookmarkEnd w:id="122"/>
      <w:bookmarkStart w:id="123" w:name="_MON_1415083389"/>
      <w:bookmarkEnd w:id="123"/>
      <w:bookmarkStart w:id="124" w:name="_MON_1334672275"/>
      <w:bookmarkEnd w:id="124"/>
      <w:bookmarkStart w:id="125" w:name="_MON_1371279440"/>
      <w:bookmarkEnd w:id="125"/>
      <w:bookmarkStart w:id="126" w:name="_MON_1371279606"/>
      <w:bookmarkEnd w:id="126"/>
      <w:bookmarkStart w:id="127" w:name="_MON_1371280684"/>
      <w:bookmarkEnd w:id="127"/>
      <w:bookmarkStart w:id="128" w:name="_MON_1371360938"/>
      <w:bookmarkEnd w:id="128"/>
      <w:bookmarkStart w:id="129" w:name="_MON_1414397189"/>
      <w:bookmarkEnd w:id="129"/>
      <w:bookmarkStart w:id="130" w:name="_MON_1371279658"/>
      <w:bookmarkEnd w:id="130"/>
      <w:bookmarkStart w:id="131" w:name="_MON_1371281194"/>
      <w:bookmarkEnd w:id="131"/>
      <w:bookmarkStart w:id="132" w:name="_MON_1371360984"/>
      <w:bookmarkEnd w:id="132"/>
      <w:bookmarkStart w:id="133" w:name="_MON_1414406074"/>
      <w:bookmarkEnd w:id="133"/>
      <w:bookmarkStart w:id="134" w:name="_MON_1334672775"/>
      <w:bookmarkEnd w:id="134"/>
      <w:bookmarkStart w:id="135" w:name="_MON_1415085962"/>
      <w:bookmarkEnd w:id="135"/>
    </w:p>
    <w:p>
      <w:pPr>
        <w:pStyle w:val="9"/>
        <w:adjustRightInd w:val="0"/>
        <w:snapToGrid w:val="0"/>
        <w:spacing w:after="0" w:line="360" w:lineRule="auto"/>
        <w:ind w:left="0" w:leftChars="0" w:firstLine="420" w:firstLineChars="200"/>
        <w:rPr>
          <w:rFonts w:ascii="宋体" w:hAnsi="宋体"/>
          <w:bCs/>
          <w:color w:val="000000"/>
          <w:szCs w:val="21"/>
        </w:rPr>
      </w:pPr>
      <w:bookmarkStart w:id="136" w:name="_MON_1552221594"/>
      <w:bookmarkEnd w:id="136"/>
      <w:r>
        <w:rPr>
          <w:rFonts w:ascii="宋体" w:hAnsi="宋体"/>
          <w:bCs/>
          <w:color w:val="000000"/>
          <w:szCs w:val="21"/>
        </w:rPr>
        <w:object>
          <v:shape id="_x0000_i1026" o:spt="75" type="#_x0000_t75" style="height:51.95pt;width:75.75pt;" o:ole="t" filled="f" o:preferrelative="t" stroked="f" coordsize="21600,21600">
            <v:path/>
            <v:fill on="f" focussize="0,0"/>
            <v:stroke on="f" joinstyle="miter"/>
            <v:imagedata r:id="rId14" o:title=""/>
            <o:lock v:ext="edit" aspectratio="t"/>
            <w10:wrap type="none"/>
            <w10:anchorlock/>
          </v:shape>
          <o:OLEObject Type="Embed" ProgID="Word.Document.12" ShapeID="_x0000_i1026" DrawAspect="Icon" ObjectID="_1468075726" r:id="rId13">
            <o:LockedField>false</o:LockedField>
          </o:OLEObject>
        </w:object>
      </w:r>
    </w:p>
    <w:p>
      <w:pPr>
        <w:pStyle w:val="9"/>
        <w:adjustRightInd w:val="0"/>
        <w:snapToGrid w:val="0"/>
        <w:spacing w:after="0" w:line="360" w:lineRule="auto"/>
        <w:ind w:left="0" w:leftChars="0" w:firstLine="420" w:firstLineChars="200"/>
        <w:rPr>
          <w:rFonts w:ascii="宋体" w:hAnsi="宋体"/>
          <w:bCs/>
          <w:color w:val="000000"/>
          <w:szCs w:val="21"/>
        </w:rPr>
      </w:pPr>
      <w:r>
        <w:rPr>
          <w:rFonts w:ascii="宋体" w:hAnsi="宋体"/>
          <w:szCs w:val="21"/>
        </w:rPr>
        <w:t>7.3</w:t>
      </w:r>
      <w:r>
        <w:rPr>
          <w:rFonts w:hint="eastAsia" w:ascii="宋体" w:hAnsi="宋体"/>
          <w:bCs/>
          <w:color w:val="000000"/>
          <w:szCs w:val="21"/>
        </w:rPr>
        <w:t>《</w:t>
      </w:r>
      <w:r>
        <w:rPr>
          <w:rFonts w:ascii="宋体" w:hAnsi="宋体"/>
          <w:szCs w:val="21"/>
        </w:rPr>
        <w:t>VK-WY/BHT-F01</w:t>
      </w:r>
      <w:r>
        <w:rPr>
          <w:rFonts w:hint="eastAsia" w:ascii="宋体" w:hAnsi="宋体"/>
          <w:szCs w:val="21"/>
        </w:rPr>
        <w:t>附件三</w:t>
      </w:r>
      <w:r>
        <w:rPr>
          <w:rFonts w:hint="eastAsia" w:ascii="宋体" w:hAnsi="宋体"/>
          <w:bCs/>
          <w:color w:val="000000"/>
          <w:szCs w:val="21"/>
        </w:rPr>
        <w:t>消杀服务</w:t>
      </w:r>
      <w:r>
        <w:rPr>
          <w:rFonts w:hint="eastAsia" w:ascii="宋体" w:hAnsi="宋体"/>
          <w:szCs w:val="21"/>
        </w:rPr>
        <w:t>质量评审细则及考核办法</w:t>
      </w:r>
      <w:r>
        <w:rPr>
          <w:rFonts w:hint="eastAsia" w:ascii="宋体" w:hAnsi="宋体"/>
          <w:bCs/>
          <w:color w:val="000000"/>
          <w:szCs w:val="21"/>
        </w:rPr>
        <w:t>》</w:t>
      </w:r>
    </w:p>
    <w:p>
      <w:pPr>
        <w:pStyle w:val="9"/>
        <w:adjustRightInd w:val="0"/>
        <w:snapToGrid w:val="0"/>
        <w:spacing w:after="0" w:line="360" w:lineRule="auto"/>
        <w:ind w:left="0" w:leftChars="0" w:firstLine="420" w:firstLineChars="200"/>
        <w:rPr>
          <w:rFonts w:ascii="宋体" w:hAnsi="宋体"/>
          <w:bCs/>
          <w:color w:val="000000"/>
          <w:szCs w:val="21"/>
        </w:rPr>
      </w:pPr>
      <w:bookmarkStart w:id="137" w:name="_MON_1552221621"/>
      <w:bookmarkEnd w:id="137"/>
      <w:r>
        <w:rPr>
          <w:rFonts w:ascii="宋体" w:hAnsi="宋体"/>
          <w:bCs/>
          <w:color w:val="000000"/>
          <w:szCs w:val="21"/>
        </w:rPr>
        <w:object>
          <v:shape id="_x0000_i1027" o:spt="75" type="#_x0000_t75" style="height:51.95pt;width:75.75pt;" o:ole="t" filled="f" o:preferrelative="t" stroked="f" coordsize="21600,21600">
            <v:path/>
            <v:fill on="f" focussize="0,0"/>
            <v:stroke on="f" joinstyle="miter"/>
            <v:imagedata r:id="rId16" o:title=""/>
            <o:lock v:ext="edit" aspectratio="t"/>
            <w10:wrap type="none"/>
            <w10:anchorlock/>
          </v:shape>
          <o:OLEObject Type="Embed" ProgID="Word.Document.12" ShapeID="_x0000_i1027" DrawAspect="Icon" ObjectID="_1468075727" r:id="rId15">
            <o:LockedField>false</o:LockedField>
          </o:OLEObject>
        </w:object>
      </w:r>
    </w:p>
    <w:p>
      <w:pPr>
        <w:pStyle w:val="9"/>
        <w:adjustRightInd w:val="0"/>
        <w:snapToGrid w:val="0"/>
        <w:spacing w:after="0" w:line="360" w:lineRule="auto"/>
        <w:ind w:left="0" w:leftChars="0"/>
        <w:rPr>
          <w:rFonts w:ascii="宋体" w:hAnsi="宋体"/>
          <w:bCs/>
          <w:color w:val="000000"/>
          <w:szCs w:val="21"/>
        </w:rPr>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pStyle w:val="9"/>
              <w:adjustRightInd w:val="0"/>
              <w:snapToGrid w:val="0"/>
              <w:spacing w:after="0" w:line="360" w:lineRule="auto"/>
              <w:ind w:left="-2" w:leftChars="-1"/>
              <w:rPr>
                <w:rFonts w:ascii="宋体" w:hAnsi="宋体"/>
                <w:bCs/>
                <w:color w:val="000000"/>
                <w:szCs w:val="21"/>
              </w:rPr>
            </w:pPr>
            <w:r>
              <w:rPr>
                <w:rFonts w:hint="eastAsia" w:ascii="宋体" w:hAnsi="宋体"/>
                <w:bCs/>
                <w:color w:val="000000"/>
                <w:szCs w:val="21"/>
              </w:rPr>
              <w:t>甲方：</w:t>
            </w:r>
          </w:p>
        </w:tc>
        <w:tc>
          <w:tcPr>
            <w:tcW w:w="4643" w:type="dxa"/>
          </w:tcPr>
          <w:p>
            <w:pPr>
              <w:spacing w:after="0" w:line="360" w:lineRule="auto"/>
              <w:rPr>
                <w:rFonts w:ascii="宋体" w:hAnsi="宋体" w:eastAsia="宋体"/>
                <w:bCs/>
                <w:color w:val="000000"/>
                <w:sz w:val="21"/>
                <w:szCs w:val="21"/>
                <w:u w:val="single"/>
              </w:rPr>
            </w:pPr>
            <w:r>
              <w:rPr>
                <w:rFonts w:hint="eastAsia" w:ascii="宋体" w:hAnsi="宋体" w:eastAsia="宋体"/>
                <w:bCs/>
                <w:color w:val="000000"/>
                <w:sz w:val="21"/>
                <w:szCs w:val="21"/>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pStyle w:val="9"/>
              <w:adjustRightInd w:val="0"/>
              <w:snapToGrid w:val="0"/>
              <w:spacing w:after="0" w:line="360" w:lineRule="auto"/>
              <w:ind w:left="0" w:leftChars="0"/>
              <w:rPr>
                <w:rFonts w:ascii="宋体" w:hAnsi="宋体"/>
                <w:bCs/>
                <w:color w:val="000000"/>
                <w:szCs w:val="21"/>
              </w:rPr>
            </w:pPr>
            <w:r>
              <w:rPr>
                <w:rFonts w:hint="eastAsia" w:ascii="宋体" w:hAnsi="宋体"/>
                <w:bCs/>
                <w:color w:val="000000"/>
                <w:szCs w:val="21"/>
              </w:rPr>
              <w:t xml:space="preserve">代表（签名）：             </w:t>
            </w:r>
          </w:p>
        </w:tc>
        <w:tc>
          <w:tcPr>
            <w:tcW w:w="4643" w:type="dxa"/>
          </w:tcPr>
          <w:p>
            <w:pPr>
              <w:pStyle w:val="9"/>
              <w:adjustRightInd w:val="0"/>
              <w:snapToGrid w:val="0"/>
              <w:spacing w:after="0" w:line="360" w:lineRule="auto"/>
              <w:ind w:left="0" w:leftChars="0"/>
              <w:rPr>
                <w:rFonts w:ascii="宋体" w:hAnsi="宋体"/>
                <w:bCs/>
                <w:color w:val="000000"/>
                <w:szCs w:val="21"/>
              </w:rPr>
            </w:pPr>
            <w:r>
              <w:rPr>
                <w:rFonts w:hint="eastAsia" w:ascii="宋体" w:hAnsi="宋体"/>
                <w:bCs/>
                <w:color w:val="000000"/>
                <w:szCs w:val="21"/>
              </w:rPr>
              <w:t>代表（签名）：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pPr>
              <w:pStyle w:val="9"/>
              <w:adjustRightInd w:val="0"/>
              <w:snapToGrid w:val="0"/>
              <w:spacing w:after="0" w:line="360" w:lineRule="auto"/>
              <w:ind w:left="0" w:leftChars="0"/>
              <w:rPr>
                <w:rFonts w:ascii="宋体" w:hAnsi="宋体"/>
                <w:bCs/>
                <w:color w:val="000000"/>
                <w:szCs w:val="21"/>
              </w:rPr>
            </w:pPr>
            <w:r>
              <w:rPr>
                <w:rFonts w:hint="eastAsia" w:ascii="宋体" w:hAnsi="宋体"/>
                <w:bCs/>
                <w:color w:val="000000"/>
                <w:szCs w:val="21"/>
              </w:rPr>
              <w:t>日期：年月日</w:t>
            </w:r>
          </w:p>
        </w:tc>
        <w:tc>
          <w:tcPr>
            <w:tcW w:w="4643" w:type="dxa"/>
          </w:tcPr>
          <w:p>
            <w:pPr>
              <w:pStyle w:val="9"/>
              <w:adjustRightInd w:val="0"/>
              <w:snapToGrid w:val="0"/>
              <w:spacing w:after="0" w:line="360" w:lineRule="auto"/>
              <w:ind w:left="0" w:leftChars="0"/>
              <w:rPr>
                <w:rFonts w:ascii="宋体" w:hAnsi="宋体"/>
                <w:bCs/>
                <w:color w:val="000000"/>
                <w:szCs w:val="21"/>
              </w:rPr>
            </w:pPr>
            <w:r>
              <w:rPr>
                <w:rFonts w:hint="eastAsia" w:ascii="宋体" w:hAnsi="宋体"/>
                <w:bCs/>
                <w:color w:val="000000"/>
                <w:szCs w:val="21"/>
              </w:rPr>
              <w:t>日期：年月日</w:t>
            </w:r>
          </w:p>
        </w:tc>
      </w:tr>
    </w:tbl>
    <w:p>
      <w:pPr>
        <w:spacing w:after="0" w:line="360" w:lineRule="auto"/>
        <w:rPr>
          <w:rFonts w:ascii="宋体" w:hAnsi="宋体" w:eastAsia="宋体"/>
          <w:sz w:val="21"/>
          <w:szCs w:val="21"/>
        </w:rPr>
      </w:pPr>
    </w:p>
    <w:p/>
    <w:p/>
    <w:p/>
    <w:p/>
    <w:p/>
    <w:p/>
    <w:p/>
    <w:p/>
    <w:p>
      <w:pPr>
        <w:adjustRightInd/>
        <w:snapToGrid/>
        <w:spacing w:after="0"/>
        <w:rPr>
          <w:rFonts w:asciiTheme="majorHAnsi" w:hAnsiTheme="majorHAnsi" w:eastAsiaTheme="majorEastAsia" w:cstheme="majorBidi"/>
          <w:b/>
          <w:bCs/>
          <w:sz w:val="28"/>
          <w:szCs w:val="28"/>
        </w:rPr>
      </w:pPr>
      <w:bookmarkStart w:id="138" w:name="_Toc21996"/>
      <w:r>
        <w:rPr>
          <w:sz w:val="28"/>
          <w:szCs w:val="28"/>
        </w:rPr>
        <w:br w:type="page"/>
      </w:r>
    </w:p>
    <w:p>
      <w:pPr>
        <w:pStyle w:val="4"/>
        <w:spacing w:before="0" w:after="0" w:line="240" w:lineRule="auto"/>
        <w:rPr>
          <w:sz w:val="28"/>
          <w:szCs w:val="28"/>
        </w:rPr>
      </w:pPr>
      <w:r>
        <w:rPr>
          <w:rFonts w:hint="eastAsia"/>
          <w:sz w:val="28"/>
          <w:szCs w:val="28"/>
        </w:rPr>
        <w:t>第六部分附件－响应文件格式</w:t>
      </w:r>
      <w:bookmarkEnd w:id="138"/>
    </w:p>
    <w:p>
      <w:pPr>
        <w:adjustRightInd/>
        <w:snapToGrid/>
        <w:spacing w:after="0"/>
        <w:rPr>
          <w:rFonts w:ascii="宋体" w:hAnsi="宋体" w:eastAsia="宋体" w:cstheme="majorBidi"/>
          <w:b/>
          <w:bCs/>
          <w:sz w:val="21"/>
          <w:szCs w:val="21"/>
        </w:rPr>
      </w:pPr>
      <w:bookmarkStart w:id="139" w:name="_Toc11241"/>
    </w:p>
    <w:p>
      <w:pPr>
        <w:pStyle w:val="7"/>
        <w:widowControl w:val="0"/>
        <w:overflowPunct w:val="0"/>
        <w:spacing w:before="0" w:after="0" w:line="240" w:lineRule="auto"/>
        <w:rPr>
          <w:rFonts w:ascii="宋体" w:hAnsi="宋体" w:eastAsia="宋体"/>
          <w:sz w:val="21"/>
          <w:szCs w:val="21"/>
        </w:rPr>
      </w:pPr>
      <w:r>
        <w:rPr>
          <w:rFonts w:hint="eastAsia" w:ascii="宋体" w:hAnsi="宋体" w:eastAsia="宋体"/>
          <w:sz w:val="21"/>
          <w:szCs w:val="21"/>
        </w:rPr>
        <w:t>附件1.响应文件目录</w:t>
      </w:r>
      <w:bookmarkEnd w:id="139"/>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目录</w:t>
      </w:r>
    </w:p>
    <w:p>
      <w:pPr>
        <w:adjustRightInd/>
        <w:snapToGrid/>
        <w:spacing w:line="276" w:lineRule="auto"/>
        <w:rPr>
          <w:rFonts w:ascii="宋体" w:hAnsi="宋体" w:eastAsia="宋体"/>
          <w:sz w:val="21"/>
          <w:szCs w:val="21"/>
        </w:rPr>
      </w:pPr>
      <w:r>
        <w:rPr>
          <w:rFonts w:hint="eastAsia" w:ascii="宋体" w:hAnsi="宋体" w:eastAsia="宋体"/>
          <w:sz w:val="21"/>
          <w:szCs w:val="21"/>
        </w:rPr>
        <w:t>格式自理。</w:t>
      </w: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r>
        <w:rPr>
          <w:rFonts w:hint="eastAsia" w:ascii="宋体" w:hAnsi="宋体" w:eastAsia="宋体"/>
          <w:sz w:val="21"/>
          <w:szCs w:val="21"/>
        </w:rPr>
        <w:t>注：</w:t>
      </w:r>
    </w:p>
    <w:p>
      <w:pPr>
        <w:adjustRightInd/>
        <w:snapToGrid/>
        <w:spacing w:line="276" w:lineRule="auto"/>
        <w:rPr>
          <w:rFonts w:ascii="宋体" w:hAnsi="宋体" w:eastAsia="宋体"/>
          <w:sz w:val="21"/>
          <w:szCs w:val="21"/>
        </w:rPr>
      </w:pPr>
      <w:r>
        <w:rPr>
          <w:rFonts w:hint="eastAsia" w:ascii="宋体" w:hAnsi="宋体" w:eastAsia="宋体"/>
          <w:sz w:val="21"/>
          <w:szCs w:val="21"/>
        </w:rPr>
        <w:t>1、供应商制作的响应文件应当具备目录。</w:t>
      </w:r>
      <w:r>
        <w:rPr>
          <w:rFonts w:ascii="宋体" w:hAnsi="宋体" w:eastAsia="宋体"/>
          <w:sz w:val="21"/>
          <w:szCs w:val="21"/>
        </w:rPr>
        <w:br w:type="page"/>
      </w:r>
    </w:p>
    <w:p>
      <w:pPr>
        <w:pStyle w:val="7"/>
        <w:widowControl w:val="0"/>
        <w:overflowPunct w:val="0"/>
        <w:spacing w:before="0" w:after="0" w:line="240" w:lineRule="auto"/>
        <w:rPr>
          <w:rFonts w:ascii="宋体" w:hAnsi="宋体" w:eastAsia="宋体"/>
          <w:sz w:val="21"/>
          <w:szCs w:val="21"/>
        </w:rPr>
      </w:pPr>
      <w:bookmarkStart w:id="140" w:name="_Toc30676"/>
      <w:bookmarkStart w:id="141" w:name="_Toc2419"/>
      <w:bookmarkStart w:id="142" w:name="_Toc31472"/>
      <w:bookmarkStart w:id="143" w:name="_Toc18913"/>
      <w:r>
        <w:rPr>
          <w:rFonts w:hint="eastAsia" w:ascii="宋体" w:hAnsi="宋体" w:eastAsia="宋体"/>
          <w:sz w:val="21"/>
          <w:szCs w:val="21"/>
        </w:rPr>
        <w:t>附件1-1 评分标准索引表</w:t>
      </w:r>
      <w:bookmarkEnd w:id="140"/>
      <w:bookmarkEnd w:id="141"/>
      <w:bookmarkEnd w:id="142"/>
      <w:bookmarkEnd w:id="143"/>
    </w:p>
    <w:p>
      <w:pPr>
        <w:adjustRightInd/>
        <w:snapToGrid/>
        <w:spacing w:line="276" w:lineRule="auto"/>
        <w:rPr>
          <w:rFonts w:ascii="宋体" w:hAnsi="宋体" w:eastAsia="宋体"/>
          <w:sz w:val="21"/>
          <w:szCs w:val="21"/>
        </w:rPr>
      </w:pPr>
    </w:p>
    <w:p>
      <w:pPr>
        <w:jc w:val="center"/>
        <w:rPr>
          <w:rFonts w:ascii="黑体" w:eastAsia="黑体"/>
          <w:sz w:val="32"/>
          <w:szCs w:val="32"/>
        </w:rPr>
      </w:pPr>
      <w:r>
        <w:rPr>
          <w:rFonts w:hint="eastAsia" w:ascii="黑体" w:eastAsia="黑体"/>
          <w:sz w:val="32"/>
          <w:szCs w:val="32"/>
        </w:rPr>
        <w:t>评分标准索引表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703"/>
        <w:gridCol w:w="1703"/>
        <w:gridCol w:w="1704"/>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99" w:type="pct"/>
            <w:vAlign w:val="center"/>
          </w:tcPr>
          <w:p>
            <w:pPr>
              <w:spacing w:after="0"/>
              <w:jc w:val="center"/>
              <w:rPr>
                <w:rFonts w:ascii="宋体" w:hAnsi="宋体" w:eastAsia="宋体" w:cs="宋体"/>
              </w:rPr>
            </w:pPr>
            <w:r>
              <w:rPr>
                <w:rFonts w:hint="eastAsia" w:ascii="宋体" w:hAnsi="宋体" w:eastAsia="宋体" w:cs="宋体"/>
              </w:rPr>
              <w:t>序号</w:t>
            </w:r>
          </w:p>
        </w:tc>
        <w:tc>
          <w:tcPr>
            <w:tcW w:w="999" w:type="pct"/>
            <w:vAlign w:val="center"/>
          </w:tcPr>
          <w:p>
            <w:pPr>
              <w:spacing w:after="0"/>
              <w:jc w:val="center"/>
              <w:rPr>
                <w:rFonts w:ascii="宋体" w:hAnsi="宋体" w:eastAsia="宋体" w:cs="宋体"/>
              </w:rPr>
            </w:pPr>
            <w:r>
              <w:rPr>
                <w:rFonts w:hint="eastAsia" w:ascii="宋体" w:hAnsi="宋体" w:eastAsia="宋体" w:cs="宋体"/>
              </w:rPr>
              <w:t>评审项目</w:t>
            </w:r>
          </w:p>
        </w:tc>
        <w:tc>
          <w:tcPr>
            <w:tcW w:w="999" w:type="pct"/>
            <w:vAlign w:val="center"/>
          </w:tcPr>
          <w:p>
            <w:pPr>
              <w:spacing w:after="0"/>
              <w:jc w:val="center"/>
              <w:rPr>
                <w:rFonts w:ascii="宋体" w:hAnsi="宋体" w:eastAsia="宋体" w:cs="宋体"/>
              </w:rPr>
            </w:pPr>
            <w:r>
              <w:rPr>
                <w:rFonts w:hint="eastAsia" w:ascii="宋体" w:hAnsi="宋体" w:eastAsia="宋体" w:cs="宋体"/>
              </w:rPr>
              <w:t>评分细则</w:t>
            </w:r>
          </w:p>
        </w:tc>
        <w:tc>
          <w:tcPr>
            <w:tcW w:w="1000" w:type="pct"/>
            <w:vAlign w:val="center"/>
          </w:tcPr>
          <w:p>
            <w:pPr>
              <w:spacing w:after="0"/>
              <w:jc w:val="center"/>
              <w:rPr>
                <w:rFonts w:ascii="宋体" w:hAnsi="宋体" w:eastAsia="宋体" w:cs="宋体"/>
              </w:rPr>
            </w:pPr>
            <w:r>
              <w:rPr>
                <w:rFonts w:hint="eastAsia" w:ascii="宋体" w:hAnsi="宋体" w:eastAsia="宋体" w:cs="宋体"/>
              </w:rPr>
              <w:t>分值</w:t>
            </w:r>
          </w:p>
        </w:tc>
        <w:tc>
          <w:tcPr>
            <w:tcW w:w="1000" w:type="pct"/>
            <w:vAlign w:val="center"/>
          </w:tcPr>
          <w:p>
            <w:pPr>
              <w:spacing w:after="0"/>
              <w:jc w:val="center"/>
              <w:rPr>
                <w:rFonts w:ascii="宋体" w:hAnsi="宋体" w:eastAsia="宋体" w:cs="宋体"/>
              </w:rPr>
            </w:pPr>
            <w:r>
              <w:rPr>
                <w:rFonts w:hint="eastAsia" w:ascii="宋体" w:hAnsi="宋体" w:eastAsia="宋体" w:cs="宋体"/>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000" w:type="pct"/>
            <w:gridSpan w:val="5"/>
            <w:vAlign w:val="center"/>
          </w:tcPr>
          <w:p>
            <w:pPr>
              <w:spacing w:after="0"/>
              <w:rPr>
                <w:rFonts w:ascii="宋体" w:hAnsi="宋体" w:eastAsia="宋体" w:cs="宋体"/>
              </w:rPr>
            </w:pPr>
            <w:r>
              <w:rPr>
                <w:rFonts w:hint="eastAsia" w:ascii="宋体" w:hAnsi="宋体" w:eastAsia="宋体" w:cs="宋体"/>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9" w:type="pct"/>
            <w:vAlign w:val="center"/>
          </w:tcPr>
          <w:p>
            <w:pPr>
              <w:spacing w:after="0"/>
              <w:jc w:val="center"/>
              <w:rPr>
                <w:rFonts w:ascii="宋体" w:hAnsi="宋体" w:eastAsia="宋体" w:cs="宋体"/>
              </w:rPr>
            </w:pPr>
          </w:p>
        </w:tc>
        <w:tc>
          <w:tcPr>
            <w:tcW w:w="999" w:type="pct"/>
            <w:vAlign w:val="center"/>
          </w:tcPr>
          <w:p>
            <w:pPr>
              <w:spacing w:after="0"/>
              <w:jc w:val="center"/>
              <w:rPr>
                <w:rFonts w:ascii="宋体" w:hAnsi="宋体" w:eastAsia="宋体" w:cs="宋体"/>
              </w:rPr>
            </w:pPr>
          </w:p>
        </w:tc>
        <w:tc>
          <w:tcPr>
            <w:tcW w:w="999" w:type="pct"/>
            <w:vAlign w:val="center"/>
          </w:tcPr>
          <w:p>
            <w:pPr>
              <w:spacing w:after="0"/>
              <w:jc w:val="center"/>
              <w:rPr>
                <w:rFonts w:ascii="宋体" w:hAnsi="宋体" w:eastAsia="宋体" w:cs="宋体"/>
              </w:rPr>
            </w:pPr>
          </w:p>
        </w:tc>
        <w:tc>
          <w:tcPr>
            <w:tcW w:w="1000" w:type="pct"/>
            <w:vAlign w:val="center"/>
          </w:tcPr>
          <w:p>
            <w:pPr>
              <w:spacing w:after="0"/>
              <w:jc w:val="center"/>
              <w:rPr>
                <w:rFonts w:ascii="宋体" w:hAnsi="宋体" w:eastAsia="宋体" w:cs="宋体"/>
              </w:rPr>
            </w:pPr>
          </w:p>
        </w:tc>
        <w:tc>
          <w:tcPr>
            <w:tcW w:w="1000" w:type="pct"/>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9" w:type="pct"/>
            <w:vAlign w:val="center"/>
          </w:tcPr>
          <w:p>
            <w:pPr>
              <w:spacing w:after="0"/>
              <w:jc w:val="center"/>
              <w:rPr>
                <w:rFonts w:ascii="宋体" w:hAnsi="宋体" w:eastAsia="宋体" w:cs="宋体"/>
              </w:rPr>
            </w:pPr>
          </w:p>
        </w:tc>
        <w:tc>
          <w:tcPr>
            <w:tcW w:w="999" w:type="pct"/>
            <w:vAlign w:val="center"/>
          </w:tcPr>
          <w:p>
            <w:pPr>
              <w:spacing w:after="0"/>
              <w:jc w:val="center"/>
              <w:rPr>
                <w:rFonts w:ascii="宋体" w:hAnsi="宋体" w:eastAsia="宋体" w:cs="宋体"/>
              </w:rPr>
            </w:pPr>
          </w:p>
        </w:tc>
        <w:tc>
          <w:tcPr>
            <w:tcW w:w="999" w:type="pct"/>
            <w:vAlign w:val="center"/>
          </w:tcPr>
          <w:p>
            <w:pPr>
              <w:spacing w:after="0"/>
              <w:jc w:val="center"/>
              <w:rPr>
                <w:rFonts w:ascii="宋体" w:hAnsi="宋体" w:eastAsia="宋体" w:cs="宋体"/>
              </w:rPr>
            </w:pPr>
          </w:p>
        </w:tc>
        <w:tc>
          <w:tcPr>
            <w:tcW w:w="1000" w:type="pct"/>
            <w:vAlign w:val="center"/>
          </w:tcPr>
          <w:p>
            <w:pPr>
              <w:spacing w:after="0"/>
              <w:jc w:val="center"/>
              <w:rPr>
                <w:rFonts w:ascii="宋体" w:hAnsi="宋体" w:eastAsia="宋体" w:cs="宋体"/>
              </w:rPr>
            </w:pPr>
          </w:p>
        </w:tc>
        <w:tc>
          <w:tcPr>
            <w:tcW w:w="1000" w:type="pct"/>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9" w:type="pct"/>
            <w:vAlign w:val="center"/>
          </w:tcPr>
          <w:p>
            <w:pPr>
              <w:spacing w:after="0"/>
              <w:jc w:val="center"/>
              <w:rPr>
                <w:rFonts w:ascii="宋体" w:hAnsi="宋体" w:eastAsia="宋体" w:cs="宋体"/>
              </w:rPr>
            </w:pPr>
          </w:p>
        </w:tc>
        <w:tc>
          <w:tcPr>
            <w:tcW w:w="999" w:type="pct"/>
            <w:vAlign w:val="center"/>
          </w:tcPr>
          <w:p>
            <w:pPr>
              <w:spacing w:after="0"/>
              <w:jc w:val="center"/>
              <w:rPr>
                <w:rFonts w:ascii="宋体" w:hAnsi="宋体" w:eastAsia="宋体" w:cs="宋体"/>
              </w:rPr>
            </w:pPr>
          </w:p>
        </w:tc>
        <w:tc>
          <w:tcPr>
            <w:tcW w:w="999" w:type="pct"/>
            <w:vAlign w:val="center"/>
          </w:tcPr>
          <w:p>
            <w:pPr>
              <w:spacing w:after="0"/>
              <w:jc w:val="center"/>
              <w:rPr>
                <w:rFonts w:ascii="宋体" w:hAnsi="宋体" w:eastAsia="宋体" w:cs="宋体"/>
              </w:rPr>
            </w:pPr>
          </w:p>
        </w:tc>
        <w:tc>
          <w:tcPr>
            <w:tcW w:w="1000" w:type="pct"/>
            <w:vAlign w:val="center"/>
          </w:tcPr>
          <w:p>
            <w:pPr>
              <w:spacing w:after="0"/>
              <w:jc w:val="center"/>
              <w:rPr>
                <w:rFonts w:ascii="宋体" w:hAnsi="宋体" w:eastAsia="宋体" w:cs="宋体"/>
              </w:rPr>
            </w:pPr>
          </w:p>
        </w:tc>
        <w:tc>
          <w:tcPr>
            <w:tcW w:w="1000" w:type="pct"/>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000" w:type="pct"/>
            <w:gridSpan w:val="5"/>
            <w:vAlign w:val="center"/>
          </w:tcPr>
          <w:p>
            <w:pPr>
              <w:spacing w:after="0"/>
              <w:rPr>
                <w:rFonts w:ascii="宋体" w:hAnsi="宋体" w:eastAsia="宋体" w:cs="宋体"/>
              </w:rPr>
            </w:pPr>
            <w:r>
              <w:rPr>
                <w:rFonts w:hint="eastAsia" w:ascii="宋体" w:hAnsi="宋体" w:eastAsia="宋体" w:cs="宋体"/>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9" w:type="pct"/>
            <w:vAlign w:val="center"/>
          </w:tcPr>
          <w:p>
            <w:pPr>
              <w:spacing w:after="0"/>
              <w:jc w:val="center"/>
              <w:rPr>
                <w:rFonts w:ascii="宋体" w:hAnsi="宋体" w:eastAsia="宋体" w:cs="宋体"/>
              </w:rPr>
            </w:pPr>
          </w:p>
        </w:tc>
        <w:tc>
          <w:tcPr>
            <w:tcW w:w="999" w:type="pct"/>
            <w:vAlign w:val="center"/>
          </w:tcPr>
          <w:p>
            <w:pPr>
              <w:spacing w:after="0"/>
              <w:jc w:val="center"/>
              <w:rPr>
                <w:rFonts w:ascii="宋体" w:hAnsi="宋体" w:eastAsia="宋体" w:cs="宋体"/>
              </w:rPr>
            </w:pPr>
          </w:p>
        </w:tc>
        <w:tc>
          <w:tcPr>
            <w:tcW w:w="999" w:type="pct"/>
            <w:vAlign w:val="center"/>
          </w:tcPr>
          <w:p>
            <w:pPr>
              <w:spacing w:after="0"/>
              <w:jc w:val="center"/>
              <w:rPr>
                <w:rFonts w:ascii="宋体" w:hAnsi="宋体" w:eastAsia="宋体" w:cs="宋体"/>
              </w:rPr>
            </w:pPr>
          </w:p>
        </w:tc>
        <w:tc>
          <w:tcPr>
            <w:tcW w:w="1000" w:type="pct"/>
            <w:vAlign w:val="center"/>
          </w:tcPr>
          <w:p>
            <w:pPr>
              <w:spacing w:after="0"/>
              <w:jc w:val="center"/>
              <w:rPr>
                <w:rFonts w:ascii="宋体" w:hAnsi="宋体" w:eastAsia="宋体" w:cs="宋体"/>
              </w:rPr>
            </w:pPr>
          </w:p>
        </w:tc>
        <w:tc>
          <w:tcPr>
            <w:tcW w:w="1000" w:type="pct"/>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999" w:type="pct"/>
            <w:vAlign w:val="center"/>
          </w:tcPr>
          <w:p>
            <w:pPr>
              <w:spacing w:after="0"/>
              <w:jc w:val="center"/>
              <w:rPr>
                <w:rFonts w:ascii="宋体" w:hAnsi="宋体" w:eastAsia="宋体" w:cs="宋体"/>
              </w:rPr>
            </w:pPr>
          </w:p>
        </w:tc>
        <w:tc>
          <w:tcPr>
            <w:tcW w:w="999" w:type="pct"/>
            <w:vAlign w:val="center"/>
          </w:tcPr>
          <w:p>
            <w:pPr>
              <w:spacing w:after="0"/>
              <w:jc w:val="center"/>
              <w:rPr>
                <w:rFonts w:ascii="宋体" w:hAnsi="宋体" w:eastAsia="宋体" w:cs="宋体"/>
              </w:rPr>
            </w:pPr>
          </w:p>
        </w:tc>
        <w:tc>
          <w:tcPr>
            <w:tcW w:w="999" w:type="pct"/>
            <w:vAlign w:val="center"/>
          </w:tcPr>
          <w:p>
            <w:pPr>
              <w:spacing w:after="0"/>
              <w:jc w:val="center"/>
              <w:rPr>
                <w:rFonts w:ascii="宋体" w:hAnsi="宋体" w:eastAsia="宋体" w:cs="宋体"/>
              </w:rPr>
            </w:pPr>
          </w:p>
        </w:tc>
        <w:tc>
          <w:tcPr>
            <w:tcW w:w="1000" w:type="pct"/>
            <w:vAlign w:val="center"/>
          </w:tcPr>
          <w:p>
            <w:pPr>
              <w:spacing w:after="0"/>
              <w:jc w:val="center"/>
              <w:rPr>
                <w:rFonts w:ascii="宋体" w:hAnsi="宋体" w:eastAsia="宋体" w:cs="宋体"/>
              </w:rPr>
            </w:pPr>
          </w:p>
        </w:tc>
        <w:tc>
          <w:tcPr>
            <w:tcW w:w="1000" w:type="pct"/>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9" w:type="pct"/>
            <w:vAlign w:val="center"/>
          </w:tcPr>
          <w:p>
            <w:pPr>
              <w:spacing w:after="0"/>
              <w:jc w:val="center"/>
              <w:rPr>
                <w:rFonts w:ascii="宋体" w:hAnsi="宋体" w:eastAsia="宋体" w:cs="宋体"/>
              </w:rPr>
            </w:pPr>
          </w:p>
        </w:tc>
        <w:tc>
          <w:tcPr>
            <w:tcW w:w="999" w:type="pct"/>
            <w:vAlign w:val="center"/>
          </w:tcPr>
          <w:p>
            <w:pPr>
              <w:spacing w:after="0"/>
              <w:jc w:val="center"/>
              <w:rPr>
                <w:rFonts w:ascii="宋体" w:hAnsi="宋体" w:eastAsia="宋体" w:cs="宋体"/>
              </w:rPr>
            </w:pPr>
          </w:p>
        </w:tc>
        <w:tc>
          <w:tcPr>
            <w:tcW w:w="999" w:type="pct"/>
            <w:vAlign w:val="center"/>
          </w:tcPr>
          <w:p>
            <w:pPr>
              <w:spacing w:after="0"/>
              <w:jc w:val="center"/>
              <w:rPr>
                <w:rFonts w:ascii="宋体" w:hAnsi="宋体" w:eastAsia="宋体" w:cs="宋体"/>
              </w:rPr>
            </w:pPr>
          </w:p>
        </w:tc>
        <w:tc>
          <w:tcPr>
            <w:tcW w:w="1000" w:type="pct"/>
            <w:vAlign w:val="center"/>
          </w:tcPr>
          <w:p>
            <w:pPr>
              <w:spacing w:after="0"/>
              <w:jc w:val="center"/>
              <w:rPr>
                <w:rFonts w:ascii="宋体" w:hAnsi="宋体" w:eastAsia="宋体" w:cs="宋体"/>
              </w:rPr>
            </w:pPr>
          </w:p>
        </w:tc>
        <w:tc>
          <w:tcPr>
            <w:tcW w:w="1000" w:type="pct"/>
            <w:vAlign w:val="center"/>
          </w:tcPr>
          <w:p>
            <w:pPr>
              <w:spacing w:after="0"/>
              <w:jc w:val="center"/>
              <w:rPr>
                <w:rFonts w:ascii="宋体" w:hAnsi="宋体" w:eastAsia="宋体" w:cs="宋体"/>
              </w:rPr>
            </w:pPr>
          </w:p>
        </w:tc>
      </w:tr>
    </w:tbl>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注：</w:t>
      </w:r>
    </w:p>
    <w:p>
      <w:pPr>
        <w:numPr>
          <w:ilvl w:val="0"/>
          <w:numId w:val="9"/>
        </w:numPr>
        <w:rPr>
          <w:rFonts w:ascii="宋体" w:hAnsi="宋体" w:eastAsia="宋体"/>
          <w:sz w:val="21"/>
          <w:szCs w:val="21"/>
        </w:rPr>
      </w:pPr>
      <w:r>
        <w:rPr>
          <w:rFonts w:hint="eastAsia" w:ascii="宋体" w:hAnsi="宋体" w:eastAsia="宋体"/>
          <w:sz w:val="21"/>
          <w:szCs w:val="21"/>
        </w:rPr>
        <w:t>该表格为参考格式，供应商可按实际情况自行制订评分标准索引表。</w:t>
      </w:r>
    </w:p>
    <w:p>
      <w:pPr>
        <w:pStyle w:val="2"/>
        <w:spacing w:before="0"/>
        <w:ind w:left="0"/>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r>
        <w:rPr>
          <w:rFonts w:ascii="宋体" w:hAnsi="宋体" w:eastAsia="宋体"/>
          <w:sz w:val="21"/>
          <w:szCs w:val="21"/>
        </w:rPr>
        <w:br w:type="page"/>
      </w:r>
    </w:p>
    <w:p>
      <w:pPr>
        <w:pStyle w:val="7"/>
        <w:widowControl w:val="0"/>
        <w:overflowPunct w:val="0"/>
        <w:spacing w:before="0" w:after="0" w:line="240" w:lineRule="auto"/>
        <w:rPr>
          <w:rFonts w:ascii="宋体" w:hAnsi="宋体" w:eastAsia="宋体"/>
          <w:sz w:val="21"/>
          <w:szCs w:val="21"/>
        </w:rPr>
      </w:pPr>
      <w:bookmarkStart w:id="144" w:name="_Toc7131"/>
      <w:r>
        <w:rPr>
          <w:rFonts w:hint="eastAsia" w:ascii="宋体" w:hAnsi="宋体" w:eastAsia="宋体"/>
          <w:sz w:val="21"/>
          <w:szCs w:val="21"/>
        </w:rPr>
        <w:t>附件2.响应书格式</w:t>
      </w:r>
      <w:bookmarkEnd w:id="144"/>
    </w:p>
    <w:p>
      <w:pPr>
        <w:jc w:val="center"/>
        <w:rPr>
          <w:rFonts w:ascii="宋体" w:hAnsi="宋体" w:eastAsia="宋体"/>
          <w:sz w:val="21"/>
          <w:szCs w:val="21"/>
        </w:rPr>
      </w:pPr>
      <w:r>
        <w:rPr>
          <w:rFonts w:hint="eastAsia" w:ascii="黑体" w:eastAsia="黑体"/>
          <w:sz w:val="32"/>
          <w:szCs w:val="32"/>
        </w:rPr>
        <w:t>响应书</w:t>
      </w:r>
    </w:p>
    <w:p>
      <w:pPr>
        <w:spacing w:after="0" w:line="360" w:lineRule="auto"/>
        <w:rPr>
          <w:rFonts w:ascii="宋体" w:hAnsi="宋体" w:eastAsia="宋体"/>
          <w:sz w:val="21"/>
          <w:szCs w:val="21"/>
        </w:rPr>
      </w:pPr>
      <w:r>
        <w:rPr>
          <w:rFonts w:hint="eastAsia" w:ascii="宋体" w:hAnsi="宋体" w:eastAsia="宋体"/>
          <w:sz w:val="21"/>
          <w:szCs w:val="21"/>
        </w:rPr>
        <w:t>致：三方诚信招标有限公司东莞分公司：</w:t>
      </w:r>
    </w:p>
    <w:p>
      <w:pPr>
        <w:spacing w:after="0" w:line="360" w:lineRule="auto"/>
        <w:rPr>
          <w:rFonts w:ascii="宋体" w:hAnsi="宋体" w:eastAsia="宋体"/>
          <w:sz w:val="21"/>
          <w:szCs w:val="21"/>
        </w:rPr>
      </w:pP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根据贵方为</w:t>
      </w:r>
      <w:r>
        <w:rPr>
          <w:rFonts w:hint="eastAsia" w:ascii="宋体" w:hAnsi="宋体" w:eastAsia="宋体"/>
          <w:sz w:val="21"/>
          <w:szCs w:val="21"/>
          <w:u w:val="single"/>
        </w:rPr>
        <w:t>（项目名称）（项目编号）</w:t>
      </w:r>
      <w:r>
        <w:rPr>
          <w:rFonts w:hint="eastAsia" w:ascii="宋体" w:hAnsi="宋体" w:eastAsia="宋体"/>
          <w:sz w:val="21"/>
          <w:szCs w:val="21"/>
        </w:rPr>
        <w:t>项目竞争性磋商公告/磋商邀请，签字代表</w:t>
      </w:r>
      <w:r>
        <w:rPr>
          <w:rFonts w:hint="eastAsia" w:ascii="宋体" w:hAnsi="宋体" w:eastAsia="宋体"/>
          <w:sz w:val="21"/>
          <w:szCs w:val="21"/>
          <w:u w:val="single"/>
        </w:rPr>
        <w:t>（姓名、职务）</w:t>
      </w:r>
      <w:r>
        <w:rPr>
          <w:rFonts w:hint="eastAsia" w:ascii="宋体" w:hAnsi="宋体" w:eastAsia="宋体"/>
          <w:sz w:val="21"/>
          <w:szCs w:val="21"/>
        </w:rPr>
        <w:t>经正式授权并代表供应商</w:t>
      </w:r>
      <w:r>
        <w:rPr>
          <w:rFonts w:hint="eastAsia" w:ascii="宋体" w:hAnsi="宋体" w:eastAsia="宋体"/>
          <w:sz w:val="21"/>
          <w:szCs w:val="21"/>
          <w:u w:val="single"/>
        </w:rPr>
        <w:t>（供应商名称、地址）</w:t>
      </w:r>
      <w:r>
        <w:rPr>
          <w:rFonts w:hint="eastAsia" w:ascii="宋体" w:hAnsi="宋体" w:eastAsia="宋体"/>
          <w:sz w:val="21"/>
          <w:szCs w:val="21"/>
        </w:rPr>
        <w:t>提交响应文件及“报价文件”：</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 xml:space="preserve">在此，签字代表宣布同意如下： </w:t>
      </w:r>
    </w:p>
    <w:p>
      <w:pPr>
        <w:widowControl w:val="0"/>
        <w:numPr>
          <w:ilvl w:val="0"/>
          <w:numId w:val="10"/>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 xml:space="preserve">我方将按磋商文件的规定履行合同责任和义务。 </w:t>
      </w:r>
    </w:p>
    <w:p>
      <w:pPr>
        <w:widowControl w:val="0"/>
        <w:numPr>
          <w:ilvl w:val="0"/>
          <w:numId w:val="10"/>
        </w:numPr>
        <w:adjustRightInd/>
        <w:snapToGrid/>
        <w:spacing w:after="0" w:line="360" w:lineRule="auto"/>
        <w:jc w:val="both"/>
        <w:rPr>
          <w:rFonts w:ascii="宋体" w:hAnsi="宋体" w:eastAsia="宋体"/>
          <w:sz w:val="21"/>
          <w:szCs w:val="21"/>
        </w:rPr>
      </w:pPr>
      <w:r>
        <w:rPr>
          <w:rFonts w:hint="eastAsia" w:ascii="宋体" w:hAnsi="宋体" w:eastAsia="宋体"/>
          <w:b/>
          <w:sz w:val="21"/>
          <w:szCs w:val="21"/>
        </w:rPr>
        <w:t>我方已完整阅读了本项目磋商文件的所有内容（包括澄清，以及所有已提供的参考资料和有关附件），并完全理解上述文件所表达的意思，该项目递交响应文件时间截止后，我方承诺不再对上述文件内容进行询问或质疑。</w:t>
      </w:r>
    </w:p>
    <w:p>
      <w:pPr>
        <w:widowControl w:val="0"/>
        <w:numPr>
          <w:ilvl w:val="0"/>
          <w:numId w:val="10"/>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本响应有效期为自接收响应文件截止日起</w:t>
      </w:r>
      <w:r>
        <w:rPr>
          <w:rFonts w:hint="eastAsia" w:ascii="宋体" w:hAnsi="宋体" w:eastAsia="宋体"/>
          <w:sz w:val="21"/>
          <w:szCs w:val="21"/>
          <w:u w:val="single"/>
        </w:rPr>
        <w:t>90</w:t>
      </w:r>
      <w:r>
        <w:rPr>
          <w:rFonts w:hint="eastAsia" w:ascii="宋体" w:hAnsi="宋体" w:eastAsia="宋体"/>
          <w:sz w:val="21"/>
          <w:szCs w:val="21"/>
        </w:rPr>
        <w:t xml:space="preserve">个日历日。 </w:t>
      </w:r>
    </w:p>
    <w:p>
      <w:pPr>
        <w:widowControl w:val="0"/>
        <w:numPr>
          <w:ilvl w:val="0"/>
          <w:numId w:val="10"/>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我方保证遵守供应商须知中关于没收磋商保证金的规定。</w:t>
      </w:r>
    </w:p>
    <w:p>
      <w:pPr>
        <w:widowControl w:val="0"/>
        <w:numPr>
          <w:ilvl w:val="0"/>
          <w:numId w:val="10"/>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 xml:space="preserve">我方承诺，与买方聘请的为此项目提供咨询服务的公司及任何附属机构均无关联，我方不是买方的附属机构。 </w:t>
      </w:r>
    </w:p>
    <w:p>
      <w:pPr>
        <w:widowControl w:val="0"/>
        <w:numPr>
          <w:ilvl w:val="0"/>
          <w:numId w:val="10"/>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我方承诺，我方具备《中华人民共和国政府采购法》第二十二条资格条件，已清楚磋商文件所有要求及有关规定；并承诺参加本次政府采购活动中，如有违法、违规、弄虚作假行为，所造成的损失、不良后果及法律责任，一律由我方承担；</w:t>
      </w:r>
    </w:p>
    <w:p>
      <w:pPr>
        <w:widowControl w:val="0"/>
        <w:numPr>
          <w:ilvl w:val="0"/>
          <w:numId w:val="10"/>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我方同意提供按照贵方可能要求的与其磋商有关的一切数据或资料。</w:t>
      </w:r>
    </w:p>
    <w:p>
      <w:pPr>
        <w:widowControl w:val="0"/>
        <w:numPr>
          <w:ilvl w:val="0"/>
          <w:numId w:val="10"/>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与本磋商有关的一切正式信函请寄：</w:t>
      </w: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r>
        <w:rPr>
          <w:rFonts w:hint="eastAsia" w:ascii="宋体" w:hAnsi="宋体" w:eastAsia="宋体"/>
          <w:sz w:val="21"/>
          <w:szCs w:val="21"/>
        </w:rPr>
        <w:t>地址：　　　　　　　　　　　　　　　　　　　传真：</w:t>
      </w:r>
    </w:p>
    <w:p>
      <w:pPr>
        <w:spacing w:after="0" w:line="360" w:lineRule="auto"/>
        <w:rPr>
          <w:rFonts w:ascii="宋体" w:hAnsi="宋体" w:eastAsia="宋体"/>
          <w:sz w:val="21"/>
          <w:szCs w:val="21"/>
        </w:rPr>
      </w:pPr>
      <w:r>
        <w:rPr>
          <w:rFonts w:hint="eastAsia" w:ascii="宋体" w:hAnsi="宋体" w:eastAsia="宋体"/>
          <w:sz w:val="21"/>
          <w:szCs w:val="21"/>
        </w:rPr>
        <w:t>电话/移动电话：　　　　　　　　　　　　　　　电子函件：</w:t>
      </w:r>
    </w:p>
    <w:p>
      <w:pPr>
        <w:spacing w:after="0" w:line="360" w:lineRule="auto"/>
        <w:rPr>
          <w:rFonts w:ascii="宋体" w:hAnsi="宋体" w:eastAsia="宋体"/>
          <w:sz w:val="21"/>
          <w:szCs w:val="21"/>
        </w:rPr>
      </w:pPr>
      <w:r>
        <w:rPr>
          <w:rFonts w:hint="eastAsia" w:ascii="宋体" w:hAnsi="宋体" w:eastAsia="宋体"/>
          <w:sz w:val="21"/>
          <w:szCs w:val="21"/>
        </w:rPr>
        <w:t xml:space="preserve">供应商代表签字： </w:t>
      </w:r>
    </w:p>
    <w:p>
      <w:pPr>
        <w:spacing w:after="0" w:line="360" w:lineRule="auto"/>
        <w:rPr>
          <w:rFonts w:ascii="宋体" w:hAnsi="宋体" w:eastAsia="宋体"/>
          <w:sz w:val="21"/>
          <w:szCs w:val="21"/>
        </w:rPr>
      </w:pPr>
      <w:r>
        <w:rPr>
          <w:rFonts w:hint="eastAsia" w:ascii="宋体" w:hAnsi="宋体" w:eastAsia="宋体"/>
          <w:sz w:val="21"/>
          <w:szCs w:val="21"/>
        </w:rPr>
        <w:t xml:space="preserve">供应商名称（全称）： </w:t>
      </w:r>
    </w:p>
    <w:p>
      <w:pPr>
        <w:spacing w:after="0" w:line="360" w:lineRule="auto"/>
        <w:rPr>
          <w:rFonts w:ascii="宋体" w:hAnsi="宋体" w:eastAsia="宋体"/>
          <w:sz w:val="21"/>
          <w:szCs w:val="21"/>
        </w:rPr>
      </w:pPr>
      <w:r>
        <w:rPr>
          <w:rFonts w:hint="eastAsia" w:ascii="宋体" w:hAnsi="宋体" w:eastAsia="宋体"/>
          <w:sz w:val="21"/>
          <w:szCs w:val="21"/>
        </w:rPr>
        <w:t xml:space="preserve">供应商盖章： </w:t>
      </w:r>
    </w:p>
    <w:p>
      <w:pPr>
        <w:spacing w:after="0" w:line="360" w:lineRule="auto"/>
        <w:rPr>
          <w:rFonts w:ascii="宋体" w:hAnsi="宋体" w:eastAsia="宋体"/>
          <w:sz w:val="21"/>
          <w:szCs w:val="21"/>
        </w:rPr>
      </w:pPr>
      <w:r>
        <w:rPr>
          <w:rFonts w:hint="eastAsia" w:ascii="宋体" w:hAnsi="宋体" w:eastAsia="宋体"/>
          <w:sz w:val="21"/>
          <w:szCs w:val="21"/>
        </w:rPr>
        <w:t>供应商开户银行（全称）：</w:t>
      </w:r>
    </w:p>
    <w:p>
      <w:pPr>
        <w:spacing w:after="0" w:line="360" w:lineRule="auto"/>
        <w:rPr>
          <w:rFonts w:ascii="宋体" w:hAnsi="宋体" w:eastAsia="宋体"/>
          <w:sz w:val="21"/>
          <w:szCs w:val="21"/>
        </w:rPr>
      </w:pPr>
      <w:r>
        <w:rPr>
          <w:rFonts w:hint="eastAsia" w:ascii="宋体" w:hAnsi="宋体" w:eastAsia="宋体"/>
          <w:sz w:val="21"/>
          <w:szCs w:val="21"/>
        </w:rPr>
        <w:t>供应商银行账号：</w:t>
      </w:r>
    </w:p>
    <w:p>
      <w:pPr>
        <w:spacing w:after="0" w:line="360" w:lineRule="auto"/>
        <w:rPr>
          <w:rFonts w:ascii="宋体" w:hAnsi="宋体" w:eastAsia="宋体"/>
          <w:sz w:val="21"/>
          <w:szCs w:val="21"/>
        </w:rPr>
      </w:pPr>
      <w:r>
        <w:rPr>
          <w:rFonts w:hint="eastAsia" w:ascii="宋体" w:hAnsi="宋体" w:eastAsia="宋体"/>
          <w:sz w:val="21"/>
          <w:szCs w:val="21"/>
        </w:rPr>
        <w:t>日期：</w:t>
      </w:r>
    </w:p>
    <w:p>
      <w:pPr>
        <w:pStyle w:val="7"/>
        <w:widowControl w:val="0"/>
        <w:overflowPunct w:val="0"/>
        <w:spacing w:before="0" w:after="0" w:line="240" w:lineRule="auto"/>
        <w:rPr>
          <w:rFonts w:ascii="宋体" w:hAnsi="宋体" w:eastAsia="宋体"/>
          <w:sz w:val="21"/>
          <w:szCs w:val="21"/>
        </w:rPr>
      </w:pPr>
      <w:bookmarkStart w:id="145" w:name="_Toc16183"/>
      <w:r>
        <w:rPr>
          <w:rFonts w:hint="eastAsia" w:ascii="宋体" w:hAnsi="宋体" w:eastAsia="宋体"/>
          <w:sz w:val="21"/>
          <w:szCs w:val="21"/>
        </w:rPr>
        <w:t>附件3.报价一览表格式</w:t>
      </w:r>
      <w:bookmarkEnd w:id="145"/>
    </w:p>
    <w:p>
      <w:pPr>
        <w:jc w:val="center"/>
        <w:rPr>
          <w:rFonts w:ascii="黑体" w:eastAsia="黑体"/>
          <w:sz w:val="32"/>
          <w:szCs w:val="32"/>
        </w:rPr>
      </w:pPr>
      <w:r>
        <w:rPr>
          <w:rFonts w:hint="eastAsia" w:ascii="黑体" w:eastAsia="黑体"/>
          <w:sz w:val="32"/>
          <w:szCs w:val="32"/>
        </w:rPr>
        <w:t>报价一览表</w:t>
      </w:r>
    </w:p>
    <w:p>
      <w:pPr>
        <w:spacing w:line="360" w:lineRule="auto"/>
      </w:pPr>
    </w:p>
    <w:p>
      <w:pPr>
        <w:spacing w:after="0" w:line="360" w:lineRule="auto"/>
        <w:rPr>
          <w:rFonts w:ascii="宋体" w:hAnsi="宋体" w:eastAsia="宋体"/>
          <w:sz w:val="21"/>
          <w:szCs w:val="21"/>
        </w:rPr>
      </w:pPr>
      <w:r>
        <w:rPr>
          <w:rFonts w:hint="eastAsia" w:ascii="宋体" w:hAnsi="宋体" w:eastAsia="宋体"/>
          <w:sz w:val="21"/>
          <w:szCs w:val="21"/>
        </w:rPr>
        <w:t>供应商名称：</w:t>
      </w:r>
    </w:p>
    <w:p>
      <w:pPr>
        <w:spacing w:after="0" w:line="360" w:lineRule="auto"/>
        <w:rPr>
          <w:rFonts w:ascii="宋体" w:hAnsi="宋体" w:eastAsia="宋体"/>
          <w:sz w:val="21"/>
          <w:szCs w:val="21"/>
        </w:rPr>
      </w:pPr>
      <w:r>
        <w:rPr>
          <w:rFonts w:hint="eastAsia" w:ascii="宋体" w:hAnsi="宋体" w:eastAsia="宋体"/>
          <w:sz w:val="21"/>
          <w:szCs w:val="21"/>
        </w:rPr>
        <w:t>项目编号：</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2901"/>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97" w:type="pct"/>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r>
              <w:rPr>
                <w:rFonts w:hint="eastAsia" w:ascii="宋体" w:hAnsi="宋体" w:eastAsia="宋体"/>
                <w:sz w:val="21"/>
                <w:szCs w:val="21"/>
              </w:rPr>
              <w:t>项目名称</w:t>
            </w:r>
          </w:p>
        </w:tc>
        <w:tc>
          <w:tcPr>
            <w:tcW w:w="1702" w:type="pct"/>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r>
              <w:rPr>
                <w:rFonts w:hint="eastAsia" w:ascii="宋体" w:hAnsi="宋体" w:eastAsia="宋体"/>
                <w:sz w:val="21"/>
                <w:szCs w:val="21"/>
              </w:rPr>
              <w:t>总报价</w:t>
            </w:r>
          </w:p>
        </w:tc>
        <w:tc>
          <w:tcPr>
            <w:tcW w:w="1799" w:type="pct"/>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97" w:type="pct"/>
            <w:vMerge w:val="restart"/>
          </w:tcPr>
          <w:p>
            <w:pPr>
              <w:spacing w:after="0" w:line="360" w:lineRule="auto"/>
              <w:rPr>
                <w:rFonts w:ascii="宋体" w:hAnsi="宋体" w:eastAsia="宋体"/>
                <w:sz w:val="21"/>
                <w:szCs w:val="21"/>
              </w:rPr>
            </w:pPr>
            <w:r>
              <w:rPr>
                <w:rFonts w:hint="eastAsia" w:ascii="宋体" w:hAnsi="宋体" w:eastAsia="宋体"/>
                <w:sz w:val="21"/>
                <w:szCs w:val="21"/>
              </w:rPr>
              <w:t>水乡城资除“四害”生物防制服务项目</w:t>
            </w:r>
          </w:p>
        </w:tc>
        <w:tc>
          <w:tcPr>
            <w:tcW w:w="1702" w:type="pct"/>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sz w:val="21"/>
                <w:szCs w:val="21"/>
              </w:rPr>
            </w:pPr>
            <w:r>
              <w:rPr>
                <w:rFonts w:hint="eastAsia" w:ascii="宋体" w:hAnsi="宋体" w:eastAsia="宋体"/>
                <w:sz w:val="21"/>
                <w:szCs w:val="21"/>
              </w:rPr>
              <w:t>小写：</w:t>
            </w:r>
          </w:p>
        </w:tc>
        <w:tc>
          <w:tcPr>
            <w:tcW w:w="1799" w:type="pct"/>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97" w:type="pct"/>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pPr>
          </w:p>
        </w:tc>
        <w:tc>
          <w:tcPr>
            <w:tcW w:w="1702" w:type="pct"/>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sz w:val="21"/>
                <w:szCs w:val="21"/>
              </w:rPr>
            </w:pPr>
            <w:r>
              <w:rPr>
                <w:rFonts w:hint="eastAsia" w:ascii="宋体" w:hAnsi="宋体" w:eastAsia="宋体"/>
                <w:sz w:val="21"/>
                <w:szCs w:val="21"/>
              </w:rPr>
              <w:t>大写：</w:t>
            </w:r>
          </w:p>
        </w:tc>
        <w:tc>
          <w:tcPr>
            <w:tcW w:w="1799" w:type="pct"/>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sz w:val="21"/>
                <w:szCs w:val="21"/>
              </w:rPr>
            </w:pPr>
          </w:p>
        </w:tc>
      </w:tr>
    </w:tbl>
    <w:p>
      <w:pPr>
        <w:spacing w:after="0" w:line="360" w:lineRule="auto"/>
        <w:rPr>
          <w:rFonts w:ascii="宋体" w:hAnsi="宋体" w:eastAsia="宋体"/>
          <w:sz w:val="21"/>
          <w:szCs w:val="21"/>
        </w:rPr>
      </w:pPr>
      <w:r>
        <w:rPr>
          <w:rFonts w:hint="eastAsia" w:ascii="宋体" w:hAnsi="宋体" w:eastAsia="宋体"/>
          <w:sz w:val="21"/>
          <w:szCs w:val="21"/>
        </w:rPr>
        <w:t>注：本报价为含税价。</w:t>
      </w:r>
    </w:p>
    <w:p>
      <w:pPr>
        <w:spacing w:after="0" w:line="360" w:lineRule="auto"/>
        <w:ind w:firstLine="359" w:firstLineChars="171"/>
        <w:rPr>
          <w:rFonts w:ascii="宋体" w:hAnsi="宋体" w:eastAsia="宋体"/>
          <w:sz w:val="21"/>
          <w:szCs w:val="21"/>
        </w:rPr>
      </w:pPr>
    </w:p>
    <w:p>
      <w:pPr>
        <w:spacing w:after="0" w:line="360" w:lineRule="auto"/>
        <w:ind w:firstLine="359" w:firstLineChars="171"/>
        <w:rPr>
          <w:rFonts w:ascii="宋体" w:hAnsi="宋体" w:eastAsia="宋体"/>
          <w:sz w:val="21"/>
          <w:szCs w:val="21"/>
        </w:rPr>
      </w:pPr>
      <w:r>
        <w:rPr>
          <w:rFonts w:hint="eastAsia" w:ascii="宋体" w:hAnsi="宋体" w:eastAsia="宋体"/>
          <w:sz w:val="21"/>
          <w:szCs w:val="21"/>
        </w:rPr>
        <w:t>供应商代表签字：</w:t>
      </w:r>
    </w:p>
    <w:p>
      <w:pPr>
        <w:spacing w:after="0" w:line="360" w:lineRule="auto"/>
        <w:ind w:firstLine="359" w:firstLineChars="171"/>
        <w:rPr>
          <w:rFonts w:ascii="宋体" w:hAnsi="宋体" w:eastAsia="宋体"/>
          <w:sz w:val="21"/>
          <w:szCs w:val="21"/>
        </w:rPr>
      </w:pPr>
      <w:r>
        <w:rPr>
          <w:rFonts w:hint="eastAsia" w:ascii="宋体" w:hAnsi="宋体" w:eastAsia="宋体"/>
          <w:sz w:val="21"/>
          <w:szCs w:val="21"/>
        </w:rPr>
        <w:t>供应商盖章：</w:t>
      </w:r>
    </w:p>
    <w:p>
      <w:pPr>
        <w:spacing w:after="0" w:line="360" w:lineRule="auto"/>
        <w:ind w:firstLine="359" w:firstLineChars="171"/>
        <w:rPr>
          <w:rFonts w:ascii="宋体" w:hAnsi="宋体" w:eastAsia="宋体"/>
          <w:sz w:val="21"/>
          <w:szCs w:val="21"/>
        </w:rPr>
      </w:pPr>
      <w:r>
        <w:rPr>
          <w:rFonts w:hint="eastAsia" w:ascii="宋体" w:hAnsi="宋体" w:eastAsia="宋体"/>
          <w:sz w:val="21"/>
          <w:szCs w:val="21"/>
        </w:rPr>
        <w:t>日期：</w:t>
      </w:r>
    </w:p>
    <w:p>
      <w:pPr>
        <w:spacing w:after="0" w:line="360" w:lineRule="auto"/>
        <w:ind w:firstLine="359" w:firstLineChars="171"/>
        <w:rPr>
          <w:rFonts w:ascii="宋体" w:hAnsi="宋体" w:eastAsia="宋体"/>
          <w:sz w:val="21"/>
          <w:szCs w:val="21"/>
        </w:rPr>
      </w:pPr>
    </w:p>
    <w:p>
      <w:pPr>
        <w:spacing w:after="0" w:line="360" w:lineRule="auto"/>
        <w:ind w:left="391" w:hanging="390" w:hangingChars="186"/>
        <w:rPr>
          <w:rFonts w:ascii="宋体" w:hAnsi="宋体" w:eastAsia="宋体"/>
          <w:sz w:val="21"/>
          <w:szCs w:val="21"/>
        </w:rPr>
      </w:pPr>
      <w:r>
        <w:rPr>
          <w:rFonts w:hint="eastAsia" w:ascii="宋体" w:hAnsi="宋体" w:eastAsia="宋体"/>
          <w:sz w:val="21"/>
          <w:szCs w:val="21"/>
        </w:rPr>
        <w:t xml:space="preserve">       注：1、总报价栏须</w:t>
      </w:r>
      <w:r>
        <w:rPr>
          <w:rFonts w:ascii="宋体" w:hAnsi="宋体" w:eastAsia="宋体"/>
          <w:sz w:val="21"/>
          <w:szCs w:val="21"/>
        </w:rPr>
        <w:t>用</w:t>
      </w:r>
      <w:r>
        <w:rPr>
          <w:rFonts w:hint="eastAsia" w:ascii="宋体" w:hAnsi="宋体" w:eastAsia="宋体"/>
          <w:sz w:val="21"/>
          <w:szCs w:val="21"/>
        </w:rPr>
        <w:t>大写金额和小写金额两种方式</w:t>
      </w:r>
      <w:r>
        <w:rPr>
          <w:rFonts w:ascii="宋体" w:hAnsi="宋体" w:eastAsia="宋体"/>
          <w:sz w:val="21"/>
          <w:szCs w:val="21"/>
        </w:rPr>
        <w:t>表示的总</w:t>
      </w:r>
      <w:r>
        <w:rPr>
          <w:rFonts w:hint="eastAsia" w:ascii="宋体" w:hAnsi="宋体" w:eastAsia="宋体"/>
          <w:sz w:val="21"/>
          <w:szCs w:val="21"/>
        </w:rPr>
        <w:t>报</w:t>
      </w:r>
      <w:r>
        <w:rPr>
          <w:rFonts w:ascii="宋体" w:hAnsi="宋体" w:eastAsia="宋体"/>
          <w:sz w:val="21"/>
          <w:szCs w:val="21"/>
        </w:rPr>
        <w:t>价</w:t>
      </w:r>
      <w:r>
        <w:rPr>
          <w:rFonts w:hint="eastAsia" w:ascii="宋体" w:hAnsi="宋体" w:eastAsia="宋体"/>
          <w:sz w:val="21"/>
          <w:szCs w:val="21"/>
        </w:rPr>
        <w:t>，报价保留小数点后两位。总报价大小写不一致，以大写为准。总报价必须准确唯一且应包含磋商文件要求的所有费用。</w:t>
      </w:r>
    </w:p>
    <w:p>
      <w:pPr>
        <w:spacing w:after="0" w:line="360" w:lineRule="auto"/>
        <w:ind w:left="374" w:leftChars="170" w:firstLine="359" w:firstLineChars="171"/>
        <w:rPr>
          <w:rFonts w:ascii="宋体" w:hAnsi="宋体" w:eastAsia="宋体"/>
          <w:sz w:val="21"/>
          <w:szCs w:val="21"/>
        </w:rPr>
      </w:pPr>
      <w:r>
        <w:rPr>
          <w:rFonts w:hint="eastAsia" w:ascii="宋体" w:hAnsi="宋体" w:eastAsia="宋体"/>
          <w:sz w:val="21"/>
          <w:szCs w:val="21"/>
        </w:rPr>
        <w:t>2、此表应按供应商须知的规定密封标记并与法人代表证明书、法定代表人授权书（法人响应无需提交授权书）一同密封提交。还须包括并不限于：投标保证金支付凭证银行汇款底单和响应保证金汇入情况说明。</w:t>
      </w:r>
    </w:p>
    <w:p>
      <w:pPr>
        <w:spacing w:after="0" w:line="360" w:lineRule="auto"/>
        <w:ind w:left="374" w:leftChars="170" w:firstLine="359" w:firstLineChars="171"/>
        <w:rPr>
          <w:rFonts w:ascii="宋体" w:hAnsi="宋体" w:eastAsia="宋体"/>
          <w:sz w:val="21"/>
          <w:szCs w:val="21"/>
        </w:rPr>
      </w:pPr>
      <w:r>
        <w:rPr>
          <w:rFonts w:hint="eastAsia" w:ascii="宋体" w:hAnsi="宋体" w:eastAsia="宋体"/>
          <w:sz w:val="21"/>
          <w:szCs w:val="21"/>
        </w:rPr>
        <w:t>3、未按磋商文件要求报价、填写报价一览表是导致供应商废标的常见问题，请供应商仔细填写，认真核对。</w:t>
      </w:r>
    </w:p>
    <w:p>
      <w:pPr>
        <w:adjustRightInd/>
        <w:snapToGrid/>
        <w:spacing w:line="276" w:lineRule="auto"/>
      </w:pPr>
    </w:p>
    <w:p>
      <w:pPr>
        <w:adjustRightInd/>
        <w:snapToGrid/>
        <w:spacing w:line="276" w:lineRule="auto"/>
      </w:pPr>
      <w:r>
        <w:br w:type="page"/>
      </w:r>
    </w:p>
    <w:p>
      <w:pPr>
        <w:pStyle w:val="7"/>
        <w:widowControl w:val="0"/>
        <w:overflowPunct w:val="0"/>
        <w:spacing w:before="0" w:after="0" w:line="240" w:lineRule="auto"/>
        <w:rPr>
          <w:rFonts w:ascii="宋体" w:hAnsi="宋体" w:eastAsia="宋体"/>
          <w:sz w:val="21"/>
          <w:szCs w:val="21"/>
        </w:rPr>
      </w:pPr>
      <w:bookmarkStart w:id="146" w:name="_Toc29307"/>
      <w:r>
        <w:rPr>
          <w:rFonts w:hint="eastAsia" w:ascii="宋体" w:hAnsi="宋体" w:eastAsia="宋体"/>
          <w:sz w:val="21"/>
          <w:szCs w:val="21"/>
        </w:rPr>
        <w:t>附件4.</w:t>
      </w:r>
      <w:r>
        <w:rPr>
          <w:rFonts w:hint="eastAsia" w:ascii="宋体" w:hAnsi="宋体" w:eastAsia="宋体" w:cs="Times New Roman"/>
          <w:sz w:val="21"/>
          <w:szCs w:val="21"/>
        </w:rPr>
        <w:t>分项报价表格式</w:t>
      </w:r>
      <w:bookmarkEnd w:id="146"/>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分项报价表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375"/>
        <w:gridCol w:w="1916"/>
        <w:gridCol w:w="1050"/>
        <w:gridCol w:w="1103"/>
        <w:gridCol w:w="1183"/>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79" w:type="pct"/>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序号</w:t>
            </w:r>
          </w:p>
        </w:tc>
        <w:tc>
          <w:tcPr>
            <w:tcW w:w="807" w:type="pct"/>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分项名称</w:t>
            </w:r>
          </w:p>
        </w:tc>
        <w:tc>
          <w:tcPr>
            <w:tcW w:w="1124" w:type="pct"/>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分项内容</w:t>
            </w:r>
          </w:p>
        </w:tc>
        <w:tc>
          <w:tcPr>
            <w:tcW w:w="616" w:type="pct"/>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数量</w:t>
            </w:r>
          </w:p>
        </w:tc>
        <w:tc>
          <w:tcPr>
            <w:tcW w:w="645" w:type="pct"/>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单价</w:t>
            </w:r>
          </w:p>
        </w:tc>
        <w:tc>
          <w:tcPr>
            <w:tcW w:w="694" w:type="pct"/>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总价</w:t>
            </w:r>
          </w:p>
        </w:tc>
        <w:tc>
          <w:tcPr>
            <w:tcW w:w="632" w:type="pct"/>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79" w:type="pct"/>
            <w:vAlign w:val="center"/>
          </w:tcPr>
          <w:p>
            <w:pPr>
              <w:widowControl w:val="0"/>
              <w:adjustRightInd/>
              <w:snapToGrid/>
              <w:spacing w:before="100" w:beforeAutospacing="1" w:after="100" w:afterAutospacing="1"/>
              <w:jc w:val="center"/>
              <w:rPr>
                <w:rFonts w:ascii="宋体" w:hAnsi="宋体" w:eastAsia="宋体"/>
                <w:sz w:val="21"/>
                <w:szCs w:val="21"/>
              </w:rPr>
            </w:pPr>
            <w:r>
              <w:rPr>
                <w:rFonts w:hint="eastAsia" w:ascii="宋体" w:hAnsi="宋体" w:eastAsia="宋体"/>
                <w:sz w:val="21"/>
                <w:szCs w:val="21"/>
              </w:rPr>
              <w:t>1</w:t>
            </w:r>
          </w:p>
        </w:tc>
        <w:tc>
          <w:tcPr>
            <w:tcW w:w="807" w:type="pct"/>
            <w:vAlign w:val="center"/>
          </w:tcPr>
          <w:p>
            <w:pPr>
              <w:spacing w:before="100" w:beforeAutospacing="1" w:after="100" w:afterAutospacing="1"/>
              <w:rPr>
                <w:rFonts w:ascii="宋体" w:hAnsi="宋体" w:eastAsia="宋体"/>
                <w:sz w:val="21"/>
                <w:szCs w:val="21"/>
              </w:rPr>
            </w:pPr>
          </w:p>
        </w:tc>
        <w:tc>
          <w:tcPr>
            <w:tcW w:w="1124" w:type="pct"/>
            <w:vAlign w:val="center"/>
          </w:tcPr>
          <w:p>
            <w:pPr>
              <w:spacing w:before="100" w:beforeAutospacing="1" w:after="100" w:afterAutospacing="1"/>
              <w:jc w:val="center"/>
              <w:rPr>
                <w:rFonts w:ascii="宋体" w:hAnsi="宋体" w:eastAsia="宋体"/>
                <w:sz w:val="21"/>
                <w:szCs w:val="21"/>
              </w:rPr>
            </w:pPr>
          </w:p>
        </w:tc>
        <w:tc>
          <w:tcPr>
            <w:tcW w:w="616" w:type="pct"/>
            <w:vAlign w:val="center"/>
          </w:tcPr>
          <w:p>
            <w:pPr>
              <w:spacing w:before="100" w:beforeAutospacing="1" w:after="100" w:afterAutospacing="1"/>
              <w:jc w:val="center"/>
              <w:rPr>
                <w:rFonts w:ascii="宋体" w:hAnsi="宋体" w:eastAsia="宋体"/>
                <w:sz w:val="21"/>
                <w:szCs w:val="21"/>
              </w:rPr>
            </w:pPr>
          </w:p>
        </w:tc>
        <w:tc>
          <w:tcPr>
            <w:tcW w:w="645" w:type="pct"/>
            <w:vAlign w:val="center"/>
          </w:tcPr>
          <w:p>
            <w:pPr>
              <w:spacing w:before="100" w:beforeAutospacing="1" w:after="100" w:afterAutospacing="1"/>
              <w:jc w:val="center"/>
              <w:rPr>
                <w:rFonts w:ascii="宋体" w:hAnsi="宋体" w:eastAsia="宋体"/>
                <w:sz w:val="21"/>
                <w:szCs w:val="21"/>
              </w:rPr>
            </w:pPr>
          </w:p>
        </w:tc>
        <w:tc>
          <w:tcPr>
            <w:tcW w:w="694" w:type="pct"/>
            <w:vAlign w:val="center"/>
          </w:tcPr>
          <w:p>
            <w:pPr>
              <w:spacing w:before="100" w:beforeAutospacing="1" w:after="100" w:afterAutospacing="1"/>
              <w:jc w:val="center"/>
              <w:rPr>
                <w:rFonts w:ascii="宋体" w:hAnsi="宋体" w:eastAsia="宋体"/>
                <w:sz w:val="21"/>
                <w:szCs w:val="21"/>
              </w:rPr>
            </w:pPr>
          </w:p>
        </w:tc>
        <w:tc>
          <w:tcPr>
            <w:tcW w:w="632" w:type="pct"/>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79" w:type="pct"/>
            <w:vAlign w:val="center"/>
          </w:tcPr>
          <w:p>
            <w:pPr>
              <w:widowControl w:val="0"/>
              <w:adjustRightInd/>
              <w:snapToGrid/>
              <w:spacing w:before="100" w:beforeAutospacing="1" w:after="100" w:afterAutospacing="1"/>
              <w:jc w:val="center"/>
              <w:rPr>
                <w:rFonts w:ascii="宋体" w:hAnsi="宋体" w:eastAsia="宋体"/>
                <w:sz w:val="21"/>
                <w:szCs w:val="21"/>
              </w:rPr>
            </w:pPr>
            <w:r>
              <w:rPr>
                <w:rFonts w:hint="eastAsia" w:ascii="宋体" w:hAnsi="宋体" w:eastAsia="宋体"/>
                <w:sz w:val="21"/>
                <w:szCs w:val="21"/>
              </w:rPr>
              <w:t>2</w:t>
            </w:r>
          </w:p>
        </w:tc>
        <w:tc>
          <w:tcPr>
            <w:tcW w:w="807" w:type="pct"/>
            <w:vAlign w:val="center"/>
          </w:tcPr>
          <w:p>
            <w:pPr>
              <w:spacing w:before="100" w:beforeAutospacing="1" w:after="100" w:afterAutospacing="1"/>
              <w:rPr>
                <w:rFonts w:ascii="宋体" w:hAnsi="宋体" w:eastAsia="宋体"/>
                <w:sz w:val="21"/>
                <w:szCs w:val="21"/>
              </w:rPr>
            </w:pPr>
          </w:p>
        </w:tc>
        <w:tc>
          <w:tcPr>
            <w:tcW w:w="1124" w:type="pct"/>
            <w:vAlign w:val="center"/>
          </w:tcPr>
          <w:p>
            <w:pPr>
              <w:spacing w:before="100" w:beforeAutospacing="1" w:after="100" w:afterAutospacing="1"/>
              <w:jc w:val="center"/>
              <w:rPr>
                <w:rFonts w:ascii="宋体" w:hAnsi="宋体" w:eastAsia="宋体"/>
                <w:sz w:val="21"/>
                <w:szCs w:val="21"/>
              </w:rPr>
            </w:pPr>
          </w:p>
        </w:tc>
        <w:tc>
          <w:tcPr>
            <w:tcW w:w="616" w:type="pct"/>
            <w:vAlign w:val="center"/>
          </w:tcPr>
          <w:p>
            <w:pPr>
              <w:spacing w:before="100" w:beforeAutospacing="1" w:after="100" w:afterAutospacing="1"/>
              <w:jc w:val="center"/>
              <w:rPr>
                <w:rFonts w:ascii="宋体" w:hAnsi="宋体" w:eastAsia="宋体"/>
                <w:sz w:val="21"/>
                <w:szCs w:val="21"/>
              </w:rPr>
            </w:pPr>
          </w:p>
        </w:tc>
        <w:tc>
          <w:tcPr>
            <w:tcW w:w="645" w:type="pct"/>
            <w:vAlign w:val="center"/>
          </w:tcPr>
          <w:p>
            <w:pPr>
              <w:spacing w:before="100" w:beforeAutospacing="1" w:after="100" w:afterAutospacing="1"/>
              <w:jc w:val="center"/>
              <w:rPr>
                <w:rFonts w:ascii="宋体" w:hAnsi="宋体" w:eastAsia="宋体"/>
                <w:sz w:val="21"/>
                <w:szCs w:val="21"/>
              </w:rPr>
            </w:pPr>
          </w:p>
        </w:tc>
        <w:tc>
          <w:tcPr>
            <w:tcW w:w="694" w:type="pct"/>
            <w:vAlign w:val="center"/>
          </w:tcPr>
          <w:p>
            <w:pPr>
              <w:spacing w:before="100" w:beforeAutospacing="1" w:after="100" w:afterAutospacing="1"/>
              <w:jc w:val="center"/>
              <w:rPr>
                <w:rFonts w:ascii="宋体" w:hAnsi="宋体" w:eastAsia="宋体"/>
                <w:sz w:val="21"/>
                <w:szCs w:val="21"/>
              </w:rPr>
            </w:pPr>
          </w:p>
        </w:tc>
        <w:tc>
          <w:tcPr>
            <w:tcW w:w="632" w:type="pct"/>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79" w:type="pct"/>
            <w:vAlign w:val="center"/>
          </w:tcPr>
          <w:p>
            <w:pPr>
              <w:widowControl w:val="0"/>
              <w:adjustRightInd/>
              <w:snapToGrid/>
              <w:spacing w:before="100" w:beforeAutospacing="1" w:after="100" w:afterAutospacing="1"/>
              <w:jc w:val="center"/>
              <w:rPr>
                <w:rFonts w:ascii="宋体" w:hAnsi="宋体" w:eastAsia="宋体"/>
                <w:sz w:val="21"/>
                <w:szCs w:val="21"/>
              </w:rPr>
            </w:pPr>
            <w:r>
              <w:rPr>
                <w:rFonts w:hint="eastAsia" w:ascii="宋体" w:hAnsi="宋体" w:eastAsia="宋体"/>
                <w:sz w:val="21"/>
                <w:szCs w:val="21"/>
              </w:rPr>
              <w:t>3</w:t>
            </w:r>
          </w:p>
        </w:tc>
        <w:tc>
          <w:tcPr>
            <w:tcW w:w="807" w:type="pct"/>
            <w:vAlign w:val="center"/>
          </w:tcPr>
          <w:p>
            <w:pPr>
              <w:spacing w:before="100" w:beforeAutospacing="1" w:after="100" w:afterAutospacing="1"/>
              <w:rPr>
                <w:rFonts w:ascii="宋体" w:hAnsi="宋体" w:eastAsia="宋体"/>
                <w:sz w:val="21"/>
                <w:szCs w:val="21"/>
              </w:rPr>
            </w:pPr>
          </w:p>
        </w:tc>
        <w:tc>
          <w:tcPr>
            <w:tcW w:w="1124" w:type="pct"/>
            <w:vAlign w:val="center"/>
          </w:tcPr>
          <w:p>
            <w:pPr>
              <w:spacing w:before="100" w:beforeAutospacing="1" w:after="100" w:afterAutospacing="1"/>
              <w:jc w:val="center"/>
              <w:rPr>
                <w:rFonts w:ascii="宋体" w:hAnsi="宋体" w:eastAsia="宋体"/>
                <w:sz w:val="21"/>
                <w:szCs w:val="21"/>
              </w:rPr>
            </w:pPr>
          </w:p>
        </w:tc>
        <w:tc>
          <w:tcPr>
            <w:tcW w:w="616" w:type="pct"/>
            <w:vAlign w:val="center"/>
          </w:tcPr>
          <w:p>
            <w:pPr>
              <w:spacing w:before="100" w:beforeAutospacing="1" w:after="100" w:afterAutospacing="1"/>
              <w:jc w:val="center"/>
              <w:rPr>
                <w:rFonts w:ascii="宋体" w:hAnsi="宋体" w:eastAsia="宋体"/>
                <w:sz w:val="21"/>
                <w:szCs w:val="21"/>
              </w:rPr>
            </w:pPr>
          </w:p>
        </w:tc>
        <w:tc>
          <w:tcPr>
            <w:tcW w:w="645" w:type="pct"/>
            <w:vAlign w:val="center"/>
          </w:tcPr>
          <w:p>
            <w:pPr>
              <w:spacing w:before="100" w:beforeAutospacing="1" w:after="100" w:afterAutospacing="1"/>
              <w:jc w:val="center"/>
              <w:rPr>
                <w:rFonts w:ascii="宋体" w:hAnsi="宋体" w:eastAsia="宋体"/>
                <w:sz w:val="21"/>
                <w:szCs w:val="21"/>
              </w:rPr>
            </w:pPr>
          </w:p>
        </w:tc>
        <w:tc>
          <w:tcPr>
            <w:tcW w:w="694" w:type="pct"/>
            <w:vAlign w:val="center"/>
          </w:tcPr>
          <w:p>
            <w:pPr>
              <w:spacing w:before="100" w:beforeAutospacing="1" w:after="100" w:afterAutospacing="1"/>
              <w:jc w:val="center"/>
              <w:rPr>
                <w:rFonts w:ascii="宋体" w:hAnsi="宋体" w:eastAsia="宋体"/>
                <w:sz w:val="21"/>
                <w:szCs w:val="21"/>
              </w:rPr>
            </w:pPr>
          </w:p>
        </w:tc>
        <w:tc>
          <w:tcPr>
            <w:tcW w:w="632" w:type="pct"/>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673" w:type="pct"/>
            <w:gridSpan w:val="5"/>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总价</w:t>
            </w:r>
          </w:p>
        </w:tc>
        <w:tc>
          <w:tcPr>
            <w:tcW w:w="1326" w:type="pct"/>
            <w:gridSpan w:val="2"/>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5000" w:type="pct"/>
            <w:gridSpan w:val="7"/>
            <w:vAlign w:val="center"/>
          </w:tcPr>
          <w:p>
            <w:pPr>
              <w:spacing w:after="0"/>
              <w:rPr>
                <w:rFonts w:ascii="宋体" w:hAnsi="宋体" w:eastAsia="宋体"/>
                <w:sz w:val="21"/>
                <w:szCs w:val="21"/>
              </w:rPr>
            </w:pPr>
            <w:r>
              <w:rPr>
                <w:rFonts w:hint="eastAsia" w:ascii="宋体" w:hAnsi="宋体" w:eastAsia="宋体"/>
                <w:sz w:val="21"/>
                <w:szCs w:val="21"/>
              </w:rPr>
              <w:t>供应商代表签字：</w:t>
            </w:r>
          </w:p>
          <w:p>
            <w:pPr>
              <w:spacing w:after="0"/>
              <w:rPr>
                <w:rFonts w:ascii="宋体" w:hAnsi="宋体" w:eastAsia="宋体"/>
                <w:sz w:val="21"/>
                <w:szCs w:val="21"/>
              </w:rPr>
            </w:pPr>
            <w:r>
              <w:rPr>
                <w:rFonts w:hint="eastAsia" w:ascii="宋体" w:hAnsi="宋体" w:eastAsia="宋体"/>
                <w:sz w:val="21"/>
                <w:szCs w:val="21"/>
              </w:rPr>
              <w:t>供应商盖章：</w:t>
            </w:r>
          </w:p>
          <w:p>
            <w:pPr>
              <w:spacing w:after="0"/>
              <w:rPr>
                <w:rFonts w:ascii="宋体" w:hAnsi="宋体" w:eastAsia="宋体"/>
                <w:sz w:val="21"/>
                <w:szCs w:val="21"/>
              </w:rPr>
            </w:pPr>
            <w:r>
              <w:rPr>
                <w:rFonts w:hint="eastAsia" w:ascii="宋体" w:hAnsi="宋体" w:eastAsia="宋体"/>
                <w:sz w:val="21"/>
                <w:szCs w:val="21"/>
              </w:rPr>
              <w:t>日期：</w:t>
            </w:r>
          </w:p>
        </w:tc>
      </w:tr>
    </w:tbl>
    <w:p>
      <w:pPr>
        <w:rPr>
          <w:rFonts w:ascii="宋体" w:hAnsi="宋体" w:eastAsia="宋体" w:cs="宋体"/>
          <w:b/>
          <w:sz w:val="21"/>
          <w:szCs w:val="21"/>
        </w:rPr>
      </w:pPr>
    </w:p>
    <w:p>
      <w:pPr>
        <w:rPr>
          <w:rFonts w:ascii="宋体" w:hAnsi="宋体" w:eastAsia="宋体"/>
          <w:sz w:val="21"/>
          <w:szCs w:val="21"/>
        </w:rPr>
      </w:pPr>
      <w:r>
        <w:rPr>
          <w:rFonts w:hint="eastAsia" w:ascii="宋体" w:hAnsi="宋体" w:eastAsia="宋体"/>
          <w:sz w:val="21"/>
          <w:szCs w:val="21"/>
        </w:rPr>
        <w:br w:type="page"/>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节能产品或环境标志产品列价表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381"/>
        <w:gridCol w:w="1316"/>
        <w:gridCol w:w="1067"/>
        <w:gridCol w:w="1149"/>
        <w:gridCol w:w="849"/>
        <w:gridCol w:w="832"/>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13" w:type="pct"/>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序号</w:t>
            </w:r>
          </w:p>
        </w:tc>
        <w:tc>
          <w:tcPr>
            <w:tcW w:w="810" w:type="pct"/>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货物名称</w:t>
            </w:r>
          </w:p>
        </w:tc>
        <w:tc>
          <w:tcPr>
            <w:tcW w:w="772" w:type="pct"/>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规格型号</w:t>
            </w:r>
          </w:p>
        </w:tc>
        <w:tc>
          <w:tcPr>
            <w:tcW w:w="626" w:type="pct"/>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数量</w:t>
            </w:r>
          </w:p>
        </w:tc>
        <w:tc>
          <w:tcPr>
            <w:tcW w:w="674" w:type="pct"/>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单价</w:t>
            </w:r>
          </w:p>
        </w:tc>
        <w:tc>
          <w:tcPr>
            <w:tcW w:w="498" w:type="pct"/>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总价</w:t>
            </w:r>
          </w:p>
        </w:tc>
        <w:tc>
          <w:tcPr>
            <w:tcW w:w="488" w:type="pct"/>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备注</w:t>
            </w:r>
          </w:p>
        </w:tc>
        <w:tc>
          <w:tcPr>
            <w:tcW w:w="616" w:type="pct"/>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513" w:type="pct"/>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1</w:t>
            </w:r>
          </w:p>
        </w:tc>
        <w:tc>
          <w:tcPr>
            <w:tcW w:w="810" w:type="pct"/>
            <w:vAlign w:val="center"/>
          </w:tcPr>
          <w:p>
            <w:pPr>
              <w:spacing w:after="0"/>
              <w:jc w:val="center"/>
              <w:textAlignment w:val="bottom"/>
              <w:rPr>
                <w:rFonts w:ascii="宋体" w:hAnsi="宋体" w:eastAsia="宋体" w:cs="宋体"/>
                <w:sz w:val="21"/>
                <w:szCs w:val="21"/>
              </w:rPr>
            </w:pPr>
          </w:p>
        </w:tc>
        <w:tc>
          <w:tcPr>
            <w:tcW w:w="772" w:type="pct"/>
            <w:vAlign w:val="center"/>
          </w:tcPr>
          <w:p>
            <w:pPr>
              <w:spacing w:after="0"/>
              <w:jc w:val="center"/>
              <w:textAlignment w:val="bottom"/>
              <w:rPr>
                <w:rFonts w:ascii="宋体" w:hAnsi="宋体" w:eastAsia="宋体" w:cs="宋体"/>
                <w:sz w:val="21"/>
                <w:szCs w:val="21"/>
              </w:rPr>
            </w:pPr>
          </w:p>
        </w:tc>
        <w:tc>
          <w:tcPr>
            <w:tcW w:w="626" w:type="pct"/>
            <w:vAlign w:val="center"/>
          </w:tcPr>
          <w:p>
            <w:pPr>
              <w:spacing w:after="0"/>
              <w:jc w:val="center"/>
              <w:textAlignment w:val="bottom"/>
              <w:rPr>
                <w:rFonts w:ascii="宋体" w:hAnsi="宋体" w:eastAsia="宋体" w:cs="宋体"/>
                <w:sz w:val="21"/>
                <w:szCs w:val="21"/>
              </w:rPr>
            </w:pPr>
          </w:p>
        </w:tc>
        <w:tc>
          <w:tcPr>
            <w:tcW w:w="674" w:type="pct"/>
            <w:vAlign w:val="center"/>
          </w:tcPr>
          <w:p>
            <w:pPr>
              <w:spacing w:after="0"/>
              <w:jc w:val="center"/>
              <w:textAlignment w:val="bottom"/>
              <w:rPr>
                <w:rFonts w:ascii="宋体" w:hAnsi="宋体" w:eastAsia="宋体" w:cs="宋体"/>
                <w:sz w:val="21"/>
                <w:szCs w:val="21"/>
              </w:rPr>
            </w:pPr>
          </w:p>
        </w:tc>
        <w:tc>
          <w:tcPr>
            <w:tcW w:w="498" w:type="pct"/>
            <w:vAlign w:val="center"/>
          </w:tcPr>
          <w:p>
            <w:pPr>
              <w:spacing w:after="0"/>
              <w:jc w:val="center"/>
              <w:textAlignment w:val="bottom"/>
              <w:rPr>
                <w:rFonts w:ascii="宋体" w:hAnsi="宋体" w:eastAsia="宋体" w:cs="宋体"/>
                <w:sz w:val="21"/>
                <w:szCs w:val="21"/>
              </w:rPr>
            </w:pPr>
          </w:p>
        </w:tc>
        <w:tc>
          <w:tcPr>
            <w:tcW w:w="488" w:type="pct"/>
            <w:vAlign w:val="center"/>
          </w:tcPr>
          <w:p>
            <w:pPr>
              <w:spacing w:after="0"/>
              <w:jc w:val="center"/>
              <w:textAlignment w:val="bottom"/>
              <w:rPr>
                <w:rFonts w:ascii="宋体" w:hAnsi="宋体" w:eastAsia="宋体" w:cs="宋体"/>
                <w:sz w:val="21"/>
                <w:szCs w:val="21"/>
              </w:rPr>
            </w:pPr>
          </w:p>
        </w:tc>
        <w:tc>
          <w:tcPr>
            <w:tcW w:w="616" w:type="pct"/>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13" w:type="pct"/>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2</w:t>
            </w:r>
          </w:p>
        </w:tc>
        <w:tc>
          <w:tcPr>
            <w:tcW w:w="810" w:type="pct"/>
            <w:vAlign w:val="center"/>
          </w:tcPr>
          <w:p>
            <w:pPr>
              <w:spacing w:after="0"/>
              <w:jc w:val="center"/>
              <w:textAlignment w:val="bottom"/>
              <w:rPr>
                <w:rFonts w:ascii="宋体" w:hAnsi="宋体" w:eastAsia="宋体" w:cs="宋体"/>
                <w:sz w:val="21"/>
                <w:szCs w:val="21"/>
              </w:rPr>
            </w:pPr>
          </w:p>
        </w:tc>
        <w:tc>
          <w:tcPr>
            <w:tcW w:w="772" w:type="pct"/>
            <w:vAlign w:val="center"/>
          </w:tcPr>
          <w:p>
            <w:pPr>
              <w:spacing w:after="0"/>
              <w:jc w:val="center"/>
              <w:textAlignment w:val="bottom"/>
              <w:rPr>
                <w:rFonts w:ascii="宋体" w:hAnsi="宋体" w:eastAsia="宋体" w:cs="宋体"/>
                <w:sz w:val="21"/>
                <w:szCs w:val="21"/>
              </w:rPr>
            </w:pPr>
          </w:p>
        </w:tc>
        <w:tc>
          <w:tcPr>
            <w:tcW w:w="626" w:type="pct"/>
            <w:vAlign w:val="center"/>
          </w:tcPr>
          <w:p>
            <w:pPr>
              <w:spacing w:after="0"/>
              <w:jc w:val="center"/>
              <w:textAlignment w:val="bottom"/>
              <w:rPr>
                <w:rFonts w:ascii="宋体" w:hAnsi="宋体" w:eastAsia="宋体" w:cs="宋体"/>
                <w:sz w:val="21"/>
                <w:szCs w:val="21"/>
              </w:rPr>
            </w:pPr>
          </w:p>
        </w:tc>
        <w:tc>
          <w:tcPr>
            <w:tcW w:w="674" w:type="pct"/>
            <w:vAlign w:val="center"/>
          </w:tcPr>
          <w:p>
            <w:pPr>
              <w:spacing w:after="0"/>
              <w:jc w:val="center"/>
              <w:textAlignment w:val="bottom"/>
              <w:rPr>
                <w:rFonts w:ascii="宋体" w:hAnsi="宋体" w:eastAsia="宋体" w:cs="宋体"/>
                <w:sz w:val="21"/>
                <w:szCs w:val="21"/>
              </w:rPr>
            </w:pPr>
          </w:p>
        </w:tc>
        <w:tc>
          <w:tcPr>
            <w:tcW w:w="498" w:type="pct"/>
            <w:vAlign w:val="center"/>
          </w:tcPr>
          <w:p>
            <w:pPr>
              <w:spacing w:after="0"/>
              <w:jc w:val="center"/>
              <w:textAlignment w:val="bottom"/>
              <w:rPr>
                <w:rFonts w:ascii="宋体" w:hAnsi="宋体" w:eastAsia="宋体" w:cs="宋体"/>
                <w:sz w:val="21"/>
                <w:szCs w:val="21"/>
              </w:rPr>
            </w:pPr>
          </w:p>
        </w:tc>
        <w:tc>
          <w:tcPr>
            <w:tcW w:w="488" w:type="pct"/>
            <w:vAlign w:val="center"/>
          </w:tcPr>
          <w:p>
            <w:pPr>
              <w:spacing w:after="0"/>
              <w:jc w:val="center"/>
              <w:textAlignment w:val="bottom"/>
              <w:rPr>
                <w:rFonts w:ascii="宋体" w:hAnsi="宋体" w:eastAsia="宋体" w:cs="宋体"/>
                <w:sz w:val="21"/>
                <w:szCs w:val="21"/>
              </w:rPr>
            </w:pPr>
          </w:p>
        </w:tc>
        <w:tc>
          <w:tcPr>
            <w:tcW w:w="616" w:type="pct"/>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13" w:type="pct"/>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3</w:t>
            </w:r>
          </w:p>
        </w:tc>
        <w:tc>
          <w:tcPr>
            <w:tcW w:w="810" w:type="pct"/>
            <w:vAlign w:val="center"/>
          </w:tcPr>
          <w:p>
            <w:pPr>
              <w:spacing w:after="0"/>
              <w:jc w:val="center"/>
              <w:textAlignment w:val="bottom"/>
              <w:rPr>
                <w:rFonts w:ascii="宋体" w:hAnsi="宋体" w:eastAsia="宋体" w:cs="宋体"/>
                <w:sz w:val="21"/>
                <w:szCs w:val="21"/>
              </w:rPr>
            </w:pPr>
          </w:p>
        </w:tc>
        <w:tc>
          <w:tcPr>
            <w:tcW w:w="772" w:type="pct"/>
            <w:vAlign w:val="center"/>
          </w:tcPr>
          <w:p>
            <w:pPr>
              <w:spacing w:after="0"/>
              <w:jc w:val="center"/>
              <w:textAlignment w:val="bottom"/>
              <w:rPr>
                <w:rFonts w:ascii="宋体" w:hAnsi="宋体" w:eastAsia="宋体" w:cs="宋体"/>
                <w:sz w:val="21"/>
                <w:szCs w:val="21"/>
              </w:rPr>
            </w:pPr>
          </w:p>
        </w:tc>
        <w:tc>
          <w:tcPr>
            <w:tcW w:w="626" w:type="pct"/>
            <w:vAlign w:val="center"/>
          </w:tcPr>
          <w:p>
            <w:pPr>
              <w:spacing w:after="0"/>
              <w:jc w:val="center"/>
              <w:textAlignment w:val="bottom"/>
              <w:rPr>
                <w:rFonts w:ascii="宋体" w:hAnsi="宋体" w:eastAsia="宋体" w:cs="宋体"/>
                <w:sz w:val="21"/>
                <w:szCs w:val="21"/>
              </w:rPr>
            </w:pPr>
          </w:p>
        </w:tc>
        <w:tc>
          <w:tcPr>
            <w:tcW w:w="674" w:type="pct"/>
            <w:vAlign w:val="center"/>
          </w:tcPr>
          <w:p>
            <w:pPr>
              <w:spacing w:after="0"/>
              <w:jc w:val="center"/>
              <w:textAlignment w:val="bottom"/>
              <w:rPr>
                <w:rFonts w:ascii="宋体" w:hAnsi="宋体" w:eastAsia="宋体" w:cs="宋体"/>
                <w:sz w:val="21"/>
                <w:szCs w:val="21"/>
              </w:rPr>
            </w:pPr>
          </w:p>
        </w:tc>
        <w:tc>
          <w:tcPr>
            <w:tcW w:w="498" w:type="pct"/>
            <w:vAlign w:val="center"/>
          </w:tcPr>
          <w:p>
            <w:pPr>
              <w:spacing w:after="0"/>
              <w:jc w:val="center"/>
              <w:textAlignment w:val="bottom"/>
              <w:rPr>
                <w:rFonts w:ascii="宋体" w:hAnsi="宋体" w:eastAsia="宋体" w:cs="宋体"/>
                <w:sz w:val="21"/>
                <w:szCs w:val="21"/>
              </w:rPr>
            </w:pPr>
          </w:p>
        </w:tc>
        <w:tc>
          <w:tcPr>
            <w:tcW w:w="488" w:type="pct"/>
            <w:vAlign w:val="center"/>
          </w:tcPr>
          <w:p>
            <w:pPr>
              <w:spacing w:after="0"/>
              <w:jc w:val="center"/>
              <w:textAlignment w:val="bottom"/>
              <w:rPr>
                <w:rFonts w:ascii="宋体" w:hAnsi="宋体" w:eastAsia="宋体" w:cs="宋体"/>
                <w:sz w:val="21"/>
                <w:szCs w:val="21"/>
              </w:rPr>
            </w:pPr>
          </w:p>
        </w:tc>
        <w:tc>
          <w:tcPr>
            <w:tcW w:w="616" w:type="pct"/>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3" w:type="pct"/>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w:t>
            </w:r>
          </w:p>
        </w:tc>
        <w:tc>
          <w:tcPr>
            <w:tcW w:w="810" w:type="pct"/>
            <w:vAlign w:val="center"/>
          </w:tcPr>
          <w:p>
            <w:pPr>
              <w:spacing w:after="0"/>
              <w:jc w:val="center"/>
              <w:textAlignment w:val="bottom"/>
              <w:rPr>
                <w:rFonts w:ascii="宋体" w:hAnsi="宋体" w:eastAsia="宋体" w:cs="宋体"/>
                <w:sz w:val="21"/>
                <w:szCs w:val="21"/>
              </w:rPr>
            </w:pPr>
          </w:p>
        </w:tc>
        <w:tc>
          <w:tcPr>
            <w:tcW w:w="772" w:type="pct"/>
            <w:vAlign w:val="center"/>
          </w:tcPr>
          <w:p>
            <w:pPr>
              <w:spacing w:after="0"/>
              <w:jc w:val="center"/>
              <w:textAlignment w:val="bottom"/>
              <w:rPr>
                <w:rFonts w:ascii="宋体" w:hAnsi="宋体" w:eastAsia="宋体" w:cs="宋体"/>
                <w:sz w:val="21"/>
                <w:szCs w:val="21"/>
              </w:rPr>
            </w:pPr>
          </w:p>
        </w:tc>
        <w:tc>
          <w:tcPr>
            <w:tcW w:w="626" w:type="pct"/>
            <w:vAlign w:val="center"/>
          </w:tcPr>
          <w:p>
            <w:pPr>
              <w:spacing w:after="0"/>
              <w:jc w:val="center"/>
              <w:textAlignment w:val="bottom"/>
              <w:rPr>
                <w:rFonts w:ascii="宋体" w:hAnsi="宋体" w:eastAsia="宋体" w:cs="宋体"/>
                <w:sz w:val="21"/>
                <w:szCs w:val="21"/>
              </w:rPr>
            </w:pPr>
          </w:p>
        </w:tc>
        <w:tc>
          <w:tcPr>
            <w:tcW w:w="674" w:type="pct"/>
            <w:vAlign w:val="center"/>
          </w:tcPr>
          <w:p>
            <w:pPr>
              <w:spacing w:after="0"/>
              <w:jc w:val="center"/>
              <w:textAlignment w:val="bottom"/>
              <w:rPr>
                <w:rFonts w:ascii="宋体" w:hAnsi="宋体" w:eastAsia="宋体" w:cs="宋体"/>
                <w:sz w:val="21"/>
                <w:szCs w:val="21"/>
              </w:rPr>
            </w:pPr>
          </w:p>
        </w:tc>
        <w:tc>
          <w:tcPr>
            <w:tcW w:w="498" w:type="pct"/>
            <w:vAlign w:val="center"/>
          </w:tcPr>
          <w:p>
            <w:pPr>
              <w:spacing w:after="0"/>
              <w:jc w:val="center"/>
              <w:textAlignment w:val="bottom"/>
              <w:rPr>
                <w:rFonts w:ascii="宋体" w:hAnsi="宋体" w:eastAsia="宋体" w:cs="宋体"/>
                <w:sz w:val="21"/>
                <w:szCs w:val="21"/>
              </w:rPr>
            </w:pPr>
          </w:p>
        </w:tc>
        <w:tc>
          <w:tcPr>
            <w:tcW w:w="488" w:type="pct"/>
            <w:vAlign w:val="center"/>
          </w:tcPr>
          <w:p>
            <w:pPr>
              <w:spacing w:after="0"/>
              <w:jc w:val="center"/>
              <w:textAlignment w:val="bottom"/>
              <w:rPr>
                <w:rFonts w:ascii="宋体" w:hAnsi="宋体" w:eastAsia="宋体" w:cs="宋体"/>
                <w:sz w:val="21"/>
                <w:szCs w:val="21"/>
              </w:rPr>
            </w:pPr>
          </w:p>
        </w:tc>
        <w:tc>
          <w:tcPr>
            <w:tcW w:w="616" w:type="pct"/>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323" w:type="pct"/>
            <w:gridSpan w:val="2"/>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总计</w:t>
            </w:r>
          </w:p>
        </w:tc>
        <w:tc>
          <w:tcPr>
            <w:tcW w:w="3676" w:type="pct"/>
            <w:gridSpan w:val="6"/>
            <w:vAlign w:val="center"/>
          </w:tcPr>
          <w:p>
            <w:pPr>
              <w:spacing w:after="0"/>
              <w:rPr>
                <w:rFonts w:ascii="宋体" w:hAnsi="宋体" w:eastAsia="宋体" w:cs="宋体"/>
                <w:sz w:val="21"/>
                <w:szCs w:val="21"/>
              </w:rPr>
            </w:pPr>
            <w:r>
              <w:rPr>
                <w:rStyle w:val="28"/>
                <w:rFonts w:hint="eastAsia" w:ascii="宋体" w:hAnsi="宋体" w:eastAsia="宋体" w:cs="宋体"/>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5000" w:type="pct"/>
            <w:gridSpan w:val="8"/>
            <w:vAlign w:val="center"/>
          </w:tcPr>
          <w:p>
            <w:pPr>
              <w:tabs>
                <w:tab w:val="left" w:pos="284"/>
              </w:tabs>
              <w:spacing w:after="0"/>
              <w:rPr>
                <w:rStyle w:val="28"/>
                <w:rFonts w:ascii="宋体" w:hAnsi="宋体" w:eastAsia="宋体" w:cs="宋体"/>
                <w:b/>
                <w:sz w:val="21"/>
                <w:szCs w:val="21"/>
              </w:rPr>
            </w:pPr>
            <w:r>
              <w:rPr>
                <w:rStyle w:val="28"/>
                <w:rFonts w:hint="eastAsia" w:ascii="宋体" w:hAnsi="宋体" w:eastAsia="宋体" w:cs="宋体"/>
                <w:b/>
                <w:sz w:val="21"/>
                <w:szCs w:val="21"/>
              </w:rPr>
              <w:t>注：1、供应商在“分项报价表”中的报价内容中，如有属于节能产品或环境标志产的，必须在此表单独列明且提供相应的证明材料，否则在计算价格得分时不予以相应的扣除；</w:t>
            </w:r>
          </w:p>
          <w:p>
            <w:pPr>
              <w:tabs>
                <w:tab w:val="left" w:pos="284"/>
              </w:tabs>
              <w:spacing w:after="0"/>
              <w:rPr>
                <w:rStyle w:val="28"/>
                <w:rFonts w:ascii="宋体" w:hAnsi="宋体" w:eastAsia="宋体" w:cs="宋体"/>
                <w:b/>
                <w:sz w:val="21"/>
                <w:szCs w:val="21"/>
              </w:rPr>
            </w:pPr>
            <w:r>
              <w:rPr>
                <w:rStyle w:val="28"/>
                <w:rFonts w:hint="eastAsia" w:ascii="宋体" w:hAnsi="宋体" w:eastAsia="宋体" w:cs="宋体"/>
                <w:b/>
                <w:sz w:val="21"/>
                <w:szCs w:val="21"/>
              </w:rPr>
              <w:t>2、供应商应该如实填写，如供应商所投产品中无节能或环保产品的，请留空或删除此表！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5000" w:type="pct"/>
            <w:gridSpan w:val="8"/>
            <w:vAlign w:val="center"/>
          </w:tcPr>
          <w:p>
            <w:pPr>
              <w:spacing w:after="0"/>
              <w:rPr>
                <w:rFonts w:ascii="宋体" w:hAnsi="宋体" w:eastAsia="宋体"/>
                <w:sz w:val="21"/>
                <w:szCs w:val="21"/>
              </w:rPr>
            </w:pPr>
            <w:r>
              <w:rPr>
                <w:rFonts w:hint="eastAsia" w:ascii="宋体" w:hAnsi="宋体" w:eastAsia="宋体"/>
                <w:sz w:val="21"/>
                <w:szCs w:val="21"/>
              </w:rPr>
              <w:t>供应商代表签字：</w:t>
            </w:r>
          </w:p>
          <w:p>
            <w:pPr>
              <w:spacing w:after="0"/>
              <w:rPr>
                <w:rFonts w:ascii="宋体" w:hAnsi="宋体" w:eastAsia="宋体"/>
                <w:sz w:val="21"/>
                <w:szCs w:val="21"/>
              </w:rPr>
            </w:pPr>
            <w:r>
              <w:rPr>
                <w:rFonts w:hint="eastAsia" w:ascii="宋体" w:hAnsi="宋体" w:eastAsia="宋体"/>
                <w:sz w:val="21"/>
                <w:szCs w:val="21"/>
              </w:rPr>
              <w:t>供应商盖章：</w:t>
            </w:r>
          </w:p>
          <w:p>
            <w:pPr>
              <w:tabs>
                <w:tab w:val="left" w:pos="284"/>
              </w:tabs>
              <w:spacing w:after="0"/>
              <w:rPr>
                <w:rStyle w:val="28"/>
                <w:rFonts w:ascii="宋体" w:hAnsi="宋体" w:eastAsia="宋体" w:cs="宋体"/>
                <w:b/>
                <w:sz w:val="21"/>
                <w:szCs w:val="21"/>
              </w:rPr>
            </w:pPr>
            <w:r>
              <w:rPr>
                <w:rFonts w:hint="eastAsia" w:ascii="宋体" w:hAnsi="宋体" w:eastAsia="宋体"/>
                <w:sz w:val="21"/>
                <w:szCs w:val="21"/>
              </w:rPr>
              <w:t>日期：</w:t>
            </w:r>
          </w:p>
        </w:tc>
      </w:tr>
    </w:tbl>
    <w:p>
      <w:pPr>
        <w:jc w:val="both"/>
        <w:rPr>
          <w:rFonts w:ascii="宋体" w:hAnsi="宋体" w:eastAsia="宋体"/>
          <w:sz w:val="21"/>
          <w:szCs w:val="21"/>
        </w:rPr>
      </w:pPr>
      <w:r>
        <w:rPr>
          <w:rFonts w:hint="eastAsia" w:ascii="宋体" w:hAnsi="宋体" w:eastAsia="宋体"/>
          <w:sz w:val="21"/>
          <w:szCs w:val="21"/>
        </w:rPr>
        <w:br w:type="page"/>
      </w:r>
    </w:p>
    <w:p>
      <w:pPr>
        <w:pStyle w:val="7"/>
        <w:widowControl w:val="0"/>
        <w:overflowPunct w:val="0"/>
        <w:spacing w:before="0" w:after="0" w:line="240" w:lineRule="auto"/>
        <w:rPr>
          <w:rFonts w:ascii="宋体" w:hAnsi="宋体" w:eastAsia="宋体"/>
          <w:sz w:val="21"/>
          <w:szCs w:val="21"/>
        </w:rPr>
      </w:pPr>
      <w:bookmarkStart w:id="147" w:name="_Toc1306"/>
      <w:r>
        <w:rPr>
          <w:rFonts w:hint="eastAsia" w:ascii="宋体" w:hAnsi="宋体" w:eastAsia="宋体"/>
          <w:sz w:val="21"/>
          <w:szCs w:val="21"/>
        </w:rPr>
        <w:t>附件5.法定代表人证明书格式</w:t>
      </w:r>
      <w:bookmarkEnd w:id="147"/>
    </w:p>
    <w:p/>
    <w:p>
      <w:pPr>
        <w:jc w:val="center"/>
        <w:rPr>
          <w:rFonts w:ascii="黑体" w:eastAsia="黑体"/>
          <w:sz w:val="28"/>
          <w:szCs w:val="28"/>
        </w:rPr>
      </w:pPr>
      <w:r>
        <w:rPr>
          <w:rFonts w:hint="eastAsia" w:ascii="黑体" w:eastAsia="黑体"/>
          <w:sz w:val="28"/>
          <w:szCs w:val="28"/>
        </w:rPr>
        <w:t>法定代表人证明书</w:t>
      </w:r>
    </w:p>
    <w:p>
      <w:pPr>
        <w:pStyle w:val="26"/>
        <w:spacing w:line="420" w:lineRule="atLeast"/>
        <w:ind w:firstLine="0" w:firstLineChars="0"/>
        <w:rPr>
          <w:rFonts w:ascii="宋体" w:eastAsia="宋体"/>
          <w:sz w:val="21"/>
          <w:szCs w:val="21"/>
        </w:rPr>
      </w:pPr>
      <w:r>
        <w:rPr>
          <w:rFonts w:hint="eastAsia" w:ascii="宋体" w:eastAsia="宋体"/>
          <w:sz w:val="21"/>
          <w:szCs w:val="21"/>
        </w:rPr>
        <w:t>致：三方诚信招标有限公司东莞分公司</w:t>
      </w:r>
    </w:p>
    <w:p>
      <w:pPr>
        <w:pStyle w:val="26"/>
        <w:spacing w:line="420" w:lineRule="atLeast"/>
        <w:ind w:firstLine="433"/>
        <w:rPr>
          <w:rFonts w:ascii="宋体" w:eastAsia="宋体"/>
          <w:sz w:val="21"/>
          <w:szCs w:val="21"/>
        </w:rPr>
      </w:pPr>
    </w:p>
    <w:p>
      <w:pPr>
        <w:pStyle w:val="26"/>
        <w:spacing w:line="420" w:lineRule="atLeast"/>
        <w:ind w:firstLine="433"/>
        <w:rPr>
          <w:rFonts w:ascii="宋体" w:eastAsia="宋体"/>
          <w:sz w:val="21"/>
          <w:szCs w:val="21"/>
          <w:u w:val="single"/>
        </w:rPr>
      </w:pPr>
      <w:r>
        <w:rPr>
          <w:rFonts w:hint="eastAsia" w:ascii="宋体" w:eastAsia="宋体"/>
          <w:sz w:val="21"/>
          <w:szCs w:val="21"/>
        </w:rPr>
        <w:t>供应商名称:</w:t>
      </w:r>
    </w:p>
    <w:p>
      <w:pPr>
        <w:pStyle w:val="26"/>
        <w:spacing w:line="420" w:lineRule="atLeast"/>
        <w:ind w:firstLine="433"/>
        <w:rPr>
          <w:rFonts w:ascii="宋体" w:eastAsia="宋体"/>
          <w:sz w:val="21"/>
          <w:szCs w:val="21"/>
          <w:u w:val="single"/>
        </w:rPr>
      </w:pPr>
      <w:r>
        <w:rPr>
          <w:rFonts w:hint="eastAsia" w:ascii="宋体" w:eastAsia="宋体"/>
          <w:sz w:val="21"/>
          <w:szCs w:val="21"/>
        </w:rPr>
        <w:t>单 位 性质：</w:t>
      </w:r>
    </w:p>
    <w:p>
      <w:pPr>
        <w:pStyle w:val="26"/>
        <w:spacing w:line="420" w:lineRule="atLeast"/>
        <w:ind w:firstLine="433"/>
        <w:rPr>
          <w:rFonts w:ascii="宋体" w:eastAsia="宋体"/>
          <w:sz w:val="21"/>
          <w:szCs w:val="21"/>
          <w:u w:val="single"/>
        </w:rPr>
      </w:pPr>
      <w:r>
        <w:rPr>
          <w:rFonts w:hint="eastAsia" w:ascii="宋体" w:eastAsia="宋体"/>
          <w:sz w:val="21"/>
          <w:szCs w:val="21"/>
        </w:rPr>
        <w:t>地      址：</w:t>
      </w:r>
    </w:p>
    <w:p>
      <w:pPr>
        <w:pStyle w:val="26"/>
        <w:spacing w:line="420" w:lineRule="atLeast"/>
        <w:ind w:firstLine="433"/>
        <w:rPr>
          <w:rFonts w:ascii="宋体" w:eastAsia="宋体"/>
          <w:sz w:val="21"/>
          <w:szCs w:val="21"/>
        </w:rPr>
      </w:pPr>
      <w:r>
        <w:rPr>
          <w:rFonts w:hint="eastAsia" w:ascii="宋体" w:eastAsia="宋体"/>
          <w:sz w:val="21"/>
          <w:szCs w:val="21"/>
        </w:rPr>
        <w:t>成 立 时间：年月日</w:t>
      </w:r>
    </w:p>
    <w:p>
      <w:pPr>
        <w:pStyle w:val="26"/>
        <w:spacing w:line="420" w:lineRule="atLeast"/>
        <w:ind w:firstLine="433"/>
        <w:rPr>
          <w:rFonts w:ascii="宋体" w:eastAsia="宋体"/>
          <w:sz w:val="21"/>
          <w:szCs w:val="21"/>
        </w:rPr>
      </w:pPr>
      <w:r>
        <w:rPr>
          <w:rFonts w:hint="eastAsia" w:ascii="宋体" w:eastAsia="宋体"/>
          <w:sz w:val="21"/>
          <w:szCs w:val="21"/>
        </w:rPr>
        <w:t>经 营 期限：</w:t>
      </w:r>
    </w:p>
    <w:p>
      <w:pPr>
        <w:pStyle w:val="26"/>
        <w:spacing w:line="420" w:lineRule="atLeast"/>
        <w:ind w:firstLine="433"/>
        <w:rPr>
          <w:rFonts w:ascii="宋体" w:eastAsia="宋体"/>
          <w:sz w:val="21"/>
          <w:szCs w:val="21"/>
        </w:rPr>
      </w:pPr>
      <w:r>
        <w:rPr>
          <w:rFonts w:hint="eastAsia" w:ascii="宋体" w:eastAsia="宋体"/>
          <w:sz w:val="21"/>
          <w:szCs w:val="21"/>
        </w:rPr>
        <w:t>姓名：性别：年龄：职务：</w:t>
      </w:r>
    </w:p>
    <w:p>
      <w:pPr>
        <w:pStyle w:val="26"/>
        <w:spacing w:line="420" w:lineRule="atLeast"/>
        <w:ind w:firstLine="433"/>
        <w:rPr>
          <w:rFonts w:ascii="宋体" w:eastAsia="宋体"/>
          <w:sz w:val="21"/>
          <w:szCs w:val="21"/>
        </w:rPr>
      </w:pPr>
      <w:r>
        <w:rPr>
          <w:rFonts w:hint="eastAsia" w:ascii="宋体" w:eastAsia="宋体"/>
          <w:sz w:val="21"/>
          <w:szCs w:val="21"/>
        </w:rPr>
        <w:t>系（供应商名称）的法定代表人。</w:t>
      </w:r>
    </w:p>
    <w:p>
      <w:pPr>
        <w:spacing w:line="420" w:lineRule="atLeast"/>
        <w:ind w:firstLine="420" w:firstLineChars="200"/>
        <w:rPr>
          <w:rFonts w:ascii="宋体" w:hAnsi="宋体" w:eastAsia="宋体"/>
          <w:sz w:val="21"/>
          <w:szCs w:val="21"/>
        </w:rPr>
      </w:pPr>
      <w:r>
        <w:rPr>
          <w:rFonts w:hint="eastAsia" w:ascii="宋体" w:hAnsi="宋体" w:eastAsia="宋体"/>
          <w:sz w:val="21"/>
          <w:szCs w:val="21"/>
        </w:rPr>
        <w:t>特此证明。</w:t>
      </w:r>
    </w:p>
    <w:p>
      <w:pPr>
        <w:pStyle w:val="26"/>
        <w:spacing w:line="500" w:lineRule="atLeast"/>
        <w:ind w:firstLine="3517" w:firstLineChars="1675"/>
        <w:rPr>
          <w:rFonts w:ascii="宋体" w:eastAsia="宋体"/>
          <w:sz w:val="21"/>
          <w:szCs w:val="21"/>
        </w:rPr>
      </w:pPr>
    </w:p>
    <w:p>
      <w:pPr>
        <w:pStyle w:val="26"/>
        <w:spacing w:line="500" w:lineRule="atLeast"/>
        <w:ind w:firstLine="3517" w:firstLineChars="1675"/>
        <w:rPr>
          <w:rFonts w:ascii="宋体" w:eastAsia="宋体"/>
          <w:sz w:val="21"/>
          <w:szCs w:val="21"/>
        </w:rPr>
      </w:pPr>
      <w:r>
        <w:rPr>
          <w:rFonts w:hint="eastAsia" w:ascii="宋体" w:eastAsia="宋体"/>
          <w:sz w:val="21"/>
          <w:szCs w:val="21"/>
        </w:rPr>
        <w:t>供应商名称（加盖公章）：</w:t>
      </w:r>
    </w:p>
    <w:p>
      <w:pPr>
        <w:pStyle w:val="26"/>
        <w:spacing w:line="500" w:lineRule="atLeast"/>
        <w:ind w:firstLine="3517" w:firstLineChars="1675"/>
        <w:rPr>
          <w:rFonts w:ascii="宋体" w:eastAsia="宋体"/>
          <w:sz w:val="21"/>
          <w:szCs w:val="21"/>
        </w:rPr>
      </w:pPr>
      <w:r>
        <w:rPr>
          <w:rFonts w:hint="eastAsia" w:ascii="宋体" w:eastAsia="宋体"/>
          <w:sz w:val="21"/>
          <w:szCs w:val="21"/>
        </w:rPr>
        <w:t>法定代表人（签名或盖私章）：</w:t>
      </w:r>
    </w:p>
    <w:p>
      <w:pPr>
        <w:pStyle w:val="26"/>
        <w:spacing w:line="500" w:lineRule="atLeast"/>
        <w:ind w:firstLine="3517" w:firstLineChars="1675"/>
        <w:rPr>
          <w:rFonts w:ascii="宋体" w:eastAsia="宋体"/>
          <w:sz w:val="21"/>
          <w:szCs w:val="21"/>
        </w:rPr>
      </w:pPr>
      <w:r>
        <w:rPr>
          <w:rFonts w:hint="eastAsia" w:ascii="宋体" w:eastAsia="宋体"/>
          <w:sz w:val="21"/>
          <w:szCs w:val="21"/>
        </w:rPr>
        <w:t>法定代表人联系方式：</w:t>
      </w:r>
    </w:p>
    <w:p>
      <w:pPr>
        <w:pStyle w:val="26"/>
        <w:spacing w:line="500" w:lineRule="atLeast"/>
        <w:ind w:firstLine="3517" w:firstLineChars="1675"/>
        <w:rPr>
          <w:rFonts w:ascii="宋体" w:eastAsia="宋体"/>
          <w:sz w:val="21"/>
          <w:szCs w:val="21"/>
          <w:u w:val="single"/>
        </w:rPr>
      </w:pPr>
      <w:r>
        <w:rPr>
          <w:rFonts w:hint="eastAsia" w:ascii="宋体" w:eastAsia="宋体"/>
          <w:sz w:val="21"/>
          <w:szCs w:val="21"/>
        </w:rPr>
        <w:t>身份证号码：</w:t>
      </w:r>
    </w:p>
    <w:p>
      <w:pPr>
        <w:pStyle w:val="26"/>
        <w:spacing w:line="500" w:lineRule="atLeast"/>
        <w:ind w:firstLine="3507" w:firstLineChars="1670"/>
        <w:rPr>
          <w:rFonts w:ascii="宋体" w:eastAsia="宋体"/>
          <w:sz w:val="21"/>
          <w:szCs w:val="21"/>
        </w:rPr>
      </w:pPr>
      <w:r>
        <w:rPr>
          <w:rFonts w:hint="eastAsia" w:ascii="宋体" w:eastAsia="宋体"/>
          <w:sz w:val="21"/>
          <w:szCs w:val="21"/>
        </w:rPr>
        <w:t>日     期：年月日</w:t>
      </w:r>
    </w:p>
    <w:p>
      <w:pPr>
        <w:ind w:firstLine="420" w:firstLineChars="200"/>
        <w:rPr>
          <w:rFonts w:ascii="宋体" w:hAnsi="宋体" w:eastAsia="宋体"/>
          <w:sz w:val="21"/>
          <w:szCs w:val="21"/>
        </w:rPr>
      </w:pPr>
    </w:p>
    <w:p>
      <w:pPr>
        <w:ind w:firstLine="420" w:firstLineChars="200"/>
        <w:rPr>
          <w:rFonts w:ascii="宋体" w:hAnsi="宋体" w:eastAsia="宋体"/>
          <w:sz w:val="21"/>
          <w:szCs w:val="21"/>
        </w:rPr>
      </w:pPr>
      <w:r>
        <w:rPr>
          <w:rFonts w:hint="eastAsia" w:ascii="宋体" w:hAnsi="宋体" w:eastAsia="宋体"/>
          <w:sz w:val="21"/>
          <w:szCs w:val="21"/>
        </w:rPr>
        <w:t>注：法定代表人身份证明书需附法人代表身份证复印件。</w:t>
      </w:r>
    </w:p>
    <w:tbl>
      <w:tblPr>
        <w:tblStyle w:val="21"/>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26"/>
              <w:spacing w:line="460" w:lineRule="exact"/>
              <w:ind w:firstLine="0" w:firstLineChars="0"/>
              <w:jc w:val="center"/>
              <w:rPr>
                <w:rFonts w:ascii="宋体" w:eastAsia="宋体"/>
                <w:sz w:val="22"/>
              </w:rPr>
            </w:pPr>
            <w:r>
              <w:rPr>
                <w:rFonts w:hint="eastAsia" w:ascii="宋体" w:eastAsia="宋体"/>
                <w:sz w:val="22"/>
              </w:rPr>
              <w:t>正面</w:t>
            </w:r>
          </w:p>
        </w:tc>
        <w:tc>
          <w:tcPr>
            <w:tcW w:w="4182" w:type="dxa"/>
            <w:vAlign w:val="center"/>
          </w:tcPr>
          <w:p>
            <w:pPr>
              <w:pStyle w:val="26"/>
              <w:spacing w:line="460" w:lineRule="exact"/>
              <w:ind w:firstLine="0" w:firstLineChars="0"/>
              <w:jc w:val="center"/>
              <w:rPr>
                <w:rFonts w:ascii="宋体" w:eastAsia="宋体"/>
                <w:sz w:val="22"/>
              </w:rPr>
            </w:pPr>
            <w:r>
              <w:rPr>
                <w:rFonts w:hint="eastAsia" w:ascii="宋体" w:eastAsia="宋体"/>
                <w:sz w:val="22"/>
              </w:rPr>
              <w:t>背面</w:t>
            </w:r>
          </w:p>
        </w:tc>
      </w:tr>
    </w:tbl>
    <w:p/>
    <w:p>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pPr>
        <w:pStyle w:val="7"/>
        <w:widowControl w:val="0"/>
        <w:overflowPunct w:val="0"/>
        <w:spacing w:before="0" w:after="0" w:line="240" w:lineRule="auto"/>
      </w:pPr>
      <w:bookmarkStart w:id="148" w:name="_Toc31397"/>
      <w:r>
        <w:rPr>
          <w:rFonts w:hint="eastAsia" w:ascii="宋体" w:hAnsi="宋体" w:eastAsia="宋体"/>
          <w:sz w:val="21"/>
          <w:szCs w:val="21"/>
        </w:rPr>
        <w:t>附件6.法定代表人授权书格式</w:t>
      </w:r>
      <w:bookmarkEnd w:id="148"/>
    </w:p>
    <w:p/>
    <w:p>
      <w:pPr>
        <w:jc w:val="center"/>
        <w:rPr>
          <w:rFonts w:ascii="黑体" w:eastAsia="黑体"/>
          <w:sz w:val="28"/>
          <w:szCs w:val="28"/>
        </w:rPr>
      </w:pPr>
      <w:r>
        <w:rPr>
          <w:rFonts w:hint="eastAsia" w:ascii="黑体" w:eastAsia="黑体"/>
          <w:sz w:val="28"/>
          <w:szCs w:val="28"/>
        </w:rPr>
        <w:t>法定代表人授权书</w:t>
      </w:r>
    </w:p>
    <w:p>
      <w:pPr>
        <w:pStyle w:val="26"/>
        <w:spacing w:line="420" w:lineRule="atLeast"/>
        <w:ind w:firstLine="0" w:firstLineChars="0"/>
        <w:rPr>
          <w:rFonts w:ascii="宋体" w:eastAsia="宋体"/>
          <w:sz w:val="21"/>
          <w:szCs w:val="21"/>
        </w:rPr>
      </w:pPr>
      <w:r>
        <w:rPr>
          <w:rFonts w:hint="eastAsia" w:ascii="宋体" w:eastAsia="宋体"/>
          <w:sz w:val="21"/>
          <w:szCs w:val="21"/>
        </w:rPr>
        <w:t>致：三方诚信招标有限公司东莞分公司</w:t>
      </w:r>
    </w:p>
    <w:p>
      <w:pPr>
        <w:pStyle w:val="26"/>
        <w:spacing w:line="420" w:lineRule="atLeast"/>
        <w:ind w:firstLine="433"/>
        <w:rPr>
          <w:rFonts w:ascii="宋体" w:eastAsia="宋体"/>
          <w:sz w:val="21"/>
          <w:szCs w:val="21"/>
        </w:rPr>
      </w:pPr>
    </w:p>
    <w:p>
      <w:pPr>
        <w:spacing w:after="0"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本授权书声明：注册于</w:t>
      </w:r>
      <w:r>
        <w:rPr>
          <w:rFonts w:hint="eastAsia" w:ascii="宋体" w:hAnsi="宋体" w:eastAsia="宋体" w:cs="Times New Roman"/>
          <w:sz w:val="21"/>
          <w:szCs w:val="21"/>
          <w:u w:val="single"/>
        </w:rPr>
        <w:t>（国家或地区的名称）</w:t>
      </w:r>
      <w:r>
        <w:rPr>
          <w:rFonts w:hint="eastAsia" w:ascii="宋体" w:hAnsi="宋体" w:eastAsia="宋体" w:cs="Times New Roman"/>
          <w:sz w:val="21"/>
          <w:szCs w:val="21"/>
        </w:rPr>
        <w:t>的</w:t>
      </w:r>
      <w:r>
        <w:rPr>
          <w:rFonts w:hint="eastAsia" w:ascii="宋体" w:hAnsi="宋体" w:eastAsia="宋体" w:cs="Times New Roman"/>
          <w:sz w:val="21"/>
          <w:szCs w:val="21"/>
          <w:u w:val="single"/>
        </w:rPr>
        <w:t>（单位名称）</w:t>
      </w:r>
      <w:r>
        <w:rPr>
          <w:rFonts w:hint="eastAsia" w:ascii="宋体" w:hAnsi="宋体" w:eastAsia="宋体" w:cs="Times New Roman"/>
          <w:sz w:val="21"/>
          <w:szCs w:val="21"/>
        </w:rPr>
        <w:t>的在下面签字的</w:t>
      </w:r>
      <w:r>
        <w:rPr>
          <w:rFonts w:hint="eastAsia" w:ascii="宋体" w:hAnsi="宋体" w:eastAsia="宋体" w:cs="Times New Roman"/>
          <w:sz w:val="21"/>
          <w:szCs w:val="21"/>
          <w:u w:val="single"/>
        </w:rPr>
        <w:t>（法定代表人姓名、职务）</w:t>
      </w:r>
      <w:r>
        <w:rPr>
          <w:rFonts w:hint="eastAsia" w:ascii="宋体" w:hAnsi="宋体" w:eastAsia="宋体" w:cs="Times New Roman"/>
          <w:sz w:val="21"/>
          <w:szCs w:val="21"/>
        </w:rPr>
        <w:t>代表本单位授权</w:t>
      </w:r>
      <w:r>
        <w:rPr>
          <w:rFonts w:hint="eastAsia" w:ascii="宋体" w:hAnsi="宋体" w:eastAsia="宋体" w:cs="Times New Roman"/>
          <w:sz w:val="21"/>
          <w:szCs w:val="21"/>
          <w:u w:val="single"/>
        </w:rPr>
        <w:t>（单位名称）</w:t>
      </w:r>
      <w:r>
        <w:rPr>
          <w:rFonts w:hint="eastAsia" w:ascii="宋体" w:hAnsi="宋体" w:eastAsia="宋体" w:cs="Times New Roman"/>
          <w:sz w:val="21"/>
          <w:szCs w:val="21"/>
        </w:rPr>
        <w:t>的在下面签字的</w:t>
      </w:r>
      <w:r>
        <w:rPr>
          <w:rFonts w:hint="eastAsia" w:ascii="宋体" w:hAnsi="宋体" w:eastAsia="宋体" w:cs="Times New Roman"/>
          <w:sz w:val="21"/>
          <w:szCs w:val="21"/>
          <w:u w:val="single"/>
        </w:rPr>
        <w:t>（被授权人的姓名、职务）</w:t>
      </w:r>
      <w:r>
        <w:rPr>
          <w:rFonts w:hint="eastAsia" w:ascii="宋体" w:hAnsi="宋体" w:eastAsia="宋体" w:cs="Times New Roman"/>
          <w:sz w:val="21"/>
          <w:szCs w:val="21"/>
        </w:rPr>
        <w:t>为本单位的合法代理人，就</w:t>
      </w:r>
      <w:r>
        <w:rPr>
          <w:rFonts w:hint="eastAsia" w:ascii="宋体" w:hAnsi="宋体" w:eastAsia="宋体" w:cs="Times New Roman"/>
          <w:sz w:val="21"/>
          <w:szCs w:val="21"/>
          <w:u w:val="single"/>
        </w:rPr>
        <w:t>（项目名称）</w:t>
      </w:r>
      <w:r>
        <w:rPr>
          <w:rFonts w:hint="eastAsia" w:ascii="宋体" w:hAnsi="宋体" w:eastAsia="宋体" w:cs="Times New Roman"/>
          <w:sz w:val="21"/>
          <w:szCs w:val="21"/>
        </w:rPr>
        <w:t>磋商及参加项目响应，以本单位名义处理一切与之有关的事务。</w:t>
      </w:r>
    </w:p>
    <w:p>
      <w:pPr>
        <w:spacing w:after="0" w:line="360" w:lineRule="auto"/>
        <w:ind w:firstLine="315" w:firstLineChars="150"/>
        <w:rPr>
          <w:rFonts w:ascii="宋体" w:hAnsi="宋体" w:eastAsia="宋体" w:cs="Times New Roman"/>
          <w:sz w:val="21"/>
          <w:szCs w:val="21"/>
        </w:rPr>
      </w:pPr>
      <w:r>
        <w:rPr>
          <w:rFonts w:hint="eastAsia" w:ascii="宋体" w:hAnsi="宋体" w:eastAsia="宋体" w:cs="Times New Roman"/>
          <w:sz w:val="21"/>
          <w:szCs w:val="21"/>
        </w:rPr>
        <w:t>本授权书于</w:t>
      </w:r>
      <w:r>
        <w:rPr>
          <w:rFonts w:hint="eastAsia" w:ascii="宋体" w:hAnsi="宋体" w:eastAsia="宋体" w:cs="Times New Roman"/>
          <w:sz w:val="21"/>
          <w:szCs w:val="21"/>
          <w:u w:val="single"/>
        </w:rPr>
        <w:t>　　</w:t>
      </w:r>
      <w:r>
        <w:rPr>
          <w:rFonts w:hint="eastAsia" w:ascii="宋体" w:hAnsi="宋体" w:eastAsia="宋体" w:cs="Times New Roman"/>
          <w:sz w:val="21"/>
          <w:szCs w:val="21"/>
        </w:rPr>
        <w:t>年</w:t>
      </w:r>
      <w:r>
        <w:rPr>
          <w:rFonts w:hint="eastAsia" w:ascii="宋体" w:hAnsi="宋体" w:eastAsia="宋体" w:cs="Times New Roman"/>
          <w:sz w:val="21"/>
          <w:szCs w:val="21"/>
          <w:u w:val="single"/>
        </w:rPr>
        <w:t>　　</w:t>
      </w:r>
      <w:r>
        <w:rPr>
          <w:rFonts w:hint="eastAsia" w:ascii="宋体" w:hAnsi="宋体" w:eastAsia="宋体" w:cs="Times New Roman"/>
          <w:sz w:val="21"/>
          <w:szCs w:val="21"/>
        </w:rPr>
        <w:t>月</w:t>
      </w:r>
      <w:r>
        <w:rPr>
          <w:rFonts w:hint="eastAsia" w:ascii="宋体" w:hAnsi="宋体" w:eastAsia="宋体" w:cs="Times New Roman"/>
          <w:sz w:val="21"/>
          <w:szCs w:val="21"/>
          <w:u w:val="single"/>
        </w:rPr>
        <w:t>　　</w:t>
      </w:r>
      <w:r>
        <w:rPr>
          <w:rFonts w:hint="eastAsia" w:ascii="宋体" w:hAnsi="宋体" w:eastAsia="宋体" w:cs="Times New Roman"/>
          <w:sz w:val="21"/>
          <w:szCs w:val="21"/>
        </w:rPr>
        <w:t>日签字生效，特此声明。</w:t>
      </w:r>
    </w:p>
    <w:p>
      <w:pPr>
        <w:pStyle w:val="26"/>
        <w:spacing w:line="500" w:lineRule="atLeast"/>
        <w:ind w:firstLine="3517" w:firstLineChars="1675"/>
        <w:rPr>
          <w:rFonts w:ascii="宋体" w:eastAsia="宋体"/>
          <w:sz w:val="21"/>
          <w:szCs w:val="21"/>
        </w:rPr>
      </w:pPr>
    </w:p>
    <w:p>
      <w:pPr>
        <w:pStyle w:val="26"/>
        <w:spacing w:line="500" w:lineRule="atLeast"/>
        <w:ind w:firstLine="3517" w:firstLineChars="1675"/>
        <w:rPr>
          <w:rFonts w:ascii="宋体" w:eastAsia="宋体"/>
          <w:sz w:val="21"/>
          <w:szCs w:val="21"/>
        </w:rPr>
      </w:pPr>
      <w:r>
        <w:rPr>
          <w:rFonts w:hint="eastAsia" w:ascii="宋体" w:eastAsia="宋体"/>
          <w:sz w:val="21"/>
          <w:szCs w:val="21"/>
        </w:rPr>
        <w:t>供应商名称（加盖公章）：</w:t>
      </w:r>
    </w:p>
    <w:p>
      <w:pPr>
        <w:pStyle w:val="26"/>
        <w:spacing w:line="500" w:lineRule="atLeast"/>
        <w:ind w:firstLine="3517" w:firstLineChars="1675"/>
        <w:rPr>
          <w:rFonts w:ascii="宋体" w:eastAsia="宋体"/>
          <w:sz w:val="21"/>
          <w:szCs w:val="21"/>
          <w:u w:val="single"/>
        </w:rPr>
      </w:pPr>
      <w:r>
        <w:rPr>
          <w:rFonts w:hint="eastAsia" w:ascii="宋体" w:eastAsia="宋体"/>
          <w:sz w:val="21"/>
          <w:szCs w:val="21"/>
        </w:rPr>
        <w:t>法定代表人签字（签名或盖私章）：</w:t>
      </w:r>
    </w:p>
    <w:p>
      <w:pPr>
        <w:pStyle w:val="26"/>
        <w:spacing w:line="500" w:lineRule="atLeast"/>
        <w:ind w:firstLine="3517" w:firstLineChars="1675"/>
        <w:rPr>
          <w:rFonts w:ascii="宋体" w:eastAsia="宋体"/>
          <w:sz w:val="21"/>
          <w:szCs w:val="21"/>
        </w:rPr>
      </w:pPr>
      <w:r>
        <w:rPr>
          <w:rFonts w:hint="eastAsia" w:ascii="宋体" w:eastAsia="宋体"/>
          <w:sz w:val="21"/>
          <w:szCs w:val="21"/>
        </w:rPr>
        <w:t>被授权人签字：</w:t>
      </w:r>
    </w:p>
    <w:p>
      <w:pPr>
        <w:pStyle w:val="26"/>
        <w:spacing w:line="500" w:lineRule="atLeast"/>
        <w:ind w:firstLine="3517" w:firstLineChars="1675"/>
        <w:rPr>
          <w:rFonts w:ascii="宋体" w:eastAsia="宋体"/>
          <w:sz w:val="21"/>
          <w:szCs w:val="21"/>
          <w:u w:val="single"/>
        </w:rPr>
      </w:pPr>
      <w:r>
        <w:rPr>
          <w:rFonts w:hint="eastAsia" w:ascii="宋体" w:eastAsia="宋体"/>
          <w:sz w:val="21"/>
          <w:szCs w:val="21"/>
        </w:rPr>
        <w:t>职务：</w:t>
      </w:r>
    </w:p>
    <w:p>
      <w:pPr>
        <w:pStyle w:val="26"/>
        <w:spacing w:line="500" w:lineRule="atLeast"/>
        <w:ind w:firstLine="3517" w:firstLineChars="1675"/>
        <w:rPr>
          <w:rFonts w:ascii="宋体" w:eastAsia="宋体"/>
          <w:sz w:val="21"/>
          <w:szCs w:val="21"/>
        </w:rPr>
      </w:pPr>
      <w:r>
        <w:rPr>
          <w:rFonts w:hint="eastAsia" w:ascii="宋体" w:eastAsia="宋体"/>
          <w:sz w:val="21"/>
          <w:szCs w:val="21"/>
        </w:rPr>
        <w:t xml:space="preserve">移动电话： </w:t>
      </w:r>
    </w:p>
    <w:p>
      <w:pPr>
        <w:pStyle w:val="26"/>
        <w:spacing w:line="500" w:lineRule="atLeast"/>
        <w:ind w:firstLine="3517" w:firstLineChars="1675"/>
        <w:rPr>
          <w:rFonts w:ascii="宋体" w:eastAsia="宋体"/>
          <w:sz w:val="21"/>
          <w:szCs w:val="21"/>
        </w:rPr>
      </w:pPr>
      <w:r>
        <w:rPr>
          <w:rFonts w:hint="eastAsia" w:ascii="宋体" w:eastAsia="宋体"/>
          <w:sz w:val="21"/>
          <w:szCs w:val="21"/>
        </w:rPr>
        <w:t>详细通讯地址：</w:t>
      </w:r>
    </w:p>
    <w:p>
      <w:pPr>
        <w:pStyle w:val="26"/>
        <w:spacing w:line="500" w:lineRule="atLeast"/>
        <w:ind w:firstLine="3517" w:firstLineChars="1675"/>
        <w:rPr>
          <w:rFonts w:ascii="宋体" w:eastAsia="宋体"/>
          <w:sz w:val="21"/>
          <w:szCs w:val="21"/>
        </w:rPr>
      </w:pPr>
      <w:r>
        <w:rPr>
          <w:rFonts w:hint="eastAsia" w:ascii="宋体" w:eastAsia="宋体"/>
          <w:sz w:val="21"/>
          <w:szCs w:val="21"/>
        </w:rPr>
        <w:t xml:space="preserve">邮箱：                          </w:t>
      </w:r>
    </w:p>
    <w:p>
      <w:pPr>
        <w:pStyle w:val="26"/>
        <w:spacing w:line="500" w:lineRule="atLeast"/>
        <w:ind w:firstLine="3507" w:firstLineChars="1670"/>
        <w:rPr>
          <w:rFonts w:ascii="宋体" w:eastAsia="宋体"/>
          <w:sz w:val="21"/>
          <w:szCs w:val="21"/>
        </w:rPr>
      </w:pPr>
      <w:r>
        <w:rPr>
          <w:rFonts w:hint="eastAsia" w:ascii="宋体" w:eastAsia="宋体"/>
          <w:sz w:val="21"/>
          <w:szCs w:val="21"/>
        </w:rPr>
        <w:t>日     期：年月日</w:t>
      </w:r>
    </w:p>
    <w:p>
      <w:pPr>
        <w:pStyle w:val="26"/>
        <w:spacing w:line="460" w:lineRule="exact"/>
        <w:ind w:firstLine="433"/>
        <w:rPr>
          <w:rFonts w:ascii="宋体" w:eastAsia="宋体"/>
          <w:sz w:val="21"/>
          <w:szCs w:val="21"/>
        </w:rPr>
      </w:pPr>
    </w:p>
    <w:p>
      <w:pPr>
        <w:ind w:firstLine="420" w:firstLineChars="200"/>
        <w:rPr>
          <w:rFonts w:eastAsia="宋体"/>
        </w:rPr>
      </w:pPr>
      <w:r>
        <w:rPr>
          <w:rFonts w:hint="eastAsia" w:ascii="宋体" w:hAnsi="宋体" w:eastAsia="宋体"/>
          <w:sz w:val="21"/>
          <w:szCs w:val="21"/>
        </w:rPr>
        <w:t>须附：被授权人身份证复印件。</w:t>
      </w:r>
    </w:p>
    <w:tbl>
      <w:tblPr>
        <w:tblStyle w:val="21"/>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26"/>
              <w:spacing w:line="460" w:lineRule="exact"/>
              <w:ind w:firstLine="0" w:firstLineChars="0"/>
              <w:jc w:val="center"/>
              <w:rPr>
                <w:rFonts w:ascii="宋体" w:eastAsia="宋体"/>
                <w:sz w:val="22"/>
              </w:rPr>
            </w:pPr>
            <w:r>
              <w:rPr>
                <w:rFonts w:hint="eastAsia" w:ascii="宋体" w:eastAsia="宋体"/>
                <w:sz w:val="22"/>
              </w:rPr>
              <w:t>正面</w:t>
            </w:r>
          </w:p>
        </w:tc>
        <w:tc>
          <w:tcPr>
            <w:tcW w:w="4232" w:type="dxa"/>
            <w:vAlign w:val="center"/>
          </w:tcPr>
          <w:p>
            <w:pPr>
              <w:pStyle w:val="26"/>
              <w:spacing w:line="460" w:lineRule="exact"/>
              <w:ind w:firstLine="0" w:firstLineChars="0"/>
              <w:jc w:val="center"/>
              <w:rPr>
                <w:rFonts w:ascii="宋体" w:eastAsia="宋体"/>
                <w:sz w:val="22"/>
              </w:rPr>
            </w:pPr>
            <w:r>
              <w:rPr>
                <w:rFonts w:hint="eastAsia" w:ascii="宋体" w:eastAsia="宋体"/>
                <w:sz w:val="22"/>
              </w:rPr>
              <w:t>背面</w:t>
            </w:r>
          </w:p>
        </w:tc>
      </w:tr>
    </w:tbl>
    <w:p>
      <w:pPr>
        <w:adjustRightInd/>
        <w:snapToGrid/>
        <w:spacing w:line="276" w:lineRule="auto"/>
      </w:pPr>
      <w:bookmarkStart w:id="149" w:name="_Toc22486"/>
      <w:r>
        <w:rPr>
          <w:rFonts w:hint="eastAsia" w:ascii="宋体" w:hAnsi="宋体" w:eastAsia="宋体"/>
          <w:sz w:val="21"/>
          <w:szCs w:val="21"/>
        </w:rPr>
        <w:br w:type="page"/>
      </w:r>
    </w:p>
    <w:p>
      <w:pPr>
        <w:pStyle w:val="7"/>
        <w:widowControl w:val="0"/>
        <w:overflowPunct w:val="0"/>
        <w:spacing w:before="0" w:after="0" w:line="240" w:lineRule="auto"/>
        <w:rPr>
          <w:rFonts w:ascii="宋体" w:hAnsi="宋体" w:eastAsia="宋体"/>
          <w:sz w:val="21"/>
          <w:szCs w:val="21"/>
        </w:rPr>
      </w:pPr>
      <w:bookmarkStart w:id="150" w:name="_Toc14777"/>
      <w:r>
        <w:rPr>
          <w:rFonts w:hint="eastAsia" w:ascii="宋体" w:hAnsi="宋体" w:eastAsia="宋体"/>
          <w:sz w:val="21"/>
          <w:szCs w:val="21"/>
        </w:rPr>
        <w:t>附件7.资格申明</w:t>
      </w:r>
      <w:bookmarkEnd w:id="150"/>
    </w:p>
    <w:p>
      <w:pPr>
        <w:jc w:val="center"/>
        <w:rPr>
          <w:rFonts w:ascii="黑体" w:eastAsia="黑体"/>
          <w:sz w:val="28"/>
          <w:szCs w:val="28"/>
        </w:rPr>
      </w:pPr>
      <w:r>
        <w:rPr>
          <w:rFonts w:hint="eastAsia" w:ascii="黑体" w:eastAsia="黑体"/>
          <w:sz w:val="28"/>
          <w:szCs w:val="28"/>
        </w:rPr>
        <w:t>资格申明</w:t>
      </w:r>
    </w:p>
    <w:p>
      <w:pPr>
        <w:pStyle w:val="26"/>
        <w:spacing w:line="420" w:lineRule="atLeast"/>
        <w:ind w:firstLine="0" w:firstLineChars="0"/>
        <w:rPr>
          <w:rFonts w:ascii="宋体" w:eastAsia="宋体"/>
          <w:sz w:val="21"/>
          <w:szCs w:val="21"/>
        </w:rPr>
      </w:pPr>
      <w:r>
        <w:rPr>
          <w:rFonts w:hint="eastAsia" w:ascii="宋体" w:eastAsia="宋体"/>
          <w:sz w:val="21"/>
          <w:szCs w:val="21"/>
        </w:rPr>
        <w:t>三方诚信招标有限公司东莞分公司：</w:t>
      </w:r>
    </w:p>
    <w:p>
      <w:pPr>
        <w:spacing w:after="0" w:line="360" w:lineRule="auto"/>
        <w:ind w:firstLine="420" w:firstLineChars="200"/>
        <w:rPr>
          <w:rFonts w:ascii="宋体" w:hAnsi="宋体" w:eastAsia="宋体"/>
          <w:sz w:val="21"/>
          <w:szCs w:val="21"/>
        </w:rPr>
      </w:pP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我方</w:t>
      </w:r>
      <w:r>
        <w:rPr>
          <w:rFonts w:ascii="宋体" w:hAnsi="宋体" w:eastAsia="宋体"/>
          <w:sz w:val="21"/>
          <w:szCs w:val="21"/>
        </w:rPr>
        <w:t>愿响应</w:t>
      </w:r>
      <w:r>
        <w:rPr>
          <w:rFonts w:hint="eastAsia" w:ascii="宋体" w:hAnsi="宋体" w:eastAsia="宋体"/>
          <w:sz w:val="21"/>
          <w:szCs w:val="21"/>
        </w:rPr>
        <w:t>贵</w:t>
      </w:r>
      <w:r>
        <w:rPr>
          <w:rFonts w:ascii="宋体" w:hAnsi="宋体" w:eastAsia="宋体"/>
          <w:sz w:val="21"/>
          <w:szCs w:val="21"/>
        </w:rPr>
        <w:t>方</w:t>
      </w:r>
      <w:r>
        <w:rPr>
          <w:rFonts w:hint="eastAsia" w:ascii="宋体" w:hAnsi="宋体" w:eastAsia="宋体"/>
          <w:sz w:val="21"/>
          <w:szCs w:val="21"/>
        </w:rPr>
        <w:t>关于（项目名称）</w:t>
      </w:r>
      <w:r>
        <w:rPr>
          <w:rFonts w:ascii="宋体" w:hAnsi="宋体" w:eastAsia="宋体"/>
          <w:sz w:val="21"/>
          <w:szCs w:val="21"/>
        </w:rPr>
        <w:t>（</w:t>
      </w:r>
      <w:r>
        <w:rPr>
          <w:rFonts w:hint="eastAsia" w:ascii="宋体" w:hAnsi="宋体" w:eastAsia="宋体"/>
          <w:sz w:val="21"/>
          <w:szCs w:val="21"/>
        </w:rPr>
        <w:t>项目编号</w:t>
      </w:r>
      <w:r>
        <w:rPr>
          <w:rFonts w:ascii="宋体" w:hAnsi="宋体" w:eastAsia="宋体"/>
          <w:sz w:val="21"/>
          <w:szCs w:val="21"/>
        </w:rPr>
        <w:t>）</w:t>
      </w:r>
      <w:r>
        <w:rPr>
          <w:rFonts w:hint="eastAsia" w:ascii="宋体" w:hAnsi="宋体" w:eastAsia="宋体"/>
          <w:sz w:val="21"/>
          <w:szCs w:val="21"/>
        </w:rPr>
        <w:t>的磋商</w:t>
      </w:r>
      <w:r>
        <w:rPr>
          <w:rFonts w:ascii="宋体" w:hAnsi="宋体" w:eastAsia="宋体"/>
          <w:sz w:val="21"/>
          <w:szCs w:val="21"/>
        </w:rPr>
        <w:t>邀请，参与</w:t>
      </w:r>
      <w:r>
        <w:rPr>
          <w:rFonts w:hint="eastAsia" w:ascii="宋体" w:hAnsi="宋体" w:eastAsia="宋体"/>
          <w:sz w:val="21"/>
          <w:szCs w:val="21"/>
        </w:rPr>
        <w:t>响应</w:t>
      </w:r>
      <w:r>
        <w:rPr>
          <w:rFonts w:ascii="宋体" w:hAnsi="宋体" w:eastAsia="宋体"/>
          <w:sz w:val="21"/>
          <w:szCs w:val="21"/>
        </w:rPr>
        <w:t>，提供用户需求书中规定的</w:t>
      </w:r>
      <w:r>
        <w:rPr>
          <w:rFonts w:hint="eastAsia" w:ascii="宋体" w:hAnsi="宋体" w:eastAsia="宋体"/>
          <w:sz w:val="21"/>
          <w:szCs w:val="21"/>
        </w:rPr>
        <w:t>货物及相关服务</w:t>
      </w:r>
      <w:r>
        <w:rPr>
          <w:rFonts w:ascii="宋体" w:hAnsi="宋体" w:eastAsia="宋体"/>
          <w:sz w:val="21"/>
          <w:szCs w:val="21"/>
        </w:rPr>
        <w:t>，并按</w:t>
      </w:r>
      <w:r>
        <w:rPr>
          <w:rFonts w:hint="eastAsia" w:ascii="宋体" w:hAnsi="宋体" w:eastAsia="宋体"/>
          <w:sz w:val="21"/>
          <w:szCs w:val="21"/>
        </w:rPr>
        <w:t>磋商文件</w:t>
      </w:r>
      <w:r>
        <w:rPr>
          <w:rFonts w:ascii="宋体" w:hAnsi="宋体" w:eastAsia="宋体"/>
          <w:sz w:val="21"/>
          <w:szCs w:val="21"/>
        </w:rPr>
        <w:t>要求提交所附资格文件且声明和保证如下：</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一、我方具备《中华人民共和国政府采购法》第二十二条资格条件，已清楚磋商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二、</w:t>
      </w:r>
      <w:r>
        <w:rPr>
          <w:rFonts w:ascii="宋体" w:hAnsi="宋体" w:eastAsia="宋体"/>
          <w:sz w:val="21"/>
          <w:szCs w:val="21"/>
        </w:rPr>
        <w:t>我方依法注册，在法律上、财务上和运作上完全独立于（采购人名称）（采购人）及</w:t>
      </w:r>
      <w:r>
        <w:rPr>
          <w:rFonts w:hint="eastAsia" w:ascii="宋体" w:hAnsi="宋体" w:eastAsia="宋体"/>
          <w:sz w:val="21"/>
          <w:szCs w:val="21"/>
        </w:rPr>
        <w:t>三方诚信招标有限公司东莞分公司</w:t>
      </w:r>
      <w:r>
        <w:rPr>
          <w:rFonts w:ascii="宋体" w:hAnsi="宋体" w:eastAsia="宋体"/>
          <w:sz w:val="21"/>
          <w:szCs w:val="21"/>
        </w:rPr>
        <w:t>（采购代理机构）</w:t>
      </w:r>
      <w:r>
        <w:rPr>
          <w:rFonts w:hint="eastAsia" w:ascii="宋体" w:hAnsi="宋体" w:eastAsia="宋体"/>
          <w:sz w:val="21"/>
          <w:szCs w:val="21"/>
        </w:rPr>
        <w:t>。</w:t>
      </w:r>
    </w:p>
    <w:p>
      <w:pPr>
        <w:pStyle w:val="26"/>
        <w:spacing w:line="500" w:lineRule="atLeast"/>
        <w:ind w:firstLine="3517" w:firstLineChars="1675"/>
        <w:rPr>
          <w:rFonts w:ascii="宋体" w:eastAsia="宋体"/>
          <w:sz w:val="21"/>
          <w:szCs w:val="21"/>
        </w:rPr>
      </w:pPr>
    </w:p>
    <w:p>
      <w:pPr>
        <w:pStyle w:val="26"/>
        <w:spacing w:line="500" w:lineRule="atLeast"/>
        <w:ind w:firstLine="3517" w:firstLineChars="1675"/>
        <w:rPr>
          <w:rFonts w:ascii="宋体" w:eastAsia="宋体"/>
          <w:sz w:val="21"/>
          <w:szCs w:val="21"/>
        </w:rPr>
      </w:pPr>
    </w:p>
    <w:p>
      <w:pPr>
        <w:pStyle w:val="26"/>
        <w:spacing w:line="500" w:lineRule="atLeast"/>
        <w:ind w:firstLine="433"/>
        <w:rPr>
          <w:rFonts w:ascii="宋体" w:eastAsia="宋体"/>
          <w:sz w:val="21"/>
          <w:szCs w:val="21"/>
        </w:rPr>
      </w:pPr>
      <w:r>
        <w:rPr>
          <w:rFonts w:hint="eastAsia" w:ascii="宋体" w:eastAsia="宋体"/>
          <w:sz w:val="21"/>
          <w:szCs w:val="21"/>
        </w:rPr>
        <w:t>供应商名称（加盖公章）：</w:t>
      </w:r>
    </w:p>
    <w:p>
      <w:pPr>
        <w:pStyle w:val="26"/>
        <w:spacing w:line="500" w:lineRule="atLeast"/>
        <w:ind w:firstLine="433"/>
        <w:rPr>
          <w:rFonts w:ascii="宋体" w:eastAsia="宋体"/>
          <w:sz w:val="21"/>
          <w:szCs w:val="21"/>
        </w:rPr>
      </w:pPr>
      <w:r>
        <w:rPr>
          <w:rFonts w:hint="eastAsia" w:ascii="宋体" w:eastAsia="宋体"/>
          <w:sz w:val="21"/>
          <w:szCs w:val="21"/>
        </w:rPr>
        <w:t>法定代表人签字（签名或盖私章）：</w:t>
      </w:r>
    </w:p>
    <w:p>
      <w:pPr>
        <w:pStyle w:val="26"/>
        <w:spacing w:line="500" w:lineRule="atLeast"/>
        <w:ind w:firstLine="433"/>
        <w:rPr>
          <w:rFonts w:ascii="宋体" w:eastAsia="宋体"/>
          <w:sz w:val="21"/>
          <w:szCs w:val="21"/>
        </w:rPr>
      </w:pPr>
      <w:r>
        <w:rPr>
          <w:rFonts w:hint="eastAsia" w:ascii="宋体" w:eastAsia="宋体"/>
          <w:sz w:val="21"/>
          <w:szCs w:val="21"/>
        </w:rPr>
        <w:t>日     期：年月日</w:t>
      </w:r>
    </w:p>
    <w:p>
      <w:pPr>
        <w:pStyle w:val="26"/>
        <w:spacing w:line="500" w:lineRule="atLeast"/>
        <w:ind w:firstLine="433"/>
        <w:rPr>
          <w:rFonts w:ascii="宋体" w:eastAsia="宋体"/>
          <w:sz w:val="21"/>
          <w:szCs w:val="21"/>
        </w:rPr>
      </w:pPr>
      <w:r>
        <w:rPr>
          <w:rFonts w:hint="eastAsia" w:ascii="宋体" w:eastAsia="宋体"/>
          <w:sz w:val="21"/>
          <w:szCs w:val="21"/>
        </w:rPr>
        <w:br w:type="page"/>
      </w:r>
    </w:p>
    <w:p>
      <w:pPr>
        <w:pStyle w:val="7"/>
        <w:widowControl w:val="0"/>
        <w:overflowPunct w:val="0"/>
        <w:spacing w:before="0" w:after="0" w:line="240" w:lineRule="auto"/>
        <w:rPr>
          <w:rFonts w:ascii="宋体" w:hAnsi="宋体" w:eastAsia="宋体"/>
          <w:sz w:val="21"/>
          <w:szCs w:val="21"/>
        </w:rPr>
      </w:pPr>
      <w:bookmarkStart w:id="151" w:name="_Toc26001"/>
      <w:r>
        <w:rPr>
          <w:rFonts w:hint="eastAsia" w:ascii="宋体" w:hAnsi="宋体" w:eastAsia="宋体"/>
          <w:sz w:val="21"/>
          <w:szCs w:val="21"/>
        </w:rPr>
        <w:t>附件8.营业执照</w:t>
      </w:r>
      <w:bookmarkEnd w:id="151"/>
    </w:p>
    <w:p>
      <w:pPr>
        <w:jc w:val="center"/>
        <w:rPr>
          <w:rFonts w:ascii="黑体" w:eastAsia="黑体"/>
          <w:sz w:val="28"/>
          <w:szCs w:val="28"/>
        </w:rPr>
      </w:pPr>
      <w:bookmarkStart w:id="152" w:name="_Toc17470"/>
      <w:bookmarkStart w:id="153" w:name="_Toc4926"/>
      <w:bookmarkStart w:id="154" w:name="_Toc5919"/>
      <w:bookmarkStart w:id="155" w:name="_Toc24210"/>
      <w:bookmarkStart w:id="156" w:name="_Toc1511"/>
      <w:r>
        <w:rPr>
          <w:rFonts w:hint="eastAsia" w:ascii="黑体" w:eastAsia="黑体"/>
          <w:sz w:val="28"/>
          <w:szCs w:val="28"/>
        </w:rPr>
        <w:t>营业执照</w:t>
      </w:r>
      <w:bookmarkEnd w:id="152"/>
      <w:bookmarkEnd w:id="153"/>
      <w:bookmarkEnd w:id="154"/>
      <w:bookmarkEnd w:id="155"/>
      <w:bookmarkEnd w:id="156"/>
    </w:p>
    <w:p>
      <w:pPr>
        <w:jc w:val="center"/>
        <w:rPr>
          <w:rFonts w:ascii="黑体" w:eastAsia="黑体"/>
          <w:sz w:val="28"/>
          <w:szCs w:val="28"/>
        </w:rPr>
      </w:pPr>
      <w:r>
        <w:rPr>
          <w:rFonts w:hint="eastAsia" w:ascii="黑体" w:eastAsia="黑体"/>
          <w:sz w:val="28"/>
          <w:szCs w:val="28"/>
        </w:rPr>
        <w:br w:type="page"/>
      </w:r>
    </w:p>
    <w:p>
      <w:pPr>
        <w:pStyle w:val="7"/>
        <w:widowControl w:val="0"/>
        <w:overflowPunct w:val="0"/>
        <w:spacing w:before="0" w:after="0" w:line="240" w:lineRule="auto"/>
        <w:rPr>
          <w:rFonts w:ascii="宋体" w:hAnsi="宋体" w:eastAsia="宋体"/>
          <w:sz w:val="21"/>
          <w:szCs w:val="21"/>
        </w:rPr>
      </w:pPr>
      <w:bookmarkStart w:id="157" w:name="_Toc3647"/>
      <w:r>
        <w:rPr>
          <w:rFonts w:hint="eastAsia" w:ascii="宋体" w:hAnsi="宋体" w:eastAsia="宋体"/>
          <w:sz w:val="21"/>
          <w:szCs w:val="21"/>
        </w:rPr>
        <w:t>附件9.相关资质证明文件</w:t>
      </w:r>
      <w:bookmarkEnd w:id="157"/>
    </w:p>
    <w:p/>
    <w:p>
      <w:pPr>
        <w:jc w:val="center"/>
        <w:rPr>
          <w:rFonts w:ascii="黑体" w:eastAsia="黑体"/>
          <w:sz w:val="28"/>
          <w:szCs w:val="28"/>
        </w:rPr>
      </w:pPr>
      <w:bookmarkStart w:id="158" w:name="_Toc30307"/>
      <w:bookmarkStart w:id="159" w:name="_Toc13458"/>
      <w:bookmarkStart w:id="160" w:name="_Toc9592"/>
      <w:bookmarkStart w:id="161" w:name="_Toc16698"/>
      <w:bookmarkStart w:id="162" w:name="_Toc16233"/>
      <w:r>
        <w:rPr>
          <w:rFonts w:hint="eastAsia" w:ascii="黑体" w:eastAsia="黑体"/>
          <w:sz w:val="28"/>
          <w:szCs w:val="28"/>
        </w:rPr>
        <w:t>相关资质证明文件</w:t>
      </w:r>
      <w:bookmarkEnd w:id="149"/>
      <w:bookmarkEnd w:id="158"/>
      <w:bookmarkEnd w:id="159"/>
      <w:bookmarkEnd w:id="160"/>
      <w:bookmarkEnd w:id="161"/>
      <w:bookmarkEnd w:id="162"/>
    </w:p>
    <w:p>
      <w:pPr>
        <w:jc w:val="center"/>
        <w:rPr>
          <w:rFonts w:ascii="黑体" w:eastAsia="黑体"/>
          <w:sz w:val="28"/>
          <w:szCs w:val="28"/>
        </w:rPr>
      </w:pPr>
      <w:r>
        <w:rPr>
          <w:rFonts w:hint="eastAsia" w:ascii="黑体" w:eastAsia="黑体"/>
          <w:sz w:val="28"/>
          <w:szCs w:val="28"/>
        </w:rPr>
        <w:br w:type="page"/>
      </w:r>
    </w:p>
    <w:p>
      <w:pPr>
        <w:pStyle w:val="7"/>
        <w:widowControl w:val="0"/>
        <w:overflowPunct w:val="0"/>
        <w:spacing w:before="0" w:after="0" w:line="240" w:lineRule="auto"/>
        <w:rPr>
          <w:rFonts w:ascii="宋体" w:hAnsi="宋体" w:eastAsia="宋体"/>
          <w:sz w:val="21"/>
          <w:szCs w:val="21"/>
        </w:rPr>
      </w:pPr>
      <w:bookmarkStart w:id="163" w:name="_Toc6466"/>
      <w:r>
        <w:rPr>
          <w:rFonts w:hint="eastAsia" w:ascii="宋体" w:hAnsi="宋体" w:eastAsia="宋体"/>
          <w:sz w:val="21"/>
          <w:szCs w:val="21"/>
        </w:rPr>
        <w:t>附件10.商务条款偏离表格式</w:t>
      </w:r>
      <w:bookmarkEnd w:id="163"/>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商务条款偏离表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636"/>
        <w:gridCol w:w="1372"/>
        <w:gridCol w:w="1602"/>
        <w:gridCol w:w="1144"/>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97" w:type="pct"/>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960" w:type="pct"/>
            <w:vAlign w:val="center"/>
          </w:tcPr>
          <w:p>
            <w:pPr>
              <w:spacing w:after="0"/>
              <w:jc w:val="center"/>
              <w:rPr>
                <w:rFonts w:ascii="宋体" w:hAnsi="宋体" w:eastAsia="宋体"/>
                <w:sz w:val="21"/>
                <w:szCs w:val="21"/>
              </w:rPr>
            </w:pPr>
            <w:r>
              <w:rPr>
                <w:rFonts w:hint="eastAsia" w:ascii="宋体" w:hAnsi="宋体" w:eastAsia="宋体"/>
                <w:sz w:val="21"/>
                <w:szCs w:val="21"/>
              </w:rPr>
              <w:t>商务条款名称</w:t>
            </w:r>
          </w:p>
        </w:tc>
        <w:tc>
          <w:tcPr>
            <w:tcW w:w="805" w:type="pct"/>
            <w:vAlign w:val="center"/>
          </w:tcPr>
          <w:p>
            <w:pPr>
              <w:spacing w:after="0"/>
              <w:jc w:val="center"/>
              <w:rPr>
                <w:rFonts w:ascii="宋体" w:hAnsi="宋体" w:eastAsia="宋体"/>
                <w:sz w:val="21"/>
                <w:szCs w:val="21"/>
              </w:rPr>
            </w:pPr>
            <w:r>
              <w:rPr>
                <w:rFonts w:hint="eastAsia" w:ascii="宋体" w:hAnsi="宋体" w:eastAsia="宋体"/>
                <w:sz w:val="21"/>
                <w:szCs w:val="21"/>
              </w:rPr>
              <w:t>磋商要求</w:t>
            </w:r>
          </w:p>
        </w:tc>
        <w:tc>
          <w:tcPr>
            <w:tcW w:w="940" w:type="pct"/>
            <w:vAlign w:val="center"/>
          </w:tcPr>
          <w:p>
            <w:pPr>
              <w:spacing w:after="0"/>
              <w:jc w:val="center"/>
              <w:rPr>
                <w:rFonts w:ascii="宋体" w:hAnsi="宋体" w:eastAsia="宋体"/>
                <w:sz w:val="21"/>
                <w:szCs w:val="21"/>
              </w:rPr>
            </w:pPr>
            <w:r>
              <w:rPr>
                <w:rFonts w:hint="eastAsia" w:ascii="宋体" w:hAnsi="宋体" w:eastAsia="宋体"/>
                <w:sz w:val="21"/>
                <w:szCs w:val="21"/>
              </w:rPr>
              <w:t>磋商实际响应</w:t>
            </w:r>
          </w:p>
        </w:tc>
        <w:tc>
          <w:tcPr>
            <w:tcW w:w="671" w:type="pct"/>
            <w:vAlign w:val="center"/>
          </w:tcPr>
          <w:p>
            <w:pPr>
              <w:spacing w:after="0"/>
              <w:jc w:val="center"/>
              <w:rPr>
                <w:rFonts w:ascii="宋体" w:hAnsi="宋体" w:eastAsia="宋体"/>
                <w:sz w:val="21"/>
                <w:szCs w:val="21"/>
              </w:rPr>
            </w:pPr>
            <w:r>
              <w:rPr>
                <w:rFonts w:hint="eastAsia" w:ascii="宋体" w:hAnsi="宋体" w:eastAsia="宋体"/>
                <w:sz w:val="21"/>
                <w:szCs w:val="21"/>
              </w:rPr>
              <w:t>是否偏离</w:t>
            </w:r>
          </w:p>
        </w:tc>
        <w:tc>
          <w:tcPr>
            <w:tcW w:w="1025" w:type="pct"/>
            <w:vAlign w:val="center"/>
          </w:tcPr>
          <w:p>
            <w:pPr>
              <w:spacing w:after="0"/>
              <w:jc w:val="center"/>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sz w:val="21"/>
                <w:szCs w:val="21"/>
              </w:rPr>
            </w:pPr>
          </w:p>
        </w:tc>
        <w:tc>
          <w:tcPr>
            <w:tcW w:w="960" w:type="pct"/>
            <w:vAlign w:val="center"/>
          </w:tcPr>
          <w:p>
            <w:pPr>
              <w:jc w:val="center"/>
              <w:rPr>
                <w:rFonts w:ascii="宋体" w:hAnsi="宋体" w:eastAsia="宋体"/>
                <w:sz w:val="21"/>
                <w:szCs w:val="21"/>
              </w:rPr>
            </w:pPr>
          </w:p>
        </w:tc>
        <w:tc>
          <w:tcPr>
            <w:tcW w:w="805" w:type="pct"/>
            <w:vAlign w:val="center"/>
          </w:tcPr>
          <w:p>
            <w:pPr>
              <w:jc w:val="center"/>
              <w:rPr>
                <w:rFonts w:ascii="宋体" w:hAnsi="宋体" w:eastAsia="宋体"/>
                <w:sz w:val="21"/>
                <w:szCs w:val="21"/>
              </w:rPr>
            </w:pPr>
          </w:p>
        </w:tc>
        <w:tc>
          <w:tcPr>
            <w:tcW w:w="940" w:type="pct"/>
            <w:vAlign w:val="center"/>
          </w:tcPr>
          <w:p>
            <w:pPr>
              <w:jc w:val="center"/>
              <w:rPr>
                <w:rFonts w:ascii="宋体" w:hAnsi="宋体" w:eastAsia="宋体"/>
                <w:sz w:val="21"/>
                <w:szCs w:val="21"/>
              </w:rPr>
            </w:pPr>
          </w:p>
        </w:tc>
        <w:tc>
          <w:tcPr>
            <w:tcW w:w="671" w:type="pct"/>
            <w:vAlign w:val="center"/>
          </w:tcPr>
          <w:p>
            <w:pPr>
              <w:jc w:val="center"/>
              <w:rPr>
                <w:rFonts w:ascii="宋体" w:hAnsi="宋体" w:eastAsia="宋体"/>
                <w:sz w:val="21"/>
                <w:szCs w:val="21"/>
              </w:rPr>
            </w:pPr>
          </w:p>
        </w:tc>
        <w:tc>
          <w:tcPr>
            <w:tcW w:w="102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sz w:val="21"/>
                <w:szCs w:val="21"/>
              </w:rPr>
            </w:pPr>
          </w:p>
        </w:tc>
        <w:tc>
          <w:tcPr>
            <w:tcW w:w="960" w:type="pct"/>
            <w:vAlign w:val="center"/>
          </w:tcPr>
          <w:p>
            <w:pPr>
              <w:jc w:val="center"/>
              <w:rPr>
                <w:rFonts w:ascii="宋体" w:hAnsi="宋体" w:eastAsia="宋体"/>
                <w:sz w:val="21"/>
                <w:szCs w:val="21"/>
              </w:rPr>
            </w:pPr>
          </w:p>
        </w:tc>
        <w:tc>
          <w:tcPr>
            <w:tcW w:w="805" w:type="pct"/>
            <w:vAlign w:val="center"/>
          </w:tcPr>
          <w:p>
            <w:pPr>
              <w:jc w:val="center"/>
              <w:rPr>
                <w:rFonts w:ascii="宋体" w:hAnsi="宋体" w:eastAsia="宋体"/>
                <w:sz w:val="21"/>
                <w:szCs w:val="21"/>
              </w:rPr>
            </w:pPr>
          </w:p>
        </w:tc>
        <w:tc>
          <w:tcPr>
            <w:tcW w:w="940" w:type="pct"/>
            <w:vAlign w:val="center"/>
          </w:tcPr>
          <w:p>
            <w:pPr>
              <w:jc w:val="center"/>
              <w:rPr>
                <w:rFonts w:ascii="宋体" w:hAnsi="宋体" w:eastAsia="宋体"/>
                <w:sz w:val="21"/>
                <w:szCs w:val="21"/>
              </w:rPr>
            </w:pPr>
          </w:p>
        </w:tc>
        <w:tc>
          <w:tcPr>
            <w:tcW w:w="671" w:type="pct"/>
            <w:vAlign w:val="center"/>
          </w:tcPr>
          <w:p>
            <w:pPr>
              <w:jc w:val="center"/>
              <w:rPr>
                <w:rFonts w:ascii="宋体" w:hAnsi="宋体" w:eastAsia="宋体"/>
                <w:sz w:val="21"/>
                <w:szCs w:val="21"/>
              </w:rPr>
            </w:pPr>
          </w:p>
        </w:tc>
        <w:tc>
          <w:tcPr>
            <w:tcW w:w="102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sz w:val="21"/>
                <w:szCs w:val="21"/>
              </w:rPr>
            </w:pPr>
          </w:p>
        </w:tc>
        <w:tc>
          <w:tcPr>
            <w:tcW w:w="960" w:type="pct"/>
            <w:vAlign w:val="center"/>
          </w:tcPr>
          <w:p>
            <w:pPr>
              <w:jc w:val="center"/>
              <w:rPr>
                <w:rFonts w:ascii="宋体" w:hAnsi="宋体" w:eastAsia="宋体"/>
                <w:sz w:val="21"/>
                <w:szCs w:val="21"/>
              </w:rPr>
            </w:pPr>
          </w:p>
        </w:tc>
        <w:tc>
          <w:tcPr>
            <w:tcW w:w="805" w:type="pct"/>
            <w:vAlign w:val="center"/>
          </w:tcPr>
          <w:p>
            <w:pPr>
              <w:jc w:val="center"/>
              <w:rPr>
                <w:rFonts w:ascii="宋体" w:hAnsi="宋体" w:eastAsia="宋体"/>
                <w:sz w:val="21"/>
                <w:szCs w:val="21"/>
              </w:rPr>
            </w:pPr>
          </w:p>
        </w:tc>
        <w:tc>
          <w:tcPr>
            <w:tcW w:w="940" w:type="pct"/>
            <w:vAlign w:val="center"/>
          </w:tcPr>
          <w:p>
            <w:pPr>
              <w:jc w:val="center"/>
              <w:rPr>
                <w:rFonts w:ascii="宋体" w:hAnsi="宋体" w:eastAsia="宋体"/>
                <w:sz w:val="21"/>
                <w:szCs w:val="21"/>
              </w:rPr>
            </w:pPr>
          </w:p>
        </w:tc>
        <w:tc>
          <w:tcPr>
            <w:tcW w:w="671" w:type="pct"/>
            <w:vAlign w:val="center"/>
          </w:tcPr>
          <w:p>
            <w:pPr>
              <w:jc w:val="center"/>
              <w:rPr>
                <w:rFonts w:ascii="宋体" w:hAnsi="宋体" w:eastAsia="宋体"/>
                <w:sz w:val="21"/>
                <w:szCs w:val="21"/>
              </w:rPr>
            </w:pPr>
          </w:p>
        </w:tc>
        <w:tc>
          <w:tcPr>
            <w:tcW w:w="102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sz w:val="21"/>
                <w:szCs w:val="21"/>
              </w:rPr>
            </w:pPr>
          </w:p>
        </w:tc>
        <w:tc>
          <w:tcPr>
            <w:tcW w:w="960" w:type="pct"/>
            <w:vAlign w:val="center"/>
          </w:tcPr>
          <w:p>
            <w:pPr>
              <w:jc w:val="center"/>
              <w:rPr>
                <w:rFonts w:ascii="宋体" w:hAnsi="宋体" w:eastAsia="宋体"/>
                <w:sz w:val="21"/>
                <w:szCs w:val="21"/>
              </w:rPr>
            </w:pPr>
          </w:p>
        </w:tc>
        <w:tc>
          <w:tcPr>
            <w:tcW w:w="805" w:type="pct"/>
            <w:vAlign w:val="center"/>
          </w:tcPr>
          <w:p>
            <w:pPr>
              <w:jc w:val="center"/>
              <w:rPr>
                <w:rFonts w:ascii="宋体" w:hAnsi="宋体" w:eastAsia="宋体"/>
                <w:sz w:val="21"/>
                <w:szCs w:val="21"/>
              </w:rPr>
            </w:pPr>
          </w:p>
        </w:tc>
        <w:tc>
          <w:tcPr>
            <w:tcW w:w="940" w:type="pct"/>
            <w:vAlign w:val="center"/>
          </w:tcPr>
          <w:p>
            <w:pPr>
              <w:jc w:val="center"/>
              <w:rPr>
                <w:rFonts w:ascii="宋体" w:hAnsi="宋体" w:eastAsia="宋体"/>
                <w:sz w:val="21"/>
                <w:szCs w:val="21"/>
              </w:rPr>
            </w:pPr>
          </w:p>
        </w:tc>
        <w:tc>
          <w:tcPr>
            <w:tcW w:w="671" w:type="pct"/>
            <w:vAlign w:val="center"/>
          </w:tcPr>
          <w:p>
            <w:pPr>
              <w:jc w:val="center"/>
              <w:rPr>
                <w:rFonts w:ascii="宋体" w:hAnsi="宋体" w:eastAsia="宋体"/>
                <w:sz w:val="21"/>
                <w:szCs w:val="21"/>
              </w:rPr>
            </w:pPr>
          </w:p>
        </w:tc>
        <w:tc>
          <w:tcPr>
            <w:tcW w:w="102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sz w:val="21"/>
                <w:szCs w:val="21"/>
              </w:rPr>
            </w:pPr>
          </w:p>
        </w:tc>
        <w:tc>
          <w:tcPr>
            <w:tcW w:w="960" w:type="pct"/>
            <w:vAlign w:val="center"/>
          </w:tcPr>
          <w:p>
            <w:pPr>
              <w:jc w:val="center"/>
              <w:rPr>
                <w:rFonts w:ascii="宋体" w:hAnsi="宋体" w:eastAsia="宋体"/>
                <w:sz w:val="21"/>
                <w:szCs w:val="21"/>
              </w:rPr>
            </w:pPr>
          </w:p>
        </w:tc>
        <w:tc>
          <w:tcPr>
            <w:tcW w:w="805" w:type="pct"/>
            <w:vAlign w:val="center"/>
          </w:tcPr>
          <w:p>
            <w:pPr>
              <w:jc w:val="center"/>
              <w:rPr>
                <w:rFonts w:ascii="宋体" w:hAnsi="宋体" w:eastAsia="宋体"/>
                <w:sz w:val="21"/>
                <w:szCs w:val="21"/>
              </w:rPr>
            </w:pPr>
          </w:p>
        </w:tc>
        <w:tc>
          <w:tcPr>
            <w:tcW w:w="940" w:type="pct"/>
            <w:vAlign w:val="center"/>
          </w:tcPr>
          <w:p>
            <w:pPr>
              <w:jc w:val="center"/>
              <w:rPr>
                <w:rFonts w:ascii="宋体" w:hAnsi="宋体" w:eastAsia="宋体"/>
                <w:sz w:val="21"/>
                <w:szCs w:val="21"/>
              </w:rPr>
            </w:pPr>
          </w:p>
        </w:tc>
        <w:tc>
          <w:tcPr>
            <w:tcW w:w="671" w:type="pct"/>
            <w:vAlign w:val="center"/>
          </w:tcPr>
          <w:p>
            <w:pPr>
              <w:jc w:val="center"/>
              <w:rPr>
                <w:rFonts w:ascii="宋体" w:hAnsi="宋体" w:eastAsia="宋体"/>
                <w:sz w:val="21"/>
                <w:szCs w:val="21"/>
              </w:rPr>
            </w:pPr>
          </w:p>
        </w:tc>
        <w:tc>
          <w:tcPr>
            <w:tcW w:w="102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sz w:val="21"/>
                <w:szCs w:val="21"/>
              </w:rPr>
            </w:pPr>
          </w:p>
        </w:tc>
        <w:tc>
          <w:tcPr>
            <w:tcW w:w="960" w:type="pct"/>
            <w:vAlign w:val="center"/>
          </w:tcPr>
          <w:p>
            <w:pPr>
              <w:jc w:val="center"/>
              <w:rPr>
                <w:rFonts w:ascii="宋体" w:hAnsi="宋体" w:eastAsia="宋体"/>
                <w:sz w:val="21"/>
                <w:szCs w:val="21"/>
              </w:rPr>
            </w:pPr>
          </w:p>
        </w:tc>
        <w:tc>
          <w:tcPr>
            <w:tcW w:w="805" w:type="pct"/>
            <w:vAlign w:val="center"/>
          </w:tcPr>
          <w:p>
            <w:pPr>
              <w:jc w:val="center"/>
              <w:rPr>
                <w:rFonts w:ascii="宋体" w:hAnsi="宋体" w:eastAsia="宋体"/>
                <w:sz w:val="21"/>
                <w:szCs w:val="21"/>
              </w:rPr>
            </w:pPr>
          </w:p>
        </w:tc>
        <w:tc>
          <w:tcPr>
            <w:tcW w:w="940" w:type="pct"/>
            <w:vAlign w:val="center"/>
          </w:tcPr>
          <w:p>
            <w:pPr>
              <w:jc w:val="center"/>
              <w:rPr>
                <w:rFonts w:ascii="宋体" w:hAnsi="宋体" w:eastAsia="宋体"/>
                <w:sz w:val="21"/>
                <w:szCs w:val="21"/>
              </w:rPr>
            </w:pPr>
          </w:p>
        </w:tc>
        <w:tc>
          <w:tcPr>
            <w:tcW w:w="671" w:type="pct"/>
            <w:vAlign w:val="center"/>
          </w:tcPr>
          <w:p>
            <w:pPr>
              <w:jc w:val="center"/>
              <w:rPr>
                <w:rFonts w:ascii="宋体" w:hAnsi="宋体" w:eastAsia="宋体"/>
                <w:sz w:val="21"/>
                <w:szCs w:val="21"/>
              </w:rPr>
            </w:pPr>
          </w:p>
        </w:tc>
        <w:tc>
          <w:tcPr>
            <w:tcW w:w="102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sz w:val="21"/>
                <w:szCs w:val="21"/>
              </w:rPr>
            </w:pPr>
          </w:p>
        </w:tc>
        <w:tc>
          <w:tcPr>
            <w:tcW w:w="960" w:type="pct"/>
            <w:vAlign w:val="center"/>
          </w:tcPr>
          <w:p>
            <w:pPr>
              <w:jc w:val="center"/>
              <w:rPr>
                <w:rFonts w:ascii="宋体" w:hAnsi="宋体" w:eastAsia="宋体"/>
                <w:sz w:val="21"/>
                <w:szCs w:val="21"/>
              </w:rPr>
            </w:pPr>
          </w:p>
        </w:tc>
        <w:tc>
          <w:tcPr>
            <w:tcW w:w="805" w:type="pct"/>
            <w:vAlign w:val="center"/>
          </w:tcPr>
          <w:p>
            <w:pPr>
              <w:jc w:val="center"/>
              <w:rPr>
                <w:rFonts w:ascii="宋体" w:hAnsi="宋体" w:eastAsia="宋体"/>
                <w:sz w:val="21"/>
                <w:szCs w:val="21"/>
              </w:rPr>
            </w:pPr>
          </w:p>
        </w:tc>
        <w:tc>
          <w:tcPr>
            <w:tcW w:w="940" w:type="pct"/>
            <w:vAlign w:val="center"/>
          </w:tcPr>
          <w:p>
            <w:pPr>
              <w:jc w:val="center"/>
              <w:rPr>
                <w:rFonts w:ascii="宋体" w:hAnsi="宋体" w:eastAsia="宋体"/>
                <w:sz w:val="21"/>
                <w:szCs w:val="21"/>
              </w:rPr>
            </w:pPr>
          </w:p>
        </w:tc>
        <w:tc>
          <w:tcPr>
            <w:tcW w:w="671" w:type="pct"/>
            <w:vAlign w:val="center"/>
          </w:tcPr>
          <w:p>
            <w:pPr>
              <w:jc w:val="center"/>
              <w:rPr>
                <w:rFonts w:ascii="宋体" w:hAnsi="宋体" w:eastAsia="宋体"/>
                <w:sz w:val="21"/>
                <w:szCs w:val="21"/>
              </w:rPr>
            </w:pPr>
          </w:p>
        </w:tc>
        <w:tc>
          <w:tcPr>
            <w:tcW w:w="102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sz w:val="21"/>
                <w:szCs w:val="21"/>
              </w:rPr>
            </w:pPr>
          </w:p>
        </w:tc>
        <w:tc>
          <w:tcPr>
            <w:tcW w:w="960" w:type="pct"/>
            <w:vAlign w:val="center"/>
          </w:tcPr>
          <w:p>
            <w:pPr>
              <w:jc w:val="center"/>
              <w:rPr>
                <w:rFonts w:ascii="宋体" w:hAnsi="宋体" w:eastAsia="宋体"/>
                <w:sz w:val="21"/>
                <w:szCs w:val="21"/>
              </w:rPr>
            </w:pPr>
          </w:p>
        </w:tc>
        <w:tc>
          <w:tcPr>
            <w:tcW w:w="805" w:type="pct"/>
            <w:vAlign w:val="center"/>
          </w:tcPr>
          <w:p>
            <w:pPr>
              <w:jc w:val="center"/>
              <w:rPr>
                <w:rFonts w:ascii="宋体" w:hAnsi="宋体" w:eastAsia="宋体"/>
                <w:sz w:val="21"/>
                <w:szCs w:val="21"/>
              </w:rPr>
            </w:pPr>
          </w:p>
        </w:tc>
        <w:tc>
          <w:tcPr>
            <w:tcW w:w="940" w:type="pct"/>
            <w:vAlign w:val="center"/>
          </w:tcPr>
          <w:p>
            <w:pPr>
              <w:jc w:val="center"/>
              <w:rPr>
                <w:rFonts w:ascii="宋体" w:hAnsi="宋体" w:eastAsia="宋体"/>
                <w:sz w:val="21"/>
                <w:szCs w:val="21"/>
              </w:rPr>
            </w:pPr>
          </w:p>
        </w:tc>
        <w:tc>
          <w:tcPr>
            <w:tcW w:w="671" w:type="pct"/>
            <w:vAlign w:val="center"/>
          </w:tcPr>
          <w:p>
            <w:pPr>
              <w:jc w:val="center"/>
              <w:rPr>
                <w:rFonts w:ascii="宋体" w:hAnsi="宋体" w:eastAsia="宋体"/>
                <w:sz w:val="21"/>
                <w:szCs w:val="21"/>
              </w:rPr>
            </w:pPr>
          </w:p>
        </w:tc>
        <w:tc>
          <w:tcPr>
            <w:tcW w:w="102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sz w:val="21"/>
                <w:szCs w:val="21"/>
              </w:rPr>
            </w:pPr>
          </w:p>
        </w:tc>
        <w:tc>
          <w:tcPr>
            <w:tcW w:w="960" w:type="pct"/>
            <w:vAlign w:val="center"/>
          </w:tcPr>
          <w:p>
            <w:pPr>
              <w:jc w:val="center"/>
              <w:rPr>
                <w:rFonts w:ascii="宋体" w:hAnsi="宋体" w:eastAsia="宋体"/>
                <w:sz w:val="21"/>
                <w:szCs w:val="21"/>
              </w:rPr>
            </w:pPr>
          </w:p>
        </w:tc>
        <w:tc>
          <w:tcPr>
            <w:tcW w:w="805" w:type="pct"/>
            <w:vAlign w:val="center"/>
          </w:tcPr>
          <w:p>
            <w:pPr>
              <w:jc w:val="center"/>
              <w:rPr>
                <w:rFonts w:ascii="宋体" w:hAnsi="宋体" w:eastAsia="宋体"/>
                <w:sz w:val="21"/>
                <w:szCs w:val="21"/>
              </w:rPr>
            </w:pPr>
          </w:p>
        </w:tc>
        <w:tc>
          <w:tcPr>
            <w:tcW w:w="940" w:type="pct"/>
            <w:vAlign w:val="center"/>
          </w:tcPr>
          <w:p>
            <w:pPr>
              <w:jc w:val="center"/>
              <w:rPr>
                <w:rFonts w:ascii="宋体" w:hAnsi="宋体" w:eastAsia="宋体"/>
                <w:sz w:val="21"/>
                <w:szCs w:val="21"/>
              </w:rPr>
            </w:pPr>
          </w:p>
        </w:tc>
        <w:tc>
          <w:tcPr>
            <w:tcW w:w="671" w:type="pct"/>
            <w:vAlign w:val="center"/>
          </w:tcPr>
          <w:p>
            <w:pPr>
              <w:jc w:val="center"/>
              <w:rPr>
                <w:rFonts w:ascii="宋体" w:hAnsi="宋体" w:eastAsia="宋体"/>
                <w:sz w:val="21"/>
                <w:szCs w:val="21"/>
              </w:rPr>
            </w:pPr>
          </w:p>
        </w:tc>
        <w:tc>
          <w:tcPr>
            <w:tcW w:w="102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Align w:val="center"/>
          </w:tcPr>
          <w:p>
            <w:pPr>
              <w:jc w:val="center"/>
              <w:rPr>
                <w:rFonts w:ascii="宋体" w:hAnsi="宋体" w:eastAsia="宋体"/>
                <w:sz w:val="21"/>
                <w:szCs w:val="21"/>
              </w:rPr>
            </w:pPr>
          </w:p>
        </w:tc>
        <w:tc>
          <w:tcPr>
            <w:tcW w:w="960" w:type="pct"/>
            <w:vAlign w:val="center"/>
          </w:tcPr>
          <w:p>
            <w:pPr>
              <w:jc w:val="center"/>
              <w:rPr>
                <w:rFonts w:ascii="宋体" w:hAnsi="宋体" w:eastAsia="宋体"/>
                <w:sz w:val="21"/>
                <w:szCs w:val="21"/>
              </w:rPr>
            </w:pPr>
          </w:p>
        </w:tc>
        <w:tc>
          <w:tcPr>
            <w:tcW w:w="805" w:type="pct"/>
            <w:vAlign w:val="center"/>
          </w:tcPr>
          <w:p>
            <w:pPr>
              <w:jc w:val="center"/>
              <w:rPr>
                <w:rFonts w:ascii="宋体" w:hAnsi="宋体" w:eastAsia="宋体"/>
                <w:sz w:val="21"/>
                <w:szCs w:val="21"/>
              </w:rPr>
            </w:pPr>
          </w:p>
        </w:tc>
        <w:tc>
          <w:tcPr>
            <w:tcW w:w="940" w:type="pct"/>
            <w:vAlign w:val="center"/>
          </w:tcPr>
          <w:p>
            <w:pPr>
              <w:jc w:val="center"/>
              <w:rPr>
                <w:rFonts w:ascii="宋体" w:hAnsi="宋体" w:eastAsia="宋体"/>
                <w:sz w:val="21"/>
                <w:szCs w:val="21"/>
              </w:rPr>
            </w:pPr>
          </w:p>
        </w:tc>
        <w:tc>
          <w:tcPr>
            <w:tcW w:w="671" w:type="pct"/>
            <w:vAlign w:val="center"/>
          </w:tcPr>
          <w:p>
            <w:pPr>
              <w:jc w:val="center"/>
              <w:rPr>
                <w:rFonts w:ascii="宋体" w:hAnsi="宋体" w:eastAsia="宋体"/>
                <w:sz w:val="21"/>
                <w:szCs w:val="21"/>
              </w:rPr>
            </w:pPr>
          </w:p>
        </w:tc>
        <w:tc>
          <w:tcPr>
            <w:tcW w:w="1025" w:type="pct"/>
            <w:vAlign w:val="center"/>
          </w:tcPr>
          <w:p>
            <w:pPr>
              <w:jc w:val="center"/>
              <w:rPr>
                <w:rFonts w:ascii="宋体" w:hAnsi="宋体" w:eastAsia="宋体"/>
                <w:sz w:val="21"/>
                <w:szCs w:val="21"/>
              </w:rPr>
            </w:pPr>
          </w:p>
        </w:tc>
      </w:tr>
    </w:tbl>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供应商代表签字：</w:t>
      </w:r>
    </w:p>
    <w:p>
      <w:pPr>
        <w:rPr>
          <w:rFonts w:ascii="宋体" w:hAnsi="宋体" w:eastAsia="宋体"/>
          <w:sz w:val="21"/>
          <w:szCs w:val="21"/>
        </w:rPr>
      </w:pPr>
      <w:r>
        <w:rPr>
          <w:rFonts w:hint="eastAsia" w:ascii="宋体" w:hAnsi="宋体" w:eastAsia="宋体"/>
          <w:sz w:val="21"/>
          <w:szCs w:val="21"/>
        </w:rPr>
        <w:t>供应商盖章：</w:t>
      </w:r>
    </w:p>
    <w:p>
      <w:pPr>
        <w:rPr>
          <w:rFonts w:ascii="宋体" w:hAnsi="宋体" w:eastAsia="宋体"/>
          <w:sz w:val="21"/>
          <w:szCs w:val="21"/>
        </w:rPr>
      </w:pPr>
    </w:p>
    <w:p>
      <w:pPr>
        <w:ind w:left="718" w:hanging="718" w:hangingChars="342"/>
        <w:rPr>
          <w:rFonts w:ascii="宋体" w:hAnsi="宋体" w:eastAsia="宋体"/>
          <w:sz w:val="21"/>
          <w:szCs w:val="21"/>
        </w:rPr>
      </w:pPr>
      <w:r>
        <w:rPr>
          <w:rFonts w:hint="eastAsia" w:ascii="宋体" w:hAnsi="宋体" w:eastAsia="宋体"/>
          <w:sz w:val="21"/>
          <w:szCs w:val="21"/>
        </w:rPr>
        <w:t>注：</w:t>
      </w:r>
    </w:p>
    <w:p>
      <w:pPr>
        <w:spacing w:after="0" w:line="360" w:lineRule="auto"/>
        <w:rPr>
          <w:rFonts w:ascii="宋体" w:hAnsi="宋体" w:eastAsia="宋体"/>
          <w:sz w:val="21"/>
          <w:szCs w:val="21"/>
        </w:rPr>
      </w:pPr>
      <w:r>
        <w:rPr>
          <w:rFonts w:hint="eastAsia" w:ascii="宋体" w:hAnsi="宋体" w:eastAsia="宋体"/>
          <w:sz w:val="21"/>
          <w:szCs w:val="21"/>
        </w:rPr>
        <w:t>1、供应商应对照磋商文件商务要求，说明已对磋商文件的商务内容做出了实质性的响应。</w:t>
      </w:r>
    </w:p>
    <w:p>
      <w:pPr>
        <w:spacing w:after="0" w:line="360" w:lineRule="auto"/>
        <w:rPr>
          <w:rFonts w:ascii="宋体" w:hAnsi="宋体" w:eastAsia="宋体"/>
          <w:sz w:val="21"/>
          <w:szCs w:val="21"/>
        </w:rPr>
      </w:pPr>
      <w:r>
        <w:rPr>
          <w:rFonts w:hint="eastAsia" w:ascii="宋体" w:hAnsi="宋体" w:eastAsia="宋体"/>
          <w:sz w:val="21"/>
          <w:szCs w:val="21"/>
        </w:rPr>
        <w:t>2、商务条款根据“第三部分 用户需求书”的“商务需求”填写。</w:t>
      </w:r>
    </w:p>
    <w:p>
      <w:pPr>
        <w:spacing w:after="0" w:line="360" w:lineRule="auto"/>
        <w:rPr>
          <w:rFonts w:ascii="宋体" w:hAnsi="宋体" w:eastAsia="宋体"/>
          <w:sz w:val="21"/>
          <w:szCs w:val="21"/>
        </w:rPr>
      </w:pPr>
      <w:r>
        <w:rPr>
          <w:rFonts w:hint="eastAsia" w:ascii="宋体" w:hAnsi="宋体" w:eastAsia="宋体"/>
          <w:sz w:val="21"/>
          <w:szCs w:val="21"/>
        </w:rPr>
        <w:t>3、若文件有具体要求的，应按照文件要求进行逐一响应，并提供相应的证明材料。</w:t>
      </w:r>
    </w:p>
    <w:p>
      <w:pPr>
        <w:adjustRightInd/>
        <w:snapToGrid/>
        <w:spacing w:line="276" w:lineRule="auto"/>
      </w:pPr>
    </w:p>
    <w:p>
      <w:pPr>
        <w:adjustRightInd/>
        <w:snapToGrid/>
        <w:spacing w:line="276" w:lineRule="auto"/>
      </w:pPr>
    </w:p>
    <w:p>
      <w:pPr>
        <w:adjustRightInd/>
        <w:snapToGrid/>
        <w:spacing w:line="276" w:lineRule="auto"/>
      </w:pPr>
    </w:p>
    <w:p>
      <w:pPr>
        <w:adjustRightInd/>
        <w:snapToGrid/>
        <w:spacing w:line="276" w:lineRule="auto"/>
      </w:pPr>
    </w:p>
    <w:p>
      <w:pPr>
        <w:adjustRightInd/>
        <w:snapToGrid/>
        <w:spacing w:line="276" w:lineRule="auto"/>
      </w:pPr>
      <w:r>
        <w:br w:type="page"/>
      </w:r>
    </w:p>
    <w:p>
      <w:pPr>
        <w:pStyle w:val="7"/>
        <w:widowControl w:val="0"/>
        <w:overflowPunct w:val="0"/>
        <w:spacing w:before="0" w:after="0" w:line="240" w:lineRule="auto"/>
        <w:rPr>
          <w:rFonts w:ascii="宋体" w:hAnsi="宋体" w:eastAsia="宋体"/>
          <w:sz w:val="21"/>
          <w:szCs w:val="21"/>
        </w:rPr>
      </w:pPr>
      <w:bookmarkStart w:id="164" w:name="_Toc3076"/>
      <w:r>
        <w:rPr>
          <w:rFonts w:hint="eastAsia" w:ascii="宋体" w:hAnsi="宋体" w:eastAsia="宋体"/>
          <w:sz w:val="21"/>
          <w:szCs w:val="21"/>
        </w:rPr>
        <w:t>附件11.技术条款偏离表格式</w:t>
      </w:r>
      <w:bookmarkEnd w:id="164"/>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技术条款偏离表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573"/>
        <w:gridCol w:w="1699"/>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91" w:type="pct"/>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922" w:type="pct"/>
            <w:vAlign w:val="center"/>
          </w:tcPr>
          <w:p>
            <w:pPr>
              <w:spacing w:after="0"/>
              <w:jc w:val="center"/>
              <w:rPr>
                <w:rFonts w:ascii="宋体" w:hAnsi="宋体" w:eastAsia="宋体"/>
                <w:sz w:val="21"/>
                <w:szCs w:val="21"/>
              </w:rPr>
            </w:pPr>
            <w:r>
              <w:rPr>
                <w:rFonts w:hint="eastAsia" w:ascii="宋体" w:hAnsi="宋体" w:eastAsia="宋体"/>
                <w:sz w:val="21"/>
                <w:szCs w:val="21"/>
              </w:rPr>
              <w:t>技术条款名称</w:t>
            </w:r>
          </w:p>
        </w:tc>
        <w:tc>
          <w:tcPr>
            <w:tcW w:w="996" w:type="pct"/>
            <w:vAlign w:val="center"/>
          </w:tcPr>
          <w:p>
            <w:pPr>
              <w:spacing w:after="0"/>
              <w:jc w:val="center"/>
              <w:rPr>
                <w:rFonts w:ascii="宋体" w:hAnsi="宋体" w:eastAsia="宋体"/>
                <w:sz w:val="21"/>
                <w:szCs w:val="21"/>
              </w:rPr>
            </w:pPr>
            <w:r>
              <w:rPr>
                <w:rFonts w:hint="eastAsia" w:ascii="宋体" w:hAnsi="宋体" w:eastAsia="宋体"/>
                <w:sz w:val="21"/>
                <w:szCs w:val="21"/>
              </w:rPr>
              <w:t>磋商要求</w:t>
            </w:r>
          </w:p>
        </w:tc>
        <w:tc>
          <w:tcPr>
            <w:tcW w:w="955" w:type="pct"/>
            <w:vAlign w:val="center"/>
          </w:tcPr>
          <w:p>
            <w:pPr>
              <w:spacing w:after="0"/>
              <w:jc w:val="center"/>
              <w:rPr>
                <w:rFonts w:ascii="宋体" w:hAnsi="宋体" w:eastAsia="宋体"/>
                <w:sz w:val="21"/>
                <w:szCs w:val="21"/>
              </w:rPr>
            </w:pPr>
            <w:r>
              <w:rPr>
                <w:rFonts w:hint="eastAsia" w:ascii="宋体" w:hAnsi="宋体" w:eastAsia="宋体"/>
                <w:sz w:val="21"/>
                <w:szCs w:val="21"/>
              </w:rPr>
              <w:t>磋商实际响应</w:t>
            </w:r>
          </w:p>
        </w:tc>
        <w:tc>
          <w:tcPr>
            <w:tcW w:w="726" w:type="pct"/>
            <w:vAlign w:val="center"/>
          </w:tcPr>
          <w:p>
            <w:pPr>
              <w:spacing w:after="0"/>
              <w:jc w:val="center"/>
              <w:rPr>
                <w:rFonts w:ascii="宋体" w:hAnsi="宋体" w:eastAsia="宋体"/>
                <w:sz w:val="21"/>
                <w:szCs w:val="21"/>
              </w:rPr>
            </w:pPr>
            <w:r>
              <w:rPr>
                <w:rFonts w:hint="eastAsia" w:ascii="宋体" w:hAnsi="宋体" w:eastAsia="宋体"/>
                <w:sz w:val="21"/>
                <w:szCs w:val="21"/>
              </w:rPr>
              <w:t>是否偏离</w:t>
            </w:r>
          </w:p>
        </w:tc>
        <w:tc>
          <w:tcPr>
            <w:tcW w:w="905" w:type="pct"/>
            <w:vAlign w:val="center"/>
          </w:tcPr>
          <w:p>
            <w:pPr>
              <w:spacing w:after="0"/>
              <w:jc w:val="center"/>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sz w:val="21"/>
                <w:szCs w:val="21"/>
              </w:rPr>
            </w:pPr>
          </w:p>
        </w:tc>
        <w:tc>
          <w:tcPr>
            <w:tcW w:w="922" w:type="pct"/>
            <w:vAlign w:val="center"/>
          </w:tcPr>
          <w:p>
            <w:pPr>
              <w:jc w:val="center"/>
              <w:rPr>
                <w:rFonts w:ascii="宋体" w:hAnsi="宋体" w:eastAsia="宋体"/>
                <w:sz w:val="21"/>
                <w:szCs w:val="21"/>
              </w:rPr>
            </w:pPr>
          </w:p>
        </w:tc>
        <w:tc>
          <w:tcPr>
            <w:tcW w:w="996" w:type="pct"/>
            <w:vAlign w:val="center"/>
          </w:tcPr>
          <w:p>
            <w:pPr>
              <w:jc w:val="center"/>
              <w:rPr>
                <w:rFonts w:ascii="宋体" w:hAnsi="宋体" w:eastAsia="宋体"/>
                <w:sz w:val="21"/>
                <w:szCs w:val="21"/>
              </w:rPr>
            </w:pPr>
          </w:p>
        </w:tc>
        <w:tc>
          <w:tcPr>
            <w:tcW w:w="955" w:type="pct"/>
            <w:vAlign w:val="center"/>
          </w:tcPr>
          <w:p>
            <w:pPr>
              <w:jc w:val="center"/>
              <w:rPr>
                <w:rFonts w:ascii="宋体" w:hAnsi="宋体" w:eastAsia="宋体"/>
                <w:sz w:val="21"/>
                <w:szCs w:val="21"/>
              </w:rPr>
            </w:pPr>
          </w:p>
        </w:tc>
        <w:tc>
          <w:tcPr>
            <w:tcW w:w="726" w:type="pct"/>
            <w:vAlign w:val="center"/>
          </w:tcPr>
          <w:p>
            <w:pPr>
              <w:jc w:val="center"/>
              <w:rPr>
                <w:rFonts w:ascii="宋体" w:hAnsi="宋体" w:eastAsia="宋体"/>
                <w:sz w:val="21"/>
                <w:szCs w:val="21"/>
              </w:rPr>
            </w:pPr>
          </w:p>
        </w:tc>
        <w:tc>
          <w:tcPr>
            <w:tcW w:w="90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sz w:val="21"/>
                <w:szCs w:val="21"/>
              </w:rPr>
            </w:pPr>
          </w:p>
        </w:tc>
        <w:tc>
          <w:tcPr>
            <w:tcW w:w="922" w:type="pct"/>
            <w:vAlign w:val="center"/>
          </w:tcPr>
          <w:p>
            <w:pPr>
              <w:jc w:val="center"/>
              <w:rPr>
                <w:rFonts w:ascii="宋体" w:hAnsi="宋体" w:eastAsia="宋体"/>
                <w:sz w:val="21"/>
                <w:szCs w:val="21"/>
              </w:rPr>
            </w:pPr>
          </w:p>
        </w:tc>
        <w:tc>
          <w:tcPr>
            <w:tcW w:w="996" w:type="pct"/>
            <w:vAlign w:val="center"/>
          </w:tcPr>
          <w:p>
            <w:pPr>
              <w:jc w:val="center"/>
              <w:rPr>
                <w:rFonts w:ascii="宋体" w:hAnsi="宋体" w:eastAsia="宋体"/>
                <w:sz w:val="21"/>
                <w:szCs w:val="21"/>
              </w:rPr>
            </w:pPr>
          </w:p>
        </w:tc>
        <w:tc>
          <w:tcPr>
            <w:tcW w:w="955" w:type="pct"/>
            <w:vAlign w:val="center"/>
          </w:tcPr>
          <w:p>
            <w:pPr>
              <w:jc w:val="center"/>
              <w:rPr>
                <w:rFonts w:ascii="宋体" w:hAnsi="宋体" w:eastAsia="宋体"/>
                <w:sz w:val="21"/>
                <w:szCs w:val="21"/>
              </w:rPr>
            </w:pPr>
          </w:p>
        </w:tc>
        <w:tc>
          <w:tcPr>
            <w:tcW w:w="726" w:type="pct"/>
            <w:vAlign w:val="center"/>
          </w:tcPr>
          <w:p>
            <w:pPr>
              <w:jc w:val="center"/>
              <w:rPr>
                <w:rFonts w:ascii="宋体" w:hAnsi="宋体" w:eastAsia="宋体"/>
                <w:sz w:val="21"/>
                <w:szCs w:val="21"/>
              </w:rPr>
            </w:pPr>
          </w:p>
        </w:tc>
        <w:tc>
          <w:tcPr>
            <w:tcW w:w="90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sz w:val="21"/>
                <w:szCs w:val="21"/>
              </w:rPr>
            </w:pPr>
          </w:p>
        </w:tc>
        <w:tc>
          <w:tcPr>
            <w:tcW w:w="922" w:type="pct"/>
            <w:vAlign w:val="center"/>
          </w:tcPr>
          <w:p>
            <w:pPr>
              <w:jc w:val="center"/>
              <w:rPr>
                <w:rFonts w:ascii="宋体" w:hAnsi="宋体" w:eastAsia="宋体"/>
                <w:sz w:val="21"/>
                <w:szCs w:val="21"/>
              </w:rPr>
            </w:pPr>
          </w:p>
        </w:tc>
        <w:tc>
          <w:tcPr>
            <w:tcW w:w="996" w:type="pct"/>
            <w:vAlign w:val="center"/>
          </w:tcPr>
          <w:p>
            <w:pPr>
              <w:jc w:val="center"/>
              <w:rPr>
                <w:rFonts w:ascii="宋体" w:hAnsi="宋体" w:eastAsia="宋体"/>
                <w:sz w:val="21"/>
                <w:szCs w:val="21"/>
              </w:rPr>
            </w:pPr>
          </w:p>
        </w:tc>
        <w:tc>
          <w:tcPr>
            <w:tcW w:w="955" w:type="pct"/>
            <w:vAlign w:val="center"/>
          </w:tcPr>
          <w:p>
            <w:pPr>
              <w:jc w:val="center"/>
              <w:rPr>
                <w:rFonts w:ascii="宋体" w:hAnsi="宋体" w:eastAsia="宋体"/>
                <w:sz w:val="21"/>
                <w:szCs w:val="21"/>
              </w:rPr>
            </w:pPr>
          </w:p>
        </w:tc>
        <w:tc>
          <w:tcPr>
            <w:tcW w:w="726" w:type="pct"/>
            <w:vAlign w:val="center"/>
          </w:tcPr>
          <w:p>
            <w:pPr>
              <w:jc w:val="center"/>
              <w:rPr>
                <w:rFonts w:ascii="宋体" w:hAnsi="宋体" w:eastAsia="宋体"/>
                <w:sz w:val="21"/>
                <w:szCs w:val="21"/>
              </w:rPr>
            </w:pPr>
          </w:p>
        </w:tc>
        <w:tc>
          <w:tcPr>
            <w:tcW w:w="90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sz w:val="21"/>
                <w:szCs w:val="21"/>
              </w:rPr>
            </w:pPr>
          </w:p>
        </w:tc>
        <w:tc>
          <w:tcPr>
            <w:tcW w:w="922" w:type="pct"/>
            <w:vAlign w:val="center"/>
          </w:tcPr>
          <w:p>
            <w:pPr>
              <w:jc w:val="center"/>
              <w:rPr>
                <w:rFonts w:ascii="宋体" w:hAnsi="宋体" w:eastAsia="宋体"/>
                <w:sz w:val="21"/>
                <w:szCs w:val="21"/>
              </w:rPr>
            </w:pPr>
          </w:p>
        </w:tc>
        <w:tc>
          <w:tcPr>
            <w:tcW w:w="996" w:type="pct"/>
            <w:vAlign w:val="center"/>
          </w:tcPr>
          <w:p>
            <w:pPr>
              <w:jc w:val="center"/>
              <w:rPr>
                <w:rFonts w:ascii="宋体" w:hAnsi="宋体" w:eastAsia="宋体"/>
                <w:sz w:val="21"/>
                <w:szCs w:val="21"/>
              </w:rPr>
            </w:pPr>
          </w:p>
        </w:tc>
        <w:tc>
          <w:tcPr>
            <w:tcW w:w="955" w:type="pct"/>
            <w:vAlign w:val="center"/>
          </w:tcPr>
          <w:p>
            <w:pPr>
              <w:jc w:val="center"/>
              <w:rPr>
                <w:rFonts w:ascii="宋体" w:hAnsi="宋体" w:eastAsia="宋体"/>
                <w:sz w:val="21"/>
                <w:szCs w:val="21"/>
              </w:rPr>
            </w:pPr>
          </w:p>
        </w:tc>
        <w:tc>
          <w:tcPr>
            <w:tcW w:w="726" w:type="pct"/>
            <w:vAlign w:val="center"/>
          </w:tcPr>
          <w:p>
            <w:pPr>
              <w:jc w:val="center"/>
              <w:rPr>
                <w:rFonts w:ascii="宋体" w:hAnsi="宋体" w:eastAsia="宋体"/>
                <w:sz w:val="21"/>
                <w:szCs w:val="21"/>
              </w:rPr>
            </w:pPr>
          </w:p>
        </w:tc>
        <w:tc>
          <w:tcPr>
            <w:tcW w:w="90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sz w:val="21"/>
                <w:szCs w:val="21"/>
              </w:rPr>
            </w:pPr>
          </w:p>
        </w:tc>
        <w:tc>
          <w:tcPr>
            <w:tcW w:w="922" w:type="pct"/>
            <w:vAlign w:val="center"/>
          </w:tcPr>
          <w:p>
            <w:pPr>
              <w:jc w:val="center"/>
              <w:rPr>
                <w:rFonts w:ascii="宋体" w:hAnsi="宋体" w:eastAsia="宋体"/>
                <w:sz w:val="21"/>
                <w:szCs w:val="21"/>
              </w:rPr>
            </w:pPr>
          </w:p>
        </w:tc>
        <w:tc>
          <w:tcPr>
            <w:tcW w:w="996" w:type="pct"/>
            <w:vAlign w:val="center"/>
          </w:tcPr>
          <w:p>
            <w:pPr>
              <w:jc w:val="center"/>
              <w:rPr>
                <w:rFonts w:ascii="宋体" w:hAnsi="宋体" w:eastAsia="宋体"/>
                <w:sz w:val="21"/>
                <w:szCs w:val="21"/>
              </w:rPr>
            </w:pPr>
          </w:p>
        </w:tc>
        <w:tc>
          <w:tcPr>
            <w:tcW w:w="955" w:type="pct"/>
            <w:vAlign w:val="center"/>
          </w:tcPr>
          <w:p>
            <w:pPr>
              <w:jc w:val="center"/>
              <w:rPr>
                <w:rFonts w:ascii="宋体" w:hAnsi="宋体" w:eastAsia="宋体"/>
                <w:sz w:val="21"/>
                <w:szCs w:val="21"/>
              </w:rPr>
            </w:pPr>
          </w:p>
        </w:tc>
        <w:tc>
          <w:tcPr>
            <w:tcW w:w="726" w:type="pct"/>
            <w:vAlign w:val="center"/>
          </w:tcPr>
          <w:p>
            <w:pPr>
              <w:jc w:val="center"/>
              <w:rPr>
                <w:rFonts w:ascii="宋体" w:hAnsi="宋体" w:eastAsia="宋体"/>
                <w:sz w:val="21"/>
                <w:szCs w:val="21"/>
              </w:rPr>
            </w:pPr>
          </w:p>
        </w:tc>
        <w:tc>
          <w:tcPr>
            <w:tcW w:w="90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sz w:val="21"/>
                <w:szCs w:val="21"/>
              </w:rPr>
            </w:pPr>
          </w:p>
        </w:tc>
        <w:tc>
          <w:tcPr>
            <w:tcW w:w="922" w:type="pct"/>
            <w:vAlign w:val="center"/>
          </w:tcPr>
          <w:p>
            <w:pPr>
              <w:jc w:val="center"/>
              <w:rPr>
                <w:rFonts w:ascii="宋体" w:hAnsi="宋体" w:eastAsia="宋体"/>
                <w:sz w:val="21"/>
                <w:szCs w:val="21"/>
              </w:rPr>
            </w:pPr>
          </w:p>
        </w:tc>
        <w:tc>
          <w:tcPr>
            <w:tcW w:w="996" w:type="pct"/>
            <w:vAlign w:val="center"/>
          </w:tcPr>
          <w:p>
            <w:pPr>
              <w:jc w:val="center"/>
              <w:rPr>
                <w:rFonts w:ascii="宋体" w:hAnsi="宋体" w:eastAsia="宋体"/>
                <w:sz w:val="21"/>
                <w:szCs w:val="21"/>
              </w:rPr>
            </w:pPr>
          </w:p>
        </w:tc>
        <w:tc>
          <w:tcPr>
            <w:tcW w:w="955" w:type="pct"/>
            <w:vAlign w:val="center"/>
          </w:tcPr>
          <w:p>
            <w:pPr>
              <w:jc w:val="center"/>
              <w:rPr>
                <w:rFonts w:ascii="宋体" w:hAnsi="宋体" w:eastAsia="宋体"/>
                <w:sz w:val="21"/>
                <w:szCs w:val="21"/>
              </w:rPr>
            </w:pPr>
          </w:p>
        </w:tc>
        <w:tc>
          <w:tcPr>
            <w:tcW w:w="726" w:type="pct"/>
            <w:vAlign w:val="center"/>
          </w:tcPr>
          <w:p>
            <w:pPr>
              <w:jc w:val="center"/>
              <w:rPr>
                <w:rFonts w:ascii="宋体" w:hAnsi="宋体" w:eastAsia="宋体"/>
                <w:sz w:val="21"/>
                <w:szCs w:val="21"/>
              </w:rPr>
            </w:pPr>
          </w:p>
        </w:tc>
        <w:tc>
          <w:tcPr>
            <w:tcW w:w="90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sz w:val="21"/>
                <w:szCs w:val="21"/>
              </w:rPr>
            </w:pPr>
          </w:p>
        </w:tc>
        <w:tc>
          <w:tcPr>
            <w:tcW w:w="922" w:type="pct"/>
            <w:vAlign w:val="center"/>
          </w:tcPr>
          <w:p>
            <w:pPr>
              <w:jc w:val="center"/>
              <w:rPr>
                <w:rFonts w:ascii="宋体" w:hAnsi="宋体" w:eastAsia="宋体"/>
                <w:sz w:val="21"/>
                <w:szCs w:val="21"/>
              </w:rPr>
            </w:pPr>
          </w:p>
        </w:tc>
        <w:tc>
          <w:tcPr>
            <w:tcW w:w="996" w:type="pct"/>
            <w:vAlign w:val="center"/>
          </w:tcPr>
          <w:p>
            <w:pPr>
              <w:jc w:val="center"/>
              <w:rPr>
                <w:rFonts w:ascii="宋体" w:hAnsi="宋体" w:eastAsia="宋体"/>
                <w:sz w:val="21"/>
                <w:szCs w:val="21"/>
              </w:rPr>
            </w:pPr>
          </w:p>
        </w:tc>
        <w:tc>
          <w:tcPr>
            <w:tcW w:w="955" w:type="pct"/>
            <w:vAlign w:val="center"/>
          </w:tcPr>
          <w:p>
            <w:pPr>
              <w:jc w:val="center"/>
              <w:rPr>
                <w:rFonts w:ascii="宋体" w:hAnsi="宋体" w:eastAsia="宋体"/>
                <w:sz w:val="21"/>
                <w:szCs w:val="21"/>
              </w:rPr>
            </w:pPr>
          </w:p>
        </w:tc>
        <w:tc>
          <w:tcPr>
            <w:tcW w:w="726" w:type="pct"/>
            <w:vAlign w:val="center"/>
          </w:tcPr>
          <w:p>
            <w:pPr>
              <w:jc w:val="center"/>
              <w:rPr>
                <w:rFonts w:ascii="宋体" w:hAnsi="宋体" w:eastAsia="宋体"/>
                <w:sz w:val="21"/>
                <w:szCs w:val="21"/>
              </w:rPr>
            </w:pPr>
          </w:p>
        </w:tc>
        <w:tc>
          <w:tcPr>
            <w:tcW w:w="90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sz w:val="21"/>
                <w:szCs w:val="21"/>
              </w:rPr>
            </w:pPr>
          </w:p>
        </w:tc>
        <w:tc>
          <w:tcPr>
            <w:tcW w:w="922" w:type="pct"/>
            <w:vAlign w:val="center"/>
          </w:tcPr>
          <w:p>
            <w:pPr>
              <w:jc w:val="center"/>
              <w:rPr>
                <w:rFonts w:ascii="宋体" w:hAnsi="宋体" w:eastAsia="宋体"/>
                <w:sz w:val="21"/>
                <w:szCs w:val="21"/>
              </w:rPr>
            </w:pPr>
          </w:p>
        </w:tc>
        <w:tc>
          <w:tcPr>
            <w:tcW w:w="996" w:type="pct"/>
            <w:vAlign w:val="center"/>
          </w:tcPr>
          <w:p>
            <w:pPr>
              <w:jc w:val="center"/>
              <w:rPr>
                <w:rFonts w:ascii="宋体" w:hAnsi="宋体" w:eastAsia="宋体"/>
                <w:sz w:val="21"/>
                <w:szCs w:val="21"/>
              </w:rPr>
            </w:pPr>
          </w:p>
        </w:tc>
        <w:tc>
          <w:tcPr>
            <w:tcW w:w="955" w:type="pct"/>
            <w:vAlign w:val="center"/>
          </w:tcPr>
          <w:p>
            <w:pPr>
              <w:jc w:val="center"/>
              <w:rPr>
                <w:rFonts w:ascii="宋体" w:hAnsi="宋体" w:eastAsia="宋体"/>
                <w:sz w:val="21"/>
                <w:szCs w:val="21"/>
              </w:rPr>
            </w:pPr>
          </w:p>
        </w:tc>
        <w:tc>
          <w:tcPr>
            <w:tcW w:w="726" w:type="pct"/>
            <w:vAlign w:val="center"/>
          </w:tcPr>
          <w:p>
            <w:pPr>
              <w:jc w:val="center"/>
              <w:rPr>
                <w:rFonts w:ascii="宋体" w:hAnsi="宋体" w:eastAsia="宋体"/>
                <w:sz w:val="21"/>
                <w:szCs w:val="21"/>
              </w:rPr>
            </w:pPr>
          </w:p>
        </w:tc>
        <w:tc>
          <w:tcPr>
            <w:tcW w:w="90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sz w:val="21"/>
                <w:szCs w:val="21"/>
              </w:rPr>
            </w:pPr>
          </w:p>
        </w:tc>
        <w:tc>
          <w:tcPr>
            <w:tcW w:w="922" w:type="pct"/>
            <w:vAlign w:val="center"/>
          </w:tcPr>
          <w:p>
            <w:pPr>
              <w:jc w:val="center"/>
              <w:rPr>
                <w:rFonts w:ascii="宋体" w:hAnsi="宋体" w:eastAsia="宋体"/>
                <w:sz w:val="21"/>
                <w:szCs w:val="21"/>
              </w:rPr>
            </w:pPr>
          </w:p>
        </w:tc>
        <w:tc>
          <w:tcPr>
            <w:tcW w:w="996" w:type="pct"/>
            <w:vAlign w:val="center"/>
          </w:tcPr>
          <w:p>
            <w:pPr>
              <w:jc w:val="center"/>
              <w:rPr>
                <w:rFonts w:ascii="宋体" w:hAnsi="宋体" w:eastAsia="宋体"/>
                <w:sz w:val="21"/>
                <w:szCs w:val="21"/>
              </w:rPr>
            </w:pPr>
          </w:p>
        </w:tc>
        <w:tc>
          <w:tcPr>
            <w:tcW w:w="955" w:type="pct"/>
            <w:vAlign w:val="center"/>
          </w:tcPr>
          <w:p>
            <w:pPr>
              <w:jc w:val="center"/>
              <w:rPr>
                <w:rFonts w:ascii="宋体" w:hAnsi="宋体" w:eastAsia="宋体"/>
                <w:sz w:val="21"/>
                <w:szCs w:val="21"/>
              </w:rPr>
            </w:pPr>
          </w:p>
        </w:tc>
        <w:tc>
          <w:tcPr>
            <w:tcW w:w="726" w:type="pct"/>
            <w:vAlign w:val="center"/>
          </w:tcPr>
          <w:p>
            <w:pPr>
              <w:jc w:val="center"/>
              <w:rPr>
                <w:rFonts w:ascii="宋体" w:hAnsi="宋体" w:eastAsia="宋体"/>
                <w:sz w:val="21"/>
                <w:szCs w:val="21"/>
              </w:rPr>
            </w:pPr>
          </w:p>
        </w:tc>
        <w:tc>
          <w:tcPr>
            <w:tcW w:w="905" w:type="pc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pPr>
              <w:jc w:val="center"/>
              <w:rPr>
                <w:rFonts w:ascii="宋体" w:hAnsi="宋体" w:eastAsia="宋体"/>
                <w:sz w:val="21"/>
                <w:szCs w:val="21"/>
              </w:rPr>
            </w:pPr>
          </w:p>
        </w:tc>
        <w:tc>
          <w:tcPr>
            <w:tcW w:w="922" w:type="pct"/>
            <w:vAlign w:val="center"/>
          </w:tcPr>
          <w:p>
            <w:pPr>
              <w:jc w:val="center"/>
              <w:rPr>
                <w:rFonts w:ascii="宋体" w:hAnsi="宋体" w:eastAsia="宋体"/>
                <w:sz w:val="21"/>
                <w:szCs w:val="21"/>
              </w:rPr>
            </w:pPr>
          </w:p>
        </w:tc>
        <w:tc>
          <w:tcPr>
            <w:tcW w:w="996" w:type="pct"/>
            <w:vAlign w:val="center"/>
          </w:tcPr>
          <w:p>
            <w:pPr>
              <w:jc w:val="center"/>
              <w:rPr>
                <w:rFonts w:ascii="宋体" w:hAnsi="宋体" w:eastAsia="宋体"/>
                <w:sz w:val="21"/>
                <w:szCs w:val="21"/>
              </w:rPr>
            </w:pPr>
          </w:p>
        </w:tc>
        <w:tc>
          <w:tcPr>
            <w:tcW w:w="955" w:type="pct"/>
            <w:vAlign w:val="center"/>
          </w:tcPr>
          <w:p>
            <w:pPr>
              <w:jc w:val="center"/>
              <w:rPr>
                <w:rFonts w:ascii="宋体" w:hAnsi="宋体" w:eastAsia="宋体"/>
                <w:sz w:val="21"/>
                <w:szCs w:val="21"/>
              </w:rPr>
            </w:pPr>
          </w:p>
        </w:tc>
        <w:tc>
          <w:tcPr>
            <w:tcW w:w="726" w:type="pct"/>
            <w:vAlign w:val="center"/>
          </w:tcPr>
          <w:p>
            <w:pPr>
              <w:jc w:val="center"/>
              <w:rPr>
                <w:rFonts w:ascii="宋体" w:hAnsi="宋体" w:eastAsia="宋体"/>
                <w:sz w:val="21"/>
                <w:szCs w:val="21"/>
              </w:rPr>
            </w:pPr>
          </w:p>
        </w:tc>
        <w:tc>
          <w:tcPr>
            <w:tcW w:w="905" w:type="pct"/>
            <w:vAlign w:val="center"/>
          </w:tcPr>
          <w:p>
            <w:pPr>
              <w:jc w:val="center"/>
              <w:rPr>
                <w:rFonts w:ascii="宋体" w:hAnsi="宋体" w:eastAsia="宋体"/>
                <w:sz w:val="21"/>
                <w:szCs w:val="21"/>
              </w:rPr>
            </w:pPr>
          </w:p>
        </w:tc>
      </w:tr>
    </w:tbl>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供应商代表签字：</w:t>
      </w:r>
    </w:p>
    <w:p>
      <w:pPr>
        <w:rPr>
          <w:rFonts w:ascii="宋体" w:hAnsi="宋体" w:eastAsia="宋体"/>
          <w:sz w:val="21"/>
          <w:szCs w:val="21"/>
        </w:rPr>
      </w:pPr>
      <w:r>
        <w:rPr>
          <w:rFonts w:hint="eastAsia" w:ascii="宋体" w:hAnsi="宋体" w:eastAsia="宋体"/>
          <w:sz w:val="21"/>
          <w:szCs w:val="21"/>
        </w:rPr>
        <w:t>供应商盖章：</w:t>
      </w:r>
    </w:p>
    <w:p>
      <w:pPr>
        <w:ind w:firstLine="178" w:firstLineChars="85"/>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注：</w:t>
      </w:r>
    </w:p>
    <w:p>
      <w:pPr>
        <w:spacing w:after="0" w:line="360" w:lineRule="auto"/>
        <w:rPr>
          <w:rFonts w:ascii="宋体" w:hAnsi="宋体" w:eastAsia="宋体"/>
          <w:sz w:val="21"/>
          <w:szCs w:val="21"/>
        </w:rPr>
      </w:pPr>
      <w:r>
        <w:rPr>
          <w:rFonts w:hint="eastAsia" w:ascii="宋体" w:hAnsi="宋体" w:eastAsia="宋体"/>
          <w:sz w:val="21"/>
          <w:szCs w:val="21"/>
        </w:rPr>
        <w:t>1、偏离项中填写“正”、“负”或“无”，说明项中填写原因。</w:t>
      </w:r>
    </w:p>
    <w:p>
      <w:pPr>
        <w:spacing w:after="0" w:line="360" w:lineRule="auto"/>
        <w:rPr>
          <w:rFonts w:ascii="宋体" w:hAnsi="宋体" w:eastAsia="宋体"/>
          <w:sz w:val="21"/>
          <w:szCs w:val="21"/>
        </w:rPr>
      </w:pPr>
      <w:r>
        <w:rPr>
          <w:rFonts w:hint="eastAsia" w:ascii="宋体" w:hAnsi="宋体" w:eastAsia="宋体"/>
          <w:sz w:val="21"/>
          <w:szCs w:val="21"/>
        </w:rPr>
        <w:t>2、技术条款根据“第三部分 用户需求书”的“技术需求”填写。</w:t>
      </w: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p>
    <w:p>
      <w:pPr>
        <w:adjustRightInd/>
        <w:snapToGrid/>
        <w:spacing w:line="276" w:lineRule="auto"/>
      </w:pPr>
    </w:p>
    <w:p>
      <w:pPr>
        <w:adjustRightInd/>
        <w:snapToGrid/>
        <w:spacing w:line="276" w:lineRule="auto"/>
      </w:pPr>
    </w:p>
    <w:p>
      <w:pPr>
        <w:adjustRightInd/>
        <w:snapToGrid/>
        <w:spacing w:line="276" w:lineRule="auto"/>
      </w:pPr>
    </w:p>
    <w:p>
      <w:pPr>
        <w:rPr>
          <w:rFonts w:ascii="宋体" w:hAnsi="宋体" w:eastAsia="宋体"/>
          <w:sz w:val="21"/>
          <w:szCs w:val="21"/>
        </w:rPr>
      </w:pPr>
      <w:bookmarkStart w:id="165" w:name="_Toc17691"/>
      <w:r>
        <w:rPr>
          <w:rFonts w:hint="eastAsia" w:ascii="宋体" w:hAnsi="宋体" w:eastAsia="宋体"/>
          <w:sz w:val="21"/>
          <w:szCs w:val="21"/>
        </w:rPr>
        <w:br w:type="page"/>
      </w:r>
    </w:p>
    <w:p>
      <w:pPr>
        <w:pStyle w:val="7"/>
        <w:widowControl w:val="0"/>
        <w:overflowPunct w:val="0"/>
        <w:spacing w:before="0" w:after="0" w:line="240" w:lineRule="auto"/>
        <w:rPr>
          <w:rFonts w:ascii="宋体" w:hAnsi="宋体" w:eastAsia="宋体" w:cs="Times New Roman"/>
          <w:b w:val="0"/>
          <w:bCs w:val="0"/>
          <w:sz w:val="32"/>
          <w:szCs w:val="32"/>
        </w:rPr>
      </w:pPr>
      <w:bookmarkStart w:id="166" w:name="_Toc20363"/>
      <w:r>
        <w:rPr>
          <w:rFonts w:hint="eastAsia" w:ascii="宋体" w:hAnsi="宋体" w:eastAsia="宋体"/>
          <w:sz w:val="21"/>
          <w:szCs w:val="21"/>
        </w:rPr>
        <w:t>附件12.重要技术参数（▲）响应表</w:t>
      </w:r>
      <w:bookmarkEnd w:id="165"/>
      <w:bookmarkEnd w:id="166"/>
    </w:p>
    <w:p>
      <w:pPr>
        <w:jc w:val="center"/>
        <w:rPr>
          <w:rFonts w:ascii="黑体" w:eastAsia="黑体"/>
          <w:sz w:val="28"/>
          <w:szCs w:val="28"/>
        </w:rPr>
      </w:pPr>
      <w:bookmarkStart w:id="167" w:name="_Toc4464"/>
      <w:bookmarkStart w:id="168" w:name="_Toc1274"/>
      <w:bookmarkStart w:id="169" w:name="_Toc18668"/>
      <w:bookmarkStart w:id="170" w:name="_Toc4827"/>
      <w:bookmarkStart w:id="171" w:name="_Toc26078"/>
      <w:bookmarkStart w:id="172" w:name="_Toc6080"/>
    </w:p>
    <w:p>
      <w:pPr>
        <w:jc w:val="center"/>
        <w:rPr>
          <w:rFonts w:ascii="黑体" w:eastAsia="黑体"/>
          <w:sz w:val="28"/>
          <w:szCs w:val="28"/>
        </w:rPr>
      </w:pPr>
      <w:r>
        <w:rPr>
          <w:rFonts w:hint="eastAsia" w:ascii="黑体" w:eastAsia="黑体"/>
          <w:sz w:val="28"/>
          <w:szCs w:val="28"/>
        </w:rPr>
        <w:t>重要技术参数（▲）响应表</w:t>
      </w:r>
      <w:bookmarkEnd w:id="167"/>
      <w:bookmarkEnd w:id="168"/>
      <w:bookmarkEnd w:id="169"/>
      <w:bookmarkEnd w:id="170"/>
      <w:bookmarkEnd w:id="171"/>
      <w:bookmarkEnd w:id="172"/>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widowControl w:val="0"/>
              <w:overflowPunct w:val="0"/>
              <w:spacing w:before="0" w:after="0" w:line="240" w:lineRule="auto"/>
              <w:jc w:val="center"/>
              <w:rPr>
                <w:rFonts w:ascii="宋体" w:hAnsi="宋体" w:eastAsia="宋体" w:cs="Times New Roman"/>
                <w:sz w:val="21"/>
                <w:szCs w:val="21"/>
              </w:rPr>
            </w:pPr>
            <w:bookmarkStart w:id="173" w:name="_Toc2700"/>
            <w:bookmarkStart w:id="174" w:name="_Toc29642"/>
            <w:bookmarkStart w:id="175" w:name="_Toc12049"/>
            <w:bookmarkStart w:id="176" w:name="_Toc10045"/>
            <w:bookmarkStart w:id="177" w:name="_Toc27090"/>
            <w:bookmarkStart w:id="178" w:name="_Toc15903"/>
            <w:bookmarkStart w:id="179" w:name="_Toc16872"/>
            <w:bookmarkStart w:id="180" w:name="_Toc14815"/>
            <w:bookmarkStart w:id="181" w:name="_Toc4304"/>
            <w:bookmarkStart w:id="182" w:name="_Toc22448"/>
            <w:bookmarkStart w:id="183" w:name="_Toc21739"/>
            <w:bookmarkStart w:id="184" w:name="_Toc8798"/>
            <w:bookmarkStart w:id="185" w:name="_Toc30818"/>
            <w:bookmarkStart w:id="186" w:name="_Toc8124"/>
            <w:bookmarkStart w:id="187" w:name="_Toc17891"/>
            <w:bookmarkStart w:id="188" w:name="_Toc32749"/>
            <w:bookmarkStart w:id="189" w:name="_Toc27649"/>
            <w:r>
              <w:rPr>
                <w:rFonts w:hint="eastAsia" w:ascii="宋体" w:hAnsi="宋体" w:eastAsia="宋体" w:cs="Times New Roman"/>
                <w:sz w:val="21"/>
                <w:szCs w:val="21"/>
              </w:rPr>
              <w:t>技术参数（▲）</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tc>
        <w:tc>
          <w:tcPr>
            <w:tcW w:w="1667" w:type="pct"/>
            <w:vAlign w:val="center"/>
          </w:tcPr>
          <w:p>
            <w:pPr>
              <w:pStyle w:val="7"/>
              <w:widowControl w:val="0"/>
              <w:overflowPunct w:val="0"/>
              <w:spacing w:before="0" w:after="0" w:line="240" w:lineRule="auto"/>
              <w:jc w:val="center"/>
              <w:rPr>
                <w:rFonts w:ascii="宋体" w:hAnsi="宋体" w:eastAsia="宋体" w:cs="Times New Roman"/>
                <w:sz w:val="21"/>
                <w:szCs w:val="21"/>
              </w:rPr>
            </w:pPr>
            <w:bookmarkStart w:id="190" w:name="_Toc22917"/>
            <w:bookmarkStart w:id="191" w:name="_Toc8312"/>
            <w:bookmarkStart w:id="192" w:name="_Toc7333"/>
            <w:bookmarkStart w:id="193" w:name="_Toc24662"/>
            <w:bookmarkStart w:id="194" w:name="_Toc8490"/>
            <w:bookmarkStart w:id="195" w:name="_Toc27442"/>
            <w:bookmarkStart w:id="196" w:name="_Toc14810"/>
            <w:bookmarkStart w:id="197" w:name="_Toc21809"/>
            <w:bookmarkStart w:id="198" w:name="_Toc22879"/>
            <w:bookmarkStart w:id="199" w:name="_Toc19251"/>
            <w:bookmarkStart w:id="200" w:name="_Toc32531"/>
            <w:bookmarkStart w:id="201" w:name="_Toc3383"/>
            <w:bookmarkStart w:id="202" w:name="_Toc13546"/>
            <w:bookmarkStart w:id="203" w:name="_Toc9066"/>
            <w:bookmarkStart w:id="204" w:name="_Toc224"/>
            <w:bookmarkStart w:id="205" w:name="_Toc16315"/>
            <w:bookmarkStart w:id="206" w:name="_Toc29227"/>
            <w:r>
              <w:rPr>
                <w:rFonts w:hint="eastAsia" w:ascii="宋体" w:hAnsi="宋体" w:eastAsia="宋体" w:cs="Times New Roman"/>
                <w:sz w:val="21"/>
                <w:szCs w:val="21"/>
              </w:rPr>
              <w:t>是否响应</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tc>
        <w:tc>
          <w:tcPr>
            <w:tcW w:w="1666" w:type="pct"/>
            <w:vAlign w:val="center"/>
          </w:tcPr>
          <w:p>
            <w:pPr>
              <w:pStyle w:val="7"/>
              <w:widowControl w:val="0"/>
              <w:overflowPunct w:val="0"/>
              <w:spacing w:before="0" w:after="0" w:line="240" w:lineRule="auto"/>
              <w:jc w:val="center"/>
              <w:rPr>
                <w:rFonts w:ascii="宋体" w:hAnsi="宋体" w:eastAsia="宋体" w:cs="Times New Roman"/>
                <w:sz w:val="21"/>
                <w:szCs w:val="21"/>
              </w:rPr>
            </w:pPr>
            <w:bookmarkStart w:id="207" w:name="_Toc1912"/>
            <w:bookmarkStart w:id="208" w:name="_Toc1330"/>
            <w:bookmarkStart w:id="209" w:name="_Toc20820"/>
            <w:bookmarkStart w:id="210" w:name="_Toc5563"/>
            <w:bookmarkStart w:id="211" w:name="_Toc27185"/>
            <w:bookmarkStart w:id="212" w:name="_Toc5992"/>
            <w:bookmarkStart w:id="213" w:name="_Toc20139"/>
            <w:bookmarkStart w:id="214" w:name="_Toc3701"/>
            <w:bookmarkStart w:id="215" w:name="_Toc17296"/>
            <w:bookmarkStart w:id="216" w:name="_Toc17642"/>
            <w:bookmarkStart w:id="217" w:name="_Toc31875"/>
            <w:bookmarkStart w:id="218" w:name="_Toc30417"/>
            <w:bookmarkStart w:id="219" w:name="_Toc11350"/>
            <w:bookmarkStart w:id="220" w:name="_Toc16021"/>
            <w:bookmarkStart w:id="221" w:name="_Toc15533"/>
            <w:bookmarkStart w:id="222" w:name="_Toc435"/>
            <w:bookmarkStart w:id="223" w:name="_Toc23293"/>
            <w:r>
              <w:rPr>
                <w:rFonts w:hint="eastAsia" w:ascii="宋体" w:hAnsi="宋体" w:eastAsia="宋体" w:cs="Times New Roman"/>
                <w:sz w:val="21"/>
                <w:szCs w:val="21"/>
              </w:rPr>
              <w:t>页码范围</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widowControl w:val="0"/>
              <w:overflowPunct w:val="0"/>
              <w:spacing w:before="0" w:after="0" w:line="240" w:lineRule="auto"/>
              <w:jc w:val="center"/>
              <w:rPr>
                <w:rFonts w:ascii="宋体" w:hAnsi="宋体" w:eastAsia="宋体" w:cs="Times New Roman"/>
                <w:sz w:val="21"/>
                <w:szCs w:val="21"/>
              </w:rPr>
            </w:pPr>
          </w:p>
        </w:tc>
        <w:tc>
          <w:tcPr>
            <w:tcW w:w="1667" w:type="pct"/>
            <w:vAlign w:val="center"/>
          </w:tcPr>
          <w:p>
            <w:pPr>
              <w:pStyle w:val="7"/>
              <w:widowControl w:val="0"/>
              <w:overflowPunct w:val="0"/>
              <w:spacing w:before="0" w:after="0" w:line="240" w:lineRule="auto"/>
              <w:jc w:val="center"/>
              <w:rPr>
                <w:rFonts w:ascii="宋体" w:hAnsi="宋体" w:eastAsia="宋体" w:cs="Times New Roman"/>
                <w:sz w:val="21"/>
                <w:szCs w:val="21"/>
              </w:rPr>
            </w:pPr>
          </w:p>
        </w:tc>
        <w:tc>
          <w:tcPr>
            <w:tcW w:w="1666" w:type="pct"/>
            <w:vAlign w:val="center"/>
          </w:tcPr>
          <w:p>
            <w:pPr>
              <w:pStyle w:val="7"/>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widowControl w:val="0"/>
              <w:overflowPunct w:val="0"/>
              <w:spacing w:before="0" w:after="0" w:line="240" w:lineRule="auto"/>
              <w:jc w:val="center"/>
              <w:rPr>
                <w:rFonts w:ascii="宋体" w:hAnsi="宋体" w:eastAsia="宋体" w:cs="Times New Roman"/>
                <w:sz w:val="21"/>
                <w:szCs w:val="21"/>
              </w:rPr>
            </w:pPr>
          </w:p>
        </w:tc>
        <w:tc>
          <w:tcPr>
            <w:tcW w:w="1667" w:type="pct"/>
            <w:vAlign w:val="center"/>
          </w:tcPr>
          <w:p>
            <w:pPr>
              <w:pStyle w:val="7"/>
              <w:widowControl w:val="0"/>
              <w:overflowPunct w:val="0"/>
              <w:spacing w:before="0" w:after="0" w:line="240" w:lineRule="auto"/>
              <w:jc w:val="center"/>
              <w:rPr>
                <w:rFonts w:ascii="宋体" w:hAnsi="宋体" w:eastAsia="宋体" w:cs="Times New Roman"/>
                <w:sz w:val="21"/>
                <w:szCs w:val="21"/>
              </w:rPr>
            </w:pPr>
          </w:p>
        </w:tc>
        <w:tc>
          <w:tcPr>
            <w:tcW w:w="1666" w:type="pct"/>
            <w:vAlign w:val="center"/>
          </w:tcPr>
          <w:p>
            <w:pPr>
              <w:pStyle w:val="7"/>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widowControl w:val="0"/>
              <w:overflowPunct w:val="0"/>
              <w:spacing w:before="0" w:after="0" w:line="240" w:lineRule="auto"/>
              <w:jc w:val="center"/>
              <w:rPr>
                <w:rFonts w:ascii="宋体" w:hAnsi="宋体" w:eastAsia="宋体" w:cs="Times New Roman"/>
                <w:sz w:val="21"/>
                <w:szCs w:val="21"/>
              </w:rPr>
            </w:pPr>
          </w:p>
        </w:tc>
        <w:tc>
          <w:tcPr>
            <w:tcW w:w="1667" w:type="pct"/>
            <w:vAlign w:val="center"/>
          </w:tcPr>
          <w:p>
            <w:pPr>
              <w:pStyle w:val="7"/>
              <w:widowControl w:val="0"/>
              <w:overflowPunct w:val="0"/>
              <w:spacing w:before="0" w:after="0" w:line="240" w:lineRule="auto"/>
              <w:jc w:val="center"/>
              <w:rPr>
                <w:rFonts w:ascii="宋体" w:hAnsi="宋体" w:eastAsia="宋体" w:cs="Times New Roman"/>
                <w:sz w:val="21"/>
                <w:szCs w:val="21"/>
              </w:rPr>
            </w:pPr>
          </w:p>
        </w:tc>
        <w:tc>
          <w:tcPr>
            <w:tcW w:w="1666" w:type="pct"/>
            <w:vAlign w:val="center"/>
          </w:tcPr>
          <w:p>
            <w:pPr>
              <w:pStyle w:val="7"/>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widowControl w:val="0"/>
              <w:overflowPunct w:val="0"/>
              <w:spacing w:before="0" w:after="0" w:line="240" w:lineRule="auto"/>
              <w:jc w:val="center"/>
              <w:rPr>
                <w:rFonts w:ascii="宋体" w:hAnsi="宋体" w:eastAsia="宋体" w:cs="Times New Roman"/>
                <w:sz w:val="21"/>
                <w:szCs w:val="21"/>
              </w:rPr>
            </w:pPr>
          </w:p>
        </w:tc>
        <w:tc>
          <w:tcPr>
            <w:tcW w:w="1667" w:type="pct"/>
            <w:vAlign w:val="center"/>
          </w:tcPr>
          <w:p>
            <w:pPr>
              <w:pStyle w:val="7"/>
              <w:widowControl w:val="0"/>
              <w:overflowPunct w:val="0"/>
              <w:spacing w:before="0" w:after="0" w:line="240" w:lineRule="auto"/>
              <w:jc w:val="center"/>
              <w:rPr>
                <w:rFonts w:ascii="宋体" w:hAnsi="宋体" w:eastAsia="宋体" w:cs="Times New Roman"/>
                <w:sz w:val="21"/>
                <w:szCs w:val="21"/>
              </w:rPr>
            </w:pPr>
          </w:p>
        </w:tc>
        <w:tc>
          <w:tcPr>
            <w:tcW w:w="1666" w:type="pct"/>
            <w:vAlign w:val="center"/>
          </w:tcPr>
          <w:p>
            <w:pPr>
              <w:pStyle w:val="7"/>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widowControl w:val="0"/>
              <w:overflowPunct w:val="0"/>
              <w:spacing w:before="0" w:after="0" w:line="240" w:lineRule="auto"/>
              <w:jc w:val="center"/>
              <w:rPr>
                <w:rFonts w:ascii="宋体" w:hAnsi="宋体" w:eastAsia="宋体" w:cs="Times New Roman"/>
                <w:sz w:val="21"/>
                <w:szCs w:val="21"/>
              </w:rPr>
            </w:pPr>
          </w:p>
        </w:tc>
        <w:tc>
          <w:tcPr>
            <w:tcW w:w="1667" w:type="pct"/>
            <w:vAlign w:val="center"/>
          </w:tcPr>
          <w:p>
            <w:pPr>
              <w:pStyle w:val="7"/>
              <w:widowControl w:val="0"/>
              <w:overflowPunct w:val="0"/>
              <w:spacing w:before="0" w:after="0" w:line="240" w:lineRule="auto"/>
              <w:jc w:val="center"/>
              <w:rPr>
                <w:rFonts w:ascii="宋体" w:hAnsi="宋体" w:eastAsia="宋体" w:cs="Times New Roman"/>
                <w:sz w:val="21"/>
                <w:szCs w:val="21"/>
              </w:rPr>
            </w:pPr>
          </w:p>
        </w:tc>
        <w:tc>
          <w:tcPr>
            <w:tcW w:w="1666" w:type="pct"/>
            <w:vAlign w:val="center"/>
          </w:tcPr>
          <w:p>
            <w:pPr>
              <w:pStyle w:val="7"/>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widowControl w:val="0"/>
              <w:overflowPunct w:val="0"/>
              <w:spacing w:before="0" w:after="0" w:line="240" w:lineRule="auto"/>
              <w:jc w:val="center"/>
              <w:rPr>
                <w:rFonts w:ascii="宋体" w:hAnsi="宋体" w:eastAsia="宋体" w:cs="Times New Roman"/>
                <w:sz w:val="21"/>
                <w:szCs w:val="21"/>
              </w:rPr>
            </w:pPr>
          </w:p>
        </w:tc>
        <w:tc>
          <w:tcPr>
            <w:tcW w:w="1667" w:type="pct"/>
            <w:vAlign w:val="center"/>
          </w:tcPr>
          <w:p>
            <w:pPr>
              <w:pStyle w:val="7"/>
              <w:widowControl w:val="0"/>
              <w:overflowPunct w:val="0"/>
              <w:spacing w:before="0" w:after="0" w:line="240" w:lineRule="auto"/>
              <w:jc w:val="center"/>
              <w:rPr>
                <w:rFonts w:ascii="宋体" w:hAnsi="宋体" w:eastAsia="宋体" w:cs="Times New Roman"/>
                <w:sz w:val="21"/>
                <w:szCs w:val="21"/>
              </w:rPr>
            </w:pPr>
          </w:p>
        </w:tc>
        <w:tc>
          <w:tcPr>
            <w:tcW w:w="1666" w:type="pct"/>
            <w:vAlign w:val="center"/>
          </w:tcPr>
          <w:p>
            <w:pPr>
              <w:pStyle w:val="7"/>
              <w:widowControl w:val="0"/>
              <w:overflowPunct w:val="0"/>
              <w:spacing w:before="0" w:after="0" w:line="240" w:lineRule="auto"/>
              <w:jc w:val="center"/>
              <w:rPr>
                <w:rFonts w:ascii="宋体" w:hAnsi="宋体" w:eastAsia="宋体" w:cs="Times New Roman"/>
                <w:sz w:val="21"/>
                <w:szCs w:val="21"/>
              </w:rPr>
            </w:pPr>
          </w:p>
        </w:tc>
      </w:tr>
    </w:tbl>
    <w:p>
      <w:pPr>
        <w:pStyle w:val="27"/>
        <w:spacing w:after="0" w:line="360" w:lineRule="auto"/>
        <w:rPr>
          <w:rFonts w:ascii="宋体" w:hAnsi="宋体" w:eastAsia="宋体"/>
          <w:sz w:val="21"/>
          <w:szCs w:val="21"/>
        </w:rPr>
      </w:pPr>
    </w:p>
    <w:p>
      <w:pPr>
        <w:pStyle w:val="27"/>
        <w:spacing w:after="0" w:line="360" w:lineRule="auto"/>
        <w:rPr>
          <w:rFonts w:ascii="宋体" w:hAnsi="宋体" w:eastAsia="宋体"/>
          <w:sz w:val="21"/>
          <w:szCs w:val="21"/>
        </w:rPr>
      </w:pPr>
      <w:r>
        <w:rPr>
          <w:rFonts w:hint="eastAsia" w:ascii="宋体" w:hAnsi="宋体" w:eastAsia="宋体"/>
          <w:sz w:val="21"/>
          <w:szCs w:val="21"/>
        </w:rPr>
        <w:t>注：</w:t>
      </w:r>
    </w:p>
    <w:p>
      <w:pPr>
        <w:pStyle w:val="27"/>
        <w:numPr>
          <w:ilvl w:val="0"/>
          <w:numId w:val="11"/>
        </w:numPr>
        <w:spacing w:after="0" w:line="360" w:lineRule="auto"/>
        <w:rPr>
          <w:rFonts w:ascii="宋体" w:hAnsi="宋体" w:eastAsia="宋体"/>
          <w:sz w:val="21"/>
          <w:szCs w:val="21"/>
        </w:rPr>
      </w:pPr>
      <w:r>
        <w:rPr>
          <w:rFonts w:hint="eastAsia" w:ascii="宋体" w:hAnsi="宋体" w:eastAsia="宋体"/>
          <w:sz w:val="21"/>
          <w:szCs w:val="21"/>
        </w:rPr>
        <w:t>该表格为参考格式，供应商可按实际情况自行制订。</w:t>
      </w:r>
    </w:p>
    <w:p>
      <w:pPr>
        <w:pStyle w:val="27"/>
        <w:numPr>
          <w:ilvl w:val="0"/>
          <w:numId w:val="11"/>
        </w:numPr>
        <w:spacing w:after="0" w:line="360" w:lineRule="auto"/>
        <w:ind w:firstLine="422"/>
        <w:rPr>
          <w:rFonts w:ascii="宋体" w:hAnsi="宋体" w:eastAsia="宋体"/>
          <w:b/>
          <w:bCs/>
          <w:sz w:val="21"/>
          <w:szCs w:val="21"/>
        </w:rPr>
      </w:pPr>
      <w:r>
        <w:rPr>
          <w:rFonts w:hint="eastAsia" w:ascii="宋体" w:hAnsi="宋体" w:eastAsia="宋体"/>
          <w:b/>
          <w:bCs/>
          <w:sz w:val="21"/>
          <w:szCs w:val="21"/>
        </w:rPr>
        <w:t>供应商可按项目的实际需要提供本表格。磋商文件内未涉及▲参数的，此表可以不用提供。</w:t>
      </w:r>
    </w:p>
    <w:p>
      <w:pPr>
        <w:pStyle w:val="27"/>
        <w:numPr>
          <w:ilvl w:val="0"/>
          <w:numId w:val="11"/>
        </w:numPr>
        <w:spacing w:after="0" w:line="360" w:lineRule="auto"/>
        <w:rPr>
          <w:rFonts w:ascii="宋体" w:hAnsi="宋体" w:eastAsia="宋体"/>
          <w:sz w:val="21"/>
          <w:szCs w:val="21"/>
        </w:rPr>
      </w:pPr>
      <w:r>
        <w:rPr>
          <w:rFonts w:hint="eastAsia" w:ascii="宋体" w:hAnsi="宋体" w:eastAsia="宋体"/>
          <w:sz w:val="21"/>
          <w:szCs w:val="21"/>
        </w:rPr>
        <w:t>响应表所列出的材料应为真实准确的，若文件需要，应提供相关证明材料复印件加盖公章。请勿提供虚假、过期材料，否则将依据相关规定严肃处理</w:t>
      </w:r>
    </w:p>
    <w:p>
      <w:pPr>
        <w:pStyle w:val="27"/>
        <w:numPr>
          <w:ilvl w:val="0"/>
          <w:numId w:val="11"/>
        </w:numPr>
        <w:spacing w:after="0" w:line="360" w:lineRule="auto"/>
        <w:rPr>
          <w:rFonts w:ascii="宋体" w:hAnsi="宋体" w:eastAsia="宋体"/>
          <w:sz w:val="21"/>
          <w:szCs w:val="21"/>
        </w:rPr>
      </w:pPr>
      <w:r>
        <w:rPr>
          <w:rFonts w:hint="eastAsia" w:ascii="宋体" w:hAnsi="宋体" w:eastAsia="宋体"/>
          <w:sz w:val="21"/>
          <w:szCs w:val="21"/>
        </w:rPr>
        <w:t>若磋商文件有需求，响应文件未提供重要技术参数（</w:t>
      </w:r>
      <w:r>
        <w:rPr>
          <w:rFonts w:hint="eastAsia" w:ascii="宋体" w:hAnsi="宋体" w:eastAsia="宋体" w:cs="Times New Roman"/>
          <w:sz w:val="21"/>
          <w:szCs w:val="21"/>
        </w:rPr>
        <w:t>▲</w:t>
      </w:r>
      <w:r>
        <w:rPr>
          <w:rFonts w:hint="eastAsia" w:ascii="宋体" w:hAnsi="宋体" w:eastAsia="宋体"/>
          <w:sz w:val="21"/>
          <w:szCs w:val="21"/>
        </w:rPr>
        <w:t>）响应表对供应商响应产生负面影响的，供应商自行承担后果。</w:t>
      </w:r>
    </w:p>
    <w:p>
      <w:pPr>
        <w:pStyle w:val="27"/>
        <w:numPr>
          <w:ilvl w:val="0"/>
          <w:numId w:val="11"/>
        </w:numPr>
        <w:spacing w:after="0"/>
        <w:rPr>
          <w:rFonts w:ascii="宋体" w:hAnsi="宋体" w:eastAsia="宋体"/>
          <w:sz w:val="21"/>
          <w:szCs w:val="21"/>
        </w:rPr>
      </w:pPr>
      <w:r>
        <w:rPr>
          <w:rFonts w:hint="eastAsia" w:ascii="宋体" w:hAnsi="宋体" w:eastAsia="宋体"/>
          <w:sz w:val="21"/>
          <w:szCs w:val="21"/>
        </w:rPr>
        <w:br w:type="page"/>
      </w:r>
    </w:p>
    <w:p>
      <w:pPr>
        <w:pStyle w:val="7"/>
        <w:widowControl w:val="0"/>
        <w:overflowPunct w:val="0"/>
        <w:spacing w:before="0" w:after="0" w:line="240" w:lineRule="auto"/>
        <w:rPr>
          <w:rFonts w:ascii="宋体" w:hAnsi="宋体" w:eastAsia="宋体"/>
          <w:sz w:val="30"/>
          <w:szCs w:val="30"/>
        </w:rPr>
      </w:pPr>
      <w:bookmarkStart w:id="224" w:name="_Toc17609"/>
      <w:r>
        <w:rPr>
          <w:rFonts w:hint="eastAsia" w:ascii="宋体" w:hAnsi="宋体" w:eastAsia="宋体"/>
          <w:sz w:val="21"/>
          <w:szCs w:val="21"/>
        </w:rPr>
        <w:t>附件13.业绩表</w:t>
      </w:r>
      <w:bookmarkEnd w:id="224"/>
    </w:p>
    <w:p>
      <w:pPr>
        <w:jc w:val="center"/>
        <w:rPr>
          <w:rFonts w:ascii="黑体" w:eastAsia="黑体"/>
          <w:sz w:val="28"/>
          <w:szCs w:val="28"/>
        </w:rPr>
      </w:pPr>
      <w:r>
        <w:rPr>
          <w:rFonts w:hint="eastAsia" w:ascii="黑体" w:eastAsia="黑体"/>
          <w:sz w:val="28"/>
          <w:szCs w:val="28"/>
        </w:rPr>
        <w:t>业绩表</w:t>
      </w:r>
    </w:p>
    <w:tbl>
      <w:tblPr>
        <w:tblStyle w:val="22"/>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序号</w:t>
            </w:r>
          </w:p>
        </w:tc>
        <w:tc>
          <w:tcPr>
            <w:tcW w:w="1705"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项目名称</w:t>
            </w:r>
          </w:p>
        </w:tc>
        <w:tc>
          <w:tcPr>
            <w:tcW w:w="1706"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项目金额</w:t>
            </w:r>
          </w:p>
        </w:tc>
        <w:tc>
          <w:tcPr>
            <w:tcW w:w="1705"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项目合同签订时间</w:t>
            </w:r>
          </w:p>
        </w:tc>
        <w:tc>
          <w:tcPr>
            <w:tcW w:w="1697"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sz w:val="21"/>
                <w:szCs w:val="21"/>
              </w:rPr>
            </w:pPr>
          </w:p>
        </w:tc>
        <w:tc>
          <w:tcPr>
            <w:tcW w:w="1705" w:type="dxa"/>
            <w:vAlign w:val="center"/>
          </w:tcPr>
          <w:p>
            <w:pPr>
              <w:adjustRightInd/>
              <w:snapToGrid/>
              <w:spacing w:after="0"/>
              <w:jc w:val="center"/>
              <w:rPr>
                <w:rFonts w:ascii="宋体" w:hAnsi="宋体" w:eastAsia="宋体"/>
                <w:sz w:val="21"/>
                <w:szCs w:val="21"/>
              </w:rPr>
            </w:pPr>
          </w:p>
        </w:tc>
        <w:tc>
          <w:tcPr>
            <w:tcW w:w="1706" w:type="dxa"/>
            <w:vAlign w:val="center"/>
          </w:tcPr>
          <w:p>
            <w:pPr>
              <w:adjustRightInd/>
              <w:snapToGrid/>
              <w:spacing w:after="0"/>
              <w:jc w:val="center"/>
              <w:rPr>
                <w:rFonts w:ascii="宋体" w:hAnsi="宋体" w:eastAsia="宋体"/>
                <w:sz w:val="21"/>
                <w:szCs w:val="21"/>
              </w:rPr>
            </w:pPr>
          </w:p>
        </w:tc>
        <w:tc>
          <w:tcPr>
            <w:tcW w:w="1705" w:type="dxa"/>
            <w:vAlign w:val="center"/>
          </w:tcPr>
          <w:p>
            <w:pPr>
              <w:adjustRightInd/>
              <w:snapToGrid/>
              <w:spacing w:after="0"/>
              <w:jc w:val="center"/>
              <w:rPr>
                <w:rFonts w:ascii="宋体" w:hAnsi="宋体" w:eastAsia="宋体"/>
                <w:sz w:val="21"/>
                <w:szCs w:val="21"/>
              </w:rPr>
            </w:pPr>
          </w:p>
        </w:tc>
        <w:tc>
          <w:tcPr>
            <w:tcW w:w="1697" w:type="dxa"/>
            <w:vAlign w:val="center"/>
          </w:tcPr>
          <w:p>
            <w:pPr>
              <w:adjustRightInd/>
              <w:snapToGrid/>
              <w:spacing w:after="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bl>
    <w:p>
      <w:pPr>
        <w:pStyle w:val="27"/>
        <w:spacing w:after="0"/>
        <w:rPr>
          <w:rFonts w:ascii="宋体" w:hAnsi="宋体" w:eastAsia="宋体"/>
          <w:sz w:val="21"/>
          <w:szCs w:val="21"/>
        </w:rPr>
      </w:pPr>
    </w:p>
    <w:p>
      <w:pPr>
        <w:pStyle w:val="27"/>
        <w:spacing w:after="0"/>
        <w:rPr>
          <w:rFonts w:ascii="宋体" w:hAnsi="宋体" w:eastAsia="宋体"/>
          <w:sz w:val="21"/>
          <w:szCs w:val="21"/>
        </w:rPr>
      </w:pPr>
      <w:r>
        <w:rPr>
          <w:rFonts w:hint="eastAsia" w:ascii="宋体" w:hAnsi="宋体" w:eastAsia="宋体"/>
          <w:sz w:val="21"/>
          <w:szCs w:val="21"/>
        </w:rPr>
        <w:t>注：</w:t>
      </w:r>
    </w:p>
    <w:p>
      <w:pPr>
        <w:pStyle w:val="27"/>
        <w:numPr>
          <w:ilvl w:val="0"/>
          <w:numId w:val="12"/>
        </w:numPr>
        <w:spacing w:after="0" w:line="360" w:lineRule="auto"/>
        <w:rPr>
          <w:rFonts w:ascii="宋体" w:hAnsi="宋体" w:eastAsia="宋体"/>
          <w:sz w:val="21"/>
          <w:szCs w:val="21"/>
        </w:rPr>
      </w:pPr>
      <w:r>
        <w:rPr>
          <w:rFonts w:hint="eastAsia" w:ascii="宋体" w:hAnsi="宋体" w:eastAsia="宋体"/>
          <w:sz w:val="21"/>
          <w:szCs w:val="21"/>
        </w:rPr>
        <w:t>该表格为参考格式，供应商可按实际情况自行制订。</w:t>
      </w:r>
    </w:p>
    <w:p>
      <w:pPr>
        <w:pStyle w:val="27"/>
        <w:numPr>
          <w:ilvl w:val="0"/>
          <w:numId w:val="12"/>
        </w:numPr>
        <w:spacing w:after="0" w:line="360" w:lineRule="auto"/>
        <w:rPr>
          <w:rFonts w:ascii="宋体" w:hAnsi="宋体" w:eastAsia="宋体"/>
          <w:sz w:val="21"/>
          <w:szCs w:val="21"/>
        </w:rPr>
      </w:pPr>
      <w:r>
        <w:rPr>
          <w:rFonts w:hint="eastAsia" w:ascii="宋体" w:hAnsi="宋体" w:eastAsia="宋体"/>
          <w:sz w:val="21"/>
          <w:szCs w:val="21"/>
        </w:rPr>
        <w:t>业绩表所列出的材料应为真实准确的，并应提供相关证明材料复印件加盖公章。请勿提供虚假、过期材料，否则将依据相关规定严肃处理。</w:t>
      </w:r>
    </w:p>
    <w:p>
      <w:pPr>
        <w:pStyle w:val="27"/>
        <w:numPr>
          <w:ilvl w:val="0"/>
          <w:numId w:val="12"/>
        </w:numPr>
        <w:spacing w:after="0"/>
        <w:rPr>
          <w:rFonts w:ascii="宋体" w:hAnsi="宋体" w:eastAsia="宋体"/>
          <w:sz w:val="21"/>
          <w:szCs w:val="21"/>
        </w:rPr>
      </w:pPr>
      <w:r>
        <w:rPr>
          <w:rFonts w:hint="eastAsia" w:ascii="宋体" w:hAnsi="宋体" w:eastAsia="宋体"/>
          <w:sz w:val="21"/>
          <w:szCs w:val="21"/>
        </w:rPr>
        <w:br w:type="page"/>
      </w:r>
    </w:p>
    <w:p>
      <w:pPr>
        <w:pStyle w:val="7"/>
        <w:widowControl w:val="0"/>
        <w:overflowPunct w:val="0"/>
        <w:spacing w:before="0" w:after="0" w:line="240" w:lineRule="auto"/>
        <w:rPr>
          <w:rFonts w:ascii="宋体" w:hAnsi="宋体" w:eastAsia="宋体"/>
          <w:sz w:val="21"/>
          <w:szCs w:val="21"/>
        </w:rPr>
      </w:pPr>
      <w:bookmarkStart w:id="225" w:name="_Toc6162"/>
      <w:r>
        <w:rPr>
          <w:rFonts w:hint="eastAsia" w:ascii="宋体" w:hAnsi="宋体" w:eastAsia="宋体"/>
          <w:sz w:val="21"/>
          <w:szCs w:val="21"/>
        </w:rPr>
        <w:t>附件14.项目实施方案格式</w:t>
      </w:r>
      <w:bookmarkEnd w:id="225"/>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项目实施方案</w:t>
      </w:r>
    </w:p>
    <w:p>
      <w:pPr>
        <w:jc w:val="center"/>
        <w:rPr>
          <w:rFonts w:ascii="黑体" w:eastAsia="黑体"/>
          <w:sz w:val="32"/>
          <w:szCs w:val="32"/>
        </w:rPr>
      </w:pPr>
    </w:p>
    <w:p>
      <w:pPr>
        <w:spacing w:after="0" w:line="360" w:lineRule="auto"/>
        <w:ind w:left="141" w:leftChars="64" w:firstLine="420" w:firstLineChars="200"/>
        <w:rPr>
          <w:rFonts w:ascii="宋体" w:hAnsi="宋体" w:eastAsia="宋体"/>
          <w:sz w:val="21"/>
          <w:szCs w:val="21"/>
        </w:rPr>
      </w:pPr>
      <w:r>
        <w:rPr>
          <w:rFonts w:hint="eastAsia" w:ascii="宋体" w:hAnsi="宋体" w:eastAsia="宋体"/>
          <w:sz w:val="21"/>
          <w:szCs w:val="21"/>
        </w:rPr>
        <w:t>供应商可根据“第二部分 相关资料表格”的“附表二：商务技术评分及价格权重表”自行编写。</w:t>
      </w:r>
    </w:p>
    <w:p>
      <w:pPr>
        <w:spacing w:after="0" w:line="360" w:lineRule="auto"/>
        <w:ind w:left="738" w:leftChars="200" w:hanging="298" w:hangingChars="142"/>
        <w:rPr>
          <w:rFonts w:ascii="宋体" w:hAnsi="宋体" w:eastAsia="宋体"/>
          <w:sz w:val="21"/>
          <w:szCs w:val="21"/>
        </w:rPr>
      </w:pPr>
    </w:p>
    <w:p>
      <w:pPr>
        <w:spacing w:after="0" w:line="360" w:lineRule="auto"/>
        <w:ind w:left="738" w:leftChars="200" w:hanging="298" w:hangingChars="142"/>
        <w:rPr>
          <w:rFonts w:ascii="宋体" w:hAnsi="宋体" w:eastAsia="宋体"/>
          <w:sz w:val="21"/>
          <w:szCs w:val="21"/>
        </w:rPr>
      </w:pPr>
    </w:p>
    <w:p>
      <w:pPr>
        <w:spacing w:after="0" w:line="360" w:lineRule="auto"/>
        <w:ind w:left="738" w:leftChars="200" w:hanging="298" w:hangingChars="142"/>
        <w:rPr>
          <w:rFonts w:ascii="宋体" w:hAnsi="宋体" w:eastAsia="宋体"/>
          <w:sz w:val="21"/>
          <w:szCs w:val="21"/>
        </w:rPr>
      </w:pPr>
      <w:r>
        <w:rPr>
          <w:rFonts w:hint="eastAsia" w:ascii="宋体" w:hAnsi="宋体" w:eastAsia="宋体"/>
          <w:sz w:val="21"/>
          <w:szCs w:val="21"/>
        </w:rPr>
        <w:br w:type="page"/>
      </w:r>
    </w:p>
    <w:p>
      <w:pPr>
        <w:pStyle w:val="7"/>
        <w:widowControl w:val="0"/>
        <w:overflowPunct w:val="0"/>
        <w:spacing w:before="0" w:after="0" w:line="240" w:lineRule="auto"/>
        <w:rPr>
          <w:rFonts w:ascii="宋体" w:hAnsi="宋体" w:eastAsia="宋体"/>
          <w:sz w:val="21"/>
          <w:szCs w:val="21"/>
        </w:rPr>
      </w:pPr>
      <w:bookmarkStart w:id="226" w:name="_Toc13274"/>
      <w:r>
        <w:rPr>
          <w:rFonts w:hint="eastAsia" w:ascii="宋体" w:hAnsi="宋体" w:eastAsia="宋体"/>
          <w:sz w:val="21"/>
          <w:szCs w:val="21"/>
        </w:rPr>
        <w:t>附件15.实施本项目的有关人员资料表格式</w:t>
      </w:r>
      <w:bookmarkEnd w:id="226"/>
    </w:p>
    <w:p>
      <w:pPr>
        <w:jc w:val="center"/>
        <w:rPr>
          <w:rFonts w:ascii="宋体" w:hAnsi="宋体" w:eastAsia="宋体"/>
          <w:sz w:val="21"/>
          <w:szCs w:val="21"/>
        </w:rPr>
      </w:pPr>
    </w:p>
    <w:p>
      <w:pPr>
        <w:jc w:val="center"/>
        <w:rPr>
          <w:rFonts w:ascii="黑体" w:eastAsia="黑体"/>
          <w:sz w:val="32"/>
          <w:szCs w:val="32"/>
        </w:rPr>
      </w:pPr>
      <w:r>
        <w:rPr>
          <w:rFonts w:hint="eastAsia" w:ascii="黑体" w:eastAsia="黑体"/>
          <w:sz w:val="32"/>
          <w:szCs w:val="32"/>
        </w:rPr>
        <w:t>实施本项目的有关人员资料表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83"/>
        <w:gridCol w:w="1497"/>
        <w:gridCol w:w="820"/>
        <w:gridCol w:w="761"/>
        <w:gridCol w:w="916"/>
        <w:gridCol w:w="914"/>
        <w:gridCol w:w="84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518" w:type="pct"/>
            <w:vAlign w:val="center"/>
          </w:tcPr>
          <w:p>
            <w:pPr>
              <w:spacing w:after="0"/>
              <w:jc w:val="center"/>
              <w:rPr>
                <w:rFonts w:ascii="宋体" w:hAnsi="宋体" w:eastAsia="宋体"/>
                <w:sz w:val="21"/>
                <w:szCs w:val="21"/>
              </w:rPr>
            </w:pPr>
            <w:r>
              <w:rPr>
                <w:rFonts w:hint="eastAsia" w:ascii="宋体" w:hAnsi="宋体" w:eastAsia="宋体"/>
                <w:sz w:val="21"/>
                <w:szCs w:val="21"/>
              </w:rPr>
              <w:t>姓名</w:t>
            </w:r>
          </w:p>
        </w:tc>
        <w:tc>
          <w:tcPr>
            <w:tcW w:w="878" w:type="pct"/>
            <w:vAlign w:val="center"/>
          </w:tcPr>
          <w:p>
            <w:pPr>
              <w:spacing w:after="0"/>
              <w:jc w:val="center"/>
              <w:rPr>
                <w:rFonts w:ascii="宋体" w:hAnsi="宋体" w:eastAsia="宋体"/>
                <w:sz w:val="21"/>
                <w:szCs w:val="21"/>
              </w:rPr>
            </w:pPr>
            <w:r>
              <w:rPr>
                <w:rFonts w:hint="eastAsia" w:ascii="宋体" w:hAnsi="宋体" w:eastAsia="宋体"/>
                <w:sz w:val="21"/>
                <w:szCs w:val="21"/>
              </w:rPr>
              <w:t>本项目拟任岗位</w:t>
            </w:r>
          </w:p>
        </w:tc>
        <w:tc>
          <w:tcPr>
            <w:tcW w:w="481" w:type="pct"/>
            <w:vAlign w:val="center"/>
          </w:tcPr>
          <w:p>
            <w:pPr>
              <w:spacing w:after="0"/>
              <w:jc w:val="center"/>
              <w:rPr>
                <w:rFonts w:ascii="宋体" w:hAnsi="宋体" w:eastAsia="宋体"/>
                <w:sz w:val="21"/>
                <w:szCs w:val="21"/>
              </w:rPr>
            </w:pPr>
            <w:r>
              <w:rPr>
                <w:rFonts w:hint="eastAsia" w:ascii="宋体" w:hAnsi="宋体" w:eastAsia="宋体"/>
                <w:sz w:val="21"/>
                <w:szCs w:val="21"/>
              </w:rPr>
              <w:t>性别</w:t>
            </w:r>
          </w:p>
        </w:tc>
        <w:tc>
          <w:tcPr>
            <w:tcW w:w="446" w:type="pct"/>
            <w:vAlign w:val="center"/>
          </w:tcPr>
          <w:p>
            <w:pPr>
              <w:spacing w:after="0"/>
              <w:jc w:val="center"/>
              <w:rPr>
                <w:rFonts w:ascii="宋体" w:hAnsi="宋体" w:eastAsia="宋体"/>
                <w:sz w:val="21"/>
                <w:szCs w:val="21"/>
              </w:rPr>
            </w:pPr>
            <w:r>
              <w:rPr>
                <w:rFonts w:hint="eastAsia" w:ascii="宋体" w:hAnsi="宋体" w:eastAsia="宋体"/>
                <w:sz w:val="21"/>
                <w:szCs w:val="21"/>
              </w:rPr>
              <w:t>年龄</w:t>
            </w:r>
          </w:p>
        </w:tc>
        <w:tc>
          <w:tcPr>
            <w:tcW w:w="537" w:type="pct"/>
            <w:vAlign w:val="center"/>
          </w:tcPr>
          <w:p>
            <w:pPr>
              <w:spacing w:after="0"/>
              <w:jc w:val="center"/>
              <w:rPr>
                <w:rFonts w:ascii="宋体" w:hAnsi="宋体" w:eastAsia="宋体"/>
                <w:sz w:val="21"/>
                <w:szCs w:val="21"/>
              </w:rPr>
            </w:pPr>
            <w:r>
              <w:rPr>
                <w:rFonts w:hint="eastAsia" w:ascii="宋体" w:hAnsi="宋体" w:eastAsia="宋体"/>
                <w:sz w:val="21"/>
                <w:szCs w:val="21"/>
              </w:rPr>
              <w:t>技术职称</w:t>
            </w:r>
          </w:p>
        </w:tc>
        <w:tc>
          <w:tcPr>
            <w:tcW w:w="536" w:type="pct"/>
            <w:vAlign w:val="center"/>
          </w:tcPr>
          <w:p>
            <w:pPr>
              <w:spacing w:after="0"/>
              <w:jc w:val="center"/>
              <w:rPr>
                <w:rFonts w:ascii="宋体" w:hAnsi="宋体" w:eastAsia="宋体"/>
                <w:sz w:val="21"/>
                <w:szCs w:val="21"/>
              </w:rPr>
            </w:pPr>
            <w:r>
              <w:rPr>
                <w:rFonts w:hint="eastAsia" w:ascii="宋体" w:hAnsi="宋体" w:eastAsia="宋体"/>
                <w:sz w:val="21"/>
                <w:szCs w:val="21"/>
              </w:rPr>
              <w:t>专 业</w:t>
            </w:r>
          </w:p>
        </w:tc>
        <w:tc>
          <w:tcPr>
            <w:tcW w:w="497" w:type="pct"/>
            <w:vAlign w:val="center"/>
          </w:tcPr>
          <w:p>
            <w:pPr>
              <w:spacing w:after="0"/>
              <w:jc w:val="center"/>
              <w:rPr>
                <w:rFonts w:ascii="宋体" w:hAnsi="宋体" w:eastAsia="宋体"/>
                <w:sz w:val="21"/>
                <w:szCs w:val="21"/>
              </w:rPr>
            </w:pPr>
            <w:r>
              <w:rPr>
                <w:rFonts w:hint="eastAsia" w:ascii="宋体" w:hAnsi="宋体" w:eastAsia="宋体"/>
                <w:sz w:val="21"/>
                <w:szCs w:val="21"/>
              </w:rPr>
              <w:t>资质证书</w:t>
            </w:r>
          </w:p>
        </w:tc>
        <w:tc>
          <w:tcPr>
            <w:tcW w:w="687" w:type="pct"/>
            <w:tcBorders>
              <w:right w:val="single" w:color="auto" w:sz="6" w:space="0"/>
            </w:tcBorders>
            <w:vAlign w:val="center"/>
          </w:tcPr>
          <w:p>
            <w:pPr>
              <w:spacing w:after="0"/>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sz w:val="21"/>
                <w:szCs w:val="21"/>
              </w:rPr>
            </w:pPr>
          </w:p>
        </w:tc>
        <w:tc>
          <w:tcPr>
            <w:tcW w:w="518" w:type="pct"/>
            <w:vAlign w:val="center"/>
          </w:tcPr>
          <w:p>
            <w:pPr>
              <w:spacing w:line="288" w:lineRule="auto"/>
              <w:jc w:val="center"/>
              <w:rPr>
                <w:rFonts w:ascii="宋体" w:hAnsi="宋体" w:eastAsia="宋体"/>
                <w:sz w:val="21"/>
                <w:szCs w:val="21"/>
              </w:rPr>
            </w:pPr>
          </w:p>
        </w:tc>
        <w:tc>
          <w:tcPr>
            <w:tcW w:w="878" w:type="pct"/>
            <w:vAlign w:val="center"/>
          </w:tcPr>
          <w:p>
            <w:pPr>
              <w:spacing w:line="288" w:lineRule="auto"/>
              <w:jc w:val="center"/>
              <w:rPr>
                <w:rFonts w:ascii="宋体" w:hAnsi="宋体" w:eastAsia="宋体"/>
                <w:sz w:val="21"/>
                <w:szCs w:val="21"/>
              </w:rPr>
            </w:pPr>
          </w:p>
        </w:tc>
        <w:tc>
          <w:tcPr>
            <w:tcW w:w="481" w:type="pct"/>
            <w:vAlign w:val="center"/>
          </w:tcPr>
          <w:p>
            <w:pPr>
              <w:spacing w:line="288" w:lineRule="auto"/>
              <w:jc w:val="center"/>
              <w:rPr>
                <w:rFonts w:ascii="宋体" w:hAnsi="宋体" w:eastAsia="宋体"/>
                <w:sz w:val="21"/>
                <w:szCs w:val="21"/>
              </w:rPr>
            </w:pPr>
          </w:p>
        </w:tc>
        <w:tc>
          <w:tcPr>
            <w:tcW w:w="446" w:type="pct"/>
            <w:vAlign w:val="center"/>
          </w:tcPr>
          <w:p>
            <w:pPr>
              <w:spacing w:line="288" w:lineRule="auto"/>
              <w:jc w:val="center"/>
              <w:rPr>
                <w:rFonts w:ascii="宋体" w:hAnsi="宋体" w:eastAsia="宋体"/>
                <w:sz w:val="21"/>
                <w:szCs w:val="21"/>
              </w:rPr>
            </w:pPr>
          </w:p>
        </w:tc>
        <w:tc>
          <w:tcPr>
            <w:tcW w:w="537" w:type="pct"/>
            <w:vAlign w:val="center"/>
          </w:tcPr>
          <w:p>
            <w:pPr>
              <w:spacing w:line="288" w:lineRule="auto"/>
              <w:jc w:val="center"/>
              <w:rPr>
                <w:rFonts w:ascii="宋体" w:hAnsi="宋体" w:eastAsia="宋体"/>
                <w:sz w:val="21"/>
                <w:szCs w:val="21"/>
              </w:rPr>
            </w:pPr>
          </w:p>
        </w:tc>
        <w:tc>
          <w:tcPr>
            <w:tcW w:w="536" w:type="pct"/>
            <w:vAlign w:val="center"/>
          </w:tcPr>
          <w:p>
            <w:pPr>
              <w:spacing w:line="288" w:lineRule="auto"/>
              <w:jc w:val="center"/>
              <w:rPr>
                <w:rFonts w:ascii="宋体" w:hAnsi="宋体" w:eastAsia="宋体"/>
                <w:sz w:val="21"/>
                <w:szCs w:val="21"/>
              </w:rPr>
            </w:pPr>
          </w:p>
        </w:tc>
        <w:tc>
          <w:tcPr>
            <w:tcW w:w="497" w:type="pct"/>
            <w:vAlign w:val="center"/>
          </w:tcPr>
          <w:p>
            <w:pPr>
              <w:spacing w:line="288" w:lineRule="auto"/>
              <w:jc w:val="center"/>
              <w:rPr>
                <w:rFonts w:ascii="宋体" w:hAnsi="宋体" w:eastAsia="宋体"/>
                <w:sz w:val="21"/>
                <w:szCs w:val="21"/>
              </w:rPr>
            </w:pPr>
          </w:p>
        </w:tc>
        <w:tc>
          <w:tcPr>
            <w:tcW w:w="687" w:type="pct"/>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sz w:val="21"/>
                <w:szCs w:val="21"/>
              </w:rPr>
            </w:pPr>
          </w:p>
        </w:tc>
        <w:tc>
          <w:tcPr>
            <w:tcW w:w="518" w:type="pct"/>
            <w:vAlign w:val="center"/>
          </w:tcPr>
          <w:p>
            <w:pPr>
              <w:spacing w:line="288" w:lineRule="auto"/>
              <w:jc w:val="center"/>
              <w:rPr>
                <w:rFonts w:ascii="宋体" w:hAnsi="宋体" w:eastAsia="宋体"/>
                <w:sz w:val="21"/>
                <w:szCs w:val="21"/>
              </w:rPr>
            </w:pPr>
          </w:p>
        </w:tc>
        <w:tc>
          <w:tcPr>
            <w:tcW w:w="878" w:type="pct"/>
            <w:vAlign w:val="center"/>
          </w:tcPr>
          <w:p>
            <w:pPr>
              <w:spacing w:line="288" w:lineRule="auto"/>
              <w:jc w:val="center"/>
              <w:rPr>
                <w:rFonts w:ascii="宋体" w:hAnsi="宋体" w:eastAsia="宋体"/>
                <w:sz w:val="21"/>
                <w:szCs w:val="21"/>
              </w:rPr>
            </w:pPr>
          </w:p>
        </w:tc>
        <w:tc>
          <w:tcPr>
            <w:tcW w:w="481" w:type="pct"/>
            <w:vAlign w:val="center"/>
          </w:tcPr>
          <w:p>
            <w:pPr>
              <w:spacing w:line="288" w:lineRule="auto"/>
              <w:jc w:val="center"/>
              <w:rPr>
                <w:rFonts w:ascii="宋体" w:hAnsi="宋体" w:eastAsia="宋体"/>
                <w:sz w:val="21"/>
                <w:szCs w:val="21"/>
              </w:rPr>
            </w:pPr>
          </w:p>
        </w:tc>
        <w:tc>
          <w:tcPr>
            <w:tcW w:w="446" w:type="pct"/>
            <w:vAlign w:val="center"/>
          </w:tcPr>
          <w:p>
            <w:pPr>
              <w:spacing w:line="288" w:lineRule="auto"/>
              <w:jc w:val="center"/>
              <w:rPr>
                <w:rFonts w:ascii="宋体" w:hAnsi="宋体" w:eastAsia="宋体"/>
                <w:sz w:val="21"/>
                <w:szCs w:val="21"/>
              </w:rPr>
            </w:pPr>
          </w:p>
        </w:tc>
        <w:tc>
          <w:tcPr>
            <w:tcW w:w="537" w:type="pct"/>
            <w:vAlign w:val="center"/>
          </w:tcPr>
          <w:p>
            <w:pPr>
              <w:spacing w:line="288" w:lineRule="auto"/>
              <w:jc w:val="center"/>
              <w:rPr>
                <w:rFonts w:ascii="宋体" w:hAnsi="宋体" w:eastAsia="宋体"/>
                <w:sz w:val="21"/>
                <w:szCs w:val="21"/>
              </w:rPr>
            </w:pPr>
          </w:p>
        </w:tc>
        <w:tc>
          <w:tcPr>
            <w:tcW w:w="536" w:type="pct"/>
            <w:vAlign w:val="center"/>
          </w:tcPr>
          <w:p>
            <w:pPr>
              <w:spacing w:line="288" w:lineRule="auto"/>
              <w:jc w:val="center"/>
              <w:rPr>
                <w:rFonts w:ascii="宋体" w:hAnsi="宋体" w:eastAsia="宋体"/>
                <w:sz w:val="21"/>
                <w:szCs w:val="21"/>
              </w:rPr>
            </w:pPr>
          </w:p>
        </w:tc>
        <w:tc>
          <w:tcPr>
            <w:tcW w:w="497" w:type="pct"/>
            <w:vAlign w:val="center"/>
          </w:tcPr>
          <w:p>
            <w:pPr>
              <w:spacing w:line="288" w:lineRule="auto"/>
              <w:jc w:val="center"/>
              <w:rPr>
                <w:rFonts w:ascii="宋体" w:hAnsi="宋体" w:eastAsia="宋体"/>
                <w:sz w:val="21"/>
                <w:szCs w:val="21"/>
              </w:rPr>
            </w:pPr>
          </w:p>
        </w:tc>
        <w:tc>
          <w:tcPr>
            <w:tcW w:w="687" w:type="pct"/>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sz w:val="21"/>
                <w:szCs w:val="21"/>
              </w:rPr>
            </w:pPr>
          </w:p>
        </w:tc>
        <w:tc>
          <w:tcPr>
            <w:tcW w:w="518" w:type="pct"/>
            <w:vAlign w:val="center"/>
          </w:tcPr>
          <w:p>
            <w:pPr>
              <w:spacing w:line="288" w:lineRule="auto"/>
              <w:jc w:val="center"/>
              <w:rPr>
                <w:rFonts w:ascii="宋体" w:hAnsi="宋体" w:eastAsia="宋体"/>
                <w:sz w:val="21"/>
                <w:szCs w:val="21"/>
              </w:rPr>
            </w:pPr>
          </w:p>
        </w:tc>
        <w:tc>
          <w:tcPr>
            <w:tcW w:w="878" w:type="pct"/>
            <w:vAlign w:val="center"/>
          </w:tcPr>
          <w:p>
            <w:pPr>
              <w:spacing w:line="288" w:lineRule="auto"/>
              <w:jc w:val="center"/>
              <w:rPr>
                <w:rFonts w:ascii="宋体" w:hAnsi="宋体" w:eastAsia="宋体"/>
                <w:sz w:val="21"/>
                <w:szCs w:val="21"/>
              </w:rPr>
            </w:pPr>
          </w:p>
        </w:tc>
        <w:tc>
          <w:tcPr>
            <w:tcW w:w="481" w:type="pct"/>
            <w:vAlign w:val="center"/>
          </w:tcPr>
          <w:p>
            <w:pPr>
              <w:spacing w:line="288" w:lineRule="auto"/>
              <w:jc w:val="center"/>
              <w:rPr>
                <w:rFonts w:ascii="宋体" w:hAnsi="宋体" w:eastAsia="宋体"/>
                <w:sz w:val="21"/>
                <w:szCs w:val="21"/>
              </w:rPr>
            </w:pPr>
          </w:p>
        </w:tc>
        <w:tc>
          <w:tcPr>
            <w:tcW w:w="446" w:type="pct"/>
            <w:vAlign w:val="center"/>
          </w:tcPr>
          <w:p>
            <w:pPr>
              <w:spacing w:line="288" w:lineRule="auto"/>
              <w:jc w:val="center"/>
              <w:rPr>
                <w:rFonts w:ascii="宋体" w:hAnsi="宋体" w:eastAsia="宋体"/>
                <w:sz w:val="21"/>
                <w:szCs w:val="21"/>
              </w:rPr>
            </w:pPr>
          </w:p>
        </w:tc>
        <w:tc>
          <w:tcPr>
            <w:tcW w:w="537" w:type="pct"/>
            <w:vAlign w:val="center"/>
          </w:tcPr>
          <w:p>
            <w:pPr>
              <w:spacing w:line="288" w:lineRule="auto"/>
              <w:jc w:val="center"/>
              <w:rPr>
                <w:rFonts w:ascii="宋体" w:hAnsi="宋体" w:eastAsia="宋体"/>
                <w:sz w:val="21"/>
                <w:szCs w:val="21"/>
              </w:rPr>
            </w:pPr>
          </w:p>
        </w:tc>
        <w:tc>
          <w:tcPr>
            <w:tcW w:w="536" w:type="pct"/>
            <w:vAlign w:val="center"/>
          </w:tcPr>
          <w:p>
            <w:pPr>
              <w:spacing w:line="288" w:lineRule="auto"/>
              <w:jc w:val="center"/>
              <w:rPr>
                <w:rFonts w:ascii="宋体" w:hAnsi="宋体" w:eastAsia="宋体"/>
                <w:sz w:val="21"/>
                <w:szCs w:val="21"/>
              </w:rPr>
            </w:pPr>
          </w:p>
        </w:tc>
        <w:tc>
          <w:tcPr>
            <w:tcW w:w="497" w:type="pct"/>
            <w:vAlign w:val="center"/>
          </w:tcPr>
          <w:p>
            <w:pPr>
              <w:spacing w:line="288" w:lineRule="auto"/>
              <w:jc w:val="center"/>
              <w:rPr>
                <w:rFonts w:ascii="宋体" w:hAnsi="宋体" w:eastAsia="宋体"/>
                <w:sz w:val="21"/>
                <w:szCs w:val="21"/>
              </w:rPr>
            </w:pPr>
          </w:p>
        </w:tc>
        <w:tc>
          <w:tcPr>
            <w:tcW w:w="687" w:type="pct"/>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sz w:val="21"/>
                <w:szCs w:val="21"/>
              </w:rPr>
            </w:pPr>
          </w:p>
        </w:tc>
        <w:tc>
          <w:tcPr>
            <w:tcW w:w="518" w:type="pct"/>
            <w:vAlign w:val="center"/>
          </w:tcPr>
          <w:p>
            <w:pPr>
              <w:spacing w:line="288" w:lineRule="auto"/>
              <w:jc w:val="center"/>
              <w:rPr>
                <w:rFonts w:ascii="宋体" w:hAnsi="宋体" w:eastAsia="宋体"/>
                <w:sz w:val="21"/>
                <w:szCs w:val="21"/>
              </w:rPr>
            </w:pPr>
          </w:p>
        </w:tc>
        <w:tc>
          <w:tcPr>
            <w:tcW w:w="878" w:type="pct"/>
            <w:vAlign w:val="center"/>
          </w:tcPr>
          <w:p>
            <w:pPr>
              <w:spacing w:line="288" w:lineRule="auto"/>
              <w:jc w:val="center"/>
              <w:rPr>
                <w:rFonts w:ascii="宋体" w:hAnsi="宋体" w:eastAsia="宋体"/>
                <w:sz w:val="21"/>
                <w:szCs w:val="21"/>
              </w:rPr>
            </w:pPr>
          </w:p>
        </w:tc>
        <w:tc>
          <w:tcPr>
            <w:tcW w:w="481" w:type="pct"/>
            <w:vAlign w:val="center"/>
          </w:tcPr>
          <w:p>
            <w:pPr>
              <w:spacing w:line="288" w:lineRule="auto"/>
              <w:jc w:val="center"/>
              <w:rPr>
                <w:rFonts w:ascii="宋体" w:hAnsi="宋体" w:eastAsia="宋体"/>
                <w:sz w:val="21"/>
                <w:szCs w:val="21"/>
              </w:rPr>
            </w:pPr>
          </w:p>
        </w:tc>
        <w:tc>
          <w:tcPr>
            <w:tcW w:w="446" w:type="pct"/>
            <w:vAlign w:val="center"/>
          </w:tcPr>
          <w:p>
            <w:pPr>
              <w:spacing w:line="288" w:lineRule="auto"/>
              <w:jc w:val="center"/>
              <w:rPr>
                <w:rFonts w:ascii="宋体" w:hAnsi="宋体" w:eastAsia="宋体"/>
                <w:sz w:val="21"/>
                <w:szCs w:val="21"/>
              </w:rPr>
            </w:pPr>
          </w:p>
        </w:tc>
        <w:tc>
          <w:tcPr>
            <w:tcW w:w="537" w:type="pct"/>
            <w:vAlign w:val="center"/>
          </w:tcPr>
          <w:p>
            <w:pPr>
              <w:spacing w:line="288" w:lineRule="auto"/>
              <w:jc w:val="center"/>
              <w:rPr>
                <w:rFonts w:ascii="宋体" w:hAnsi="宋体" w:eastAsia="宋体"/>
                <w:sz w:val="21"/>
                <w:szCs w:val="21"/>
              </w:rPr>
            </w:pPr>
          </w:p>
        </w:tc>
        <w:tc>
          <w:tcPr>
            <w:tcW w:w="536" w:type="pct"/>
            <w:vAlign w:val="center"/>
          </w:tcPr>
          <w:p>
            <w:pPr>
              <w:spacing w:line="288" w:lineRule="auto"/>
              <w:jc w:val="center"/>
              <w:rPr>
                <w:rFonts w:ascii="宋体" w:hAnsi="宋体" w:eastAsia="宋体"/>
                <w:sz w:val="21"/>
                <w:szCs w:val="21"/>
              </w:rPr>
            </w:pPr>
          </w:p>
        </w:tc>
        <w:tc>
          <w:tcPr>
            <w:tcW w:w="497" w:type="pct"/>
            <w:vAlign w:val="center"/>
          </w:tcPr>
          <w:p>
            <w:pPr>
              <w:spacing w:line="288" w:lineRule="auto"/>
              <w:jc w:val="center"/>
              <w:rPr>
                <w:rFonts w:ascii="宋体" w:hAnsi="宋体" w:eastAsia="宋体"/>
                <w:sz w:val="21"/>
                <w:szCs w:val="21"/>
              </w:rPr>
            </w:pPr>
          </w:p>
        </w:tc>
        <w:tc>
          <w:tcPr>
            <w:tcW w:w="687" w:type="pct"/>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sz w:val="21"/>
                <w:szCs w:val="21"/>
              </w:rPr>
            </w:pPr>
          </w:p>
        </w:tc>
        <w:tc>
          <w:tcPr>
            <w:tcW w:w="518" w:type="pct"/>
            <w:vAlign w:val="center"/>
          </w:tcPr>
          <w:p>
            <w:pPr>
              <w:spacing w:line="288" w:lineRule="auto"/>
              <w:jc w:val="center"/>
              <w:rPr>
                <w:rFonts w:ascii="宋体" w:hAnsi="宋体" w:eastAsia="宋体"/>
                <w:sz w:val="21"/>
                <w:szCs w:val="21"/>
              </w:rPr>
            </w:pPr>
          </w:p>
        </w:tc>
        <w:tc>
          <w:tcPr>
            <w:tcW w:w="878" w:type="pct"/>
            <w:vAlign w:val="center"/>
          </w:tcPr>
          <w:p>
            <w:pPr>
              <w:spacing w:line="288" w:lineRule="auto"/>
              <w:jc w:val="center"/>
              <w:rPr>
                <w:rFonts w:ascii="宋体" w:hAnsi="宋体" w:eastAsia="宋体"/>
                <w:sz w:val="21"/>
                <w:szCs w:val="21"/>
              </w:rPr>
            </w:pPr>
          </w:p>
        </w:tc>
        <w:tc>
          <w:tcPr>
            <w:tcW w:w="481" w:type="pct"/>
            <w:vAlign w:val="center"/>
          </w:tcPr>
          <w:p>
            <w:pPr>
              <w:spacing w:line="288" w:lineRule="auto"/>
              <w:jc w:val="center"/>
              <w:rPr>
                <w:rFonts w:ascii="宋体" w:hAnsi="宋体" w:eastAsia="宋体"/>
                <w:sz w:val="21"/>
                <w:szCs w:val="21"/>
              </w:rPr>
            </w:pPr>
          </w:p>
        </w:tc>
        <w:tc>
          <w:tcPr>
            <w:tcW w:w="446" w:type="pct"/>
            <w:vAlign w:val="center"/>
          </w:tcPr>
          <w:p>
            <w:pPr>
              <w:spacing w:line="288" w:lineRule="auto"/>
              <w:jc w:val="center"/>
              <w:rPr>
                <w:rFonts w:ascii="宋体" w:hAnsi="宋体" w:eastAsia="宋体"/>
                <w:sz w:val="21"/>
                <w:szCs w:val="21"/>
              </w:rPr>
            </w:pPr>
          </w:p>
        </w:tc>
        <w:tc>
          <w:tcPr>
            <w:tcW w:w="537" w:type="pct"/>
            <w:vAlign w:val="center"/>
          </w:tcPr>
          <w:p>
            <w:pPr>
              <w:spacing w:line="288" w:lineRule="auto"/>
              <w:jc w:val="center"/>
              <w:rPr>
                <w:rFonts w:ascii="宋体" w:hAnsi="宋体" w:eastAsia="宋体"/>
                <w:sz w:val="21"/>
                <w:szCs w:val="21"/>
              </w:rPr>
            </w:pPr>
          </w:p>
        </w:tc>
        <w:tc>
          <w:tcPr>
            <w:tcW w:w="536" w:type="pct"/>
            <w:vAlign w:val="center"/>
          </w:tcPr>
          <w:p>
            <w:pPr>
              <w:spacing w:line="288" w:lineRule="auto"/>
              <w:jc w:val="center"/>
              <w:rPr>
                <w:rFonts w:ascii="宋体" w:hAnsi="宋体" w:eastAsia="宋体"/>
                <w:sz w:val="21"/>
                <w:szCs w:val="21"/>
              </w:rPr>
            </w:pPr>
          </w:p>
        </w:tc>
        <w:tc>
          <w:tcPr>
            <w:tcW w:w="497" w:type="pct"/>
            <w:vAlign w:val="center"/>
          </w:tcPr>
          <w:p>
            <w:pPr>
              <w:spacing w:line="288" w:lineRule="auto"/>
              <w:jc w:val="center"/>
              <w:rPr>
                <w:rFonts w:ascii="宋体" w:hAnsi="宋体" w:eastAsia="宋体"/>
                <w:sz w:val="21"/>
                <w:szCs w:val="21"/>
              </w:rPr>
            </w:pPr>
          </w:p>
        </w:tc>
        <w:tc>
          <w:tcPr>
            <w:tcW w:w="687" w:type="pct"/>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sz w:val="21"/>
                <w:szCs w:val="21"/>
              </w:rPr>
            </w:pPr>
          </w:p>
        </w:tc>
        <w:tc>
          <w:tcPr>
            <w:tcW w:w="518" w:type="pct"/>
            <w:vAlign w:val="center"/>
          </w:tcPr>
          <w:p>
            <w:pPr>
              <w:spacing w:line="288" w:lineRule="auto"/>
              <w:jc w:val="center"/>
              <w:rPr>
                <w:rFonts w:ascii="宋体" w:hAnsi="宋体" w:eastAsia="宋体"/>
                <w:sz w:val="21"/>
                <w:szCs w:val="21"/>
              </w:rPr>
            </w:pPr>
          </w:p>
        </w:tc>
        <w:tc>
          <w:tcPr>
            <w:tcW w:w="878" w:type="pct"/>
            <w:vAlign w:val="center"/>
          </w:tcPr>
          <w:p>
            <w:pPr>
              <w:spacing w:line="288" w:lineRule="auto"/>
              <w:jc w:val="center"/>
              <w:rPr>
                <w:rFonts w:ascii="宋体" w:hAnsi="宋体" w:eastAsia="宋体"/>
                <w:sz w:val="21"/>
                <w:szCs w:val="21"/>
              </w:rPr>
            </w:pPr>
          </w:p>
        </w:tc>
        <w:tc>
          <w:tcPr>
            <w:tcW w:w="481" w:type="pct"/>
            <w:vAlign w:val="center"/>
          </w:tcPr>
          <w:p>
            <w:pPr>
              <w:spacing w:line="288" w:lineRule="auto"/>
              <w:jc w:val="center"/>
              <w:rPr>
                <w:rFonts w:ascii="宋体" w:hAnsi="宋体" w:eastAsia="宋体"/>
                <w:sz w:val="21"/>
                <w:szCs w:val="21"/>
              </w:rPr>
            </w:pPr>
          </w:p>
        </w:tc>
        <w:tc>
          <w:tcPr>
            <w:tcW w:w="446" w:type="pct"/>
            <w:vAlign w:val="center"/>
          </w:tcPr>
          <w:p>
            <w:pPr>
              <w:spacing w:line="288" w:lineRule="auto"/>
              <w:jc w:val="center"/>
              <w:rPr>
                <w:rFonts w:ascii="宋体" w:hAnsi="宋体" w:eastAsia="宋体"/>
                <w:sz w:val="21"/>
                <w:szCs w:val="21"/>
              </w:rPr>
            </w:pPr>
          </w:p>
        </w:tc>
        <w:tc>
          <w:tcPr>
            <w:tcW w:w="537" w:type="pct"/>
            <w:vAlign w:val="center"/>
          </w:tcPr>
          <w:p>
            <w:pPr>
              <w:spacing w:line="288" w:lineRule="auto"/>
              <w:jc w:val="center"/>
              <w:rPr>
                <w:rFonts w:ascii="宋体" w:hAnsi="宋体" w:eastAsia="宋体"/>
                <w:sz w:val="21"/>
                <w:szCs w:val="21"/>
              </w:rPr>
            </w:pPr>
          </w:p>
        </w:tc>
        <w:tc>
          <w:tcPr>
            <w:tcW w:w="536" w:type="pct"/>
            <w:vAlign w:val="center"/>
          </w:tcPr>
          <w:p>
            <w:pPr>
              <w:spacing w:line="288" w:lineRule="auto"/>
              <w:jc w:val="center"/>
              <w:rPr>
                <w:rFonts w:ascii="宋体" w:hAnsi="宋体" w:eastAsia="宋体"/>
                <w:sz w:val="21"/>
                <w:szCs w:val="21"/>
              </w:rPr>
            </w:pPr>
          </w:p>
        </w:tc>
        <w:tc>
          <w:tcPr>
            <w:tcW w:w="497" w:type="pct"/>
            <w:vAlign w:val="center"/>
          </w:tcPr>
          <w:p>
            <w:pPr>
              <w:spacing w:line="288" w:lineRule="auto"/>
              <w:jc w:val="center"/>
              <w:rPr>
                <w:rFonts w:ascii="宋体" w:hAnsi="宋体" w:eastAsia="宋体"/>
                <w:sz w:val="21"/>
                <w:szCs w:val="21"/>
              </w:rPr>
            </w:pPr>
          </w:p>
        </w:tc>
        <w:tc>
          <w:tcPr>
            <w:tcW w:w="687" w:type="pct"/>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sz w:val="21"/>
                <w:szCs w:val="21"/>
              </w:rPr>
            </w:pPr>
          </w:p>
        </w:tc>
        <w:tc>
          <w:tcPr>
            <w:tcW w:w="518" w:type="pct"/>
            <w:vAlign w:val="center"/>
          </w:tcPr>
          <w:p>
            <w:pPr>
              <w:spacing w:line="288" w:lineRule="auto"/>
              <w:jc w:val="center"/>
              <w:rPr>
                <w:rFonts w:ascii="宋体" w:hAnsi="宋体" w:eastAsia="宋体"/>
                <w:sz w:val="21"/>
                <w:szCs w:val="21"/>
              </w:rPr>
            </w:pPr>
          </w:p>
        </w:tc>
        <w:tc>
          <w:tcPr>
            <w:tcW w:w="878" w:type="pct"/>
            <w:vAlign w:val="center"/>
          </w:tcPr>
          <w:p>
            <w:pPr>
              <w:spacing w:line="288" w:lineRule="auto"/>
              <w:jc w:val="center"/>
              <w:rPr>
                <w:rFonts w:ascii="宋体" w:hAnsi="宋体" w:eastAsia="宋体"/>
                <w:sz w:val="21"/>
                <w:szCs w:val="21"/>
              </w:rPr>
            </w:pPr>
          </w:p>
        </w:tc>
        <w:tc>
          <w:tcPr>
            <w:tcW w:w="481" w:type="pct"/>
            <w:vAlign w:val="center"/>
          </w:tcPr>
          <w:p>
            <w:pPr>
              <w:spacing w:line="288" w:lineRule="auto"/>
              <w:jc w:val="center"/>
              <w:rPr>
                <w:rFonts w:ascii="宋体" w:hAnsi="宋体" w:eastAsia="宋体"/>
                <w:sz w:val="21"/>
                <w:szCs w:val="21"/>
              </w:rPr>
            </w:pPr>
          </w:p>
        </w:tc>
        <w:tc>
          <w:tcPr>
            <w:tcW w:w="446" w:type="pct"/>
            <w:vAlign w:val="center"/>
          </w:tcPr>
          <w:p>
            <w:pPr>
              <w:spacing w:line="288" w:lineRule="auto"/>
              <w:jc w:val="center"/>
              <w:rPr>
                <w:rFonts w:ascii="宋体" w:hAnsi="宋体" w:eastAsia="宋体"/>
                <w:sz w:val="21"/>
                <w:szCs w:val="21"/>
              </w:rPr>
            </w:pPr>
          </w:p>
        </w:tc>
        <w:tc>
          <w:tcPr>
            <w:tcW w:w="537" w:type="pct"/>
            <w:vAlign w:val="center"/>
          </w:tcPr>
          <w:p>
            <w:pPr>
              <w:spacing w:line="288" w:lineRule="auto"/>
              <w:jc w:val="center"/>
              <w:rPr>
                <w:rFonts w:ascii="宋体" w:hAnsi="宋体" w:eastAsia="宋体"/>
                <w:sz w:val="21"/>
                <w:szCs w:val="21"/>
              </w:rPr>
            </w:pPr>
          </w:p>
        </w:tc>
        <w:tc>
          <w:tcPr>
            <w:tcW w:w="536" w:type="pct"/>
            <w:vAlign w:val="center"/>
          </w:tcPr>
          <w:p>
            <w:pPr>
              <w:spacing w:line="288" w:lineRule="auto"/>
              <w:jc w:val="center"/>
              <w:rPr>
                <w:rFonts w:ascii="宋体" w:hAnsi="宋体" w:eastAsia="宋体"/>
                <w:sz w:val="21"/>
                <w:szCs w:val="21"/>
              </w:rPr>
            </w:pPr>
          </w:p>
        </w:tc>
        <w:tc>
          <w:tcPr>
            <w:tcW w:w="497" w:type="pct"/>
            <w:vAlign w:val="center"/>
          </w:tcPr>
          <w:p>
            <w:pPr>
              <w:spacing w:line="288" w:lineRule="auto"/>
              <w:jc w:val="center"/>
              <w:rPr>
                <w:rFonts w:ascii="宋体" w:hAnsi="宋体" w:eastAsia="宋体"/>
                <w:sz w:val="21"/>
                <w:szCs w:val="21"/>
              </w:rPr>
            </w:pPr>
          </w:p>
        </w:tc>
        <w:tc>
          <w:tcPr>
            <w:tcW w:w="687" w:type="pct"/>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sz w:val="21"/>
                <w:szCs w:val="21"/>
              </w:rPr>
            </w:pPr>
          </w:p>
        </w:tc>
        <w:tc>
          <w:tcPr>
            <w:tcW w:w="518" w:type="pct"/>
            <w:vAlign w:val="center"/>
          </w:tcPr>
          <w:p>
            <w:pPr>
              <w:spacing w:line="288" w:lineRule="auto"/>
              <w:jc w:val="center"/>
              <w:rPr>
                <w:rFonts w:ascii="宋体" w:hAnsi="宋体" w:eastAsia="宋体"/>
                <w:sz w:val="21"/>
                <w:szCs w:val="21"/>
              </w:rPr>
            </w:pPr>
          </w:p>
        </w:tc>
        <w:tc>
          <w:tcPr>
            <w:tcW w:w="878" w:type="pct"/>
            <w:vAlign w:val="center"/>
          </w:tcPr>
          <w:p>
            <w:pPr>
              <w:spacing w:line="288" w:lineRule="auto"/>
              <w:jc w:val="center"/>
              <w:rPr>
                <w:rFonts w:ascii="宋体" w:hAnsi="宋体" w:eastAsia="宋体"/>
                <w:sz w:val="21"/>
                <w:szCs w:val="21"/>
              </w:rPr>
            </w:pPr>
          </w:p>
        </w:tc>
        <w:tc>
          <w:tcPr>
            <w:tcW w:w="481" w:type="pct"/>
            <w:vAlign w:val="center"/>
          </w:tcPr>
          <w:p>
            <w:pPr>
              <w:spacing w:line="288" w:lineRule="auto"/>
              <w:jc w:val="center"/>
              <w:rPr>
                <w:rFonts w:ascii="宋体" w:hAnsi="宋体" w:eastAsia="宋体"/>
                <w:sz w:val="21"/>
                <w:szCs w:val="21"/>
              </w:rPr>
            </w:pPr>
          </w:p>
        </w:tc>
        <w:tc>
          <w:tcPr>
            <w:tcW w:w="446" w:type="pct"/>
            <w:vAlign w:val="center"/>
          </w:tcPr>
          <w:p>
            <w:pPr>
              <w:spacing w:line="288" w:lineRule="auto"/>
              <w:jc w:val="center"/>
              <w:rPr>
                <w:rFonts w:ascii="宋体" w:hAnsi="宋体" w:eastAsia="宋体"/>
                <w:sz w:val="21"/>
                <w:szCs w:val="21"/>
              </w:rPr>
            </w:pPr>
          </w:p>
        </w:tc>
        <w:tc>
          <w:tcPr>
            <w:tcW w:w="537" w:type="pct"/>
            <w:vAlign w:val="center"/>
          </w:tcPr>
          <w:p>
            <w:pPr>
              <w:spacing w:line="288" w:lineRule="auto"/>
              <w:jc w:val="center"/>
              <w:rPr>
                <w:rFonts w:ascii="宋体" w:hAnsi="宋体" w:eastAsia="宋体"/>
                <w:sz w:val="21"/>
                <w:szCs w:val="21"/>
              </w:rPr>
            </w:pPr>
          </w:p>
        </w:tc>
        <w:tc>
          <w:tcPr>
            <w:tcW w:w="536" w:type="pct"/>
            <w:vAlign w:val="center"/>
          </w:tcPr>
          <w:p>
            <w:pPr>
              <w:spacing w:line="288" w:lineRule="auto"/>
              <w:jc w:val="center"/>
              <w:rPr>
                <w:rFonts w:ascii="宋体" w:hAnsi="宋体" w:eastAsia="宋体"/>
                <w:sz w:val="21"/>
                <w:szCs w:val="21"/>
              </w:rPr>
            </w:pPr>
          </w:p>
        </w:tc>
        <w:tc>
          <w:tcPr>
            <w:tcW w:w="497" w:type="pct"/>
            <w:vAlign w:val="center"/>
          </w:tcPr>
          <w:p>
            <w:pPr>
              <w:spacing w:line="288" w:lineRule="auto"/>
              <w:jc w:val="center"/>
              <w:rPr>
                <w:rFonts w:ascii="宋体" w:hAnsi="宋体" w:eastAsia="宋体"/>
                <w:sz w:val="21"/>
                <w:szCs w:val="21"/>
              </w:rPr>
            </w:pPr>
          </w:p>
        </w:tc>
        <w:tc>
          <w:tcPr>
            <w:tcW w:w="687" w:type="pct"/>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sz w:val="21"/>
                <w:szCs w:val="21"/>
              </w:rPr>
            </w:pPr>
          </w:p>
        </w:tc>
        <w:tc>
          <w:tcPr>
            <w:tcW w:w="518" w:type="pct"/>
            <w:vAlign w:val="center"/>
          </w:tcPr>
          <w:p>
            <w:pPr>
              <w:spacing w:line="288" w:lineRule="auto"/>
              <w:jc w:val="center"/>
              <w:rPr>
                <w:rFonts w:ascii="宋体" w:hAnsi="宋体" w:eastAsia="宋体"/>
                <w:sz w:val="21"/>
                <w:szCs w:val="21"/>
              </w:rPr>
            </w:pPr>
          </w:p>
        </w:tc>
        <w:tc>
          <w:tcPr>
            <w:tcW w:w="878" w:type="pct"/>
            <w:vAlign w:val="center"/>
          </w:tcPr>
          <w:p>
            <w:pPr>
              <w:spacing w:line="288" w:lineRule="auto"/>
              <w:jc w:val="center"/>
              <w:rPr>
                <w:rFonts w:ascii="宋体" w:hAnsi="宋体" w:eastAsia="宋体"/>
                <w:sz w:val="21"/>
                <w:szCs w:val="21"/>
              </w:rPr>
            </w:pPr>
          </w:p>
        </w:tc>
        <w:tc>
          <w:tcPr>
            <w:tcW w:w="481" w:type="pct"/>
            <w:vAlign w:val="center"/>
          </w:tcPr>
          <w:p>
            <w:pPr>
              <w:spacing w:line="288" w:lineRule="auto"/>
              <w:jc w:val="center"/>
              <w:rPr>
                <w:rFonts w:ascii="宋体" w:hAnsi="宋体" w:eastAsia="宋体"/>
                <w:sz w:val="21"/>
                <w:szCs w:val="21"/>
              </w:rPr>
            </w:pPr>
          </w:p>
        </w:tc>
        <w:tc>
          <w:tcPr>
            <w:tcW w:w="446" w:type="pct"/>
            <w:vAlign w:val="center"/>
          </w:tcPr>
          <w:p>
            <w:pPr>
              <w:spacing w:line="288" w:lineRule="auto"/>
              <w:jc w:val="center"/>
              <w:rPr>
                <w:rFonts w:ascii="宋体" w:hAnsi="宋体" w:eastAsia="宋体"/>
                <w:sz w:val="21"/>
                <w:szCs w:val="21"/>
              </w:rPr>
            </w:pPr>
          </w:p>
        </w:tc>
        <w:tc>
          <w:tcPr>
            <w:tcW w:w="537" w:type="pct"/>
            <w:vAlign w:val="center"/>
          </w:tcPr>
          <w:p>
            <w:pPr>
              <w:spacing w:line="288" w:lineRule="auto"/>
              <w:jc w:val="center"/>
              <w:rPr>
                <w:rFonts w:ascii="宋体" w:hAnsi="宋体" w:eastAsia="宋体"/>
                <w:sz w:val="21"/>
                <w:szCs w:val="21"/>
              </w:rPr>
            </w:pPr>
          </w:p>
        </w:tc>
        <w:tc>
          <w:tcPr>
            <w:tcW w:w="536" w:type="pct"/>
            <w:vAlign w:val="center"/>
          </w:tcPr>
          <w:p>
            <w:pPr>
              <w:spacing w:line="288" w:lineRule="auto"/>
              <w:jc w:val="center"/>
              <w:rPr>
                <w:rFonts w:ascii="宋体" w:hAnsi="宋体" w:eastAsia="宋体"/>
                <w:sz w:val="21"/>
                <w:szCs w:val="21"/>
              </w:rPr>
            </w:pPr>
          </w:p>
        </w:tc>
        <w:tc>
          <w:tcPr>
            <w:tcW w:w="497" w:type="pct"/>
            <w:vAlign w:val="center"/>
          </w:tcPr>
          <w:p>
            <w:pPr>
              <w:spacing w:line="288" w:lineRule="auto"/>
              <w:jc w:val="center"/>
              <w:rPr>
                <w:rFonts w:ascii="宋体" w:hAnsi="宋体" w:eastAsia="宋体"/>
                <w:sz w:val="21"/>
                <w:szCs w:val="21"/>
              </w:rPr>
            </w:pPr>
          </w:p>
        </w:tc>
        <w:tc>
          <w:tcPr>
            <w:tcW w:w="687" w:type="pct"/>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 w:type="pct"/>
            <w:vAlign w:val="center"/>
          </w:tcPr>
          <w:p>
            <w:pPr>
              <w:spacing w:line="288" w:lineRule="auto"/>
              <w:jc w:val="center"/>
              <w:rPr>
                <w:rFonts w:ascii="宋体" w:hAnsi="宋体" w:eastAsia="宋体"/>
                <w:sz w:val="21"/>
                <w:szCs w:val="21"/>
              </w:rPr>
            </w:pPr>
          </w:p>
        </w:tc>
        <w:tc>
          <w:tcPr>
            <w:tcW w:w="518" w:type="pct"/>
            <w:vAlign w:val="center"/>
          </w:tcPr>
          <w:p>
            <w:pPr>
              <w:spacing w:line="288" w:lineRule="auto"/>
              <w:jc w:val="center"/>
              <w:rPr>
                <w:rFonts w:ascii="宋体" w:hAnsi="宋体" w:eastAsia="宋体"/>
                <w:sz w:val="21"/>
                <w:szCs w:val="21"/>
              </w:rPr>
            </w:pPr>
          </w:p>
        </w:tc>
        <w:tc>
          <w:tcPr>
            <w:tcW w:w="878" w:type="pct"/>
            <w:vAlign w:val="center"/>
          </w:tcPr>
          <w:p>
            <w:pPr>
              <w:spacing w:line="288" w:lineRule="auto"/>
              <w:jc w:val="center"/>
              <w:rPr>
                <w:rFonts w:ascii="宋体" w:hAnsi="宋体" w:eastAsia="宋体"/>
                <w:sz w:val="21"/>
                <w:szCs w:val="21"/>
              </w:rPr>
            </w:pPr>
          </w:p>
        </w:tc>
        <w:tc>
          <w:tcPr>
            <w:tcW w:w="481" w:type="pct"/>
            <w:vAlign w:val="center"/>
          </w:tcPr>
          <w:p>
            <w:pPr>
              <w:spacing w:line="288" w:lineRule="auto"/>
              <w:jc w:val="center"/>
              <w:rPr>
                <w:rFonts w:ascii="宋体" w:hAnsi="宋体" w:eastAsia="宋体"/>
                <w:sz w:val="21"/>
                <w:szCs w:val="21"/>
              </w:rPr>
            </w:pPr>
          </w:p>
        </w:tc>
        <w:tc>
          <w:tcPr>
            <w:tcW w:w="446" w:type="pct"/>
            <w:vAlign w:val="center"/>
          </w:tcPr>
          <w:p>
            <w:pPr>
              <w:spacing w:line="288" w:lineRule="auto"/>
              <w:jc w:val="center"/>
              <w:rPr>
                <w:rFonts w:ascii="宋体" w:hAnsi="宋体" w:eastAsia="宋体"/>
                <w:sz w:val="21"/>
                <w:szCs w:val="21"/>
              </w:rPr>
            </w:pPr>
          </w:p>
        </w:tc>
        <w:tc>
          <w:tcPr>
            <w:tcW w:w="537" w:type="pct"/>
            <w:vAlign w:val="center"/>
          </w:tcPr>
          <w:p>
            <w:pPr>
              <w:spacing w:line="288" w:lineRule="auto"/>
              <w:jc w:val="center"/>
              <w:rPr>
                <w:rFonts w:ascii="宋体" w:hAnsi="宋体" w:eastAsia="宋体"/>
                <w:sz w:val="21"/>
                <w:szCs w:val="21"/>
              </w:rPr>
            </w:pPr>
          </w:p>
        </w:tc>
        <w:tc>
          <w:tcPr>
            <w:tcW w:w="536" w:type="pct"/>
            <w:vAlign w:val="center"/>
          </w:tcPr>
          <w:p>
            <w:pPr>
              <w:spacing w:line="288" w:lineRule="auto"/>
              <w:jc w:val="center"/>
              <w:rPr>
                <w:rFonts w:ascii="宋体" w:hAnsi="宋体" w:eastAsia="宋体"/>
                <w:sz w:val="21"/>
                <w:szCs w:val="21"/>
              </w:rPr>
            </w:pPr>
          </w:p>
        </w:tc>
        <w:tc>
          <w:tcPr>
            <w:tcW w:w="497" w:type="pct"/>
            <w:vAlign w:val="center"/>
          </w:tcPr>
          <w:p>
            <w:pPr>
              <w:spacing w:line="288" w:lineRule="auto"/>
              <w:jc w:val="center"/>
              <w:rPr>
                <w:rFonts w:ascii="宋体" w:hAnsi="宋体" w:eastAsia="宋体"/>
                <w:sz w:val="21"/>
                <w:szCs w:val="21"/>
              </w:rPr>
            </w:pPr>
          </w:p>
        </w:tc>
        <w:tc>
          <w:tcPr>
            <w:tcW w:w="687" w:type="pct"/>
            <w:tcBorders>
              <w:right w:val="single" w:color="auto" w:sz="6" w:space="0"/>
            </w:tcBorders>
            <w:vAlign w:val="center"/>
          </w:tcPr>
          <w:p>
            <w:pPr>
              <w:spacing w:line="288" w:lineRule="auto"/>
              <w:jc w:val="center"/>
              <w:rPr>
                <w:rFonts w:ascii="宋体" w:hAnsi="宋体" w:eastAsia="宋体"/>
                <w:sz w:val="21"/>
                <w:szCs w:val="21"/>
              </w:rPr>
            </w:pPr>
          </w:p>
        </w:tc>
      </w:tr>
    </w:tbl>
    <w:p>
      <w:pPr>
        <w:ind w:firstLine="178" w:firstLineChars="85"/>
        <w:rPr>
          <w:rFonts w:ascii="宋体" w:hAnsi="宋体" w:eastAsia="宋体"/>
          <w:sz w:val="21"/>
          <w:szCs w:val="21"/>
        </w:rPr>
      </w:pPr>
    </w:p>
    <w:p>
      <w:pPr>
        <w:ind w:firstLine="178" w:firstLineChars="85"/>
        <w:rPr>
          <w:rFonts w:ascii="宋体" w:hAnsi="宋体" w:eastAsia="宋体"/>
          <w:sz w:val="21"/>
          <w:szCs w:val="21"/>
        </w:rPr>
      </w:pPr>
      <w:r>
        <w:rPr>
          <w:rFonts w:hint="eastAsia" w:ascii="宋体" w:hAnsi="宋体" w:eastAsia="宋体"/>
          <w:sz w:val="21"/>
          <w:szCs w:val="21"/>
        </w:rPr>
        <w:t>附有关证明文件（复印件加盖公章）</w:t>
      </w:r>
    </w:p>
    <w:p>
      <w:pPr>
        <w:ind w:firstLine="178" w:firstLineChars="85"/>
        <w:rPr>
          <w:rFonts w:ascii="宋体" w:hAnsi="宋体" w:eastAsia="宋体"/>
          <w:sz w:val="21"/>
          <w:szCs w:val="21"/>
        </w:rPr>
      </w:pPr>
      <w:r>
        <w:rPr>
          <w:rFonts w:hint="eastAsia" w:ascii="宋体" w:hAnsi="宋体" w:eastAsia="宋体"/>
          <w:sz w:val="21"/>
          <w:szCs w:val="21"/>
        </w:rPr>
        <w:t>供应商代表签字：</w:t>
      </w:r>
    </w:p>
    <w:p>
      <w:pPr>
        <w:ind w:firstLine="178" w:firstLineChars="85"/>
        <w:rPr>
          <w:rFonts w:ascii="宋体" w:hAnsi="宋体" w:eastAsia="宋体"/>
          <w:sz w:val="21"/>
          <w:szCs w:val="21"/>
        </w:rPr>
      </w:pPr>
      <w:r>
        <w:rPr>
          <w:rFonts w:hint="eastAsia" w:ascii="宋体" w:hAnsi="宋体" w:eastAsia="宋体"/>
          <w:sz w:val="21"/>
          <w:szCs w:val="21"/>
        </w:rPr>
        <w:t>供应商盖章：</w:t>
      </w:r>
    </w:p>
    <w:p>
      <w:pPr>
        <w:rPr>
          <w:rFonts w:ascii="宋体" w:hAnsi="宋体" w:eastAsia="宋体"/>
          <w:sz w:val="21"/>
          <w:szCs w:val="21"/>
        </w:rPr>
      </w:pPr>
      <w:r>
        <w:rPr>
          <w:rFonts w:hint="eastAsia" w:ascii="宋体" w:hAnsi="宋体" w:eastAsia="宋体"/>
          <w:sz w:val="21"/>
          <w:szCs w:val="21"/>
        </w:rPr>
        <w:t>注：</w:t>
      </w:r>
    </w:p>
    <w:p>
      <w:pPr>
        <w:pStyle w:val="27"/>
        <w:numPr>
          <w:ilvl w:val="0"/>
          <w:numId w:val="13"/>
        </w:numPr>
        <w:ind w:firstLineChars="0"/>
        <w:rPr>
          <w:rFonts w:ascii="宋体" w:hAnsi="宋体" w:eastAsia="宋体"/>
          <w:sz w:val="21"/>
          <w:szCs w:val="21"/>
        </w:rPr>
      </w:pPr>
      <w:r>
        <w:rPr>
          <w:rFonts w:hint="eastAsia" w:ascii="宋体" w:hAnsi="宋体" w:eastAsia="宋体"/>
          <w:sz w:val="21"/>
          <w:szCs w:val="21"/>
        </w:rPr>
        <w:t>供应商可按项目的实际需要或磋商文件的要求提供本表格。</w:t>
      </w:r>
    </w:p>
    <w:p>
      <w:pPr>
        <w:pStyle w:val="27"/>
        <w:numPr>
          <w:ilvl w:val="0"/>
          <w:numId w:val="13"/>
        </w:numPr>
        <w:ind w:firstLineChars="0"/>
        <w:rPr>
          <w:rFonts w:ascii="宋体" w:hAnsi="宋体" w:eastAsia="宋体" w:cs="Times New Roman"/>
          <w:sz w:val="21"/>
          <w:szCs w:val="21"/>
        </w:rPr>
      </w:pPr>
      <w:r>
        <w:rPr>
          <w:rFonts w:hint="eastAsia" w:ascii="宋体" w:hAnsi="宋体" w:eastAsia="宋体"/>
          <w:sz w:val="21"/>
          <w:szCs w:val="21"/>
        </w:rPr>
        <w:t>该表格为参考格式，供应商可按实际情况自行制订。</w:t>
      </w:r>
    </w:p>
    <w:p>
      <w:pPr>
        <w:pStyle w:val="27"/>
        <w:numPr>
          <w:ilvl w:val="0"/>
          <w:numId w:val="13"/>
        </w:numPr>
        <w:ind w:firstLineChars="0"/>
        <w:rPr>
          <w:rFonts w:ascii="宋体" w:hAnsi="宋体" w:eastAsia="宋体" w:cs="Times New Roman"/>
          <w:sz w:val="21"/>
          <w:szCs w:val="21"/>
        </w:rPr>
      </w:pPr>
      <w:r>
        <w:rPr>
          <w:rFonts w:hint="eastAsia" w:ascii="宋体" w:hAnsi="宋体" w:eastAsia="宋体"/>
          <w:sz w:val="21"/>
          <w:szCs w:val="21"/>
        </w:rPr>
        <w:t>如本项目不涉及此表内容，则无需提供此表。</w:t>
      </w:r>
      <w:r>
        <w:rPr>
          <w:rFonts w:hint="eastAsia" w:ascii="宋体" w:hAnsi="宋体" w:eastAsia="宋体"/>
          <w:sz w:val="21"/>
          <w:szCs w:val="21"/>
        </w:rPr>
        <w:br w:type="page"/>
      </w:r>
    </w:p>
    <w:p>
      <w:pPr>
        <w:pStyle w:val="7"/>
        <w:widowControl w:val="0"/>
        <w:overflowPunct w:val="0"/>
        <w:spacing w:before="0" w:after="0" w:line="240" w:lineRule="auto"/>
        <w:rPr>
          <w:rFonts w:ascii="宋体" w:hAnsi="宋体" w:eastAsia="宋体"/>
          <w:sz w:val="21"/>
          <w:szCs w:val="21"/>
        </w:rPr>
      </w:pPr>
      <w:bookmarkStart w:id="227" w:name="_Toc2178"/>
      <w:r>
        <w:rPr>
          <w:rFonts w:hint="eastAsia" w:ascii="宋体" w:hAnsi="宋体" w:eastAsia="宋体"/>
          <w:sz w:val="21"/>
          <w:szCs w:val="21"/>
        </w:rPr>
        <w:t>附件16.货物说明一览表格式</w:t>
      </w:r>
      <w:bookmarkEnd w:id="227"/>
    </w:p>
    <w:p>
      <w:pPr>
        <w:jc w:val="center"/>
        <w:rPr>
          <w:rFonts w:ascii="黑体" w:eastAsia="黑体"/>
          <w:sz w:val="28"/>
          <w:szCs w:val="28"/>
        </w:rPr>
      </w:pPr>
    </w:p>
    <w:p>
      <w:pPr>
        <w:jc w:val="center"/>
        <w:rPr>
          <w:rFonts w:ascii="黑体" w:eastAsia="黑体" w:cs="Times New Roman"/>
          <w:sz w:val="28"/>
          <w:szCs w:val="28"/>
        </w:rPr>
      </w:pPr>
      <w:r>
        <w:rPr>
          <w:rFonts w:hint="eastAsia" w:ascii="黑体" w:eastAsia="黑体" w:cs="Times New Roman"/>
          <w:sz w:val="28"/>
          <w:szCs w:val="28"/>
        </w:rPr>
        <w:t>货物说明一览表</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244"/>
        <w:gridCol w:w="1133"/>
        <w:gridCol w:w="850"/>
        <w:gridCol w:w="850"/>
        <w:gridCol w:w="850"/>
        <w:gridCol w:w="850"/>
        <w:gridCol w:w="1160"/>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序号</w:t>
            </w:r>
          </w:p>
        </w:tc>
        <w:tc>
          <w:tcPr>
            <w:tcW w:w="730" w:type="pct"/>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货物名称</w:t>
            </w:r>
          </w:p>
        </w:tc>
        <w:tc>
          <w:tcPr>
            <w:tcW w:w="665" w:type="pct"/>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规格型号</w:t>
            </w:r>
          </w:p>
        </w:tc>
        <w:tc>
          <w:tcPr>
            <w:tcW w:w="499" w:type="pct"/>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品牌</w:t>
            </w:r>
          </w:p>
        </w:tc>
        <w:tc>
          <w:tcPr>
            <w:tcW w:w="499" w:type="pct"/>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制造商</w:t>
            </w:r>
          </w:p>
        </w:tc>
        <w:tc>
          <w:tcPr>
            <w:tcW w:w="499" w:type="pct"/>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产地</w:t>
            </w:r>
          </w:p>
        </w:tc>
        <w:tc>
          <w:tcPr>
            <w:tcW w:w="499" w:type="pct"/>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681" w:type="pct"/>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单价</w:t>
            </w:r>
          </w:p>
        </w:tc>
        <w:tc>
          <w:tcPr>
            <w:tcW w:w="536" w:type="pct"/>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sz w:val="21"/>
                <w:szCs w:val="21"/>
              </w:rPr>
            </w:pPr>
          </w:p>
        </w:tc>
        <w:tc>
          <w:tcPr>
            <w:tcW w:w="730" w:type="pct"/>
            <w:vAlign w:val="center"/>
          </w:tcPr>
          <w:p>
            <w:pPr>
              <w:spacing w:after="0"/>
              <w:jc w:val="center"/>
              <w:rPr>
                <w:rFonts w:ascii="宋体" w:hAnsi="宋体" w:eastAsia="宋体" w:cs="Times New Roman"/>
                <w:sz w:val="21"/>
                <w:szCs w:val="21"/>
              </w:rPr>
            </w:pPr>
          </w:p>
        </w:tc>
        <w:tc>
          <w:tcPr>
            <w:tcW w:w="665"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681" w:type="pct"/>
            <w:vAlign w:val="center"/>
          </w:tcPr>
          <w:p>
            <w:pPr>
              <w:spacing w:after="0"/>
              <w:jc w:val="center"/>
              <w:rPr>
                <w:rFonts w:ascii="宋体" w:hAnsi="宋体" w:eastAsia="宋体" w:cs="Times New Roman"/>
                <w:sz w:val="21"/>
                <w:szCs w:val="21"/>
              </w:rPr>
            </w:pPr>
          </w:p>
        </w:tc>
        <w:tc>
          <w:tcPr>
            <w:tcW w:w="536" w:type="pct"/>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sz w:val="21"/>
                <w:szCs w:val="21"/>
              </w:rPr>
            </w:pPr>
          </w:p>
        </w:tc>
        <w:tc>
          <w:tcPr>
            <w:tcW w:w="730" w:type="pct"/>
            <w:vAlign w:val="center"/>
          </w:tcPr>
          <w:p>
            <w:pPr>
              <w:spacing w:after="0"/>
              <w:jc w:val="center"/>
              <w:rPr>
                <w:rFonts w:ascii="宋体" w:hAnsi="宋体" w:eastAsia="宋体" w:cs="Times New Roman"/>
                <w:sz w:val="21"/>
                <w:szCs w:val="21"/>
              </w:rPr>
            </w:pPr>
          </w:p>
        </w:tc>
        <w:tc>
          <w:tcPr>
            <w:tcW w:w="665"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681" w:type="pct"/>
            <w:vAlign w:val="center"/>
          </w:tcPr>
          <w:p>
            <w:pPr>
              <w:spacing w:after="0"/>
              <w:jc w:val="center"/>
              <w:rPr>
                <w:rFonts w:ascii="宋体" w:hAnsi="宋体" w:eastAsia="宋体" w:cs="Times New Roman"/>
                <w:sz w:val="21"/>
                <w:szCs w:val="21"/>
              </w:rPr>
            </w:pPr>
          </w:p>
        </w:tc>
        <w:tc>
          <w:tcPr>
            <w:tcW w:w="536" w:type="pct"/>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sz w:val="21"/>
                <w:szCs w:val="21"/>
              </w:rPr>
            </w:pPr>
          </w:p>
        </w:tc>
        <w:tc>
          <w:tcPr>
            <w:tcW w:w="730" w:type="pct"/>
            <w:vAlign w:val="center"/>
          </w:tcPr>
          <w:p>
            <w:pPr>
              <w:spacing w:after="0"/>
              <w:jc w:val="center"/>
              <w:rPr>
                <w:rFonts w:ascii="宋体" w:hAnsi="宋体" w:eastAsia="宋体" w:cs="Times New Roman"/>
                <w:sz w:val="21"/>
                <w:szCs w:val="21"/>
              </w:rPr>
            </w:pPr>
          </w:p>
        </w:tc>
        <w:tc>
          <w:tcPr>
            <w:tcW w:w="665"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681" w:type="pct"/>
            <w:vAlign w:val="center"/>
          </w:tcPr>
          <w:p>
            <w:pPr>
              <w:spacing w:after="0"/>
              <w:jc w:val="center"/>
              <w:rPr>
                <w:rFonts w:ascii="宋体" w:hAnsi="宋体" w:eastAsia="宋体" w:cs="Times New Roman"/>
                <w:sz w:val="21"/>
                <w:szCs w:val="21"/>
              </w:rPr>
            </w:pPr>
          </w:p>
        </w:tc>
        <w:tc>
          <w:tcPr>
            <w:tcW w:w="536" w:type="pct"/>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sz w:val="21"/>
                <w:szCs w:val="21"/>
              </w:rPr>
            </w:pPr>
          </w:p>
        </w:tc>
        <w:tc>
          <w:tcPr>
            <w:tcW w:w="730" w:type="pct"/>
            <w:vAlign w:val="center"/>
          </w:tcPr>
          <w:p>
            <w:pPr>
              <w:spacing w:after="0"/>
              <w:jc w:val="center"/>
              <w:rPr>
                <w:rFonts w:ascii="宋体" w:hAnsi="宋体" w:eastAsia="宋体" w:cs="Times New Roman"/>
                <w:sz w:val="21"/>
                <w:szCs w:val="21"/>
              </w:rPr>
            </w:pPr>
          </w:p>
        </w:tc>
        <w:tc>
          <w:tcPr>
            <w:tcW w:w="665"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681" w:type="pct"/>
            <w:vAlign w:val="center"/>
          </w:tcPr>
          <w:p>
            <w:pPr>
              <w:spacing w:after="0"/>
              <w:jc w:val="center"/>
              <w:rPr>
                <w:rFonts w:ascii="宋体" w:hAnsi="宋体" w:eastAsia="宋体" w:cs="Times New Roman"/>
                <w:sz w:val="21"/>
                <w:szCs w:val="21"/>
              </w:rPr>
            </w:pPr>
          </w:p>
        </w:tc>
        <w:tc>
          <w:tcPr>
            <w:tcW w:w="536" w:type="pct"/>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sz w:val="21"/>
                <w:szCs w:val="21"/>
              </w:rPr>
            </w:pPr>
          </w:p>
        </w:tc>
        <w:tc>
          <w:tcPr>
            <w:tcW w:w="730" w:type="pct"/>
            <w:vAlign w:val="center"/>
          </w:tcPr>
          <w:p>
            <w:pPr>
              <w:spacing w:after="0"/>
              <w:jc w:val="center"/>
              <w:rPr>
                <w:rFonts w:ascii="宋体" w:hAnsi="宋体" w:eastAsia="宋体" w:cs="Times New Roman"/>
                <w:sz w:val="21"/>
                <w:szCs w:val="21"/>
              </w:rPr>
            </w:pPr>
          </w:p>
        </w:tc>
        <w:tc>
          <w:tcPr>
            <w:tcW w:w="665"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681" w:type="pct"/>
            <w:vAlign w:val="center"/>
          </w:tcPr>
          <w:p>
            <w:pPr>
              <w:spacing w:after="0"/>
              <w:jc w:val="center"/>
              <w:rPr>
                <w:rFonts w:ascii="宋体" w:hAnsi="宋体" w:eastAsia="宋体" w:cs="Times New Roman"/>
                <w:sz w:val="21"/>
                <w:szCs w:val="21"/>
              </w:rPr>
            </w:pPr>
          </w:p>
        </w:tc>
        <w:tc>
          <w:tcPr>
            <w:tcW w:w="536" w:type="pct"/>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sz w:val="21"/>
                <w:szCs w:val="21"/>
              </w:rPr>
            </w:pPr>
          </w:p>
        </w:tc>
        <w:tc>
          <w:tcPr>
            <w:tcW w:w="730" w:type="pct"/>
            <w:vAlign w:val="center"/>
          </w:tcPr>
          <w:p>
            <w:pPr>
              <w:spacing w:after="0"/>
              <w:jc w:val="center"/>
              <w:rPr>
                <w:rFonts w:ascii="宋体" w:hAnsi="宋体" w:eastAsia="宋体" w:cs="Times New Roman"/>
                <w:sz w:val="21"/>
                <w:szCs w:val="21"/>
              </w:rPr>
            </w:pPr>
          </w:p>
        </w:tc>
        <w:tc>
          <w:tcPr>
            <w:tcW w:w="665"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499" w:type="pct"/>
            <w:vAlign w:val="center"/>
          </w:tcPr>
          <w:p>
            <w:pPr>
              <w:spacing w:after="0"/>
              <w:jc w:val="center"/>
              <w:rPr>
                <w:rFonts w:ascii="宋体" w:hAnsi="宋体" w:eastAsia="宋体" w:cs="Times New Roman"/>
                <w:sz w:val="21"/>
                <w:szCs w:val="21"/>
              </w:rPr>
            </w:pPr>
          </w:p>
        </w:tc>
        <w:tc>
          <w:tcPr>
            <w:tcW w:w="681" w:type="pct"/>
            <w:vAlign w:val="center"/>
          </w:tcPr>
          <w:p>
            <w:pPr>
              <w:spacing w:after="0"/>
              <w:jc w:val="center"/>
              <w:rPr>
                <w:rFonts w:ascii="宋体" w:hAnsi="宋体" w:eastAsia="宋体" w:cs="Times New Roman"/>
                <w:sz w:val="21"/>
                <w:szCs w:val="21"/>
              </w:rPr>
            </w:pPr>
          </w:p>
        </w:tc>
        <w:tc>
          <w:tcPr>
            <w:tcW w:w="536" w:type="pct"/>
            <w:vAlign w:val="center"/>
          </w:tcPr>
          <w:p>
            <w:pPr>
              <w:spacing w:after="0"/>
              <w:jc w:val="center"/>
              <w:rPr>
                <w:rFonts w:ascii="宋体" w:hAnsi="宋体" w:eastAsia="宋体" w:cs="Times New Roman"/>
                <w:sz w:val="21"/>
                <w:szCs w:val="21"/>
              </w:rPr>
            </w:pPr>
          </w:p>
        </w:tc>
      </w:tr>
    </w:tbl>
    <w:p>
      <w:pPr>
        <w:spacing w:after="0"/>
        <w:rPr>
          <w:rFonts w:ascii="宋体" w:hAnsi="宋体" w:eastAsia="宋体" w:cs="Times New Roman"/>
          <w:sz w:val="21"/>
          <w:szCs w:val="21"/>
        </w:rPr>
      </w:pPr>
    </w:p>
    <w:p>
      <w:pPr>
        <w:rPr>
          <w:rFonts w:ascii="宋体" w:hAnsi="宋体" w:eastAsia="宋体" w:cs="Times New Roman"/>
          <w:sz w:val="21"/>
          <w:szCs w:val="21"/>
        </w:rPr>
      </w:pPr>
      <w:r>
        <w:rPr>
          <w:rFonts w:hint="eastAsia" w:ascii="宋体" w:hAnsi="宋体" w:eastAsia="宋体" w:cs="Times New Roman"/>
          <w:sz w:val="21"/>
          <w:szCs w:val="21"/>
        </w:rPr>
        <w:t>供应商代表签字：</w:t>
      </w:r>
    </w:p>
    <w:p>
      <w:pPr>
        <w:rPr>
          <w:rFonts w:ascii="宋体" w:hAnsi="宋体" w:eastAsia="宋体" w:cs="Times New Roman"/>
          <w:sz w:val="21"/>
          <w:szCs w:val="21"/>
        </w:rPr>
      </w:pPr>
      <w:r>
        <w:rPr>
          <w:rFonts w:hint="eastAsia" w:ascii="宋体" w:hAnsi="宋体" w:eastAsia="宋体" w:cs="Times New Roman"/>
          <w:sz w:val="21"/>
          <w:szCs w:val="21"/>
        </w:rPr>
        <w:t>供应商盖章：</w:t>
      </w:r>
    </w:p>
    <w:p>
      <w:pPr>
        <w:rPr>
          <w:rFonts w:ascii="宋体" w:hAnsi="宋体" w:eastAsia="宋体" w:cs="Times New Roman"/>
          <w:sz w:val="21"/>
          <w:szCs w:val="21"/>
        </w:rPr>
      </w:pPr>
    </w:p>
    <w:p>
      <w:pPr>
        <w:rPr>
          <w:rFonts w:ascii="宋体" w:hAnsi="宋体" w:eastAsia="宋体" w:cs="Times New Roman"/>
          <w:sz w:val="21"/>
          <w:szCs w:val="21"/>
        </w:rPr>
      </w:pPr>
      <w:r>
        <w:rPr>
          <w:rFonts w:hint="eastAsia" w:ascii="宋体" w:hAnsi="宋体" w:eastAsia="宋体" w:cs="Times New Roman"/>
          <w:sz w:val="21"/>
          <w:szCs w:val="21"/>
        </w:rPr>
        <w:t>注：</w:t>
      </w:r>
    </w:p>
    <w:p>
      <w:pPr>
        <w:pStyle w:val="27"/>
        <w:ind w:firstLine="0" w:firstLineChars="0"/>
        <w:rPr>
          <w:rFonts w:ascii="宋体" w:hAnsi="宋体" w:eastAsia="宋体"/>
          <w:sz w:val="21"/>
          <w:szCs w:val="21"/>
        </w:rPr>
      </w:pPr>
      <w:r>
        <w:rPr>
          <w:rFonts w:hint="eastAsia" w:ascii="宋体" w:hAnsi="宋体" w:eastAsia="宋体"/>
          <w:sz w:val="21"/>
          <w:szCs w:val="21"/>
        </w:rPr>
        <w:t>1、供应商可按项目的实际需要提供本表格。</w:t>
      </w:r>
    </w:p>
    <w:p>
      <w:pPr>
        <w:pStyle w:val="27"/>
        <w:ind w:firstLine="0" w:firstLineChars="0"/>
        <w:rPr>
          <w:rFonts w:ascii="宋体" w:hAnsi="宋体" w:eastAsia="宋体"/>
          <w:sz w:val="21"/>
          <w:szCs w:val="21"/>
        </w:rPr>
      </w:pPr>
      <w:r>
        <w:rPr>
          <w:rFonts w:hint="eastAsia" w:ascii="宋体" w:hAnsi="宋体" w:eastAsia="宋体"/>
          <w:sz w:val="21"/>
          <w:szCs w:val="21"/>
        </w:rPr>
        <w:t>2、该表格为参考格式，供应商可按实际情况自行制订。</w:t>
      </w:r>
    </w:p>
    <w:p>
      <w:pPr>
        <w:pStyle w:val="27"/>
        <w:ind w:firstLine="0" w:firstLineChars="0"/>
        <w:rPr>
          <w:rFonts w:ascii="宋体" w:hAnsi="宋体" w:eastAsia="宋体"/>
          <w:sz w:val="21"/>
          <w:szCs w:val="21"/>
        </w:rPr>
      </w:pPr>
      <w:r>
        <w:rPr>
          <w:rFonts w:hint="eastAsia" w:ascii="宋体" w:hAnsi="宋体" w:eastAsia="宋体"/>
          <w:sz w:val="21"/>
          <w:szCs w:val="21"/>
        </w:rPr>
        <w:t>3、如本项目不涉及此表内容，则无需提供此表。</w:t>
      </w:r>
      <w:r>
        <w:rPr>
          <w:rFonts w:hint="eastAsia" w:ascii="宋体" w:hAnsi="宋体" w:eastAsia="宋体"/>
          <w:sz w:val="21"/>
          <w:szCs w:val="21"/>
        </w:rPr>
        <w:br w:type="page"/>
      </w:r>
    </w:p>
    <w:p>
      <w:pPr>
        <w:pStyle w:val="7"/>
        <w:widowControl w:val="0"/>
        <w:overflowPunct w:val="0"/>
        <w:spacing w:before="0" w:after="0" w:line="240" w:lineRule="auto"/>
        <w:rPr>
          <w:rFonts w:ascii="楷体_GB2312" w:eastAsia="楷体_GB2312"/>
          <w:sz w:val="24"/>
        </w:rPr>
      </w:pPr>
      <w:bookmarkStart w:id="228" w:name="_Toc6077"/>
      <w:r>
        <w:rPr>
          <w:rFonts w:hint="eastAsia" w:ascii="宋体" w:hAnsi="宋体" w:eastAsia="宋体"/>
          <w:sz w:val="21"/>
          <w:szCs w:val="21"/>
        </w:rPr>
        <w:t>附件17.在经营活动中没有重大违法记录的书面声明格式</w:t>
      </w:r>
      <w:bookmarkEnd w:id="228"/>
    </w:p>
    <w:p/>
    <w:p>
      <w:pPr>
        <w:jc w:val="center"/>
        <w:rPr>
          <w:rFonts w:ascii="黑体" w:eastAsia="黑体"/>
          <w:sz w:val="28"/>
          <w:szCs w:val="28"/>
        </w:rPr>
      </w:pPr>
      <w:r>
        <w:rPr>
          <w:rFonts w:hint="eastAsia" w:ascii="黑体" w:eastAsia="黑体"/>
          <w:sz w:val="28"/>
          <w:szCs w:val="28"/>
        </w:rPr>
        <w:t>供应商在经营活动中没有重大违法记录的书面声明</w:t>
      </w:r>
    </w:p>
    <w:p>
      <w:pPr>
        <w:spacing w:after="0" w:line="360" w:lineRule="auto"/>
        <w:ind w:firstLine="420" w:firstLineChars="200"/>
        <w:rPr>
          <w:rFonts w:ascii="宋体" w:hAnsi="宋体" w:eastAsia="宋体" w:cs="宋体"/>
          <w:sz w:val="21"/>
          <w:szCs w:val="21"/>
        </w:rPr>
      </w:pPr>
    </w:p>
    <w:p>
      <w:pPr>
        <w:spacing w:after="0" w:line="480" w:lineRule="auto"/>
        <w:rPr>
          <w:rFonts w:ascii="宋体" w:hAnsi="宋体" w:eastAsia="宋体" w:cs="宋体"/>
          <w:sz w:val="21"/>
          <w:szCs w:val="21"/>
        </w:rPr>
      </w:pPr>
      <w:r>
        <w:rPr>
          <w:rFonts w:hint="eastAsia" w:ascii="宋体" w:hAnsi="宋体" w:eastAsia="宋体" w:cs="宋体"/>
          <w:sz w:val="21"/>
          <w:szCs w:val="21"/>
        </w:rPr>
        <w:t>三方诚信招标有限公司东莞分公司：</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我公司郑重承诺：在参加“</w:t>
      </w:r>
      <w:r>
        <w:rPr>
          <w:rFonts w:hint="eastAsia" w:ascii="宋体" w:hAnsi="宋体" w:eastAsia="宋体" w:cs="宋体"/>
          <w:sz w:val="21"/>
          <w:szCs w:val="21"/>
          <w:u w:val="single"/>
        </w:rPr>
        <w:t xml:space="preserve">       （采购项目名称）</w:t>
      </w:r>
      <w:r>
        <w:rPr>
          <w:rFonts w:hint="eastAsia" w:ascii="宋体" w:hAnsi="宋体" w:eastAsia="宋体" w:cs="宋体"/>
          <w:sz w:val="21"/>
          <w:szCs w:val="21"/>
        </w:rPr>
        <w:t>” （项目编号:）政府采购活动前三年内（设立不满三年的从设立之日计算），在经营活动中没有重大违法记录；至本项目提交响应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sz w:val="21"/>
          <w:szCs w:val="21"/>
        </w:rPr>
      </w:pPr>
    </w:p>
    <w:p>
      <w:pPr>
        <w:spacing w:after="0" w:line="360" w:lineRule="auto"/>
        <w:rPr>
          <w:rFonts w:ascii="宋体" w:hAnsi="宋体" w:eastAsia="宋体" w:cs="宋体"/>
          <w:sz w:val="21"/>
          <w:szCs w:val="21"/>
        </w:rPr>
      </w:pP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供应商名称（盖章）：</w:t>
      </w:r>
    </w:p>
    <w:p>
      <w:pPr>
        <w:spacing w:after="0" w:line="360" w:lineRule="auto"/>
        <w:rPr>
          <w:rFonts w:ascii="宋体" w:hAnsi="宋体" w:eastAsia="宋体" w:cs="宋体"/>
          <w:sz w:val="21"/>
          <w:szCs w:val="21"/>
        </w:rPr>
      </w:pP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日期：</w:t>
      </w:r>
    </w:p>
    <w:p>
      <w:pPr>
        <w:adjustRightInd/>
        <w:snapToGrid/>
        <w:spacing w:line="276" w:lineRule="auto"/>
        <w:rPr>
          <w:rFonts w:ascii="楷体_GB2312" w:eastAsia="楷体_GB2312" w:hAnsiTheme="majorHAnsi" w:cstheme="majorBidi"/>
          <w:b/>
          <w:bCs/>
          <w:sz w:val="24"/>
          <w:szCs w:val="28"/>
        </w:rPr>
      </w:pPr>
      <w:bookmarkStart w:id="229" w:name="_Toc417907703"/>
      <w:r>
        <w:rPr>
          <w:rFonts w:ascii="楷体_GB2312" w:eastAsia="楷体_GB2312"/>
          <w:sz w:val="24"/>
        </w:rPr>
        <w:br w:type="page"/>
      </w:r>
    </w:p>
    <w:bookmarkEnd w:id="229"/>
    <w:p>
      <w:pPr>
        <w:pStyle w:val="7"/>
        <w:widowControl w:val="0"/>
        <w:overflowPunct w:val="0"/>
        <w:spacing w:before="0" w:after="0" w:line="240" w:lineRule="auto"/>
      </w:pPr>
      <w:bookmarkStart w:id="230" w:name="_Toc29416"/>
      <w:r>
        <w:rPr>
          <w:rFonts w:hint="eastAsia" w:ascii="宋体" w:hAnsi="宋体" w:eastAsia="宋体"/>
          <w:sz w:val="21"/>
          <w:szCs w:val="21"/>
        </w:rPr>
        <w:t>附件18. 磋商保证金汇入情况说明格式</w:t>
      </w:r>
      <w:bookmarkEnd w:id="230"/>
    </w:p>
    <w:p/>
    <w:p>
      <w:pPr>
        <w:jc w:val="center"/>
        <w:rPr>
          <w:rFonts w:ascii="黑体" w:eastAsia="黑体"/>
          <w:sz w:val="28"/>
          <w:szCs w:val="28"/>
        </w:rPr>
      </w:pPr>
      <w:r>
        <w:rPr>
          <w:rFonts w:hint="eastAsia" w:ascii="黑体" w:eastAsia="黑体"/>
          <w:sz w:val="28"/>
          <w:szCs w:val="28"/>
        </w:rPr>
        <w:t>磋商保证金汇入情况说明</w:t>
      </w:r>
    </w:p>
    <w:p>
      <w:pPr>
        <w:spacing w:after="0" w:line="480" w:lineRule="auto"/>
        <w:rPr>
          <w:rFonts w:ascii="宋体" w:hAnsi="宋体" w:eastAsia="宋体"/>
          <w:sz w:val="21"/>
          <w:szCs w:val="21"/>
        </w:rPr>
      </w:pPr>
      <w:r>
        <w:rPr>
          <w:rFonts w:hint="eastAsia" w:ascii="宋体" w:hAnsi="宋体" w:eastAsia="宋体"/>
          <w:sz w:val="21"/>
          <w:szCs w:val="21"/>
        </w:rPr>
        <w:t>致：三方诚信招标有限公司东莞分公司：</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本单位已按项目包（项目编号：）的磋商文件要求，于年月日前以</w:t>
      </w:r>
      <w:r>
        <w:rPr>
          <w:rFonts w:hint="eastAsia" w:ascii="宋体" w:hAnsi="宋体" w:eastAsia="宋体"/>
          <w:sz w:val="21"/>
          <w:szCs w:val="21"/>
          <w:u w:val="single"/>
        </w:rPr>
        <w:t xml:space="preserve">           （付款形式）</w:t>
      </w:r>
      <w:r>
        <w:rPr>
          <w:rFonts w:hint="eastAsia" w:ascii="宋体" w:hAnsi="宋体" w:eastAsia="宋体"/>
          <w:sz w:val="21"/>
          <w:szCs w:val="21"/>
        </w:rPr>
        <w:t>方式汇入指定账户（账户名称：，账号： ,开户银行：）。</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本单位磋商保证金的汇款情况：（详见附件－磋商保证金进账单）</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汇出时间：年月日；</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汇款金额：（大写）人民币元（小写：￥元），</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汇款账户名称：</w:t>
      </w:r>
      <w:r>
        <w:rPr>
          <w:rFonts w:hint="eastAsia" w:ascii="宋体" w:hAnsi="宋体" w:eastAsia="宋体"/>
          <w:sz w:val="21"/>
          <w:szCs w:val="21"/>
          <w:u w:val="single"/>
        </w:rPr>
        <w:t xml:space="preserve">  （必须是响应时使用的账户名）   </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账        号：</w:t>
      </w:r>
      <w:r>
        <w:rPr>
          <w:rFonts w:hint="eastAsia" w:ascii="宋体" w:hAnsi="宋体" w:eastAsia="宋体"/>
          <w:sz w:val="21"/>
          <w:szCs w:val="21"/>
          <w:u w:val="single"/>
        </w:rPr>
        <w:t xml:space="preserve">  （必须是响应时使用的账号）     </w:t>
      </w:r>
    </w:p>
    <w:p>
      <w:pPr>
        <w:spacing w:after="0" w:line="480" w:lineRule="auto"/>
        <w:ind w:firstLine="420" w:firstLineChars="200"/>
        <w:rPr>
          <w:rFonts w:ascii="宋体" w:hAnsi="宋体" w:eastAsia="宋体"/>
          <w:sz w:val="21"/>
          <w:szCs w:val="21"/>
          <w:u w:val="single"/>
        </w:rPr>
      </w:pPr>
      <w:r>
        <w:rPr>
          <w:rFonts w:hint="eastAsia" w:ascii="宋体" w:hAnsi="宋体" w:eastAsia="宋体"/>
          <w:sz w:val="21"/>
          <w:szCs w:val="21"/>
        </w:rPr>
        <w:t>开 户  银 行：</w:t>
      </w:r>
      <w:r>
        <w:rPr>
          <w:rFonts w:hint="eastAsia" w:ascii="宋体" w:hAnsi="宋体" w:eastAsia="宋体"/>
          <w:sz w:val="21"/>
          <w:szCs w:val="21"/>
          <w:u w:val="single"/>
        </w:rPr>
        <w:t xml:space="preserve">  （      银行   分行  支行    ）</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磋商保证金退回时，请按上述资料退回。</w:t>
      </w:r>
    </w:p>
    <w:p>
      <w:pPr>
        <w:spacing w:after="0" w:line="480" w:lineRule="auto"/>
        <w:ind w:right="884" w:rightChars="402"/>
        <w:jc w:val="right"/>
        <w:rPr>
          <w:rFonts w:ascii="宋体" w:hAnsi="宋体" w:eastAsia="宋体"/>
          <w:sz w:val="21"/>
          <w:szCs w:val="21"/>
        </w:rPr>
      </w:pPr>
      <w:r>
        <w:rPr>
          <w:rFonts w:hint="eastAsia" w:ascii="宋体" w:hAnsi="宋体" w:eastAsia="宋体"/>
          <w:sz w:val="21"/>
          <w:szCs w:val="21"/>
        </w:rPr>
        <w:t>（单位公章）</w:t>
      </w:r>
    </w:p>
    <w:p>
      <w:pPr>
        <w:spacing w:after="0" w:line="480" w:lineRule="auto"/>
        <w:ind w:right="658" w:rightChars="299"/>
        <w:jc w:val="right"/>
        <w:rPr>
          <w:rFonts w:ascii="宋体" w:hAnsi="宋体" w:eastAsia="宋体"/>
          <w:sz w:val="21"/>
          <w:szCs w:val="21"/>
        </w:rPr>
      </w:pPr>
      <w:r>
        <w:rPr>
          <w:rFonts w:hint="eastAsia" w:ascii="宋体" w:hAnsi="宋体" w:eastAsia="宋体"/>
          <w:sz w:val="21"/>
          <w:szCs w:val="21"/>
        </w:rPr>
        <w:t>年 月 日</w:t>
      </w:r>
    </w:p>
    <w:p>
      <w:pPr>
        <w:spacing w:after="0" w:line="480" w:lineRule="auto"/>
        <w:rPr>
          <w:rFonts w:ascii="宋体" w:hAnsi="宋体" w:eastAsia="宋体"/>
          <w:sz w:val="21"/>
          <w:szCs w:val="21"/>
        </w:rPr>
      </w:pPr>
      <w:r>
        <w:rPr>
          <w:rFonts w:hint="eastAsia" w:ascii="宋体" w:hAnsi="宋体" w:eastAsia="宋体"/>
          <w:sz w:val="21"/>
          <w:szCs w:val="21"/>
        </w:rPr>
        <w:t>单位名称：</w:t>
      </w:r>
    </w:p>
    <w:p>
      <w:pPr>
        <w:spacing w:after="0" w:line="480" w:lineRule="auto"/>
        <w:rPr>
          <w:rFonts w:ascii="宋体" w:hAnsi="宋体" w:eastAsia="宋体"/>
          <w:sz w:val="21"/>
          <w:szCs w:val="21"/>
        </w:rPr>
      </w:pPr>
      <w:r>
        <w:rPr>
          <w:rFonts w:hint="eastAsia" w:ascii="宋体" w:hAnsi="宋体" w:eastAsia="宋体"/>
          <w:sz w:val="21"/>
          <w:szCs w:val="21"/>
        </w:rPr>
        <w:t>单位地址：</w:t>
      </w:r>
    </w:p>
    <w:p>
      <w:pPr>
        <w:spacing w:after="0" w:line="480" w:lineRule="auto"/>
        <w:rPr>
          <w:rFonts w:ascii="宋体" w:hAnsi="宋体" w:eastAsia="宋体"/>
          <w:sz w:val="21"/>
          <w:szCs w:val="21"/>
        </w:rPr>
      </w:pPr>
      <w:r>
        <w:rPr>
          <w:rFonts w:hint="eastAsia" w:ascii="宋体" w:hAnsi="宋体" w:eastAsia="宋体"/>
          <w:sz w:val="21"/>
          <w:szCs w:val="21"/>
        </w:rPr>
        <w:t>联系人：</w:t>
      </w:r>
    </w:p>
    <w:p>
      <w:pPr>
        <w:spacing w:after="0" w:line="480" w:lineRule="auto"/>
        <w:rPr>
          <w:rFonts w:ascii="宋体" w:hAnsi="宋体" w:eastAsia="宋体"/>
          <w:sz w:val="21"/>
          <w:szCs w:val="21"/>
        </w:rPr>
      </w:pPr>
      <w:r>
        <w:rPr>
          <w:rFonts w:hint="eastAsia" w:ascii="宋体" w:hAnsi="宋体" w:eastAsia="宋体"/>
          <w:sz w:val="21"/>
          <w:szCs w:val="21"/>
        </w:rPr>
        <w:t>单位电话： 联系人手机：</w:t>
      </w:r>
    </w:p>
    <w:p>
      <w:pPr>
        <w:spacing w:after="0"/>
        <w:rPr>
          <w:rFonts w:ascii="宋体" w:hAnsi="宋体" w:eastAsia="宋体"/>
          <w:sz w:val="21"/>
          <w:szCs w:val="21"/>
        </w:rPr>
      </w:pPr>
    </w:p>
    <w:p>
      <w:pPr>
        <w:spacing w:after="0" w:line="380" w:lineRule="exact"/>
        <w:ind w:firstLine="420" w:firstLineChars="200"/>
        <w:rPr>
          <w:rFonts w:ascii="宋体" w:hAnsi="宋体" w:eastAsia="宋体"/>
          <w:sz w:val="21"/>
          <w:szCs w:val="21"/>
        </w:rPr>
      </w:pPr>
      <w:r>
        <w:rPr>
          <w:rFonts w:hint="eastAsia" w:ascii="宋体" w:hAnsi="宋体" w:eastAsia="宋体"/>
          <w:sz w:val="21"/>
          <w:szCs w:val="21"/>
        </w:rPr>
        <w:br w:type="page"/>
      </w:r>
    </w:p>
    <w:p>
      <w:pPr>
        <w:spacing w:after="0" w:line="380" w:lineRule="exact"/>
        <w:ind w:firstLine="420" w:firstLineChars="200"/>
        <w:rPr>
          <w:rFonts w:ascii="宋体" w:hAnsi="宋体" w:eastAsia="宋体"/>
          <w:sz w:val="21"/>
          <w:szCs w:val="21"/>
        </w:rPr>
      </w:pPr>
      <w:r>
        <w:rPr>
          <w:rFonts w:hint="eastAsia" w:ascii="宋体" w:hAnsi="宋体" w:eastAsia="宋体"/>
          <w:sz w:val="21"/>
          <w:szCs w:val="21"/>
        </w:rPr>
        <w:t>附：我方磋商保证金汇款凭证</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5000" w:type="pct"/>
            <w:vAlign w:val="center"/>
          </w:tcPr>
          <w:p>
            <w:pPr>
              <w:tabs>
                <w:tab w:val="left" w:pos="3885"/>
              </w:tabs>
              <w:spacing w:line="360" w:lineRule="auto"/>
              <w:jc w:val="center"/>
              <w:rPr>
                <w:rFonts w:ascii="宋体" w:hAnsi="宋体" w:eastAsia="宋体"/>
                <w:sz w:val="21"/>
                <w:szCs w:val="21"/>
              </w:rPr>
            </w:pPr>
            <w:r>
              <w:rPr>
                <w:rFonts w:hint="eastAsia" w:ascii="宋体" w:hAnsi="宋体" w:eastAsia="宋体"/>
                <w:sz w:val="21"/>
                <w:szCs w:val="21"/>
              </w:rPr>
              <w:t>（粘贴汇款单或转账</w:t>
            </w:r>
            <w:r>
              <w:rPr>
                <w:rFonts w:ascii="宋体" w:hAnsi="宋体" w:eastAsia="宋体"/>
                <w:sz w:val="21"/>
                <w:szCs w:val="21"/>
              </w:rPr>
              <w:t>凭证</w:t>
            </w:r>
            <w:r>
              <w:rPr>
                <w:rFonts w:hint="eastAsia" w:ascii="宋体" w:hAnsi="宋体" w:eastAsia="宋体"/>
                <w:sz w:val="21"/>
                <w:szCs w:val="21"/>
              </w:rPr>
              <w:t>复印件，并在骑缝上加盖供应商公章，或是直接把转账</w:t>
            </w:r>
            <w:r>
              <w:rPr>
                <w:rFonts w:ascii="宋体" w:hAnsi="宋体" w:eastAsia="宋体"/>
                <w:sz w:val="21"/>
                <w:szCs w:val="21"/>
              </w:rPr>
              <w:t>凭证</w:t>
            </w:r>
            <w:r>
              <w:rPr>
                <w:rFonts w:hint="eastAsia" w:ascii="宋体" w:hAnsi="宋体" w:eastAsia="宋体"/>
                <w:sz w:val="21"/>
                <w:szCs w:val="21"/>
              </w:rPr>
              <w:t>复印到此张纸上）</w:t>
            </w:r>
          </w:p>
        </w:tc>
      </w:tr>
    </w:tbl>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注：此表既要装订在响应文件中，又要按供应商须知的规定与报价一览表、磋商保证金汇款底单复印件及授权委托书一同密封装入报价文件，报价文件单独提交。</w:t>
      </w:r>
    </w:p>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br w:type="page"/>
      </w:r>
    </w:p>
    <w:p>
      <w:pPr>
        <w:pStyle w:val="4"/>
        <w:spacing w:before="0" w:after="0" w:line="240" w:lineRule="auto"/>
        <w:rPr>
          <w:sz w:val="28"/>
          <w:szCs w:val="28"/>
        </w:rPr>
      </w:pPr>
      <w:bookmarkStart w:id="231" w:name="_Toc30082"/>
      <w:r>
        <w:rPr>
          <w:rFonts w:hint="eastAsia"/>
          <w:sz w:val="28"/>
          <w:szCs w:val="28"/>
        </w:rPr>
        <w:t>第七部分附件-报价文件格式</w:t>
      </w:r>
      <w:bookmarkEnd w:id="231"/>
    </w:p>
    <w:p>
      <w:pPr>
        <w:keepNext/>
        <w:keepLines/>
        <w:widowControl w:val="0"/>
        <w:overflowPunct w:val="0"/>
        <w:spacing w:after="0" w:line="480" w:lineRule="auto"/>
        <w:rPr>
          <w:rFonts w:ascii="宋体" w:hAnsi="宋体" w:eastAsia="宋体"/>
          <w:sz w:val="21"/>
          <w:szCs w:val="21"/>
        </w:rPr>
      </w:pPr>
      <w:bookmarkStart w:id="232" w:name="_Toc25936"/>
    </w:p>
    <w:p>
      <w:pPr>
        <w:pStyle w:val="7"/>
        <w:widowControl w:val="0"/>
        <w:overflowPunct w:val="0"/>
        <w:spacing w:before="0" w:after="0" w:line="480" w:lineRule="auto"/>
        <w:rPr>
          <w:rFonts w:ascii="宋体" w:hAnsi="宋体" w:eastAsia="宋体"/>
          <w:sz w:val="21"/>
          <w:szCs w:val="21"/>
        </w:rPr>
      </w:pPr>
      <w:r>
        <w:rPr>
          <w:rFonts w:hint="eastAsia" w:ascii="宋体" w:hAnsi="宋体" w:eastAsia="宋体"/>
          <w:sz w:val="21"/>
          <w:szCs w:val="21"/>
        </w:rPr>
        <w:t>附件1.报价一览表格式</w:t>
      </w:r>
      <w:bookmarkEnd w:id="232"/>
    </w:p>
    <w:p>
      <w:pPr>
        <w:pStyle w:val="7"/>
        <w:widowControl w:val="0"/>
        <w:overflowPunct w:val="0"/>
        <w:spacing w:before="0" w:after="0" w:line="480" w:lineRule="auto"/>
        <w:rPr>
          <w:rFonts w:ascii="楷体_GB2312" w:eastAsia="楷体_GB2312"/>
          <w:sz w:val="24"/>
        </w:rPr>
      </w:pPr>
      <w:bookmarkStart w:id="233" w:name="_Toc21316"/>
      <w:r>
        <w:rPr>
          <w:rFonts w:hint="eastAsia" w:ascii="宋体" w:hAnsi="宋体" w:eastAsia="宋体"/>
          <w:sz w:val="21"/>
          <w:szCs w:val="21"/>
        </w:rPr>
        <w:t>附件2.法定代表人证明书格式</w:t>
      </w:r>
      <w:bookmarkEnd w:id="233"/>
    </w:p>
    <w:p>
      <w:pPr>
        <w:pStyle w:val="7"/>
        <w:widowControl w:val="0"/>
        <w:overflowPunct w:val="0"/>
        <w:spacing w:before="0" w:after="0" w:line="480" w:lineRule="auto"/>
      </w:pPr>
      <w:bookmarkStart w:id="234" w:name="_Toc9407"/>
      <w:r>
        <w:rPr>
          <w:rFonts w:hint="eastAsia" w:ascii="宋体" w:hAnsi="宋体" w:eastAsia="宋体"/>
          <w:sz w:val="21"/>
          <w:szCs w:val="21"/>
        </w:rPr>
        <w:t>附件3.法定代表人授权书格式</w:t>
      </w:r>
      <w:bookmarkEnd w:id="234"/>
    </w:p>
    <w:p>
      <w:pPr>
        <w:pStyle w:val="7"/>
        <w:widowControl w:val="0"/>
        <w:overflowPunct w:val="0"/>
        <w:spacing w:before="0" w:after="0" w:line="480" w:lineRule="auto"/>
      </w:pPr>
      <w:bookmarkStart w:id="235" w:name="_Toc9213"/>
      <w:r>
        <w:rPr>
          <w:rFonts w:hint="eastAsia" w:ascii="宋体" w:hAnsi="宋体" w:eastAsia="宋体"/>
          <w:sz w:val="21"/>
          <w:szCs w:val="21"/>
        </w:rPr>
        <w:t>附件4.磋商保证金汇入情况说明格式</w:t>
      </w:r>
      <w:bookmarkEnd w:id="235"/>
    </w:p>
    <w:p>
      <w:pPr>
        <w:spacing w:after="0" w:line="360" w:lineRule="auto"/>
        <w:ind w:firstLine="420" w:firstLineChars="200"/>
        <w:rPr>
          <w:rFonts w:ascii="宋体" w:hAnsi="宋体" w:eastAsia="宋体"/>
          <w:sz w:val="21"/>
          <w:szCs w:val="21"/>
        </w:rPr>
      </w:pP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注：供应商应将报价一览表、法人代表证明书、法定代表人授权书（法人响应无需提交授权书）、磋商保证金汇入情况说明（加盖公章）和磋商保证金支付凭证银行汇款底单（复印件加盖公章）单独密封提交，并在信封上标明“报价文件”字样。“报价文件”份数及签章等要求与响应文件正本相同（1份）。</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若供应商采用担保函形式的，则无需密封在“报价文件”内，供应商需在接收响应文件截止时间前将原件提交至代理机构。</w:t>
      </w:r>
      <w:r>
        <w:rPr>
          <w:rFonts w:hint="eastAsia" w:ascii="宋体" w:hAnsi="宋体" w:eastAsia="宋体"/>
          <w:sz w:val="21"/>
          <w:szCs w:val="21"/>
        </w:rPr>
        <w:br w:type="page"/>
      </w:r>
    </w:p>
    <w:p>
      <w:pPr>
        <w:outlineLvl w:val="0"/>
        <w:rPr>
          <w:rFonts w:asciiTheme="majorHAnsi" w:hAnsiTheme="majorHAnsi" w:eastAsiaTheme="majorEastAsia" w:cstheme="majorBidi"/>
          <w:b/>
          <w:bCs/>
          <w:sz w:val="28"/>
          <w:szCs w:val="28"/>
        </w:rPr>
      </w:pPr>
      <w:bookmarkStart w:id="236" w:name="_Toc14884"/>
      <w:r>
        <w:rPr>
          <w:rFonts w:hint="eastAsia" w:asciiTheme="majorHAnsi" w:hAnsiTheme="majorHAnsi" w:eastAsiaTheme="majorEastAsia" w:cstheme="majorBidi"/>
          <w:b/>
          <w:bCs/>
          <w:sz w:val="28"/>
          <w:szCs w:val="28"/>
        </w:rPr>
        <w:t>第八部分附件-其他文件格式（如有需求）</w:t>
      </w:r>
      <w:bookmarkEnd w:id="236"/>
    </w:p>
    <w:p>
      <w:pPr>
        <w:pStyle w:val="7"/>
        <w:widowControl w:val="0"/>
        <w:overflowPunct w:val="0"/>
        <w:spacing w:before="0" w:after="0" w:line="240" w:lineRule="auto"/>
      </w:pPr>
      <w:bookmarkStart w:id="237" w:name="_Toc12086"/>
      <w:r>
        <w:rPr>
          <w:rFonts w:hint="eastAsia" w:ascii="宋体" w:hAnsi="宋体" w:eastAsia="宋体"/>
          <w:sz w:val="21"/>
          <w:szCs w:val="21"/>
        </w:rPr>
        <w:t>附件1. 中小企业声明函（供应商为中小企业时适用）</w:t>
      </w:r>
      <w:bookmarkEnd w:id="237"/>
    </w:p>
    <w:p>
      <w:pPr>
        <w:jc w:val="center"/>
        <w:rPr>
          <w:rFonts w:ascii="微软雅黑" w:hAnsi="微软雅黑" w:cs="微软雅黑"/>
          <w:b/>
          <w:sz w:val="28"/>
          <w:szCs w:val="28"/>
        </w:rPr>
      </w:pPr>
    </w:p>
    <w:p>
      <w:pPr>
        <w:jc w:val="center"/>
        <w:rPr>
          <w:rFonts w:ascii="黑体" w:eastAsia="黑体"/>
          <w:sz w:val="28"/>
          <w:szCs w:val="28"/>
        </w:rPr>
      </w:pPr>
      <w:r>
        <w:rPr>
          <w:rFonts w:hint="eastAsia" w:ascii="黑体" w:eastAsia="黑体"/>
          <w:sz w:val="28"/>
          <w:szCs w:val="28"/>
        </w:rPr>
        <w:t>中小企业声明函（货物）</w:t>
      </w:r>
    </w:p>
    <w:p>
      <w:pPr>
        <w:spacing w:line="360" w:lineRule="auto"/>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1"/>
          <w:szCs w:val="21"/>
          <w:u w:val="single"/>
        </w:rPr>
        <w:t>（单位名称）</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rPr>
        <w:t>（项目名称）</w:t>
      </w:r>
      <w:r>
        <w:rPr>
          <w:rFonts w:hint="eastAsia" w:asciiTheme="minorEastAsia" w:hAnsiTheme="minorEastAsia" w:eastAsiaTheme="minorEastAsia" w:cstheme="minorEastAsia"/>
          <w:sz w:val="21"/>
          <w:szCs w:val="21"/>
        </w:rPr>
        <w:t>采购活动，提供的货物全部由符合政策要求的中小企业制造。相关企业</w:t>
      </w:r>
      <w:r>
        <w:rPr>
          <w:rFonts w:hint="eastAsia" w:asciiTheme="minorEastAsia" w:hAnsiTheme="minorEastAsia" w:eastAsiaTheme="minorEastAsia" w:cstheme="minorEastAsia"/>
          <w:sz w:val="21"/>
          <w:szCs w:val="21"/>
          <w:u w:val="single"/>
        </w:rPr>
        <w:t>（含联合体中的中小企业、签订分包意向协议的中小企业）</w:t>
      </w:r>
      <w:r>
        <w:rPr>
          <w:rFonts w:hint="eastAsia" w:asciiTheme="minorEastAsia" w:hAnsiTheme="minorEastAsia" w:eastAsiaTheme="minorEastAsia" w:cstheme="minorEastAsia"/>
          <w:sz w:val="21"/>
          <w:szCs w:val="21"/>
        </w:rPr>
        <w:t>的具体情况如下：</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1.</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；制造商为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w:t>
      </w:r>
      <w:r>
        <w:rPr>
          <w:rStyle w:val="25"/>
          <w:rFonts w:hint="eastAsia" w:asciiTheme="minorEastAsia" w:hAnsiTheme="minorEastAsia" w:eastAsiaTheme="minorEastAsia" w:cstheme="minorEastAsia"/>
          <w:sz w:val="21"/>
          <w:szCs w:val="21"/>
          <w:lang w:val="en-US"/>
        </w:rPr>
        <w:footnoteReference w:id="0"/>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2.</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；制造商为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以上企业，不属于大企业的分支机构，不存在控股股东为大企业的情形，也不存在与大企业的负责人为同一人的情形。</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本企业对上诉声明内容的真实性负责。如有虚假，将依法承担相应责任。</w:t>
      </w:r>
    </w:p>
    <w:p>
      <w:pPr>
        <w:pStyle w:val="2"/>
        <w:wordWrap w:val="0"/>
        <w:spacing w:line="360" w:lineRule="auto"/>
        <w:ind w:left="0" w:firstLine="480"/>
        <w:jc w:val="right"/>
        <w:rPr>
          <w:rFonts w:asciiTheme="minorEastAsia" w:hAnsiTheme="minorEastAsia" w:eastAsiaTheme="minorEastAsia" w:cstheme="minorEastAsia"/>
          <w:sz w:val="21"/>
          <w:szCs w:val="21"/>
          <w:lang w:val="en-US"/>
        </w:rPr>
      </w:pPr>
    </w:p>
    <w:p>
      <w:pPr>
        <w:pStyle w:val="2"/>
        <w:spacing w:line="360" w:lineRule="auto"/>
        <w:ind w:firstLine="4830" w:firstLineChars="230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企业名称（盖章）：</w:t>
      </w:r>
    </w:p>
    <w:p>
      <w:pPr>
        <w:pStyle w:val="2"/>
        <w:spacing w:line="360" w:lineRule="auto"/>
        <w:ind w:left="0" w:firstLine="480"/>
        <w:jc w:val="center"/>
        <w:rPr>
          <w:sz w:val="21"/>
          <w:szCs w:val="21"/>
        </w:rPr>
      </w:pPr>
      <w:r>
        <w:rPr>
          <w:rFonts w:hint="eastAsia" w:asciiTheme="minorEastAsia" w:hAnsiTheme="minorEastAsia" w:eastAsiaTheme="minorEastAsia" w:cstheme="minorEastAsia"/>
          <w:sz w:val="21"/>
          <w:szCs w:val="21"/>
          <w:lang w:val="en-US"/>
        </w:rPr>
        <w:t xml:space="preserve">                 日期：</w:t>
      </w:r>
      <w:r>
        <w:rPr>
          <w:rFonts w:hint="eastAsia"/>
          <w:sz w:val="21"/>
          <w:szCs w:val="21"/>
        </w:rPr>
        <w:br w:type="page"/>
      </w:r>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中小企业声明函（工程、服务）</w:t>
      </w:r>
    </w:p>
    <w:p>
      <w:pPr>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1"/>
          <w:szCs w:val="21"/>
          <w:u w:val="single"/>
        </w:rPr>
        <w:t>（单位名称）</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rPr>
        <w:t>（项目名称）</w:t>
      </w:r>
      <w:r>
        <w:rPr>
          <w:rFonts w:hint="eastAsia" w:asciiTheme="minorEastAsia" w:hAnsiTheme="minorEastAsia" w:eastAsiaTheme="minorEastAsia" w:cstheme="minor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1.</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；承建（承接）企业为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w:t>
      </w:r>
      <w:r>
        <w:rPr>
          <w:rStyle w:val="25"/>
          <w:rFonts w:hint="eastAsia" w:asciiTheme="minorEastAsia" w:hAnsiTheme="minorEastAsia" w:eastAsiaTheme="minorEastAsia" w:cstheme="minorEastAsia"/>
          <w:sz w:val="21"/>
          <w:szCs w:val="21"/>
          <w:lang w:val="en-US"/>
        </w:rPr>
        <w:footnoteReference w:id="1"/>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2.</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；承建（承接）企业为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以上企业，不属于大企业的分支机构，不存在控股股东为大企业的情形，也不存在与大企业的负责人为同一人的情形。</w:t>
      </w:r>
    </w:p>
    <w:p>
      <w:pPr>
        <w:pStyle w:val="2"/>
        <w:spacing w:line="360" w:lineRule="auto"/>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本企业对上诉声明内容的真实性负责。如有虚假，将依法承担相应责任。</w:t>
      </w:r>
    </w:p>
    <w:p>
      <w:pPr>
        <w:pStyle w:val="2"/>
        <w:spacing w:line="360" w:lineRule="auto"/>
        <w:ind w:left="0" w:firstLine="210" w:firstLineChars="100"/>
        <w:rPr>
          <w:rFonts w:asciiTheme="minorEastAsia" w:hAnsiTheme="minorEastAsia" w:eastAsiaTheme="minorEastAsia" w:cstheme="minorEastAsia"/>
          <w:sz w:val="21"/>
          <w:szCs w:val="21"/>
          <w:lang w:val="en-US"/>
        </w:rPr>
      </w:pPr>
    </w:p>
    <w:p>
      <w:pPr>
        <w:pStyle w:val="2"/>
        <w:spacing w:line="360" w:lineRule="auto"/>
        <w:ind w:firstLine="4830" w:firstLineChars="230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企业名称（盖章）：</w:t>
      </w:r>
    </w:p>
    <w:p>
      <w:pPr>
        <w:pStyle w:val="2"/>
        <w:spacing w:line="360" w:lineRule="auto"/>
        <w:ind w:left="0" w:firstLine="480"/>
        <w:jc w:val="center"/>
        <w:rPr>
          <w:lang w:val="en-US"/>
        </w:rPr>
      </w:pPr>
      <w:r>
        <w:rPr>
          <w:rFonts w:hint="eastAsia" w:asciiTheme="minorEastAsia" w:hAnsiTheme="minorEastAsia" w:eastAsiaTheme="minorEastAsia" w:cstheme="minorEastAsia"/>
          <w:sz w:val="21"/>
          <w:szCs w:val="21"/>
          <w:lang w:val="en-US"/>
        </w:rPr>
        <w:t xml:space="preserve">                 日期：</w:t>
      </w:r>
    </w:p>
    <w:p>
      <w:r>
        <w:rPr>
          <w:rFonts w:hint="eastAsia" w:ascii="宋体" w:hAnsi="宋体" w:eastAsia="宋体"/>
          <w:sz w:val="21"/>
          <w:szCs w:val="21"/>
        </w:rPr>
        <w:br w:type="page"/>
      </w:r>
    </w:p>
    <w:p>
      <w:pPr>
        <w:rPr>
          <w:rFonts w:ascii="宋体" w:hAnsi="宋体" w:eastAsia="宋体"/>
          <w:sz w:val="21"/>
          <w:szCs w:val="21"/>
        </w:rPr>
      </w:pPr>
      <w:r>
        <w:rPr>
          <w:rFonts w:hint="eastAsia" w:ascii="宋体" w:hAnsi="宋体" w:eastAsia="宋体"/>
          <w:sz w:val="21"/>
          <w:szCs w:val="21"/>
        </w:rPr>
        <w:t>注：</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供应商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after="0" w:line="360" w:lineRule="auto"/>
        <w:ind w:firstLine="422" w:firstLineChars="200"/>
        <w:rPr>
          <w:rFonts w:ascii="宋体" w:hAnsi="宋体" w:eastAsia="宋体"/>
          <w:b/>
          <w:bCs/>
          <w:sz w:val="21"/>
          <w:szCs w:val="21"/>
        </w:rPr>
      </w:pPr>
      <w:r>
        <w:rPr>
          <w:rFonts w:hint="eastAsia" w:ascii="宋体" w:hAnsi="宋体" w:eastAsia="宋体"/>
          <w:b/>
          <w:bCs/>
          <w:sz w:val="21"/>
          <w:szCs w:val="21"/>
        </w:rPr>
        <w:t>2、若供应商不属于规定的中小企业范围，或提供的产品不是中小企业制造的，则无需提供此表。中小企业划分标准可查阅《关于印发中小企业划型标准规定的通知》（工信部联企业〔2011〕300号）</w:t>
      </w:r>
    </w:p>
    <w:p>
      <w:pPr>
        <w:pStyle w:val="2"/>
        <w:spacing w:before="0" w:line="360" w:lineRule="auto"/>
        <w:ind w:left="0" w:firstLine="420" w:firstLineChars="200"/>
        <w:rPr>
          <w:rFonts w:cstheme="minorBidi"/>
          <w:sz w:val="21"/>
          <w:szCs w:val="21"/>
          <w:lang w:val="en-US" w:bidi="ar-SA"/>
        </w:rPr>
      </w:pPr>
      <w:r>
        <w:rPr>
          <w:rFonts w:hint="eastAsia" w:cstheme="minorBidi"/>
          <w:sz w:val="21"/>
          <w:szCs w:val="21"/>
          <w:lang w:val="en-US" w:bidi="ar-SA"/>
        </w:rPr>
        <w:t>3、若供应商属于《政府采购促进中小企业发展管理办法》的通知（财库〔2020〕46号）的第四条规定中享受中小企业扶持政策的情况，应在《中小企业声明函》中完整如实列出项目标的具体情况。若发现因提供虚假材料或者提供材料不齐全导致的一切后果由供应商自行承担责任。（如不属于上述情况，则无需提供此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4、依据规定享受扶持政策获得政府采购合同的，小微企业不得将合同分包给大中型企业，中型企业不得将合同分包给大型企业。</w:t>
      </w:r>
    </w:p>
    <w:p>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pPr>
        <w:pStyle w:val="7"/>
        <w:widowControl w:val="0"/>
        <w:overflowPunct w:val="0"/>
        <w:spacing w:before="0" w:after="0" w:line="240" w:lineRule="auto"/>
        <w:rPr>
          <w:rFonts w:ascii="楷体_GB2312" w:eastAsia="楷体_GB2312"/>
          <w:sz w:val="24"/>
        </w:rPr>
      </w:pPr>
      <w:bookmarkStart w:id="238" w:name="_Toc4061"/>
      <w:r>
        <w:rPr>
          <w:rFonts w:hint="eastAsia" w:ascii="宋体" w:hAnsi="宋体" w:eastAsia="宋体"/>
          <w:sz w:val="21"/>
          <w:szCs w:val="21"/>
        </w:rPr>
        <w:t>附件2.《残疾人福利性单位声明函》（残疾人福利性单位适用）</w:t>
      </w:r>
      <w:bookmarkEnd w:id="238"/>
    </w:p>
    <w:p>
      <w:pPr>
        <w:jc w:val="center"/>
      </w:pPr>
    </w:p>
    <w:p>
      <w:pPr>
        <w:jc w:val="center"/>
        <w:rPr>
          <w:rFonts w:ascii="黑体" w:eastAsia="黑体"/>
          <w:sz w:val="28"/>
          <w:szCs w:val="28"/>
        </w:rPr>
      </w:pPr>
      <w:r>
        <w:rPr>
          <w:rFonts w:hint="eastAsia" w:ascii="黑体" w:eastAsia="黑体"/>
          <w:sz w:val="28"/>
          <w:szCs w:val="28"/>
        </w:rPr>
        <w:t>残疾人福利性单位声明函</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本单位对上述声明的真实性负责。如有虚假，将依法承担相应责任。</w:t>
      </w:r>
    </w:p>
    <w:p>
      <w:pPr>
        <w:spacing w:after="0" w:line="480" w:lineRule="auto"/>
        <w:jc w:val="right"/>
        <w:rPr>
          <w:rFonts w:ascii="宋体" w:hAnsi="宋体" w:eastAsia="宋体"/>
          <w:sz w:val="21"/>
          <w:szCs w:val="21"/>
        </w:rPr>
      </w:pPr>
    </w:p>
    <w:p>
      <w:pPr>
        <w:spacing w:after="0" w:line="480" w:lineRule="auto"/>
        <w:jc w:val="right"/>
        <w:rPr>
          <w:rFonts w:ascii="宋体" w:hAnsi="宋体" w:eastAsia="宋体"/>
          <w:sz w:val="21"/>
          <w:szCs w:val="21"/>
        </w:rPr>
      </w:pPr>
      <w:r>
        <w:rPr>
          <w:rFonts w:hint="eastAsia" w:ascii="宋体" w:hAnsi="宋体" w:eastAsia="宋体"/>
          <w:sz w:val="21"/>
          <w:szCs w:val="21"/>
        </w:rPr>
        <w:t>单位名称（盖章）：</w:t>
      </w:r>
      <w:bookmarkStart w:id="239" w:name="_Toc30247"/>
      <w:bookmarkStart w:id="240" w:name="_Toc508960153"/>
      <w:bookmarkStart w:id="241" w:name="_Toc509844825"/>
      <w:bookmarkStart w:id="242" w:name="_Toc22970"/>
      <w:bookmarkStart w:id="243" w:name="_Toc30277"/>
      <w:bookmarkStart w:id="244" w:name="_Toc508958703"/>
      <w:bookmarkStart w:id="245" w:name="_Toc509479530"/>
      <w:bookmarkStart w:id="246" w:name="_Toc508898066"/>
      <w:bookmarkStart w:id="247" w:name="_Toc510171693"/>
      <w:bookmarkStart w:id="248" w:name="_Toc20910"/>
      <w:bookmarkStart w:id="249" w:name="_Toc17761"/>
      <w:bookmarkStart w:id="250" w:name="_Toc509927455"/>
    </w:p>
    <w:p>
      <w:pPr>
        <w:spacing w:after="0" w:line="480" w:lineRule="auto"/>
        <w:jc w:val="right"/>
        <w:rPr>
          <w:rFonts w:ascii="宋体" w:hAnsi="宋体" w:eastAsia="宋体"/>
          <w:sz w:val="21"/>
          <w:szCs w:val="21"/>
        </w:rPr>
      </w:pPr>
    </w:p>
    <w:p>
      <w:pPr>
        <w:spacing w:after="0" w:line="480" w:lineRule="auto"/>
        <w:jc w:val="right"/>
        <w:rPr>
          <w:rFonts w:ascii="宋体" w:hAnsi="宋体" w:eastAsia="宋体"/>
          <w:sz w:val="21"/>
          <w:szCs w:val="21"/>
        </w:rPr>
      </w:pPr>
      <w:r>
        <w:rPr>
          <w:rFonts w:hint="eastAsia" w:ascii="宋体" w:hAnsi="宋体" w:eastAsia="宋体"/>
          <w:sz w:val="21"/>
          <w:szCs w:val="21"/>
        </w:rPr>
        <w:t>日  期：</w:t>
      </w:r>
      <w:bookmarkEnd w:id="239"/>
      <w:bookmarkEnd w:id="240"/>
      <w:bookmarkEnd w:id="241"/>
      <w:bookmarkEnd w:id="242"/>
      <w:bookmarkEnd w:id="243"/>
      <w:bookmarkEnd w:id="244"/>
      <w:bookmarkEnd w:id="245"/>
      <w:bookmarkEnd w:id="246"/>
      <w:bookmarkEnd w:id="247"/>
      <w:bookmarkEnd w:id="248"/>
      <w:bookmarkEnd w:id="249"/>
      <w:bookmarkEnd w:id="250"/>
    </w:p>
    <w:p>
      <w:pPr>
        <w:pStyle w:val="2"/>
      </w:pPr>
    </w:p>
    <w:p>
      <w:pPr>
        <w:spacing w:after="0" w:line="480" w:lineRule="auto"/>
        <w:ind w:firstLine="420" w:firstLineChars="200"/>
        <w:rPr>
          <w:rFonts w:ascii="宋体" w:hAnsi="宋体" w:eastAsia="宋体"/>
          <w:sz w:val="21"/>
          <w:szCs w:val="21"/>
        </w:rPr>
      </w:pPr>
      <w:bookmarkStart w:id="251" w:name="_Toc510171694"/>
      <w:bookmarkStart w:id="252" w:name="_Toc509927456"/>
      <w:bookmarkStart w:id="253" w:name="_Toc509479531"/>
      <w:bookmarkStart w:id="254" w:name="_Toc28527"/>
      <w:bookmarkStart w:id="255" w:name="_Toc21053"/>
      <w:bookmarkStart w:id="256" w:name="_Toc508960154"/>
      <w:bookmarkStart w:id="257" w:name="_Toc5447"/>
      <w:bookmarkStart w:id="258" w:name="_Toc26216"/>
      <w:bookmarkStart w:id="259" w:name="_Toc508958704"/>
      <w:bookmarkStart w:id="260" w:name="_Toc509844826"/>
      <w:bookmarkStart w:id="261" w:name="_Toc508898067"/>
      <w:bookmarkStart w:id="262" w:name="_Toc31520"/>
      <w:r>
        <w:rPr>
          <w:rFonts w:hint="eastAsia" w:ascii="宋体" w:hAnsi="宋体" w:eastAsia="宋体"/>
          <w:sz w:val="21"/>
          <w:szCs w:val="21"/>
        </w:rPr>
        <w:t>注：（1）符合《财政部 民政部 中国残疾人联合会关于促进残疾人就业政府采购政策的通知》（财库〔2017〕 141号）规定条件的残疾人福利性单位应当提供《残疾人福利性单位声明函》。</w:t>
      </w:r>
      <w:bookmarkEnd w:id="251"/>
      <w:bookmarkEnd w:id="252"/>
      <w:bookmarkEnd w:id="253"/>
      <w:bookmarkEnd w:id="254"/>
      <w:bookmarkEnd w:id="255"/>
      <w:bookmarkEnd w:id="256"/>
      <w:bookmarkEnd w:id="257"/>
      <w:bookmarkEnd w:id="258"/>
      <w:bookmarkEnd w:id="259"/>
      <w:bookmarkEnd w:id="260"/>
      <w:bookmarkEnd w:id="261"/>
      <w:bookmarkEnd w:id="262"/>
    </w:p>
    <w:p>
      <w:pPr>
        <w:spacing w:after="0" w:line="480" w:lineRule="auto"/>
        <w:ind w:firstLine="420" w:firstLineChars="200"/>
        <w:rPr>
          <w:rFonts w:ascii="宋体" w:hAnsi="宋体" w:eastAsia="宋体"/>
          <w:sz w:val="21"/>
          <w:szCs w:val="21"/>
        </w:rPr>
      </w:pPr>
      <w:bookmarkStart w:id="263" w:name="_Toc28626"/>
      <w:bookmarkStart w:id="264" w:name="_Toc508960155"/>
      <w:bookmarkStart w:id="265" w:name="_Toc9148"/>
      <w:bookmarkStart w:id="266" w:name="_Toc509479532"/>
      <w:bookmarkStart w:id="267" w:name="_Toc510171695"/>
      <w:bookmarkStart w:id="268" w:name="_Toc14653"/>
      <w:bookmarkStart w:id="269" w:name="_Toc24848"/>
      <w:bookmarkStart w:id="270" w:name="_Toc508958705"/>
      <w:bookmarkStart w:id="271" w:name="_Toc508898068"/>
      <w:bookmarkStart w:id="272" w:name="_Toc28126"/>
      <w:bookmarkStart w:id="273" w:name="_Toc509927457"/>
      <w:bookmarkStart w:id="274" w:name="_Toc509844827"/>
      <w:r>
        <w:rPr>
          <w:rFonts w:hint="eastAsia" w:ascii="宋体" w:hAnsi="宋体" w:eastAsia="宋体"/>
          <w:sz w:val="21"/>
          <w:szCs w:val="21"/>
        </w:rPr>
        <w:t>（2）成交供应商为残疾人福利性单位的，采购代理机构将随成交结果同时公告其《残疾人福利性单位声明函》，接受社会监督。</w:t>
      </w:r>
      <w:bookmarkEnd w:id="263"/>
      <w:bookmarkEnd w:id="264"/>
      <w:bookmarkEnd w:id="265"/>
      <w:bookmarkEnd w:id="266"/>
      <w:bookmarkEnd w:id="267"/>
      <w:bookmarkEnd w:id="268"/>
      <w:bookmarkEnd w:id="269"/>
      <w:bookmarkEnd w:id="270"/>
      <w:bookmarkEnd w:id="271"/>
      <w:bookmarkEnd w:id="272"/>
      <w:bookmarkEnd w:id="273"/>
      <w:bookmarkEnd w:id="274"/>
    </w:p>
    <w:p>
      <w:pPr>
        <w:spacing w:after="0" w:line="480" w:lineRule="auto"/>
        <w:ind w:firstLine="420" w:firstLineChars="200"/>
        <w:rPr>
          <w:rFonts w:ascii="宋体" w:hAnsi="宋体" w:eastAsia="宋体"/>
          <w:sz w:val="21"/>
          <w:szCs w:val="21"/>
        </w:rPr>
      </w:pPr>
      <w:bookmarkStart w:id="275" w:name="_Toc22981"/>
      <w:bookmarkStart w:id="276" w:name="_Toc508898069"/>
      <w:bookmarkStart w:id="277" w:name="_Toc28044"/>
      <w:bookmarkStart w:id="278" w:name="_Toc7858"/>
      <w:bookmarkStart w:id="279" w:name="_Toc509844828"/>
      <w:bookmarkStart w:id="280" w:name="_Toc509927458"/>
      <w:bookmarkStart w:id="281" w:name="_Toc28686"/>
      <w:bookmarkStart w:id="282" w:name="_Toc508958706"/>
      <w:bookmarkStart w:id="283" w:name="_Toc510171696"/>
      <w:bookmarkStart w:id="284" w:name="_Toc508960156"/>
      <w:bookmarkStart w:id="285" w:name="_Toc509479533"/>
      <w:bookmarkStart w:id="286" w:name="_Toc9837"/>
      <w:r>
        <w:rPr>
          <w:rFonts w:hint="eastAsia" w:ascii="宋体" w:hAnsi="宋体" w:eastAsia="宋体"/>
          <w:sz w:val="21"/>
          <w:szCs w:val="21"/>
        </w:rPr>
        <w:t>（3）供应商提供的《残疾人福利性单位声明函》与事实不符的，依照《政府采购法》第七十七条第一款的规定追究法律责任。</w:t>
      </w:r>
      <w:bookmarkEnd w:id="275"/>
      <w:bookmarkEnd w:id="276"/>
      <w:bookmarkEnd w:id="277"/>
      <w:bookmarkEnd w:id="278"/>
      <w:bookmarkEnd w:id="279"/>
      <w:bookmarkEnd w:id="280"/>
      <w:bookmarkEnd w:id="281"/>
      <w:bookmarkEnd w:id="282"/>
      <w:bookmarkEnd w:id="283"/>
      <w:bookmarkEnd w:id="284"/>
      <w:bookmarkEnd w:id="285"/>
      <w:bookmarkEnd w:id="286"/>
    </w:p>
    <w:p>
      <w:pPr>
        <w:spacing w:after="0" w:line="480" w:lineRule="auto"/>
        <w:ind w:firstLine="420" w:firstLineChars="200"/>
        <w:rPr>
          <w:rFonts w:ascii="宋体" w:hAnsi="宋体" w:eastAsia="宋体"/>
          <w:sz w:val="21"/>
          <w:szCs w:val="21"/>
        </w:rPr>
      </w:pPr>
      <w:bookmarkStart w:id="287" w:name="_Toc508958707"/>
      <w:bookmarkStart w:id="288" w:name="_Toc509927459"/>
      <w:bookmarkStart w:id="289" w:name="_Toc5289"/>
      <w:bookmarkStart w:id="290" w:name="_Toc510171697"/>
      <w:bookmarkStart w:id="291" w:name="_Toc509479534"/>
      <w:bookmarkStart w:id="292" w:name="_Toc18843"/>
      <w:bookmarkStart w:id="293" w:name="_Toc509844829"/>
      <w:bookmarkStart w:id="294" w:name="_Toc508898070"/>
      <w:bookmarkStart w:id="295" w:name="_Toc508960157"/>
      <w:r>
        <w:rPr>
          <w:rFonts w:hint="eastAsia" w:ascii="宋体" w:hAnsi="宋体" w:eastAsia="宋体"/>
          <w:sz w:val="21"/>
          <w:szCs w:val="21"/>
        </w:rPr>
        <w:t>（4）残疾人福利性单位视同小型、微型企业，享受评审中价格扣除。残疾人福利性单位属于小型、微型企业的，不重复享受政策。</w:t>
      </w:r>
      <w:bookmarkEnd w:id="287"/>
      <w:bookmarkEnd w:id="288"/>
      <w:bookmarkEnd w:id="289"/>
      <w:bookmarkEnd w:id="290"/>
      <w:bookmarkEnd w:id="291"/>
      <w:bookmarkEnd w:id="292"/>
      <w:bookmarkEnd w:id="293"/>
      <w:bookmarkEnd w:id="294"/>
      <w:bookmarkEnd w:id="295"/>
    </w:p>
    <w:p>
      <w:pPr>
        <w:spacing w:after="0" w:line="480" w:lineRule="auto"/>
        <w:ind w:firstLine="422" w:firstLineChars="200"/>
        <w:rPr>
          <w:rFonts w:ascii="宋体" w:hAnsi="宋体" w:eastAsia="宋体"/>
          <w:b/>
          <w:bCs/>
          <w:sz w:val="21"/>
          <w:szCs w:val="21"/>
        </w:rPr>
      </w:pPr>
      <w:r>
        <w:rPr>
          <w:rFonts w:hint="eastAsia" w:ascii="宋体" w:hAnsi="宋体" w:eastAsia="宋体"/>
          <w:b/>
          <w:bCs/>
          <w:sz w:val="21"/>
          <w:szCs w:val="21"/>
        </w:rPr>
        <w:t>（5）若供应商不属于规定的残疾人福利性单位，或提供的产品不是残疾人福利单位制造的，则无需提供此表。</w:t>
      </w:r>
    </w:p>
    <w:p>
      <w:pPr>
        <w:adjustRightInd/>
        <w:snapToGrid/>
        <w:spacing w:line="276" w:lineRule="auto"/>
        <w:rPr>
          <w:rFonts w:ascii="宋体" w:hAnsi="宋体" w:eastAsia="宋体"/>
          <w:bCs/>
          <w:sz w:val="21"/>
          <w:szCs w:val="21"/>
        </w:rPr>
      </w:pPr>
      <w:r>
        <w:rPr>
          <w:rFonts w:hint="eastAsia" w:ascii="宋体" w:hAnsi="宋体" w:eastAsia="宋体"/>
          <w:bCs/>
          <w:sz w:val="21"/>
          <w:szCs w:val="21"/>
        </w:rPr>
        <w:br w:type="page"/>
      </w:r>
    </w:p>
    <w:p>
      <w:pPr>
        <w:pStyle w:val="7"/>
        <w:widowControl w:val="0"/>
        <w:overflowPunct w:val="0"/>
        <w:spacing w:before="0" w:after="0" w:line="240" w:lineRule="auto"/>
        <w:rPr>
          <w:rFonts w:ascii="宋体" w:hAnsi="宋体" w:eastAsia="宋体"/>
          <w:sz w:val="21"/>
          <w:szCs w:val="21"/>
        </w:rPr>
      </w:pPr>
      <w:bookmarkStart w:id="296" w:name="_Toc13115"/>
      <w:r>
        <w:rPr>
          <w:rFonts w:hint="eastAsia" w:ascii="宋体" w:hAnsi="宋体" w:eastAsia="宋体"/>
          <w:sz w:val="21"/>
          <w:szCs w:val="21"/>
        </w:rPr>
        <w:t>附件3.采购担保函</w:t>
      </w:r>
      <w:bookmarkEnd w:id="296"/>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采购担保函</w:t>
      </w:r>
    </w:p>
    <w:p>
      <w:pPr>
        <w:wordWrap w:val="0"/>
        <w:jc w:val="right"/>
        <w:rPr>
          <w:rFonts w:ascii="仿宋_GB2312" w:eastAsia="仿宋_GB2312"/>
          <w:sz w:val="32"/>
          <w:szCs w:val="32"/>
        </w:rPr>
      </w:pPr>
      <w:r>
        <w:rPr>
          <w:rFonts w:hint="eastAsia" w:ascii="黑体" w:eastAsia="黑体"/>
          <w:sz w:val="28"/>
          <w:szCs w:val="28"/>
        </w:rPr>
        <w:t xml:space="preserve"> 编号：</w:t>
      </w:r>
    </w:p>
    <w:p>
      <w:pPr>
        <w:spacing w:after="0" w:line="480" w:lineRule="auto"/>
        <w:rPr>
          <w:rFonts w:ascii="宋体" w:hAnsi="宋体" w:eastAsia="宋体" w:cs="宋体"/>
          <w:sz w:val="21"/>
          <w:szCs w:val="21"/>
        </w:rPr>
      </w:pPr>
      <w:r>
        <w:rPr>
          <w:rFonts w:hint="eastAsia" w:ascii="宋体" w:hAnsi="宋体" w:eastAsia="宋体" w:cs="宋体"/>
          <w:sz w:val="21"/>
          <w:szCs w:val="21"/>
        </w:rPr>
        <w:t>（采购人或采购代理机构）：</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鉴于（以下简称“供应商”）拟参加编号为</w:t>
      </w:r>
      <w:r>
        <w:rPr>
          <w:rFonts w:hint="eastAsia" w:ascii="宋体" w:hAnsi="宋体" w:eastAsia="宋体" w:cs="宋体"/>
          <w:sz w:val="21"/>
          <w:szCs w:val="21"/>
          <w:u w:val="single"/>
        </w:rPr>
        <w:t xml:space="preserve">            的</w:t>
      </w:r>
    </w:p>
    <w:p>
      <w:pPr>
        <w:spacing w:after="0" w:line="480" w:lineRule="auto"/>
        <w:rPr>
          <w:rFonts w:ascii="宋体" w:hAnsi="宋体" w:eastAsia="宋体" w:cs="宋体"/>
          <w:sz w:val="21"/>
          <w:szCs w:val="21"/>
        </w:rPr>
      </w:pPr>
      <w:r>
        <w:rPr>
          <w:rFonts w:hint="eastAsia" w:ascii="宋体" w:hAnsi="宋体" w:eastAsia="宋体" w:cs="宋体"/>
          <w:sz w:val="21"/>
          <w:szCs w:val="21"/>
        </w:rPr>
        <w:t>项目（以下简称“本项目”）磋商，根据本项目磋商文件，供应商参加磋商时应向你方交纳磋商保证金，且可以担保函的形式交纳磋商保证金。应供应商的申请，我方以保证的方式向你方提供如下磋商保证金担保：</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一、保证责任的情形及保证金额</w:t>
      </w:r>
    </w:p>
    <w:p>
      <w:pPr>
        <w:spacing w:after="0" w:line="480" w:lineRule="auto"/>
        <w:ind w:firstLine="210" w:firstLineChars="100"/>
        <w:rPr>
          <w:rFonts w:ascii="宋体" w:hAnsi="宋体" w:eastAsia="宋体" w:cs="宋体"/>
          <w:sz w:val="21"/>
          <w:szCs w:val="21"/>
        </w:rPr>
      </w:pPr>
      <w:r>
        <w:rPr>
          <w:rFonts w:hint="eastAsia" w:ascii="宋体" w:hAnsi="宋体" w:eastAsia="宋体" w:cs="宋体"/>
          <w:sz w:val="21"/>
          <w:szCs w:val="21"/>
        </w:rPr>
        <w:t>（一）在供应商出现下列情形之一时，我方承担保证责任：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1．成交后供应商无正当理由不与采购人或者采购代理机构签订合同；</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2．磋商文件规定的供应商应当缴纳保证金的其他情形。</w:t>
      </w:r>
    </w:p>
    <w:p>
      <w:pPr>
        <w:spacing w:after="0" w:line="480" w:lineRule="auto"/>
        <w:ind w:firstLine="210" w:firstLineChars="100"/>
        <w:rPr>
          <w:rFonts w:ascii="宋体" w:hAnsi="宋体" w:eastAsia="宋体" w:cs="宋体"/>
          <w:sz w:val="21"/>
          <w:szCs w:val="21"/>
        </w:rPr>
      </w:pPr>
      <w:r>
        <w:rPr>
          <w:rFonts w:hint="eastAsia" w:ascii="宋体" w:hAnsi="宋体" w:eastAsia="宋体" w:cs="宋体"/>
          <w:sz w:val="21"/>
          <w:szCs w:val="21"/>
        </w:rPr>
        <w:t>（二）我方承担保证责任的最高金额为人民币元（大写），即本项目的磋商保证金金额。</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二、保证的方式及保证期间</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我方保证的方式为：连带责任保证。</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我方的保证期间为：自本保函生效之日起个月止。</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三、承担保证责任的程序</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1．你方要求我方承担保证责任的，应在本保函保证期间内向我方发出书面索赔通知。索赔通知应写明要求索赔的金额，支付款项应到达的账号，并附有证明供应商发生我方应承担保证责任情形的事实材料。</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2．我方在收到索赔通知及相关证明材料后，在</w:t>
      </w:r>
      <w:r>
        <w:rPr>
          <w:rFonts w:hint="eastAsia" w:ascii="宋体" w:hAnsi="宋体" w:eastAsia="宋体" w:cs="宋体"/>
          <w:sz w:val="21"/>
          <w:szCs w:val="21"/>
          <w:u w:val="single"/>
        </w:rPr>
        <w:t>　　　</w:t>
      </w:r>
      <w:r>
        <w:rPr>
          <w:rFonts w:hint="eastAsia" w:ascii="宋体" w:hAnsi="宋体" w:eastAsia="宋体" w:cs="宋体"/>
          <w:sz w:val="21"/>
          <w:szCs w:val="21"/>
        </w:rPr>
        <w:t>个工作日内进行审查，符合应承担保证责任情形的，我方应按照你方的要求代供应商向你方支付磋商保证金。</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四、保证责任的终止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五、免责条款</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1．依照法律规定或你方与供应商的另行约定，全部或者部分免除供应商磋商保证金义务时，我方亦免除相应的保证责任。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2．因你方原因致使供应商发生本保函第一条第（一）款约定情形的，我方不承担保证责任。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3．因不可抗力造成供应商发生本保函第一条约定情形的，我方不承担保证责任。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4．你方或其他有权机关对磋商文件进行任何澄清或修改，加重我方保证责任的，我方对加重部分不承担保证责任，但该澄清或修改经我方事先书面同意的除外。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六、争议的解决</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七、保函的生效</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本保函自我方加盖公章之日起生效。</w:t>
      </w:r>
    </w:p>
    <w:p>
      <w:pPr>
        <w:spacing w:after="0" w:line="480" w:lineRule="auto"/>
        <w:jc w:val="right"/>
        <w:rPr>
          <w:rFonts w:ascii="宋体" w:hAnsi="宋体" w:eastAsia="宋体" w:cs="宋体"/>
          <w:sz w:val="21"/>
          <w:szCs w:val="21"/>
        </w:rPr>
      </w:pPr>
    </w:p>
    <w:p>
      <w:pPr>
        <w:spacing w:after="0" w:line="480" w:lineRule="auto"/>
        <w:jc w:val="right"/>
        <w:rPr>
          <w:rFonts w:ascii="宋体" w:hAnsi="宋体" w:eastAsia="宋体" w:cs="宋体"/>
          <w:sz w:val="21"/>
          <w:szCs w:val="21"/>
        </w:rPr>
      </w:pPr>
      <w:r>
        <w:rPr>
          <w:rFonts w:hint="eastAsia" w:ascii="宋体" w:hAnsi="宋体" w:eastAsia="宋体" w:cs="宋体"/>
          <w:sz w:val="21"/>
          <w:szCs w:val="21"/>
        </w:rPr>
        <w:t>保证人：（公章）</w:t>
      </w:r>
    </w:p>
    <w:p>
      <w:pPr>
        <w:spacing w:after="0" w:line="480" w:lineRule="auto"/>
        <w:jc w:val="right"/>
        <w:rPr>
          <w:rFonts w:ascii="宋体" w:hAnsi="宋体" w:eastAsia="宋体" w:cs="宋体"/>
          <w:sz w:val="21"/>
          <w:szCs w:val="21"/>
        </w:rPr>
      </w:pPr>
      <w:r>
        <w:rPr>
          <w:rFonts w:hint="eastAsia" w:ascii="宋体" w:hAnsi="宋体" w:eastAsia="宋体" w:cs="宋体"/>
          <w:sz w:val="21"/>
          <w:szCs w:val="21"/>
        </w:rPr>
        <w:t>年     月      日</w:t>
      </w:r>
    </w:p>
    <w:p>
      <w:pPr>
        <w:spacing w:after="0"/>
        <w:rPr>
          <w:rFonts w:ascii="宋体" w:hAnsi="宋体" w:eastAsia="宋体"/>
          <w:sz w:val="21"/>
          <w:szCs w:val="21"/>
        </w:rPr>
      </w:pPr>
    </w:p>
    <w:p>
      <w:pPr>
        <w:spacing w:after="0"/>
        <w:rPr>
          <w:rFonts w:ascii="宋体" w:hAnsi="宋体" w:eastAsia="宋体"/>
          <w:sz w:val="21"/>
          <w:szCs w:val="21"/>
        </w:rPr>
      </w:pPr>
      <w:r>
        <w:rPr>
          <w:rFonts w:hint="eastAsia" w:ascii="宋体" w:hAnsi="宋体" w:eastAsia="宋体"/>
          <w:sz w:val="21"/>
          <w:szCs w:val="21"/>
        </w:rPr>
        <w:t>注：</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（1）若供应商不以担保函形式提交磋商保证金，则无需在响应文件中提供此格式。</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（2）若供应商以担保函形式提交磋商保证金，则应将担保函原件交予采购代理机构。</w:t>
      </w:r>
    </w:p>
    <w:p>
      <w:pPr>
        <w:rPr>
          <w:rStyle w:val="29"/>
          <w:rFonts w:ascii="宋体" w:hAnsi="宋体" w:eastAsia="宋体" w:cs="宋体"/>
          <w:sz w:val="21"/>
          <w:szCs w:val="21"/>
        </w:rPr>
      </w:pPr>
      <w:r>
        <w:rPr>
          <w:rStyle w:val="29"/>
          <w:rFonts w:hint="eastAsia" w:ascii="宋体" w:hAnsi="宋体" w:eastAsia="宋体" w:cs="宋体"/>
          <w:sz w:val="21"/>
          <w:szCs w:val="21"/>
        </w:rPr>
        <w:br w:type="page"/>
      </w:r>
    </w:p>
    <w:p>
      <w:pPr>
        <w:spacing w:after="0" w:line="480" w:lineRule="auto"/>
        <w:outlineLvl w:val="3"/>
        <w:rPr>
          <w:rFonts w:ascii="黑体" w:eastAsia="黑体"/>
          <w:sz w:val="30"/>
          <w:szCs w:val="30"/>
        </w:rPr>
      </w:pPr>
      <w:bookmarkStart w:id="297" w:name="_Toc14361"/>
      <w:r>
        <w:rPr>
          <w:rStyle w:val="29"/>
          <w:rFonts w:hint="eastAsia" w:ascii="宋体" w:hAnsi="宋体" w:eastAsia="宋体" w:cs="宋体"/>
          <w:sz w:val="21"/>
          <w:szCs w:val="21"/>
        </w:rPr>
        <w:t>附件4.履约担保函</w:t>
      </w:r>
      <w:bookmarkEnd w:id="297"/>
    </w:p>
    <w:p>
      <w:pPr>
        <w:jc w:val="center"/>
        <w:rPr>
          <w:rFonts w:ascii="黑体" w:eastAsia="黑体"/>
          <w:sz w:val="28"/>
          <w:szCs w:val="28"/>
        </w:rPr>
      </w:pPr>
      <w:r>
        <w:rPr>
          <w:rFonts w:hint="eastAsia" w:ascii="黑体" w:eastAsia="黑体"/>
          <w:sz w:val="28"/>
          <w:szCs w:val="28"/>
        </w:rPr>
        <w:t>履约担保函</w:t>
      </w:r>
    </w:p>
    <w:p>
      <w:pPr>
        <w:wordWrap w:val="0"/>
        <w:jc w:val="right"/>
        <w:rPr>
          <w:rFonts w:ascii="仿宋_GB2312" w:eastAsia="仿宋_GB2312"/>
          <w:sz w:val="32"/>
          <w:szCs w:val="32"/>
        </w:rPr>
      </w:pPr>
      <w:r>
        <w:rPr>
          <w:rFonts w:hint="eastAsia" w:ascii="黑体" w:eastAsia="黑体"/>
          <w:sz w:val="28"/>
          <w:szCs w:val="28"/>
        </w:rPr>
        <w:t xml:space="preserve">编号：  </w:t>
      </w:r>
    </w:p>
    <w:p>
      <w:pPr>
        <w:spacing w:after="0" w:line="480" w:lineRule="auto"/>
        <w:rPr>
          <w:rFonts w:ascii="宋体" w:hAnsi="宋体" w:eastAsia="宋体" w:cs="宋体"/>
          <w:sz w:val="21"/>
          <w:szCs w:val="21"/>
        </w:rPr>
      </w:pPr>
      <w:r>
        <w:rPr>
          <w:rFonts w:hint="eastAsia" w:ascii="宋体" w:hAnsi="宋体" w:eastAsia="宋体" w:cs="宋体"/>
          <w:sz w:val="21"/>
          <w:szCs w:val="21"/>
        </w:rPr>
        <w:t>（采购人）：</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鉴于你方与（以下简称供应商）于年月日签定编号为   的《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一、保证责任的情形及保证金额</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（一）在供应商出现下列情形之一时，我方承担保证责任：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1．将成交项目转让给他人，或者在响应文件中未说明，且未经采购机构人同意，将成交项目分包给他人的；</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2．主合同约定的应当缴纳履约保证金的情形: </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（1）未按主合同约定的质量、数量和期限供应货物/提供服务/完成工程的；</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w:t>
      </w:r>
    </w:p>
    <w:p>
      <w:pPr>
        <w:spacing w:after="0" w:line="480" w:lineRule="auto"/>
        <w:ind w:right="-1291" w:rightChars="-587" w:firstLine="420" w:firstLineChars="200"/>
        <w:rPr>
          <w:rFonts w:ascii="宋体" w:hAnsi="宋体" w:eastAsia="宋体" w:cs="宋体"/>
          <w:sz w:val="21"/>
          <w:szCs w:val="21"/>
        </w:rPr>
      </w:pPr>
      <w:r>
        <w:rPr>
          <w:rFonts w:hint="eastAsia" w:ascii="宋体" w:hAnsi="宋体" w:eastAsia="宋体" w:cs="宋体"/>
          <w:sz w:val="21"/>
          <w:szCs w:val="21"/>
        </w:rPr>
        <w:t>（二）我方的保证范围是主合同约定的合同价款总额</w:t>
      </w:r>
    </w:p>
    <w:p>
      <w:pPr>
        <w:spacing w:after="0" w:line="480" w:lineRule="auto"/>
        <w:ind w:right="26" w:rightChars="12"/>
        <w:rPr>
          <w:rFonts w:ascii="宋体" w:hAnsi="宋体" w:eastAsia="宋体" w:cs="宋体"/>
          <w:sz w:val="21"/>
          <w:szCs w:val="21"/>
        </w:rPr>
      </w:pPr>
      <w:r>
        <w:rPr>
          <w:rFonts w:hint="eastAsia" w:ascii="宋体" w:hAnsi="宋体" w:eastAsia="宋体" w:cs="宋体"/>
          <w:sz w:val="21"/>
          <w:szCs w:val="21"/>
        </w:rPr>
        <w:t>%数额为元（大写），为。（即主合同履约保证金金额）</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二、保证的方式及保证期间</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我方保证的方式为：连带责任保证。</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三、承担保证责任的程序</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1．你方要求我方承担保证责任的，应在本保函保证期间内向我方发出书面索赔通知。索赔通知应写明要求索赔的金额，支付款项应到达的账号。并附有证明供应商违约事实的证明材料。</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2．我方收到你方的书面索赔通知及相应证明材料，在工作日内进行核定后按照本保函的承诺承担保证责任。</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四、保证责任的终止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五、免责条款</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1．因你方违反主合同约定致使供应商不能履行义务的，我方不承担保证责任。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3．因不可抗力造成供应商不能履行供货义务的，我方不承担保证责任。</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六、争议的解决</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七、保函的生效</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本保函自我方加盖公章之日起生效。</w:t>
      </w:r>
    </w:p>
    <w:p>
      <w:pPr>
        <w:spacing w:after="0" w:line="480" w:lineRule="auto"/>
        <w:rPr>
          <w:rFonts w:ascii="宋体" w:hAnsi="宋体" w:eastAsia="宋体" w:cs="宋体"/>
          <w:sz w:val="21"/>
          <w:szCs w:val="21"/>
        </w:rPr>
      </w:pPr>
    </w:p>
    <w:p>
      <w:pPr>
        <w:spacing w:after="0" w:line="480" w:lineRule="auto"/>
        <w:rPr>
          <w:rFonts w:ascii="宋体" w:hAnsi="宋体" w:eastAsia="宋体" w:cs="宋体"/>
          <w:sz w:val="21"/>
          <w:szCs w:val="21"/>
        </w:rPr>
      </w:pPr>
    </w:p>
    <w:p>
      <w:pPr>
        <w:spacing w:after="0" w:line="480" w:lineRule="auto"/>
        <w:jc w:val="right"/>
        <w:rPr>
          <w:rFonts w:ascii="宋体" w:hAnsi="宋体" w:eastAsia="宋体" w:cs="宋体"/>
          <w:sz w:val="21"/>
          <w:szCs w:val="21"/>
        </w:rPr>
      </w:pPr>
      <w:r>
        <w:rPr>
          <w:rFonts w:hint="eastAsia" w:ascii="宋体" w:hAnsi="宋体" w:eastAsia="宋体" w:cs="宋体"/>
          <w:sz w:val="21"/>
          <w:szCs w:val="21"/>
        </w:rPr>
        <w:t>保证人：（公章）</w:t>
      </w:r>
    </w:p>
    <w:p>
      <w:pPr>
        <w:spacing w:after="0" w:line="480" w:lineRule="auto"/>
        <w:jc w:val="right"/>
        <w:rPr>
          <w:rFonts w:ascii="宋体" w:hAnsi="宋体" w:eastAsia="宋体" w:cs="宋体"/>
          <w:sz w:val="21"/>
          <w:szCs w:val="21"/>
        </w:rPr>
      </w:pPr>
      <w:r>
        <w:rPr>
          <w:rFonts w:hint="eastAsia" w:ascii="宋体" w:hAnsi="宋体" w:eastAsia="宋体" w:cs="宋体"/>
          <w:sz w:val="21"/>
          <w:szCs w:val="21"/>
        </w:rPr>
        <w:t>年     月      日</w:t>
      </w:r>
    </w:p>
    <w:p>
      <w:pPr>
        <w:spacing w:after="0"/>
        <w:rPr>
          <w:rFonts w:ascii="宋体" w:hAnsi="宋体" w:eastAsia="宋体"/>
          <w:sz w:val="21"/>
          <w:szCs w:val="21"/>
        </w:rPr>
      </w:pPr>
      <w:r>
        <w:rPr>
          <w:rFonts w:hint="eastAsia" w:ascii="宋体" w:hAnsi="宋体" w:eastAsia="宋体"/>
          <w:sz w:val="21"/>
          <w:szCs w:val="21"/>
        </w:rPr>
        <w:t>注：</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（1）此格式为履约担保函格式，无需在响应文件中提供此格式。</w:t>
      </w:r>
    </w:p>
    <w:p>
      <w:pPr>
        <w:pStyle w:val="2"/>
      </w:pPr>
    </w:p>
    <w:p>
      <w:r>
        <w:rPr>
          <w:rFonts w:ascii="宋体" w:hAnsi="宋体" w:eastAsia="宋体" w:cs="宋体"/>
          <w:sz w:val="21"/>
          <w:szCs w:val="21"/>
        </w:rPr>
        <w:br w:type="page"/>
      </w:r>
    </w:p>
    <w:p>
      <w:pPr>
        <w:pStyle w:val="7"/>
        <w:spacing w:before="0" w:after="0" w:line="240" w:lineRule="auto"/>
        <w:rPr>
          <w:rFonts w:ascii="黑体" w:hAnsi="宋体"/>
          <w:sz w:val="44"/>
          <w:szCs w:val="44"/>
        </w:rPr>
      </w:pPr>
      <w:bookmarkStart w:id="298" w:name="_Toc7848"/>
      <w:r>
        <w:rPr>
          <w:rFonts w:hint="eastAsia" w:ascii="宋体" w:hAnsi="宋体" w:eastAsia="宋体" w:cs="宋体"/>
          <w:sz w:val="21"/>
          <w:szCs w:val="21"/>
        </w:rPr>
        <w:t>附件5.获取磋商文件登记表</w:t>
      </w:r>
      <w:bookmarkEnd w:id="298"/>
      <w:bookmarkStart w:id="299" w:name="_Toc1968"/>
    </w:p>
    <w:p>
      <w:pPr>
        <w:spacing w:after="0"/>
        <w:jc w:val="center"/>
        <w:rPr>
          <w:rFonts w:ascii="黑体" w:hAnsi="黑体" w:eastAsia="黑体" w:cs="黑体"/>
          <w:sz w:val="36"/>
          <w:szCs w:val="36"/>
        </w:rPr>
      </w:pPr>
      <w:r>
        <w:rPr>
          <w:rFonts w:hint="eastAsia" w:ascii="黑体" w:hAnsi="黑体" w:eastAsia="黑体" w:cs="黑体"/>
          <w:sz w:val="36"/>
          <w:szCs w:val="36"/>
        </w:rPr>
        <w:t>获取磋商文件登记表</w:t>
      </w:r>
      <w:bookmarkEnd w:id="299"/>
    </w:p>
    <w:tbl>
      <w:tblPr>
        <w:tblStyle w:val="22"/>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获取磋商文件时间</w:t>
            </w:r>
          </w:p>
        </w:tc>
        <w:tc>
          <w:tcPr>
            <w:tcW w:w="5898"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2021年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拟响应项目名称</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项目编号</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项目包号</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供应商全称</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供应商联系人</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电话</w:t>
            </w:r>
          </w:p>
        </w:tc>
        <w:tc>
          <w:tcPr>
            <w:tcW w:w="5898"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drawing>
                <wp:anchor distT="0" distB="0" distL="114300" distR="114300" simplePos="0" relativeHeight="251659264" behindDoc="1" locked="0" layoutInCell="1" allowOverlap="1">
                  <wp:simplePos x="0" y="0"/>
                  <wp:positionH relativeFrom="column">
                    <wp:posOffset>485775</wp:posOffset>
                  </wp:positionH>
                  <wp:positionV relativeFrom="paragraph">
                    <wp:posOffset>22225</wp:posOffset>
                  </wp:positionV>
                  <wp:extent cx="1504950" cy="1409700"/>
                  <wp:effectExtent l="0" t="0" r="0"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1504950" cy="1409700"/>
                          </a:xfrm>
                          <a:prstGeom prst="rect">
                            <a:avLst/>
                          </a:prstGeom>
                          <a:noFill/>
                          <a:ln>
                            <a:noFill/>
                          </a:ln>
                        </pic:spPr>
                      </pic:pic>
                    </a:graphicData>
                  </a:graphic>
                </wp:anchor>
              </w:drawing>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手机</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传真</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电子邮箱</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单位地址及邮编</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备注</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磋商文件领取人签名</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磋商文件发售人签名</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磋商文件售价</w:t>
            </w:r>
          </w:p>
        </w:tc>
        <w:tc>
          <w:tcPr>
            <w:tcW w:w="5898"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人民币200元/份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spacing w:after="0"/>
              <w:jc w:val="center"/>
              <w:rPr>
                <w:rFonts w:ascii="宋体" w:hAnsi="宋体" w:eastAsia="宋体" w:cs="宋体"/>
                <w:sz w:val="32"/>
                <w:szCs w:val="32"/>
              </w:rPr>
            </w:pPr>
            <w:r>
              <w:rPr>
                <w:rFonts w:hint="eastAsia" w:ascii="宋体" w:hAnsi="宋体" w:eastAsia="宋体" w:cs="宋体"/>
                <w:b/>
                <w:bCs/>
                <w:sz w:val="32"/>
                <w:szCs w:val="32"/>
              </w:rPr>
              <w:t>注：开完发票后请把报名表格交还至前台</w:t>
            </w:r>
          </w:p>
        </w:tc>
      </w:tr>
    </w:tbl>
    <w:p/>
    <w:sectPr>
      <w:footerReference r:id="rId8" w:type="first"/>
      <w:footerReference r:id="rId7"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兰亭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1026" o:spid="_x0000_s2049" o:spt="202" type="#_x0000_t202" style="position:absolute;left:0pt;margin-top:0pt;height:25.45pt;width:81.55pt;mso-position-horizontal:center;mso-position-horizontal-relative:margin;z-index:251659264;mso-width-relative:page;mso-height-relative:page;" filled="f" stroked="f" coordsize="21600,21600">
          <v:path/>
          <v:fill on="f" focussize="0,0"/>
          <v:stroke on="f"/>
          <v:imagedata o:title=""/>
          <o:lock v:ext="edit" aspectratio="f"/>
          <v:textbox inset="0mm,0mm,0mm,0mm" style="mso-fit-shape-to-text:t;">
            <w:txbxContent>
              <w:p>
                <w:pPr>
                  <w:pStyle w:val="13"/>
                  <w:jc w:val="center"/>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页</w:t>
                </w:r>
                <w:r>
                  <w:rPr>
                    <w:rFonts w:hint="eastAsia"/>
                    <w:lang w:val="en-US" w:eastAsia="zh-CN"/>
                  </w:rPr>
                  <w:t xml:space="preserve">  </w:t>
                </w:r>
                <w:r>
                  <w:rPr>
                    <w:rFonts w:hint="eastAsia"/>
                  </w:rPr>
                  <w:t>共</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80</w:instrText>
                </w:r>
                <w:r>
                  <w:fldChar w:fldCharType="end"/>
                </w:r>
                <w:r>
                  <w:rPr>
                    <w:rFonts w:hint="eastAsia"/>
                  </w:rPr>
                  <w:instrText xml:space="preserve">-1</w:instrText>
                </w:r>
                <w:r>
                  <w:fldChar w:fldCharType="separate"/>
                </w:r>
                <w:r>
                  <w:t>79</w:t>
                </w:r>
                <w:r>
                  <w:fldChar w:fldCharType="end"/>
                </w:r>
                <w:r>
                  <w:rPr>
                    <w:rFonts w:hint="eastAsia"/>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1025" o:spid="_x0000_s2050" o:spt="202" type="#_x0000_t202" style="position:absolute;left:0pt;margin-top:0pt;height:25.45pt;width:72.45pt;mso-position-horizontal:center;mso-position-horizontal-relative:margin;z-index:251660288;mso-width-relative:page;mso-height-relative:page;" filled="f" stroked="f" coordsize="21600,21600">
          <v:path/>
          <v:fill on="f" focussize="0,0"/>
          <v:stroke on="f"/>
          <v:imagedata o:title=""/>
          <o:lock v:ext="edit" aspectratio="f"/>
          <v:textbox inset="0mm,0mm,0mm,0mm" style="mso-fit-shape-to-text:t;">
            <w:txbxContent>
              <w:p>
                <w:pPr>
                  <w:pStyle w:val="13"/>
                  <w:jc w:val="center"/>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w:t>
                </w:r>
                <w:r>
                  <w:rPr>
                    <w:rFonts w:hint="eastAsia"/>
                    <w:lang w:val="en-US" w:eastAsia="zh-CN"/>
                  </w:rPr>
                  <w:t xml:space="preserve">  </w:t>
                </w:r>
                <w:r>
                  <w:rPr>
                    <w:rFonts w:hint="eastAsia"/>
                  </w:rPr>
                  <w:t>共</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3</w:instrText>
                </w:r>
                <w:r>
                  <w:fldChar w:fldCharType="end"/>
                </w:r>
                <w:r>
                  <w:rPr>
                    <w:rFonts w:hint="eastAsia"/>
                  </w:rPr>
                  <w:instrText xml:space="preserve">-1</w:instrText>
                </w:r>
                <w:r>
                  <w:fldChar w:fldCharType="separate"/>
                </w:r>
                <w:r>
                  <w:t>2</w:t>
                </w:r>
                <w:r>
                  <w:fldChar w:fldCharType="end"/>
                </w:r>
                <w:r>
                  <w:rPr>
                    <w:rFonts w:hint="eastAsia"/>
                  </w:rPr>
                  <w:t>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18"/>
        <w:rPr>
          <w:u w:val="single"/>
        </w:rPr>
      </w:pPr>
      <w:r>
        <w:rPr>
          <w:rStyle w:val="25"/>
        </w:rPr>
        <w:footnoteRef/>
      </w:r>
      <w:r>
        <w:rPr>
          <w:rFonts w:hint="eastAsia"/>
        </w:rPr>
        <w:t>从业人员、营业人员、资产总额填报上一年度数据，无上一年度数据的新成立企业可不填报。</w:t>
      </w:r>
    </w:p>
  </w:footnote>
  <w:footnote w:id="1">
    <w:p>
      <w:pPr>
        <w:pStyle w:val="18"/>
      </w:pPr>
      <w:r>
        <w:rPr>
          <w:rStyle w:val="25"/>
        </w:rPr>
        <w:footnoteRef/>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rPr>
      <w:t>国内政府采购公开磋商文件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3587489"/>
    <w:multiLevelType w:val="singleLevel"/>
    <w:tmpl w:val="93587489"/>
    <w:lvl w:ilvl="0" w:tentative="0">
      <w:start w:val="1"/>
      <w:numFmt w:val="decimal"/>
      <w:suff w:val="nothing"/>
      <w:lvlText w:val="%1、"/>
      <w:lvlJc w:val="left"/>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CFF174A5"/>
    <w:multiLevelType w:val="singleLevel"/>
    <w:tmpl w:val="CFF174A5"/>
    <w:lvl w:ilvl="0" w:tentative="0">
      <w:start w:val="1"/>
      <w:numFmt w:val="decimal"/>
      <w:suff w:val="nothing"/>
      <w:lvlText w:val="%1、"/>
      <w:lvlJc w:val="left"/>
    </w:lvl>
  </w:abstractNum>
  <w:abstractNum w:abstractNumId="4">
    <w:nsid w:val="D0047B7E"/>
    <w:multiLevelType w:val="singleLevel"/>
    <w:tmpl w:val="D0047B7E"/>
    <w:lvl w:ilvl="0" w:tentative="0">
      <w:start w:val="1"/>
      <w:numFmt w:val="decimal"/>
      <w:suff w:val="nothing"/>
      <w:lvlText w:val="%1、"/>
      <w:lvlJc w:val="left"/>
    </w:lvl>
  </w:abstractNum>
  <w:abstractNum w:abstractNumId="5">
    <w:nsid w:val="E09EF6E1"/>
    <w:multiLevelType w:val="singleLevel"/>
    <w:tmpl w:val="E09EF6E1"/>
    <w:lvl w:ilvl="0" w:tentative="0">
      <w:start w:val="1"/>
      <w:numFmt w:val="decimal"/>
      <w:suff w:val="nothing"/>
      <w:lvlText w:val="（%1）"/>
      <w:lvlJc w:val="left"/>
    </w:lvl>
  </w:abstractNum>
  <w:abstractNum w:abstractNumId="6">
    <w:nsid w:val="F73DC5D7"/>
    <w:multiLevelType w:val="singleLevel"/>
    <w:tmpl w:val="F73DC5D7"/>
    <w:lvl w:ilvl="0" w:tentative="0">
      <w:start w:val="1"/>
      <w:numFmt w:val="decimal"/>
      <w:suff w:val="nothing"/>
      <w:lvlText w:val="（%1）"/>
      <w:lvlJc w:val="left"/>
      <w:pPr>
        <w:ind w:left="660"/>
      </w:pPr>
    </w:lvl>
  </w:abstractNum>
  <w:abstractNum w:abstractNumId="7">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06CABF7"/>
    <w:multiLevelType w:val="singleLevel"/>
    <w:tmpl w:val="206CABF7"/>
    <w:lvl w:ilvl="0" w:tentative="0">
      <w:start w:val="1"/>
      <w:numFmt w:val="decimal"/>
      <w:suff w:val="nothing"/>
      <w:lvlText w:val="（%1）"/>
      <w:lvlJc w:val="left"/>
      <w:pPr>
        <w:ind w:left="440"/>
      </w:pPr>
    </w:lvl>
  </w:abstractNum>
  <w:abstractNum w:abstractNumId="10">
    <w:nsid w:val="3F88662E"/>
    <w:multiLevelType w:val="singleLevel"/>
    <w:tmpl w:val="3F88662E"/>
    <w:lvl w:ilvl="0" w:tentative="0">
      <w:start w:val="1"/>
      <w:numFmt w:val="decimal"/>
      <w:suff w:val="space"/>
      <w:lvlText w:val="%1)"/>
      <w:lvlJc w:val="left"/>
    </w:lvl>
  </w:abstractNum>
  <w:abstractNum w:abstractNumId="11">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8"/>
  </w:num>
  <w:num w:numId="3">
    <w:abstractNumId w:val="10"/>
  </w:num>
  <w:num w:numId="4">
    <w:abstractNumId w:val="9"/>
  </w:num>
  <w:num w:numId="5">
    <w:abstractNumId w:val="0"/>
  </w:num>
  <w:num w:numId="6">
    <w:abstractNumId w:val="5"/>
  </w:num>
  <w:num w:numId="7">
    <w:abstractNumId w:val="6"/>
  </w:num>
  <w:num w:numId="8">
    <w:abstractNumId w:val="2"/>
  </w:num>
  <w:num w:numId="9">
    <w:abstractNumId w:val="3"/>
  </w:num>
  <w:num w:numId="10">
    <w:abstractNumId w:val="7"/>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3AC568F"/>
    <w:rsid w:val="00113C96"/>
    <w:rsid w:val="001828AB"/>
    <w:rsid w:val="001E36ED"/>
    <w:rsid w:val="00232777"/>
    <w:rsid w:val="002C6D0F"/>
    <w:rsid w:val="00417BB9"/>
    <w:rsid w:val="00436EB3"/>
    <w:rsid w:val="004635EA"/>
    <w:rsid w:val="00476489"/>
    <w:rsid w:val="004D0BC4"/>
    <w:rsid w:val="005072BA"/>
    <w:rsid w:val="005F4029"/>
    <w:rsid w:val="005F5C9B"/>
    <w:rsid w:val="00791D7A"/>
    <w:rsid w:val="00796A17"/>
    <w:rsid w:val="0082177A"/>
    <w:rsid w:val="008E74A2"/>
    <w:rsid w:val="00906543"/>
    <w:rsid w:val="00926506"/>
    <w:rsid w:val="009A2CF4"/>
    <w:rsid w:val="009B76D0"/>
    <w:rsid w:val="00A20817"/>
    <w:rsid w:val="00A24742"/>
    <w:rsid w:val="00B76644"/>
    <w:rsid w:val="00B76658"/>
    <w:rsid w:val="00C13E22"/>
    <w:rsid w:val="00C63D02"/>
    <w:rsid w:val="00C66702"/>
    <w:rsid w:val="00DC38D6"/>
    <w:rsid w:val="00E3049A"/>
    <w:rsid w:val="00E36456"/>
    <w:rsid w:val="00F20981"/>
    <w:rsid w:val="00FB308C"/>
    <w:rsid w:val="00FD5A04"/>
    <w:rsid w:val="01000205"/>
    <w:rsid w:val="01E71BBB"/>
    <w:rsid w:val="03AC568F"/>
    <w:rsid w:val="0A396EB5"/>
    <w:rsid w:val="0AF648C5"/>
    <w:rsid w:val="0C0479EE"/>
    <w:rsid w:val="0C971BD9"/>
    <w:rsid w:val="0DED3466"/>
    <w:rsid w:val="0EE90819"/>
    <w:rsid w:val="0FF13C48"/>
    <w:rsid w:val="14652DBA"/>
    <w:rsid w:val="14BC5766"/>
    <w:rsid w:val="16A6433F"/>
    <w:rsid w:val="17127742"/>
    <w:rsid w:val="18D45206"/>
    <w:rsid w:val="1C3635C4"/>
    <w:rsid w:val="20135C3A"/>
    <w:rsid w:val="203E17E4"/>
    <w:rsid w:val="20A23D00"/>
    <w:rsid w:val="229F49FE"/>
    <w:rsid w:val="25B05476"/>
    <w:rsid w:val="27470E6F"/>
    <w:rsid w:val="27EC648F"/>
    <w:rsid w:val="2A564740"/>
    <w:rsid w:val="2B181503"/>
    <w:rsid w:val="2EE72F31"/>
    <w:rsid w:val="320341C9"/>
    <w:rsid w:val="327E3F69"/>
    <w:rsid w:val="33DF161F"/>
    <w:rsid w:val="33E00B54"/>
    <w:rsid w:val="35FC4EF1"/>
    <w:rsid w:val="361F6E88"/>
    <w:rsid w:val="36BF2A0F"/>
    <w:rsid w:val="3AF230FE"/>
    <w:rsid w:val="40042B5F"/>
    <w:rsid w:val="41252C0E"/>
    <w:rsid w:val="45B40B97"/>
    <w:rsid w:val="46091BA2"/>
    <w:rsid w:val="4C487A49"/>
    <w:rsid w:val="4C7530CF"/>
    <w:rsid w:val="4EAA60C7"/>
    <w:rsid w:val="4ED05AE6"/>
    <w:rsid w:val="4FDC2DCD"/>
    <w:rsid w:val="516235C8"/>
    <w:rsid w:val="517353FF"/>
    <w:rsid w:val="52A44085"/>
    <w:rsid w:val="550B0080"/>
    <w:rsid w:val="55A51356"/>
    <w:rsid w:val="55AB3021"/>
    <w:rsid w:val="569372D7"/>
    <w:rsid w:val="570754C7"/>
    <w:rsid w:val="57E215AD"/>
    <w:rsid w:val="58E102DF"/>
    <w:rsid w:val="59953E06"/>
    <w:rsid w:val="5A2555CD"/>
    <w:rsid w:val="5B2B4C0E"/>
    <w:rsid w:val="5BC65476"/>
    <w:rsid w:val="5E506D0F"/>
    <w:rsid w:val="61C47F67"/>
    <w:rsid w:val="622E7D66"/>
    <w:rsid w:val="625403D0"/>
    <w:rsid w:val="698769BE"/>
    <w:rsid w:val="6A804B87"/>
    <w:rsid w:val="6BF5122E"/>
    <w:rsid w:val="6C5615CA"/>
    <w:rsid w:val="6E73516F"/>
    <w:rsid w:val="6E792902"/>
    <w:rsid w:val="745A5880"/>
    <w:rsid w:val="76C66B26"/>
    <w:rsid w:val="77BF7D59"/>
    <w:rsid w:val="78C3338B"/>
    <w:rsid w:val="78ED55EC"/>
    <w:rsid w:val="7D9848AB"/>
    <w:rsid w:val="7D9B2CC8"/>
    <w:rsid w:val="7FA936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nhideWhenUsed="0" w:uiPriority="0" w:semiHidden="0" w:name="List Number"/>
    <w:lsdException w:qFormat="1" w:uiPriority="99"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5">
    <w:name w:val="Normal Indent"/>
    <w:basedOn w:val="1"/>
    <w:qFormat/>
    <w:uiPriority w:val="0"/>
    <w:pPr>
      <w:autoSpaceDE w:val="0"/>
      <w:autoSpaceDN w:val="0"/>
      <w:ind w:firstLine="420"/>
      <w:textAlignment w:val="baseline"/>
    </w:pPr>
    <w:rPr>
      <w:rFonts w:ascii="宋体" w:eastAsia="宋体"/>
      <w:sz w:val="34"/>
    </w:rPr>
  </w:style>
  <w:style w:type="paragraph" w:styleId="8">
    <w:name w:val="annotation text"/>
    <w:basedOn w:val="1"/>
    <w:semiHidden/>
    <w:unhideWhenUsed/>
    <w:qFormat/>
    <w:uiPriority w:val="99"/>
  </w:style>
  <w:style w:type="paragraph" w:styleId="9">
    <w:name w:val="Body Text Indent"/>
    <w:basedOn w:val="1"/>
    <w:link w:val="33"/>
    <w:unhideWhenUsed/>
    <w:qFormat/>
    <w:uiPriority w:val="99"/>
    <w:pPr>
      <w:widowControl w:val="0"/>
      <w:adjustRightInd/>
      <w:snapToGrid/>
      <w:spacing w:after="120"/>
      <w:ind w:left="420" w:leftChars="200"/>
      <w:jc w:val="both"/>
    </w:pPr>
    <w:rPr>
      <w:rFonts w:ascii="Times New Roman" w:hAnsi="Times New Roman" w:eastAsia="宋体" w:cs="Times New Roman"/>
      <w:kern w:val="2"/>
      <w:sz w:val="21"/>
      <w:szCs w:val="24"/>
    </w:rPr>
  </w:style>
  <w:style w:type="paragraph" w:styleId="10">
    <w:name w:val="List 2"/>
    <w:basedOn w:val="1"/>
    <w:semiHidden/>
    <w:unhideWhenUsed/>
    <w:qFormat/>
    <w:uiPriority w:val="99"/>
    <w:pPr>
      <w:widowControl w:val="0"/>
      <w:adjustRightInd/>
      <w:snapToGrid/>
      <w:spacing w:after="0"/>
      <w:ind w:left="100" w:leftChars="200" w:hanging="200" w:hangingChars="200"/>
      <w:contextualSpacing/>
      <w:jc w:val="both"/>
    </w:pPr>
    <w:rPr>
      <w:rFonts w:ascii="Times New Roman" w:hAnsi="Times New Roman" w:eastAsia="宋体" w:cs="Times New Roman"/>
      <w:kern w:val="2"/>
      <w:sz w:val="21"/>
      <w:szCs w:val="24"/>
    </w:rPr>
  </w:style>
  <w:style w:type="paragraph" w:styleId="11">
    <w:name w:val="toc 3"/>
    <w:basedOn w:val="1"/>
    <w:next w:val="1"/>
    <w:unhideWhenUsed/>
    <w:qFormat/>
    <w:uiPriority w:val="39"/>
    <w:pPr>
      <w:tabs>
        <w:tab w:val="right" w:leader="dot" w:pos="8296"/>
      </w:tabs>
      <w:ind w:left="838" w:leftChars="381"/>
    </w:pPr>
    <w:rPr>
      <w:sz w:val="21"/>
      <w:szCs w:val="21"/>
    </w:rPr>
  </w:style>
  <w:style w:type="paragraph" w:styleId="12">
    <w:name w:val="Balloon Text"/>
    <w:basedOn w:val="1"/>
    <w:link w:val="32"/>
    <w:qFormat/>
    <w:uiPriority w:val="0"/>
    <w:pPr>
      <w:spacing w:after="0"/>
    </w:pPr>
    <w:rPr>
      <w:sz w:val="18"/>
      <w:szCs w:val="18"/>
    </w:rPr>
  </w:style>
  <w:style w:type="paragraph" w:styleId="13">
    <w:name w:val="footer"/>
    <w:basedOn w:val="1"/>
    <w:unhideWhenUsed/>
    <w:qFormat/>
    <w:uiPriority w:val="99"/>
    <w:pPr>
      <w:tabs>
        <w:tab w:val="center" w:pos="4153"/>
        <w:tab w:val="right" w:pos="8306"/>
      </w:tabs>
    </w:pPr>
    <w:rPr>
      <w:sz w:val="18"/>
      <w:szCs w:val="18"/>
    </w:rPr>
  </w:style>
  <w:style w:type="paragraph" w:styleId="14">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qFormat/>
    <w:uiPriority w:val="0"/>
  </w:style>
  <w:style w:type="paragraph" w:styleId="16">
    <w:name w:val="toc 4"/>
    <w:basedOn w:val="1"/>
    <w:next w:val="1"/>
    <w:unhideWhenUsed/>
    <w:qFormat/>
    <w:uiPriority w:val="39"/>
    <w:pPr>
      <w:tabs>
        <w:tab w:val="right" w:leader="dot" w:pos="8296"/>
      </w:tabs>
      <w:spacing w:after="120"/>
      <w:ind w:left="1320" w:leftChars="600"/>
    </w:pPr>
  </w:style>
  <w:style w:type="paragraph" w:styleId="17">
    <w:name w:val="List"/>
    <w:basedOn w:val="1"/>
    <w:unhideWhenUsed/>
    <w:qFormat/>
    <w:uiPriority w:val="99"/>
    <w:pPr>
      <w:widowControl w:val="0"/>
      <w:adjustRightInd/>
      <w:snapToGrid/>
      <w:spacing w:after="0"/>
      <w:ind w:left="200" w:hanging="200" w:hangingChars="200"/>
      <w:jc w:val="both"/>
    </w:pPr>
    <w:rPr>
      <w:rFonts w:ascii="Times New Roman" w:hAnsi="Times New Roman" w:eastAsia="宋体" w:cs="Times New Roman"/>
      <w:kern w:val="2"/>
      <w:sz w:val="21"/>
      <w:szCs w:val="24"/>
    </w:rPr>
  </w:style>
  <w:style w:type="paragraph" w:styleId="18">
    <w:name w:val="footnote text"/>
    <w:basedOn w:val="1"/>
    <w:semiHidden/>
    <w:unhideWhenUsed/>
    <w:qFormat/>
    <w:uiPriority w:val="99"/>
    <w:rPr>
      <w:sz w:val="18"/>
    </w:rPr>
  </w:style>
  <w:style w:type="paragraph" w:styleId="19">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20">
    <w:name w:val="Normal (Web)"/>
    <w:basedOn w:val="1"/>
    <w:qFormat/>
    <w:uiPriority w:val="0"/>
    <w:pPr>
      <w:widowControl w:val="0"/>
      <w:adjustRightInd/>
      <w:snapToGrid/>
      <w:spacing w:after="0"/>
      <w:jc w:val="both"/>
    </w:pPr>
    <w:rPr>
      <w:rFonts w:eastAsia="宋体" w:asciiTheme="minorHAnsi" w:hAnsiTheme="minorHAnsi"/>
      <w:kern w:val="2"/>
      <w:sz w:val="24"/>
      <w:szCs w:val="24"/>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annotation reference"/>
    <w:basedOn w:val="23"/>
    <w:qFormat/>
    <w:uiPriority w:val="0"/>
    <w:rPr>
      <w:sz w:val="21"/>
      <w:szCs w:val="21"/>
    </w:rPr>
  </w:style>
  <w:style w:type="character" w:styleId="25">
    <w:name w:val="footnote reference"/>
    <w:basedOn w:val="23"/>
    <w:semiHidden/>
    <w:unhideWhenUsed/>
    <w:qFormat/>
    <w:uiPriority w:val="99"/>
    <w:rPr>
      <w:vertAlign w:val="superscript"/>
    </w:rPr>
  </w:style>
  <w:style w:type="paragraph" w:customStyle="1" w:styleId="26">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styleId="27">
    <w:name w:val="List Paragraph"/>
    <w:basedOn w:val="1"/>
    <w:qFormat/>
    <w:uiPriority w:val="34"/>
    <w:pPr>
      <w:ind w:firstLine="420" w:firstLineChars="200"/>
    </w:pPr>
  </w:style>
  <w:style w:type="character" w:customStyle="1" w:styleId="28">
    <w:name w:val="样式 楷体_GB2312 小四"/>
    <w:qFormat/>
    <w:uiPriority w:val="0"/>
    <w:rPr>
      <w:rFonts w:ascii="楷体_GB2312" w:hAnsi="楷体_GB2312" w:eastAsia="仿宋_GB2312"/>
      <w:sz w:val="24"/>
    </w:rPr>
  </w:style>
  <w:style w:type="character" w:customStyle="1" w:styleId="29">
    <w:name w:val="标题 4 Char"/>
    <w:basedOn w:val="23"/>
    <w:link w:val="7"/>
    <w:qFormat/>
    <w:uiPriority w:val="9"/>
    <w:rPr>
      <w:rFonts w:asciiTheme="majorHAnsi" w:hAnsiTheme="majorHAnsi" w:eastAsiaTheme="majorEastAsia" w:cstheme="majorBidi"/>
      <w:b/>
      <w:bCs/>
      <w:sz w:val="28"/>
      <w:szCs w:val="28"/>
    </w:rPr>
  </w:style>
  <w:style w:type="paragraph" w:customStyle="1" w:styleId="30">
    <w:name w:val="正文缩进4格"/>
    <w:basedOn w:val="26"/>
    <w:qFormat/>
    <w:uiPriority w:val="0"/>
    <w:pPr>
      <w:ind w:left="2" w:firstLine="538" w:firstLineChars="192"/>
    </w:pPr>
    <w:rPr>
      <w:color w:val="0000FF"/>
      <w:sz w:val="28"/>
    </w:rPr>
  </w:style>
  <w:style w:type="paragraph" w:customStyle="1" w:styleId="31">
    <w:name w:val="p0"/>
    <w:basedOn w:val="1"/>
    <w:qFormat/>
    <w:uiPriority w:val="99"/>
    <w:pPr>
      <w:adjustRightInd/>
      <w:jc w:val="both"/>
    </w:pPr>
    <w:rPr>
      <w:rFonts w:ascii="Times New Roman"/>
      <w:sz w:val="21"/>
      <w:szCs w:val="21"/>
    </w:rPr>
  </w:style>
  <w:style w:type="character" w:customStyle="1" w:styleId="32">
    <w:name w:val="批注框文本 Char"/>
    <w:basedOn w:val="23"/>
    <w:link w:val="12"/>
    <w:qFormat/>
    <w:uiPriority w:val="0"/>
    <w:rPr>
      <w:rFonts w:ascii="Tahoma" w:hAnsi="Tahoma" w:eastAsia="微软雅黑" w:cstheme="minorBidi"/>
      <w:sz w:val="18"/>
      <w:szCs w:val="18"/>
    </w:rPr>
  </w:style>
  <w:style w:type="character" w:customStyle="1" w:styleId="33">
    <w:name w:val="正文文本缩进 Char"/>
    <w:basedOn w:val="23"/>
    <w:link w:val="9"/>
    <w:qFormat/>
    <w:uiPriority w:val="99"/>
    <w:rPr>
      <w:kern w:val="2"/>
      <w:sz w:val="21"/>
      <w:szCs w:val="24"/>
    </w:rPr>
  </w:style>
  <w:style w:type="paragraph" w:styleId="34">
    <w:name w:val="No Spacing"/>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5">
    <w:name w:val="列出段落1"/>
    <w:basedOn w:val="1"/>
    <w:qFormat/>
    <w:uiPriority w:val="99"/>
    <w:pPr>
      <w:widowControl w:val="0"/>
      <w:autoSpaceDE w:val="0"/>
      <w:autoSpaceDN w:val="0"/>
      <w:adjustRightInd/>
      <w:snapToGrid/>
      <w:spacing w:after="0"/>
      <w:ind w:firstLine="420" w:firstLineChars="200"/>
      <w:jc w:val="both"/>
    </w:pPr>
    <w:rPr>
      <w:rFonts w:ascii="Calibri" w:hAnsi="Calibri" w:eastAsia="宋体" w:cs="Times New Roman"/>
      <w:kern w:val="2"/>
      <w:sz w:val="21"/>
      <w:szCs w:val="24"/>
    </w:rPr>
  </w:style>
  <w:style w:type="table" w:customStyle="1" w:styleId="36">
    <w:name w:val="网格型1"/>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emf"/><Relationship Id="rId15" Type="http://schemas.openxmlformats.org/officeDocument/2006/relationships/package" Target="embeddings/Document3.docx"/><Relationship Id="rId14" Type="http://schemas.openxmlformats.org/officeDocument/2006/relationships/image" Target="media/image3.emf"/><Relationship Id="rId13" Type="http://schemas.openxmlformats.org/officeDocument/2006/relationships/package" Target="embeddings/Document2.docx"/><Relationship Id="rId12" Type="http://schemas.openxmlformats.org/officeDocument/2006/relationships/image" Target="media/image2.emf"/><Relationship Id="rId11" Type="http://schemas.openxmlformats.org/officeDocument/2006/relationships/package" Target="embeddings/Document1.docx"/><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7530</Words>
  <Characters>42921</Characters>
  <Lines>357</Lines>
  <Paragraphs>100</Paragraphs>
  <TotalTime>26</TotalTime>
  <ScaleCrop>false</ScaleCrop>
  <LinksUpToDate>false</LinksUpToDate>
  <CharactersWithSpaces>50351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2021-09-06T01:50:00Z</dcterms:created>
  <dc:creator>招标代理 王工</dc:creator>
  <cp:lastModifiedBy>Administrator</cp:lastModifiedBy>
  <dcterms:modified xsi:type="dcterms:W3CDTF">2021-09-07T06:41:20Z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ABCAD9DFBDCC4C58B004D51416F96CC8</vt:lpwstr>
  </property>
</Properties>
</file>