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lang w:eastAsia="zh-CN"/>
        </w:rPr>
      </w:pPr>
    </w:p>
    <w:p>
      <w:pPr>
        <w:pStyle w:val="2"/>
        <w:rPr>
          <w:rFonts w:hint="eastAsia"/>
          <w:lang w:eastAsia="zh-CN"/>
        </w:rPr>
      </w:pPr>
    </w:p>
    <w:p>
      <w:pPr>
        <w:jc w:val="center"/>
        <w:rPr>
          <w:rFonts w:ascii="宋体" w:hAnsi="宋体"/>
        </w:rPr>
      </w:pPr>
    </w:p>
    <w:p>
      <w:pPr>
        <w:jc w:val="center"/>
        <w:outlineLvl w:val="0"/>
        <w:rPr>
          <w:rFonts w:hint="default" w:ascii="方正黑体_GBK" w:hAnsi="宋体" w:eastAsia="方正黑体_GBK"/>
          <w:spacing w:val="80"/>
          <w:sz w:val="72"/>
          <w:szCs w:val="72"/>
          <w:lang w:val="en-US" w:eastAsia="zh-CN"/>
        </w:rPr>
      </w:pPr>
      <w:r>
        <w:rPr>
          <w:rFonts w:hint="eastAsia" w:ascii="方正小标宋_GBK" w:hAnsi="方正小标宋_GBK" w:eastAsia="方正小标宋_GBK" w:cs="方正小标宋_GBK"/>
          <w:b/>
          <w:bCs/>
          <w:spacing w:val="80"/>
          <w:sz w:val="72"/>
          <w:szCs w:val="72"/>
          <w:lang w:val="en-US" w:eastAsia="zh-CN"/>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ZWKG-001</w:t>
      </w:r>
    </w:p>
    <w:p>
      <w:pPr>
        <w:spacing w:line="700" w:lineRule="exact"/>
        <w:rPr>
          <w:rFonts w:hint="eastAsia" w:ascii="方正小标宋_GBK" w:hAnsi="宋体" w:eastAsia="方正小标宋_GBK"/>
          <w:sz w:val="36"/>
          <w:szCs w:val="30"/>
          <w:lang w:eastAsia="zh-CN"/>
        </w:rPr>
      </w:pPr>
      <w:r>
        <w:rPr>
          <w:rFonts w:hint="eastAsia" w:ascii="方正小标宋_GBK" w:hAnsi="宋体" w:eastAsia="方正小标宋_GBK"/>
          <w:sz w:val="36"/>
          <w:szCs w:val="30"/>
        </w:rPr>
        <w:t>项目名称：</w:t>
      </w:r>
      <w:r>
        <w:rPr>
          <w:rFonts w:hint="eastAsia" w:ascii="方正小标宋_GBK" w:hAnsi="宋体" w:eastAsia="方正小标宋_GBK"/>
          <w:sz w:val="36"/>
          <w:szCs w:val="30"/>
          <w:lang w:eastAsia="zh-CN"/>
        </w:rPr>
        <w:t>重庆市渝北区人民医院</w:t>
      </w:r>
      <w:r>
        <w:rPr>
          <w:rFonts w:hint="eastAsia" w:ascii="方正小标宋_GBK" w:hAnsi="宋体" w:eastAsia="方正小标宋_GBK"/>
          <w:sz w:val="36"/>
          <w:szCs w:val="30"/>
        </w:rPr>
        <w:t>有害生物防治服务</w:t>
      </w:r>
      <w:r>
        <w:rPr>
          <w:rFonts w:hint="eastAsia" w:ascii="方正小标宋_GBK" w:hAnsi="宋体" w:eastAsia="方正小标宋_GBK"/>
          <w:sz w:val="36"/>
          <w:szCs w:val="30"/>
          <w:lang w:eastAsia="zh-CN"/>
        </w:rPr>
        <w:t>采购（第三次）</w:t>
      </w:r>
    </w:p>
    <w:p>
      <w:pPr>
        <w:spacing w:line="700" w:lineRule="exact"/>
        <w:jc w:val="center"/>
        <w:rPr>
          <w:rFonts w:ascii="宋体" w:hAnsi="宋体"/>
          <w:b/>
          <w:sz w:val="30"/>
          <w:szCs w:val="30"/>
        </w:rPr>
      </w:pPr>
    </w:p>
    <w:p>
      <w:pPr>
        <w:spacing w:line="700" w:lineRule="exact"/>
        <w:rPr>
          <w:rFonts w:ascii="宋体" w:hAnsi="宋体"/>
          <w:b/>
          <w:sz w:val="30"/>
          <w:szCs w:val="30"/>
        </w:rPr>
      </w:pPr>
    </w:p>
    <w:p>
      <w:pPr>
        <w:spacing w:line="700" w:lineRule="exact"/>
        <w:rPr>
          <w:rFonts w:ascii="宋体" w:hAnsi="宋体"/>
          <w:b/>
          <w:sz w:val="30"/>
          <w:szCs w:val="30"/>
        </w:rPr>
      </w:pPr>
    </w:p>
    <w:p>
      <w:pPr>
        <w:spacing w:line="700" w:lineRule="exact"/>
        <w:rPr>
          <w:rFonts w:ascii="宋体" w:hAnsi="宋体"/>
          <w:b/>
          <w:sz w:val="30"/>
          <w:szCs w:val="30"/>
        </w:rPr>
      </w:pPr>
    </w:p>
    <w:p>
      <w:pPr>
        <w:spacing w:line="700" w:lineRule="exact"/>
        <w:ind w:firstLine="1800" w:firstLineChars="500"/>
        <w:rPr>
          <w:rFonts w:ascii="方正小标宋_GBK" w:hAnsi="宋体" w:eastAsia="方正小标宋_GBK"/>
          <w:sz w:val="36"/>
          <w:szCs w:val="30"/>
        </w:rPr>
      </w:pPr>
      <w:r>
        <w:rPr>
          <w:rFonts w:hint="eastAsia" w:ascii="方正小标宋_GBK" w:hAnsi="宋体" w:eastAsia="方正小标宋_GBK"/>
          <w:sz w:val="36"/>
          <w:szCs w:val="30"/>
        </w:rPr>
        <w:t>采   购   人：重庆市渝北区人民医院</w:t>
      </w:r>
    </w:p>
    <w:p>
      <w:pPr>
        <w:spacing w:line="720" w:lineRule="exact"/>
        <w:jc w:val="center"/>
        <w:outlineLvl w:val="0"/>
        <w:rPr>
          <w:rFonts w:ascii="方正小标宋_GBK" w:hAnsi="宋体" w:eastAsia="方正小标宋_GBK"/>
          <w:sz w:val="36"/>
          <w:szCs w:val="30"/>
        </w:rPr>
      </w:pPr>
      <w:r>
        <w:rPr>
          <w:rFonts w:hint="eastAsia" w:ascii="方正小标宋_GBK" w:hAnsi="宋体" w:eastAsia="方正小标宋_GBK"/>
          <w:sz w:val="36"/>
          <w:szCs w:val="30"/>
        </w:rPr>
        <w:t>二〇二</w:t>
      </w:r>
      <w:r>
        <w:rPr>
          <w:rFonts w:hint="eastAsia" w:ascii="方正小标宋_GBK" w:hAnsi="宋体" w:eastAsia="方正小标宋_GBK"/>
          <w:sz w:val="36"/>
          <w:szCs w:val="30"/>
          <w:lang w:eastAsia="zh-CN"/>
        </w:rPr>
        <w:t>一</w:t>
      </w:r>
      <w:r>
        <w:rPr>
          <w:rFonts w:hint="eastAsia" w:ascii="方正小标宋_GBK" w:hAnsi="宋体" w:eastAsia="方正小标宋_GBK"/>
          <w:sz w:val="36"/>
          <w:szCs w:val="30"/>
        </w:rPr>
        <w:t>年</w:t>
      </w:r>
      <w:r>
        <w:rPr>
          <w:rFonts w:hint="eastAsia" w:ascii="方正小标宋_GBK" w:hAnsi="宋体" w:eastAsia="方正小标宋_GBK"/>
          <w:sz w:val="36"/>
          <w:szCs w:val="30"/>
          <w:lang w:eastAsia="zh-CN"/>
        </w:rPr>
        <w:t>七</w:t>
      </w:r>
      <w:r>
        <w:rPr>
          <w:rFonts w:hint="eastAsia" w:ascii="方正小标宋_GBK" w:hAnsi="宋体" w:eastAsia="方正小标宋_GBK"/>
          <w:sz w:val="36"/>
          <w:szCs w:val="30"/>
        </w:rPr>
        <w:t>月</w:t>
      </w: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rPr>
          <w:rFonts w:hint="eastAsia" w:ascii="方正黑体_GBK" w:eastAsia="方正黑体_GBK"/>
          <w:sz w:val="44"/>
          <w:szCs w:val="28"/>
        </w:rPr>
      </w:pPr>
      <w:r>
        <w:rPr>
          <w:rFonts w:hint="eastAsia" w:ascii="方正黑体_GBK" w:eastAsia="方正黑体_GBK"/>
          <w:sz w:val="44"/>
          <w:szCs w:val="28"/>
        </w:rPr>
        <w:br w:type="page"/>
      </w:r>
    </w:p>
    <w:p>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pPr>
        <w:pStyle w:val="11"/>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_Toc24841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第一篇  竞争性谈判邀请书</w:t>
      </w:r>
      <w:r>
        <w:tab/>
      </w:r>
      <w:r>
        <w:fldChar w:fldCharType="begin"/>
      </w:r>
      <w:r>
        <w:instrText xml:space="preserve"> PAGEREF _Toc24841 \h </w:instrText>
      </w:r>
      <w:r>
        <w:fldChar w:fldCharType="separate"/>
      </w:r>
      <w:r>
        <w:t>1</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_Toc24479 </w:instrText>
      </w:r>
      <w:r>
        <w:rPr>
          <w:rFonts w:hint="eastAsia" w:ascii="方正仿宋_GBK" w:hAnsi="宋体" w:eastAsia="方正仿宋_GBK"/>
          <w:szCs w:val="21"/>
        </w:rPr>
        <w:fldChar w:fldCharType="separate"/>
      </w:r>
      <w:r>
        <w:rPr>
          <w:rFonts w:hint="eastAsia" w:ascii="方正仿宋_GBK" w:eastAsia="方正仿宋_GBK"/>
          <w:szCs w:val="24"/>
        </w:rPr>
        <w:t>一、竞争性谈判内容</w:t>
      </w:r>
      <w:r>
        <w:tab/>
      </w:r>
      <w:r>
        <w:fldChar w:fldCharType="begin"/>
      </w:r>
      <w:r>
        <w:instrText xml:space="preserve"> PAGEREF _Toc24479 \h </w:instrText>
      </w:r>
      <w:r>
        <w:fldChar w:fldCharType="separate"/>
      </w:r>
      <w:r>
        <w:t>1</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_Toc20434 </w:instrText>
      </w:r>
      <w:r>
        <w:rPr>
          <w:rFonts w:hint="eastAsia" w:ascii="方正仿宋_GBK" w:hAnsi="宋体" w:eastAsia="方正仿宋_GBK"/>
          <w:szCs w:val="21"/>
        </w:rPr>
        <w:fldChar w:fldCharType="separate"/>
      </w:r>
      <w:r>
        <w:rPr>
          <w:rFonts w:hint="eastAsia" w:ascii="方正仿宋_GBK" w:eastAsia="方正仿宋_GBK"/>
          <w:szCs w:val="24"/>
        </w:rPr>
        <w:t>二、资金来源</w:t>
      </w:r>
      <w:r>
        <w:tab/>
      </w:r>
      <w:r>
        <w:fldChar w:fldCharType="begin"/>
      </w:r>
      <w:r>
        <w:instrText xml:space="preserve"> PAGEREF _Toc20434 \h </w:instrText>
      </w:r>
      <w:r>
        <w:fldChar w:fldCharType="separate"/>
      </w:r>
      <w:r>
        <w:t>1</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_Toc1606 </w:instrText>
      </w:r>
      <w:r>
        <w:rPr>
          <w:rFonts w:hint="eastAsia" w:ascii="方正仿宋_GBK" w:hAnsi="宋体" w:eastAsia="方正仿宋_GBK"/>
          <w:szCs w:val="21"/>
        </w:rPr>
        <w:fldChar w:fldCharType="separate"/>
      </w:r>
      <w:r>
        <w:rPr>
          <w:rFonts w:hint="eastAsia" w:ascii="方正仿宋_GBK" w:eastAsia="方正仿宋_GBK"/>
          <w:szCs w:val="24"/>
        </w:rPr>
        <w:t>三、谈判资格</w:t>
      </w:r>
      <w:r>
        <w:tab/>
      </w:r>
      <w:r>
        <w:fldChar w:fldCharType="begin"/>
      </w:r>
      <w:r>
        <w:instrText xml:space="preserve"> PAGEREF _Toc1606 \h </w:instrText>
      </w:r>
      <w:r>
        <w:fldChar w:fldCharType="separate"/>
      </w:r>
      <w:r>
        <w:t>1</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_Toc11505 </w:instrText>
      </w:r>
      <w:r>
        <w:rPr>
          <w:rFonts w:hint="eastAsia" w:ascii="方正仿宋_GBK" w:hAnsi="宋体" w:eastAsia="方正仿宋_GBK"/>
          <w:szCs w:val="21"/>
        </w:rPr>
        <w:fldChar w:fldCharType="separate"/>
      </w:r>
      <w:r>
        <w:rPr>
          <w:rFonts w:hint="eastAsia" w:ascii="方正仿宋_GBK" w:eastAsia="方正仿宋_GBK"/>
          <w:szCs w:val="24"/>
        </w:rPr>
        <w:t>四、谈判有关说明</w:t>
      </w:r>
      <w:r>
        <w:tab/>
      </w:r>
      <w:r>
        <w:fldChar w:fldCharType="begin"/>
      </w:r>
      <w:r>
        <w:instrText xml:space="preserve"> PAGEREF _Toc11505 \h </w:instrText>
      </w:r>
      <w:r>
        <w:fldChar w:fldCharType="separate"/>
      </w:r>
      <w:r>
        <w:t>1</w:t>
      </w:r>
      <w:r>
        <w:fldChar w:fldCharType="end"/>
      </w:r>
      <w:r>
        <w:rPr>
          <w:rFonts w:hint="eastAsia" w:ascii="方正仿宋_GBK" w:hAnsi="宋体" w:eastAsia="方正仿宋_GBK"/>
          <w:szCs w:val="21"/>
        </w:rPr>
        <w:fldChar w:fldCharType="end"/>
      </w:r>
    </w:p>
    <w:p>
      <w:pPr>
        <w:pStyle w:val="11"/>
        <w:tabs>
          <w:tab w:val="right" w:leader="dot" w:pos="9412"/>
        </w:tabs>
        <w:ind w:firstLine="560" w:firstLineChars="200"/>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_Toc32079 </w:instrText>
      </w:r>
      <w:r>
        <w:rPr>
          <w:rFonts w:hint="eastAsia" w:ascii="方正仿宋_GBK" w:hAnsi="宋体" w:eastAsia="方正仿宋_GBK"/>
          <w:szCs w:val="21"/>
        </w:rPr>
        <w:fldChar w:fldCharType="separate"/>
      </w:r>
      <w:r>
        <w:rPr>
          <w:rFonts w:hint="eastAsia" w:ascii="方正仿宋_GBK" w:eastAsia="方正仿宋_GBK"/>
          <w:szCs w:val="24"/>
        </w:rPr>
        <w:t>五、谈判保证金</w:t>
      </w:r>
      <w:r>
        <w:tab/>
      </w:r>
      <w:r>
        <w:fldChar w:fldCharType="begin"/>
      </w:r>
      <w:r>
        <w:instrText xml:space="preserve"> PAGEREF _Toc32079 \h </w:instrText>
      </w:r>
      <w:r>
        <w:fldChar w:fldCharType="separate"/>
      </w:r>
      <w:r>
        <w:t>2</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_Toc6089 </w:instrText>
      </w:r>
      <w:r>
        <w:rPr>
          <w:rFonts w:hint="eastAsia" w:ascii="方正仿宋_GBK" w:hAnsi="宋体" w:eastAsia="方正仿宋_GBK"/>
          <w:szCs w:val="21"/>
        </w:rPr>
        <w:fldChar w:fldCharType="separate"/>
      </w:r>
      <w:r>
        <w:rPr>
          <w:rFonts w:hint="eastAsia" w:ascii="方正仿宋_GBK" w:eastAsia="方正仿宋_GBK"/>
          <w:szCs w:val="24"/>
        </w:rPr>
        <w:t>六、其它有关规定</w:t>
      </w:r>
      <w:r>
        <w:tab/>
      </w:r>
      <w:r>
        <w:fldChar w:fldCharType="begin"/>
      </w:r>
      <w:r>
        <w:instrText xml:space="preserve"> PAGEREF _Toc6089 \h </w:instrText>
      </w:r>
      <w:r>
        <w:fldChar w:fldCharType="separate"/>
      </w:r>
      <w:r>
        <w:t>2</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_Toc23435 </w:instrText>
      </w:r>
      <w:r>
        <w:rPr>
          <w:rFonts w:hint="eastAsia" w:ascii="方正仿宋_GBK" w:hAnsi="宋体" w:eastAsia="方正仿宋_GBK"/>
          <w:szCs w:val="21"/>
        </w:rPr>
        <w:fldChar w:fldCharType="separate"/>
      </w:r>
      <w:r>
        <w:rPr>
          <w:rFonts w:hint="eastAsia" w:ascii="方正仿宋_GBK" w:eastAsia="方正仿宋_GBK"/>
          <w:szCs w:val="24"/>
        </w:rPr>
        <w:t>七、联系方式</w:t>
      </w:r>
      <w:r>
        <w:tab/>
      </w:r>
      <w:r>
        <w:fldChar w:fldCharType="begin"/>
      </w:r>
      <w:r>
        <w:instrText xml:space="preserve"> PAGEREF _Toc23435 \h </w:instrText>
      </w:r>
      <w:r>
        <w:fldChar w:fldCharType="separate"/>
      </w:r>
      <w:r>
        <w:t>2</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_Toc29920 </w:instrText>
      </w:r>
      <w:r>
        <w:rPr>
          <w:rFonts w:hint="eastAsia" w:ascii="方正仿宋_GBK" w:hAnsi="宋体" w:eastAsia="方正仿宋_GBK"/>
          <w:szCs w:val="21"/>
        </w:rPr>
        <w:fldChar w:fldCharType="separate"/>
      </w:r>
      <w:r>
        <w:rPr>
          <w:rFonts w:hint="eastAsia" w:ascii="方正仿宋_GBK" w:eastAsia="方正仿宋_GBK"/>
          <w:szCs w:val="24"/>
        </w:rPr>
        <w:t>八、现场查勘</w:t>
      </w:r>
      <w:r>
        <w:tab/>
      </w:r>
      <w:r>
        <w:fldChar w:fldCharType="begin"/>
      </w:r>
      <w:r>
        <w:instrText xml:space="preserve"> PAGEREF _Toc29920 \h </w:instrText>
      </w:r>
      <w:r>
        <w:fldChar w:fldCharType="separate"/>
      </w:r>
      <w:r>
        <w:t>2</w:t>
      </w:r>
      <w:r>
        <w:fldChar w:fldCharType="end"/>
      </w:r>
      <w:r>
        <w:rPr>
          <w:rFonts w:hint="eastAsia" w:ascii="方正仿宋_GBK" w:hAnsi="宋体" w:eastAsia="方正仿宋_GBK"/>
          <w:szCs w:val="21"/>
        </w:rPr>
        <w:fldChar w:fldCharType="end"/>
      </w:r>
    </w:p>
    <w:p>
      <w:pPr>
        <w:pStyle w:val="1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_Toc24705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第二篇  供应商须知</w:t>
      </w:r>
      <w:r>
        <w:tab/>
      </w:r>
      <w:r>
        <w:fldChar w:fldCharType="begin"/>
      </w:r>
      <w:r>
        <w:instrText xml:space="preserve"> PAGEREF _Toc24705 \h </w:instrText>
      </w:r>
      <w:r>
        <w:fldChar w:fldCharType="separate"/>
      </w:r>
      <w:r>
        <w:t>4</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_Toc1647 </w:instrText>
      </w:r>
      <w:r>
        <w:rPr>
          <w:rFonts w:hint="eastAsia" w:ascii="方正仿宋_GBK" w:hAnsi="宋体" w:eastAsia="方正仿宋_GBK"/>
          <w:szCs w:val="21"/>
        </w:rPr>
        <w:fldChar w:fldCharType="separate"/>
      </w:r>
      <w:r>
        <w:rPr>
          <w:rFonts w:hint="eastAsia" w:ascii="方正仿宋_GBK" w:eastAsia="方正仿宋_GBK"/>
          <w:szCs w:val="24"/>
        </w:rPr>
        <w:t>一、谈判费用</w:t>
      </w:r>
      <w:r>
        <w:tab/>
      </w:r>
      <w:r>
        <w:fldChar w:fldCharType="begin"/>
      </w:r>
      <w:r>
        <w:instrText xml:space="preserve"> PAGEREF _Toc1647 \h </w:instrText>
      </w:r>
      <w:r>
        <w:fldChar w:fldCharType="separate"/>
      </w:r>
      <w:r>
        <w:t>4</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_Toc27431 </w:instrText>
      </w:r>
      <w:r>
        <w:rPr>
          <w:rFonts w:hint="eastAsia" w:ascii="方正仿宋_GBK" w:hAnsi="宋体" w:eastAsia="方正仿宋_GBK"/>
          <w:szCs w:val="21"/>
        </w:rPr>
        <w:fldChar w:fldCharType="separate"/>
      </w:r>
      <w:r>
        <w:rPr>
          <w:rFonts w:hint="eastAsia" w:ascii="方正仿宋_GBK" w:eastAsia="方正仿宋_GBK"/>
          <w:szCs w:val="24"/>
        </w:rPr>
        <w:t>二、竞争性谈判文件</w:t>
      </w:r>
      <w:r>
        <w:tab/>
      </w:r>
      <w:r>
        <w:fldChar w:fldCharType="begin"/>
      </w:r>
      <w:r>
        <w:instrText xml:space="preserve"> PAGEREF _Toc27431 \h </w:instrText>
      </w:r>
      <w:r>
        <w:fldChar w:fldCharType="separate"/>
      </w:r>
      <w:r>
        <w:t>4</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_Toc18089 </w:instrText>
      </w:r>
      <w:r>
        <w:rPr>
          <w:rFonts w:hint="eastAsia" w:ascii="方正仿宋_GBK" w:hAnsi="宋体" w:eastAsia="方正仿宋_GBK"/>
          <w:szCs w:val="21"/>
        </w:rPr>
        <w:fldChar w:fldCharType="separate"/>
      </w:r>
      <w:r>
        <w:rPr>
          <w:rFonts w:hint="eastAsia" w:ascii="方正仿宋_GBK" w:eastAsia="方正仿宋_GBK"/>
          <w:szCs w:val="24"/>
        </w:rPr>
        <w:t>三、谈判要求</w:t>
      </w:r>
      <w:r>
        <w:tab/>
      </w:r>
      <w:r>
        <w:fldChar w:fldCharType="begin"/>
      </w:r>
      <w:r>
        <w:instrText xml:space="preserve"> PAGEREF _Toc18089 \h </w:instrText>
      </w:r>
      <w:r>
        <w:fldChar w:fldCharType="separate"/>
      </w:r>
      <w:r>
        <w:t>4</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_Toc12176 </w:instrText>
      </w:r>
      <w:r>
        <w:rPr>
          <w:rFonts w:hint="eastAsia" w:ascii="方正仿宋_GBK" w:hAnsi="宋体" w:eastAsia="方正仿宋_GBK"/>
          <w:szCs w:val="21"/>
        </w:rPr>
        <w:fldChar w:fldCharType="separate"/>
      </w:r>
      <w:r>
        <w:rPr>
          <w:rFonts w:hint="eastAsia" w:ascii="方正仿宋_GBK" w:eastAsia="方正仿宋_GBK"/>
          <w:szCs w:val="24"/>
        </w:rPr>
        <w:t>四、谈判程序</w:t>
      </w:r>
      <w:r>
        <w:tab/>
      </w:r>
      <w:r>
        <w:fldChar w:fldCharType="begin"/>
      </w:r>
      <w:r>
        <w:instrText xml:space="preserve"> PAGEREF _Toc12176 \h </w:instrText>
      </w:r>
      <w:r>
        <w:fldChar w:fldCharType="separate"/>
      </w:r>
      <w:r>
        <w:t>5</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_Toc31041 </w:instrText>
      </w:r>
      <w:r>
        <w:rPr>
          <w:rFonts w:hint="eastAsia" w:ascii="方正仿宋_GBK" w:hAnsi="宋体" w:eastAsia="方正仿宋_GBK"/>
          <w:szCs w:val="21"/>
        </w:rPr>
        <w:fldChar w:fldCharType="separate"/>
      </w:r>
      <w:r>
        <w:rPr>
          <w:rFonts w:hint="eastAsia" w:ascii="方正仿宋_GBK" w:eastAsia="方正仿宋_GBK"/>
          <w:szCs w:val="24"/>
        </w:rPr>
        <w:t>五、评审依据</w:t>
      </w:r>
      <w:r>
        <w:tab/>
      </w:r>
      <w:r>
        <w:fldChar w:fldCharType="begin"/>
      </w:r>
      <w:r>
        <w:instrText xml:space="preserve"> PAGEREF _Toc31041 \h </w:instrText>
      </w:r>
      <w:r>
        <w:fldChar w:fldCharType="separate"/>
      </w:r>
      <w:r>
        <w:t>7</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_Toc27371 </w:instrText>
      </w:r>
      <w:r>
        <w:rPr>
          <w:rFonts w:hint="eastAsia" w:ascii="方正仿宋_GBK" w:hAnsi="宋体" w:eastAsia="方正仿宋_GBK"/>
          <w:szCs w:val="21"/>
        </w:rPr>
        <w:fldChar w:fldCharType="separate"/>
      </w:r>
      <w:r>
        <w:rPr>
          <w:rFonts w:hint="eastAsia" w:ascii="方正仿宋_GBK" w:eastAsia="方正仿宋_GBK"/>
          <w:szCs w:val="24"/>
        </w:rPr>
        <w:t>六、成交原则</w:t>
      </w:r>
      <w:r>
        <w:tab/>
      </w:r>
      <w:r>
        <w:fldChar w:fldCharType="begin"/>
      </w:r>
      <w:r>
        <w:instrText xml:space="preserve"> PAGEREF _Toc27371 \h </w:instrText>
      </w:r>
      <w:r>
        <w:fldChar w:fldCharType="separate"/>
      </w:r>
      <w:r>
        <w:t>7</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_Toc21989 </w:instrText>
      </w:r>
      <w:r>
        <w:rPr>
          <w:rFonts w:hint="eastAsia" w:ascii="方正仿宋_GBK" w:hAnsi="宋体" w:eastAsia="方正仿宋_GBK"/>
          <w:szCs w:val="21"/>
        </w:rPr>
        <w:fldChar w:fldCharType="separate"/>
      </w:r>
      <w:r>
        <w:rPr>
          <w:rFonts w:hint="eastAsia" w:ascii="方正仿宋_GBK" w:eastAsia="方正仿宋_GBK"/>
          <w:szCs w:val="24"/>
        </w:rPr>
        <w:t>七、成交通知</w:t>
      </w:r>
      <w:r>
        <w:tab/>
      </w:r>
      <w:r>
        <w:fldChar w:fldCharType="begin"/>
      </w:r>
      <w:r>
        <w:instrText xml:space="preserve"> PAGEREF _Toc21989 \h </w:instrText>
      </w:r>
      <w:r>
        <w:fldChar w:fldCharType="separate"/>
      </w:r>
      <w:r>
        <w:t>8</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_Toc4223 </w:instrText>
      </w:r>
      <w:r>
        <w:rPr>
          <w:rFonts w:hint="eastAsia" w:ascii="方正仿宋_GBK" w:hAnsi="宋体" w:eastAsia="方正仿宋_GBK"/>
          <w:szCs w:val="21"/>
        </w:rPr>
        <w:fldChar w:fldCharType="separate"/>
      </w:r>
      <w:r>
        <w:rPr>
          <w:rFonts w:hint="eastAsia" w:ascii="方正仿宋_GBK" w:eastAsia="方正仿宋_GBK"/>
          <w:szCs w:val="24"/>
        </w:rPr>
        <w:t>八、关于质疑和投诉</w:t>
      </w:r>
      <w:r>
        <w:tab/>
      </w:r>
      <w:r>
        <w:fldChar w:fldCharType="begin"/>
      </w:r>
      <w:r>
        <w:instrText xml:space="preserve"> PAGEREF _Toc4223 \h </w:instrText>
      </w:r>
      <w:r>
        <w:fldChar w:fldCharType="separate"/>
      </w:r>
      <w:r>
        <w:t>9</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_Toc31691 </w:instrText>
      </w:r>
      <w:r>
        <w:rPr>
          <w:rFonts w:hint="eastAsia" w:ascii="方正仿宋_GBK" w:hAnsi="宋体" w:eastAsia="方正仿宋_GBK"/>
          <w:szCs w:val="21"/>
        </w:rPr>
        <w:fldChar w:fldCharType="separate"/>
      </w:r>
      <w:r>
        <w:rPr>
          <w:rFonts w:hint="eastAsia" w:ascii="方正仿宋_GBK" w:eastAsia="方正仿宋_GBK"/>
          <w:szCs w:val="24"/>
        </w:rPr>
        <w:t>九、签订合同</w:t>
      </w:r>
      <w:r>
        <w:tab/>
      </w:r>
      <w:r>
        <w:fldChar w:fldCharType="begin"/>
      </w:r>
      <w:r>
        <w:instrText xml:space="preserve"> PAGEREF _Toc31691 \h </w:instrText>
      </w:r>
      <w:r>
        <w:fldChar w:fldCharType="separate"/>
      </w:r>
      <w:r>
        <w:t>10</w:t>
      </w:r>
      <w:r>
        <w:fldChar w:fldCharType="end"/>
      </w:r>
      <w:r>
        <w:rPr>
          <w:rFonts w:hint="eastAsia" w:ascii="方正仿宋_GBK" w:hAnsi="宋体" w:eastAsia="方正仿宋_GBK"/>
          <w:szCs w:val="21"/>
        </w:rPr>
        <w:fldChar w:fldCharType="end"/>
      </w:r>
    </w:p>
    <w:p>
      <w:pPr>
        <w:pStyle w:val="1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_Toc32652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第三篇  谈判项目技术需求</w:t>
      </w:r>
      <w:r>
        <w:tab/>
      </w:r>
      <w:r>
        <w:fldChar w:fldCharType="begin"/>
      </w:r>
      <w:r>
        <w:instrText xml:space="preserve"> PAGEREF _Toc32652 \h </w:instrText>
      </w:r>
      <w:r>
        <w:fldChar w:fldCharType="separate"/>
      </w:r>
      <w:r>
        <w:t>12</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_Toc7819 </w:instrText>
      </w:r>
      <w:r>
        <w:rPr>
          <w:rFonts w:hint="eastAsia" w:ascii="方正仿宋_GBK" w:hAnsi="宋体" w:eastAsia="方正仿宋_GBK"/>
          <w:szCs w:val="21"/>
        </w:rPr>
        <w:fldChar w:fldCharType="separate"/>
      </w:r>
      <w:r>
        <w:rPr>
          <w:rFonts w:hint="eastAsia" w:ascii="方正仿宋_GBK" w:eastAsia="方正仿宋_GBK"/>
          <w:szCs w:val="24"/>
        </w:rPr>
        <w:t>一、项目一览表</w:t>
      </w:r>
      <w:r>
        <w:tab/>
      </w:r>
      <w:r>
        <w:fldChar w:fldCharType="begin"/>
      </w:r>
      <w:r>
        <w:instrText xml:space="preserve"> PAGEREF _Toc7819 \h </w:instrText>
      </w:r>
      <w:r>
        <w:fldChar w:fldCharType="separate"/>
      </w:r>
      <w:r>
        <w:t>12</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_Toc4411 </w:instrText>
      </w:r>
      <w:r>
        <w:rPr>
          <w:rFonts w:hint="eastAsia" w:ascii="方正仿宋_GBK" w:hAnsi="宋体" w:eastAsia="方正仿宋_GBK"/>
          <w:szCs w:val="21"/>
        </w:rPr>
        <w:fldChar w:fldCharType="separate"/>
      </w:r>
      <w:r>
        <w:rPr>
          <w:rFonts w:hint="eastAsia" w:ascii="方正仿宋_GBK" w:eastAsia="方正仿宋_GBK"/>
          <w:szCs w:val="24"/>
        </w:rPr>
        <w:t>二、项目服务及要求</w:t>
      </w:r>
      <w:r>
        <w:tab/>
      </w:r>
      <w:r>
        <w:fldChar w:fldCharType="begin"/>
      </w:r>
      <w:r>
        <w:instrText xml:space="preserve"> PAGEREF _Toc4411 \h </w:instrText>
      </w:r>
      <w:r>
        <w:fldChar w:fldCharType="separate"/>
      </w:r>
      <w:r>
        <w:t>12</w:t>
      </w:r>
      <w:r>
        <w:fldChar w:fldCharType="end"/>
      </w:r>
      <w:r>
        <w:rPr>
          <w:rFonts w:hint="eastAsia" w:ascii="方正仿宋_GBK" w:hAnsi="宋体" w:eastAsia="方正仿宋_GBK"/>
          <w:szCs w:val="21"/>
        </w:rPr>
        <w:fldChar w:fldCharType="end"/>
      </w:r>
    </w:p>
    <w:p>
      <w:pPr>
        <w:pStyle w:val="1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_Toc7892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第四篇  谈判项目服务需求</w:t>
      </w:r>
      <w:r>
        <w:tab/>
      </w:r>
      <w:r>
        <w:fldChar w:fldCharType="begin"/>
      </w:r>
      <w:r>
        <w:instrText xml:space="preserve"> PAGEREF _Toc7892 \h </w:instrText>
      </w:r>
      <w:r>
        <w:fldChar w:fldCharType="separate"/>
      </w:r>
      <w:r>
        <w:t>13</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_Toc1792 </w:instrText>
      </w:r>
      <w:r>
        <w:rPr>
          <w:rFonts w:hint="eastAsia" w:ascii="方正仿宋_GBK" w:hAnsi="宋体" w:eastAsia="方正仿宋_GBK"/>
          <w:szCs w:val="21"/>
        </w:rPr>
        <w:fldChar w:fldCharType="separate"/>
      </w:r>
      <w:r>
        <w:rPr>
          <w:rFonts w:hint="eastAsia" w:ascii="方正仿宋_GBK" w:hAnsi="宋体" w:eastAsia="方正仿宋_GBK"/>
          <w:szCs w:val="24"/>
        </w:rPr>
        <w:t>一、服务时间、地点及验收方式</w:t>
      </w:r>
      <w:r>
        <w:tab/>
      </w:r>
      <w:r>
        <w:fldChar w:fldCharType="begin"/>
      </w:r>
      <w:r>
        <w:instrText xml:space="preserve"> PAGEREF _Toc1792 \h </w:instrText>
      </w:r>
      <w:r>
        <w:fldChar w:fldCharType="separate"/>
      </w:r>
      <w:r>
        <w:t>13</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_Toc5569 </w:instrText>
      </w:r>
      <w:r>
        <w:rPr>
          <w:rFonts w:hint="eastAsia" w:ascii="方正仿宋_GBK" w:hAnsi="宋体" w:eastAsia="方正仿宋_GBK"/>
          <w:szCs w:val="21"/>
        </w:rPr>
        <w:fldChar w:fldCharType="separate"/>
      </w:r>
      <w:r>
        <w:rPr>
          <w:rFonts w:hint="eastAsia" w:ascii="方正仿宋_GBK" w:hAnsi="宋体" w:eastAsia="方正仿宋_GBK"/>
          <w:szCs w:val="24"/>
        </w:rPr>
        <w:t>二、报价要求</w:t>
      </w:r>
      <w:r>
        <w:tab/>
      </w:r>
      <w:r>
        <w:fldChar w:fldCharType="begin"/>
      </w:r>
      <w:r>
        <w:instrText xml:space="preserve"> PAGEREF _Toc5569 \h </w:instrText>
      </w:r>
      <w:r>
        <w:fldChar w:fldCharType="separate"/>
      </w:r>
      <w:r>
        <w:t>13</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_Toc25887 </w:instrText>
      </w:r>
      <w:r>
        <w:rPr>
          <w:rFonts w:hint="eastAsia" w:ascii="方正仿宋_GBK" w:hAnsi="宋体" w:eastAsia="方正仿宋_GBK"/>
          <w:szCs w:val="21"/>
        </w:rPr>
        <w:fldChar w:fldCharType="separate"/>
      </w:r>
      <w:r>
        <w:rPr>
          <w:rFonts w:hint="eastAsia" w:ascii="方正仿宋_GBK" w:hAnsi="宋体" w:eastAsia="方正仿宋_GBK"/>
          <w:szCs w:val="24"/>
        </w:rPr>
        <w:t>四、付款方式</w:t>
      </w:r>
      <w:r>
        <w:tab/>
      </w:r>
      <w:r>
        <w:fldChar w:fldCharType="begin"/>
      </w:r>
      <w:r>
        <w:instrText xml:space="preserve"> PAGEREF _Toc25887 \h </w:instrText>
      </w:r>
      <w:r>
        <w:fldChar w:fldCharType="separate"/>
      </w:r>
      <w:r>
        <w:t>13</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_Toc20438 </w:instrText>
      </w:r>
      <w:r>
        <w:rPr>
          <w:rFonts w:hint="eastAsia" w:ascii="方正仿宋_GBK" w:hAnsi="宋体" w:eastAsia="方正仿宋_GBK"/>
          <w:szCs w:val="21"/>
        </w:rPr>
        <w:fldChar w:fldCharType="separate"/>
      </w:r>
      <w:r>
        <w:rPr>
          <w:rFonts w:hint="eastAsia" w:ascii="方正仿宋_GBK" w:hAnsi="宋体" w:eastAsia="方正仿宋_GBK"/>
          <w:szCs w:val="24"/>
        </w:rPr>
        <w:t>按季度验收合格后，每季度付款一次。</w:t>
      </w:r>
      <w:r>
        <w:tab/>
      </w:r>
      <w:r>
        <w:fldChar w:fldCharType="begin"/>
      </w:r>
      <w:r>
        <w:instrText xml:space="preserve"> PAGEREF _Toc20438 \h </w:instrText>
      </w:r>
      <w:r>
        <w:fldChar w:fldCharType="separate"/>
      </w:r>
      <w:r>
        <w:t>13</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_Toc25131 </w:instrText>
      </w:r>
      <w:r>
        <w:rPr>
          <w:rFonts w:hint="eastAsia" w:ascii="方正仿宋_GBK" w:hAnsi="宋体" w:eastAsia="方正仿宋_GBK"/>
          <w:szCs w:val="21"/>
        </w:rPr>
        <w:fldChar w:fldCharType="separate"/>
      </w:r>
      <w:r>
        <w:rPr>
          <w:rFonts w:hint="eastAsia" w:ascii="方正仿宋_GBK" w:hAnsi="宋体" w:eastAsia="方正仿宋_GBK"/>
          <w:szCs w:val="24"/>
        </w:rPr>
        <w:t>五、其他</w:t>
      </w:r>
      <w:r>
        <w:tab/>
      </w:r>
      <w:r>
        <w:fldChar w:fldCharType="begin"/>
      </w:r>
      <w:r>
        <w:instrText xml:space="preserve"> PAGEREF _Toc25131 \h </w:instrText>
      </w:r>
      <w:r>
        <w:fldChar w:fldCharType="separate"/>
      </w:r>
      <w:r>
        <w:t>13</w:t>
      </w:r>
      <w:r>
        <w:fldChar w:fldCharType="end"/>
      </w:r>
      <w:r>
        <w:rPr>
          <w:rFonts w:hint="eastAsia" w:ascii="方正仿宋_GBK" w:hAnsi="宋体" w:eastAsia="方正仿宋_GBK"/>
          <w:szCs w:val="21"/>
        </w:rPr>
        <w:fldChar w:fldCharType="end"/>
      </w:r>
    </w:p>
    <w:p>
      <w:pPr>
        <w:pStyle w:val="1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_Toc23793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第五篇  合同草案条款</w:t>
      </w:r>
      <w:r>
        <w:tab/>
      </w:r>
      <w:r>
        <w:fldChar w:fldCharType="begin"/>
      </w:r>
      <w:r>
        <w:instrText xml:space="preserve"> PAGEREF _Toc23793 \h </w:instrText>
      </w:r>
      <w:r>
        <w:fldChar w:fldCharType="separate"/>
      </w:r>
      <w:r>
        <w:t>14</w:t>
      </w:r>
      <w:r>
        <w:fldChar w:fldCharType="end"/>
      </w:r>
      <w:r>
        <w:rPr>
          <w:rFonts w:hint="eastAsia" w:ascii="方正仿宋_GBK" w:hAnsi="宋体" w:eastAsia="方正仿宋_GBK"/>
          <w:szCs w:val="21"/>
        </w:rPr>
        <w:fldChar w:fldCharType="end"/>
      </w:r>
    </w:p>
    <w:p>
      <w:pPr>
        <w:pStyle w:val="1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_Toc7101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第六篇  响应文件格式要求</w:t>
      </w:r>
      <w:r>
        <w:tab/>
      </w:r>
      <w:r>
        <w:fldChar w:fldCharType="begin"/>
      </w:r>
      <w:r>
        <w:instrText xml:space="preserve"> PAGEREF _Toc7101 \h </w:instrText>
      </w:r>
      <w:r>
        <w:fldChar w:fldCharType="separate"/>
      </w:r>
      <w:r>
        <w:t>18</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_Toc17585 </w:instrText>
      </w:r>
      <w:r>
        <w:rPr>
          <w:rFonts w:hint="eastAsia" w:ascii="方正仿宋_GBK" w:hAnsi="宋体" w:eastAsia="方正仿宋_GBK"/>
          <w:szCs w:val="21"/>
        </w:rPr>
        <w:fldChar w:fldCharType="separate"/>
      </w:r>
      <w:r>
        <w:rPr>
          <w:rFonts w:hint="eastAsia" w:ascii="方正仿宋_GBK" w:hAnsi="宋体" w:eastAsia="方正仿宋_GBK"/>
          <w:szCs w:val="24"/>
        </w:rPr>
        <w:t>一、经济部分</w:t>
      </w:r>
      <w:r>
        <w:tab/>
      </w:r>
      <w:r>
        <w:fldChar w:fldCharType="begin"/>
      </w:r>
      <w:r>
        <w:instrText xml:space="preserve"> PAGEREF _Toc17585 \h </w:instrText>
      </w:r>
      <w:r>
        <w:fldChar w:fldCharType="separate"/>
      </w:r>
      <w:r>
        <w:t>19</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_Toc443 </w:instrText>
      </w:r>
      <w:r>
        <w:rPr>
          <w:rFonts w:hint="eastAsia" w:ascii="方正仿宋_GBK" w:hAnsi="宋体" w:eastAsia="方正仿宋_GBK"/>
          <w:szCs w:val="21"/>
        </w:rPr>
        <w:fldChar w:fldCharType="separate"/>
      </w:r>
      <w:r>
        <w:rPr>
          <w:rFonts w:hint="eastAsia" w:ascii="方正仿宋_GBK" w:hAnsi="宋体" w:eastAsia="方正仿宋_GBK"/>
          <w:szCs w:val="24"/>
        </w:rPr>
        <w:t>二、服务部分</w:t>
      </w:r>
      <w:r>
        <w:tab/>
      </w:r>
      <w:r>
        <w:fldChar w:fldCharType="begin"/>
      </w:r>
      <w:r>
        <w:instrText xml:space="preserve"> PAGEREF _Toc443 \h </w:instrText>
      </w:r>
      <w:r>
        <w:fldChar w:fldCharType="separate"/>
      </w:r>
      <w:r>
        <w:t>21</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_Toc11038 </w:instrText>
      </w:r>
      <w:r>
        <w:rPr>
          <w:rFonts w:hint="eastAsia" w:ascii="方正仿宋_GBK" w:hAnsi="宋体" w:eastAsia="方正仿宋_GBK"/>
          <w:szCs w:val="21"/>
        </w:rPr>
        <w:fldChar w:fldCharType="separate"/>
      </w:r>
      <w:r>
        <w:rPr>
          <w:rFonts w:hint="eastAsia" w:ascii="方正仿宋_GBK" w:hAnsi="宋体" w:eastAsia="方正仿宋_GBK"/>
          <w:szCs w:val="24"/>
        </w:rPr>
        <w:t>三、资格条件及其他</w:t>
      </w:r>
      <w:r>
        <w:tab/>
      </w:r>
      <w:r>
        <w:fldChar w:fldCharType="begin"/>
      </w:r>
      <w:r>
        <w:instrText xml:space="preserve"> PAGEREF _Toc11038 \h </w:instrText>
      </w:r>
      <w:r>
        <w:fldChar w:fldCharType="separate"/>
      </w:r>
      <w:r>
        <w:t>23</w:t>
      </w:r>
      <w:r>
        <w:fldChar w:fldCharType="end"/>
      </w:r>
      <w:r>
        <w:rPr>
          <w:rFonts w:hint="eastAsia" w:ascii="方正仿宋_GBK" w:hAnsi="宋体" w:eastAsia="方正仿宋_GBK"/>
          <w:szCs w:val="21"/>
        </w:rPr>
        <w:fldChar w:fldCharType="end"/>
      </w:r>
    </w:p>
    <w:p>
      <w:pPr>
        <w:pStyle w:val="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_Toc13532 </w:instrText>
      </w:r>
      <w:r>
        <w:rPr>
          <w:rFonts w:hint="eastAsia" w:ascii="方正仿宋_GBK" w:hAnsi="宋体" w:eastAsia="方正仿宋_GBK"/>
          <w:szCs w:val="21"/>
        </w:rPr>
        <w:fldChar w:fldCharType="separate"/>
      </w:r>
      <w:r>
        <w:rPr>
          <w:rFonts w:hint="eastAsia" w:ascii="方正仿宋_GBK" w:hAnsi="宋体" w:eastAsia="方正仿宋_GBK"/>
          <w:szCs w:val="24"/>
        </w:rPr>
        <w:t>五、</w:t>
      </w:r>
      <w:r>
        <w:rPr>
          <w:rFonts w:hint="eastAsia" w:ascii="方正仿宋_GBK" w:eastAsia="方正仿宋_GBK"/>
          <w:szCs w:val="24"/>
        </w:rPr>
        <w:t>其他应提供的资料</w:t>
      </w:r>
      <w:r>
        <w:rPr>
          <w:rFonts w:hint="eastAsia" w:ascii="方正仿宋_GBK" w:hAnsi="仿宋" w:eastAsia="方正仿宋_GBK"/>
        </w:rPr>
        <w:t>（自附）</w:t>
      </w:r>
      <w:r>
        <w:tab/>
      </w:r>
      <w:r>
        <w:fldChar w:fldCharType="begin"/>
      </w:r>
      <w:r>
        <w:instrText xml:space="preserve"> PAGEREF _Toc13532 \h </w:instrText>
      </w:r>
      <w:r>
        <w:fldChar w:fldCharType="separate"/>
      </w:r>
      <w:r>
        <w:t>28</w:t>
      </w:r>
      <w:r>
        <w:fldChar w:fldCharType="end"/>
      </w:r>
      <w:r>
        <w:rPr>
          <w:rFonts w:hint="eastAsia" w:ascii="方正仿宋_GBK" w:hAnsi="宋体" w:eastAsia="方正仿宋_GBK"/>
          <w:szCs w:val="21"/>
        </w:rPr>
        <w:fldChar w:fldCharType="end"/>
      </w:r>
    </w:p>
    <w:p>
      <w:pPr>
        <w:pStyle w:val="11"/>
        <w:tabs>
          <w:tab w:val="right" w:leader="dot" w:pos="9402"/>
        </w:tabs>
        <w:spacing w:line="480" w:lineRule="exact"/>
        <w:ind w:left="560"/>
        <w:rPr>
          <w:rFonts w:ascii="方正仿宋_GBK" w:hAnsi="Calibri" w:eastAsia="方正仿宋_GBK"/>
          <w:sz w:val="18"/>
          <w:szCs w:val="22"/>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szCs w:val="21"/>
        </w:rPr>
        <w:fldChar w:fldCharType="end"/>
      </w:r>
    </w:p>
    <w:p>
      <w:pPr>
        <w:pStyle w:val="3"/>
        <w:spacing w:line="360" w:lineRule="auto"/>
        <w:jc w:val="center"/>
        <w:rPr>
          <w:rFonts w:ascii="方正小标宋_GBK" w:hAnsi="宋体" w:eastAsia="方正小标宋_GBK"/>
          <w:b w:val="0"/>
          <w:szCs w:val="30"/>
        </w:rPr>
      </w:pPr>
      <w:bookmarkStart w:id="0" w:name="_Toc24841"/>
      <w:bookmarkStart w:id="1" w:name="_Toc11641050"/>
      <w:bookmarkStart w:id="2" w:name="_Toc12789052"/>
      <w:r>
        <w:rPr>
          <w:rFonts w:hint="eastAsia" w:ascii="方正小标宋_GBK" w:hAnsi="宋体" w:eastAsia="方正小标宋_GBK"/>
          <w:b w:val="0"/>
          <w:sz w:val="36"/>
          <w:szCs w:val="30"/>
        </w:rPr>
        <w:t>第一篇  竞争性谈判邀请书</w:t>
      </w:r>
      <w:bookmarkEnd w:id="0"/>
      <w:bookmarkEnd w:id="1"/>
      <w:bookmarkEnd w:id="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重庆市渝北区人民医院，拟对全院有害生物防治采购进行竞争性谈判，欢迎有资格的供应商前来参加谈判。</w:t>
      </w:r>
    </w:p>
    <w:p>
      <w:pPr>
        <w:pStyle w:val="4"/>
        <w:spacing w:before="0" w:after="0" w:line="400" w:lineRule="exact"/>
        <w:rPr>
          <w:rFonts w:ascii="方正仿宋_GBK" w:eastAsia="方正仿宋_GBK"/>
          <w:sz w:val="24"/>
          <w:szCs w:val="24"/>
        </w:rPr>
      </w:pPr>
      <w:bookmarkStart w:id="3" w:name="_Toc317775175"/>
      <w:bookmarkStart w:id="4" w:name="_Toc24479"/>
      <w:bookmarkStart w:id="5" w:name="_Toc313893526"/>
      <w:r>
        <w:rPr>
          <w:rFonts w:hint="eastAsia" w:ascii="方正仿宋_GBK" w:eastAsia="方正仿宋_GBK"/>
          <w:sz w:val="24"/>
          <w:szCs w:val="24"/>
        </w:rPr>
        <w:t>一、竞争性谈判内容</w:t>
      </w:r>
      <w:bookmarkEnd w:id="3"/>
      <w:bookmarkEnd w:id="4"/>
      <w:bookmarkEnd w:id="5"/>
    </w:p>
    <w:tbl>
      <w:tblPr>
        <w:tblStyle w:val="12"/>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850"/>
        <w:gridCol w:w="992"/>
        <w:gridCol w:w="1985"/>
        <w:gridCol w:w="193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46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850" w:type="dxa"/>
            <w:tcBorders>
              <w:top w:val="single" w:color="auto" w:sz="4" w:space="0"/>
              <w:left w:val="single" w:color="auto" w:sz="4" w:space="0"/>
              <w:right w:val="single" w:color="auto" w:sz="4" w:space="0"/>
            </w:tcBorders>
            <w:vAlign w:val="center"/>
          </w:tcPr>
          <w:p>
            <w:pPr>
              <w:pStyle w:val="5"/>
              <w:ind w:left="0" w:leftChars="0"/>
              <w:jc w:val="center"/>
              <w:outlineLvl w:val="0"/>
              <w:rPr>
                <w:rFonts w:ascii="方正仿宋_GBK" w:hAnsi="宋体" w:eastAsia="方正仿宋_GBK"/>
                <w:b/>
                <w:sz w:val="21"/>
                <w:szCs w:val="21"/>
              </w:rPr>
            </w:pPr>
            <w:r>
              <w:rPr>
                <w:rFonts w:hint="eastAsia" w:ascii="方正仿宋_GBK" w:hAnsi="宋体" w:eastAsia="方正仿宋_GBK"/>
                <w:b/>
                <w:sz w:val="21"/>
                <w:szCs w:val="21"/>
              </w:rPr>
              <w:t>数量</w:t>
            </w:r>
          </w:p>
        </w:tc>
        <w:tc>
          <w:tcPr>
            <w:tcW w:w="992" w:type="dxa"/>
            <w:tcBorders>
              <w:top w:val="single" w:color="auto" w:sz="4" w:space="0"/>
              <w:left w:val="single" w:color="auto" w:sz="4" w:space="0"/>
              <w:right w:val="single" w:color="auto" w:sz="4" w:space="0"/>
            </w:tcBorders>
            <w:vAlign w:val="center"/>
          </w:tcPr>
          <w:p>
            <w:pPr>
              <w:pStyle w:val="5"/>
              <w:ind w:left="0" w:leftChars="0"/>
              <w:jc w:val="center"/>
              <w:outlineLvl w:val="0"/>
              <w:rPr>
                <w:rFonts w:ascii="方正仿宋_GBK" w:hAnsi="宋体" w:eastAsia="方正仿宋_GBK"/>
                <w:b/>
                <w:sz w:val="21"/>
                <w:szCs w:val="21"/>
              </w:rPr>
            </w:pPr>
            <w:r>
              <w:rPr>
                <w:rFonts w:hint="eastAsia" w:ascii="方正仿宋_GBK" w:hAnsi="宋体" w:eastAsia="方正仿宋_GBK"/>
                <w:b/>
                <w:sz w:val="21"/>
                <w:szCs w:val="21"/>
              </w:rPr>
              <w:t>单位</w:t>
            </w:r>
          </w:p>
        </w:tc>
        <w:tc>
          <w:tcPr>
            <w:tcW w:w="1985"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预算金额</w:t>
            </w:r>
          </w:p>
          <w:p>
            <w:pPr>
              <w:jc w:val="center"/>
              <w:rPr>
                <w:rFonts w:ascii="方正仿宋_GBK" w:hAnsi="宋体" w:eastAsia="方正仿宋_GBK"/>
                <w:b/>
                <w:sz w:val="21"/>
                <w:szCs w:val="21"/>
              </w:rPr>
            </w:pPr>
            <w:r>
              <w:rPr>
                <w:rFonts w:hint="eastAsia" w:ascii="方正仿宋_GBK" w:hAnsi="宋体" w:eastAsia="方正仿宋_GBK" w:cs="宋体"/>
                <w:b/>
                <w:bCs/>
                <w:kern w:val="0"/>
                <w:sz w:val="21"/>
                <w:szCs w:val="24"/>
              </w:rPr>
              <w:t>（人民币：元）</w:t>
            </w:r>
          </w:p>
        </w:tc>
        <w:tc>
          <w:tcPr>
            <w:tcW w:w="193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谈判保证金</w:t>
            </w:r>
          </w:p>
          <w:p>
            <w:pPr>
              <w:jc w:val="center"/>
              <w:rPr>
                <w:rFonts w:ascii="方正仿宋_GBK" w:hAnsi="宋体" w:eastAsia="方正仿宋_GBK" w:cs="宋体"/>
                <w:b/>
                <w:bCs/>
                <w:kern w:val="0"/>
                <w:sz w:val="21"/>
                <w:szCs w:val="24"/>
              </w:rPr>
            </w:pPr>
            <w:r>
              <w:rPr>
                <w:rFonts w:hint="eastAsia" w:ascii="方正仿宋_GBK" w:hAnsi="宋体" w:eastAsia="方正仿宋_GBK"/>
                <w:b/>
                <w:sz w:val="21"/>
                <w:szCs w:val="21"/>
              </w:rPr>
              <w:t>（人民币：元）</w:t>
            </w:r>
          </w:p>
        </w:tc>
        <w:tc>
          <w:tcPr>
            <w:tcW w:w="161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46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sz w:val="24"/>
                <w:szCs w:val="24"/>
              </w:rPr>
              <w:t>有害生物防治服务</w:t>
            </w:r>
          </w:p>
        </w:tc>
        <w:tc>
          <w:tcPr>
            <w:tcW w:w="850" w:type="dxa"/>
            <w:tcBorders>
              <w:top w:val="single" w:color="auto" w:sz="4" w:space="0"/>
              <w:left w:val="single" w:color="auto" w:sz="4" w:space="0"/>
              <w:right w:val="single" w:color="auto" w:sz="4" w:space="0"/>
            </w:tcBorders>
            <w:vAlign w:val="center"/>
          </w:tcPr>
          <w:p>
            <w:pPr>
              <w:pStyle w:val="5"/>
              <w:ind w:left="0" w:leftChars="0"/>
              <w:jc w:val="center"/>
              <w:outlineLvl w:val="0"/>
              <w:rPr>
                <w:rFonts w:ascii="方正仿宋_GBK" w:hAnsi="宋体" w:eastAsia="方正仿宋_GBK"/>
                <w:b/>
                <w:sz w:val="24"/>
                <w:szCs w:val="24"/>
              </w:rPr>
            </w:pPr>
            <w:r>
              <w:rPr>
                <w:rFonts w:hint="eastAsia" w:ascii="方正仿宋_GBK" w:hAnsi="宋体" w:eastAsia="方正仿宋_GBK"/>
                <w:b/>
                <w:sz w:val="24"/>
                <w:szCs w:val="24"/>
              </w:rPr>
              <w:t>1</w:t>
            </w:r>
          </w:p>
        </w:tc>
        <w:tc>
          <w:tcPr>
            <w:tcW w:w="992" w:type="dxa"/>
            <w:tcBorders>
              <w:top w:val="single" w:color="auto" w:sz="4" w:space="0"/>
              <w:left w:val="single" w:color="auto" w:sz="4" w:space="0"/>
              <w:right w:val="single" w:color="auto" w:sz="4" w:space="0"/>
            </w:tcBorders>
            <w:vAlign w:val="center"/>
          </w:tcPr>
          <w:p>
            <w:pPr>
              <w:pStyle w:val="5"/>
              <w:ind w:left="0" w:leftChars="0"/>
              <w:jc w:val="center"/>
              <w:outlineLvl w:val="0"/>
              <w:rPr>
                <w:rFonts w:ascii="方正仿宋_GBK" w:hAnsi="宋体" w:eastAsia="方正仿宋_GBK"/>
                <w:b/>
                <w:sz w:val="24"/>
                <w:szCs w:val="24"/>
              </w:rPr>
            </w:pPr>
            <w:r>
              <w:rPr>
                <w:rFonts w:hint="eastAsia" w:ascii="方正仿宋_GBK" w:hAnsi="宋体" w:eastAsia="方正仿宋_GBK"/>
                <w:b/>
                <w:sz w:val="24"/>
                <w:szCs w:val="24"/>
              </w:rPr>
              <w:t>项</w:t>
            </w:r>
          </w:p>
        </w:tc>
        <w:tc>
          <w:tcPr>
            <w:tcW w:w="1985" w:type="dxa"/>
            <w:tcBorders>
              <w:top w:val="single" w:color="auto" w:sz="4" w:space="0"/>
              <w:left w:val="single" w:color="auto" w:sz="4" w:space="0"/>
              <w:right w:val="single" w:color="auto" w:sz="4" w:space="0"/>
            </w:tcBorders>
            <w:vAlign w:val="center"/>
          </w:tcPr>
          <w:p>
            <w:pPr>
              <w:pStyle w:val="5"/>
              <w:ind w:left="0" w:leftChars="0"/>
              <w:jc w:val="center"/>
              <w:outlineLvl w:val="0"/>
              <w:rPr>
                <w:rFonts w:ascii="方正仿宋_GBK" w:hAnsi="宋体" w:eastAsia="方正仿宋_GBK"/>
                <w:b/>
                <w:sz w:val="24"/>
                <w:szCs w:val="24"/>
              </w:rPr>
            </w:pPr>
            <w:r>
              <w:rPr>
                <w:rFonts w:hint="eastAsia" w:ascii="方正仿宋_GBK" w:hAnsi="宋体" w:eastAsia="方正仿宋_GBK"/>
                <w:b/>
                <w:sz w:val="24"/>
                <w:szCs w:val="24"/>
                <w:lang w:val="en-US" w:eastAsia="zh-CN"/>
              </w:rPr>
              <w:t>19800</w:t>
            </w:r>
            <w:r>
              <w:rPr>
                <w:rFonts w:hint="eastAsia" w:ascii="方正仿宋_GBK" w:hAnsi="宋体" w:eastAsia="方正仿宋_GBK"/>
                <w:b/>
                <w:sz w:val="24"/>
                <w:szCs w:val="24"/>
              </w:rPr>
              <w:t>元/1年</w:t>
            </w:r>
          </w:p>
        </w:tc>
        <w:tc>
          <w:tcPr>
            <w:tcW w:w="1932" w:type="dxa"/>
            <w:tcBorders>
              <w:top w:val="single" w:color="auto" w:sz="4" w:space="0"/>
              <w:left w:val="single" w:color="auto" w:sz="4" w:space="0"/>
              <w:right w:val="single" w:color="auto" w:sz="4" w:space="0"/>
            </w:tcBorders>
            <w:vAlign w:val="center"/>
          </w:tcPr>
          <w:p>
            <w:pPr>
              <w:jc w:val="center"/>
              <w:rPr>
                <w:rFonts w:hint="default" w:ascii="方正仿宋_GBK" w:hAnsi="宋体" w:eastAsia="方正仿宋_GBK" w:cs="宋体"/>
                <w:b/>
                <w:bCs/>
                <w:kern w:val="0"/>
                <w:sz w:val="24"/>
                <w:szCs w:val="24"/>
                <w:lang w:val="en-US" w:eastAsia="zh-CN"/>
              </w:rPr>
            </w:pPr>
            <w:r>
              <w:rPr>
                <w:rFonts w:hint="eastAsia" w:ascii="方正仿宋_GBK" w:hAnsi="宋体" w:eastAsia="方正仿宋_GBK" w:cs="宋体"/>
                <w:b/>
                <w:bCs/>
                <w:kern w:val="0"/>
                <w:sz w:val="24"/>
                <w:szCs w:val="24"/>
                <w:lang w:val="en-US" w:eastAsia="zh-CN"/>
              </w:rPr>
              <w:t>1500</w:t>
            </w:r>
          </w:p>
        </w:tc>
        <w:tc>
          <w:tcPr>
            <w:tcW w:w="161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详见第三篇</w:t>
            </w:r>
          </w:p>
        </w:tc>
      </w:tr>
    </w:tbl>
    <w:p>
      <w:pPr>
        <w:pStyle w:val="4"/>
        <w:spacing w:before="0" w:after="0" w:line="400" w:lineRule="exact"/>
        <w:rPr>
          <w:rFonts w:ascii="方正仿宋_GBK" w:eastAsia="方正仿宋_GBK"/>
          <w:sz w:val="24"/>
          <w:szCs w:val="24"/>
        </w:rPr>
      </w:pPr>
      <w:bookmarkStart w:id="6" w:name="_Toc20434"/>
      <w:bookmarkStart w:id="7" w:name="_Toc373860293"/>
      <w:bookmarkStart w:id="8" w:name="_Toc317775178"/>
      <w:r>
        <w:rPr>
          <w:rFonts w:hint="eastAsia" w:ascii="方正仿宋_GBK" w:eastAsia="方正仿宋_GBK"/>
          <w:sz w:val="24"/>
          <w:szCs w:val="24"/>
        </w:rPr>
        <w:t>二、资金来源</w:t>
      </w:r>
      <w:bookmarkEnd w:id="6"/>
    </w:p>
    <w:p>
      <w:pPr>
        <w:spacing w:line="48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自筹资金。</w:t>
      </w:r>
    </w:p>
    <w:p>
      <w:pPr>
        <w:pStyle w:val="4"/>
        <w:spacing w:before="0" w:after="0" w:line="400" w:lineRule="exact"/>
        <w:rPr>
          <w:rFonts w:ascii="方正仿宋_GBK" w:eastAsia="方正仿宋_GBK"/>
          <w:sz w:val="24"/>
          <w:szCs w:val="24"/>
        </w:rPr>
      </w:pPr>
      <w:bookmarkStart w:id="9" w:name="_Toc1606"/>
      <w:r>
        <w:rPr>
          <w:rFonts w:hint="eastAsia" w:ascii="方正仿宋_GBK" w:eastAsia="方正仿宋_GBK"/>
          <w:sz w:val="24"/>
          <w:szCs w:val="24"/>
        </w:rPr>
        <w:t>三、谈判资格</w:t>
      </w:r>
      <w:bookmarkEnd w:id="9"/>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法律、行政法规规定的其他条件。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有害生物防制专业机构，具备重庆市有害生物防制协会颁发服务机构资质证书（B级及以上）有效证件。</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公司成立时间在3年及以上。</w:t>
      </w:r>
    </w:p>
    <w:p>
      <w:pPr>
        <w:spacing w:line="48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外地来渝公司必须在重庆具有实地办事机构，并取得重庆市有害生物防制协会颁发服务机构资质证书</w:t>
      </w:r>
      <w:r>
        <w:rPr>
          <w:rFonts w:hint="eastAsia" w:ascii="方正仿宋_GBK" w:hAnsi="宋体" w:eastAsia="方正仿宋_GBK"/>
          <w:sz w:val="24"/>
          <w:szCs w:val="24"/>
          <w:lang w:eastAsia="zh-CN"/>
        </w:rPr>
        <w:t>。</w:t>
      </w:r>
    </w:p>
    <w:p>
      <w:pPr>
        <w:pStyle w:val="4"/>
        <w:spacing w:before="0" w:after="0" w:line="480" w:lineRule="exact"/>
        <w:rPr>
          <w:rFonts w:ascii="方正仿宋_GBK" w:eastAsia="方正仿宋_GBK"/>
          <w:sz w:val="24"/>
          <w:szCs w:val="24"/>
        </w:rPr>
      </w:pPr>
      <w:bookmarkStart w:id="10" w:name="_Toc11505"/>
      <w:r>
        <w:rPr>
          <w:rFonts w:hint="eastAsia" w:ascii="方正仿宋_GBK" w:eastAsia="方正仿宋_GBK"/>
          <w:sz w:val="24"/>
          <w:szCs w:val="24"/>
        </w:rPr>
        <w:t>四、谈判有关说明</w:t>
      </w:r>
      <w:bookmarkEnd w:id="7"/>
      <w:bookmarkEnd w:id="10"/>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（一）凡有意参加竞标的竞标人，请</w:t>
      </w:r>
      <w:r>
        <w:rPr>
          <w:rFonts w:hint="eastAsia" w:ascii="方正仿宋_GBK" w:hAnsi="宋体" w:eastAsia="方正仿宋_GBK"/>
          <w:sz w:val="24"/>
          <w:szCs w:val="24"/>
          <w:lang w:eastAsia="zh-CN"/>
        </w:rPr>
        <w:t>于</w:t>
      </w:r>
      <w:r>
        <w:rPr>
          <w:rFonts w:hint="eastAsia" w:ascii="方正仿宋_GBK" w:hAnsi="宋体" w:eastAsia="方正仿宋_GBK"/>
          <w:sz w:val="24"/>
          <w:szCs w:val="24"/>
          <w:lang w:val="en-US" w:eastAsia="zh-CN"/>
        </w:rPr>
        <w:t>2021年7月6日起</w:t>
      </w:r>
      <w:r>
        <w:rPr>
          <w:rFonts w:hint="eastAsia" w:ascii="方正仿宋_GBK" w:hAnsi="宋体" w:eastAsia="方正仿宋_GBK"/>
          <w:sz w:val="24"/>
          <w:szCs w:val="24"/>
        </w:rPr>
        <w:t>到行采家（https://www.gec123.com/）网站上下载本项目竞争性谈判文件以及图纸、补遗文件等评审前公布的所有项目资料，无论竞标人领取或下载与否，均视为已知晓所有谈判内容。</w:t>
      </w:r>
    </w:p>
    <w:p>
      <w:pPr>
        <w:spacing w:line="400" w:lineRule="exact"/>
        <w:ind w:firstLine="480" w:firstLineChars="200"/>
        <w:rPr>
          <w:rFonts w:ascii="方正仿宋_GBK" w:hAnsi="宋体" w:eastAsia="方正仿宋_GBK"/>
          <w:sz w:val="24"/>
          <w:szCs w:val="24"/>
        </w:rPr>
      </w:pPr>
      <w:bookmarkStart w:id="11" w:name="_Toc373860294"/>
      <w:r>
        <w:rPr>
          <w:rFonts w:hint="eastAsia" w:ascii="方正仿宋_GBK" w:hAnsi="宋体" w:eastAsia="方正仿宋_GBK"/>
          <w:sz w:val="24"/>
          <w:szCs w:val="24"/>
        </w:rPr>
        <w:t>（二）报名及竞争性谈判文件发售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rPr>
        <w:t xml:space="preserve"> </w:t>
      </w:r>
      <w:r>
        <w:rPr>
          <w:rFonts w:hint="eastAsia" w:ascii="方正仿宋_GBK" w:hAnsi="宋体" w:eastAsia="方正仿宋_GBK"/>
          <w:sz w:val="24"/>
          <w:szCs w:val="24"/>
        </w:rPr>
        <w:t>招标文件发售地点：网上下载。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2.报名方式：本采购项目需要提前到医院报名。报名时需提供公司营业执照、机构资质证书、法人授权委托书、报名人身份证原件。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3.投标人在行采家上递交文件并在规定时间内到达现场参加评标会议。</w:t>
      </w:r>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（三）报名地点：重庆市渝北区人民医院总务处（</w:t>
      </w:r>
      <w:r>
        <w:rPr>
          <w:rFonts w:hint="eastAsia" w:ascii="方正仿宋_GBK" w:hAnsi="宋体" w:eastAsia="方正仿宋_GBK"/>
          <w:color w:val="auto"/>
          <w:sz w:val="24"/>
          <w:szCs w:val="24"/>
          <w:highlight w:val="none"/>
        </w:rPr>
        <w:t>五号楼5楼）</w:t>
      </w:r>
      <w:r>
        <w:rPr>
          <w:rFonts w:hint="eastAsia" w:ascii="方正仿宋_GBK" w:hAnsi="宋体" w:eastAsia="方正仿宋_GBK"/>
          <w:color w:val="000000" w:themeColor="text1"/>
          <w:sz w:val="24"/>
          <w:szCs w:val="24"/>
          <w14:textFill>
            <w14:solidFill>
              <w14:schemeClr w14:val="tx1"/>
            </w14:solidFill>
          </w14:textFill>
        </w:rPr>
        <w:t>。</w:t>
      </w:r>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（四）报名时间：从招标文件发布之日起至</w:t>
      </w:r>
      <w:r>
        <w:rPr>
          <w:rFonts w:hint="eastAsia" w:ascii="方正仿宋_GBK" w:hAnsi="宋体" w:eastAsia="方正仿宋_GBK"/>
          <w:color w:val="000000" w:themeColor="text1"/>
          <w:sz w:val="24"/>
          <w:szCs w:val="24"/>
          <w:lang w:eastAsia="zh-CN"/>
          <w14:textFill>
            <w14:solidFill>
              <w14:schemeClr w14:val="tx1"/>
            </w14:solidFill>
          </w14:textFill>
        </w:rPr>
        <w:t>2021</w:t>
      </w:r>
      <w:r>
        <w:rPr>
          <w:rFonts w:hint="eastAsia" w:ascii="方正仿宋_GBK" w:hAnsi="宋体" w:eastAsia="方正仿宋_GBK"/>
          <w:color w:val="000000" w:themeColor="text1"/>
          <w:sz w:val="24"/>
          <w:szCs w:val="24"/>
          <w14:textFill>
            <w14:solidFill>
              <w14:schemeClr w14:val="tx1"/>
            </w14:solidFill>
          </w14:textFill>
        </w:rPr>
        <w:t>年</w:t>
      </w:r>
      <w:r>
        <w:rPr>
          <w:rFonts w:hint="eastAsia" w:ascii="方正仿宋_GBK" w:hAnsi="宋体" w:eastAsia="方正仿宋_GBK"/>
          <w:color w:val="000000" w:themeColor="text1"/>
          <w:sz w:val="24"/>
          <w:szCs w:val="24"/>
          <w:lang w:val="en-US" w:eastAsia="zh-CN"/>
          <w14:textFill>
            <w14:solidFill>
              <w14:schemeClr w14:val="tx1"/>
            </w14:solidFill>
          </w14:textFill>
        </w:rPr>
        <w:t>7</w:t>
      </w:r>
      <w:r>
        <w:rPr>
          <w:rFonts w:hint="eastAsia" w:ascii="方正仿宋_GBK" w:hAnsi="宋体" w:eastAsia="方正仿宋_GBK"/>
          <w:color w:val="000000" w:themeColor="text1"/>
          <w:sz w:val="24"/>
          <w:szCs w:val="24"/>
          <w14:textFill>
            <w14:solidFill>
              <w14:schemeClr w14:val="tx1"/>
            </w14:solidFill>
          </w14:textFill>
        </w:rPr>
        <w:t>月</w:t>
      </w:r>
      <w:r>
        <w:rPr>
          <w:rFonts w:hint="eastAsia" w:ascii="方正仿宋_GBK" w:hAnsi="宋体" w:eastAsia="方正仿宋_GBK"/>
          <w:color w:val="000000" w:themeColor="text1"/>
          <w:sz w:val="24"/>
          <w:szCs w:val="24"/>
          <w:lang w:val="en-US" w:eastAsia="zh-CN"/>
          <w14:textFill>
            <w14:solidFill>
              <w14:schemeClr w14:val="tx1"/>
            </w14:solidFill>
          </w14:textFill>
        </w:rPr>
        <w:t>9</w:t>
      </w:r>
      <w:r>
        <w:rPr>
          <w:rFonts w:hint="eastAsia" w:ascii="方正仿宋_GBK" w:hAnsi="宋体" w:eastAsia="方正仿宋_GBK"/>
          <w:color w:val="000000" w:themeColor="text1"/>
          <w:sz w:val="24"/>
          <w:szCs w:val="24"/>
          <w14:textFill>
            <w14:solidFill>
              <w14:schemeClr w14:val="tx1"/>
            </w14:solidFill>
          </w14:textFill>
        </w:rPr>
        <w:t>日止，报名时间</w:t>
      </w:r>
      <w:r>
        <w:rPr>
          <w:rFonts w:hint="eastAsia" w:ascii="方正仿宋_GBK" w:hAnsi="宋体" w:eastAsia="方正仿宋_GBK"/>
          <w:color w:val="000000" w:themeColor="text1"/>
          <w:sz w:val="24"/>
          <w:szCs w:val="24"/>
          <w:lang w:eastAsia="zh-CN"/>
          <w14:textFill>
            <w14:solidFill>
              <w14:schemeClr w14:val="tx1"/>
            </w14:solidFill>
          </w14:textFill>
        </w:rPr>
        <w:t>工作日</w:t>
      </w:r>
      <w:r>
        <w:rPr>
          <w:rFonts w:hint="eastAsia" w:ascii="方正仿宋_GBK" w:hAnsi="宋体" w:eastAsia="方正仿宋_GBK"/>
          <w:color w:val="000000" w:themeColor="text1"/>
          <w:sz w:val="24"/>
          <w:szCs w:val="24"/>
          <w14:textFill>
            <w14:solidFill>
              <w14:schemeClr w14:val="tx1"/>
            </w14:solidFill>
          </w14:textFill>
        </w:rPr>
        <w:t>为上午9:00-11:00，下午15:00-1</w:t>
      </w:r>
      <w:r>
        <w:rPr>
          <w:rFonts w:hint="eastAsia" w:ascii="方正仿宋_GBK" w:hAnsi="宋体" w:eastAsia="方正仿宋_GBK"/>
          <w:color w:val="000000" w:themeColor="text1"/>
          <w:sz w:val="24"/>
          <w:szCs w:val="24"/>
          <w:lang w:val="en-US" w:eastAsia="zh-CN"/>
          <w14:textFill>
            <w14:solidFill>
              <w14:schemeClr w14:val="tx1"/>
            </w14:solidFill>
          </w14:textFill>
        </w:rPr>
        <w:t>7</w:t>
      </w:r>
      <w:r>
        <w:rPr>
          <w:rFonts w:hint="eastAsia" w:ascii="方正仿宋_GBK" w:hAnsi="宋体" w:eastAsia="方正仿宋_GBK"/>
          <w:color w:val="000000" w:themeColor="text1"/>
          <w:sz w:val="24"/>
          <w:szCs w:val="24"/>
          <w14:textFill>
            <w14:solidFill>
              <w14:schemeClr w14:val="tx1"/>
            </w14:solidFill>
          </w14:textFill>
        </w:rPr>
        <w:t>:00.</w:t>
      </w:r>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（四）递交投标文件开始时间：202</w:t>
      </w:r>
      <w:r>
        <w:rPr>
          <w:rFonts w:hint="eastAsia" w:ascii="方正仿宋_GBK" w:hAnsi="宋体" w:eastAsia="方正仿宋_GBK"/>
          <w:color w:val="000000" w:themeColor="text1"/>
          <w:sz w:val="24"/>
          <w:szCs w:val="24"/>
          <w:lang w:val="en-US" w:eastAsia="zh-CN"/>
          <w14:textFill>
            <w14:solidFill>
              <w14:schemeClr w14:val="tx1"/>
            </w14:solidFill>
          </w14:textFill>
        </w:rPr>
        <w:t>1</w:t>
      </w:r>
      <w:r>
        <w:rPr>
          <w:rFonts w:hint="eastAsia" w:ascii="方正仿宋_GBK" w:hAnsi="宋体" w:eastAsia="方正仿宋_GBK"/>
          <w:color w:val="000000" w:themeColor="text1"/>
          <w:sz w:val="24"/>
          <w:szCs w:val="24"/>
          <w14:textFill>
            <w14:solidFill>
              <w14:schemeClr w14:val="tx1"/>
            </w14:solidFill>
          </w14:textFill>
        </w:rPr>
        <w:t xml:space="preserve">年 </w:t>
      </w:r>
      <w:r>
        <w:rPr>
          <w:rFonts w:hint="eastAsia" w:ascii="方正仿宋_GBK" w:hAnsi="宋体" w:eastAsia="方正仿宋_GBK"/>
          <w:color w:val="000000" w:themeColor="text1"/>
          <w:sz w:val="24"/>
          <w:szCs w:val="24"/>
          <w:lang w:val="en-US" w:eastAsia="zh-CN"/>
          <w14:textFill>
            <w14:solidFill>
              <w14:schemeClr w14:val="tx1"/>
            </w14:solidFill>
          </w14:textFill>
        </w:rPr>
        <w:t>7</w:t>
      </w:r>
      <w:r>
        <w:rPr>
          <w:rFonts w:hint="eastAsia" w:ascii="方正仿宋_GBK" w:hAnsi="宋体" w:eastAsia="方正仿宋_GBK"/>
          <w:color w:val="000000" w:themeColor="text1"/>
          <w:sz w:val="24"/>
          <w:szCs w:val="24"/>
          <w14:textFill>
            <w14:solidFill>
              <w14:schemeClr w14:val="tx1"/>
            </w14:solidFill>
          </w14:textFill>
        </w:rPr>
        <w:t>月</w:t>
      </w:r>
      <w:r>
        <w:rPr>
          <w:rFonts w:hint="eastAsia" w:ascii="方正仿宋_GBK" w:hAnsi="宋体" w:eastAsia="方正仿宋_GBK"/>
          <w:color w:val="000000" w:themeColor="text1"/>
          <w:sz w:val="24"/>
          <w:szCs w:val="24"/>
          <w:lang w:val="en-US" w:eastAsia="zh-CN"/>
          <w14:textFill>
            <w14:solidFill>
              <w14:schemeClr w14:val="tx1"/>
            </w14:solidFill>
          </w14:textFill>
        </w:rPr>
        <w:t>12</w:t>
      </w:r>
      <w:r>
        <w:rPr>
          <w:rFonts w:hint="eastAsia" w:ascii="方正仿宋_GBK" w:hAnsi="宋体" w:eastAsia="方正仿宋_GBK"/>
          <w:color w:val="000000" w:themeColor="text1"/>
          <w:sz w:val="24"/>
          <w:szCs w:val="24"/>
          <w14:textFill>
            <w14:solidFill>
              <w14:schemeClr w14:val="tx1"/>
            </w14:solidFill>
          </w14:textFill>
        </w:rPr>
        <w:t>日</w:t>
      </w:r>
      <w:r>
        <w:rPr>
          <w:rFonts w:hint="eastAsia" w:ascii="方正仿宋_GBK" w:hAnsi="宋体" w:eastAsia="方正仿宋_GBK"/>
          <w:color w:val="000000" w:themeColor="text1"/>
          <w:sz w:val="24"/>
          <w:szCs w:val="24"/>
          <w:lang w:val="en-US" w:eastAsia="zh-CN"/>
          <w14:textFill>
            <w14:solidFill>
              <w14:schemeClr w14:val="tx1"/>
            </w14:solidFill>
          </w14:textFill>
        </w:rPr>
        <w:t>09:00</w:t>
      </w:r>
      <w:r>
        <w:rPr>
          <w:rFonts w:hint="eastAsia" w:ascii="方正仿宋_GBK" w:hAnsi="宋体" w:eastAsia="方正仿宋_GBK"/>
          <w:color w:val="000000" w:themeColor="text1"/>
          <w:sz w:val="24"/>
          <w:szCs w:val="24"/>
          <w14:textFill>
            <w14:solidFill>
              <w14:schemeClr w14:val="tx1"/>
            </w14:solidFill>
          </w14:textFill>
        </w:rPr>
        <w:t>时（北京时间）。</w:t>
      </w:r>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（五）递交投标文件截止时间：202</w:t>
      </w:r>
      <w:r>
        <w:rPr>
          <w:rFonts w:hint="eastAsia" w:ascii="方正仿宋_GBK" w:hAnsi="宋体" w:eastAsia="方正仿宋_GBK"/>
          <w:color w:val="000000" w:themeColor="text1"/>
          <w:sz w:val="24"/>
          <w:szCs w:val="24"/>
          <w:lang w:val="en-US" w:eastAsia="zh-CN"/>
          <w14:textFill>
            <w14:solidFill>
              <w14:schemeClr w14:val="tx1"/>
            </w14:solidFill>
          </w14:textFill>
        </w:rPr>
        <w:t>1</w:t>
      </w:r>
      <w:r>
        <w:rPr>
          <w:rFonts w:hint="eastAsia" w:ascii="方正仿宋_GBK" w:hAnsi="宋体" w:eastAsia="方正仿宋_GBK"/>
          <w:color w:val="000000" w:themeColor="text1"/>
          <w:sz w:val="24"/>
          <w:szCs w:val="24"/>
          <w14:textFill>
            <w14:solidFill>
              <w14:schemeClr w14:val="tx1"/>
            </w14:solidFill>
          </w14:textFill>
        </w:rPr>
        <w:t>年</w:t>
      </w:r>
      <w:r>
        <w:rPr>
          <w:rFonts w:hint="eastAsia" w:ascii="方正仿宋_GBK" w:hAnsi="宋体" w:eastAsia="方正仿宋_GBK"/>
          <w:color w:val="000000" w:themeColor="text1"/>
          <w:sz w:val="24"/>
          <w:szCs w:val="24"/>
          <w:lang w:val="en-US" w:eastAsia="zh-CN"/>
          <w14:textFill>
            <w14:solidFill>
              <w14:schemeClr w14:val="tx1"/>
            </w14:solidFill>
          </w14:textFill>
        </w:rPr>
        <w:t>7</w:t>
      </w:r>
      <w:r>
        <w:rPr>
          <w:rFonts w:hint="eastAsia" w:ascii="方正仿宋_GBK" w:hAnsi="宋体" w:eastAsia="方正仿宋_GBK"/>
          <w:color w:val="000000" w:themeColor="text1"/>
          <w:sz w:val="24"/>
          <w:szCs w:val="24"/>
          <w14:textFill>
            <w14:solidFill>
              <w14:schemeClr w14:val="tx1"/>
            </w14:solidFill>
          </w14:textFill>
        </w:rPr>
        <w:t>月</w:t>
      </w:r>
      <w:r>
        <w:rPr>
          <w:rFonts w:hint="eastAsia" w:ascii="方正仿宋_GBK" w:hAnsi="宋体" w:eastAsia="方正仿宋_GBK"/>
          <w:color w:val="000000" w:themeColor="text1"/>
          <w:sz w:val="24"/>
          <w:szCs w:val="24"/>
          <w:lang w:val="en-US" w:eastAsia="zh-CN"/>
          <w14:textFill>
            <w14:solidFill>
              <w14:schemeClr w14:val="tx1"/>
            </w14:solidFill>
          </w14:textFill>
        </w:rPr>
        <w:t>12</w:t>
      </w:r>
      <w:r>
        <w:rPr>
          <w:rFonts w:hint="eastAsia" w:ascii="方正仿宋_GBK" w:hAnsi="宋体" w:eastAsia="方正仿宋_GBK"/>
          <w:color w:val="000000" w:themeColor="text1"/>
          <w:sz w:val="24"/>
          <w:szCs w:val="24"/>
          <w14:textFill>
            <w14:solidFill>
              <w14:schemeClr w14:val="tx1"/>
            </w14:solidFill>
          </w14:textFill>
        </w:rPr>
        <w:t>日</w:t>
      </w:r>
      <w:r>
        <w:rPr>
          <w:rFonts w:hint="eastAsia" w:ascii="方正仿宋_GBK" w:hAnsi="宋体" w:eastAsia="方正仿宋_GBK"/>
          <w:color w:val="000000" w:themeColor="text1"/>
          <w:sz w:val="24"/>
          <w:szCs w:val="24"/>
          <w:lang w:val="en-US" w:eastAsia="zh-CN"/>
          <w14:textFill>
            <w14:solidFill>
              <w14:schemeClr w14:val="tx1"/>
            </w14:solidFill>
          </w14:textFill>
        </w:rPr>
        <w:t>09:30</w:t>
      </w:r>
      <w:r>
        <w:rPr>
          <w:rFonts w:hint="eastAsia" w:ascii="方正仿宋_GBK" w:hAnsi="宋体" w:eastAsia="方正仿宋_GBK"/>
          <w:color w:val="000000" w:themeColor="text1"/>
          <w:sz w:val="24"/>
          <w:szCs w:val="24"/>
          <w14:textFill>
            <w14:solidFill>
              <w14:schemeClr w14:val="tx1"/>
            </w14:solidFill>
          </w14:textFill>
        </w:rPr>
        <w:t>时（北京时间）。</w:t>
      </w:r>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（六）谈判开始时间：202</w:t>
      </w:r>
      <w:r>
        <w:rPr>
          <w:rFonts w:hint="eastAsia" w:ascii="方正仿宋_GBK" w:hAnsi="宋体" w:eastAsia="方正仿宋_GBK"/>
          <w:color w:val="000000" w:themeColor="text1"/>
          <w:sz w:val="24"/>
          <w:szCs w:val="24"/>
          <w:lang w:val="en-US" w:eastAsia="zh-CN"/>
          <w14:textFill>
            <w14:solidFill>
              <w14:schemeClr w14:val="tx1"/>
            </w14:solidFill>
          </w14:textFill>
        </w:rPr>
        <w:t>1</w:t>
      </w:r>
      <w:r>
        <w:rPr>
          <w:rFonts w:hint="eastAsia" w:ascii="方正仿宋_GBK" w:hAnsi="宋体" w:eastAsia="方正仿宋_GBK"/>
          <w:color w:val="000000" w:themeColor="text1"/>
          <w:sz w:val="24"/>
          <w:szCs w:val="24"/>
          <w14:textFill>
            <w14:solidFill>
              <w14:schemeClr w14:val="tx1"/>
            </w14:solidFill>
          </w14:textFill>
        </w:rPr>
        <w:t>年</w:t>
      </w:r>
      <w:r>
        <w:rPr>
          <w:rFonts w:hint="eastAsia" w:ascii="方正仿宋_GBK" w:hAnsi="宋体" w:eastAsia="方正仿宋_GBK"/>
          <w:color w:val="000000" w:themeColor="text1"/>
          <w:sz w:val="24"/>
          <w:szCs w:val="24"/>
          <w:lang w:val="en-US" w:eastAsia="zh-CN"/>
          <w14:textFill>
            <w14:solidFill>
              <w14:schemeClr w14:val="tx1"/>
            </w14:solidFill>
          </w14:textFill>
        </w:rPr>
        <w:t>7</w:t>
      </w:r>
      <w:r>
        <w:rPr>
          <w:rFonts w:hint="eastAsia" w:ascii="方正仿宋_GBK" w:hAnsi="宋体" w:eastAsia="方正仿宋_GBK"/>
          <w:color w:val="000000" w:themeColor="text1"/>
          <w:sz w:val="24"/>
          <w:szCs w:val="24"/>
          <w14:textFill>
            <w14:solidFill>
              <w14:schemeClr w14:val="tx1"/>
            </w14:solidFill>
          </w14:textFill>
        </w:rPr>
        <w:t>月</w:t>
      </w:r>
      <w:r>
        <w:rPr>
          <w:rFonts w:hint="eastAsia" w:ascii="方正仿宋_GBK" w:hAnsi="宋体" w:eastAsia="方正仿宋_GBK"/>
          <w:color w:val="000000" w:themeColor="text1"/>
          <w:sz w:val="24"/>
          <w:szCs w:val="24"/>
          <w:lang w:val="en-US" w:eastAsia="zh-CN"/>
          <w14:textFill>
            <w14:solidFill>
              <w14:schemeClr w14:val="tx1"/>
            </w14:solidFill>
          </w14:textFill>
        </w:rPr>
        <w:t>12</w:t>
      </w:r>
      <w:r>
        <w:rPr>
          <w:rFonts w:hint="eastAsia" w:ascii="方正仿宋_GBK" w:hAnsi="宋体" w:eastAsia="方正仿宋_GBK"/>
          <w:color w:val="000000" w:themeColor="text1"/>
          <w:sz w:val="24"/>
          <w:szCs w:val="24"/>
          <w14:textFill>
            <w14:solidFill>
              <w14:schemeClr w14:val="tx1"/>
            </w14:solidFill>
          </w14:textFill>
        </w:rPr>
        <w:t>日9：30时（北京时间）。</w:t>
      </w:r>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（六）谈判地点：同报名地点</w:t>
      </w:r>
      <w:bookmarkEnd w:id="11"/>
      <w:r>
        <w:rPr>
          <w:rFonts w:hint="eastAsia" w:ascii="方正仿宋_GBK" w:hAnsi="宋体" w:eastAsia="方正仿宋_GBK"/>
          <w:color w:val="000000" w:themeColor="text1"/>
          <w:sz w:val="24"/>
          <w:szCs w:val="24"/>
          <w14:textFill>
            <w14:solidFill>
              <w14:schemeClr w14:val="tx1"/>
            </w14:solidFill>
          </w14:textFill>
        </w:rPr>
        <w:t>。</w:t>
      </w:r>
    </w:p>
    <w:p>
      <w:pPr>
        <w:pStyle w:val="3"/>
        <w:spacing w:before="0" w:after="0" w:line="380" w:lineRule="exact"/>
        <w:ind w:firstLine="723" w:firstLineChars="300"/>
        <w:rPr>
          <w:rFonts w:ascii="方正仿宋_GBK" w:eastAsia="方正仿宋_GBK"/>
          <w:color w:val="000000" w:themeColor="text1"/>
          <w:sz w:val="24"/>
          <w:szCs w:val="24"/>
          <w14:textFill>
            <w14:solidFill>
              <w14:schemeClr w14:val="tx1"/>
            </w14:solidFill>
          </w14:textFill>
        </w:rPr>
      </w:pPr>
      <w:bookmarkStart w:id="12" w:name="_Toc516475627"/>
      <w:bookmarkStart w:id="13" w:name="_Toc32079"/>
      <w:r>
        <w:rPr>
          <w:rFonts w:hint="eastAsia" w:ascii="方正仿宋_GBK" w:eastAsia="方正仿宋_GBK"/>
          <w:color w:val="000000" w:themeColor="text1"/>
          <w:sz w:val="24"/>
          <w:szCs w:val="24"/>
          <w14:textFill>
            <w14:solidFill>
              <w14:schemeClr w14:val="tx1"/>
            </w14:solidFill>
          </w14:textFill>
        </w:rPr>
        <w:t>五、谈判保证金</w:t>
      </w:r>
      <w:bookmarkEnd w:id="12"/>
      <w:bookmarkEnd w:id="13"/>
    </w:p>
    <w:p>
      <w:pPr>
        <w:tabs>
          <w:tab w:val="left" w:pos="8060"/>
        </w:tabs>
        <w:snapToGrid w:val="0"/>
        <w:spacing w:line="38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（一）缴纳保证金方式</w:t>
      </w:r>
      <w:r>
        <w:rPr>
          <w:rFonts w:hint="eastAsia" w:ascii="方正仿宋_GBK" w:hAnsi="宋体" w:eastAsia="方正仿宋_GBK"/>
          <w:sz w:val="24"/>
          <w:szCs w:val="24"/>
          <w:lang w:eastAsia="zh-CN"/>
        </w:rPr>
        <w:tab/>
      </w:r>
    </w:p>
    <w:p>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投标人须按本项目规定的投标保证金金额进行缴纳（</w:t>
      </w:r>
      <w:r>
        <w:rPr>
          <w:rFonts w:hint="eastAsia" w:ascii="方正仿宋_GBK" w:hAnsi="宋体" w:eastAsia="方正仿宋_GBK"/>
          <w:b/>
          <w:bCs/>
          <w:sz w:val="24"/>
          <w:szCs w:val="24"/>
        </w:rPr>
        <w:t>保证金金额详见本篇，一、竞争性磋商内容</w:t>
      </w:r>
      <w:r>
        <w:rPr>
          <w:rFonts w:hint="eastAsia" w:ascii="方正仿宋_GBK" w:hAnsi="宋体" w:eastAsia="方正仿宋_GBK"/>
          <w:sz w:val="24"/>
          <w:szCs w:val="24"/>
        </w:rPr>
        <w:t>），由投标人从其基本账户或由投标人授权代表账户将投标保证金汇至以下账户，保证金的到账截止时间为：</w:t>
      </w:r>
      <w:r>
        <w:rPr>
          <w:rFonts w:hint="eastAsia" w:ascii="方正仿宋_GBK" w:hAnsi="宋体" w:eastAsia="方正仿宋_GBK"/>
          <w:color w:val="FF0000"/>
          <w:sz w:val="24"/>
          <w:szCs w:val="24"/>
        </w:rPr>
        <w:t>202</w:t>
      </w:r>
      <w:r>
        <w:rPr>
          <w:rFonts w:hint="eastAsia" w:ascii="方正仿宋_GBK" w:hAnsi="宋体" w:eastAsia="方正仿宋_GBK"/>
          <w:color w:val="FF0000"/>
          <w:sz w:val="24"/>
          <w:szCs w:val="24"/>
          <w:lang w:val="en-US" w:eastAsia="zh-CN"/>
        </w:rPr>
        <w:t>1</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7</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12</w:t>
      </w:r>
      <w:r>
        <w:rPr>
          <w:rFonts w:hint="eastAsia" w:ascii="方正仿宋_GBK" w:hAnsi="宋体" w:eastAsia="方正仿宋_GBK"/>
          <w:color w:val="FF0000"/>
          <w:sz w:val="24"/>
          <w:szCs w:val="24"/>
        </w:rPr>
        <w:t>日</w:t>
      </w: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rPr>
        <w:t>北京时间</w:t>
      </w:r>
      <w:r>
        <w:rPr>
          <w:rFonts w:hint="eastAsia" w:ascii="方正仿宋_GBK" w:hAnsi="宋体" w:eastAsia="方正仿宋_GBK"/>
          <w:color w:val="FF0000"/>
          <w:sz w:val="24"/>
          <w:szCs w:val="24"/>
          <w:lang w:val="en-US" w:eastAsia="zh-CN"/>
        </w:rPr>
        <w:t>09:00。</w:t>
      </w:r>
    </w:p>
    <w:p>
      <w:pPr>
        <w:snapToGrid w:val="0"/>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递交保证金账户</w:t>
      </w:r>
    </w:p>
    <w:p>
      <w:pPr>
        <w:snapToGrid w:val="0"/>
        <w:spacing w:line="400" w:lineRule="exact"/>
        <w:ind w:firstLine="482" w:firstLineChars="200"/>
        <w:rPr>
          <w:rFonts w:ascii="方正仿宋_GBK" w:hAnsi="宋体" w:eastAsia="方正仿宋_GBK"/>
          <w:b/>
          <w:color w:val="FF0000"/>
          <w:sz w:val="24"/>
          <w:szCs w:val="24"/>
        </w:rPr>
      </w:pPr>
      <w:r>
        <w:rPr>
          <w:rFonts w:hint="eastAsia" w:ascii="方正仿宋_GBK" w:hAnsi="宋体" w:eastAsia="方正仿宋_GBK"/>
          <w:b/>
          <w:color w:val="FF0000"/>
          <w:sz w:val="24"/>
          <w:szCs w:val="24"/>
        </w:rPr>
        <w:t>户  名：重庆市渝北区人民医院</w:t>
      </w:r>
    </w:p>
    <w:p>
      <w:pPr>
        <w:snapToGrid w:val="0"/>
        <w:spacing w:line="400" w:lineRule="exact"/>
        <w:ind w:firstLine="482" w:firstLineChars="200"/>
        <w:rPr>
          <w:rFonts w:ascii="方正仿宋_GBK" w:hAnsi="宋体" w:eastAsia="方正仿宋_GBK"/>
          <w:b/>
          <w:color w:val="FF0000"/>
          <w:sz w:val="24"/>
          <w:szCs w:val="24"/>
        </w:rPr>
      </w:pPr>
      <w:r>
        <w:rPr>
          <w:rFonts w:hint="eastAsia" w:ascii="方正仿宋_GBK" w:hAnsi="宋体" w:eastAsia="方正仿宋_GBK"/>
          <w:b/>
          <w:color w:val="FF0000"/>
          <w:sz w:val="24"/>
          <w:szCs w:val="24"/>
        </w:rPr>
        <w:t>开户行：工行重庆两路支行</w:t>
      </w:r>
    </w:p>
    <w:p>
      <w:pPr>
        <w:snapToGrid w:val="0"/>
        <w:spacing w:line="400" w:lineRule="exact"/>
        <w:ind w:firstLine="482" w:firstLineChars="200"/>
        <w:rPr>
          <w:rFonts w:hint="default" w:ascii="宋体" w:hAnsi="宋体" w:eastAsia="方正仿宋_GBK" w:cs="宋体"/>
          <w:sz w:val="18"/>
          <w:szCs w:val="18"/>
          <w:u w:val="none"/>
          <w:lang w:val="en-US" w:eastAsia="zh-CN"/>
        </w:rPr>
      </w:pPr>
      <w:r>
        <w:rPr>
          <w:rFonts w:hint="eastAsia" w:ascii="方正仿宋_GBK" w:hAnsi="宋体" w:eastAsia="方正仿宋_GBK"/>
          <w:b/>
          <w:color w:val="FF0000"/>
          <w:sz w:val="24"/>
          <w:szCs w:val="24"/>
        </w:rPr>
        <w:t>账  号</w:t>
      </w:r>
      <w:r>
        <w:rPr>
          <w:rFonts w:hint="eastAsia" w:ascii="方正仿宋_GBK" w:hAnsi="宋体" w:eastAsia="方正仿宋_GBK"/>
          <w:b/>
          <w:color w:val="FF0000"/>
          <w:sz w:val="24"/>
          <w:szCs w:val="24"/>
          <w:lang w:eastAsia="zh-CN"/>
        </w:rPr>
        <w:t>：9558833100001267961</w:t>
      </w:r>
      <w:bookmarkStart w:id="88" w:name="_GoBack"/>
      <w:bookmarkEnd w:id="88"/>
    </w:p>
    <w:p>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各供应商在银行转账（电汇）时，须充分考虑银行转账（电汇）的时间差风险，如同城转账、异地转账或汇款、跨行转账或电汇的时间要求。</w:t>
      </w:r>
    </w:p>
    <w:p>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（二）保证金退还方式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未成交供应商的保证金，在成交通知书发放后，由重庆市渝北区人民医院按来款渠道直接退还。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成交供应商的保证金，在成交供应商与采购人签订合同后，</w:t>
      </w:r>
      <w:r>
        <w:rPr>
          <w:rFonts w:hint="eastAsia" w:ascii="方正仿宋_GBK" w:hAnsi="宋体" w:eastAsia="方正仿宋_GBK"/>
          <w:sz w:val="24"/>
          <w:szCs w:val="24"/>
          <w:lang w:eastAsia="zh-CN"/>
        </w:rPr>
        <w:t>成交供应商携合同扫描件电子版前往</w:t>
      </w:r>
      <w:r>
        <w:rPr>
          <w:rFonts w:hint="eastAsia" w:ascii="方正仿宋_GBK" w:hAnsi="宋体" w:eastAsia="方正仿宋_GBK"/>
          <w:sz w:val="24"/>
          <w:szCs w:val="24"/>
        </w:rPr>
        <w:t>重庆市渝北区人民医院</w:t>
      </w:r>
      <w:r>
        <w:rPr>
          <w:rFonts w:hint="eastAsia" w:ascii="方正仿宋_GBK" w:hAnsi="宋体" w:eastAsia="方正仿宋_GBK"/>
          <w:sz w:val="24"/>
          <w:szCs w:val="24"/>
          <w:lang w:eastAsia="zh-CN"/>
        </w:rPr>
        <w:t>采购办办理保证金退回手续</w:t>
      </w:r>
      <w:r>
        <w:rPr>
          <w:rFonts w:hint="eastAsia" w:ascii="方正仿宋_GBK" w:hAnsi="宋体" w:eastAsia="方正仿宋_GBK"/>
          <w:sz w:val="24"/>
          <w:szCs w:val="24"/>
        </w:rPr>
        <w:t>。</w:t>
      </w:r>
    </w:p>
    <w:p>
      <w:pPr>
        <w:pStyle w:val="2"/>
        <w:rPr>
          <w:rFonts w:hint="default" w:eastAsia="方正仿宋_GBK"/>
          <w:lang w:val="en-US" w:eastAsia="zh-CN"/>
        </w:rPr>
      </w:pPr>
    </w:p>
    <w:p>
      <w:pPr>
        <w:pStyle w:val="4"/>
        <w:spacing w:before="0" w:after="0" w:line="380" w:lineRule="exact"/>
        <w:rPr>
          <w:rFonts w:ascii="方正仿宋_GBK" w:eastAsia="方正仿宋_GBK"/>
          <w:color w:val="000000" w:themeColor="text1"/>
          <w:sz w:val="24"/>
          <w:szCs w:val="24"/>
          <w14:textFill>
            <w14:solidFill>
              <w14:schemeClr w14:val="tx1"/>
            </w14:solidFill>
          </w14:textFill>
        </w:rPr>
      </w:pPr>
      <w:bookmarkStart w:id="14" w:name="_Toc479668114"/>
      <w:bookmarkStart w:id="15" w:name="_Toc6089"/>
      <w:r>
        <w:rPr>
          <w:rFonts w:hint="eastAsia" w:ascii="方正仿宋_GBK" w:eastAsia="方正仿宋_GBK"/>
          <w:color w:val="000000" w:themeColor="text1"/>
          <w:sz w:val="24"/>
          <w:szCs w:val="24"/>
          <w14:textFill>
            <w14:solidFill>
              <w14:schemeClr w14:val="tx1"/>
            </w14:solidFill>
          </w14:textFill>
        </w:rPr>
        <w:t>六、</w:t>
      </w:r>
      <w:bookmarkEnd w:id="8"/>
      <w:bookmarkEnd w:id="14"/>
      <w:r>
        <w:rPr>
          <w:rFonts w:hint="eastAsia" w:ascii="方正仿宋_GBK" w:eastAsia="方正仿宋_GBK"/>
          <w:color w:val="000000" w:themeColor="text1"/>
          <w:sz w:val="24"/>
          <w:szCs w:val="24"/>
          <w14:textFill>
            <w14:solidFill>
              <w14:schemeClr w14:val="tx1"/>
            </w14:solidFill>
          </w14:textFill>
        </w:rPr>
        <w:t>其它有关规定</w:t>
      </w:r>
      <w:bookmarkEnd w:id="15"/>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，否则均为无效谈判。</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（三）同一合同项（分包）下为单一品目的货物采购中，同一品牌同一型号产品有多家供应商参加谈判，只能按照一家供应商计算。</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（四）同一合同项（分包）下的货物，制造商参与谈判的，不得再委托代理商参与谈判。</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（五）本项目的补遗文件（如果有）一律在行采家（https://www.gec123.com/）上发布，请各供应商注意下载；无论供应商是否下载，均视同供应商已知晓本项目补遗文件（如果有）的内容。</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（七）谈判费用：无论谈判结果如何，供应商参与本项目谈判的所有费用均应由供应商自行承担。</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80" w:lineRule="exact"/>
        <w:rPr>
          <w:rFonts w:ascii="方正仿宋_GBK" w:eastAsia="方正仿宋_GBK"/>
          <w:sz w:val="24"/>
          <w:szCs w:val="24"/>
        </w:rPr>
      </w:pPr>
      <w:bookmarkStart w:id="16" w:name="_Toc23435"/>
      <w:r>
        <w:rPr>
          <w:rFonts w:hint="eastAsia" w:ascii="方正仿宋_GBK" w:eastAsia="方正仿宋_GBK"/>
          <w:sz w:val="24"/>
          <w:szCs w:val="24"/>
        </w:rPr>
        <w:t>七、联系方式</w:t>
      </w:r>
      <w:bookmarkEnd w:id="16"/>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联系人：高大勤    电话：17830577900</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址：重庆市渝北区人民医院5楼总务科</w:t>
      </w:r>
    </w:p>
    <w:p>
      <w:pPr>
        <w:pStyle w:val="4"/>
        <w:spacing w:before="0" w:after="0" w:line="380" w:lineRule="exact"/>
        <w:rPr>
          <w:rFonts w:ascii="方正仿宋_GBK" w:eastAsia="方正仿宋_GBK"/>
          <w:sz w:val="24"/>
          <w:szCs w:val="24"/>
        </w:rPr>
      </w:pPr>
      <w:bookmarkStart w:id="17" w:name="_Toc29920"/>
      <w:r>
        <w:rPr>
          <w:rFonts w:hint="eastAsia" w:ascii="方正仿宋_GBK" w:eastAsia="方正仿宋_GBK"/>
          <w:sz w:val="24"/>
          <w:szCs w:val="24"/>
        </w:rPr>
        <w:t>八、现场查勘</w:t>
      </w:r>
      <w:bookmarkEnd w:id="17"/>
    </w:p>
    <w:p>
      <w:pPr>
        <w:snapToGrid w:val="0"/>
        <w:spacing w:line="380" w:lineRule="exact"/>
        <w:ind w:firstLine="480" w:firstLineChars="20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如需现场踏勘，请投标人自行联系项目负责人，无论投标人是否踏勘过现场，均被认为在递交投标文件之前已踏勘现场，对本项目的风险和义务已经了解，并在其投标文件中已充分考虑了现场和环境因素，踏勘现场所发生的费用及风险由投标人自行承担。</w:t>
      </w:r>
    </w:p>
    <w:p>
      <w:pPr>
        <w:snapToGrid w:val="0"/>
        <w:ind w:firstLine="480" w:firstLineChars="200"/>
        <w:rPr>
          <w:rFonts w:ascii="方正仿宋_GBK" w:hAnsi="宋体" w:eastAsia="方正仿宋_GBK"/>
          <w:color w:val="000000" w:themeColor="text1"/>
          <w:sz w:val="24"/>
          <w:szCs w:val="24"/>
          <w14:textFill>
            <w14:solidFill>
              <w14:schemeClr w14:val="tx1"/>
            </w14:solidFill>
          </w14:textFill>
        </w:rPr>
      </w:pPr>
    </w:p>
    <w:p>
      <w:pPr>
        <w:snapToGrid w:val="0"/>
        <w:spacing w:line="380" w:lineRule="exact"/>
        <w:ind w:firstLine="480" w:firstLineChars="200"/>
        <w:rPr>
          <w:rFonts w:ascii="方正仿宋_GBK" w:hAnsi="宋体" w:eastAsia="方正仿宋_GBK"/>
          <w:sz w:val="24"/>
          <w:szCs w:val="24"/>
        </w:rPr>
      </w:pPr>
    </w:p>
    <w:p>
      <w:pPr>
        <w:snapToGrid w:val="0"/>
        <w:spacing w:line="380" w:lineRule="exact"/>
        <w:ind w:firstLine="480" w:firstLineChars="200"/>
        <w:rPr>
          <w:rFonts w:ascii="方正仿宋_GBK" w:hAnsi="宋体" w:eastAsia="方正仿宋_GBK"/>
          <w:sz w:val="24"/>
          <w:szCs w:val="24"/>
        </w:rPr>
        <w:sectPr>
          <w:footerReference r:id="rId6" w:type="default"/>
          <w:pgSz w:w="11907" w:h="16840"/>
          <w:pgMar w:top="1134" w:right="1418" w:bottom="1134" w:left="1418" w:header="964" w:footer="992" w:gutter="0"/>
          <w:pgNumType w:fmt="decimal" w:start="1"/>
          <w:cols w:space="720" w:num="1"/>
          <w:docGrid w:linePitch="312" w:charSpace="0"/>
        </w:sectPr>
      </w:pPr>
    </w:p>
    <w:p>
      <w:pPr>
        <w:pStyle w:val="3"/>
        <w:spacing w:line="360" w:lineRule="auto"/>
        <w:jc w:val="center"/>
        <w:rPr>
          <w:rFonts w:ascii="方正小标宋_GBK" w:hAnsi="宋体" w:eastAsia="方正小标宋_GBK"/>
          <w:b w:val="0"/>
          <w:szCs w:val="30"/>
        </w:rPr>
      </w:pPr>
      <w:bookmarkStart w:id="18" w:name="_Toc24705"/>
      <w:bookmarkStart w:id="19" w:name="_Toc102227313"/>
      <w:r>
        <w:rPr>
          <w:rFonts w:hint="eastAsia" w:ascii="方正小标宋_GBK" w:hAnsi="宋体" w:eastAsia="方正小标宋_GBK"/>
          <w:b w:val="0"/>
          <w:sz w:val="36"/>
          <w:szCs w:val="30"/>
        </w:rPr>
        <w:t>第二篇  供应商须知</w:t>
      </w:r>
      <w:bookmarkEnd w:id="18"/>
      <w:bookmarkEnd w:id="19"/>
    </w:p>
    <w:p>
      <w:pPr>
        <w:pStyle w:val="4"/>
        <w:spacing w:before="0" w:after="0" w:line="440" w:lineRule="exact"/>
        <w:rPr>
          <w:rFonts w:ascii="方正仿宋_GBK" w:eastAsia="方正仿宋_GBK"/>
          <w:sz w:val="24"/>
          <w:szCs w:val="24"/>
        </w:rPr>
      </w:pPr>
      <w:bookmarkStart w:id="20" w:name="_Toc1647"/>
      <w:bookmarkStart w:id="21" w:name="_Toc342913389"/>
      <w:r>
        <w:rPr>
          <w:rFonts w:hint="eastAsia" w:ascii="方正仿宋_GBK" w:eastAsia="方正仿宋_GBK"/>
          <w:sz w:val="24"/>
          <w:szCs w:val="24"/>
        </w:rPr>
        <w:t>一、谈判费用</w:t>
      </w:r>
      <w:bookmarkEnd w:id="20"/>
      <w:bookmarkEnd w:id="21"/>
    </w:p>
    <w:p>
      <w:pPr>
        <w:pStyle w:val="1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参与谈判的供应商应承担其编制响应文件与递交响应文件所涉及的一切费用，不论谈判结果如何，采购人和采购人在任何情况下无义务也无责任承担这些费用。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22" w:name="_Toc27431"/>
      <w:bookmarkStart w:id="23" w:name="_Toc342913391"/>
      <w:r>
        <w:rPr>
          <w:rFonts w:hint="eastAsia" w:ascii="方正仿宋_GBK" w:eastAsia="方正仿宋_GBK"/>
          <w:sz w:val="24"/>
          <w:szCs w:val="24"/>
        </w:rPr>
        <w:t>二、竞争性谈判文件</w:t>
      </w:r>
      <w:bookmarkEnd w:id="22"/>
      <w:bookmarkEnd w:id="23"/>
      <w:r>
        <w:rPr>
          <w:rFonts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（一）竞争性谈判文件由竞争性谈判邀请书、供应商须知、谈判项目技术需求、谈判项目服务需求、合同草案条款、响应文件格式要求六部分组成。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（二）采购人（或采购人）所作的一切有效的书面通知、修改及补充，都是竞争性谈判文件不可分割的部分。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w:t>
      </w:r>
      <w:bookmarkStart w:id="24" w:name="_Toc318159349"/>
      <w:bookmarkStart w:id="25" w:name="_Toc318159780"/>
      <w:bookmarkStart w:id="26" w:name="_Toc318159160"/>
      <w:bookmarkStart w:id="27" w:name="_Toc318166429"/>
      <w:r>
        <w:rPr>
          <w:rFonts w:hint="eastAsia" w:ascii="方正仿宋_GBK" w:hAnsi="宋体" w:eastAsia="方正仿宋_GBK"/>
          <w:sz w:val="24"/>
          <w:szCs w:val="24"/>
        </w:rPr>
        <w:t>本竞争性谈判文件中，谈判小组根据与供应商谈判情况可能实质性变动的内容为竞争性谈判文件第三、四、五篇全部内容。</w:t>
      </w:r>
    </w:p>
    <w:bookmarkEnd w:id="24"/>
    <w:bookmarkEnd w:id="25"/>
    <w:bookmarkEnd w:id="26"/>
    <w:bookmarkEnd w:id="27"/>
    <w:p>
      <w:pPr>
        <w:pStyle w:val="4"/>
        <w:spacing w:before="0" w:after="0" w:line="400" w:lineRule="exact"/>
        <w:rPr>
          <w:rFonts w:ascii="方正仿宋_GBK" w:eastAsia="方正仿宋_GBK"/>
          <w:sz w:val="24"/>
          <w:szCs w:val="24"/>
        </w:rPr>
      </w:pPr>
      <w:bookmarkStart w:id="28" w:name="_Toc342913392"/>
      <w:bookmarkStart w:id="29" w:name="_Toc102227318"/>
      <w:bookmarkStart w:id="30" w:name="_Toc179714297"/>
      <w:bookmarkStart w:id="31" w:name="_Toc18089"/>
      <w:r>
        <w:rPr>
          <w:rFonts w:hint="eastAsia" w:ascii="方正仿宋_GBK" w:eastAsia="方正仿宋_GBK"/>
          <w:sz w:val="24"/>
          <w:szCs w:val="24"/>
        </w:rPr>
        <w:t>三、谈判要求</w:t>
      </w:r>
      <w:bookmarkEnd w:id="28"/>
      <w:bookmarkEnd w:id="29"/>
      <w:bookmarkEnd w:id="30"/>
      <w:bookmarkEnd w:id="31"/>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2.谈判有效期：响应文件及有关承诺文件有效期为谈判开始时间起90天。</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在响应文件正本中，竞争性谈判文件第六篇响应文件格式中规定签字、盖章的地方必须按其规定签字、盖章。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1.1响应文件的正本、副本文档均应密封送达谈判地点，应在封套上注明项目名称、供应商名称。并在正本、副本文档上注明“正本”、“副本”字样。</w:t>
      </w:r>
    </w:p>
    <w:p>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2.如果未按上述规定进行密封和标记，采购人对响应文件误投、丢失或提前拆封不负责任</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各供应商应当派1-2名代表参与谈判，至少1人应为法定代表人或具有法定代表人授权委托书的授权代表。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3.供应商所提交的响应文件不按规定签字、盖章的；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4.供应商的最后报价超过采购预算或最高限价的；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的货物，制造商参与谈判的，再委托代理商参与谈判的。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9.供应商以联合体形式参与谈判的。</w:t>
      </w:r>
    </w:p>
    <w:p>
      <w:pPr>
        <w:pStyle w:val="4"/>
        <w:spacing w:before="0" w:after="0" w:line="400" w:lineRule="exact"/>
        <w:rPr>
          <w:rFonts w:ascii="方正仿宋_GBK" w:eastAsia="方正仿宋_GBK"/>
          <w:sz w:val="24"/>
          <w:szCs w:val="24"/>
        </w:rPr>
      </w:pPr>
      <w:bookmarkStart w:id="32" w:name="_Toc179714298"/>
      <w:bookmarkStart w:id="33" w:name="_Toc102227319"/>
      <w:bookmarkStart w:id="34" w:name="_Toc342913393"/>
      <w:bookmarkStart w:id="35" w:name="_Toc12176"/>
      <w:r>
        <w:rPr>
          <w:rFonts w:hint="eastAsia" w:ascii="方正仿宋_GBK" w:eastAsia="方正仿宋_GBK"/>
          <w:sz w:val="24"/>
          <w:szCs w:val="24"/>
        </w:rPr>
        <w:t>四、谈判程序</w:t>
      </w:r>
      <w:bookmarkEnd w:id="32"/>
      <w:bookmarkEnd w:id="33"/>
      <w:bookmarkEnd w:id="34"/>
      <w:bookmarkEnd w:id="35"/>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（一）谈判按竞争性谈判文件规定的时间和地点进行。供应商须有法定代表人或其授权代表参加并签到。</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1.资格性检查。依据法律法规和竞争性谈判文件的规定，对响应文件中的资格证明进行审查，以确定供应商是否具备谈判资格。资格性检查资料表如下：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vAlign w:val="center"/>
          </w:tcPr>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投标人法人营业执照（副本）、组织机构代码证复印件（注</w:t>
            </w:r>
            <w:r>
              <w:rPr>
                <w:rFonts w:hint="eastAsia" w:ascii="方正仿宋_GBK" w:hAnsi="仿宋" w:eastAsia="方正仿宋_GBK"/>
                <w:sz w:val="21"/>
                <w:szCs w:val="21"/>
              </w:rPr>
              <w:fldChar w:fldCharType="begin"/>
            </w:r>
            <w:r>
              <w:rPr>
                <w:rFonts w:hint="eastAsia" w:ascii="方正仿宋_GBK" w:hAnsi="仿宋" w:eastAsia="方正仿宋_GBK"/>
                <w:sz w:val="21"/>
                <w:szCs w:val="21"/>
              </w:rPr>
              <w:instrText xml:space="preserve"> eq \o\ac(○,1)</w:instrText>
            </w:r>
            <w:r>
              <w:rPr>
                <w:rFonts w:hint="eastAsia" w:ascii="方正仿宋_GBK" w:hAnsi="仿宋" w:eastAsia="方正仿宋_GBK"/>
                <w:sz w:val="21"/>
                <w:szCs w:val="21"/>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投标人法定代表人身份证明、法定代表人授权代表委托书及法定代表人授权代表在投标单位</w:t>
            </w:r>
            <w:r>
              <w:rPr>
                <w:rFonts w:hint="eastAsia" w:ascii="方正仿宋_GBK" w:hAnsi="仿宋" w:eastAsia="方正仿宋_GBK"/>
                <w:sz w:val="21"/>
                <w:szCs w:val="21"/>
                <w:lang w:val="en-US" w:eastAsia="zh-CN"/>
              </w:rPr>
              <w:t>2021</w:t>
            </w:r>
            <w:r>
              <w:rPr>
                <w:rFonts w:hint="eastAsia" w:ascii="方正仿宋_GBK" w:hAnsi="仿宋" w:eastAsia="方正仿宋_GBK"/>
                <w:sz w:val="21"/>
                <w:szCs w:val="21"/>
              </w:rPr>
              <w:t>年</w:t>
            </w:r>
            <w:r>
              <w:rPr>
                <w:rFonts w:hint="eastAsia" w:ascii="方正仿宋_GBK" w:hAnsi="仿宋" w:eastAsia="方正仿宋_GBK"/>
                <w:sz w:val="21"/>
                <w:szCs w:val="21"/>
                <w:lang w:val="en-US" w:eastAsia="zh-CN"/>
              </w:rPr>
              <w:t>3</w:t>
            </w:r>
            <w:r>
              <w:rPr>
                <w:rFonts w:hint="eastAsia" w:ascii="方正仿宋_GBK" w:hAnsi="仿宋" w:eastAsia="方正仿宋_GBK"/>
                <w:sz w:val="21"/>
                <w:szCs w:val="21"/>
              </w:rPr>
              <w:t xml:space="preserve">月至 </w:t>
            </w:r>
            <w:r>
              <w:rPr>
                <w:rFonts w:hint="eastAsia" w:ascii="方正仿宋_GBK" w:hAnsi="仿宋" w:eastAsia="方正仿宋_GBK"/>
                <w:sz w:val="21"/>
                <w:szCs w:val="21"/>
                <w:lang w:val="en-US" w:eastAsia="zh-CN"/>
              </w:rPr>
              <w:t>2021</w:t>
            </w:r>
            <w:r>
              <w:rPr>
                <w:rFonts w:hint="eastAsia" w:ascii="方正仿宋_GBK" w:hAnsi="仿宋" w:eastAsia="方正仿宋_GBK"/>
                <w:sz w:val="21"/>
                <w:szCs w:val="21"/>
              </w:rPr>
              <w:t>年</w:t>
            </w:r>
            <w:r>
              <w:rPr>
                <w:rFonts w:hint="eastAsia" w:ascii="方正仿宋_GBK" w:hAnsi="仿宋" w:eastAsia="方正仿宋_GBK"/>
                <w:sz w:val="21"/>
                <w:szCs w:val="21"/>
                <w:lang w:val="en-US" w:eastAsia="zh-CN"/>
              </w:rPr>
              <w:t>5</w:t>
            </w:r>
            <w:r>
              <w:rPr>
                <w:rFonts w:hint="eastAsia" w:ascii="方正仿宋_GBK" w:hAnsi="仿宋" w:eastAsia="方正仿宋_GBK"/>
                <w:sz w:val="21"/>
                <w:szCs w:val="21"/>
              </w:rPr>
              <w:t>月连续缴纳社会保障金的个人明细证明材料（以社保局出具的加盖有社保公章的证明材料为准，原件备查）；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w:t>
            </w:r>
            <w:r>
              <w:rPr>
                <w:rFonts w:hint="eastAsia" w:ascii="方正仿宋_GBK" w:hAnsi="仿宋" w:eastAsia="方正仿宋_GBK"/>
                <w:sz w:val="21"/>
                <w:szCs w:val="21"/>
                <w:lang w:val="en-US" w:eastAsia="zh-CN"/>
              </w:rPr>
              <w:t>9</w:t>
            </w:r>
            <w:r>
              <w:rPr>
                <w:rFonts w:hint="eastAsia" w:ascii="方正仿宋_GBK" w:hAnsi="仿宋" w:eastAsia="方正仿宋_GBK"/>
                <w:sz w:val="21"/>
                <w:szCs w:val="21"/>
              </w:rPr>
              <w:t>年度或20</w:t>
            </w:r>
            <w:r>
              <w:rPr>
                <w:rFonts w:hint="eastAsia" w:ascii="方正仿宋_GBK" w:hAnsi="仿宋" w:eastAsia="方正仿宋_GBK"/>
                <w:sz w:val="21"/>
                <w:szCs w:val="21"/>
                <w:lang w:val="en-US" w:eastAsia="zh-CN"/>
              </w:rPr>
              <w:t>20</w:t>
            </w:r>
            <w:r>
              <w:rPr>
                <w:rFonts w:hint="eastAsia" w:ascii="方正仿宋_GBK" w:hAnsi="仿宋" w:eastAsia="方正仿宋_GBK"/>
                <w:sz w:val="21"/>
                <w:szCs w:val="21"/>
              </w:rPr>
              <w:t>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1.供应商提供书面声明（见格式文件）；</w:t>
            </w:r>
          </w:p>
          <w:p>
            <w:pPr>
              <w:spacing w:line="240" w:lineRule="exact"/>
              <w:rPr>
                <w:rFonts w:ascii="方正仿宋_GBK" w:hAnsi="仿宋" w:eastAsia="方正仿宋_GBK"/>
                <w:b/>
                <w:sz w:val="21"/>
                <w:szCs w:val="21"/>
              </w:rPr>
            </w:pPr>
            <w:r>
              <w:rPr>
                <w:rFonts w:hint="eastAsia" w:ascii="方正仿宋_GBK" w:hAnsi="仿宋" w:eastAsia="方正仿宋_GBK"/>
                <w:sz w:val="21"/>
                <w:szCs w:val="21"/>
              </w:rPr>
              <w:t>2.采购人或采购人将通过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按第一篇“三、供应商资格要求（二）特定资格条件”的要求提交</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2.符合性检查。依据竞争性谈判文件的规定，谈判小组从响应文件的有效性、完整性和对竞争性谈判文件的响应程度进行审查，以确定是否对竞争性谈判文件的实质性要求作出响应。</w:t>
      </w:r>
      <w:r>
        <w:rPr>
          <w:rFonts w:hint="eastAsia" w:ascii="方正仿宋_GBK" w:eastAsia="方正仿宋_GBK"/>
          <w:kern w:val="0"/>
          <w:sz w:val="24"/>
          <w:szCs w:val="24"/>
        </w:rPr>
        <w:t>符合性检查资料表如下：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竞争性谈判</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竞争性谈判文件的响应程度审查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8"/>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对竞争性谈判文件第三篇规定的谈判内容进行响应。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满足谈判文件</w:t>
            </w:r>
            <w:r>
              <w:rPr>
                <w:rFonts w:hint="eastAsia" w:ascii="方正仿宋_GBK" w:hAnsi="宋体" w:eastAsia="方正仿宋_GBK" w:cs="仿宋_GB2312"/>
                <w:sz w:val="21"/>
                <w:szCs w:val="21"/>
                <w:lang w:val="zh-CN"/>
              </w:rPr>
              <w:t>规定。</w:t>
            </w:r>
          </w:p>
        </w:tc>
      </w:tr>
    </w:tbl>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（五）在谈判过程中谈判的任何一方不得向他人透露与谈判有关的技术资料、价格或其他信息。</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（七）供应商在谈判时作出的所有书面承诺须由法定代表人或其授权代表签字。</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（八）谈判结束后，谈判小组要求所有参加正式谈判的供应商在规定时间内同时书面提交最后报价及有关承诺（填写《最后报价表》并密封提交）。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pStyle w:val="4"/>
        <w:spacing w:before="0" w:after="0" w:line="400" w:lineRule="exact"/>
        <w:rPr>
          <w:rFonts w:ascii="方正仿宋_GBK" w:eastAsia="方正仿宋_GBK"/>
          <w:sz w:val="24"/>
          <w:szCs w:val="24"/>
        </w:rPr>
      </w:pPr>
      <w:bookmarkStart w:id="36" w:name="_Toc31041"/>
      <w:bookmarkStart w:id="37" w:name="_Toc102227320"/>
      <w:bookmarkStart w:id="38" w:name="_Toc342913394"/>
      <w:r>
        <w:rPr>
          <w:rFonts w:hint="eastAsia" w:ascii="方正仿宋_GBK" w:eastAsia="方正仿宋_GBK"/>
          <w:sz w:val="24"/>
          <w:szCs w:val="24"/>
        </w:rPr>
        <w:t>五、评审依据</w:t>
      </w:r>
      <w:bookmarkEnd w:id="3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评审的依据为竞争性谈判文件和响应文件（含有效的补充文件）。谈判小组判断响应文件对竞争性谈判文件的响应，仅基于响应文件本身而不靠外部证据。</w:t>
      </w:r>
    </w:p>
    <w:p>
      <w:pPr>
        <w:pStyle w:val="4"/>
        <w:spacing w:before="0" w:after="0" w:line="400" w:lineRule="exact"/>
        <w:rPr>
          <w:rFonts w:ascii="方正仿宋_GBK" w:eastAsia="方正仿宋_GBK"/>
          <w:sz w:val="24"/>
          <w:szCs w:val="24"/>
        </w:rPr>
      </w:pPr>
      <w:bookmarkStart w:id="39" w:name="_Toc27371"/>
      <w:r>
        <w:rPr>
          <w:rFonts w:hint="eastAsia" w:ascii="方正仿宋_GBK" w:eastAsia="方正仿宋_GBK"/>
          <w:sz w:val="24"/>
          <w:szCs w:val="24"/>
        </w:rPr>
        <w:t>六、成交</w:t>
      </w:r>
      <w:bookmarkEnd w:id="37"/>
      <w:r>
        <w:rPr>
          <w:rFonts w:hint="eastAsia" w:ascii="方正仿宋_GBK" w:eastAsia="方正仿宋_GBK"/>
          <w:sz w:val="24"/>
          <w:szCs w:val="24"/>
        </w:rPr>
        <w:t>原则</w:t>
      </w:r>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1.谈判小组将依照综合评分方法对质量和服务均能满足竞争性谈判实质性响应要求的供应商进行打分，并按照得分由高到低的顺序提出3名成交候选人。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2.若供应商的最后得分相同，按技术参数（条款）的优劣顺序排列；以上都相同的，按服务条款的优劣顺序排列。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3.成交价格=成交供应商的报价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（二）评审细则</w:t>
      </w:r>
    </w:p>
    <w:p>
      <w:pPr>
        <w:tabs>
          <w:tab w:val="left" w:pos="36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依据法律法规和竞争性谈判文件的规定，对供应商的资格证明进行审查，以确定供应商是否具备谈判资格。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3.成交供应商的确定：</w:t>
      </w:r>
    </w:p>
    <w:p>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3.1“第三篇 谈判项目技术需求”有一条及以上不能满足竞争性谈判文件要求的供应商将失去成为成交供应商的资格。</w:t>
      </w:r>
    </w:p>
    <w:p>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3.2“第四篇 谈判项目服务需求”有一条及以上不能满足竞争性谈判文件要求的供应商将失去成为成交供应商的资格。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3.4谈判小组将依照评审办法提出成交候选人。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w:t>
      </w:r>
      <w:r>
        <w:rPr>
          <w:rFonts w:ascii="方正仿宋_GBK" w:hAnsi="宋体" w:eastAsia="方正仿宋_GBK"/>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3.6.2成交供应商无充分理由放弃成交的，采购人将会同采购人把相关情况报财政部门，财政部门将根据相关法律法规的规定对违规供应商进行处罚。</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4.出现下列情形之一的，采购人或者采购人应当终止竞争性谈判采购活动，发布项目终止公告并说明原因，重新开展采购活动：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4.1因情况变化，不再符合规定的竞争性谈判采购方式适用情形的；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4.2出现影响采购公正的违法、违规行为的；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4.3在采购过程中符合竞争要求的供应商或者报价未超过采购预算的供应商不足3家的，但《政府采购非招标采购方式管理办法》第二十七条第二款规定的情形除外。</w:t>
      </w:r>
    </w:p>
    <w:p>
      <w:pPr>
        <w:pStyle w:val="4"/>
        <w:spacing w:before="0" w:after="0" w:line="400" w:lineRule="exact"/>
        <w:rPr>
          <w:rFonts w:ascii="方正仿宋_GBK" w:eastAsia="方正仿宋_GBK"/>
          <w:sz w:val="24"/>
          <w:szCs w:val="24"/>
        </w:rPr>
      </w:pPr>
      <w:bookmarkStart w:id="40" w:name="_Toc342913395"/>
      <w:bookmarkStart w:id="41" w:name="_Toc102227321"/>
      <w:bookmarkStart w:id="42" w:name="_Toc21989"/>
      <w:r>
        <w:rPr>
          <w:rFonts w:hint="eastAsia" w:ascii="方正仿宋_GBK" w:eastAsia="方正仿宋_GBK"/>
          <w:sz w:val="24"/>
          <w:szCs w:val="24"/>
        </w:rPr>
        <w:t>七、成交通知</w:t>
      </w:r>
      <w:bookmarkEnd w:id="40"/>
      <w:bookmarkEnd w:id="41"/>
      <w:bookmarkEnd w:id="42"/>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（一）成交供应商确定后，采购机构将在行采家（https://www.gec123.com/）或重庆市渝北区人民医院网站（http://www.XXXXXXX）上发布成交结果公告。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（二）结果公告发出同时，采购机构将以书面形式发出《成交通知书》。《成交通知书》一经发出即发生法律效力。</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（四）如有供应商对成交结果提出质疑的，在质疑处理完毕后发出成交通知书。</w:t>
      </w:r>
    </w:p>
    <w:p>
      <w:pPr>
        <w:pStyle w:val="4"/>
        <w:spacing w:before="0" w:after="0" w:line="400" w:lineRule="exact"/>
        <w:rPr>
          <w:rFonts w:ascii="方正仿宋_GBK" w:eastAsia="方正仿宋_GBK"/>
          <w:sz w:val="24"/>
          <w:szCs w:val="24"/>
        </w:rPr>
      </w:pPr>
      <w:bookmarkStart w:id="43" w:name="_Toc4223"/>
      <w:r>
        <w:rPr>
          <w:rFonts w:hint="eastAsia" w:ascii="方正仿宋_GBK" w:eastAsia="方正仿宋_GBK"/>
          <w:sz w:val="24"/>
          <w:szCs w:val="24"/>
        </w:rPr>
        <w:t>八、关于质疑和投诉</w:t>
      </w:r>
      <w:bookmarkEnd w:id="43"/>
    </w:p>
    <w:p>
      <w:pPr>
        <w:rPr>
          <w:rFonts w:ascii="方正仿宋_GBK" w:hAnsi="仿宋" w:eastAsia="方正仿宋_GBK" w:cs="仿宋"/>
          <w:sz w:val="24"/>
        </w:rPr>
      </w:pPr>
      <w:r>
        <w:rPr>
          <w:rFonts w:hint="eastAsia"/>
        </w:rPr>
        <w:t xml:space="preserve"> </w:t>
      </w:r>
      <w:r>
        <w:rPr>
          <w:rFonts w:hint="eastAsia" w:ascii="方正仿宋_GBK" w:hAnsi="仿宋" w:eastAsia="方正仿宋_GBK" w:cs="仿宋"/>
          <w:sz w:val="24"/>
        </w:rPr>
        <w:t>（一）质疑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1.1供应商对竞争性谈判文件提出质疑的，应在依法获取竞争性谈判文件之日或者竞争性谈判文件公告期限届满之日起七个工作日内提出。</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 供应商对采购过程提出质疑的，应在各采购程序环节结束之日起七个工作日内提出。</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1.3供应商对成交结果提出质疑的，应当在成交结果公告期限届满之日起七个工作日内提出。</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1.4.2质疑项目的名称、项目号以及谈判项目编号；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1.4.7营业执照（或事业单位法人证书，或个体工商户营业执照或有效的自然人身份证明、组织机构代码证）复印件；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1.5供应商为自然人的，质疑函应当由本人签字；供应商为法人或者其他组织的，质疑函应当由法定代表人、主要负责人，或者其授权代表签字或者盖章，并加盖公章。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1.供应商对采购人、采购人的答复不满意，或者采购人、采购人未在规定时间内作出答复的，可以在答复期满后15个工作日内按照相关法律法规向财政部门提起投诉。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spacing w:before="0" w:after="0" w:line="400" w:lineRule="exact"/>
        <w:rPr>
          <w:rFonts w:ascii="方正仿宋_GBK" w:eastAsia="方正仿宋_GBK"/>
          <w:sz w:val="24"/>
          <w:szCs w:val="24"/>
        </w:rPr>
      </w:pPr>
      <w:bookmarkStart w:id="44" w:name="_Toc31691"/>
      <w:bookmarkStart w:id="45" w:name="_Toc102227322"/>
      <w:bookmarkStart w:id="46" w:name="_Toc342913396"/>
      <w:r>
        <w:rPr>
          <w:rFonts w:hint="eastAsia" w:ascii="方正仿宋_GBK" w:eastAsia="方正仿宋_GBK"/>
          <w:sz w:val="24"/>
          <w:szCs w:val="24"/>
        </w:rPr>
        <w:t>九、签订合同</w:t>
      </w:r>
      <w:bookmarkEnd w:id="44"/>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（二）竞争性谈判文件、供应商的响应文件及澄清文件等，均为签订合同的依据。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（四）相关单位要求适用合同通用格式版本的，应按其要求签订其他合同。</w:t>
      </w: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p>
    <w:bookmarkEnd w:id="45"/>
    <w:bookmarkEnd w:id="46"/>
    <w:p>
      <w:pPr>
        <w:spacing w:line="360" w:lineRule="auto"/>
        <w:ind w:firstLine="480" w:firstLineChars="200"/>
        <w:rPr>
          <w:rFonts w:ascii="宋体" w:hAnsi="宋体"/>
          <w:sz w:val="24"/>
          <w:szCs w:val="24"/>
        </w:rPr>
      </w:pPr>
    </w:p>
    <w:p>
      <w:pPr>
        <w:spacing w:line="360" w:lineRule="auto"/>
        <w:rPr>
          <w:rFonts w:ascii="宋体" w:hAnsi="宋体"/>
          <w:b/>
          <w:szCs w:val="28"/>
        </w:rPr>
      </w:pPr>
      <w:r>
        <w:rPr>
          <w:rFonts w:hint="eastAsia" w:ascii="宋体" w:hAnsi="宋体"/>
          <w:b/>
          <w:szCs w:val="28"/>
        </w:rPr>
        <w:t>十、综合评分标准</w:t>
      </w:r>
    </w:p>
    <w:p>
      <w:pPr>
        <w:spacing w:line="360" w:lineRule="auto"/>
        <w:rPr>
          <w:rFonts w:ascii="宋体" w:hAnsi="宋体"/>
          <w:b/>
          <w:sz w:val="24"/>
          <w:szCs w:val="24"/>
        </w:rPr>
      </w:pPr>
    </w:p>
    <w:p>
      <w:pPr>
        <w:spacing w:line="312" w:lineRule="auto"/>
        <w:jc w:val="center"/>
        <w:rPr>
          <w:rFonts w:ascii="宋体" w:hAnsi="宋体" w:cs="宋体"/>
          <w:b/>
          <w:bCs/>
          <w:sz w:val="32"/>
          <w:szCs w:val="32"/>
        </w:rPr>
      </w:pPr>
      <w:r>
        <w:rPr>
          <w:rFonts w:hint="eastAsia" w:ascii="宋体" w:hAnsi="宋体" w:cs="宋体"/>
          <w:b/>
          <w:bCs/>
          <w:sz w:val="32"/>
          <w:szCs w:val="32"/>
        </w:rPr>
        <w:t>评分标准</w:t>
      </w:r>
    </w:p>
    <w:tbl>
      <w:tblPr>
        <w:tblStyle w:val="12"/>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976"/>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cs="宋体"/>
                <w:b/>
                <w:color w:val="000000"/>
                <w:sz w:val="24"/>
                <w:szCs w:val="24"/>
              </w:rPr>
            </w:pPr>
            <w:r>
              <w:rPr>
                <w:rFonts w:hint="eastAsia" w:ascii="宋体" w:hAnsi="宋体" w:cs="宋体"/>
                <w:b/>
                <w:color w:val="000000"/>
                <w:sz w:val="24"/>
                <w:szCs w:val="24"/>
              </w:rPr>
              <w:t>序号</w:t>
            </w:r>
          </w:p>
        </w:tc>
        <w:tc>
          <w:tcPr>
            <w:tcW w:w="1269" w:type="dxa"/>
            <w:vAlign w:val="center"/>
          </w:tcPr>
          <w:p>
            <w:pPr>
              <w:spacing w:line="440" w:lineRule="exact"/>
              <w:jc w:val="center"/>
              <w:rPr>
                <w:rFonts w:ascii="宋体" w:cs="宋体"/>
                <w:b/>
                <w:color w:val="000000"/>
                <w:sz w:val="24"/>
                <w:szCs w:val="24"/>
              </w:rPr>
            </w:pPr>
            <w:r>
              <w:rPr>
                <w:rFonts w:hint="eastAsia" w:ascii="宋体" w:hAnsi="宋体" w:cs="宋体"/>
                <w:b/>
                <w:color w:val="000000"/>
                <w:sz w:val="24"/>
                <w:szCs w:val="24"/>
              </w:rPr>
              <w:t>评分因素</w:t>
            </w:r>
          </w:p>
        </w:tc>
        <w:tc>
          <w:tcPr>
            <w:tcW w:w="955" w:type="dxa"/>
            <w:vAlign w:val="center"/>
          </w:tcPr>
          <w:p>
            <w:pPr>
              <w:spacing w:line="440" w:lineRule="exact"/>
              <w:jc w:val="center"/>
              <w:rPr>
                <w:rFonts w:ascii="宋体" w:cs="宋体"/>
                <w:b/>
                <w:color w:val="000000"/>
                <w:sz w:val="24"/>
                <w:szCs w:val="24"/>
              </w:rPr>
            </w:pPr>
            <w:r>
              <w:rPr>
                <w:rFonts w:hint="eastAsia" w:ascii="宋体" w:hAnsi="宋体" w:cs="宋体"/>
                <w:b/>
                <w:color w:val="000000"/>
                <w:sz w:val="24"/>
                <w:szCs w:val="24"/>
              </w:rPr>
              <w:t>分值</w:t>
            </w:r>
          </w:p>
        </w:tc>
        <w:tc>
          <w:tcPr>
            <w:tcW w:w="4976" w:type="dxa"/>
            <w:vAlign w:val="center"/>
          </w:tcPr>
          <w:p>
            <w:pPr>
              <w:spacing w:line="440" w:lineRule="exact"/>
              <w:jc w:val="center"/>
              <w:rPr>
                <w:rFonts w:ascii="宋体" w:cs="宋体"/>
                <w:b/>
                <w:color w:val="000000"/>
                <w:sz w:val="24"/>
                <w:szCs w:val="24"/>
              </w:rPr>
            </w:pPr>
            <w:r>
              <w:rPr>
                <w:rFonts w:hint="eastAsia" w:ascii="宋体" w:hAnsi="宋体" w:cs="宋体"/>
                <w:b/>
                <w:color w:val="000000"/>
                <w:sz w:val="24"/>
                <w:szCs w:val="24"/>
              </w:rPr>
              <w:t>评分标准</w:t>
            </w:r>
          </w:p>
        </w:tc>
        <w:tc>
          <w:tcPr>
            <w:tcW w:w="2425" w:type="dxa"/>
            <w:vAlign w:val="center"/>
          </w:tcPr>
          <w:p>
            <w:pPr>
              <w:pStyle w:val="18"/>
              <w:spacing w:before="0" w:after="0" w:line="440" w:lineRule="exact"/>
              <w:rPr>
                <w:rFonts w:ascii="宋体" w:hAnsi="宋体" w:eastAsia="宋体" w:cs="宋体"/>
                <w:color w:val="000000"/>
                <w:szCs w:val="24"/>
              </w:rPr>
            </w:pPr>
            <w:r>
              <w:rPr>
                <w:rFonts w:hint="eastAsia" w:ascii="宋体" w:hAnsi="宋体" w:eastAsia="宋体" w:cs="宋体"/>
                <w:color w:val="00000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ascii="宋体" w:cs="方正仿宋_GBK"/>
                <w:color w:val="000000"/>
                <w:sz w:val="24"/>
                <w:szCs w:val="24"/>
              </w:rPr>
            </w:pPr>
            <w:r>
              <w:rPr>
                <w:rFonts w:ascii="宋体" w:hAnsi="宋体" w:cs="方正仿宋_GBK"/>
                <w:color w:val="000000"/>
                <w:sz w:val="24"/>
                <w:szCs w:val="24"/>
              </w:rPr>
              <w:t>1</w:t>
            </w:r>
          </w:p>
        </w:tc>
        <w:tc>
          <w:tcPr>
            <w:tcW w:w="1269" w:type="dxa"/>
            <w:vAlign w:val="center"/>
          </w:tcPr>
          <w:p>
            <w:pPr>
              <w:spacing w:line="360" w:lineRule="exact"/>
              <w:rPr>
                <w:rFonts w:ascii="宋体" w:cs="方正仿宋_GBK"/>
                <w:color w:val="000000"/>
                <w:sz w:val="24"/>
                <w:szCs w:val="24"/>
                <w:highlight w:val="yellow"/>
              </w:rPr>
            </w:pPr>
            <w:r>
              <w:rPr>
                <w:rFonts w:hint="eastAsia" w:ascii="宋体" w:hAnsi="宋体" w:cs="方正仿宋_GBK"/>
                <w:color w:val="000000"/>
                <w:sz w:val="24"/>
                <w:szCs w:val="24"/>
                <w:highlight w:val="yellow"/>
              </w:rPr>
              <w:t>投标报价（30%）</w:t>
            </w:r>
          </w:p>
        </w:tc>
        <w:tc>
          <w:tcPr>
            <w:tcW w:w="955" w:type="dxa"/>
            <w:vAlign w:val="center"/>
          </w:tcPr>
          <w:p>
            <w:pPr>
              <w:spacing w:line="360" w:lineRule="exact"/>
              <w:jc w:val="center"/>
              <w:rPr>
                <w:rFonts w:ascii="宋体" w:cs="方正仿宋_GBK"/>
                <w:color w:val="000000"/>
                <w:sz w:val="24"/>
                <w:szCs w:val="24"/>
                <w:highlight w:val="yellow"/>
              </w:rPr>
            </w:pPr>
            <w:r>
              <w:rPr>
                <w:rFonts w:hint="eastAsia" w:ascii="宋体" w:hAnsi="宋体" w:cs="方正仿宋_GBK"/>
                <w:color w:val="000000"/>
                <w:sz w:val="24"/>
                <w:szCs w:val="24"/>
                <w:highlight w:val="yellow"/>
              </w:rPr>
              <w:t>30分</w:t>
            </w:r>
          </w:p>
        </w:tc>
        <w:tc>
          <w:tcPr>
            <w:tcW w:w="4976" w:type="dxa"/>
            <w:vAlign w:val="center"/>
          </w:tcPr>
          <w:p>
            <w:pPr>
              <w:widowControl/>
              <w:spacing w:line="300" w:lineRule="exact"/>
              <w:outlineLvl w:val="2"/>
              <w:rPr>
                <w:rFonts w:ascii="宋体" w:hAnsi="宋体" w:cs="宋体"/>
                <w:color w:val="000000"/>
                <w:sz w:val="21"/>
                <w:szCs w:val="21"/>
              </w:rPr>
            </w:pPr>
            <w:r>
              <w:rPr>
                <w:rFonts w:hint="eastAsia" w:ascii="宋体" w:hAnsi="宋体" w:cs="宋体"/>
                <w:color w:val="000000"/>
                <w:sz w:val="21"/>
                <w:szCs w:val="21"/>
              </w:rPr>
              <w:t>有效的投标报价最低价为评标基准价，按照下列公式计算每个投标人的投标价格得分。</w:t>
            </w:r>
          </w:p>
          <w:p>
            <w:pPr>
              <w:widowControl/>
              <w:spacing w:line="300" w:lineRule="exact"/>
              <w:outlineLvl w:val="2"/>
              <w:rPr>
                <w:rFonts w:ascii="宋体" w:cs="宋体"/>
                <w:color w:val="000000"/>
                <w:sz w:val="21"/>
                <w:szCs w:val="21"/>
              </w:rPr>
            </w:pPr>
            <w:r>
              <w:rPr>
                <w:rFonts w:hint="eastAsia" w:ascii="宋体" w:hAnsi="宋体" w:cs="宋体"/>
                <w:color w:val="000000"/>
                <w:sz w:val="21"/>
                <w:szCs w:val="21"/>
              </w:rPr>
              <w:t>投标报价得分＝（评标基准价/投标报价）×价格权重×100。</w:t>
            </w:r>
          </w:p>
        </w:tc>
        <w:tc>
          <w:tcPr>
            <w:tcW w:w="2425" w:type="dxa"/>
            <w:vAlign w:val="center"/>
          </w:tcPr>
          <w:p>
            <w:pPr>
              <w:spacing w:line="360" w:lineRule="exact"/>
              <w:rPr>
                <w:rFonts w:cs="方正仿宋_GBK"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超过限价的投标为无效投标。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05" w:type="dxa"/>
            <w:vMerge w:val="restart"/>
            <w:vAlign w:val="center"/>
          </w:tcPr>
          <w:p>
            <w:pPr>
              <w:spacing w:line="360" w:lineRule="exact"/>
              <w:jc w:val="center"/>
              <w:rPr>
                <w:rFonts w:ascii="宋体" w:cs="方正仿宋_GBK"/>
                <w:color w:val="000000"/>
                <w:sz w:val="24"/>
                <w:szCs w:val="24"/>
              </w:rPr>
            </w:pPr>
            <w:r>
              <w:rPr>
                <w:rFonts w:hint="eastAsia" w:ascii="宋体" w:cs="方正仿宋_GBK"/>
                <w:color w:val="000000"/>
                <w:sz w:val="24"/>
                <w:szCs w:val="24"/>
              </w:rPr>
              <w:t>2</w:t>
            </w:r>
          </w:p>
          <w:p>
            <w:pPr>
              <w:spacing w:line="360" w:lineRule="exact"/>
              <w:jc w:val="center"/>
              <w:rPr>
                <w:rFonts w:ascii="宋体" w:cs="方正仿宋_GBK"/>
                <w:color w:val="000000"/>
                <w:sz w:val="24"/>
                <w:szCs w:val="24"/>
              </w:rPr>
            </w:pPr>
          </w:p>
        </w:tc>
        <w:tc>
          <w:tcPr>
            <w:tcW w:w="1269" w:type="dxa"/>
            <w:vMerge w:val="restart"/>
            <w:vAlign w:val="center"/>
          </w:tcPr>
          <w:p>
            <w:pPr>
              <w:spacing w:line="320" w:lineRule="exact"/>
              <w:jc w:val="center"/>
              <w:rPr>
                <w:rFonts w:ascii="宋体" w:cs="方正仿宋_GBK"/>
                <w:color w:val="000000"/>
                <w:sz w:val="24"/>
                <w:szCs w:val="24"/>
              </w:rPr>
            </w:pPr>
            <w:r>
              <w:rPr>
                <w:rFonts w:hint="eastAsia" w:ascii="宋体" w:cs="方正仿宋_GBK"/>
                <w:color w:val="000000"/>
                <w:sz w:val="24"/>
                <w:szCs w:val="24"/>
              </w:rPr>
              <w:t>技术部分（24%）</w:t>
            </w:r>
          </w:p>
        </w:tc>
        <w:tc>
          <w:tcPr>
            <w:tcW w:w="955" w:type="dxa"/>
            <w:vAlign w:val="center"/>
          </w:tcPr>
          <w:p>
            <w:pPr>
              <w:widowControl/>
              <w:spacing w:line="300" w:lineRule="exact"/>
              <w:jc w:val="center"/>
              <w:outlineLvl w:val="2"/>
              <w:rPr>
                <w:rFonts w:ascii="宋体" w:cs="宋体"/>
                <w:color w:val="000000"/>
                <w:sz w:val="24"/>
                <w:szCs w:val="24"/>
              </w:rPr>
            </w:pPr>
            <w:r>
              <w:rPr>
                <w:rFonts w:hint="eastAsia" w:ascii="宋体" w:hAnsi="宋体" w:cs="宋体"/>
                <w:color w:val="000000"/>
                <w:sz w:val="24"/>
                <w:szCs w:val="24"/>
              </w:rPr>
              <w:t>10分</w:t>
            </w:r>
          </w:p>
        </w:tc>
        <w:tc>
          <w:tcPr>
            <w:tcW w:w="4976" w:type="dxa"/>
            <w:vAlign w:val="center"/>
          </w:tcPr>
          <w:p>
            <w:pPr>
              <w:widowControl/>
              <w:spacing w:line="300" w:lineRule="exact"/>
              <w:outlineLvl w:val="2"/>
              <w:rPr>
                <w:rFonts w:ascii="宋体"/>
                <w:color w:val="000000"/>
                <w:sz w:val="21"/>
                <w:szCs w:val="21"/>
              </w:rPr>
            </w:pPr>
            <w:r>
              <w:rPr>
                <w:rFonts w:hint="eastAsia" w:ascii="宋体"/>
                <w:color w:val="000000"/>
                <w:sz w:val="21"/>
                <w:szCs w:val="21"/>
              </w:rPr>
              <w:t>提供本次项目详细的治理方案（10分）</w:t>
            </w:r>
          </w:p>
          <w:p>
            <w:pPr>
              <w:widowControl/>
              <w:spacing w:line="300" w:lineRule="exact"/>
              <w:outlineLvl w:val="2"/>
              <w:rPr>
                <w:rFonts w:ascii="宋体" w:hAnsi="宋体" w:cs="宋体"/>
                <w:color w:val="000000"/>
                <w:sz w:val="18"/>
                <w:szCs w:val="18"/>
              </w:rPr>
            </w:pPr>
            <w:r>
              <w:rPr>
                <w:rFonts w:hint="eastAsia" w:ascii="宋体" w:hAnsi="宋体" w:cs="宋体"/>
                <w:color w:val="000000"/>
                <w:sz w:val="21"/>
                <w:szCs w:val="21"/>
              </w:rPr>
              <w:t>优得8</w:t>
            </w:r>
            <w:r>
              <w:rPr>
                <w:rFonts w:ascii="宋体" w:hAnsi="宋体" w:cs="宋体"/>
                <w:color w:val="000000"/>
                <w:sz w:val="21"/>
                <w:szCs w:val="21"/>
              </w:rPr>
              <w:t>-</w:t>
            </w:r>
            <w:r>
              <w:rPr>
                <w:rFonts w:hint="eastAsia" w:ascii="宋体" w:hAnsi="宋体" w:cs="宋体"/>
                <w:color w:val="000000"/>
                <w:sz w:val="21"/>
                <w:szCs w:val="21"/>
              </w:rPr>
              <w:t>10分，良得6</w:t>
            </w:r>
            <w:r>
              <w:rPr>
                <w:rFonts w:ascii="宋体" w:hAnsi="宋体" w:cs="宋体"/>
                <w:color w:val="000000"/>
                <w:sz w:val="21"/>
                <w:szCs w:val="21"/>
              </w:rPr>
              <w:t>-</w:t>
            </w:r>
            <w:r>
              <w:rPr>
                <w:rFonts w:hint="eastAsia" w:ascii="宋体" w:hAnsi="宋体" w:cs="宋体"/>
                <w:color w:val="000000"/>
                <w:sz w:val="21"/>
                <w:szCs w:val="21"/>
              </w:rPr>
              <w:t>7分，一般得3-5，差得,1-2分，未提供为0分。</w:t>
            </w:r>
          </w:p>
        </w:tc>
        <w:tc>
          <w:tcPr>
            <w:tcW w:w="2425" w:type="dxa"/>
            <w:vMerge w:val="restart"/>
            <w:vAlign w:val="center"/>
          </w:tcPr>
          <w:p>
            <w:pPr>
              <w:spacing w:line="360" w:lineRule="exact"/>
              <w:rPr>
                <w:rFonts w:ascii="宋体" w:cs="方正仿宋_GBK"/>
                <w:color w:val="000000"/>
                <w:sz w:val="18"/>
                <w:szCs w:val="18"/>
              </w:rPr>
            </w:pPr>
            <w:r>
              <w:rPr>
                <w:rFonts w:hint="eastAsia" w:ascii="宋体" w:hAnsi="宋体" w:cs="宋体"/>
                <w:color w:val="000000"/>
                <w:sz w:val="21"/>
                <w:szCs w:val="21"/>
              </w:rPr>
              <w:t>评审小组根据采购人服务要求，对各供应商提供的方案进行横向比较，独立评分。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Merge w:val="continue"/>
            <w:vAlign w:val="center"/>
          </w:tcPr>
          <w:p>
            <w:pPr>
              <w:spacing w:line="360" w:lineRule="exact"/>
              <w:jc w:val="center"/>
              <w:rPr>
                <w:rFonts w:ascii="宋体" w:cs="方正仿宋_GBK"/>
                <w:color w:val="000000"/>
                <w:sz w:val="24"/>
                <w:szCs w:val="24"/>
              </w:rPr>
            </w:pPr>
          </w:p>
        </w:tc>
        <w:tc>
          <w:tcPr>
            <w:tcW w:w="1269" w:type="dxa"/>
            <w:vMerge w:val="continue"/>
            <w:vAlign w:val="center"/>
          </w:tcPr>
          <w:p>
            <w:pPr>
              <w:spacing w:line="360" w:lineRule="exact"/>
              <w:jc w:val="center"/>
              <w:rPr>
                <w:rFonts w:ascii="宋体" w:cs="方正仿宋_GBK"/>
                <w:color w:val="000000"/>
                <w:sz w:val="24"/>
                <w:szCs w:val="24"/>
              </w:rPr>
            </w:pPr>
          </w:p>
        </w:tc>
        <w:tc>
          <w:tcPr>
            <w:tcW w:w="955" w:type="dxa"/>
            <w:vAlign w:val="center"/>
          </w:tcPr>
          <w:p>
            <w:pPr>
              <w:spacing w:line="240" w:lineRule="exact"/>
              <w:jc w:val="center"/>
              <w:rPr>
                <w:rFonts w:ascii="宋体" w:hAnsi="宋体" w:eastAsia="微软雅黑" w:cs="方正仿宋_GBK"/>
                <w:color w:val="000000"/>
                <w:sz w:val="24"/>
                <w:szCs w:val="24"/>
              </w:rPr>
            </w:pPr>
            <w:r>
              <w:rPr>
                <w:rFonts w:hint="eastAsia" w:ascii="宋体" w:hAnsi="宋体" w:eastAsia="微软雅黑" w:cs="方正仿宋_GBK"/>
                <w:color w:val="000000"/>
                <w:sz w:val="24"/>
                <w:szCs w:val="24"/>
              </w:rPr>
              <w:t>14分</w:t>
            </w:r>
          </w:p>
        </w:tc>
        <w:tc>
          <w:tcPr>
            <w:tcW w:w="4976" w:type="dxa"/>
            <w:vAlign w:val="center"/>
          </w:tcPr>
          <w:p>
            <w:pPr>
              <w:widowControl/>
              <w:spacing w:line="300" w:lineRule="exact"/>
              <w:outlineLvl w:val="2"/>
              <w:rPr>
                <w:rFonts w:asci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、服务及现场管理方案（5分）</w:t>
            </w:r>
          </w:p>
          <w:p>
            <w:pPr>
              <w:widowControl/>
              <w:spacing w:line="300" w:lineRule="exact"/>
              <w:outlineLvl w:val="2"/>
              <w:rPr>
                <w:rFonts w:ascii="宋体" w:cs="宋体"/>
                <w:color w:val="000000"/>
                <w:sz w:val="21"/>
                <w:szCs w:val="21"/>
              </w:rPr>
            </w:pPr>
            <w:r>
              <w:rPr>
                <w:rFonts w:hint="eastAsia" w:ascii="宋体" w:hAnsi="宋体" w:cs="宋体"/>
                <w:color w:val="000000"/>
                <w:sz w:val="21"/>
                <w:szCs w:val="21"/>
              </w:rPr>
              <w:t>优得4-5分，良得2-3分，差得1分，未提供为0分。</w:t>
            </w:r>
          </w:p>
          <w:p>
            <w:pPr>
              <w:widowControl/>
              <w:spacing w:line="300" w:lineRule="exact"/>
              <w:outlineLvl w:val="2"/>
              <w:rPr>
                <w:rFonts w:ascii="宋体" w:hAns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、售后服务方案（5分）</w:t>
            </w:r>
          </w:p>
          <w:p>
            <w:pPr>
              <w:widowControl/>
              <w:spacing w:line="300" w:lineRule="exact"/>
              <w:outlineLvl w:val="2"/>
              <w:rPr>
                <w:rFonts w:ascii="宋体" w:cs="宋体"/>
                <w:color w:val="000000"/>
                <w:sz w:val="21"/>
                <w:szCs w:val="21"/>
              </w:rPr>
            </w:pPr>
            <w:r>
              <w:rPr>
                <w:rFonts w:hint="eastAsia" w:ascii="宋体" w:hAnsi="宋体" w:cs="宋体"/>
                <w:color w:val="000000"/>
                <w:sz w:val="21"/>
                <w:szCs w:val="21"/>
              </w:rPr>
              <w:t>优得4-5分，良得2-3分，差得1分，未提供为0分。</w:t>
            </w:r>
          </w:p>
          <w:p>
            <w:pPr>
              <w:widowControl/>
              <w:spacing w:line="300" w:lineRule="exact"/>
              <w:outlineLvl w:val="2"/>
              <w:rPr>
                <w:rFonts w:asci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、服务质量保障方案（4分）</w:t>
            </w:r>
          </w:p>
          <w:p>
            <w:pPr>
              <w:widowControl/>
              <w:spacing w:line="300" w:lineRule="exact"/>
              <w:outlineLvl w:val="2"/>
              <w:rPr>
                <w:rFonts w:ascii="宋体" w:cs="宋体"/>
                <w:color w:val="000000"/>
                <w:sz w:val="21"/>
                <w:szCs w:val="21"/>
              </w:rPr>
            </w:pPr>
            <w:r>
              <w:rPr>
                <w:rFonts w:hint="eastAsia" w:ascii="宋体" w:hAnsi="宋体" w:cs="宋体"/>
                <w:color w:val="000000"/>
                <w:sz w:val="21"/>
                <w:szCs w:val="21"/>
              </w:rPr>
              <w:t>优得3</w:t>
            </w:r>
            <w:r>
              <w:rPr>
                <w:rFonts w:ascii="宋体" w:hAnsi="宋体" w:cs="宋体"/>
                <w:color w:val="000000"/>
                <w:sz w:val="21"/>
                <w:szCs w:val="21"/>
              </w:rPr>
              <w:t>-</w:t>
            </w:r>
            <w:r>
              <w:rPr>
                <w:rFonts w:hint="eastAsia" w:ascii="宋体" w:hAnsi="宋体" w:cs="宋体"/>
                <w:color w:val="000000"/>
                <w:sz w:val="21"/>
                <w:szCs w:val="21"/>
              </w:rPr>
              <w:t>4分，良得2</w:t>
            </w:r>
            <w:r>
              <w:rPr>
                <w:rFonts w:ascii="宋体" w:hAnsi="宋体" w:cs="宋体"/>
                <w:color w:val="000000"/>
                <w:sz w:val="21"/>
                <w:szCs w:val="21"/>
              </w:rPr>
              <w:t>-</w:t>
            </w:r>
            <w:r>
              <w:rPr>
                <w:rFonts w:hint="eastAsia" w:ascii="宋体" w:hAnsi="宋体" w:cs="宋体"/>
                <w:color w:val="000000"/>
                <w:sz w:val="21"/>
                <w:szCs w:val="21"/>
              </w:rPr>
              <w:t>3分，差得1分，未提供为0分。</w:t>
            </w:r>
          </w:p>
        </w:tc>
        <w:tc>
          <w:tcPr>
            <w:tcW w:w="2425" w:type="dxa"/>
            <w:vMerge w:val="continue"/>
            <w:vAlign w:val="center"/>
          </w:tcPr>
          <w:p>
            <w:pPr>
              <w:spacing w:line="360" w:lineRule="exact"/>
              <w:rPr>
                <w:rFonts w:ascii="宋体"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Merge w:val="restart"/>
            <w:vAlign w:val="center"/>
          </w:tcPr>
          <w:p>
            <w:pPr>
              <w:spacing w:line="360" w:lineRule="exact"/>
              <w:jc w:val="center"/>
              <w:rPr>
                <w:rFonts w:ascii="宋体" w:hAnsi="宋体" w:cs="方正仿宋_GBK"/>
                <w:color w:val="000000"/>
                <w:sz w:val="24"/>
                <w:szCs w:val="24"/>
              </w:rPr>
            </w:pPr>
            <w:r>
              <w:rPr>
                <w:rFonts w:hint="eastAsia" w:ascii="宋体" w:hAnsi="宋体" w:cs="方正仿宋_GBK"/>
                <w:color w:val="000000"/>
                <w:sz w:val="24"/>
                <w:szCs w:val="24"/>
              </w:rPr>
              <w:t>4</w:t>
            </w:r>
          </w:p>
        </w:tc>
        <w:tc>
          <w:tcPr>
            <w:tcW w:w="1269" w:type="dxa"/>
            <w:vMerge w:val="restart"/>
            <w:vAlign w:val="center"/>
          </w:tcPr>
          <w:p>
            <w:pPr>
              <w:spacing w:line="360" w:lineRule="exact"/>
              <w:jc w:val="center"/>
              <w:rPr>
                <w:rFonts w:ascii="宋体" w:cs="方正仿宋_GBK"/>
                <w:color w:val="000000"/>
                <w:sz w:val="24"/>
                <w:szCs w:val="24"/>
              </w:rPr>
            </w:pPr>
            <w:r>
              <w:rPr>
                <w:rFonts w:hint="eastAsia" w:ascii="宋体" w:cs="方正仿宋_GBK"/>
                <w:color w:val="000000"/>
                <w:sz w:val="24"/>
                <w:szCs w:val="24"/>
              </w:rPr>
              <w:t>资质（16%）</w:t>
            </w:r>
          </w:p>
        </w:tc>
        <w:tc>
          <w:tcPr>
            <w:tcW w:w="955" w:type="dxa"/>
            <w:vAlign w:val="center"/>
          </w:tcPr>
          <w:p>
            <w:pPr>
              <w:spacing w:line="240" w:lineRule="exact"/>
              <w:jc w:val="center"/>
              <w:rPr>
                <w:rFonts w:ascii="宋体" w:hAnsi="宋体" w:eastAsia="微软雅黑" w:cs="方正仿宋_GBK"/>
                <w:color w:val="000000"/>
                <w:sz w:val="24"/>
                <w:szCs w:val="24"/>
              </w:rPr>
            </w:pPr>
            <w:r>
              <w:rPr>
                <w:rFonts w:hint="eastAsia" w:ascii="宋体" w:hAnsi="宋体" w:eastAsia="微软雅黑" w:cs="方正仿宋_GBK"/>
                <w:color w:val="000000"/>
                <w:sz w:val="24"/>
                <w:szCs w:val="24"/>
              </w:rPr>
              <w:t>8分</w:t>
            </w:r>
          </w:p>
        </w:tc>
        <w:tc>
          <w:tcPr>
            <w:tcW w:w="4976" w:type="dxa"/>
            <w:vAlign w:val="center"/>
          </w:tcPr>
          <w:p>
            <w:pPr>
              <w:widowControl/>
              <w:spacing w:line="300" w:lineRule="exact"/>
              <w:outlineLvl w:val="2"/>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注册资金在500万及以上得5分；300万-499万得3分；100万到299万得2分；100万以下得1分。</w:t>
            </w:r>
          </w:p>
          <w:p>
            <w:pPr>
              <w:widowControl/>
              <w:spacing w:line="300" w:lineRule="exact"/>
              <w:outlineLvl w:val="2"/>
              <w:rPr>
                <w:rFonts w:ascii="宋体" w:hAnsi="宋体" w:cs="宋体"/>
                <w:color w:val="000000"/>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公司取得《重庆市有害生物防制服务机构资质证书》A级得3分，B级得2分、C级得1分，没有等级不得分。</w:t>
            </w:r>
          </w:p>
        </w:tc>
        <w:tc>
          <w:tcPr>
            <w:tcW w:w="2425" w:type="dxa"/>
            <w:vAlign w:val="center"/>
          </w:tcPr>
          <w:p>
            <w:pPr>
              <w:spacing w:line="360" w:lineRule="exact"/>
              <w:rPr>
                <w:rFonts w:ascii="宋体" w:cs="方正仿宋_GBK"/>
                <w:color w:val="000000"/>
                <w:sz w:val="21"/>
                <w:szCs w:val="21"/>
              </w:rPr>
            </w:pPr>
            <w:r>
              <w:rPr>
                <w:rFonts w:hint="eastAsia" w:ascii="宋体" w:cs="方正仿宋_GBK"/>
                <w:color w:val="000000"/>
                <w:sz w:val="21"/>
                <w:szCs w:val="21"/>
              </w:rPr>
              <w:t>提供原件备查。资料不真实做无效投标供应商。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5" w:type="dxa"/>
            <w:vMerge w:val="continue"/>
            <w:vAlign w:val="center"/>
          </w:tcPr>
          <w:p>
            <w:pPr>
              <w:spacing w:line="360" w:lineRule="exact"/>
              <w:jc w:val="center"/>
              <w:rPr>
                <w:rFonts w:ascii="宋体" w:hAnsi="宋体" w:cs="方正仿宋_GBK"/>
                <w:color w:val="000000"/>
                <w:sz w:val="24"/>
                <w:szCs w:val="24"/>
              </w:rPr>
            </w:pPr>
          </w:p>
        </w:tc>
        <w:tc>
          <w:tcPr>
            <w:tcW w:w="1269" w:type="dxa"/>
            <w:vMerge w:val="continue"/>
            <w:vAlign w:val="center"/>
          </w:tcPr>
          <w:p>
            <w:pPr>
              <w:spacing w:line="360" w:lineRule="exact"/>
              <w:jc w:val="center"/>
              <w:rPr>
                <w:rFonts w:ascii="宋体" w:cs="方正仿宋_GBK"/>
                <w:color w:val="000000"/>
                <w:sz w:val="24"/>
                <w:szCs w:val="24"/>
              </w:rPr>
            </w:pPr>
          </w:p>
        </w:tc>
        <w:tc>
          <w:tcPr>
            <w:tcW w:w="955" w:type="dxa"/>
            <w:vAlign w:val="center"/>
          </w:tcPr>
          <w:p>
            <w:pPr>
              <w:spacing w:line="240" w:lineRule="exact"/>
              <w:jc w:val="center"/>
              <w:rPr>
                <w:rFonts w:ascii="宋体" w:hAnsi="宋体" w:eastAsia="微软雅黑" w:cs="方正仿宋_GBK"/>
                <w:color w:val="000000"/>
                <w:sz w:val="24"/>
                <w:szCs w:val="24"/>
              </w:rPr>
            </w:pPr>
            <w:r>
              <w:rPr>
                <w:rFonts w:hint="eastAsia" w:ascii="宋体" w:hAnsi="宋体" w:eastAsia="微软雅黑" w:cs="方正仿宋_GBK"/>
                <w:color w:val="000000"/>
                <w:sz w:val="24"/>
                <w:szCs w:val="24"/>
              </w:rPr>
              <w:t>8分</w:t>
            </w:r>
          </w:p>
        </w:tc>
        <w:tc>
          <w:tcPr>
            <w:tcW w:w="4976" w:type="dxa"/>
            <w:vAlign w:val="center"/>
          </w:tcPr>
          <w:p>
            <w:pPr>
              <w:widowControl/>
              <w:spacing w:line="300" w:lineRule="exact"/>
              <w:outlineLvl w:val="2"/>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投标单位必须具有一个有害生物三级资质防治员（项目负责人），得5分，没有三级资质防治员做废标处理。</w:t>
            </w:r>
          </w:p>
          <w:p>
            <w:pPr>
              <w:widowControl/>
              <w:spacing w:line="300" w:lineRule="exact"/>
              <w:outlineLvl w:val="2"/>
              <w:rPr>
                <w:rFonts w:ascii="宋体" w:hAnsi="宋体" w:cs="宋体"/>
                <w:color w:val="000000"/>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项目负责人必须为本单位员工，且必须在本单位工作一年及以上得3分（以社保证明为准），没有不得分。</w:t>
            </w:r>
          </w:p>
        </w:tc>
        <w:tc>
          <w:tcPr>
            <w:tcW w:w="2425" w:type="dxa"/>
            <w:vAlign w:val="center"/>
          </w:tcPr>
          <w:p>
            <w:pPr>
              <w:spacing w:line="360" w:lineRule="exact"/>
              <w:rPr>
                <w:rFonts w:ascii="宋体" w:cs="方正仿宋_GBK"/>
                <w:color w:val="000000"/>
                <w:sz w:val="21"/>
                <w:szCs w:val="21"/>
              </w:rPr>
            </w:pPr>
            <w:r>
              <w:rPr>
                <w:rFonts w:hint="eastAsia" w:ascii="宋体" w:cs="方正仿宋_GBK"/>
                <w:color w:val="000000"/>
                <w:sz w:val="21"/>
                <w:szCs w:val="21"/>
              </w:rPr>
              <w:t>提供原件备查，资料不真实做无效投标供应商。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Merge w:val="restart"/>
            <w:vAlign w:val="center"/>
          </w:tcPr>
          <w:p>
            <w:pPr>
              <w:spacing w:line="320" w:lineRule="exact"/>
              <w:jc w:val="center"/>
              <w:rPr>
                <w:rFonts w:ascii="宋体" w:cs="方正仿宋_GBK"/>
                <w:color w:val="000000"/>
                <w:sz w:val="24"/>
                <w:szCs w:val="24"/>
              </w:rPr>
            </w:pPr>
            <w:r>
              <w:rPr>
                <w:rFonts w:hint="eastAsia" w:ascii="宋体" w:hAnsi="宋体" w:cs="方正仿宋_GBK"/>
                <w:color w:val="000000"/>
                <w:sz w:val="24"/>
                <w:szCs w:val="24"/>
              </w:rPr>
              <w:t>5</w:t>
            </w:r>
          </w:p>
        </w:tc>
        <w:tc>
          <w:tcPr>
            <w:tcW w:w="1269" w:type="dxa"/>
            <w:vMerge w:val="restart"/>
            <w:vAlign w:val="center"/>
          </w:tcPr>
          <w:p>
            <w:pPr>
              <w:spacing w:line="360" w:lineRule="exact"/>
              <w:jc w:val="center"/>
              <w:rPr>
                <w:rFonts w:ascii="宋体" w:cs="方正仿宋_GBK"/>
                <w:color w:val="000000"/>
                <w:sz w:val="24"/>
                <w:szCs w:val="24"/>
              </w:rPr>
            </w:pPr>
            <w:r>
              <w:rPr>
                <w:rFonts w:hint="eastAsia" w:ascii="宋体" w:hAnsi="宋体" w:cs="方正仿宋_GBK"/>
                <w:color w:val="000000"/>
                <w:sz w:val="24"/>
                <w:szCs w:val="24"/>
              </w:rPr>
              <w:t>商务部分（30%）</w:t>
            </w:r>
          </w:p>
        </w:tc>
        <w:tc>
          <w:tcPr>
            <w:tcW w:w="955" w:type="dxa"/>
            <w:vAlign w:val="center"/>
          </w:tcPr>
          <w:p>
            <w:pPr>
              <w:spacing w:line="240" w:lineRule="exact"/>
              <w:jc w:val="center"/>
              <w:rPr>
                <w:rFonts w:ascii="宋体" w:hAnsi="宋体" w:eastAsia="微软雅黑" w:cs="方正仿宋_GBK"/>
                <w:color w:val="000000"/>
                <w:sz w:val="24"/>
                <w:szCs w:val="24"/>
              </w:rPr>
            </w:pPr>
            <w:r>
              <w:rPr>
                <w:rFonts w:hint="eastAsia" w:ascii="宋体" w:hAnsi="宋体" w:eastAsia="微软雅黑" w:cs="方正仿宋_GBK"/>
                <w:color w:val="000000"/>
                <w:sz w:val="24"/>
                <w:szCs w:val="24"/>
              </w:rPr>
              <w:t>15分</w:t>
            </w:r>
          </w:p>
        </w:tc>
        <w:tc>
          <w:tcPr>
            <w:tcW w:w="4976" w:type="dxa"/>
            <w:vAlign w:val="center"/>
          </w:tcPr>
          <w:p>
            <w:pPr>
              <w:widowControl/>
              <w:spacing w:line="300" w:lineRule="exact"/>
              <w:outlineLvl w:val="2"/>
              <w:rPr>
                <w:rFonts w:ascii="宋体" w:cs="宋体"/>
                <w:color w:val="000000"/>
                <w:sz w:val="24"/>
                <w:szCs w:val="24"/>
              </w:rPr>
            </w:pPr>
            <w:r>
              <w:rPr>
                <w:rFonts w:hint="eastAsia" w:ascii="宋体" w:cs="宋体"/>
                <w:color w:val="000000"/>
                <w:sz w:val="21"/>
                <w:szCs w:val="21"/>
              </w:rPr>
              <w:t>投标单位须提供近两年内（201</w:t>
            </w:r>
            <w:r>
              <w:rPr>
                <w:rFonts w:hint="eastAsia" w:ascii="宋体" w:cs="宋体"/>
                <w:color w:val="000000"/>
                <w:sz w:val="21"/>
                <w:szCs w:val="21"/>
                <w:lang w:val="en-US" w:eastAsia="zh-CN"/>
              </w:rPr>
              <w:t>9</w:t>
            </w:r>
            <w:r>
              <w:rPr>
                <w:rFonts w:hint="eastAsia" w:ascii="宋体" w:cs="宋体"/>
                <w:color w:val="000000"/>
                <w:sz w:val="21"/>
                <w:szCs w:val="21"/>
              </w:rPr>
              <w:t>年01月至20</w:t>
            </w:r>
            <w:r>
              <w:rPr>
                <w:rFonts w:hint="eastAsia" w:ascii="宋体" w:cs="宋体"/>
                <w:color w:val="000000"/>
                <w:sz w:val="21"/>
                <w:szCs w:val="21"/>
                <w:lang w:val="en-US" w:eastAsia="zh-CN"/>
              </w:rPr>
              <w:t>20</w:t>
            </w:r>
            <w:r>
              <w:rPr>
                <w:rFonts w:hint="eastAsia" w:ascii="宋体" w:cs="宋体"/>
                <w:color w:val="000000"/>
                <w:sz w:val="21"/>
                <w:szCs w:val="21"/>
              </w:rPr>
              <w:t>年12月）政府机构或者事业单位病媒生物防治服务，每提供1份完整资料（包含但不限于：合同、发票）得3分，最高得15分，资料不完整不得分。</w:t>
            </w:r>
          </w:p>
        </w:tc>
        <w:tc>
          <w:tcPr>
            <w:tcW w:w="2425" w:type="dxa"/>
            <w:vAlign w:val="center"/>
          </w:tcPr>
          <w:p>
            <w:pPr>
              <w:spacing w:line="360" w:lineRule="exact"/>
              <w:rPr>
                <w:rFonts w:ascii="宋体" w:cs="方正仿宋_GBK"/>
                <w:color w:val="000000"/>
                <w:sz w:val="24"/>
                <w:szCs w:val="24"/>
              </w:rPr>
            </w:pPr>
            <w:r>
              <w:rPr>
                <w:rFonts w:hint="eastAsia" w:ascii="宋体" w:hAnsi="宋体" w:cs="宋体"/>
                <w:color w:val="000000"/>
                <w:sz w:val="18"/>
                <w:szCs w:val="18"/>
              </w:rPr>
              <w:t>提供合同、发票扫描件加盖投标人鲜章，原件备查。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705" w:type="dxa"/>
            <w:vMerge w:val="continue"/>
            <w:vAlign w:val="center"/>
          </w:tcPr>
          <w:p>
            <w:pPr>
              <w:spacing w:line="320" w:lineRule="exact"/>
              <w:jc w:val="center"/>
              <w:rPr>
                <w:rFonts w:ascii="宋体" w:cs="方正仿宋_GBK"/>
                <w:color w:val="000000"/>
                <w:sz w:val="24"/>
                <w:szCs w:val="24"/>
              </w:rPr>
            </w:pPr>
          </w:p>
        </w:tc>
        <w:tc>
          <w:tcPr>
            <w:tcW w:w="1269" w:type="dxa"/>
            <w:vMerge w:val="continue"/>
            <w:vAlign w:val="center"/>
          </w:tcPr>
          <w:p>
            <w:pPr>
              <w:spacing w:line="360" w:lineRule="exact"/>
              <w:jc w:val="center"/>
              <w:rPr>
                <w:rFonts w:ascii="宋体" w:cs="方正仿宋_GBK"/>
                <w:color w:val="000000"/>
                <w:sz w:val="24"/>
                <w:szCs w:val="24"/>
              </w:rPr>
            </w:pPr>
          </w:p>
        </w:tc>
        <w:tc>
          <w:tcPr>
            <w:tcW w:w="955" w:type="dxa"/>
            <w:vAlign w:val="center"/>
          </w:tcPr>
          <w:p>
            <w:pPr>
              <w:spacing w:line="240" w:lineRule="exact"/>
              <w:jc w:val="center"/>
              <w:rPr>
                <w:rFonts w:ascii="宋体" w:hAnsi="宋体" w:eastAsia="微软雅黑" w:cs="方正仿宋_GBK"/>
                <w:color w:val="000000"/>
                <w:sz w:val="24"/>
                <w:szCs w:val="24"/>
              </w:rPr>
            </w:pPr>
            <w:r>
              <w:rPr>
                <w:rFonts w:hint="eastAsia" w:ascii="宋体" w:hAnsi="宋体" w:eastAsia="微软雅黑" w:cs="方正仿宋_GBK"/>
                <w:color w:val="000000"/>
                <w:sz w:val="24"/>
                <w:szCs w:val="24"/>
              </w:rPr>
              <w:t>15分</w:t>
            </w:r>
          </w:p>
        </w:tc>
        <w:tc>
          <w:tcPr>
            <w:tcW w:w="4976" w:type="dxa"/>
            <w:vAlign w:val="center"/>
          </w:tcPr>
          <w:p>
            <w:pPr>
              <w:widowControl/>
              <w:spacing w:line="300" w:lineRule="exact"/>
              <w:outlineLvl w:val="2"/>
              <w:rPr>
                <w:rFonts w:ascii="宋体" w:cs="宋体"/>
                <w:color w:val="000000"/>
                <w:sz w:val="21"/>
                <w:szCs w:val="21"/>
              </w:rPr>
            </w:pPr>
            <w:r>
              <w:rPr>
                <w:rFonts w:hint="eastAsia" w:ascii="宋体" w:cs="宋体"/>
                <w:color w:val="000000"/>
                <w:sz w:val="21"/>
                <w:szCs w:val="21"/>
              </w:rPr>
              <w:t>1、投标单位获得诚信经营示范单位，得3分；</w:t>
            </w:r>
          </w:p>
          <w:p>
            <w:pPr>
              <w:widowControl/>
              <w:spacing w:line="300" w:lineRule="exact"/>
              <w:outlineLvl w:val="2"/>
              <w:rPr>
                <w:rFonts w:ascii="宋体" w:cs="宋体"/>
                <w:color w:val="000000"/>
                <w:sz w:val="21"/>
                <w:szCs w:val="21"/>
              </w:rPr>
            </w:pPr>
            <w:r>
              <w:rPr>
                <w:rFonts w:hint="eastAsia" w:ascii="宋体" w:cs="宋体"/>
                <w:color w:val="000000"/>
                <w:sz w:val="21"/>
                <w:szCs w:val="21"/>
              </w:rPr>
              <w:t>2、投标单位获得质量服务信誉单位，得3分；</w:t>
            </w:r>
          </w:p>
          <w:p>
            <w:pPr>
              <w:widowControl/>
              <w:spacing w:line="300" w:lineRule="exact"/>
              <w:outlineLvl w:val="2"/>
              <w:rPr>
                <w:rFonts w:ascii="宋体" w:cs="宋体"/>
                <w:color w:val="000000"/>
                <w:sz w:val="21"/>
                <w:szCs w:val="21"/>
              </w:rPr>
            </w:pPr>
            <w:r>
              <w:rPr>
                <w:rFonts w:hint="eastAsia" w:ascii="宋体" w:cs="宋体"/>
                <w:color w:val="000000"/>
                <w:sz w:val="21"/>
                <w:szCs w:val="21"/>
              </w:rPr>
              <w:t>3、投标单位获得重合同守信用单位，得3分；</w:t>
            </w:r>
          </w:p>
          <w:p>
            <w:pPr>
              <w:widowControl/>
              <w:spacing w:line="300" w:lineRule="exact"/>
              <w:outlineLvl w:val="2"/>
              <w:rPr>
                <w:rFonts w:ascii="宋体" w:cs="宋体"/>
                <w:color w:val="000000"/>
                <w:sz w:val="21"/>
                <w:szCs w:val="21"/>
              </w:rPr>
            </w:pPr>
            <w:r>
              <w:rPr>
                <w:rFonts w:hint="eastAsia" w:ascii="宋体" w:cs="宋体"/>
                <w:color w:val="000000"/>
                <w:sz w:val="21"/>
                <w:szCs w:val="21"/>
              </w:rPr>
              <w:t>4、投标单位获得AAA资信等级，得3分；</w:t>
            </w:r>
          </w:p>
          <w:p>
            <w:pPr>
              <w:widowControl/>
              <w:spacing w:line="300" w:lineRule="exact"/>
              <w:outlineLvl w:val="2"/>
              <w:rPr>
                <w:rFonts w:ascii="宋体" w:cs="宋体"/>
                <w:color w:val="000000"/>
                <w:sz w:val="21"/>
                <w:szCs w:val="21"/>
              </w:rPr>
            </w:pPr>
            <w:r>
              <w:rPr>
                <w:rFonts w:hint="eastAsia" w:ascii="宋体" w:cs="宋体"/>
                <w:color w:val="000000"/>
                <w:sz w:val="21"/>
                <w:szCs w:val="21"/>
              </w:rPr>
              <w:t>5、投标单位获得中国信用报告，得3分。</w:t>
            </w:r>
          </w:p>
          <w:p>
            <w:pPr>
              <w:widowControl/>
              <w:spacing w:line="300" w:lineRule="exact"/>
              <w:outlineLvl w:val="2"/>
              <w:rPr>
                <w:rFonts w:ascii="宋体" w:cs="宋体"/>
                <w:color w:val="000000"/>
                <w:sz w:val="24"/>
                <w:szCs w:val="24"/>
              </w:rPr>
            </w:pPr>
            <w:r>
              <w:rPr>
                <w:rFonts w:hint="eastAsia" w:ascii="宋体" w:cs="宋体"/>
                <w:color w:val="000000"/>
                <w:sz w:val="21"/>
                <w:szCs w:val="21"/>
              </w:rPr>
              <w:t>每获得一个得3分，未提供不得分。</w:t>
            </w:r>
          </w:p>
        </w:tc>
        <w:tc>
          <w:tcPr>
            <w:tcW w:w="2425" w:type="dxa"/>
            <w:vAlign w:val="center"/>
          </w:tcPr>
          <w:p>
            <w:pPr>
              <w:spacing w:line="360" w:lineRule="exact"/>
              <w:rPr>
                <w:rFonts w:ascii="宋体" w:cs="方正仿宋_GBK"/>
                <w:color w:val="000000"/>
                <w:sz w:val="21"/>
                <w:szCs w:val="21"/>
              </w:rPr>
            </w:pPr>
            <w:r>
              <w:rPr>
                <w:rFonts w:hint="eastAsia" w:ascii="宋体" w:cs="方正仿宋_GBK"/>
                <w:color w:val="000000"/>
                <w:sz w:val="21"/>
                <w:szCs w:val="21"/>
              </w:rPr>
              <w:t>需提供315全国信用等级公示系统查询截图，盖投标人鲜章。</w:t>
            </w:r>
          </w:p>
        </w:tc>
      </w:tr>
    </w:tbl>
    <w:p/>
    <w:p>
      <w:pPr>
        <w:spacing w:line="360" w:lineRule="auto"/>
        <w:rPr>
          <w:rFonts w:ascii="宋体" w:hAnsi="宋体"/>
          <w:b/>
          <w:sz w:val="24"/>
          <w:szCs w:val="24"/>
        </w:rPr>
        <w:sectPr>
          <w:pgSz w:w="11907" w:h="16840"/>
          <w:pgMar w:top="1134" w:right="1191" w:bottom="1134" w:left="1304" w:header="964" w:footer="992" w:gutter="0"/>
          <w:pgNumType w:fmt="decimal"/>
          <w:cols w:space="720" w:num="1"/>
          <w:docGrid w:linePitch="312" w:charSpace="0"/>
        </w:sectPr>
      </w:pPr>
    </w:p>
    <w:p>
      <w:pPr>
        <w:pStyle w:val="3"/>
        <w:spacing w:before="0" w:after="0" w:line="360" w:lineRule="auto"/>
        <w:jc w:val="center"/>
        <w:rPr>
          <w:rFonts w:ascii="方正小标宋_GBK" w:hAnsi="宋体" w:eastAsia="方正小标宋_GBK"/>
          <w:b w:val="0"/>
          <w:sz w:val="30"/>
          <w:szCs w:val="30"/>
        </w:rPr>
      </w:pPr>
      <w:bookmarkStart w:id="47" w:name="_Toc32652"/>
      <w:r>
        <w:rPr>
          <w:rFonts w:hint="eastAsia" w:ascii="方正小标宋_GBK" w:hAnsi="宋体" w:eastAsia="方正小标宋_GBK"/>
          <w:b w:val="0"/>
          <w:sz w:val="36"/>
          <w:szCs w:val="30"/>
        </w:rPr>
        <w:t>第三篇  谈判项目技术需求</w:t>
      </w:r>
      <w:bookmarkEnd w:id="47"/>
    </w:p>
    <w:p>
      <w:pPr>
        <w:pStyle w:val="4"/>
        <w:spacing w:before="0" w:after="0" w:line="400" w:lineRule="exact"/>
        <w:rPr>
          <w:rFonts w:ascii="方正仿宋_GBK" w:eastAsia="方正仿宋_GBK"/>
          <w:sz w:val="24"/>
          <w:szCs w:val="24"/>
        </w:rPr>
      </w:pPr>
      <w:bookmarkStart w:id="48" w:name="_Toc7819"/>
      <w:bookmarkStart w:id="49" w:name="_Toc12789058"/>
      <w:r>
        <w:rPr>
          <w:rFonts w:hint="eastAsia" w:ascii="方正仿宋_GBK" w:eastAsia="方正仿宋_GBK"/>
          <w:sz w:val="24"/>
          <w:szCs w:val="24"/>
        </w:rPr>
        <w:t>一、项目一览表</w:t>
      </w:r>
      <w:bookmarkEnd w:id="48"/>
    </w:p>
    <w:tbl>
      <w:tblPr>
        <w:tblStyle w:val="1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1188"/>
        <w:gridCol w:w="1063"/>
        <w:gridCol w:w="1972"/>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3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项目名称</w:t>
            </w:r>
          </w:p>
        </w:tc>
        <w:tc>
          <w:tcPr>
            <w:tcW w:w="1188" w:type="dxa"/>
            <w:tcBorders>
              <w:top w:val="single" w:color="auto" w:sz="4" w:space="0"/>
              <w:left w:val="single" w:color="auto" w:sz="4" w:space="0"/>
              <w:right w:val="single" w:color="auto" w:sz="4" w:space="0"/>
            </w:tcBorders>
            <w:vAlign w:val="center"/>
          </w:tcPr>
          <w:p>
            <w:pPr>
              <w:pStyle w:val="5"/>
              <w:ind w:left="0" w:leftChars="0"/>
              <w:jc w:val="center"/>
              <w:outlineLvl w:val="0"/>
              <w:rPr>
                <w:rFonts w:ascii="方正仿宋_GBK" w:hAnsi="宋体" w:eastAsia="方正仿宋_GBK"/>
                <w:b/>
                <w:sz w:val="24"/>
                <w:szCs w:val="24"/>
              </w:rPr>
            </w:pPr>
            <w:r>
              <w:rPr>
                <w:rFonts w:hint="eastAsia" w:ascii="方正仿宋_GBK" w:hAnsi="宋体" w:eastAsia="方正仿宋_GBK"/>
                <w:b/>
                <w:sz w:val="24"/>
                <w:szCs w:val="24"/>
              </w:rPr>
              <w:t>数量</w:t>
            </w:r>
          </w:p>
        </w:tc>
        <w:tc>
          <w:tcPr>
            <w:tcW w:w="1063" w:type="dxa"/>
            <w:tcBorders>
              <w:top w:val="single" w:color="auto" w:sz="4" w:space="0"/>
              <w:left w:val="single" w:color="auto" w:sz="4" w:space="0"/>
              <w:right w:val="single" w:color="auto" w:sz="4" w:space="0"/>
            </w:tcBorders>
            <w:vAlign w:val="center"/>
          </w:tcPr>
          <w:p>
            <w:pPr>
              <w:pStyle w:val="5"/>
              <w:ind w:left="0" w:leftChars="0"/>
              <w:jc w:val="center"/>
              <w:outlineLvl w:val="0"/>
              <w:rPr>
                <w:rFonts w:ascii="方正仿宋_GBK" w:hAnsi="宋体" w:eastAsia="方正仿宋_GBK"/>
                <w:b/>
                <w:sz w:val="24"/>
                <w:szCs w:val="24"/>
              </w:rPr>
            </w:pPr>
            <w:r>
              <w:rPr>
                <w:rFonts w:hint="eastAsia" w:ascii="方正仿宋_GBK" w:hAnsi="宋体" w:eastAsia="方正仿宋_GBK"/>
                <w:b/>
                <w:sz w:val="24"/>
                <w:szCs w:val="24"/>
              </w:rPr>
              <w:t>单位</w:t>
            </w:r>
          </w:p>
        </w:tc>
        <w:tc>
          <w:tcPr>
            <w:tcW w:w="1972" w:type="dxa"/>
            <w:tcBorders>
              <w:top w:val="single" w:color="auto" w:sz="4" w:space="0"/>
              <w:left w:val="single" w:color="auto" w:sz="4" w:space="0"/>
              <w:right w:val="single" w:color="auto" w:sz="4" w:space="0"/>
            </w:tcBorders>
            <w:vAlign w:val="center"/>
          </w:tcPr>
          <w:p>
            <w:pPr>
              <w:pStyle w:val="5"/>
              <w:ind w:left="0" w:leftChars="0"/>
              <w:jc w:val="center"/>
              <w:outlineLvl w:val="0"/>
              <w:rPr>
                <w:rFonts w:ascii="方正仿宋_GBK" w:hAnsi="宋体" w:eastAsia="方正仿宋_GBK"/>
                <w:b/>
                <w:sz w:val="24"/>
                <w:szCs w:val="24"/>
              </w:rPr>
            </w:pPr>
            <w:r>
              <w:rPr>
                <w:rFonts w:hint="eastAsia" w:ascii="方正仿宋_GBK" w:hAnsi="宋体" w:eastAsia="方正仿宋_GBK"/>
                <w:b/>
                <w:sz w:val="24"/>
                <w:szCs w:val="24"/>
              </w:rPr>
              <w:t>预算金额</w:t>
            </w:r>
          </w:p>
          <w:p>
            <w:pPr>
              <w:pStyle w:val="5"/>
              <w:ind w:left="0" w:leftChars="0"/>
              <w:jc w:val="center"/>
              <w:outlineLvl w:val="0"/>
              <w:rPr>
                <w:rFonts w:ascii="方正仿宋_GBK" w:hAnsi="宋体" w:eastAsia="方正仿宋_GBK"/>
                <w:b/>
                <w:sz w:val="24"/>
                <w:szCs w:val="24"/>
              </w:rPr>
            </w:pPr>
            <w:r>
              <w:rPr>
                <w:rFonts w:hint="eastAsia" w:ascii="方正仿宋_GBK" w:hAnsi="宋体" w:eastAsia="方正仿宋_GBK"/>
                <w:b/>
                <w:sz w:val="24"/>
                <w:szCs w:val="24"/>
              </w:rPr>
              <w:t>（人民币：元）</w:t>
            </w:r>
          </w:p>
        </w:tc>
        <w:tc>
          <w:tcPr>
            <w:tcW w:w="176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3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sz w:val="24"/>
                <w:szCs w:val="24"/>
              </w:rPr>
              <w:t>病媒生物防治服务</w:t>
            </w:r>
          </w:p>
        </w:tc>
        <w:tc>
          <w:tcPr>
            <w:tcW w:w="1188" w:type="dxa"/>
            <w:tcBorders>
              <w:top w:val="single" w:color="auto" w:sz="4" w:space="0"/>
              <w:left w:val="single" w:color="auto" w:sz="4" w:space="0"/>
              <w:bottom w:val="single" w:color="auto" w:sz="4" w:space="0"/>
              <w:right w:val="single" w:color="auto" w:sz="4" w:space="0"/>
            </w:tcBorders>
            <w:vAlign w:val="center"/>
          </w:tcPr>
          <w:p>
            <w:pPr>
              <w:pStyle w:val="5"/>
              <w:ind w:left="0" w:leftChars="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1</w:t>
            </w:r>
          </w:p>
        </w:tc>
        <w:tc>
          <w:tcPr>
            <w:tcW w:w="1063" w:type="dxa"/>
            <w:tcBorders>
              <w:top w:val="single" w:color="auto" w:sz="4" w:space="0"/>
              <w:left w:val="single" w:color="auto" w:sz="4" w:space="0"/>
              <w:bottom w:val="single" w:color="auto" w:sz="4" w:space="0"/>
              <w:right w:val="single" w:color="auto" w:sz="4" w:space="0"/>
            </w:tcBorders>
            <w:vAlign w:val="center"/>
          </w:tcPr>
          <w:p>
            <w:pPr>
              <w:pStyle w:val="5"/>
              <w:ind w:left="0" w:leftChars="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项</w:t>
            </w:r>
          </w:p>
        </w:tc>
        <w:tc>
          <w:tcPr>
            <w:tcW w:w="1972" w:type="dxa"/>
            <w:tcBorders>
              <w:top w:val="single" w:color="auto" w:sz="4" w:space="0"/>
              <w:left w:val="single" w:color="auto" w:sz="4" w:space="0"/>
              <w:bottom w:val="single" w:color="auto" w:sz="4" w:space="0"/>
              <w:right w:val="single" w:color="auto" w:sz="4" w:space="0"/>
            </w:tcBorders>
            <w:vAlign w:val="center"/>
          </w:tcPr>
          <w:p>
            <w:pPr>
              <w:pStyle w:val="5"/>
              <w:ind w:left="0" w:leftChars="0"/>
              <w:jc w:val="center"/>
              <w:outlineLvl w:val="0"/>
              <w:rPr>
                <w:rFonts w:hint="default"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19800/年</w:t>
            </w: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val="0"/>
                <w:bCs/>
                <w:kern w:val="0"/>
                <w:sz w:val="24"/>
                <w:szCs w:val="24"/>
                <w:lang w:eastAsia="zh-CN"/>
              </w:rPr>
            </w:pPr>
            <w:r>
              <w:rPr>
                <w:rFonts w:hint="eastAsia" w:ascii="方正仿宋_GBK" w:hAnsi="宋体" w:eastAsia="方正仿宋_GBK" w:cs="宋体"/>
                <w:b w:val="0"/>
                <w:bCs/>
                <w:kern w:val="0"/>
                <w:sz w:val="24"/>
                <w:szCs w:val="24"/>
                <w:lang w:eastAsia="zh-CN"/>
              </w:rPr>
              <w:t>服务期限为叁</w:t>
            </w:r>
            <w:r>
              <w:rPr>
                <w:rFonts w:hint="eastAsia" w:ascii="方正仿宋_GBK" w:hAnsi="宋体" w:eastAsia="方正仿宋_GBK" w:cs="宋体"/>
                <w:b w:val="0"/>
                <w:bCs/>
                <w:kern w:val="0"/>
                <w:sz w:val="24"/>
                <w:szCs w:val="24"/>
              </w:rPr>
              <w:t>年</w:t>
            </w:r>
            <w:r>
              <w:rPr>
                <w:rFonts w:hint="eastAsia" w:ascii="方正仿宋_GBK" w:hAnsi="宋体" w:eastAsia="方正仿宋_GBK" w:cs="宋体"/>
                <w:b w:val="0"/>
                <w:bCs/>
                <w:kern w:val="0"/>
                <w:sz w:val="24"/>
                <w:szCs w:val="24"/>
                <w:lang w:eastAsia="zh-CN"/>
              </w:rPr>
              <w:t>，合同一年一签</w:t>
            </w:r>
          </w:p>
        </w:tc>
      </w:tr>
    </w:tbl>
    <w:p>
      <w:pPr>
        <w:pStyle w:val="4"/>
        <w:spacing w:before="0" w:after="0" w:line="400" w:lineRule="exact"/>
        <w:rPr>
          <w:rFonts w:ascii="方正仿宋_GBK" w:eastAsia="方正仿宋_GBK"/>
          <w:sz w:val="24"/>
          <w:szCs w:val="24"/>
        </w:rPr>
      </w:pPr>
      <w:bookmarkStart w:id="50" w:name="_Toc4411"/>
      <w:r>
        <w:rPr>
          <w:rFonts w:hint="eastAsia" w:ascii="方正仿宋_GBK" w:eastAsia="方正仿宋_GBK"/>
          <w:sz w:val="24"/>
          <w:szCs w:val="24"/>
        </w:rPr>
        <w:t>二、项目服务及要求</w:t>
      </w:r>
      <w:bookmarkEnd w:id="50"/>
    </w:p>
    <w:p>
      <w:pPr>
        <w:spacing w:line="400" w:lineRule="exact"/>
        <w:ind w:firstLine="240" w:firstLineChars="100"/>
        <w:rPr>
          <w:rFonts w:ascii="方正仿宋_GBK" w:hAnsi="宋体" w:eastAsia="方正仿宋_GBK"/>
          <w:sz w:val="24"/>
          <w:szCs w:val="24"/>
        </w:rPr>
      </w:pPr>
      <w:r>
        <w:rPr>
          <w:rFonts w:hint="eastAsia" w:ascii="方正仿宋_GBK" w:hAnsi="宋体" w:eastAsia="方正仿宋_GBK"/>
          <w:sz w:val="24"/>
          <w:szCs w:val="24"/>
        </w:rPr>
        <w:t>（一）项目范围</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门诊</w:t>
      </w:r>
      <w:r>
        <w:rPr>
          <w:rFonts w:hint="eastAsia" w:ascii="方正仿宋_GBK" w:hAnsi="宋体" w:eastAsia="方正仿宋_GBK"/>
          <w:sz w:val="24"/>
          <w:szCs w:val="24"/>
          <w:lang w:eastAsia="zh-CN"/>
        </w:rPr>
        <w:t>医技</w:t>
      </w:r>
      <w:r>
        <w:rPr>
          <w:rFonts w:hint="eastAsia" w:ascii="方正仿宋_GBK" w:hAnsi="宋体" w:eastAsia="方正仿宋_GBK"/>
          <w:sz w:val="24"/>
          <w:szCs w:val="24"/>
        </w:rPr>
        <w:t>大楼、住院大楼</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2，3号楼</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r>
        <w:rPr>
          <w:rFonts w:hint="eastAsia" w:ascii="方正仿宋_GBK" w:hAnsi="宋体" w:eastAsia="方正仿宋_GBK"/>
          <w:sz w:val="24"/>
          <w:szCs w:val="24"/>
          <w:lang w:eastAsia="zh-CN"/>
        </w:rPr>
        <w:t>科教</w:t>
      </w:r>
      <w:r>
        <w:rPr>
          <w:rFonts w:hint="eastAsia" w:ascii="方正仿宋_GBK" w:hAnsi="宋体" w:eastAsia="方正仿宋_GBK"/>
          <w:sz w:val="24"/>
          <w:szCs w:val="24"/>
        </w:rPr>
        <w:t>大楼、院内</w:t>
      </w:r>
      <w:r>
        <w:rPr>
          <w:rFonts w:hint="eastAsia" w:ascii="方正仿宋_GBK" w:hAnsi="宋体" w:eastAsia="方正仿宋_GBK"/>
          <w:sz w:val="24"/>
          <w:szCs w:val="24"/>
          <w:lang w:eastAsia="zh-CN"/>
        </w:rPr>
        <w:t>公共</w:t>
      </w:r>
      <w:r>
        <w:rPr>
          <w:rFonts w:hint="eastAsia" w:ascii="方正仿宋_GBK" w:hAnsi="宋体" w:eastAsia="方正仿宋_GBK"/>
          <w:sz w:val="24"/>
          <w:szCs w:val="24"/>
        </w:rPr>
        <w:t>环境、生活垃圾站</w:t>
      </w:r>
      <w:r>
        <w:rPr>
          <w:rFonts w:hint="eastAsia" w:ascii="方正仿宋_GBK" w:hAnsi="宋体" w:eastAsia="方正仿宋_GBK"/>
          <w:sz w:val="24"/>
          <w:szCs w:val="24"/>
          <w:lang w:eastAsia="zh-CN"/>
        </w:rPr>
        <w:t>，各类库房，车库</w:t>
      </w:r>
      <w:r>
        <w:rPr>
          <w:rFonts w:hint="eastAsia" w:ascii="方正仿宋_GBK" w:hAnsi="宋体" w:eastAsia="方正仿宋_GBK"/>
          <w:sz w:val="24"/>
          <w:szCs w:val="24"/>
        </w:rPr>
        <w:t>等。</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（二）防治效果：</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1.四害防治按全国爱卫会灭鼠、蚊、蝇、蟑螂等防治标准执行。</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（1）灭鼠合格标准：15平方米标准房间布放20×20厘米滑石粉一夜后阳性粉块不超过3%；有鼠洞、鼠粪、鼠痕等鼠征房间不超过2%；重点部位防鼠设施不合格处不超过5%。</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（2）灭蝇合格标准：重点部位有蝇房间不超过1%，其它部位不超过3%，阳性间平均有蝇只数不超过3只；加工、销售直接入口食品场所不得发现成蝇，蝇类孳生场所得到有效控制，幼虫和蛹的检出率不超过3%。</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（3）灭蚊合格标准：人工诱蚊不超过1只／半小时，单位内外环境各种存水容积和积水中，蚊幼或蛹的阳性率不超过3%，阳性勺幼虫或蛹的平均数不超过5只；</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（4）灭蟑合格标准：室内有蟑螂成虫或若虫阳性房间不超过3%，平均每间房间大蠊不超过5只，小蠊不超过10只；有活蟑螂卵鞘房间不超过2%,平均每间房不超过4只；有蟑螂粪便、脱皮等蟑迹的房间不超过5%。</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2.杀灭并根除其它在我院出现的病媒生物。</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3.确保我院通过本年度爱国卫生病媒生物防治工作达标检查。</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中标方服务频率为每周进行全院灭鼠、蚊、蝇、蟑螂等防治工作一次，个别科室需要临时灭“四害”处理，不再收取任何费用。如果临时增加进行全院灭鼠、蚊、蝇、蟑螂等防治工作，按中标价核算进行单独付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（四）中标方进行灭鼠、蚊、蝇、蟑螂等防治工作后与发包方完成相关记录并交发包方归档。</w:t>
      </w:r>
    </w:p>
    <w:p>
      <w:pPr>
        <w:spacing w:line="400" w:lineRule="exact"/>
        <w:rPr>
          <w:rFonts w:ascii="方正仿宋_GBK" w:hAnsi="宋体" w:eastAsia="方正仿宋_GBK"/>
          <w:color w:val="FF0000"/>
          <w:sz w:val="24"/>
          <w:szCs w:val="24"/>
        </w:rPr>
      </w:pPr>
    </w:p>
    <w:p>
      <w:pPr>
        <w:adjustRightInd w:val="0"/>
        <w:snapToGrid w:val="0"/>
        <w:spacing w:line="400" w:lineRule="exact"/>
        <w:ind w:firstLine="480" w:firstLineChars="200"/>
        <w:rPr>
          <w:rFonts w:ascii="方正仿宋_GBK" w:hAnsi="宋体" w:eastAsia="方正仿宋_GBK"/>
          <w:sz w:val="24"/>
          <w:szCs w:val="24"/>
        </w:rPr>
      </w:pPr>
    </w:p>
    <w:p>
      <w:pPr>
        <w:adjustRightInd w:val="0"/>
        <w:snapToGrid w:val="0"/>
        <w:spacing w:line="400" w:lineRule="exact"/>
        <w:ind w:firstLine="480" w:firstLineChars="200"/>
        <w:rPr>
          <w:rFonts w:ascii="方正仿宋_GBK" w:hAnsi="宋体" w:eastAsia="方正仿宋_GBK"/>
          <w:sz w:val="24"/>
          <w:szCs w:val="24"/>
        </w:rPr>
      </w:pPr>
    </w:p>
    <w:p>
      <w:pPr>
        <w:adjustRightInd w:val="0"/>
        <w:snapToGrid w:val="0"/>
        <w:spacing w:line="400" w:lineRule="exact"/>
        <w:ind w:firstLine="480" w:firstLineChars="200"/>
        <w:rPr>
          <w:rFonts w:ascii="方正仿宋_GBK" w:hAnsi="宋体" w:eastAsia="方正仿宋_GBK"/>
          <w:sz w:val="24"/>
          <w:szCs w:val="24"/>
        </w:rPr>
      </w:pPr>
    </w:p>
    <w:p>
      <w:pPr>
        <w:pStyle w:val="3"/>
        <w:spacing w:before="0" w:after="0" w:line="360" w:lineRule="auto"/>
        <w:jc w:val="center"/>
        <w:rPr>
          <w:rFonts w:ascii="方正小标宋_GBK" w:hAnsi="宋体" w:eastAsia="方正小标宋_GBK"/>
          <w:b w:val="0"/>
          <w:sz w:val="36"/>
          <w:szCs w:val="30"/>
        </w:rPr>
      </w:pPr>
      <w:bookmarkStart w:id="51" w:name="_Toc7892"/>
      <w:r>
        <w:rPr>
          <w:rFonts w:hint="eastAsia" w:ascii="方正小标宋_GBK" w:hAnsi="宋体" w:eastAsia="方正小标宋_GBK"/>
          <w:b w:val="0"/>
          <w:sz w:val="36"/>
          <w:szCs w:val="30"/>
        </w:rPr>
        <w:t>第四篇  谈判项目服务需求</w:t>
      </w:r>
      <w:bookmarkEnd w:id="49"/>
      <w:bookmarkEnd w:id="51"/>
    </w:p>
    <w:p>
      <w:pPr>
        <w:pStyle w:val="4"/>
        <w:spacing w:before="0" w:after="0" w:line="440" w:lineRule="exact"/>
        <w:rPr>
          <w:rFonts w:ascii="方正仿宋_GBK" w:hAnsi="宋体" w:eastAsia="方正仿宋_GBK"/>
          <w:sz w:val="24"/>
          <w:szCs w:val="24"/>
        </w:rPr>
      </w:pPr>
      <w:bookmarkStart w:id="52" w:name="_Toc344475120"/>
      <w:bookmarkStart w:id="53" w:name="_Toc1792"/>
      <w:bookmarkStart w:id="54" w:name="_Toc12789059"/>
      <w:bookmarkStart w:id="55" w:name="_Toc11641055"/>
      <w:r>
        <w:rPr>
          <w:rFonts w:hint="eastAsia" w:ascii="方正仿宋_GBK" w:hAnsi="宋体" w:eastAsia="方正仿宋_GBK"/>
          <w:sz w:val="24"/>
          <w:szCs w:val="24"/>
        </w:rPr>
        <w:t>一、服务时间、地点及验收方式</w:t>
      </w:r>
      <w:bookmarkEnd w:id="52"/>
      <w:bookmarkEnd w:id="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zh-CN"/>
        </w:rPr>
        <w:t>服务期限为三年，合同一年一签，次年合同在当年服务达标后一个月内签定。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w:t>
      </w:r>
      <w:r>
        <w:rPr>
          <w:rFonts w:hint="eastAsia" w:ascii="方正仿宋_GBK" w:hAnsi="宋体" w:eastAsia="方正仿宋_GBK"/>
          <w:sz w:val="24"/>
          <w:szCs w:val="24"/>
          <w:lang w:val="zh-CN"/>
        </w:rPr>
        <w:t>渝北区人民医院指定地点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bookmarkStart w:id="56" w:name="_Toc344475121"/>
    </w:p>
    <w:p>
      <w:pPr>
        <w:snapToGrid w:val="0"/>
        <w:spacing w:line="400" w:lineRule="exact"/>
        <w:ind w:firstLine="480" w:firstLineChars="200"/>
        <w:rPr>
          <w:rFonts w:ascii="方正仿宋_GBK" w:hAnsi="宋体" w:eastAsia="方正仿宋_GBK"/>
          <w:sz w:val="24"/>
          <w:szCs w:val="24"/>
          <w:lang w:val="zh-CN"/>
        </w:rPr>
      </w:pPr>
      <w:r>
        <w:rPr>
          <w:rFonts w:ascii="方正仿宋_GBK" w:hAnsi="宋体" w:eastAsia="方正仿宋_GBK"/>
          <w:sz w:val="24"/>
          <w:szCs w:val="24"/>
          <w:lang w:val="zh-CN"/>
        </w:rPr>
        <w:t>采购人</w:t>
      </w:r>
      <w:r>
        <w:rPr>
          <w:rFonts w:hint="eastAsia" w:ascii="方正仿宋_GBK" w:hAnsi="宋体" w:eastAsia="方正仿宋_GBK"/>
          <w:sz w:val="24"/>
          <w:szCs w:val="24"/>
          <w:lang w:val="zh-CN"/>
        </w:rPr>
        <w:t>定期</w:t>
      </w:r>
      <w:r>
        <w:rPr>
          <w:rFonts w:ascii="方正仿宋_GBK" w:hAnsi="宋体" w:eastAsia="方正仿宋_GBK"/>
          <w:sz w:val="24"/>
          <w:szCs w:val="24"/>
          <w:lang w:val="zh-CN"/>
        </w:rPr>
        <w:t>组织验收。</w:t>
      </w:r>
    </w:p>
    <w:p>
      <w:pPr>
        <w:pStyle w:val="4"/>
        <w:spacing w:before="0" w:after="0" w:line="400" w:lineRule="exact"/>
        <w:rPr>
          <w:rFonts w:ascii="方正仿宋_GBK" w:hAnsi="宋体" w:eastAsia="方正仿宋_GBK"/>
          <w:sz w:val="24"/>
          <w:szCs w:val="24"/>
        </w:rPr>
      </w:pPr>
      <w:bookmarkStart w:id="57" w:name="_Toc5569"/>
      <w:r>
        <w:rPr>
          <w:rFonts w:hint="eastAsia" w:ascii="方正仿宋_GBK" w:hAnsi="宋体" w:eastAsia="方正仿宋_GBK"/>
          <w:sz w:val="24"/>
          <w:szCs w:val="24"/>
        </w:rPr>
        <w:t>二、</w:t>
      </w:r>
      <w:bookmarkEnd w:id="56"/>
      <w:bookmarkStart w:id="58" w:name="_Toc344475122"/>
      <w:r>
        <w:rPr>
          <w:rFonts w:hint="eastAsia" w:ascii="方正仿宋_GBK" w:hAnsi="宋体" w:eastAsia="方正仿宋_GBK"/>
          <w:sz w:val="24"/>
          <w:szCs w:val="24"/>
        </w:rPr>
        <w:t>报价要求</w:t>
      </w:r>
      <w:bookmarkEnd w:id="5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谈判报价包括完成本项目所需的</w:t>
      </w:r>
      <w:r>
        <w:rPr>
          <w:rFonts w:ascii="方正仿宋_GBK" w:hAnsi="宋体" w:eastAsia="方正仿宋_GBK"/>
          <w:sz w:val="24"/>
          <w:szCs w:val="24"/>
        </w:rPr>
        <w:t>服务费、人工费、调研差旅费以及项目建设及运营所需的物料、参与服务人员的交通、食宿、出场费、税收等完成本服务所需一切费用。因成交供应商自身原因造成漏报、少报皆由其自行承担责任，采购人不再补偿。</w:t>
      </w:r>
    </w:p>
    <w:p>
      <w:pPr>
        <w:spacing w:line="400" w:lineRule="exact"/>
        <w:rPr>
          <w:rFonts w:ascii="方正仿宋_GBK" w:hAnsi="宋体" w:eastAsia="方正仿宋_GBK"/>
          <w:b/>
          <w:sz w:val="24"/>
          <w:szCs w:val="24"/>
        </w:rPr>
      </w:pPr>
      <w:r>
        <w:rPr>
          <w:rFonts w:ascii="方正仿宋_GBK" w:hAnsi="宋体" w:eastAsia="方正仿宋_GBK"/>
          <w:b/>
          <w:sz w:val="24"/>
          <w:szCs w:val="24"/>
        </w:rPr>
        <w:t>三、质量保证及售后服务</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（一）质量保证期：按照双方最终签订的合作协议为准。</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（二）售后服务</w:t>
      </w:r>
      <w:r>
        <w:rPr>
          <w:rFonts w:hint="eastAsia" w:ascii="方正仿宋_GBK" w:hAnsi="宋体" w:eastAsia="方正仿宋_GBK"/>
          <w:sz w:val="24"/>
          <w:szCs w:val="24"/>
        </w:rPr>
        <w:t>：</w:t>
      </w:r>
      <w:r>
        <w:rPr>
          <w:rFonts w:ascii="方正仿宋_GBK" w:hAnsi="宋体" w:eastAsia="方正仿宋_GBK"/>
          <w:sz w:val="24"/>
          <w:szCs w:val="24"/>
        </w:rPr>
        <w:t>中标单位接到采购方诉求立刻响应，及时调整完善策划方案。</w:t>
      </w:r>
    </w:p>
    <w:p>
      <w:pPr>
        <w:pStyle w:val="4"/>
        <w:spacing w:before="0" w:after="0" w:line="400" w:lineRule="exact"/>
        <w:rPr>
          <w:rFonts w:ascii="方正仿宋_GBK" w:hAnsi="宋体" w:eastAsia="方正仿宋_GBK"/>
          <w:sz w:val="24"/>
          <w:szCs w:val="24"/>
        </w:rPr>
      </w:pPr>
      <w:bookmarkStart w:id="59" w:name="_Toc25887"/>
      <w:r>
        <w:rPr>
          <w:rFonts w:hint="eastAsia" w:ascii="方正仿宋_GBK" w:hAnsi="宋体" w:eastAsia="方正仿宋_GBK"/>
          <w:sz w:val="24"/>
          <w:szCs w:val="24"/>
        </w:rPr>
        <w:t>四、付款方式</w:t>
      </w:r>
      <w:bookmarkEnd w:id="58"/>
      <w:bookmarkEnd w:id="59"/>
      <w:bookmarkStart w:id="60" w:name="_Toc344475123"/>
      <w:r>
        <w:rPr>
          <w:rFonts w:hint="eastAsia" w:ascii="方正仿宋_GBK" w:hAnsi="宋体" w:eastAsia="方正仿宋_GBK"/>
          <w:sz w:val="24"/>
          <w:szCs w:val="24"/>
        </w:rPr>
        <w:t xml:space="preserve">  </w:t>
      </w:r>
    </w:p>
    <w:p>
      <w:pPr>
        <w:pStyle w:val="4"/>
        <w:spacing w:before="0" w:after="0" w:line="400" w:lineRule="exact"/>
        <w:ind w:firstLine="482" w:firstLineChars="200"/>
        <w:rPr>
          <w:rFonts w:ascii="方正仿宋_GBK" w:hAnsi="宋体" w:eastAsia="方正仿宋_GBK"/>
          <w:color w:val="FF0000"/>
          <w:sz w:val="24"/>
          <w:szCs w:val="24"/>
        </w:rPr>
      </w:pPr>
      <w:bookmarkStart w:id="61" w:name="_Toc20438"/>
      <w:r>
        <w:rPr>
          <w:rFonts w:hint="eastAsia" w:ascii="方正仿宋_GBK" w:hAnsi="宋体" w:eastAsia="方正仿宋_GBK"/>
          <w:color w:val="FF0000"/>
          <w:sz w:val="24"/>
          <w:szCs w:val="24"/>
        </w:rPr>
        <w:t>按季度验收合格后，每季度付款一次。</w:t>
      </w:r>
      <w:bookmarkEnd w:id="61"/>
    </w:p>
    <w:p>
      <w:pPr>
        <w:pStyle w:val="4"/>
        <w:spacing w:before="0" w:after="0" w:line="400" w:lineRule="exact"/>
        <w:rPr>
          <w:rFonts w:ascii="方正仿宋_GBK" w:hAnsi="宋体" w:eastAsia="方正仿宋_GBK"/>
          <w:sz w:val="24"/>
          <w:szCs w:val="24"/>
        </w:rPr>
      </w:pPr>
      <w:bookmarkStart w:id="62" w:name="_Toc25131"/>
      <w:r>
        <w:rPr>
          <w:rFonts w:hint="eastAsia" w:ascii="方正仿宋_GBK" w:hAnsi="宋体" w:eastAsia="方正仿宋_GBK"/>
          <w:sz w:val="24"/>
          <w:szCs w:val="24"/>
        </w:rPr>
        <w:t>五、</w:t>
      </w:r>
      <w:bookmarkEnd w:id="60"/>
      <w:bookmarkStart w:id="63" w:name="_Toc344475125"/>
      <w:r>
        <w:rPr>
          <w:rFonts w:hint="eastAsia" w:ascii="方正仿宋_GBK" w:hAnsi="宋体" w:eastAsia="方正仿宋_GBK"/>
          <w:sz w:val="24"/>
          <w:szCs w:val="24"/>
        </w:rPr>
        <w:t>其他</w:t>
      </w:r>
      <w:bookmarkEnd w:id="62"/>
    </w:p>
    <w:bookmarkEnd w:id="63"/>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（一）供应商必须在响应文件中对以上条款和服务承诺明确列出，承诺内容必须达到本篇及竞争性谈判其他条款的要求。</w:t>
      </w:r>
    </w:p>
    <w:p>
      <w:pPr>
        <w:snapToGrid w:val="0"/>
        <w:spacing w:line="400" w:lineRule="exact"/>
        <w:ind w:firstLine="540"/>
        <w:rPr>
          <w:rFonts w:ascii="方正仿宋_GBK" w:eastAsia="方正仿宋_GBK"/>
          <w:sz w:val="24"/>
          <w:szCs w:val="24"/>
        </w:rPr>
      </w:pPr>
      <w:r>
        <w:rPr>
          <w:rFonts w:hint="eastAsia" w:ascii="方正仿宋_GBK" w:hAnsi="宋体" w:eastAsia="方正仿宋_GBK"/>
          <w:sz w:val="24"/>
          <w:szCs w:val="24"/>
        </w:rPr>
        <w:t>（二）其他未尽事宜由供需双方在采购合同中详细约定。</w:t>
      </w:r>
    </w:p>
    <w:p>
      <w:pPr>
        <w:pStyle w:val="3"/>
        <w:spacing w:before="0" w:after="0" w:line="360" w:lineRule="auto"/>
        <w:jc w:val="center"/>
        <w:rPr>
          <w:rFonts w:ascii="方正小标宋_GBK" w:hAnsi="宋体" w:eastAsia="方正小标宋_GBK"/>
          <w:b w:val="0"/>
          <w:sz w:val="36"/>
          <w:szCs w:val="30"/>
        </w:rPr>
      </w:pPr>
      <w:r>
        <w:rPr>
          <w:rFonts w:ascii="宋体" w:hAnsi="宋体" w:eastAsia="宋体"/>
          <w:sz w:val="36"/>
          <w:szCs w:val="30"/>
        </w:rPr>
        <w:br w:type="page"/>
      </w:r>
      <w:bookmarkStart w:id="64" w:name="_Toc23793"/>
      <w:r>
        <w:rPr>
          <w:rFonts w:hint="eastAsia" w:ascii="方正小标宋_GBK" w:hAnsi="宋体" w:eastAsia="方正小标宋_GBK"/>
          <w:b w:val="0"/>
          <w:sz w:val="36"/>
          <w:szCs w:val="30"/>
        </w:rPr>
        <w:t xml:space="preserve">第五篇  </w:t>
      </w:r>
      <w:bookmarkEnd w:id="54"/>
      <w:bookmarkEnd w:id="55"/>
      <w:r>
        <w:rPr>
          <w:rFonts w:hint="eastAsia" w:ascii="方正小标宋_GBK" w:hAnsi="宋体" w:eastAsia="方正小标宋_GBK"/>
          <w:b w:val="0"/>
          <w:sz w:val="36"/>
          <w:szCs w:val="30"/>
        </w:rPr>
        <w:t>合同草案条款</w:t>
      </w:r>
      <w:bookmarkEnd w:id="64"/>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一、定义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（一）甲方（需方）即采购人，是指通过竞争性谈判采购，接受合同货物及服务的各级国家机关、事业单位和团体组织。</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（二）乙方（供方）即成交供应商，是指成交后提供合同货物和服务的自然人、法人及其他组织。</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（三）合同是指由甲乙双方按照竞争性谈判文件和响应文件的实质性内容，通过协商一致达成的书面协议。</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（四）合同价格指以成交价格为依据，在供方全面履行合同义务后，需方（或财政部门）应支付给供方的金额。</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（五）技术资料是指合同货物及其相关的设计、制造、监造、检验、验收等文件（包括图纸、各种文字说明、标准）。</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二、货物内容</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三、合同价格</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（一）合同价格即合同总价。</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（二）合同价格包括合同货物、技术资料、合同货物的税费、运杂费、保险费、包装费、装卸费及与货物有关的供方应纳的税费，所有税费由乙方负担。</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（三）合同货物单价为不变价。</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四、转包或分包</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（一）本合同范围的货物，应由乙方直接供应，不得转让他人供应；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（二）非经甲方书面同意，乙方不得将本合同范围的货物全部或部分分包给他人供应；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（三）如有转让和未经甲方同意的分包行为，甲方有权解除合同，没收履约保证金并追究乙方的违约责任。</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五、质量保证及售后服务</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（一）乙方应按竞争性谈判文件规定的货物性能、技术要求、质量标准向甲方提供未经使用的全新产品。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（二）乙方提供的货物在质保期内因货物本身的质量问题发生故障，乙方应负责免费更换。对达不到技术要求者，根据实际情况，经双方协商，可按以下办法处理：</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1.更换：由乙方承担所发生的全部费用。</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2.贬值处理：由甲乙双方合议定价。</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3.退货处理：乙方应退还甲方支付的合同款，同时应承担该货物的直接费用（运输、保险、检验、货款利息及银行手续费等）。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（三）如在使用过程中发生质量问题，乙方应同本项目“第四篇 谈判项目服务需求”对质量保证及售后服务内容的约定。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（四）在质保期内，乙方应对货物出现的质量及安全问题负责处理解决并承担一切费用。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六、付款</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（一）本合同使用货币币制如未作特别说明均为人民币。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（二）付款方式：银行转账、现金支票。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（三）付款方法：同本项目“第四篇 谈判项目服务需求”中关于付款方式的约定。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七、检查验收</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（一）供方应随货物提供合格证和质量证明文件，如是国外进口的货物还须提供入关证明。</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（二）货物验收</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（三）货物验收报告应由需方、供方经办人签字，并加盖双方公章，以此作为支付凭据。</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八、索赔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供方对货物与合同要求不符负有责任，并且需方已于规定交货内和质量保证期内提出索赔，供方应按需方同意的下述一种或多种方法解决索赔事宜。</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（二）根据货物的疵劣和受损程度以及需方遭受损失的金额，经双方同意降低货物价格。</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九、知识产权</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（二）若涉及软件开发等服务类项目知识产权的，知识产权归采购人所有。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十、合同争议的解决</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（一）当事人友好协商达成一致</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（二）在60天内当事人协商不能达成协议的，可提请采购人当地仲裁机构仲裁。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十一、违约责任</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十二、合同生效及其它</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（一）合同生效及其效力应符合《中华人民共和国合同法》有关规定。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（二）合同应经当事人法定代表人或委托代理人签字，加盖双方合同专用章或公章。</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（三）合同所包括附件，是合同不可分割的一部分，具有同等法法律效力。</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（四）合同需提供担保的，按《中华人民共和国担保法》规定执行。</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（五）本合同条件未尽事宜依照《中华人民共和国合同法》，由供需双方共同协商确定。</w:t>
      </w:r>
    </w:p>
    <w:p>
      <w:pPr>
        <w:snapToGrid w:val="0"/>
        <w:spacing w:line="360" w:lineRule="auto"/>
        <w:ind w:firstLine="570"/>
        <w:rPr>
          <w:rFonts w:ascii="宋体" w:hAnsi="宋体"/>
          <w:sz w:val="24"/>
          <w:szCs w:val="24"/>
        </w:rPr>
        <w:sectPr>
          <w:footerReference r:id="rId7" w:type="default"/>
          <w:footerReference r:id="rId8" w:type="even"/>
          <w:pgSz w:w="11907" w:h="16840"/>
          <w:pgMar w:top="1134" w:right="1191" w:bottom="1134" w:left="1304" w:header="964" w:footer="992" w:gutter="0"/>
          <w:pgNumType w:fmt="decimal"/>
          <w:cols w:space="720" w:num="1"/>
          <w:docGrid w:linePitch="312" w:charSpace="0"/>
        </w:sectPr>
      </w:pPr>
    </w:p>
    <w:p>
      <w:pPr>
        <w:rPr>
          <w:rFonts w:ascii="方正仿宋_GBK" w:eastAsia="方正仿宋_GBK"/>
          <w:sz w:val="24"/>
        </w:rPr>
      </w:pPr>
      <w:bookmarkStart w:id="65" w:name="_Toc303945820"/>
      <w:bookmarkStart w:id="66" w:name="_Toc148265480"/>
      <w:r>
        <w:rPr>
          <w:rFonts w:hint="eastAsia" w:ascii="方正仿宋_GBK" w:eastAsia="方正仿宋_GBK"/>
          <w:sz w:val="24"/>
        </w:rPr>
        <w:t>附页：合同格式</w:t>
      </w:r>
      <w:bookmarkEnd w:id="65"/>
      <w:bookmarkEnd w:id="66"/>
    </w:p>
    <w:p>
      <w:pPr>
        <w:spacing w:line="500" w:lineRule="exact"/>
        <w:jc w:val="center"/>
        <w:rPr>
          <w:rFonts w:ascii="方正仿宋_GBK" w:eastAsia="方正仿宋_GBK"/>
          <w:b/>
          <w:sz w:val="44"/>
        </w:rPr>
      </w:pPr>
      <w:r>
        <w:rPr>
          <w:rFonts w:hint="eastAsia" w:ascii="方正仿宋_GBK" w:eastAsia="方正仿宋_GBK"/>
          <w:b/>
          <w:sz w:val="44"/>
        </w:rPr>
        <w:t>合同</w:t>
      </w:r>
    </w:p>
    <w:p>
      <w:pPr>
        <w:spacing w:line="500" w:lineRule="exact"/>
        <w:jc w:val="center"/>
        <w:rPr>
          <w:rFonts w:ascii="方正仿宋_GBK" w:eastAsia="方正仿宋_GBK"/>
        </w:rPr>
      </w:pPr>
      <w:r>
        <w:rPr>
          <w:rFonts w:hint="eastAsia" w:ascii="方正仿宋_GBK" w:eastAsia="方正仿宋_GBK"/>
        </w:rPr>
        <w:t>（采购项目编号：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sz w:val="24"/>
              </w:rPr>
            </w:pPr>
          </w:p>
        </w:tc>
        <w:tc>
          <w:tcPr>
            <w:tcW w:w="1741" w:type="dxa"/>
            <w:tcBorders>
              <w:bottom w:val="single" w:color="auto" w:sz="4" w:space="0"/>
            </w:tcBorders>
            <w:vAlign w:val="center"/>
          </w:tcPr>
          <w:p>
            <w:pPr>
              <w:spacing w:line="500" w:lineRule="exact"/>
              <w:jc w:val="center"/>
              <w:rPr>
                <w:rFonts w:ascii="方正仿宋_GBK" w:eastAsia="方正仿宋_GBK"/>
                <w:sz w:val="24"/>
              </w:rPr>
            </w:pPr>
          </w:p>
        </w:tc>
        <w:tc>
          <w:tcPr>
            <w:tcW w:w="984" w:type="dxa"/>
            <w:tcBorders>
              <w:bottom w:val="single" w:color="auto" w:sz="4" w:space="0"/>
            </w:tcBorders>
            <w:vAlign w:val="center"/>
          </w:tcPr>
          <w:p>
            <w:pPr>
              <w:spacing w:line="500" w:lineRule="exact"/>
              <w:jc w:val="center"/>
              <w:rPr>
                <w:rFonts w:ascii="方正仿宋_GBK" w:eastAsia="方正仿宋_GBK"/>
                <w:sz w:val="24"/>
              </w:rPr>
            </w:pPr>
          </w:p>
        </w:tc>
        <w:tc>
          <w:tcPr>
            <w:tcW w:w="873" w:type="dxa"/>
            <w:tcBorders>
              <w:bottom w:val="single" w:color="auto" w:sz="4" w:space="0"/>
            </w:tcBorders>
            <w:vAlign w:val="center"/>
          </w:tcPr>
          <w:p>
            <w:pPr>
              <w:spacing w:line="500" w:lineRule="exact"/>
              <w:jc w:val="center"/>
              <w:rPr>
                <w:rFonts w:ascii="方正仿宋_GBK" w:eastAsia="方正仿宋_GBK"/>
                <w:sz w:val="24"/>
              </w:rPr>
            </w:pPr>
          </w:p>
        </w:tc>
        <w:tc>
          <w:tcPr>
            <w:tcW w:w="899" w:type="dxa"/>
            <w:tcBorders>
              <w:bottom w:val="single" w:color="auto" w:sz="4" w:space="0"/>
            </w:tcBorders>
            <w:vAlign w:val="center"/>
          </w:tcPr>
          <w:p>
            <w:pPr>
              <w:spacing w:line="500" w:lineRule="exact"/>
              <w:jc w:val="center"/>
              <w:rPr>
                <w:rFonts w:ascii="方正仿宋_GBK" w:eastAsia="方正仿宋_GBK"/>
                <w:sz w:val="24"/>
              </w:rPr>
            </w:pPr>
          </w:p>
        </w:tc>
        <w:tc>
          <w:tcPr>
            <w:tcW w:w="1575" w:type="dxa"/>
            <w:tcBorders>
              <w:bottom w:val="single" w:color="auto" w:sz="4" w:space="0"/>
            </w:tcBorders>
            <w:vAlign w:val="center"/>
          </w:tcPr>
          <w:p>
            <w:pPr>
              <w:spacing w:line="500" w:lineRule="exact"/>
              <w:jc w:val="center"/>
              <w:rPr>
                <w:rFonts w:ascii="方正仿宋_GBK" w:eastAsia="方正仿宋_GBK"/>
                <w:sz w:val="24"/>
              </w:rPr>
            </w:pPr>
          </w:p>
        </w:tc>
        <w:tc>
          <w:tcPr>
            <w:tcW w:w="2211" w:type="dxa"/>
            <w:tcBorders>
              <w:bottom w:val="single" w:color="auto" w:sz="4" w:space="0"/>
            </w:tcBorders>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五、付款方式：</w:t>
            </w:r>
          </w:p>
          <w:p>
            <w:pPr>
              <w:pStyle w:val="8"/>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color w:val="FF0000"/>
                <w:sz w:val="24"/>
              </w:rPr>
            </w:pPr>
            <w:r>
              <w:rPr>
                <w:rFonts w:hint="eastAsia" w:ascii="方正仿宋_GBK" w:eastAsia="方正仿宋_GBK"/>
                <w:color w:val="FF0000"/>
                <w:sz w:val="24"/>
              </w:rPr>
              <w:t>六、违约责任：</w:t>
            </w:r>
          </w:p>
          <w:p>
            <w:pPr>
              <w:spacing w:line="500" w:lineRule="exact"/>
              <w:rPr>
                <w:rFonts w:ascii="方正仿宋_GBK" w:eastAsia="方正仿宋_GBK"/>
                <w:sz w:val="24"/>
              </w:rPr>
            </w:pPr>
            <w:r>
              <w:rPr>
                <w:rFonts w:hint="eastAsia" w:ascii="方正仿宋_GBK" w:eastAsia="方正仿宋_GBK"/>
                <w:color w:val="FF0000"/>
                <w:sz w:val="24"/>
              </w:rPr>
              <w:t>若供应方未按约定提供保质保量的货物或服务，则采购人有权单方面中止合同并对超过履约保证金额度的损失向供应方索赔。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1.竞争性谈判文件及其补遗文件、响应文件和承诺是本合同不可分割的部分。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2.本合同如发生争议由双方协商解决，协商不成向需方所在人民法院提请诉讼。</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1"/>
          <w:szCs w:val="21"/>
        </w:rPr>
        <w:sectPr>
          <w:pgSz w:w="11907" w:h="16840"/>
          <w:pgMar w:top="1134" w:right="1191" w:bottom="1134" w:left="1304" w:header="964" w:footer="992" w:gutter="0"/>
          <w:pgNumType w:fmt="decimal"/>
          <w:cols w:space="720" w:num="1"/>
          <w:docGrid w:linePitch="312" w:charSpace="0"/>
        </w:sectPr>
      </w:pPr>
      <w:r>
        <w:rPr>
          <w:rFonts w:hint="eastAsia" w:ascii="方正仿宋_GBK" w:eastAsia="方正仿宋_GBK"/>
          <w:sz w:val="24"/>
        </w:rPr>
        <w:t>签约时间：           年   月   日      签约地点：</w:t>
      </w:r>
      <w:r>
        <w:rPr>
          <w:rFonts w:hint="eastAsia"/>
        </w:rPr>
        <w:t xml:space="preserve"> </w:t>
      </w:r>
    </w:p>
    <w:p>
      <w:pPr>
        <w:pStyle w:val="3"/>
        <w:spacing w:before="0" w:after="0" w:line="360" w:lineRule="auto"/>
        <w:jc w:val="center"/>
        <w:rPr>
          <w:rFonts w:ascii="方正小标宋_GBK" w:hAnsi="宋体" w:eastAsia="方正小标宋_GBK"/>
          <w:b w:val="0"/>
          <w:sz w:val="36"/>
          <w:szCs w:val="30"/>
        </w:rPr>
      </w:pPr>
      <w:bookmarkStart w:id="67" w:name="_Hlt41879464"/>
      <w:bookmarkEnd w:id="67"/>
      <w:bookmarkStart w:id="68" w:name="_Toc7101"/>
      <w:bookmarkStart w:id="69" w:name="_Toc12789072"/>
      <w:r>
        <w:rPr>
          <w:rFonts w:hint="eastAsia" w:ascii="方正小标宋_GBK" w:hAnsi="宋体" w:eastAsia="方正小标宋_GBK"/>
          <w:b w:val="0"/>
          <w:sz w:val="36"/>
          <w:szCs w:val="30"/>
        </w:rPr>
        <w:t>第六篇  响应文件格式要求</w:t>
      </w:r>
      <w:bookmarkEnd w:id="68"/>
      <w:bookmarkEnd w:id="69"/>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技术响应偏离表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（六）税务登记证（副本）复印件</w:t>
      </w:r>
    </w:p>
    <w:p>
      <w:pPr>
        <w:spacing w:line="44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说明：供应商按“五证合一”登记制度办理营业执照的，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以供应商所提供的营业执照（副本）复印件为准。</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（一）供应商小微企业证明文件、微型企业承诺书、监狱企业证明文件、残疾人福利性单位声明函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pPr>
        <w:pStyle w:val="4"/>
        <w:spacing w:before="0" w:after="0" w:line="360" w:lineRule="auto"/>
        <w:rPr>
          <w:rFonts w:ascii="方正仿宋_GBK" w:hAnsi="宋体" w:eastAsia="方正仿宋_GBK"/>
          <w:sz w:val="24"/>
          <w:szCs w:val="24"/>
        </w:rPr>
      </w:pPr>
      <w:bookmarkStart w:id="70" w:name="_Toc17585"/>
      <w:bookmarkStart w:id="71" w:name="_Toc342913419"/>
      <w:bookmarkStart w:id="72" w:name="_Toc313888360"/>
      <w:bookmarkStart w:id="73" w:name="_Toc313008356"/>
      <w:bookmarkStart w:id="74" w:name="_Toc283382454"/>
      <w:bookmarkStart w:id="75" w:name="_Toc12789073"/>
      <w:r>
        <w:rPr>
          <w:rFonts w:hint="eastAsia" w:ascii="方正仿宋_GBK" w:hAnsi="宋体" w:eastAsia="方正仿宋_GBK"/>
          <w:sz w:val="24"/>
          <w:szCs w:val="24"/>
        </w:rPr>
        <w:t>一、经济部分</w:t>
      </w:r>
      <w:bookmarkEnd w:id="70"/>
      <w:bookmarkEnd w:id="71"/>
      <w:bookmarkEnd w:id="72"/>
      <w:bookmarkEnd w:id="73"/>
    </w:p>
    <w:bookmarkEnd w:id="74"/>
    <w:bookmarkEnd w:id="75"/>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7.我方同意竞争性谈判文件规定。如果我方成为成交供应商，保证在接到成交通知书后，向采购人交纳竞争性谈判文件规定的采购代理服务费。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500" w:lineRule="exact"/>
        <w:ind w:firstLine="240" w:firstLineChars="100"/>
        <w:rPr>
          <w:rFonts w:ascii="方正仿宋_GBK" w:hAnsi="宋体" w:eastAsia="方正仿宋_GBK"/>
          <w:sz w:val="24"/>
          <w:szCs w:val="28"/>
        </w:rPr>
      </w:pPr>
      <w:r>
        <w:rPr>
          <w:rFonts w:hint="eastAsia" w:ascii="方正仿宋_GBK" w:hAnsi="宋体" w:eastAsia="方正仿宋_GBK"/>
          <w:sz w:val="24"/>
          <w:szCs w:val="28"/>
        </w:rPr>
        <w:t>项目名称：</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15"/>
        <w:gridCol w:w="1815"/>
        <w:gridCol w:w="2205"/>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供应商名称</w:t>
            </w:r>
          </w:p>
        </w:tc>
        <w:tc>
          <w:tcPr>
            <w:tcW w:w="7840" w:type="dxa"/>
            <w:gridSpan w:val="4"/>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分包号</w:t>
            </w:r>
          </w:p>
        </w:tc>
        <w:tc>
          <w:tcPr>
            <w:tcW w:w="1715"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分包名称</w:t>
            </w:r>
          </w:p>
        </w:tc>
        <w:tc>
          <w:tcPr>
            <w:tcW w:w="1815" w:type="dxa"/>
            <w:vAlign w:val="center"/>
          </w:tcPr>
          <w:p>
            <w:pPr>
              <w:snapToGrid w:val="0"/>
              <w:spacing w:line="240" w:lineRule="atLeast"/>
              <w:jc w:val="center"/>
              <w:rPr>
                <w:rFonts w:ascii="方正仿宋_GBK" w:hAnsi="方正仿宋_GBK" w:eastAsia="方正仿宋_GBK"/>
                <w:sz w:val="21"/>
                <w:szCs w:val="28"/>
              </w:rPr>
            </w:pPr>
            <w:r>
              <w:rPr>
                <w:rFonts w:hint="eastAsia" w:ascii="方正仿宋_GBK" w:hAnsi="方正仿宋_GBK" w:eastAsia="方正仿宋_GBK"/>
                <w:sz w:val="21"/>
                <w:szCs w:val="28"/>
              </w:rPr>
              <w:t>报价（小写）</w:t>
            </w:r>
          </w:p>
        </w:tc>
        <w:tc>
          <w:tcPr>
            <w:tcW w:w="2205"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服务期</w:t>
            </w:r>
            <w:r>
              <w:rPr>
                <w:rFonts w:hint="eastAsia" w:ascii="方正仿宋_GBK" w:hAnsi="宋体" w:eastAsia="方正仿宋_GBK"/>
                <w:sz w:val="21"/>
                <w:szCs w:val="21"/>
              </w:rPr>
              <w:t>（或为：</w:t>
            </w:r>
            <w:r>
              <w:rPr>
                <w:rFonts w:hint="eastAsia" w:ascii="方正仿宋_GBK" w:eastAsia="方正仿宋_GBK"/>
                <w:sz w:val="21"/>
                <w:szCs w:val="21"/>
              </w:rPr>
              <w:t>实施时间</w:t>
            </w:r>
            <w:r>
              <w:rPr>
                <w:rFonts w:hint="eastAsia" w:ascii="方正仿宋_GBK" w:hAnsi="宋体" w:eastAsia="方正仿宋_GBK"/>
                <w:sz w:val="21"/>
                <w:szCs w:val="21"/>
              </w:rPr>
              <w:t>）</w:t>
            </w:r>
          </w:p>
        </w:tc>
        <w:tc>
          <w:tcPr>
            <w:tcW w:w="2105"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服务地点（</w:t>
            </w:r>
            <w:r>
              <w:rPr>
                <w:rFonts w:hint="eastAsia" w:ascii="方正仿宋_GBK" w:hAnsi="宋体" w:eastAsia="方正仿宋_GBK"/>
                <w:sz w:val="21"/>
                <w:szCs w:val="21"/>
              </w:rPr>
              <w:t>或为：</w:t>
            </w:r>
            <w:r>
              <w:rPr>
                <w:rFonts w:hint="eastAsia" w:ascii="方正仿宋_GBK" w:hAnsi="宋体" w:eastAsia="方正仿宋_GBK"/>
                <w:sz w:val="21"/>
                <w:szCs w:val="28"/>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vAlign w:val="center"/>
          </w:tcPr>
          <w:p>
            <w:pPr>
              <w:spacing w:line="500" w:lineRule="exact"/>
              <w:jc w:val="center"/>
              <w:rPr>
                <w:rFonts w:ascii="方正仿宋_GBK" w:hAnsi="宋体" w:eastAsia="方正仿宋_GBK"/>
                <w:sz w:val="21"/>
                <w:szCs w:val="28"/>
              </w:rPr>
            </w:pPr>
          </w:p>
        </w:tc>
        <w:tc>
          <w:tcPr>
            <w:tcW w:w="1715" w:type="dxa"/>
          </w:tcPr>
          <w:p>
            <w:pPr>
              <w:spacing w:line="500" w:lineRule="exact"/>
              <w:rPr>
                <w:rFonts w:ascii="方正仿宋_GBK" w:hAnsi="宋体" w:eastAsia="方正仿宋_GBK"/>
                <w:sz w:val="21"/>
                <w:szCs w:val="28"/>
              </w:rPr>
            </w:pPr>
          </w:p>
        </w:tc>
        <w:tc>
          <w:tcPr>
            <w:tcW w:w="1815" w:type="dxa"/>
          </w:tcPr>
          <w:p>
            <w:pPr>
              <w:spacing w:line="500" w:lineRule="exact"/>
              <w:rPr>
                <w:rFonts w:ascii="方正仿宋_GBK" w:hAnsi="宋体" w:eastAsia="方正仿宋_GBK"/>
                <w:sz w:val="21"/>
                <w:szCs w:val="28"/>
              </w:rPr>
            </w:pPr>
          </w:p>
        </w:tc>
        <w:tc>
          <w:tcPr>
            <w:tcW w:w="2205" w:type="dxa"/>
          </w:tcPr>
          <w:p>
            <w:pPr>
              <w:spacing w:line="500" w:lineRule="exact"/>
              <w:rPr>
                <w:rFonts w:ascii="方正仿宋_GBK" w:hAnsi="宋体" w:eastAsia="方正仿宋_GBK"/>
                <w:sz w:val="21"/>
                <w:szCs w:val="28"/>
              </w:rPr>
            </w:pPr>
          </w:p>
        </w:tc>
        <w:tc>
          <w:tcPr>
            <w:tcW w:w="2105" w:type="dxa"/>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8"/>
              <w:spacing w:line="500" w:lineRule="exact"/>
              <w:rPr>
                <w:rFonts w:ascii="方正仿宋_GBK" w:hAnsi="宋体" w:eastAsia="方正仿宋_GBK"/>
                <w:sz w:val="21"/>
                <w:szCs w:val="28"/>
              </w:rPr>
            </w:pPr>
            <w:r>
              <w:rPr>
                <w:rFonts w:hint="eastAsia" w:ascii="方正仿宋_GBK" w:hAnsi="宋体" w:eastAsia="方正仿宋_GBK"/>
                <w:sz w:val="21"/>
                <w:szCs w:val="28"/>
              </w:rPr>
              <w:t>备注：</w:t>
            </w:r>
          </w:p>
        </w:tc>
      </w:tr>
    </w:tbl>
    <w:p>
      <w:pPr>
        <w:pStyle w:val="8"/>
        <w:spacing w:line="500" w:lineRule="exact"/>
        <w:rPr>
          <w:rFonts w:ascii="方正仿宋_GBK" w:hAnsi="宋体" w:eastAsia="方正仿宋_GBK"/>
          <w:sz w:val="24"/>
          <w:szCs w:val="28"/>
        </w:rPr>
      </w:pPr>
    </w:p>
    <w:p/>
    <w:p>
      <w:pPr>
        <w:spacing w:line="500" w:lineRule="exact"/>
        <w:rPr>
          <w:rFonts w:ascii="方正仿宋_GBK" w:hAnsi="宋体" w:eastAsia="方正仿宋_GBK"/>
          <w:sz w:val="24"/>
          <w:szCs w:val="28"/>
        </w:rPr>
      </w:pPr>
    </w:p>
    <w:p>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供应商法定代表人授权代表：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（供应商公章）（签字或盖章）</w:t>
      </w:r>
    </w:p>
    <w:p>
      <w:pPr>
        <w:spacing w:line="360" w:lineRule="auto"/>
        <w:ind w:right="480" w:firstLine="6480" w:firstLineChars="2700"/>
        <w:rPr>
          <w:rFonts w:ascii="方正仿宋_GBK" w:hAnsi="宋体" w:eastAsia="方正仿宋_GBK"/>
          <w:sz w:val="24"/>
          <w:szCs w:val="24"/>
        </w:rPr>
      </w:pPr>
    </w:p>
    <w:p>
      <w:pPr>
        <w:spacing w:line="360" w:lineRule="auto"/>
        <w:ind w:right="480" w:firstLine="6480" w:firstLineChars="2700"/>
        <w:rPr>
          <w:rFonts w:ascii="方正仿宋_GBK" w:hAnsi="宋体" w:eastAsia="方正仿宋_GBK"/>
          <w:sz w:val="24"/>
          <w:szCs w:val="24"/>
        </w:rPr>
      </w:pP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9" w:type="default"/>
          <w:pgSz w:w="11907" w:h="16840"/>
          <w:pgMar w:top="1134" w:right="1191" w:bottom="1134" w:left="1304" w:header="851" w:footer="992" w:gutter="0"/>
          <w:pgNumType w:fmt="decimal"/>
          <w:cols w:space="720" w:num="1"/>
          <w:docGrid w:linePitch="380" w:charSpace="-5735"/>
        </w:sectPr>
      </w:pPr>
    </w:p>
    <w:p>
      <w:pPr>
        <w:pStyle w:val="4"/>
        <w:spacing w:before="0" w:after="0" w:line="360" w:lineRule="auto"/>
        <w:rPr>
          <w:rFonts w:ascii="方正仿宋_GBK" w:hAnsi="宋体" w:eastAsia="方正仿宋_GBK"/>
          <w:sz w:val="24"/>
          <w:szCs w:val="24"/>
        </w:rPr>
      </w:pPr>
      <w:bookmarkStart w:id="76" w:name="_Toc313888361"/>
      <w:bookmarkStart w:id="77" w:name="_Toc443"/>
      <w:bookmarkStart w:id="78" w:name="_Toc313008357"/>
      <w:bookmarkStart w:id="79" w:name="_Toc342913420"/>
      <w:r>
        <w:rPr>
          <w:rFonts w:hint="eastAsia" w:ascii="方正仿宋_GBK" w:hAnsi="宋体" w:eastAsia="方正仿宋_GBK"/>
          <w:sz w:val="24"/>
          <w:szCs w:val="24"/>
        </w:rPr>
        <w:t>二、服务部分</w:t>
      </w:r>
      <w:bookmarkEnd w:id="76"/>
      <w:bookmarkEnd w:id="77"/>
      <w:bookmarkEnd w:id="78"/>
      <w:bookmarkEnd w:id="79"/>
    </w:p>
    <w:p>
      <w:pPr>
        <w:snapToGrid w:val="0"/>
        <w:spacing w:line="360" w:lineRule="auto"/>
        <w:jc w:val="left"/>
        <w:rPr>
          <w:rFonts w:ascii="方正仿宋_GBK" w:hAnsi="宋体" w:eastAsia="方正仿宋_GBK"/>
          <w:sz w:val="24"/>
          <w:szCs w:val="24"/>
        </w:rPr>
      </w:pPr>
      <w:r>
        <w:rPr>
          <w:rFonts w:hint="eastAsia" w:ascii="方正仿宋_GBK" w:hAnsi="宋体" w:eastAsia="方正仿宋_GBK"/>
          <w:sz w:val="24"/>
          <w:szCs w:val="24"/>
        </w:rPr>
        <w:t>（一）服务方案（格式自定）</w:t>
      </w:r>
      <w:bookmarkStart w:id="80" w:name="_Toc313888362"/>
      <w:bookmarkStart w:id="81" w:name="_Toc342913421"/>
      <w:bookmarkStart w:id="82" w:name="_Toc313008358"/>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p>
    <w:p>
      <w:pPr>
        <w:snapToGrid w:val="0"/>
        <w:spacing w:line="360" w:lineRule="auto"/>
        <w:jc w:val="left"/>
        <w:rPr>
          <w:rFonts w:ascii="方正仿宋_GBK" w:hAnsi="宋体" w:eastAsia="方正仿宋_GBK"/>
          <w:sz w:val="24"/>
          <w:szCs w:val="24"/>
        </w:rPr>
      </w:pPr>
      <w:r>
        <w:rPr>
          <w:rFonts w:hint="eastAsia" w:ascii="方正仿宋_GBK" w:hAnsi="宋体" w:eastAsia="方正仿宋_GBK"/>
          <w:sz w:val="24"/>
          <w:szCs w:val="24"/>
        </w:rPr>
        <w:t>（二）服务部分</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w:t>
      </w:r>
    </w:p>
    <w:p>
      <w:pPr>
        <w:snapToGrid w:val="0"/>
        <w:ind w:firstLine="465"/>
        <w:rPr>
          <w:rFonts w:ascii="方正仿宋_GBK" w:hAnsi="宋体" w:eastAsia="方正仿宋_GBK"/>
          <w:sz w:val="24"/>
          <w:szCs w:val="24"/>
        </w:rPr>
      </w:pPr>
      <w:r>
        <w:rPr>
          <w:rFonts w:hint="eastAsia" w:ascii="方正仿宋_GBK" w:hAnsi="宋体" w:eastAsia="方正仿宋_GBK"/>
          <w:sz w:val="24"/>
        </w:rPr>
        <w:t>谈判项目名称：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谈判项目需求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1.本表即为对本项目“第四篇 谈判项目服务需求”中所列服务要求进行比较和响应；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2.该表必须按照竞争性谈判要求逐条如实填写，若未作实质性参数描述，该供应商将失去成为成交供应商的资格，仅保留其合格供应商的身份。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 根据响应情况在“差异说明”项填写正偏离或负偏离及原因，完全符合的填写“无差异”。</w:t>
      </w:r>
    </w:p>
    <w:p>
      <w:pPr>
        <w:pStyle w:val="4"/>
        <w:spacing w:before="0" w:after="0" w:line="360" w:lineRule="auto"/>
        <w:rPr>
          <w:rFonts w:ascii="方正仿宋_GBK" w:hAnsi="宋体" w:eastAsia="方正仿宋_GBK"/>
          <w:sz w:val="24"/>
          <w:szCs w:val="24"/>
        </w:rPr>
      </w:pPr>
      <w:bookmarkStart w:id="83" w:name="_Toc11038"/>
      <w:r>
        <w:rPr>
          <w:rFonts w:hint="eastAsia" w:ascii="方正仿宋_GBK" w:hAnsi="宋体" w:eastAsia="方正仿宋_GBK"/>
          <w:sz w:val="24"/>
          <w:szCs w:val="24"/>
        </w:rPr>
        <w:t>三、</w:t>
      </w:r>
      <w:bookmarkEnd w:id="80"/>
      <w:bookmarkEnd w:id="81"/>
      <w:bookmarkEnd w:id="82"/>
      <w:r>
        <w:rPr>
          <w:rFonts w:hint="eastAsia" w:ascii="方正仿宋_GBK" w:hAnsi="宋体" w:eastAsia="方正仿宋_GBK"/>
          <w:sz w:val="24"/>
          <w:szCs w:val="24"/>
        </w:rPr>
        <w:t>资格条件及其他</w:t>
      </w:r>
      <w:bookmarkEnd w:id="83"/>
      <w:bookmarkStart w:id="84" w:name="_Toc313888363"/>
      <w:bookmarkStart w:id="85" w:name="_Toc342913422"/>
      <w:bookmarkStart w:id="86" w:name="_Toc313008359"/>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方正仿宋_GBK" w:hAnsi="宋体" w:eastAsia="方正仿宋_GBK"/>
        </w:rPr>
      </w:pPr>
    </w:p>
    <w:p>
      <w:pPr>
        <w:tabs>
          <w:tab w:val="left" w:pos="6300"/>
        </w:tabs>
        <w:snapToGrid w:val="0"/>
        <w:spacing w:line="500" w:lineRule="exact"/>
        <w:ind w:firstLine="3220" w:firstLineChars="1150"/>
        <w:rPr>
          <w:rFonts w:ascii="方正仿宋_GBK" w:hAnsi="宋体" w:eastAsia="方正仿宋_GBK"/>
          <w:sz w:val="24"/>
        </w:rPr>
      </w:pPr>
      <w:r>
        <w:rPr>
          <w:rFonts w:hint="eastAsia" w:ascii="方正仿宋_GBK" w:hAnsi="宋体" w:eastAsia="方正仿宋_GBK"/>
        </w:rPr>
        <w:t>（五）书面声明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w:t>
      </w:r>
    </w:p>
    <w:p>
      <w:pPr>
        <w:tabs>
          <w:tab w:val="left" w:pos="6300"/>
        </w:tabs>
        <w:snapToGrid w:val="0"/>
        <w:spacing w:line="500" w:lineRule="exact"/>
        <w:ind w:firstLine="560"/>
        <w:rPr>
          <w:rFonts w:ascii="方正仿宋_GBK" w:hAnsi="仿宋" w:eastAsia="方正仿宋_GBK"/>
        </w:rPr>
      </w:pP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4"/>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Start w:id="87" w:name="_Toc13532"/>
      <w:r>
        <w:rPr>
          <w:rFonts w:hint="eastAsia" w:ascii="方正仿宋_GBK" w:hAnsi="宋体" w:eastAsia="方正仿宋_GBK"/>
          <w:sz w:val="24"/>
          <w:szCs w:val="24"/>
        </w:rPr>
        <w:t>五、</w:t>
      </w:r>
      <w:bookmarkEnd w:id="84"/>
      <w:bookmarkEnd w:id="85"/>
      <w:bookmarkEnd w:id="86"/>
      <w:r>
        <w:rPr>
          <w:rFonts w:hint="eastAsia" w:ascii="方正仿宋_GBK" w:eastAsia="方正仿宋_GBK"/>
          <w:sz w:val="24"/>
          <w:szCs w:val="24"/>
        </w:rPr>
        <w:t>其他应提供的资料</w:t>
      </w:r>
      <w:r>
        <w:rPr>
          <w:rFonts w:hint="eastAsia" w:ascii="方正仿宋_GBK" w:hAnsi="仿宋" w:eastAsia="方正仿宋_GBK"/>
        </w:rPr>
        <w:t>（自附）</w:t>
      </w:r>
      <w:bookmarkEnd w:id="87"/>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p/>
    <w:p/>
    <w:sectPr>
      <w:head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p>
  <w:p>
    <w:pPr>
      <w:pStyle w:val="9"/>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r>
      <w:rPr>
        <w:rFonts w:hint="eastAsia" w:ascii="方正仿宋_GBK" w:eastAsia="方正仿宋_GBK"/>
        <w:sz w:val="21"/>
        <w:szCs w:val="21"/>
      </w:rPr>
      <w:t>重庆安立工程管理有限公司                                                   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r>
      <w:rPr>
        <w:rFonts w:hint="eastAsia" w:ascii="方正仿宋_GBK" w:eastAsia="方正仿宋_GBK"/>
        <w:sz w:val="21"/>
        <w:szCs w:val="21"/>
      </w:rPr>
      <w:t xml:space="preserve">                                                 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27B0"/>
    <w:rsid w:val="0B970E7D"/>
    <w:rsid w:val="0E1B36E2"/>
    <w:rsid w:val="164E014E"/>
    <w:rsid w:val="179B3D1D"/>
    <w:rsid w:val="194B41C9"/>
    <w:rsid w:val="1A9D12C5"/>
    <w:rsid w:val="240B27B0"/>
    <w:rsid w:val="2CA3343E"/>
    <w:rsid w:val="2CE4261D"/>
    <w:rsid w:val="3DF75628"/>
    <w:rsid w:val="4D5D0B8D"/>
    <w:rsid w:val="60C85D0C"/>
    <w:rsid w:val="6272682E"/>
    <w:rsid w:val="62863827"/>
    <w:rsid w:val="67086862"/>
    <w:rsid w:val="6CDD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adjustRightInd w:val="0"/>
      <w:snapToGrid w:val="0"/>
      <w:spacing w:after="120" w:afterLines="0" w:afterAutospacing="0" w:line="480" w:lineRule="auto"/>
    </w:pPr>
    <w:rPr>
      <w:sz w:val="24"/>
    </w:rPr>
  </w:style>
  <w:style w:type="paragraph" w:styleId="5">
    <w:name w:val="Body Text Indent"/>
    <w:basedOn w:val="1"/>
    <w:unhideWhenUsed/>
    <w:qFormat/>
    <w:uiPriority w:val="0"/>
    <w:pPr>
      <w:spacing w:after="120"/>
      <w:ind w:left="420" w:leftChars="200"/>
    </w:pPr>
  </w:style>
  <w:style w:type="paragraph" w:styleId="6">
    <w:name w:val="toc 3"/>
    <w:basedOn w:val="1"/>
    <w:next w:val="1"/>
    <w:qFormat/>
    <w:uiPriority w:val="39"/>
    <w:pPr>
      <w:ind w:left="840" w:leftChars="400"/>
    </w:pPr>
  </w:style>
  <w:style w:type="paragraph" w:styleId="7">
    <w:name w:val="Plain Text"/>
    <w:basedOn w:val="1"/>
    <w:qFormat/>
    <w:uiPriority w:val="99"/>
    <w:rPr>
      <w:rFonts w:ascii="宋体" w:hAnsi="Courier New"/>
      <w:sz w:val="21"/>
    </w:rPr>
  </w:style>
  <w:style w:type="paragraph" w:styleId="8">
    <w:name w:val="Date"/>
    <w:basedOn w:val="1"/>
    <w:next w:val="1"/>
    <w:qFormat/>
    <w:uiPriority w:val="99"/>
    <w:rPr>
      <w:rFonts w:asciiTheme="minorHAnsi" w:hAnsiTheme="minorHAnsi" w:eastAsiaTheme="minorEastAsia" w:cstheme="minorBidi"/>
      <w:szCs w:val="2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420" w:leftChars="200"/>
    </w:pPr>
  </w:style>
  <w:style w:type="character" w:styleId="14">
    <w:name w:val="page number"/>
    <w:basedOn w:val="13"/>
    <w:qFormat/>
    <w:uiPriority w:val="0"/>
  </w:style>
  <w:style w:type="character" w:styleId="15">
    <w:name w:val="Hyperlink"/>
    <w:qFormat/>
    <w:uiPriority w:val="99"/>
    <w:rPr>
      <w:color w:val="0000FF"/>
      <w:u w:val="single"/>
    </w:rPr>
  </w:style>
  <w:style w:type="paragraph" w:styleId="16">
    <w:name w:val="List Paragraph"/>
    <w:basedOn w:val="1"/>
    <w:qFormat/>
    <w:uiPriority w:val="34"/>
    <w:pPr>
      <w:ind w:firstLine="420" w:firstLineChars="200"/>
    </w:pPr>
    <w:rPr>
      <w:rFonts w:ascii="Calibri" w:hAnsi="Calibri"/>
      <w:sz w:val="21"/>
      <w:szCs w:val="22"/>
    </w:rPr>
  </w:style>
  <w:style w:type="paragraph" w:customStyle="1" w:styleId="17">
    <w:name w:val="1"/>
    <w:basedOn w:val="1"/>
    <w:next w:val="7"/>
    <w:qFormat/>
    <w:uiPriority w:val="0"/>
    <w:rPr>
      <w:rFonts w:ascii="宋体" w:hAnsi="Courier New"/>
      <w:sz w:val="21"/>
    </w:rPr>
  </w:style>
  <w:style w:type="paragraph" w:customStyle="1" w:styleId="18">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2021-06-02T07:50:00Z</dcterms:created>
  <dc:creator>痞叻</dc:creator>
  <cp:lastModifiedBy>Administrator</cp:lastModifiedBy>
  <dcterms:modified xsi:type="dcterms:W3CDTF">2021-07-06T06:42:23Z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2F06720B83FC432E92B6971880AB399A</vt:lpwstr>
  </property>
</Properties>
</file>