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numPr>
          <w:ilvl w:val="0"/>
          <w:numId w:val="1"/>
        </w:numPr>
        <w:spacing w:line="240" w:lineRule="auto"/>
        <w:ind w:left="210" w:leftChars="0" w:firstLineChars="0"/>
        <w:jc w:val="both"/>
        <w:rPr>
          <w:rFonts w:hint="default"/>
          <w:lang w:val="en-US" w:eastAsia="zh-CN"/>
        </w:rPr>
      </w:pPr>
      <w:bookmarkStart w:id="0" w:name="_Toc462234311"/>
      <w:bookmarkStart w:id="1" w:name="_Toc23216"/>
      <w:bookmarkStart w:id="2" w:name="_Toc20796"/>
      <w:bookmarkStart w:id="3" w:name="_Toc482084458"/>
      <w:r>
        <w:rPr>
          <w:rFonts w:hint="eastAsia"/>
        </w:rPr>
        <w:t>服务要求</w:t>
      </w:r>
      <w:bookmarkEnd w:id="0"/>
      <w:bookmarkEnd w:id="1"/>
      <w:bookmarkEnd w:id="2"/>
      <w:bookmarkEnd w:id="3"/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（一）服务范围：黄山市烟草公司物流中心园区内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（二）工作内容：本白蚁预防服务项目是根据白蚁的生物学习性与建筑物的结构特点，使用长效防治白蚁药剂进行处理，营造不利于白蚁生存的生态环境而达到预防白蚁的目的。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（三）白蚁查杀及防治工作技术要求：</w:t>
      </w:r>
    </w:p>
    <w:p>
      <w:pPr>
        <w:numPr>
          <w:ilvl w:val="0"/>
          <w:numId w:val="2"/>
        </w:num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派出专业</w:t>
      </w:r>
      <w:r>
        <w:rPr>
          <w:rFonts w:hint="eastAsia" w:ascii="宋体" w:hAnsi="宋体"/>
          <w:sz w:val="24"/>
          <w:szCs w:val="24"/>
          <w:lang w:eastAsia="zh-CN"/>
        </w:rPr>
        <w:t>人员对园区内</w:t>
      </w:r>
      <w:r>
        <w:rPr>
          <w:rFonts w:hint="eastAsia" w:ascii="宋体" w:hAnsi="宋体"/>
          <w:sz w:val="24"/>
          <w:szCs w:val="24"/>
        </w:rPr>
        <w:t>进行白蚁灾害情况检查，详细记录检查情况，并及时做好标记，建立必要的白蚁灾害情况档案，做到不漏片、不漏点。</w:t>
      </w:r>
    </w:p>
    <w:p>
      <w:pPr>
        <w:numPr>
          <w:ilvl w:val="0"/>
          <w:numId w:val="2"/>
        </w:num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根据检查情况，立即对白蚁灾害进行有效治理。（1）由专业</w:t>
      </w:r>
      <w:r>
        <w:rPr>
          <w:rFonts w:hint="eastAsia" w:ascii="宋体" w:hAnsi="宋体"/>
          <w:sz w:val="24"/>
          <w:szCs w:val="24"/>
          <w:lang w:eastAsia="zh-CN"/>
        </w:rPr>
        <w:t>人员</w:t>
      </w:r>
      <w:r>
        <w:rPr>
          <w:rFonts w:hint="eastAsia" w:ascii="宋体" w:hAnsi="宋体"/>
          <w:sz w:val="24"/>
          <w:szCs w:val="24"/>
        </w:rPr>
        <w:t>对发现的每一个白蚁侵蚀点进行技术分析，确定处理手段。（2）确定处理手段后，由专业</w:t>
      </w:r>
      <w:r>
        <w:rPr>
          <w:rFonts w:hint="eastAsia" w:ascii="宋体" w:hAnsi="宋体"/>
          <w:sz w:val="24"/>
          <w:szCs w:val="24"/>
          <w:lang w:eastAsia="zh-CN"/>
        </w:rPr>
        <w:t>人员</w:t>
      </w:r>
      <w:r>
        <w:rPr>
          <w:rFonts w:hint="eastAsia" w:ascii="宋体" w:hAnsi="宋体"/>
          <w:sz w:val="24"/>
          <w:szCs w:val="24"/>
        </w:rPr>
        <w:t>根据实际不同情况对灾害点及时进行处理。（3）对办公楼的木门、窗的侵害点，要根据情况进行必要的横向、纵向钻孔，消灭白蚁并形成阻隔防护带，日后起预防作用。（4）其它木构件处理：例如对其它木构件进行防蚁处理，不得留有空白点，如有遗漏时，应及时进行涂补或补喷，如门框等亦需进行药剂喷涂处理。即用药剂1：50稀释液对其贴墙着地部位进行喷雾2遍。（5）对大楼通道部分，采用药剂1：50稀释液对其贴墙着地部位进行喷雾2遍。（6）对墙体暗角及管道处理，采用药剂1：50稀释液对其进行喷雾2遍。（7）办公区及宿舍绿地部分，采用打药方法处理，另加药剂1：50稀释液进行喷雾1遍。</w:t>
      </w:r>
    </w:p>
    <w:p>
      <w:pPr>
        <w:numPr>
          <w:ilvl w:val="0"/>
          <w:numId w:val="2"/>
        </w:num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在实施过程中，如出现特殊情况，可根据具体情况，制订相应的措施，采取专项处理方法。</w:t>
      </w:r>
    </w:p>
    <w:p>
      <w:pPr>
        <w:numPr>
          <w:ilvl w:val="0"/>
          <w:numId w:val="2"/>
        </w:num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落实服务人员安排：由项目主管直接负责项目的监督指导，服务技术员由经过白蚁防治培训的专业技术人员组成，保证项目实施安全和质量。</w:t>
      </w:r>
    </w:p>
    <w:p>
      <w:pPr>
        <w:numPr>
          <w:ilvl w:val="0"/>
          <w:numId w:val="2"/>
        </w:num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由于项目的具体情况不同，及材质的处理方法不尽相同，本项目严格遵守“高效、低毒、残效期长、污染小”的原则。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（四）实施时间及服务要求：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1、服务期限为三年，</w:t>
      </w:r>
      <w:r>
        <w:rPr>
          <w:rFonts w:ascii="宋体" w:hAnsi="宋体" w:eastAsia="宋体" w:cs="宋体"/>
          <w:sz w:val="24"/>
          <w:szCs w:val="24"/>
        </w:rPr>
        <w:t>按需治理，确保物流中心无白蚁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bookmarkStart w:id="4" w:name="_Hlk45640272"/>
      <w:r>
        <w:rPr>
          <w:rFonts w:ascii="宋体" w:hAnsi="宋体" w:cs="宋体"/>
          <w:sz w:val="24"/>
          <w:szCs w:val="24"/>
        </w:rPr>
        <w:t>所使用药物符合国家要求，而且具备三证批号，不得使用违禁药品</w:t>
      </w:r>
      <w:bookmarkEnd w:id="4"/>
      <w:r>
        <w:rPr>
          <w:rFonts w:ascii="宋体" w:hAnsi="宋体" w:cs="宋体"/>
          <w:sz w:val="24"/>
          <w:szCs w:val="24"/>
        </w:rPr>
        <w:t>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ascii="宋体" w:hAnsi="宋体" w:cs="宋体"/>
          <w:sz w:val="24"/>
          <w:szCs w:val="24"/>
        </w:rPr>
        <w:t>每次</w:t>
      </w:r>
      <w:r>
        <w:rPr>
          <w:rFonts w:hint="eastAsia" w:ascii="宋体" w:hAnsi="宋体" w:cs="宋体"/>
          <w:sz w:val="24"/>
          <w:szCs w:val="24"/>
        </w:rPr>
        <w:t>服务</w:t>
      </w:r>
      <w:r>
        <w:rPr>
          <w:rFonts w:ascii="宋体" w:hAnsi="宋体" w:cs="宋体"/>
          <w:sz w:val="24"/>
          <w:szCs w:val="24"/>
        </w:rPr>
        <w:t>，双方在记录单上签字，以备存档。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sz w:val="24"/>
          <w:szCs w:val="24"/>
        </w:rPr>
        <w:t>如遇上级部门检查等特殊情况，随叫随到，并按上级指示要求完成相关工作。</w:t>
      </w:r>
    </w:p>
    <w:p>
      <w:pPr>
        <w:numPr>
          <w:ilvl w:val="0"/>
          <w:numId w:val="0"/>
        </w:num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cs="宋体"/>
          <w:sz w:val="24"/>
          <w:szCs w:val="24"/>
        </w:rPr>
        <w:t>由采购人人员按照标准对项目现场进行检查，如遇有不合格的，及时组织服务人员补工，直至达到标准为止。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940D0"/>
    <w:multiLevelType w:val="singleLevel"/>
    <w:tmpl w:val="251940D0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63ACF26E"/>
    <w:multiLevelType w:val="singleLevel"/>
    <w:tmpl w:val="63ACF2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1651A"/>
    <w:rsid w:val="4D11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firstLine="42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hAnsi="Times New Roman" w:eastAsia="楷体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2021-03-31T01:45:00Z</dcterms:created>
  <dc:creator>旧日如歌i</dc:creator>
  <cp:lastModifiedBy>旧日如歌i</cp:lastModifiedBy>
  <dcterms:modified xsi:type="dcterms:W3CDTF">2021-03-31T01:46:02Z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9DFD918BCFE647269AF0E053CC946358</vt:lpwstr>
  </property>
</Properties>
</file>