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1140"/>
        </w:tabs>
        <w:spacing w:line="400" w:lineRule="exact"/>
        <w:jc w:val="center"/>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rPr>
        <w:t>项目采购需求</w:t>
      </w:r>
    </w:p>
    <w:p>
      <w:pPr>
        <w:snapToGrid w:val="0"/>
        <w:spacing w:line="480" w:lineRule="exact"/>
        <w:rPr>
          <w:rFonts w:ascii="宋体" w:hAnsi="宋体" w:cs="宋体"/>
          <w:b/>
          <w:color w:val="000000" w:themeColor="text1"/>
          <w:kern w:val="0"/>
          <w:sz w:val="32"/>
          <w:szCs w:val="32"/>
        </w:rPr>
      </w:pPr>
      <w:r>
        <w:rPr>
          <w:rFonts w:hint="eastAsia" w:ascii="宋体" w:hAnsi="宋体" w:cs="宋体"/>
          <w:b/>
          <w:color w:val="000000" w:themeColor="text1"/>
          <w:kern w:val="0"/>
          <w:sz w:val="32"/>
          <w:szCs w:val="32"/>
        </w:rPr>
        <w:t>项目：2021年</w:t>
      </w:r>
      <w:r>
        <w:rPr>
          <w:rFonts w:hint="eastAsia" w:ascii="宋体" w:hAnsi="宋体" w:cs="宋体"/>
          <w:b/>
          <w:color w:val="000000" w:themeColor="text1"/>
          <w:kern w:val="0"/>
          <w:sz w:val="32"/>
          <w:szCs w:val="32"/>
          <w:lang w:val="en-US" w:eastAsia="zh-CN"/>
        </w:rPr>
        <w:t>绿化养护-</w:t>
      </w:r>
      <w:r>
        <w:rPr>
          <w:rFonts w:hint="eastAsia" w:ascii="宋体" w:hAnsi="宋体" w:cs="宋体"/>
          <w:b/>
          <w:color w:val="000000" w:themeColor="text1"/>
          <w:kern w:val="0"/>
          <w:sz w:val="32"/>
          <w:szCs w:val="32"/>
        </w:rPr>
        <w:t>林业有害生物防治监测和防控服务采购</w:t>
      </w:r>
    </w:p>
    <w:p>
      <w:pPr>
        <w:snapToGrid w:val="0"/>
        <w:spacing w:line="480" w:lineRule="exact"/>
        <w:ind w:firstLine="630" w:firstLineChars="196"/>
        <w:rPr>
          <w:rFonts w:ascii="仿宋_GB2312" w:hAnsi="仿宋_GB2312" w:eastAsia="仿宋_GB2312" w:cs="仿宋_GB2312"/>
          <w:b/>
          <w:color w:val="000000" w:themeColor="text1"/>
          <w:kern w:val="0"/>
          <w:sz w:val="32"/>
          <w:szCs w:val="32"/>
        </w:rPr>
      </w:pPr>
      <w:r>
        <w:rPr>
          <w:rFonts w:hint="eastAsia" w:ascii="仿宋_GB2312" w:hAnsi="仿宋_GB2312" w:eastAsia="仿宋_GB2312" w:cs="仿宋_GB2312"/>
          <w:b/>
          <w:color w:val="000000" w:themeColor="text1"/>
          <w:kern w:val="0"/>
          <w:sz w:val="32"/>
          <w:szCs w:val="32"/>
        </w:rPr>
        <w:t>一、项目概况</w:t>
      </w:r>
    </w:p>
    <w:p>
      <w:pPr>
        <w:snapToGrid w:val="0"/>
        <w:spacing w:line="48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（一）项目背景：柳州市三门江国家森林公园的免费开放和改造提升是柳州市政府十大为民办实事项目之一，是重要的民生工程，现采购单位对三门江国家森林公园林业有害生物监测和防治服务进行采购。</w:t>
      </w:r>
    </w:p>
    <w:p>
      <w:pPr>
        <w:snapToGrid w:val="0"/>
        <w:spacing w:line="48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（二）采购内容：三门江国家森林公园（含古亭山片区）2021年林业有害生物监测和防治服务；</w:t>
      </w:r>
    </w:p>
    <w:p>
      <w:pPr>
        <w:snapToGrid w:val="0"/>
        <w:spacing w:line="48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（三）项目规模：公园面积约15577.5亩内的林业有害生物监测和防治服务；</w:t>
      </w:r>
    </w:p>
    <w:p>
      <w:pPr>
        <w:snapToGrid w:val="0"/>
        <w:spacing w:line="48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（四）项目条件：园区内正在开展保护利用提升工程，多家施工服务单位同时施工，场地及供水条件有限，不提供市政供电、仓储和办公用房。项目所需的水、电、仓储等由中标服务单位自行解决。</w:t>
      </w:r>
    </w:p>
    <w:p>
      <w:pPr>
        <w:snapToGrid w:val="0"/>
        <w:spacing w:line="480" w:lineRule="exact"/>
        <w:ind w:firstLine="630" w:firstLineChars="196"/>
        <w:rPr>
          <w:rFonts w:ascii="仿宋_GB2312" w:hAnsi="仿宋_GB2312" w:eastAsia="仿宋_GB2312" w:cs="仿宋_GB2312"/>
          <w:b/>
          <w:color w:val="000000" w:themeColor="text1"/>
          <w:kern w:val="0"/>
          <w:sz w:val="32"/>
          <w:szCs w:val="32"/>
        </w:rPr>
      </w:pPr>
      <w:r>
        <w:rPr>
          <w:rFonts w:hint="eastAsia" w:ascii="仿宋_GB2312" w:hAnsi="仿宋_GB2312" w:eastAsia="仿宋_GB2312" w:cs="仿宋_GB2312"/>
          <w:b/>
          <w:color w:val="000000" w:themeColor="text1"/>
          <w:kern w:val="0"/>
          <w:sz w:val="32"/>
          <w:szCs w:val="32"/>
        </w:rPr>
        <w:t>二、服务要求：</w:t>
      </w:r>
    </w:p>
    <w:p>
      <w:pPr>
        <w:snapToGrid w:val="0"/>
        <w:spacing w:line="48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（一）服务范围及要求：</w:t>
      </w:r>
    </w:p>
    <w:p>
      <w:pPr>
        <w:snapToGrid w:val="0"/>
        <w:spacing w:line="48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1、项目详细地址：柳州市桂柳路168号。三门江国家森林公园管辖范围（含古亭山片区）。</w:t>
      </w:r>
    </w:p>
    <w:p>
      <w:pPr>
        <w:snapToGrid w:val="0"/>
        <w:spacing w:line="48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2、服务要求：</w:t>
      </w:r>
      <w:r>
        <w:rPr>
          <w:rFonts w:hint="eastAsia" w:ascii="仿宋_GB2312" w:hAnsi="仿宋_GB2312" w:eastAsia="仿宋_GB2312" w:cs="仿宋_GB2312"/>
          <w:color w:val="000000" w:themeColor="text1"/>
          <w:kern w:val="0"/>
          <w:sz w:val="32"/>
          <w:szCs w:val="32"/>
          <w:lang w:val="en-US" w:eastAsia="zh-CN"/>
        </w:rPr>
        <w:t>服务</w:t>
      </w:r>
      <w:r>
        <w:rPr>
          <w:rFonts w:hint="eastAsia" w:ascii="仿宋_GB2312" w:hAnsi="仿宋_GB2312" w:eastAsia="仿宋_GB2312" w:cs="仿宋_GB2312"/>
          <w:color w:val="000000" w:themeColor="text1"/>
          <w:kern w:val="0"/>
          <w:sz w:val="32"/>
          <w:szCs w:val="32"/>
        </w:rPr>
        <w:t>单位对公园全部范围（包含湖广坪区域）进行林业有害生物监测和调查及防治。防治服务主要分为两大区域，一为公园内道路及两侧可视范围（不含绿道及景点的园林观赏植物的病虫害防治，但是需要监测调查，并有义务将发现的绿道及景点的病虫害情况及时反馈给莲花山保护中心）、景点，要求无病虫害发生，发现病虫害积极提供防控建议措施；二为公园内其它范围，重点工作为普查监测，主要进行生物防治，有发生虫灾趋势时及时将情况和防治方案上报莲花山保护中心，具体情况具体分析应对策略。</w:t>
      </w:r>
    </w:p>
    <w:p>
      <w:pPr>
        <w:snapToGrid w:val="0"/>
        <w:spacing w:line="48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3、防治具体服务要求如下：</w:t>
      </w:r>
    </w:p>
    <w:p>
      <w:pPr>
        <w:snapToGrid w:val="0"/>
        <w:spacing w:line="48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1）防治理念：生物防治为主，化学和物理防治为辅。在未成灾的情况下不建议使用化学防治，在使用化学防治前需将详细防治方案（如拟防治时间、范围、规模、使用药品、器械等）书面报备莲花山保护中心，尤其是药品信息（如生产厂家、生产日期、残留有效期、主要有效成分、毒性及毒理、使用方法等），明令禁止使用国家已禁止使用或来源不明的药品。经莲花山保护中心同意后方可开展化学防治。</w:t>
      </w:r>
    </w:p>
    <w:p>
      <w:pPr>
        <w:snapToGrid w:val="0"/>
        <w:spacing w:line="48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（2）林业有害生物调查服务要求：在三门江园区和古亭山园区针对不同树种，各设置共8个</w:t>
      </w:r>
      <w:r>
        <w:rPr>
          <w:rFonts w:hint="eastAsia" w:ascii="仿宋_GB2312" w:hAnsi="仿宋_GB2312" w:eastAsia="仿宋_GB2312" w:cs="仿宋_GB2312"/>
          <w:color w:val="000000" w:themeColor="text1"/>
          <w:kern w:val="0"/>
          <w:sz w:val="32"/>
          <w:szCs w:val="32"/>
          <w:lang w:val="en-US" w:eastAsia="zh-CN"/>
        </w:rPr>
        <w:t>以上</w:t>
      </w:r>
      <w:r>
        <w:rPr>
          <w:rFonts w:hint="eastAsia" w:ascii="仿宋_GB2312" w:hAnsi="仿宋_GB2312" w:eastAsia="仿宋_GB2312" w:cs="仿宋_GB2312"/>
          <w:color w:val="000000" w:themeColor="text1"/>
          <w:kern w:val="0"/>
          <w:sz w:val="32"/>
          <w:szCs w:val="32"/>
        </w:rPr>
        <w:t>固定观测点（其中三门江园区5个、古亭山园区3个）。除固定观测调查外还应有临时和随机抽样监测点。监测调查冬季每月至少1次，春季每月至少3次，夏秋季节每月至少2次，根据天气情况和调查专家时间合理安排，原则上两次调查间隔时间不少于5日。调查组专家成员应至少有一名森林（或植物）保护专业的中级职称及以上人员。调查后当日出具调查简报，每月出具详细调查报告，对病虫害情况按中国森林病虫害防治总站的监测调查要求进行汇总统计分析。</w:t>
      </w:r>
    </w:p>
    <w:p>
      <w:pPr>
        <w:snapToGrid w:val="0"/>
        <w:spacing w:line="48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（3）对园区内指定区域的松树进行注药防护，注射费用（含药物及人工）11元/针，共注射9341针；如实际注射针数达不到</w:t>
      </w:r>
      <w:r>
        <w:rPr>
          <w:rFonts w:hint="eastAsia" w:ascii="仿宋_GB2312" w:hAnsi="仿宋_GB2312" w:eastAsia="仿宋_GB2312" w:cs="仿宋_GB2312"/>
          <w:color w:val="000000" w:themeColor="text1"/>
          <w:kern w:val="0"/>
          <w:sz w:val="32"/>
          <w:szCs w:val="32"/>
          <w:lang w:val="en-US" w:eastAsia="zh-CN"/>
        </w:rPr>
        <w:t>规定</w:t>
      </w:r>
      <w:r>
        <w:rPr>
          <w:rFonts w:hint="eastAsia" w:ascii="仿宋_GB2312" w:hAnsi="仿宋_GB2312" w:eastAsia="仿宋_GB2312" w:cs="仿宋_GB2312"/>
          <w:color w:val="000000" w:themeColor="text1"/>
          <w:kern w:val="0"/>
          <w:sz w:val="32"/>
          <w:szCs w:val="32"/>
        </w:rPr>
        <w:t>要求，则在</w:t>
      </w:r>
      <w:r>
        <w:rPr>
          <w:rFonts w:hint="eastAsia" w:ascii="仿宋_GB2312" w:hAnsi="仿宋_GB2312" w:eastAsia="仿宋_GB2312" w:cs="仿宋_GB2312"/>
          <w:color w:val="000000" w:themeColor="text1"/>
          <w:kern w:val="0"/>
          <w:sz w:val="32"/>
          <w:szCs w:val="32"/>
          <w:lang w:val="en-US" w:eastAsia="zh-CN"/>
        </w:rPr>
        <w:t>项目尾款</w:t>
      </w:r>
      <w:r>
        <w:rPr>
          <w:rFonts w:hint="eastAsia" w:ascii="仿宋_GB2312" w:hAnsi="仿宋_GB2312" w:eastAsia="仿宋_GB2312" w:cs="仿宋_GB2312"/>
          <w:color w:val="000000" w:themeColor="text1"/>
          <w:kern w:val="0"/>
          <w:sz w:val="32"/>
          <w:szCs w:val="32"/>
        </w:rPr>
        <w:t>中扣除未注射的针数费用。</w:t>
      </w:r>
    </w:p>
    <w:p>
      <w:pPr>
        <w:snapToGrid w:val="0"/>
        <w:spacing w:line="48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（4）及时排除公园内毒蜂、毒蚁、毒蛇等对游客产生较大安全威胁的生物。</w:t>
      </w:r>
    </w:p>
    <w:p>
      <w:pPr>
        <w:snapToGrid w:val="0"/>
        <w:spacing w:line="48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5）服务内容包含且不限于公园内已发生过的病虫害，如白蚁、红火蚁专项防治工作，松毛虫，舞毒蛾，巨网苔蛾，松瑠象甲，马尾松角胫象，木蠹蛾，中华大扁楸，四斑露尾甲，葱兰夜蛾，薇甘菊等林业有害生物的防治。并对公园新发生的病虫害进行鉴定和防治，编制防治方案并实施。</w:t>
      </w:r>
    </w:p>
    <w:p>
      <w:pPr>
        <w:snapToGrid w:val="0"/>
        <w:spacing w:line="48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（6）对公园内已发生的病虫害种类和新发生新辨别出的病虫害进行建档（含电子档、附照片）保存，并及时更新数据。</w:t>
      </w:r>
    </w:p>
    <w:p>
      <w:pPr>
        <w:snapToGrid w:val="0"/>
        <w:spacing w:line="48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（7）公园办室区及周边区域（550㎡）的“四害”防治效果需达到柳州市爱卫会下达的有关除“四害”文件的标准和要求。</w:t>
      </w:r>
    </w:p>
    <w:p>
      <w:pPr>
        <w:snapToGrid w:val="0"/>
        <w:spacing w:line="48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（8）对园区主要干道和景点可视20</w:t>
      </w:r>
      <w:r>
        <w:rPr>
          <w:rFonts w:hint="eastAsia" w:ascii="仿宋_GB2312" w:hAnsi="仿宋_GB2312" w:eastAsia="仿宋_GB2312" w:cs="仿宋_GB2312"/>
          <w:color w:val="000000" w:themeColor="text1"/>
          <w:kern w:val="0"/>
          <w:sz w:val="32"/>
          <w:szCs w:val="32"/>
          <w:lang w:val="en-US" w:eastAsia="zh-CN"/>
        </w:rPr>
        <w:t>m</w:t>
      </w:r>
      <w:r>
        <w:rPr>
          <w:rFonts w:hint="eastAsia" w:ascii="仿宋_GB2312" w:hAnsi="仿宋_GB2312" w:eastAsia="仿宋_GB2312" w:cs="仿宋_GB2312"/>
          <w:color w:val="000000" w:themeColor="text1"/>
          <w:kern w:val="0"/>
          <w:sz w:val="32"/>
          <w:szCs w:val="32"/>
        </w:rPr>
        <w:t>范围内进行尺蠖防治，防治费用（含人工）每亩40元，</w:t>
      </w:r>
      <w:r>
        <w:rPr>
          <w:rFonts w:hint="eastAsia" w:ascii="仿宋_GB2312" w:hAnsi="仿宋_GB2312" w:eastAsia="仿宋_GB2312" w:cs="仿宋_GB2312"/>
          <w:b w:val="0"/>
          <w:bCs w:val="0"/>
          <w:color w:val="000000" w:themeColor="text1"/>
          <w:kern w:val="0"/>
          <w:sz w:val="32"/>
          <w:szCs w:val="32"/>
        </w:rPr>
        <w:t>共需防治</w:t>
      </w:r>
      <w:r>
        <w:rPr>
          <w:rFonts w:hint="eastAsia" w:ascii="仿宋_GB2312" w:hAnsi="仿宋_GB2312" w:eastAsia="仿宋_GB2312" w:cs="仿宋_GB2312"/>
          <w:color w:val="000000" w:themeColor="text1"/>
          <w:kern w:val="0"/>
          <w:sz w:val="32"/>
          <w:szCs w:val="32"/>
        </w:rPr>
        <w:t>主要干道和景点</w:t>
      </w:r>
      <w:r>
        <w:rPr>
          <w:rFonts w:hint="eastAsia" w:ascii="仿宋_GB2312" w:hAnsi="仿宋_GB2312" w:eastAsia="仿宋_GB2312" w:cs="仿宋_GB2312"/>
          <w:b w:val="0"/>
          <w:bCs w:val="0"/>
          <w:color w:val="000000" w:themeColor="text1"/>
          <w:kern w:val="0"/>
          <w:sz w:val="32"/>
          <w:szCs w:val="32"/>
          <w:lang w:val="en-US" w:eastAsia="zh-CN"/>
        </w:rPr>
        <w:t>约</w:t>
      </w:r>
      <w:r>
        <w:rPr>
          <w:rFonts w:hint="eastAsia" w:ascii="仿宋_GB2312" w:hAnsi="仿宋_GB2312" w:eastAsia="仿宋_GB2312" w:cs="仿宋_GB2312"/>
          <w:b w:val="0"/>
          <w:bCs w:val="0"/>
          <w:color w:val="000000" w:themeColor="text1"/>
          <w:kern w:val="0"/>
          <w:sz w:val="32"/>
          <w:szCs w:val="32"/>
        </w:rPr>
        <w:t>600亩</w:t>
      </w:r>
      <w:r>
        <w:rPr>
          <w:rFonts w:hint="eastAsia" w:ascii="仿宋_GB2312" w:hAnsi="仿宋_GB2312" w:eastAsia="仿宋_GB2312" w:cs="仿宋_GB2312"/>
          <w:b w:val="0"/>
          <w:bCs w:val="0"/>
          <w:color w:val="000000" w:themeColor="text1"/>
          <w:kern w:val="0"/>
          <w:sz w:val="32"/>
          <w:szCs w:val="32"/>
          <w:lang w:eastAsia="zh-CN"/>
        </w:rPr>
        <w:t>。</w:t>
      </w:r>
      <w:r>
        <w:rPr>
          <w:rFonts w:hint="eastAsia" w:ascii="仿宋_GB2312" w:hAnsi="仿宋_GB2312" w:eastAsia="仿宋_GB2312" w:cs="仿宋_GB2312"/>
          <w:b w:val="0"/>
          <w:bCs w:val="0"/>
          <w:color w:val="000000" w:themeColor="text1"/>
          <w:kern w:val="0"/>
          <w:sz w:val="32"/>
          <w:szCs w:val="32"/>
        </w:rPr>
        <w:t>如尺蠖</w:t>
      </w:r>
      <w:r>
        <w:rPr>
          <w:rFonts w:hint="eastAsia" w:ascii="仿宋_GB2312" w:hAnsi="仿宋_GB2312" w:eastAsia="仿宋_GB2312" w:cs="仿宋_GB2312"/>
          <w:b w:val="0"/>
          <w:bCs w:val="0"/>
          <w:color w:val="000000" w:themeColor="text1"/>
          <w:kern w:val="0"/>
          <w:sz w:val="32"/>
          <w:szCs w:val="32"/>
          <w:lang w:val="en-US" w:eastAsia="zh-CN"/>
        </w:rPr>
        <w:t>虫害发生，经双方确认后开展防治，费用据实结算</w:t>
      </w:r>
      <w:r>
        <w:rPr>
          <w:rFonts w:hint="eastAsia" w:ascii="仿宋_GB2312" w:hAnsi="仿宋_GB2312" w:eastAsia="仿宋_GB2312" w:cs="仿宋_GB2312"/>
          <w:b w:val="0"/>
          <w:bCs w:val="0"/>
          <w:color w:val="000000" w:themeColor="text1"/>
          <w:kern w:val="0"/>
          <w:sz w:val="32"/>
          <w:szCs w:val="32"/>
        </w:rPr>
        <w:t>。</w:t>
      </w:r>
    </w:p>
    <w:p>
      <w:pPr>
        <w:snapToGrid w:val="0"/>
        <w:spacing w:line="48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（9）其它具体要求详见“附件1：三门江国家森林公园林业有害生物检查评分细则”</w:t>
      </w:r>
    </w:p>
    <w:p>
      <w:pPr>
        <w:snapToGrid w:val="0"/>
        <w:spacing w:line="48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（10）林业有害生物防治项目工作量表</w:t>
      </w:r>
    </w:p>
    <w:tbl>
      <w:tblPr>
        <w:tblStyle w:val="6"/>
        <w:tblW w:w="9646" w:type="dxa"/>
        <w:jc w:val="center"/>
        <w:tblLayout w:type="fixed"/>
        <w:tblCellMar>
          <w:top w:w="0" w:type="dxa"/>
          <w:left w:w="108" w:type="dxa"/>
          <w:bottom w:w="0" w:type="dxa"/>
          <w:right w:w="108" w:type="dxa"/>
        </w:tblCellMar>
      </w:tblPr>
      <w:tblGrid>
        <w:gridCol w:w="643"/>
        <w:gridCol w:w="1462"/>
        <w:gridCol w:w="1213"/>
        <w:gridCol w:w="6328"/>
      </w:tblGrid>
      <w:tr>
        <w:tblPrEx>
          <w:tblCellMar>
            <w:top w:w="0" w:type="dxa"/>
            <w:left w:w="108" w:type="dxa"/>
            <w:bottom w:w="0" w:type="dxa"/>
            <w:right w:w="108" w:type="dxa"/>
          </w:tblCellMar>
        </w:tblPrEx>
        <w:trPr>
          <w:trHeight w:val="90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right="-120" w:rightChars="-57"/>
              <w:jc w:val="center"/>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序号</w:t>
            </w:r>
          </w:p>
        </w:tc>
        <w:tc>
          <w:tcPr>
            <w:tcW w:w="1462" w:type="dxa"/>
            <w:tcBorders>
              <w:top w:val="single" w:color="auto" w:sz="4" w:space="0"/>
              <w:left w:val="nil"/>
              <w:bottom w:val="single" w:color="auto" w:sz="4" w:space="0"/>
              <w:right w:val="single" w:color="auto" w:sz="4" w:space="0"/>
            </w:tcBorders>
            <w:vAlign w:val="center"/>
          </w:tcPr>
          <w:p>
            <w:pPr>
              <w:widowControl/>
              <w:spacing w:line="360" w:lineRule="exact"/>
              <w:ind w:firstLine="210" w:firstLineChars="100"/>
              <w:jc w:val="center"/>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分项名称</w:t>
            </w:r>
          </w:p>
        </w:tc>
        <w:tc>
          <w:tcPr>
            <w:tcW w:w="1213"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数量</w:t>
            </w:r>
          </w:p>
        </w:tc>
        <w:tc>
          <w:tcPr>
            <w:tcW w:w="6328"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备  注</w:t>
            </w:r>
          </w:p>
        </w:tc>
      </w:tr>
      <w:tr>
        <w:tblPrEx>
          <w:tblCellMar>
            <w:top w:w="0" w:type="dxa"/>
            <w:left w:w="108" w:type="dxa"/>
            <w:bottom w:w="0" w:type="dxa"/>
            <w:right w:w="108" w:type="dxa"/>
          </w:tblCellMar>
        </w:tblPrEx>
        <w:trPr>
          <w:trHeight w:val="60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1</w:t>
            </w:r>
          </w:p>
        </w:tc>
        <w:tc>
          <w:tcPr>
            <w:tcW w:w="1462" w:type="dxa"/>
            <w:tcBorders>
              <w:top w:val="single" w:color="auto" w:sz="4" w:space="0"/>
              <w:left w:val="nil"/>
              <w:bottom w:val="single" w:color="auto" w:sz="4" w:space="0"/>
              <w:right w:val="single" w:color="auto" w:sz="4" w:space="0"/>
            </w:tcBorders>
            <w:vAlign w:val="center"/>
          </w:tcPr>
          <w:p>
            <w:pPr>
              <w:widowControl/>
              <w:spacing w:line="360" w:lineRule="exact"/>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连续监测、调查有害生物费用</w:t>
            </w:r>
          </w:p>
        </w:tc>
        <w:tc>
          <w:tcPr>
            <w:tcW w:w="1213" w:type="dxa"/>
            <w:tcBorders>
              <w:top w:val="single" w:color="auto" w:sz="4" w:space="0"/>
              <w:left w:val="nil"/>
              <w:bottom w:val="single" w:color="auto" w:sz="4" w:space="0"/>
              <w:right w:val="single" w:color="auto" w:sz="4" w:space="0"/>
            </w:tcBorders>
            <w:vAlign w:val="center"/>
          </w:tcPr>
          <w:p>
            <w:pPr>
              <w:widowControl/>
              <w:spacing w:line="360" w:lineRule="exact"/>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15577.5亩</w:t>
            </w:r>
          </w:p>
        </w:tc>
        <w:tc>
          <w:tcPr>
            <w:tcW w:w="6328"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严格按照《林业有害生物监测预报技术规范》（LY∕T 2516-2015 ）的要求，针对公园内不同的树种和病虫害发生区域至少设立固定监测调查样地（20*30m）8个，并于春夏季每月至少调查3次，全年至少调查20次，并出具调查监测报告，制定防治方案。</w:t>
            </w:r>
          </w:p>
        </w:tc>
      </w:tr>
      <w:tr>
        <w:tblPrEx>
          <w:tblCellMar>
            <w:top w:w="0" w:type="dxa"/>
            <w:left w:w="108" w:type="dxa"/>
            <w:bottom w:w="0" w:type="dxa"/>
            <w:right w:w="108" w:type="dxa"/>
          </w:tblCellMar>
        </w:tblPrEx>
        <w:trPr>
          <w:trHeight w:val="60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2</w:t>
            </w:r>
          </w:p>
        </w:tc>
        <w:tc>
          <w:tcPr>
            <w:tcW w:w="1462" w:type="dxa"/>
            <w:tcBorders>
              <w:top w:val="single" w:color="auto" w:sz="4" w:space="0"/>
              <w:left w:val="nil"/>
              <w:bottom w:val="single" w:color="auto" w:sz="4" w:space="0"/>
              <w:right w:val="single" w:color="auto" w:sz="4" w:space="0"/>
            </w:tcBorders>
            <w:vAlign w:val="center"/>
          </w:tcPr>
          <w:p>
            <w:pPr>
              <w:widowControl/>
              <w:spacing w:line="360" w:lineRule="exact"/>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防治方案编制及实施费用</w:t>
            </w:r>
          </w:p>
        </w:tc>
        <w:tc>
          <w:tcPr>
            <w:tcW w:w="1213" w:type="dxa"/>
            <w:tcBorders>
              <w:top w:val="single" w:color="auto" w:sz="4" w:space="0"/>
              <w:left w:val="nil"/>
              <w:bottom w:val="single" w:color="auto" w:sz="4" w:space="0"/>
              <w:right w:val="single" w:color="auto" w:sz="4" w:space="0"/>
            </w:tcBorders>
            <w:vAlign w:val="center"/>
          </w:tcPr>
          <w:p>
            <w:pPr>
              <w:widowControl/>
              <w:spacing w:line="360" w:lineRule="exact"/>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15577.5亩</w:t>
            </w:r>
          </w:p>
        </w:tc>
        <w:tc>
          <w:tcPr>
            <w:tcW w:w="6328"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color w:val="000000" w:themeColor="text1"/>
                <w:kern w:val="0"/>
                <w:szCs w:val="21"/>
              </w:rPr>
            </w:pPr>
            <w:r>
              <w:rPr>
                <w:rFonts w:ascii="仿宋_GB2312" w:hAnsi="仿宋_GB2312" w:eastAsia="仿宋_GB2312" w:cs="仿宋_GB2312"/>
                <w:color w:val="000000" w:themeColor="text1"/>
                <w:kern w:val="0"/>
                <w:szCs w:val="21"/>
              </w:rPr>
              <w:t>针对公园内已发生和可能发生的各类病虫害、有害生物进行分类专项防治方案、预案的编制并报莲花山保护中心备案，并在相应情况发生时提前按防治预案或方案进行防治物资准备。建立公园病虫害发生和防治档案。</w:t>
            </w:r>
          </w:p>
          <w:p>
            <w:pPr>
              <w:widowControl/>
              <w:spacing w:line="360" w:lineRule="exact"/>
              <w:jc w:val="left"/>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针对公园春季易产生的毛毛虫问题，提前做好专项防控预案，及时人工干预，防止对游客游园体验造成不良影响。</w:t>
            </w:r>
          </w:p>
        </w:tc>
      </w:tr>
      <w:tr>
        <w:tblPrEx>
          <w:tblCellMar>
            <w:top w:w="0" w:type="dxa"/>
            <w:left w:w="108" w:type="dxa"/>
            <w:bottom w:w="0" w:type="dxa"/>
            <w:right w:w="108" w:type="dxa"/>
          </w:tblCellMar>
        </w:tblPrEx>
        <w:trPr>
          <w:trHeight w:val="60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3</w:t>
            </w:r>
          </w:p>
        </w:tc>
        <w:tc>
          <w:tcPr>
            <w:tcW w:w="1462" w:type="dxa"/>
            <w:tcBorders>
              <w:top w:val="single" w:color="auto" w:sz="4" w:space="0"/>
              <w:left w:val="nil"/>
              <w:bottom w:val="single" w:color="auto" w:sz="4" w:space="0"/>
              <w:right w:val="single" w:color="auto" w:sz="4" w:space="0"/>
            </w:tcBorders>
            <w:vAlign w:val="center"/>
          </w:tcPr>
          <w:p>
            <w:pPr>
              <w:widowControl/>
              <w:spacing w:line="360" w:lineRule="exact"/>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松树注药</w:t>
            </w:r>
          </w:p>
        </w:tc>
        <w:tc>
          <w:tcPr>
            <w:tcW w:w="1213" w:type="dxa"/>
            <w:tcBorders>
              <w:top w:val="single" w:color="auto" w:sz="4" w:space="0"/>
              <w:left w:val="nil"/>
              <w:bottom w:val="single" w:color="auto" w:sz="4" w:space="0"/>
              <w:right w:val="single" w:color="auto" w:sz="4" w:space="0"/>
            </w:tcBorders>
            <w:vAlign w:val="center"/>
          </w:tcPr>
          <w:p>
            <w:pPr>
              <w:widowControl/>
              <w:spacing w:line="360" w:lineRule="exact"/>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1545株</w:t>
            </w:r>
          </w:p>
        </w:tc>
        <w:tc>
          <w:tcPr>
            <w:tcW w:w="6328"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园区主要干道可视20</w:t>
            </w:r>
            <w:r>
              <w:rPr>
                <w:rFonts w:hint="eastAsia" w:ascii="仿宋_GB2312" w:hAnsi="仿宋_GB2312" w:eastAsia="仿宋_GB2312" w:cs="仿宋_GB2312"/>
                <w:color w:val="000000" w:themeColor="text1"/>
                <w:kern w:val="0"/>
                <w:szCs w:val="21"/>
                <w:lang w:val="en-US" w:eastAsia="zh-CN"/>
              </w:rPr>
              <w:t>m</w:t>
            </w:r>
            <w:r>
              <w:rPr>
                <w:rFonts w:hint="eastAsia" w:ascii="仿宋_GB2312" w:hAnsi="仿宋_GB2312" w:eastAsia="仿宋_GB2312" w:cs="仿宋_GB2312"/>
                <w:color w:val="000000" w:themeColor="text1"/>
                <w:kern w:val="0"/>
                <w:szCs w:val="21"/>
              </w:rPr>
              <w:t>内以及主要景点(视情况经由双方确认后进行注药)</w:t>
            </w:r>
          </w:p>
        </w:tc>
      </w:tr>
      <w:tr>
        <w:tblPrEx>
          <w:tblCellMar>
            <w:top w:w="0" w:type="dxa"/>
            <w:left w:w="108" w:type="dxa"/>
            <w:bottom w:w="0" w:type="dxa"/>
            <w:right w:w="108" w:type="dxa"/>
          </w:tblCellMar>
        </w:tblPrEx>
        <w:trPr>
          <w:trHeight w:val="60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4</w:t>
            </w:r>
          </w:p>
        </w:tc>
        <w:tc>
          <w:tcPr>
            <w:tcW w:w="1462" w:type="dxa"/>
            <w:tcBorders>
              <w:top w:val="single" w:color="auto" w:sz="4" w:space="0"/>
              <w:left w:val="nil"/>
              <w:bottom w:val="single" w:color="auto" w:sz="4" w:space="0"/>
              <w:right w:val="single" w:color="auto" w:sz="4" w:space="0"/>
            </w:tcBorders>
            <w:vAlign w:val="center"/>
          </w:tcPr>
          <w:p>
            <w:pPr>
              <w:widowControl/>
              <w:spacing w:line="360" w:lineRule="exact"/>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 xml:space="preserve"> 尺蠖防治</w:t>
            </w:r>
          </w:p>
        </w:tc>
        <w:tc>
          <w:tcPr>
            <w:tcW w:w="1213" w:type="dxa"/>
            <w:tcBorders>
              <w:top w:val="single" w:color="auto" w:sz="4" w:space="0"/>
              <w:left w:val="nil"/>
              <w:bottom w:val="single" w:color="auto" w:sz="4" w:space="0"/>
              <w:right w:val="single" w:color="auto" w:sz="4" w:space="0"/>
            </w:tcBorders>
            <w:vAlign w:val="center"/>
          </w:tcPr>
          <w:p>
            <w:pPr>
              <w:widowControl/>
              <w:spacing w:line="360" w:lineRule="exact"/>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10公里(共600亩)</w:t>
            </w:r>
          </w:p>
        </w:tc>
        <w:tc>
          <w:tcPr>
            <w:tcW w:w="6328"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园区主要干道和景点可视20</w:t>
            </w:r>
            <w:r>
              <w:rPr>
                <w:rFonts w:hint="eastAsia" w:ascii="仿宋_GB2312" w:hAnsi="仿宋_GB2312" w:eastAsia="仿宋_GB2312" w:cs="仿宋_GB2312"/>
                <w:color w:val="000000" w:themeColor="text1"/>
                <w:kern w:val="0"/>
                <w:szCs w:val="21"/>
                <w:lang w:val="en-US" w:eastAsia="zh-CN"/>
              </w:rPr>
              <w:t>m</w:t>
            </w:r>
            <w:r>
              <w:rPr>
                <w:rFonts w:hint="eastAsia" w:ascii="仿宋_GB2312" w:hAnsi="仿宋_GB2312" w:eastAsia="仿宋_GB2312" w:cs="仿宋_GB2312"/>
                <w:color w:val="000000" w:themeColor="text1"/>
                <w:kern w:val="0"/>
                <w:szCs w:val="21"/>
              </w:rPr>
              <w:t>范围内。（视情况经由双方确认后进行尺蠖防治）</w:t>
            </w:r>
          </w:p>
        </w:tc>
      </w:tr>
    </w:tbl>
    <w:p>
      <w:pPr>
        <w:pStyle w:val="8"/>
        <w:spacing w:line="360" w:lineRule="exact"/>
        <w:ind w:firstLine="411" w:firstLineChars="196"/>
        <w:rPr>
          <w:rFonts w:ascii="宋体" w:hAnsi="宋体"/>
          <w:color w:val="000000" w:themeColor="text1"/>
        </w:rPr>
      </w:pPr>
    </w:p>
    <w:p>
      <w:pPr>
        <w:snapToGrid w:val="0"/>
        <w:spacing w:line="48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（二）服务及作业要求： </w:t>
      </w:r>
    </w:p>
    <w:p>
      <w:pPr>
        <w:snapToGrid w:val="0"/>
        <w:spacing w:line="48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1、安全要求：如需进行防治，</w:t>
      </w:r>
      <w:r>
        <w:rPr>
          <w:rFonts w:hint="eastAsia" w:ascii="仿宋_GB2312" w:hAnsi="仿宋_GB2312" w:eastAsia="仿宋_GB2312" w:cs="仿宋_GB2312"/>
          <w:color w:val="000000" w:themeColor="text1"/>
          <w:kern w:val="0"/>
          <w:sz w:val="32"/>
          <w:szCs w:val="32"/>
          <w:lang w:val="en-US" w:eastAsia="zh-CN"/>
        </w:rPr>
        <w:t>中标人</w:t>
      </w:r>
      <w:r>
        <w:rPr>
          <w:rFonts w:hint="eastAsia" w:ascii="仿宋_GB2312" w:hAnsi="仿宋_GB2312" w:eastAsia="仿宋_GB2312" w:cs="仿宋_GB2312"/>
          <w:color w:val="000000" w:themeColor="text1"/>
          <w:kern w:val="0"/>
          <w:sz w:val="32"/>
          <w:szCs w:val="32"/>
        </w:rPr>
        <w:t>自有或租赁的喷药、喷粉设备、药品，需提供有关合格证明材料。机械设备按有关安全规程和要求执行，配备操作人员需具有完备的防护工具及应急防护措施，并已具备熟练的操作施药经验。</w:t>
      </w:r>
    </w:p>
    <w:p>
      <w:pPr>
        <w:snapToGrid w:val="0"/>
        <w:spacing w:line="48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2、人员要求：至少配备1名专职工作人员常驻公园调查和巡查，发现问题及时处置，并负责统筹协调公园林业有害生物防治的有关事宜。至少配备3名成员的调查专家组（其中1名具有林业类或植物类专业中级以上职称），负责每月的固定监测调查和防治预案的制定及技术可行性审定。遵纪守法，工作责任心强，具有文明施工意识，不随地吐痰、乱扔垃圾、园区禁止吸烟，施工不得破坏已有植被和设施，施工后场地要恢复原样，遇到与其它施工单位交叉施工的情况，要及时向莲花山保护中心反馈，并积极沟通协调。</w:t>
      </w:r>
    </w:p>
    <w:p>
      <w:pPr>
        <w:snapToGrid w:val="0"/>
        <w:spacing w:line="48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3、</w:t>
      </w:r>
      <w:r>
        <w:rPr>
          <w:rFonts w:hint="eastAsia" w:ascii="仿宋_GB2312" w:hAnsi="仿宋_GB2312" w:eastAsia="仿宋_GB2312" w:cs="仿宋_GB2312"/>
          <w:color w:val="000000" w:themeColor="text1"/>
          <w:kern w:val="0"/>
          <w:sz w:val="32"/>
          <w:szCs w:val="32"/>
          <w:lang w:val="en-US" w:eastAsia="zh-CN"/>
        </w:rPr>
        <w:t>中标人</w:t>
      </w:r>
      <w:r>
        <w:rPr>
          <w:rFonts w:hint="eastAsia" w:ascii="仿宋_GB2312" w:hAnsi="仿宋_GB2312" w:eastAsia="仿宋_GB2312" w:cs="仿宋_GB2312"/>
          <w:color w:val="000000" w:themeColor="text1"/>
          <w:kern w:val="0"/>
          <w:sz w:val="32"/>
          <w:szCs w:val="32"/>
        </w:rPr>
        <w:t>承诺：具体应包括服务时间、服务项目承诺、服务质量承诺等。</w:t>
      </w:r>
      <w:r>
        <w:rPr>
          <w:rFonts w:hint="eastAsia" w:ascii="仿宋_GB2312" w:hAnsi="仿宋_GB2312" w:eastAsia="仿宋_GB2312" w:cs="仿宋_GB2312"/>
          <w:color w:val="000000" w:themeColor="text1"/>
          <w:kern w:val="0"/>
          <w:sz w:val="32"/>
          <w:szCs w:val="32"/>
          <w:lang w:val="en-US" w:eastAsia="zh-CN"/>
        </w:rPr>
        <w:t>中标单位</w:t>
      </w:r>
      <w:r>
        <w:rPr>
          <w:rFonts w:hint="eastAsia" w:ascii="仿宋_GB2312" w:hAnsi="仿宋_GB2312" w:eastAsia="仿宋_GB2312" w:cs="仿宋_GB2312"/>
          <w:color w:val="000000" w:themeColor="text1"/>
          <w:kern w:val="0"/>
          <w:sz w:val="32"/>
          <w:szCs w:val="32"/>
        </w:rPr>
        <w:t>应详细列明保证服务时间、服务项目、服务质量采取的措施以及管理办法，要有切实可行的具体措施以及管理办法。 </w:t>
      </w:r>
    </w:p>
    <w:p>
      <w:pPr>
        <w:snapToGrid w:val="0"/>
        <w:spacing w:line="48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4、应急工作：施工单位应有消防及安全事故等应急处理预案，特别是在法定节假日期间要组建应急抢险工作组，保证人员和车辆待命随时处理各种突发情况。</w:t>
      </w:r>
    </w:p>
    <w:p>
      <w:pPr>
        <w:snapToGrid w:val="0"/>
        <w:spacing w:line="48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5、其它要求：施工区域属于公园核心区，游客数量众多，施工时段尽量避开游客游览高峰时段，施工时应保留安全距离并放置警示牌，施工单位人员尤其是高处作业人员应配备相应的防护措施，严防安全事故的发生。施工单位需遵守莲花山保护中心对入园车辆管控的相关规定。施工单位应对在园区内作业的工作人员提供必要的劳动保障，应为外业员工购买意外伤害险。</w:t>
      </w:r>
    </w:p>
    <w:p>
      <w:pPr>
        <w:snapToGrid w:val="0"/>
        <w:spacing w:line="48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6、</w:t>
      </w:r>
      <w:r>
        <w:rPr>
          <w:rFonts w:hint="eastAsia" w:ascii="仿宋_GB2312" w:hAnsi="仿宋_GB2312" w:eastAsia="仿宋_GB2312" w:cs="仿宋_GB2312"/>
          <w:color w:val="000000" w:themeColor="text1"/>
          <w:kern w:val="0"/>
          <w:sz w:val="32"/>
          <w:szCs w:val="32"/>
          <w:lang w:val="en-US" w:eastAsia="zh-CN"/>
        </w:rPr>
        <w:t>中标</w:t>
      </w:r>
      <w:r>
        <w:rPr>
          <w:rFonts w:hint="eastAsia" w:ascii="仿宋_GB2312" w:hAnsi="仿宋_GB2312" w:eastAsia="仿宋_GB2312" w:cs="仿宋_GB2312"/>
          <w:color w:val="000000" w:themeColor="text1"/>
          <w:kern w:val="0"/>
          <w:sz w:val="32"/>
          <w:szCs w:val="32"/>
        </w:rPr>
        <w:t>方在本公园内使用的一切机械、工具、药剂等，均需符合国家相关的法律法规，由于中标方管理不严，疏忽大意、人为故意等原因造成公园内发生病虫害、火灾等灾害的，由中标方承担一切后果与法律责任。</w:t>
      </w:r>
    </w:p>
    <w:p>
      <w:pPr>
        <w:snapToGrid w:val="0"/>
        <w:spacing w:line="480" w:lineRule="exact"/>
        <w:ind w:firstLine="630" w:firstLineChars="196"/>
        <w:rPr>
          <w:rFonts w:ascii="仿宋_GB2312" w:hAnsi="仿宋_GB2312" w:eastAsia="仿宋_GB2312" w:cs="仿宋_GB2312"/>
          <w:b/>
          <w:color w:val="000000" w:themeColor="text1"/>
          <w:kern w:val="0"/>
          <w:sz w:val="32"/>
          <w:szCs w:val="32"/>
        </w:rPr>
      </w:pPr>
      <w:r>
        <w:rPr>
          <w:rFonts w:hint="eastAsia" w:ascii="仿宋_GB2312" w:hAnsi="仿宋_GB2312" w:eastAsia="仿宋_GB2312" w:cs="仿宋_GB2312"/>
          <w:b/>
          <w:color w:val="000000" w:themeColor="text1"/>
          <w:kern w:val="0"/>
          <w:sz w:val="32"/>
          <w:szCs w:val="32"/>
        </w:rPr>
        <w:t>三、商务要求：</w:t>
      </w:r>
    </w:p>
    <w:p>
      <w:pPr>
        <w:snapToGrid w:val="0"/>
        <w:spacing w:line="48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kern w:val="0"/>
          <w:sz w:val="32"/>
          <w:szCs w:val="32"/>
        </w:rPr>
        <w:t>（一）付款方式：</w:t>
      </w:r>
    </w:p>
    <w:p>
      <w:pPr>
        <w:snapToGrid w:val="0"/>
        <w:spacing w:line="48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在合同正式生效后，由乙方</w:t>
      </w:r>
      <w:r>
        <w:rPr>
          <w:rFonts w:hint="eastAsia" w:ascii="仿宋_GB2312" w:hAnsi="仿宋_GB2312" w:eastAsia="仿宋_GB2312" w:cs="仿宋_GB2312"/>
          <w:color w:val="000000" w:themeColor="text1"/>
          <w:kern w:val="0"/>
          <w:sz w:val="32"/>
          <w:szCs w:val="32"/>
          <w:lang w:eastAsia="zh-CN"/>
        </w:rPr>
        <w:t>（</w:t>
      </w:r>
      <w:r>
        <w:rPr>
          <w:rFonts w:hint="eastAsia" w:ascii="仿宋_GB2312" w:hAnsi="仿宋_GB2312" w:eastAsia="仿宋_GB2312" w:cs="仿宋_GB2312"/>
          <w:color w:val="000000" w:themeColor="text1"/>
          <w:kern w:val="0"/>
          <w:sz w:val="32"/>
          <w:szCs w:val="32"/>
          <w:lang w:val="en-US" w:eastAsia="zh-CN"/>
        </w:rPr>
        <w:t>中标方，下同）</w:t>
      </w:r>
      <w:r>
        <w:rPr>
          <w:rFonts w:hint="eastAsia" w:ascii="仿宋_GB2312" w:hAnsi="仿宋_GB2312" w:eastAsia="仿宋_GB2312" w:cs="仿宋_GB2312"/>
          <w:color w:val="000000" w:themeColor="text1"/>
          <w:kern w:val="0"/>
          <w:sz w:val="32"/>
          <w:szCs w:val="32"/>
        </w:rPr>
        <w:t>提出申请甲方</w:t>
      </w:r>
      <w:r>
        <w:rPr>
          <w:rFonts w:hint="eastAsia" w:ascii="仿宋_GB2312" w:hAnsi="仿宋_GB2312" w:eastAsia="仿宋_GB2312" w:cs="仿宋_GB2312"/>
          <w:color w:val="000000" w:themeColor="text1"/>
          <w:kern w:val="0"/>
          <w:sz w:val="32"/>
          <w:szCs w:val="32"/>
          <w:lang w:eastAsia="zh-CN"/>
        </w:rPr>
        <w:t>（</w:t>
      </w:r>
      <w:r>
        <w:rPr>
          <w:rFonts w:hint="eastAsia" w:ascii="仿宋_GB2312" w:hAnsi="仿宋_GB2312" w:eastAsia="仿宋_GB2312" w:cs="仿宋_GB2312"/>
          <w:color w:val="000000" w:themeColor="text1"/>
          <w:kern w:val="0"/>
          <w:sz w:val="32"/>
          <w:szCs w:val="32"/>
          <w:lang w:val="en-US" w:eastAsia="zh-CN"/>
        </w:rPr>
        <w:t>采购方，下同）</w:t>
      </w:r>
      <w:bookmarkStart w:id="0" w:name="_GoBack"/>
      <w:bookmarkEnd w:id="0"/>
      <w:r>
        <w:rPr>
          <w:rFonts w:hint="eastAsia" w:ascii="仿宋_GB2312" w:hAnsi="仿宋_GB2312" w:eastAsia="仿宋_GB2312" w:cs="仿宋_GB2312"/>
          <w:color w:val="000000" w:themeColor="text1"/>
          <w:kern w:val="0"/>
          <w:sz w:val="32"/>
          <w:szCs w:val="32"/>
        </w:rPr>
        <w:t>一次性支付预付款为合同总金额的30%。</w:t>
      </w:r>
    </w:p>
    <w:p>
      <w:pPr>
        <w:snapToGrid w:val="0"/>
        <w:spacing w:line="48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1.乙方服务期达到50%且通过甲方各项验收考核后，由乙方提出申请甲方一次性支付进度款为合同总金额的20%，</w:t>
      </w:r>
    </w:p>
    <w:p>
      <w:pPr>
        <w:snapToGrid w:val="0"/>
        <w:spacing w:line="480" w:lineRule="exact"/>
        <w:ind w:firstLine="640" w:firstLineChars="200"/>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lang w:val="en-US" w:eastAsia="zh-CN"/>
        </w:rPr>
        <w:t>2</w:t>
      </w:r>
      <w:r>
        <w:rPr>
          <w:rFonts w:hint="eastAsia" w:ascii="仿宋_GB2312" w:hAnsi="仿宋_GB2312" w:eastAsia="仿宋_GB2312" w:cs="仿宋_GB2312"/>
          <w:color w:val="000000" w:themeColor="text1"/>
          <w:kern w:val="0"/>
          <w:sz w:val="32"/>
          <w:szCs w:val="32"/>
        </w:rPr>
        <w:t>.尺蠖防治费用占合同总金额的10%，如有尺蠖虫害发生经双方确定后，乙方对园区主要干道和景点进行尺蠖防治，待甲方验收合格后，一次性支付合同总金额的10%，如未</w:t>
      </w:r>
      <w:r>
        <w:rPr>
          <w:rFonts w:hint="eastAsia" w:ascii="仿宋_GB2312" w:hAnsi="仿宋_GB2312" w:eastAsia="仿宋_GB2312" w:cs="仿宋_GB2312"/>
          <w:color w:val="000000" w:themeColor="text1"/>
          <w:kern w:val="0"/>
          <w:sz w:val="32"/>
          <w:szCs w:val="32"/>
          <w:lang w:val="en-US" w:eastAsia="zh-CN"/>
        </w:rPr>
        <w:t>开展</w:t>
      </w:r>
      <w:r>
        <w:rPr>
          <w:rFonts w:hint="eastAsia" w:ascii="仿宋_GB2312" w:hAnsi="仿宋_GB2312" w:eastAsia="仿宋_GB2312" w:cs="仿宋_GB2312"/>
          <w:color w:val="000000" w:themeColor="text1"/>
          <w:kern w:val="0"/>
          <w:sz w:val="32"/>
          <w:szCs w:val="32"/>
        </w:rPr>
        <w:t>防治</w:t>
      </w:r>
      <w:r>
        <w:rPr>
          <w:rFonts w:hint="eastAsia" w:ascii="仿宋_GB2312" w:hAnsi="仿宋_GB2312" w:eastAsia="仿宋_GB2312" w:cs="仿宋_GB2312"/>
          <w:color w:val="000000" w:themeColor="text1"/>
          <w:kern w:val="0"/>
          <w:sz w:val="32"/>
          <w:szCs w:val="32"/>
          <w:lang w:val="en-US" w:eastAsia="zh-CN"/>
        </w:rPr>
        <w:t>工作</w:t>
      </w:r>
      <w:r>
        <w:rPr>
          <w:rFonts w:hint="eastAsia" w:ascii="仿宋_GB2312" w:hAnsi="仿宋_GB2312" w:eastAsia="仿宋_GB2312" w:cs="仿宋_GB2312"/>
          <w:color w:val="000000" w:themeColor="text1"/>
          <w:kern w:val="0"/>
          <w:sz w:val="32"/>
          <w:szCs w:val="32"/>
        </w:rPr>
        <w:t>，则甲方不支付该项费用。</w:t>
      </w:r>
    </w:p>
    <w:p>
      <w:pPr>
        <w:snapToGrid w:val="0"/>
        <w:spacing w:line="480" w:lineRule="exact"/>
        <w:ind w:firstLine="640" w:firstLineChars="200"/>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lang w:val="en-US" w:eastAsia="zh-CN"/>
        </w:rPr>
        <w:t>3</w:t>
      </w:r>
      <w:r>
        <w:rPr>
          <w:rFonts w:hint="eastAsia" w:ascii="仿宋_GB2312" w:hAnsi="仿宋_GB2312" w:eastAsia="仿宋_GB2312" w:cs="仿宋_GB2312"/>
          <w:color w:val="000000" w:themeColor="text1"/>
          <w:kern w:val="0"/>
          <w:sz w:val="32"/>
          <w:szCs w:val="32"/>
        </w:rPr>
        <w:t>.乙方进行松材线虫病注射药物项目后，经过甲方验收合格，由乙方提出申请甲方一次性支付进度款为合同总金额的30%，如实际注射针数达不到</w:t>
      </w:r>
      <w:r>
        <w:rPr>
          <w:rFonts w:hint="eastAsia" w:ascii="仿宋_GB2312" w:hAnsi="仿宋_GB2312" w:eastAsia="仿宋_GB2312" w:cs="仿宋_GB2312"/>
          <w:color w:val="000000" w:themeColor="text1"/>
          <w:kern w:val="0"/>
          <w:sz w:val="32"/>
          <w:szCs w:val="32"/>
          <w:lang w:val="en-US" w:eastAsia="zh-CN"/>
        </w:rPr>
        <w:t>合同规定的数量</w:t>
      </w:r>
      <w:r>
        <w:rPr>
          <w:rFonts w:hint="eastAsia" w:ascii="仿宋_GB2312" w:hAnsi="仿宋_GB2312" w:eastAsia="仿宋_GB2312" w:cs="仿宋_GB2312"/>
          <w:color w:val="000000" w:themeColor="text1"/>
          <w:kern w:val="0"/>
          <w:sz w:val="32"/>
          <w:szCs w:val="32"/>
        </w:rPr>
        <w:t>要求，</w:t>
      </w:r>
      <w:r>
        <w:rPr>
          <w:rFonts w:hint="eastAsia" w:ascii="仿宋_GB2312" w:hAnsi="仿宋_GB2312" w:eastAsia="仿宋_GB2312" w:cs="仿宋_GB2312"/>
          <w:color w:val="000000" w:themeColor="text1"/>
          <w:kern w:val="0"/>
          <w:sz w:val="32"/>
          <w:szCs w:val="32"/>
          <w:lang w:val="en-US" w:eastAsia="zh-CN"/>
        </w:rPr>
        <w:t>则在付款中直接扣除未注射针数的费用</w:t>
      </w:r>
      <w:r>
        <w:rPr>
          <w:rFonts w:hint="eastAsia" w:ascii="仿宋_GB2312" w:hAnsi="仿宋_GB2312" w:eastAsia="仿宋_GB2312" w:cs="仿宋_GB2312"/>
          <w:color w:val="000000" w:themeColor="text1"/>
          <w:kern w:val="0"/>
          <w:sz w:val="32"/>
          <w:szCs w:val="32"/>
        </w:rPr>
        <w:t>。</w:t>
      </w:r>
    </w:p>
    <w:p>
      <w:pPr>
        <w:snapToGrid w:val="0"/>
        <w:spacing w:line="48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4.乙方服务期满且通过甲方各项验收考核后，由乙方提出申请甲方一次性支付进度款为合同总金额的10%。</w:t>
      </w:r>
    </w:p>
    <w:p>
      <w:pPr>
        <w:snapToGrid w:val="0"/>
        <w:spacing w:line="48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甲方付款前，乙方应将同等金额的合法、有效发票开具给甲方，甲方收到发票后，在10个工作日内将合同款转入乙方账户，如乙方未能按时开据发票或发票不符合要求，则甲方可以顺延付款。如乙方在合同期内有违约行为，甲方有权按照合同约定扣款甚至终止合同。</w:t>
      </w:r>
    </w:p>
    <w:p>
      <w:pPr>
        <w:snapToGrid w:val="0"/>
        <w:spacing w:line="48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kern w:val="0"/>
          <w:sz w:val="32"/>
          <w:szCs w:val="32"/>
        </w:rPr>
        <w:t>（二）服务期限：2021年3月15日- 2022年3月14日。</w:t>
      </w:r>
    </w:p>
    <w:p>
      <w:pPr>
        <w:pStyle w:val="8"/>
        <w:spacing w:line="480" w:lineRule="exact"/>
        <w:ind w:firstLine="627" w:firstLineChars="196"/>
        <w:rPr>
          <w:rFonts w:ascii="仿宋_GB2312" w:hAnsi="仿宋_GB2312" w:eastAsia="仿宋_GB2312" w:cs="仿宋_GB2312"/>
          <w:color w:val="000000" w:themeColor="text1"/>
          <w:sz w:val="32"/>
          <w:szCs w:val="32"/>
          <w:lang w:val="en-US"/>
        </w:rPr>
      </w:pPr>
      <w:r>
        <w:rPr>
          <w:rFonts w:hint="eastAsia" w:ascii="仿宋_GB2312" w:hAnsi="仿宋_GB2312" w:eastAsia="仿宋_GB2312" w:cs="仿宋_GB2312"/>
          <w:color w:val="000000" w:themeColor="text1"/>
          <w:sz w:val="32"/>
          <w:szCs w:val="32"/>
        </w:rPr>
        <w:t>▲（三）</w:t>
      </w:r>
      <w:r>
        <w:rPr>
          <w:rFonts w:hint="eastAsia" w:ascii="仿宋_GB2312" w:hAnsi="仿宋_GB2312" w:eastAsia="仿宋_GB2312" w:cs="仿宋_GB2312"/>
          <w:color w:val="000000" w:themeColor="text1"/>
          <w:sz w:val="32"/>
          <w:szCs w:val="32"/>
          <w:lang w:val="en-US"/>
        </w:rPr>
        <w:t>报价要求：报价必须为包干价，必须包含设备进场、劳务、管理、利润、培训、技术支持、售后服务、税费等其他一切费用。</w:t>
      </w:r>
    </w:p>
    <w:p>
      <w:pPr>
        <w:pStyle w:val="8"/>
        <w:spacing w:line="480" w:lineRule="exact"/>
        <w:ind w:firstLine="627" w:firstLineChars="196"/>
        <w:rPr>
          <w:rFonts w:ascii="仿宋_GB2312" w:hAnsi="仿宋_GB2312" w:eastAsia="仿宋_GB2312" w:cs="仿宋_GB2312"/>
          <w:color w:val="000000" w:themeColor="text1"/>
          <w:sz w:val="32"/>
          <w:szCs w:val="32"/>
          <w:lang w:val="en-US"/>
        </w:rPr>
      </w:pPr>
      <w:r>
        <w:rPr>
          <w:rFonts w:hint="eastAsia" w:ascii="仿宋_GB2312" w:hAnsi="仿宋_GB2312" w:eastAsia="仿宋_GB2312" w:cs="仿宋_GB2312"/>
          <w:color w:val="000000" w:themeColor="text1"/>
          <w:sz w:val="32"/>
          <w:szCs w:val="32"/>
        </w:rPr>
        <w:t>▲（四）</w:t>
      </w:r>
      <w:r>
        <w:rPr>
          <w:rFonts w:hint="eastAsia" w:ascii="仿宋_GB2312" w:hAnsi="仿宋_GB2312" w:eastAsia="仿宋_GB2312" w:cs="仿宋_GB2312"/>
          <w:color w:val="000000" w:themeColor="text1"/>
          <w:sz w:val="32"/>
          <w:szCs w:val="32"/>
          <w:lang w:val="en-US" w:eastAsia="zh-CN"/>
        </w:rPr>
        <w:t>采购</w:t>
      </w:r>
      <w:r>
        <w:rPr>
          <w:rFonts w:hint="eastAsia" w:ascii="仿宋_GB2312" w:hAnsi="仿宋_GB2312" w:eastAsia="仿宋_GB2312" w:cs="仿宋_GB2312"/>
          <w:color w:val="000000" w:themeColor="text1"/>
          <w:sz w:val="32"/>
          <w:szCs w:val="32"/>
          <w:lang w:val="en-US"/>
        </w:rPr>
        <w:t>要求：如果</w:t>
      </w:r>
      <w:r>
        <w:rPr>
          <w:rFonts w:hint="eastAsia" w:ascii="仿宋_GB2312" w:hAnsi="仿宋_GB2312" w:eastAsia="仿宋_GB2312" w:cs="仿宋_GB2312"/>
          <w:color w:val="000000" w:themeColor="text1"/>
          <w:sz w:val="32"/>
          <w:szCs w:val="32"/>
          <w:lang w:val="en-US" w:eastAsia="zh-CN"/>
        </w:rPr>
        <w:t>报价</w:t>
      </w:r>
      <w:r>
        <w:rPr>
          <w:rFonts w:hint="eastAsia" w:ascii="仿宋_GB2312" w:hAnsi="仿宋_GB2312" w:eastAsia="仿宋_GB2312" w:cs="仿宋_GB2312"/>
          <w:color w:val="000000" w:themeColor="text1"/>
          <w:sz w:val="32"/>
          <w:szCs w:val="32"/>
          <w:lang w:val="en-US"/>
        </w:rPr>
        <w:t>人在中标并签署合同后，项目实施过程中在本次采购范围出现任何遗漏，均由中标人无偿负责，采购人将不再支付任何费用。针对上述要求，报价</w:t>
      </w:r>
      <w:r>
        <w:rPr>
          <w:rFonts w:hint="eastAsia" w:ascii="仿宋_GB2312" w:hAnsi="仿宋_GB2312" w:eastAsia="仿宋_GB2312" w:cs="仿宋_GB2312"/>
          <w:color w:val="000000" w:themeColor="text1"/>
          <w:sz w:val="32"/>
          <w:szCs w:val="32"/>
          <w:lang w:val="en-US" w:eastAsia="zh-CN"/>
        </w:rPr>
        <w:t>人</w:t>
      </w:r>
      <w:r>
        <w:rPr>
          <w:rFonts w:hint="eastAsia" w:ascii="仿宋_GB2312" w:hAnsi="仿宋_GB2312" w:eastAsia="仿宋_GB2312" w:cs="仿宋_GB2312"/>
          <w:color w:val="000000" w:themeColor="text1"/>
          <w:sz w:val="32"/>
          <w:szCs w:val="32"/>
          <w:lang w:val="en-US"/>
        </w:rPr>
        <w:t>必须认真审核询价文件所有要求，如明知不满足采购文件要求进行恶意竞争的，将根据《政采云平台电子卖场权益维护及纠纷处理规则》的规定报财政部门处理。</w:t>
      </w:r>
    </w:p>
    <w:p>
      <w:pPr>
        <w:spacing w:line="480" w:lineRule="exac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               </w:t>
      </w:r>
    </w:p>
    <w:p>
      <w:pPr>
        <w:spacing w:line="480" w:lineRule="exact"/>
        <w:rPr>
          <w:rFonts w:ascii="仿宋_GB2312" w:hAnsi="仿宋_GB2312" w:eastAsia="仿宋_GB2312" w:cs="仿宋_GB2312"/>
          <w:color w:val="000000" w:themeColor="text1"/>
          <w:sz w:val="32"/>
          <w:szCs w:val="32"/>
        </w:rPr>
      </w:pPr>
    </w:p>
    <w:p>
      <w:pPr>
        <w:spacing w:line="480" w:lineRule="exact"/>
        <w:rPr>
          <w:rFonts w:ascii="仿宋_GB2312" w:hAnsi="仿宋_GB2312" w:eastAsia="仿宋_GB2312" w:cs="仿宋_GB2312"/>
          <w:color w:val="000000" w:themeColor="text1"/>
          <w:sz w:val="32"/>
          <w:szCs w:val="32"/>
        </w:rPr>
      </w:pPr>
    </w:p>
    <w:p>
      <w:pPr>
        <w:spacing w:line="360" w:lineRule="exact"/>
        <w:rPr>
          <w:rFonts w:ascii="宋体" w:hAnsi="宋体"/>
          <w:b/>
          <w:color w:val="000000" w:themeColor="text1"/>
          <w:sz w:val="24"/>
        </w:rPr>
      </w:pPr>
      <w:r>
        <w:rPr>
          <w:rFonts w:hint="eastAsia" w:ascii="宋体" w:hAnsi="宋体"/>
          <w:b/>
          <w:color w:val="000000" w:themeColor="text1"/>
          <w:sz w:val="24"/>
        </w:rPr>
        <w:t>附件：1</w:t>
      </w:r>
    </w:p>
    <w:tbl>
      <w:tblPr>
        <w:tblStyle w:val="6"/>
        <w:tblW w:w="0" w:type="auto"/>
        <w:jc w:val="center"/>
        <w:tblLayout w:type="fixed"/>
        <w:tblCellMar>
          <w:top w:w="0" w:type="dxa"/>
          <w:left w:w="0" w:type="dxa"/>
          <w:bottom w:w="0" w:type="dxa"/>
          <w:right w:w="0" w:type="dxa"/>
        </w:tblCellMar>
      </w:tblPr>
      <w:tblGrid>
        <w:gridCol w:w="986"/>
        <w:gridCol w:w="948"/>
        <w:gridCol w:w="2556"/>
        <w:gridCol w:w="4500"/>
        <w:gridCol w:w="824"/>
      </w:tblGrid>
      <w:tr>
        <w:tblPrEx>
          <w:tblCellMar>
            <w:top w:w="0" w:type="dxa"/>
            <w:left w:w="0" w:type="dxa"/>
            <w:bottom w:w="0" w:type="dxa"/>
            <w:right w:w="0" w:type="dxa"/>
          </w:tblCellMar>
        </w:tblPrEx>
        <w:trPr>
          <w:trHeight w:val="870" w:hRule="atLeast"/>
          <w:jc w:val="center"/>
        </w:trPr>
        <w:tc>
          <w:tcPr>
            <w:tcW w:w="8990" w:type="dxa"/>
            <w:gridSpan w:val="4"/>
            <w:tcBorders>
              <w:top w:val="nil"/>
              <w:left w:val="nil"/>
              <w:bottom w:val="single" w:color="000000" w:sz="4" w:space="0"/>
              <w:right w:val="nil"/>
            </w:tcBorders>
            <w:noWrap/>
            <w:tcMar>
              <w:top w:w="12" w:type="dxa"/>
              <w:left w:w="12" w:type="dxa"/>
              <w:right w:w="12" w:type="dxa"/>
            </w:tcMar>
          </w:tcPr>
          <w:p>
            <w:pPr>
              <w:widowControl/>
              <w:jc w:val="center"/>
              <w:textAlignment w:val="top"/>
              <w:rPr>
                <w:rFonts w:ascii="宋体" w:hAnsi="宋体" w:cs="宋体"/>
                <w:b/>
                <w:color w:val="000000" w:themeColor="text1"/>
                <w:sz w:val="32"/>
                <w:szCs w:val="32"/>
              </w:rPr>
            </w:pPr>
            <w:r>
              <w:rPr>
                <w:rFonts w:hint="eastAsia" w:ascii="宋体" w:hAnsi="宋体" w:cs="宋体"/>
                <w:b/>
                <w:color w:val="000000" w:themeColor="text1"/>
                <w:kern w:val="0"/>
                <w:sz w:val="32"/>
                <w:szCs w:val="32"/>
              </w:rPr>
              <w:t>三门江国家森林公园林业有害生物检查评分细则</w:t>
            </w:r>
          </w:p>
        </w:tc>
        <w:tc>
          <w:tcPr>
            <w:tcW w:w="824" w:type="dxa"/>
            <w:tcBorders>
              <w:top w:val="nil"/>
              <w:left w:val="nil"/>
              <w:bottom w:val="nil"/>
              <w:right w:val="nil"/>
            </w:tcBorders>
            <w:noWrap/>
            <w:tcMar>
              <w:top w:w="12" w:type="dxa"/>
              <w:left w:w="12" w:type="dxa"/>
              <w:right w:w="12" w:type="dxa"/>
            </w:tcMar>
            <w:vAlign w:val="center"/>
          </w:tcPr>
          <w:p>
            <w:pPr>
              <w:jc w:val="center"/>
              <w:rPr>
                <w:rFonts w:ascii="宋体" w:hAnsi="宋体" w:cs="宋体"/>
                <w:color w:val="000000" w:themeColor="text1"/>
                <w:sz w:val="22"/>
                <w:szCs w:val="22"/>
              </w:rPr>
            </w:pPr>
          </w:p>
        </w:tc>
      </w:tr>
      <w:tr>
        <w:tblPrEx>
          <w:tblCellMar>
            <w:top w:w="0" w:type="dxa"/>
            <w:left w:w="0" w:type="dxa"/>
            <w:bottom w:w="0" w:type="dxa"/>
            <w:right w:w="0" w:type="dxa"/>
          </w:tblCellMar>
        </w:tblPrEx>
        <w:trPr>
          <w:trHeight w:val="585" w:hRule="atLeast"/>
          <w:jc w:val="center"/>
        </w:trPr>
        <w:tc>
          <w:tcPr>
            <w:tcW w:w="9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themeColor="text1"/>
                <w:sz w:val="24"/>
                <w:szCs w:val="24"/>
              </w:rPr>
            </w:pPr>
            <w:r>
              <w:rPr>
                <w:rFonts w:hint="eastAsia" w:ascii="宋体" w:hAnsi="宋体" w:cs="宋体"/>
                <w:b/>
                <w:color w:val="000000" w:themeColor="text1"/>
                <w:kern w:val="0"/>
                <w:sz w:val="24"/>
                <w:szCs w:val="24"/>
              </w:rPr>
              <w:t>项目</w:t>
            </w:r>
          </w:p>
        </w:tc>
        <w:tc>
          <w:tcPr>
            <w:tcW w:w="9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themeColor="text1"/>
                <w:sz w:val="24"/>
                <w:szCs w:val="24"/>
              </w:rPr>
            </w:pPr>
            <w:r>
              <w:rPr>
                <w:rFonts w:hint="eastAsia" w:ascii="宋体" w:hAnsi="宋体" w:cs="宋体"/>
                <w:b/>
                <w:color w:val="000000" w:themeColor="text1"/>
                <w:kern w:val="0"/>
                <w:sz w:val="24"/>
                <w:szCs w:val="24"/>
              </w:rPr>
              <w:t>分项</w:t>
            </w:r>
          </w:p>
        </w:tc>
        <w:tc>
          <w:tcPr>
            <w:tcW w:w="25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themeColor="text1"/>
                <w:sz w:val="24"/>
                <w:szCs w:val="24"/>
              </w:rPr>
            </w:pPr>
            <w:r>
              <w:rPr>
                <w:rFonts w:hint="eastAsia" w:ascii="宋体" w:hAnsi="宋体" w:cs="宋体"/>
                <w:b/>
                <w:color w:val="000000" w:themeColor="text1"/>
                <w:kern w:val="0"/>
                <w:sz w:val="24"/>
                <w:szCs w:val="24"/>
              </w:rPr>
              <w:t>分项标准</w:t>
            </w:r>
          </w:p>
        </w:tc>
        <w:tc>
          <w:tcPr>
            <w:tcW w:w="45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themeColor="text1"/>
                <w:sz w:val="24"/>
                <w:szCs w:val="24"/>
              </w:rPr>
            </w:pPr>
            <w:r>
              <w:rPr>
                <w:rFonts w:hint="eastAsia" w:ascii="宋体" w:hAnsi="宋体" w:cs="宋体"/>
                <w:b/>
                <w:color w:val="000000" w:themeColor="text1"/>
                <w:kern w:val="0"/>
                <w:sz w:val="24"/>
                <w:szCs w:val="24"/>
              </w:rPr>
              <w:t>评分细则</w:t>
            </w:r>
          </w:p>
        </w:tc>
        <w:tc>
          <w:tcPr>
            <w:tcW w:w="8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themeColor="text1"/>
                <w:sz w:val="24"/>
                <w:szCs w:val="24"/>
              </w:rPr>
            </w:pPr>
            <w:r>
              <w:rPr>
                <w:rFonts w:hint="eastAsia" w:ascii="宋体" w:hAnsi="宋体" w:cs="宋体"/>
                <w:b/>
                <w:color w:val="000000" w:themeColor="text1"/>
                <w:kern w:val="0"/>
                <w:sz w:val="24"/>
                <w:szCs w:val="24"/>
              </w:rPr>
              <w:t>得分</w:t>
            </w:r>
          </w:p>
        </w:tc>
      </w:tr>
      <w:tr>
        <w:tblPrEx>
          <w:tblCellMar>
            <w:top w:w="0" w:type="dxa"/>
            <w:left w:w="0" w:type="dxa"/>
            <w:bottom w:w="0" w:type="dxa"/>
            <w:right w:w="0" w:type="dxa"/>
          </w:tblCellMar>
        </w:tblPrEx>
        <w:trPr>
          <w:trHeight w:val="1360" w:hRule="atLeast"/>
          <w:jc w:val="center"/>
        </w:trPr>
        <w:tc>
          <w:tcPr>
            <w:tcW w:w="98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监测预报（55分）</w:t>
            </w:r>
          </w:p>
        </w:tc>
        <w:tc>
          <w:tcPr>
            <w:tcW w:w="9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监测方案（5分）</w:t>
            </w:r>
          </w:p>
        </w:tc>
        <w:tc>
          <w:tcPr>
            <w:tcW w:w="25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监测方案设置合理，监测点覆盖全面。</w:t>
            </w:r>
          </w:p>
        </w:tc>
        <w:tc>
          <w:tcPr>
            <w:tcW w:w="45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能够根据林业有害生物动态变化和季节变化及时调整监测方案。监测方案不全或不完整或不执行的，每发现一次扣1分。</w:t>
            </w:r>
          </w:p>
        </w:tc>
        <w:tc>
          <w:tcPr>
            <w:tcW w:w="8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5</w:t>
            </w:r>
          </w:p>
        </w:tc>
      </w:tr>
      <w:tr>
        <w:tblPrEx>
          <w:tblCellMar>
            <w:top w:w="0" w:type="dxa"/>
            <w:left w:w="0" w:type="dxa"/>
            <w:bottom w:w="0" w:type="dxa"/>
            <w:right w:w="0" w:type="dxa"/>
          </w:tblCellMar>
        </w:tblPrEx>
        <w:trPr>
          <w:trHeight w:val="4520" w:hRule="atLeast"/>
          <w:jc w:val="center"/>
        </w:trPr>
        <w:tc>
          <w:tcPr>
            <w:tcW w:w="98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24"/>
                <w:szCs w:val="24"/>
              </w:rPr>
            </w:pPr>
          </w:p>
        </w:tc>
        <w:tc>
          <w:tcPr>
            <w:tcW w:w="9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监测预报</w:t>
            </w:r>
            <w:r>
              <w:rPr>
                <w:rFonts w:hint="eastAsia" w:ascii="宋体" w:hAnsi="宋体" w:cs="宋体"/>
                <w:color w:val="000000" w:themeColor="text1"/>
                <w:kern w:val="0"/>
                <w:sz w:val="24"/>
                <w:szCs w:val="24"/>
              </w:rPr>
              <w:br w:type="textWrapping"/>
            </w:r>
            <w:r>
              <w:rPr>
                <w:rFonts w:hint="eastAsia" w:ascii="宋体" w:hAnsi="宋体" w:cs="宋体"/>
                <w:color w:val="000000" w:themeColor="text1"/>
                <w:kern w:val="0"/>
                <w:sz w:val="24"/>
                <w:szCs w:val="24"/>
              </w:rPr>
              <w:t>（40分）</w:t>
            </w:r>
          </w:p>
        </w:tc>
        <w:tc>
          <w:tcPr>
            <w:tcW w:w="25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按季度定时提交林业有害生物监测报告，若有病虫害发生，报告内容需包含监测基本信息、病虫种类及相关介绍、发生面积、治理过程、结果等，无需治理则不用写治理过程；</w:t>
            </w:r>
            <w:r>
              <w:rPr>
                <w:rFonts w:hint="eastAsia" w:ascii="宋体" w:hAnsi="宋体" w:cs="宋体"/>
                <w:color w:val="000000" w:themeColor="text1"/>
                <w:kern w:val="0"/>
                <w:sz w:val="24"/>
                <w:szCs w:val="24"/>
              </w:rPr>
              <w:br w:type="textWrapping"/>
            </w:r>
            <w:r>
              <w:rPr>
                <w:rFonts w:hint="eastAsia" w:ascii="宋体" w:hAnsi="宋体" w:cs="宋体"/>
                <w:color w:val="000000" w:themeColor="text1"/>
                <w:kern w:val="0"/>
                <w:sz w:val="24"/>
                <w:szCs w:val="24"/>
              </w:rPr>
              <w:t>若无病害发生，报告内容包含监测的基本信息。</w:t>
            </w:r>
          </w:p>
        </w:tc>
        <w:tc>
          <w:tcPr>
            <w:tcW w:w="45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每月检查设立的固定和临时监测测报点，随时掌握病虫发生的种类、周期、危害面积等，一旦确定病虫为危险性病虫或危害面积达林业有害生物成灾标准，及时进行治理。</w:t>
            </w:r>
            <w:r>
              <w:rPr>
                <w:rFonts w:hint="eastAsia" w:ascii="宋体" w:hAnsi="宋体" w:cs="宋体"/>
                <w:color w:val="000000" w:themeColor="text1"/>
                <w:kern w:val="0"/>
                <w:sz w:val="24"/>
                <w:szCs w:val="24"/>
              </w:rPr>
              <w:br w:type="textWrapping"/>
            </w:r>
            <w:r>
              <w:rPr>
                <w:rFonts w:hint="eastAsia" w:ascii="宋体" w:hAnsi="宋体" w:cs="宋体"/>
                <w:color w:val="000000" w:themeColor="text1"/>
                <w:kern w:val="0"/>
                <w:sz w:val="24"/>
                <w:szCs w:val="24"/>
              </w:rPr>
              <w:t>未按要求连续或间隔监测调查，每发现1次扣5分</w:t>
            </w:r>
            <w:r>
              <w:rPr>
                <w:rFonts w:hint="eastAsia" w:ascii="宋体" w:hAnsi="宋体" w:cs="宋体"/>
                <w:color w:val="000000" w:themeColor="text1"/>
                <w:kern w:val="0"/>
                <w:sz w:val="24"/>
                <w:szCs w:val="24"/>
              </w:rPr>
              <w:br w:type="textWrapping"/>
            </w:r>
            <w:r>
              <w:rPr>
                <w:rFonts w:hint="eastAsia" w:ascii="宋体" w:hAnsi="宋体" w:cs="宋体"/>
                <w:color w:val="000000" w:themeColor="text1"/>
                <w:kern w:val="0"/>
                <w:sz w:val="24"/>
                <w:szCs w:val="24"/>
              </w:rPr>
              <w:t>未按月、季、年度定时提交林业有害生物监测报告扣5分；</w:t>
            </w:r>
            <w:r>
              <w:rPr>
                <w:rFonts w:hint="eastAsia" w:ascii="宋体" w:hAnsi="宋体" w:cs="宋体"/>
                <w:color w:val="000000" w:themeColor="text1"/>
                <w:kern w:val="0"/>
                <w:sz w:val="24"/>
                <w:szCs w:val="24"/>
              </w:rPr>
              <w:br w:type="textWrapping"/>
            </w:r>
            <w:r>
              <w:rPr>
                <w:rFonts w:hint="eastAsia" w:ascii="宋体" w:hAnsi="宋体" w:cs="宋体"/>
                <w:color w:val="000000" w:themeColor="text1"/>
                <w:kern w:val="0"/>
                <w:sz w:val="24"/>
                <w:szCs w:val="24"/>
              </w:rPr>
              <w:t>林业有害生物监测报告未如实填写扣10分。</w:t>
            </w:r>
            <w:r>
              <w:rPr>
                <w:rFonts w:hint="eastAsia" w:ascii="宋体" w:hAnsi="宋体" w:cs="宋体"/>
                <w:color w:val="000000" w:themeColor="text1"/>
                <w:kern w:val="0"/>
                <w:sz w:val="24"/>
                <w:szCs w:val="24"/>
              </w:rPr>
              <w:br w:type="textWrapping"/>
            </w:r>
            <w:r>
              <w:rPr>
                <w:rFonts w:hint="eastAsia" w:ascii="宋体" w:hAnsi="宋体" w:cs="宋体"/>
                <w:color w:val="000000" w:themeColor="text1"/>
                <w:kern w:val="0"/>
                <w:sz w:val="24"/>
                <w:szCs w:val="24"/>
              </w:rPr>
              <w:t>发现重大林业有害生物发生发展趋势未及时或未上报扣20分。</w:t>
            </w:r>
          </w:p>
        </w:tc>
        <w:tc>
          <w:tcPr>
            <w:tcW w:w="8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40</w:t>
            </w:r>
          </w:p>
        </w:tc>
      </w:tr>
      <w:tr>
        <w:tblPrEx>
          <w:tblCellMar>
            <w:top w:w="0" w:type="dxa"/>
            <w:left w:w="0" w:type="dxa"/>
            <w:bottom w:w="0" w:type="dxa"/>
            <w:right w:w="0" w:type="dxa"/>
          </w:tblCellMar>
        </w:tblPrEx>
        <w:trPr>
          <w:trHeight w:val="2720" w:hRule="atLeast"/>
          <w:jc w:val="center"/>
        </w:trPr>
        <w:tc>
          <w:tcPr>
            <w:tcW w:w="98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24"/>
                <w:szCs w:val="24"/>
              </w:rPr>
            </w:pPr>
          </w:p>
        </w:tc>
        <w:tc>
          <w:tcPr>
            <w:tcW w:w="9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监测成果（10分）</w:t>
            </w:r>
          </w:p>
        </w:tc>
        <w:tc>
          <w:tcPr>
            <w:tcW w:w="25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请款时附对公园过往监测情况的分析和总结报告，着重分析林业有害生物发生发展规律和监测情况。</w:t>
            </w:r>
          </w:p>
        </w:tc>
        <w:tc>
          <w:tcPr>
            <w:tcW w:w="45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未按时提交监测成果总结、分析报告等，扣5分，且不予拨付当次进度款，直至提交为止。</w:t>
            </w:r>
            <w:r>
              <w:rPr>
                <w:rFonts w:hint="eastAsia" w:ascii="宋体" w:hAnsi="宋体" w:cs="宋体"/>
                <w:color w:val="000000" w:themeColor="text1"/>
                <w:kern w:val="0"/>
                <w:sz w:val="24"/>
                <w:szCs w:val="24"/>
              </w:rPr>
              <w:br w:type="textWrapping"/>
            </w:r>
            <w:r>
              <w:rPr>
                <w:rFonts w:hint="eastAsia" w:ascii="宋体" w:hAnsi="宋体" w:cs="宋体"/>
                <w:color w:val="000000" w:themeColor="text1"/>
                <w:kern w:val="0"/>
                <w:sz w:val="24"/>
                <w:szCs w:val="24"/>
              </w:rPr>
              <w:t>监测成果分析不科学，无依据，每项扣2分。</w:t>
            </w:r>
            <w:r>
              <w:rPr>
                <w:rFonts w:hint="eastAsia" w:ascii="宋体" w:hAnsi="宋体" w:cs="宋体"/>
                <w:color w:val="000000" w:themeColor="text1"/>
                <w:kern w:val="0"/>
                <w:sz w:val="24"/>
                <w:szCs w:val="24"/>
              </w:rPr>
              <w:br w:type="textWrapping"/>
            </w:r>
            <w:r>
              <w:rPr>
                <w:rFonts w:hint="eastAsia" w:ascii="宋体" w:hAnsi="宋体" w:cs="宋体"/>
                <w:color w:val="000000" w:themeColor="text1"/>
                <w:kern w:val="0"/>
                <w:sz w:val="24"/>
                <w:szCs w:val="24"/>
              </w:rPr>
              <w:t>林业有害生物监测报告未如实填写扣10分，发现2次及以上解除合同。</w:t>
            </w:r>
          </w:p>
        </w:tc>
        <w:tc>
          <w:tcPr>
            <w:tcW w:w="8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10</w:t>
            </w:r>
          </w:p>
        </w:tc>
      </w:tr>
      <w:tr>
        <w:tblPrEx>
          <w:tblCellMar>
            <w:top w:w="0" w:type="dxa"/>
            <w:left w:w="0" w:type="dxa"/>
            <w:bottom w:w="0" w:type="dxa"/>
            <w:right w:w="0" w:type="dxa"/>
          </w:tblCellMar>
        </w:tblPrEx>
        <w:trPr>
          <w:trHeight w:val="3100" w:hRule="atLeast"/>
          <w:jc w:val="center"/>
        </w:trPr>
        <w:tc>
          <w:tcPr>
            <w:tcW w:w="98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防治防控（40分）</w:t>
            </w:r>
          </w:p>
        </w:tc>
        <w:tc>
          <w:tcPr>
            <w:tcW w:w="9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防治方案（10分）</w:t>
            </w:r>
          </w:p>
        </w:tc>
        <w:tc>
          <w:tcPr>
            <w:tcW w:w="25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林业有害生物防治不得严重影响景观效果，所使用的防控措施应有针对性，科学有效。针对公园已有和可能发生的病虫害制定防治预案，并在根据实际情况及时修改防治方案。</w:t>
            </w:r>
          </w:p>
        </w:tc>
        <w:tc>
          <w:tcPr>
            <w:tcW w:w="45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未及时制定或完成防治方案，每次扣5分。</w:t>
            </w:r>
            <w:r>
              <w:rPr>
                <w:rFonts w:hint="eastAsia" w:ascii="宋体" w:hAnsi="宋体" w:cs="宋体"/>
                <w:color w:val="000000" w:themeColor="text1"/>
                <w:kern w:val="0"/>
                <w:sz w:val="24"/>
                <w:szCs w:val="24"/>
              </w:rPr>
              <w:br w:type="textWrapping"/>
            </w:r>
            <w:r>
              <w:rPr>
                <w:rFonts w:hint="eastAsia" w:ascii="宋体" w:hAnsi="宋体" w:cs="宋体"/>
                <w:color w:val="000000" w:themeColor="text1"/>
                <w:kern w:val="0"/>
                <w:sz w:val="24"/>
                <w:szCs w:val="24"/>
              </w:rPr>
              <w:t>未根据实际情况及时更新、完善防治方案，每次扣5分。</w:t>
            </w:r>
          </w:p>
        </w:tc>
        <w:tc>
          <w:tcPr>
            <w:tcW w:w="8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sz w:val="24"/>
                <w:szCs w:val="24"/>
              </w:rPr>
              <w:t>10</w:t>
            </w:r>
          </w:p>
        </w:tc>
      </w:tr>
      <w:tr>
        <w:tblPrEx>
          <w:tblCellMar>
            <w:top w:w="0" w:type="dxa"/>
            <w:left w:w="0" w:type="dxa"/>
            <w:bottom w:w="0" w:type="dxa"/>
            <w:right w:w="0" w:type="dxa"/>
          </w:tblCellMar>
        </w:tblPrEx>
        <w:trPr>
          <w:trHeight w:val="3280" w:hRule="atLeast"/>
          <w:jc w:val="center"/>
        </w:trPr>
        <w:tc>
          <w:tcPr>
            <w:tcW w:w="98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24"/>
                <w:szCs w:val="24"/>
              </w:rPr>
            </w:pPr>
          </w:p>
        </w:tc>
        <w:tc>
          <w:tcPr>
            <w:tcW w:w="9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防控效果（25分）</w:t>
            </w:r>
          </w:p>
        </w:tc>
        <w:tc>
          <w:tcPr>
            <w:tcW w:w="25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按需防治，预防为主。在可控范围内不进行化学防治，以自然生态和生物防治手段调控为主。当发生发展有明显成灾趋势时，立即采用其它有效手段进行遏制。</w:t>
            </w:r>
          </w:p>
        </w:tc>
        <w:tc>
          <w:tcPr>
            <w:tcW w:w="45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使用的杀虫剂药性过大，致植物长势严重受损，每处扣1分；</w:t>
            </w:r>
            <w:r>
              <w:rPr>
                <w:rFonts w:hint="eastAsia" w:ascii="宋体" w:hAnsi="宋体" w:cs="宋体"/>
                <w:color w:val="000000" w:themeColor="text1"/>
                <w:kern w:val="0"/>
                <w:sz w:val="24"/>
                <w:szCs w:val="24"/>
              </w:rPr>
              <w:br w:type="textWrapping"/>
            </w:r>
            <w:r>
              <w:rPr>
                <w:rFonts w:hint="eastAsia" w:ascii="宋体" w:hAnsi="宋体" w:cs="宋体"/>
                <w:color w:val="000000" w:themeColor="text1"/>
                <w:kern w:val="0"/>
                <w:sz w:val="24"/>
                <w:szCs w:val="24"/>
              </w:rPr>
              <w:t>使用的防控措施无针对性，效果不理想，乔木有明显病虫害的，每发现一株扣1分，绿道或景观点有明显病虫害的，每处扣1分；</w:t>
            </w:r>
            <w:r>
              <w:rPr>
                <w:rFonts w:hint="eastAsia" w:ascii="宋体" w:hAnsi="宋体" w:cs="宋体"/>
                <w:color w:val="000000" w:themeColor="text1"/>
                <w:kern w:val="0"/>
                <w:sz w:val="24"/>
                <w:szCs w:val="24"/>
              </w:rPr>
              <w:br w:type="textWrapping"/>
            </w:r>
            <w:r>
              <w:rPr>
                <w:rFonts w:hint="eastAsia" w:ascii="宋体" w:hAnsi="宋体" w:cs="宋体"/>
                <w:color w:val="000000" w:themeColor="text1"/>
                <w:kern w:val="0"/>
                <w:sz w:val="24"/>
                <w:szCs w:val="24"/>
              </w:rPr>
              <w:t>发生危险性病虫或病虫危害面积达林业有害生物成灾标准时，未能及时、有效治理而造成更大损失的扣20分。</w:t>
            </w:r>
          </w:p>
        </w:tc>
        <w:tc>
          <w:tcPr>
            <w:tcW w:w="8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25</w:t>
            </w:r>
          </w:p>
        </w:tc>
      </w:tr>
      <w:tr>
        <w:tblPrEx>
          <w:tblCellMar>
            <w:top w:w="0" w:type="dxa"/>
            <w:left w:w="0" w:type="dxa"/>
            <w:bottom w:w="0" w:type="dxa"/>
            <w:right w:w="0" w:type="dxa"/>
          </w:tblCellMar>
        </w:tblPrEx>
        <w:trPr>
          <w:trHeight w:val="2420" w:hRule="atLeast"/>
          <w:jc w:val="center"/>
        </w:trPr>
        <w:tc>
          <w:tcPr>
            <w:tcW w:w="98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安全管理及文明（5分）</w:t>
            </w:r>
          </w:p>
        </w:tc>
        <w:tc>
          <w:tcPr>
            <w:tcW w:w="9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文明施工（7分）</w:t>
            </w:r>
          </w:p>
        </w:tc>
        <w:tc>
          <w:tcPr>
            <w:tcW w:w="25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工作人员文明作业，具备独立齐全安全防护措施保障。遵守莲花山保护中心相关规定。对整改意见积极响应，建立完整的台帐。</w:t>
            </w:r>
          </w:p>
        </w:tc>
        <w:tc>
          <w:tcPr>
            <w:tcW w:w="45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工作人员没有相应的防治宣传和安全防护措施扣5分；</w:t>
            </w:r>
            <w:r>
              <w:rPr>
                <w:rFonts w:hint="eastAsia" w:ascii="宋体" w:hAnsi="宋体" w:cs="宋体"/>
                <w:color w:val="000000" w:themeColor="text1"/>
                <w:kern w:val="0"/>
                <w:sz w:val="24"/>
                <w:szCs w:val="24"/>
              </w:rPr>
              <w:br w:type="textWrapping"/>
            </w:r>
            <w:r>
              <w:rPr>
                <w:rFonts w:hint="eastAsia" w:ascii="宋体" w:hAnsi="宋体" w:cs="宋体"/>
                <w:color w:val="000000" w:themeColor="text1"/>
                <w:kern w:val="0"/>
                <w:sz w:val="24"/>
                <w:szCs w:val="24"/>
              </w:rPr>
              <w:t>工作人员不遵守公园相关规定扣1分；</w:t>
            </w:r>
            <w:r>
              <w:rPr>
                <w:rFonts w:hint="eastAsia" w:ascii="宋体" w:hAnsi="宋体" w:cs="宋体"/>
                <w:color w:val="000000" w:themeColor="text1"/>
                <w:kern w:val="0"/>
                <w:sz w:val="24"/>
                <w:szCs w:val="24"/>
              </w:rPr>
              <w:br w:type="textWrapping"/>
            </w:r>
            <w:r>
              <w:rPr>
                <w:rFonts w:hint="eastAsia" w:ascii="宋体" w:hAnsi="宋体" w:cs="宋体"/>
                <w:color w:val="000000" w:themeColor="text1"/>
                <w:kern w:val="0"/>
                <w:sz w:val="24"/>
                <w:szCs w:val="24"/>
              </w:rPr>
              <w:t>对整改意见不积极响应或台帐不完整扣1分；</w:t>
            </w:r>
            <w:r>
              <w:rPr>
                <w:rFonts w:hint="eastAsia" w:ascii="宋体" w:hAnsi="宋体" w:cs="宋体"/>
                <w:color w:val="000000" w:themeColor="text1"/>
                <w:kern w:val="0"/>
                <w:sz w:val="24"/>
                <w:szCs w:val="24"/>
              </w:rPr>
              <w:br w:type="textWrapping"/>
            </w:r>
            <w:r>
              <w:rPr>
                <w:rFonts w:hint="eastAsia" w:ascii="宋体" w:hAnsi="宋体" w:cs="宋体"/>
                <w:color w:val="000000" w:themeColor="text1"/>
                <w:kern w:val="0"/>
                <w:sz w:val="24"/>
                <w:szCs w:val="24"/>
              </w:rPr>
              <w:t>不文明作业扣1分。</w:t>
            </w:r>
          </w:p>
        </w:tc>
        <w:tc>
          <w:tcPr>
            <w:tcW w:w="8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sz w:val="24"/>
                <w:szCs w:val="24"/>
              </w:rPr>
              <w:t>7</w:t>
            </w:r>
          </w:p>
        </w:tc>
      </w:tr>
      <w:tr>
        <w:tblPrEx>
          <w:tblCellMar>
            <w:top w:w="0" w:type="dxa"/>
            <w:left w:w="0" w:type="dxa"/>
            <w:bottom w:w="0" w:type="dxa"/>
            <w:right w:w="0" w:type="dxa"/>
          </w:tblCellMar>
        </w:tblPrEx>
        <w:trPr>
          <w:trHeight w:val="1460" w:hRule="atLeast"/>
          <w:jc w:val="center"/>
        </w:trPr>
        <w:tc>
          <w:tcPr>
            <w:tcW w:w="98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24"/>
                <w:szCs w:val="24"/>
              </w:rPr>
            </w:pPr>
          </w:p>
        </w:tc>
        <w:tc>
          <w:tcPr>
            <w:tcW w:w="9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预防措施（3分）</w:t>
            </w:r>
          </w:p>
        </w:tc>
        <w:tc>
          <w:tcPr>
            <w:tcW w:w="25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无重大事故发生。未因施工不当原因被游客投诉。</w:t>
            </w:r>
          </w:p>
        </w:tc>
        <w:tc>
          <w:tcPr>
            <w:tcW w:w="45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因施工不当原因被游客投诉每次扣3分。</w:t>
            </w:r>
            <w:r>
              <w:rPr>
                <w:rFonts w:hint="eastAsia" w:ascii="宋体" w:hAnsi="宋体" w:cs="宋体"/>
                <w:color w:val="000000" w:themeColor="text1"/>
                <w:kern w:val="0"/>
                <w:sz w:val="24"/>
                <w:szCs w:val="24"/>
              </w:rPr>
              <w:br w:type="textWrapping"/>
            </w:r>
            <w:r>
              <w:rPr>
                <w:rFonts w:hint="eastAsia" w:ascii="宋体" w:hAnsi="宋体" w:cs="宋体"/>
                <w:color w:val="000000" w:themeColor="text1"/>
                <w:kern w:val="0"/>
                <w:sz w:val="24"/>
                <w:szCs w:val="24"/>
              </w:rPr>
              <w:t>发生重大事故被市政府通报批评，当月考评直接认定不合格；</w:t>
            </w:r>
          </w:p>
        </w:tc>
        <w:tc>
          <w:tcPr>
            <w:tcW w:w="8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3</w:t>
            </w:r>
          </w:p>
        </w:tc>
      </w:tr>
      <w:tr>
        <w:tblPrEx>
          <w:tblCellMar>
            <w:top w:w="0" w:type="dxa"/>
            <w:left w:w="0" w:type="dxa"/>
            <w:bottom w:w="0" w:type="dxa"/>
            <w:right w:w="0" w:type="dxa"/>
          </w:tblCellMar>
        </w:tblPrEx>
        <w:trPr>
          <w:trHeight w:val="540" w:hRule="atLeast"/>
          <w:jc w:val="center"/>
        </w:trPr>
        <w:tc>
          <w:tcPr>
            <w:tcW w:w="9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总分100</w:t>
            </w:r>
          </w:p>
        </w:tc>
        <w:tc>
          <w:tcPr>
            <w:tcW w:w="9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cs="宋体"/>
                <w:color w:val="000000" w:themeColor="text1"/>
                <w:sz w:val="22"/>
                <w:szCs w:val="22"/>
              </w:rPr>
            </w:pPr>
          </w:p>
        </w:tc>
        <w:tc>
          <w:tcPr>
            <w:tcW w:w="25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22"/>
                <w:szCs w:val="22"/>
              </w:rPr>
            </w:pPr>
          </w:p>
        </w:tc>
        <w:tc>
          <w:tcPr>
            <w:tcW w:w="45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000000" w:themeColor="text1"/>
                <w:sz w:val="22"/>
                <w:szCs w:val="22"/>
              </w:rPr>
            </w:pPr>
          </w:p>
        </w:tc>
        <w:tc>
          <w:tcPr>
            <w:tcW w:w="8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100</w:t>
            </w:r>
          </w:p>
        </w:tc>
      </w:tr>
      <w:tr>
        <w:tblPrEx>
          <w:tblCellMar>
            <w:top w:w="0" w:type="dxa"/>
            <w:left w:w="0" w:type="dxa"/>
            <w:bottom w:w="0" w:type="dxa"/>
            <w:right w:w="0" w:type="dxa"/>
          </w:tblCellMar>
        </w:tblPrEx>
        <w:trPr>
          <w:trHeight w:val="945" w:hRule="atLeast"/>
          <w:jc w:val="center"/>
        </w:trPr>
        <w:tc>
          <w:tcPr>
            <w:tcW w:w="9814" w:type="dxa"/>
            <w:gridSpan w:val="5"/>
            <w:tcBorders>
              <w:top w:val="single" w:color="000000" w:sz="4" w:space="0"/>
              <w:left w:val="nil"/>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 xml:space="preserve">     甲方：柳州市莲花山保护中心                       乙方：</w:t>
            </w:r>
          </w:p>
        </w:tc>
      </w:tr>
      <w:tr>
        <w:tblPrEx>
          <w:tblCellMar>
            <w:top w:w="0" w:type="dxa"/>
            <w:left w:w="0" w:type="dxa"/>
            <w:bottom w:w="0" w:type="dxa"/>
            <w:right w:w="0" w:type="dxa"/>
          </w:tblCellMar>
        </w:tblPrEx>
        <w:trPr>
          <w:trHeight w:val="321" w:hRule="atLeast"/>
          <w:jc w:val="center"/>
        </w:trPr>
        <w:tc>
          <w:tcPr>
            <w:tcW w:w="9814" w:type="dxa"/>
            <w:gridSpan w:val="5"/>
            <w:vMerge w:val="restart"/>
            <w:tcBorders>
              <w:top w:val="single" w:color="000000" w:sz="4" w:space="0"/>
              <w:left w:val="nil"/>
              <w:bottom w:val="nil"/>
              <w:right w:val="nil"/>
            </w:tcBorders>
            <w:tcMar>
              <w:top w:w="12" w:type="dxa"/>
              <w:left w:w="12" w:type="dxa"/>
              <w:right w:w="12" w:type="dxa"/>
            </w:tcMar>
          </w:tcPr>
          <w:p>
            <w:pPr>
              <w:widowControl/>
              <w:jc w:val="left"/>
              <w:textAlignment w:val="top"/>
              <w:rPr>
                <w:rFonts w:ascii="宋体" w:hAnsi="宋体" w:cs="宋体"/>
                <w:color w:val="000000" w:themeColor="text1"/>
                <w:sz w:val="22"/>
                <w:szCs w:val="22"/>
              </w:rPr>
            </w:pPr>
            <w:r>
              <w:rPr>
                <w:rFonts w:hint="eastAsia" w:ascii="宋体" w:hAnsi="宋体" w:cs="宋体"/>
                <w:color w:val="000000" w:themeColor="text1"/>
                <w:kern w:val="0"/>
                <w:sz w:val="22"/>
                <w:szCs w:val="22"/>
              </w:rPr>
              <w:t>按100分值进行打分，乙方总平均分得分达到95分及以上，全额支付乙方合同款；当月得分90—95分（不含95分），以95分为基准，按照100元/分扣罚乙方合同款；得分80—90分（不含90分），以95分为基准，按照500元/分扣罚乙方合同款；得分70—80分（不含80分），以95分为基准，按照1000元/分扣罚乙方合同款；得分60—70分（不含70分），以95分为基准，按照2000元/分扣罚乙方合同款；如评分低于60分，扣罚当月全部合同款，并提出严正警告。如乙方连续3个月得分在80分以下，甲方有权终止合同。（按季度进行考核打分结算，季度分由月度平均分构成）</w:t>
            </w:r>
          </w:p>
        </w:tc>
      </w:tr>
      <w:tr>
        <w:tblPrEx>
          <w:tblCellMar>
            <w:top w:w="0" w:type="dxa"/>
            <w:left w:w="0" w:type="dxa"/>
            <w:bottom w:w="0" w:type="dxa"/>
            <w:right w:w="0" w:type="dxa"/>
          </w:tblCellMar>
        </w:tblPrEx>
        <w:trPr>
          <w:trHeight w:val="321" w:hRule="atLeast"/>
          <w:jc w:val="center"/>
        </w:trPr>
        <w:tc>
          <w:tcPr>
            <w:tcW w:w="9814" w:type="dxa"/>
            <w:gridSpan w:val="5"/>
            <w:vMerge w:val="continue"/>
            <w:tcBorders>
              <w:top w:val="single" w:color="000000" w:sz="4" w:space="0"/>
              <w:left w:val="nil"/>
              <w:bottom w:val="nil"/>
              <w:right w:val="nil"/>
            </w:tcBorders>
            <w:tcMar>
              <w:top w:w="12" w:type="dxa"/>
              <w:left w:w="12" w:type="dxa"/>
              <w:right w:w="12" w:type="dxa"/>
            </w:tcMar>
          </w:tcPr>
          <w:p>
            <w:pPr>
              <w:jc w:val="left"/>
              <w:rPr>
                <w:rFonts w:ascii="宋体" w:hAnsi="宋体" w:cs="宋体"/>
                <w:color w:val="000000" w:themeColor="text1"/>
                <w:sz w:val="22"/>
                <w:szCs w:val="22"/>
              </w:rPr>
            </w:pPr>
          </w:p>
        </w:tc>
      </w:tr>
      <w:tr>
        <w:tblPrEx>
          <w:tblCellMar>
            <w:top w:w="0" w:type="dxa"/>
            <w:left w:w="0" w:type="dxa"/>
            <w:bottom w:w="0" w:type="dxa"/>
            <w:right w:w="0" w:type="dxa"/>
          </w:tblCellMar>
        </w:tblPrEx>
        <w:trPr>
          <w:trHeight w:val="321" w:hRule="atLeast"/>
          <w:jc w:val="center"/>
        </w:trPr>
        <w:tc>
          <w:tcPr>
            <w:tcW w:w="9814" w:type="dxa"/>
            <w:gridSpan w:val="5"/>
            <w:vMerge w:val="continue"/>
            <w:tcBorders>
              <w:top w:val="single" w:color="000000" w:sz="4" w:space="0"/>
              <w:left w:val="nil"/>
              <w:bottom w:val="nil"/>
              <w:right w:val="nil"/>
            </w:tcBorders>
            <w:tcMar>
              <w:top w:w="12" w:type="dxa"/>
              <w:left w:w="12" w:type="dxa"/>
              <w:right w:w="12" w:type="dxa"/>
            </w:tcMar>
          </w:tcPr>
          <w:p>
            <w:pPr>
              <w:jc w:val="left"/>
              <w:rPr>
                <w:rFonts w:ascii="宋体" w:hAnsi="宋体" w:cs="宋体"/>
                <w:color w:val="000000" w:themeColor="text1"/>
                <w:sz w:val="22"/>
                <w:szCs w:val="22"/>
              </w:rPr>
            </w:pPr>
          </w:p>
        </w:tc>
      </w:tr>
      <w:tr>
        <w:tblPrEx>
          <w:tblCellMar>
            <w:top w:w="0" w:type="dxa"/>
            <w:left w:w="0" w:type="dxa"/>
            <w:bottom w:w="0" w:type="dxa"/>
            <w:right w:w="0" w:type="dxa"/>
          </w:tblCellMar>
        </w:tblPrEx>
        <w:trPr>
          <w:trHeight w:val="321" w:hRule="atLeast"/>
          <w:jc w:val="center"/>
        </w:trPr>
        <w:tc>
          <w:tcPr>
            <w:tcW w:w="9814" w:type="dxa"/>
            <w:gridSpan w:val="5"/>
            <w:vMerge w:val="continue"/>
            <w:tcBorders>
              <w:top w:val="single" w:color="000000" w:sz="4" w:space="0"/>
              <w:left w:val="nil"/>
              <w:bottom w:val="nil"/>
              <w:right w:val="nil"/>
            </w:tcBorders>
            <w:tcMar>
              <w:top w:w="12" w:type="dxa"/>
              <w:left w:w="12" w:type="dxa"/>
              <w:right w:w="12" w:type="dxa"/>
            </w:tcMar>
          </w:tcPr>
          <w:p>
            <w:pPr>
              <w:jc w:val="left"/>
              <w:rPr>
                <w:rFonts w:ascii="宋体" w:hAnsi="宋体" w:cs="宋体"/>
                <w:color w:val="000000" w:themeColor="text1"/>
                <w:sz w:val="22"/>
                <w:szCs w:val="22"/>
              </w:rPr>
            </w:pPr>
          </w:p>
        </w:tc>
      </w:tr>
      <w:tr>
        <w:tblPrEx>
          <w:tblCellMar>
            <w:top w:w="0" w:type="dxa"/>
            <w:left w:w="0" w:type="dxa"/>
            <w:bottom w:w="0" w:type="dxa"/>
            <w:right w:w="0" w:type="dxa"/>
          </w:tblCellMar>
        </w:tblPrEx>
        <w:trPr>
          <w:trHeight w:val="680" w:hRule="atLeast"/>
          <w:jc w:val="center"/>
        </w:trPr>
        <w:tc>
          <w:tcPr>
            <w:tcW w:w="9814" w:type="dxa"/>
            <w:gridSpan w:val="5"/>
            <w:vMerge w:val="continue"/>
            <w:tcBorders>
              <w:top w:val="single" w:color="000000" w:sz="4" w:space="0"/>
              <w:left w:val="nil"/>
              <w:bottom w:val="nil"/>
              <w:right w:val="nil"/>
            </w:tcBorders>
            <w:tcMar>
              <w:top w:w="12" w:type="dxa"/>
              <w:left w:w="12" w:type="dxa"/>
              <w:right w:w="12" w:type="dxa"/>
            </w:tcMar>
          </w:tcPr>
          <w:p>
            <w:pPr>
              <w:jc w:val="left"/>
              <w:rPr>
                <w:rFonts w:ascii="宋体" w:hAnsi="宋体" w:cs="宋体"/>
                <w:color w:val="000000" w:themeColor="text1"/>
                <w:sz w:val="22"/>
                <w:szCs w:val="22"/>
              </w:rPr>
            </w:pPr>
          </w:p>
        </w:tc>
      </w:tr>
    </w:tbl>
    <w:p>
      <w:pPr>
        <w:spacing w:line="480" w:lineRule="exact"/>
        <w:rPr>
          <w:rFonts w:ascii="仿宋_GB2312" w:hAnsi="仿宋_GB2312" w:eastAsia="仿宋_GB2312" w:cs="仿宋_GB2312"/>
          <w:color w:val="000000" w:themeColor="text1"/>
          <w:sz w:val="32"/>
          <w:szCs w:val="32"/>
        </w:rPr>
      </w:pPr>
    </w:p>
    <w:p>
      <w:pPr>
        <w:spacing w:line="480" w:lineRule="exact"/>
        <w:rPr>
          <w:rFonts w:ascii="仿宋_GB2312" w:hAnsi="仿宋_GB2312" w:eastAsia="仿宋_GB2312" w:cs="仿宋_GB2312"/>
          <w:color w:val="000000" w:themeColor="text1"/>
          <w:sz w:val="32"/>
          <w:szCs w:val="32"/>
        </w:rPr>
      </w:pPr>
    </w:p>
    <w:p>
      <w:pPr>
        <w:spacing w:line="480" w:lineRule="exact"/>
        <w:rPr>
          <w:rFonts w:ascii="仿宋_GB2312" w:hAnsi="仿宋_GB2312" w:eastAsia="仿宋_GB2312" w:cs="仿宋_GB2312"/>
          <w:color w:val="000000" w:themeColor="text1"/>
          <w:sz w:val="32"/>
          <w:szCs w:val="32"/>
        </w:rPr>
      </w:pPr>
    </w:p>
    <w:p>
      <w:pPr>
        <w:spacing w:line="480" w:lineRule="exact"/>
        <w:rPr>
          <w:rFonts w:ascii="仿宋_GB2312" w:hAnsi="仿宋_GB2312" w:eastAsia="仿宋_GB2312" w:cs="仿宋_GB2312"/>
          <w:color w:val="000000" w:themeColor="text1"/>
          <w:sz w:val="32"/>
          <w:szCs w:val="32"/>
        </w:rPr>
      </w:pPr>
    </w:p>
    <w:p>
      <w:pPr>
        <w:spacing w:line="480" w:lineRule="exact"/>
        <w:rPr>
          <w:rFonts w:ascii="仿宋_GB2312" w:hAnsi="仿宋_GB2312" w:eastAsia="仿宋_GB2312" w:cs="仿宋_GB2312"/>
          <w:color w:val="000000" w:themeColor="text1"/>
          <w:sz w:val="32"/>
          <w:szCs w:val="32"/>
        </w:rPr>
      </w:pPr>
    </w:p>
    <w:p>
      <w:pPr>
        <w:spacing w:line="480" w:lineRule="exact"/>
        <w:rPr>
          <w:rFonts w:ascii="仿宋_GB2312" w:hAnsi="仿宋_GB2312" w:eastAsia="仿宋_GB2312" w:cs="仿宋_GB2312"/>
          <w:color w:val="000000" w:themeColor="text1"/>
          <w:sz w:val="32"/>
          <w:szCs w:val="32"/>
        </w:rPr>
      </w:pPr>
    </w:p>
    <w:p>
      <w:pPr>
        <w:spacing w:line="480" w:lineRule="exact"/>
        <w:rPr>
          <w:rFonts w:ascii="仿宋_GB2312" w:hAnsi="仿宋_GB2312" w:eastAsia="仿宋_GB2312" w:cs="仿宋_GB2312"/>
          <w:color w:val="000000" w:themeColor="text1"/>
          <w:sz w:val="32"/>
          <w:szCs w:val="32"/>
        </w:rPr>
      </w:pPr>
    </w:p>
    <w:p>
      <w:pPr>
        <w:spacing w:line="480" w:lineRule="exact"/>
        <w:rPr>
          <w:rFonts w:ascii="仿宋_GB2312" w:hAnsi="仿宋_GB2312" w:eastAsia="仿宋_GB2312" w:cs="仿宋_GB2312"/>
          <w:color w:val="000000" w:themeColor="text1"/>
          <w:sz w:val="32"/>
          <w:szCs w:val="32"/>
        </w:rPr>
      </w:pPr>
    </w:p>
    <w:p>
      <w:pPr>
        <w:spacing w:line="480" w:lineRule="exact"/>
        <w:rPr>
          <w:rFonts w:ascii="仿宋_GB2312" w:hAnsi="仿宋_GB2312" w:eastAsia="仿宋_GB2312" w:cs="仿宋_GB2312"/>
          <w:color w:val="000000" w:themeColor="text1"/>
          <w:sz w:val="32"/>
          <w:szCs w:val="32"/>
        </w:rPr>
      </w:pPr>
    </w:p>
    <w:p>
      <w:pPr>
        <w:spacing w:line="480" w:lineRule="exact"/>
        <w:rPr>
          <w:rFonts w:ascii="仿宋_GB2312" w:hAnsi="仿宋_GB2312" w:eastAsia="仿宋_GB2312" w:cs="仿宋_GB2312"/>
          <w:color w:val="000000" w:themeColor="text1"/>
          <w:sz w:val="32"/>
          <w:szCs w:val="32"/>
        </w:rPr>
      </w:pPr>
    </w:p>
    <w:p>
      <w:pPr>
        <w:spacing w:line="480" w:lineRule="exact"/>
        <w:rPr>
          <w:rFonts w:ascii="仿宋_GB2312" w:hAnsi="仿宋_GB2312" w:eastAsia="仿宋_GB2312" w:cs="仿宋_GB2312"/>
          <w:color w:val="000000" w:themeColor="text1"/>
          <w:sz w:val="32"/>
          <w:szCs w:val="32"/>
        </w:rPr>
      </w:pPr>
    </w:p>
    <w:p>
      <w:pPr>
        <w:spacing w:line="480" w:lineRule="exact"/>
        <w:rPr>
          <w:rFonts w:ascii="仿宋_GB2312" w:hAnsi="仿宋_GB2312" w:eastAsia="仿宋_GB2312" w:cs="仿宋_GB2312"/>
          <w:color w:val="000000" w:themeColor="text1"/>
          <w:sz w:val="32"/>
          <w:szCs w:val="32"/>
        </w:rPr>
      </w:pPr>
    </w:p>
    <w:p>
      <w:pPr>
        <w:spacing w:line="480" w:lineRule="exact"/>
        <w:rPr>
          <w:rFonts w:ascii="仿宋_GB2312" w:hAnsi="仿宋_GB2312" w:eastAsia="仿宋_GB2312" w:cs="仿宋_GB2312"/>
          <w:color w:val="000000" w:themeColor="text1"/>
          <w:sz w:val="32"/>
          <w:szCs w:val="32"/>
        </w:rPr>
      </w:pPr>
    </w:p>
    <w:p>
      <w:pPr>
        <w:spacing w:line="480" w:lineRule="exact"/>
        <w:rPr>
          <w:rFonts w:ascii="仿宋_GB2312" w:hAnsi="仿宋_GB2312" w:eastAsia="仿宋_GB2312" w:cs="仿宋_GB2312"/>
          <w:color w:val="000000" w:themeColor="text1"/>
          <w:sz w:val="32"/>
          <w:szCs w:val="32"/>
        </w:rPr>
      </w:pPr>
    </w:p>
    <w:p>
      <w:pPr>
        <w:spacing w:line="480" w:lineRule="exact"/>
        <w:rPr>
          <w:rFonts w:ascii="仿宋_GB2312" w:hAnsi="仿宋_GB2312" w:eastAsia="仿宋_GB2312" w:cs="仿宋_GB2312"/>
          <w:color w:val="000000" w:themeColor="text1"/>
          <w:sz w:val="32"/>
          <w:szCs w:val="32"/>
        </w:rPr>
      </w:pPr>
    </w:p>
    <w:p>
      <w:pPr>
        <w:spacing w:line="480" w:lineRule="exact"/>
        <w:rPr>
          <w:rFonts w:ascii="仿宋_GB2312" w:hAnsi="仿宋_GB2312" w:eastAsia="仿宋_GB2312" w:cs="仿宋_GB2312"/>
          <w:color w:val="000000" w:themeColor="text1"/>
          <w:sz w:val="32"/>
          <w:szCs w:val="32"/>
        </w:rPr>
      </w:pPr>
    </w:p>
    <w:p>
      <w:pPr>
        <w:spacing w:line="480" w:lineRule="exact"/>
        <w:rPr>
          <w:rFonts w:ascii="仿宋_GB2312" w:hAnsi="仿宋_GB2312" w:eastAsia="仿宋_GB2312" w:cs="仿宋_GB2312"/>
          <w:color w:val="000000" w:themeColor="text1"/>
          <w:sz w:val="32"/>
          <w:szCs w:val="32"/>
        </w:rPr>
      </w:pPr>
    </w:p>
    <w:p>
      <w:pPr>
        <w:spacing w:line="480" w:lineRule="exact"/>
        <w:rPr>
          <w:rFonts w:ascii="仿宋_GB2312" w:hAnsi="仿宋_GB2312" w:eastAsia="仿宋_GB2312" w:cs="仿宋_GB2312"/>
          <w:color w:val="000000" w:themeColor="text1"/>
          <w:sz w:val="32"/>
          <w:szCs w:val="32"/>
        </w:rPr>
      </w:pPr>
    </w:p>
    <w:p>
      <w:pPr>
        <w:spacing w:line="480" w:lineRule="exact"/>
        <w:rPr>
          <w:rFonts w:ascii="仿宋_GB2312" w:hAnsi="仿宋_GB2312" w:eastAsia="仿宋_GB2312" w:cs="仿宋_GB2312"/>
          <w:color w:val="000000" w:themeColor="text1"/>
          <w:sz w:val="32"/>
          <w:szCs w:val="32"/>
        </w:rPr>
      </w:pPr>
    </w:p>
    <w:p>
      <w:pPr>
        <w:spacing w:line="480" w:lineRule="exact"/>
        <w:rPr>
          <w:rFonts w:ascii="仿宋_GB2312" w:hAnsi="仿宋_GB2312" w:eastAsia="仿宋_GB2312" w:cs="仿宋_GB2312"/>
          <w:color w:val="000000" w:themeColor="text1"/>
          <w:sz w:val="32"/>
          <w:szCs w:val="32"/>
        </w:rPr>
      </w:pPr>
    </w:p>
    <w:p>
      <w:pPr>
        <w:spacing w:line="480" w:lineRule="exac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附件：2</w:t>
      </w:r>
    </w:p>
    <w:p>
      <w:pPr>
        <w:spacing w:line="480" w:lineRule="exact"/>
        <w:jc w:val="center"/>
        <w:rPr>
          <w:rFonts w:ascii="仿宋_GB2312" w:hAnsi="仿宋_GB2312" w:eastAsia="仿宋_GB2312" w:cs="仿宋_GB2312"/>
          <w:b/>
          <w:color w:val="000000" w:themeColor="text1"/>
          <w:sz w:val="32"/>
          <w:szCs w:val="32"/>
        </w:rPr>
      </w:pPr>
      <w:r>
        <w:rPr>
          <w:rFonts w:hint="eastAsia" w:ascii="仿宋_GB2312" w:hAnsi="仿宋_GB2312" w:eastAsia="仿宋_GB2312" w:cs="仿宋_GB2312"/>
          <w:b/>
          <w:color w:val="000000" w:themeColor="text1"/>
          <w:sz w:val="32"/>
          <w:szCs w:val="32"/>
        </w:rPr>
        <w:t>松树注药技术标准及验收方案</w:t>
      </w:r>
    </w:p>
    <w:p>
      <w:pPr>
        <w:spacing w:line="480" w:lineRule="exact"/>
        <w:rPr>
          <w:rFonts w:ascii="仿宋_GB2312" w:hAnsi="仿宋_GB2312" w:eastAsia="仿宋_GB2312" w:cs="仿宋_GB2312"/>
          <w:b/>
          <w:color w:val="000000" w:themeColor="text1"/>
          <w:sz w:val="32"/>
          <w:szCs w:val="32"/>
        </w:rPr>
      </w:pPr>
      <w:r>
        <w:rPr>
          <w:rFonts w:hint="eastAsia" w:ascii="仿宋_GB2312" w:hAnsi="仿宋_GB2312" w:eastAsia="仿宋_GB2312" w:cs="仿宋_GB2312"/>
          <w:b/>
          <w:color w:val="000000" w:themeColor="text1"/>
          <w:sz w:val="32"/>
          <w:szCs w:val="32"/>
        </w:rPr>
        <w:t>一、施工范围</w:t>
      </w:r>
    </w:p>
    <w:p>
      <w:pPr>
        <w:spacing w:line="48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主要干道两旁可视范围20</w:t>
      </w:r>
      <w:r>
        <w:rPr>
          <w:rFonts w:hint="eastAsia" w:ascii="仿宋_GB2312" w:hAnsi="仿宋_GB2312" w:eastAsia="仿宋_GB2312" w:cs="仿宋_GB2312"/>
          <w:color w:val="000000" w:themeColor="text1"/>
          <w:kern w:val="0"/>
          <w:sz w:val="32"/>
          <w:szCs w:val="32"/>
          <w:lang w:val="en-US" w:eastAsia="zh-CN"/>
        </w:rPr>
        <w:t>m</w:t>
      </w:r>
      <w:r>
        <w:rPr>
          <w:rFonts w:hint="eastAsia" w:ascii="仿宋_GB2312" w:hAnsi="仿宋_GB2312" w:eastAsia="仿宋_GB2312" w:cs="仿宋_GB2312"/>
          <w:color w:val="000000" w:themeColor="text1"/>
          <w:kern w:val="0"/>
          <w:sz w:val="32"/>
          <w:szCs w:val="32"/>
        </w:rPr>
        <w:t>内的松树。</w:t>
      </w:r>
    </w:p>
    <w:p>
      <w:pPr>
        <w:spacing w:line="480" w:lineRule="exact"/>
        <w:rPr>
          <w:rFonts w:ascii="仿宋_GB2312" w:hAnsi="仿宋_GB2312" w:eastAsia="仿宋_GB2312" w:cs="仿宋_GB2312"/>
          <w:b/>
          <w:color w:val="000000" w:themeColor="text1"/>
          <w:sz w:val="32"/>
          <w:szCs w:val="32"/>
        </w:rPr>
      </w:pPr>
      <w:r>
        <w:rPr>
          <w:rFonts w:hint="eastAsia" w:ascii="仿宋_GB2312" w:hAnsi="仿宋_GB2312" w:eastAsia="仿宋_GB2312" w:cs="仿宋_GB2312"/>
          <w:b/>
          <w:color w:val="000000" w:themeColor="text1"/>
          <w:sz w:val="32"/>
          <w:szCs w:val="32"/>
        </w:rPr>
        <w:t>二、施工要求</w:t>
      </w:r>
    </w:p>
    <w:p>
      <w:pPr>
        <w:spacing w:line="480" w:lineRule="exact"/>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（一）注药剂量：</w:t>
      </w:r>
    </w:p>
    <w:tbl>
      <w:tblPr>
        <w:tblStyle w:val="6"/>
        <w:tblW w:w="6480" w:type="dxa"/>
        <w:jc w:val="center"/>
        <w:tblLayout w:type="autofit"/>
        <w:tblCellMar>
          <w:top w:w="0" w:type="dxa"/>
          <w:left w:w="108" w:type="dxa"/>
          <w:bottom w:w="0" w:type="dxa"/>
          <w:right w:w="108" w:type="dxa"/>
        </w:tblCellMar>
      </w:tblPr>
      <w:tblGrid>
        <w:gridCol w:w="3240"/>
        <w:gridCol w:w="3240"/>
      </w:tblGrid>
      <w:tr>
        <w:tblPrEx>
          <w:tblCellMar>
            <w:top w:w="0" w:type="dxa"/>
            <w:left w:w="108" w:type="dxa"/>
            <w:bottom w:w="0" w:type="dxa"/>
            <w:right w:w="108" w:type="dxa"/>
          </w:tblCellMar>
        </w:tblPrEx>
        <w:trPr>
          <w:trHeight w:val="285" w:hRule="atLeast"/>
          <w:jc w:val="center"/>
        </w:trPr>
        <w:tc>
          <w:tcPr>
            <w:tcW w:w="324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Tahoma"/>
                <w:color w:val="000000" w:themeColor="text1"/>
                <w:kern w:val="0"/>
                <w:sz w:val="22"/>
                <w:szCs w:val="22"/>
              </w:rPr>
            </w:pPr>
            <w:r>
              <w:rPr>
                <w:rFonts w:hint="eastAsia" w:ascii="宋体" w:hAnsi="宋体" w:cs="Tahoma"/>
                <w:color w:val="000000" w:themeColor="text1"/>
                <w:kern w:val="0"/>
                <w:sz w:val="22"/>
                <w:szCs w:val="22"/>
              </w:rPr>
              <w:t>树木胸径（㎝）</w:t>
            </w:r>
          </w:p>
        </w:tc>
        <w:tc>
          <w:tcPr>
            <w:tcW w:w="324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Tahoma"/>
                <w:color w:val="000000" w:themeColor="text1"/>
                <w:kern w:val="0"/>
                <w:sz w:val="22"/>
                <w:szCs w:val="22"/>
              </w:rPr>
            </w:pPr>
            <w:r>
              <w:rPr>
                <w:rFonts w:hint="eastAsia" w:ascii="宋体" w:hAnsi="宋体" w:cs="Tahoma"/>
                <w:color w:val="000000" w:themeColor="text1"/>
                <w:kern w:val="0"/>
                <w:sz w:val="22"/>
                <w:szCs w:val="22"/>
              </w:rPr>
              <w:t>施药量（支）</w:t>
            </w:r>
          </w:p>
        </w:tc>
      </w:tr>
      <w:tr>
        <w:tblPrEx>
          <w:tblCellMar>
            <w:top w:w="0" w:type="dxa"/>
            <w:left w:w="108" w:type="dxa"/>
            <w:bottom w:w="0" w:type="dxa"/>
            <w:right w:w="108" w:type="dxa"/>
          </w:tblCellMar>
        </w:tblPrEx>
        <w:trPr>
          <w:trHeight w:val="285" w:hRule="atLeast"/>
          <w:jc w:val="center"/>
        </w:trPr>
        <w:tc>
          <w:tcPr>
            <w:tcW w:w="324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Tahoma" w:hAnsi="Tahoma" w:cs="Tahoma"/>
                <w:color w:val="000000" w:themeColor="text1"/>
                <w:kern w:val="0"/>
                <w:sz w:val="22"/>
                <w:szCs w:val="22"/>
              </w:rPr>
            </w:pPr>
            <w:r>
              <w:rPr>
                <w:rFonts w:hint="eastAsia" w:ascii="宋体" w:hAnsi="宋体" w:cs="Tahoma"/>
                <w:color w:val="000000" w:themeColor="text1"/>
                <w:kern w:val="0"/>
                <w:sz w:val="22"/>
                <w:szCs w:val="22"/>
              </w:rPr>
              <w:t>≤</w:t>
            </w:r>
            <w:r>
              <w:rPr>
                <w:rFonts w:ascii="Tahoma" w:hAnsi="Tahoma" w:cs="Tahoma"/>
                <w:color w:val="000000" w:themeColor="text1"/>
                <w:kern w:val="0"/>
                <w:sz w:val="22"/>
                <w:szCs w:val="22"/>
              </w:rPr>
              <w:t>20</w:t>
            </w:r>
            <w:r>
              <w:rPr>
                <w:rFonts w:hint="eastAsia" w:ascii="宋体" w:hAnsi="宋体" w:cs="Tahoma"/>
                <w:color w:val="000000" w:themeColor="text1"/>
                <w:kern w:val="0"/>
                <w:sz w:val="22"/>
                <w:szCs w:val="22"/>
              </w:rPr>
              <w:t>㎝</w:t>
            </w:r>
          </w:p>
        </w:tc>
        <w:tc>
          <w:tcPr>
            <w:tcW w:w="324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Tahoma" w:hAnsi="Tahoma" w:cs="Tahoma"/>
                <w:color w:val="000000" w:themeColor="text1"/>
                <w:kern w:val="0"/>
                <w:sz w:val="22"/>
                <w:szCs w:val="22"/>
              </w:rPr>
            </w:pPr>
            <w:r>
              <w:rPr>
                <w:rFonts w:ascii="Tahoma" w:hAnsi="Tahoma" w:cs="Tahoma"/>
                <w:color w:val="000000" w:themeColor="text1"/>
                <w:kern w:val="0"/>
                <w:sz w:val="22"/>
                <w:szCs w:val="22"/>
              </w:rPr>
              <w:t>1</w:t>
            </w:r>
          </w:p>
        </w:tc>
      </w:tr>
      <w:tr>
        <w:tblPrEx>
          <w:tblCellMar>
            <w:top w:w="0" w:type="dxa"/>
            <w:left w:w="108" w:type="dxa"/>
            <w:bottom w:w="0" w:type="dxa"/>
            <w:right w:w="108" w:type="dxa"/>
          </w:tblCellMar>
        </w:tblPrEx>
        <w:trPr>
          <w:trHeight w:val="285" w:hRule="atLeast"/>
          <w:jc w:val="center"/>
        </w:trPr>
        <w:tc>
          <w:tcPr>
            <w:tcW w:w="324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Tahoma" w:hAnsi="Tahoma" w:cs="Tahoma"/>
                <w:color w:val="000000" w:themeColor="text1"/>
                <w:kern w:val="0"/>
                <w:sz w:val="22"/>
                <w:szCs w:val="22"/>
              </w:rPr>
            </w:pPr>
            <w:r>
              <w:rPr>
                <w:rFonts w:ascii="Tahoma" w:hAnsi="Tahoma" w:cs="Tahoma"/>
                <w:color w:val="000000" w:themeColor="text1"/>
                <w:kern w:val="0"/>
                <w:sz w:val="22"/>
                <w:szCs w:val="22"/>
              </w:rPr>
              <w:t>21-30</w:t>
            </w:r>
            <w:r>
              <w:rPr>
                <w:rFonts w:hint="eastAsia" w:ascii="宋体" w:hAnsi="宋体" w:cs="Tahoma"/>
                <w:color w:val="000000" w:themeColor="text1"/>
                <w:kern w:val="0"/>
                <w:sz w:val="22"/>
                <w:szCs w:val="22"/>
              </w:rPr>
              <w:t>㎝</w:t>
            </w:r>
          </w:p>
        </w:tc>
        <w:tc>
          <w:tcPr>
            <w:tcW w:w="324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Tahoma" w:hAnsi="Tahoma" w:cs="Tahoma"/>
                <w:color w:val="000000" w:themeColor="text1"/>
                <w:kern w:val="0"/>
                <w:sz w:val="22"/>
                <w:szCs w:val="22"/>
              </w:rPr>
            </w:pPr>
            <w:r>
              <w:rPr>
                <w:rFonts w:ascii="Tahoma" w:hAnsi="Tahoma" w:cs="Tahoma"/>
                <w:color w:val="000000" w:themeColor="text1"/>
                <w:kern w:val="0"/>
                <w:sz w:val="22"/>
                <w:szCs w:val="22"/>
              </w:rPr>
              <w:t>2</w:t>
            </w:r>
          </w:p>
        </w:tc>
      </w:tr>
      <w:tr>
        <w:tblPrEx>
          <w:tblCellMar>
            <w:top w:w="0" w:type="dxa"/>
            <w:left w:w="108" w:type="dxa"/>
            <w:bottom w:w="0" w:type="dxa"/>
            <w:right w:w="108" w:type="dxa"/>
          </w:tblCellMar>
        </w:tblPrEx>
        <w:trPr>
          <w:trHeight w:val="285" w:hRule="atLeast"/>
          <w:jc w:val="center"/>
        </w:trPr>
        <w:tc>
          <w:tcPr>
            <w:tcW w:w="324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Tahoma" w:hAnsi="Tahoma" w:cs="Tahoma"/>
                <w:color w:val="000000" w:themeColor="text1"/>
                <w:kern w:val="0"/>
                <w:sz w:val="22"/>
                <w:szCs w:val="22"/>
              </w:rPr>
            </w:pPr>
            <w:r>
              <w:rPr>
                <w:rFonts w:ascii="Tahoma" w:hAnsi="Tahoma" w:cs="Tahoma"/>
                <w:color w:val="000000" w:themeColor="text1"/>
                <w:kern w:val="0"/>
                <w:sz w:val="22"/>
                <w:szCs w:val="22"/>
              </w:rPr>
              <w:t>31-40</w:t>
            </w:r>
            <w:r>
              <w:rPr>
                <w:rFonts w:hint="eastAsia" w:ascii="宋体" w:hAnsi="宋体" w:cs="Tahoma"/>
                <w:color w:val="000000" w:themeColor="text1"/>
                <w:kern w:val="0"/>
                <w:sz w:val="22"/>
                <w:szCs w:val="22"/>
              </w:rPr>
              <w:t>㎝</w:t>
            </w:r>
          </w:p>
        </w:tc>
        <w:tc>
          <w:tcPr>
            <w:tcW w:w="324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Tahoma" w:hAnsi="Tahoma" w:cs="Tahoma"/>
                <w:color w:val="000000" w:themeColor="text1"/>
                <w:kern w:val="0"/>
                <w:sz w:val="22"/>
                <w:szCs w:val="22"/>
              </w:rPr>
            </w:pPr>
            <w:r>
              <w:rPr>
                <w:rFonts w:ascii="Tahoma" w:hAnsi="Tahoma" w:cs="Tahoma"/>
                <w:color w:val="000000" w:themeColor="text1"/>
                <w:kern w:val="0"/>
                <w:sz w:val="22"/>
                <w:szCs w:val="22"/>
              </w:rPr>
              <w:t>3</w:t>
            </w:r>
          </w:p>
        </w:tc>
      </w:tr>
      <w:tr>
        <w:tblPrEx>
          <w:tblCellMar>
            <w:top w:w="0" w:type="dxa"/>
            <w:left w:w="108" w:type="dxa"/>
            <w:bottom w:w="0" w:type="dxa"/>
            <w:right w:w="108" w:type="dxa"/>
          </w:tblCellMar>
        </w:tblPrEx>
        <w:trPr>
          <w:trHeight w:val="285" w:hRule="atLeast"/>
          <w:jc w:val="center"/>
        </w:trPr>
        <w:tc>
          <w:tcPr>
            <w:tcW w:w="324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Tahoma" w:hAnsi="Tahoma" w:cs="Tahoma"/>
                <w:color w:val="000000" w:themeColor="text1"/>
                <w:kern w:val="0"/>
                <w:sz w:val="22"/>
                <w:szCs w:val="22"/>
              </w:rPr>
            </w:pPr>
            <w:r>
              <w:rPr>
                <w:rFonts w:ascii="Tahoma" w:hAnsi="Tahoma" w:cs="Tahoma"/>
                <w:color w:val="000000" w:themeColor="text1"/>
                <w:kern w:val="0"/>
                <w:sz w:val="22"/>
                <w:szCs w:val="22"/>
              </w:rPr>
              <w:t>41-50</w:t>
            </w:r>
            <w:r>
              <w:rPr>
                <w:rFonts w:hint="eastAsia" w:ascii="宋体" w:hAnsi="宋体" w:cs="Tahoma"/>
                <w:color w:val="000000" w:themeColor="text1"/>
                <w:kern w:val="0"/>
                <w:sz w:val="22"/>
                <w:szCs w:val="22"/>
              </w:rPr>
              <w:t>㎝</w:t>
            </w:r>
          </w:p>
        </w:tc>
        <w:tc>
          <w:tcPr>
            <w:tcW w:w="324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Tahoma" w:hAnsi="Tahoma" w:cs="Tahoma"/>
                <w:color w:val="000000" w:themeColor="text1"/>
                <w:kern w:val="0"/>
                <w:sz w:val="22"/>
                <w:szCs w:val="22"/>
              </w:rPr>
            </w:pPr>
            <w:r>
              <w:rPr>
                <w:rFonts w:ascii="Tahoma" w:hAnsi="Tahoma" w:cs="Tahoma"/>
                <w:color w:val="000000" w:themeColor="text1"/>
                <w:kern w:val="0"/>
                <w:sz w:val="22"/>
                <w:szCs w:val="22"/>
              </w:rPr>
              <w:t>4</w:t>
            </w:r>
          </w:p>
        </w:tc>
      </w:tr>
      <w:tr>
        <w:tblPrEx>
          <w:tblCellMar>
            <w:top w:w="0" w:type="dxa"/>
            <w:left w:w="108" w:type="dxa"/>
            <w:bottom w:w="0" w:type="dxa"/>
            <w:right w:w="108" w:type="dxa"/>
          </w:tblCellMar>
        </w:tblPrEx>
        <w:trPr>
          <w:trHeight w:val="285" w:hRule="atLeast"/>
          <w:jc w:val="center"/>
        </w:trPr>
        <w:tc>
          <w:tcPr>
            <w:tcW w:w="324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Tahoma" w:hAnsi="Tahoma" w:cs="Tahoma"/>
                <w:color w:val="000000" w:themeColor="text1"/>
                <w:kern w:val="0"/>
                <w:sz w:val="22"/>
                <w:szCs w:val="22"/>
              </w:rPr>
            </w:pPr>
            <w:r>
              <w:rPr>
                <w:rFonts w:ascii="Tahoma" w:hAnsi="Tahoma" w:cs="Tahoma"/>
                <w:color w:val="000000" w:themeColor="text1"/>
                <w:kern w:val="0"/>
                <w:sz w:val="22"/>
                <w:szCs w:val="22"/>
              </w:rPr>
              <w:t>51-60</w:t>
            </w:r>
            <w:r>
              <w:rPr>
                <w:rFonts w:hint="eastAsia" w:ascii="宋体" w:hAnsi="宋体" w:cs="Tahoma"/>
                <w:color w:val="000000" w:themeColor="text1"/>
                <w:kern w:val="0"/>
                <w:sz w:val="22"/>
                <w:szCs w:val="22"/>
              </w:rPr>
              <w:t>㎝</w:t>
            </w:r>
          </w:p>
        </w:tc>
        <w:tc>
          <w:tcPr>
            <w:tcW w:w="324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Tahoma" w:hAnsi="Tahoma" w:cs="Tahoma"/>
                <w:color w:val="000000" w:themeColor="text1"/>
                <w:kern w:val="0"/>
                <w:sz w:val="22"/>
                <w:szCs w:val="22"/>
              </w:rPr>
            </w:pPr>
            <w:r>
              <w:rPr>
                <w:rFonts w:ascii="Tahoma" w:hAnsi="Tahoma" w:cs="Tahoma"/>
                <w:color w:val="000000" w:themeColor="text1"/>
                <w:kern w:val="0"/>
                <w:sz w:val="22"/>
                <w:szCs w:val="22"/>
              </w:rPr>
              <w:t>6</w:t>
            </w:r>
          </w:p>
        </w:tc>
      </w:tr>
      <w:tr>
        <w:tblPrEx>
          <w:tblCellMar>
            <w:top w:w="0" w:type="dxa"/>
            <w:left w:w="108" w:type="dxa"/>
            <w:bottom w:w="0" w:type="dxa"/>
            <w:right w:w="108" w:type="dxa"/>
          </w:tblCellMar>
        </w:tblPrEx>
        <w:trPr>
          <w:trHeight w:val="285" w:hRule="atLeast"/>
          <w:jc w:val="center"/>
        </w:trPr>
        <w:tc>
          <w:tcPr>
            <w:tcW w:w="324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Tahoma" w:hAnsi="Tahoma" w:cs="Tahoma"/>
                <w:color w:val="000000" w:themeColor="text1"/>
                <w:kern w:val="0"/>
                <w:sz w:val="22"/>
                <w:szCs w:val="22"/>
              </w:rPr>
            </w:pPr>
            <w:r>
              <w:rPr>
                <w:rFonts w:hint="eastAsia" w:ascii="宋体" w:hAnsi="宋体" w:cs="Tahoma"/>
                <w:color w:val="000000" w:themeColor="text1"/>
                <w:kern w:val="0"/>
                <w:sz w:val="22"/>
                <w:szCs w:val="22"/>
              </w:rPr>
              <w:t>＞</w:t>
            </w:r>
            <w:r>
              <w:rPr>
                <w:rFonts w:ascii="Tahoma" w:hAnsi="Tahoma" w:cs="Tahoma"/>
                <w:color w:val="000000" w:themeColor="text1"/>
                <w:kern w:val="0"/>
                <w:sz w:val="22"/>
                <w:szCs w:val="22"/>
              </w:rPr>
              <w:t>61</w:t>
            </w:r>
            <w:r>
              <w:rPr>
                <w:rFonts w:hint="eastAsia" w:ascii="宋体" w:hAnsi="宋体" w:cs="Tahoma"/>
                <w:color w:val="000000" w:themeColor="text1"/>
                <w:kern w:val="0"/>
                <w:sz w:val="22"/>
                <w:szCs w:val="22"/>
              </w:rPr>
              <w:t>㎝</w:t>
            </w:r>
          </w:p>
        </w:tc>
        <w:tc>
          <w:tcPr>
            <w:tcW w:w="324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Tahoma" w:hAnsi="Tahoma" w:cs="Tahoma"/>
                <w:color w:val="000000" w:themeColor="text1"/>
                <w:kern w:val="0"/>
                <w:sz w:val="22"/>
                <w:szCs w:val="22"/>
              </w:rPr>
            </w:pPr>
            <w:r>
              <w:rPr>
                <w:rFonts w:ascii="Tahoma" w:hAnsi="Tahoma" w:cs="Tahoma"/>
                <w:color w:val="000000" w:themeColor="text1"/>
                <w:kern w:val="0"/>
                <w:sz w:val="22"/>
                <w:szCs w:val="22"/>
              </w:rPr>
              <w:t>7</w:t>
            </w:r>
          </w:p>
        </w:tc>
      </w:tr>
    </w:tbl>
    <w:p>
      <w:pPr>
        <w:spacing w:line="480" w:lineRule="exact"/>
        <w:rPr>
          <w:rFonts w:ascii="仿宋_GB2312" w:hAnsi="仿宋_GB2312" w:eastAsia="仿宋_GB2312" w:cs="仿宋_GB2312"/>
          <w:b/>
          <w:color w:val="000000" w:themeColor="text1"/>
          <w:sz w:val="32"/>
          <w:szCs w:val="32"/>
        </w:rPr>
      </w:pPr>
      <w:r>
        <w:rPr>
          <w:rFonts w:hint="eastAsia" w:ascii="仿宋_GB2312" w:hAnsi="仿宋_GB2312" w:eastAsia="仿宋_GB2312" w:cs="仿宋_GB2312"/>
          <w:color w:val="000000" w:themeColor="text1"/>
          <w:kern w:val="0"/>
          <w:sz w:val="32"/>
          <w:szCs w:val="32"/>
        </w:rPr>
        <w:t>（二）打孔要求：使用打孔器在树木根部离地1</w:t>
      </w:r>
      <w:r>
        <w:rPr>
          <w:rFonts w:hint="eastAsia" w:ascii="仿宋_GB2312" w:hAnsi="仿宋_GB2312" w:eastAsia="仿宋_GB2312" w:cs="仿宋_GB2312"/>
          <w:color w:val="000000" w:themeColor="text1"/>
          <w:kern w:val="0"/>
          <w:sz w:val="32"/>
          <w:szCs w:val="32"/>
          <w:lang w:val="en-US" w:eastAsia="zh-CN"/>
        </w:rPr>
        <w:t>m</w:t>
      </w:r>
      <w:r>
        <w:rPr>
          <w:rFonts w:hint="eastAsia" w:ascii="仿宋_GB2312" w:hAnsi="仿宋_GB2312" w:eastAsia="仿宋_GB2312" w:cs="仿宋_GB2312"/>
          <w:color w:val="000000" w:themeColor="text1"/>
          <w:kern w:val="0"/>
          <w:sz w:val="32"/>
          <w:szCs w:val="32"/>
        </w:rPr>
        <w:t>左右高的主干处钻一孔径为6.5-7</w:t>
      </w:r>
      <w:r>
        <w:rPr>
          <w:rFonts w:hint="eastAsia" w:ascii="仿宋_GB2312" w:hAnsi="仿宋_GB2312" w:eastAsia="仿宋_GB2312" w:cs="仿宋_GB2312"/>
          <w:color w:val="000000" w:themeColor="text1"/>
          <w:kern w:val="0"/>
          <w:sz w:val="32"/>
          <w:szCs w:val="32"/>
          <w:lang w:val="en-US" w:eastAsia="zh-CN"/>
        </w:rPr>
        <w:t>mm</w:t>
      </w:r>
      <w:r>
        <w:rPr>
          <w:rFonts w:hint="eastAsia" w:ascii="仿宋_GB2312" w:hAnsi="仿宋_GB2312" w:eastAsia="仿宋_GB2312" w:cs="仿宋_GB2312"/>
          <w:color w:val="000000" w:themeColor="text1"/>
          <w:kern w:val="0"/>
          <w:sz w:val="32"/>
          <w:szCs w:val="32"/>
        </w:rPr>
        <w:t>，孔深≥60</w:t>
      </w:r>
      <w:r>
        <w:rPr>
          <w:rFonts w:hint="eastAsia" w:ascii="仿宋_GB2312" w:hAnsi="仿宋_GB2312" w:eastAsia="仿宋_GB2312" w:cs="仿宋_GB2312"/>
          <w:color w:val="000000" w:themeColor="text1"/>
          <w:kern w:val="0"/>
          <w:sz w:val="32"/>
          <w:szCs w:val="32"/>
          <w:lang w:val="en-US" w:eastAsia="zh-CN"/>
        </w:rPr>
        <w:t>mm</w:t>
      </w:r>
      <w:r>
        <w:rPr>
          <w:rFonts w:hint="eastAsia" w:ascii="仿宋_GB2312" w:hAnsi="仿宋_GB2312" w:eastAsia="仿宋_GB2312" w:cs="仿宋_GB2312"/>
          <w:color w:val="000000" w:themeColor="text1"/>
          <w:kern w:val="0"/>
          <w:sz w:val="32"/>
          <w:szCs w:val="32"/>
        </w:rPr>
        <w:t>，树干孔道夹角约为45°的注药孔，注药量＞1瓶的树木孔眼位置应当呈螺旋型向上分布。</w:t>
      </w:r>
    </w:p>
    <w:p>
      <w:pPr>
        <w:spacing w:line="480" w:lineRule="exact"/>
        <w:rPr>
          <w:rFonts w:ascii="仿宋_GB2312" w:hAnsi="仿宋_GB2312" w:eastAsia="仿宋_GB2312" w:cs="仿宋_GB2312"/>
          <w:b/>
          <w:color w:val="000000" w:themeColor="text1"/>
          <w:sz w:val="32"/>
          <w:szCs w:val="32"/>
        </w:rPr>
      </w:pPr>
      <w:r>
        <w:rPr>
          <w:rFonts w:hint="eastAsia" w:ascii="仿宋_GB2312" w:hAnsi="仿宋_GB2312" w:eastAsia="仿宋_GB2312" w:cs="仿宋_GB2312"/>
          <w:b/>
          <w:color w:val="000000" w:themeColor="text1"/>
          <w:sz w:val="32"/>
          <w:szCs w:val="32"/>
        </w:rPr>
        <w:t>三、验收方案</w:t>
      </w:r>
    </w:p>
    <w:p>
      <w:pPr>
        <w:spacing w:line="480" w:lineRule="exact"/>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（一）现场抽查：在注药松树总数中抽取10%注药的松树，检查剂量和打孔要求是否规范。（如检查中发现未按技术标准操作的现象，扣除当株注药松树的价钱）</w:t>
      </w:r>
    </w:p>
    <w:p>
      <w:pPr>
        <w:spacing w:line="480" w:lineRule="exact"/>
        <w:rPr>
          <w:rFonts w:ascii="仿宋" w:hAnsi="仿宋" w:eastAsia="仿宋" w:cs="仿宋"/>
          <w:b/>
          <w:bCs/>
          <w:color w:val="000000" w:themeColor="text1"/>
          <w:sz w:val="28"/>
          <w:szCs w:val="28"/>
        </w:rPr>
      </w:pPr>
      <w:r>
        <w:rPr>
          <w:rFonts w:hint="eastAsia" w:ascii="仿宋" w:hAnsi="仿宋" w:eastAsia="仿宋" w:cs="仿宋"/>
          <w:b/>
          <w:bCs/>
          <w:color w:val="000000" w:themeColor="text1"/>
          <w:sz w:val="28"/>
          <w:szCs w:val="28"/>
        </w:rPr>
        <w:t>（二）</w:t>
      </w:r>
      <w:r>
        <w:rPr>
          <w:rFonts w:hint="eastAsia" w:ascii="仿宋_GB2312" w:hAnsi="仿宋_GB2312" w:eastAsia="仿宋_GB2312" w:cs="仿宋_GB2312"/>
          <w:color w:val="000000" w:themeColor="text1"/>
          <w:kern w:val="0"/>
          <w:sz w:val="32"/>
          <w:szCs w:val="32"/>
        </w:rPr>
        <w:t>台账</w:t>
      </w:r>
    </w:p>
    <w:p>
      <w:pPr>
        <w:spacing w:line="480" w:lineRule="exact"/>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1．留存松树注药现场照片每株三张（胸径、注药株数编号、注药完成后照片）。</w:t>
      </w:r>
    </w:p>
    <w:p>
      <w:pPr>
        <w:spacing w:line="480" w:lineRule="exact"/>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2.建立松树注药统计表。(胸径、单株注药数量)</w:t>
      </w:r>
    </w:p>
    <w:p>
      <w:pPr>
        <w:spacing w:line="480" w:lineRule="exact"/>
        <w:rPr>
          <w:rFonts w:ascii="仿宋" w:hAnsi="仿宋" w:eastAsia="仿宋" w:cs="仿宋"/>
          <w:b/>
          <w:bCs/>
          <w:color w:val="000000" w:themeColor="text1"/>
          <w:sz w:val="28"/>
          <w:szCs w:val="28"/>
        </w:rPr>
      </w:pPr>
    </w:p>
    <w:p>
      <w:pPr>
        <w:spacing w:line="480" w:lineRule="exact"/>
        <w:rPr>
          <w:rFonts w:ascii="仿宋_GB2312" w:hAnsi="仿宋_GB2312" w:eastAsia="仿宋_GB2312" w:cs="仿宋_GB2312"/>
          <w:b/>
          <w:color w:val="000000" w:themeColor="text1"/>
          <w:sz w:val="32"/>
          <w:szCs w:val="32"/>
        </w:rPr>
      </w:pPr>
      <w:r>
        <w:rPr>
          <w:rFonts w:hint="eastAsia" w:ascii="仿宋_GB2312" w:hAnsi="仿宋_GB2312" w:eastAsia="仿宋_GB2312" w:cs="仿宋_GB2312"/>
          <w:color w:val="000000" w:themeColor="text1"/>
          <w:kern w:val="0"/>
          <w:sz w:val="32"/>
          <w:szCs w:val="32"/>
        </w:rPr>
        <w:t xml:space="preserve">                                     </w:t>
      </w:r>
      <w:r>
        <w:rPr>
          <w:rFonts w:hint="eastAsia" w:ascii="仿宋_GB2312" w:hAnsi="仿宋_GB2312" w:eastAsia="仿宋_GB2312" w:cs="仿宋_GB2312"/>
          <w:b/>
          <w:color w:val="000000" w:themeColor="text1"/>
          <w:sz w:val="32"/>
          <w:szCs w:val="32"/>
        </w:rPr>
        <w:t xml:space="preserve">                                                     </w:t>
      </w:r>
    </w:p>
    <w:p>
      <w:pPr>
        <w:spacing w:line="480" w:lineRule="exact"/>
        <w:rPr>
          <w:rFonts w:ascii="仿宋_GB2312" w:hAnsi="仿宋_GB2312" w:eastAsia="仿宋_GB2312" w:cs="仿宋_GB2312"/>
          <w:color w:val="000000" w:themeColor="text1"/>
          <w:sz w:val="32"/>
          <w:szCs w:val="32"/>
        </w:rPr>
      </w:pPr>
    </w:p>
    <w:sectPr>
      <w:type w:val="continuous"/>
      <w:pgSz w:w="11906" w:h="16838"/>
      <w:pgMar w:top="1803" w:right="1440" w:bottom="1803" w:left="1440" w:header="851" w:footer="992" w:gutter="0"/>
      <w:cols w:space="425"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D2F1787"/>
    <w:rsid w:val="00013CF9"/>
    <w:rsid w:val="000B1F03"/>
    <w:rsid w:val="000C0A6C"/>
    <w:rsid w:val="000D29EC"/>
    <w:rsid w:val="000F2834"/>
    <w:rsid w:val="00155D0F"/>
    <w:rsid w:val="00162469"/>
    <w:rsid w:val="00164181"/>
    <w:rsid w:val="00185E56"/>
    <w:rsid w:val="001E79E9"/>
    <w:rsid w:val="002746B7"/>
    <w:rsid w:val="003D3C38"/>
    <w:rsid w:val="00423532"/>
    <w:rsid w:val="00505D64"/>
    <w:rsid w:val="00506C23"/>
    <w:rsid w:val="005168E0"/>
    <w:rsid w:val="0056310A"/>
    <w:rsid w:val="00584143"/>
    <w:rsid w:val="00585D85"/>
    <w:rsid w:val="005E4ACD"/>
    <w:rsid w:val="00605293"/>
    <w:rsid w:val="0068242E"/>
    <w:rsid w:val="006A5581"/>
    <w:rsid w:val="00745ECD"/>
    <w:rsid w:val="007A2DA7"/>
    <w:rsid w:val="00931297"/>
    <w:rsid w:val="0094201D"/>
    <w:rsid w:val="00A3624D"/>
    <w:rsid w:val="00A43DE6"/>
    <w:rsid w:val="00A565D1"/>
    <w:rsid w:val="00B36930"/>
    <w:rsid w:val="00B95328"/>
    <w:rsid w:val="00BC7B90"/>
    <w:rsid w:val="00BE31CB"/>
    <w:rsid w:val="00C46F39"/>
    <w:rsid w:val="00C6330D"/>
    <w:rsid w:val="00C66446"/>
    <w:rsid w:val="00D03D83"/>
    <w:rsid w:val="00D3195F"/>
    <w:rsid w:val="00D44289"/>
    <w:rsid w:val="00D75FFC"/>
    <w:rsid w:val="00D96C2E"/>
    <w:rsid w:val="00DA6D55"/>
    <w:rsid w:val="00E37A7A"/>
    <w:rsid w:val="00E74B84"/>
    <w:rsid w:val="00E9045C"/>
    <w:rsid w:val="00EB57DA"/>
    <w:rsid w:val="00ED31ED"/>
    <w:rsid w:val="00EE1B6D"/>
    <w:rsid w:val="00F041F6"/>
    <w:rsid w:val="00FD37A6"/>
    <w:rsid w:val="00FD6BE7"/>
    <w:rsid w:val="07D32A7D"/>
    <w:rsid w:val="08504AD8"/>
    <w:rsid w:val="0DD74943"/>
    <w:rsid w:val="104C66BB"/>
    <w:rsid w:val="169E4EB0"/>
    <w:rsid w:val="17DA49A4"/>
    <w:rsid w:val="1E9F4954"/>
    <w:rsid w:val="1FD51DED"/>
    <w:rsid w:val="20FB6998"/>
    <w:rsid w:val="217B2296"/>
    <w:rsid w:val="26634AE9"/>
    <w:rsid w:val="276D05F0"/>
    <w:rsid w:val="2E940FD8"/>
    <w:rsid w:val="30455052"/>
    <w:rsid w:val="368362D7"/>
    <w:rsid w:val="3D2F1787"/>
    <w:rsid w:val="3F136ABC"/>
    <w:rsid w:val="470A69F6"/>
    <w:rsid w:val="47E1375F"/>
    <w:rsid w:val="4BCC566D"/>
    <w:rsid w:val="5E094927"/>
    <w:rsid w:val="60172EE0"/>
    <w:rsid w:val="60FE6B49"/>
    <w:rsid w:val="61F35EEB"/>
    <w:rsid w:val="62A10B00"/>
    <w:rsid w:val="62E2243B"/>
    <w:rsid w:val="6517630B"/>
    <w:rsid w:val="6A28099D"/>
    <w:rsid w:val="6A332983"/>
    <w:rsid w:val="6E1B7D38"/>
    <w:rsid w:val="701D0F95"/>
    <w:rsid w:val="706411ED"/>
    <w:rsid w:val="74B119D0"/>
    <w:rsid w:val="7B6A2DB1"/>
    <w:rsid w:val="7CED6536"/>
    <w:rsid w:val="7D0A5CE8"/>
    <w:rsid w:val="7D274298"/>
    <w:rsid w:val="7DFF3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明动正文"/>
    <w:basedOn w:val="3"/>
    <w:qFormat/>
    <w:uiPriority w:val="0"/>
    <w:pPr>
      <w:widowControl/>
      <w:adjustRightInd w:val="0"/>
      <w:spacing w:line="360" w:lineRule="auto"/>
      <w:ind w:firstLine="200" w:firstLineChars="200"/>
    </w:pPr>
    <w:rPr>
      <w:rFonts w:ascii="Calibri" w:hAnsi="Calibri" w:cs="宋体"/>
      <w:kern w:val="0"/>
      <w:szCs w:val="21"/>
      <w:lang w:val="zh-CN"/>
    </w:rPr>
  </w:style>
  <w:style w:type="character" w:customStyle="1" w:styleId="9">
    <w:name w:val="页眉 Char"/>
    <w:basedOn w:val="7"/>
    <w:link w:val="5"/>
    <w:qFormat/>
    <w:uiPriority w:val="0"/>
    <w:rPr>
      <w:kern w:val="2"/>
      <w:sz w:val="18"/>
      <w:szCs w:val="18"/>
    </w:rPr>
  </w:style>
  <w:style w:type="character" w:customStyle="1" w:styleId="10">
    <w:name w:val="页脚 Char"/>
    <w:basedOn w:val="7"/>
    <w:link w:val="4"/>
    <w:qFormat/>
    <w:uiPriority w:val="0"/>
    <w:rPr>
      <w:kern w:val="2"/>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11FE35-F302-473E-B96F-CC2F04240EE1}">
  <ds:schemaRefs/>
</ds:datastoreItem>
</file>

<file path=docProps/app.xml><?xml version="1.0" encoding="utf-8"?>
<Properties xmlns="http://schemas.openxmlformats.org/officeDocument/2006/extended-properties" xmlns:vt="http://schemas.openxmlformats.org/officeDocument/2006/docPropsVTypes">
  <Template>Normal.dotm</Template>
  <Pages>10</Pages>
  <Words>825</Words>
  <Characters>4703</Characters>
  <Lines>39</Lines>
  <Paragraphs>11</Paragraphs>
  <TotalTime>52</TotalTime>
  <ScaleCrop>false</ScaleCrop>
  <LinksUpToDate>false</LinksUpToDate>
  <CharactersWithSpaces>5517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2021-03-05T03:23:00Z</dcterms:created>
  <dc:creator>哥特式、亡</dc:creator>
  <cp:lastModifiedBy>User</cp:lastModifiedBy>
  <dcterms:modified xsi:type="dcterms:W3CDTF">2021-03-08T03:11:55Z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FB927D9198094B2CB5095F5862AD0840</vt:lpwstr>
  </property>
</Properties>
</file>