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0"/>
        <w:rPr>
          <w:rFonts w:hint="eastAsia" w:ascii="仿宋" w:hAnsi="仿宋" w:eastAsia="仿宋" w:cs="仿宋"/>
          <w:b/>
          <w:bCs/>
          <w:color w:val="auto"/>
          <w:kern w:val="44"/>
          <w:sz w:val="32"/>
          <w:szCs w:val="32"/>
          <w:highlight w:val="none"/>
          <w:lang w:val="en-US" w:eastAsia="zh-CN" w:bidi="ar-SA"/>
        </w:rPr>
      </w:pPr>
      <w:r>
        <w:rPr>
          <w:rFonts w:hint="eastAsia" w:ascii="仿宋" w:hAnsi="仿宋" w:eastAsia="仿宋" w:cs="仿宋"/>
          <w:b/>
          <w:bCs/>
          <w:color w:val="auto"/>
          <w:kern w:val="44"/>
          <w:sz w:val="32"/>
          <w:szCs w:val="32"/>
          <w:highlight w:val="none"/>
          <w:lang w:val="en-US" w:eastAsia="zh-CN" w:bidi="ar-SA"/>
        </w:rPr>
        <w:t>采购需</w:t>
      </w:r>
      <w:bookmarkStart w:id="6" w:name="_GoBack"/>
      <w:bookmarkEnd w:id="6"/>
      <w:r>
        <w:rPr>
          <w:rFonts w:hint="eastAsia" w:ascii="仿宋" w:hAnsi="仿宋" w:eastAsia="仿宋" w:cs="仿宋"/>
          <w:b/>
          <w:bCs/>
          <w:color w:val="auto"/>
          <w:kern w:val="44"/>
          <w:sz w:val="32"/>
          <w:szCs w:val="32"/>
          <w:highlight w:val="none"/>
          <w:lang w:val="en-US" w:eastAsia="zh-CN" w:bidi="ar-SA"/>
        </w:rPr>
        <w:t>求</w:t>
      </w:r>
    </w:p>
    <w:p>
      <w:pPr>
        <w:bidi w:val="0"/>
        <w:rPr>
          <w:color w:val="auto"/>
          <w:highlight w:val="none"/>
        </w:rPr>
      </w:pPr>
    </w:p>
    <w:p>
      <w:pPr>
        <w:keepNext w:val="0"/>
        <w:keepLines w:val="0"/>
        <w:widowControl w:val="0"/>
        <w:spacing w:before="0" w:after="0" w:line="400" w:lineRule="exact"/>
        <w:jc w:val="left"/>
        <w:outlineLvl w:val="1"/>
        <w:rPr>
          <w:rFonts w:ascii="仿宋" w:hAnsi="仿宋" w:eastAsia="仿宋" w:cs="Times New Roman"/>
          <w:b/>
          <w:bCs/>
          <w:color w:val="auto"/>
          <w:kern w:val="2"/>
          <w:sz w:val="24"/>
          <w:szCs w:val="24"/>
          <w:highlight w:val="none"/>
          <w:lang w:val="en-US" w:eastAsia="zh-CN" w:bidi="ar-SA"/>
        </w:rPr>
      </w:pPr>
      <w:bookmarkStart w:id="0" w:name="PO_默认文件内容_27"/>
      <w:r>
        <w:rPr>
          <w:rFonts w:hint="eastAsia" w:ascii="仿宋" w:hAnsi="仿宋" w:eastAsia="仿宋" w:cs="Times New Roman"/>
          <w:b/>
          <w:bCs/>
          <w:color w:val="auto"/>
          <w:kern w:val="2"/>
          <w:sz w:val="24"/>
          <w:szCs w:val="24"/>
          <w:highlight w:val="none"/>
          <w:lang w:val="en-US" w:eastAsia="zh-CN" w:bidi="ar-SA"/>
        </w:rPr>
        <w:t>前提：</w:t>
      </w:r>
      <w:r>
        <w:rPr>
          <w:rFonts w:ascii="仿宋" w:hAnsi="仿宋" w:eastAsia="仿宋" w:cs="Times New Roman"/>
          <w:b/>
          <w:bCs/>
          <w:color w:val="auto"/>
          <w:kern w:val="2"/>
          <w:sz w:val="24"/>
          <w:szCs w:val="24"/>
          <w:highlight w:val="none"/>
          <w:lang w:val="en-US" w:eastAsia="zh-CN" w:bidi="ar-SA"/>
        </w:rPr>
        <w:t>本章标注“</w:t>
      </w:r>
      <w:r>
        <w:rPr>
          <w:rFonts w:hint="eastAsia" w:ascii="仿宋" w:hAnsi="仿宋" w:eastAsia="仿宋" w:cs="Times New Roman"/>
          <w:b/>
          <w:bCs/>
          <w:color w:val="auto"/>
          <w:kern w:val="2"/>
          <w:sz w:val="24"/>
          <w:szCs w:val="24"/>
          <w:highlight w:val="none"/>
          <w:lang w:val="en-US" w:eastAsia="zh-CN" w:bidi="ar-SA"/>
        </w:rPr>
        <w:t>★</w:t>
      </w:r>
      <w:r>
        <w:rPr>
          <w:rFonts w:ascii="仿宋" w:hAnsi="仿宋" w:eastAsia="仿宋" w:cs="Times New Roman"/>
          <w:b/>
          <w:bCs/>
          <w:color w:val="auto"/>
          <w:kern w:val="2"/>
          <w:sz w:val="24"/>
          <w:szCs w:val="24"/>
          <w:highlight w:val="none"/>
          <w:lang w:val="en-US" w:eastAsia="zh-CN" w:bidi="ar-SA"/>
        </w:rPr>
        <w:t>”的条款为本次磋商采购项目的实质性要求，供应商应全部满足</w:t>
      </w:r>
      <w:r>
        <w:rPr>
          <w:rFonts w:hint="eastAsia" w:ascii="仿宋" w:hAnsi="仿宋" w:eastAsia="仿宋" w:cs="Times New Roman"/>
          <w:b/>
          <w:bCs/>
          <w:color w:val="auto"/>
          <w:kern w:val="2"/>
          <w:sz w:val="24"/>
          <w:szCs w:val="24"/>
          <w:highlight w:val="none"/>
          <w:lang w:val="en-US" w:eastAsia="zh-CN" w:bidi="ar-SA"/>
        </w:rPr>
        <w:t>，否则其响应文件按照无效处理。标注“▲”的条款为本项目的技术、服务要求评分项，具体评审规则详见综合评分明细表。标注“■”的条款为本项目的方案编制要求，具体评审规则详见综合评分明细表。</w:t>
      </w:r>
    </w:p>
    <w:p>
      <w:pPr>
        <w:bidi w:val="0"/>
        <w:rPr>
          <w:color w:val="auto"/>
          <w:highlight w:val="none"/>
        </w:rPr>
      </w:pPr>
    </w:p>
    <w:p>
      <w:pPr>
        <w:keepNext/>
        <w:keepLines/>
        <w:widowControl w:val="0"/>
        <w:spacing w:before="260" w:after="260" w:line="400" w:lineRule="exact"/>
        <w:jc w:val="both"/>
        <w:outlineLvl w:val="1"/>
        <w:rPr>
          <w:rFonts w:ascii="仿宋" w:hAnsi="仿宋" w:eastAsia="仿宋" w:cs="Times New Roman"/>
          <w:b/>
          <w:bCs/>
          <w:color w:val="auto"/>
          <w:kern w:val="2"/>
          <w:sz w:val="24"/>
          <w:szCs w:val="24"/>
          <w:highlight w:val="none"/>
          <w:lang w:val="en-US" w:eastAsia="zh-CN" w:bidi="ar-SA"/>
        </w:rPr>
      </w:pPr>
      <w:r>
        <w:rPr>
          <w:rFonts w:ascii="仿宋" w:hAnsi="仿宋" w:eastAsia="仿宋" w:cs="Times New Roman"/>
          <w:b/>
          <w:bCs/>
          <w:color w:val="auto"/>
          <w:kern w:val="2"/>
          <w:sz w:val="24"/>
          <w:szCs w:val="24"/>
          <w:highlight w:val="none"/>
          <w:lang w:val="en-US" w:eastAsia="zh-CN" w:bidi="ar-SA"/>
        </w:rPr>
        <w:t>一</w:t>
      </w:r>
      <w:r>
        <w:rPr>
          <w:rFonts w:hint="eastAsia" w:ascii="仿宋" w:hAnsi="仿宋" w:eastAsia="仿宋" w:cs="Times New Roman"/>
          <w:b/>
          <w:bCs/>
          <w:color w:val="auto"/>
          <w:kern w:val="2"/>
          <w:sz w:val="24"/>
          <w:szCs w:val="24"/>
          <w:highlight w:val="none"/>
          <w:lang w:val="en-US" w:eastAsia="zh-CN" w:bidi="ar-SA"/>
        </w:rPr>
        <w:t>、</w:t>
      </w:r>
      <w:r>
        <w:rPr>
          <w:rFonts w:ascii="仿宋" w:hAnsi="仿宋" w:eastAsia="仿宋" w:cs="Times New Roman"/>
          <w:b/>
          <w:bCs/>
          <w:color w:val="auto"/>
          <w:kern w:val="2"/>
          <w:sz w:val="24"/>
          <w:szCs w:val="24"/>
          <w:highlight w:val="none"/>
          <w:lang w:val="en-US" w:eastAsia="zh-CN" w:bidi="ar-SA"/>
        </w:rPr>
        <w:t>项目概述</w:t>
      </w:r>
    </w:p>
    <w:p>
      <w:pPr>
        <w:keepNext/>
        <w:keepLines/>
        <w:widowControl w:val="0"/>
        <w:spacing w:before="260" w:after="260" w:line="400" w:lineRule="exact"/>
        <w:jc w:val="both"/>
        <w:outlineLvl w:val="1"/>
        <w:rPr>
          <w:rFonts w:hint="default" w:ascii="仿宋" w:hAnsi="仿宋" w:eastAsia="仿宋" w:cs="Times New Roman"/>
          <w:b/>
          <w:bCs/>
          <w:color w:val="auto"/>
          <w:kern w:val="2"/>
          <w:sz w:val="24"/>
          <w:szCs w:val="24"/>
          <w:highlight w:val="none"/>
          <w:lang w:val="en-US" w:eastAsia="zh-CN" w:bidi="ar-SA"/>
        </w:rPr>
      </w:pPr>
      <w:r>
        <w:rPr>
          <w:rFonts w:hint="eastAsia" w:ascii="仿宋" w:hAnsi="仿宋" w:eastAsia="仿宋" w:cs="Times New Roman"/>
          <w:b/>
          <w:bCs/>
          <w:color w:val="auto"/>
          <w:kern w:val="2"/>
          <w:sz w:val="24"/>
          <w:szCs w:val="24"/>
          <w:highlight w:val="none"/>
          <w:lang w:val="en-US" w:eastAsia="zh-CN" w:bidi="ar-SA"/>
        </w:rPr>
        <w:t>1.项目概况</w:t>
      </w:r>
    </w:p>
    <w:p>
      <w:pPr>
        <w:widowControl w:val="0"/>
        <w:spacing w:line="360" w:lineRule="auto"/>
        <w:ind w:firstLine="480" w:firstLineChars="200"/>
        <w:jc w:val="both"/>
        <w:rPr>
          <w:rFonts w:ascii="仿宋" w:hAnsi="仿宋" w:eastAsia="仿宋" w:cs="Times New Roman"/>
          <w:color w:val="auto"/>
          <w:kern w:val="2"/>
          <w:sz w:val="24"/>
          <w:szCs w:val="24"/>
          <w:highlight w:val="none"/>
          <w:lang w:val="en-US" w:eastAsia="zh-CN" w:bidi="ar-SA"/>
        </w:rPr>
      </w:pPr>
      <w:r>
        <w:rPr>
          <w:rFonts w:hint="eastAsia" w:ascii="仿宋" w:hAnsi="仿宋" w:eastAsia="仿宋" w:cs="Times New Roman"/>
          <w:color w:val="auto"/>
          <w:kern w:val="2"/>
          <w:sz w:val="24"/>
          <w:szCs w:val="24"/>
          <w:highlight w:val="none"/>
          <w:lang w:val="en-US" w:eastAsia="zh-CN" w:bidi="ar-SA"/>
        </w:rPr>
        <w:t>成都地处四川盆地西部，气候终年温暖潮湿，适宜白蚁生长繁衍，是白蚁危害较为严重的地区之一。成都未来科技城发展服务局拟通过本次采购项目确定一名供应商提供专业技术服务，对未来科技城</w:t>
      </w:r>
      <w:r>
        <w:rPr>
          <w:rFonts w:hint="eastAsia" w:ascii="仿宋" w:hAnsi="仿宋" w:eastAsia="仿宋" w:cs="仿宋"/>
          <w:color w:val="auto"/>
          <w:kern w:val="2"/>
          <w:sz w:val="24"/>
          <w:szCs w:val="24"/>
          <w:highlight w:val="none"/>
          <w:lang w:val="en-US" w:eastAsia="zh-CN" w:bidi="ar-SA"/>
        </w:rPr>
        <w:t>富士康MCEG园区、国际科教园四批次、福田乡社区工程（三期）、民航二所B-01地块、隔离酒店、未来智谷（北区）等新增项目</w:t>
      </w:r>
      <w:r>
        <w:rPr>
          <w:rFonts w:hint="eastAsia" w:ascii="仿宋" w:hAnsi="仿宋" w:eastAsia="仿宋" w:cs="Times New Roman"/>
          <w:color w:val="auto"/>
          <w:kern w:val="2"/>
          <w:sz w:val="24"/>
          <w:szCs w:val="24"/>
          <w:highlight w:val="none"/>
          <w:lang w:val="en-US" w:eastAsia="zh-CN" w:bidi="ar-SA"/>
        </w:rPr>
        <w:t>建筑物开展白蚁防治工作，预防白蚁孳生，减少已有白蚁危害，保障房屋建筑的安全。</w:t>
      </w:r>
    </w:p>
    <w:p>
      <w:pPr>
        <w:keepNext/>
        <w:keepLines/>
        <w:widowControl w:val="0"/>
        <w:numPr>
          <w:ilvl w:val="0"/>
          <w:numId w:val="0"/>
        </w:numPr>
        <w:tabs>
          <w:tab w:val="left" w:pos="6938"/>
        </w:tabs>
        <w:spacing w:before="260" w:after="260" w:line="400" w:lineRule="exact"/>
        <w:jc w:val="both"/>
        <w:outlineLvl w:val="1"/>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2.标的名称及所属行业：</w:t>
      </w:r>
    </w:p>
    <w:tbl>
      <w:tblPr>
        <w:tblStyle w:val="8"/>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284"/>
        <w:gridCol w:w="3262"/>
        <w:gridCol w:w="1979"/>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82" w:type="dxa"/>
            <w:vAlign w:val="center"/>
          </w:tcPr>
          <w:p>
            <w:pPr>
              <w:widowControl/>
              <w:spacing w:line="360" w:lineRule="atLeast"/>
              <w:jc w:val="center"/>
              <w:outlineLvl w:val="1"/>
              <w:rPr>
                <w:rFonts w:ascii="仿宋" w:hAnsi="仿宋" w:eastAsia="仿宋"/>
                <w:color w:val="auto"/>
                <w:sz w:val="24"/>
                <w:highlight w:val="none"/>
              </w:rPr>
            </w:pPr>
            <w:bookmarkStart w:id="1" w:name="_Toc5013"/>
            <w:r>
              <w:rPr>
                <w:rFonts w:hint="eastAsia" w:ascii="仿宋" w:hAnsi="仿宋" w:eastAsia="仿宋"/>
                <w:color w:val="auto"/>
                <w:sz w:val="24"/>
                <w:highlight w:val="none"/>
              </w:rPr>
              <w:t>包号</w:t>
            </w:r>
            <w:bookmarkEnd w:id="1"/>
          </w:p>
        </w:tc>
        <w:tc>
          <w:tcPr>
            <w:tcW w:w="1284" w:type="dxa"/>
          </w:tcPr>
          <w:p>
            <w:pPr>
              <w:widowControl/>
              <w:spacing w:line="360" w:lineRule="atLeast"/>
              <w:jc w:val="center"/>
              <w:outlineLvl w:val="1"/>
              <w:rPr>
                <w:rFonts w:ascii="仿宋" w:hAnsi="仿宋" w:eastAsia="仿宋"/>
                <w:color w:val="auto"/>
                <w:sz w:val="24"/>
                <w:highlight w:val="none"/>
              </w:rPr>
            </w:pPr>
            <w:r>
              <w:rPr>
                <w:rFonts w:hint="eastAsia" w:ascii="仿宋" w:hAnsi="仿宋" w:eastAsia="仿宋" w:cs="仿宋"/>
                <w:bCs/>
                <w:color w:val="auto"/>
                <w:sz w:val="24"/>
                <w:szCs w:val="24"/>
                <w:highlight w:val="none"/>
                <w:lang w:val="en-US" w:eastAsia="zh-CN"/>
              </w:rPr>
              <w:t>序号</w:t>
            </w:r>
          </w:p>
        </w:tc>
        <w:tc>
          <w:tcPr>
            <w:tcW w:w="3262" w:type="dxa"/>
            <w:vAlign w:val="center"/>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center"/>
              <w:textAlignment w:val="auto"/>
              <w:outlineLvl w:val="1"/>
              <w:rPr>
                <w:rFonts w:ascii="仿宋" w:hAnsi="仿宋" w:eastAsia="仿宋"/>
                <w:color w:val="auto"/>
                <w:sz w:val="24"/>
                <w:highlight w:val="none"/>
              </w:rPr>
            </w:pPr>
            <w:bookmarkStart w:id="2" w:name="_Toc20321"/>
            <w:r>
              <w:rPr>
                <w:rFonts w:hint="eastAsia" w:ascii="仿宋" w:hAnsi="仿宋" w:eastAsia="仿宋"/>
                <w:color w:val="auto"/>
                <w:sz w:val="24"/>
                <w:highlight w:val="none"/>
                <w:lang w:val="en-US" w:eastAsia="zh-CN"/>
              </w:rPr>
              <w:t>标的</w:t>
            </w:r>
            <w:r>
              <w:rPr>
                <w:rFonts w:hint="eastAsia" w:ascii="仿宋" w:hAnsi="仿宋" w:eastAsia="仿宋"/>
                <w:color w:val="auto"/>
                <w:sz w:val="24"/>
                <w:highlight w:val="none"/>
              </w:rPr>
              <w:t>名称</w:t>
            </w:r>
            <w:bookmarkEnd w:id="2"/>
          </w:p>
        </w:tc>
        <w:tc>
          <w:tcPr>
            <w:tcW w:w="1979" w:type="dxa"/>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center"/>
              <w:textAlignment w:val="auto"/>
              <w:outlineLvl w:val="1"/>
              <w:rPr>
                <w:rFonts w:ascii="仿宋" w:hAnsi="仿宋" w:eastAsia="仿宋"/>
                <w:color w:val="auto"/>
                <w:sz w:val="24"/>
                <w:highlight w:val="none"/>
              </w:rPr>
            </w:pPr>
            <w:bookmarkStart w:id="3" w:name="_Toc245"/>
            <w:r>
              <w:rPr>
                <w:rFonts w:hint="eastAsia" w:ascii="仿宋" w:hAnsi="仿宋" w:eastAsia="仿宋"/>
                <w:color w:val="auto"/>
                <w:sz w:val="24"/>
                <w:highlight w:val="none"/>
                <w:lang w:val="en-US" w:eastAsia="zh-CN"/>
              </w:rPr>
              <w:t>所</w:t>
            </w:r>
            <w:r>
              <w:rPr>
                <w:rFonts w:hint="eastAsia" w:ascii="仿宋" w:hAnsi="仿宋" w:eastAsia="仿宋"/>
                <w:color w:val="auto"/>
                <w:sz w:val="24"/>
                <w:highlight w:val="none"/>
              </w:rPr>
              <w:t>属行业</w:t>
            </w:r>
            <w:bookmarkEnd w:id="3"/>
          </w:p>
        </w:tc>
        <w:tc>
          <w:tcPr>
            <w:tcW w:w="1980" w:type="dxa"/>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center"/>
              <w:textAlignment w:val="auto"/>
              <w:outlineLvl w:val="1"/>
              <w:rPr>
                <w:rFonts w:hint="default"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82" w:type="dxa"/>
          </w:tcPr>
          <w:p>
            <w:pPr>
              <w:widowControl/>
              <w:spacing w:line="360" w:lineRule="atLeast"/>
              <w:jc w:val="center"/>
              <w:outlineLvl w:val="1"/>
              <w:rPr>
                <w:rFonts w:hint="eastAsia" w:ascii="仿宋" w:hAnsi="仿宋" w:eastAsia="仿宋"/>
                <w:color w:val="auto"/>
                <w:sz w:val="24"/>
                <w:highlight w:val="none"/>
                <w:lang w:val="en-US" w:eastAsia="zh-CN"/>
              </w:rPr>
            </w:pPr>
            <w:bookmarkStart w:id="4" w:name="_Toc14191"/>
            <w:r>
              <w:rPr>
                <w:rFonts w:hint="eastAsia" w:ascii="仿宋" w:hAnsi="仿宋" w:eastAsia="仿宋"/>
                <w:color w:val="auto"/>
                <w:sz w:val="24"/>
                <w:highlight w:val="none"/>
                <w:lang w:val="en-US" w:eastAsia="zh-CN"/>
              </w:rPr>
              <w:t>1</w:t>
            </w:r>
            <w:bookmarkEnd w:id="4"/>
          </w:p>
        </w:tc>
        <w:tc>
          <w:tcPr>
            <w:tcW w:w="1284" w:type="dxa"/>
          </w:tcPr>
          <w:p>
            <w:pPr>
              <w:widowControl/>
              <w:spacing w:line="360" w:lineRule="atLeast"/>
              <w:jc w:val="center"/>
              <w:outlineLvl w:val="1"/>
              <w:rPr>
                <w:rFonts w:hint="default" w:ascii="仿宋" w:hAnsi="仿宋" w:eastAsia="仿宋"/>
                <w:color w:val="auto"/>
                <w:sz w:val="24"/>
                <w:highlight w:val="none"/>
                <w:lang w:val="en-US" w:eastAsia="zh-CN"/>
              </w:rPr>
            </w:pPr>
            <w:bookmarkStart w:id="5" w:name="_Toc21117"/>
            <w:r>
              <w:rPr>
                <w:rFonts w:hint="eastAsia" w:ascii="仿宋" w:hAnsi="仿宋" w:eastAsia="仿宋"/>
                <w:color w:val="auto"/>
                <w:sz w:val="24"/>
                <w:highlight w:val="none"/>
                <w:lang w:val="en-US" w:eastAsia="zh-CN"/>
              </w:rPr>
              <w:t>1-01</w:t>
            </w:r>
            <w:bookmarkEnd w:id="5"/>
          </w:p>
        </w:tc>
        <w:tc>
          <w:tcPr>
            <w:tcW w:w="3262" w:type="dxa"/>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outlineLvl w:val="1"/>
              <w:rPr>
                <w:rFonts w:ascii="仿宋" w:hAnsi="仿宋" w:eastAsia="仿宋"/>
                <w:color w:val="auto"/>
                <w:sz w:val="24"/>
                <w:highlight w:val="none"/>
              </w:rPr>
            </w:pPr>
            <w:r>
              <w:rPr>
                <w:rFonts w:hint="eastAsia" w:ascii="仿宋" w:hAnsi="仿宋" w:eastAsia="仿宋"/>
                <w:color w:val="auto"/>
                <w:sz w:val="24"/>
                <w:highlight w:val="none"/>
              </w:rPr>
              <w:t>2023年未来科技城建设项目新建房屋白蚁防治服务增补</w:t>
            </w:r>
          </w:p>
        </w:tc>
        <w:tc>
          <w:tcPr>
            <w:tcW w:w="1979" w:type="dxa"/>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outlineLvl w:val="1"/>
              <w:rPr>
                <w:rFonts w:ascii="仿宋" w:hAnsi="仿宋" w:eastAsia="仿宋"/>
                <w:color w:val="auto"/>
                <w:sz w:val="24"/>
                <w:highlight w:val="none"/>
              </w:rPr>
            </w:pPr>
            <w:r>
              <w:rPr>
                <w:rFonts w:hint="eastAsia" w:ascii="仿宋" w:hAnsi="仿宋" w:eastAsia="仿宋"/>
                <w:color w:val="auto"/>
                <w:sz w:val="24"/>
                <w:highlight w:val="none"/>
              </w:rPr>
              <w:t>其他未列明行业</w:t>
            </w:r>
          </w:p>
        </w:tc>
        <w:tc>
          <w:tcPr>
            <w:tcW w:w="1980" w:type="dxa"/>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outlineLvl w:val="1"/>
              <w:rPr>
                <w:rFonts w:ascii="仿宋" w:hAnsi="仿宋" w:eastAsia="仿宋"/>
                <w:color w:val="auto"/>
                <w:sz w:val="24"/>
                <w:highlight w:val="none"/>
              </w:rPr>
            </w:pPr>
          </w:p>
        </w:tc>
      </w:tr>
    </w:tbl>
    <w:p>
      <w:pPr>
        <w:spacing w:line="360" w:lineRule="auto"/>
        <w:rPr>
          <w:rFonts w:ascii="仿宋" w:hAnsi="仿宋" w:eastAsia="仿宋"/>
          <w:color w:val="auto"/>
          <w:sz w:val="24"/>
          <w:highlight w:val="none"/>
        </w:rPr>
      </w:pPr>
    </w:p>
    <w:bookmarkEnd w:id="0"/>
    <w:p>
      <w:pPr>
        <w:keepNext/>
        <w:keepLines/>
        <w:widowControl w:val="0"/>
        <w:spacing w:before="260" w:after="260" w:line="400" w:lineRule="exact"/>
        <w:jc w:val="both"/>
        <w:outlineLvl w:val="1"/>
        <w:rPr>
          <w:rFonts w:ascii="仿宋" w:hAnsi="仿宋" w:eastAsia="仿宋" w:cs="Times New Roman"/>
          <w:b/>
          <w:bCs/>
          <w:color w:val="auto"/>
          <w:kern w:val="2"/>
          <w:sz w:val="24"/>
          <w:szCs w:val="32"/>
          <w:highlight w:val="none"/>
          <w:lang w:val="en-US" w:eastAsia="zh-CN" w:bidi="ar-SA"/>
        </w:rPr>
      </w:pPr>
      <w:r>
        <w:rPr>
          <w:rFonts w:hint="eastAsia" w:ascii="仿宋" w:hAnsi="仿宋" w:eastAsia="仿宋" w:cs="Times New Roman"/>
          <w:b/>
          <w:bCs/>
          <w:color w:val="auto"/>
          <w:kern w:val="2"/>
          <w:sz w:val="24"/>
          <w:szCs w:val="24"/>
          <w:highlight w:val="none"/>
          <w:lang w:val="en-US" w:eastAsia="zh-CN" w:bidi="ar-SA"/>
        </w:rPr>
        <w:t>★二、商务</w:t>
      </w:r>
      <w:r>
        <w:rPr>
          <w:rFonts w:ascii="仿宋" w:hAnsi="仿宋" w:eastAsia="仿宋" w:cs="Times New Roman"/>
          <w:b/>
          <w:bCs/>
          <w:color w:val="auto"/>
          <w:kern w:val="2"/>
          <w:sz w:val="24"/>
          <w:szCs w:val="24"/>
          <w:highlight w:val="none"/>
          <w:lang w:val="en-US" w:eastAsia="zh-CN" w:bidi="ar-SA"/>
        </w:rPr>
        <w:t>要求</w:t>
      </w:r>
    </w:p>
    <w:p>
      <w:pPr>
        <w:widowControl w:val="0"/>
        <w:spacing w:line="360" w:lineRule="auto"/>
        <w:ind w:firstLine="0" w:firstLineChars="0"/>
        <w:jc w:val="both"/>
        <w:rPr>
          <w:rFonts w:hint="eastAsia" w:ascii="仿宋" w:hAnsi="仿宋" w:eastAsia="仿宋" w:cs="Times New Roman"/>
          <w:color w:val="auto"/>
          <w:kern w:val="2"/>
          <w:sz w:val="24"/>
          <w:szCs w:val="24"/>
          <w:highlight w:val="none"/>
          <w:lang w:val="en-US" w:eastAsia="zh-CN" w:bidi="ar-SA"/>
        </w:rPr>
      </w:pPr>
      <w:r>
        <w:rPr>
          <w:rFonts w:hint="eastAsia" w:ascii="仿宋" w:hAnsi="仿宋" w:eastAsia="仿宋" w:cs="Times New Roman"/>
          <w:color w:val="auto"/>
          <w:kern w:val="2"/>
          <w:sz w:val="24"/>
          <w:szCs w:val="24"/>
          <w:highlight w:val="none"/>
          <w:lang w:val="en-US" w:eastAsia="zh-CN" w:bidi="ar-SA"/>
        </w:rPr>
        <w:t>1、服务期限：自采购合同签订之日起1年内完成本项目所有服务内容。</w:t>
      </w:r>
    </w:p>
    <w:p>
      <w:pPr>
        <w:widowControl w:val="0"/>
        <w:spacing w:line="360" w:lineRule="auto"/>
        <w:ind w:firstLine="0" w:firstLineChars="0"/>
        <w:jc w:val="both"/>
        <w:rPr>
          <w:rFonts w:ascii="仿宋" w:hAnsi="仿宋" w:eastAsia="仿宋" w:cs="Times New Roman"/>
          <w:color w:val="auto"/>
          <w:kern w:val="2"/>
          <w:sz w:val="24"/>
          <w:szCs w:val="24"/>
          <w:highlight w:val="none"/>
          <w:lang w:val="en-US" w:eastAsia="zh-CN" w:bidi="ar-SA"/>
        </w:rPr>
      </w:pPr>
      <w:r>
        <w:rPr>
          <w:rFonts w:hint="eastAsia" w:ascii="仿宋" w:hAnsi="仿宋" w:eastAsia="仿宋" w:cs="Times New Roman"/>
          <w:color w:val="auto"/>
          <w:kern w:val="2"/>
          <w:sz w:val="24"/>
          <w:szCs w:val="24"/>
          <w:highlight w:val="none"/>
          <w:lang w:val="en-US" w:eastAsia="zh-CN" w:bidi="ar-SA"/>
        </w:rPr>
        <w:t>2、违约和赔偿：若因供应商违约或工作失误给采购人造成损失的，采购人有权要求供应商承担违约责任并对损失进行赔偿直至解除合同。</w:t>
      </w:r>
    </w:p>
    <w:p>
      <w:pPr>
        <w:widowControl w:val="0"/>
        <w:spacing w:line="360" w:lineRule="auto"/>
        <w:ind w:firstLine="0" w:firstLineChars="0"/>
        <w:jc w:val="both"/>
        <w:rPr>
          <w:rFonts w:ascii="仿宋" w:hAnsi="仿宋" w:eastAsia="仿宋" w:cs="Times New Roman"/>
          <w:color w:val="auto"/>
          <w:kern w:val="2"/>
          <w:sz w:val="24"/>
          <w:szCs w:val="24"/>
          <w:highlight w:val="none"/>
          <w:lang w:val="en-US" w:eastAsia="zh-CN" w:bidi="ar-SA"/>
        </w:rPr>
      </w:pPr>
      <w:r>
        <w:rPr>
          <w:rFonts w:ascii="仿宋" w:hAnsi="仿宋" w:eastAsia="仿宋" w:cs="Times New Roman"/>
          <w:color w:val="auto"/>
          <w:kern w:val="2"/>
          <w:sz w:val="24"/>
          <w:szCs w:val="24"/>
          <w:highlight w:val="none"/>
          <w:lang w:val="en-US" w:eastAsia="zh-CN" w:bidi="ar-SA"/>
        </w:rPr>
        <w:t>3</w:t>
      </w:r>
      <w:r>
        <w:rPr>
          <w:rFonts w:hint="eastAsia" w:ascii="仿宋" w:hAnsi="仿宋" w:eastAsia="仿宋" w:cs="Times New Roman"/>
          <w:color w:val="auto"/>
          <w:kern w:val="2"/>
          <w:sz w:val="24"/>
          <w:szCs w:val="24"/>
          <w:highlight w:val="none"/>
          <w:lang w:val="en-US" w:eastAsia="zh-CN" w:bidi="ar-SA"/>
        </w:rPr>
        <w:t>、服务地点：未来科技城范围内采购人指定地点。</w:t>
      </w:r>
    </w:p>
    <w:p>
      <w:pPr>
        <w:widowControl w:val="0"/>
        <w:spacing w:line="360" w:lineRule="auto"/>
        <w:ind w:firstLine="0" w:firstLineChars="0"/>
        <w:jc w:val="both"/>
        <w:rPr>
          <w:rFonts w:ascii="仿宋" w:hAnsi="仿宋" w:eastAsia="仿宋" w:cs="Times New Roman"/>
          <w:color w:val="auto"/>
          <w:kern w:val="2"/>
          <w:sz w:val="24"/>
          <w:szCs w:val="24"/>
          <w:highlight w:val="none"/>
          <w:lang w:val="en-US" w:eastAsia="zh-CN" w:bidi="ar-SA"/>
        </w:rPr>
      </w:pPr>
      <w:r>
        <w:rPr>
          <w:rFonts w:ascii="仿宋" w:hAnsi="仿宋" w:eastAsia="仿宋" w:cs="Times New Roman"/>
          <w:color w:val="auto"/>
          <w:kern w:val="2"/>
          <w:sz w:val="24"/>
          <w:szCs w:val="24"/>
          <w:highlight w:val="none"/>
          <w:lang w:val="en-US" w:eastAsia="zh-CN" w:bidi="ar-SA"/>
        </w:rPr>
        <w:t>4</w:t>
      </w:r>
      <w:r>
        <w:rPr>
          <w:rFonts w:hint="eastAsia" w:ascii="仿宋" w:hAnsi="仿宋" w:eastAsia="仿宋" w:cs="Times New Roman"/>
          <w:color w:val="auto"/>
          <w:kern w:val="2"/>
          <w:sz w:val="24"/>
          <w:szCs w:val="24"/>
          <w:highlight w:val="none"/>
          <w:lang w:val="en-US" w:eastAsia="zh-CN" w:bidi="ar-SA"/>
        </w:rPr>
        <w:t>、</w:t>
      </w:r>
      <w:r>
        <w:rPr>
          <w:rFonts w:ascii="仿宋" w:hAnsi="仿宋" w:eastAsia="仿宋" w:cs="Times New Roman"/>
          <w:color w:val="auto"/>
          <w:kern w:val="2"/>
          <w:sz w:val="24"/>
          <w:szCs w:val="24"/>
          <w:highlight w:val="none"/>
          <w:lang w:val="en-US" w:eastAsia="zh-CN" w:bidi="ar-SA"/>
        </w:rPr>
        <w:t>服务费计算</w:t>
      </w:r>
      <w:r>
        <w:rPr>
          <w:rFonts w:hint="eastAsia" w:ascii="仿宋" w:hAnsi="仿宋" w:eastAsia="仿宋" w:cs="Times New Roman"/>
          <w:color w:val="auto"/>
          <w:kern w:val="2"/>
          <w:sz w:val="24"/>
          <w:szCs w:val="24"/>
          <w:highlight w:val="none"/>
          <w:lang w:val="en-US" w:eastAsia="zh-CN" w:bidi="ar-SA"/>
        </w:rPr>
        <w:t>：</w:t>
      </w:r>
      <w:r>
        <w:rPr>
          <w:rFonts w:ascii="仿宋" w:hAnsi="仿宋" w:eastAsia="仿宋" w:cs="Times New Roman"/>
          <w:color w:val="auto"/>
          <w:kern w:val="2"/>
          <w:sz w:val="24"/>
          <w:szCs w:val="24"/>
          <w:highlight w:val="none"/>
          <w:lang w:val="en-US" w:eastAsia="zh-CN" w:bidi="ar-SA"/>
        </w:rPr>
        <w:t>以成交</w:t>
      </w:r>
      <w:r>
        <w:rPr>
          <w:rFonts w:hint="eastAsia" w:ascii="仿宋" w:hAnsi="仿宋" w:eastAsia="仿宋" w:cs="Times New Roman"/>
          <w:color w:val="auto"/>
          <w:kern w:val="2"/>
          <w:sz w:val="24"/>
          <w:szCs w:val="24"/>
          <w:highlight w:val="none"/>
          <w:lang w:val="en-US" w:eastAsia="zh-CN" w:bidi="ar-SA"/>
        </w:rPr>
        <w:t>单价</w:t>
      </w:r>
      <w:r>
        <w:rPr>
          <w:rFonts w:ascii="仿宋" w:hAnsi="仿宋" w:eastAsia="仿宋" w:cs="Times New Roman"/>
          <w:color w:val="auto"/>
          <w:kern w:val="2"/>
          <w:sz w:val="24"/>
          <w:szCs w:val="24"/>
          <w:highlight w:val="none"/>
          <w:lang w:val="en-US" w:eastAsia="zh-CN" w:bidi="ar-SA"/>
        </w:rPr>
        <w:t>乘以</w:t>
      </w:r>
      <w:r>
        <w:rPr>
          <w:rFonts w:hint="eastAsia" w:ascii="仿宋" w:hAnsi="仿宋" w:eastAsia="仿宋" w:cs="Times New Roman"/>
          <w:color w:val="auto"/>
          <w:kern w:val="2"/>
          <w:sz w:val="24"/>
          <w:szCs w:val="24"/>
          <w:highlight w:val="none"/>
          <w:lang w:val="en-US" w:eastAsia="zh-CN" w:bidi="ar-SA"/>
        </w:rPr>
        <w:t>实际完成的合格工程量。</w:t>
      </w:r>
    </w:p>
    <w:p>
      <w:pPr>
        <w:widowControl w:val="0"/>
        <w:spacing w:line="360" w:lineRule="auto"/>
        <w:ind w:firstLine="0" w:firstLineChars="0"/>
        <w:jc w:val="both"/>
        <w:rPr>
          <w:rFonts w:hint="eastAsia" w:ascii="仿宋" w:hAnsi="仿宋" w:eastAsia="仿宋" w:cs="Times New Roman"/>
          <w:color w:val="auto"/>
          <w:kern w:val="2"/>
          <w:sz w:val="24"/>
          <w:szCs w:val="24"/>
          <w:highlight w:val="none"/>
          <w:lang w:val="en-US" w:eastAsia="zh-CN" w:bidi="ar-SA"/>
        </w:rPr>
      </w:pPr>
      <w:r>
        <w:rPr>
          <w:rFonts w:ascii="仿宋" w:hAnsi="仿宋" w:eastAsia="仿宋" w:cs="Times New Roman"/>
          <w:color w:val="auto"/>
          <w:kern w:val="2"/>
          <w:sz w:val="24"/>
          <w:szCs w:val="24"/>
          <w:highlight w:val="none"/>
          <w:lang w:val="en-US" w:eastAsia="zh-CN" w:bidi="ar-SA"/>
        </w:rPr>
        <w:t>5</w:t>
      </w:r>
      <w:r>
        <w:rPr>
          <w:rFonts w:hint="eastAsia" w:ascii="仿宋" w:hAnsi="仿宋" w:eastAsia="仿宋" w:cs="Times New Roman"/>
          <w:color w:val="auto"/>
          <w:kern w:val="2"/>
          <w:sz w:val="24"/>
          <w:szCs w:val="24"/>
          <w:highlight w:val="none"/>
          <w:lang w:val="en-US" w:eastAsia="zh-CN" w:bidi="ar-SA"/>
        </w:rPr>
        <w:t>、付款方式：本项目无预付款，按实际完成的合格工程量结合考核结果进行结算（详见合同附件），总共结算两次（每半年进行一次结算），采购人每次付款前成交供应商须出具合法有效的完税增值税发票给采购人。</w:t>
      </w:r>
    </w:p>
    <w:p>
      <w:pPr>
        <w:widowControl w:val="0"/>
        <w:spacing w:line="360" w:lineRule="auto"/>
        <w:ind w:firstLine="0" w:firstLineChars="0"/>
        <w:jc w:val="both"/>
        <w:rPr>
          <w:rFonts w:ascii="仿宋" w:hAnsi="仿宋" w:eastAsia="仿宋" w:cs="Times New Roman"/>
          <w:color w:val="auto"/>
          <w:kern w:val="2"/>
          <w:sz w:val="24"/>
          <w:szCs w:val="24"/>
          <w:highlight w:val="none"/>
          <w:lang w:val="en-US" w:eastAsia="zh-CN" w:bidi="ar-SA"/>
        </w:rPr>
      </w:pPr>
      <w:r>
        <w:rPr>
          <w:rFonts w:ascii="仿宋" w:hAnsi="仿宋" w:eastAsia="仿宋" w:cs="Times New Roman"/>
          <w:color w:val="auto"/>
          <w:kern w:val="2"/>
          <w:sz w:val="24"/>
          <w:szCs w:val="24"/>
          <w:highlight w:val="none"/>
          <w:lang w:val="en-US" w:eastAsia="zh-CN" w:bidi="ar-SA"/>
        </w:rPr>
        <w:t>6</w:t>
      </w:r>
      <w:r>
        <w:rPr>
          <w:rFonts w:hint="eastAsia" w:ascii="仿宋" w:hAnsi="仿宋" w:eastAsia="仿宋" w:cs="Times New Roman"/>
          <w:color w:val="auto"/>
          <w:kern w:val="2"/>
          <w:sz w:val="24"/>
          <w:szCs w:val="24"/>
          <w:highlight w:val="none"/>
          <w:lang w:val="en-US" w:eastAsia="zh-CN" w:bidi="ar-SA"/>
        </w:rPr>
        <w:t>、履约验收：</w:t>
      </w:r>
    </w:p>
    <w:p>
      <w:pPr>
        <w:widowControl w:val="0"/>
        <w:spacing w:line="360" w:lineRule="auto"/>
        <w:ind w:firstLine="0" w:firstLineChars="0"/>
        <w:jc w:val="both"/>
        <w:rPr>
          <w:rFonts w:ascii="仿宋" w:hAnsi="仿宋" w:eastAsia="仿宋" w:cs="Times New Roman"/>
          <w:color w:val="auto"/>
          <w:kern w:val="2"/>
          <w:sz w:val="24"/>
          <w:szCs w:val="24"/>
          <w:highlight w:val="none"/>
          <w:lang w:val="en-US" w:eastAsia="zh-CN" w:bidi="ar-SA"/>
        </w:rPr>
      </w:pPr>
      <w:r>
        <w:rPr>
          <w:rFonts w:ascii="仿宋" w:hAnsi="仿宋" w:eastAsia="仿宋" w:cs="Times New Roman"/>
          <w:color w:val="auto"/>
          <w:kern w:val="2"/>
          <w:sz w:val="24"/>
          <w:szCs w:val="24"/>
          <w:highlight w:val="none"/>
          <w:lang w:val="en-US" w:eastAsia="zh-CN" w:bidi="ar-SA"/>
        </w:rPr>
        <w:t>6</w:t>
      </w:r>
      <w:r>
        <w:rPr>
          <w:rFonts w:hint="eastAsia" w:ascii="仿宋" w:hAnsi="仿宋" w:eastAsia="仿宋" w:cs="Times New Roman"/>
          <w:color w:val="auto"/>
          <w:kern w:val="2"/>
          <w:sz w:val="24"/>
          <w:szCs w:val="24"/>
          <w:highlight w:val="none"/>
          <w:lang w:val="en-US" w:eastAsia="zh-CN" w:bidi="ar-SA"/>
        </w:rPr>
        <w:t>.1严格按照文件要求和成交供应商响应文件内容进行验收；</w:t>
      </w:r>
    </w:p>
    <w:p>
      <w:pPr>
        <w:widowControl w:val="0"/>
        <w:spacing w:line="360" w:lineRule="auto"/>
        <w:ind w:firstLine="0" w:firstLineChars="0"/>
        <w:jc w:val="both"/>
        <w:rPr>
          <w:rFonts w:ascii="仿宋" w:hAnsi="仿宋" w:eastAsia="仿宋" w:cs="Times New Roman"/>
          <w:color w:val="auto"/>
          <w:kern w:val="2"/>
          <w:sz w:val="24"/>
          <w:szCs w:val="24"/>
          <w:highlight w:val="none"/>
          <w:lang w:val="en-US" w:eastAsia="zh-CN" w:bidi="ar-SA"/>
        </w:rPr>
      </w:pPr>
      <w:r>
        <w:rPr>
          <w:rFonts w:ascii="仿宋" w:hAnsi="仿宋" w:eastAsia="仿宋" w:cs="Times New Roman"/>
          <w:color w:val="auto"/>
          <w:kern w:val="2"/>
          <w:sz w:val="24"/>
          <w:szCs w:val="24"/>
          <w:highlight w:val="none"/>
          <w:lang w:val="en-US" w:eastAsia="zh-CN" w:bidi="ar-SA"/>
        </w:rPr>
        <w:t>6</w:t>
      </w:r>
      <w:r>
        <w:rPr>
          <w:rFonts w:hint="eastAsia" w:ascii="仿宋" w:hAnsi="仿宋" w:eastAsia="仿宋" w:cs="Times New Roman"/>
          <w:color w:val="auto"/>
          <w:kern w:val="2"/>
          <w:sz w:val="24"/>
          <w:szCs w:val="24"/>
          <w:highlight w:val="none"/>
          <w:lang w:val="en-US" w:eastAsia="zh-CN" w:bidi="ar-SA"/>
        </w:rPr>
        <w:t>.2按《白蚁预防施工技术规范》进行验收；</w:t>
      </w:r>
    </w:p>
    <w:p>
      <w:pPr>
        <w:widowControl w:val="0"/>
        <w:spacing w:line="360" w:lineRule="auto"/>
        <w:ind w:firstLine="0" w:firstLineChars="0"/>
        <w:jc w:val="both"/>
        <w:rPr>
          <w:rFonts w:hint="default" w:ascii="仿宋" w:hAnsi="仿宋" w:eastAsia="仿宋" w:cs="Times New Roman"/>
          <w:color w:val="auto"/>
          <w:kern w:val="2"/>
          <w:sz w:val="24"/>
          <w:szCs w:val="24"/>
          <w:highlight w:val="none"/>
          <w:lang w:val="en-US" w:eastAsia="zh-CN" w:bidi="ar-SA"/>
        </w:rPr>
      </w:pPr>
      <w:r>
        <w:rPr>
          <w:rFonts w:ascii="仿宋" w:hAnsi="仿宋" w:eastAsia="仿宋" w:cs="Times New Roman"/>
          <w:color w:val="auto"/>
          <w:kern w:val="2"/>
          <w:sz w:val="24"/>
          <w:szCs w:val="24"/>
          <w:highlight w:val="none"/>
          <w:lang w:val="en-US" w:eastAsia="zh-CN" w:bidi="ar-SA"/>
        </w:rPr>
        <w:t>6</w:t>
      </w:r>
      <w:r>
        <w:rPr>
          <w:rFonts w:hint="eastAsia" w:ascii="仿宋" w:hAnsi="仿宋" w:eastAsia="仿宋" w:cs="Times New Roman"/>
          <w:color w:val="auto"/>
          <w:kern w:val="2"/>
          <w:sz w:val="24"/>
          <w:szCs w:val="24"/>
          <w:highlight w:val="none"/>
          <w:lang w:val="en-US" w:eastAsia="zh-CN" w:bidi="ar-SA"/>
        </w:rPr>
        <w:t>.3严格按照政府采购相关法律法规以及《财政部关于进一步加强政府采购需求和履约验收管理的指导意见》（财库〔2016〕205号）的要求进行验收。</w:t>
      </w:r>
    </w:p>
    <w:p>
      <w:pPr>
        <w:keepNext/>
        <w:keepLines/>
        <w:widowControl w:val="0"/>
        <w:spacing w:before="260" w:after="260" w:line="400" w:lineRule="exact"/>
        <w:jc w:val="both"/>
        <w:outlineLvl w:val="1"/>
        <w:rPr>
          <w:rFonts w:hint="default" w:ascii="仿宋" w:hAnsi="仿宋" w:eastAsia="仿宋" w:cs="Times New Roman"/>
          <w:b/>
          <w:bCs/>
          <w:color w:val="auto"/>
          <w:kern w:val="2"/>
          <w:sz w:val="24"/>
          <w:szCs w:val="24"/>
          <w:highlight w:val="none"/>
          <w:lang w:val="en-US" w:eastAsia="zh-CN" w:bidi="ar-SA"/>
        </w:rPr>
      </w:pPr>
      <w:r>
        <w:rPr>
          <w:rFonts w:hint="eastAsia" w:ascii="仿宋" w:hAnsi="仿宋" w:eastAsia="仿宋" w:cs="Times New Roman"/>
          <w:b/>
          <w:bCs/>
          <w:color w:val="auto"/>
          <w:kern w:val="2"/>
          <w:sz w:val="24"/>
          <w:szCs w:val="24"/>
          <w:highlight w:val="none"/>
          <w:lang w:val="en-US" w:eastAsia="zh-CN" w:bidi="ar-SA"/>
        </w:rPr>
        <w:t>三、技术、服务要求</w:t>
      </w:r>
    </w:p>
    <w:p>
      <w:pPr>
        <w:spacing w:line="360" w:lineRule="auto"/>
        <w:rPr>
          <w:color w:val="auto"/>
          <w:highlight w:val="none"/>
        </w:rPr>
      </w:pPr>
      <w:r>
        <w:rPr>
          <w:rFonts w:hint="eastAsia" w:ascii="仿宋" w:hAnsi="仿宋" w:eastAsia="仿宋"/>
          <w:color w:val="auto"/>
          <w:sz w:val="24"/>
          <w:highlight w:val="none"/>
        </w:rPr>
        <w:t>★（一）服务内容</w:t>
      </w:r>
    </w:p>
    <w:p>
      <w:pPr>
        <w:widowControl w:val="0"/>
        <w:spacing w:after="120" w:line="360" w:lineRule="auto"/>
        <w:ind w:firstLine="480" w:firstLineChars="200"/>
        <w:jc w:val="both"/>
        <w:rPr>
          <w:rFonts w:ascii="仿宋" w:hAnsi="仿宋" w:eastAsia="仿宋" w:cs="Times New Roman"/>
          <w:color w:val="auto"/>
          <w:kern w:val="2"/>
          <w:sz w:val="24"/>
          <w:szCs w:val="24"/>
          <w:highlight w:val="none"/>
          <w:lang w:val="en-US" w:eastAsia="zh-CN" w:bidi="ar-SA"/>
        </w:rPr>
      </w:pPr>
      <w:r>
        <w:rPr>
          <w:rFonts w:hint="eastAsia" w:ascii="仿宋" w:hAnsi="仿宋" w:eastAsia="仿宋" w:cs="Times New Roman"/>
          <w:color w:val="auto"/>
          <w:kern w:val="2"/>
          <w:sz w:val="24"/>
          <w:szCs w:val="24"/>
          <w:highlight w:val="none"/>
          <w:lang w:val="en-US" w:eastAsia="zh-CN" w:bidi="ar-SA"/>
        </w:rPr>
        <w:t>未来科技城建设项目新建房屋白蚁防治服务，白蚁防治服务</w:t>
      </w:r>
      <w:r>
        <w:rPr>
          <w:rFonts w:ascii="仿宋" w:hAnsi="仿宋" w:eastAsia="仿宋" w:cs="Times New Roman"/>
          <w:color w:val="auto"/>
          <w:kern w:val="2"/>
          <w:sz w:val="24"/>
          <w:szCs w:val="24"/>
          <w:highlight w:val="none"/>
          <w:lang w:val="en-US" w:eastAsia="zh-CN" w:bidi="ar-SA"/>
        </w:rPr>
        <w:t>内容包括：提供白蚁防治药物，白蚁防治施工，白蚁防治监控装置的采购安装维护，包治期内的复查回访及灭治。</w:t>
      </w:r>
    </w:p>
    <w:p>
      <w:pPr>
        <w:spacing w:line="360" w:lineRule="auto"/>
        <w:rPr>
          <w:color w:val="auto"/>
          <w:highlight w:val="none"/>
        </w:rPr>
      </w:pPr>
      <w:r>
        <w:rPr>
          <w:rFonts w:hint="eastAsia" w:ascii="仿宋" w:hAnsi="仿宋" w:eastAsia="仿宋"/>
          <w:color w:val="auto"/>
          <w:sz w:val="24"/>
          <w:highlight w:val="none"/>
        </w:rPr>
        <w:t>★（二）服务范围</w:t>
      </w:r>
    </w:p>
    <w:p>
      <w:pPr>
        <w:widowControl w:val="0"/>
        <w:spacing w:after="120" w:line="360" w:lineRule="auto"/>
        <w:ind w:left="0" w:leftChars="0" w:firstLine="480" w:firstLineChars="200"/>
        <w:jc w:val="both"/>
        <w:rPr>
          <w:rFonts w:ascii="仿宋" w:hAnsi="仿宋" w:eastAsia="仿宋" w:cs="Times New Roman"/>
          <w:color w:val="auto"/>
          <w:kern w:val="2"/>
          <w:sz w:val="24"/>
          <w:szCs w:val="24"/>
          <w:highlight w:val="none"/>
          <w:lang w:val="en-US" w:eastAsia="zh-CN" w:bidi="ar-SA"/>
        </w:rPr>
      </w:pPr>
      <w:r>
        <w:rPr>
          <w:rFonts w:hint="eastAsia" w:ascii="仿宋" w:hAnsi="仿宋" w:eastAsia="仿宋" w:cs="Times New Roman"/>
          <w:color w:val="auto"/>
          <w:kern w:val="2"/>
          <w:sz w:val="24"/>
          <w:szCs w:val="24"/>
          <w:highlight w:val="none"/>
          <w:lang w:val="en-US" w:eastAsia="zh-CN" w:bidi="ar-SA"/>
        </w:rPr>
        <w:t>采用药物屏障技术对未来科技城在建项目建筑物开展白蚁防治工作，药物屏障服务预计施药面积约为100万㎡，详情如下：</w:t>
      </w:r>
    </w:p>
    <w:tbl>
      <w:tblPr>
        <w:tblStyle w:val="8"/>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97"/>
        <w:gridCol w:w="2706"/>
        <w:gridCol w:w="2018"/>
        <w:gridCol w:w="25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703" w:type="pct"/>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序号</w:t>
            </w:r>
          </w:p>
        </w:tc>
        <w:tc>
          <w:tcPr>
            <w:tcW w:w="1588" w:type="pct"/>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预计需实施项目名称</w:t>
            </w:r>
          </w:p>
        </w:tc>
        <w:tc>
          <w:tcPr>
            <w:tcW w:w="1184" w:type="pct"/>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4"/>
                <w:szCs w:val="24"/>
                <w:highlight w:val="none"/>
                <w:u w:val="none"/>
                <w:lang w:val="en-US" w:eastAsia="zh-CN" w:bidi="ar"/>
              </w:rPr>
            </w:pPr>
            <w:r>
              <w:rPr>
                <w:rFonts w:hint="eastAsia" w:ascii="仿宋" w:hAnsi="仿宋" w:eastAsia="仿宋" w:cs="仿宋"/>
                <w:b/>
                <w:bCs/>
                <w:i w:val="0"/>
                <w:iCs w:val="0"/>
                <w:color w:val="auto"/>
                <w:kern w:val="0"/>
                <w:sz w:val="24"/>
                <w:szCs w:val="24"/>
                <w:highlight w:val="none"/>
                <w:u w:val="none"/>
                <w:lang w:val="en-US" w:eastAsia="zh-CN" w:bidi="ar"/>
              </w:rPr>
              <w:t>总建筑面积</w:t>
            </w:r>
          </w:p>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（m</w:t>
            </w:r>
            <w:r>
              <w:rPr>
                <w:rFonts w:hint="eastAsia" w:ascii="仿宋" w:hAnsi="仿宋" w:eastAsia="仿宋" w:cs="仿宋"/>
                <w:b/>
                <w:bCs/>
                <w:i w:val="0"/>
                <w:iCs w:val="0"/>
                <w:color w:val="auto"/>
                <w:kern w:val="0"/>
                <w:sz w:val="24"/>
                <w:szCs w:val="24"/>
                <w:highlight w:val="none"/>
                <w:u w:val="none"/>
                <w:vertAlign w:val="superscript"/>
                <w:lang w:val="en-US" w:eastAsia="zh-CN" w:bidi="ar"/>
              </w:rPr>
              <w:t>2</w:t>
            </w:r>
            <w:r>
              <w:rPr>
                <w:rFonts w:hint="eastAsia" w:ascii="仿宋" w:hAnsi="仿宋" w:eastAsia="仿宋" w:cs="仿宋"/>
                <w:b/>
                <w:bCs/>
                <w:i w:val="0"/>
                <w:iCs w:val="0"/>
                <w:color w:val="auto"/>
                <w:kern w:val="0"/>
                <w:sz w:val="24"/>
                <w:szCs w:val="24"/>
                <w:highlight w:val="none"/>
                <w:u w:val="none"/>
                <w:lang w:val="en-US" w:eastAsia="zh-CN" w:bidi="ar"/>
              </w:rPr>
              <w:t>)</w:t>
            </w:r>
          </w:p>
        </w:tc>
        <w:tc>
          <w:tcPr>
            <w:tcW w:w="1523" w:type="pct"/>
            <w:vMerge w:val="restart"/>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预计实施进度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exact"/>
        </w:trPr>
        <w:tc>
          <w:tcPr>
            <w:tcW w:w="703" w:type="pct"/>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highlight w:val="none"/>
                <w:u w:val="none"/>
              </w:rPr>
            </w:pPr>
          </w:p>
        </w:tc>
        <w:tc>
          <w:tcPr>
            <w:tcW w:w="1588" w:type="pct"/>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highlight w:val="none"/>
                <w:u w:val="none"/>
              </w:rPr>
            </w:pPr>
          </w:p>
        </w:tc>
        <w:tc>
          <w:tcPr>
            <w:tcW w:w="1184" w:type="pct"/>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highlight w:val="none"/>
                <w:u w:val="none"/>
              </w:rPr>
            </w:pPr>
          </w:p>
        </w:tc>
        <w:tc>
          <w:tcPr>
            <w:tcW w:w="1523" w:type="pct"/>
            <w:vMerge w:val="continue"/>
            <w:tcBorders>
              <w:top w:val="single" w:color="000000" w:sz="8"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b/>
                <w:bCs/>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100" w:hRule="atLeast"/>
        </w:trPr>
        <w:tc>
          <w:tcPr>
            <w:tcW w:w="703"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1</w:t>
            </w:r>
          </w:p>
        </w:tc>
        <w:tc>
          <w:tcPr>
            <w:tcW w:w="1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富士康MCEG项目</w:t>
            </w:r>
          </w:p>
        </w:tc>
        <w:tc>
          <w:tcPr>
            <w:tcW w:w="11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420,000 </w:t>
            </w:r>
          </w:p>
        </w:tc>
        <w:tc>
          <w:tcPr>
            <w:tcW w:w="1523"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2023年实施完成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703"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2</w:t>
            </w:r>
          </w:p>
        </w:tc>
        <w:tc>
          <w:tcPr>
            <w:tcW w:w="1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民航二所B-01地块</w:t>
            </w:r>
          </w:p>
        </w:tc>
        <w:tc>
          <w:tcPr>
            <w:tcW w:w="11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370,000 </w:t>
            </w:r>
          </w:p>
        </w:tc>
        <w:tc>
          <w:tcPr>
            <w:tcW w:w="1523"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预计2023年可部分实施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703"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3</w:t>
            </w:r>
          </w:p>
        </w:tc>
        <w:tc>
          <w:tcPr>
            <w:tcW w:w="1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未来智谷（北区）</w:t>
            </w:r>
          </w:p>
        </w:tc>
        <w:tc>
          <w:tcPr>
            <w:tcW w:w="11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200,000 </w:t>
            </w:r>
          </w:p>
        </w:tc>
        <w:tc>
          <w:tcPr>
            <w:tcW w:w="1523"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预计2023年可部分实施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703"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4</w:t>
            </w:r>
          </w:p>
        </w:tc>
        <w:tc>
          <w:tcPr>
            <w:tcW w:w="1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阿里巴巴IDC（北地块）</w:t>
            </w:r>
          </w:p>
        </w:tc>
        <w:tc>
          <w:tcPr>
            <w:tcW w:w="11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176,200 </w:t>
            </w:r>
          </w:p>
        </w:tc>
        <w:tc>
          <w:tcPr>
            <w:tcW w:w="1523"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2023年实施完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703"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5</w:t>
            </w:r>
          </w:p>
        </w:tc>
        <w:tc>
          <w:tcPr>
            <w:tcW w:w="1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国际科教园四批次</w:t>
            </w:r>
          </w:p>
        </w:tc>
        <w:tc>
          <w:tcPr>
            <w:tcW w:w="11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92,000 </w:t>
            </w:r>
          </w:p>
        </w:tc>
        <w:tc>
          <w:tcPr>
            <w:tcW w:w="1523"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预计2023年可部分实施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703"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6</w:t>
            </w:r>
          </w:p>
        </w:tc>
        <w:tc>
          <w:tcPr>
            <w:tcW w:w="1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福田乡社区工程（三期）</w:t>
            </w:r>
          </w:p>
        </w:tc>
        <w:tc>
          <w:tcPr>
            <w:tcW w:w="11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244,000 </w:t>
            </w:r>
          </w:p>
        </w:tc>
        <w:tc>
          <w:tcPr>
            <w:tcW w:w="1523"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预计2023年可部分实施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703"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7</w:t>
            </w:r>
          </w:p>
        </w:tc>
        <w:tc>
          <w:tcPr>
            <w:tcW w:w="1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草池街道罗家村社区工程三期</w:t>
            </w:r>
          </w:p>
        </w:tc>
        <w:tc>
          <w:tcPr>
            <w:tcW w:w="11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411,000 </w:t>
            </w:r>
          </w:p>
        </w:tc>
        <w:tc>
          <w:tcPr>
            <w:tcW w:w="1523"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预计2023年暂达不到实施节点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703"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8</w:t>
            </w:r>
          </w:p>
        </w:tc>
        <w:tc>
          <w:tcPr>
            <w:tcW w:w="1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隔离酒店</w:t>
            </w:r>
          </w:p>
        </w:tc>
        <w:tc>
          <w:tcPr>
            <w:tcW w:w="11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100,000 </w:t>
            </w:r>
          </w:p>
        </w:tc>
        <w:tc>
          <w:tcPr>
            <w:tcW w:w="1523"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2023年实施完成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703"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9</w:t>
            </w:r>
          </w:p>
        </w:tc>
        <w:tc>
          <w:tcPr>
            <w:tcW w:w="1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飞院人才公寓</w:t>
            </w:r>
          </w:p>
        </w:tc>
        <w:tc>
          <w:tcPr>
            <w:tcW w:w="11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300,000 </w:t>
            </w:r>
          </w:p>
        </w:tc>
        <w:tc>
          <w:tcPr>
            <w:tcW w:w="1523"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预计2023年可部分实施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703"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10</w:t>
            </w:r>
          </w:p>
        </w:tc>
        <w:tc>
          <w:tcPr>
            <w:tcW w:w="1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草池街道罗家村社区工程一期一标段</w:t>
            </w:r>
          </w:p>
        </w:tc>
        <w:tc>
          <w:tcPr>
            <w:tcW w:w="11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274,000 </w:t>
            </w:r>
          </w:p>
        </w:tc>
        <w:tc>
          <w:tcPr>
            <w:tcW w:w="1523"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2023年实施完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703"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11</w:t>
            </w:r>
          </w:p>
        </w:tc>
        <w:tc>
          <w:tcPr>
            <w:tcW w:w="1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民航飞行学院天府校区</w:t>
            </w:r>
          </w:p>
        </w:tc>
        <w:tc>
          <w:tcPr>
            <w:tcW w:w="11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1,173,207 </w:t>
            </w:r>
          </w:p>
        </w:tc>
        <w:tc>
          <w:tcPr>
            <w:tcW w:w="1523"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2023年剩余实施面积完成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703"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12</w:t>
            </w:r>
          </w:p>
        </w:tc>
        <w:tc>
          <w:tcPr>
            <w:tcW w:w="1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草池街道罗家村社区工程一期二标段</w:t>
            </w:r>
          </w:p>
        </w:tc>
        <w:tc>
          <w:tcPr>
            <w:tcW w:w="11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62,371 </w:t>
            </w:r>
          </w:p>
        </w:tc>
        <w:tc>
          <w:tcPr>
            <w:tcW w:w="1523"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2023年剩余实施面积完成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703"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13</w:t>
            </w:r>
          </w:p>
        </w:tc>
        <w:tc>
          <w:tcPr>
            <w:tcW w:w="1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玉成乡三益村社区配套工程</w:t>
            </w:r>
          </w:p>
        </w:tc>
        <w:tc>
          <w:tcPr>
            <w:tcW w:w="11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43,000 </w:t>
            </w:r>
          </w:p>
        </w:tc>
        <w:tc>
          <w:tcPr>
            <w:tcW w:w="1523"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2023年剩余实施面积完成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703"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14</w:t>
            </w:r>
          </w:p>
        </w:tc>
        <w:tc>
          <w:tcPr>
            <w:tcW w:w="1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产兴建设智造基地项目（B区）</w:t>
            </w:r>
          </w:p>
        </w:tc>
        <w:tc>
          <w:tcPr>
            <w:tcW w:w="11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395,896 </w:t>
            </w:r>
          </w:p>
        </w:tc>
        <w:tc>
          <w:tcPr>
            <w:tcW w:w="1523"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2023年剩余实施面积完成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2291" w:type="pct"/>
            <w:gridSpan w:val="2"/>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预计总施药面积</w:t>
            </w:r>
          </w:p>
        </w:tc>
        <w:tc>
          <w:tcPr>
            <w:tcW w:w="2708" w:type="pct"/>
            <w:gridSpan w:val="2"/>
            <w:tcBorders>
              <w:top w:val="single" w:color="000000" w:sz="4" w:space="0"/>
              <w:left w:val="single" w:color="000000" w:sz="4" w:space="0"/>
              <w:bottom w:val="single" w:color="000000" w:sz="8" w:space="0"/>
              <w:right w:val="single" w:color="000000" w:sz="8" w:space="0"/>
            </w:tcBorders>
            <w:shd w:val="clear" w:color="auto" w:fill="auto"/>
            <w:vAlign w:val="center"/>
          </w:tcPr>
          <w:p>
            <w:pPr>
              <w:jc w:val="center"/>
              <w:rPr>
                <w:rFonts w:hint="default" w:ascii="仿宋" w:hAnsi="仿宋" w:eastAsia="仿宋" w:cs="仿宋"/>
                <w:b/>
                <w:bCs/>
                <w:i w:val="0"/>
                <w:iCs w:val="0"/>
                <w:color w:val="auto"/>
                <w:sz w:val="24"/>
                <w:szCs w:val="24"/>
                <w:highlight w:val="none"/>
                <w:u w:val="none"/>
                <w:lang w:val="en-US" w:eastAsia="zh-CN"/>
              </w:rPr>
            </w:pPr>
            <w:r>
              <w:rPr>
                <w:rFonts w:hint="eastAsia" w:ascii="仿宋" w:hAnsi="仿宋" w:eastAsia="仿宋" w:cs="仿宋"/>
                <w:b/>
                <w:bCs/>
                <w:i w:val="0"/>
                <w:iCs w:val="0"/>
                <w:color w:val="auto"/>
                <w:sz w:val="24"/>
                <w:szCs w:val="24"/>
                <w:highlight w:val="none"/>
                <w:u w:val="none"/>
                <w:lang w:val="en-US" w:eastAsia="zh-CN"/>
              </w:rPr>
              <w:t>1000000</w:t>
            </w:r>
            <w:r>
              <w:rPr>
                <w:rFonts w:hint="eastAsia" w:ascii="仿宋" w:hAnsi="仿宋" w:eastAsia="仿宋" w:cs="仿宋"/>
                <w:b/>
                <w:bCs/>
                <w:i w:val="0"/>
                <w:iCs w:val="0"/>
                <w:color w:val="auto"/>
                <w:kern w:val="0"/>
                <w:sz w:val="24"/>
                <w:szCs w:val="24"/>
                <w:highlight w:val="none"/>
                <w:u w:val="none"/>
                <w:lang w:val="en-US" w:eastAsia="zh-CN" w:bidi="ar"/>
              </w:rPr>
              <w:t>m</w:t>
            </w:r>
            <w:r>
              <w:rPr>
                <w:rFonts w:hint="eastAsia" w:ascii="仿宋" w:hAnsi="仿宋" w:eastAsia="仿宋" w:cs="仿宋"/>
                <w:b/>
                <w:bCs/>
                <w:i w:val="0"/>
                <w:iCs w:val="0"/>
                <w:color w:val="auto"/>
                <w:kern w:val="0"/>
                <w:sz w:val="24"/>
                <w:szCs w:val="24"/>
                <w:highlight w:val="none"/>
                <w:u w:val="none"/>
                <w:vertAlign w:val="superscript"/>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5000" w:type="pct"/>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 xml:space="preserve">  注：项目及工程量依照现有情况及资料暂估，实际情况以实施施工记录的项目及工程量为准。</w:t>
            </w:r>
          </w:p>
        </w:tc>
      </w:tr>
    </w:tbl>
    <w:p>
      <w:pPr>
        <w:spacing w:line="360" w:lineRule="auto"/>
        <w:rPr>
          <w:rFonts w:ascii="仿宋" w:hAnsi="仿宋" w:eastAsia="仿宋"/>
          <w:color w:val="auto"/>
          <w:sz w:val="24"/>
          <w:highlight w:val="none"/>
        </w:rPr>
      </w:pPr>
    </w:p>
    <w:p>
      <w:pPr>
        <w:spacing w:line="360" w:lineRule="auto"/>
        <w:rPr>
          <w:rFonts w:ascii="仿宋" w:hAnsi="仿宋" w:eastAsia="仿宋" w:cs="Times New Roman"/>
          <w:color w:val="auto"/>
          <w:sz w:val="24"/>
          <w:highlight w:val="none"/>
        </w:rPr>
      </w:pPr>
      <w:r>
        <w:rPr>
          <w:rFonts w:ascii="仿宋" w:hAnsi="仿宋" w:eastAsia="仿宋"/>
          <w:color w:val="auto"/>
          <w:sz w:val="24"/>
          <w:highlight w:val="none"/>
        </w:rPr>
        <w:br w:type="page"/>
      </w:r>
      <w:r>
        <w:rPr>
          <w:rFonts w:hint="eastAsia" w:ascii="仿宋" w:hAnsi="仿宋" w:eastAsia="仿宋" w:cs="Times New Roman"/>
          <w:color w:val="auto"/>
          <w:sz w:val="24"/>
          <w:highlight w:val="none"/>
        </w:rPr>
        <w:t>（三）技术、服务要求</w:t>
      </w:r>
    </w:p>
    <w:p>
      <w:pPr>
        <w:widowControl w:val="0"/>
        <w:spacing w:after="120" w:line="360" w:lineRule="auto"/>
        <w:jc w:val="both"/>
        <w:rPr>
          <w:rFonts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 xml:space="preserve">  </w:t>
      </w:r>
      <w:r>
        <w:rPr>
          <w:rFonts w:hint="eastAsia" w:ascii="仿宋" w:hAnsi="仿宋" w:eastAsia="仿宋" w:cs="Times New Roman"/>
          <w:color w:val="auto"/>
          <w:kern w:val="2"/>
          <w:sz w:val="24"/>
          <w:szCs w:val="24"/>
          <w:highlight w:val="none"/>
          <w:lang w:val="en-US" w:eastAsia="zh-CN" w:bidi="ar-SA"/>
        </w:rPr>
        <w:t xml:space="preserve">   ★1、技术标准及质量要求：按照国家行业标准《房屋白蚁预防技术规程》(JGJ/T 245-2011)、四川省地方标准《白蚁防治技术规程》(DB51/T5012-2013)和四川省(区域性)地方标准《房屋白蚁预防工程药物土壤屏障检测和评价》(DB 510100/T 114-2012)执行。</w:t>
      </w:r>
    </w:p>
    <w:p>
      <w:pPr>
        <w:spacing w:line="360" w:lineRule="auto"/>
        <w:ind w:firstLine="480" w:firstLineChars="200"/>
        <w:rPr>
          <w:rFonts w:ascii="仿宋" w:hAnsi="仿宋" w:eastAsia="仿宋" w:cs="Times New Roman"/>
          <w:color w:val="auto"/>
          <w:sz w:val="24"/>
          <w:highlight w:val="none"/>
        </w:rPr>
      </w:pPr>
      <w:r>
        <w:rPr>
          <w:rFonts w:hint="eastAsia" w:ascii="仿宋" w:hAnsi="仿宋" w:eastAsia="仿宋" w:cs="Times New Roman"/>
          <w:color w:val="auto"/>
          <w:sz w:val="24"/>
          <w:highlight w:val="none"/>
        </w:rPr>
        <w:t>★2、白蚁防治药物要求：</w:t>
      </w:r>
    </w:p>
    <w:p>
      <w:pPr>
        <w:widowControl w:val="0"/>
        <w:spacing w:line="360" w:lineRule="auto"/>
        <w:ind w:firstLine="480" w:firstLineChars="200"/>
        <w:jc w:val="left"/>
        <w:rPr>
          <w:rFonts w:ascii="仿宋" w:hAnsi="仿宋" w:eastAsia="仿宋" w:cs="Times New Roman"/>
          <w:color w:val="auto"/>
          <w:kern w:val="2"/>
          <w:sz w:val="24"/>
          <w:szCs w:val="22"/>
          <w:highlight w:val="none"/>
          <w:lang w:val="en-US" w:eastAsia="zh-CN" w:bidi="ar-SA"/>
        </w:rPr>
      </w:pPr>
      <w:r>
        <w:rPr>
          <w:rFonts w:hint="eastAsia" w:ascii="仿宋" w:hAnsi="仿宋" w:eastAsia="仿宋" w:cs="Times New Roman"/>
          <w:color w:val="auto"/>
          <w:kern w:val="2"/>
          <w:sz w:val="24"/>
          <w:szCs w:val="22"/>
          <w:highlight w:val="none"/>
          <w:lang w:val="en-US" w:eastAsia="zh-CN" w:bidi="ar-SA"/>
        </w:rPr>
        <w:t>所用药物为“卫生杀虫剂”且防治对象为“白蚁”的联苯菊酯悬浮剂、联苯菊酯水乳剂、吡虫啉，符合《中华人民共和国农药管理条例》和国家现行有关产品标准的规定，具备农药标准、生产许可证、农药登记证，具有明确标签、说明书和合格证。严禁使用国家明令禁止生产、撤销登记或禁止使用的药物。需回收全部农药包装废弃物并合法处置；在项目实施过程中，药物使用前提供检测能力范围包含相关白蚁药剂的第三方检验检测机构出具的CMA合格检测报告。</w:t>
      </w:r>
    </w:p>
    <w:p>
      <w:pPr>
        <w:widowControl w:val="0"/>
        <w:spacing w:after="120" w:line="360" w:lineRule="auto"/>
        <w:ind w:firstLine="480" w:firstLineChars="200"/>
        <w:jc w:val="both"/>
        <w:rPr>
          <w:rFonts w:ascii="Times New Roman" w:hAnsi="Times New Roman" w:eastAsia="宋体" w:cs="Times New Roman"/>
          <w:color w:val="auto"/>
          <w:kern w:val="2"/>
          <w:sz w:val="21"/>
          <w:szCs w:val="24"/>
          <w:highlight w:val="none"/>
          <w:lang w:val="en-US" w:eastAsia="zh-CN" w:bidi="ar-SA"/>
        </w:rPr>
      </w:pPr>
      <w:r>
        <w:rPr>
          <w:rFonts w:hint="eastAsia" w:ascii="仿宋" w:hAnsi="仿宋" w:eastAsia="仿宋" w:cs="Times New Roman"/>
          <w:color w:val="auto"/>
          <w:kern w:val="2"/>
          <w:sz w:val="24"/>
          <w:szCs w:val="24"/>
          <w:highlight w:val="none"/>
          <w:lang w:val="en-US" w:eastAsia="zh-CN" w:bidi="ar-SA"/>
        </w:rPr>
        <w:t>▲3、在建项目建筑物白蚁预防施工采用药物屏障技术进行,施药区域应达到技术规程要求的施药标准，不得对未达到施药标准的区域提前施药，也不能错过施药时机。应保证药物土壤屏障的连续均匀，不重复施药，不漏施药，地下室基坑、外围散水、室内地坪施药量应达到3-5L/㎡，散水施药宽度应沿外墙体50cm范围内全面施药，1-3层所有门窗洞全面施药，1层距地面50cm室内墙体全面施药。</w:t>
      </w:r>
    </w:p>
    <w:p>
      <w:pPr>
        <w:spacing w:line="360" w:lineRule="auto"/>
        <w:ind w:firstLine="480" w:firstLineChars="200"/>
        <w:rPr>
          <w:rFonts w:ascii="仿宋" w:hAnsi="仿宋" w:eastAsia="仿宋" w:cs="Times New Roman"/>
          <w:color w:val="auto"/>
          <w:sz w:val="24"/>
          <w:highlight w:val="none"/>
        </w:rPr>
      </w:pPr>
      <w:r>
        <w:rPr>
          <w:rFonts w:hint="eastAsia" w:ascii="仿宋" w:hAnsi="仿宋" w:eastAsia="仿宋" w:cs="Times New Roman"/>
          <w:color w:val="auto"/>
          <w:sz w:val="24"/>
          <w:highlight w:val="none"/>
        </w:rPr>
        <w:t>4、供应商须在其他响应文件中提供《安全承诺书》，格式自拟，应包含但不限于以下内容：</w:t>
      </w:r>
    </w:p>
    <w:p>
      <w:pPr>
        <w:spacing w:line="360" w:lineRule="auto"/>
        <w:ind w:firstLine="480" w:firstLineChars="200"/>
        <w:rPr>
          <w:rFonts w:ascii="仿宋" w:hAnsi="仿宋" w:eastAsia="仿宋" w:cs="Times New Roman"/>
          <w:color w:val="auto"/>
          <w:sz w:val="24"/>
          <w:highlight w:val="none"/>
        </w:rPr>
      </w:pPr>
      <w:r>
        <w:rPr>
          <w:rFonts w:hint="eastAsia" w:ascii="仿宋" w:hAnsi="仿宋" w:eastAsia="仿宋" w:cs="Times New Roman"/>
          <w:color w:val="auto"/>
          <w:sz w:val="24"/>
          <w:highlight w:val="none"/>
        </w:rPr>
        <w:t>▲4.1承诺在白蚁防治期间，严格按照相关法律法规，明确安全责任，服从相关主管部门的日常管理和检查。</w:t>
      </w:r>
    </w:p>
    <w:p>
      <w:pPr>
        <w:spacing w:line="360" w:lineRule="auto"/>
        <w:ind w:firstLine="480" w:firstLineChars="20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▲4.2承诺对本单位白蚁防治人员进行安全教育，有健全的安全管理制度和培训教育记录，保证白蚁防治人员安全、规范操作。</w:t>
      </w:r>
    </w:p>
    <w:p>
      <w:pPr>
        <w:spacing w:line="360" w:lineRule="auto"/>
        <w:ind w:firstLine="480" w:firstLineChars="200"/>
        <w:rPr>
          <w:rFonts w:ascii="仿宋" w:hAnsi="仿宋" w:eastAsia="仿宋" w:cs="Times New Roman"/>
          <w:color w:val="auto"/>
          <w:sz w:val="24"/>
          <w:highlight w:val="none"/>
        </w:rPr>
      </w:pPr>
      <w:r>
        <w:rPr>
          <w:rFonts w:hint="eastAsia" w:ascii="仿宋" w:hAnsi="仿宋" w:eastAsia="仿宋" w:cs="Times New Roman"/>
          <w:color w:val="auto"/>
          <w:sz w:val="24"/>
          <w:highlight w:val="none"/>
        </w:rPr>
        <w:t>▲4.</w:t>
      </w:r>
      <w:r>
        <w:rPr>
          <w:rFonts w:hint="eastAsia" w:ascii="仿宋" w:hAnsi="仿宋" w:eastAsia="仿宋" w:cs="Times New Roman"/>
          <w:color w:val="auto"/>
          <w:sz w:val="24"/>
          <w:highlight w:val="none"/>
          <w:lang w:val="en-US" w:eastAsia="zh-CN"/>
        </w:rPr>
        <w:t>3</w:t>
      </w:r>
      <w:r>
        <w:rPr>
          <w:rFonts w:hint="eastAsia" w:ascii="仿宋" w:hAnsi="仿宋" w:eastAsia="仿宋" w:cs="Times New Roman"/>
          <w:color w:val="auto"/>
          <w:sz w:val="24"/>
          <w:highlight w:val="none"/>
        </w:rPr>
        <w:t>承诺文明防治，保证现场不出现安全事故，设立现场安全负责人，向相关主管部门解释实施情况，保证白蚁防治人员和主管单位及第三方人员、财产安全。如因防治服务发生任何意外或造成人员伤亡，由成交供应商完全负责。</w:t>
      </w:r>
    </w:p>
    <w:p>
      <w:pPr>
        <w:spacing w:line="360" w:lineRule="auto"/>
        <w:ind w:firstLine="480" w:firstLineChars="200"/>
        <w:rPr>
          <w:rFonts w:ascii="仿宋" w:hAnsi="仿宋" w:eastAsia="仿宋" w:cs="Times New Roman"/>
          <w:color w:val="auto"/>
          <w:sz w:val="24"/>
          <w:highlight w:val="none"/>
        </w:rPr>
      </w:pPr>
      <w:r>
        <w:rPr>
          <w:rFonts w:hint="eastAsia" w:ascii="仿宋" w:hAnsi="仿宋" w:eastAsia="仿宋" w:cs="Times New Roman"/>
          <w:color w:val="auto"/>
          <w:sz w:val="24"/>
          <w:highlight w:val="none"/>
        </w:rPr>
        <w:t>▲5、供应商应具备开展白蚁防治施工专用的车辆至少1辆及设施设备至少1个（专用喷洒或喷粉设备）。</w:t>
      </w:r>
    </w:p>
    <w:p>
      <w:pPr>
        <w:spacing w:line="360" w:lineRule="auto"/>
        <w:ind w:firstLine="480" w:firstLineChars="200"/>
        <w:rPr>
          <w:rFonts w:ascii="仿宋" w:hAnsi="仿宋" w:eastAsia="仿宋" w:cs="Times New Roman"/>
          <w:color w:val="auto"/>
          <w:sz w:val="24"/>
          <w:highlight w:val="none"/>
        </w:rPr>
      </w:pPr>
      <w:r>
        <w:rPr>
          <w:rFonts w:hint="eastAsia" w:ascii="仿宋" w:hAnsi="仿宋" w:eastAsia="仿宋" w:cs="Times New Roman"/>
          <w:color w:val="auto"/>
          <w:sz w:val="24"/>
          <w:highlight w:val="none"/>
        </w:rPr>
        <w:t>▲6、供应商在采用药物屏障技术进行新建房屋白蚁预防施工时须对每个工程每次施工的过程进行影像收集，并做好标记及时提交至采购人。</w:t>
      </w:r>
    </w:p>
    <w:p>
      <w:pPr>
        <w:widowControl w:val="0"/>
        <w:spacing w:after="120" w:line="360" w:lineRule="auto"/>
        <w:ind w:firstLine="480"/>
        <w:jc w:val="both"/>
        <w:rPr>
          <w:rFonts w:ascii="仿宋" w:hAnsi="仿宋" w:eastAsia="仿宋" w:cs="Times New Roman"/>
          <w:color w:val="auto"/>
          <w:kern w:val="2"/>
          <w:sz w:val="24"/>
          <w:szCs w:val="24"/>
          <w:highlight w:val="none"/>
          <w:lang w:val="en-US" w:eastAsia="zh-CN" w:bidi="ar-SA"/>
        </w:rPr>
      </w:pPr>
      <w:r>
        <w:rPr>
          <w:rFonts w:hint="eastAsia" w:ascii="仿宋" w:hAnsi="仿宋" w:eastAsia="仿宋" w:cs="Times New Roman"/>
          <w:color w:val="auto"/>
          <w:kern w:val="2"/>
          <w:sz w:val="24"/>
          <w:szCs w:val="24"/>
          <w:highlight w:val="none"/>
          <w:lang w:val="en-US" w:eastAsia="zh-CN" w:bidi="ar-SA"/>
        </w:rPr>
        <w:t>▲</w:t>
      </w:r>
      <w:r>
        <w:rPr>
          <w:rFonts w:ascii="仿宋" w:hAnsi="仿宋" w:eastAsia="仿宋" w:cs="Times New Roman"/>
          <w:color w:val="auto"/>
          <w:kern w:val="2"/>
          <w:sz w:val="24"/>
          <w:szCs w:val="24"/>
          <w:highlight w:val="none"/>
          <w:lang w:val="en-US" w:eastAsia="zh-CN" w:bidi="ar-SA"/>
        </w:rPr>
        <w:t>7</w:t>
      </w:r>
      <w:r>
        <w:rPr>
          <w:rFonts w:hint="eastAsia" w:ascii="仿宋" w:hAnsi="仿宋" w:eastAsia="仿宋" w:cs="Times New Roman"/>
          <w:color w:val="auto"/>
          <w:kern w:val="2"/>
          <w:sz w:val="24"/>
          <w:szCs w:val="24"/>
          <w:highlight w:val="none"/>
          <w:lang w:val="en-US" w:eastAsia="zh-CN" w:bidi="ar-SA"/>
        </w:rPr>
        <w:t>、供应商拟投入项目人员配置至少包含有</w:t>
      </w:r>
      <w:r>
        <w:rPr>
          <w:rFonts w:hint="eastAsia" w:ascii="仿宋" w:hAnsi="仿宋" w:eastAsia="仿宋" w:cs="Times New Roman"/>
          <w:color w:val="auto"/>
          <w:kern w:val="2"/>
          <w:sz w:val="24"/>
          <w:szCs w:val="24"/>
          <w:highlight w:val="none"/>
          <w:lang w:val="en-US" w:eastAsia="zh-Hans" w:bidi="ar-SA"/>
        </w:rPr>
        <w:t>有害生物防治</w:t>
      </w:r>
      <w:r>
        <w:rPr>
          <w:rFonts w:hint="eastAsia" w:ascii="仿宋" w:hAnsi="仿宋" w:eastAsia="仿宋" w:cs="Times New Roman"/>
          <w:color w:val="auto"/>
          <w:kern w:val="2"/>
          <w:sz w:val="24"/>
          <w:szCs w:val="24"/>
          <w:highlight w:val="none"/>
          <w:lang w:val="en-US" w:eastAsia="zh-CN" w:bidi="ar-SA"/>
        </w:rPr>
        <w:t>、</w:t>
      </w:r>
      <w:r>
        <w:rPr>
          <w:rFonts w:hint="eastAsia" w:ascii="仿宋" w:hAnsi="仿宋" w:eastAsia="仿宋" w:cs="Times New Roman"/>
          <w:color w:val="auto"/>
          <w:kern w:val="2"/>
          <w:sz w:val="24"/>
          <w:szCs w:val="24"/>
          <w:highlight w:val="none"/>
          <w:lang w:val="en-US" w:eastAsia="zh-Hans" w:bidi="ar-SA"/>
        </w:rPr>
        <w:t>白蚁</w:t>
      </w:r>
      <w:r>
        <w:rPr>
          <w:rFonts w:hint="eastAsia" w:ascii="仿宋" w:hAnsi="仿宋" w:eastAsia="仿宋" w:cs="Times New Roman"/>
          <w:color w:val="auto"/>
          <w:kern w:val="2"/>
          <w:sz w:val="24"/>
          <w:szCs w:val="24"/>
          <w:highlight w:val="none"/>
          <w:lang w:val="en-US" w:eastAsia="zh-CN" w:bidi="ar-SA"/>
        </w:rPr>
        <w:t>专业</w:t>
      </w:r>
      <w:r>
        <w:rPr>
          <w:rFonts w:hint="default" w:ascii="仿宋" w:hAnsi="仿宋" w:eastAsia="仿宋" w:cs="Times New Roman"/>
          <w:color w:val="auto"/>
          <w:kern w:val="2"/>
          <w:sz w:val="24"/>
          <w:szCs w:val="24"/>
          <w:highlight w:val="none"/>
          <w:lang w:eastAsia="zh-CN" w:bidi="ar-SA"/>
        </w:rPr>
        <w:t>、</w:t>
      </w:r>
      <w:r>
        <w:rPr>
          <w:rFonts w:hint="eastAsia" w:ascii="仿宋" w:hAnsi="仿宋" w:eastAsia="仿宋" w:cs="Times New Roman"/>
          <w:color w:val="auto"/>
          <w:kern w:val="2"/>
          <w:sz w:val="24"/>
          <w:szCs w:val="24"/>
          <w:highlight w:val="none"/>
          <w:lang w:val="en-US" w:eastAsia="zh-CN" w:bidi="ar-SA"/>
        </w:rPr>
        <w:t>检验的专职技术人员各1名。（注：以上要求均需提供相关证书复印件，并加盖供应商单位鲜章）</w:t>
      </w:r>
    </w:p>
    <w:p>
      <w:pPr>
        <w:widowControl w:val="0"/>
        <w:spacing w:after="120" w:line="360" w:lineRule="auto"/>
        <w:ind w:firstLine="480"/>
        <w:jc w:val="both"/>
        <w:rPr>
          <w:rFonts w:ascii="仿宋" w:hAnsi="仿宋" w:eastAsia="仿宋" w:cs="Times New Roman"/>
          <w:color w:val="auto"/>
          <w:kern w:val="2"/>
          <w:sz w:val="24"/>
          <w:szCs w:val="24"/>
          <w:highlight w:val="none"/>
          <w:lang w:val="en-US" w:eastAsia="zh-CN" w:bidi="ar-SA"/>
        </w:rPr>
      </w:pPr>
      <w:r>
        <w:rPr>
          <w:rFonts w:hint="eastAsia" w:ascii="仿宋" w:hAnsi="仿宋" w:eastAsia="仿宋" w:cs="Times New Roman"/>
          <w:color w:val="auto"/>
          <w:kern w:val="2"/>
          <w:sz w:val="24"/>
          <w:szCs w:val="24"/>
          <w:highlight w:val="none"/>
          <w:lang w:val="en-US" w:eastAsia="zh-CN" w:bidi="ar-SA"/>
        </w:rPr>
        <w:t>▲</w:t>
      </w:r>
      <w:r>
        <w:rPr>
          <w:rFonts w:ascii="仿宋" w:hAnsi="仿宋" w:eastAsia="仿宋" w:cs="Times New Roman"/>
          <w:color w:val="auto"/>
          <w:kern w:val="2"/>
          <w:sz w:val="24"/>
          <w:szCs w:val="24"/>
          <w:highlight w:val="none"/>
          <w:lang w:val="en-US" w:eastAsia="zh-CN" w:bidi="ar-SA"/>
        </w:rPr>
        <w:t>8</w:t>
      </w:r>
      <w:r>
        <w:rPr>
          <w:rFonts w:hint="eastAsia" w:ascii="仿宋" w:hAnsi="仿宋" w:eastAsia="仿宋" w:cs="Times New Roman"/>
          <w:color w:val="auto"/>
          <w:kern w:val="2"/>
          <w:sz w:val="24"/>
          <w:szCs w:val="24"/>
          <w:highlight w:val="none"/>
          <w:lang w:val="en-US" w:eastAsia="zh-CN" w:bidi="ar-SA"/>
        </w:rPr>
        <w:t>、供应商具有白蚁防治的资质，项目人员配置中从事白蚁防治的专业人员应持有白蚁或有害生物防治的《岗位证书》。（注：以上要求均需提供有效的相关资质、证书复印件，并加盖供应商单位鲜章）</w:t>
      </w:r>
    </w:p>
    <w:p>
      <w:pPr>
        <w:keepNext/>
        <w:keepLines/>
        <w:widowControl w:val="0"/>
        <w:spacing w:before="260" w:after="260" w:line="400" w:lineRule="exact"/>
        <w:jc w:val="both"/>
        <w:outlineLvl w:val="1"/>
        <w:rPr>
          <w:rFonts w:ascii="仿宋" w:hAnsi="仿宋" w:eastAsia="仿宋" w:cs="Times New Roman"/>
          <w:b/>
          <w:bCs/>
          <w:color w:val="auto"/>
          <w:kern w:val="2"/>
          <w:sz w:val="24"/>
          <w:szCs w:val="32"/>
          <w:highlight w:val="none"/>
          <w:lang w:val="en-US" w:eastAsia="zh-CN" w:bidi="ar-SA"/>
        </w:rPr>
      </w:pPr>
      <w:r>
        <w:rPr>
          <w:rFonts w:hint="eastAsia" w:ascii="仿宋" w:hAnsi="仿宋" w:eastAsia="仿宋" w:cs="Times New Roman"/>
          <w:b/>
          <w:bCs/>
          <w:color w:val="auto"/>
          <w:kern w:val="2"/>
          <w:sz w:val="24"/>
          <w:szCs w:val="32"/>
          <w:highlight w:val="none"/>
          <w:lang w:val="en-US" w:eastAsia="zh-CN" w:bidi="ar-SA"/>
        </w:rPr>
        <w:t>四、其他要求</w:t>
      </w:r>
    </w:p>
    <w:p>
      <w:pPr>
        <w:widowControl w:val="0"/>
        <w:spacing w:after="120" w:line="360" w:lineRule="auto"/>
        <w:ind w:firstLine="566" w:firstLineChars="236"/>
        <w:jc w:val="both"/>
        <w:rPr>
          <w:rFonts w:ascii="仿宋" w:hAnsi="仿宋" w:eastAsia="仿宋" w:cs="Times New Roman"/>
          <w:color w:val="auto"/>
          <w:kern w:val="2"/>
          <w:sz w:val="24"/>
          <w:szCs w:val="24"/>
          <w:highlight w:val="none"/>
          <w:lang w:val="en-US" w:eastAsia="zh-CN" w:bidi="ar-SA"/>
        </w:rPr>
      </w:pPr>
      <w:r>
        <w:rPr>
          <w:rFonts w:hint="eastAsia" w:ascii="仿宋" w:hAnsi="仿宋" w:eastAsia="仿宋" w:cs="Times New Roman"/>
          <w:color w:val="auto"/>
          <w:kern w:val="2"/>
          <w:sz w:val="24"/>
          <w:szCs w:val="24"/>
          <w:highlight w:val="none"/>
          <w:lang w:val="en-US" w:eastAsia="zh-CN" w:bidi="ar-SA"/>
        </w:rPr>
        <w:t>■1、供应商应提供针对本项目的服务实施方案，至少包含以下部分：</w:t>
      </w:r>
    </w:p>
    <w:p>
      <w:pPr>
        <w:widowControl w:val="0"/>
        <w:spacing w:after="120" w:line="360" w:lineRule="auto"/>
        <w:ind w:firstLine="566" w:firstLineChars="236"/>
        <w:jc w:val="both"/>
        <w:rPr>
          <w:rFonts w:ascii="仿宋" w:hAnsi="仿宋" w:eastAsia="仿宋" w:cs="Times New Roman"/>
          <w:color w:val="auto"/>
          <w:kern w:val="2"/>
          <w:sz w:val="24"/>
          <w:szCs w:val="24"/>
          <w:highlight w:val="none"/>
          <w:lang w:val="en-US" w:eastAsia="zh-CN" w:bidi="ar-SA"/>
        </w:rPr>
      </w:pPr>
      <w:r>
        <w:rPr>
          <w:rFonts w:hint="eastAsia" w:ascii="仿宋" w:hAnsi="仿宋" w:eastAsia="仿宋" w:cs="Times New Roman"/>
          <w:color w:val="auto"/>
          <w:kern w:val="2"/>
          <w:sz w:val="24"/>
          <w:szCs w:val="24"/>
          <w:highlight w:val="none"/>
          <w:lang w:val="en-US" w:eastAsia="zh-CN" w:bidi="ar-SA"/>
        </w:rPr>
        <w:t>①白蚁防治服务总体技术方案；</w:t>
      </w:r>
    </w:p>
    <w:p>
      <w:pPr>
        <w:widowControl w:val="0"/>
        <w:spacing w:after="120" w:line="360" w:lineRule="auto"/>
        <w:ind w:firstLine="566" w:firstLineChars="236"/>
        <w:jc w:val="both"/>
        <w:rPr>
          <w:rFonts w:ascii="仿宋" w:hAnsi="仿宋" w:eastAsia="仿宋" w:cs="Times New Roman"/>
          <w:color w:val="auto"/>
          <w:kern w:val="2"/>
          <w:sz w:val="24"/>
          <w:szCs w:val="24"/>
          <w:highlight w:val="none"/>
          <w:lang w:val="en-US" w:eastAsia="zh-CN" w:bidi="ar-SA"/>
        </w:rPr>
      </w:pPr>
      <w:r>
        <w:rPr>
          <w:rFonts w:hint="eastAsia" w:ascii="仿宋" w:hAnsi="仿宋" w:eastAsia="仿宋" w:cs="Times New Roman"/>
          <w:color w:val="auto"/>
          <w:kern w:val="2"/>
          <w:sz w:val="24"/>
          <w:szCs w:val="24"/>
          <w:highlight w:val="none"/>
          <w:lang w:val="en-US" w:eastAsia="zh-CN" w:bidi="ar-SA"/>
        </w:rPr>
        <w:t>②白蚁防治服务实施方案；</w:t>
      </w:r>
    </w:p>
    <w:p>
      <w:pPr>
        <w:widowControl w:val="0"/>
        <w:spacing w:after="120" w:line="360" w:lineRule="auto"/>
        <w:ind w:firstLine="566" w:firstLineChars="236"/>
        <w:jc w:val="both"/>
        <w:rPr>
          <w:rFonts w:ascii="仿宋" w:hAnsi="仿宋" w:eastAsia="仿宋" w:cs="Times New Roman"/>
          <w:color w:val="auto"/>
          <w:kern w:val="2"/>
          <w:sz w:val="24"/>
          <w:szCs w:val="24"/>
          <w:highlight w:val="none"/>
          <w:lang w:val="en-US" w:eastAsia="zh-CN" w:bidi="ar-SA"/>
        </w:rPr>
      </w:pPr>
      <w:r>
        <w:rPr>
          <w:rFonts w:hint="eastAsia" w:ascii="仿宋" w:hAnsi="仿宋" w:eastAsia="仿宋" w:cs="Times New Roman"/>
          <w:color w:val="auto"/>
          <w:kern w:val="2"/>
          <w:sz w:val="24"/>
          <w:szCs w:val="24"/>
          <w:highlight w:val="none"/>
          <w:lang w:val="en-US" w:eastAsia="zh-CN" w:bidi="ar-SA"/>
        </w:rPr>
        <w:t>③服务质量保证和承诺；</w:t>
      </w:r>
    </w:p>
    <w:p>
      <w:pPr>
        <w:widowControl w:val="0"/>
        <w:spacing w:after="120" w:line="360" w:lineRule="auto"/>
        <w:ind w:firstLine="566" w:firstLineChars="236"/>
        <w:jc w:val="both"/>
        <w:rPr>
          <w:rFonts w:ascii="仿宋" w:hAnsi="仿宋" w:eastAsia="仿宋" w:cs="Times New Roman"/>
          <w:color w:val="auto"/>
          <w:kern w:val="2"/>
          <w:sz w:val="24"/>
          <w:szCs w:val="24"/>
          <w:highlight w:val="none"/>
          <w:lang w:val="en-US" w:eastAsia="zh-CN" w:bidi="ar-SA"/>
        </w:rPr>
      </w:pPr>
      <w:r>
        <w:rPr>
          <w:rFonts w:hint="eastAsia" w:ascii="仿宋" w:hAnsi="仿宋" w:eastAsia="仿宋" w:cs="Times New Roman"/>
          <w:color w:val="auto"/>
          <w:kern w:val="2"/>
          <w:sz w:val="24"/>
          <w:szCs w:val="24"/>
          <w:highlight w:val="none"/>
          <w:lang w:val="en-US" w:eastAsia="zh-CN" w:bidi="ar-SA"/>
        </w:rPr>
        <w:t>④工作进度计划及保证措施；</w:t>
      </w:r>
    </w:p>
    <w:p>
      <w:pPr>
        <w:widowControl w:val="0"/>
        <w:spacing w:after="120" w:line="360" w:lineRule="auto"/>
        <w:ind w:firstLine="566" w:firstLineChars="236"/>
        <w:jc w:val="both"/>
        <w:rPr>
          <w:rFonts w:ascii="仿宋" w:hAnsi="仿宋" w:eastAsia="仿宋" w:cs="Times New Roman"/>
          <w:color w:val="auto"/>
          <w:kern w:val="2"/>
          <w:sz w:val="24"/>
          <w:szCs w:val="24"/>
          <w:highlight w:val="none"/>
          <w:lang w:val="en-US" w:eastAsia="zh-CN" w:bidi="ar-SA"/>
        </w:rPr>
      </w:pPr>
      <w:r>
        <w:rPr>
          <w:rFonts w:hint="eastAsia" w:ascii="仿宋" w:hAnsi="仿宋" w:eastAsia="仿宋" w:cs="Times New Roman"/>
          <w:color w:val="auto"/>
          <w:kern w:val="2"/>
          <w:sz w:val="24"/>
          <w:szCs w:val="24"/>
          <w:highlight w:val="none"/>
          <w:lang w:val="en-US" w:eastAsia="zh-CN" w:bidi="ar-SA"/>
        </w:rPr>
        <w:t>⑤后期服务方案。</w:t>
      </w:r>
    </w:p>
    <w:p>
      <w:pPr>
        <w:widowControl w:val="0"/>
        <w:spacing w:after="120" w:line="360" w:lineRule="auto"/>
        <w:ind w:firstLine="566" w:firstLineChars="236"/>
        <w:jc w:val="both"/>
        <w:rPr>
          <w:rFonts w:ascii="仿宋" w:hAnsi="仿宋" w:eastAsia="仿宋" w:cs="Times New Roman"/>
          <w:color w:val="auto"/>
          <w:kern w:val="2"/>
          <w:sz w:val="24"/>
          <w:szCs w:val="24"/>
          <w:highlight w:val="none"/>
          <w:lang w:val="en-US" w:eastAsia="zh-CN" w:bidi="ar-SA"/>
        </w:rPr>
      </w:pPr>
      <w:r>
        <w:rPr>
          <w:rFonts w:hint="eastAsia" w:ascii="仿宋" w:hAnsi="仿宋" w:eastAsia="仿宋" w:cs="Times New Roman"/>
          <w:color w:val="auto"/>
          <w:kern w:val="2"/>
          <w:sz w:val="24"/>
          <w:szCs w:val="24"/>
          <w:highlight w:val="none"/>
          <w:lang w:val="en-US" w:eastAsia="zh-CN" w:bidi="ar-SA"/>
        </w:rPr>
        <w:t>■2、供应商应提供针对本项目的应急处理方案，至少包含以下部分：</w:t>
      </w:r>
    </w:p>
    <w:p>
      <w:pPr>
        <w:widowControl w:val="0"/>
        <w:spacing w:after="120" w:line="360" w:lineRule="auto"/>
        <w:ind w:firstLine="566" w:firstLineChars="236"/>
        <w:jc w:val="both"/>
        <w:rPr>
          <w:rFonts w:ascii="仿宋" w:hAnsi="仿宋" w:eastAsia="仿宋" w:cs="Times New Roman"/>
          <w:color w:val="auto"/>
          <w:kern w:val="2"/>
          <w:sz w:val="24"/>
          <w:szCs w:val="24"/>
          <w:highlight w:val="none"/>
          <w:lang w:val="en-US" w:eastAsia="zh-CN" w:bidi="ar-SA"/>
        </w:rPr>
      </w:pPr>
      <w:r>
        <w:rPr>
          <w:rFonts w:hint="eastAsia" w:ascii="仿宋" w:hAnsi="仿宋" w:eastAsia="仿宋" w:cs="Times New Roman"/>
          <w:color w:val="auto"/>
          <w:kern w:val="2"/>
          <w:sz w:val="24"/>
          <w:szCs w:val="24"/>
          <w:highlight w:val="none"/>
          <w:lang w:val="en-US" w:eastAsia="zh-CN" w:bidi="ar-SA"/>
        </w:rPr>
        <w:t>①应急处理措施；</w:t>
      </w:r>
    </w:p>
    <w:p>
      <w:pPr>
        <w:widowControl w:val="0"/>
        <w:spacing w:after="120" w:line="360" w:lineRule="auto"/>
        <w:ind w:firstLine="566" w:firstLineChars="236"/>
        <w:jc w:val="both"/>
        <w:rPr>
          <w:rFonts w:ascii="仿宋" w:hAnsi="仿宋" w:eastAsia="仿宋" w:cs="Times New Roman"/>
          <w:color w:val="auto"/>
          <w:kern w:val="2"/>
          <w:sz w:val="24"/>
          <w:szCs w:val="24"/>
          <w:highlight w:val="none"/>
          <w:lang w:val="en-US" w:eastAsia="zh-CN" w:bidi="ar-SA"/>
        </w:rPr>
      </w:pPr>
      <w:r>
        <w:rPr>
          <w:rFonts w:hint="eastAsia" w:ascii="仿宋" w:hAnsi="仿宋" w:eastAsia="仿宋" w:cs="Times New Roman"/>
          <w:color w:val="auto"/>
          <w:kern w:val="2"/>
          <w:sz w:val="24"/>
          <w:szCs w:val="24"/>
          <w:highlight w:val="none"/>
          <w:lang w:val="en-US" w:eastAsia="zh-CN" w:bidi="ar-SA"/>
        </w:rPr>
        <w:t>②应急处理岗位设置；</w:t>
      </w:r>
    </w:p>
    <w:p>
      <w:pPr>
        <w:widowControl w:val="0"/>
        <w:spacing w:after="120" w:line="360" w:lineRule="auto"/>
        <w:ind w:firstLine="566" w:firstLineChars="236"/>
        <w:jc w:val="both"/>
        <w:rPr>
          <w:rFonts w:ascii="仿宋" w:hAnsi="仿宋" w:eastAsia="仿宋" w:cs="Times New Roman"/>
          <w:color w:val="auto"/>
          <w:kern w:val="2"/>
          <w:sz w:val="24"/>
          <w:szCs w:val="24"/>
          <w:highlight w:val="none"/>
          <w:lang w:val="en-US" w:eastAsia="zh-CN" w:bidi="ar-SA"/>
        </w:rPr>
      </w:pPr>
      <w:r>
        <w:rPr>
          <w:rFonts w:hint="eastAsia" w:ascii="仿宋" w:hAnsi="仿宋" w:eastAsia="仿宋" w:cs="Times New Roman"/>
          <w:color w:val="auto"/>
          <w:kern w:val="2"/>
          <w:sz w:val="24"/>
          <w:szCs w:val="24"/>
          <w:highlight w:val="none"/>
          <w:lang w:val="en-US" w:eastAsia="zh-CN" w:bidi="ar-SA"/>
        </w:rPr>
        <w:t>③实施流程；</w:t>
      </w:r>
    </w:p>
    <w:p>
      <w:r>
        <w:rPr>
          <w:rFonts w:hint="eastAsia" w:ascii="仿宋" w:hAnsi="仿宋" w:eastAsia="仿宋" w:cs="Times New Roman"/>
          <w:color w:val="auto"/>
          <w:kern w:val="2"/>
          <w:sz w:val="24"/>
          <w:szCs w:val="24"/>
          <w:highlight w:val="none"/>
          <w:lang w:val="en-US" w:eastAsia="zh-CN" w:bidi="ar-SA"/>
        </w:rPr>
        <w:t>④安全防护措施。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0ZjA3YTBiZWNkOTQ0OGQyZTM2ZjcxOThmN2E5MDMifQ=="/>
  </w:docVars>
  <w:rsids>
    <w:rsidRoot w:val="00000000"/>
    <w:rsid w:val="4B080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5">
    <w:name w:val="Normal Indent"/>
    <w:basedOn w:val="1"/>
    <w:qFormat/>
    <w:uiPriority w:val="0"/>
    <w:pPr>
      <w:ind w:firstLine="420" w:firstLineChars="200"/>
    </w:pPr>
  </w:style>
  <w:style w:type="paragraph" w:styleId="6">
    <w:name w:val="annotation text"/>
    <w:basedOn w:val="1"/>
    <w:qFormat/>
    <w:uiPriority w:val="0"/>
    <w:pPr>
      <w:jc w:val="left"/>
    </w:pPr>
    <w:rPr>
      <w:rFonts w:asciiTheme="minorHAnsi" w:hAnsiTheme="minorHAnsi" w:eastAsiaTheme="minorEastAsia" w:cstheme="minorBidi"/>
      <w:sz w:val="18"/>
      <w:szCs w:val="22"/>
    </w:rPr>
  </w:style>
  <w:style w:type="paragraph" w:styleId="7">
    <w:name w:val="Body Text Indent 2"/>
    <w:basedOn w:val="1"/>
    <w:qFormat/>
    <w:uiPriority w:val="0"/>
    <w:pPr>
      <w:spacing w:after="120" w:line="480" w:lineRule="auto"/>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2022-11-24T02:23:43Z</dcterms:created>
  <dc:creator>Admin</dc:creator>
  <cp:lastModifiedBy>Zhu_qh</cp:lastModifiedBy>
  <dcterms:modified xsi:type="dcterms:W3CDTF">2022-11-24T02:24:49Z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A85A383388E248EEBF805D22174B7A68</vt:lpwstr>
  </property>
</Properties>
</file>