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重庆市梁平区卫生健康委员会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采购</w:t>
      </w:r>
      <w:r>
        <w:rPr>
          <w:rFonts w:hint="eastAsia" w:ascii="黑体" w:hAnsi="黑体" w:eastAsia="黑体"/>
          <w:b/>
          <w:bCs/>
          <w:color w:val="000000" w:themeColor="text1"/>
          <w:spacing w:val="0"/>
          <w:sz w:val="44"/>
          <w:szCs w:val="44"/>
          <w:lang w:val="en-US" w:eastAsia="zh-CN"/>
          <w14:textFill>
            <w14:solidFill>
              <w14:schemeClr w14:val="tx1"/>
            </w14:solidFill>
          </w14:textFill>
        </w:rPr>
        <w:t>2022年</w:t>
      </w:r>
      <w:r>
        <w:rPr>
          <w:rFonts w:hint="eastAsia" w:ascii="黑体" w:hAnsi="黑体" w:eastAsia="黑体"/>
          <w:b/>
          <w:bCs/>
          <w:color w:val="000000" w:themeColor="text1"/>
          <w:spacing w:val="0"/>
          <w:sz w:val="44"/>
          <w:szCs w:val="44"/>
          <w:lang w:eastAsia="zh-CN"/>
          <w14:textFill>
            <w14:solidFill>
              <w14:schemeClr w14:val="tx1"/>
            </w14:solidFill>
          </w14:textFill>
        </w:rPr>
        <w:t>秋季</w:t>
      </w:r>
      <w:r>
        <w:rPr>
          <w:rFonts w:hint="eastAsia" w:ascii="黑体" w:hAnsi="黑体" w:eastAsia="黑体"/>
          <w:b/>
          <w:bCs/>
          <w:color w:val="000000" w:themeColor="text1"/>
          <w:spacing w:val="0"/>
          <w:sz w:val="44"/>
          <w:szCs w:val="44"/>
          <w:lang w:val="en-US" w:eastAsia="zh-CN"/>
          <w14:textFill>
            <w14:solidFill>
              <w14:schemeClr w14:val="tx1"/>
            </w14:solidFill>
          </w14:textFill>
        </w:rPr>
        <w:t>灭鼠药品询价邀请函</w:t>
      </w:r>
    </w:p>
    <w:p>
      <w:pPr>
        <w:pageBreakBefore w:val="0"/>
        <w:kinsoku/>
        <w:wordWrap/>
        <w:overflowPunct/>
        <w:topLinePunct w:val="0"/>
        <w:autoSpaceDE/>
        <w:autoSpaceDN/>
        <w:bidi w:val="0"/>
        <w:adjustRightInd/>
        <w:spacing w:line="500" w:lineRule="exact"/>
        <w:jc w:val="center"/>
        <w:outlineLvl w:val="0"/>
        <w:rPr>
          <w:rFonts w:hint="eastAsia" w:ascii="方正仿宋_GBK" w:hAnsi="方正仿宋_GBK" w:eastAsia="方正仿宋_GBK" w:cs="方正仿宋_GBK"/>
          <w:b/>
          <w:bCs/>
          <w:color w:val="FF0000"/>
          <w:spacing w:val="80"/>
          <w:sz w:val="28"/>
          <w:szCs w:val="28"/>
        </w:rPr>
      </w:pP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lang w:eastAsia="zh-CN"/>
        </w:rPr>
      </w:pPr>
      <w:bookmarkStart w:id="0" w:name="_Toc12680"/>
      <w:bookmarkStart w:id="1" w:name="_Toc4745"/>
      <w:bookmarkStart w:id="2" w:name="_Toc521661359"/>
      <w:bookmarkStart w:id="3" w:name="_Toc1363"/>
      <w:bookmarkStart w:id="4" w:name="_Toc7648"/>
      <w:r>
        <w:rPr>
          <w:rFonts w:hint="eastAsia" w:ascii="方正仿宋_GBK" w:hAnsi="方正仿宋_GBK" w:eastAsia="方正仿宋_GBK" w:cs="方正仿宋_GBK"/>
          <w:sz w:val="28"/>
          <w:szCs w:val="28"/>
          <w:lang w:eastAsia="zh-CN"/>
        </w:rPr>
        <w:t>致有关商家：</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梁平区卫生健康委员会拟采购一批灭鼠药品。现邀请合格厂商参加本次采购活动，并提供采购人要求的服务。</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一、询比采购内容</w:t>
      </w:r>
    </w:p>
    <w:tbl>
      <w:tblPr>
        <w:tblStyle w:val="7"/>
        <w:tblW w:w="9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2785"/>
        <w:gridCol w:w="1485"/>
        <w:gridCol w:w="1020"/>
        <w:gridCol w:w="127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67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项目名称</w:t>
            </w: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lang w:eastAsia="zh-CN"/>
              </w:rPr>
            </w:pPr>
            <w:r>
              <w:rPr>
                <w:rFonts w:hint="eastAsia" w:ascii="方正仿宋_GBK" w:hAnsi="方正仿宋_GBK" w:eastAsia="方正仿宋_GBK" w:cs="方正仿宋_GBK"/>
                <w:b/>
                <w:bCs/>
                <w:kern w:val="0"/>
                <w:sz w:val="28"/>
                <w:szCs w:val="28"/>
                <w:lang w:eastAsia="zh-CN"/>
              </w:rPr>
              <w:t>项目采购商品名称</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lang w:eastAsia="zh-CN"/>
              </w:rPr>
            </w:pPr>
            <w:r>
              <w:rPr>
                <w:rFonts w:hint="eastAsia" w:ascii="方正仿宋_GBK" w:hAnsi="方正仿宋_GBK" w:eastAsia="方正仿宋_GBK" w:cs="方正仿宋_GBK"/>
                <w:b/>
                <w:bCs/>
                <w:kern w:val="0"/>
                <w:sz w:val="28"/>
                <w:szCs w:val="28"/>
                <w:lang w:eastAsia="zh-CN"/>
              </w:rPr>
              <w:t>数量</w:t>
            </w: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lang w:eastAsia="zh-CN"/>
              </w:rPr>
              <w:t>单价限价</w:t>
            </w:r>
            <w:r>
              <w:rPr>
                <w:rFonts w:hint="eastAsia" w:ascii="方正仿宋_GBK" w:hAnsi="方正仿宋_GBK" w:eastAsia="方正仿宋_GBK" w:cs="方正仿宋_GBK"/>
                <w:b/>
                <w:bCs/>
                <w:kern w:val="0"/>
                <w:sz w:val="28"/>
                <w:szCs w:val="28"/>
              </w:rPr>
              <w:t>（元）</w:t>
            </w: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lang w:eastAsia="zh-CN"/>
              </w:rPr>
              <w:t>总金额限价</w:t>
            </w:r>
            <w:r>
              <w:rPr>
                <w:rFonts w:hint="eastAsia" w:ascii="方正仿宋_GBK" w:hAnsi="方正仿宋_GBK" w:eastAsia="方正仿宋_GBK" w:cs="方正仿宋_GBK"/>
                <w:b/>
                <w:bCs/>
                <w:kern w:val="0"/>
                <w:sz w:val="28"/>
                <w:szCs w:val="28"/>
              </w:rPr>
              <w:t>（元）</w:t>
            </w:r>
          </w:p>
        </w:tc>
        <w:tc>
          <w:tcPr>
            <w:tcW w:w="916"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color w:val="FF0000"/>
                <w:kern w:val="0"/>
                <w:sz w:val="28"/>
                <w:szCs w:val="28"/>
              </w:rPr>
            </w:pPr>
            <w:r>
              <w:rPr>
                <w:rFonts w:hint="eastAsia" w:ascii="方正仿宋_GBK" w:hAnsi="方正仿宋_GBK" w:eastAsia="方正仿宋_GBK" w:cs="方正仿宋_GBK"/>
                <w:i w:val="0"/>
                <w:color w:val="000000"/>
                <w:kern w:val="0"/>
                <w:sz w:val="28"/>
                <w:szCs w:val="28"/>
                <w:u w:val="none"/>
                <w:lang w:val="en-US" w:eastAsia="zh-CN" w:bidi="ar"/>
              </w:rPr>
              <w:t>2022年秋季灭鼠药品</w:t>
            </w:r>
          </w:p>
        </w:tc>
        <w:tc>
          <w:tcPr>
            <w:tcW w:w="27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i w:val="0"/>
                <w:color w:val="000000"/>
                <w:kern w:val="0"/>
                <w:sz w:val="28"/>
                <w:szCs w:val="28"/>
                <w:u w:val="none"/>
                <w:lang w:val="en-US" w:eastAsia="zh-CN" w:bidi="ar"/>
              </w:rPr>
              <w:t>0.005%溴敌隆（颗粒）</w:t>
            </w:r>
          </w:p>
        </w:tc>
        <w:tc>
          <w:tcPr>
            <w:tcW w:w="148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5000千克</w:t>
            </w:r>
          </w:p>
        </w:tc>
        <w:tc>
          <w:tcPr>
            <w:tcW w:w="102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ascii="方正仿宋_GBK" w:hAnsi="方正仿宋_GBK" w:eastAsia="方正仿宋_GBK" w:cs="方正仿宋_GBK"/>
                <w:color w:val="000000" w:themeColor="text1"/>
                <w:kern w:val="0"/>
                <w:sz w:val="28"/>
                <w:szCs w:val="28"/>
                <w:lang w:val="en-US"/>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10</w:t>
            </w:r>
          </w:p>
        </w:tc>
        <w:tc>
          <w:tcPr>
            <w:tcW w:w="1271"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50000</w:t>
            </w:r>
          </w:p>
        </w:tc>
        <w:tc>
          <w:tcPr>
            <w:tcW w:w="916"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500" w:lineRule="exact"/>
              <w:jc w:val="center"/>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财政预算资金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sz w:val="28"/>
                <w:szCs w:val="28"/>
              </w:rPr>
            </w:pP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i w:val="0"/>
                <w:color w:val="000000"/>
                <w:kern w:val="0"/>
                <w:sz w:val="28"/>
                <w:szCs w:val="28"/>
                <w:u w:val="none"/>
                <w:lang w:val="en-US" w:eastAsia="zh-CN" w:bidi="ar"/>
              </w:rPr>
              <w:t>粘鼠板</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7000张</w:t>
            </w: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4.2</w:t>
            </w: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29400</w:t>
            </w:r>
          </w:p>
        </w:tc>
        <w:tc>
          <w:tcPr>
            <w:tcW w:w="916"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75"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27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合计</w:t>
            </w:r>
          </w:p>
        </w:tc>
        <w:tc>
          <w:tcPr>
            <w:tcW w:w="1485"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102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c>
          <w:tcPr>
            <w:tcW w:w="1271"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default" w:eastAsia="方正仿宋_GBK" w:cs="Times New Roman"/>
                <w:color w:val="000000" w:themeColor="text1"/>
                <w:sz w:val="28"/>
                <w:szCs w:val="28"/>
                <w:lang w:val="en-US" w:eastAsia="zh-CN"/>
                <w14:textFill>
                  <w14:solidFill>
                    <w14:schemeClr w14:val="tx1"/>
                  </w14:solidFill>
                </w14:textFill>
              </w:rPr>
            </w:pPr>
            <w:r>
              <w:rPr>
                <w:rFonts w:hint="eastAsia" w:eastAsia="方正仿宋_GBK" w:cs="Times New Roman"/>
                <w:color w:val="000000" w:themeColor="text1"/>
                <w:sz w:val="28"/>
                <w:szCs w:val="28"/>
                <w:lang w:val="en-US" w:eastAsia="zh-CN"/>
                <w14:textFill>
                  <w14:solidFill>
                    <w14:schemeClr w14:val="tx1"/>
                  </w14:solidFill>
                </w14:textFill>
              </w:rPr>
              <w:t>79400</w:t>
            </w:r>
          </w:p>
        </w:tc>
        <w:tc>
          <w:tcPr>
            <w:tcW w:w="916" w:type="dxa"/>
            <w:vMerge w:val="continue"/>
            <w:tcBorders>
              <w:left w:val="single" w:color="auto" w:sz="4" w:space="0"/>
              <w:right w:val="single" w:color="auto" w:sz="4" w:space="0"/>
            </w:tcBorders>
            <w:vAlign w:val="center"/>
          </w:tcPr>
          <w:p>
            <w:pPr>
              <w:pageBreakBefore w:val="0"/>
              <w:kinsoku/>
              <w:wordWrap/>
              <w:overflowPunct/>
              <w:topLinePunct w:val="0"/>
              <w:autoSpaceDE/>
              <w:autoSpaceDN/>
              <w:bidi w:val="0"/>
              <w:adjustRightInd/>
              <w:spacing w:line="500" w:lineRule="exact"/>
              <w:jc w:val="center"/>
              <w:rPr>
                <w:rFonts w:hint="eastAsia" w:eastAsia="方正仿宋_GBK" w:cs="Times New Roman"/>
                <w:color w:val="000000" w:themeColor="text1"/>
                <w:sz w:val="28"/>
                <w:szCs w:val="28"/>
                <w:lang w:val="en-US" w:eastAsia="zh-CN"/>
                <w14:textFill>
                  <w14:solidFill>
                    <w14:schemeClr w14:val="tx1"/>
                  </w14:solidFill>
                </w14:textFill>
              </w:rPr>
            </w:pPr>
          </w:p>
        </w:tc>
      </w:tr>
    </w:tbl>
    <w:p>
      <w:pPr>
        <w:pStyle w:val="2"/>
        <w:pageBreakBefore w:val="0"/>
        <w:numPr>
          <w:ilvl w:val="0"/>
          <w:numId w:val="1"/>
        </w:numPr>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询比资格条件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供应商资格：具有企业独立法人资格，带《企业营业执照》、重庆市颁发的《农药经营许可证（限制性）》原件备查。</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(一)</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供应商必须持有“重庆有害生物防制服务机构服务能力B级”证书。</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(二)</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供应商必须持有重庆市农业农村委员会核发的限制性农药经营许可证。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(三)供应商必须持有农药经营技能专项培训证人员不少于2名。</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(四)</w:t>
      </w:r>
      <w:r>
        <w:rPr>
          <w:rFonts w:hint="eastAsia" w:ascii="方正仿宋_GBK" w:hAnsi="方正仿宋_GBK" w:eastAsia="方正仿宋_GBK" w:cs="方正仿宋_GBK"/>
          <w:color w:val="000000" w:themeColor="text1"/>
          <w:sz w:val="28"/>
          <w:szCs w:val="28"/>
          <w14:textFill>
            <w14:solidFill>
              <w14:schemeClr w14:val="tx1"/>
            </w14:solidFill>
          </w14:textFill>
        </w:rPr>
        <w:t>若供应商非生产厂家，需提供消杀药品“三证”复印件盖鲜章及生产厂家授权书原件。另</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供应商选择的生产厂家：</w:t>
      </w:r>
    </w:p>
    <w:p>
      <w:pPr>
        <w:pStyle w:val="9"/>
        <w:pageBreakBefore w:val="0"/>
        <w:numPr>
          <w:ilvl w:val="0"/>
          <w:numId w:val="0"/>
        </w:numPr>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必须持有杀鼠剂原药及母药农药生产许可证及农药登记证。</w:t>
      </w:r>
    </w:p>
    <w:p>
      <w:pPr>
        <w:pStyle w:val="9"/>
        <w:pageBreakBefore w:val="0"/>
        <w:numPr>
          <w:ilvl w:val="0"/>
          <w:numId w:val="0"/>
        </w:numPr>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必须持有省部级安监局颁发的危险化学品安全生产许可证、危险化学品生产登记证。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必须持有行政主管机关颁发的排污许可证。</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(五）</w:t>
      </w:r>
      <w:r>
        <w:rPr>
          <w:rFonts w:hint="eastAsia" w:ascii="方正仿宋_GBK" w:hAnsi="方正仿宋_GBK" w:eastAsia="方正仿宋_GBK" w:cs="方正仿宋_GBK"/>
          <w:color w:val="000000" w:themeColor="text1"/>
          <w:sz w:val="28"/>
          <w:szCs w:val="28"/>
          <w14:textFill>
            <w14:solidFill>
              <w14:schemeClr w14:val="tx1"/>
            </w14:solidFill>
          </w14:textFill>
        </w:rPr>
        <w:t>其他要求，所有药品的生产期必须为202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年新生产的产品，（鼠药需要提供有资质的第三方适口性试验的数据）。</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（六）报价单应 报单价、总价（包括运输、制作、安装等所有的包干价），并有法定代表人或授权代表签字，加盖公章。</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bCs/>
          <w:sz w:val="28"/>
          <w:szCs w:val="28"/>
          <w:lang w:eastAsia="zh-CN"/>
        </w:rPr>
      </w:pPr>
      <w:r>
        <w:rPr>
          <w:rFonts w:hint="eastAsia" w:ascii="方正仿宋_GBK" w:hAnsi="方正仿宋_GBK" w:eastAsia="方正仿宋_GBK" w:cs="方正仿宋_GBK"/>
          <w:bCs/>
          <w:sz w:val="28"/>
          <w:szCs w:val="28"/>
        </w:rPr>
        <w:t>三、采购</w:t>
      </w:r>
      <w:r>
        <w:rPr>
          <w:rFonts w:hint="eastAsia" w:ascii="方正仿宋_GBK" w:hAnsi="方正仿宋_GBK" w:eastAsia="方正仿宋_GBK" w:cs="方正仿宋_GBK"/>
          <w:bCs/>
          <w:sz w:val="28"/>
          <w:szCs w:val="28"/>
          <w:lang w:eastAsia="zh-CN"/>
        </w:rPr>
        <w:t>商品规格参数要求</w:t>
      </w:r>
    </w:p>
    <w:tbl>
      <w:tblPr>
        <w:tblStyle w:val="7"/>
        <w:tblW w:w="8636" w:type="dxa"/>
        <w:tblInd w:w="0" w:type="dxa"/>
        <w:shd w:val="clear" w:color="auto" w:fill="auto"/>
        <w:tblLayout w:type="fixed"/>
        <w:tblCellMar>
          <w:top w:w="0" w:type="dxa"/>
          <w:left w:w="0" w:type="dxa"/>
          <w:bottom w:w="0" w:type="dxa"/>
          <w:right w:w="0" w:type="dxa"/>
        </w:tblCellMar>
      </w:tblPr>
      <w:tblGrid>
        <w:gridCol w:w="464"/>
        <w:gridCol w:w="684"/>
        <w:gridCol w:w="696"/>
        <w:gridCol w:w="1356"/>
        <w:gridCol w:w="2364"/>
        <w:gridCol w:w="708"/>
        <w:gridCol w:w="867"/>
        <w:gridCol w:w="593"/>
        <w:gridCol w:w="904"/>
      </w:tblGrid>
      <w:tr>
        <w:tblPrEx>
          <w:shd w:val="clear" w:color="auto" w:fill="auto"/>
          <w:tblCellMar>
            <w:top w:w="0" w:type="dxa"/>
            <w:left w:w="0" w:type="dxa"/>
            <w:bottom w:w="0" w:type="dxa"/>
            <w:right w:w="0" w:type="dxa"/>
          </w:tblCellMar>
        </w:tblPrEx>
        <w:trPr>
          <w:trHeight w:val="74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项目</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项目内容</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名称</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规格</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单价</w:t>
            </w:r>
          </w:p>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（元）</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单位</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18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68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2022秋季病媒生物防制药品</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灭鼠</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0.005%溴敌隆（颗粒）</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1.产品剂型：饲料饵剂；2.有效成分：0.005%溴敌隆；3.PH值范围：6.0-9.0；4.水分，%≤10；5.100g/袋（100袋/箱）</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sz w:val="28"/>
                <w:szCs w:val="28"/>
                <w:u w:val="none"/>
                <w:lang w:val="en-US"/>
              </w:rPr>
            </w:pPr>
            <w:r>
              <w:rPr>
                <w:rFonts w:hint="eastAsia" w:ascii="方正仿宋_GBK" w:hAnsi="方正仿宋_GBK" w:eastAsia="方正仿宋_GBK" w:cs="方正仿宋_GBK"/>
                <w:i w:val="0"/>
                <w:color w:val="000000"/>
                <w:kern w:val="0"/>
                <w:sz w:val="28"/>
                <w:szCs w:val="28"/>
                <w:u w:val="none"/>
                <w:lang w:val="en-US" w:eastAsia="zh-CN" w:bidi="ar"/>
              </w:rPr>
              <w:t>5000</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10</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sz w:val="28"/>
                <w:szCs w:val="28"/>
                <w:u w:val="none"/>
                <w:lang w:eastAsia="zh-CN"/>
              </w:rPr>
            </w:pPr>
            <w:r>
              <w:rPr>
                <w:rFonts w:hint="eastAsia" w:ascii="方正仿宋_GBK" w:hAnsi="方正仿宋_GBK" w:eastAsia="方正仿宋_GBK" w:cs="方正仿宋_GBK"/>
                <w:i w:val="0"/>
                <w:color w:val="000000"/>
                <w:sz w:val="28"/>
                <w:szCs w:val="28"/>
                <w:u w:val="none"/>
                <w:lang w:eastAsia="zh-CN"/>
              </w:rPr>
              <w:t>千克</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18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68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灭鼠</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粘鼠板（硬板）</w:t>
            </w:r>
          </w:p>
        </w:tc>
        <w:tc>
          <w:tcPr>
            <w:tcW w:w="23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sz w:val="28"/>
                <w:szCs w:val="28"/>
                <w:vertAlign w:val="baseline"/>
                <w:lang w:val="en-US" w:eastAsia="zh-CN"/>
              </w:rPr>
              <w:t>IV型</w:t>
            </w:r>
            <w:r>
              <w:rPr>
                <w:rFonts w:hint="eastAsia" w:ascii="方正仿宋_GBK" w:hAnsi="方正仿宋_GBK" w:eastAsia="方正仿宋_GBK" w:cs="方正仿宋_GBK"/>
                <w:sz w:val="28"/>
                <w:szCs w:val="28"/>
                <w:vertAlign w:val="baseline"/>
              </w:rPr>
              <w:t>21.5*6.</w:t>
            </w:r>
            <w:bookmarkStart w:id="5" w:name="_GoBack"/>
            <w:bookmarkEnd w:id="5"/>
            <w:r>
              <w:rPr>
                <w:rFonts w:hint="eastAsia" w:ascii="方正仿宋_GBK" w:hAnsi="方正仿宋_GBK" w:eastAsia="方正仿宋_GBK" w:cs="方正仿宋_GBK"/>
                <w:sz w:val="28"/>
                <w:szCs w:val="28"/>
                <w:vertAlign w:val="baseline"/>
              </w:rPr>
              <w:t>2cm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7000</w:t>
            </w:r>
          </w:p>
        </w:tc>
        <w:tc>
          <w:tcPr>
            <w:tcW w:w="8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4.2</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pacing w:line="500" w:lineRule="exact"/>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张</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kinsoku/>
              <w:wordWrap/>
              <w:overflowPunct/>
              <w:topLinePunct w:val="0"/>
              <w:autoSpaceDE/>
              <w:autoSpaceDN/>
              <w:bidi w:val="0"/>
              <w:adjustRightInd/>
              <w:spacing w:line="500" w:lineRule="exact"/>
              <w:jc w:val="center"/>
              <w:rPr>
                <w:rFonts w:hint="eastAsia" w:ascii="方正仿宋_GBK" w:hAnsi="方正仿宋_GBK" w:eastAsia="方正仿宋_GBK" w:cs="方正仿宋_GBK"/>
                <w:i w:val="0"/>
                <w:color w:val="000000"/>
                <w:sz w:val="28"/>
                <w:szCs w:val="28"/>
                <w:u w:val="none"/>
              </w:rPr>
            </w:pPr>
          </w:p>
        </w:tc>
      </w:tr>
    </w:tbl>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四、服务期</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自合同签订之日起</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14:textFill>
            <w14:solidFill>
              <w14:schemeClr w14:val="tx1"/>
            </w14:solidFill>
          </w14:textFill>
        </w:rPr>
        <w:t>天</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内送到。</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五、付款方式</w:t>
      </w:r>
    </w:p>
    <w:p>
      <w:pPr>
        <w:pageBreakBefore w:val="0"/>
        <w:kinsoku/>
        <w:wordWrap/>
        <w:overflowPunct/>
        <w:topLinePunct w:val="0"/>
        <w:autoSpaceDE/>
        <w:autoSpaceDN/>
        <w:bidi w:val="0"/>
        <w:adjustRightInd/>
        <w:snapToGrid w:val="0"/>
        <w:spacing w:line="500" w:lineRule="exact"/>
        <w:ind w:firstLine="42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项目服务完成验收后一次性付清全款。</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六、联系方式</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采购人：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重庆市梁平区卫生健康委员会</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联系人：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粟红梅</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电  话：</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13512327255</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址：重庆市梁平区双桂街道银桂路16号（梁平区卫生健康委）</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七、其它有关规定</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凡有意参加询比的供应商，请于公告发布之日起至报名截止时间之前，在重庆市政府采购云平台·服务超市网上下载查看本项目需求文件以及变更公告等询比前公布的所有项目资料，无论供应商下载查看与否，均视为已知晓所有询比实质性要求内容。</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供应商须在平台上报名并按要求上传响应文件，未按要求提供的为无效供应商。</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28"/>
          <w:szCs w:val="28"/>
          <w14:textFill>
            <w14:solidFill>
              <w14:schemeClr w14:val="tx1"/>
            </w14:solidFill>
          </w14:textFill>
        </w:rPr>
        <w:t>无论询比结果如何，供应商参与本项目的所有费用均由自行承担。</w:t>
      </w:r>
    </w:p>
    <w:p>
      <w:pPr>
        <w:pageBreakBefore w:val="0"/>
        <w:kinsoku/>
        <w:wordWrap/>
        <w:overflowPunct/>
        <w:topLinePunct w:val="0"/>
        <w:autoSpaceDE/>
        <w:autoSpaceDN/>
        <w:bidi w:val="0"/>
        <w:adjustRightInd/>
        <w:snapToGrid w:val="0"/>
        <w:spacing w:line="500" w:lineRule="exact"/>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八、评选方法</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一）竞价规则：竞价公示开始时间为：2022年11月2日，竞价需求公示期为：2个工作日（即公告起始时间：2022年11月2日至2022年11月4日）；竞价开始时间为：2022年11月7日9:00时，竞价截止时间为：2022年11月7日11:00时；有效竞价标准为有效报价供应商至少2家。供应商必须上传响应附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w:t>
      </w:r>
      <w:r>
        <w:rPr>
          <w:rFonts w:hint="eastAsia" w:ascii="方正仿宋_GBK" w:hAnsi="方正仿宋_GBK" w:eastAsia="方正仿宋_GBK" w:cs="方正仿宋_GBK"/>
          <w:color w:val="000000" w:themeColor="text1"/>
          <w:sz w:val="28"/>
          <w:szCs w:val="28"/>
          <w14:textFill>
            <w14:solidFill>
              <w14:schemeClr w14:val="tx1"/>
            </w14:solidFill>
          </w14:textFill>
        </w:rPr>
        <w:t>最低价评审法。已入围评审的报价供应商，选择报价最低的成为成交供应商；未入围的报名供应商不参与评审。</w:t>
      </w:r>
    </w:p>
    <w:p>
      <w:pPr>
        <w:pageBreakBefore w:val="0"/>
        <w:kinsoku/>
        <w:wordWrap/>
        <w:overflowPunct/>
        <w:topLinePunct w:val="0"/>
        <w:autoSpaceDE/>
        <w:autoSpaceDN/>
        <w:bidi w:val="0"/>
        <w:adjustRightInd/>
        <w:snapToGrid w:val="0"/>
        <w:spacing w:line="500" w:lineRule="exact"/>
        <w:ind w:firstLine="560" w:firstLineChars="200"/>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若</w:t>
      </w:r>
      <w:r>
        <w:rPr>
          <w:rFonts w:hint="eastAsia" w:ascii="方正仿宋_GBK" w:hAnsi="方正仿宋_GBK" w:eastAsia="方正仿宋_GBK" w:cs="方正仿宋_GBK"/>
          <w:color w:val="000000" w:themeColor="text1"/>
          <w:sz w:val="28"/>
          <w:szCs w:val="28"/>
          <w14:textFill>
            <w14:solidFill>
              <w14:schemeClr w14:val="tx1"/>
            </w14:solidFill>
          </w14:textFill>
        </w:rPr>
        <w:t>供应商出现报价相同的情况，</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则结合供货</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产品质量、规格要求、</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生产日期、送货时间、方式等因素综合评审。</w:t>
      </w:r>
    </w:p>
    <w:p>
      <w:pPr>
        <w:pStyle w:val="2"/>
        <w:pageBreakBefore w:val="0"/>
        <w:kinsoku/>
        <w:wordWrap/>
        <w:overflowPunct/>
        <w:topLinePunct w:val="0"/>
        <w:autoSpaceDE/>
        <w:autoSpaceDN/>
        <w:bidi w:val="0"/>
        <w:adjustRightInd/>
        <w:spacing w:before="0" w:after="0"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九、其他</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1、供应商必须对以上条款和服务承诺明确列出，承诺内容必须达到要求。</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2、其他未尽事宜由供需双方在采购合同中详细约定。</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十、供应商提交响应文件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1、供应商线上报名、报价时需上传盖章后的电子文档一份。</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2、采购人将以平台的线上资料作为评判依据。</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3、供应商制作的响应文件电子文档，须按照要求制作，规定签字、盖章的地方必须按其规定签字、盖章，未按要求制作响应文件的进行废标处理。</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十一、附件：投标文件格式（投标方需按投标文件格式制作投标文件）。</w:t>
      </w:r>
    </w:p>
    <w:p>
      <w:pPr>
        <w:pageBreakBefore w:val="0"/>
        <w:kinsoku/>
        <w:wordWrap/>
        <w:overflowPunct/>
        <w:topLinePunct w:val="0"/>
        <w:autoSpaceDE/>
        <w:autoSpaceDN/>
        <w:bidi w:val="0"/>
        <w:adjustRightInd/>
        <w:spacing w:line="500" w:lineRule="exact"/>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t>
      </w:r>
    </w:p>
    <w:p>
      <w:pPr>
        <w:pageBreakBefore w:val="0"/>
        <w:kinsoku/>
        <w:wordWrap/>
        <w:overflowPunct/>
        <w:topLinePunct w:val="0"/>
        <w:autoSpaceDE/>
        <w:autoSpaceDN/>
        <w:bidi w:val="0"/>
        <w:adjustRightInd/>
        <w:spacing w:line="500" w:lineRule="exact"/>
        <w:rPr>
          <w:rFonts w:hint="eastAsia" w:ascii="方正仿宋_GBK" w:hAnsi="方正仿宋_GBK" w:eastAsia="方正仿宋_GBK" w:cs="方正仿宋_GBK"/>
          <w:sz w:val="28"/>
          <w:szCs w:val="28"/>
          <w:lang w:val="en-US" w:eastAsia="zh-CN"/>
        </w:rPr>
      </w:pPr>
    </w:p>
    <w:p>
      <w:pPr>
        <w:pageBreakBefore w:val="0"/>
        <w:kinsoku/>
        <w:wordWrap/>
        <w:overflowPunct/>
        <w:topLinePunct w:val="0"/>
        <w:autoSpaceDE/>
        <w:autoSpaceDN/>
        <w:bidi w:val="0"/>
        <w:adjustRightInd/>
        <w:spacing w:line="500" w:lineRule="exact"/>
        <w:ind w:firstLine="5320" w:firstLineChars="1900"/>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重庆市梁平区卫生健康委员会</w:t>
      </w:r>
    </w:p>
    <w:p>
      <w:pPr>
        <w:pageBreakBefore w:val="0"/>
        <w:kinsoku/>
        <w:wordWrap/>
        <w:overflowPunct/>
        <w:topLinePunct w:val="0"/>
        <w:autoSpaceDE/>
        <w:autoSpaceDN/>
        <w:bidi w:val="0"/>
        <w:adjustRightInd/>
        <w:spacing w:line="500" w:lineRule="exact"/>
        <w:ind w:firstLine="6160" w:firstLineChars="2200"/>
        <w:jc w:val="left"/>
        <w:rPr>
          <w:rFonts w:hint="eastAsia" w:ascii="宋体" w:hAnsi="宋体" w:cs="宋体"/>
          <w:sz w:val="24"/>
          <w:szCs w:val="24"/>
        </w:rPr>
      </w:pPr>
      <w:r>
        <w:rPr>
          <w:rFonts w:hint="eastAsia" w:ascii="方正仿宋_GBK" w:hAnsi="方正仿宋_GBK" w:eastAsia="方正仿宋_GBK" w:cs="方正仿宋_GBK"/>
          <w:sz w:val="28"/>
          <w:szCs w:val="28"/>
          <w:lang w:val="en-US" w:eastAsia="zh-CN"/>
        </w:rPr>
        <w:t>2022年11月2日</w:t>
      </w:r>
      <w:r>
        <w:rPr>
          <w:rFonts w:hint="eastAsia" w:ascii="宋体" w:hAnsi="宋体" w:cs="宋体"/>
          <w:sz w:val="24"/>
          <w:szCs w:val="24"/>
        </w:rPr>
        <w:br w:type="page"/>
      </w:r>
    </w:p>
    <w:p>
      <w:pPr>
        <w:jc w:val="left"/>
        <w:rPr>
          <w:rFonts w:hint="eastAsia" w:ascii="宋体" w:hAnsi="宋体" w:cs="宋体"/>
          <w:sz w:val="24"/>
          <w:szCs w:val="24"/>
        </w:rPr>
      </w:pPr>
    </w:p>
    <w:p>
      <w:pPr>
        <w:spacing w:line="312" w:lineRule="auto"/>
        <w:jc w:val="center"/>
        <w:rPr>
          <w:rFonts w:ascii="宋体" w:hAnsi="宋体" w:cs="宋体"/>
          <w:b/>
          <w:szCs w:val="28"/>
        </w:rPr>
      </w:pPr>
      <w:r>
        <w:rPr>
          <w:rFonts w:hint="eastAsia" w:ascii="宋体" w:hAnsi="宋体" w:cs="宋体"/>
          <w:b/>
          <w:szCs w:val="28"/>
        </w:rPr>
        <w:t>供应商编制响应文件要求</w:t>
      </w:r>
    </w:p>
    <w:p>
      <w:pPr>
        <w:numPr>
          <w:ilvl w:val="0"/>
          <w:numId w:val="2"/>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过程中，我方若有违规行为，接受按照重庆市政府采购·云平台规定给予惩罚。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7"/>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6"/>
        <w:spacing w:line="312" w:lineRule="auto"/>
        <w:ind w:firstLine="480"/>
        <w:rPr>
          <w:rFonts w:ascii="宋体" w:hAnsi="宋体" w:cs="宋体"/>
          <w:sz w:val="24"/>
          <w:szCs w:val="24"/>
        </w:rPr>
      </w:pPr>
    </w:p>
    <w:p>
      <w:pPr>
        <w:pStyle w:val="6"/>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numPr>
          <w:ilvl w:val="0"/>
          <w:numId w:val="2"/>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pStyle w:val="2"/>
        <w:spacing w:before="0" w:after="0" w:line="360" w:lineRule="auto"/>
        <w:jc w:val="left"/>
        <w:rPr>
          <w:rFonts w:ascii="宋体" w:hAnsi="宋体" w:cs="宋体"/>
          <w:sz w:val="24"/>
          <w:szCs w:val="24"/>
        </w:rPr>
      </w:pPr>
    </w:p>
    <w:p>
      <w:pPr>
        <w:pStyle w:val="2"/>
        <w:numPr>
          <w:ilvl w:val="0"/>
          <w:numId w:val="2"/>
        </w:numPr>
        <w:spacing w:before="0" w:after="0" w:line="360" w:lineRule="auto"/>
        <w:jc w:val="left"/>
        <w:rPr>
          <w:rFonts w:ascii="宋体" w:hAnsi="宋体" w:cs="宋体"/>
          <w:sz w:val="24"/>
          <w:szCs w:val="24"/>
        </w:rPr>
      </w:pPr>
      <w:r>
        <w:rPr>
          <w:rFonts w:hint="eastAsia" w:ascii="宋体" w:hAnsi="宋体" w:cs="宋体"/>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8"/>
          <w:szCs w:val="28"/>
        </w:rPr>
      </w:pPr>
      <w:r>
        <w:rPr>
          <w:rFonts w:hint="eastAsia" w:ascii="宋体" w:hAnsi="宋体" w:cs="宋体"/>
          <w:sz w:val="24"/>
          <w:szCs w:val="24"/>
        </w:rPr>
        <w:t>四、其</w:t>
      </w:r>
      <w:r>
        <w:rPr>
          <w:rFonts w:hint="eastAsia" w:ascii="宋体" w:hAnsi="宋体" w:cs="宋体"/>
          <w:sz w:val="28"/>
          <w:szCs w:val="28"/>
        </w:rPr>
        <w:t>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r>
        <w:rPr>
          <w:rFonts w:hint="eastAsia" w:ascii="宋体" w:hAnsi="宋体" w:cs="宋体"/>
          <w:sz w:val="24"/>
          <w:szCs w:val="24"/>
        </w:rPr>
        <w:t>1、其他与项目有关的资料（自附）：供应商总体情况介绍、其他与本项目有关的资料等。</w:t>
      </w: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w:t>
      </w:r>
      <w:bookmarkEnd w:id="0"/>
      <w:bookmarkEnd w:id="1"/>
      <w:bookmarkEnd w:id="2"/>
      <w:bookmarkEnd w:id="3"/>
      <w:bookmarkEnd w:id="4"/>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（法定代表人名称）是</w:t>
      </w:r>
      <w:r>
        <w:rPr>
          <w:rFonts w:hint="eastAsia" w:ascii="宋体" w:hAnsi="宋体" w:cs="宋体"/>
          <w:sz w:val="24"/>
          <w:szCs w:val="24"/>
          <w:u w:val="single"/>
        </w:rPr>
        <w:t xml:space="preserve">                    </w:t>
      </w:r>
      <w:r>
        <w:rPr>
          <w:rFonts w:hint="eastAsia" w:ascii="宋体" w:hAnsi="宋体" w:cs="宋体"/>
          <w:sz w:val="24"/>
          <w:szCs w:val="24"/>
        </w:rPr>
        <w:t>（供应商名称）的法定代表人，特授权</w:t>
      </w:r>
      <w:r>
        <w:rPr>
          <w:rFonts w:hint="eastAsia" w:ascii="宋体" w:hAnsi="宋体" w:cs="宋体"/>
          <w:sz w:val="24"/>
          <w:szCs w:val="24"/>
          <w:u w:val="single"/>
        </w:rPr>
        <w:t xml:space="preserve">          </w:t>
      </w:r>
      <w:r>
        <w:rPr>
          <w:rFonts w:hint="eastAsia" w:ascii="宋体" w:hAnsi="宋体" w:cs="宋体"/>
          <w:sz w:val="24"/>
          <w:szCs w:val="24"/>
        </w:rPr>
        <w:t>（被授权人姓名及身份证代码）电话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rPr>
          <w:rFonts w:ascii="宋体" w:hAnsi="宋体" w:cs="宋体"/>
          <w:sz w:val="24"/>
          <w:szCs w:val="24"/>
        </w:rPr>
      </w:pPr>
    </w:p>
    <w:p>
      <w:pPr>
        <w:tabs>
          <w:tab w:val="left" w:pos="6300"/>
        </w:tabs>
        <w:snapToGrid w:val="0"/>
        <w:spacing w:line="312" w:lineRule="auto"/>
        <w:ind w:right="480" w:firstLine="570"/>
        <w:jc w:val="center"/>
        <w:rPr>
          <w:rFonts w:ascii="宋体" w:hAnsi="宋体" w:cs="宋体"/>
          <w:sz w:val="24"/>
          <w:szCs w:val="24"/>
        </w:rPr>
      </w:pPr>
      <w:r>
        <w:rPr>
          <w:rFonts w:hint="eastAsia" w:ascii="宋体" w:hAnsi="宋体" w:cs="宋体"/>
          <w:sz w:val="24"/>
          <w:szCs w:val="24"/>
        </w:rPr>
        <w:t>（结束）</w:t>
      </w:r>
    </w:p>
    <w:p/>
    <w:sectPr>
      <w:headerReference r:id="rId6" w:type="default"/>
      <w:footerReference r:id="rId7"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CZefQM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A964F"/>
    <w:multiLevelType w:val="singleLevel"/>
    <w:tmpl w:val="CC0A964F"/>
    <w:lvl w:ilvl="0" w:tentative="0">
      <w:start w:val="2"/>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mMDBhMjgxMjVjMWE0NjMzNzU5M2Q3MjJlZDJiYTMifQ=="/>
  </w:docVars>
  <w:rsids>
    <w:rsidRoot w:val="5F127085"/>
    <w:rsid w:val="05DC1162"/>
    <w:rsid w:val="0FCD3176"/>
    <w:rsid w:val="1C1552CB"/>
    <w:rsid w:val="21D87BFA"/>
    <w:rsid w:val="23772754"/>
    <w:rsid w:val="24CA2BDB"/>
    <w:rsid w:val="2A38798E"/>
    <w:rsid w:val="41EC45A2"/>
    <w:rsid w:val="45F41A34"/>
    <w:rsid w:val="50227B6F"/>
    <w:rsid w:val="5F127085"/>
    <w:rsid w:val="63EB2855"/>
    <w:rsid w:val="6CCB546A"/>
    <w:rsid w:val="6F0D4310"/>
    <w:rsid w:val="7746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oc 1"/>
    <w:basedOn w:val="1"/>
    <w:next w:val="1"/>
    <w:qFormat/>
    <w:uiPriority w:val="0"/>
    <w:pPr>
      <w:spacing w:line="180" w:lineRule="auto"/>
      <w:jc w:val="center"/>
    </w:pPr>
    <w:rPr>
      <w:sz w:val="3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2358</Words>
  <Characters>2604</Characters>
  <Lines>0</Lines>
  <Paragraphs>0</Paragraphs>
  <TotalTime>5</TotalTime>
  <ScaleCrop>false</ScaleCrop>
  <LinksUpToDate>false</LinksUpToDate>
  <CharactersWithSpaces>3043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2020-04-17T05:47:00Z</dcterms:created>
  <dc:creator>香香</dc:creator>
  <cp:lastModifiedBy>云飞扬</cp:lastModifiedBy>
  <cp:lastPrinted>2022-11-01T06:52:00Z</cp:lastPrinted>
  <dcterms:modified xsi:type="dcterms:W3CDTF">2022-11-02T07:01:22Z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300715814_btnclosed</vt:lpwstr>
  </property>
  <property fmtid="{D5CDD505-2E9C-101B-9397-08002B2CF9AE}" pid="4" name="ICV">
    <vt:lpwstr>6C17C75319F3484F86C3CC268C681EDD</vt:lpwstr>
  </property>
</Properties>
</file>