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360" w:lineRule="auto"/>
        <w:ind w:left="1606" w:hanging="1606" w:hangingChars="500"/>
        <w:jc w:val="both"/>
        <w:outlineLvl w:val="9"/>
        <w:rPr>
          <w:rFonts w:hint="eastAsia" w:ascii="宋体" w:hAnsi="宋体" w:eastAsia="宋体" w:cs="宋体"/>
          <w:b/>
          <w:bCs/>
          <w:color w:val="auto"/>
          <w:kern w:val="0"/>
          <w:sz w:val="32"/>
          <w:szCs w:val="32"/>
          <w:highlight w:val="none"/>
          <w:lang w:val="en-US" w:eastAsia="zh-CN"/>
        </w:rPr>
      </w:pPr>
      <w:bookmarkStart w:id="0" w:name="_Toc23843"/>
      <w:bookmarkStart w:id="1" w:name="_Toc287620665"/>
      <w:r>
        <w:rPr>
          <w:rFonts w:hint="eastAsia" w:ascii="宋体" w:hAnsi="宋体" w:eastAsia="宋体" w:cs="宋体"/>
          <w:b/>
          <w:bCs/>
          <w:color w:val="auto"/>
          <w:kern w:val="0"/>
          <w:sz w:val="32"/>
          <w:szCs w:val="32"/>
          <w:highlight w:val="none"/>
          <w:lang w:val="en-US" w:eastAsia="zh-CN"/>
        </w:rPr>
        <w:t>项目名称：区属文物保养维护工程（6个文物点）</w:t>
      </w:r>
      <w:r>
        <w:rPr>
          <w:rFonts w:hint="eastAsia" w:ascii="宋体" w:hAnsi="宋体" w:cs="宋体"/>
          <w:b/>
          <w:bCs/>
          <w:color w:val="auto"/>
          <w:kern w:val="0"/>
          <w:sz w:val="32"/>
          <w:szCs w:val="32"/>
          <w:highlight w:val="none"/>
          <w:lang w:val="en-US" w:eastAsia="zh-CN"/>
        </w:rPr>
        <w:t>（第二次）</w:t>
      </w:r>
      <w:r>
        <w:rPr>
          <w:rFonts w:hint="eastAsia" w:ascii="宋体" w:hAnsi="宋体" w:eastAsia="宋体" w:cs="宋体"/>
          <w:b/>
          <w:bCs/>
          <w:color w:val="auto"/>
          <w:kern w:val="0"/>
          <w:sz w:val="32"/>
          <w:szCs w:val="32"/>
          <w:highlight w:val="none"/>
          <w:lang w:val="en-US" w:eastAsia="zh-CN"/>
        </w:rPr>
        <w:t>、区属文物保养维护工程（湖广会馆白蚁防治及保养维护）</w:t>
      </w:r>
      <w:r>
        <w:rPr>
          <w:rFonts w:hint="eastAsia" w:ascii="宋体" w:hAnsi="宋体" w:cs="宋体"/>
          <w:b/>
          <w:bCs/>
          <w:color w:val="auto"/>
          <w:kern w:val="0"/>
          <w:sz w:val="32"/>
          <w:szCs w:val="32"/>
          <w:highlight w:val="none"/>
          <w:lang w:val="en-US" w:eastAsia="zh-CN"/>
        </w:rPr>
        <w:t>（第二次）</w:t>
      </w:r>
    </w:p>
    <w:p>
      <w:pPr>
        <w:jc w:val="both"/>
        <w:outlineLvl w:val="9"/>
        <w:rPr>
          <w:rFonts w:hint="eastAsia" w:ascii="宋体" w:hAnsi="宋体" w:eastAsia="宋体" w:cs="宋体"/>
          <w:b/>
          <w:bCs w:val="0"/>
          <w:color w:val="auto"/>
          <w:w w:val="99"/>
          <w:kern w:val="0"/>
          <w:sz w:val="32"/>
          <w:szCs w:val="32"/>
          <w:highlight w:val="none"/>
          <w:u w:val="none"/>
          <w:lang w:val="en-US" w:eastAsia="zh-CN" w:bidi="ar-SA"/>
        </w:rPr>
      </w:pPr>
      <w:bookmarkStart w:id="2" w:name="_Toc13190"/>
      <w:r>
        <w:rPr>
          <w:rFonts w:hint="eastAsia" w:ascii="宋体" w:hAnsi="宋体" w:eastAsia="宋体" w:cs="宋体"/>
          <w:b/>
          <w:bCs w:val="0"/>
          <w:color w:val="auto"/>
          <w:w w:val="99"/>
          <w:kern w:val="0"/>
          <w:sz w:val="32"/>
          <w:szCs w:val="32"/>
          <w:highlight w:val="none"/>
          <w:u w:val="none"/>
          <w:lang w:val="en-US" w:eastAsia="zh-CN" w:bidi="ar-SA"/>
        </w:rPr>
        <w:t>项目编号：</w:t>
      </w:r>
      <w:bookmarkEnd w:id="2"/>
      <w:r>
        <w:rPr>
          <w:rFonts w:hint="eastAsia" w:ascii="宋体" w:hAnsi="宋体" w:eastAsia="宋体" w:cs="宋体"/>
          <w:b/>
          <w:bCs w:val="0"/>
          <w:color w:val="auto"/>
          <w:w w:val="99"/>
          <w:kern w:val="0"/>
          <w:sz w:val="32"/>
          <w:szCs w:val="32"/>
          <w:highlight w:val="none"/>
          <w:u w:val="none"/>
          <w:lang w:val="en-US" w:eastAsia="zh-CN" w:bidi="ar-SA"/>
        </w:rPr>
        <w:t>YMCQ2022-046</w:t>
      </w:r>
    </w:p>
    <w:p>
      <w:pPr>
        <w:autoSpaceDE w:val="0"/>
        <w:autoSpaceDN w:val="0"/>
        <w:adjustRightInd w:val="0"/>
        <w:snapToGrid w:val="0"/>
        <w:spacing w:line="360" w:lineRule="auto"/>
        <w:jc w:val="left"/>
        <w:rPr>
          <w:rFonts w:ascii="宋体" w:hAnsi="宋体"/>
          <w:color w:val="auto"/>
          <w:kern w:val="0"/>
          <w:sz w:val="20"/>
          <w:szCs w:val="20"/>
          <w:highlight w:val="none"/>
        </w:rPr>
      </w:pPr>
    </w:p>
    <w:p>
      <w:pPr>
        <w:autoSpaceDE w:val="0"/>
        <w:autoSpaceDN w:val="0"/>
        <w:adjustRightInd w:val="0"/>
        <w:snapToGrid w:val="0"/>
        <w:spacing w:line="360" w:lineRule="auto"/>
        <w:jc w:val="left"/>
        <w:rPr>
          <w:rFonts w:ascii="宋体" w:hAnsi="宋体"/>
          <w:color w:val="auto"/>
          <w:kern w:val="0"/>
          <w:sz w:val="20"/>
          <w:szCs w:val="20"/>
          <w:highlight w:val="none"/>
        </w:rPr>
      </w:pPr>
    </w:p>
    <w:p>
      <w:pPr>
        <w:rPr>
          <w:rFonts w:ascii="宋体" w:hAnsi="宋体"/>
          <w:color w:val="auto"/>
          <w:kern w:val="0"/>
          <w:sz w:val="20"/>
          <w:szCs w:val="20"/>
          <w:highlight w:val="none"/>
        </w:rPr>
      </w:pPr>
    </w:p>
    <w:p>
      <w:pPr>
        <w:rPr>
          <w:color w:val="auto"/>
          <w:highlight w:val="none"/>
        </w:rPr>
      </w:pPr>
    </w:p>
    <w:p>
      <w:pPr>
        <w:autoSpaceDE w:val="0"/>
        <w:autoSpaceDN w:val="0"/>
        <w:adjustRightInd w:val="0"/>
        <w:snapToGrid w:val="0"/>
        <w:spacing w:line="360" w:lineRule="auto"/>
        <w:jc w:val="left"/>
        <w:rPr>
          <w:rFonts w:ascii="宋体" w:hAnsi="宋体"/>
          <w:color w:val="auto"/>
          <w:kern w:val="0"/>
          <w:sz w:val="20"/>
          <w:szCs w:val="20"/>
          <w:highlight w:val="none"/>
        </w:rPr>
      </w:pPr>
    </w:p>
    <w:p>
      <w:pPr>
        <w:autoSpaceDE w:val="0"/>
        <w:autoSpaceDN w:val="0"/>
        <w:adjustRightInd w:val="0"/>
        <w:snapToGrid w:val="0"/>
        <w:spacing w:line="360" w:lineRule="auto"/>
        <w:jc w:val="left"/>
        <w:rPr>
          <w:rFonts w:ascii="宋体" w:hAnsi="宋体"/>
          <w:color w:val="auto"/>
          <w:kern w:val="0"/>
          <w:sz w:val="20"/>
          <w:szCs w:val="20"/>
          <w:highlight w:val="none"/>
        </w:rPr>
      </w:pPr>
    </w:p>
    <w:p>
      <w:pPr>
        <w:autoSpaceDE w:val="0"/>
        <w:autoSpaceDN w:val="0"/>
        <w:adjustRightInd w:val="0"/>
        <w:snapToGrid w:val="0"/>
        <w:spacing w:line="360" w:lineRule="auto"/>
        <w:jc w:val="left"/>
        <w:rPr>
          <w:rFonts w:ascii="宋体" w:hAnsi="宋体"/>
          <w:color w:val="auto"/>
          <w:kern w:val="0"/>
          <w:sz w:val="20"/>
          <w:szCs w:val="20"/>
          <w:highlight w:val="none"/>
        </w:rPr>
      </w:pPr>
    </w:p>
    <w:p>
      <w:pPr>
        <w:autoSpaceDE w:val="0"/>
        <w:autoSpaceDN w:val="0"/>
        <w:adjustRightInd w:val="0"/>
        <w:snapToGrid w:val="0"/>
        <w:spacing w:line="360" w:lineRule="auto"/>
        <w:jc w:val="center"/>
        <w:rPr>
          <w:rFonts w:hint="default" w:ascii="宋体" w:hAnsi="宋体" w:eastAsiaTheme="minorEastAsia"/>
          <w:color w:val="auto"/>
          <w:kern w:val="0"/>
          <w:sz w:val="10"/>
          <w:szCs w:val="10"/>
          <w:highlight w:val="none"/>
          <w:lang w:val="en-US" w:eastAsia="zh-CN"/>
        </w:rPr>
      </w:pPr>
      <w:r>
        <w:rPr>
          <w:rFonts w:hint="eastAsia" w:ascii="宋体" w:hAnsi="宋体"/>
          <w:color w:val="auto"/>
          <w:kern w:val="0"/>
          <w:sz w:val="72"/>
          <w:szCs w:val="72"/>
          <w:highlight w:val="none"/>
          <w:lang w:val="en-US" w:eastAsia="zh-CN"/>
        </w:rPr>
        <w:t>竞争性比选文件</w:t>
      </w:r>
    </w:p>
    <w:p>
      <w:pPr>
        <w:autoSpaceDE w:val="0"/>
        <w:autoSpaceDN w:val="0"/>
        <w:adjustRightInd w:val="0"/>
        <w:snapToGrid w:val="0"/>
        <w:spacing w:line="360" w:lineRule="auto"/>
        <w:jc w:val="left"/>
        <w:rPr>
          <w:rFonts w:ascii="宋体" w:hAnsi="宋体"/>
          <w:color w:val="auto"/>
          <w:kern w:val="0"/>
          <w:sz w:val="20"/>
          <w:szCs w:val="20"/>
          <w:highlight w:val="none"/>
        </w:rPr>
      </w:pPr>
    </w:p>
    <w:p>
      <w:pPr>
        <w:autoSpaceDE w:val="0"/>
        <w:autoSpaceDN w:val="0"/>
        <w:adjustRightInd w:val="0"/>
        <w:snapToGrid w:val="0"/>
        <w:spacing w:line="360" w:lineRule="auto"/>
        <w:jc w:val="center"/>
        <w:rPr>
          <w:rFonts w:ascii="宋体" w:hAnsi="宋体"/>
          <w:color w:val="auto"/>
          <w:kern w:val="0"/>
          <w:sz w:val="20"/>
          <w:szCs w:val="20"/>
          <w:highlight w:val="none"/>
        </w:rPr>
      </w:pPr>
      <w:r>
        <w:rPr>
          <w:color w:val="auto"/>
          <w:highlight w:val="none"/>
        </w:rPr>
        <w:drawing>
          <wp:inline distT="0" distB="0" distL="114300" distR="114300">
            <wp:extent cx="1482090" cy="1235075"/>
            <wp:effectExtent l="0" t="0" r="3810" b="3175"/>
            <wp:docPr id="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pic:cNvPicPr>
                      <a:picLocks noChangeAspect="1"/>
                    </pic:cNvPicPr>
                  </pic:nvPicPr>
                  <pic:blipFill>
                    <a:blip r:embed="rId8"/>
                    <a:stretch>
                      <a:fillRect/>
                    </a:stretch>
                  </pic:blipFill>
                  <pic:spPr>
                    <a:xfrm>
                      <a:off x="0" y="0"/>
                      <a:ext cx="1482090" cy="1235075"/>
                    </a:xfrm>
                    <a:prstGeom prst="rect">
                      <a:avLst/>
                    </a:prstGeom>
                    <a:noFill/>
                    <a:ln>
                      <a:noFill/>
                    </a:ln>
                  </pic:spPr>
                </pic:pic>
              </a:graphicData>
            </a:graphic>
          </wp:inline>
        </w:drawing>
      </w:r>
    </w:p>
    <w:p>
      <w:pPr>
        <w:autoSpaceDE w:val="0"/>
        <w:autoSpaceDN w:val="0"/>
        <w:adjustRightInd w:val="0"/>
        <w:snapToGrid w:val="0"/>
        <w:spacing w:line="360" w:lineRule="auto"/>
        <w:jc w:val="left"/>
        <w:rPr>
          <w:rFonts w:ascii="宋体" w:hAnsi="宋体"/>
          <w:color w:val="auto"/>
          <w:kern w:val="0"/>
          <w:sz w:val="20"/>
          <w:szCs w:val="20"/>
          <w:highlight w:val="none"/>
        </w:rPr>
      </w:pPr>
    </w:p>
    <w:p>
      <w:pPr>
        <w:autoSpaceDE w:val="0"/>
        <w:autoSpaceDN w:val="0"/>
        <w:adjustRightInd w:val="0"/>
        <w:snapToGrid w:val="0"/>
        <w:spacing w:line="360" w:lineRule="auto"/>
        <w:jc w:val="left"/>
        <w:rPr>
          <w:rFonts w:ascii="宋体" w:hAnsi="宋体"/>
          <w:color w:val="auto"/>
          <w:kern w:val="0"/>
          <w:sz w:val="20"/>
          <w:szCs w:val="20"/>
          <w:highlight w:val="none"/>
        </w:rPr>
      </w:pPr>
    </w:p>
    <w:p>
      <w:pPr>
        <w:autoSpaceDE w:val="0"/>
        <w:autoSpaceDN w:val="0"/>
        <w:adjustRightInd w:val="0"/>
        <w:snapToGrid w:val="0"/>
        <w:spacing w:line="360" w:lineRule="auto"/>
        <w:jc w:val="left"/>
        <w:rPr>
          <w:rFonts w:ascii="宋体" w:hAnsi="宋体"/>
          <w:color w:val="auto"/>
          <w:kern w:val="0"/>
          <w:sz w:val="20"/>
          <w:szCs w:val="20"/>
          <w:highlight w:val="none"/>
        </w:rPr>
      </w:pPr>
    </w:p>
    <w:p>
      <w:pPr>
        <w:autoSpaceDE w:val="0"/>
        <w:autoSpaceDN w:val="0"/>
        <w:adjustRightInd w:val="0"/>
        <w:snapToGrid w:val="0"/>
        <w:spacing w:line="360" w:lineRule="auto"/>
        <w:jc w:val="left"/>
        <w:rPr>
          <w:rFonts w:ascii="宋体" w:hAnsi="宋体"/>
          <w:color w:val="auto"/>
          <w:kern w:val="0"/>
          <w:sz w:val="20"/>
          <w:szCs w:val="20"/>
          <w:highlight w:val="none"/>
        </w:rPr>
      </w:pPr>
    </w:p>
    <w:p>
      <w:pPr>
        <w:autoSpaceDE w:val="0"/>
        <w:autoSpaceDN w:val="0"/>
        <w:adjustRightInd w:val="0"/>
        <w:snapToGrid w:val="0"/>
        <w:spacing w:line="360" w:lineRule="auto"/>
        <w:jc w:val="left"/>
        <w:rPr>
          <w:rFonts w:ascii="宋体" w:hAnsi="宋体"/>
          <w:color w:val="auto"/>
          <w:kern w:val="0"/>
          <w:sz w:val="20"/>
          <w:szCs w:val="20"/>
          <w:highlight w:val="none"/>
        </w:rPr>
      </w:pPr>
    </w:p>
    <w:p>
      <w:pPr>
        <w:autoSpaceDE w:val="0"/>
        <w:autoSpaceDN w:val="0"/>
        <w:adjustRightInd w:val="0"/>
        <w:snapToGrid w:val="0"/>
        <w:spacing w:line="360" w:lineRule="auto"/>
        <w:rPr>
          <w:rFonts w:ascii="宋体" w:hAnsi="宋体"/>
          <w:color w:val="auto"/>
          <w:kern w:val="0"/>
          <w:sz w:val="20"/>
          <w:szCs w:val="20"/>
          <w:highlight w:val="none"/>
        </w:rPr>
      </w:pPr>
    </w:p>
    <w:p>
      <w:pPr>
        <w:autoSpaceDE w:val="0"/>
        <w:autoSpaceDN w:val="0"/>
        <w:adjustRightInd w:val="0"/>
        <w:snapToGrid w:val="0"/>
        <w:spacing w:line="360" w:lineRule="auto"/>
        <w:rPr>
          <w:rFonts w:ascii="宋体" w:hAnsi="宋体"/>
          <w:color w:val="auto"/>
          <w:kern w:val="0"/>
          <w:sz w:val="20"/>
          <w:szCs w:val="20"/>
          <w:highlight w:val="none"/>
        </w:rPr>
      </w:pPr>
    </w:p>
    <w:p>
      <w:pPr>
        <w:tabs>
          <w:tab w:val="left" w:pos="6219"/>
        </w:tabs>
        <w:autoSpaceDE w:val="0"/>
        <w:autoSpaceDN w:val="0"/>
        <w:adjustRightInd w:val="0"/>
        <w:snapToGrid w:val="0"/>
        <w:spacing w:line="360" w:lineRule="auto"/>
        <w:jc w:val="center"/>
        <w:rPr>
          <w:rFonts w:ascii="宋体" w:hAnsi="宋体"/>
          <w:bCs/>
          <w:color w:val="auto"/>
          <w:w w:val="99"/>
          <w:kern w:val="0"/>
          <w:sz w:val="28"/>
          <w:szCs w:val="28"/>
          <w:highlight w:val="none"/>
        </w:rPr>
      </w:pPr>
      <w:r>
        <w:rPr>
          <w:rFonts w:hint="eastAsia" w:ascii="宋体" w:hAnsi="宋体"/>
          <w:bCs/>
          <w:color w:val="auto"/>
          <w:w w:val="99"/>
          <w:kern w:val="0"/>
          <w:sz w:val="28"/>
          <w:szCs w:val="28"/>
          <w:highlight w:val="none"/>
          <w:lang w:val="en-US" w:eastAsia="zh-CN"/>
        </w:rPr>
        <w:t xml:space="preserve">   比</w:t>
      </w:r>
      <w:r>
        <w:rPr>
          <w:rFonts w:hint="eastAsia" w:ascii="宋体" w:hAnsi="宋体"/>
          <w:bCs/>
          <w:color w:val="auto"/>
          <w:w w:val="99"/>
          <w:kern w:val="0"/>
          <w:sz w:val="28"/>
          <w:szCs w:val="28"/>
          <w:highlight w:val="none"/>
        </w:rPr>
        <w:t xml:space="preserve">   </w:t>
      </w:r>
      <w:r>
        <w:rPr>
          <w:rFonts w:hint="eastAsia" w:ascii="宋体" w:hAnsi="宋体"/>
          <w:bCs/>
          <w:color w:val="auto"/>
          <w:w w:val="99"/>
          <w:kern w:val="0"/>
          <w:sz w:val="28"/>
          <w:szCs w:val="28"/>
          <w:highlight w:val="none"/>
          <w:lang w:val="en-US" w:eastAsia="zh-CN"/>
        </w:rPr>
        <w:t>选</w:t>
      </w:r>
      <w:r>
        <w:rPr>
          <w:rFonts w:hint="eastAsia" w:ascii="宋体" w:hAnsi="宋体"/>
          <w:bCs/>
          <w:color w:val="auto"/>
          <w:w w:val="99"/>
          <w:kern w:val="0"/>
          <w:sz w:val="28"/>
          <w:szCs w:val="28"/>
          <w:highlight w:val="none"/>
        </w:rPr>
        <w:t xml:space="preserve">   </w:t>
      </w:r>
      <w:r>
        <w:rPr>
          <w:rFonts w:ascii="宋体" w:hAnsi="宋体"/>
          <w:bCs/>
          <w:color w:val="auto"/>
          <w:w w:val="99"/>
          <w:kern w:val="0"/>
          <w:sz w:val="28"/>
          <w:szCs w:val="28"/>
          <w:highlight w:val="none"/>
        </w:rPr>
        <w:t>人：</w:t>
      </w:r>
      <w:r>
        <w:rPr>
          <w:rFonts w:hint="eastAsia" w:ascii="宋体" w:hAnsi="宋体"/>
          <w:bCs/>
          <w:color w:val="auto"/>
          <w:w w:val="99"/>
          <w:kern w:val="0"/>
          <w:sz w:val="28"/>
          <w:szCs w:val="28"/>
          <w:highlight w:val="none"/>
          <w:u w:val="single"/>
          <w:lang w:val="en-US" w:eastAsia="zh-CN"/>
        </w:rPr>
        <w:t>重庆渝中母城文化发展有限公司</w:t>
      </w:r>
      <w:r>
        <w:rPr>
          <w:rFonts w:ascii="宋体" w:hAnsi="宋体"/>
          <w:bCs/>
          <w:color w:val="auto"/>
          <w:w w:val="99"/>
          <w:kern w:val="0"/>
          <w:sz w:val="28"/>
          <w:szCs w:val="28"/>
          <w:highlight w:val="none"/>
        </w:rPr>
        <w:t>（盖单位法人章）</w:t>
      </w:r>
    </w:p>
    <w:p>
      <w:pPr>
        <w:tabs>
          <w:tab w:val="left" w:pos="6252"/>
        </w:tabs>
        <w:autoSpaceDE w:val="0"/>
        <w:autoSpaceDN w:val="0"/>
        <w:adjustRightInd w:val="0"/>
        <w:snapToGrid w:val="0"/>
        <w:spacing w:line="360" w:lineRule="auto"/>
        <w:ind w:firstLine="888" w:firstLineChars="300"/>
        <w:rPr>
          <w:rFonts w:ascii="宋体" w:hAnsi="宋体"/>
          <w:bCs/>
          <w:color w:val="auto"/>
          <w:w w:val="99"/>
          <w:kern w:val="0"/>
          <w:sz w:val="28"/>
          <w:szCs w:val="28"/>
          <w:highlight w:val="none"/>
        </w:rPr>
      </w:pPr>
      <w:r>
        <w:rPr>
          <w:rFonts w:hint="eastAsia" w:ascii="宋体" w:hAnsi="宋体"/>
          <w:bCs/>
          <w:color w:val="auto"/>
          <w:spacing w:val="8"/>
          <w:kern w:val="0"/>
          <w:sz w:val="28"/>
          <w:szCs w:val="28"/>
          <w:highlight w:val="none"/>
          <w:lang w:val="en-US" w:eastAsia="zh-CN"/>
        </w:rPr>
        <w:t>比选</w:t>
      </w:r>
      <w:r>
        <w:rPr>
          <w:rFonts w:ascii="宋体" w:hAnsi="宋体"/>
          <w:bCs/>
          <w:color w:val="auto"/>
          <w:spacing w:val="8"/>
          <w:kern w:val="0"/>
          <w:sz w:val="28"/>
          <w:szCs w:val="28"/>
          <w:highlight w:val="none"/>
        </w:rPr>
        <w:t>代理机构：</w:t>
      </w:r>
      <w:r>
        <w:rPr>
          <w:rFonts w:hint="eastAsia" w:ascii="宋体" w:hAnsi="宋体"/>
          <w:bCs/>
          <w:color w:val="auto"/>
          <w:kern w:val="0"/>
          <w:sz w:val="28"/>
          <w:szCs w:val="28"/>
          <w:highlight w:val="none"/>
          <w:u w:val="single"/>
          <w:lang w:val="en-US" w:eastAsia="zh-CN"/>
        </w:rPr>
        <w:t>永明项目管理有限公司</w:t>
      </w:r>
      <w:r>
        <w:rPr>
          <w:rFonts w:ascii="宋体" w:hAnsi="宋体"/>
          <w:bCs/>
          <w:color w:val="auto"/>
          <w:w w:val="99"/>
          <w:kern w:val="0"/>
          <w:sz w:val="28"/>
          <w:szCs w:val="28"/>
          <w:highlight w:val="none"/>
        </w:rPr>
        <w:t>（盖单位法人章）</w:t>
      </w:r>
    </w:p>
    <w:p>
      <w:pPr>
        <w:autoSpaceDE w:val="0"/>
        <w:autoSpaceDN w:val="0"/>
        <w:adjustRightInd w:val="0"/>
        <w:snapToGrid w:val="0"/>
        <w:spacing w:line="360" w:lineRule="auto"/>
        <w:jc w:val="center"/>
        <w:rPr>
          <w:rFonts w:ascii="宋体" w:hAnsi="宋体"/>
          <w:bCs/>
          <w:color w:val="auto"/>
          <w:kern w:val="0"/>
          <w:sz w:val="20"/>
          <w:szCs w:val="20"/>
          <w:highlight w:val="none"/>
        </w:rPr>
      </w:pPr>
    </w:p>
    <w:p>
      <w:pPr>
        <w:autoSpaceDE w:val="0"/>
        <w:autoSpaceDN w:val="0"/>
        <w:adjustRightInd w:val="0"/>
        <w:snapToGrid w:val="0"/>
        <w:spacing w:line="360" w:lineRule="auto"/>
        <w:jc w:val="center"/>
        <w:rPr>
          <w:rFonts w:ascii="宋体" w:hAnsi="宋体"/>
          <w:bCs/>
          <w:color w:val="auto"/>
          <w:kern w:val="0"/>
          <w:sz w:val="28"/>
          <w:szCs w:val="28"/>
          <w:highlight w:val="none"/>
        </w:rPr>
      </w:pPr>
    </w:p>
    <w:p>
      <w:pPr>
        <w:autoSpaceDE w:val="0"/>
        <w:autoSpaceDN w:val="0"/>
        <w:adjustRightInd w:val="0"/>
        <w:snapToGrid w:val="0"/>
        <w:spacing w:line="360" w:lineRule="auto"/>
        <w:rPr>
          <w:rFonts w:ascii="宋体" w:hAnsi="宋体"/>
          <w:bCs/>
          <w:color w:val="auto"/>
          <w:kern w:val="0"/>
          <w:sz w:val="20"/>
          <w:szCs w:val="20"/>
          <w:highlight w:val="none"/>
        </w:rPr>
      </w:pPr>
    </w:p>
    <w:p>
      <w:pPr>
        <w:tabs>
          <w:tab w:val="left" w:pos="6252"/>
        </w:tabs>
        <w:autoSpaceDE w:val="0"/>
        <w:autoSpaceDN w:val="0"/>
        <w:adjustRightInd w:val="0"/>
        <w:snapToGrid w:val="0"/>
        <w:spacing w:line="360" w:lineRule="auto"/>
        <w:jc w:val="center"/>
        <w:rPr>
          <w:rFonts w:ascii="宋体" w:hAnsi="宋体"/>
          <w:bCs/>
          <w:color w:val="auto"/>
          <w:spacing w:val="8"/>
          <w:kern w:val="0"/>
          <w:sz w:val="28"/>
          <w:szCs w:val="28"/>
          <w:highlight w:val="none"/>
        </w:rPr>
      </w:pPr>
      <w:r>
        <w:rPr>
          <w:rFonts w:hint="eastAsia" w:ascii="宋体" w:hAnsi="宋体"/>
          <w:bCs/>
          <w:color w:val="auto"/>
          <w:spacing w:val="8"/>
          <w:kern w:val="0"/>
          <w:sz w:val="28"/>
          <w:szCs w:val="28"/>
          <w:highlight w:val="none"/>
          <w:u w:val="single"/>
          <w:lang w:val="en-US" w:eastAsia="zh-CN"/>
        </w:rPr>
        <w:t>2022</w:t>
      </w:r>
      <w:r>
        <w:rPr>
          <w:rFonts w:ascii="宋体" w:hAnsi="宋体"/>
          <w:bCs/>
          <w:color w:val="auto"/>
          <w:spacing w:val="8"/>
          <w:kern w:val="0"/>
          <w:sz w:val="28"/>
          <w:szCs w:val="28"/>
          <w:highlight w:val="none"/>
        </w:rPr>
        <w:t>年</w:t>
      </w:r>
      <w:r>
        <w:rPr>
          <w:rFonts w:hint="eastAsia" w:ascii="宋体" w:hAnsi="宋体"/>
          <w:bCs/>
          <w:color w:val="auto"/>
          <w:spacing w:val="8"/>
          <w:kern w:val="0"/>
          <w:sz w:val="28"/>
          <w:szCs w:val="28"/>
          <w:highlight w:val="none"/>
          <w:u w:val="single"/>
          <w:lang w:val="en-US" w:eastAsia="zh-CN"/>
        </w:rPr>
        <w:t>8</w:t>
      </w:r>
      <w:r>
        <w:rPr>
          <w:rFonts w:ascii="宋体" w:hAnsi="宋体"/>
          <w:bCs/>
          <w:color w:val="auto"/>
          <w:spacing w:val="8"/>
          <w:kern w:val="0"/>
          <w:sz w:val="28"/>
          <w:szCs w:val="28"/>
          <w:highlight w:val="none"/>
        </w:rPr>
        <w:t>月</w:t>
      </w:r>
    </w:p>
    <w:p>
      <w:pPr>
        <w:pStyle w:val="57"/>
        <w:jc w:val="center"/>
        <w:rPr>
          <w:rFonts w:ascii="宋体" w:hAnsi="宋体"/>
          <w:color w:val="auto"/>
          <w:sz w:val="44"/>
          <w:szCs w:val="44"/>
        </w:rPr>
      </w:pPr>
      <w:r>
        <w:rPr>
          <w:rFonts w:ascii="宋体" w:hAnsi="宋体"/>
          <w:color w:val="auto"/>
          <w:sz w:val="44"/>
          <w:szCs w:val="44"/>
          <w:lang w:val="zh-CN"/>
        </w:rPr>
        <w:t>目</w:t>
      </w:r>
      <w:r>
        <w:rPr>
          <w:rFonts w:hint="eastAsia" w:ascii="宋体" w:hAnsi="宋体"/>
          <w:color w:val="auto"/>
          <w:sz w:val="44"/>
          <w:szCs w:val="44"/>
          <w:lang w:val="zh-CN"/>
        </w:rPr>
        <w:t xml:space="preserve"> </w:t>
      </w:r>
      <w:r>
        <w:rPr>
          <w:rFonts w:ascii="宋体" w:hAnsi="宋体"/>
          <w:color w:val="auto"/>
          <w:sz w:val="44"/>
          <w:szCs w:val="44"/>
          <w:lang w:val="zh-CN"/>
        </w:rPr>
        <w:t>录</w:t>
      </w:r>
      <w:bookmarkEnd w:id="0"/>
    </w:p>
    <w:p>
      <w:pPr>
        <w:pStyle w:val="31"/>
        <w:tabs>
          <w:tab w:val="right" w:leader="underscore" w:pos="9469"/>
        </w:tabs>
      </w:pPr>
      <w:r>
        <w:rPr>
          <w:rFonts w:ascii="宋体" w:hAnsi="宋体"/>
        </w:rPr>
        <w:fldChar w:fldCharType="begin"/>
      </w:r>
      <w:r>
        <w:rPr>
          <w:rFonts w:ascii="宋体" w:hAnsi="宋体"/>
        </w:rPr>
        <w:instrText xml:space="preserve"> TOC \o "1-3" \h \z \u </w:instrText>
      </w:r>
      <w:r>
        <w:rPr>
          <w:rFonts w:ascii="宋体" w:hAnsi="宋体"/>
        </w:rPr>
        <w:fldChar w:fldCharType="separate"/>
      </w:r>
      <w:r>
        <w:fldChar w:fldCharType="begin"/>
      </w:r>
      <w:r>
        <w:instrText xml:space="preserve"> HYPERLINK \l "_Toc15286" </w:instrText>
      </w:r>
      <w:r>
        <w:fldChar w:fldCharType="separate"/>
      </w:r>
      <w:r>
        <w:rPr>
          <w:rFonts w:hint="eastAsia" w:ascii="宋体" w:hAnsi="宋体"/>
          <w:szCs w:val="52"/>
        </w:rPr>
        <w:t>第 一 卷</w:t>
      </w:r>
      <w:r>
        <w:tab/>
      </w:r>
      <w:r>
        <w:fldChar w:fldCharType="begin"/>
      </w:r>
      <w:r>
        <w:instrText xml:space="preserve"> PAGEREF _Toc15286 </w:instrText>
      </w:r>
      <w:r>
        <w:fldChar w:fldCharType="separate"/>
      </w:r>
      <w:r>
        <w:t>2</w:t>
      </w:r>
      <w:r>
        <w:fldChar w:fldCharType="end"/>
      </w:r>
      <w:r>
        <w:fldChar w:fldCharType="end"/>
      </w:r>
    </w:p>
    <w:p>
      <w:pPr>
        <w:pStyle w:val="31"/>
        <w:tabs>
          <w:tab w:val="right" w:leader="underscore" w:pos="9469"/>
        </w:tabs>
      </w:pPr>
      <w:r>
        <w:fldChar w:fldCharType="begin"/>
      </w:r>
      <w:r>
        <w:instrText xml:space="preserve"> HYPERLINK \l "_Toc32327" </w:instrText>
      </w:r>
      <w:r>
        <w:fldChar w:fldCharType="separate"/>
      </w:r>
      <w:r>
        <w:rPr>
          <w:rFonts w:ascii="宋体" w:hAnsi="宋体"/>
          <w:snapToGrid w:val="0"/>
          <w:kern w:val="0"/>
        </w:rPr>
        <w:t xml:space="preserve">第一章  </w:t>
      </w:r>
      <w:r>
        <w:rPr>
          <w:rFonts w:hint="eastAsia" w:ascii="宋体" w:hAnsi="宋体"/>
          <w:snapToGrid w:val="0"/>
          <w:kern w:val="0"/>
        </w:rPr>
        <w:t>竞争性比选公告</w:t>
      </w:r>
      <w:r>
        <w:tab/>
      </w:r>
      <w:r>
        <w:fldChar w:fldCharType="begin"/>
      </w:r>
      <w:r>
        <w:instrText xml:space="preserve"> PAGEREF _Toc32327 </w:instrText>
      </w:r>
      <w:r>
        <w:fldChar w:fldCharType="separate"/>
      </w:r>
      <w:r>
        <w:t>3</w:t>
      </w:r>
      <w:r>
        <w:fldChar w:fldCharType="end"/>
      </w:r>
      <w:r>
        <w:fldChar w:fldCharType="end"/>
      </w:r>
    </w:p>
    <w:p>
      <w:pPr>
        <w:pStyle w:val="37"/>
        <w:tabs>
          <w:tab w:val="right" w:leader="underscore" w:pos="9469"/>
        </w:tabs>
      </w:pPr>
      <w:r>
        <w:fldChar w:fldCharType="begin"/>
      </w:r>
      <w:r>
        <w:instrText xml:space="preserve"> HYPERLINK \l "_Toc2167" </w:instrText>
      </w:r>
      <w:r>
        <w:fldChar w:fldCharType="separate"/>
      </w:r>
      <w:r>
        <w:rPr>
          <w:rFonts w:ascii="宋体" w:hAnsi="宋体"/>
          <w:snapToGrid w:val="0"/>
          <w:szCs w:val="28"/>
        </w:rPr>
        <w:t xml:space="preserve">1. </w:t>
      </w:r>
      <w:r>
        <w:rPr>
          <w:rFonts w:hint="eastAsia" w:ascii="宋体" w:hAnsi="宋体"/>
          <w:snapToGrid w:val="0"/>
          <w:szCs w:val="28"/>
        </w:rPr>
        <w:t xml:space="preserve"> 比选</w:t>
      </w:r>
      <w:r>
        <w:rPr>
          <w:rFonts w:ascii="宋体" w:hAnsi="宋体"/>
          <w:snapToGrid w:val="0"/>
          <w:szCs w:val="28"/>
        </w:rPr>
        <w:t>条件</w:t>
      </w:r>
      <w:r>
        <w:tab/>
      </w:r>
      <w:r>
        <w:fldChar w:fldCharType="begin"/>
      </w:r>
      <w:r>
        <w:instrText xml:space="preserve"> PAGEREF _Toc2167 </w:instrText>
      </w:r>
      <w:r>
        <w:fldChar w:fldCharType="separate"/>
      </w:r>
      <w:r>
        <w:t>3</w:t>
      </w:r>
      <w:r>
        <w:fldChar w:fldCharType="end"/>
      </w:r>
      <w:r>
        <w:fldChar w:fldCharType="end"/>
      </w:r>
    </w:p>
    <w:p>
      <w:pPr>
        <w:pStyle w:val="37"/>
        <w:tabs>
          <w:tab w:val="right" w:leader="underscore" w:pos="9469"/>
        </w:tabs>
      </w:pPr>
      <w:r>
        <w:fldChar w:fldCharType="begin"/>
      </w:r>
      <w:r>
        <w:instrText xml:space="preserve"> HYPERLINK \l "_Toc31852" </w:instrText>
      </w:r>
      <w:r>
        <w:fldChar w:fldCharType="separate"/>
      </w:r>
      <w:r>
        <w:rPr>
          <w:rFonts w:ascii="宋体" w:hAnsi="宋体"/>
          <w:snapToGrid w:val="0"/>
          <w:szCs w:val="28"/>
        </w:rPr>
        <w:t>2.</w:t>
      </w:r>
      <w:r>
        <w:rPr>
          <w:rFonts w:hint="eastAsia" w:ascii="宋体" w:hAnsi="宋体"/>
          <w:snapToGrid w:val="0"/>
          <w:szCs w:val="28"/>
        </w:rPr>
        <w:t xml:space="preserve"> </w:t>
      </w:r>
      <w:r>
        <w:rPr>
          <w:rFonts w:ascii="宋体" w:hAnsi="宋体"/>
          <w:snapToGrid w:val="0"/>
          <w:szCs w:val="28"/>
        </w:rPr>
        <w:t xml:space="preserve"> 项目概况与</w:t>
      </w:r>
      <w:r>
        <w:rPr>
          <w:rFonts w:hint="eastAsia" w:ascii="宋体" w:hAnsi="宋体"/>
          <w:snapToGrid w:val="0"/>
          <w:szCs w:val="28"/>
        </w:rPr>
        <w:t>比选</w:t>
      </w:r>
      <w:r>
        <w:rPr>
          <w:rFonts w:ascii="宋体" w:hAnsi="宋体"/>
          <w:snapToGrid w:val="0"/>
          <w:szCs w:val="28"/>
        </w:rPr>
        <w:t>范围</w:t>
      </w:r>
      <w:r>
        <w:tab/>
      </w:r>
      <w:r>
        <w:fldChar w:fldCharType="begin"/>
      </w:r>
      <w:r>
        <w:instrText xml:space="preserve"> PAGEREF _Toc31852 </w:instrText>
      </w:r>
      <w:r>
        <w:fldChar w:fldCharType="separate"/>
      </w:r>
      <w:r>
        <w:t>3</w:t>
      </w:r>
      <w:r>
        <w:fldChar w:fldCharType="end"/>
      </w:r>
      <w:r>
        <w:fldChar w:fldCharType="end"/>
      </w:r>
    </w:p>
    <w:p>
      <w:pPr>
        <w:pStyle w:val="37"/>
        <w:tabs>
          <w:tab w:val="right" w:leader="underscore" w:pos="9469"/>
        </w:tabs>
      </w:pPr>
      <w:r>
        <w:fldChar w:fldCharType="begin"/>
      </w:r>
      <w:r>
        <w:instrText xml:space="preserve"> HYPERLINK \l "_Toc4210" </w:instrText>
      </w:r>
      <w:r>
        <w:fldChar w:fldCharType="separate"/>
      </w:r>
      <w:r>
        <w:rPr>
          <w:rFonts w:ascii="宋体" w:hAnsi="宋体"/>
          <w:snapToGrid w:val="0"/>
          <w:szCs w:val="28"/>
        </w:rPr>
        <w:t xml:space="preserve">3. </w:t>
      </w:r>
      <w:r>
        <w:rPr>
          <w:rFonts w:hint="eastAsia" w:ascii="宋体" w:hAnsi="宋体"/>
          <w:snapToGrid w:val="0"/>
          <w:szCs w:val="28"/>
        </w:rPr>
        <w:t xml:space="preserve"> </w:t>
      </w:r>
      <w:r>
        <w:rPr>
          <w:rFonts w:hint="eastAsia" w:ascii="宋体" w:hAnsi="宋体"/>
          <w:snapToGrid w:val="0"/>
          <w:szCs w:val="28"/>
          <w:lang w:eastAsia="zh-CN"/>
        </w:rPr>
        <w:t>竞标</w:t>
      </w:r>
      <w:r>
        <w:rPr>
          <w:rFonts w:hint="eastAsia" w:ascii="宋体" w:hAnsi="宋体"/>
          <w:snapToGrid w:val="0"/>
          <w:szCs w:val="28"/>
        </w:rPr>
        <w:t>人的</w:t>
      </w:r>
      <w:r>
        <w:rPr>
          <w:rFonts w:ascii="宋体" w:hAnsi="宋体"/>
          <w:snapToGrid w:val="0"/>
          <w:szCs w:val="28"/>
        </w:rPr>
        <w:t>资格要求</w:t>
      </w:r>
      <w:r>
        <w:tab/>
      </w:r>
      <w:r>
        <w:fldChar w:fldCharType="begin"/>
      </w:r>
      <w:r>
        <w:instrText xml:space="preserve"> PAGEREF _Toc4210 </w:instrText>
      </w:r>
      <w:r>
        <w:fldChar w:fldCharType="separate"/>
      </w:r>
      <w:r>
        <w:t>3</w:t>
      </w:r>
      <w:r>
        <w:fldChar w:fldCharType="end"/>
      </w:r>
      <w:r>
        <w:fldChar w:fldCharType="end"/>
      </w:r>
    </w:p>
    <w:p>
      <w:pPr>
        <w:pStyle w:val="37"/>
        <w:tabs>
          <w:tab w:val="right" w:leader="underscore" w:pos="9469"/>
        </w:tabs>
      </w:pPr>
      <w:r>
        <w:fldChar w:fldCharType="begin"/>
      </w:r>
      <w:r>
        <w:instrText xml:space="preserve"> HYPERLINK \l "_Toc20060" </w:instrText>
      </w:r>
      <w:r>
        <w:fldChar w:fldCharType="separate"/>
      </w:r>
      <w:r>
        <w:rPr>
          <w:rFonts w:ascii="宋体" w:hAnsi="宋体"/>
          <w:snapToGrid w:val="0"/>
          <w:szCs w:val="28"/>
        </w:rPr>
        <w:t xml:space="preserve">4. </w:t>
      </w:r>
      <w:r>
        <w:rPr>
          <w:rFonts w:hint="eastAsia" w:ascii="宋体" w:hAnsi="宋体"/>
          <w:snapToGrid w:val="0"/>
          <w:szCs w:val="28"/>
        </w:rPr>
        <w:t xml:space="preserve"> 比选</w:t>
      </w:r>
      <w:r>
        <w:rPr>
          <w:rFonts w:ascii="宋体" w:hAnsi="宋体"/>
          <w:snapToGrid w:val="0"/>
          <w:szCs w:val="28"/>
        </w:rPr>
        <w:t>文件的获取</w:t>
      </w:r>
      <w:r>
        <w:tab/>
      </w:r>
      <w:r>
        <w:fldChar w:fldCharType="begin"/>
      </w:r>
      <w:r>
        <w:instrText xml:space="preserve"> PAGEREF _Toc20060 </w:instrText>
      </w:r>
      <w:r>
        <w:fldChar w:fldCharType="separate"/>
      </w:r>
      <w:r>
        <w:t>4</w:t>
      </w:r>
      <w:r>
        <w:fldChar w:fldCharType="end"/>
      </w:r>
      <w:r>
        <w:fldChar w:fldCharType="end"/>
      </w:r>
    </w:p>
    <w:p>
      <w:pPr>
        <w:pStyle w:val="37"/>
        <w:tabs>
          <w:tab w:val="right" w:leader="underscore" w:pos="9469"/>
        </w:tabs>
      </w:pPr>
      <w:r>
        <w:fldChar w:fldCharType="begin"/>
      </w:r>
      <w:r>
        <w:instrText xml:space="preserve"> HYPERLINK \l "_Toc2458" </w:instrText>
      </w:r>
      <w:r>
        <w:fldChar w:fldCharType="separate"/>
      </w:r>
      <w:r>
        <w:rPr>
          <w:rFonts w:ascii="宋体" w:hAnsi="宋体"/>
          <w:snapToGrid w:val="0"/>
          <w:szCs w:val="28"/>
        </w:rPr>
        <w:t xml:space="preserve">5. </w:t>
      </w:r>
      <w:r>
        <w:rPr>
          <w:rFonts w:hint="eastAsia" w:ascii="宋体" w:hAnsi="宋体"/>
          <w:snapToGrid w:val="0"/>
          <w:szCs w:val="28"/>
        </w:rPr>
        <w:t xml:space="preserve"> </w:t>
      </w:r>
      <w:r>
        <w:rPr>
          <w:rFonts w:hint="eastAsia" w:ascii="宋体" w:hAnsi="宋体"/>
          <w:snapToGrid w:val="0"/>
          <w:kern w:val="0"/>
          <w:szCs w:val="28"/>
          <w:lang w:eastAsia="zh-CN"/>
        </w:rPr>
        <w:t>竞标</w:t>
      </w:r>
      <w:r>
        <w:rPr>
          <w:rFonts w:ascii="宋体" w:hAnsi="宋体"/>
          <w:snapToGrid w:val="0"/>
          <w:szCs w:val="28"/>
        </w:rPr>
        <w:t>文件的递交</w:t>
      </w:r>
      <w:r>
        <w:tab/>
      </w:r>
      <w:r>
        <w:fldChar w:fldCharType="begin"/>
      </w:r>
      <w:r>
        <w:instrText xml:space="preserve"> PAGEREF _Toc2458 </w:instrText>
      </w:r>
      <w:r>
        <w:fldChar w:fldCharType="separate"/>
      </w:r>
      <w:r>
        <w:t>4</w:t>
      </w:r>
      <w:r>
        <w:fldChar w:fldCharType="end"/>
      </w:r>
      <w:r>
        <w:fldChar w:fldCharType="end"/>
      </w:r>
    </w:p>
    <w:p>
      <w:pPr>
        <w:pStyle w:val="37"/>
        <w:tabs>
          <w:tab w:val="right" w:leader="underscore" w:pos="9469"/>
        </w:tabs>
      </w:pPr>
      <w:r>
        <w:fldChar w:fldCharType="begin"/>
      </w:r>
      <w:r>
        <w:instrText xml:space="preserve"> HYPERLINK \l "_Toc4125" </w:instrText>
      </w:r>
      <w:r>
        <w:fldChar w:fldCharType="separate"/>
      </w:r>
      <w:r>
        <w:rPr>
          <w:rFonts w:ascii="宋体" w:hAnsi="宋体"/>
          <w:snapToGrid w:val="0"/>
          <w:szCs w:val="28"/>
        </w:rPr>
        <w:t xml:space="preserve">6. </w:t>
      </w:r>
      <w:r>
        <w:rPr>
          <w:rFonts w:hint="eastAsia" w:ascii="宋体" w:hAnsi="宋体"/>
          <w:snapToGrid w:val="0"/>
          <w:szCs w:val="28"/>
        </w:rPr>
        <w:t xml:space="preserve"> </w:t>
      </w:r>
      <w:r>
        <w:rPr>
          <w:rFonts w:ascii="宋体" w:hAnsi="宋体"/>
          <w:snapToGrid w:val="0"/>
          <w:szCs w:val="28"/>
        </w:rPr>
        <w:t>发布公告的媒介</w:t>
      </w:r>
      <w:r>
        <w:tab/>
      </w:r>
      <w:r>
        <w:fldChar w:fldCharType="begin"/>
      </w:r>
      <w:r>
        <w:instrText xml:space="preserve"> PAGEREF _Toc4125 </w:instrText>
      </w:r>
      <w:r>
        <w:fldChar w:fldCharType="separate"/>
      </w:r>
      <w:r>
        <w:t>4</w:t>
      </w:r>
      <w:r>
        <w:fldChar w:fldCharType="end"/>
      </w:r>
      <w:r>
        <w:fldChar w:fldCharType="end"/>
      </w:r>
    </w:p>
    <w:p>
      <w:pPr>
        <w:pStyle w:val="37"/>
        <w:tabs>
          <w:tab w:val="right" w:leader="underscore" w:pos="9469"/>
        </w:tabs>
      </w:pPr>
      <w:r>
        <w:fldChar w:fldCharType="begin"/>
      </w:r>
      <w:r>
        <w:instrText xml:space="preserve"> HYPERLINK \l "_Toc20049" </w:instrText>
      </w:r>
      <w:r>
        <w:fldChar w:fldCharType="separate"/>
      </w:r>
      <w:r>
        <w:rPr>
          <w:rFonts w:ascii="宋体" w:hAnsi="宋体"/>
          <w:snapToGrid w:val="0"/>
          <w:szCs w:val="28"/>
        </w:rPr>
        <w:t xml:space="preserve">7. </w:t>
      </w:r>
      <w:r>
        <w:rPr>
          <w:rFonts w:hint="eastAsia" w:ascii="宋体" w:hAnsi="宋体"/>
          <w:snapToGrid w:val="0"/>
          <w:szCs w:val="28"/>
        </w:rPr>
        <w:t xml:space="preserve"> </w:t>
      </w:r>
      <w:r>
        <w:rPr>
          <w:rFonts w:ascii="宋体" w:hAnsi="宋体"/>
          <w:snapToGrid w:val="0"/>
          <w:szCs w:val="28"/>
        </w:rPr>
        <w:t>联系方式</w:t>
      </w:r>
      <w:r>
        <w:tab/>
      </w:r>
      <w:r>
        <w:fldChar w:fldCharType="begin"/>
      </w:r>
      <w:r>
        <w:instrText xml:space="preserve"> PAGEREF _Toc20049 </w:instrText>
      </w:r>
      <w:r>
        <w:fldChar w:fldCharType="separate"/>
      </w:r>
      <w:r>
        <w:t>4</w:t>
      </w:r>
      <w:r>
        <w:fldChar w:fldCharType="end"/>
      </w:r>
      <w:r>
        <w:fldChar w:fldCharType="end"/>
      </w:r>
    </w:p>
    <w:p>
      <w:pPr>
        <w:pStyle w:val="31"/>
        <w:tabs>
          <w:tab w:val="right" w:leader="underscore" w:pos="9469"/>
        </w:tabs>
      </w:pPr>
      <w:r>
        <w:fldChar w:fldCharType="begin"/>
      </w:r>
      <w:r>
        <w:instrText xml:space="preserve"> HYPERLINK \l "_Toc28462" </w:instrText>
      </w:r>
      <w:r>
        <w:fldChar w:fldCharType="separate"/>
      </w:r>
      <w:r>
        <w:rPr>
          <w:rFonts w:ascii="宋体" w:hAnsi="宋体"/>
          <w:snapToGrid w:val="0"/>
          <w:kern w:val="0"/>
        </w:rPr>
        <w:t xml:space="preserve">第二章  </w:t>
      </w:r>
      <w:r>
        <w:rPr>
          <w:rFonts w:hint="eastAsia" w:ascii="宋体" w:hAnsi="宋体"/>
          <w:snapToGrid w:val="0"/>
          <w:kern w:val="0"/>
          <w:lang w:eastAsia="zh-CN"/>
        </w:rPr>
        <w:t>竞标</w:t>
      </w:r>
      <w:r>
        <w:rPr>
          <w:rFonts w:ascii="宋体" w:hAnsi="宋体"/>
          <w:snapToGrid w:val="0"/>
          <w:kern w:val="0"/>
        </w:rPr>
        <w:t>人须知</w:t>
      </w:r>
      <w:r>
        <w:tab/>
      </w:r>
      <w:r>
        <w:fldChar w:fldCharType="begin"/>
      </w:r>
      <w:r>
        <w:instrText xml:space="preserve"> PAGEREF _Toc28462 </w:instrText>
      </w:r>
      <w:r>
        <w:fldChar w:fldCharType="separate"/>
      </w:r>
      <w:r>
        <w:t>5</w:t>
      </w:r>
      <w:r>
        <w:fldChar w:fldCharType="end"/>
      </w:r>
      <w:r>
        <w:fldChar w:fldCharType="end"/>
      </w:r>
    </w:p>
    <w:p>
      <w:pPr>
        <w:pStyle w:val="37"/>
        <w:tabs>
          <w:tab w:val="right" w:leader="underscore" w:pos="9469"/>
        </w:tabs>
      </w:pPr>
      <w:r>
        <w:fldChar w:fldCharType="begin"/>
      </w:r>
      <w:r>
        <w:instrText xml:space="preserve"> HYPERLINK \l "_Toc18456" </w:instrText>
      </w:r>
      <w:r>
        <w:fldChar w:fldCharType="separate"/>
      </w:r>
      <w:r>
        <w:rPr>
          <w:rFonts w:hint="eastAsia" w:ascii="宋体" w:hAnsi="宋体"/>
          <w:lang w:eastAsia="zh-CN"/>
        </w:rPr>
        <w:t>竞标</w:t>
      </w:r>
      <w:r>
        <w:rPr>
          <w:rFonts w:hint="eastAsia" w:ascii="宋体" w:hAnsi="宋体"/>
        </w:rPr>
        <w:t>人须知前附表</w:t>
      </w:r>
      <w:r>
        <w:tab/>
      </w:r>
      <w:r>
        <w:fldChar w:fldCharType="begin"/>
      </w:r>
      <w:r>
        <w:instrText xml:space="preserve"> PAGEREF _Toc18456 </w:instrText>
      </w:r>
      <w:r>
        <w:fldChar w:fldCharType="separate"/>
      </w:r>
      <w:r>
        <w:t>5</w:t>
      </w:r>
      <w:r>
        <w:fldChar w:fldCharType="end"/>
      </w:r>
      <w:r>
        <w:fldChar w:fldCharType="end"/>
      </w:r>
    </w:p>
    <w:p>
      <w:pPr>
        <w:pStyle w:val="31"/>
        <w:tabs>
          <w:tab w:val="right" w:leader="underscore" w:pos="9469"/>
        </w:tabs>
      </w:pPr>
      <w:r>
        <w:fldChar w:fldCharType="begin"/>
      </w:r>
      <w:r>
        <w:instrText xml:space="preserve"> HYPERLINK \l "_Toc24841" </w:instrText>
      </w:r>
      <w:r>
        <w:fldChar w:fldCharType="separate"/>
      </w:r>
      <w:r>
        <w:rPr>
          <w:rFonts w:ascii="宋体" w:hAnsi="宋体"/>
          <w:snapToGrid w:val="0"/>
          <w:kern w:val="0"/>
        </w:rPr>
        <w:t xml:space="preserve">第三章 </w:t>
      </w:r>
      <w:r>
        <w:rPr>
          <w:rFonts w:hint="eastAsia" w:ascii="宋体" w:hAnsi="宋体"/>
          <w:snapToGrid w:val="0"/>
          <w:kern w:val="0"/>
        </w:rPr>
        <w:t xml:space="preserve"> </w:t>
      </w:r>
      <w:r>
        <w:rPr>
          <w:rFonts w:ascii="宋体" w:hAnsi="宋体"/>
          <w:snapToGrid w:val="0"/>
          <w:kern w:val="0"/>
        </w:rPr>
        <w:t>评标办法（</w:t>
      </w:r>
      <w:r>
        <w:rPr>
          <w:rFonts w:hint="eastAsia" w:ascii="宋体" w:hAnsi="宋体"/>
          <w:snapToGrid w:val="0"/>
          <w:kern w:val="0"/>
        </w:rPr>
        <w:t>综合评估法</w:t>
      </w:r>
      <w:r>
        <w:rPr>
          <w:rFonts w:ascii="宋体" w:hAnsi="宋体"/>
          <w:snapToGrid w:val="0"/>
          <w:kern w:val="0"/>
        </w:rPr>
        <w:t>）</w:t>
      </w:r>
      <w:r>
        <w:tab/>
      </w:r>
      <w:r>
        <w:fldChar w:fldCharType="begin"/>
      </w:r>
      <w:r>
        <w:instrText xml:space="preserve"> PAGEREF _Toc24841 </w:instrText>
      </w:r>
      <w:r>
        <w:fldChar w:fldCharType="separate"/>
      </w:r>
      <w:r>
        <w:t>22</w:t>
      </w:r>
      <w:r>
        <w:fldChar w:fldCharType="end"/>
      </w:r>
      <w:r>
        <w:fldChar w:fldCharType="end"/>
      </w:r>
    </w:p>
    <w:p>
      <w:pPr>
        <w:pStyle w:val="37"/>
        <w:tabs>
          <w:tab w:val="right" w:leader="underscore" w:pos="9469"/>
        </w:tabs>
      </w:pPr>
      <w:r>
        <w:fldChar w:fldCharType="begin"/>
      </w:r>
      <w:r>
        <w:instrText xml:space="preserve"> HYPERLINK \l "_Toc26773" </w:instrText>
      </w:r>
      <w:r>
        <w:fldChar w:fldCharType="separate"/>
      </w:r>
      <w:r>
        <w:rPr>
          <w:rFonts w:hint="eastAsia" w:ascii="宋体" w:hAnsi="宋体"/>
          <w:szCs w:val="32"/>
        </w:rPr>
        <w:t>评标办法前附表</w:t>
      </w:r>
      <w:r>
        <w:tab/>
      </w:r>
      <w:r>
        <w:fldChar w:fldCharType="begin"/>
      </w:r>
      <w:r>
        <w:instrText xml:space="preserve"> PAGEREF _Toc26773 </w:instrText>
      </w:r>
      <w:r>
        <w:fldChar w:fldCharType="separate"/>
      </w:r>
      <w:r>
        <w:t>22</w:t>
      </w:r>
      <w:r>
        <w:fldChar w:fldCharType="end"/>
      </w:r>
      <w:r>
        <w:fldChar w:fldCharType="end"/>
      </w:r>
    </w:p>
    <w:p>
      <w:pPr>
        <w:pStyle w:val="31"/>
        <w:tabs>
          <w:tab w:val="right" w:leader="underscore" w:pos="9469"/>
        </w:tabs>
      </w:pPr>
      <w:r>
        <w:fldChar w:fldCharType="begin"/>
      </w:r>
      <w:r>
        <w:instrText xml:space="preserve"> HYPERLINK \l "_Toc12150" </w:instrText>
      </w:r>
      <w:r>
        <w:fldChar w:fldCharType="separate"/>
      </w:r>
      <w:r>
        <w:rPr>
          <w:rFonts w:hint="eastAsia" w:ascii="宋体" w:hAnsi="宋体"/>
          <w:kern w:val="0"/>
        </w:rPr>
        <w:t>第四章  合同条款及格式</w:t>
      </w:r>
      <w:r>
        <w:tab/>
      </w:r>
      <w:r>
        <w:fldChar w:fldCharType="begin"/>
      </w:r>
      <w:r>
        <w:instrText xml:space="preserve"> PAGEREF _Toc12150 </w:instrText>
      </w:r>
      <w:r>
        <w:fldChar w:fldCharType="separate"/>
      </w:r>
      <w:r>
        <w:t>31</w:t>
      </w:r>
      <w:r>
        <w:fldChar w:fldCharType="end"/>
      </w:r>
      <w:r>
        <w:fldChar w:fldCharType="end"/>
      </w:r>
    </w:p>
    <w:p>
      <w:pPr>
        <w:pStyle w:val="31"/>
        <w:tabs>
          <w:tab w:val="right" w:leader="underscore" w:pos="9469"/>
        </w:tabs>
      </w:pPr>
      <w:r>
        <w:fldChar w:fldCharType="begin"/>
      </w:r>
      <w:r>
        <w:instrText xml:space="preserve"> HYPERLINK \l "_Toc13890" </w:instrText>
      </w:r>
      <w:r>
        <w:fldChar w:fldCharType="separate"/>
      </w:r>
      <w:r>
        <w:rPr>
          <w:rFonts w:hint="eastAsia" w:ascii="宋体" w:hAnsi="宋体"/>
        </w:rPr>
        <w:t>第五章  工程量清单</w:t>
      </w:r>
      <w:r>
        <w:tab/>
      </w:r>
      <w:r>
        <w:fldChar w:fldCharType="begin"/>
      </w:r>
      <w:r>
        <w:instrText xml:space="preserve"> PAGEREF _Toc13890 </w:instrText>
      </w:r>
      <w:r>
        <w:fldChar w:fldCharType="separate"/>
      </w:r>
      <w:r>
        <w:t>137</w:t>
      </w:r>
      <w:r>
        <w:fldChar w:fldCharType="end"/>
      </w:r>
      <w:r>
        <w:fldChar w:fldCharType="end"/>
      </w:r>
    </w:p>
    <w:p>
      <w:pPr>
        <w:pStyle w:val="31"/>
        <w:tabs>
          <w:tab w:val="right" w:leader="underscore" w:pos="9469"/>
        </w:tabs>
      </w:pPr>
      <w:r>
        <w:fldChar w:fldCharType="begin"/>
      </w:r>
      <w:r>
        <w:instrText xml:space="preserve"> HYPERLINK \l "_Toc7145" </w:instrText>
      </w:r>
      <w:r>
        <w:fldChar w:fldCharType="separate"/>
      </w:r>
      <w:r>
        <w:rPr>
          <w:rFonts w:ascii="宋体" w:hAnsi="宋体"/>
          <w:szCs w:val="52"/>
        </w:rPr>
        <w:t>第 二 卷</w:t>
      </w:r>
      <w:r>
        <w:tab/>
      </w:r>
      <w:r>
        <w:fldChar w:fldCharType="begin"/>
      </w:r>
      <w:r>
        <w:instrText xml:space="preserve"> PAGEREF _Toc7145 </w:instrText>
      </w:r>
      <w:r>
        <w:fldChar w:fldCharType="separate"/>
      </w:r>
      <w:r>
        <w:t>138</w:t>
      </w:r>
      <w:r>
        <w:fldChar w:fldCharType="end"/>
      </w:r>
      <w:r>
        <w:fldChar w:fldCharType="end"/>
      </w:r>
    </w:p>
    <w:p>
      <w:pPr>
        <w:pStyle w:val="31"/>
        <w:tabs>
          <w:tab w:val="right" w:leader="underscore" w:pos="9469"/>
        </w:tabs>
      </w:pPr>
      <w:r>
        <w:fldChar w:fldCharType="begin"/>
      </w:r>
      <w:r>
        <w:instrText xml:space="preserve"> HYPERLINK \l "_Toc28862" </w:instrText>
      </w:r>
      <w:r>
        <w:fldChar w:fldCharType="separate"/>
      </w:r>
      <w:r>
        <w:rPr>
          <w:rFonts w:hint="eastAsia" w:ascii="宋体" w:hAnsi="宋体"/>
        </w:rPr>
        <w:t>第六章  图纸</w:t>
      </w:r>
      <w:r>
        <w:tab/>
      </w:r>
      <w:r>
        <w:fldChar w:fldCharType="begin"/>
      </w:r>
      <w:r>
        <w:instrText xml:space="preserve"> PAGEREF _Toc28862 </w:instrText>
      </w:r>
      <w:r>
        <w:fldChar w:fldCharType="separate"/>
      </w:r>
      <w:r>
        <w:t>139</w:t>
      </w:r>
      <w:r>
        <w:fldChar w:fldCharType="end"/>
      </w:r>
      <w:r>
        <w:fldChar w:fldCharType="end"/>
      </w:r>
    </w:p>
    <w:p>
      <w:pPr>
        <w:pStyle w:val="31"/>
        <w:tabs>
          <w:tab w:val="right" w:leader="underscore" w:pos="9469"/>
        </w:tabs>
      </w:pPr>
      <w:r>
        <w:fldChar w:fldCharType="begin"/>
      </w:r>
      <w:r>
        <w:instrText xml:space="preserve"> HYPERLINK \l "_Toc17678" </w:instrText>
      </w:r>
      <w:r>
        <w:fldChar w:fldCharType="separate"/>
      </w:r>
      <w:r>
        <w:rPr>
          <w:rFonts w:hint="eastAsia" w:ascii="宋体" w:hAnsi="宋体"/>
          <w:szCs w:val="52"/>
        </w:rPr>
        <w:t>第 三 卷</w:t>
      </w:r>
      <w:r>
        <w:tab/>
      </w:r>
      <w:r>
        <w:fldChar w:fldCharType="begin"/>
      </w:r>
      <w:r>
        <w:instrText xml:space="preserve"> PAGEREF _Toc17678 </w:instrText>
      </w:r>
      <w:r>
        <w:fldChar w:fldCharType="separate"/>
      </w:r>
      <w:r>
        <w:t>140</w:t>
      </w:r>
      <w:r>
        <w:fldChar w:fldCharType="end"/>
      </w:r>
      <w:r>
        <w:fldChar w:fldCharType="end"/>
      </w:r>
    </w:p>
    <w:p>
      <w:pPr>
        <w:pStyle w:val="31"/>
        <w:tabs>
          <w:tab w:val="right" w:leader="underscore" w:pos="9469"/>
        </w:tabs>
      </w:pPr>
      <w:r>
        <w:fldChar w:fldCharType="begin"/>
      </w:r>
      <w:r>
        <w:instrText xml:space="preserve"> HYPERLINK \l "_Toc25380" </w:instrText>
      </w:r>
      <w:r>
        <w:fldChar w:fldCharType="separate"/>
      </w:r>
      <w:r>
        <w:rPr>
          <w:rFonts w:ascii="宋体" w:hAnsi="宋体"/>
        </w:rPr>
        <w:t>第七章</w:t>
      </w:r>
      <w:r>
        <w:rPr>
          <w:rFonts w:hint="eastAsia" w:ascii="宋体" w:hAnsi="宋体"/>
        </w:rPr>
        <w:t xml:space="preserve">  </w:t>
      </w:r>
      <w:r>
        <w:rPr>
          <w:rFonts w:ascii="宋体" w:hAnsi="宋体"/>
        </w:rPr>
        <w:t>技术标准和要求</w:t>
      </w:r>
      <w:r>
        <w:tab/>
      </w:r>
      <w:r>
        <w:fldChar w:fldCharType="begin"/>
      </w:r>
      <w:r>
        <w:instrText xml:space="preserve"> PAGEREF _Toc25380 </w:instrText>
      </w:r>
      <w:r>
        <w:fldChar w:fldCharType="separate"/>
      </w:r>
      <w:r>
        <w:t>141</w:t>
      </w:r>
      <w:r>
        <w:fldChar w:fldCharType="end"/>
      </w:r>
      <w:r>
        <w:fldChar w:fldCharType="end"/>
      </w:r>
    </w:p>
    <w:p>
      <w:pPr>
        <w:pStyle w:val="31"/>
        <w:tabs>
          <w:tab w:val="right" w:leader="underscore" w:pos="9469"/>
        </w:tabs>
      </w:pPr>
      <w:r>
        <w:fldChar w:fldCharType="begin"/>
      </w:r>
      <w:r>
        <w:instrText xml:space="preserve"> HYPERLINK \l "_Toc15744" </w:instrText>
      </w:r>
      <w:r>
        <w:fldChar w:fldCharType="separate"/>
      </w:r>
      <w:r>
        <w:rPr>
          <w:rFonts w:ascii="宋体" w:hAnsi="宋体"/>
          <w:szCs w:val="52"/>
        </w:rPr>
        <w:t>第 四 卷</w:t>
      </w:r>
      <w:r>
        <w:tab/>
      </w:r>
      <w:r>
        <w:fldChar w:fldCharType="begin"/>
      </w:r>
      <w:r>
        <w:instrText xml:space="preserve"> PAGEREF _Toc15744 </w:instrText>
      </w:r>
      <w:r>
        <w:fldChar w:fldCharType="separate"/>
      </w:r>
      <w:r>
        <w:t>142</w:t>
      </w:r>
      <w:r>
        <w:fldChar w:fldCharType="end"/>
      </w:r>
      <w:r>
        <w:fldChar w:fldCharType="end"/>
      </w:r>
    </w:p>
    <w:p>
      <w:pPr>
        <w:pStyle w:val="31"/>
        <w:tabs>
          <w:tab w:val="right" w:leader="underscore" w:pos="9469"/>
        </w:tabs>
      </w:pPr>
      <w:r>
        <w:fldChar w:fldCharType="begin"/>
      </w:r>
      <w:r>
        <w:instrText xml:space="preserve"> HYPERLINK \l "_Toc16255" </w:instrText>
      </w:r>
      <w:r>
        <w:fldChar w:fldCharType="separate"/>
      </w:r>
      <w:r>
        <w:rPr>
          <w:rFonts w:hint="eastAsia" w:ascii="宋体" w:hAnsi="宋体"/>
        </w:rPr>
        <w:t xml:space="preserve">第八章  </w:t>
      </w:r>
      <w:r>
        <w:rPr>
          <w:rFonts w:hint="eastAsia" w:ascii="宋体" w:hAnsi="宋体"/>
          <w:lang w:eastAsia="zh-CN"/>
        </w:rPr>
        <w:t>竞标</w:t>
      </w:r>
      <w:r>
        <w:rPr>
          <w:rFonts w:hint="eastAsia" w:ascii="宋体" w:hAnsi="宋体"/>
        </w:rPr>
        <w:t>文件格式</w:t>
      </w:r>
      <w:r>
        <w:tab/>
      </w:r>
      <w:r>
        <w:fldChar w:fldCharType="begin"/>
      </w:r>
      <w:r>
        <w:instrText xml:space="preserve"> PAGEREF _Toc16255 </w:instrText>
      </w:r>
      <w:r>
        <w:fldChar w:fldCharType="separate"/>
      </w:r>
      <w:r>
        <w:t>143</w:t>
      </w:r>
      <w:r>
        <w:fldChar w:fldCharType="end"/>
      </w:r>
      <w:r>
        <w:fldChar w:fldCharType="end"/>
      </w:r>
    </w:p>
    <w:p>
      <w:pPr>
        <w:pStyle w:val="37"/>
        <w:tabs>
          <w:tab w:val="right" w:leader="underscore" w:pos="9469"/>
        </w:tabs>
      </w:pPr>
      <w:r>
        <w:fldChar w:fldCharType="begin"/>
      </w:r>
      <w:r>
        <w:instrText xml:space="preserve"> HYPERLINK \l "_Toc14714" </w:instrText>
      </w:r>
      <w:r>
        <w:fldChar w:fldCharType="separate"/>
      </w:r>
      <w:r>
        <w:rPr>
          <w:rFonts w:hint="eastAsia" w:ascii="宋体" w:hAnsi="宋体"/>
          <w:szCs w:val="44"/>
        </w:rPr>
        <w:t>一、</w:t>
      </w:r>
      <w:r>
        <w:rPr>
          <w:rFonts w:hint="eastAsia" w:ascii="宋体" w:hAnsi="宋体"/>
          <w:szCs w:val="44"/>
          <w:lang w:eastAsia="zh-CN"/>
        </w:rPr>
        <w:t>竞标</w:t>
      </w:r>
      <w:r>
        <w:rPr>
          <w:rFonts w:hint="eastAsia" w:ascii="宋体" w:hAnsi="宋体"/>
          <w:szCs w:val="44"/>
        </w:rPr>
        <w:t>函部分</w:t>
      </w:r>
      <w:r>
        <w:tab/>
      </w:r>
      <w:r>
        <w:fldChar w:fldCharType="begin"/>
      </w:r>
      <w:r>
        <w:instrText xml:space="preserve"> PAGEREF _Toc14714 </w:instrText>
      </w:r>
      <w:r>
        <w:fldChar w:fldCharType="separate"/>
      </w:r>
      <w:r>
        <w:t>145</w:t>
      </w:r>
      <w:r>
        <w:fldChar w:fldCharType="end"/>
      </w:r>
      <w:r>
        <w:fldChar w:fldCharType="end"/>
      </w:r>
    </w:p>
    <w:p>
      <w:pPr>
        <w:pStyle w:val="22"/>
        <w:tabs>
          <w:tab w:val="right" w:leader="underscore" w:pos="9469"/>
        </w:tabs>
      </w:pPr>
      <w:r>
        <w:fldChar w:fldCharType="begin"/>
      </w:r>
      <w:r>
        <w:instrText xml:space="preserve"> HYPERLINK \l "_Toc29203" </w:instrText>
      </w:r>
      <w:r>
        <w:fldChar w:fldCharType="separate"/>
      </w:r>
      <w:r>
        <w:rPr>
          <w:rFonts w:hint="eastAsia" w:ascii="宋体" w:hAnsi="宋体"/>
        </w:rPr>
        <w:t>（一）</w:t>
      </w:r>
      <w:r>
        <w:rPr>
          <w:rFonts w:hint="eastAsia" w:ascii="宋体" w:hAnsi="宋体"/>
          <w:lang w:eastAsia="zh-CN"/>
        </w:rPr>
        <w:t>竞标</w:t>
      </w:r>
      <w:r>
        <w:rPr>
          <w:rFonts w:hint="eastAsia" w:ascii="宋体" w:hAnsi="宋体"/>
        </w:rPr>
        <w:t>函</w:t>
      </w:r>
      <w:r>
        <w:tab/>
      </w:r>
      <w:r>
        <w:fldChar w:fldCharType="begin"/>
      </w:r>
      <w:r>
        <w:instrText xml:space="preserve"> PAGEREF _Toc29203 </w:instrText>
      </w:r>
      <w:r>
        <w:fldChar w:fldCharType="separate"/>
      </w:r>
      <w:r>
        <w:t>148</w:t>
      </w:r>
      <w:r>
        <w:fldChar w:fldCharType="end"/>
      </w:r>
      <w:r>
        <w:fldChar w:fldCharType="end"/>
      </w:r>
    </w:p>
    <w:p>
      <w:pPr>
        <w:pStyle w:val="22"/>
        <w:tabs>
          <w:tab w:val="right" w:leader="underscore" w:pos="9469"/>
        </w:tabs>
      </w:pPr>
      <w:r>
        <w:fldChar w:fldCharType="begin"/>
      </w:r>
      <w:r>
        <w:instrText xml:space="preserve"> HYPERLINK \l "_Toc8534" </w:instrText>
      </w:r>
      <w:r>
        <w:fldChar w:fldCharType="separate"/>
      </w:r>
      <w:r>
        <w:rPr>
          <w:rFonts w:ascii="宋体" w:hAnsi="宋体"/>
        </w:rPr>
        <w:t>（二）</w:t>
      </w:r>
      <w:r>
        <w:rPr>
          <w:rFonts w:hint="eastAsia" w:ascii="宋体" w:hAnsi="宋体"/>
          <w:lang w:eastAsia="zh-CN"/>
        </w:rPr>
        <w:t>竞标</w:t>
      </w:r>
      <w:r>
        <w:rPr>
          <w:rFonts w:ascii="宋体" w:hAnsi="宋体"/>
        </w:rPr>
        <w:t>函附录</w:t>
      </w:r>
      <w:r>
        <w:tab/>
      </w:r>
      <w:r>
        <w:fldChar w:fldCharType="begin"/>
      </w:r>
      <w:r>
        <w:instrText xml:space="preserve"> PAGEREF _Toc8534 </w:instrText>
      </w:r>
      <w:r>
        <w:fldChar w:fldCharType="separate"/>
      </w:r>
      <w:r>
        <w:t>149</w:t>
      </w:r>
      <w:r>
        <w:fldChar w:fldCharType="end"/>
      </w:r>
      <w:r>
        <w:fldChar w:fldCharType="end"/>
      </w:r>
    </w:p>
    <w:p>
      <w:pPr>
        <w:pStyle w:val="22"/>
        <w:tabs>
          <w:tab w:val="right" w:leader="underscore" w:pos="9469"/>
        </w:tabs>
      </w:pPr>
      <w:r>
        <w:fldChar w:fldCharType="begin"/>
      </w:r>
      <w:r>
        <w:instrText xml:space="preserve"> HYPERLINK \l "_Toc25173" </w:instrText>
      </w:r>
      <w:r>
        <w:fldChar w:fldCharType="separate"/>
      </w:r>
      <w:r>
        <w:rPr>
          <w:rFonts w:ascii="宋体" w:hAnsi="宋体"/>
        </w:rPr>
        <w:t>（三）</w:t>
      </w:r>
      <w:r>
        <w:rPr>
          <w:rFonts w:hint="eastAsia" w:ascii="宋体" w:hAnsi="宋体"/>
        </w:rPr>
        <w:t>法定代表人身份证明或附有法定代表人身份证明的授权委托书</w:t>
      </w:r>
      <w:r>
        <w:tab/>
      </w:r>
      <w:r>
        <w:fldChar w:fldCharType="begin"/>
      </w:r>
      <w:r>
        <w:instrText xml:space="preserve"> PAGEREF _Toc25173 </w:instrText>
      </w:r>
      <w:r>
        <w:fldChar w:fldCharType="separate"/>
      </w:r>
      <w:r>
        <w:t>150</w:t>
      </w:r>
      <w:r>
        <w:fldChar w:fldCharType="end"/>
      </w:r>
      <w:r>
        <w:fldChar w:fldCharType="end"/>
      </w:r>
    </w:p>
    <w:p>
      <w:pPr>
        <w:pStyle w:val="37"/>
        <w:tabs>
          <w:tab w:val="right" w:leader="underscore" w:pos="9469"/>
        </w:tabs>
      </w:pPr>
      <w:r>
        <w:fldChar w:fldCharType="begin"/>
      </w:r>
      <w:r>
        <w:instrText xml:space="preserve"> HYPERLINK \l "_Toc25907" </w:instrText>
      </w:r>
      <w:r>
        <w:fldChar w:fldCharType="separate"/>
      </w:r>
      <w:r>
        <w:rPr>
          <w:rFonts w:hint="eastAsia" w:ascii="宋体" w:hAnsi="宋体"/>
          <w:szCs w:val="44"/>
        </w:rPr>
        <w:t>二、经济部分</w:t>
      </w:r>
      <w:r>
        <w:tab/>
      </w:r>
      <w:r>
        <w:fldChar w:fldCharType="begin"/>
      </w:r>
      <w:r>
        <w:instrText xml:space="preserve"> PAGEREF _Toc25907 </w:instrText>
      </w:r>
      <w:r>
        <w:fldChar w:fldCharType="separate"/>
      </w:r>
      <w:r>
        <w:t>152</w:t>
      </w:r>
      <w:r>
        <w:fldChar w:fldCharType="end"/>
      </w:r>
      <w:r>
        <w:fldChar w:fldCharType="end"/>
      </w:r>
    </w:p>
    <w:p>
      <w:pPr>
        <w:pStyle w:val="22"/>
        <w:tabs>
          <w:tab w:val="right" w:leader="underscore" w:pos="9469"/>
        </w:tabs>
      </w:pPr>
      <w:r>
        <w:fldChar w:fldCharType="begin"/>
      </w:r>
      <w:r>
        <w:instrText xml:space="preserve"> HYPERLINK \l "_Toc13430" </w:instrText>
      </w:r>
      <w:r>
        <w:fldChar w:fldCharType="separate"/>
      </w:r>
      <w:r>
        <w:rPr>
          <w:rFonts w:hint="eastAsia" w:ascii="宋体" w:hAnsi="宋体"/>
        </w:rPr>
        <w:t>（一）已标价工程量清单</w:t>
      </w:r>
      <w:r>
        <w:tab/>
      </w:r>
      <w:r>
        <w:fldChar w:fldCharType="begin"/>
      </w:r>
      <w:r>
        <w:instrText xml:space="preserve"> PAGEREF _Toc13430 </w:instrText>
      </w:r>
      <w:r>
        <w:fldChar w:fldCharType="separate"/>
      </w:r>
      <w:r>
        <w:t>155</w:t>
      </w:r>
      <w:r>
        <w:fldChar w:fldCharType="end"/>
      </w:r>
      <w:r>
        <w:fldChar w:fldCharType="end"/>
      </w:r>
    </w:p>
    <w:p>
      <w:pPr>
        <w:pStyle w:val="37"/>
        <w:tabs>
          <w:tab w:val="right" w:leader="underscore" w:pos="9469"/>
        </w:tabs>
      </w:pPr>
      <w:r>
        <w:fldChar w:fldCharType="begin"/>
      </w:r>
      <w:r>
        <w:instrText xml:space="preserve"> HYPERLINK \l "_Toc710" </w:instrText>
      </w:r>
      <w:r>
        <w:fldChar w:fldCharType="separate"/>
      </w:r>
      <w:r>
        <w:rPr>
          <w:rFonts w:hint="eastAsia" w:ascii="宋体" w:hAnsi="宋体"/>
          <w:szCs w:val="44"/>
        </w:rPr>
        <w:t>四、技术部分</w:t>
      </w:r>
      <w:r>
        <w:tab/>
      </w:r>
      <w:r>
        <w:fldChar w:fldCharType="begin"/>
      </w:r>
      <w:r>
        <w:instrText xml:space="preserve"> PAGEREF _Toc710 </w:instrText>
      </w:r>
      <w:r>
        <w:fldChar w:fldCharType="separate"/>
      </w:r>
      <w:r>
        <w:t>159</w:t>
      </w:r>
      <w:r>
        <w:fldChar w:fldCharType="end"/>
      </w:r>
      <w:r>
        <w:fldChar w:fldCharType="end"/>
      </w:r>
    </w:p>
    <w:p>
      <w:pPr>
        <w:pStyle w:val="37"/>
        <w:tabs>
          <w:tab w:val="right" w:leader="underscore" w:pos="9469"/>
        </w:tabs>
      </w:pPr>
      <w:r>
        <w:fldChar w:fldCharType="begin"/>
      </w:r>
      <w:r>
        <w:instrText xml:space="preserve"> HYPERLINK \l "_Toc22653" </w:instrText>
      </w:r>
      <w:r>
        <w:fldChar w:fldCharType="separate"/>
      </w:r>
      <w:r>
        <w:rPr>
          <w:rFonts w:hint="eastAsia" w:ascii="宋体" w:hAnsi="宋体"/>
          <w:szCs w:val="44"/>
        </w:rPr>
        <w:t>五、资格审查部分</w:t>
      </w:r>
      <w:r>
        <w:tab/>
      </w:r>
      <w:r>
        <w:fldChar w:fldCharType="begin"/>
      </w:r>
      <w:r>
        <w:instrText xml:space="preserve"> PAGEREF _Toc22653 </w:instrText>
      </w:r>
      <w:r>
        <w:fldChar w:fldCharType="separate"/>
      </w:r>
      <w:r>
        <w:t>162</w:t>
      </w:r>
      <w:r>
        <w:fldChar w:fldCharType="end"/>
      </w:r>
      <w:r>
        <w:fldChar w:fldCharType="end"/>
      </w:r>
    </w:p>
    <w:p>
      <w:pPr>
        <w:pStyle w:val="22"/>
        <w:tabs>
          <w:tab w:val="right" w:leader="underscore" w:pos="9469"/>
        </w:tabs>
      </w:pPr>
      <w:r>
        <w:fldChar w:fldCharType="begin"/>
      </w:r>
      <w:r>
        <w:instrText xml:space="preserve"> HYPERLINK \l "_Toc30357" </w:instrText>
      </w:r>
      <w:r>
        <w:fldChar w:fldCharType="separate"/>
      </w:r>
      <w:r>
        <w:rPr>
          <w:rFonts w:hint="eastAsia" w:ascii="宋体" w:hAnsi="宋体"/>
        </w:rPr>
        <w:t>（一）法定代表人身份证明或附有法定代表人身份证明的授权委托书</w:t>
      </w:r>
      <w:r>
        <w:tab/>
      </w:r>
      <w:r>
        <w:fldChar w:fldCharType="begin"/>
      </w:r>
      <w:r>
        <w:instrText xml:space="preserve"> PAGEREF _Toc30357 </w:instrText>
      </w:r>
      <w:r>
        <w:fldChar w:fldCharType="separate"/>
      </w:r>
      <w:r>
        <w:t>165</w:t>
      </w:r>
      <w:r>
        <w:fldChar w:fldCharType="end"/>
      </w:r>
      <w:r>
        <w:fldChar w:fldCharType="end"/>
      </w:r>
    </w:p>
    <w:p>
      <w:pPr>
        <w:pStyle w:val="22"/>
        <w:tabs>
          <w:tab w:val="right" w:leader="underscore" w:pos="9469"/>
        </w:tabs>
      </w:pPr>
      <w:r>
        <w:fldChar w:fldCharType="begin"/>
      </w:r>
      <w:r>
        <w:instrText xml:space="preserve"> HYPERLINK \l "_Toc23302" </w:instrText>
      </w:r>
      <w:r>
        <w:fldChar w:fldCharType="separate"/>
      </w:r>
      <w:r>
        <w:rPr>
          <w:rFonts w:hint="eastAsia" w:ascii="宋体" w:hAnsi="宋体"/>
        </w:rPr>
        <w:t>（二）</w:t>
      </w:r>
      <w:r>
        <w:rPr>
          <w:rFonts w:hint="eastAsia" w:ascii="宋体" w:hAnsi="宋体"/>
          <w:lang w:eastAsia="zh-CN"/>
        </w:rPr>
        <w:t>竞标</w:t>
      </w:r>
      <w:r>
        <w:rPr>
          <w:rFonts w:hint="eastAsia" w:ascii="宋体" w:hAnsi="宋体"/>
        </w:rPr>
        <w:t>人基本情况表</w:t>
      </w:r>
      <w:r>
        <w:tab/>
      </w:r>
      <w:r>
        <w:fldChar w:fldCharType="begin"/>
      </w:r>
      <w:r>
        <w:instrText xml:space="preserve"> PAGEREF _Toc23302 </w:instrText>
      </w:r>
      <w:r>
        <w:fldChar w:fldCharType="separate"/>
      </w:r>
      <w:r>
        <w:t>167</w:t>
      </w:r>
      <w:r>
        <w:fldChar w:fldCharType="end"/>
      </w:r>
      <w:r>
        <w:fldChar w:fldCharType="end"/>
      </w:r>
    </w:p>
    <w:p>
      <w:pPr>
        <w:pStyle w:val="22"/>
        <w:tabs>
          <w:tab w:val="right" w:leader="underscore" w:pos="9469"/>
        </w:tabs>
      </w:pPr>
      <w:r>
        <w:fldChar w:fldCharType="begin"/>
      </w:r>
      <w:r>
        <w:instrText xml:space="preserve"> HYPERLINK \l "_Toc23603" </w:instrText>
      </w:r>
      <w:r>
        <w:fldChar w:fldCharType="separate"/>
      </w:r>
      <w:r>
        <w:rPr>
          <w:rFonts w:hint="eastAsia" w:ascii="宋体" w:hAnsi="宋体"/>
        </w:rPr>
        <w:t>（三）项目管理机构</w:t>
      </w:r>
      <w:r>
        <w:tab/>
      </w:r>
      <w:r>
        <w:fldChar w:fldCharType="begin"/>
      </w:r>
      <w:r>
        <w:instrText xml:space="preserve"> PAGEREF _Toc23603 </w:instrText>
      </w:r>
      <w:r>
        <w:fldChar w:fldCharType="separate"/>
      </w:r>
      <w:r>
        <w:t>168</w:t>
      </w:r>
      <w:r>
        <w:fldChar w:fldCharType="end"/>
      </w:r>
      <w:r>
        <w:fldChar w:fldCharType="end"/>
      </w:r>
    </w:p>
    <w:p>
      <w:pPr>
        <w:pStyle w:val="22"/>
        <w:tabs>
          <w:tab w:val="right" w:leader="underscore" w:pos="9469"/>
        </w:tabs>
      </w:pPr>
      <w:r>
        <w:fldChar w:fldCharType="begin"/>
      </w:r>
      <w:r>
        <w:instrText xml:space="preserve"> HYPERLINK \l "_Toc19742" </w:instrText>
      </w:r>
      <w:r>
        <w:fldChar w:fldCharType="separate"/>
      </w:r>
      <w:r>
        <w:rPr>
          <w:rFonts w:hint="eastAsia" w:ascii="宋体" w:hAnsi="宋体"/>
        </w:rPr>
        <w:t>（四）近年财务状况表</w:t>
      </w:r>
      <w:r>
        <w:tab/>
      </w:r>
      <w:r>
        <w:fldChar w:fldCharType="begin"/>
      </w:r>
      <w:r>
        <w:instrText xml:space="preserve"> PAGEREF _Toc19742 </w:instrText>
      </w:r>
      <w:r>
        <w:fldChar w:fldCharType="separate"/>
      </w:r>
      <w:r>
        <w:t>170</w:t>
      </w:r>
      <w:r>
        <w:fldChar w:fldCharType="end"/>
      </w:r>
      <w:r>
        <w:fldChar w:fldCharType="end"/>
      </w:r>
    </w:p>
    <w:p>
      <w:pPr>
        <w:pStyle w:val="22"/>
        <w:tabs>
          <w:tab w:val="right" w:leader="underscore" w:pos="9469"/>
        </w:tabs>
      </w:pPr>
      <w:r>
        <w:fldChar w:fldCharType="begin"/>
      </w:r>
      <w:r>
        <w:instrText xml:space="preserve"> HYPERLINK \l "_Toc23862" </w:instrText>
      </w:r>
      <w:r>
        <w:fldChar w:fldCharType="separate"/>
      </w:r>
      <w:r>
        <w:rPr>
          <w:rFonts w:ascii="宋体" w:hAnsi="宋体"/>
        </w:rPr>
        <w:t>（</w:t>
      </w:r>
      <w:r>
        <w:rPr>
          <w:rFonts w:hint="eastAsia" w:ascii="宋体" w:hAnsi="宋体"/>
        </w:rPr>
        <w:t>五</w:t>
      </w:r>
      <w:r>
        <w:rPr>
          <w:rFonts w:ascii="宋体" w:hAnsi="宋体"/>
        </w:rPr>
        <w:t>）类似项目情况表</w:t>
      </w:r>
      <w:r>
        <w:tab/>
      </w:r>
      <w:r>
        <w:fldChar w:fldCharType="begin"/>
      </w:r>
      <w:r>
        <w:instrText xml:space="preserve"> PAGEREF _Toc23862 </w:instrText>
      </w:r>
      <w:r>
        <w:fldChar w:fldCharType="separate"/>
      </w:r>
      <w:r>
        <w:t>171</w:t>
      </w:r>
      <w:r>
        <w:fldChar w:fldCharType="end"/>
      </w:r>
      <w:r>
        <w:fldChar w:fldCharType="end"/>
      </w:r>
    </w:p>
    <w:p>
      <w:pPr>
        <w:pStyle w:val="22"/>
        <w:tabs>
          <w:tab w:val="right" w:leader="underscore" w:pos="9469"/>
        </w:tabs>
      </w:pPr>
      <w:r>
        <w:fldChar w:fldCharType="begin"/>
      </w:r>
      <w:r>
        <w:instrText xml:space="preserve"> HYPERLINK \l "_Toc981" </w:instrText>
      </w:r>
      <w:r>
        <w:fldChar w:fldCharType="separate"/>
      </w:r>
      <w:r>
        <w:rPr>
          <w:rFonts w:ascii="宋体" w:hAnsi="宋体"/>
        </w:rPr>
        <w:t>（</w:t>
      </w:r>
      <w:r>
        <w:rPr>
          <w:rFonts w:hint="eastAsia" w:ascii="宋体" w:hAnsi="宋体"/>
        </w:rPr>
        <w:t>六</w:t>
      </w:r>
      <w:r>
        <w:rPr>
          <w:rFonts w:ascii="宋体" w:hAnsi="宋体"/>
        </w:rPr>
        <w:t>）</w:t>
      </w:r>
      <w:r>
        <w:rPr>
          <w:rFonts w:hint="eastAsia" w:ascii="宋体" w:hAnsi="宋体"/>
        </w:rPr>
        <w:t>承诺</w:t>
      </w:r>
      <w:r>
        <w:tab/>
      </w:r>
      <w:r>
        <w:fldChar w:fldCharType="begin"/>
      </w:r>
      <w:r>
        <w:instrText xml:space="preserve"> PAGEREF _Toc981 </w:instrText>
      </w:r>
      <w:r>
        <w:fldChar w:fldCharType="separate"/>
      </w:r>
      <w:r>
        <w:t>172</w:t>
      </w:r>
      <w:r>
        <w:fldChar w:fldCharType="end"/>
      </w:r>
      <w:r>
        <w:fldChar w:fldCharType="end"/>
      </w:r>
    </w:p>
    <w:p>
      <w:pPr>
        <w:pStyle w:val="22"/>
        <w:tabs>
          <w:tab w:val="right" w:leader="underscore" w:pos="9469"/>
        </w:tabs>
      </w:pPr>
      <w:r>
        <w:fldChar w:fldCharType="begin"/>
      </w:r>
      <w:r>
        <w:instrText xml:space="preserve"> HYPERLINK \l "_Toc19706" </w:instrText>
      </w:r>
      <w:r>
        <w:fldChar w:fldCharType="separate"/>
      </w:r>
      <w:r>
        <w:rPr>
          <w:rFonts w:hint="eastAsia" w:ascii="宋体" w:hAnsi="宋体"/>
        </w:rPr>
        <w:t>（七）其他资料</w:t>
      </w:r>
      <w:r>
        <w:tab/>
      </w:r>
      <w:r>
        <w:fldChar w:fldCharType="begin"/>
      </w:r>
      <w:r>
        <w:instrText xml:space="preserve"> PAGEREF _Toc19706 </w:instrText>
      </w:r>
      <w:r>
        <w:fldChar w:fldCharType="separate"/>
      </w:r>
      <w:r>
        <w:t>173</w:t>
      </w:r>
      <w:r>
        <w:fldChar w:fldCharType="end"/>
      </w:r>
      <w:r>
        <w:fldChar w:fldCharType="end"/>
      </w:r>
    </w:p>
    <w:p>
      <w:pPr>
        <w:rPr>
          <w:rFonts w:ascii="宋体" w:hAnsi="宋体"/>
        </w:rPr>
      </w:pPr>
      <w:r>
        <w:rPr>
          <w:rFonts w:ascii="宋体" w:hAnsi="宋体"/>
          <w:bCs/>
          <w:szCs w:val="20"/>
          <w:lang w:val="zh-CN"/>
        </w:rPr>
        <w:fldChar w:fldCharType="end"/>
      </w:r>
    </w:p>
    <w:bookmarkEnd w:id="1"/>
    <w:p>
      <w:pPr>
        <w:spacing w:line="20" w:lineRule="exact"/>
        <w:rPr>
          <w:rFonts w:ascii="宋体" w:hAnsi="宋体"/>
        </w:rPr>
      </w:pPr>
      <w:bookmarkStart w:id="3" w:name="_Toc430530414"/>
    </w:p>
    <w:p>
      <w:pPr>
        <w:spacing w:line="20" w:lineRule="exact"/>
        <w:jc w:val="left"/>
        <w:rPr>
          <w:rFonts w:ascii="宋体" w:hAnsi="宋体"/>
        </w:rPr>
        <w:sectPr>
          <w:headerReference r:id="rId3" w:type="default"/>
          <w:footerReference r:id="rId4" w:type="default"/>
          <w:pgSz w:w="11907" w:h="16840"/>
          <w:pgMar w:top="1304" w:right="1134" w:bottom="1304" w:left="1304" w:header="851" w:footer="992" w:gutter="0"/>
          <w:pgNumType w:fmt="numberInDash" w:start="1"/>
          <w:cols w:space="720" w:num="1"/>
          <w:docGrid w:linePitch="312" w:charSpace="0"/>
        </w:sectPr>
      </w:pPr>
    </w:p>
    <w:bookmarkEnd w:id="3"/>
    <w:p>
      <w:pPr>
        <w:spacing w:line="360" w:lineRule="auto"/>
        <w:rPr>
          <w:rFonts w:ascii="宋体" w:hAnsi="宋体"/>
        </w:rPr>
      </w:pPr>
    </w:p>
    <w:p>
      <w:pPr>
        <w:pStyle w:val="3"/>
        <w:spacing w:before="0" w:after="0" w:line="480" w:lineRule="auto"/>
        <w:jc w:val="center"/>
        <w:rPr>
          <w:rFonts w:ascii="宋体" w:hAnsi="宋体"/>
          <w:sz w:val="52"/>
          <w:szCs w:val="52"/>
        </w:rPr>
      </w:pPr>
      <w:bookmarkStart w:id="4" w:name="_Toc28470"/>
      <w:bookmarkStart w:id="5" w:name="_Toc25723"/>
      <w:bookmarkStart w:id="6" w:name="_Toc15193"/>
      <w:bookmarkStart w:id="7" w:name="_Toc509218690"/>
      <w:bookmarkStart w:id="8" w:name="_Toc4296"/>
      <w:bookmarkStart w:id="9" w:name="_Toc15286"/>
      <w:r>
        <w:rPr>
          <w:rFonts w:hint="eastAsia" w:ascii="宋体" w:hAnsi="宋体"/>
          <w:sz w:val="52"/>
          <w:szCs w:val="52"/>
        </w:rPr>
        <w:t>第 一 卷</w:t>
      </w:r>
      <w:bookmarkEnd w:id="4"/>
      <w:bookmarkEnd w:id="5"/>
      <w:bookmarkEnd w:id="6"/>
      <w:bookmarkEnd w:id="7"/>
      <w:bookmarkEnd w:id="8"/>
      <w:bookmarkEnd w:id="9"/>
    </w:p>
    <w:p>
      <w:pPr>
        <w:spacing w:line="200" w:lineRule="exact"/>
        <w:rPr>
          <w:rFonts w:ascii="宋体" w:hAnsi="宋体"/>
        </w:rPr>
      </w:pPr>
      <w:r>
        <w:rPr>
          <w:rFonts w:ascii="宋体" w:hAnsi="宋体"/>
        </w:rPr>
        <w:br w:type="page"/>
      </w:r>
    </w:p>
    <w:p>
      <w:pPr>
        <w:pStyle w:val="3"/>
        <w:spacing w:line="360" w:lineRule="auto"/>
        <w:jc w:val="center"/>
        <w:rPr>
          <w:rFonts w:ascii="宋体" w:hAnsi="宋体"/>
          <w:snapToGrid w:val="0"/>
          <w:kern w:val="0"/>
          <w:sz w:val="32"/>
          <w:szCs w:val="32"/>
        </w:rPr>
      </w:pPr>
      <w:bookmarkStart w:id="10" w:name="_Toc287607727"/>
      <w:bookmarkStart w:id="11" w:name="_Toc277082535"/>
      <w:bookmarkStart w:id="12" w:name="_Toc430530415"/>
      <w:bookmarkStart w:id="13" w:name="_Toc509218691"/>
      <w:bookmarkStart w:id="14" w:name="_Toc224103298"/>
      <w:bookmarkStart w:id="15" w:name="_Toc287620666"/>
      <w:bookmarkStart w:id="16" w:name="_Toc13546"/>
      <w:bookmarkStart w:id="17" w:name="_Toc8140"/>
      <w:bookmarkStart w:id="18" w:name="_Toc2855"/>
      <w:bookmarkStart w:id="19" w:name="_Toc32327"/>
      <w:bookmarkStart w:id="20" w:name="_Toc14660"/>
      <w:r>
        <w:rPr>
          <w:rFonts w:ascii="宋体" w:hAnsi="宋体"/>
          <w:snapToGrid w:val="0"/>
          <w:kern w:val="0"/>
          <w:sz w:val="32"/>
          <w:szCs w:val="32"/>
        </w:rPr>
        <w:t xml:space="preserve">第一章  </w:t>
      </w:r>
      <w:bookmarkEnd w:id="10"/>
      <w:bookmarkEnd w:id="11"/>
      <w:bookmarkEnd w:id="12"/>
      <w:bookmarkEnd w:id="13"/>
      <w:bookmarkEnd w:id="14"/>
      <w:bookmarkEnd w:id="15"/>
      <w:r>
        <w:rPr>
          <w:rFonts w:hint="eastAsia" w:ascii="宋体" w:hAnsi="宋体"/>
          <w:snapToGrid w:val="0"/>
          <w:kern w:val="0"/>
          <w:sz w:val="32"/>
          <w:szCs w:val="32"/>
        </w:rPr>
        <w:t>竞争性比选公告</w:t>
      </w:r>
      <w:bookmarkEnd w:id="16"/>
      <w:bookmarkEnd w:id="17"/>
      <w:bookmarkEnd w:id="18"/>
      <w:bookmarkEnd w:id="19"/>
      <w:bookmarkEnd w:id="20"/>
    </w:p>
    <w:p>
      <w:pPr>
        <w:autoSpaceDE w:val="0"/>
        <w:autoSpaceDN w:val="0"/>
        <w:adjustRightInd w:val="0"/>
        <w:snapToGrid w:val="0"/>
        <w:spacing w:line="360" w:lineRule="auto"/>
        <w:jc w:val="center"/>
        <w:rPr>
          <w:rFonts w:hint="eastAsia" w:ascii="宋体" w:hAnsi="宋体" w:eastAsia="宋体" w:cs="宋体"/>
          <w:b/>
          <w:color w:val="000000"/>
          <w:sz w:val="28"/>
          <w:szCs w:val="28"/>
          <w:lang w:eastAsia="zh-CN"/>
        </w:rPr>
      </w:pPr>
      <w:r>
        <w:rPr>
          <w:rFonts w:hint="eastAsia" w:ascii="宋体" w:hAnsi="宋体" w:cs="宋体"/>
          <w:b/>
          <w:color w:val="000000"/>
          <w:sz w:val="28"/>
          <w:szCs w:val="28"/>
          <w:lang w:eastAsia="zh-CN"/>
        </w:rPr>
        <w:t>区属文物保养维护工程（6个文物点）（第二次）、区属文物保养维护工程（湖广会馆白蚁防治及保养维护）（第二次）</w:t>
      </w:r>
    </w:p>
    <w:p>
      <w:pPr>
        <w:autoSpaceDE w:val="0"/>
        <w:autoSpaceDN w:val="0"/>
        <w:adjustRightInd w:val="0"/>
        <w:snapToGrid w:val="0"/>
        <w:spacing w:line="360" w:lineRule="auto"/>
        <w:jc w:val="center"/>
        <w:rPr>
          <w:rFonts w:hint="eastAsia" w:ascii="宋体" w:hAnsi="宋体" w:eastAsia="宋体" w:cs="宋体"/>
          <w:b/>
          <w:color w:val="000000"/>
          <w:sz w:val="28"/>
          <w:szCs w:val="28"/>
        </w:rPr>
      </w:pPr>
      <w:r>
        <w:rPr>
          <w:rFonts w:hint="eastAsia" w:ascii="宋体" w:hAnsi="宋体" w:eastAsia="宋体" w:cs="宋体"/>
          <w:b/>
          <w:color w:val="000000"/>
          <w:sz w:val="28"/>
          <w:szCs w:val="28"/>
        </w:rPr>
        <w:t>竞争性比选公告</w:t>
      </w:r>
    </w:p>
    <w:p>
      <w:pPr>
        <w:pStyle w:val="4"/>
        <w:spacing w:before="100" w:after="100" w:line="460" w:lineRule="exact"/>
        <w:rPr>
          <w:rFonts w:ascii="宋体" w:hAnsi="宋体"/>
          <w:snapToGrid w:val="0"/>
          <w:sz w:val="28"/>
          <w:szCs w:val="28"/>
        </w:rPr>
      </w:pPr>
      <w:bookmarkStart w:id="21" w:name="_Toc430530416"/>
      <w:bookmarkStart w:id="22" w:name="_Toc18887"/>
      <w:bookmarkStart w:id="23" w:name="_Toc287620667"/>
      <w:bookmarkStart w:id="24" w:name="_Toc200359427"/>
      <w:bookmarkStart w:id="25" w:name="_Toc287607728"/>
      <w:bookmarkStart w:id="26" w:name="_Toc224103299"/>
      <w:bookmarkStart w:id="27" w:name="_Toc2167"/>
      <w:bookmarkStart w:id="28" w:name="_Toc277082536"/>
      <w:bookmarkStart w:id="29" w:name="_Toc200359238"/>
      <w:bookmarkStart w:id="30" w:name="_Toc28004"/>
      <w:bookmarkStart w:id="31" w:name="_Toc30061"/>
      <w:bookmarkStart w:id="32" w:name="_Toc24905"/>
      <w:bookmarkStart w:id="33" w:name="_Toc509218692"/>
      <w:r>
        <w:rPr>
          <w:rFonts w:ascii="宋体" w:hAnsi="宋体"/>
          <w:snapToGrid w:val="0"/>
          <w:sz w:val="28"/>
          <w:szCs w:val="28"/>
        </w:rPr>
        <w:t xml:space="preserve">1. </w:t>
      </w:r>
      <w:r>
        <w:rPr>
          <w:rFonts w:hint="eastAsia" w:ascii="宋体" w:hAnsi="宋体"/>
          <w:snapToGrid w:val="0"/>
          <w:sz w:val="28"/>
          <w:szCs w:val="28"/>
        </w:rPr>
        <w:t xml:space="preserve"> 比选</w:t>
      </w:r>
      <w:r>
        <w:rPr>
          <w:rFonts w:ascii="宋体" w:hAnsi="宋体"/>
          <w:snapToGrid w:val="0"/>
          <w:sz w:val="28"/>
          <w:szCs w:val="28"/>
        </w:rPr>
        <w:t>条件</w:t>
      </w:r>
      <w:bookmarkEnd w:id="21"/>
      <w:bookmarkEnd w:id="22"/>
      <w:bookmarkEnd w:id="23"/>
      <w:bookmarkEnd w:id="24"/>
      <w:bookmarkEnd w:id="25"/>
      <w:bookmarkEnd w:id="26"/>
      <w:bookmarkEnd w:id="27"/>
      <w:bookmarkEnd w:id="28"/>
      <w:bookmarkEnd w:id="29"/>
      <w:bookmarkEnd w:id="30"/>
      <w:bookmarkEnd w:id="31"/>
      <w:bookmarkEnd w:id="32"/>
      <w:bookmarkEnd w:id="33"/>
    </w:p>
    <w:p>
      <w:pPr>
        <w:keepNext w:val="0"/>
        <w:keepLines w:val="0"/>
        <w:pageBreakBefore w:val="0"/>
        <w:widowControl w:val="0"/>
        <w:tabs>
          <w:tab w:val="left" w:pos="3315"/>
          <w:tab w:val="left" w:pos="3390"/>
          <w:tab w:val="left" w:pos="6120"/>
          <w:tab w:val="left" w:pos="8850"/>
        </w:tabs>
        <w:kinsoku/>
        <w:wordWrap/>
        <w:overflowPunct/>
        <w:topLinePunct w:val="0"/>
        <w:autoSpaceDE w:val="0"/>
        <w:autoSpaceDN w:val="0"/>
        <w:bidi w:val="0"/>
        <w:adjustRightInd w:val="0"/>
        <w:snapToGrid w:val="0"/>
        <w:spacing w:line="460" w:lineRule="exact"/>
        <w:ind w:firstLine="420" w:firstLineChars="200"/>
        <w:jc w:val="both"/>
        <w:textAlignment w:val="auto"/>
        <w:rPr>
          <w:rFonts w:ascii="宋体" w:hAnsi="宋体" w:cs="宋体"/>
          <w:snapToGrid w:val="0"/>
          <w:kern w:val="0"/>
          <w:szCs w:val="21"/>
        </w:rPr>
      </w:pPr>
      <w:r>
        <w:rPr>
          <w:rFonts w:hint="eastAsia" w:ascii="宋体" w:hAnsi="宋体" w:cs="宋体"/>
          <w:snapToGrid w:val="0"/>
          <w:kern w:val="0"/>
          <w:szCs w:val="21"/>
        </w:rPr>
        <w:t>本比选项目</w:t>
      </w:r>
      <w:r>
        <w:rPr>
          <w:rFonts w:hint="eastAsia" w:ascii="宋体" w:hAnsi="宋体" w:cs="宋体"/>
          <w:snapToGrid w:val="0"/>
          <w:kern w:val="0"/>
          <w:szCs w:val="21"/>
          <w:u w:val="single"/>
          <w:lang w:eastAsia="zh-CN"/>
        </w:rPr>
        <w:t>区属文物保养维护工程（6个文物点）、区属文物保养维护工程（湖广会馆白蚁防治及保养维护）</w:t>
      </w:r>
      <w:r>
        <w:rPr>
          <w:rFonts w:hint="eastAsia" w:ascii="宋体" w:hAnsi="宋体" w:cs="宋体"/>
          <w:snapToGrid w:val="0"/>
          <w:kern w:val="0"/>
          <w:szCs w:val="21"/>
        </w:rPr>
        <w:t>已由</w:t>
      </w:r>
      <w:r>
        <w:rPr>
          <w:rFonts w:hint="eastAsia" w:ascii="宋体" w:hAnsi="宋体" w:cs="宋体"/>
          <w:bCs/>
          <w:szCs w:val="21"/>
          <w:u w:val="single"/>
        </w:rPr>
        <w:t>重庆市渝中区发展和改革委员会</w:t>
      </w:r>
      <w:r>
        <w:rPr>
          <w:rFonts w:hint="eastAsia" w:ascii="宋体" w:hAnsi="宋体" w:cs="宋体"/>
          <w:snapToGrid w:val="0"/>
          <w:kern w:val="0"/>
          <w:szCs w:val="21"/>
          <w:u w:val="single"/>
        </w:rPr>
        <w:t>（项目审批、核准或备案机关名称）</w:t>
      </w:r>
      <w:r>
        <w:rPr>
          <w:rFonts w:hint="eastAsia" w:ascii="宋体" w:hAnsi="宋体" w:cs="宋体"/>
          <w:snapToGrid w:val="0"/>
          <w:kern w:val="0"/>
          <w:szCs w:val="21"/>
        </w:rPr>
        <w:t>以</w:t>
      </w:r>
      <w:r>
        <w:rPr>
          <w:rFonts w:hint="eastAsia" w:ascii="宋体" w:hAnsi="宋体" w:cs="宋体"/>
          <w:bCs/>
          <w:szCs w:val="21"/>
          <w:u w:val="single"/>
        </w:rPr>
        <w:t>2205-500103-04-01-641142</w:t>
      </w:r>
      <w:r>
        <w:rPr>
          <w:rFonts w:hint="eastAsia" w:ascii="宋体" w:hAnsi="宋体" w:cs="宋体"/>
          <w:bCs/>
          <w:szCs w:val="21"/>
          <w:u w:val="single"/>
          <w:lang w:eastAsia="zh-CN"/>
        </w:rPr>
        <w:t>、</w:t>
      </w:r>
      <w:r>
        <w:rPr>
          <w:rFonts w:hint="eastAsia" w:ascii="宋体" w:hAnsi="宋体" w:cs="宋体"/>
          <w:bCs/>
          <w:szCs w:val="21"/>
          <w:u w:val="single"/>
        </w:rPr>
        <w:t>2207-500103-04-01-256083</w:t>
      </w:r>
      <w:r>
        <w:rPr>
          <w:rFonts w:hint="eastAsia" w:ascii="宋体" w:hAnsi="宋体" w:cs="宋体"/>
          <w:snapToGrid w:val="0"/>
          <w:kern w:val="0"/>
          <w:szCs w:val="21"/>
        </w:rPr>
        <w:t>批准建设，项目业主为</w:t>
      </w:r>
      <w:r>
        <w:rPr>
          <w:rFonts w:hint="eastAsia" w:ascii="宋体" w:hAnsi="宋体" w:cs="宋体"/>
          <w:snapToGrid w:val="0"/>
          <w:kern w:val="0"/>
          <w:szCs w:val="21"/>
          <w:u w:val="single"/>
        </w:rPr>
        <w:t>重庆渝中母城文化发展有限公司</w:t>
      </w:r>
      <w:r>
        <w:rPr>
          <w:rFonts w:hint="eastAsia" w:ascii="宋体" w:hAnsi="宋体" w:cs="宋体"/>
          <w:snapToGrid w:val="0"/>
          <w:kern w:val="0"/>
          <w:szCs w:val="21"/>
        </w:rPr>
        <w:t>，建设资金来自</w:t>
      </w:r>
      <w:r>
        <w:rPr>
          <w:rFonts w:hint="eastAsia" w:ascii="宋体" w:hAnsi="宋体" w:cs="宋体"/>
          <w:snapToGrid w:val="0"/>
          <w:kern w:val="0"/>
          <w:szCs w:val="21"/>
          <w:u w:val="single"/>
        </w:rPr>
        <w:t>区财政资金</w:t>
      </w:r>
      <w:r>
        <w:rPr>
          <w:rFonts w:hint="eastAsia" w:ascii="宋体" w:hAnsi="宋体" w:cs="宋体"/>
          <w:snapToGrid w:val="0"/>
          <w:kern w:val="0"/>
          <w:szCs w:val="21"/>
        </w:rPr>
        <w:t>（资金来源），项目已具备比选条件，现对</w:t>
      </w:r>
      <w:r>
        <w:rPr>
          <w:rFonts w:hint="eastAsia" w:ascii="宋体" w:hAnsi="宋体" w:cs="宋体"/>
          <w:snapToGrid w:val="0"/>
          <w:kern w:val="0"/>
          <w:szCs w:val="21"/>
          <w:u w:val="single"/>
          <w:lang w:eastAsia="zh-CN"/>
        </w:rPr>
        <w:t>区属文物保养维护工程（6个文物点）（第二次）、区属文物保养维护工程（湖广会馆白蚁防治及保养维护）（第二次）</w:t>
      </w:r>
      <w:r>
        <w:rPr>
          <w:rFonts w:hint="eastAsia" w:ascii="宋体" w:hAnsi="宋体" w:cs="宋体"/>
          <w:snapToGrid w:val="0"/>
          <w:kern w:val="0"/>
          <w:szCs w:val="21"/>
        </w:rPr>
        <w:t>采用公开竞争性比选方式，特邀请有兴趣的潜在</w:t>
      </w:r>
      <w:r>
        <w:rPr>
          <w:rFonts w:hint="eastAsia" w:ascii="宋体" w:hAnsi="宋体" w:cs="宋体"/>
          <w:snapToGrid w:val="0"/>
          <w:kern w:val="0"/>
          <w:szCs w:val="21"/>
          <w:lang w:eastAsia="zh-CN"/>
        </w:rPr>
        <w:t>竞标</w:t>
      </w:r>
      <w:r>
        <w:rPr>
          <w:rFonts w:hint="eastAsia" w:ascii="宋体" w:hAnsi="宋体" w:cs="宋体"/>
          <w:snapToGrid w:val="0"/>
          <w:kern w:val="0"/>
          <w:szCs w:val="21"/>
        </w:rPr>
        <w:t>人参与</w:t>
      </w:r>
      <w:r>
        <w:rPr>
          <w:rFonts w:hint="eastAsia" w:ascii="宋体" w:hAnsi="宋体" w:cs="宋体"/>
          <w:snapToGrid w:val="0"/>
          <w:kern w:val="0"/>
          <w:szCs w:val="21"/>
          <w:highlight w:val="none"/>
          <w:lang w:eastAsia="zh-CN"/>
        </w:rPr>
        <w:t>竞标</w:t>
      </w:r>
      <w:r>
        <w:rPr>
          <w:rFonts w:hint="eastAsia" w:ascii="宋体" w:hAnsi="宋体" w:cs="宋体"/>
          <w:snapToGrid w:val="0"/>
          <w:kern w:val="0"/>
          <w:szCs w:val="21"/>
          <w:highlight w:val="none"/>
        </w:rPr>
        <w:t>。</w:t>
      </w:r>
    </w:p>
    <w:p>
      <w:pPr>
        <w:pStyle w:val="4"/>
        <w:spacing w:before="100" w:after="100" w:line="460" w:lineRule="exact"/>
        <w:rPr>
          <w:rFonts w:ascii="宋体" w:hAnsi="宋体"/>
          <w:snapToGrid w:val="0"/>
          <w:sz w:val="28"/>
          <w:szCs w:val="28"/>
        </w:rPr>
      </w:pPr>
      <w:bookmarkStart w:id="34" w:name="_Toc11133"/>
      <w:bookmarkStart w:id="35" w:name="_Toc200359239"/>
      <w:bookmarkStart w:id="36" w:name="_Toc287607729"/>
      <w:bookmarkStart w:id="37" w:name="_Toc509218693"/>
      <w:bookmarkStart w:id="38" w:name="_Toc9854"/>
      <w:bookmarkStart w:id="39" w:name="_Toc224103300"/>
      <w:bookmarkStart w:id="40" w:name="_Toc277082537"/>
      <w:bookmarkStart w:id="41" w:name="_Toc200359428"/>
      <w:bookmarkStart w:id="42" w:name="_Toc8208"/>
      <w:bookmarkStart w:id="43" w:name="_Toc287620668"/>
      <w:bookmarkStart w:id="44" w:name="_Toc26763"/>
      <w:bookmarkStart w:id="45" w:name="_Toc430530417"/>
      <w:bookmarkStart w:id="46" w:name="_Toc31852"/>
      <w:r>
        <w:rPr>
          <w:rFonts w:ascii="宋体" w:hAnsi="宋体"/>
          <w:snapToGrid w:val="0"/>
          <w:sz w:val="28"/>
          <w:szCs w:val="28"/>
        </w:rPr>
        <w:t>2.</w:t>
      </w:r>
      <w:r>
        <w:rPr>
          <w:rFonts w:hint="eastAsia" w:ascii="宋体" w:hAnsi="宋体"/>
          <w:snapToGrid w:val="0"/>
          <w:sz w:val="28"/>
          <w:szCs w:val="28"/>
        </w:rPr>
        <w:t xml:space="preserve"> </w:t>
      </w:r>
      <w:r>
        <w:rPr>
          <w:rFonts w:ascii="宋体" w:hAnsi="宋体"/>
          <w:snapToGrid w:val="0"/>
          <w:sz w:val="28"/>
          <w:szCs w:val="28"/>
        </w:rPr>
        <w:t xml:space="preserve"> 项目概况与</w:t>
      </w:r>
      <w:r>
        <w:rPr>
          <w:rFonts w:hint="eastAsia" w:ascii="宋体" w:hAnsi="宋体"/>
          <w:snapToGrid w:val="0"/>
          <w:sz w:val="28"/>
          <w:szCs w:val="28"/>
        </w:rPr>
        <w:t>比选</w:t>
      </w:r>
      <w:r>
        <w:rPr>
          <w:rFonts w:ascii="宋体" w:hAnsi="宋体"/>
          <w:snapToGrid w:val="0"/>
          <w:sz w:val="28"/>
          <w:szCs w:val="28"/>
        </w:rPr>
        <w:t>范围</w:t>
      </w:r>
      <w:bookmarkEnd w:id="34"/>
      <w:bookmarkEnd w:id="35"/>
      <w:bookmarkEnd w:id="36"/>
      <w:bookmarkEnd w:id="37"/>
      <w:bookmarkEnd w:id="38"/>
      <w:bookmarkEnd w:id="39"/>
      <w:bookmarkEnd w:id="40"/>
      <w:bookmarkEnd w:id="41"/>
      <w:bookmarkEnd w:id="42"/>
      <w:bookmarkEnd w:id="43"/>
      <w:bookmarkEnd w:id="44"/>
      <w:bookmarkEnd w:id="45"/>
      <w:bookmarkEnd w:id="46"/>
    </w:p>
    <w:p>
      <w:pPr>
        <w:tabs>
          <w:tab w:val="left" w:pos="3840"/>
          <w:tab w:val="left" w:pos="5300"/>
        </w:tabs>
        <w:autoSpaceDE w:val="0"/>
        <w:autoSpaceDN w:val="0"/>
        <w:adjustRightInd w:val="0"/>
        <w:snapToGrid w:val="0"/>
        <w:spacing w:line="460" w:lineRule="exact"/>
        <w:ind w:firstLine="420" w:firstLineChars="200"/>
        <w:jc w:val="left"/>
        <w:rPr>
          <w:rFonts w:ascii="宋体" w:hAnsi="宋体"/>
          <w:snapToGrid w:val="0"/>
          <w:kern w:val="0"/>
          <w:szCs w:val="21"/>
        </w:rPr>
      </w:pPr>
      <w:r>
        <w:rPr>
          <w:rFonts w:hint="eastAsia" w:ascii="宋体" w:hAnsi="宋体"/>
          <w:snapToGrid w:val="0"/>
          <w:kern w:val="0"/>
          <w:szCs w:val="21"/>
        </w:rPr>
        <w:t>2.1 建设地点：</w:t>
      </w:r>
      <w:r>
        <w:rPr>
          <w:rFonts w:hint="eastAsia" w:ascii="宋体" w:hAnsi="宋体"/>
          <w:snapToGrid w:val="0"/>
          <w:color w:val="auto"/>
          <w:kern w:val="0"/>
          <w:szCs w:val="21"/>
          <w:highlight w:val="none"/>
          <w:u w:val="single"/>
          <w:lang w:eastAsia="zh-CN"/>
        </w:rPr>
        <w:t>（</w:t>
      </w:r>
      <w:r>
        <w:rPr>
          <w:rFonts w:hint="eastAsia" w:ascii="宋体" w:hAnsi="宋体"/>
          <w:snapToGrid w:val="0"/>
          <w:color w:val="auto"/>
          <w:kern w:val="0"/>
          <w:szCs w:val="21"/>
          <w:highlight w:val="none"/>
          <w:u w:val="single"/>
          <w:lang w:val="en-US" w:eastAsia="zh-CN"/>
        </w:rPr>
        <w:t>1</w:t>
      </w:r>
      <w:r>
        <w:rPr>
          <w:rFonts w:hint="eastAsia" w:ascii="宋体" w:hAnsi="宋体"/>
          <w:snapToGrid w:val="0"/>
          <w:color w:val="auto"/>
          <w:kern w:val="0"/>
          <w:szCs w:val="21"/>
          <w:highlight w:val="none"/>
          <w:u w:val="single"/>
          <w:lang w:eastAsia="zh-CN"/>
        </w:rPr>
        <w:t>）</w:t>
      </w:r>
      <w:r>
        <w:rPr>
          <w:rFonts w:hint="eastAsia" w:ascii="宋体" w:hAnsi="宋体"/>
          <w:snapToGrid w:val="0"/>
          <w:color w:val="auto"/>
          <w:kern w:val="0"/>
          <w:szCs w:val="21"/>
          <w:highlight w:val="none"/>
          <w:u w:val="single"/>
          <w:lang w:val="en-US" w:eastAsia="zh-CN"/>
        </w:rPr>
        <w:t>菩提金刚塔、国民政府警察局旧址、通远门城墙公园、巴蔓子墓墓园环境、宋子文旧居、国民政府军事委员政治部第三厅暨文化委员会旧址6个文物点；（2）渝中区长滨路芭蕉园1号湖广会馆。</w:t>
      </w:r>
    </w:p>
    <w:p>
      <w:pPr>
        <w:tabs>
          <w:tab w:val="left" w:pos="3840"/>
          <w:tab w:val="left" w:pos="5300"/>
        </w:tabs>
        <w:autoSpaceDE w:val="0"/>
        <w:autoSpaceDN w:val="0"/>
        <w:adjustRightInd w:val="0"/>
        <w:snapToGrid w:val="0"/>
        <w:spacing w:line="460" w:lineRule="exact"/>
        <w:ind w:firstLine="420" w:firstLineChars="200"/>
        <w:jc w:val="left"/>
        <w:rPr>
          <w:rFonts w:ascii="宋体" w:hAnsi="宋体"/>
          <w:snapToGrid w:val="0"/>
          <w:kern w:val="0"/>
          <w:szCs w:val="21"/>
        </w:rPr>
      </w:pPr>
      <w:r>
        <w:rPr>
          <w:rFonts w:hint="eastAsia" w:ascii="宋体" w:hAnsi="宋体"/>
          <w:snapToGrid w:val="0"/>
          <w:kern w:val="0"/>
          <w:szCs w:val="21"/>
        </w:rPr>
        <w:t>2.2 项目概况与建设规模：</w:t>
      </w:r>
      <w:r>
        <w:rPr>
          <w:rFonts w:hint="eastAsia" w:ascii="宋体" w:hAnsi="宋体"/>
          <w:snapToGrid w:val="0"/>
          <w:color w:val="auto"/>
          <w:kern w:val="0"/>
          <w:szCs w:val="21"/>
          <w:highlight w:val="none"/>
          <w:u w:val="single"/>
          <w:lang w:val="en-US" w:eastAsia="zh-CN"/>
        </w:rPr>
        <w:t>（1）6个文物点的保养维护，总面积约2500平方米。主要建设内容包括菩提金刚塔、国民政府警察局旧址、通远门城墙公园、巴蔓子墓墓园环境、宋子文旧居、国民政府军事委员政治部第三厅暨文化委员会旧址6个文物点的拆除、保护、修复等；（2）对湖广会馆整个古建筑群的屋面及木质构件破损部分进行修缮并进行白蚁专项整治。建设规模8000平方米，根据《文物保护工程管理办法》规定，主要解决文物建筑本身存在的残损、病害。</w:t>
      </w:r>
    </w:p>
    <w:p>
      <w:pPr>
        <w:tabs>
          <w:tab w:val="left" w:pos="3840"/>
          <w:tab w:val="left" w:pos="5300"/>
        </w:tabs>
        <w:autoSpaceDE w:val="0"/>
        <w:autoSpaceDN w:val="0"/>
        <w:adjustRightInd w:val="0"/>
        <w:snapToGrid w:val="0"/>
        <w:spacing w:line="460" w:lineRule="exact"/>
        <w:ind w:firstLine="420" w:firstLineChars="200"/>
        <w:jc w:val="left"/>
        <w:rPr>
          <w:rFonts w:hint="eastAsia" w:ascii="宋体" w:hAnsi="宋体" w:eastAsia="宋体"/>
          <w:snapToGrid w:val="0"/>
          <w:kern w:val="0"/>
          <w:szCs w:val="21"/>
          <w:u w:val="single"/>
          <w:lang w:eastAsia="zh-CN"/>
        </w:rPr>
      </w:pPr>
      <w:r>
        <w:rPr>
          <w:rFonts w:hint="eastAsia" w:ascii="宋体" w:hAnsi="宋体"/>
          <w:snapToGrid w:val="0"/>
          <w:kern w:val="0"/>
          <w:szCs w:val="21"/>
        </w:rPr>
        <w:t>2.3 本次比选项目工程总投资额：</w:t>
      </w:r>
      <w:r>
        <w:rPr>
          <w:rFonts w:hint="eastAsia" w:ascii="宋体" w:hAnsi="宋体"/>
          <w:snapToGrid w:val="0"/>
          <w:kern w:val="0"/>
          <w:szCs w:val="21"/>
          <w:u w:val="single"/>
        </w:rPr>
        <w:t>3</w:t>
      </w:r>
      <w:r>
        <w:rPr>
          <w:rFonts w:hint="eastAsia" w:ascii="宋体" w:hAnsi="宋体"/>
          <w:snapToGrid w:val="0"/>
          <w:kern w:val="0"/>
          <w:szCs w:val="21"/>
          <w:u w:val="single"/>
          <w:lang w:val="en-US" w:eastAsia="zh-CN"/>
        </w:rPr>
        <w:t>12.25</w:t>
      </w:r>
      <w:r>
        <w:rPr>
          <w:rFonts w:hint="eastAsia" w:ascii="宋体" w:hAnsi="宋体"/>
          <w:snapToGrid w:val="0"/>
          <w:kern w:val="0"/>
          <w:szCs w:val="21"/>
          <w:u w:val="single"/>
        </w:rPr>
        <w:t>万元</w:t>
      </w:r>
      <w:r>
        <w:rPr>
          <w:rFonts w:hint="eastAsia" w:ascii="宋体" w:hAnsi="宋体"/>
          <w:snapToGrid w:val="0"/>
          <w:kern w:val="0"/>
          <w:szCs w:val="21"/>
          <w:u w:val="single"/>
          <w:lang w:eastAsia="zh-CN"/>
        </w:rPr>
        <w:t>。</w:t>
      </w:r>
    </w:p>
    <w:p>
      <w:pPr>
        <w:keepNext w:val="0"/>
        <w:keepLines w:val="0"/>
        <w:pageBreakBefore w:val="0"/>
        <w:widowControl w:val="0"/>
        <w:tabs>
          <w:tab w:val="left" w:pos="3840"/>
          <w:tab w:val="left" w:pos="5300"/>
        </w:tabs>
        <w:kinsoku/>
        <w:wordWrap/>
        <w:overflowPunct/>
        <w:topLinePunct w:val="0"/>
        <w:autoSpaceDE w:val="0"/>
        <w:autoSpaceDN w:val="0"/>
        <w:bidi w:val="0"/>
        <w:adjustRightInd w:val="0"/>
        <w:snapToGrid w:val="0"/>
        <w:spacing w:line="460" w:lineRule="exact"/>
        <w:ind w:firstLine="420" w:firstLineChars="200"/>
        <w:jc w:val="both"/>
        <w:textAlignment w:val="auto"/>
        <w:rPr>
          <w:rFonts w:ascii="宋体" w:hAnsi="宋体"/>
          <w:snapToGrid w:val="0"/>
          <w:kern w:val="0"/>
          <w:szCs w:val="21"/>
          <w:u w:val="single"/>
        </w:rPr>
      </w:pPr>
      <w:r>
        <w:rPr>
          <w:rFonts w:hint="eastAsia" w:ascii="宋体" w:hAnsi="宋体"/>
          <w:snapToGrid w:val="0"/>
          <w:kern w:val="0"/>
          <w:szCs w:val="21"/>
        </w:rPr>
        <w:t>2.4 比选范</w:t>
      </w:r>
      <w:r>
        <w:rPr>
          <w:rFonts w:hint="eastAsia" w:ascii="宋体" w:hAnsi="宋体"/>
          <w:snapToGrid w:val="0"/>
          <w:color w:val="auto"/>
          <w:kern w:val="0"/>
          <w:szCs w:val="21"/>
          <w:highlight w:val="none"/>
          <w:u w:val="none"/>
          <w:lang w:val="en-US" w:eastAsia="zh-CN"/>
        </w:rPr>
        <w:t>围：</w:t>
      </w:r>
      <w:r>
        <w:rPr>
          <w:rFonts w:hint="eastAsia" w:ascii="宋体" w:hAnsi="宋体"/>
          <w:snapToGrid w:val="0"/>
          <w:color w:val="auto"/>
          <w:kern w:val="0"/>
          <w:szCs w:val="21"/>
          <w:highlight w:val="none"/>
          <w:u w:val="single"/>
          <w:lang w:val="en-US" w:eastAsia="zh-CN"/>
        </w:rPr>
        <w:t>包括但不限于本项目审定的施工图设计及比选人指定范围内的所有内容、工程施工至竣工验收交付使用以及工程缺陷责任期的保修等全部工作内容。包括但不限于屋面工程、墙体墙面工程、地面工程、装修工程及防火、防虫、排水系统增设等，具体详见工程量清单。</w:t>
      </w:r>
    </w:p>
    <w:p>
      <w:pPr>
        <w:tabs>
          <w:tab w:val="left" w:pos="3840"/>
          <w:tab w:val="left" w:pos="5300"/>
        </w:tabs>
        <w:autoSpaceDE w:val="0"/>
        <w:autoSpaceDN w:val="0"/>
        <w:adjustRightInd w:val="0"/>
        <w:snapToGrid w:val="0"/>
        <w:spacing w:line="460" w:lineRule="exact"/>
        <w:ind w:firstLine="420" w:firstLineChars="200"/>
        <w:jc w:val="left"/>
        <w:rPr>
          <w:rFonts w:ascii="宋体" w:hAnsi="宋体"/>
          <w:snapToGrid w:val="0"/>
          <w:kern w:val="0"/>
          <w:szCs w:val="21"/>
          <w:u w:val="single"/>
        </w:rPr>
      </w:pPr>
      <w:r>
        <w:rPr>
          <w:rFonts w:hint="eastAsia" w:ascii="宋体" w:hAnsi="宋体"/>
          <w:snapToGrid w:val="0"/>
          <w:kern w:val="0"/>
          <w:szCs w:val="21"/>
        </w:rPr>
        <w:t>2.5 工期要求：</w:t>
      </w:r>
      <w:r>
        <w:rPr>
          <w:rFonts w:hint="eastAsia" w:ascii="宋体" w:hAnsi="宋体"/>
          <w:snapToGrid w:val="0"/>
          <w:kern w:val="0"/>
          <w:szCs w:val="21"/>
          <w:u w:val="single"/>
        </w:rPr>
        <w:t>150日历天</w:t>
      </w:r>
    </w:p>
    <w:p>
      <w:pPr>
        <w:tabs>
          <w:tab w:val="left" w:pos="3840"/>
          <w:tab w:val="left" w:pos="5300"/>
        </w:tabs>
        <w:autoSpaceDE w:val="0"/>
        <w:autoSpaceDN w:val="0"/>
        <w:adjustRightInd w:val="0"/>
        <w:snapToGrid w:val="0"/>
        <w:spacing w:line="460" w:lineRule="exact"/>
        <w:ind w:firstLine="420" w:firstLineChars="200"/>
        <w:jc w:val="left"/>
        <w:rPr>
          <w:rFonts w:ascii="宋体" w:hAnsi="宋体"/>
          <w:snapToGrid w:val="0"/>
          <w:kern w:val="0"/>
          <w:szCs w:val="21"/>
        </w:rPr>
      </w:pPr>
      <w:r>
        <w:rPr>
          <w:rFonts w:hint="eastAsia" w:ascii="宋体" w:hAnsi="宋体"/>
          <w:snapToGrid w:val="0"/>
          <w:kern w:val="0"/>
          <w:szCs w:val="21"/>
        </w:rPr>
        <w:t>缺陷责任期要求：</w:t>
      </w:r>
      <w:r>
        <w:rPr>
          <w:rFonts w:hint="eastAsia" w:ascii="宋体" w:hAnsi="宋体"/>
          <w:snapToGrid w:val="0"/>
          <w:kern w:val="0"/>
          <w:szCs w:val="21"/>
          <w:u w:val="single"/>
        </w:rPr>
        <w:t>24个月</w:t>
      </w:r>
    </w:p>
    <w:p>
      <w:pPr>
        <w:tabs>
          <w:tab w:val="left" w:pos="3840"/>
          <w:tab w:val="left" w:pos="5300"/>
        </w:tabs>
        <w:autoSpaceDE w:val="0"/>
        <w:autoSpaceDN w:val="0"/>
        <w:adjustRightInd w:val="0"/>
        <w:snapToGrid w:val="0"/>
        <w:spacing w:line="460" w:lineRule="exact"/>
        <w:ind w:firstLine="420" w:firstLineChars="200"/>
        <w:jc w:val="left"/>
        <w:rPr>
          <w:rFonts w:ascii="宋体" w:hAnsi="宋体"/>
          <w:snapToGrid w:val="0"/>
          <w:kern w:val="0"/>
          <w:szCs w:val="21"/>
        </w:rPr>
      </w:pPr>
      <w:r>
        <w:rPr>
          <w:rFonts w:hint="eastAsia" w:ascii="宋体" w:hAnsi="宋体"/>
          <w:snapToGrid w:val="0"/>
          <w:kern w:val="0"/>
          <w:szCs w:val="21"/>
        </w:rPr>
        <w:t>2.6 标段划分（如有）：/</w:t>
      </w:r>
    </w:p>
    <w:p>
      <w:pPr>
        <w:tabs>
          <w:tab w:val="left" w:pos="3840"/>
          <w:tab w:val="left" w:pos="5300"/>
        </w:tabs>
        <w:autoSpaceDE w:val="0"/>
        <w:autoSpaceDN w:val="0"/>
        <w:adjustRightInd w:val="0"/>
        <w:snapToGrid w:val="0"/>
        <w:spacing w:line="460" w:lineRule="exact"/>
        <w:ind w:firstLine="420" w:firstLineChars="200"/>
        <w:jc w:val="left"/>
        <w:rPr>
          <w:rFonts w:ascii="宋体" w:hAnsi="宋体"/>
          <w:snapToGrid w:val="0"/>
          <w:kern w:val="0"/>
          <w:szCs w:val="21"/>
        </w:rPr>
      </w:pPr>
      <w:r>
        <w:rPr>
          <w:rFonts w:hint="eastAsia" w:ascii="宋体" w:hAnsi="宋体"/>
          <w:snapToGrid w:val="0"/>
          <w:kern w:val="0"/>
          <w:szCs w:val="21"/>
        </w:rPr>
        <w:t>2.7 其他：</w:t>
      </w:r>
      <w:r>
        <w:rPr>
          <w:rFonts w:hint="eastAsia" w:ascii="宋体" w:hAnsi="宋体"/>
          <w:snapToGrid w:val="0"/>
          <w:kern w:val="0"/>
          <w:szCs w:val="21"/>
          <w:u w:val="single"/>
        </w:rPr>
        <w:t>/</w:t>
      </w:r>
    </w:p>
    <w:p>
      <w:pPr>
        <w:pStyle w:val="4"/>
        <w:spacing w:before="100" w:after="100" w:line="460" w:lineRule="exact"/>
        <w:rPr>
          <w:rFonts w:ascii="宋体" w:hAnsi="宋体"/>
          <w:snapToGrid w:val="0"/>
          <w:sz w:val="28"/>
          <w:szCs w:val="28"/>
        </w:rPr>
      </w:pPr>
      <w:bookmarkStart w:id="47" w:name="_Toc287607730"/>
      <w:bookmarkStart w:id="48" w:name="_Toc4210"/>
      <w:bookmarkStart w:id="49" w:name="_Toc31841"/>
      <w:bookmarkStart w:id="50" w:name="_Toc224103301"/>
      <w:bookmarkStart w:id="51" w:name="_Toc509218694"/>
      <w:bookmarkStart w:id="52" w:name="_Toc10098"/>
      <w:bookmarkStart w:id="53" w:name="_Toc200359240"/>
      <w:bookmarkStart w:id="54" w:name="_Toc287620669"/>
      <w:bookmarkStart w:id="55" w:name="_Toc5830"/>
      <w:bookmarkStart w:id="56" w:name="_Toc200359429"/>
      <w:bookmarkStart w:id="57" w:name="_Toc277082538"/>
      <w:bookmarkStart w:id="58" w:name="_Toc430530418"/>
      <w:bookmarkStart w:id="59" w:name="_Toc21003"/>
      <w:r>
        <w:rPr>
          <w:rFonts w:ascii="宋体" w:hAnsi="宋体"/>
          <w:snapToGrid w:val="0"/>
          <w:sz w:val="28"/>
          <w:szCs w:val="28"/>
        </w:rPr>
        <w:t xml:space="preserve">3. </w:t>
      </w:r>
      <w:r>
        <w:rPr>
          <w:rFonts w:hint="eastAsia" w:ascii="宋体" w:hAnsi="宋体"/>
          <w:snapToGrid w:val="0"/>
          <w:sz w:val="28"/>
          <w:szCs w:val="28"/>
        </w:rPr>
        <w:t xml:space="preserve"> </w:t>
      </w:r>
      <w:r>
        <w:rPr>
          <w:rFonts w:hint="eastAsia" w:ascii="宋体" w:hAnsi="宋体"/>
          <w:snapToGrid w:val="0"/>
          <w:sz w:val="28"/>
          <w:szCs w:val="28"/>
          <w:lang w:eastAsia="zh-CN"/>
        </w:rPr>
        <w:t>竞标</w:t>
      </w:r>
      <w:r>
        <w:rPr>
          <w:rFonts w:hint="eastAsia" w:ascii="宋体" w:hAnsi="宋体"/>
          <w:snapToGrid w:val="0"/>
          <w:sz w:val="28"/>
          <w:szCs w:val="28"/>
        </w:rPr>
        <w:t>人的</w:t>
      </w:r>
      <w:r>
        <w:rPr>
          <w:rFonts w:ascii="宋体" w:hAnsi="宋体"/>
          <w:snapToGrid w:val="0"/>
          <w:sz w:val="28"/>
          <w:szCs w:val="28"/>
        </w:rPr>
        <w:t>资格要求</w:t>
      </w:r>
      <w:bookmarkEnd w:id="47"/>
      <w:bookmarkEnd w:id="48"/>
      <w:bookmarkEnd w:id="49"/>
      <w:bookmarkEnd w:id="50"/>
      <w:bookmarkEnd w:id="51"/>
      <w:bookmarkEnd w:id="52"/>
      <w:bookmarkEnd w:id="53"/>
      <w:bookmarkEnd w:id="54"/>
      <w:bookmarkEnd w:id="55"/>
      <w:bookmarkEnd w:id="56"/>
      <w:bookmarkEnd w:id="57"/>
      <w:bookmarkEnd w:id="58"/>
      <w:bookmarkEnd w:id="59"/>
    </w:p>
    <w:p>
      <w:pPr>
        <w:tabs>
          <w:tab w:val="left" w:pos="3840"/>
          <w:tab w:val="left" w:pos="5300"/>
        </w:tabs>
        <w:autoSpaceDE w:val="0"/>
        <w:autoSpaceDN w:val="0"/>
        <w:adjustRightInd w:val="0"/>
        <w:snapToGrid w:val="0"/>
        <w:spacing w:line="460" w:lineRule="exact"/>
        <w:ind w:firstLine="420" w:firstLineChars="200"/>
        <w:jc w:val="left"/>
        <w:rPr>
          <w:rFonts w:ascii="宋体" w:hAnsi="宋体"/>
          <w:snapToGrid w:val="0"/>
          <w:kern w:val="0"/>
          <w:szCs w:val="21"/>
          <w:highlight w:val="none"/>
        </w:rPr>
      </w:pPr>
      <w:r>
        <w:rPr>
          <w:rFonts w:ascii="宋体" w:hAnsi="宋体"/>
          <w:snapToGrid w:val="0"/>
          <w:kern w:val="0"/>
          <w:szCs w:val="21"/>
        </w:rPr>
        <w:t>3.1  本次</w:t>
      </w:r>
      <w:r>
        <w:rPr>
          <w:rFonts w:hint="eastAsia" w:ascii="宋体" w:hAnsi="宋体"/>
          <w:snapToGrid w:val="0"/>
          <w:kern w:val="0"/>
          <w:szCs w:val="21"/>
        </w:rPr>
        <w:t>比选</w:t>
      </w:r>
      <w:r>
        <w:rPr>
          <w:rFonts w:ascii="宋体" w:hAnsi="宋体"/>
          <w:snapToGrid w:val="0"/>
          <w:kern w:val="0"/>
          <w:szCs w:val="21"/>
        </w:rPr>
        <w:t>要求</w:t>
      </w:r>
      <w:r>
        <w:rPr>
          <w:rFonts w:hint="eastAsia" w:ascii="宋体" w:hAnsi="宋体"/>
          <w:snapToGrid w:val="0"/>
          <w:kern w:val="0"/>
          <w:szCs w:val="21"/>
          <w:lang w:eastAsia="zh-CN"/>
        </w:rPr>
        <w:t>竞标</w:t>
      </w:r>
      <w:r>
        <w:rPr>
          <w:rFonts w:ascii="宋体" w:hAnsi="宋体"/>
          <w:snapToGrid w:val="0"/>
          <w:kern w:val="0"/>
          <w:szCs w:val="21"/>
        </w:rPr>
        <w:t>人须具备</w:t>
      </w:r>
      <w:r>
        <w:rPr>
          <w:rFonts w:hint="eastAsia" w:ascii="宋体" w:hAnsi="宋体"/>
          <w:snapToGrid w:val="0"/>
          <w:kern w:val="0"/>
          <w:szCs w:val="21"/>
        </w:rPr>
        <w:t>以下条件</w:t>
      </w:r>
      <w:r>
        <w:rPr>
          <w:rFonts w:hint="eastAsia" w:ascii="宋体" w:hAnsi="宋体"/>
          <w:snapToGrid w:val="0"/>
          <w:kern w:val="0"/>
          <w:szCs w:val="21"/>
          <w:highlight w:val="none"/>
        </w:rPr>
        <w:t>：</w:t>
      </w:r>
    </w:p>
    <w:p>
      <w:pPr>
        <w:tabs>
          <w:tab w:val="left" w:pos="3840"/>
          <w:tab w:val="left" w:pos="5300"/>
        </w:tabs>
        <w:autoSpaceDE w:val="0"/>
        <w:autoSpaceDN w:val="0"/>
        <w:adjustRightInd w:val="0"/>
        <w:snapToGrid w:val="0"/>
        <w:spacing w:line="460" w:lineRule="exact"/>
        <w:ind w:firstLine="420" w:firstLineChars="200"/>
        <w:jc w:val="left"/>
        <w:rPr>
          <w:rFonts w:ascii="宋体" w:hAnsi="宋体"/>
          <w:snapToGrid w:val="0"/>
          <w:kern w:val="0"/>
          <w:szCs w:val="21"/>
          <w:highlight w:val="none"/>
          <w:u w:val="single"/>
        </w:rPr>
      </w:pPr>
      <w:r>
        <w:rPr>
          <w:rFonts w:hint="eastAsia" w:ascii="宋体" w:hAnsi="宋体"/>
          <w:snapToGrid w:val="0"/>
          <w:kern w:val="0"/>
          <w:szCs w:val="21"/>
          <w:highlight w:val="none"/>
        </w:rPr>
        <w:t>3.1.1 本次比选要求</w:t>
      </w:r>
      <w:r>
        <w:rPr>
          <w:rFonts w:hint="eastAsia" w:ascii="宋体" w:hAnsi="宋体"/>
          <w:snapToGrid w:val="0"/>
          <w:kern w:val="0"/>
          <w:szCs w:val="21"/>
          <w:highlight w:val="none"/>
          <w:lang w:eastAsia="zh-CN"/>
        </w:rPr>
        <w:t>竞标</w:t>
      </w:r>
      <w:r>
        <w:rPr>
          <w:rFonts w:ascii="宋体" w:hAnsi="宋体"/>
          <w:snapToGrid w:val="0"/>
          <w:kern w:val="0"/>
          <w:szCs w:val="21"/>
          <w:highlight w:val="none"/>
        </w:rPr>
        <w:t>人</w:t>
      </w:r>
      <w:r>
        <w:rPr>
          <w:rFonts w:hint="eastAsia" w:ascii="宋体" w:hAnsi="宋体"/>
          <w:snapToGrid w:val="0"/>
          <w:kern w:val="0"/>
          <w:szCs w:val="21"/>
          <w:highlight w:val="none"/>
        </w:rPr>
        <w:t>具备的资质条件：</w:t>
      </w:r>
      <w:r>
        <w:rPr>
          <w:rFonts w:hint="eastAsia" w:ascii="宋体" w:hAnsi="宋体" w:cs="宋体"/>
          <w:color w:val="333333"/>
          <w:szCs w:val="21"/>
          <w:highlight w:val="none"/>
          <w:u w:val="single"/>
        </w:rPr>
        <w:t>文物行政主管部门颁发的</w:t>
      </w:r>
      <w:r>
        <w:rPr>
          <w:rFonts w:hint="eastAsia" w:ascii="宋体" w:hAnsi="宋体" w:cs="宋体"/>
          <w:color w:val="333333"/>
          <w:szCs w:val="21"/>
          <w:highlight w:val="none"/>
          <w:u w:val="single"/>
          <w:lang w:eastAsia="zh-CN"/>
        </w:rPr>
        <w:t>有效的</w:t>
      </w:r>
      <w:r>
        <w:rPr>
          <w:rFonts w:hint="eastAsia" w:ascii="宋体" w:hAnsi="宋体" w:cs="宋体"/>
          <w:color w:val="333333"/>
          <w:szCs w:val="21"/>
          <w:highlight w:val="none"/>
          <w:u w:val="single"/>
        </w:rPr>
        <w:t>文物保护工程施工</w:t>
      </w:r>
      <w:r>
        <w:rPr>
          <w:rFonts w:hint="eastAsia" w:ascii="宋体" w:hAnsi="宋体" w:cs="宋体"/>
          <w:color w:val="333333"/>
          <w:szCs w:val="21"/>
          <w:highlight w:val="none"/>
          <w:u w:val="single"/>
          <w:lang w:val="en-US" w:eastAsia="zh-CN"/>
        </w:rPr>
        <w:t>一</w:t>
      </w:r>
      <w:r>
        <w:rPr>
          <w:rFonts w:hint="eastAsia" w:ascii="宋体" w:hAnsi="宋体" w:cs="宋体"/>
          <w:color w:val="333333"/>
          <w:szCs w:val="21"/>
          <w:highlight w:val="none"/>
          <w:u w:val="single"/>
        </w:rPr>
        <w:t>级资质（资质证书业务范围须包含：古建筑）</w:t>
      </w:r>
      <w:r>
        <w:rPr>
          <w:rFonts w:hint="eastAsia" w:ascii="宋体" w:hAnsi="宋体"/>
          <w:snapToGrid w:val="0"/>
          <w:kern w:val="0"/>
          <w:szCs w:val="21"/>
          <w:highlight w:val="none"/>
          <w:u w:val="single"/>
        </w:rPr>
        <w:t>。</w:t>
      </w:r>
    </w:p>
    <w:p>
      <w:pPr>
        <w:tabs>
          <w:tab w:val="left" w:pos="3840"/>
          <w:tab w:val="left" w:pos="5300"/>
        </w:tabs>
        <w:autoSpaceDE w:val="0"/>
        <w:autoSpaceDN w:val="0"/>
        <w:adjustRightInd w:val="0"/>
        <w:snapToGrid w:val="0"/>
        <w:spacing w:line="460" w:lineRule="exact"/>
        <w:ind w:firstLine="420" w:firstLineChars="200"/>
        <w:jc w:val="left"/>
        <w:rPr>
          <w:rFonts w:ascii="宋体" w:hAnsi="宋体"/>
          <w:snapToGrid w:val="0"/>
          <w:kern w:val="0"/>
          <w:szCs w:val="21"/>
        </w:rPr>
      </w:pPr>
      <w:r>
        <w:rPr>
          <w:rFonts w:hint="eastAsia" w:ascii="宋体" w:hAnsi="宋体"/>
          <w:snapToGrid w:val="0"/>
          <w:kern w:val="0"/>
          <w:szCs w:val="21"/>
        </w:rPr>
        <w:t>3.1.2 本次比选要求</w:t>
      </w:r>
      <w:r>
        <w:rPr>
          <w:rFonts w:hint="eastAsia" w:ascii="宋体" w:hAnsi="宋体"/>
          <w:snapToGrid w:val="0"/>
          <w:kern w:val="0"/>
          <w:szCs w:val="21"/>
          <w:lang w:eastAsia="zh-CN"/>
        </w:rPr>
        <w:t>竞标</w:t>
      </w:r>
      <w:r>
        <w:rPr>
          <w:rFonts w:ascii="宋体" w:hAnsi="宋体"/>
          <w:snapToGrid w:val="0"/>
          <w:kern w:val="0"/>
          <w:szCs w:val="21"/>
        </w:rPr>
        <w:t>人</w:t>
      </w:r>
      <w:r>
        <w:rPr>
          <w:rFonts w:hint="eastAsia" w:ascii="宋体" w:hAnsi="宋体"/>
          <w:snapToGrid w:val="0"/>
          <w:kern w:val="0"/>
          <w:szCs w:val="21"/>
        </w:rPr>
        <w:t>具备的业绩条件：</w:t>
      </w:r>
      <w:r>
        <w:rPr>
          <w:rFonts w:hint="eastAsia" w:ascii="宋体" w:hAnsi="宋体"/>
          <w:snapToGrid w:val="0"/>
          <w:kern w:val="0"/>
          <w:szCs w:val="21"/>
          <w:highlight w:val="none"/>
        </w:rPr>
        <w:t>比选截止日前</w:t>
      </w:r>
      <w:r>
        <w:rPr>
          <w:rFonts w:hint="eastAsia" w:ascii="宋体" w:hAnsi="宋体"/>
          <w:snapToGrid w:val="0"/>
          <w:kern w:val="0"/>
          <w:szCs w:val="21"/>
          <w:highlight w:val="none"/>
          <w:lang w:val="en-US" w:eastAsia="zh-CN"/>
        </w:rPr>
        <w:t>3</w:t>
      </w:r>
      <w:r>
        <w:rPr>
          <w:rFonts w:hint="eastAsia" w:ascii="宋体" w:hAnsi="宋体"/>
          <w:snapToGrid w:val="0"/>
          <w:kern w:val="0"/>
          <w:szCs w:val="21"/>
          <w:highlight w:val="none"/>
        </w:rPr>
        <w:t>年内，指201</w:t>
      </w:r>
      <w:r>
        <w:rPr>
          <w:rFonts w:hint="eastAsia" w:ascii="宋体" w:hAnsi="宋体"/>
          <w:snapToGrid w:val="0"/>
          <w:kern w:val="0"/>
          <w:szCs w:val="21"/>
          <w:highlight w:val="none"/>
          <w:lang w:val="en-US" w:eastAsia="zh-CN"/>
        </w:rPr>
        <w:t>9</w:t>
      </w:r>
      <w:r>
        <w:rPr>
          <w:rFonts w:hint="eastAsia" w:ascii="宋体" w:hAnsi="宋体"/>
          <w:snapToGrid w:val="0"/>
          <w:kern w:val="0"/>
          <w:szCs w:val="21"/>
          <w:highlight w:val="none"/>
        </w:rPr>
        <w:t>年1月1日起至</w:t>
      </w:r>
      <w:r>
        <w:rPr>
          <w:rFonts w:hint="eastAsia" w:ascii="宋体" w:hAnsi="宋体"/>
          <w:snapToGrid w:val="0"/>
          <w:kern w:val="0"/>
          <w:szCs w:val="21"/>
        </w:rPr>
        <w:t>比选截止日止（以竣工时间为准）具有</w:t>
      </w:r>
      <w:r>
        <w:rPr>
          <w:rFonts w:hint="eastAsia" w:ascii="宋体" w:hAnsi="宋体"/>
          <w:snapToGrid w:val="0"/>
          <w:kern w:val="0"/>
          <w:szCs w:val="21"/>
          <w:lang w:val="en-US" w:eastAsia="zh-CN"/>
        </w:rPr>
        <w:t>1个</w:t>
      </w:r>
      <w:r>
        <w:rPr>
          <w:rFonts w:hint="eastAsia" w:ascii="宋体" w:hAnsi="宋体"/>
          <w:color w:val="auto"/>
          <w:szCs w:val="21"/>
          <w:highlight w:val="none"/>
          <w:u w:val="single"/>
          <w:lang w:val="en-US" w:eastAsia="zh-CN"/>
        </w:rPr>
        <w:t>单个项目合同金额200万元及以上</w:t>
      </w:r>
      <w:r>
        <w:rPr>
          <w:rFonts w:hint="eastAsia" w:ascii="宋体" w:hAnsi="宋体"/>
          <w:snapToGrid w:val="0"/>
          <w:kern w:val="0"/>
          <w:szCs w:val="21"/>
          <w:u w:val="single"/>
        </w:rPr>
        <w:t>的</w:t>
      </w:r>
      <w:r>
        <w:rPr>
          <w:rFonts w:hint="eastAsia" w:ascii="宋体" w:hAnsi="宋体"/>
          <w:color w:val="auto"/>
          <w:szCs w:val="21"/>
          <w:highlight w:val="none"/>
          <w:u w:val="single"/>
          <w:lang w:val="en-US" w:eastAsia="zh-CN"/>
        </w:rPr>
        <w:t>文物保养维护工程或修缮工程</w:t>
      </w:r>
      <w:r>
        <w:rPr>
          <w:rFonts w:hint="eastAsia" w:ascii="宋体" w:hAnsi="宋体"/>
          <w:snapToGrid w:val="0"/>
          <w:kern w:val="0"/>
          <w:szCs w:val="21"/>
        </w:rPr>
        <w:t>项目业绩；</w:t>
      </w:r>
    </w:p>
    <w:p>
      <w:pPr>
        <w:tabs>
          <w:tab w:val="left" w:pos="3840"/>
          <w:tab w:val="left" w:pos="5300"/>
        </w:tabs>
        <w:autoSpaceDE w:val="0"/>
        <w:autoSpaceDN w:val="0"/>
        <w:adjustRightInd w:val="0"/>
        <w:snapToGrid w:val="0"/>
        <w:spacing w:line="460" w:lineRule="exact"/>
        <w:ind w:firstLine="420" w:firstLineChars="200"/>
        <w:jc w:val="left"/>
        <w:rPr>
          <w:rFonts w:ascii="宋体" w:hAnsi="宋体"/>
          <w:szCs w:val="21"/>
        </w:rPr>
      </w:pPr>
      <w:r>
        <w:rPr>
          <w:rFonts w:hint="eastAsia" w:ascii="宋体" w:hAnsi="宋体"/>
          <w:snapToGrid w:val="0"/>
          <w:kern w:val="0"/>
          <w:szCs w:val="21"/>
        </w:rPr>
        <w:t xml:space="preserve">3.1.3 </w:t>
      </w:r>
      <w:r>
        <w:rPr>
          <w:rFonts w:hint="eastAsia" w:ascii="宋体" w:hAnsi="宋体"/>
          <w:snapToGrid w:val="0"/>
          <w:kern w:val="0"/>
          <w:szCs w:val="21"/>
          <w:lang w:eastAsia="zh-CN"/>
        </w:rPr>
        <w:t>竞标</w:t>
      </w:r>
      <w:r>
        <w:rPr>
          <w:rFonts w:ascii="宋体" w:hAnsi="宋体"/>
          <w:snapToGrid w:val="0"/>
          <w:kern w:val="0"/>
          <w:szCs w:val="21"/>
        </w:rPr>
        <w:t>人</w:t>
      </w:r>
      <w:r>
        <w:rPr>
          <w:rFonts w:hint="eastAsia" w:ascii="宋体" w:hAnsi="宋体"/>
          <w:snapToGrid w:val="0"/>
          <w:kern w:val="0"/>
          <w:szCs w:val="21"/>
        </w:rPr>
        <w:t>还应在人员、设备、资金等方面具有相应的施工能力，详见竞争性比选文件第二章</w:t>
      </w:r>
      <w:r>
        <w:rPr>
          <w:rFonts w:hint="eastAsia" w:ascii="宋体" w:hAnsi="宋体"/>
          <w:snapToGrid w:val="0"/>
          <w:kern w:val="0"/>
          <w:szCs w:val="21"/>
          <w:lang w:eastAsia="zh-CN"/>
        </w:rPr>
        <w:t>竞标</w:t>
      </w:r>
      <w:r>
        <w:rPr>
          <w:rFonts w:hint="eastAsia" w:ascii="宋体" w:hAnsi="宋体"/>
          <w:snapToGrid w:val="0"/>
          <w:kern w:val="0"/>
          <w:szCs w:val="21"/>
        </w:rPr>
        <w:t>人须知前附表第1.4.1项内容；</w:t>
      </w:r>
    </w:p>
    <w:p>
      <w:pPr>
        <w:tabs>
          <w:tab w:val="left" w:pos="3045"/>
          <w:tab w:val="left" w:pos="8310"/>
        </w:tabs>
        <w:autoSpaceDE w:val="0"/>
        <w:autoSpaceDN w:val="0"/>
        <w:adjustRightInd w:val="0"/>
        <w:snapToGrid w:val="0"/>
        <w:spacing w:line="460" w:lineRule="exact"/>
        <w:ind w:firstLine="420" w:firstLineChars="200"/>
        <w:rPr>
          <w:rFonts w:ascii="宋体" w:hAnsi="宋体"/>
          <w:snapToGrid w:val="0"/>
          <w:kern w:val="0"/>
          <w:szCs w:val="21"/>
        </w:rPr>
      </w:pPr>
      <w:r>
        <w:rPr>
          <w:rFonts w:ascii="宋体" w:hAnsi="宋体"/>
          <w:snapToGrid w:val="0"/>
          <w:kern w:val="0"/>
          <w:szCs w:val="21"/>
        </w:rPr>
        <w:t>3.2  本次</w:t>
      </w:r>
      <w:r>
        <w:rPr>
          <w:rFonts w:hint="eastAsia" w:ascii="宋体" w:hAnsi="宋体"/>
          <w:snapToGrid w:val="0"/>
          <w:kern w:val="0"/>
          <w:szCs w:val="21"/>
        </w:rPr>
        <w:t>比选不接受</w:t>
      </w:r>
      <w:r>
        <w:rPr>
          <w:rFonts w:ascii="宋体" w:hAnsi="宋体"/>
          <w:snapToGrid w:val="0"/>
          <w:kern w:val="0"/>
          <w:szCs w:val="21"/>
        </w:rPr>
        <w:t>联合体</w:t>
      </w:r>
      <w:r>
        <w:rPr>
          <w:rFonts w:hint="eastAsia" w:ascii="宋体" w:hAnsi="宋体"/>
          <w:snapToGrid w:val="0"/>
          <w:kern w:val="0"/>
          <w:szCs w:val="21"/>
          <w:lang w:eastAsia="zh-CN"/>
        </w:rPr>
        <w:t>竞标</w:t>
      </w:r>
      <w:r>
        <w:rPr>
          <w:rFonts w:ascii="宋体" w:hAnsi="宋体"/>
          <w:snapToGrid w:val="0"/>
          <w:kern w:val="0"/>
          <w:szCs w:val="21"/>
        </w:rPr>
        <w:t>。</w:t>
      </w:r>
    </w:p>
    <w:p>
      <w:pPr>
        <w:pStyle w:val="4"/>
        <w:spacing w:before="100" w:after="100" w:line="460" w:lineRule="exact"/>
        <w:rPr>
          <w:rFonts w:ascii="宋体" w:hAnsi="宋体"/>
          <w:snapToGrid w:val="0"/>
          <w:sz w:val="28"/>
          <w:szCs w:val="28"/>
          <w:highlight w:val="none"/>
        </w:rPr>
      </w:pPr>
      <w:bookmarkStart w:id="60" w:name="_Toc535"/>
      <w:bookmarkStart w:id="61" w:name="_Toc430530419"/>
      <w:bookmarkStart w:id="62" w:name="_Toc287620670"/>
      <w:bookmarkStart w:id="63" w:name="_Toc509218695"/>
      <w:bookmarkStart w:id="64" w:name="_Toc200359241"/>
      <w:bookmarkStart w:id="65" w:name="_Toc22540"/>
      <w:bookmarkStart w:id="66" w:name="_Toc224103302"/>
      <w:bookmarkStart w:id="67" w:name="_Toc24003"/>
      <w:bookmarkStart w:id="68" w:name="_Toc200359430"/>
      <w:bookmarkStart w:id="69" w:name="_Toc277082539"/>
      <w:bookmarkStart w:id="70" w:name="_Toc20060"/>
      <w:bookmarkStart w:id="71" w:name="_Toc11029"/>
      <w:bookmarkStart w:id="72" w:name="_Toc287607731"/>
      <w:r>
        <w:rPr>
          <w:rFonts w:ascii="宋体" w:hAnsi="宋体"/>
          <w:snapToGrid w:val="0"/>
          <w:sz w:val="28"/>
          <w:szCs w:val="28"/>
          <w:highlight w:val="none"/>
        </w:rPr>
        <w:t xml:space="preserve">4. </w:t>
      </w:r>
      <w:r>
        <w:rPr>
          <w:rFonts w:hint="eastAsia" w:ascii="宋体" w:hAnsi="宋体"/>
          <w:snapToGrid w:val="0"/>
          <w:sz w:val="28"/>
          <w:szCs w:val="28"/>
          <w:highlight w:val="none"/>
        </w:rPr>
        <w:t xml:space="preserve"> 比选</w:t>
      </w:r>
      <w:r>
        <w:rPr>
          <w:rFonts w:ascii="宋体" w:hAnsi="宋体"/>
          <w:snapToGrid w:val="0"/>
          <w:sz w:val="28"/>
          <w:szCs w:val="28"/>
          <w:highlight w:val="none"/>
        </w:rPr>
        <w:t>文件的获取</w:t>
      </w:r>
      <w:bookmarkEnd w:id="60"/>
      <w:bookmarkEnd w:id="61"/>
      <w:bookmarkEnd w:id="62"/>
      <w:bookmarkEnd w:id="63"/>
      <w:bookmarkEnd w:id="64"/>
      <w:bookmarkEnd w:id="65"/>
      <w:bookmarkEnd w:id="66"/>
      <w:bookmarkEnd w:id="67"/>
      <w:bookmarkEnd w:id="68"/>
      <w:bookmarkEnd w:id="69"/>
      <w:bookmarkEnd w:id="70"/>
      <w:bookmarkEnd w:id="71"/>
      <w:bookmarkEnd w:id="72"/>
    </w:p>
    <w:p>
      <w:pPr>
        <w:tabs>
          <w:tab w:val="left" w:pos="3840"/>
          <w:tab w:val="left" w:pos="5300"/>
        </w:tabs>
        <w:autoSpaceDE w:val="0"/>
        <w:autoSpaceDN w:val="0"/>
        <w:adjustRightInd w:val="0"/>
        <w:snapToGrid w:val="0"/>
        <w:spacing w:line="460" w:lineRule="exact"/>
        <w:ind w:firstLine="420" w:firstLineChars="200"/>
        <w:jc w:val="left"/>
        <w:rPr>
          <w:rFonts w:ascii="宋体" w:hAnsi="宋体"/>
          <w:snapToGrid w:val="0"/>
          <w:kern w:val="0"/>
          <w:szCs w:val="21"/>
          <w:highlight w:val="none"/>
        </w:rPr>
      </w:pPr>
      <w:bookmarkStart w:id="73" w:name="_Toc200359242"/>
      <w:bookmarkStart w:id="74" w:name="_Toc287607732"/>
      <w:bookmarkStart w:id="75" w:name="_Toc277082540"/>
      <w:bookmarkStart w:id="76" w:name="_Toc509218696"/>
      <w:bookmarkStart w:id="77" w:name="_Toc200359431"/>
      <w:bookmarkStart w:id="78" w:name="_Toc430530420"/>
      <w:bookmarkStart w:id="79" w:name="_Toc287620671"/>
      <w:bookmarkStart w:id="80" w:name="_Toc224103303"/>
      <w:r>
        <w:rPr>
          <w:rFonts w:hint="eastAsia" w:ascii="宋体" w:hAnsi="宋体"/>
          <w:snapToGrid w:val="0"/>
          <w:kern w:val="0"/>
          <w:szCs w:val="21"/>
          <w:highlight w:val="none"/>
        </w:rPr>
        <w:t>4.1 凡有意参加</w:t>
      </w:r>
      <w:r>
        <w:rPr>
          <w:rFonts w:hint="eastAsia" w:ascii="宋体" w:hAnsi="宋体"/>
          <w:snapToGrid w:val="0"/>
          <w:kern w:val="0"/>
          <w:szCs w:val="21"/>
          <w:highlight w:val="none"/>
          <w:lang w:eastAsia="zh-CN"/>
        </w:rPr>
        <w:t>竞标</w:t>
      </w:r>
      <w:r>
        <w:rPr>
          <w:rFonts w:hint="eastAsia" w:ascii="宋体" w:hAnsi="宋体"/>
          <w:snapToGrid w:val="0"/>
          <w:kern w:val="0"/>
          <w:szCs w:val="21"/>
          <w:highlight w:val="none"/>
        </w:rPr>
        <w:t>人，请于2022年</w:t>
      </w:r>
      <w:r>
        <w:rPr>
          <w:rFonts w:hint="eastAsia" w:ascii="宋体" w:hAnsi="宋体"/>
          <w:snapToGrid w:val="0"/>
          <w:kern w:val="0"/>
          <w:szCs w:val="21"/>
          <w:highlight w:val="none"/>
          <w:lang w:val="en-US" w:eastAsia="zh-CN"/>
        </w:rPr>
        <w:t>8</w:t>
      </w:r>
      <w:r>
        <w:rPr>
          <w:rFonts w:hint="eastAsia" w:ascii="宋体" w:hAnsi="宋体"/>
          <w:snapToGrid w:val="0"/>
          <w:kern w:val="0"/>
          <w:szCs w:val="21"/>
          <w:highlight w:val="none"/>
        </w:rPr>
        <w:t>月</w:t>
      </w:r>
      <w:r>
        <w:rPr>
          <w:rFonts w:hint="eastAsia" w:ascii="宋体" w:hAnsi="宋体"/>
          <w:snapToGrid w:val="0"/>
          <w:kern w:val="0"/>
          <w:szCs w:val="21"/>
          <w:highlight w:val="none"/>
          <w:lang w:val="en-US" w:eastAsia="zh-CN"/>
        </w:rPr>
        <w:t>4</w:t>
      </w:r>
      <w:r>
        <w:rPr>
          <w:rFonts w:hint="eastAsia" w:ascii="宋体" w:hAnsi="宋体"/>
          <w:snapToGrid w:val="0"/>
          <w:kern w:val="0"/>
          <w:szCs w:val="21"/>
          <w:highlight w:val="none"/>
        </w:rPr>
        <w:t>日（北京时间，下同）起在重庆市公共资源交易网（渝中区）（https://www.cqggzy.com/yuzhongweb/）下载比选文件、工程量清单、图纸、澄清、修改、补充通知、最高限价通知等全部内容。不管下载与否都视为潜在</w:t>
      </w:r>
      <w:r>
        <w:rPr>
          <w:rFonts w:hint="eastAsia" w:ascii="宋体" w:hAnsi="宋体"/>
          <w:snapToGrid w:val="0"/>
          <w:kern w:val="0"/>
          <w:szCs w:val="21"/>
          <w:highlight w:val="none"/>
          <w:lang w:eastAsia="zh-CN"/>
        </w:rPr>
        <w:t>竞标</w:t>
      </w:r>
      <w:r>
        <w:rPr>
          <w:rFonts w:hint="eastAsia" w:ascii="宋体" w:hAnsi="宋体"/>
          <w:snapToGrid w:val="0"/>
          <w:kern w:val="0"/>
          <w:szCs w:val="21"/>
          <w:highlight w:val="none"/>
        </w:rPr>
        <w:t>人全部知晓有关比选过程和全部内容。</w:t>
      </w:r>
    </w:p>
    <w:p>
      <w:pPr>
        <w:tabs>
          <w:tab w:val="left" w:pos="3840"/>
          <w:tab w:val="left" w:pos="5300"/>
        </w:tabs>
        <w:autoSpaceDE w:val="0"/>
        <w:autoSpaceDN w:val="0"/>
        <w:adjustRightInd w:val="0"/>
        <w:snapToGrid w:val="0"/>
        <w:spacing w:line="460" w:lineRule="exact"/>
        <w:ind w:firstLine="420" w:firstLineChars="200"/>
        <w:jc w:val="left"/>
        <w:rPr>
          <w:rFonts w:ascii="宋体" w:hAnsi="宋体"/>
          <w:snapToGrid w:val="0"/>
          <w:kern w:val="0"/>
          <w:szCs w:val="21"/>
          <w:highlight w:val="none"/>
        </w:rPr>
      </w:pPr>
      <w:r>
        <w:rPr>
          <w:rFonts w:hint="eastAsia" w:ascii="宋体" w:hAnsi="宋体"/>
          <w:snapToGrid w:val="0"/>
          <w:kern w:val="0"/>
          <w:szCs w:val="21"/>
          <w:highlight w:val="none"/>
        </w:rPr>
        <w:t xml:space="preserve">4.2 </w:t>
      </w:r>
      <w:r>
        <w:rPr>
          <w:rFonts w:hint="eastAsia" w:ascii="宋体" w:hAnsi="宋体" w:cs="宋体"/>
          <w:snapToGrid w:val="0"/>
          <w:kern w:val="0"/>
          <w:szCs w:val="21"/>
          <w:highlight w:val="none"/>
        </w:rPr>
        <w:t>竞标人可在重庆市公共资源交易网（渝中区）（https://www.cqggzy.com/yuzhongweb/）提出疑问，</w:t>
      </w:r>
      <w:r>
        <w:rPr>
          <w:rFonts w:hint="eastAsia" w:ascii="宋体" w:hAnsi="宋体"/>
          <w:snapToGrid w:val="0"/>
          <w:kern w:val="0"/>
          <w:szCs w:val="21"/>
          <w:highlight w:val="none"/>
        </w:rPr>
        <w:t>提问时间从本公告发布至2022年</w:t>
      </w:r>
      <w:r>
        <w:rPr>
          <w:rFonts w:hint="eastAsia" w:ascii="宋体" w:hAnsi="宋体"/>
          <w:snapToGrid w:val="0"/>
          <w:kern w:val="0"/>
          <w:szCs w:val="21"/>
          <w:highlight w:val="none"/>
          <w:lang w:val="en-US" w:eastAsia="zh-CN"/>
        </w:rPr>
        <w:t>8</w:t>
      </w:r>
      <w:r>
        <w:rPr>
          <w:rFonts w:hint="eastAsia" w:ascii="宋体" w:hAnsi="宋体"/>
          <w:snapToGrid w:val="0"/>
          <w:kern w:val="0"/>
          <w:szCs w:val="21"/>
          <w:highlight w:val="none"/>
        </w:rPr>
        <w:t>月</w:t>
      </w:r>
      <w:r>
        <w:rPr>
          <w:rFonts w:hint="eastAsia" w:ascii="宋体" w:hAnsi="宋体"/>
          <w:snapToGrid w:val="0"/>
          <w:kern w:val="0"/>
          <w:szCs w:val="21"/>
          <w:highlight w:val="none"/>
          <w:lang w:val="en-US" w:eastAsia="zh-CN"/>
        </w:rPr>
        <w:t>6</w:t>
      </w:r>
      <w:r>
        <w:rPr>
          <w:rFonts w:hint="eastAsia" w:ascii="宋体" w:hAnsi="宋体"/>
          <w:snapToGrid w:val="0"/>
          <w:kern w:val="0"/>
          <w:szCs w:val="21"/>
          <w:highlight w:val="none"/>
        </w:rPr>
        <w:t>日</w:t>
      </w:r>
      <w:r>
        <w:rPr>
          <w:rFonts w:hint="eastAsia" w:ascii="宋体" w:hAnsi="宋体"/>
          <w:snapToGrid w:val="0"/>
          <w:kern w:val="0"/>
          <w:szCs w:val="21"/>
          <w:highlight w:val="none"/>
          <w:lang w:val="en-US" w:eastAsia="zh-CN"/>
        </w:rPr>
        <w:t>17</w:t>
      </w:r>
      <w:r>
        <w:rPr>
          <w:rFonts w:hint="eastAsia" w:ascii="宋体" w:hAnsi="宋体"/>
          <w:snapToGrid w:val="0"/>
          <w:kern w:val="0"/>
          <w:szCs w:val="21"/>
          <w:highlight w:val="none"/>
        </w:rPr>
        <w:t>时</w:t>
      </w:r>
      <w:r>
        <w:rPr>
          <w:rFonts w:hint="eastAsia" w:ascii="宋体" w:hAnsi="宋体"/>
          <w:snapToGrid w:val="0"/>
          <w:kern w:val="0"/>
          <w:szCs w:val="21"/>
          <w:highlight w:val="none"/>
          <w:lang w:val="en-US" w:eastAsia="zh-CN"/>
        </w:rPr>
        <w:t>30</w:t>
      </w:r>
      <w:r>
        <w:rPr>
          <w:rFonts w:hint="eastAsia" w:ascii="宋体" w:hAnsi="宋体"/>
          <w:snapToGrid w:val="0"/>
          <w:kern w:val="0"/>
          <w:szCs w:val="21"/>
          <w:highlight w:val="none"/>
        </w:rPr>
        <w:t>分（北京时间）前。</w:t>
      </w:r>
    </w:p>
    <w:p>
      <w:pPr>
        <w:tabs>
          <w:tab w:val="left" w:pos="3840"/>
          <w:tab w:val="left" w:pos="5300"/>
        </w:tabs>
        <w:wordWrap w:val="0"/>
        <w:autoSpaceDE w:val="0"/>
        <w:autoSpaceDN w:val="0"/>
        <w:adjustRightInd w:val="0"/>
        <w:snapToGrid w:val="0"/>
        <w:spacing w:line="460" w:lineRule="exact"/>
        <w:ind w:firstLine="420" w:firstLineChars="200"/>
        <w:jc w:val="left"/>
        <w:rPr>
          <w:rFonts w:hint="eastAsia" w:ascii="宋体" w:hAnsi="宋体"/>
          <w:snapToGrid w:val="0"/>
          <w:kern w:val="0"/>
          <w:szCs w:val="21"/>
          <w:highlight w:val="none"/>
        </w:rPr>
      </w:pPr>
      <w:r>
        <w:rPr>
          <w:rFonts w:hint="eastAsia" w:ascii="宋体" w:hAnsi="宋体"/>
          <w:snapToGrid w:val="0"/>
          <w:kern w:val="0"/>
          <w:szCs w:val="21"/>
          <w:highlight w:val="none"/>
        </w:rPr>
        <w:t>4.3 比选人应于2022年</w:t>
      </w:r>
      <w:r>
        <w:rPr>
          <w:rFonts w:hint="eastAsia" w:ascii="宋体" w:hAnsi="宋体"/>
          <w:snapToGrid w:val="0"/>
          <w:kern w:val="0"/>
          <w:szCs w:val="21"/>
          <w:highlight w:val="none"/>
          <w:lang w:val="en-US" w:eastAsia="zh-CN"/>
        </w:rPr>
        <w:t>8</w:t>
      </w:r>
      <w:r>
        <w:rPr>
          <w:rFonts w:hint="eastAsia" w:ascii="宋体" w:hAnsi="宋体"/>
          <w:snapToGrid w:val="0"/>
          <w:kern w:val="0"/>
          <w:szCs w:val="21"/>
          <w:highlight w:val="none"/>
        </w:rPr>
        <w:t>月</w:t>
      </w:r>
      <w:r>
        <w:rPr>
          <w:rFonts w:hint="eastAsia" w:ascii="宋体" w:hAnsi="宋体"/>
          <w:snapToGrid w:val="0"/>
          <w:kern w:val="0"/>
          <w:szCs w:val="21"/>
          <w:highlight w:val="none"/>
          <w:lang w:val="en-US" w:eastAsia="zh-CN"/>
        </w:rPr>
        <w:t>8</w:t>
      </w:r>
      <w:r>
        <w:rPr>
          <w:rFonts w:hint="eastAsia" w:ascii="宋体" w:hAnsi="宋体"/>
          <w:snapToGrid w:val="0"/>
          <w:kern w:val="0"/>
          <w:szCs w:val="21"/>
          <w:highlight w:val="none"/>
        </w:rPr>
        <w:t>日</w:t>
      </w:r>
      <w:r>
        <w:rPr>
          <w:rFonts w:hint="eastAsia" w:ascii="宋体" w:hAnsi="宋体"/>
          <w:snapToGrid w:val="0"/>
          <w:kern w:val="0"/>
          <w:szCs w:val="21"/>
          <w:highlight w:val="none"/>
          <w:lang w:val="en-US" w:eastAsia="zh-CN"/>
        </w:rPr>
        <w:t>17</w:t>
      </w:r>
      <w:r>
        <w:rPr>
          <w:rFonts w:hint="eastAsia" w:ascii="宋体" w:hAnsi="宋体"/>
          <w:snapToGrid w:val="0"/>
          <w:kern w:val="0"/>
          <w:szCs w:val="21"/>
          <w:highlight w:val="none"/>
        </w:rPr>
        <w:t>时</w:t>
      </w:r>
      <w:r>
        <w:rPr>
          <w:rFonts w:hint="eastAsia" w:ascii="宋体" w:hAnsi="宋体"/>
          <w:snapToGrid w:val="0"/>
          <w:kern w:val="0"/>
          <w:szCs w:val="21"/>
          <w:highlight w:val="none"/>
          <w:lang w:val="en-US" w:eastAsia="zh-CN"/>
        </w:rPr>
        <w:t>30</w:t>
      </w:r>
      <w:r>
        <w:rPr>
          <w:rFonts w:hint="eastAsia" w:ascii="宋体" w:hAnsi="宋体"/>
          <w:snapToGrid w:val="0"/>
          <w:kern w:val="0"/>
          <w:szCs w:val="21"/>
          <w:highlight w:val="none"/>
        </w:rPr>
        <w:t>分（北京时间）前在重庆市公共资源交易网（渝中区）（https://www.cqggzy.com/yuzhongweb/）发布澄清。</w:t>
      </w:r>
    </w:p>
    <w:p>
      <w:pPr>
        <w:pStyle w:val="4"/>
        <w:spacing w:before="100" w:after="100" w:line="460" w:lineRule="exact"/>
        <w:rPr>
          <w:rFonts w:ascii="宋体" w:hAnsi="宋体"/>
          <w:snapToGrid w:val="0"/>
          <w:sz w:val="28"/>
          <w:szCs w:val="28"/>
          <w:highlight w:val="none"/>
        </w:rPr>
      </w:pPr>
      <w:bookmarkStart w:id="81" w:name="_Toc23897"/>
      <w:bookmarkStart w:id="82" w:name="_Toc30110"/>
      <w:bookmarkStart w:id="83" w:name="_Toc17191"/>
      <w:bookmarkStart w:id="84" w:name="_Toc25930"/>
      <w:bookmarkStart w:id="85" w:name="_Toc2458"/>
      <w:r>
        <w:rPr>
          <w:rFonts w:ascii="宋体" w:hAnsi="宋体"/>
          <w:snapToGrid w:val="0"/>
          <w:sz w:val="28"/>
          <w:szCs w:val="28"/>
          <w:highlight w:val="none"/>
        </w:rPr>
        <w:t xml:space="preserve">5. </w:t>
      </w:r>
      <w:r>
        <w:rPr>
          <w:rFonts w:hint="eastAsia" w:ascii="宋体" w:hAnsi="宋体"/>
          <w:snapToGrid w:val="0"/>
          <w:sz w:val="28"/>
          <w:szCs w:val="28"/>
          <w:highlight w:val="none"/>
        </w:rPr>
        <w:t xml:space="preserve"> </w:t>
      </w:r>
      <w:r>
        <w:rPr>
          <w:rFonts w:hint="eastAsia" w:ascii="宋体" w:hAnsi="宋体"/>
          <w:snapToGrid w:val="0"/>
          <w:kern w:val="0"/>
          <w:sz w:val="28"/>
          <w:szCs w:val="28"/>
          <w:highlight w:val="none"/>
          <w:lang w:eastAsia="zh-CN"/>
        </w:rPr>
        <w:t>竞标</w:t>
      </w:r>
      <w:r>
        <w:rPr>
          <w:rFonts w:ascii="宋体" w:hAnsi="宋体"/>
          <w:snapToGrid w:val="0"/>
          <w:sz w:val="28"/>
          <w:szCs w:val="28"/>
          <w:highlight w:val="none"/>
        </w:rPr>
        <w:t>文件的递交</w:t>
      </w:r>
      <w:bookmarkEnd w:id="73"/>
      <w:bookmarkEnd w:id="74"/>
      <w:bookmarkEnd w:id="75"/>
      <w:bookmarkEnd w:id="76"/>
      <w:bookmarkEnd w:id="77"/>
      <w:bookmarkEnd w:id="78"/>
      <w:bookmarkEnd w:id="79"/>
      <w:bookmarkEnd w:id="80"/>
      <w:bookmarkEnd w:id="81"/>
      <w:bookmarkEnd w:id="82"/>
      <w:bookmarkEnd w:id="83"/>
      <w:bookmarkEnd w:id="84"/>
      <w:bookmarkEnd w:id="85"/>
    </w:p>
    <w:p>
      <w:pPr>
        <w:tabs>
          <w:tab w:val="left" w:pos="3840"/>
          <w:tab w:val="left" w:pos="5300"/>
        </w:tabs>
        <w:autoSpaceDE w:val="0"/>
        <w:autoSpaceDN w:val="0"/>
        <w:adjustRightInd w:val="0"/>
        <w:snapToGrid w:val="0"/>
        <w:spacing w:line="460" w:lineRule="exact"/>
        <w:ind w:firstLine="420" w:firstLineChars="200"/>
        <w:jc w:val="left"/>
        <w:rPr>
          <w:rFonts w:ascii="宋体" w:hAnsi="宋体"/>
          <w:snapToGrid w:val="0"/>
          <w:kern w:val="0"/>
          <w:szCs w:val="21"/>
        </w:rPr>
      </w:pPr>
      <w:bookmarkStart w:id="86" w:name="_Toc277082541"/>
      <w:bookmarkStart w:id="87" w:name="_Toc430530421"/>
      <w:bookmarkStart w:id="88" w:name="_Toc200359243"/>
      <w:bookmarkStart w:id="89" w:name="_Toc200359432"/>
      <w:bookmarkStart w:id="90" w:name="_Toc287607733"/>
      <w:bookmarkStart w:id="91" w:name="_Toc287620672"/>
      <w:bookmarkStart w:id="92" w:name="_Toc509218697"/>
      <w:bookmarkStart w:id="93" w:name="_Toc224103304"/>
      <w:r>
        <w:rPr>
          <w:rFonts w:hint="eastAsia" w:ascii="宋体" w:hAnsi="宋体"/>
          <w:snapToGrid w:val="0"/>
          <w:kern w:val="0"/>
          <w:szCs w:val="21"/>
          <w:highlight w:val="none"/>
        </w:rPr>
        <w:t xml:space="preserve">5.1  </w:t>
      </w:r>
      <w:r>
        <w:rPr>
          <w:rFonts w:hint="eastAsia" w:ascii="宋体" w:hAnsi="宋体"/>
          <w:snapToGrid w:val="0"/>
          <w:kern w:val="0"/>
          <w:szCs w:val="21"/>
          <w:highlight w:val="none"/>
          <w:lang w:eastAsia="zh-CN"/>
        </w:rPr>
        <w:t>竞标</w:t>
      </w:r>
      <w:r>
        <w:rPr>
          <w:rFonts w:hint="eastAsia" w:ascii="宋体" w:hAnsi="宋体"/>
          <w:snapToGrid w:val="0"/>
          <w:kern w:val="0"/>
          <w:szCs w:val="21"/>
          <w:highlight w:val="none"/>
        </w:rPr>
        <w:t>文件递交的截止时间（</w:t>
      </w:r>
      <w:r>
        <w:rPr>
          <w:rFonts w:hint="eastAsia" w:ascii="宋体" w:hAnsi="宋体"/>
          <w:snapToGrid w:val="0"/>
          <w:kern w:val="0"/>
          <w:szCs w:val="21"/>
          <w:highlight w:val="none"/>
          <w:lang w:eastAsia="zh-CN"/>
        </w:rPr>
        <w:t>竞标</w:t>
      </w:r>
      <w:r>
        <w:rPr>
          <w:rFonts w:hint="eastAsia" w:ascii="宋体" w:hAnsi="宋体"/>
          <w:snapToGrid w:val="0"/>
          <w:kern w:val="0"/>
          <w:szCs w:val="21"/>
          <w:highlight w:val="none"/>
        </w:rPr>
        <w:t>截止时间，下同）为2022年</w:t>
      </w:r>
      <w:r>
        <w:rPr>
          <w:rFonts w:hint="eastAsia" w:ascii="宋体" w:hAnsi="宋体"/>
          <w:snapToGrid w:val="0"/>
          <w:kern w:val="0"/>
          <w:szCs w:val="21"/>
          <w:highlight w:val="none"/>
          <w:lang w:val="en-US" w:eastAsia="zh-CN"/>
        </w:rPr>
        <w:t>8</w:t>
      </w:r>
      <w:r>
        <w:rPr>
          <w:rFonts w:hint="eastAsia" w:ascii="宋体" w:hAnsi="宋体"/>
          <w:snapToGrid w:val="0"/>
          <w:kern w:val="0"/>
          <w:szCs w:val="21"/>
          <w:highlight w:val="none"/>
        </w:rPr>
        <w:t>月</w:t>
      </w:r>
      <w:r>
        <w:rPr>
          <w:rFonts w:hint="eastAsia" w:ascii="宋体" w:hAnsi="宋体"/>
          <w:snapToGrid w:val="0"/>
          <w:kern w:val="0"/>
          <w:szCs w:val="21"/>
          <w:highlight w:val="none"/>
          <w:lang w:val="en-US" w:eastAsia="zh-CN"/>
        </w:rPr>
        <w:t>11</w:t>
      </w:r>
      <w:r>
        <w:rPr>
          <w:rFonts w:hint="eastAsia" w:ascii="宋体" w:hAnsi="宋体"/>
          <w:snapToGrid w:val="0"/>
          <w:kern w:val="0"/>
          <w:szCs w:val="21"/>
          <w:highlight w:val="none"/>
        </w:rPr>
        <w:t>日</w:t>
      </w:r>
      <w:r>
        <w:rPr>
          <w:rFonts w:hint="eastAsia" w:ascii="宋体" w:hAnsi="宋体"/>
          <w:snapToGrid w:val="0"/>
          <w:kern w:val="0"/>
          <w:szCs w:val="21"/>
          <w:highlight w:val="none"/>
          <w:lang w:val="en-US" w:eastAsia="zh-CN"/>
        </w:rPr>
        <w:t>10</w:t>
      </w:r>
      <w:r>
        <w:rPr>
          <w:rFonts w:hint="eastAsia" w:ascii="宋体" w:hAnsi="宋体"/>
          <w:snapToGrid w:val="0"/>
          <w:kern w:val="0"/>
          <w:szCs w:val="21"/>
          <w:highlight w:val="none"/>
        </w:rPr>
        <w:t>时</w:t>
      </w:r>
      <w:r>
        <w:rPr>
          <w:rFonts w:hint="eastAsia" w:ascii="宋体" w:hAnsi="宋体"/>
          <w:snapToGrid w:val="0"/>
          <w:kern w:val="0"/>
          <w:szCs w:val="21"/>
          <w:highlight w:val="none"/>
          <w:lang w:val="en-US" w:eastAsia="zh-CN"/>
        </w:rPr>
        <w:t>00</w:t>
      </w:r>
      <w:r>
        <w:rPr>
          <w:rFonts w:hint="eastAsia" w:ascii="宋体" w:hAnsi="宋体"/>
          <w:snapToGrid w:val="0"/>
          <w:kern w:val="0"/>
          <w:szCs w:val="21"/>
          <w:highlight w:val="none"/>
        </w:rPr>
        <w:t>分，地点</w:t>
      </w:r>
      <w:r>
        <w:rPr>
          <w:rFonts w:hint="eastAsia" w:ascii="宋体" w:hAnsi="宋体"/>
          <w:snapToGrid w:val="0"/>
          <w:kern w:val="0"/>
          <w:szCs w:val="21"/>
        </w:rPr>
        <w:t>为</w:t>
      </w:r>
      <w:r>
        <w:rPr>
          <w:rFonts w:hint="eastAsia" w:ascii="宋体" w:hAnsi="宋体" w:cs="宋体"/>
          <w:bCs/>
          <w:szCs w:val="21"/>
          <w:u w:val="single"/>
        </w:rPr>
        <w:t>重庆市渝中区公共资源交易中心（重庆市渝中区和平路192号2楼）开标室（具体开标室以递交文件当日交易中心大厅电子显示屏为准）</w:t>
      </w:r>
      <w:r>
        <w:rPr>
          <w:rFonts w:hint="eastAsia" w:ascii="宋体" w:hAnsi="宋体" w:cs="宋体"/>
          <w:snapToGrid w:val="0"/>
          <w:kern w:val="0"/>
          <w:szCs w:val="21"/>
        </w:rPr>
        <w:t>。</w:t>
      </w:r>
    </w:p>
    <w:p>
      <w:pPr>
        <w:tabs>
          <w:tab w:val="left" w:pos="3840"/>
          <w:tab w:val="left" w:pos="5300"/>
        </w:tabs>
        <w:autoSpaceDE w:val="0"/>
        <w:autoSpaceDN w:val="0"/>
        <w:adjustRightInd w:val="0"/>
        <w:snapToGrid w:val="0"/>
        <w:spacing w:line="460" w:lineRule="exact"/>
        <w:ind w:firstLine="420" w:firstLineChars="200"/>
        <w:jc w:val="left"/>
        <w:rPr>
          <w:rFonts w:ascii="宋体" w:hAnsi="宋体"/>
          <w:snapToGrid w:val="0"/>
          <w:kern w:val="0"/>
          <w:szCs w:val="21"/>
        </w:rPr>
      </w:pPr>
      <w:r>
        <w:rPr>
          <w:rFonts w:hint="eastAsia" w:ascii="宋体" w:hAnsi="宋体"/>
          <w:snapToGrid w:val="0"/>
          <w:kern w:val="0"/>
          <w:szCs w:val="21"/>
        </w:rPr>
        <w:t>5.2  逾期送达的或者未送达指定地点的</w:t>
      </w:r>
      <w:r>
        <w:rPr>
          <w:rFonts w:hint="eastAsia" w:ascii="宋体" w:hAnsi="宋体"/>
          <w:snapToGrid w:val="0"/>
          <w:kern w:val="0"/>
          <w:szCs w:val="21"/>
          <w:lang w:eastAsia="zh-CN"/>
        </w:rPr>
        <w:t>竞标</w:t>
      </w:r>
      <w:r>
        <w:rPr>
          <w:rFonts w:hint="eastAsia" w:ascii="宋体" w:hAnsi="宋体"/>
          <w:snapToGrid w:val="0"/>
          <w:kern w:val="0"/>
          <w:szCs w:val="21"/>
        </w:rPr>
        <w:t>文件，比选人不予受理。</w:t>
      </w:r>
    </w:p>
    <w:p>
      <w:pPr>
        <w:pStyle w:val="4"/>
        <w:spacing w:before="100" w:after="100" w:line="460" w:lineRule="exact"/>
        <w:rPr>
          <w:rFonts w:ascii="宋体" w:hAnsi="宋体"/>
          <w:snapToGrid w:val="0"/>
          <w:sz w:val="28"/>
          <w:szCs w:val="28"/>
        </w:rPr>
      </w:pPr>
      <w:bookmarkStart w:id="94" w:name="_Toc16098"/>
      <w:bookmarkStart w:id="95" w:name="_Toc9311"/>
      <w:bookmarkStart w:id="96" w:name="_Toc506"/>
      <w:bookmarkStart w:id="97" w:name="_Toc4125"/>
      <w:bookmarkStart w:id="98" w:name="_Toc22415"/>
      <w:r>
        <w:rPr>
          <w:rFonts w:ascii="宋体" w:hAnsi="宋体"/>
          <w:snapToGrid w:val="0"/>
          <w:sz w:val="28"/>
          <w:szCs w:val="28"/>
        </w:rPr>
        <w:t xml:space="preserve">6. </w:t>
      </w:r>
      <w:r>
        <w:rPr>
          <w:rFonts w:hint="eastAsia" w:ascii="宋体" w:hAnsi="宋体"/>
          <w:snapToGrid w:val="0"/>
          <w:sz w:val="28"/>
          <w:szCs w:val="28"/>
        </w:rPr>
        <w:t xml:space="preserve"> </w:t>
      </w:r>
      <w:r>
        <w:rPr>
          <w:rFonts w:ascii="宋体" w:hAnsi="宋体"/>
          <w:snapToGrid w:val="0"/>
          <w:sz w:val="28"/>
          <w:szCs w:val="28"/>
        </w:rPr>
        <w:t>发布公告的媒介</w:t>
      </w:r>
      <w:bookmarkEnd w:id="86"/>
      <w:bookmarkEnd w:id="87"/>
      <w:bookmarkEnd w:id="88"/>
      <w:bookmarkEnd w:id="89"/>
      <w:bookmarkEnd w:id="90"/>
      <w:bookmarkEnd w:id="91"/>
      <w:bookmarkEnd w:id="92"/>
      <w:bookmarkEnd w:id="93"/>
      <w:bookmarkEnd w:id="94"/>
      <w:bookmarkEnd w:id="95"/>
      <w:bookmarkEnd w:id="96"/>
      <w:bookmarkEnd w:id="97"/>
      <w:bookmarkEnd w:id="98"/>
    </w:p>
    <w:p>
      <w:pPr>
        <w:tabs>
          <w:tab w:val="left" w:pos="3840"/>
          <w:tab w:val="left" w:pos="5300"/>
        </w:tabs>
        <w:autoSpaceDE w:val="0"/>
        <w:autoSpaceDN w:val="0"/>
        <w:adjustRightInd w:val="0"/>
        <w:snapToGrid w:val="0"/>
        <w:spacing w:line="460" w:lineRule="exact"/>
        <w:ind w:firstLine="420" w:firstLineChars="200"/>
        <w:jc w:val="left"/>
        <w:rPr>
          <w:rFonts w:ascii="宋体" w:hAnsi="宋体"/>
          <w:snapToGrid w:val="0"/>
          <w:kern w:val="0"/>
          <w:szCs w:val="21"/>
          <w:highlight w:val="none"/>
          <w:u w:val="single"/>
        </w:rPr>
      </w:pPr>
      <w:r>
        <w:rPr>
          <w:rFonts w:hint="eastAsia" w:ascii="宋体" w:hAnsi="宋体"/>
          <w:snapToGrid w:val="0"/>
          <w:kern w:val="0"/>
          <w:szCs w:val="21"/>
          <w:highlight w:val="none"/>
        </w:rPr>
        <w:t>本次竞争性比选公告在</w:t>
      </w:r>
      <w:r>
        <w:rPr>
          <w:rFonts w:hint="eastAsia" w:ascii="宋体" w:hAnsi="宋体"/>
          <w:snapToGrid w:val="0"/>
          <w:kern w:val="0"/>
          <w:szCs w:val="21"/>
          <w:highlight w:val="none"/>
          <w:u w:val="single"/>
        </w:rPr>
        <w:t>《重庆市公共资源交易网》（渝中区）（www.cqggzy.com/yuzhongweb/）上发布。</w:t>
      </w:r>
    </w:p>
    <w:p>
      <w:pPr>
        <w:pStyle w:val="4"/>
        <w:spacing w:before="100" w:after="100" w:line="460" w:lineRule="exact"/>
        <w:rPr>
          <w:rFonts w:ascii="宋体" w:hAnsi="宋体"/>
          <w:snapToGrid w:val="0"/>
          <w:sz w:val="28"/>
          <w:szCs w:val="28"/>
        </w:rPr>
      </w:pPr>
      <w:bookmarkStart w:id="99" w:name="_Toc224103305"/>
      <w:bookmarkStart w:id="100" w:name="_Toc9459"/>
      <w:bookmarkStart w:id="101" w:name="_Toc8076"/>
      <w:bookmarkStart w:id="102" w:name="_Toc277082542"/>
      <w:bookmarkStart w:id="103" w:name="_Toc287607734"/>
      <w:bookmarkStart w:id="104" w:name="_Toc20049"/>
      <w:bookmarkStart w:id="105" w:name="_Toc2384"/>
      <w:bookmarkStart w:id="106" w:name="_Toc509218698"/>
      <w:bookmarkStart w:id="107" w:name="_Toc430530422"/>
      <w:bookmarkStart w:id="108" w:name="_Toc287620673"/>
      <w:bookmarkStart w:id="109" w:name="_Toc29666"/>
      <w:r>
        <w:rPr>
          <w:rFonts w:ascii="宋体" w:hAnsi="宋体"/>
          <w:snapToGrid w:val="0"/>
          <w:sz w:val="28"/>
          <w:szCs w:val="28"/>
        </w:rPr>
        <w:t xml:space="preserve">7. </w:t>
      </w:r>
      <w:r>
        <w:rPr>
          <w:rFonts w:hint="eastAsia" w:ascii="宋体" w:hAnsi="宋体"/>
          <w:snapToGrid w:val="0"/>
          <w:sz w:val="28"/>
          <w:szCs w:val="28"/>
        </w:rPr>
        <w:t xml:space="preserve"> </w:t>
      </w:r>
      <w:r>
        <w:rPr>
          <w:rFonts w:ascii="宋体" w:hAnsi="宋体"/>
          <w:snapToGrid w:val="0"/>
          <w:sz w:val="28"/>
          <w:szCs w:val="28"/>
        </w:rPr>
        <w:t>联系方式</w:t>
      </w:r>
      <w:bookmarkEnd w:id="99"/>
      <w:bookmarkEnd w:id="100"/>
      <w:bookmarkEnd w:id="101"/>
      <w:bookmarkEnd w:id="102"/>
      <w:bookmarkEnd w:id="103"/>
      <w:bookmarkEnd w:id="104"/>
      <w:bookmarkEnd w:id="105"/>
      <w:bookmarkEnd w:id="106"/>
      <w:bookmarkEnd w:id="107"/>
      <w:bookmarkEnd w:id="108"/>
      <w:bookmarkEnd w:id="109"/>
    </w:p>
    <w:p>
      <w:pPr>
        <w:tabs>
          <w:tab w:val="left" w:pos="5140"/>
          <w:tab w:val="left" w:pos="8520"/>
        </w:tabs>
        <w:autoSpaceDE w:val="0"/>
        <w:autoSpaceDN w:val="0"/>
        <w:adjustRightInd w:val="0"/>
        <w:snapToGrid w:val="0"/>
        <w:spacing w:line="450" w:lineRule="exact"/>
        <w:ind w:firstLine="420" w:firstLineChars="200"/>
        <w:jc w:val="left"/>
        <w:rPr>
          <w:rFonts w:ascii="宋体" w:hAnsi="宋体"/>
          <w:snapToGrid w:val="0"/>
          <w:kern w:val="0"/>
          <w:szCs w:val="21"/>
        </w:rPr>
      </w:pPr>
      <w:r>
        <w:rPr>
          <w:rFonts w:hint="eastAsia" w:ascii="宋体" w:hAnsi="宋体"/>
          <w:snapToGrid w:val="0"/>
          <w:kern w:val="0"/>
          <w:szCs w:val="21"/>
        </w:rPr>
        <w:t>比</w:t>
      </w:r>
      <w:r>
        <w:rPr>
          <w:rFonts w:ascii="宋体" w:hAnsi="宋体"/>
          <w:snapToGrid w:val="0"/>
          <w:kern w:val="0"/>
          <w:szCs w:val="21"/>
        </w:rPr>
        <w:t xml:space="preserve"> </w:t>
      </w:r>
      <w:r>
        <w:rPr>
          <w:rFonts w:hint="eastAsia" w:ascii="宋体" w:hAnsi="宋体"/>
          <w:snapToGrid w:val="0"/>
          <w:kern w:val="0"/>
          <w:szCs w:val="21"/>
        </w:rPr>
        <w:t>选</w:t>
      </w:r>
      <w:r>
        <w:rPr>
          <w:rFonts w:ascii="宋体" w:hAnsi="宋体"/>
          <w:snapToGrid w:val="0"/>
          <w:kern w:val="0"/>
          <w:szCs w:val="21"/>
        </w:rPr>
        <w:t xml:space="preserve"> 人：</w:t>
      </w:r>
      <w:r>
        <w:rPr>
          <w:rFonts w:hint="eastAsia" w:ascii="宋体" w:hAnsi="宋体"/>
          <w:snapToGrid w:val="0"/>
          <w:kern w:val="0"/>
          <w:szCs w:val="21"/>
          <w:u w:val="single"/>
        </w:rPr>
        <w:t>重庆渝中母城文化发展有限公司</w:t>
      </w:r>
      <w:r>
        <w:rPr>
          <w:rFonts w:ascii="宋体" w:hAnsi="宋体"/>
          <w:snapToGrid w:val="0"/>
          <w:kern w:val="0"/>
          <w:szCs w:val="21"/>
        </w:rPr>
        <w:t xml:space="preserve">     </w:t>
      </w:r>
      <w:r>
        <w:rPr>
          <w:rFonts w:hint="eastAsia" w:ascii="宋体" w:hAnsi="宋体"/>
          <w:snapToGrid w:val="0"/>
          <w:kern w:val="0"/>
          <w:szCs w:val="21"/>
        </w:rPr>
        <w:t>比选</w:t>
      </w:r>
      <w:r>
        <w:rPr>
          <w:rFonts w:ascii="宋体" w:hAnsi="宋体"/>
          <w:snapToGrid w:val="0"/>
          <w:kern w:val="0"/>
          <w:szCs w:val="21"/>
        </w:rPr>
        <w:t>代理机构：</w:t>
      </w:r>
      <w:r>
        <w:rPr>
          <w:rFonts w:hint="eastAsia" w:ascii="宋体" w:hAnsi="宋体"/>
          <w:snapToGrid w:val="0"/>
          <w:kern w:val="0"/>
          <w:szCs w:val="21"/>
          <w:u w:val="single"/>
          <w:lang w:eastAsia="zh-CN"/>
        </w:rPr>
        <w:t>永明项目管理有限公司</w:t>
      </w:r>
      <w:r>
        <w:rPr>
          <w:rFonts w:hint="eastAsia" w:ascii="宋体" w:hAnsi="宋体"/>
          <w:snapToGrid w:val="0"/>
          <w:kern w:val="0"/>
          <w:szCs w:val="21"/>
          <w:u w:val="single"/>
        </w:rPr>
        <w:t xml:space="preserve">       </w:t>
      </w:r>
      <w:r>
        <w:rPr>
          <w:rFonts w:ascii="宋体" w:hAnsi="宋体"/>
          <w:snapToGrid w:val="0"/>
          <w:kern w:val="0"/>
          <w:szCs w:val="21"/>
          <w:u w:val="single"/>
        </w:rPr>
        <w:t xml:space="preserve"> </w:t>
      </w:r>
    </w:p>
    <w:p>
      <w:pPr>
        <w:tabs>
          <w:tab w:val="left" w:pos="5140"/>
          <w:tab w:val="left" w:pos="8420"/>
        </w:tabs>
        <w:autoSpaceDE w:val="0"/>
        <w:autoSpaceDN w:val="0"/>
        <w:adjustRightInd w:val="0"/>
        <w:snapToGrid w:val="0"/>
        <w:spacing w:line="450" w:lineRule="exact"/>
        <w:ind w:firstLine="420" w:firstLineChars="200"/>
        <w:jc w:val="left"/>
        <w:rPr>
          <w:rFonts w:ascii="宋体" w:hAnsi="宋体"/>
          <w:snapToGrid w:val="0"/>
          <w:kern w:val="0"/>
          <w:szCs w:val="21"/>
        </w:rPr>
      </w:pPr>
      <w:r>
        <w:rPr>
          <w:rFonts w:ascii="宋体" w:hAnsi="宋体"/>
          <w:snapToGrid w:val="0"/>
          <w:kern w:val="0"/>
          <w:szCs w:val="21"/>
        </w:rPr>
        <w:t>地    址：</w:t>
      </w:r>
      <w:r>
        <w:rPr>
          <w:rFonts w:hint="eastAsia" w:ascii="宋体" w:hAnsi="宋体"/>
          <w:color w:val="auto"/>
          <w:kern w:val="0"/>
          <w:szCs w:val="21"/>
          <w:highlight w:val="none"/>
          <w:u w:val="single"/>
          <w:lang w:val="en-US" w:eastAsia="zh-CN"/>
        </w:rPr>
        <w:t>重庆市渝中区长滨路芭蕉园1号</w:t>
      </w:r>
      <w:r>
        <w:rPr>
          <w:rFonts w:ascii="宋体" w:hAnsi="宋体"/>
          <w:snapToGrid w:val="0"/>
          <w:kern w:val="0"/>
          <w:szCs w:val="21"/>
          <w:u w:val="single"/>
        </w:rPr>
        <w:t xml:space="preserve">  </w:t>
      </w:r>
      <w:r>
        <w:rPr>
          <w:rFonts w:ascii="宋体" w:hAnsi="宋体"/>
          <w:snapToGrid w:val="0"/>
          <w:kern w:val="0"/>
          <w:szCs w:val="21"/>
        </w:rPr>
        <w:t xml:space="preserve">   </w:t>
      </w:r>
      <w:r>
        <w:rPr>
          <w:rFonts w:hint="eastAsia" w:ascii="宋体" w:hAnsi="宋体"/>
          <w:snapToGrid w:val="0"/>
          <w:kern w:val="0"/>
          <w:szCs w:val="21"/>
          <w:lang w:val="en-US" w:eastAsia="zh-CN"/>
        </w:rPr>
        <w:t xml:space="preserve"> </w:t>
      </w:r>
      <w:r>
        <w:rPr>
          <w:rFonts w:ascii="宋体" w:hAnsi="宋体"/>
          <w:snapToGrid w:val="0"/>
          <w:kern w:val="0"/>
          <w:szCs w:val="21"/>
        </w:rPr>
        <w:t xml:space="preserve"> 地    址：</w:t>
      </w:r>
      <w:r>
        <w:rPr>
          <w:rFonts w:hint="eastAsia" w:ascii="宋体" w:hAnsi="宋体"/>
          <w:color w:val="auto"/>
          <w:kern w:val="0"/>
          <w:szCs w:val="21"/>
          <w:highlight w:val="none"/>
          <w:u w:val="single"/>
        </w:rPr>
        <w:t>重庆市渝北区华宇北城中央B区1栋6-21</w:t>
      </w:r>
      <w:r>
        <w:rPr>
          <w:rFonts w:ascii="宋体" w:hAnsi="宋体"/>
          <w:snapToGrid w:val="0"/>
          <w:kern w:val="0"/>
          <w:position w:val="-3"/>
          <w:szCs w:val="21"/>
          <w:u w:val="single"/>
        </w:rPr>
        <w:t xml:space="preserve">      </w:t>
      </w:r>
    </w:p>
    <w:p>
      <w:pPr>
        <w:tabs>
          <w:tab w:val="left" w:pos="5140"/>
          <w:tab w:val="left" w:pos="8420"/>
        </w:tabs>
        <w:autoSpaceDE w:val="0"/>
        <w:autoSpaceDN w:val="0"/>
        <w:adjustRightInd w:val="0"/>
        <w:snapToGrid w:val="0"/>
        <w:spacing w:line="450" w:lineRule="exact"/>
        <w:ind w:firstLine="420" w:firstLineChars="200"/>
        <w:jc w:val="left"/>
        <w:rPr>
          <w:rFonts w:ascii="宋体" w:hAnsi="宋体"/>
          <w:snapToGrid w:val="0"/>
          <w:kern w:val="0"/>
          <w:szCs w:val="21"/>
        </w:rPr>
      </w:pPr>
      <w:r>
        <w:rPr>
          <w:rFonts w:ascii="宋体" w:hAnsi="宋体"/>
          <w:snapToGrid w:val="0"/>
          <w:kern w:val="0"/>
          <w:szCs w:val="21"/>
        </w:rPr>
        <w:t>联 系 人：</w:t>
      </w:r>
      <w:r>
        <w:rPr>
          <w:rFonts w:ascii="宋体" w:hAnsi="宋体"/>
          <w:snapToGrid w:val="0"/>
          <w:kern w:val="0"/>
          <w:szCs w:val="21"/>
          <w:u w:val="single"/>
        </w:rPr>
        <w:t xml:space="preserve">        </w:t>
      </w:r>
      <w:r>
        <w:rPr>
          <w:rFonts w:hint="eastAsia" w:ascii="宋体" w:hAnsi="宋体"/>
          <w:snapToGrid w:val="0"/>
          <w:kern w:val="0"/>
          <w:szCs w:val="21"/>
          <w:u w:val="single"/>
        </w:rPr>
        <w:t>彭</w:t>
      </w:r>
      <w:r>
        <w:rPr>
          <w:rFonts w:hint="eastAsia" w:ascii="宋体" w:hAnsi="宋体"/>
          <w:snapToGrid w:val="0"/>
          <w:kern w:val="0"/>
          <w:szCs w:val="21"/>
          <w:u w:val="single"/>
          <w:lang w:val="en-US" w:eastAsia="zh-CN"/>
        </w:rPr>
        <w:t>女士</w:t>
      </w:r>
      <w:r>
        <w:rPr>
          <w:rFonts w:ascii="宋体" w:hAnsi="宋体"/>
          <w:snapToGrid w:val="0"/>
          <w:kern w:val="0"/>
          <w:szCs w:val="21"/>
          <w:u w:val="single"/>
        </w:rPr>
        <w:t xml:space="preserve">              </w:t>
      </w:r>
      <w:r>
        <w:rPr>
          <w:rFonts w:ascii="宋体" w:hAnsi="宋体"/>
          <w:snapToGrid w:val="0"/>
          <w:kern w:val="0"/>
          <w:szCs w:val="21"/>
        </w:rPr>
        <w:t xml:space="preserve">     联 系 人：</w:t>
      </w:r>
      <w:r>
        <w:rPr>
          <w:rFonts w:ascii="宋体" w:hAnsi="宋体"/>
          <w:snapToGrid w:val="0"/>
          <w:kern w:val="0"/>
          <w:szCs w:val="21"/>
          <w:u w:val="single"/>
        </w:rPr>
        <w:t xml:space="preserve">            </w:t>
      </w:r>
      <w:r>
        <w:rPr>
          <w:rFonts w:hint="eastAsia" w:ascii="宋体" w:hAnsi="宋体"/>
          <w:snapToGrid w:val="0"/>
          <w:kern w:val="0"/>
          <w:szCs w:val="21"/>
          <w:u w:val="single"/>
          <w:lang w:val="en-US" w:eastAsia="zh-CN"/>
        </w:rPr>
        <w:t>陶女士</w:t>
      </w:r>
      <w:r>
        <w:rPr>
          <w:rFonts w:ascii="宋体" w:hAnsi="宋体"/>
          <w:snapToGrid w:val="0"/>
          <w:kern w:val="0"/>
          <w:szCs w:val="21"/>
          <w:u w:val="single"/>
        </w:rPr>
        <w:t xml:space="preserve">                </w:t>
      </w:r>
    </w:p>
    <w:p>
      <w:pPr>
        <w:tabs>
          <w:tab w:val="left" w:pos="5140"/>
          <w:tab w:val="left" w:pos="8420"/>
        </w:tabs>
        <w:autoSpaceDE w:val="0"/>
        <w:autoSpaceDN w:val="0"/>
        <w:adjustRightInd w:val="0"/>
        <w:snapToGrid w:val="0"/>
        <w:spacing w:line="450" w:lineRule="exact"/>
        <w:ind w:firstLine="420" w:firstLineChars="200"/>
        <w:jc w:val="left"/>
        <w:rPr>
          <w:rFonts w:ascii="宋体" w:hAnsi="宋体"/>
          <w:snapToGrid w:val="0"/>
          <w:kern w:val="0"/>
          <w:szCs w:val="21"/>
        </w:rPr>
      </w:pPr>
      <w:r>
        <w:rPr>
          <w:rFonts w:ascii="宋体" w:hAnsi="宋体"/>
          <w:snapToGrid w:val="0"/>
          <w:kern w:val="0"/>
          <w:szCs w:val="21"/>
        </w:rPr>
        <w:t>电    话：</w:t>
      </w:r>
      <w:r>
        <w:rPr>
          <w:rFonts w:ascii="宋体" w:hAnsi="宋体"/>
          <w:snapToGrid w:val="0"/>
          <w:kern w:val="0"/>
          <w:szCs w:val="21"/>
          <w:u w:val="single"/>
        </w:rPr>
        <w:t xml:space="preserve">      </w:t>
      </w:r>
      <w:r>
        <w:rPr>
          <w:rFonts w:hint="eastAsia" w:ascii="宋体" w:hAnsi="宋体"/>
          <w:snapToGrid w:val="0"/>
          <w:kern w:val="0"/>
          <w:szCs w:val="21"/>
          <w:u w:val="single"/>
        </w:rPr>
        <w:t xml:space="preserve">023-63930544 </w:t>
      </w:r>
      <w:r>
        <w:rPr>
          <w:rFonts w:ascii="宋体" w:hAnsi="宋体"/>
          <w:snapToGrid w:val="0"/>
          <w:kern w:val="0"/>
          <w:szCs w:val="21"/>
          <w:u w:val="single"/>
        </w:rPr>
        <w:t xml:space="preserve">         </w:t>
      </w:r>
      <w:r>
        <w:rPr>
          <w:rFonts w:ascii="宋体" w:hAnsi="宋体"/>
          <w:snapToGrid w:val="0"/>
          <w:kern w:val="0"/>
          <w:szCs w:val="21"/>
        </w:rPr>
        <w:t xml:space="preserve">    </w:t>
      </w:r>
      <w:r>
        <w:rPr>
          <w:rFonts w:hint="eastAsia" w:ascii="宋体" w:hAnsi="宋体"/>
          <w:snapToGrid w:val="0"/>
          <w:kern w:val="0"/>
          <w:szCs w:val="21"/>
          <w:lang w:val="en-US" w:eastAsia="zh-CN"/>
        </w:rPr>
        <w:t xml:space="preserve"> </w:t>
      </w:r>
      <w:r>
        <w:rPr>
          <w:rFonts w:ascii="宋体" w:hAnsi="宋体"/>
          <w:snapToGrid w:val="0"/>
          <w:kern w:val="0"/>
          <w:szCs w:val="21"/>
        </w:rPr>
        <w:t>电    话：</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r>
        <w:rPr>
          <w:rFonts w:hint="eastAsia" w:ascii="宋体" w:hAnsi="宋体"/>
          <w:snapToGrid w:val="0"/>
          <w:kern w:val="0"/>
          <w:szCs w:val="21"/>
          <w:u w:val="single"/>
          <w:lang w:val="en-US" w:eastAsia="zh-CN"/>
        </w:rPr>
        <w:t xml:space="preserve">  </w:t>
      </w:r>
      <w:r>
        <w:rPr>
          <w:rFonts w:hint="eastAsia" w:ascii="宋体" w:hAnsi="宋体"/>
          <w:snapToGrid w:val="0"/>
          <w:kern w:val="0"/>
          <w:szCs w:val="21"/>
          <w:u w:val="single"/>
        </w:rPr>
        <w:t xml:space="preserve"> 023-63360233</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p>
    <w:p>
      <w:pPr>
        <w:tabs>
          <w:tab w:val="left" w:pos="5140"/>
          <w:tab w:val="left" w:pos="8420"/>
        </w:tabs>
        <w:autoSpaceDE w:val="0"/>
        <w:autoSpaceDN w:val="0"/>
        <w:adjustRightInd w:val="0"/>
        <w:snapToGrid w:val="0"/>
        <w:spacing w:line="400" w:lineRule="exact"/>
        <w:jc w:val="left"/>
        <w:rPr>
          <w:rFonts w:ascii="宋体" w:hAnsi="宋体"/>
          <w:snapToGrid w:val="0"/>
          <w:kern w:val="0"/>
          <w:szCs w:val="21"/>
          <w:u w:val="single"/>
        </w:rPr>
      </w:pPr>
    </w:p>
    <w:p>
      <w:pPr>
        <w:autoSpaceDE w:val="0"/>
        <w:autoSpaceDN w:val="0"/>
        <w:adjustRightInd w:val="0"/>
        <w:snapToGrid w:val="0"/>
        <w:spacing w:line="440" w:lineRule="exact"/>
        <w:ind w:firstLine="3906" w:firstLineChars="1860"/>
        <w:jc w:val="right"/>
        <w:rPr>
          <w:rFonts w:ascii="宋体" w:hAnsi="宋体"/>
          <w:snapToGrid w:val="0"/>
          <w:kern w:val="0"/>
          <w:sz w:val="20"/>
          <w:szCs w:val="20"/>
        </w:rPr>
      </w:pPr>
      <w:r>
        <w:rPr>
          <w:rFonts w:hint="eastAsia" w:ascii="宋体" w:hAnsi="宋体"/>
          <w:snapToGrid w:val="0"/>
          <w:kern w:val="0"/>
          <w:szCs w:val="21"/>
          <w:u w:val="single"/>
        </w:rPr>
        <w:t>2022</w:t>
      </w:r>
      <w:r>
        <w:rPr>
          <w:rFonts w:ascii="宋体" w:hAnsi="宋体"/>
          <w:snapToGrid w:val="0"/>
          <w:kern w:val="0"/>
          <w:szCs w:val="21"/>
        </w:rPr>
        <w:t>年</w:t>
      </w:r>
      <w:r>
        <w:rPr>
          <w:rFonts w:hint="eastAsia" w:ascii="宋体" w:hAnsi="宋体"/>
          <w:snapToGrid w:val="0"/>
          <w:kern w:val="0"/>
          <w:szCs w:val="21"/>
          <w:u w:val="single"/>
          <w:lang w:val="en-US" w:eastAsia="zh-CN"/>
        </w:rPr>
        <w:t>8</w:t>
      </w:r>
      <w:r>
        <w:rPr>
          <w:rFonts w:ascii="宋体" w:hAnsi="宋体"/>
          <w:snapToGrid w:val="0"/>
          <w:kern w:val="0"/>
          <w:szCs w:val="21"/>
        </w:rPr>
        <w:t>月</w:t>
      </w:r>
      <w:r>
        <w:rPr>
          <w:rFonts w:hint="eastAsia" w:ascii="宋体" w:hAnsi="宋体"/>
          <w:snapToGrid w:val="0"/>
          <w:kern w:val="0"/>
          <w:szCs w:val="21"/>
          <w:u w:val="single"/>
          <w:lang w:val="en-US" w:eastAsia="zh-CN"/>
        </w:rPr>
        <w:t>4</w:t>
      </w:r>
      <w:r>
        <w:rPr>
          <w:rFonts w:ascii="宋体" w:hAnsi="宋体"/>
          <w:snapToGrid w:val="0"/>
          <w:kern w:val="0"/>
          <w:szCs w:val="21"/>
        </w:rPr>
        <w:t>日</w:t>
      </w:r>
      <w:r>
        <w:rPr>
          <w:rFonts w:hint="eastAsia" w:ascii="宋体" w:hAnsi="宋体"/>
          <w:snapToGrid w:val="0"/>
          <w:kern w:val="0"/>
          <w:szCs w:val="21"/>
        </w:rPr>
        <w:t xml:space="preserve">  </w:t>
      </w:r>
    </w:p>
    <w:p>
      <w:pPr>
        <w:pStyle w:val="3"/>
        <w:spacing w:before="0" w:after="0" w:line="200" w:lineRule="exact"/>
        <w:jc w:val="center"/>
        <w:rPr>
          <w:rFonts w:ascii="宋体" w:hAnsi="宋体"/>
          <w:snapToGrid w:val="0"/>
          <w:kern w:val="0"/>
          <w:szCs w:val="21"/>
        </w:rPr>
      </w:pPr>
      <w:r>
        <w:rPr>
          <w:rFonts w:ascii="宋体" w:hAnsi="宋体"/>
          <w:snapToGrid w:val="0"/>
          <w:kern w:val="0"/>
          <w:szCs w:val="21"/>
        </w:rPr>
        <w:br w:type="page"/>
      </w:r>
      <w:bookmarkStart w:id="110" w:name="_Toc287607735"/>
      <w:bookmarkStart w:id="111" w:name="_Toc287620674"/>
      <w:bookmarkStart w:id="112" w:name="_Toc224103306"/>
      <w:bookmarkStart w:id="113" w:name="_Toc430530423"/>
    </w:p>
    <w:bookmarkEnd w:id="110"/>
    <w:bookmarkEnd w:id="111"/>
    <w:bookmarkEnd w:id="112"/>
    <w:bookmarkEnd w:id="113"/>
    <w:p>
      <w:pPr>
        <w:pStyle w:val="3"/>
        <w:spacing w:line="360" w:lineRule="auto"/>
        <w:jc w:val="center"/>
        <w:rPr>
          <w:rFonts w:ascii="宋体" w:hAnsi="宋体"/>
          <w:bCs w:val="0"/>
          <w:snapToGrid w:val="0"/>
          <w:kern w:val="0"/>
        </w:rPr>
      </w:pPr>
      <w:bookmarkStart w:id="114" w:name="_Toc430530432"/>
      <w:bookmarkStart w:id="115" w:name="_Toc13694"/>
      <w:bookmarkStart w:id="116" w:name="_Toc28462"/>
      <w:bookmarkStart w:id="117" w:name="_Toc287620683"/>
      <w:bookmarkStart w:id="118" w:name="_Toc5363"/>
      <w:bookmarkStart w:id="119" w:name="_Toc16951"/>
      <w:bookmarkStart w:id="120" w:name="_Toc224103315"/>
      <w:bookmarkStart w:id="121" w:name="_Toc287607744"/>
      <w:bookmarkStart w:id="122" w:name="_Toc4142"/>
      <w:r>
        <w:rPr>
          <w:rFonts w:ascii="宋体" w:hAnsi="宋体"/>
          <w:snapToGrid w:val="0"/>
          <w:kern w:val="0"/>
        </w:rPr>
        <w:t xml:space="preserve">第二章  </w:t>
      </w:r>
      <w:r>
        <w:rPr>
          <w:rFonts w:hint="eastAsia" w:ascii="宋体" w:hAnsi="宋体"/>
          <w:snapToGrid w:val="0"/>
          <w:kern w:val="0"/>
          <w:lang w:eastAsia="zh-CN"/>
        </w:rPr>
        <w:t>竞标</w:t>
      </w:r>
      <w:r>
        <w:rPr>
          <w:rFonts w:ascii="宋体" w:hAnsi="宋体"/>
          <w:snapToGrid w:val="0"/>
          <w:kern w:val="0"/>
        </w:rPr>
        <w:t>人须知</w:t>
      </w:r>
      <w:bookmarkEnd w:id="114"/>
      <w:bookmarkEnd w:id="115"/>
      <w:bookmarkEnd w:id="116"/>
      <w:bookmarkEnd w:id="117"/>
      <w:bookmarkEnd w:id="118"/>
      <w:bookmarkEnd w:id="119"/>
      <w:bookmarkEnd w:id="120"/>
      <w:bookmarkEnd w:id="121"/>
      <w:bookmarkEnd w:id="122"/>
      <w:bookmarkStart w:id="123" w:name="_Toc430530433"/>
      <w:bookmarkStart w:id="124" w:name="_Toc224103316"/>
      <w:bookmarkStart w:id="125" w:name="_Toc287607745"/>
      <w:bookmarkStart w:id="126" w:name="_Toc287620684"/>
      <w:bookmarkStart w:id="127" w:name="_Toc277082551"/>
    </w:p>
    <w:p>
      <w:pPr>
        <w:pStyle w:val="4"/>
        <w:spacing w:before="100" w:after="100" w:line="360" w:lineRule="auto"/>
        <w:rPr>
          <w:rFonts w:ascii="宋体" w:hAnsi="宋体"/>
        </w:rPr>
      </w:pPr>
      <w:bookmarkStart w:id="128" w:name="_Toc7549"/>
      <w:bookmarkStart w:id="129" w:name="_Toc18456"/>
      <w:bookmarkStart w:id="130" w:name="_Toc21527"/>
      <w:bookmarkStart w:id="131" w:name="_Toc24348"/>
      <w:bookmarkStart w:id="132" w:name="_Toc509218708"/>
      <w:bookmarkStart w:id="133" w:name="_Toc11820"/>
      <w:r>
        <w:rPr>
          <w:rFonts w:hint="eastAsia" w:ascii="宋体" w:hAnsi="宋体"/>
          <w:lang w:eastAsia="zh-CN"/>
        </w:rPr>
        <w:t>竞标</w:t>
      </w:r>
      <w:r>
        <w:rPr>
          <w:rFonts w:hint="eastAsia" w:ascii="宋体" w:hAnsi="宋体"/>
        </w:rPr>
        <w:t>人须知前附表</w:t>
      </w:r>
      <w:bookmarkEnd w:id="123"/>
      <w:bookmarkEnd w:id="124"/>
      <w:bookmarkEnd w:id="125"/>
      <w:bookmarkEnd w:id="126"/>
      <w:bookmarkEnd w:id="127"/>
      <w:bookmarkEnd w:id="128"/>
      <w:bookmarkEnd w:id="129"/>
      <w:bookmarkEnd w:id="130"/>
      <w:bookmarkEnd w:id="131"/>
      <w:bookmarkEnd w:id="132"/>
      <w:bookmarkEnd w:id="133"/>
    </w:p>
    <w:p>
      <w:pPr>
        <w:spacing w:line="360" w:lineRule="auto"/>
        <w:rPr>
          <w:rFonts w:ascii="宋体" w:hAnsi="宋体"/>
          <w:szCs w:val="21"/>
        </w:rPr>
      </w:pPr>
      <w:r>
        <w:rPr>
          <w:rFonts w:ascii="宋体" w:hAnsi="宋体"/>
          <w:szCs w:val="21"/>
        </w:rPr>
        <w:t>正文内容不允许修改。若</w:t>
      </w:r>
      <w:r>
        <w:rPr>
          <w:rFonts w:hint="eastAsia" w:ascii="宋体" w:hAnsi="宋体"/>
          <w:szCs w:val="21"/>
          <w:lang w:eastAsia="zh-CN"/>
        </w:rPr>
        <w:t>竞标</w:t>
      </w:r>
      <w:r>
        <w:rPr>
          <w:rFonts w:ascii="宋体" w:hAnsi="宋体"/>
          <w:szCs w:val="21"/>
        </w:rPr>
        <w:t>人须知前附表与正文不一致的地方，以</w:t>
      </w:r>
      <w:r>
        <w:rPr>
          <w:rFonts w:hint="eastAsia" w:ascii="宋体" w:hAnsi="宋体"/>
          <w:szCs w:val="21"/>
          <w:lang w:eastAsia="zh-CN"/>
        </w:rPr>
        <w:t>竞标</w:t>
      </w:r>
      <w:r>
        <w:rPr>
          <w:rFonts w:ascii="宋体" w:hAnsi="宋体"/>
          <w:szCs w:val="21"/>
        </w:rPr>
        <w:t>人须知前附表为准。</w:t>
      </w:r>
    </w:p>
    <w:tbl>
      <w:tblPr>
        <w:tblStyle w:val="45"/>
        <w:tblW w:w="946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35"/>
        <w:gridCol w:w="1644"/>
        <w:gridCol w:w="649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335" w:type="dxa"/>
            <w:vAlign w:val="center"/>
          </w:tcPr>
          <w:p>
            <w:pPr>
              <w:keepNext w:val="0"/>
              <w:keepLines w:val="0"/>
              <w:pageBreakBefore w:val="0"/>
              <w:kinsoku/>
              <w:overflowPunct/>
              <w:bidi w:val="0"/>
              <w:snapToGrid w:val="0"/>
              <w:spacing w:line="400" w:lineRule="exact"/>
              <w:jc w:val="center"/>
              <w:textAlignment w:val="auto"/>
              <w:rPr>
                <w:rFonts w:ascii="宋体" w:hAnsi="宋体"/>
                <w:b/>
                <w:kern w:val="0"/>
                <w:szCs w:val="21"/>
              </w:rPr>
            </w:pPr>
            <w:r>
              <w:rPr>
                <w:rFonts w:ascii="宋体" w:hAnsi="宋体"/>
                <w:b/>
                <w:kern w:val="0"/>
                <w:szCs w:val="21"/>
              </w:rPr>
              <w:t>条 款 号</w:t>
            </w:r>
          </w:p>
        </w:tc>
        <w:tc>
          <w:tcPr>
            <w:tcW w:w="1644" w:type="dxa"/>
            <w:vAlign w:val="center"/>
          </w:tcPr>
          <w:p>
            <w:pPr>
              <w:keepNext w:val="0"/>
              <w:keepLines w:val="0"/>
              <w:pageBreakBefore w:val="0"/>
              <w:kinsoku/>
              <w:overflowPunct/>
              <w:bidi w:val="0"/>
              <w:snapToGrid w:val="0"/>
              <w:spacing w:line="400" w:lineRule="exact"/>
              <w:jc w:val="center"/>
              <w:textAlignment w:val="auto"/>
              <w:rPr>
                <w:rFonts w:ascii="宋体" w:hAnsi="宋体"/>
                <w:b/>
                <w:kern w:val="0"/>
                <w:szCs w:val="21"/>
              </w:rPr>
            </w:pPr>
            <w:r>
              <w:rPr>
                <w:rFonts w:ascii="宋体" w:hAnsi="宋体"/>
                <w:b/>
                <w:kern w:val="0"/>
                <w:szCs w:val="21"/>
              </w:rPr>
              <w:t>条款名称</w:t>
            </w:r>
          </w:p>
        </w:tc>
        <w:tc>
          <w:tcPr>
            <w:tcW w:w="6490" w:type="dxa"/>
            <w:vAlign w:val="center"/>
          </w:tcPr>
          <w:p>
            <w:pPr>
              <w:keepNext w:val="0"/>
              <w:keepLines w:val="0"/>
              <w:pageBreakBefore w:val="0"/>
              <w:kinsoku/>
              <w:overflowPunct/>
              <w:bidi w:val="0"/>
              <w:snapToGrid w:val="0"/>
              <w:spacing w:line="400" w:lineRule="exact"/>
              <w:jc w:val="center"/>
              <w:textAlignment w:val="auto"/>
              <w:rPr>
                <w:rFonts w:ascii="宋体" w:hAnsi="宋体"/>
                <w:b/>
                <w:kern w:val="0"/>
                <w:szCs w:val="21"/>
              </w:rPr>
            </w:pPr>
            <w:r>
              <w:rPr>
                <w:rFonts w:ascii="宋体" w:hAnsi="宋体"/>
                <w:b/>
                <w:kern w:val="0"/>
                <w:szCs w:val="21"/>
              </w:rPr>
              <w:t>编  列  内  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keepNext w:val="0"/>
              <w:keepLines w:val="0"/>
              <w:pageBreakBefore w:val="0"/>
              <w:kinsoku/>
              <w:overflowPunct/>
              <w:bidi w:val="0"/>
              <w:snapToGrid w:val="0"/>
              <w:spacing w:line="400" w:lineRule="exact"/>
              <w:jc w:val="center"/>
              <w:textAlignment w:val="auto"/>
              <w:rPr>
                <w:rFonts w:ascii="宋体" w:hAnsi="宋体"/>
                <w:kern w:val="0"/>
                <w:szCs w:val="21"/>
              </w:rPr>
            </w:pPr>
            <w:r>
              <w:rPr>
                <w:rFonts w:ascii="宋体" w:hAnsi="宋体"/>
                <w:kern w:val="0"/>
                <w:szCs w:val="21"/>
              </w:rPr>
              <w:t>1.1.2</w:t>
            </w:r>
          </w:p>
        </w:tc>
        <w:tc>
          <w:tcPr>
            <w:tcW w:w="1644" w:type="dxa"/>
            <w:vAlign w:val="center"/>
          </w:tcPr>
          <w:p>
            <w:pPr>
              <w:keepNext w:val="0"/>
              <w:keepLines w:val="0"/>
              <w:pageBreakBefore w:val="0"/>
              <w:kinsoku/>
              <w:overflowPunct/>
              <w:bidi w:val="0"/>
              <w:snapToGrid w:val="0"/>
              <w:spacing w:line="400" w:lineRule="exact"/>
              <w:jc w:val="center"/>
              <w:textAlignment w:val="auto"/>
              <w:rPr>
                <w:rFonts w:ascii="宋体" w:hAnsi="宋体"/>
                <w:kern w:val="0"/>
                <w:szCs w:val="21"/>
              </w:rPr>
            </w:pPr>
            <w:r>
              <w:rPr>
                <w:rFonts w:hint="eastAsia" w:ascii="宋体" w:hAnsi="宋体"/>
                <w:kern w:val="0"/>
                <w:szCs w:val="21"/>
              </w:rPr>
              <w:t>比选</w:t>
            </w:r>
            <w:r>
              <w:rPr>
                <w:rFonts w:ascii="宋体" w:hAnsi="宋体"/>
                <w:kern w:val="0"/>
                <w:szCs w:val="21"/>
              </w:rPr>
              <w:t>人</w:t>
            </w:r>
          </w:p>
        </w:tc>
        <w:tc>
          <w:tcPr>
            <w:tcW w:w="6490" w:type="dxa"/>
            <w:vAlign w:val="center"/>
          </w:tcPr>
          <w:p>
            <w:pPr>
              <w:keepNext w:val="0"/>
              <w:keepLines w:val="0"/>
              <w:pageBreakBefore w:val="0"/>
              <w:kinsoku/>
              <w:overflowPunct/>
              <w:bidi w:val="0"/>
              <w:snapToGrid w:val="0"/>
              <w:spacing w:line="400" w:lineRule="exact"/>
              <w:ind w:firstLine="420" w:firstLineChars="200"/>
              <w:jc w:val="left"/>
              <w:textAlignment w:val="auto"/>
              <w:rPr>
                <w:rFonts w:ascii="宋体" w:hAnsi="宋体"/>
                <w:kern w:val="0"/>
                <w:szCs w:val="21"/>
              </w:rPr>
            </w:pPr>
            <w:r>
              <w:rPr>
                <w:rFonts w:ascii="宋体" w:hAnsi="宋体"/>
                <w:kern w:val="0"/>
                <w:szCs w:val="21"/>
              </w:rPr>
              <w:t>名称：</w:t>
            </w:r>
            <w:r>
              <w:rPr>
                <w:rFonts w:hint="eastAsia" w:ascii="宋体" w:hAnsi="宋体"/>
                <w:snapToGrid w:val="0"/>
                <w:kern w:val="0"/>
                <w:szCs w:val="21"/>
              </w:rPr>
              <w:t>重庆渝中母城文化发展有限公司</w:t>
            </w:r>
          </w:p>
          <w:p>
            <w:pPr>
              <w:keepNext w:val="0"/>
              <w:keepLines w:val="0"/>
              <w:pageBreakBefore w:val="0"/>
              <w:kinsoku/>
              <w:overflowPunct/>
              <w:bidi w:val="0"/>
              <w:snapToGrid w:val="0"/>
              <w:spacing w:line="400" w:lineRule="exact"/>
              <w:ind w:firstLine="420" w:firstLineChars="200"/>
              <w:jc w:val="left"/>
              <w:textAlignment w:val="auto"/>
              <w:rPr>
                <w:rFonts w:ascii="宋体" w:hAnsi="宋体"/>
                <w:kern w:val="0"/>
                <w:szCs w:val="21"/>
              </w:rPr>
            </w:pPr>
            <w:r>
              <w:rPr>
                <w:rFonts w:ascii="宋体" w:hAnsi="宋体"/>
                <w:kern w:val="0"/>
                <w:szCs w:val="21"/>
              </w:rPr>
              <w:t>地址：</w:t>
            </w:r>
            <w:r>
              <w:rPr>
                <w:rFonts w:hint="eastAsia" w:ascii="宋体" w:hAnsi="宋体"/>
                <w:color w:val="auto"/>
                <w:kern w:val="0"/>
                <w:szCs w:val="21"/>
                <w:highlight w:val="none"/>
                <w:lang w:val="en-US" w:eastAsia="zh-CN"/>
              </w:rPr>
              <w:t>重庆市渝中区长滨路芭蕉园1号</w:t>
            </w:r>
          </w:p>
          <w:p>
            <w:pPr>
              <w:keepNext w:val="0"/>
              <w:keepLines w:val="0"/>
              <w:pageBreakBefore w:val="0"/>
              <w:kinsoku/>
              <w:overflowPunct/>
              <w:bidi w:val="0"/>
              <w:snapToGrid w:val="0"/>
              <w:spacing w:line="400" w:lineRule="exact"/>
              <w:ind w:firstLine="420" w:firstLineChars="200"/>
              <w:jc w:val="left"/>
              <w:textAlignment w:val="auto"/>
              <w:rPr>
                <w:rFonts w:ascii="宋体" w:hAnsi="宋体"/>
                <w:kern w:val="0"/>
                <w:szCs w:val="21"/>
              </w:rPr>
            </w:pPr>
            <w:r>
              <w:rPr>
                <w:rFonts w:ascii="宋体" w:hAnsi="宋体"/>
                <w:kern w:val="0"/>
                <w:szCs w:val="21"/>
              </w:rPr>
              <w:t>联系人：</w:t>
            </w:r>
            <w:r>
              <w:rPr>
                <w:rFonts w:hint="eastAsia" w:ascii="宋体" w:hAnsi="宋体"/>
                <w:snapToGrid w:val="0"/>
                <w:kern w:val="0"/>
                <w:szCs w:val="21"/>
              </w:rPr>
              <w:t>彭娟</w:t>
            </w:r>
          </w:p>
          <w:p>
            <w:pPr>
              <w:keepNext w:val="0"/>
              <w:keepLines w:val="0"/>
              <w:pageBreakBefore w:val="0"/>
              <w:kinsoku/>
              <w:overflowPunct/>
              <w:bidi w:val="0"/>
              <w:snapToGrid w:val="0"/>
              <w:spacing w:line="400" w:lineRule="exact"/>
              <w:ind w:firstLine="420" w:firstLineChars="200"/>
              <w:jc w:val="left"/>
              <w:textAlignment w:val="auto"/>
              <w:rPr>
                <w:rFonts w:ascii="宋体" w:hAnsi="宋体"/>
                <w:kern w:val="0"/>
                <w:szCs w:val="21"/>
              </w:rPr>
            </w:pPr>
            <w:r>
              <w:rPr>
                <w:rFonts w:ascii="宋体" w:hAnsi="宋体"/>
                <w:kern w:val="0"/>
                <w:szCs w:val="21"/>
              </w:rPr>
              <w:t>电话：</w:t>
            </w:r>
            <w:r>
              <w:rPr>
                <w:rFonts w:hint="eastAsia" w:ascii="宋体" w:hAnsi="宋体"/>
                <w:snapToGrid w:val="0"/>
                <w:kern w:val="0"/>
                <w:szCs w:val="21"/>
              </w:rPr>
              <w:t>023-63930544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keepNext w:val="0"/>
              <w:keepLines w:val="0"/>
              <w:pageBreakBefore w:val="0"/>
              <w:kinsoku/>
              <w:overflowPunct/>
              <w:bidi w:val="0"/>
              <w:snapToGrid w:val="0"/>
              <w:spacing w:line="400" w:lineRule="exact"/>
              <w:jc w:val="center"/>
              <w:textAlignment w:val="auto"/>
              <w:rPr>
                <w:rFonts w:ascii="宋体" w:hAnsi="宋体"/>
                <w:kern w:val="0"/>
                <w:szCs w:val="21"/>
              </w:rPr>
            </w:pPr>
            <w:r>
              <w:rPr>
                <w:rFonts w:ascii="宋体" w:hAnsi="宋体"/>
                <w:kern w:val="0"/>
                <w:szCs w:val="21"/>
              </w:rPr>
              <w:t>1.1.3</w:t>
            </w:r>
          </w:p>
        </w:tc>
        <w:tc>
          <w:tcPr>
            <w:tcW w:w="1644" w:type="dxa"/>
            <w:vAlign w:val="center"/>
          </w:tcPr>
          <w:p>
            <w:pPr>
              <w:keepNext w:val="0"/>
              <w:keepLines w:val="0"/>
              <w:pageBreakBefore w:val="0"/>
              <w:kinsoku/>
              <w:overflowPunct/>
              <w:bidi w:val="0"/>
              <w:snapToGrid w:val="0"/>
              <w:spacing w:line="400" w:lineRule="exact"/>
              <w:jc w:val="center"/>
              <w:textAlignment w:val="auto"/>
              <w:rPr>
                <w:rFonts w:ascii="宋体" w:hAnsi="宋体"/>
                <w:kern w:val="0"/>
                <w:szCs w:val="21"/>
              </w:rPr>
            </w:pPr>
            <w:r>
              <w:rPr>
                <w:rFonts w:hint="eastAsia" w:ascii="宋体" w:hAnsi="宋体"/>
                <w:kern w:val="0"/>
                <w:szCs w:val="21"/>
              </w:rPr>
              <w:t>比选</w:t>
            </w:r>
            <w:r>
              <w:rPr>
                <w:rFonts w:ascii="宋体" w:hAnsi="宋体"/>
                <w:kern w:val="0"/>
                <w:szCs w:val="21"/>
              </w:rPr>
              <w:t>代理机构</w:t>
            </w:r>
          </w:p>
        </w:tc>
        <w:tc>
          <w:tcPr>
            <w:tcW w:w="6490"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jc w:val="left"/>
              <w:textAlignment w:val="auto"/>
              <w:rPr>
                <w:rFonts w:hint="eastAsia" w:ascii="宋体" w:hAnsi="宋体" w:eastAsia="宋体"/>
                <w:kern w:val="0"/>
                <w:szCs w:val="21"/>
                <w:lang w:eastAsia="zh-CN"/>
              </w:rPr>
            </w:pPr>
            <w:r>
              <w:rPr>
                <w:rFonts w:ascii="宋体" w:hAnsi="宋体"/>
                <w:kern w:val="0"/>
                <w:szCs w:val="21"/>
              </w:rPr>
              <w:t>名称：</w:t>
            </w:r>
            <w:r>
              <w:rPr>
                <w:rFonts w:hint="eastAsia" w:ascii="宋体" w:hAnsi="宋体"/>
                <w:kern w:val="0"/>
                <w:szCs w:val="21"/>
                <w:lang w:eastAsia="zh-CN"/>
              </w:rPr>
              <w:t>永明项目管理有限公司</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jc w:val="left"/>
              <w:textAlignment w:val="auto"/>
              <w:rPr>
                <w:rFonts w:ascii="宋体" w:hAnsi="宋体"/>
                <w:kern w:val="0"/>
                <w:szCs w:val="21"/>
              </w:rPr>
            </w:pPr>
            <w:r>
              <w:rPr>
                <w:rFonts w:ascii="宋体" w:hAnsi="宋体"/>
                <w:kern w:val="0"/>
                <w:szCs w:val="21"/>
              </w:rPr>
              <w:t>地址：</w:t>
            </w:r>
            <w:r>
              <w:rPr>
                <w:rFonts w:hint="eastAsia" w:ascii="宋体" w:hAnsi="宋体"/>
                <w:color w:val="auto"/>
                <w:kern w:val="0"/>
                <w:szCs w:val="21"/>
                <w:highlight w:val="none"/>
              </w:rPr>
              <w:t>重庆市渝北区华宇北城中央B区1栋6-21</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jc w:val="left"/>
              <w:textAlignment w:val="auto"/>
              <w:rPr>
                <w:rFonts w:hint="eastAsia" w:ascii="宋体" w:hAnsi="宋体" w:eastAsia="宋体"/>
                <w:kern w:val="0"/>
                <w:szCs w:val="21"/>
                <w:lang w:eastAsia="zh-CN"/>
              </w:rPr>
            </w:pPr>
            <w:r>
              <w:rPr>
                <w:rFonts w:ascii="宋体" w:hAnsi="宋体"/>
                <w:kern w:val="0"/>
                <w:szCs w:val="21"/>
              </w:rPr>
              <w:t>联系人：</w:t>
            </w:r>
            <w:r>
              <w:rPr>
                <w:rFonts w:hint="eastAsia" w:ascii="宋体" w:hAnsi="宋体"/>
                <w:kern w:val="0"/>
                <w:szCs w:val="21"/>
                <w:lang w:val="en-US" w:eastAsia="zh-CN"/>
              </w:rPr>
              <w:t>陶女士</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jc w:val="left"/>
              <w:textAlignment w:val="auto"/>
              <w:rPr>
                <w:rFonts w:ascii="宋体" w:hAnsi="宋体"/>
                <w:kern w:val="0"/>
                <w:szCs w:val="21"/>
              </w:rPr>
            </w:pPr>
            <w:r>
              <w:rPr>
                <w:rFonts w:ascii="宋体" w:hAnsi="宋体"/>
                <w:kern w:val="0"/>
                <w:szCs w:val="21"/>
              </w:rPr>
              <w:t>电话：</w:t>
            </w:r>
            <w:r>
              <w:rPr>
                <w:rFonts w:hint="eastAsia" w:ascii="宋体" w:hAnsi="宋体"/>
                <w:color w:val="auto"/>
                <w:kern w:val="0"/>
                <w:szCs w:val="21"/>
                <w:highlight w:val="none"/>
              </w:rPr>
              <w:t>023-63360233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keepNext w:val="0"/>
              <w:keepLines w:val="0"/>
              <w:pageBreakBefore w:val="0"/>
              <w:kinsoku/>
              <w:overflowPunct/>
              <w:bidi w:val="0"/>
              <w:snapToGrid w:val="0"/>
              <w:spacing w:line="400" w:lineRule="exact"/>
              <w:jc w:val="center"/>
              <w:textAlignment w:val="auto"/>
              <w:rPr>
                <w:rFonts w:ascii="宋体" w:hAnsi="宋体"/>
                <w:kern w:val="0"/>
                <w:szCs w:val="21"/>
              </w:rPr>
            </w:pPr>
            <w:r>
              <w:rPr>
                <w:rFonts w:ascii="宋体" w:hAnsi="宋体"/>
                <w:kern w:val="0"/>
                <w:szCs w:val="21"/>
              </w:rPr>
              <w:t>1.1.4</w:t>
            </w:r>
          </w:p>
        </w:tc>
        <w:tc>
          <w:tcPr>
            <w:tcW w:w="1644" w:type="dxa"/>
            <w:vAlign w:val="center"/>
          </w:tcPr>
          <w:p>
            <w:pPr>
              <w:keepNext w:val="0"/>
              <w:keepLines w:val="0"/>
              <w:pageBreakBefore w:val="0"/>
              <w:kinsoku/>
              <w:overflowPunct/>
              <w:bidi w:val="0"/>
              <w:snapToGrid w:val="0"/>
              <w:spacing w:line="400" w:lineRule="exact"/>
              <w:jc w:val="center"/>
              <w:textAlignment w:val="auto"/>
              <w:rPr>
                <w:rFonts w:ascii="宋体" w:hAnsi="宋体"/>
                <w:kern w:val="0"/>
                <w:szCs w:val="21"/>
              </w:rPr>
            </w:pPr>
            <w:r>
              <w:rPr>
                <w:rFonts w:ascii="宋体" w:hAnsi="宋体"/>
                <w:kern w:val="0"/>
                <w:szCs w:val="21"/>
              </w:rPr>
              <w:t>项目名称</w:t>
            </w:r>
          </w:p>
        </w:tc>
        <w:tc>
          <w:tcPr>
            <w:tcW w:w="6490" w:type="dxa"/>
            <w:vAlign w:val="center"/>
          </w:tcPr>
          <w:p>
            <w:pPr>
              <w:keepNext w:val="0"/>
              <w:keepLines w:val="0"/>
              <w:pageBreakBefore w:val="0"/>
              <w:tabs>
                <w:tab w:val="left" w:pos="3840"/>
                <w:tab w:val="left" w:pos="5300"/>
              </w:tabs>
              <w:kinsoku/>
              <w:overflowPunct/>
              <w:autoSpaceDE w:val="0"/>
              <w:autoSpaceDN w:val="0"/>
              <w:bidi w:val="0"/>
              <w:adjustRightInd w:val="0"/>
              <w:snapToGrid w:val="0"/>
              <w:spacing w:line="400" w:lineRule="exact"/>
              <w:ind w:firstLine="420" w:firstLineChars="200"/>
              <w:jc w:val="left"/>
              <w:textAlignment w:val="auto"/>
              <w:rPr>
                <w:rFonts w:hint="eastAsia" w:ascii="宋体" w:hAnsi="宋体" w:eastAsia="宋体"/>
                <w:szCs w:val="21"/>
                <w:lang w:eastAsia="zh-CN"/>
              </w:rPr>
            </w:pPr>
            <w:r>
              <w:rPr>
                <w:rFonts w:hint="eastAsia" w:ascii="宋体" w:hAnsi="宋体" w:cs="宋体"/>
                <w:snapToGrid w:val="0"/>
                <w:kern w:val="0"/>
                <w:szCs w:val="21"/>
                <w:lang w:eastAsia="zh-CN"/>
              </w:rPr>
              <w:t>区属文物保养维护工程（6个文物点）（第二次）、区属文物保养维护工程（湖广会馆白蚁防治及保养维护）（第二次）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keepNext w:val="0"/>
              <w:keepLines w:val="0"/>
              <w:pageBreakBefore w:val="0"/>
              <w:kinsoku/>
              <w:overflowPunct/>
              <w:bidi w:val="0"/>
              <w:snapToGrid w:val="0"/>
              <w:spacing w:line="400" w:lineRule="exact"/>
              <w:jc w:val="center"/>
              <w:textAlignment w:val="auto"/>
              <w:rPr>
                <w:rFonts w:ascii="宋体" w:hAnsi="宋体"/>
                <w:kern w:val="0"/>
                <w:szCs w:val="21"/>
              </w:rPr>
            </w:pPr>
            <w:r>
              <w:rPr>
                <w:rFonts w:ascii="宋体" w:hAnsi="宋体"/>
                <w:kern w:val="0"/>
                <w:szCs w:val="21"/>
              </w:rPr>
              <w:t>1.1.5</w:t>
            </w:r>
          </w:p>
        </w:tc>
        <w:tc>
          <w:tcPr>
            <w:tcW w:w="1644" w:type="dxa"/>
            <w:vAlign w:val="center"/>
          </w:tcPr>
          <w:p>
            <w:pPr>
              <w:keepNext w:val="0"/>
              <w:keepLines w:val="0"/>
              <w:pageBreakBefore w:val="0"/>
              <w:kinsoku/>
              <w:overflowPunct/>
              <w:bidi w:val="0"/>
              <w:snapToGrid w:val="0"/>
              <w:spacing w:line="400" w:lineRule="exact"/>
              <w:jc w:val="center"/>
              <w:textAlignment w:val="auto"/>
              <w:rPr>
                <w:rFonts w:ascii="宋体" w:hAnsi="宋体"/>
                <w:kern w:val="0"/>
                <w:szCs w:val="21"/>
              </w:rPr>
            </w:pPr>
            <w:r>
              <w:rPr>
                <w:rFonts w:ascii="宋体" w:hAnsi="宋体"/>
                <w:kern w:val="0"/>
                <w:szCs w:val="21"/>
              </w:rPr>
              <w:t>建设地点</w:t>
            </w:r>
          </w:p>
        </w:tc>
        <w:tc>
          <w:tcPr>
            <w:tcW w:w="6490"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jc w:val="both"/>
              <w:textAlignment w:val="auto"/>
              <w:rPr>
                <w:rFonts w:ascii="宋体" w:hAnsi="宋体"/>
                <w:szCs w:val="21"/>
                <w:u w:val="none"/>
              </w:rPr>
            </w:pPr>
            <w:r>
              <w:rPr>
                <w:rFonts w:hint="eastAsia" w:ascii="宋体" w:hAnsi="宋体"/>
                <w:i w:val="0"/>
                <w:iCs/>
                <w:snapToGrid w:val="0"/>
                <w:color w:val="auto"/>
                <w:kern w:val="0"/>
                <w:szCs w:val="21"/>
                <w:highlight w:val="none"/>
                <w:u w:val="none"/>
                <w:lang w:val="en-US" w:eastAsia="zh-CN"/>
              </w:rPr>
              <w:t>（1）菩提金刚塔、国民政府警察局旧址、通远门城墙公园、巴蔓子墓墓园环境、宋子文旧居、国民政府军事委员政治部第三厅暨文化委员会旧址6个文物点；（2）渝中区长滨路芭蕉园1号湖广会馆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keepNext w:val="0"/>
              <w:keepLines w:val="0"/>
              <w:pageBreakBefore w:val="0"/>
              <w:kinsoku/>
              <w:overflowPunct/>
              <w:bidi w:val="0"/>
              <w:snapToGrid w:val="0"/>
              <w:spacing w:line="400" w:lineRule="exact"/>
              <w:jc w:val="center"/>
              <w:textAlignment w:val="auto"/>
              <w:rPr>
                <w:rFonts w:ascii="宋体" w:hAnsi="宋体"/>
                <w:kern w:val="0"/>
                <w:szCs w:val="21"/>
              </w:rPr>
            </w:pPr>
            <w:r>
              <w:rPr>
                <w:rFonts w:ascii="宋体" w:hAnsi="宋体"/>
                <w:kern w:val="0"/>
                <w:szCs w:val="21"/>
              </w:rPr>
              <w:t>1.2.1</w:t>
            </w:r>
          </w:p>
        </w:tc>
        <w:tc>
          <w:tcPr>
            <w:tcW w:w="1644" w:type="dxa"/>
            <w:vAlign w:val="center"/>
          </w:tcPr>
          <w:p>
            <w:pPr>
              <w:keepNext w:val="0"/>
              <w:keepLines w:val="0"/>
              <w:pageBreakBefore w:val="0"/>
              <w:kinsoku/>
              <w:overflowPunct/>
              <w:bidi w:val="0"/>
              <w:snapToGrid w:val="0"/>
              <w:spacing w:line="400" w:lineRule="exact"/>
              <w:jc w:val="center"/>
              <w:textAlignment w:val="auto"/>
              <w:rPr>
                <w:rFonts w:ascii="宋体" w:hAnsi="宋体"/>
                <w:kern w:val="0"/>
                <w:szCs w:val="21"/>
              </w:rPr>
            </w:pPr>
            <w:r>
              <w:rPr>
                <w:rFonts w:ascii="宋体" w:hAnsi="宋体"/>
                <w:kern w:val="0"/>
                <w:szCs w:val="21"/>
              </w:rPr>
              <w:t>资金来源</w:t>
            </w:r>
          </w:p>
        </w:tc>
        <w:tc>
          <w:tcPr>
            <w:tcW w:w="6490" w:type="dxa"/>
            <w:vAlign w:val="center"/>
          </w:tcPr>
          <w:p>
            <w:pPr>
              <w:keepNext w:val="0"/>
              <w:keepLines w:val="0"/>
              <w:pageBreakBefore w:val="0"/>
              <w:tabs>
                <w:tab w:val="left" w:pos="3840"/>
                <w:tab w:val="left" w:pos="5300"/>
              </w:tabs>
              <w:kinsoku/>
              <w:overflowPunct/>
              <w:autoSpaceDE w:val="0"/>
              <w:autoSpaceDN w:val="0"/>
              <w:bidi w:val="0"/>
              <w:adjustRightInd w:val="0"/>
              <w:snapToGrid w:val="0"/>
              <w:spacing w:line="400" w:lineRule="exact"/>
              <w:ind w:firstLine="420" w:firstLineChars="200"/>
              <w:jc w:val="left"/>
              <w:textAlignment w:val="auto"/>
              <w:rPr>
                <w:rFonts w:ascii="宋体" w:hAnsi="宋体"/>
                <w:snapToGrid w:val="0"/>
                <w:kern w:val="0"/>
                <w:szCs w:val="21"/>
                <w:u w:val="none"/>
              </w:rPr>
            </w:pPr>
            <w:r>
              <w:rPr>
                <w:rFonts w:hint="eastAsia" w:ascii="宋体" w:hAnsi="宋体"/>
                <w:snapToGrid w:val="0"/>
                <w:kern w:val="0"/>
                <w:szCs w:val="21"/>
                <w:u w:val="none"/>
              </w:rPr>
              <w:t>财政资金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keepNext w:val="0"/>
              <w:keepLines w:val="0"/>
              <w:pageBreakBefore w:val="0"/>
              <w:kinsoku/>
              <w:overflowPunct/>
              <w:bidi w:val="0"/>
              <w:snapToGrid w:val="0"/>
              <w:spacing w:line="400" w:lineRule="exact"/>
              <w:jc w:val="center"/>
              <w:textAlignment w:val="auto"/>
              <w:rPr>
                <w:rFonts w:ascii="宋体" w:hAnsi="宋体"/>
                <w:kern w:val="0"/>
                <w:szCs w:val="21"/>
              </w:rPr>
            </w:pPr>
            <w:r>
              <w:rPr>
                <w:rFonts w:ascii="宋体" w:hAnsi="宋体"/>
                <w:kern w:val="0"/>
                <w:szCs w:val="21"/>
              </w:rPr>
              <w:t>1.2.2</w:t>
            </w:r>
          </w:p>
        </w:tc>
        <w:tc>
          <w:tcPr>
            <w:tcW w:w="1644" w:type="dxa"/>
            <w:vAlign w:val="center"/>
          </w:tcPr>
          <w:p>
            <w:pPr>
              <w:keepNext w:val="0"/>
              <w:keepLines w:val="0"/>
              <w:pageBreakBefore w:val="0"/>
              <w:kinsoku/>
              <w:overflowPunct/>
              <w:bidi w:val="0"/>
              <w:snapToGrid w:val="0"/>
              <w:spacing w:line="400" w:lineRule="exact"/>
              <w:jc w:val="center"/>
              <w:textAlignment w:val="auto"/>
              <w:rPr>
                <w:rFonts w:ascii="宋体" w:hAnsi="宋体"/>
                <w:kern w:val="0"/>
                <w:szCs w:val="21"/>
              </w:rPr>
            </w:pPr>
            <w:r>
              <w:rPr>
                <w:rFonts w:ascii="宋体" w:hAnsi="宋体"/>
                <w:kern w:val="0"/>
                <w:szCs w:val="21"/>
              </w:rPr>
              <w:t>出资比例</w:t>
            </w:r>
          </w:p>
        </w:tc>
        <w:tc>
          <w:tcPr>
            <w:tcW w:w="6490" w:type="dxa"/>
            <w:vAlign w:val="center"/>
          </w:tcPr>
          <w:p>
            <w:pPr>
              <w:keepNext w:val="0"/>
              <w:keepLines w:val="0"/>
              <w:pageBreakBefore w:val="0"/>
              <w:kinsoku/>
              <w:overflowPunct/>
              <w:bidi w:val="0"/>
              <w:snapToGrid w:val="0"/>
              <w:spacing w:line="400" w:lineRule="exact"/>
              <w:ind w:firstLine="420" w:firstLineChars="200"/>
              <w:jc w:val="left"/>
              <w:textAlignment w:val="auto"/>
              <w:rPr>
                <w:rFonts w:ascii="宋体" w:hAnsi="宋体"/>
                <w:szCs w:val="21"/>
                <w:u w:val="none"/>
              </w:rPr>
            </w:pPr>
            <w:r>
              <w:rPr>
                <w:rFonts w:hint="eastAsia" w:ascii="宋体" w:hAnsi="宋体"/>
                <w:szCs w:val="21"/>
                <w:u w:val="none"/>
              </w:rPr>
              <w:t>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keepNext w:val="0"/>
              <w:keepLines w:val="0"/>
              <w:pageBreakBefore w:val="0"/>
              <w:kinsoku/>
              <w:overflowPunct/>
              <w:bidi w:val="0"/>
              <w:snapToGrid w:val="0"/>
              <w:spacing w:line="400" w:lineRule="exact"/>
              <w:jc w:val="center"/>
              <w:textAlignment w:val="auto"/>
              <w:rPr>
                <w:rFonts w:ascii="宋体" w:hAnsi="宋体"/>
                <w:kern w:val="0"/>
                <w:szCs w:val="21"/>
              </w:rPr>
            </w:pPr>
            <w:r>
              <w:rPr>
                <w:rFonts w:ascii="宋体" w:hAnsi="宋体"/>
                <w:kern w:val="0"/>
                <w:szCs w:val="21"/>
              </w:rPr>
              <w:t>1.2.3</w:t>
            </w:r>
          </w:p>
        </w:tc>
        <w:tc>
          <w:tcPr>
            <w:tcW w:w="1644" w:type="dxa"/>
            <w:vAlign w:val="center"/>
          </w:tcPr>
          <w:p>
            <w:pPr>
              <w:keepNext w:val="0"/>
              <w:keepLines w:val="0"/>
              <w:pageBreakBefore w:val="0"/>
              <w:kinsoku/>
              <w:overflowPunct/>
              <w:bidi w:val="0"/>
              <w:snapToGrid w:val="0"/>
              <w:spacing w:line="400" w:lineRule="exact"/>
              <w:jc w:val="center"/>
              <w:textAlignment w:val="auto"/>
              <w:rPr>
                <w:rFonts w:ascii="宋体" w:hAnsi="宋体"/>
                <w:kern w:val="0"/>
                <w:szCs w:val="21"/>
              </w:rPr>
            </w:pPr>
            <w:r>
              <w:rPr>
                <w:rFonts w:ascii="宋体" w:hAnsi="宋体"/>
                <w:kern w:val="0"/>
                <w:szCs w:val="21"/>
              </w:rPr>
              <w:t>资金落实情况</w:t>
            </w:r>
          </w:p>
        </w:tc>
        <w:tc>
          <w:tcPr>
            <w:tcW w:w="6490" w:type="dxa"/>
            <w:vAlign w:val="center"/>
          </w:tcPr>
          <w:p>
            <w:pPr>
              <w:keepNext w:val="0"/>
              <w:keepLines w:val="0"/>
              <w:pageBreakBefore w:val="0"/>
              <w:kinsoku/>
              <w:overflowPunct/>
              <w:bidi w:val="0"/>
              <w:snapToGrid w:val="0"/>
              <w:spacing w:line="400" w:lineRule="exact"/>
              <w:ind w:firstLine="420" w:firstLineChars="200"/>
              <w:jc w:val="left"/>
              <w:textAlignment w:val="auto"/>
              <w:rPr>
                <w:rFonts w:ascii="宋体" w:hAnsi="宋体"/>
                <w:szCs w:val="21"/>
                <w:u w:val="none"/>
              </w:rPr>
            </w:pPr>
            <w:r>
              <w:rPr>
                <w:rFonts w:hint="eastAsia" w:ascii="宋体" w:hAnsi="宋体"/>
                <w:szCs w:val="21"/>
                <w:u w:val="none"/>
              </w:rPr>
              <w:t>已落实</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keepNext w:val="0"/>
              <w:keepLines w:val="0"/>
              <w:pageBreakBefore w:val="0"/>
              <w:kinsoku/>
              <w:overflowPunct/>
              <w:bidi w:val="0"/>
              <w:snapToGrid w:val="0"/>
              <w:spacing w:line="400" w:lineRule="exact"/>
              <w:jc w:val="center"/>
              <w:textAlignment w:val="auto"/>
              <w:rPr>
                <w:rFonts w:ascii="宋体" w:hAnsi="宋体"/>
                <w:kern w:val="0"/>
                <w:szCs w:val="21"/>
              </w:rPr>
            </w:pPr>
            <w:r>
              <w:rPr>
                <w:rFonts w:hint="eastAsia" w:ascii="宋体" w:hAnsi="宋体"/>
                <w:kern w:val="0"/>
                <w:szCs w:val="21"/>
              </w:rPr>
              <w:t>1.3.1</w:t>
            </w:r>
          </w:p>
        </w:tc>
        <w:tc>
          <w:tcPr>
            <w:tcW w:w="1644" w:type="dxa"/>
            <w:vAlign w:val="center"/>
          </w:tcPr>
          <w:p>
            <w:pPr>
              <w:keepNext w:val="0"/>
              <w:keepLines w:val="0"/>
              <w:pageBreakBefore w:val="0"/>
              <w:kinsoku/>
              <w:overflowPunct/>
              <w:bidi w:val="0"/>
              <w:snapToGrid w:val="0"/>
              <w:spacing w:line="400" w:lineRule="exact"/>
              <w:jc w:val="center"/>
              <w:textAlignment w:val="auto"/>
              <w:rPr>
                <w:rFonts w:ascii="宋体" w:hAnsi="宋体"/>
                <w:kern w:val="0"/>
                <w:szCs w:val="21"/>
              </w:rPr>
            </w:pPr>
            <w:r>
              <w:rPr>
                <w:rFonts w:hint="eastAsia" w:ascii="宋体" w:hAnsi="宋体"/>
                <w:kern w:val="0"/>
                <w:szCs w:val="21"/>
              </w:rPr>
              <w:t>比选</w:t>
            </w:r>
            <w:r>
              <w:rPr>
                <w:rFonts w:ascii="宋体" w:hAnsi="宋体"/>
                <w:kern w:val="0"/>
                <w:szCs w:val="21"/>
              </w:rPr>
              <w:t>范围</w:t>
            </w:r>
          </w:p>
        </w:tc>
        <w:tc>
          <w:tcPr>
            <w:tcW w:w="6490" w:type="dxa"/>
            <w:vAlign w:val="center"/>
          </w:tcPr>
          <w:p>
            <w:pPr>
              <w:keepNext w:val="0"/>
              <w:keepLines w:val="0"/>
              <w:pageBreakBefore w:val="0"/>
              <w:tabs>
                <w:tab w:val="left" w:pos="3840"/>
                <w:tab w:val="left" w:pos="5300"/>
              </w:tabs>
              <w:kinsoku/>
              <w:wordWrap w:val="0"/>
              <w:overflowPunct/>
              <w:topLinePunct/>
              <w:bidi w:val="0"/>
              <w:adjustRightInd w:val="0"/>
              <w:snapToGrid w:val="0"/>
              <w:spacing w:line="400" w:lineRule="exact"/>
              <w:ind w:firstLine="420" w:firstLineChars="200"/>
              <w:jc w:val="left"/>
              <w:textAlignment w:val="auto"/>
              <w:rPr>
                <w:rFonts w:ascii="宋体" w:hAnsi="宋体"/>
                <w:i/>
                <w:szCs w:val="21"/>
              </w:rPr>
            </w:pPr>
            <w:r>
              <w:rPr>
                <w:rFonts w:hint="eastAsia" w:ascii="宋体" w:hAnsi="宋体"/>
                <w:color w:val="000000"/>
                <w:szCs w:val="21"/>
              </w:rPr>
              <w:t>包括但不限于本项目审定的施工图设计及比选人指定范围内的所有内容、工程施工至竣工验收交付使用以及工程缺陷责任期的保修等全部工作内容。包括但不限于屋面工程、墙体墙面工程、地面工程、装修工程及防火、防虫、排水系统增设等，具体详见工程量清单</w:t>
            </w:r>
            <w:r>
              <w:rPr>
                <w:rFonts w:hint="eastAsia" w:ascii="宋体" w:hAnsi="宋体"/>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keepNext w:val="0"/>
              <w:keepLines w:val="0"/>
              <w:pageBreakBefore w:val="0"/>
              <w:kinsoku/>
              <w:overflowPunct/>
              <w:bidi w:val="0"/>
              <w:snapToGrid w:val="0"/>
              <w:spacing w:line="400" w:lineRule="exact"/>
              <w:jc w:val="center"/>
              <w:textAlignment w:val="auto"/>
              <w:rPr>
                <w:rFonts w:ascii="宋体" w:hAnsi="宋体"/>
                <w:kern w:val="0"/>
                <w:szCs w:val="21"/>
              </w:rPr>
            </w:pPr>
            <w:r>
              <w:rPr>
                <w:rFonts w:ascii="宋体" w:hAnsi="宋体"/>
                <w:kern w:val="0"/>
                <w:szCs w:val="21"/>
              </w:rPr>
              <w:t>1.3.2</w:t>
            </w:r>
          </w:p>
        </w:tc>
        <w:tc>
          <w:tcPr>
            <w:tcW w:w="1644" w:type="dxa"/>
            <w:vAlign w:val="center"/>
          </w:tcPr>
          <w:p>
            <w:pPr>
              <w:keepNext w:val="0"/>
              <w:keepLines w:val="0"/>
              <w:pageBreakBefore w:val="0"/>
              <w:kinsoku/>
              <w:overflowPunct/>
              <w:bidi w:val="0"/>
              <w:snapToGrid w:val="0"/>
              <w:spacing w:line="400" w:lineRule="exact"/>
              <w:jc w:val="center"/>
              <w:textAlignment w:val="auto"/>
              <w:rPr>
                <w:rFonts w:ascii="宋体" w:hAnsi="宋体"/>
                <w:kern w:val="0"/>
                <w:szCs w:val="21"/>
              </w:rPr>
            </w:pPr>
            <w:r>
              <w:rPr>
                <w:rFonts w:ascii="宋体" w:hAnsi="宋体"/>
                <w:kern w:val="0"/>
                <w:szCs w:val="21"/>
              </w:rPr>
              <w:t>计划工期</w:t>
            </w:r>
          </w:p>
          <w:p>
            <w:pPr>
              <w:keepNext w:val="0"/>
              <w:keepLines w:val="0"/>
              <w:pageBreakBefore w:val="0"/>
              <w:kinsoku/>
              <w:overflowPunct/>
              <w:bidi w:val="0"/>
              <w:snapToGrid w:val="0"/>
              <w:spacing w:line="400" w:lineRule="exact"/>
              <w:jc w:val="center"/>
              <w:textAlignment w:val="auto"/>
              <w:rPr>
                <w:rFonts w:ascii="宋体" w:hAnsi="宋体"/>
                <w:kern w:val="0"/>
                <w:szCs w:val="21"/>
              </w:rPr>
            </w:pPr>
            <w:r>
              <w:rPr>
                <w:rFonts w:hint="eastAsia" w:ascii="宋体" w:hAnsi="宋体"/>
                <w:kern w:val="0"/>
                <w:szCs w:val="21"/>
              </w:rPr>
              <w:t>缺陷责任期</w:t>
            </w:r>
          </w:p>
        </w:tc>
        <w:tc>
          <w:tcPr>
            <w:tcW w:w="6490" w:type="dxa"/>
            <w:vAlign w:val="center"/>
          </w:tcPr>
          <w:p>
            <w:pPr>
              <w:keepNext w:val="0"/>
              <w:keepLines w:val="0"/>
              <w:pageBreakBefore w:val="0"/>
              <w:kinsoku/>
              <w:overflowPunct/>
              <w:bidi w:val="0"/>
              <w:snapToGrid w:val="0"/>
              <w:spacing w:line="400" w:lineRule="exact"/>
              <w:ind w:firstLine="420" w:firstLineChars="200"/>
              <w:jc w:val="left"/>
              <w:textAlignment w:val="auto"/>
              <w:rPr>
                <w:rFonts w:ascii="宋体" w:hAnsi="宋体"/>
                <w:snapToGrid w:val="0"/>
                <w:kern w:val="0"/>
                <w:szCs w:val="21"/>
                <w:u w:val="single"/>
              </w:rPr>
            </w:pPr>
            <w:r>
              <w:rPr>
                <w:rFonts w:hint="eastAsia" w:ascii="宋体" w:hAnsi="宋体"/>
                <w:kern w:val="0"/>
                <w:szCs w:val="21"/>
              </w:rPr>
              <w:t>工期：</w:t>
            </w:r>
            <w:r>
              <w:rPr>
                <w:rFonts w:hint="eastAsia" w:ascii="宋体" w:hAnsi="宋体"/>
                <w:snapToGrid w:val="0"/>
                <w:kern w:val="0"/>
                <w:szCs w:val="21"/>
                <w:u w:val="single"/>
              </w:rPr>
              <w:t>150日历天</w:t>
            </w:r>
          </w:p>
          <w:p>
            <w:pPr>
              <w:keepNext w:val="0"/>
              <w:keepLines w:val="0"/>
              <w:pageBreakBefore w:val="0"/>
              <w:kinsoku/>
              <w:overflowPunct/>
              <w:bidi w:val="0"/>
              <w:snapToGrid w:val="0"/>
              <w:spacing w:line="400" w:lineRule="exact"/>
              <w:ind w:firstLine="420" w:firstLineChars="200"/>
              <w:jc w:val="left"/>
              <w:textAlignment w:val="auto"/>
              <w:rPr>
                <w:rFonts w:ascii="宋体" w:hAnsi="宋体"/>
                <w:kern w:val="0"/>
                <w:szCs w:val="21"/>
              </w:rPr>
            </w:pPr>
            <w:r>
              <w:rPr>
                <w:rFonts w:hint="eastAsia" w:ascii="宋体" w:hAnsi="宋体"/>
                <w:kern w:val="0"/>
                <w:szCs w:val="21"/>
              </w:rPr>
              <w:t>缺陷责任期：</w:t>
            </w:r>
            <w:r>
              <w:rPr>
                <w:rFonts w:hint="eastAsia" w:ascii="宋体" w:hAnsi="宋体"/>
                <w:snapToGrid w:val="0"/>
                <w:kern w:val="0"/>
                <w:szCs w:val="21"/>
                <w:u w:val="single"/>
              </w:rPr>
              <w:t>24个月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keepNext w:val="0"/>
              <w:keepLines w:val="0"/>
              <w:pageBreakBefore w:val="0"/>
              <w:kinsoku/>
              <w:overflowPunct/>
              <w:bidi w:val="0"/>
              <w:snapToGrid w:val="0"/>
              <w:spacing w:line="400" w:lineRule="exact"/>
              <w:jc w:val="center"/>
              <w:textAlignment w:val="auto"/>
              <w:rPr>
                <w:rFonts w:ascii="宋体" w:hAnsi="宋体"/>
                <w:kern w:val="0"/>
                <w:szCs w:val="21"/>
              </w:rPr>
            </w:pPr>
            <w:r>
              <w:rPr>
                <w:rFonts w:ascii="宋体" w:hAnsi="宋体"/>
                <w:kern w:val="0"/>
                <w:szCs w:val="21"/>
              </w:rPr>
              <w:t>1.3.3</w:t>
            </w:r>
          </w:p>
        </w:tc>
        <w:tc>
          <w:tcPr>
            <w:tcW w:w="1644" w:type="dxa"/>
            <w:vAlign w:val="center"/>
          </w:tcPr>
          <w:p>
            <w:pPr>
              <w:keepNext w:val="0"/>
              <w:keepLines w:val="0"/>
              <w:pageBreakBefore w:val="0"/>
              <w:kinsoku/>
              <w:overflowPunct/>
              <w:bidi w:val="0"/>
              <w:snapToGrid w:val="0"/>
              <w:spacing w:line="400" w:lineRule="exact"/>
              <w:jc w:val="center"/>
              <w:textAlignment w:val="auto"/>
              <w:rPr>
                <w:rFonts w:ascii="宋体" w:hAnsi="宋体"/>
                <w:kern w:val="0"/>
                <w:szCs w:val="21"/>
              </w:rPr>
            </w:pPr>
            <w:r>
              <w:rPr>
                <w:rFonts w:ascii="宋体" w:hAnsi="宋体"/>
                <w:kern w:val="0"/>
                <w:szCs w:val="21"/>
              </w:rPr>
              <w:t>质量要求</w:t>
            </w:r>
          </w:p>
        </w:tc>
        <w:tc>
          <w:tcPr>
            <w:tcW w:w="6490" w:type="dxa"/>
            <w:vAlign w:val="center"/>
          </w:tcPr>
          <w:p>
            <w:pPr>
              <w:keepNext w:val="0"/>
              <w:keepLines w:val="0"/>
              <w:pageBreakBefore w:val="0"/>
              <w:kinsoku/>
              <w:overflowPunct/>
              <w:bidi w:val="0"/>
              <w:snapToGrid w:val="0"/>
              <w:spacing w:line="400" w:lineRule="exact"/>
              <w:ind w:firstLine="420" w:firstLineChars="200"/>
              <w:jc w:val="left"/>
              <w:textAlignment w:val="auto"/>
              <w:rPr>
                <w:rFonts w:ascii="宋体" w:hAnsi="宋体"/>
                <w:szCs w:val="21"/>
              </w:rPr>
            </w:pPr>
            <w:r>
              <w:rPr>
                <w:rFonts w:hint="eastAsia" w:ascii="宋体" w:hAnsi="宋体"/>
                <w:szCs w:val="21"/>
              </w:rPr>
              <w:t>符合强制性质量标准，</w:t>
            </w:r>
            <w:r>
              <w:rPr>
                <w:rFonts w:hint="eastAsia" w:ascii="宋体" w:hAnsi="宋体"/>
                <w:szCs w:val="21"/>
                <w:u w:val="single"/>
              </w:rPr>
              <w:t>符合</w:t>
            </w:r>
            <w:r>
              <w:rPr>
                <w:rFonts w:ascii="宋体" w:hAnsi="宋体"/>
                <w:szCs w:val="21"/>
                <w:u w:val="single"/>
              </w:rPr>
              <w:t>国家和重庆市现行有关施工质量验收规范要求，并达到合格标准</w:t>
            </w:r>
            <w:r>
              <w:rPr>
                <w:rFonts w:ascii="宋体" w:hAnsi="宋体"/>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keepNext w:val="0"/>
              <w:keepLines w:val="0"/>
              <w:pageBreakBefore w:val="0"/>
              <w:kinsoku/>
              <w:overflowPunct/>
              <w:bidi w:val="0"/>
              <w:snapToGrid w:val="0"/>
              <w:spacing w:line="400" w:lineRule="exact"/>
              <w:jc w:val="center"/>
              <w:textAlignment w:val="auto"/>
              <w:rPr>
                <w:rFonts w:ascii="宋体" w:hAnsi="宋体"/>
                <w:kern w:val="0"/>
                <w:szCs w:val="21"/>
              </w:rPr>
            </w:pPr>
            <w:r>
              <w:rPr>
                <w:rFonts w:ascii="宋体" w:hAnsi="宋体"/>
                <w:kern w:val="0"/>
                <w:szCs w:val="21"/>
              </w:rPr>
              <w:t>1.4.1</w:t>
            </w:r>
          </w:p>
        </w:tc>
        <w:tc>
          <w:tcPr>
            <w:tcW w:w="1644" w:type="dxa"/>
            <w:vAlign w:val="center"/>
          </w:tcPr>
          <w:p>
            <w:pPr>
              <w:keepNext w:val="0"/>
              <w:keepLines w:val="0"/>
              <w:pageBreakBefore w:val="0"/>
              <w:kinsoku/>
              <w:overflowPunct/>
              <w:bidi w:val="0"/>
              <w:snapToGrid w:val="0"/>
              <w:spacing w:line="400" w:lineRule="exact"/>
              <w:jc w:val="center"/>
              <w:textAlignment w:val="auto"/>
              <w:rPr>
                <w:rFonts w:ascii="宋体" w:hAnsi="宋体"/>
                <w:kern w:val="0"/>
                <w:szCs w:val="21"/>
              </w:rPr>
            </w:pPr>
            <w:r>
              <w:rPr>
                <w:rFonts w:hint="eastAsia" w:ascii="宋体" w:hAnsi="宋体"/>
                <w:kern w:val="0"/>
                <w:szCs w:val="21"/>
                <w:lang w:eastAsia="zh-CN"/>
              </w:rPr>
              <w:t>竞标</w:t>
            </w:r>
            <w:r>
              <w:rPr>
                <w:rFonts w:ascii="宋体" w:hAnsi="宋体"/>
                <w:kern w:val="0"/>
                <w:szCs w:val="21"/>
              </w:rPr>
              <w:t>人资质条件、能力和信誉</w:t>
            </w:r>
          </w:p>
        </w:tc>
        <w:tc>
          <w:tcPr>
            <w:tcW w:w="6490" w:type="dxa"/>
            <w:vAlign w:val="center"/>
          </w:tcPr>
          <w:p>
            <w:pPr>
              <w:keepNext w:val="0"/>
              <w:keepLines w:val="0"/>
              <w:pageBreakBefore w:val="0"/>
              <w:kinsoku/>
              <w:overflowPunct/>
              <w:autoSpaceDE w:val="0"/>
              <w:autoSpaceDN w:val="0"/>
              <w:bidi w:val="0"/>
              <w:adjustRightInd w:val="0"/>
              <w:snapToGrid w:val="0"/>
              <w:spacing w:line="400" w:lineRule="exact"/>
              <w:ind w:firstLine="420" w:firstLineChars="200"/>
              <w:jc w:val="left"/>
              <w:textAlignment w:val="auto"/>
              <w:rPr>
                <w:rFonts w:ascii="宋体" w:hAnsi="宋体" w:cs="宋体"/>
                <w:szCs w:val="21"/>
              </w:rPr>
            </w:pPr>
            <w:bookmarkStart w:id="134" w:name="OLE_LINK1"/>
            <w:r>
              <w:rPr>
                <w:rFonts w:hint="eastAsia" w:ascii="宋体" w:hAnsi="宋体" w:cs="宋体"/>
                <w:szCs w:val="21"/>
              </w:rPr>
              <w:t>本工程施工比选实行资格后审，</w:t>
            </w:r>
            <w:r>
              <w:rPr>
                <w:rFonts w:hint="eastAsia" w:ascii="宋体" w:hAnsi="宋体" w:cs="宋体"/>
                <w:szCs w:val="21"/>
                <w:lang w:eastAsia="zh-CN"/>
              </w:rPr>
              <w:t>竞标</w:t>
            </w:r>
            <w:r>
              <w:rPr>
                <w:rFonts w:hint="eastAsia" w:ascii="宋体" w:hAnsi="宋体" w:cs="宋体"/>
                <w:szCs w:val="21"/>
              </w:rPr>
              <w:t>人应</w:t>
            </w:r>
            <w:bookmarkStart w:id="135" w:name="一是"/>
            <w:bookmarkEnd w:id="135"/>
            <w:r>
              <w:rPr>
                <w:rFonts w:hint="eastAsia" w:ascii="宋体" w:hAnsi="宋体" w:cs="宋体"/>
                <w:szCs w:val="21"/>
              </w:rPr>
              <w:t>具备以下资格条件：</w:t>
            </w:r>
          </w:p>
          <w:bookmarkEnd w:id="134"/>
          <w:p>
            <w:pPr>
              <w:keepNext w:val="0"/>
              <w:keepLines w:val="0"/>
              <w:pageBreakBefore w:val="0"/>
              <w:tabs>
                <w:tab w:val="left" w:pos="3840"/>
                <w:tab w:val="left" w:pos="5300"/>
              </w:tabs>
              <w:kinsoku/>
              <w:overflowPunct/>
              <w:autoSpaceDE w:val="0"/>
              <w:autoSpaceDN w:val="0"/>
              <w:bidi w:val="0"/>
              <w:adjustRightInd w:val="0"/>
              <w:snapToGrid w:val="0"/>
              <w:spacing w:line="400" w:lineRule="exact"/>
              <w:ind w:firstLine="422" w:firstLineChars="200"/>
              <w:jc w:val="left"/>
              <w:textAlignment w:val="auto"/>
              <w:rPr>
                <w:rFonts w:ascii="宋体" w:hAnsi="宋体" w:cs="宋体"/>
                <w:b/>
                <w:szCs w:val="21"/>
              </w:rPr>
            </w:pPr>
            <w:r>
              <w:rPr>
                <w:rFonts w:hint="eastAsia" w:ascii="宋体" w:hAnsi="宋体" w:cs="宋体"/>
                <w:b/>
                <w:szCs w:val="21"/>
              </w:rPr>
              <w:t>1.资质条件、营业执照及安全生产条件</w:t>
            </w:r>
          </w:p>
          <w:p>
            <w:pPr>
              <w:keepNext w:val="0"/>
              <w:keepLines w:val="0"/>
              <w:pageBreakBefore w:val="0"/>
              <w:kinsoku/>
              <w:overflowPunct/>
              <w:autoSpaceDE w:val="0"/>
              <w:autoSpaceDN w:val="0"/>
              <w:bidi w:val="0"/>
              <w:adjustRightInd w:val="0"/>
              <w:snapToGrid w:val="0"/>
              <w:spacing w:line="400" w:lineRule="exact"/>
              <w:ind w:firstLine="420" w:firstLineChars="200"/>
              <w:textAlignment w:val="auto"/>
              <w:rPr>
                <w:rFonts w:ascii="宋体" w:hAnsi="宋体" w:cs="宋体"/>
                <w:szCs w:val="21"/>
              </w:rPr>
            </w:pPr>
            <w:r>
              <w:rPr>
                <w:rFonts w:hint="eastAsia" w:ascii="宋体" w:hAnsi="宋体" w:cs="宋体"/>
                <w:szCs w:val="21"/>
              </w:rPr>
              <w:t>（1）本次比选要求</w:t>
            </w:r>
            <w:r>
              <w:rPr>
                <w:rFonts w:hint="eastAsia" w:ascii="宋体" w:hAnsi="宋体" w:cs="宋体"/>
                <w:szCs w:val="21"/>
                <w:lang w:eastAsia="zh-CN"/>
              </w:rPr>
              <w:t>竞标</w:t>
            </w:r>
            <w:r>
              <w:rPr>
                <w:rFonts w:hint="eastAsia" w:ascii="宋体" w:hAnsi="宋体" w:cs="宋体"/>
                <w:szCs w:val="21"/>
              </w:rPr>
              <w:t>人具备的资质条件</w:t>
            </w:r>
          </w:p>
          <w:p>
            <w:pPr>
              <w:keepNext w:val="0"/>
              <w:keepLines w:val="0"/>
              <w:pageBreakBefore w:val="0"/>
              <w:kinsoku/>
              <w:overflowPunct/>
              <w:autoSpaceDE w:val="0"/>
              <w:autoSpaceDN w:val="0"/>
              <w:bidi w:val="0"/>
              <w:adjustRightInd w:val="0"/>
              <w:snapToGrid w:val="0"/>
              <w:spacing w:line="400" w:lineRule="exact"/>
              <w:ind w:firstLine="420" w:firstLineChars="200"/>
              <w:textAlignment w:val="auto"/>
              <w:rPr>
                <w:rFonts w:ascii="宋体" w:hAnsi="宋体" w:cs="宋体"/>
                <w:snapToGrid w:val="0"/>
                <w:kern w:val="0"/>
                <w:szCs w:val="21"/>
                <w:u w:val="single"/>
              </w:rPr>
            </w:pPr>
            <w:r>
              <w:rPr>
                <w:rFonts w:hint="eastAsia" w:ascii="宋体" w:hAnsi="宋体" w:cs="宋体"/>
                <w:color w:val="333333"/>
                <w:szCs w:val="21"/>
              </w:rPr>
              <w:t>文物行政主管部门颁发</w:t>
            </w:r>
            <w:r>
              <w:rPr>
                <w:rFonts w:hint="eastAsia" w:ascii="宋体" w:hAnsi="宋体" w:cs="宋体"/>
                <w:color w:val="333333"/>
                <w:szCs w:val="21"/>
                <w:highlight w:val="none"/>
              </w:rPr>
              <w:t>的</w:t>
            </w:r>
            <w:r>
              <w:rPr>
                <w:rFonts w:hint="eastAsia" w:ascii="宋体" w:hAnsi="宋体" w:cs="宋体"/>
                <w:color w:val="333333"/>
                <w:szCs w:val="21"/>
                <w:highlight w:val="none"/>
                <w:lang w:eastAsia="zh-CN"/>
              </w:rPr>
              <w:t>有效的</w:t>
            </w:r>
            <w:r>
              <w:rPr>
                <w:rFonts w:hint="eastAsia" w:ascii="宋体" w:hAnsi="宋体" w:cs="宋体"/>
                <w:color w:val="333333"/>
                <w:szCs w:val="21"/>
                <w:highlight w:val="none"/>
              </w:rPr>
              <w:t>文物</w:t>
            </w:r>
            <w:r>
              <w:rPr>
                <w:rFonts w:hint="eastAsia" w:ascii="宋体" w:hAnsi="宋体" w:cs="宋体"/>
                <w:color w:val="333333"/>
                <w:szCs w:val="21"/>
              </w:rPr>
              <w:t>保护工程施工</w:t>
            </w:r>
            <w:r>
              <w:rPr>
                <w:rFonts w:hint="eastAsia" w:ascii="宋体" w:hAnsi="宋体" w:cs="宋体"/>
                <w:color w:val="333333"/>
                <w:szCs w:val="21"/>
                <w:lang w:val="en-US" w:eastAsia="zh-CN"/>
              </w:rPr>
              <w:t>一</w:t>
            </w:r>
            <w:r>
              <w:rPr>
                <w:rFonts w:hint="eastAsia" w:ascii="宋体" w:hAnsi="宋体" w:cs="宋体"/>
                <w:color w:val="333333"/>
                <w:szCs w:val="21"/>
              </w:rPr>
              <w:t>级资质（资质证书业务范围须包含：古建筑）</w:t>
            </w:r>
            <w:r>
              <w:rPr>
                <w:rFonts w:hint="eastAsia" w:ascii="宋体" w:hAnsi="宋体" w:cs="宋体"/>
                <w:snapToGrid w:val="0"/>
                <w:kern w:val="0"/>
                <w:szCs w:val="21"/>
              </w:rPr>
              <w:t>。</w:t>
            </w:r>
          </w:p>
          <w:p>
            <w:pPr>
              <w:keepNext w:val="0"/>
              <w:keepLines w:val="0"/>
              <w:pageBreakBefore w:val="0"/>
              <w:kinsoku/>
              <w:overflowPunct/>
              <w:autoSpaceDE w:val="0"/>
              <w:autoSpaceDN w:val="0"/>
              <w:bidi w:val="0"/>
              <w:adjustRightInd w:val="0"/>
              <w:snapToGrid w:val="0"/>
              <w:spacing w:line="400" w:lineRule="exact"/>
              <w:ind w:firstLine="420" w:firstLineChars="200"/>
              <w:textAlignment w:val="auto"/>
              <w:rPr>
                <w:rFonts w:ascii="宋体" w:hAnsi="宋体" w:cs="宋体"/>
                <w:szCs w:val="21"/>
              </w:rPr>
            </w:pPr>
            <w:r>
              <w:rPr>
                <w:rFonts w:hint="eastAsia" w:ascii="宋体" w:hAnsi="宋体" w:cs="宋体"/>
                <w:szCs w:val="21"/>
                <w:lang w:eastAsia="zh-CN"/>
              </w:rPr>
              <w:t>竞标</w:t>
            </w:r>
            <w:r>
              <w:rPr>
                <w:rFonts w:hint="eastAsia" w:ascii="宋体" w:hAnsi="宋体" w:cs="宋体"/>
                <w:szCs w:val="21"/>
              </w:rPr>
              <w:t>人须在</w:t>
            </w:r>
            <w:r>
              <w:rPr>
                <w:rFonts w:hint="eastAsia" w:ascii="宋体" w:hAnsi="宋体" w:cs="宋体"/>
                <w:szCs w:val="21"/>
                <w:lang w:eastAsia="zh-CN"/>
              </w:rPr>
              <w:t>竞标</w:t>
            </w:r>
            <w:r>
              <w:rPr>
                <w:rFonts w:hint="eastAsia" w:ascii="宋体" w:hAnsi="宋体" w:cs="宋体"/>
                <w:szCs w:val="21"/>
              </w:rPr>
              <w:t>文件资格审查部分提供有效的资质。</w:t>
            </w:r>
          </w:p>
          <w:p>
            <w:pPr>
              <w:keepNext w:val="0"/>
              <w:keepLines w:val="0"/>
              <w:pageBreakBefore w:val="0"/>
              <w:kinsoku/>
              <w:overflowPunct/>
              <w:autoSpaceDE w:val="0"/>
              <w:autoSpaceDN w:val="0"/>
              <w:bidi w:val="0"/>
              <w:adjustRightInd w:val="0"/>
              <w:snapToGrid w:val="0"/>
              <w:spacing w:line="400" w:lineRule="exact"/>
              <w:ind w:firstLine="420" w:firstLineChars="200"/>
              <w:textAlignment w:val="auto"/>
              <w:rPr>
                <w:rFonts w:ascii="宋体" w:hAnsi="宋体" w:cs="宋体"/>
                <w:szCs w:val="21"/>
              </w:rPr>
            </w:pPr>
            <w:r>
              <w:rPr>
                <w:rFonts w:hint="eastAsia" w:ascii="宋体" w:hAnsi="宋体" w:cs="宋体"/>
                <w:szCs w:val="21"/>
              </w:rPr>
              <w:t>（2）具备有效的营业执照。</w:t>
            </w:r>
          </w:p>
          <w:p>
            <w:pPr>
              <w:keepNext w:val="0"/>
              <w:keepLines w:val="0"/>
              <w:pageBreakBefore w:val="0"/>
              <w:kinsoku/>
              <w:overflowPunct/>
              <w:autoSpaceDE w:val="0"/>
              <w:autoSpaceDN w:val="0"/>
              <w:bidi w:val="0"/>
              <w:adjustRightInd w:val="0"/>
              <w:snapToGrid w:val="0"/>
              <w:spacing w:line="400" w:lineRule="exact"/>
              <w:ind w:firstLine="420" w:firstLineChars="200"/>
              <w:textAlignment w:val="auto"/>
              <w:rPr>
                <w:rFonts w:ascii="宋体" w:hAnsi="宋体" w:cs="宋体"/>
                <w:szCs w:val="21"/>
              </w:rPr>
            </w:pPr>
            <w:r>
              <w:rPr>
                <w:rFonts w:hint="eastAsia" w:ascii="宋体" w:hAnsi="宋体" w:cs="宋体"/>
                <w:szCs w:val="21"/>
                <w:lang w:eastAsia="zh-CN"/>
              </w:rPr>
              <w:t>竞标</w:t>
            </w:r>
            <w:r>
              <w:rPr>
                <w:rFonts w:hint="eastAsia" w:ascii="宋体" w:hAnsi="宋体" w:cs="宋体"/>
                <w:szCs w:val="21"/>
              </w:rPr>
              <w:t>人须在</w:t>
            </w:r>
            <w:r>
              <w:rPr>
                <w:rFonts w:hint="eastAsia" w:ascii="宋体" w:hAnsi="宋体" w:cs="宋体"/>
                <w:szCs w:val="21"/>
                <w:lang w:eastAsia="zh-CN"/>
              </w:rPr>
              <w:t>竞标</w:t>
            </w:r>
            <w:r>
              <w:rPr>
                <w:rFonts w:hint="eastAsia" w:ascii="宋体" w:hAnsi="宋体" w:cs="宋体"/>
                <w:szCs w:val="21"/>
              </w:rPr>
              <w:t>文件资格审查部分提供有效的营业执照。注：不得将</w:t>
            </w:r>
            <w:r>
              <w:rPr>
                <w:rFonts w:hint="eastAsia" w:ascii="宋体" w:hAnsi="宋体" w:cs="宋体"/>
                <w:szCs w:val="21"/>
                <w:lang w:eastAsia="zh-CN"/>
              </w:rPr>
              <w:t>竞标</w:t>
            </w:r>
            <w:r>
              <w:rPr>
                <w:rFonts w:hint="eastAsia" w:ascii="宋体" w:hAnsi="宋体" w:cs="宋体"/>
                <w:szCs w:val="21"/>
              </w:rPr>
              <w:t>人营业执照记载的经营范围作为评审因素。</w:t>
            </w:r>
          </w:p>
          <w:p>
            <w:pPr>
              <w:keepNext w:val="0"/>
              <w:keepLines w:val="0"/>
              <w:pageBreakBefore w:val="0"/>
              <w:kinsoku/>
              <w:overflowPunct/>
              <w:autoSpaceDE w:val="0"/>
              <w:autoSpaceDN w:val="0"/>
              <w:bidi w:val="0"/>
              <w:adjustRightInd w:val="0"/>
              <w:snapToGrid w:val="0"/>
              <w:spacing w:line="400" w:lineRule="exact"/>
              <w:ind w:firstLine="420" w:firstLineChars="200"/>
              <w:textAlignment w:val="auto"/>
              <w:rPr>
                <w:rFonts w:ascii="宋体" w:hAnsi="宋体" w:cs="宋体"/>
                <w:szCs w:val="21"/>
              </w:rPr>
            </w:pPr>
            <w:r>
              <w:rPr>
                <w:rFonts w:hint="eastAsia" w:ascii="宋体" w:hAnsi="宋体" w:cs="宋体"/>
                <w:szCs w:val="21"/>
              </w:rPr>
              <w:t>（3</w:t>
            </w:r>
            <w:r>
              <w:rPr>
                <w:rFonts w:hint="eastAsia" w:ascii="宋体" w:hAnsi="宋体" w:cs="宋体"/>
                <w:szCs w:val="21"/>
                <w:highlight w:val="none"/>
              </w:rPr>
              <w:t>）具备建设行政主管部门颁发的有效的安全生产许可证，企</w:t>
            </w:r>
            <w:r>
              <w:rPr>
                <w:rFonts w:hint="eastAsia" w:ascii="宋体" w:hAnsi="宋体" w:cs="宋体"/>
                <w:szCs w:val="21"/>
              </w:rPr>
              <w:t>业主要负责人、拟担任该项目项目经理具备相应的由建设行政主管部门颁发的有效的安全生产考核合格证书。</w:t>
            </w:r>
          </w:p>
          <w:p>
            <w:pPr>
              <w:keepNext w:val="0"/>
              <w:keepLines w:val="0"/>
              <w:pageBreakBefore w:val="0"/>
              <w:kinsoku/>
              <w:overflowPunct/>
              <w:autoSpaceDE w:val="0"/>
              <w:autoSpaceDN w:val="0"/>
              <w:bidi w:val="0"/>
              <w:adjustRightInd w:val="0"/>
              <w:snapToGrid w:val="0"/>
              <w:spacing w:line="400" w:lineRule="exact"/>
              <w:ind w:firstLine="420" w:firstLineChars="200"/>
              <w:textAlignment w:val="auto"/>
              <w:rPr>
                <w:rFonts w:ascii="宋体" w:hAnsi="宋体" w:cs="宋体"/>
                <w:szCs w:val="21"/>
              </w:rPr>
            </w:pPr>
            <w:r>
              <w:rPr>
                <w:rFonts w:hint="eastAsia" w:ascii="宋体" w:hAnsi="宋体" w:cs="宋体"/>
                <w:szCs w:val="21"/>
                <w:lang w:eastAsia="zh-CN"/>
              </w:rPr>
              <w:t>竞标</w:t>
            </w:r>
            <w:r>
              <w:rPr>
                <w:rFonts w:hint="eastAsia" w:ascii="宋体" w:hAnsi="宋体" w:cs="宋体"/>
                <w:szCs w:val="21"/>
              </w:rPr>
              <w:t>人须在</w:t>
            </w:r>
            <w:r>
              <w:rPr>
                <w:rFonts w:hint="eastAsia" w:ascii="宋体" w:hAnsi="宋体" w:cs="宋体"/>
                <w:szCs w:val="21"/>
                <w:lang w:eastAsia="zh-CN"/>
              </w:rPr>
              <w:t>竞标</w:t>
            </w:r>
            <w:r>
              <w:rPr>
                <w:rFonts w:hint="eastAsia" w:ascii="宋体" w:hAnsi="宋体" w:cs="宋体"/>
                <w:szCs w:val="21"/>
              </w:rPr>
              <w:t>文件资格审查部分提供有效的安全生产许可证及安全生产考核合格证书。</w:t>
            </w:r>
          </w:p>
          <w:p>
            <w:pPr>
              <w:keepNext w:val="0"/>
              <w:keepLines w:val="0"/>
              <w:pageBreakBefore w:val="0"/>
              <w:kinsoku/>
              <w:overflowPunct/>
              <w:autoSpaceDE w:val="0"/>
              <w:autoSpaceDN w:val="0"/>
              <w:bidi w:val="0"/>
              <w:adjustRightInd w:val="0"/>
              <w:snapToGrid w:val="0"/>
              <w:spacing w:line="400" w:lineRule="exact"/>
              <w:ind w:firstLine="422" w:firstLineChars="200"/>
              <w:textAlignment w:val="auto"/>
              <w:rPr>
                <w:rFonts w:ascii="宋体" w:hAnsi="宋体" w:cs="宋体"/>
                <w:b/>
                <w:szCs w:val="21"/>
              </w:rPr>
            </w:pPr>
            <w:r>
              <w:rPr>
                <w:rFonts w:hint="eastAsia" w:ascii="宋体" w:hAnsi="宋体" w:cs="宋体"/>
                <w:b/>
                <w:szCs w:val="21"/>
              </w:rPr>
              <w:t>2.财务要求</w:t>
            </w:r>
          </w:p>
          <w:p>
            <w:pPr>
              <w:keepNext w:val="0"/>
              <w:keepLines w:val="0"/>
              <w:pageBreakBefore w:val="0"/>
              <w:kinsoku/>
              <w:overflowPunct/>
              <w:autoSpaceDE w:val="0"/>
              <w:autoSpaceDN w:val="0"/>
              <w:bidi w:val="0"/>
              <w:adjustRightInd w:val="0"/>
              <w:snapToGrid w:val="0"/>
              <w:spacing w:line="400" w:lineRule="exact"/>
              <w:ind w:firstLine="420" w:firstLineChars="200"/>
              <w:textAlignment w:val="auto"/>
              <w:rPr>
                <w:rFonts w:ascii="宋体" w:hAnsi="宋体"/>
                <w:kern w:val="0"/>
                <w:szCs w:val="21"/>
              </w:rPr>
            </w:pPr>
            <w:r>
              <w:rPr>
                <w:rFonts w:hint="eastAsia" w:ascii="宋体" w:hAnsi="宋体"/>
                <w:color w:val="auto"/>
                <w:kern w:val="0"/>
                <w:szCs w:val="21"/>
                <w:highlight w:val="none"/>
                <w:u w:val="single"/>
                <w:lang w:val="en-US" w:eastAsia="zh-CN"/>
              </w:rPr>
              <w:t>2019</w:t>
            </w:r>
            <w:r>
              <w:rPr>
                <w:rFonts w:hint="eastAsia" w:ascii="宋体" w:hAnsi="宋体"/>
                <w:color w:val="auto"/>
                <w:kern w:val="0"/>
                <w:szCs w:val="21"/>
                <w:highlight w:val="none"/>
              </w:rPr>
              <w:t>年、</w:t>
            </w:r>
            <w:r>
              <w:rPr>
                <w:rFonts w:hint="eastAsia" w:ascii="宋体" w:hAnsi="宋体"/>
                <w:color w:val="auto"/>
                <w:kern w:val="0"/>
                <w:szCs w:val="21"/>
                <w:highlight w:val="none"/>
                <w:u w:val="single"/>
                <w:lang w:val="en-US" w:eastAsia="zh-CN"/>
              </w:rPr>
              <w:t>2020</w:t>
            </w:r>
            <w:r>
              <w:rPr>
                <w:rFonts w:hint="eastAsia" w:ascii="宋体" w:hAnsi="宋体"/>
                <w:color w:val="auto"/>
                <w:kern w:val="0"/>
                <w:szCs w:val="21"/>
                <w:highlight w:val="none"/>
              </w:rPr>
              <w:t>年、</w:t>
            </w:r>
            <w:r>
              <w:rPr>
                <w:rFonts w:hint="eastAsia" w:ascii="宋体" w:hAnsi="宋体"/>
                <w:color w:val="auto"/>
                <w:kern w:val="0"/>
                <w:szCs w:val="21"/>
                <w:highlight w:val="none"/>
                <w:u w:val="single"/>
                <w:lang w:val="en-US" w:eastAsia="zh-CN"/>
              </w:rPr>
              <w:t>2021</w:t>
            </w:r>
            <w:r>
              <w:rPr>
                <w:rFonts w:hint="eastAsia" w:ascii="宋体" w:hAnsi="宋体"/>
                <w:color w:val="auto"/>
                <w:kern w:val="0"/>
                <w:szCs w:val="21"/>
                <w:highlight w:val="none"/>
              </w:rPr>
              <w:t>年</w:t>
            </w:r>
            <w:r>
              <w:rPr>
                <w:rFonts w:hint="eastAsia" w:ascii="宋体" w:hAnsi="宋体"/>
                <w:kern w:val="0"/>
                <w:szCs w:val="21"/>
              </w:rPr>
              <w:t>的年度财务状况不亏损。</w:t>
            </w:r>
          </w:p>
          <w:p>
            <w:pPr>
              <w:keepNext w:val="0"/>
              <w:keepLines w:val="0"/>
              <w:pageBreakBefore w:val="0"/>
              <w:kinsoku/>
              <w:overflowPunct/>
              <w:bidi w:val="0"/>
              <w:snapToGrid w:val="0"/>
              <w:spacing w:line="400" w:lineRule="exact"/>
              <w:ind w:firstLine="420" w:firstLineChars="200"/>
              <w:textAlignment w:val="auto"/>
              <w:rPr>
                <w:rFonts w:ascii="宋体" w:hAnsi="宋体"/>
                <w:kern w:val="0"/>
                <w:szCs w:val="21"/>
              </w:rPr>
            </w:pPr>
            <w:r>
              <w:rPr>
                <w:rFonts w:hint="eastAsia" w:ascii="宋体" w:hAnsi="宋体"/>
                <w:kern w:val="0"/>
                <w:szCs w:val="21"/>
                <w:lang w:eastAsia="zh-CN"/>
              </w:rPr>
              <w:t>竞标</w:t>
            </w:r>
            <w:r>
              <w:rPr>
                <w:rFonts w:hint="eastAsia" w:ascii="宋体" w:hAnsi="宋体"/>
                <w:kern w:val="0"/>
                <w:szCs w:val="21"/>
              </w:rPr>
              <w:t>人须在</w:t>
            </w:r>
            <w:r>
              <w:rPr>
                <w:rFonts w:hint="eastAsia" w:ascii="宋体" w:hAnsi="宋体"/>
                <w:kern w:val="0"/>
                <w:szCs w:val="21"/>
                <w:lang w:eastAsia="zh-CN"/>
              </w:rPr>
              <w:t>竞标</w:t>
            </w:r>
            <w:r>
              <w:rPr>
                <w:rFonts w:hint="eastAsia" w:ascii="宋体" w:hAnsi="宋体"/>
                <w:kern w:val="0"/>
                <w:szCs w:val="21"/>
              </w:rPr>
              <w:t>文件资格审查部分提供经会计师事务所或审计机构出具的合法有效的财务审计报告及财务报表，财务报表须至少包括现金流量表、资产负债表、利润表。</w:t>
            </w:r>
          </w:p>
          <w:p>
            <w:pPr>
              <w:keepNext w:val="0"/>
              <w:keepLines w:val="0"/>
              <w:pageBreakBefore w:val="0"/>
              <w:kinsoku/>
              <w:overflowPunct/>
              <w:autoSpaceDE w:val="0"/>
              <w:autoSpaceDN w:val="0"/>
              <w:bidi w:val="0"/>
              <w:adjustRightInd w:val="0"/>
              <w:snapToGrid w:val="0"/>
              <w:spacing w:line="400" w:lineRule="exact"/>
              <w:ind w:firstLine="422" w:firstLineChars="200"/>
              <w:textAlignment w:val="auto"/>
              <w:rPr>
                <w:rFonts w:ascii="宋体" w:hAnsi="宋体"/>
                <w:b/>
                <w:szCs w:val="21"/>
              </w:rPr>
            </w:pPr>
            <w:r>
              <w:rPr>
                <w:rFonts w:ascii="宋体" w:hAnsi="宋体"/>
                <w:b/>
                <w:szCs w:val="21"/>
              </w:rPr>
              <w:t>3.业绩要求</w:t>
            </w:r>
          </w:p>
          <w:p>
            <w:pPr>
              <w:keepNext w:val="0"/>
              <w:keepLines w:val="0"/>
              <w:pageBreakBefore w:val="0"/>
              <w:kinsoku/>
              <w:overflowPunct/>
              <w:autoSpaceDE w:val="0"/>
              <w:autoSpaceDN w:val="0"/>
              <w:bidi w:val="0"/>
              <w:adjustRightInd w:val="0"/>
              <w:snapToGrid w:val="0"/>
              <w:spacing w:line="400" w:lineRule="exact"/>
              <w:ind w:firstLine="420" w:firstLineChars="200"/>
              <w:textAlignment w:val="auto"/>
              <w:rPr>
                <w:rFonts w:ascii="宋体" w:hAnsi="宋体"/>
                <w:kern w:val="0"/>
                <w:szCs w:val="21"/>
              </w:rPr>
            </w:pPr>
            <w:r>
              <w:rPr>
                <w:rFonts w:hint="eastAsia" w:ascii="宋体" w:hAnsi="宋体"/>
                <w:kern w:val="0"/>
                <w:szCs w:val="21"/>
                <w:lang w:eastAsia="zh-CN"/>
              </w:rPr>
              <w:t>竞标</w:t>
            </w:r>
            <w:r>
              <w:rPr>
                <w:rFonts w:hint="eastAsia" w:ascii="宋体" w:hAnsi="宋体"/>
                <w:kern w:val="0"/>
                <w:szCs w:val="21"/>
              </w:rPr>
              <w:t>人提供的类似业绩应同时满足以下要求：</w:t>
            </w:r>
          </w:p>
          <w:p>
            <w:pPr>
              <w:keepNext w:val="0"/>
              <w:keepLines w:val="0"/>
              <w:pageBreakBefore w:val="0"/>
              <w:kinsoku/>
              <w:overflowPunct/>
              <w:autoSpaceDE w:val="0"/>
              <w:autoSpaceDN w:val="0"/>
              <w:bidi w:val="0"/>
              <w:adjustRightInd w:val="0"/>
              <w:snapToGrid w:val="0"/>
              <w:spacing w:line="400" w:lineRule="exact"/>
              <w:ind w:firstLine="420" w:firstLineChars="200"/>
              <w:textAlignment w:val="auto"/>
              <w:rPr>
                <w:rFonts w:ascii="宋体" w:hAnsi="宋体"/>
                <w:kern w:val="0"/>
                <w:szCs w:val="21"/>
              </w:rPr>
            </w:pPr>
            <w:r>
              <w:rPr>
                <w:rFonts w:hint="eastAsia" w:ascii="宋体" w:hAnsi="宋体"/>
                <w:kern w:val="0"/>
                <w:szCs w:val="21"/>
              </w:rPr>
              <w:t>3.1业绩时间要求：</w:t>
            </w:r>
          </w:p>
          <w:p>
            <w:pPr>
              <w:keepNext w:val="0"/>
              <w:keepLines w:val="0"/>
              <w:pageBreakBefore w:val="0"/>
              <w:kinsoku/>
              <w:overflowPunct/>
              <w:autoSpaceDE w:val="0"/>
              <w:autoSpaceDN w:val="0"/>
              <w:bidi w:val="0"/>
              <w:adjustRightInd w:val="0"/>
              <w:snapToGrid w:val="0"/>
              <w:spacing w:line="400" w:lineRule="exact"/>
              <w:ind w:firstLine="420" w:firstLineChars="200"/>
              <w:textAlignment w:val="auto"/>
              <w:rPr>
                <w:rFonts w:ascii="宋体" w:hAnsi="宋体"/>
                <w:szCs w:val="21"/>
                <w:u w:val="single"/>
              </w:rPr>
            </w:pPr>
            <w:r>
              <w:rPr>
                <w:rFonts w:hint="eastAsia" w:ascii="宋体" w:hAnsi="宋体"/>
                <w:kern w:val="0"/>
                <w:szCs w:val="21"/>
                <w:highlight w:val="none"/>
              </w:rPr>
              <w:t>比选</w:t>
            </w:r>
            <w:r>
              <w:rPr>
                <w:rFonts w:ascii="宋体" w:hAnsi="宋体"/>
                <w:kern w:val="0"/>
                <w:szCs w:val="21"/>
                <w:highlight w:val="none"/>
              </w:rPr>
              <w:t>截止日前</w:t>
            </w:r>
            <w:r>
              <w:rPr>
                <w:rFonts w:hint="eastAsia" w:ascii="宋体" w:hAnsi="宋体"/>
                <w:kern w:val="0"/>
                <w:szCs w:val="21"/>
                <w:highlight w:val="none"/>
                <w:lang w:val="en-US" w:eastAsia="zh-CN"/>
              </w:rPr>
              <w:t>3</w:t>
            </w:r>
            <w:r>
              <w:rPr>
                <w:rFonts w:ascii="宋体" w:hAnsi="宋体"/>
                <w:szCs w:val="21"/>
                <w:highlight w:val="none"/>
              </w:rPr>
              <w:t>年</w:t>
            </w:r>
            <w:r>
              <w:rPr>
                <w:rFonts w:hint="eastAsia" w:ascii="宋体" w:hAnsi="宋体"/>
                <w:szCs w:val="21"/>
                <w:highlight w:val="none"/>
              </w:rPr>
              <w:t>，指</w:t>
            </w:r>
            <w:r>
              <w:rPr>
                <w:rFonts w:hint="eastAsia" w:ascii="宋体" w:hAnsi="宋体"/>
                <w:szCs w:val="21"/>
                <w:highlight w:val="none"/>
                <w:u w:val="single"/>
              </w:rPr>
              <w:t>201</w:t>
            </w:r>
            <w:r>
              <w:rPr>
                <w:rFonts w:hint="eastAsia" w:ascii="宋体" w:hAnsi="宋体"/>
                <w:szCs w:val="21"/>
                <w:highlight w:val="none"/>
                <w:u w:val="single"/>
                <w:lang w:val="en-US" w:eastAsia="zh-CN"/>
              </w:rPr>
              <w:t>9</w:t>
            </w:r>
            <w:r>
              <w:rPr>
                <w:rFonts w:hint="eastAsia" w:ascii="宋体" w:hAnsi="宋体"/>
                <w:szCs w:val="21"/>
                <w:highlight w:val="none"/>
              </w:rPr>
              <w:t>年1月1日</w:t>
            </w:r>
            <w:r>
              <w:rPr>
                <w:rFonts w:hint="eastAsia" w:ascii="宋体" w:hAnsi="宋体"/>
                <w:szCs w:val="21"/>
              </w:rPr>
              <w:t>起至比选截止日止（以竣工时间为准）的1个类似项目业绩。</w:t>
            </w:r>
          </w:p>
          <w:p>
            <w:pPr>
              <w:keepNext w:val="0"/>
              <w:keepLines w:val="0"/>
              <w:pageBreakBefore w:val="0"/>
              <w:kinsoku/>
              <w:overflowPunct/>
              <w:autoSpaceDE w:val="0"/>
              <w:autoSpaceDN w:val="0"/>
              <w:bidi w:val="0"/>
              <w:adjustRightInd w:val="0"/>
              <w:snapToGrid w:val="0"/>
              <w:spacing w:line="400" w:lineRule="exact"/>
              <w:ind w:firstLine="420" w:firstLineChars="200"/>
              <w:textAlignment w:val="auto"/>
              <w:rPr>
                <w:rFonts w:ascii="宋体" w:hAnsi="宋体"/>
                <w:szCs w:val="21"/>
              </w:rPr>
            </w:pPr>
            <w:r>
              <w:rPr>
                <w:rFonts w:hint="eastAsia" w:ascii="宋体" w:hAnsi="宋体"/>
                <w:szCs w:val="21"/>
              </w:rPr>
              <w:t>3.2业绩规模要求：</w:t>
            </w:r>
          </w:p>
          <w:p>
            <w:pPr>
              <w:keepNext w:val="0"/>
              <w:keepLines w:val="0"/>
              <w:pageBreakBefore w:val="0"/>
              <w:kinsoku/>
              <w:overflowPunct/>
              <w:autoSpaceDE w:val="0"/>
              <w:autoSpaceDN w:val="0"/>
              <w:bidi w:val="0"/>
              <w:adjustRightInd w:val="0"/>
              <w:snapToGrid w:val="0"/>
              <w:spacing w:line="400" w:lineRule="exact"/>
              <w:ind w:left="420" w:leftChars="200" w:firstLine="0" w:firstLineChars="0"/>
              <w:textAlignment w:val="auto"/>
              <w:rPr>
                <w:rFonts w:hint="eastAsia" w:ascii="宋体" w:hAnsi="宋体"/>
                <w:color w:val="auto"/>
                <w:szCs w:val="21"/>
                <w:highlight w:val="none"/>
                <w:u w:val="single"/>
                <w:lang w:val="en-US" w:eastAsia="zh-CN"/>
              </w:rPr>
            </w:pPr>
            <w:r>
              <w:rPr>
                <w:rFonts w:hint="eastAsia" w:ascii="宋体" w:hAnsi="宋体"/>
                <w:szCs w:val="21"/>
              </w:rPr>
              <w:t>工程类别：</w:t>
            </w:r>
            <w:r>
              <w:rPr>
                <w:rFonts w:hint="eastAsia" w:ascii="宋体" w:hAnsi="宋体"/>
                <w:color w:val="auto"/>
                <w:szCs w:val="21"/>
                <w:highlight w:val="none"/>
                <w:u w:val="single"/>
                <w:lang w:val="en-US" w:eastAsia="zh-CN"/>
              </w:rPr>
              <w:t>文物保养维护或修缮工程</w:t>
            </w:r>
          </w:p>
          <w:p>
            <w:pPr>
              <w:keepNext w:val="0"/>
              <w:keepLines w:val="0"/>
              <w:pageBreakBefore w:val="0"/>
              <w:kinsoku/>
              <w:overflowPunct/>
              <w:autoSpaceDE w:val="0"/>
              <w:autoSpaceDN w:val="0"/>
              <w:bidi w:val="0"/>
              <w:adjustRightInd w:val="0"/>
              <w:snapToGrid w:val="0"/>
              <w:spacing w:line="400" w:lineRule="exact"/>
              <w:ind w:left="420" w:leftChars="200" w:firstLine="0" w:firstLineChars="0"/>
              <w:textAlignment w:val="auto"/>
              <w:rPr>
                <w:rFonts w:ascii="宋体" w:hAnsi="宋体"/>
                <w:szCs w:val="21"/>
              </w:rPr>
            </w:pPr>
            <w:r>
              <w:rPr>
                <w:rFonts w:hint="eastAsia" w:ascii="宋体" w:hAnsi="宋体"/>
                <w:szCs w:val="21"/>
              </w:rPr>
              <w:t>若同时设置了工程造价和工程规模要求，则只须满足其中之一:</w:t>
            </w:r>
          </w:p>
          <w:p>
            <w:pPr>
              <w:keepNext w:val="0"/>
              <w:keepLines w:val="0"/>
              <w:pageBreakBefore w:val="0"/>
              <w:kinsoku/>
              <w:overflowPunct/>
              <w:autoSpaceDE w:val="0"/>
              <w:autoSpaceDN w:val="0"/>
              <w:bidi w:val="0"/>
              <w:adjustRightInd w:val="0"/>
              <w:snapToGrid w:val="0"/>
              <w:spacing w:line="400" w:lineRule="exact"/>
              <w:ind w:firstLine="420" w:firstLineChars="200"/>
              <w:textAlignment w:val="auto"/>
              <w:rPr>
                <w:rFonts w:ascii="宋体" w:hAnsi="宋体"/>
                <w:szCs w:val="21"/>
                <w:u w:val="single"/>
              </w:rPr>
            </w:pPr>
            <w:r>
              <w:rPr>
                <w:rFonts w:hint="eastAsia" w:ascii="宋体" w:hAnsi="宋体"/>
                <w:color w:val="auto"/>
                <w:szCs w:val="21"/>
                <w:highlight w:val="none"/>
              </w:rPr>
              <w:sym w:font="Wingdings 2" w:char="0052"/>
            </w:r>
            <w:r>
              <w:rPr>
                <w:rFonts w:hint="eastAsia" w:ascii="宋体" w:hAnsi="宋体"/>
                <w:szCs w:val="21"/>
              </w:rPr>
              <w:t>工程造价：</w:t>
            </w:r>
            <w:r>
              <w:rPr>
                <w:rFonts w:hint="eastAsia" w:ascii="宋体" w:hAnsi="宋体"/>
                <w:color w:val="auto"/>
                <w:szCs w:val="21"/>
                <w:highlight w:val="none"/>
                <w:u w:val="single"/>
                <w:lang w:val="en-US" w:eastAsia="zh-CN"/>
              </w:rPr>
              <w:t>单个项目合同金额200万元及以上</w:t>
            </w:r>
          </w:p>
          <w:p>
            <w:pPr>
              <w:keepNext w:val="0"/>
              <w:keepLines w:val="0"/>
              <w:pageBreakBefore w:val="0"/>
              <w:kinsoku/>
              <w:overflowPunct/>
              <w:autoSpaceDE w:val="0"/>
              <w:autoSpaceDN w:val="0"/>
              <w:bidi w:val="0"/>
              <w:adjustRightInd w:val="0"/>
              <w:snapToGrid w:val="0"/>
              <w:spacing w:line="400" w:lineRule="exact"/>
              <w:ind w:firstLine="420" w:firstLineChars="200"/>
              <w:textAlignment w:val="auto"/>
              <w:rPr>
                <w:rFonts w:hint="eastAsia" w:ascii="宋体" w:hAnsi="宋体" w:eastAsia="宋体"/>
                <w:szCs w:val="21"/>
                <w:u w:val="single"/>
                <w:lang w:eastAsia="zh-CN"/>
              </w:rPr>
            </w:pPr>
            <w:r>
              <w:rPr>
                <w:rFonts w:hint="eastAsia" w:ascii="宋体" w:hAnsi="宋体"/>
                <w:color w:val="auto"/>
                <w:szCs w:val="21"/>
                <w:highlight w:val="none"/>
              </w:rPr>
              <w:sym w:font="Wingdings 2" w:char="00A3"/>
            </w:r>
            <w:r>
              <w:rPr>
                <w:rFonts w:hint="eastAsia" w:ascii="宋体" w:hAnsi="宋体"/>
                <w:szCs w:val="21"/>
              </w:rPr>
              <w:t>工程规模：</w:t>
            </w:r>
            <w:r>
              <w:rPr>
                <w:rFonts w:hint="eastAsia" w:ascii="宋体" w:hAnsi="宋体"/>
                <w:snapToGrid w:val="0"/>
                <w:kern w:val="0"/>
                <w:szCs w:val="21"/>
                <w:u w:val="single"/>
                <w:lang w:val="en-US" w:eastAsia="zh-CN"/>
              </w:rPr>
              <w:t>/</w:t>
            </w:r>
          </w:p>
          <w:p>
            <w:pPr>
              <w:keepNext w:val="0"/>
              <w:keepLines w:val="0"/>
              <w:pageBreakBefore w:val="0"/>
              <w:kinsoku/>
              <w:overflowPunct/>
              <w:autoSpaceDE w:val="0"/>
              <w:autoSpaceDN w:val="0"/>
              <w:bidi w:val="0"/>
              <w:adjustRightInd w:val="0"/>
              <w:snapToGrid w:val="0"/>
              <w:spacing w:line="400" w:lineRule="exact"/>
              <w:ind w:firstLine="415" w:firstLineChars="198"/>
              <w:textAlignment w:val="auto"/>
              <w:rPr>
                <w:rFonts w:ascii="宋体" w:hAnsi="宋体"/>
                <w:szCs w:val="21"/>
              </w:rPr>
            </w:pPr>
            <w:r>
              <w:rPr>
                <w:rFonts w:hint="eastAsia" w:ascii="宋体" w:hAnsi="宋体"/>
                <w:szCs w:val="21"/>
              </w:rPr>
              <w:t>3.3业绩证明材料要求：</w:t>
            </w:r>
          </w:p>
          <w:p>
            <w:pPr>
              <w:keepNext w:val="0"/>
              <w:keepLines w:val="0"/>
              <w:pageBreakBefore w:val="0"/>
              <w:kinsoku/>
              <w:overflowPunct/>
              <w:autoSpaceDE w:val="0"/>
              <w:autoSpaceDN w:val="0"/>
              <w:bidi w:val="0"/>
              <w:adjustRightInd w:val="0"/>
              <w:snapToGrid w:val="0"/>
              <w:spacing w:line="400" w:lineRule="exact"/>
              <w:ind w:firstLine="415" w:firstLineChars="198"/>
              <w:textAlignment w:val="auto"/>
              <w:rPr>
                <w:rFonts w:ascii="宋体" w:hAnsi="宋体" w:cs="宋体"/>
                <w:szCs w:val="21"/>
              </w:rPr>
            </w:pPr>
            <w:r>
              <w:rPr>
                <w:rFonts w:hint="eastAsia" w:ascii="宋体" w:hAnsi="宋体" w:cs="宋体"/>
                <w:szCs w:val="21"/>
                <w:lang w:eastAsia="zh-CN"/>
              </w:rPr>
              <w:t>竞标</w:t>
            </w:r>
            <w:r>
              <w:rPr>
                <w:rFonts w:hint="eastAsia" w:ascii="宋体" w:hAnsi="宋体" w:cs="宋体"/>
                <w:szCs w:val="21"/>
              </w:rPr>
              <w:t>人须在</w:t>
            </w:r>
            <w:r>
              <w:rPr>
                <w:rFonts w:hint="eastAsia" w:ascii="宋体" w:hAnsi="宋体" w:cs="宋体"/>
                <w:szCs w:val="21"/>
                <w:lang w:eastAsia="zh-CN"/>
              </w:rPr>
              <w:t>竞标</w:t>
            </w:r>
            <w:r>
              <w:rPr>
                <w:rFonts w:hint="eastAsia" w:ascii="宋体" w:hAnsi="宋体" w:cs="宋体"/>
                <w:szCs w:val="21"/>
              </w:rPr>
              <w:t>文件资格审查部分提供该业绩的中标通知书（直接发包的项目可提供项目发包人出具的项目直接发包情况说明或证明文书代替）、合同协议书和</w:t>
            </w:r>
            <w:r>
              <w:rPr>
                <w:rFonts w:hint="eastAsia" w:ascii="宋体" w:hAnsi="宋体" w:cs="宋体"/>
                <w:szCs w:val="21"/>
                <w:highlight w:val="none"/>
              </w:rPr>
              <w:t>竣工验收</w:t>
            </w:r>
            <w:r>
              <w:rPr>
                <w:rFonts w:hint="eastAsia" w:ascii="宋体" w:hAnsi="宋体" w:cs="宋体"/>
                <w:szCs w:val="21"/>
              </w:rPr>
              <w:t>合格的证明材料。所提供材料需体现工程名称、工程类别、工程规模、中标单位名称（或承包单位名称或施工企业名称），若上述资料无法体现上述信息的，还须提供业主证明。</w:t>
            </w:r>
          </w:p>
          <w:p>
            <w:pPr>
              <w:keepNext w:val="0"/>
              <w:keepLines w:val="0"/>
              <w:pageBreakBefore w:val="0"/>
              <w:kinsoku/>
              <w:overflowPunct/>
              <w:autoSpaceDE w:val="0"/>
              <w:autoSpaceDN w:val="0"/>
              <w:bidi w:val="0"/>
              <w:adjustRightInd w:val="0"/>
              <w:snapToGrid w:val="0"/>
              <w:spacing w:line="400" w:lineRule="exact"/>
              <w:ind w:firstLine="415" w:firstLineChars="198"/>
              <w:textAlignment w:val="auto"/>
              <w:rPr>
                <w:rFonts w:ascii="宋体" w:hAnsi="宋体" w:cs="宋体"/>
                <w:szCs w:val="21"/>
              </w:rPr>
            </w:pPr>
            <w:r>
              <w:rPr>
                <w:rFonts w:hint="eastAsia" w:ascii="宋体" w:hAnsi="宋体" w:cs="宋体"/>
                <w:szCs w:val="21"/>
              </w:rPr>
              <w:t>注：</w:t>
            </w:r>
            <w:r>
              <w:rPr>
                <w:rFonts w:hint="eastAsia" w:ascii="宋体" w:hAnsi="宋体" w:cs="宋体"/>
                <w:szCs w:val="21"/>
                <w:lang w:eastAsia="zh-CN"/>
              </w:rPr>
              <w:t>竞标</w:t>
            </w:r>
            <w:r>
              <w:rPr>
                <w:rFonts w:hint="eastAsia" w:ascii="宋体" w:hAnsi="宋体" w:cs="宋体"/>
                <w:szCs w:val="21"/>
              </w:rPr>
              <w:t>人应对其提供的业绩证明材料（含截图）的真实性负责。当上述资料中针对同一指标存在不一致时，以工程竣工验收合格的证明材料为准。</w:t>
            </w:r>
          </w:p>
          <w:p>
            <w:pPr>
              <w:keepNext w:val="0"/>
              <w:keepLines w:val="0"/>
              <w:pageBreakBefore w:val="0"/>
              <w:kinsoku/>
              <w:overflowPunct/>
              <w:autoSpaceDE w:val="0"/>
              <w:autoSpaceDN w:val="0"/>
              <w:bidi w:val="0"/>
              <w:adjustRightInd w:val="0"/>
              <w:snapToGrid w:val="0"/>
              <w:spacing w:line="400" w:lineRule="exact"/>
              <w:ind w:firstLine="415" w:firstLineChars="198"/>
              <w:textAlignment w:val="auto"/>
              <w:rPr>
                <w:rFonts w:ascii="宋体" w:hAnsi="宋体" w:cs="宋体"/>
                <w:szCs w:val="21"/>
              </w:rPr>
            </w:pPr>
            <w:r>
              <w:rPr>
                <w:rFonts w:hint="eastAsia" w:ascii="宋体" w:hAnsi="宋体" w:cs="宋体"/>
                <w:szCs w:val="21"/>
              </w:rPr>
              <w:t>不满足上述业绩要求的业绩无效。</w:t>
            </w:r>
          </w:p>
          <w:p>
            <w:pPr>
              <w:keepNext w:val="0"/>
              <w:keepLines w:val="0"/>
              <w:pageBreakBefore w:val="0"/>
              <w:kinsoku/>
              <w:overflowPunct/>
              <w:bidi w:val="0"/>
              <w:adjustRightInd w:val="0"/>
              <w:snapToGrid w:val="0"/>
              <w:spacing w:line="400" w:lineRule="exact"/>
              <w:ind w:firstLine="422" w:firstLineChars="200"/>
              <w:textAlignment w:val="auto"/>
              <w:rPr>
                <w:rFonts w:ascii="宋体" w:hAnsi="宋体"/>
                <w:b/>
                <w:szCs w:val="21"/>
              </w:rPr>
            </w:pPr>
            <w:r>
              <w:rPr>
                <w:rFonts w:ascii="宋体" w:hAnsi="宋体"/>
                <w:b/>
                <w:szCs w:val="21"/>
              </w:rPr>
              <w:t>4.</w:t>
            </w:r>
            <w:r>
              <w:rPr>
                <w:rFonts w:hint="eastAsia" w:ascii="宋体" w:hAnsi="宋体"/>
                <w:b/>
                <w:szCs w:val="21"/>
              </w:rPr>
              <w:t>比选</w:t>
            </w:r>
            <w:r>
              <w:rPr>
                <w:rFonts w:ascii="宋体" w:hAnsi="宋体"/>
                <w:b/>
                <w:szCs w:val="21"/>
              </w:rPr>
              <w:t>截止日</w:t>
            </w:r>
            <w:r>
              <w:rPr>
                <w:rFonts w:hint="eastAsia" w:ascii="宋体" w:hAnsi="宋体"/>
                <w:b/>
                <w:szCs w:val="21"/>
                <w:lang w:eastAsia="zh-CN"/>
              </w:rPr>
              <w:t>竞标</w:t>
            </w:r>
            <w:r>
              <w:rPr>
                <w:rFonts w:ascii="宋体" w:hAnsi="宋体"/>
                <w:b/>
                <w:szCs w:val="21"/>
              </w:rPr>
              <w:t>资格情况</w:t>
            </w:r>
          </w:p>
          <w:p>
            <w:pPr>
              <w:keepNext w:val="0"/>
              <w:keepLines w:val="0"/>
              <w:pageBreakBefore w:val="0"/>
              <w:kinsoku/>
              <w:overflowPunct/>
              <w:bidi w:val="0"/>
              <w:snapToGrid w:val="0"/>
              <w:spacing w:line="400" w:lineRule="exact"/>
              <w:ind w:firstLine="420" w:firstLineChars="200"/>
              <w:textAlignment w:val="auto"/>
              <w:rPr>
                <w:rFonts w:ascii="宋体" w:hAnsi="宋体"/>
                <w:szCs w:val="21"/>
              </w:rPr>
            </w:pPr>
            <w:r>
              <w:rPr>
                <w:rFonts w:hint="eastAsia" w:ascii="宋体" w:hAnsi="宋体"/>
                <w:szCs w:val="21"/>
                <w:lang w:eastAsia="zh-CN"/>
              </w:rPr>
              <w:t>竞标</w:t>
            </w:r>
            <w:r>
              <w:rPr>
                <w:rFonts w:hint="eastAsia" w:ascii="宋体" w:hAnsi="宋体"/>
                <w:szCs w:val="21"/>
              </w:rPr>
              <w:t>人自行承诺（格式见第八章</w:t>
            </w:r>
            <w:r>
              <w:rPr>
                <w:rFonts w:hint="eastAsia" w:ascii="宋体" w:hAnsi="宋体"/>
                <w:szCs w:val="21"/>
                <w:lang w:eastAsia="zh-CN"/>
              </w:rPr>
              <w:t>竞标</w:t>
            </w:r>
            <w:r>
              <w:rPr>
                <w:rFonts w:hint="eastAsia" w:ascii="宋体" w:hAnsi="宋体"/>
                <w:szCs w:val="21"/>
              </w:rPr>
              <w:t>文件格式）不得存在下列情形之一：</w:t>
            </w:r>
          </w:p>
          <w:p>
            <w:pPr>
              <w:keepNext w:val="0"/>
              <w:keepLines w:val="0"/>
              <w:pageBreakBefore w:val="0"/>
              <w:kinsoku/>
              <w:overflowPunct/>
              <w:bidi w:val="0"/>
              <w:snapToGrid w:val="0"/>
              <w:spacing w:line="400" w:lineRule="exact"/>
              <w:ind w:firstLine="420" w:firstLineChars="200"/>
              <w:jc w:val="left"/>
              <w:textAlignment w:val="auto"/>
              <w:rPr>
                <w:rFonts w:ascii="宋体" w:hAnsi="宋体"/>
                <w:szCs w:val="21"/>
              </w:rPr>
            </w:pPr>
            <w:r>
              <w:rPr>
                <w:rFonts w:hint="eastAsia" w:ascii="宋体" w:hAnsi="宋体"/>
                <w:szCs w:val="21"/>
              </w:rPr>
              <w:t>（1）被人民法院列入失信被执行人名单且在被执行期内；</w:t>
            </w:r>
          </w:p>
          <w:p>
            <w:pPr>
              <w:keepNext w:val="0"/>
              <w:keepLines w:val="0"/>
              <w:pageBreakBefore w:val="0"/>
              <w:kinsoku/>
              <w:overflowPunct/>
              <w:bidi w:val="0"/>
              <w:snapToGrid w:val="0"/>
              <w:spacing w:line="400" w:lineRule="exact"/>
              <w:ind w:firstLine="420" w:firstLineChars="200"/>
              <w:textAlignment w:val="auto"/>
              <w:rPr>
                <w:rFonts w:ascii="宋体" w:hAnsi="宋体"/>
                <w:szCs w:val="21"/>
              </w:rPr>
            </w:pPr>
            <w:r>
              <w:rPr>
                <w:rFonts w:hint="eastAsia" w:ascii="宋体" w:hAnsi="宋体"/>
                <w:szCs w:val="21"/>
              </w:rPr>
              <w:t>（2）被列入《重庆市工程建设领域招标投标信用管理暂行办法》规定的重点关注名单且记分达到12分且在记分有效期内；</w:t>
            </w:r>
          </w:p>
          <w:p>
            <w:pPr>
              <w:keepNext w:val="0"/>
              <w:keepLines w:val="0"/>
              <w:pageBreakBefore w:val="0"/>
              <w:kinsoku/>
              <w:overflowPunct/>
              <w:bidi w:val="0"/>
              <w:snapToGrid w:val="0"/>
              <w:spacing w:line="400" w:lineRule="exact"/>
              <w:ind w:firstLine="420" w:firstLineChars="200"/>
              <w:textAlignment w:val="auto"/>
              <w:rPr>
                <w:rFonts w:ascii="宋体" w:hAnsi="宋体"/>
                <w:szCs w:val="21"/>
              </w:rPr>
            </w:pPr>
            <w:r>
              <w:rPr>
                <w:rFonts w:hint="eastAsia" w:ascii="宋体" w:hAnsi="宋体"/>
                <w:szCs w:val="21"/>
              </w:rPr>
              <w:t>（3）被列入《重庆市工程建设领域招标投标信用管理暂行办法》规定的重庆市工程建设领域招标投标失信惩戒对象名单（以下称黑名单）且在记分有效期内；</w:t>
            </w:r>
          </w:p>
          <w:p>
            <w:pPr>
              <w:keepNext w:val="0"/>
              <w:keepLines w:val="0"/>
              <w:pageBreakBefore w:val="0"/>
              <w:kinsoku/>
              <w:overflowPunct/>
              <w:bidi w:val="0"/>
              <w:snapToGrid w:val="0"/>
              <w:spacing w:line="400" w:lineRule="exact"/>
              <w:ind w:firstLine="420" w:firstLineChars="200"/>
              <w:textAlignment w:val="auto"/>
              <w:rPr>
                <w:rFonts w:ascii="宋体" w:hAnsi="宋体"/>
                <w:szCs w:val="21"/>
              </w:rPr>
            </w:pPr>
            <w:r>
              <w:rPr>
                <w:rFonts w:hint="eastAsia" w:ascii="宋体" w:hAnsi="宋体"/>
                <w:szCs w:val="21"/>
              </w:rPr>
              <w:t>（4）被国家、重庆市（含市或任意区县）有关行政部门处以暂停投标资格行政处罚，且在处罚期限内；</w:t>
            </w:r>
          </w:p>
          <w:p>
            <w:pPr>
              <w:keepNext w:val="0"/>
              <w:keepLines w:val="0"/>
              <w:pageBreakBefore w:val="0"/>
              <w:kinsoku/>
              <w:overflowPunct/>
              <w:bidi w:val="0"/>
              <w:snapToGrid w:val="0"/>
              <w:spacing w:line="400" w:lineRule="exact"/>
              <w:ind w:firstLine="420" w:firstLineChars="200"/>
              <w:textAlignment w:val="auto"/>
              <w:rPr>
                <w:rFonts w:ascii="宋体" w:hAnsi="宋体"/>
                <w:szCs w:val="21"/>
              </w:rPr>
            </w:pPr>
            <w:r>
              <w:rPr>
                <w:rFonts w:hint="eastAsia" w:ascii="宋体" w:hAnsi="宋体"/>
                <w:szCs w:val="21"/>
              </w:rPr>
              <w:t>（5）被重庆市住房和城乡建设主管部门暂停在渝承揽新业务且在暂停期内。</w:t>
            </w:r>
          </w:p>
          <w:p>
            <w:pPr>
              <w:keepNext w:val="0"/>
              <w:keepLines w:val="0"/>
              <w:pageBreakBefore w:val="0"/>
              <w:kinsoku/>
              <w:overflowPunct/>
              <w:bidi w:val="0"/>
              <w:spacing w:line="400" w:lineRule="exact"/>
              <w:ind w:firstLine="420" w:firstLineChars="200"/>
              <w:textAlignment w:val="auto"/>
            </w:pPr>
            <w:r>
              <w:rPr>
                <w:rFonts w:hint="eastAsia"/>
                <w:lang w:val="en-US" w:eastAsia="zh-CN"/>
              </w:rPr>
              <w:t>竞标</w:t>
            </w:r>
            <w:r>
              <w:rPr>
                <w:rFonts w:hint="eastAsia"/>
              </w:rPr>
              <w:t>人须在</w:t>
            </w:r>
            <w:r>
              <w:rPr>
                <w:rFonts w:hint="eastAsia"/>
                <w:lang w:val="en-US" w:eastAsia="zh-CN"/>
              </w:rPr>
              <w:t>竞标</w:t>
            </w:r>
            <w:r>
              <w:rPr>
                <w:rFonts w:hint="eastAsia"/>
              </w:rPr>
              <w:t>文件资格审查部分提供承诺。</w:t>
            </w:r>
          </w:p>
          <w:p>
            <w:pPr>
              <w:keepNext w:val="0"/>
              <w:keepLines w:val="0"/>
              <w:pageBreakBefore w:val="0"/>
              <w:kinsoku/>
              <w:overflowPunct/>
              <w:bidi w:val="0"/>
              <w:spacing w:line="400" w:lineRule="exact"/>
              <w:ind w:firstLine="420" w:firstLineChars="200"/>
              <w:textAlignment w:val="auto"/>
              <w:rPr>
                <w:rFonts w:hint="eastAsia" w:ascii="宋体" w:hAnsi="宋体" w:eastAsia="宋体" w:cs="宋体"/>
              </w:rPr>
            </w:pPr>
            <w:r>
              <w:rPr>
                <w:rFonts w:hint="eastAsia"/>
              </w:rPr>
              <w:t>上</w:t>
            </w:r>
            <w:r>
              <w:rPr>
                <w:rFonts w:hint="eastAsia" w:ascii="宋体" w:hAnsi="宋体" w:eastAsia="宋体" w:cs="宋体"/>
              </w:rPr>
              <w:t>述第（2）、（3）款信用状况在开标环节进行查询，查询结果交由评标委员会评审，若</w:t>
            </w:r>
            <w:r>
              <w:rPr>
                <w:rFonts w:hint="eastAsia" w:ascii="宋体" w:hAnsi="宋体" w:cs="宋体"/>
                <w:lang w:eastAsia="zh-CN"/>
              </w:rPr>
              <w:t>竞标</w:t>
            </w:r>
            <w:r>
              <w:rPr>
                <w:rFonts w:hint="eastAsia" w:ascii="宋体" w:hAnsi="宋体" w:eastAsia="宋体" w:cs="宋体"/>
              </w:rPr>
              <w:t>人针对上述第（2）、（3）款的承诺内容与查询结果不符，由评标委员会作否决</w:t>
            </w:r>
            <w:r>
              <w:rPr>
                <w:rFonts w:hint="eastAsia" w:ascii="宋体" w:hAnsi="宋体" w:cs="宋体"/>
                <w:lang w:val="en-US" w:eastAsia="zh-CN"/>
              </w:rPr>
              <w:t>竞标</w:t>
            </w:r>
            <w:r>
              <w:rPr>
                <w:rFonts w:hint="eastAsia" w:ascii="宋体" w:hAnsi="宋体" w:eastAsia="宋体" w:cs="宋体"/>
              </w:rPr>
              <w:t>处理。</w:t>
            </w:r>
          </w:p>
          <w:p>
            <w:pPr>
              <w:keepNext w:val="0"/>
              <w:keepLines w:val="0"/>
              <w:pageBreakBefore w:val="0"/>
              <w:kinsoku/>
              <w:overflowPunct/>
              <w:bidi w:val="0"/>
              <w:spacing w:line="400" w:lineRule="exact"/>
              <w:ind w:firstLine="420" w:firstLineChars="200"/>
              <w:textAlignment w:val="auto"/>
            </w:pPr>
            <w:r>
              <w:rPr>
                <w:rFonts w:hint="eastAsia"/>
              </w:rPr>
              <w:t>注：</w:t>
            </w:r>
            <w:r>
              <w:rPr>
                <w:rFonts w:hint="eastAsia"/>
                <w:lang w:eastAsia="zh-CN"/>
              </w:rPr>
              <w:t>竞标</w:t>
            </w:r>
            <w:r>
              <w:rPr>
                <w:rFonts w:hint="eastAsia"/>
              </w:rPr>
              <w:t>人是否因有不良行为记分、进入重点关注名单或黑名单而被限制投标的，以开标环节信用状况查询结果为准。</w:t>
            </w:r>
          </w:p>
          <w:p>
            <w:pPr>
              <w:keepNext w:val="0"/>
              <w:keepLines w:val="0"/>
              <w:pageBreakBefore w:val="0"/>
              <w:kinsoku/>
              <w:overflowPunct/>
              <w:bidi w:val="0"/>
              <w:snapToGrid w:val="0"/>
              <w:spacing w:line="400" w:lineRule="exact"/>
              <w:ind w:firstLine="422" w:firstLineChars="200"/>
              <w:textAlignment w:val="auto"/>
              <w:rPr>
                <w:rFonts w:ascii="宋体" w:hAnsi="宋体"/>
                <w:b/>
                <w:szCs w:val="21"/>
              </w:rPr>
            </w:pPr>
            <w:r>
              <w:rPr>
                <w:rFonts w:ascii="宋体" w:hAnsi="宋体"/>
                <w:b/>
                <w:szCs w:val="21"/>
              </w:rPr>
              <w:t>5.项目经理资格要求</w:t>
            </w:r>
          </w:p>
          <w:p>
            <w:pPr>
              <w:keepNext w:val="0"/>
              <w:keepLines w:val="0"/>
              <w:pageBreakBefore w:val="0"/>
              <w:kinsoku/>
              <w:overflowPunct/>
              <w:bidi w:val="0"/>
              <w:snapToGrid w:val="0"/>
              <w:spacing w:line="400" w:lineRule="exact"/>
              <w:ind w:firstLine="420" w:firstLineChars="200"/>
              <w:textAlignment w:val="auto"/>
              <w:rPr>
                <w:rFonts w:ascii="宋体" w:hAnsi="宋体"/>
                <w:szCs w:val="21"/>
              </w:rPr>
            </w:pPr>
            <w:r>
              <w:rPr>
                <w:rFonts w:hint="eastAsia" w:ascii="宋体" w:hAnsi="宋体"/>
                <w:szCs w:val="21"/>
              </w:rPr>
              <w:t>5.1</w:t>
            </w:r>
            <w:r>
              <w:rPr>
                <w:rFonts w:hint="eastAsia"/>
                <w:szCs w:val="21"/>
                <w:lang w:eastAsia="zh-CN"/>
              </w:rPr>
              <w:t>竞标</w:t>
            </w:r>
            <w:r>
              <w:rPr>
                <w:rFonts w:hint="eastAsia"/>
                <w:szCs w:val="21"/>
              </w:rPr>
              <w:t>人拟派的</w:t>
            </w:r>
            <w:r>
              <w:rPr>
                <w:szCs w:val="21"/>
              </w:rPr>
              <w:t>项目经理必须已在</w:t>
            </w:r>
            <w:r>
              <w:rPr>
                <w:rFonts w:hint="eastAsia"/>
                <w:szCs w:val="21"/>
                <w:lang w:eastAsia="zh-CN"/>
              </w:rPr>
              <w:t>竞标</w:t>
            </w:r>
            <w:r>
              <w:rPr>
                <w:rFonts w:hint="eastAsia"/>
                <w:szCs w:val="21"/>
              </w:rPr>
              <w:t>人本</w:t>
            </w:r>
            <w:r>
              <w:rPr>
                <w:szCs w:val="21"/>
              </w:rPr>
              <w:t>单位注册并应具有</w:t>
            </w:r>
            <w:r>
              <w:rPr>
                <w:rFonts w:hint="eastAsia"/>
                <w:szCs w:val="21"/>
                <w:u w:val="single"/>
              </w:rPr>
              <w:t>文物责任工程师证</w:t>
            </w:r>
            <w:r>
              <w:rPr>
                <w:rFonts w:hint="eastAsia" w:ascii="宋体" w:hAnsi="宋体"/>
                <w:szCs w:val="21"/>
              </w:rPr>
              <w:t>。</w:t>
            </w:r>
          </w:p>
          <w:p>
            <w:pPr>
              <w:keepNext w:val="0"/>
              <w:keepLines w:val="0"/>
              <w:pageBreakBefore w:val="0"/>
              <w:kinsoku/>
              <w:overflowPunct/>
              <w:bidi w:val="0"/>
              <w:snapToGrid w:val="0"/>
              <w:spacing w:line="400" w:lineRule="exact"/>
              <w:ind w:firstLine="420" w:firstLineChars="200"/>
              <w:jc w:val="left"/>
              <w:textAlignment w:val="auto"/>
              <w:rPr>
                <w:rFonts w:ascii="宋体" w:hAnsi="宋体"/>
                <w:szCs w:val="21"/>
              </w:rPr>
            </w:pPr>
            <w:r>
              <w:rPr>
                <w:rFonts w:hint="eastAsia" w:ascii="宋体" w:hAnsi="宋体"/>
                <w:szCs w:val="21"/>
              </w:rPr>
              <w:t>5.2项目经理承诺要求：</w:t>
            </w:r>
            <w:r>
              <w:rPr>
                <w:rFonts w:hint="eastAsia" w:ascii="宋体" w:hAnsi="宋体"/>
                <w:szCs w:val="21"/>
                <w:lang w:eastAsia="zh-CN"/>
              </w:rPr>
              <w:t>竞标</w:t>
            </w:r>
            <w:r>
              <w:rPr>
                <w:rFonts w:hint="eastAsia" w:ascii="宋体" w:hAnsi="宋体"/>
                <w:szCs w:val="21"/>
              </w:rPr>
              <w:t>人须承诺拟派项目经理按注册建造师的相关规定到岗履职和未被禁止参与投标。</w:t>
            </w:r>
          </w:p>
          <w:p>
            <w:pPr>
              <w:keepNext w:val="0"/>
              <w:keepLines w:val="0"/>
              <w:pageBreakBefore w:val="0"/>
              <w:kinsoku/>
              <w:overflowPunct/>
              <w:bidi w:val="0"/>
              <w:snapToGrid w:val="0"/>
              <w:spacing w:line="400" w:lineRule="exact"/>
              <w:ind w:firstLine="420" w:firstLineChars="200"/>
              <w:textAlignment w:val="auto"/>
              <w:rPr>
                <w:rFonts w:ascii="宋体" w:hAnsi="宋体"/>
                <w:color w:val="000000"/>
              </w:rPr>
            </w:pPr>
            <w:r>
              <w:rPr>
                <w:rFonts w:ascii="宋体" w:hAnsi="宋体"/>
                <w:color w:val="000000"/>
              </w:rPr>
              <w:t>5.2.3项目经理的其它承诺要求：为保证</w:t>
            </w:r>
            <w:r>
              <w:rPr>
                <w:rFonts w:hint="eastAsia" w:ascii="宋体" w:hAnsi="宋体"/>
                <w:color w:val="000000"/>
                <w:lang w:eastAsia="zh-CN"/>
              </w:rPr>
              <w:t>竞标</w:t>
            </w:r>
            <w:r>
              <w:rPr>
                <w:rFonts w:hint="eastAsia" w:ascii="宋体" w:hAnsi="宋体"/>
                <w:color w:val="000000"/>
              </w:rPr>
              <w:t>人</w:t>
            </w:r>
            <w:r>
              <w:rPr>
                <w:rFonts w:ascii="宋体" w:hAnsi="宋体"/>
                <w:color w:val="000000"/>
              </w:rPr>
              <w:t>拟派的项目经理到本项目到岗履职，</w:t>
            </w:r>
            <w:r>
              <w:rPr>
                <w:rFonts w:hint="eastAsia" w:ascii="宋体" w:hAnsi="宋体"/>
                <w:color w:val="000000"/>
                <w:lang w:eastAsia="zh-CN"/>
              </w:rPr>
              <w:t>竞标</w:t>
            </w:r>
            <w:r>
              <w:rPr>
                <w:rFonts w:hint="eastAsia" w:ascii="宋体" w:hAnsi="宋体"/>
                <w:color w:val="000000"/>
              </w:rPr>
              <w:t>人</w:t>
            </w:r>
            <w:r>
              <w:rPr>
                <w:rFonts w:ascii="宋体" w:hAnsi="宋体"/>
                <w:color w:val="000000"/>
              </w:rPr>
              <w:t>还需承诺：</w:t>
            </w:r>
          </w:p>
          <w:p>
            <w:pPr>
              <w:keepNext w:val="0"/>
              <w:keepLines w:val="0"/>
              <w:pageBreakBefore w:val="0"/>
              <w:kinsoku/>
              <w:overflowPunct/>
              <w:bidi w:val="0"/>
              <w:snapToGrid w:val="0"/>
              <w:spacing w:line="400" w:lineRule="exact"/>
              <w:ind w:firstLine="420" w:firstLineChars="200"/>
              <w:textAlignment w:val="auto"/>
              <w:rPr>
                <w:rFonts w:ascii="宋体" w:hAnsi="宋体"/>
                <w:color w:val="000000"/>
              </w:rPr>
            </w:pPr>
            <w:r>
              <w:rPr>
                <w:rFonts w:ascii="宋体" w:hAnsi="宋体"/>
                <w:color w:val="000000"/>
              </w:rPr>
              <w:t>若</w:t>
            </w:r>
            <w:r>
              <w:rPr>
                <w:rFonts w:hint="eastAsia" w:ascii="宋体" w:hAnsi="宋体"/>
                <w:color w:val="000000"/>
                <w:lang w:eastAsia="zh-CN"/>
              </w:rPr>
              <w:t>竞标</w:t>
            </w:r>
            <w:r>
              <w:rPr>
                <w:rFonts w:hint="eastAsia" w:ascii="宋体" w:hAnsi="宋体"/>
                <w:color w:val="000000"/>
              </w:rPr>
              <w:t>人</w:t>
            </w:r>
            <w:r>
              <w:rPr>
                <w:rFonts w:ascii="宋体" w:hAnsi="宋体"/>
                <w:color w:val="000000"/>
              </w:rPr>
              <w:t>拟派本项目的项目经理有在其他项目任职的情形的（或有在其他项目中标或拟中标的情形的），应在收到中标通知书后</w:t>
            </w:r>
            <w:r>
              <w:rPr>
                <w:rFonts w:ascii="宋体" w:hAnsi="宋体"/>
                <w:color w:val="000000"/>
                <w:u w:val="single"/>
              </w:rPr>
              <w:t xml:space="preserve"> 14 </w:t>
            </w:r>
            <w:r>
              <w:rPr>
                <w:rFonts w:ascii="宋体" w:hAnsi="宋体"/>
                <w:color w:val="000000"/>
              </w:rPr>
              <w:t>日内，办理完成放弃在其他项目任职的手续（或办理完成放弃在其他项目中标</w:t>
            </w:r>
            <w:r>
              <w:rPr>
                <w:rFonts w:hint="eastAsia" w:ascii="宋体" w:hAnsi="宋体"/>
                <w:color w:val="000000"/>
              </w:rPr>
              <w:t>或拟中标</w:t>
            </w:r>
            <w:r>
              <w:rPr>
                <w:rFonts w:ascii="宋体" w:hAnsi="宋体"/>
                <w:color w:val="000000"/>
              </w:rPr>
              <w:t>的手续），</w:t>
            </w:r>
            <w:r>
              <w:rPr>
                <w:rFonts w:hint="eastAsia" w:ascii="宋体" w:hAnsi="宋体"/>
                <w:color w:val="000000"/>
              </w:rPr>
              <w:t>比选</w:t>
            </w:r>
            <w:r>
              <w:rPr>
                <w:rFonts w:ascii="宋体" w:hAnsi="宋体"/>
                <w:color w:val="000000"/>
              </w:rPr>
              <w:t>人在合同签订前有权对</w:t>
            </w:r>
            <w:r>
              <w:rPr>
                <w:rFonts w:hint="eastAsia" w:ascii="宋体" w:hAnsi="宋体"/>
                <w:color w:val="000000"/>
                <w:lang w:eastAsia="zh-CN"/>
              </w:rPr>
              <w:t>竞标</w:t>
            </w:r>
            <w:r>
              <w:rPr>
                <w:rFonts w:hint="eastAsia" w:ascii="宋体" w:hAnsi="宋体"/>
                <w:color w:val="000000"/>
              </w:rPr>
              <w:t>人</w:t>
            </w:r>
            <w:r>
              <w:rPr>
                <w:rFonts w:ascii="宋体" w:hAnsi="宋体"/>
                <w:color w:val="000000"/>
              </w:rPr>
              <w:t>拟派项目经理在其他项目的任职情形（或在其他项目的中标或拟中标情形）进行核查，若与</w:t>
            </w:r>
            <w:r>
              <w:rPr>
                <w:rFonts w:hint="eastAsia" w:ascii="宋体" w:hAnsi="宋体"/>
                <w:color w:val="000000"/>
                <w:lang w:eastAsia="zh-CN"/>
              </w:rPr>
              <w:t>竞标</w:t>
            </w:r>
            <w:r>
              <w:rPr>
                <w:rFonts w:hint="eastAsia" w:ascii="宋体" w:hAnsi="宋体"/>
                <w:color w:val="000000"/>
              </w:rPr>
              <w:t>人</w:t>
            </w:r>
            <w:r>
              <w:rPr>
                <w:rFonts w:ascii="宋体" w:hAnsi="宋体"/>
                <w:color w:val="000000"/>
              </w:rPr>
              <w:t>承诺内容不符或</w:t>
            </w:r>
            <w:r>
              <w:rPr>
                <w:rFonts w:hint="eastAsia" w:ascii="宋体" w:hAnsi="宋体"/>
                <w:color w:val="000000"/>
                <w:lang w:eastAsia="zh-CN"/>
              </w:rPr>
              <w:t>竞标</w:t>
            </w:r>
            <w:r>
              <w:rPr>
                <w:rFonts w:hint="eastAsia" w:ascii="宋体" w:hAnsi="宋体"/>
                <w:color w:val="000000"/>
              </w:rPr>
              <w:t>人</w:t>
            </w:r>
            <w:r>
              <w:rPr>
                <w:rFonts w:ascii="宋体" w:hAnsi="宋体"/>
                <w:color w:val="000000"/>
              </w:rPr>
              <w:t>未在上述时间内按照</w:t>
            </w:r>
            <w:r>
              <w:rPr>
                <w:rFonts w:hint="eastAsia" w:ascii="宋体" w:hAnsi="宋体"/>
                <w:color w:val="000000"/>
              </w:rPr>
              <w:t>比选</w:t>
            </w:r>
            <w:r>
              <w:rPr>
                <w:rFonts w:ascii="宋体" w:hAnsi="宋体"/>
                <w:color w:val="000000"/>
              </w:rPr>
              <w:t>文件规定递交放弃在其他项目任职、中标或拟中标的相关资料，视为</w:t>
            </w:r>
            <w:r>
              <w:rPr>
                <w:rFonts w:hint="eastAsia" w:ascii="宋体" w:hAnsi="宋体"/>
                <w:color w:val="000000"/>
                <w:lang w:eastAsia="zh-CN"/>
              </w:rPr>
              <w:t>竞标</w:t>
            </w:r>
            <w:r>
              <w:rPr>
                <w:rFonts w:hint="eastAsia" w:ascii="宋体" w:hAnsi="宋体"/>
                <w:color w:val="000000"/>
              </w:rPr>
              <w:t>人</w:t>
            </w:r>
            <w:r>
              <w:rPr>
                <w:rFonts w:ascii="宋体" w:hAnsi="宋体"/>
                <w:color w:val="000000"/>
              </w:rPr>
              <w:t>放弃中标资格，</w:t>
            </w:r>
            <w:r>
              <w:rPr>
                <w:rFonts w:hint="eastAsia" w:ascii="宋体" w:hAnsi="宋体"/>
                <w:color w:val="000000"/>
              </w:rPr>
              <w:t>比选</w:t>
            </w:r>
            <w:r>
              <w:rPr>
                <w:rFonts w:ascii="宋体" w:hAnsi="宋体"/>
                <w:color w:val="000000"/>
              </w:rPr>
              <w:t>人不退还其</w:t>
            </w:r>
            <w:r>
              <w:rPr>
                <w:rFonts w:hint="eastAsia" w:ascii="宋体" w:hAnsi="宋体"/>
                <w:color w:val="000000"/>
                <w:lang w:eastAsia="zh-CN"/>
              </w:rPr>
              <w:t>竞标</w:t>
            </w:r>
            <w:r>
              <w:rPr>
                <w:rFonts w:ascii="宋体" w:hAnsi="宋体"/>
                <w:color w:val="000000"/>
              </w:rPr>
              <w:t>保证金。</w:t>
            </w:r>
          </w:p>
          <w:p>
            <w:pPr>
              <w:keepNext w:val="0"/>
              <w:keepLines w:val="0"/>
              <w:pageBreakBefore w:val="0"/>
              <w:kinsoku/>
              <w:overflowPunct/>
              <w:bidi w:val="0"/>
              <w:snapToGrid w:val="0"/>
              <w:spacing w:line="400" w:lineRule="exact"/>
              <w:ind w:firstLine="420" w:firstLineChars="200"/>
              <w:textAlignment w:val="auto"/>
              <w:rPr>
                <w:rFonts w:ascii="宋体" w:hAnsi="宋体"/>
                <w:color w:val="000000"/>
              </w:rPr>
            </w:pPr>
            <w:r>
              <w:rPr>
                <w:rFonts w:ascii="宋体" w:hAnsi="宋体"/>
                <w:color w:val="000000"/>
              </w:rPr>
              <w:t>放弃在其他项目任职的需提供</w:t>
            </w:r>
            <w:r>
              <w:rPr>
                <w:rFonts w:hint="eastAsia" w:ascii="宋体" w:hAnsi="宋体"/>
                <w:color w:val="000000"/>
              </w:rPr>
              <w:t>：</w:t>
            </w:r>
            <w:r>
              <w:rPr>
                <w:rFonts w:ascii="宋体" w:hAnsi="宋体"/>
                <w:color w:val="000000"/>
              </w:rPr>
              <w:t>①</w:t>
            </w:r>
            <w:r>
              <w:rPr>
                <w:rFonts w:hint="eastAsia" w:ascii="宋体" w:hAnsi="宋体"/>
                <w:color w:val="000000"/>
              </w:rPr>
              <w:t>经</w:t>
            </w:r>
            <w:r>
              <w:rPr>
                <w:rFonts w:ascii="宋体" w:hAnsi="宋体"/>
                <w:color w:val="000000"/>
              </w:rPr>
              <w:t>业主或建设单位同意任职变更的文件；②负责项目监管的行业行政主管部门出具同意任职变更的证明材料。</w:t>
            </w:r>
          </w:p>
          <w:p>
            <w:pPr>
              <w:keepNext w:val="0"/>
              <w:keepLines w:val="0"/>
              <w:pageBreakBefore w:val="0"/>
              <w:kinsoku/>
              <w:overflowPunct/>
              <w:bidi w:val="0"/>
              <w:snapToGrid w:val="0"/>
              <w:spacing w:line="400" w:lineRule="exact"/>
              <w:ind w:firstLine="420" w:firstLineChars="200"/>
              <w:textAlignment w:val="auto"/>
              <w:rPr>
                <w:rFonts w:ascii="宋体" w:hAnsi="宋体"/>
                <w:color w:val="000000"/>
              </w:rPr>
            </w:pPr>
            <w:r>
              <w:rPr>
                <w:rFonts w:ascii="宋体" w:hAnsi="宋体"/>
                <w:color w:val="000000"/>
              </w:rPr>
              <w:t>放弃在其他项目中标或拟中标的需提供</w:t>
            </w:r>
            <w:r>
              <w:rPr>
                <w:rFonts w:hint="eastAsia" w:ascii="宋体" w:hAnsi="宋体"/>
                <w:color w:val="000000"/>
              </w:rPr>
              <w:t>：</w:t>
            </w:r>
            <w:r>
              <w:rPr>
                <w:rFonts w:ascii="宋体" w:hAnsi="宋体"/>
                <w:color w:val="000000"/>
              </w:rPr>
              <w:t>①经中标或拟中标的其他项目建设单位同意的放弃中标函</w:t>
            </w:r>
            <w:r>
              <w:rPr>
                <w:rFonts w:hint="eastAsia" w:ascii="宋体" w:hAnsi="宋体"/>
                <w:color w:val="000000"/>
              </w:rPr>
              <w:t>。</w:t>
            </w:r>
          </w:p>
          <w:p>
            <w:pPr>
              <w:keepNext w:val="0"/>
              <w:keepLines w:val="0"/>
              <w:pageBreakBefore w:val="0"/>
              <w:kinsoku/>
              <w:overflowPunct/>
              <w:bidi w:val="0"/>
              <w:snapToGrid w:val="0"/>
              <w:spacing w:line="400" w:lineRule="exact"/>
              <w:ind w:firstLine="420" w:firstLineChars="200"/>
              <w:textAlignment w:val="auto"/>
              <w:rPr>
                <w:rFonts w:ascii="宋体" w:hAnsi="宋体"/>
                <w:szCs w:val="21"/>
              </w:rPr>
            </w:pPr>
            <w:r>
              <w:rPr>
                <w:rFonts w:hint="eastAsia" w:ascii="宋体" w:hAnsi="宋体"/>
                <w:color w:val="000000"/>
              </w:rPr>
              <w:t>5.2.4未提供上述承诺或承诺内容不符合要求的，由评标委员会作否决竞标处理。</w:t>
            </w:r>
          </w:p>
          <w:p>
            <w:pPr>
              <w:keepNext w:val="0"/>
              <w:keepLines w:val="0"/>
              <w:pageBreakBefore w:val="0"/>
              <w:kinsoku/>
              <w:overflowPunct/>
              <w:bidi w:val="0"/>
              <w:snapToGrid w:val="0"/>
              <w:spacing w:line="400" w:lineRule="exact"/>
              <w:ind w:firstLine="420" w:firstLineChars="200"/>
              <w:textAlignment w:val="auto"/>
              <w:rPr>
                <w:rFonts w:hint="eastAsia" w:ascii="宋体" w:hAnsi="宋体"/>
                <w:kern w:val="0"/>
                <w:szCs w:val="21"/>
              </w:rPr>
            </w:pPr>
            <w:r>
              <w:rPr>
                <w:rFonts w:hint="eastAsia" w:ascii="宋体" w:hAnsi="宋体"/>
                <w:kern w:val="0"/>
                <w:szCs w:val="21"/>
                <w:lang w:eastAsia="zh-CN"/>
              </w:rPr>
              <w:t>竞标</w:t>
            </w:r>
            <w:r>
              <w:rPr>
                <w:rFonts w:hint="eastAsia" w:ascii="宋体" w:hAnsi="宋体"/>
                <w:kern w:val="0"/>
                <w:szCs w:val="21"/>
              </w:rPr>
              <w:t>人须在</w:t>
            </w:r>
            <w:r>
              <w:rPr>
                <w:rFonts w:hint="eastAsia" w:ascii="宋体" w:hAnsi="宋体"/>
                <w:kern w:val="0"/>
                <w:szCs w:val="21"/>
                <w:lang w:eastAsia="zh-CN"/>
              </w:rPr>
              <w:t>竞标</w:t>
            </w:r>
            <w:r>
              <w:rPr>
                <w:rFonts w:hint="eastAsia" w:ascii="宋体" w:hAnsi="宋体"/>
                <w:kern w:val="0"/>
                <w:szCs w:val="21"/>
              </w:rPr>
              <w:t>文件资格审查部分提供有效的拟派项目经理建造师注册证、身份证、</w:t>
            </w:r>
            <w:r>
              <w:rPr>
                <w:rFonts w:hint="eastAsia"/>
                <w:szCs w:val="21"/>
                <w:lang w:eastAsia="zh-CN"/>
              </w:rPr>
              <w:t>竞标</w:t>
            </w:r>
            <w:r>
              <w:rPr>
                <w:rFonts w:hint="eastAsia" w:ascii="宋体" w:hAnsi="宋体"/>
                <w:kern w:val="0"/>
                <w:szCs w:val="21"/>
              </w:rPr>
              <w:t>人为其缴纳的养老保险证明材料，拟派项目经理到岗履职和未被禁止参与投标的承诺（承诺格式见第八章</w:t>
            </w:r>
            <w:r>
              <w:rPr>
                <w:rFonts w:hint="eastAsia" w:ascii="宋体" w:hAnsi="宋体"/>
                <w:kern w:val="0"/>
                <w:szCs w:val="21"/>
                <w:lang w:eastAsia="zh-CN"/>
              </w:rPr>
              <w:t>竞标</w:t>
            </w:r>
            <w:r>
              <w:rPr>
                <w:rFonts w:hint="eastAsia" w:ascii="宋体" w:hAnsi="宋体"/>
                <w:kern w:val="0"/>
                <w:szCs w:val="21"/>
              </w:rPr>
              <w:t>文件格式）。</w:t>
            </w:r>
          </w:p>
          <w:p>
            <w:pPr>
              <w:autoSpaceDE w:val="0"/>
              <w:autoSpaceDN w:val="0"/>
              <w:adjustRightInd w:val="0"/>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5.3项目经理业绩</w:t>
            </w:r>
          </w:p>
          <w:p>
            <w:pPr>
              <w:autoSpaceDE w:val="0"/>
              <w:autoSpaceDN w:val="0"/>
              <w:adjustRightInd w:val="0"/>
              <w:snapToGrid w:val="0"/>
              <w:spacing w:line="400" w:lineRule="exact"/>
              <w:ind w:firstLine="420" w:firstLineChars="200"/>
              <w:rPr>
                <w:rFonts w:ascii="宋体" w:hAnsi="宋体"/>
                <w:color w:val="auto"/>
                <w:szCs w:val="21"/>
                <w:highlight w:val="none"/>
              </w:rPr>
            </w:pPr>
            <w:r>
              <w:rPr>
                <w:rFonts w:hint="eastAsia" w:ascii="宋体" w:hAnsi="宋体"/>
                <w:kern w:val="0"/>
                <w:szCs w:val="21"/>
                <w:lang w:eastAsia="zh-CN"/>
              </w:rPr>
              <w:t>竞标</w:t>
            </w:r>
            <w:r>
              <w:rPr>
                <w:rFonts w:hint="eastAsia" w:ascii="宋体" w:hAnsi="宋体"/>
                <w:kern w:val="0"/>
                <w:szCs w:val="21"/>
              </w:rPr>
              <w:t>人</w:t>
            </w:r>
            <w:r>
              <w:rPr>
                <w:rFonts w:hint="eastAsia" w:ascii="宋体" w:hAnsi="宋体"/>
                <w:color w:val="auto"/>
                <w:szCs w:val="21"/>
                <w:highlight w:val="none"/>
              </w:rPr>
              <w:t>提供的项目经理业绩应同时满足以下要求：</w:t>
            </w:r>
          </w:p>
          <w:p>
            <w:pPr>
              <w:autoSpaceDE w:val="0"/>
              <w:autoSpaceDN w:val="0"/>
              <w:adjustRightInd w:val="0"/>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5.3.1业绩时间要求：</w:t>
            </w:r>
          </w:p>
          <w:p>
            <w:pPr>
              <w:autoSpaceDE w:val="0"/>
              <w:autoSpaceDN w:val="0"/>
              <w:adjustRightInd w:val="0"/>
              <w:snapToGrid w:val="0"/>
              <w:spacing w:line="400" w:lineRule="exact"/>
              <w:ind w:firstLine="420" w:firstLineChars="200"/>
              <w:rPr>
                <w:rFonts w:ascii="宋体" w:hAnsi="宋体"/>
                <w:color w:val="auto"/>
                <w:szCs w:val="21"/>
                <w:highlight w:val="none"/>
                <w:u w:val="single"/>
              </w:rPr>
            </w:pPr>
            <w:r>
              <w:rPr>
                <w:rFonts w:hint="eastAsia" w:ascii="宋体" w:hAnsi="宋体"/>
                <w:color w:val="auto"/>
                <w:szCs w:val="21"/>
                <w:highlight w:val="none"/>
                <w:lang w:val="en-US" w:eastAsia="zh-CN"/>
              </w:rPr>
              <w:t>比选</w:t>
            </w:r>
            <w:r>
              <w:rPr>
                <w:rFonts w:ascii="宋体" w:hAnsi="宋体"/>
                <w:color w:val="auto"/>
                <w:szCs w:val="21"/>
                <w:highlight w:val="none"/>
              </w:rPr>
              <w:t>截止日前</w:t>
            </w:r>
            <w:r>
              <w:rPr>
                <w:rFonts w:hint="eastAsia" w:ascii="宋体" w:hAnsi="宋体"/>
                <w:color w:val="auto"/>
                <w:szCs w:val="21"/>
                <w:highlight w:val="none"/>
              </w:rPr>
              <w:sym w:font="Wingdings 2" w:char="0052"/>
            </w:r>
            <w:r>
              <w:rPr>
                <w:rFonts w:hint="eastAsia" w:ascii="宋体" w:hAnsi="宋体"/>
                <w:color w:val="auto"/>
                <w:szCs w:val="21"/>
                <w:highlight w:val="none"/>
              </w:rPr>
              <w:t>3□5□8</w:t>
            </w:r>
            <w:r>
              <w:rPr>
                <w:rFonts w:ascii="宋体" w:hAnsi="宋体"/>
                <w:color w:val="auto"/>
                <w:szCs w:val="21"/>
                <w:highlight w:val="none"/>
              </w:rPr>
              <w:t>年</w:t>
            </w:r>
            <w:r>
              <w:rPr>
                <w:rFonts w:hint="eastAsia" w:ascii="宋体" w:hAnsi="宋体"/>
                <w:color w:val="auto"/>
                <w:szCs w:val="21"/>
                <w:highlight w:val="none"/>
              </w:rPr>
              <w:t>，</w:t>
            </w:r>
            <w:r>
              <w:rPr>
                <w:rFonts w:hint="eastAsia" w:ascii="宋体" w:hAnsi="宋体" w:cs="宋体"/>
                <w:color w:val="auto"/>
                <w:kern w:val="0"/>
                <w:szCs w:val="21"/>
                <w:highlight w:val="none"/>
              </w:rPr>
              <w:t>指</w:t>
            </w:r>
            <w:r>
              <w:rPr>
                <w:rFonts w:hint="eastAsia" w:ascii="宋体" w:hAnsi="宋体" w:cs="宋体"/>
                <w:color w:val="auto"/>
                <w:kern w:val="0"/>
                <w:szCs w:val="21"/>
                <w:highlight w:val="none"/>
                <w:lang w:val="en-US" w:eastAsia="zh-CN"/>
              </w:rPr>
              <w:t>比选人拟派的项目经理</w:t>
            </w:r>
            <w:r>
              <w:rPr>
                <w:rFonts w:hint="eastAsia" w:ascii="宋体" w:hAnsi="宋体" w:cs="宋体"/>
                <w:color w:val="auto"/>
                <w:kern w:val="0"/>
                <w:szCs w:val="21"/>
                <w:highlight w:val="none"/>
              </w:rPr>
              <w:t>在</w:t>
            </w:r>
            <w:r>
              <w:rPr>
                <w:rFonts w:hint="eastAsia" w:ascii="宋体" w:hAnsi="宋体" w:cs="宋体"/>
                <w:color w:val="auto"/>
                <w:kern w:val="0"/>
                <w:szCs w:val="21"/>
                <w:highlight w:val="none"/>
                <w:u w:val="single"/>
                <w:lang w:val="en-US" w:eastAsia="zh-CN"/>
              </w:rPr>
              <w:t>2019</w:t>
            </w:r>
            <w:r>
              <w:rPr>
                <w:rFonts w:hint="eastAsia" w:ascii="宋体" w:hAnsi="宋体" w:cs="宋体"/>
                <w:color w:val="auto"/>
                <w:kern w:val="0"/>
                <w:szCs w:val="21"/>
                <w:highlight w:val="none"/>
              </w:rPr>
              <w:t>年1月1日起至</w:t>
            </w:r>
            <w:r>
              <w:rPr>
                <w:rFonts w:hint="eastAsia" w:ascii="宋体" w:hAnsi="宋体"/>
                <w:color w:val="auto"/>
                <w:kern w:val="0"/>
                <w:szCs w:val="21"/>
                <w:highlight w:val="none"/>
                <w:lang w:eastAsia="zh-CN"/>
              </w:rPr>
              <w:t>竞标</w:t>
            </w:r>
            <w:r>
              <w:rPr>
                <w:rFonts w:hint="eastAsia" w:ascii="宋体" w:hAnsi="宋体"/>
                <w:color w:val="auto"/>
                <w:kern w:val="0"/>
                <w:szCs w:val="21"/>
                <w:highlight w:val="none"/>
              </w:rPr>
              <w:t>截止日止（以竣工时间为准）</w:t>
            </w:r>
            <w:r>
              <w:rPr>
                <w:rFonts w:hint="eastAsia" w:ascii="宋体" w:hAnsi="宋体"/>
                <w:color w:val="auto"/>
                <w:kern w:val="0"/>
                <w:szCs w:val="21"/>
                <w:highlight w:val="none"/>
                <w:lang w:val="en-US" w:eastAsia="zh-CN"/>
              </w:rPr>
              <w:t>完成</w:t>
            </w:r>
            <w:r>
              <w:rPr>
                <w:rFonts w:hint="eastAsia" w:ascii="宋体" w:hAnsi="宋体"/>
                <w:color w:val="auto"/>
                <w:szCs w:val="21"/>
                <w:highlight w:val="none"/>
              </w:rPr>
              <w:t>的1个类似项目中担任项目经理业绩。</w:t>
            </w:r>
          </w:p>
          <w:p>
            <w:pPr>
              <w:autoSpaceDE w:val="0"/>
              <w:autoSpaceDN w:val="0"/>
              <w:adjustRightInd w:val="0"/>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5.3.2业绩规模要求：</w:t>
            </w:r>
          </w:p>
          <w:p>
            <w:pPr>
              <w:autoSpaceDE w:val="0"/>
              <w:autoSpaceDN w:val="0"/>
              <w:adjustRightInd w:val="0"/>
              <w:snapToGrid w:val="0"/>
              <w:spacing w:line="400" w:lineRule="exact"/>
              <w:ind w:firstLine="420" w:firstLineChars="200"/>
              <w:rPr>
                <w:rFonts w:hint="default" w:ascii="宋体" w:hAnsi="宋体" w:eastAsia="宋体"/>
                <w:b/>
                <w:bCs/>
                <w:color w:val="auto"/>
                <w:szCs w:val="21"/>
                <w:highlight w:val="none"/>
                <w:u w:val="single"/>
                <w:lang w:val="en-US" w:eastAsia="zh-CN"/>
              </w:rPr>
            </w:pPr>
            <w:r>
              <w:rPr>
                <w:rFonts w:hint="eastAsia" w:ascii="宋体" w:hAnsi="宋体"/>
                <w:b w:val="0"/>
                <w:bCs w:val="0"/>
                <w:color w:val="auto"/>
                <w:szCs w:val="21"/>
                <w:highlight w:val="none"/>
              </w:rPr>
              <w:t>工程类别</w:t>
            </w:r>
            <w:r>
              <w:rPr>
                <w:rFonts w:hint="eastAsia" w:ascii="宋体" w:hAnsi="宋体"/>
                <w:b/>
                <w:bCs/>
                <w:color w:val="auto"/>
                <w:szCs w:val="21"/>
                <w:highlight w:val="none"/>
              </w:rPr>
              <w:t>：</w:t>
            </w:r>
            <w:r>
              <w:rPr>
                <w:rFonts w:hint="eastAsia" w:ascii="宋体" w:hAnsi="宋体"/>
                <w:color w:val="auto"/>
                <w:szCs w:val="21"/>
                <w:highlight w:val="none"/>
                <w:u w:val="single"/>
                <w:lang w:val="en-US" w:eastAsia="zh-CN"/>
              </w:rPr>
              <w:t>文物保养维护或修缮工程</w:t>
            </w:r>
          </w:p>
          <w:p>
            <w:pPr>
              <w:autoSpaceDE w:val="0"/>
              <w:autoSpaceDN w:val="0"/>
              <w:adjustRightInd w:val="0"/>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若同时设置了工程造价和工程规模要求，则只须满足其中之一：</w:t>
            </w:r>
          </w:p>
          <w:p>
            <w:pPr>
              <w:autoSpaceDE w:val="0"/>
              <w:autoSpaceDN w:val="0"/>
              <w:adjustRightInd w:val="0"/>
              <w:snapToGrid w:val="0"/>
              <w:spacing w:line="400" w:lineRule="exact"/>
              <w:ind w:firstLine="420" w:firstLineChars="200"/>
              <w:rPr>
                <w:rFonts w:ascii="宋体" w:hAnsi="宋体"/>
                <w:color w:val="auto"/>
                <w:szCs w:val="21"/>
                <w:highlight w:val="none"/>
                <w:u w:val="single"/>
              </w:rPr>
            </w:pPr>
            <w:r>
              <w:rPr>
                <w:rFonts w:hint="eastAsia" w:ascii="宋体" w:hAnsi="宋体"/>
                <w:color w:val="auto"/>
                <w:szCs w:val="21"/>
                <w:highlight w:val="none"/>
              </w:rPr>
              <w:sym w:font="Wingdings 2" w:char="0052"/>
            </w:r>
            <w:r>
              <w:rPr>
                <w:rFonts w:hint="eastAsia" w:ascii="宋体" w:hAnsi="宋体"/>
                <w:color w:val="auto"/>
                <w:szCs w:val="21"/>
                <w:highlight w:val="none"/>
              </w:rPr>
              <w:t>工程造价：</w:t>
            </w:r>
            <w:r>
              <w:rPr>
                <w:rFonts w:hint="eastAsia" w:ascii="宋体" w:hAnsi="宋体"/>
                <w:color w:val="auto"/>
                <w:szCs w:val="21"/>
                <w:highlight w:val="none"/>
                <w:u w:val="single"/>
                <w:lang w:val="en-US" w:eastAsia="zh-CN"/>
              </w:rPr>
              <w:t>单个项目合同金额200万元及以上</w:t>
            </w:r>
          </w:p>
          <w:p>
            <w:pPr>
              <w:autoSpaceDE w:val="0"/>
              <w:autoSpaceDN w:val="0"/>
              <w:adjustRightInd w:val="0"/>
              <w:snapToGrid w:val="0"/>
              <w:spacing w:line="400" w:lineRule="exact"/>
              <w:ind w:firstLine="420" w:firstLineChars="200"/>
              <w:rPr>
                <w:rFonts w:hint="eastAsia" w:ascii="宋体" w:hAnsi="宋体" w:eastAsia="宋体"/>
                <w:i/>
                <w:color w:val="auto"/>
                <w:szCs w:val="21"/>
                <w:highlight w:val="none"/>
                <w:lang w:eastAsia="zh-CN"/>
              </w:rPr>
            </w:pPr>
            <w:r>
              <w:rPr>
                <w:rFonts w:hint="eastAsia" w:ascii="宋体" w:hAnsi="宋体"/>
                <w:color w:val="auto"/>
                <w:szCs w:val="21"/>
                <w:highlight w:val="none"/>
              </w:rPr>
              <w:t>□工程规模：</w:t>
            </w:r>
            <w:r>
              <w:rPr>
                <w:rFonts w:hint="eastAsia" w:ascii="宋体" w:hAnsi="宋体"/>
                <w:color w:val="auto"/>
                <w:szCs w:val="21"/>
                <w:highlight w:val="none"/>
                <w:u w:val="single"/>
                <w:lang w:val="en-US" w:eastAsia="zh-CN"/>
              </w:rPr>
              <w:t>/</w:t>
            </w:r>
          </w:p>
          <w:p>
            <w:pPr>
              <w:autoSpaceDE w:val="0"/>
              <w:autoSpaceDN w:val="0"/>
              <w:adjustRightInd w:val="0"/>
              <w:snapToGrid w:val="0"/>
              <w:spacing w:line="400" w:lineRule="exact"/>
              <w:ind w:firstLine="415" w:firstLineChars="198"/>
              <w:rPr>
                <w:rFonts w:hint="eastAsia" w:ascii="宋体" w:hAnsi="宋体"/>
                <w:color w:val="auto"/>
                <w:szCs w:val="21"/>
                <w:highlight w:val="none"/>
              </w:rPr>
            </w:pPr>
            <w:r>
              <w:rPr>
                <w:rFonts w:hint="eastAsia" w:ascii="宋体" w:hAnsi="宋体"/>
                <w:color w:val="auto"/>
                <w:szCs w:val="21"/>
                <w:highlight w:val="none"/>
              </w:rPr>
              <w:t>5.3.3业绩证明材料要求：</w:t>
            </w:r>
          </w:p>
          <w:p>
            <w:pPr>
              <w:keepNext w:val="0"/>
              <w:keepLines w:val="0"/>
              <w:pageBreakBefore w:val="0"/>
              <w:kinsoku/>
              <w:overflowPunct/>
              <w:autoSpaceDE w:val="0"/>
              <w:autoSpaceDN w:val="0"/>
              <w:bidi w:val="0"/>
              <w:adjustRightInd w:val="0"/>
              <w:snapToGrid w:val="0"/>
              <w:spacing w:line="400" w:lineRule="exact"/>
              <w:ind w:firstLine="415" w:firstLineChars="198"/>
              <w:textAlignment w:val="auto"/>
              <w:rPr>
                <w:rFonts w:ascii="宋体" w:hAnsi="宋体" w:cs="宋体"/>
                <w:szCs w:val="21"/>
                <w:highlight w:val="none"/>
              </w:rPr>
            </w:pPr>
            <w:r>
              <w:rPr>
                <w:rFonts w:hint="eastAsia" w:ascii="宋体" w:hAnsi="宋体" w:cs="宋体"/>
                <w:szCs w:val="21"/>
                <w:lang w:eastAsia="zh-CN"/>
              </w:rPr>
              <w:t>竞标</w:t>
            </w:r>
            <w:r>
              <w:rPr>
                <w:rFonts w:hint="eastAsia" w:ascii="宋体" w:hAnsi="宋体" w:cs="宋体"/>
                <w:szCs w:val="21"/>
              </w:rPr>
              <w:t>人须在</w:t>
            </w:r>
            <w:r>
              <w:rPr>
                <w:rFonts w:hint="eastAsia" w:ascii="宋体" w:hAnsi="宋体" w:cs="宋体"/>
                <w:szCs w:val="21"/>
                <w:highlight w:val="none"/>
                <w:lang w:eastAsia="zh-CN"/>
              </w:rPr>
              <w:t>竞标</w:t>
            </w:r>
            <w:r>
              <w:rPr>
                <w:rFonts w:hint="eastAsia" w:ascii="宋体" w:hAnsi="宋体" w:cs="宋体"/>
                <w:szCs w:val="21"/>
                <w:highlight w:val="none"/>
              </w:rPr>
              <w:t>文件资格审查部分提供该业绩的中标通知书（直接发包的项目可提供项目发包人出具的项目直接发包情况说明或证明文书代替）、合同协议书和竣工验收合格的证明材料。所提供材料需体现工程名称、工程类别、工程规模、中标单位名称（或承包单位名称或施工企业名称）</w:t>
            </w:r>
            <w:r>
              <w:rPr>
                <w:rFonts w:hint="eastAsia" w:ascii="宋体" w:hAnsi="宋体"/>
                <w:color w:val="auto"/>
                <w:szCs w:val="21"/>
                <w:highlight w:val="none"/>
              </w:rPr>
              <w:t>、人员姓名职务信息</w:t>
            </w:r>
            <w:r>
              <w:rPr>
                <w:rFonts w:hint="eastAsia" w:ascii="宋体" w:hAnsi="宋体" w:cs="宋体"/>
                <w:szCs w:val="21"/>
                <w:highlight w:val="none"/>
              </w:rPr>
              <w:t>，若上述资料无法体现上述信息的，还须提供业主证明。</w:t>
            </w:r>
          </w:p>
          <w:p>
            <w:pPr>
              <w:keepNext w:val="0"/>
              <w:keepLines w:val="0"/>
              <w:pageBreakBefore w:val="0"/>
              <w:kinsoku/>
              <w:overflowPunct/>
              <w:autoSpaceDE w:val="0"/>
              <w:autoSpaceDN w:val="0"/>
              <w:bidi w:val="0"/>
              <w:adjustRightInd w:val="0"/>
              <w:snapToGrid w:val="0"/>
              <w:spacing w:line="400" w:lineRule="exact"/>
              <w:ind w:firstLine="415" w:firstLineChars="198"/>
              <w:textAlignment w:val="auto"/>
              <w:rPr>
                <w:rFonts w:ascii="宋体" w:hAnsi="宋体" w:cs="宋体"/>
                <w:szCs w:val="21"/>
              </w:rPr>
            </w:pPr>
            <w:r>
              <w:rPr>
                <w:rFonts w:hint="eastAsia" w:ascii="宋体" w:hAnsi="宋体" w:cs="宋体"/>
                <w:szCs w:val="21"/>
              </w:rPr>
              <w:t>注：</w:t>
            </w:r>
            <w:r>
              <w:rPr>
                <w:rFonts w:hint="eastAsia" w:ascii="宋体" w:hAnsi="宋体" w:cs="宋体"/>
                <w:szCs w:val="21"/>
                <w:lang w:eastAsia="zh-CN"/>
              </w:rPr>
              <w:t>竞标</w:t>
            </w:r>
            <w:r>
              <w:rPr>
                <w:rFonts w:hint="eastAsia" w:ascii="宋体" w:hAnsi="宋体" w:cs="宋体"/>
                <w:szCs w:val="21"/>
              </w:rPr>
              <w:t>人应对其提供的业绩证明材料（含截图）的真实性负责。当上述资料中针对同一指标存在不一致时，以工程竣工验收合格的证明材料为准。</w:t>
            </w:r>
          </w:p>
          <w:p>
            <w:pPr>
              <w:keepNext w:val="0"/>
              <w:keepLines w:val="0"/>
              <w:pageBreakBefore w:val="0"/>
              <w:kinsoku/>
              <w:overflowPunct/>
              <w:autoSpaceDE w:val="0"/>
              <w:autoSpaceDN w:val="0"/>
              <w:bidi w:val="0"/>
              <w:adjustRightInd w:val="0"/>
              <w:snapToGrid w:val="0"/>
              <w:spacing w:line="400" w:lineRule="exact"/>
              <w:ind w:firstLine="415" w:firstLineChars="198"/>
              <w:textAlignment w:val="auto"/>
            </w:pPr>
            <w:r>
              <w:rPr>
                <w:rFonts w:hint="eastAsia" w:ascii="宋体" w:hAnsi="宋体" w:cs="宋体"/>
                <w:szCs w:val="21"/>
              </w:rPr>
              <w:t>不满足上述业绩要求的业绩无效。</w:t>
            </w:r>
          </w:p>
          <w:p>
            <w:pPr>
              <w:keepNext w:val="0"/>
              <w:keepLines w:val="0"/>
              <w:pageBreakBefore w:val="0"/>
              <w:kinsoku/>
              <w:overflowPunct/>
              <w:autoSpaceDE w:val="0"/>
              <w:autoSpaceDN w:val="0"/>
              <w:bidi w:val="0"/>
              <w:adjustRightInd w:val="0"/>
              <w:snapToGrid w:val="0"/>
              <w:spacing w:line="400" w:lineRule="exact"/>
              <w:ind w:firstLine="422" w:firstLineChars="200"/>
              <w:textAlignment w:val="auto"/>
              <w:rPr>
                <w:rFonts w:ascii="宋体" w:hAnsi="宋体"/>
                <w:b/>
                <w:szCs w:val="21"/>
              </w:rPr>
            </w:pPr>
            <w:r>
              <w:rPr>
                <w:rFonts w:ascii="宋体" w:hAnsi="宋体"/>
                <w:b/>
                <w:szCs w:val="21"/>
              </w:rPr>
              <w:t>6.其他要求</w:t>
            </w:r>
          </w:p>
          <w:p>
            <w:pPr>
              <w:keepNext w:val="0"/>
              <w:keepLines w:val="0"/>
              <w:pageBreakBefore w:val="0"/>
              <w:kinsoku/>
              <w:overflowPunct/>
              <w:bidi w:val="0"/>
              <w:snapToGrid w:val="0"/>
              <w:spacing w:line="400" w:lineRule="exact"/>
              <w:ind w:firstLine="420" w:firstLineChars="200"/>
              <w:textAlignment w:val="auto"/>
              <w:rPr>
                <w:rFonts w:ascii="宋体" w:hAnsi="宋体"/>
                <w:szCs w:val="21"/>
              </w:rPr>
            </w:pPr>
            <w:r>
              <w:rPr>
                <w:rFonts w:ascii="宋体" w:hAnsi="宋体"/>
                <w:kern w:val="0"/>
                <w:szCs w:val="21"/>
              </w:rPr>
              <w:t>（1）</w:t>
            </w:r>
            <w:r>
              <w:rPr>
                <w:rFonts w:ascii="宋体" w:hAnsi="宋体"/>
                <w:szCs w:val="21"/>
              </w:rPr>
              <w:t>项目技术负责人：</w:t>
            </w:r>
          </w:p>
          <w:p>
            <w:pPr>
              <w:autoSpaceDE w:val="0"/>
              <w:autoSpaceDN w:val="0"/>
              <w:adjustRightInd w:val="0"/>
              <w:snapToGrid w:val="0"/>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应具有文物保护工程责任工程师证书，且为</w:t>
            </w:r>
            <w:r>
              <w:rPr>
                <w:rFonts w:hint="eastAsia" w:ascii="宋体" w:hAnsi="宋体"/>
                <w:color w:val="auto"/>
                <w:szCs w:val="21"/>
                <w:highlight w:val="none"/>
                <w:lang w:val="en-US" w:eastAsia="zh-CN"/>
              </w:rPr>
              <w:t>竞标</w:t>
            </w:r>
            <w:r>
              <w:rPr>
                <w:rFonts w:hint="eastAsia" w:ascii="宋体" w:hAnsi="宋体"/>
                <w:color w:val="auto"/>
                <w:szCs w:val="21"/>
                <w:highlight w:val="none"/>
              </w:rPr>
              <w:t>人单位在职员工。</w:t>
            </w:r>
          </w:p>
          <w:p>
            <w:pPr>
              <w:autoSpaceDE w:val="0"/>
              <w:autoSpaceDN w:val="0"/>
              <w:adjustRightInd w:val="0"/>
              <w:snapToGrid w:val="0"/>
              <w:spacing w:line="400" w:lineRule="exact"/>
              <w:ind w:firstLine="420" w:firstLineChars="200"/>
              <w:rPr>
                <w:rFonts w:ascii="宋体" w:hAnsi="宋体"/>
                <w:color w:val="auto"/>
                <w:spacing w:val="-24"/>
                <w:kern w:val="0"/>
                <w:szCs w:val="21"/>
                <w:highlight w:val="none"/>
              </w:rPr>
            </w:pPr>
            <w:r>
              <w:rPr>
                <w:rFonts w:hint="eastAsia" w:ascii="宋体" w:hAnsi="宋体"/>
                <w:color w:val="auto"/>
                <w:kern w:val="0"/>
                <w:szCs w:val="21"/>
                <w:highlight w:val="none"/>
                <w:lang w:val="en-US" w:eastAsia="zh-CN"/>
              </w:rPr>
              <w:t>竞标人</w:t>
            </w:r>
            <w:r>
              <w:rPr>
                <w:rFonts w:hint="eastAsia" w:ascii="宋体" w:hAnsi="宋体"/>
                <w:color w:val="auto"/>
                <w:kern w:val="0"/>
                <w:szCs w:val="21"/>
                <w:highlight w:val="none"/>
              </w:rPr>
              <w:t>须在</w:t>
            </w:r>
            <w:r>
              <w:rPr>
                <w:rFonts w:hint="eastAsia" w:ascii="宋体" w:hAnsi="宋体"/>
                <w:color w:val="auto"/>
                <w:kern w:val="0"/>
                <w:szCs w:val="21"/>
                <w:highlight w:val="none"/>
                <w:lang w:eastAsia="zh-CN"/>
              </w:rPr>
              <w:t>竞标</w:t>
            </w:r>
            <w:r>
              <w:rPr>
                <w:rFonts w:hint="eastAsia" w:ascii="宋体" w:hAnsi="宋体"/>
                <w:color w:val="auto"/>
                <w:kern w:val="0"/>
                <w:szCs w:val="21"/>
                <w:highlight w:val="none"/>
              </w:rPr>
              <w:t>文件资格审查部分提供拟派技术负责人身份证、文物保护工程责任工程师证书及</w:t>
            </w:r>
            <w:r>
              <w:rPr>
                <w:rFonts w:hint="eastAsia" w:ascii="宋体" w:hAnsi="宋体"/>
                <w:color w:val="auto"/>
                <w:kern w:val="0"/>
                <w:szCs w:val="21"/>
                <w:highlight w:val="none"/>
                <w:lang w:val="en-US" w:eastAsia="zh-CN"/>
              </w:rPr>
              <w:t>竞标人</w:t>
            </w:r>
            <w:r>
              <w:rPr>
                <w:rFonts w:hint="eastAsia" w:ascii="宋体" w:hAnsi="宋体"/>
                <w:color w:val="auto"/>
                <w:kern w:val="0"/>
                <w:szCs w:val="21"/>
                <w:highlight w:val="none"/>
              </w:rPr>
              <w:t>本单位为其缴纳的养老保险证明材料。</w:t>
            </w:r>
          </w:p>
          <w:p>
            <w:pPr>
              <w:keepNext w:val="0"/>
              <w:keepLines w:val="0"/>
              <w:pageBreakBefore w:val="0"/>
              <w:kinsoku/>
              <w:overflowPunct/>
              <w:autoSpaceDE w:val="0"/>
              <w:autoSpaceDN w:val="0"/>
              <w:bidi w:val="0"/>
              <w:adjustRightInd w:val="0"/>
              <w:snapToGrid w:val="0"/>
              <w:spacing w:line="400" w:lineRule="exact"/>
              <w:ind w:firstLine="420" w:firstLineChars="200"/>
              <w:textAlignment w:val="auto"/>
              <w:rPr>
                <w:rFonts w:ascii="宋体" w:hAnsi="宋体"/>
                <w:szCs w:val="21"/>
              </w:rPr>
            </w:pPr>
            <w:r>
              <w:rPr>
                <w:rFonts w:ascii="宋体" w:hAnsi="宋体"/>
                <w:kern w:val="0"/>
                <w:szCs w:val="21"/>
              </w:rPr>
              <w:t>（2）</w:t>
            </w:r>
            <w:r>
              <w:rPr>
                <w:rFonts w:ascii="宋体" w:hAnsi="宋体"/>
                <w:szCs w:val="21"/>
              </w:rPr>
              <w:t>主要管理人员：</w:t>
            </w:r>
          </w:p>
          <w:p>
            <w:pPr>
              <w:keepNext w:val="0"/>
              <w:keepLines w:val="0"/>
              <w:pageBreakBefore w:val="0"/>
              <w:kinsoku/>
              <w:overflowPunct/>
              <w:autoSpaceDE w:val="0"/>
              <w:autoSpaceDN w:val="0"/>
              <w:bidi w:val="0"/>
              <w:adjustRightInd w:val="0"/>
              <w:spacing w:line="400" w:lineRule="exact"/>
              <w:ind w:firstLine="420" w:firstLineChars="200"/>
              <w:textAlignment w:val="auto"/>
              <w:rPr>
                <w:rFonts w:ascii="宋体" w:hAnsi="宋体"/>
                <w:szCs w:val="21"/>
              </w:rPr>
            </w:pPr>
            <w:r>
              <w:rPr>
                <w:rFonts w:hint="eastAsia" w:ascii="宋体" w:hAnsi="宋体"/>
                <w:szCs w:val="21"/>
                <w:lang w:eastAsia="zh-CN"/>
              </w:rPr>
              <w:t>竞标</w:t>
            </w:r>
            <w:r>
              <w:rPr>
                <w:rFonts w:hint="eastAsia" w:ascii="宋体" w:hAnsi="宋体"/>
                <w:szCs w:val="21"/>
              </w:rPr>
              <w:t>人自行承诺中标后在签订合同之前，须按照相关行政主管部门的要求组建施工项目部，配置项目管理班子</w:t>
            </w:r>
            <w:r>
              <w:rPr>
                <w:rFonts w:hint="eastAsia" w:ascii="宋体" w:hAnsi="宋体"/>
                <w:color w:val="auto"/>
                <w:szCs w:val="21"/>
                <w:highlight w:val="none"/>
                <w:lang w:eastAsia="zh-CN"/>
              </w:rPr>
              <w:t>（至少配备施工员</w:t>
            </w:r>
            <w:r>
              <w:rPr>
                <w:rFonts w:hint="eastAsia" w:ascii="宋体" w:hAnsi="宋体"/>
                <w:color w:val="auto"/>
                <w:szCs w:val="21"/>
                <w:highlight w:val="none"/>
                <w:lang w:val="en-US" w:eastAsia="zh-CN"/>
              </w:rPr>
              <w:t>1名、质量员1名、安全员1名、材料员1名、资料员1名</w:t>
            </w:r>
            <w:r>
              <w:rPr>
                <w:rFonts w:hint="eastAsia" w:ascii="宋体" w:hAnsi="宋体"/>
                <w:color w:val="auto"/>
                <w:szCs w:val="21"/>
                <w:highlight w:val="none"/>
                <w:lang w:eastAsia="zh-CN"/>
              </w:rPr>
              <w:t>）</w:t>
            </w:r>
            <w:r>
              <w:rPr>
                <w:rFonts w:hint="eastAsia" w:ascii="宋体" w:hAnsi="宋体"/>
                <w:szCs w:val="21"/>
              </w:rPr>
              <w:t>，出具任命文件。任命文件应当明确施工项目部的职责、岗位设置、人员配备，并书面通知建设单位。相关岗位管理人员应持有相应的岗位证书，并提供</w:t>
            </w:r>
            <w:r>
              <w:rPr>
                <w:rFonts w:hint="eastAsia" w:ascii="宋体" w:hAnsi="宋体"/>
                <w:szCs w:val="21"/>
                <w:lang w:eastAsia="zh-CN"/>
              </w:rPr>
              <w:t>竞标</w:t>
            </w:r>
            <w:r>
              <w:rPr>
                <w:rFonts w:hint="eastAsia" w:ascii="宋体" w:hAnsi="宋体"/>
                <w:szCs w:val="21"/>
              </w:rPr>
              <w:t>人为其缴纳的养老保险证明材料。中标后不能满足该要求的，比选人可取消其中标资格，给比选人造成损失的，</w:t>
            </w:r>
            <w:r>
              <w:rPr>
                <w:rFonts w:hint="eastAsia" w:ascii="宋体" w:hAnsi="宋体"/>
                <w:szCs w:val="21"/>
                <w:lang w:eastAsia="zh-CN"/>
              </w:rPr>
              <w:t>竞标</w:t>
            </w:r>
            <w:r>
              <w:rPr>
                <w:rFonts w:hint="eastAsia" w:ascii="宋体" w:hAnsi="宋体"/>
                <w:szCs w:val="21"/>
              </w:rPr>
              <w:t>人依法承担违约赔偿责任。</w:t>
            </w:r>
          </w:p>
          <w:p>
            <w:pPr>
              <w:keepNext w:val="0"/>
              <w:keepLines w:val="0"/>
              <w:pageBreakBefore w:val="0"/>
              <w:kinsoku/>
              <w:overflowPunct/>
              <w:autoSpaceDE w:val="0"/>
              <w:autoSpaceDN w:val="0"/>
              <w:bidi w:val="0"/>
              <w:adjustRightInd w:val="0"/>
              <w:spacing w:line="400" w:lineRule="exact"/>
              <w:ind w:firstLine="420" w:firstLineChars="200"/>
              <w:textAlignment w:val="auto"/>
              <w:rPr>
                <w:rFonts w:ascii="宋体" w:hAnsi="宋体"/>
                <w:szCs w:val="21"/>
              </w:rPr>
            </w:pPr>
            <w:r>
              <w:rPr>
                <w:rFonts w:hint="eastAsia" w:ascii="宋体" w:hAnsi="宋体"/>
                <w:szCs w:val="21"/>
                <w:lang w:eastAsia="zh-CN"/>
              </w:rPr>
              <w:t>竞标</w:t>
            </w:r>
            <w:r>
              <w:rPr>
                <w:rFonts w:hint="eastAsia" w:ascii="宋体" w:hAnsi="宋体"/>
                <w:szCs w:val="21"/>
              </w:rPr>
              <w:t>人须在</w:t>
            </w:r>
            <w:r>
              <w:rPr>
                <w:rFonts w:hint="eastAsia" w:ascii="宋体" w:hAnsi="宋体"/>
                <w:szCs w:val="21"/>
                <w:lang w:eastAsia="zh-CN"/>
              </w:rPr>
              <w:t>竞标</w:t>
            </w:r>
            <w:r>
              <w:rPr>
                <w:rFonts w:hint="eastAsia" w:ascii="宋体" w:hAnsi="宋体"/>
                <w:szCs w:val="21"/>
              </w:rPr>
              <w:t>文件资格审查部分提供承诺（承诺格式见第八章</w:t>
            </w:r>
            <w:r>
              <w:rPr>
                <w:rFonts w:hint="eastAsia"/>
                <w:szCs w:val="21"/>
                <w:lang w:eastAsia="zh-CN"/>
              </w:rPr>
              <w:t>竞标</w:t>
            </w:r>
            <w:r>
              <w:rPr>
                <w:rFonts w:hint="eastAsia" w:ascii="宋体" w:hAnsi="宋体"/>
                <w:szCs w:val="21"/>
              </w:rPr>
              <w:t>文件格式）。</w:t>
            </w:r>
          </w:p>
          <w:p>
            <w:pPr>
              <w:keepNext w:val="0"/>
              <w:keepLines w:val="0"/>
              <w:pageBreakBefore w:val="0"/>
              <w:kinsoku/>
              <w:overflowPunct/>
              <w:autoSpaceDE w:val="0"/>
              <w:autoSpaceDN w:val="0"/>
              <w:bidi w:val="0"/>
              <w:adjustRightInd w:val="0"/>
              <w:snapToGrid w:val="0"/>
              <w:spacing w:line="400" w:lineRule="exact"/>
              <w:ind w:firstLine="420" w:firstLineChars="200"/>
              <w:textAlignment w:val="auto"/>
              <w:rPr>
                <w:rFonts w:ascii="宋体" w:hAnsi="宋体"/>
                <w:kern w:val="0"/>
                <w:szCs w:val="21"/>
              </w:rPr>
            </w:pPr>
            <w:r>
              <w:rPr>
                <w:rFonts w:ascii="宋体" w:hAnsi="宋体"/>
                <w:kern w:val="0"/>
                <w:szCs w:val="21"/>
              </w:rPr>
              <w:t>（</w:t>
            </w:r>
            <w:r>
              <w:rPr>
                <w:rFonts w:hint="eastAsia" w:ascii="宋体" w:hAnsi="宋体"/>
                <w:kern w:val="0"/>
                <w:szCs w:val="21"/>
              </w:rPr>
              <w:t>3</w:t>
            </w:r>
            <w:r>
              <w:rPr>
                <w:rFonts w:ascii="宋体" w:hAnsi="宋体"/>
                <w:kern w:val="0"/>
                <w:szCs w:val="21"/>
              </w:rPr>
              <w:t>）委托代理人</w:t>
            </w:r>
            <w:r>
              <w:rPr>
                <w:rFonts w:hint="eastAsia" w:ascii="宋体" w:hAnsi="宋体"/>
                <w:kern w:val="0"/>
                <w:szCs w:val="21"/>
              </w:rPr>
              <w:t>：</w:t>
            </w:r>
          </w:p>
          <w:p>
            <w:pPr>
              <w:keepNext w:val="0"/>
              <w:keepLines w:val="0"/>
              <w:pageBreakBefore w:val="0"/>
              <w:kinsoku/>
              <w:overflowPunct/>
              <w:autoSpaceDE w:val="0"/>
              <w:autoSpaceDN w:val="0"/>
              <w:bidi w:val="0"/>
              <w:adjustRightInd w:val="0"/>
              <w:snapToGrid w:val="0"/>
              <w:spacing w:line="400" w:lineRule="exact"/>
              <w:ind w:firstLine="420" w:firstLineChars="200"/>
              <w:textAlignment w:val="auto"/>
              <w:rPr>
                <w:rFonts w:ascii="宋体" w:hAnsi="宋体"/>
                <w:kern w:val="0"/>
                <w:szCs w:val="21"/>
              </w:rPr>
            </w:pPr>
            <w:r>
              <w:rPr>
                <w:rFonts w:ascii="宋体" w:hAnsi="宋体"/>
                <w:kern w:val="0"/>
                <w:szCs w:val="21"/>
              </w:rPr>
              <w:t>委托代理人必须为</w:t>
            </w:r>
            <w:r>
              <w:rPr>
                <w:rFonts w:hint="eastAsia" w:ascii="宋体" w:hAnsi="宋体"/>
                <w:kern w:val="0"/>
                <w:szCs w:val="21"/>
                <w:lang w:eastAsia="zh-CN"/>
              </w:rPr>
              <w:t>竞标</w:t>
            </w:r>
            <w:r>
              <w:rPr>
                <w:rFonts w:ascii="宋体" w:hAnsi="宋体"/>
                <w:kern w:val="0"/>
                <w:szCs w:val="21"/>
              </w:rPr>
              <w:t>人本单位</w:t>
            </w:r>
            <w:r>
              <w:rPr>
                <w:rFonts w:hint="eastAsia" w:ascii="宋体" w:hAnsi="宋体"/>
                <w:kern w:val="0"/>
                <w:szCs w:val="21"/>
              </w:rPr>
              <w:t>人员</w:t>
            </w:r>
            <w:r>
              <w:rPr>
                <w:rFonts w:ascii="宋体" w:hAnsi="宋体"/>
                <w:kern w:val="0"/>
                <w:szCs w:val="21"/>
              </w:rPr>
              <w:t>。</w:t>
            </w:r>
          </w:p>
          <w:p>
            <w:pPr>
              <w:keepNext w:val="0"/>
              <w:keepLines w:val="0"/>
              <w:pageBreakBefore w:val="0"/>
              <w:kinsoku/>
              <w:overflowPunct/>
              <w:autoSpaceDE w:val="0"/>
              <w:autoSpaceDN w:val="0"/>
              <w:bidi w:val="0"/>
              <w:adjustRightInd w:val="0"/>
              <w:snapToGrid w:val="0"/>
              <w:spacing w:line="400" w:lineRule="exact"/>
              <w:ind w:firstLine="420" w:firstLineChars="200"/>
              <w:textAlignment w:val="auto"/>
              <w:rPr>
                <w:rFonts w:ascii="宋体" w:hAnsi="宋体"/>
                <w:kern w:val="0"/>
                <w:szCs w:val="21"/>
              </w:rPr>
            </w:pPr>
            <w:r>
              <w:rPr>
                <w:rFonts w:hint="eastAsia" w:ascii="宋体" w:hAnsi="宋体"/>
                <w:kern w:val="0"/>
                <w:szCs w:val="21"/>
                <w:lang w:eastAsia="zh-CN"/>
              </w:rPr>
              <w:t>竞标</w:t>
            </w:r>
            <w:r>
              <w:rPr>
                <w:rFonts w:hint="eastAsia" w:ascii="宋体" w:hAnsi="宋体"/>
                <w:kern w:val="0"/>
                <w:szCs w:val="21"/>
              </w:rPr>
              <w:t>人</w:t>
            </w:r>
            <w:r>
              <w:rPr>
                <w:rFonts w:ascii="宋体" w:hAnsi="宋体"/>
                <w:kern w:val="0"/>
                <w:szCs w:val="21"/>
              </w:rPr>
              <w:t>须</w:t>
            </w:r>
            <w:r>
              <w:rPr>
                <w:rFonts w:hint="eastAsia" w:ascii="宋体" w:hAnsi="宋体"/>
                <w:kern w:val="0"/>
                <w:szCs w:val="21"/>
              </w:rPr>
              <w:t>在</w:t>
            </w:r>
            <w:r>
              <w:rPr>
                <w:rFonts w:hint="eastAsia" w:ascii="宋体" w:hAnsi="宋体"/>
                <w:kern w:val="0"/>
                <w:szCs w:val="21"/>
                <w:lang w:eastAsia="zh-CN"/>
              </w:rPr>
              <w:t>竞标</w:t>
            </w:r>
            <w:r>
              <w:rPr>
                <w:rFonts w:hint="eastAsia" w:ascii="宋体" w:hAnsi="宋体"/>
                <w:kern w:val="0"/>
                <w:szCs w:val="21"/>
              </w:rPr>
              <w:t>文件资格审查部分</w:t>
            </w:r>
            <w:r>
              <w:rPr>
                <w:rFonts w:ascii="宋体" w:hAnsi="宋体"/>
                <w:kern w:val="0"/>
                <w:szCs w:val="21"/>
              </w:rPr>
              <w:t>提供</w:t>
            </w:r>
            <w:r>
              <w:rPr>
                <w:rFonts w:hint="eastAsia" w:ascii="宋体" w:hAnsi="宋体"/>
                <w:kern w:val="0"/>
                <w:szCs w:val="21"/>
                <w:lang w:eastAsia="zh-CN"/>
              </w:rPr>
              <w:t>竞标</w:t>
            </w:r>
            <w:r>
              <w:rPr>
                <w:rFonts w:hint="eastAsia" w:ascii="宋体" w:hAnsi="宋体"/>
                <w:kern w:val="0"/>
                <w:szCs w:val="21"/>
              </w:rPr>
              <w:t>人为该</w:t>
            </w:r>
            <w:r>
              <w:rPr>
                <w:rFonts w:ascii="宋体" w:hAnsi="宋体"/>
                <w:kern w:val="0"/>
                <w:szCs w:val="21"/>
              </w:rPr>
              <w:t>委托代理人</w:t>
            </w:r>
            <w:r>
              <w:rPr>
                <w:rFonts w:hint="eastAsia" w:ascii="宋体" w:hAnsi="宋体"/>
                <w:kern w:val="0"/>
                <w:szCs w:val="21"/>
              </w:rPr>
              <w:t>缴纳的养老保险证明。否则，将由评标委员会作否决竞标处理。</w:t>
            </w:r>
          </w:p>
          <w:p>
            <w:pPr>
              <w:keepNext w:val="0"/>
              <w:keepLines w:val="0"/>
              <w:pageBreakBefore w:val="0"/>
              <w:kinsoku/>
              <w:overflowPunct/>
              <w:autoSpaceDE w:val="0"/>
              <w:autoSpaceDN w:val="0"/>
              <w:bidi w:val="0"/>
              <w:adjustRightInd w:val="0"/>
              <w:snapToGrid w:val="0"/>
              <w:spacing w:line="400" w:lineRule="exact"/>
              <w:ind w:firstLine="417" w:firstLineChars="198"/>
              <w:textAlignment w:val="auto"/>
              <w:rPr>
                <w:rFonts w:ascii="宋体" w:hAnsi="宋体" w:cs="宋体"/>
                <w:b/>
                <w:szCs w:val="21"/>
              </w:rPr>
            </w:pPr>
            <w:r>
              <w:rPr>
                <w:rFonts w:hint="eastAsia" w:ascii="宋体" w:hAnsi="宋体" w:cs="宋体"/>
                <w:b/>
                <w:szCs w:val="21"/>
              </w:rPr>
              <w:t>特别说明：</w:t>
            </w:r>
          </w:p>
          <w:p>
            <w:pPr>
              <w:keepNext w:val="0"/>
              <w:keepLines w:val="0"/>
              <w:pageBreakBefore w:val="0"/>
              <w:kinsoku/>
              <w:overflowPunct/>
              <w:autoSpaceDE w:val="0"/>
              <w:autoSpaceDN w:val="0"/>
              <w:bidi w:val="0"/>
              <w:adjustRightInd w:val="0"/>
              <w:spacing w:line="400" w:lineRule="exact"/>
              <w:ind w:firstLine="420" w:firstLineChars="200"/>
              <w:textAlignment w:val="auto"/>
              <w:rPr>
                <w:rFonts w:hint="eastAsia" w:ascii="宋体" w:hAnsi="宋体"/>
                <w:szCs w:val="21"/>
                <w:lang w:eastAsia="zh-CN"/>
              </w:rPr>
            </w:pPr>
            <w:r>
              <w:rPr>
                <w:rFonts w:hint="eastAsia" w:ascii="宋体" w:hAnsi="宋体"/>
                <w:szCs w:val="21"/>
                <w:lang w:eastAsia="zh-CN"/>
              </w:rPr>
              <w:t>（1）上述要求须提交的相关证明材料复印件加盖竞标</w:t>
            </w:r>
            <w:r>
              <w:rPr>
                <w:rFonts w:hint="eastAsia" w:ascii="宋体" w:hAnsi="宋体"/>
                <w:szCs w:val="21"/>
                <w:lang w:val="en-US" w:eastAsia="zh-CN"/>
              </w:rPr>
              <w:t>人单位</w:t>
            </w:r>
            <w:r>
              <w:rPr>
                <w:rFonts w:hint="eastAsia" w:ascii="宋体" w:hAnsi="宋体"/>
                <w:szCs w:val="21"/>
                <w:lang w:eastAsia="zh-CN"/>
              </w:rPr>
              <w:t>法人章。上述有</w:t>
            </w:r>
            <w:r>
              <w:rPr>
                <w:rFonts w:hint="eastAsia" w:ascii="宋体" w:hAnsi="宋体"/>
                <w:szCs w:val="21"/>
                <w:lang w:val="en-US" w:eastAsia="zh-CN"/>
              </w:rPr>
              <w:t>1</w:t>
            </w:r>
            <w:r>
              <w:rPr>
                <w:rFonts w:hint="eastAsia" w:ascii="宋体" w:hAnsi="宋体"/>
                <w:szCs w:val="21"/>
                <w:lang w:eastAsia="zh-CN"/>
              </w:rPr>
              <w:t>条不满足，则竞标文件由评标委员会作否决竞标处理。</w:t>
            </w:r>
          </w:p>
          <w:p>
            <w:pPr>
              <w:keepNext w:val="0"/>
              <w:keepLines w:val="0"/>
              <w:pageBreakBefore w:val="0"/>
              <w:kinsoku/>
              <w:overflowPunct/>
              <w:autoSpaceDE w:val="0"/>
              <w:autoSpaceDN w:val="0"/>
              <w:bidi w:val="0"/>
              <w:adjustRightInd w:val="0"/>
              <w:spacing w:line="400" w:lineRule="exact"/>
              <w:ind w:firstLine="420" w:firstLineChars="200"/>
              <w:textAlignment w:val="auto"/>
              <w:rPr>
                <w:rFonts w:hint="eastAsia" w:ascii="宋体" w:hAnsi="宋体"/>
                <w:szCs w:val="21"/>
                <w:lang w:eastAsia="zh-CN"/>
              </w:rPr>
            </w:pPr>
            <w:r>
              <w:rPr>
                <w:rFonts w:hint="eastAsia" w:ascii="宋体" w:hAnsi="宋体"/>
                <w:szCs w:val="21"/>
                <w:lang w:eastAsia="zh-CN"/>
              </w:rPr>
              <w:t>（2）竞标人须自行承诺其提供的上述相关证明材料真实有效，不存在弄虚作假情形（格式见第八章比选文件格式）。比选人在合同签订前均有权对竞标人提供的资料进行核实，若发现弄虚作假，取消其中标资格，并按相关法律法规报招标比选监督部门处理，其竞标保证金不予退还，竞标人承担因此造成的相关责任并赔偿相应损失。</w:t>
            </w:r>
          </w:p>
          <w:p>
            <w:pPr>
              <w:keepNext w:val="0"/>
              <w:keepLines w:val="0"/>
              <w:pageBreakBefore w:val="0"/>
              <w:kinsoku/>
              <w:overflowPunct/>
              <w:autoSpaceDE w:val="0"/>
              <w:autoSpaceDN w:val="0"/>
              <w:bidi w:val="0"/>
              <w:adjustRightInd w:val="0"/>
              <w:spacing w:line="400" w:lineRule="exact"/>
              <w:ind w:firstLine="420" w:firstLineChars="200"/>
              <w:textAlignment w:val="auto"/>
              <w:rPr>
                <w:rFonts w:hint="eastAsia" w:ascii="宋体" w:hAnsi="宋体"/>
                <w:szCs w:val="21"/>
                <w:lang w:eastAsia="zh-CN"/>
              </w:rPr>
            </w:pPr>
            <w:r>
              <w:rPr>
                <w:rFonts w:hint="eastAsia" w:ascii="宋体" w:hAnsi="宋体"/>
                <w:szCs w:val="21"/>
                <w:lang w:eastAsia="zh-CN"/>
              </w:rPr>
              <w:t>（3）本比选文件中所要求的人员养老保险证明要求如下：</w:t>
            </w:r>
          </w:p>
          <w:p>
            <w:pPr>
              <w:keepNext w:val="0"/>
              <w:keepLines w:val="0"/>
              <w:pageBreakBefore w:val="0"/>
              <w:kinsoku/>
              <w:overflowPunct/>
              <w:autoSpaceDE w:val="0"/>
              <w:autoSpaceDN w:val="0"/>
              <w:bidi w:val="0"/>
              <w:adjustRightInd w:val="0"/>
              <w:spacing w:line="400" w:lineRule="exact"/>
              <w:ind w:firstLine="420" w:firstLineChars="200"/>
              <w:textAlignment w:val="auto"/>
              <w:rPr>
                <w:rFonts w:hint="eastAsia" w:ascii="宋体" w:hAnsi="宋体"/>
                <w:szCs w:val="21"/>
                <w:lang w:eastAsia="zh-CN"/>
              </w:rPr>
            </w:pPr>
            <w:r>
              <w:rPr>
                <w:rFonts w:hint="eastAsia" w:ascii="宋体" w:hAnsi="宋体"/>
                <w:szCs w:val="21"/>
                <w:lang w:eastAsia="zh-CN"/>
              </w:rPr>
              <w:t>①社会单位提供养老保险证明，事业单位提供养老保险证明或行政主管部门在编证明。</w:t>
            </w:r>
          </w:p>
          <w:p>
            <w:pPr>
              <w:keepNext w:val="0"/>
              <w:keepLines w:val="0"/>
              <w:pageBreakBefore w:val="0"/>
              <w:kinsoku/>
              <w:overflowPunct/>
              <w:bidi w:val="0"/>
              <w:spacing w:line="400" w:lineRule="exact"/>
              <w:ind w:firstLine="420" w:firstLineChars="200"/>
              <w:textAlignment w:val="auto"/>
              <w:rPr>
                <w:rFonts w:ascii="宋体" w:hAnsi="宋体"/>
                <w:bCs/>
                <w:snapToGrid w:val="0"/>
                <w:kern w:val="0"/>
                <w:szCs w:val="21"/>
              </w:rPr>
            </w:pPr>
            <w:r>
              <w:rPr>
                <w:rFonts w:ascii="宋体" w:hAnsi="宋体"/>
                <w:bCs/>
                <w:kern w:val="0"/>
                <w:szCs w:val="21"/>
              </w:rPr>
              <w:t>②</w:t>
            </w:r>
            <w:r>
              <w:rPr>
                <w:rFonts w:hint="eastAsia" w:ascii="宋体" w:hAnsi="宋体"/>
                <w:bCs/>
                <w:snapToGrid w:val="0"/>
                <w:kern w:val="0"/>
                <w:szCs w:val="21"/>
              </w:rPr>
              <w:t>项目经理、</w:t>
            </w:r>
            <w:r>
              <w:rPr>
                <w:rFonts w:ascii="宋体" w:hAnsi="宋体"/>
                <w:bCs/>
                <w:snapToGrid w:val="0"/>
                <w:kern w:val="0"/>
                <w:szCs w:val="21"/>
              </w:rPr>
              <w:t>项目技术负责人和委托代理人的</w:t>
            </w:r>
            <w:r>
              <w:rPr>
                <w:rFonts w:hint="eastAsia" w:ascii="宋体" w:hAnsi="宋体"/>
                <w:bCs/>
                <w:snapToGrid w:val="0"/>
                <w:kern w:val="0"/>
                <w:szCs w:val="21"/>
              </w:rPr>
              <w:t>连续养老保险</w:t>
            </w:r>
            <w:r>
              <w:rPr>
                <w:rFonts w:ascii="宋体" w:hAnsi="宋体"/>
                <w:bCs/>
                <w:snapToGrid w:val="0"/>
                <w:kern w:val="0"/>
                <w:szCs w:val="21"/>
              </w:rPr>
              <w:t>证明期限为</w:t>
            </w:r>
            <w:r>
              <w:rPr>
                <w:rFonts w:hint="eastAsia" w:ascii="宋体" w:hAnsi="宋体"/>
                <w:bCs/>
                <w:snapToGrid w:val="0"/>
                <w:kern w:val="0"/>
                <w:szCs w:val="21"/>
                <w:u w:val="single"/>
              </w:rPr>
              <w:t>202</w:t>
            </w:r>
            <w:r>
              <w:rPr>
                <w:rFonts w:hint="eastAsia" w:ascii="宋体" w:hAnsi="宋体"/>
                <w:bCs/>
                <w:snapToGrid w:val="0"/>
                <w:kern w:val="0"/>
                <w:szCs w:val="21"/>
                <w:u w:val="single"/>
                <w:lang w:val="en-US" w:eastAsia="zh-CN"/>
              </w:rPr>
              <w:t>2</w:t>
            </w:r>
            <w:r>
              <w:rPr>
                <w:rFonts w:ascii="宋体" w:hAnsi="宋体"/>
                <w:bCs/>
                <w:snapToGrid w:val="0"/>
                <w:kern w:val="0"/>
                <w:szCs w:val="21"/>
              </w:rPr>
              <w:t>年</w:t>
            </w:r>
            <w:r>
              <w:rPr>
                <w:rFonts w:hint="eastAsia" w:ascii="宋体" w:hAnsi="宋体"/>
                <w:bCs/>
                <w:snapToGrid w:val="0"/>
                <w:kern w:val="0"/>
                <w:szCs w:val="21"/>
                <w:u w:val="single"/>
                <w:lang w:val="en-US" w:eastAsia="zh-CN"/>
              </w:rPr>
              <w:t>2</w:t>
            </w:r>
            <w:r>
              <w:rPr>
                <w:rFonts w:ascii="宋体" w:hAnsi="宋体"/>
                <w:bCs/>
                <w:snapToGrid w:val="0"/>
                <w:kern w:val="0"/>
                <w:szCs w:val="21"/>
              </w:rPr>
              <w:t>月至</w:t>
            </w:r>
            <w:r>
              <w:rPr>
                <w:rFonts w:hint="eastAsia" w:ascii="宋体" w:hAnsi="宋体"/>
                <w:bCs/>
                <w:snapToGrid w:val="0"/>
                <w:kern w:val="0"/>
                <w:szCs w:val="21"/>
                <w:u w:val="single"/>
              </w:rPr>
              <w:t>2022</w:t>
            </w:r>
            <w:r>
              <w:rPr>
                <w:rFonts w:ascii="宋体" w:hAnsi="宋体"/>
                <w:bCs/>
                <w:snapToGrid w:val="0"/>
                <w:kern w:val="0"/>
                <w:szCs w:val="21"/>
              </w:rPr>
              <w:t>年</w:t>
            </w:r>
            <w:r>
              <w:rPr>
                <w:rFonts w:hint="eastAsia" w:ascii="宋体" w:hAnsi="宋体"/>
                <w:bCs/>
                <w:snapToGrid w:val="0"/>
                <w:kern w:val="0"/>
                <w:szCs w:val="21"/>
                <w:u w:val="single"/>
                <w:lang w:val="en-US" w:eastAsia="zh-CN"/>
              </w:rPr>
              <w:t>7</w:t>
            </w:r>
            <w:r>
              <w:rPr>
                <w:rFonts w:ascii="宋体" w:hAnsi="宋体"/>
                <w:bCs/>
                <w:snapToGrid w:val="0"/>
                <w:kern w:val="0"/>
                <w:szCs w:val="21"/>
              </w:rPr>
              <w:t>月</w:t>
            </w:r>
            <w:r>
              <w:rPr>
                <w:rFonts w:hint="eastAsia" w:ascii="宋体" w:hAnsi="宋体"/>
                <w:bCs/>
                <w:szCs w:val="21"/>
              </w:rPr>
              <w:t>。提供的养老保险参保证明须体现上述人员的姓名、身份证号（或社保号）、单位名称、单位编号（或单位社保编号）、本单位参保时间（或起始参保时间），并带有社保部门公章或社保部门的有效电子印章。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keepNext w:val="0"/>
              <w:keepLines w:val="0"/>
              <w:pageBreakBefore w:val="0"/>
              <w:kinsoku/>
              <w:overflowPunct/>
              <w:bidi w:val="0"/>
              <w:snapToGrid w:val="0"/>
              <w:spacing w:line="400" w:lineRule="exact"/>
              <w:jc w:val="center"/>
              <w:textAlignment w:val="auto"/>
              <w:rPr>
                <w:rFonts w:ascii="宋体" w:hAnsi="宋体"/>
                <w:kern w:val="0"/>
                <w:szCs w:val="21"/>
              </w:rPr>
            </w:pPr>
            <w:r>
              <w:rPr>
                <w:rFonts w:ascii="宋体" w:hAnsi="宋体"/>
                <w:kern w:val="0"/>
                <w:szCs w:val="21"/>
              </w:rPr>
              <w:t>1.4.2</w:t>
            </w:r>
          </w:p>
        </w:tc>
        <w:tc>
          <w:tcPr>
            <w:tcW w:w="1644" w:type="dxa"/>
            <w:vAlign w:val="center"/>
          </w:tcPr>
          <w:p>
            <w:pPr>
              <w:keepNext w:val="0"/>
              <w:keepLines w:val="0"/>
              <w:pageBreakBefore w:val="0"/>
              <w:kinsoku/>
              <w:overflowPunct/>
              <w:bidi w:val="0"/>
              <w:snapToGrid w:val="0"/>
              <w:spacing w:line="400" w:lineRule="exact"/>
              <w:jc w:val="center"/>
              <w:textAlignment w:val="auto"/>
              <w:rPr>
                <w:rFonts w:ascii="宋体" w:hAnsi="宋体"/>
                <w:kern w:val="0"/>
                <w:szCs w:val="21"/>
              </w:rPr>
            </w:pPr>
            <w:r>
              <w:rPr>
                <w:rFonts w:ascii="宋体" w:hAnsi="宋体"/>
                <w:kern w:val="0"/>
                <w:szCs w:val="21"/>
              </w:rPr>
              <w:t>是否接受联合体投标</w:t>
            </w:r>
          </w:p>
        </w:tc>
        <w:tc>
          <w:tcPr>
            <w:tcW w:w="6490" w:type="dxa"/>
            <w:vAlign w:val="center"/>
          </w:tcPr>
          <w:p>
            <w:pPr>
              <w:keepNext w:val="0"/>
              <w:keepLines w:val="0"/>
              <w:pageBreakBefore w:val="0"/>
              <w:kinsoku/>
              <w:overflowPunct/>
              <w:bidi w:val="0"/>
              <w:snapToGrid w:val="0"/>
              <w:spacing w:line="400" w:lineRule="exact"/>
              <w:ind w:firstLine="420" w:firstLineChars="200"/>
              <w:textAlignment w:val="auto"/>
              <w:rPr>
                <w:rFonts w:ascii="宋体" w:hAnsi="宋体"/>
                <w:kern w:val="0"/>
                <w:szCs w:val="21"/>
              </w:rPr>
            </w:pPr>
            <w:r>
              <w:rPr>
                <w:rFonts w:ascii="宋体" w:hAnsi="宋体"/>
                <w:kern w:val="0"/>
                <w:szCs w:val="21"/>
              </w:rPr>
              <w:t>不接受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335" w:type="dxa"/>
            <w:vAlign w:val="center"/>
          </w:tcPr>
          <w:p>
            <w:pPr>
              <w:keepNext w:val="0"/>
              <w:keepLines w:val="0"/>
              <w:pageBreakBefore w:val="0"/>
              <w:kinsoku/>
              <w:overflowPunct/>
              <w:bidi w:val="0"/>
              <w:snapToGrid w:val="0"/>
              <w:spacing w:line="400" w:lineRule="exact"/>
              <w:jc w:val="center"/>
              <w:textAlignment w:val="auto"/>
              <w:rPr>
                <w:rFonts w:ascii="宋体" w:hAnsi="宋体"/>
                <w:kern w:val="0"/>
                <w:szCs w:val="21"/>
              </w:rPr>
            </w:pPr>
            <w:r>
              <w:rPr>
                <w:rFonts w:ascii="宋体" w:hAnsi="宋体"/>
                <w:kern w:val="0"/>
                <w:szCs w:val="21"/>
              </w:rPr>
              <w:t>1.9.1</w:t>
            </w:r>
          </w:p>
        </w:tc>
        <w:tc>
          <w:tcPr>
            <w:tcW w:w="1644" w:type="dxa"/>
            <w:vAlign w:val="center"/>
          </w:tcPr>
          <w:p>
            <w:pPr>
              <w:keepNext w:val="0"/>
              <w:keepLines w:val="0"/>
              <w:pageBreakBefore w:val="0"/>
              <w:kinsoku/>
              <w:overflowPunct/>
              <w:bidi w:val="0"/>
              <w:snapToGrid w:val="0"/>
              <w:spacing w:line="400" w:lineRule="exact"/>
              <w:jc w:val="center"/>
              <w:textAlignment w:val="auto"/>
              <w:rPr>
                <w:rFonts w:ascii="宋体" w:hAnsi="宋体"/>
                <w:kern w:val="0"/>
                <w:szCs w:val="21"/>
              </w:rPr>
            </w:pPr>
            <w:r>
              <w:rPr>
                <w:rFonts w:ascii="宋体" w:hAnsi="宋体"/>
                <w:kern w:val="0"/>
                <w:szCs w:val="21"/>
              </w:rPr>
              <w:t>踏勘现场</w:t>
            </w:r>
          </w:p>
        </w:tc>
        <w:tc>
          <w:tcPr>
            <w:tcW w:w="6490" w:type="dxa"/>
            <w:vAlign w:val="center"/>
          </w:tcPr>
          <w:p>
            <w:pPr>
              <w:keepNext w:val="0"/>
              <w:keepLines w:val="0"/>
              <w:pageBreakBefore w:val="0"/>
              <w:kinsoku/>
              <w:overflowPunct/>
              <w:bidi w:val="0"/>
              <w:snapToGrid w:val="0"/>
              <w:spacing w:line="400" w:lineRule="exact"/>
              <w:ind w:firstLine="420" w:firstLineChars="200"/>
              <w:textAlignment w:val="auto"/>
              <w:rPr>
                <w:rFonts w:ascii="宋体" w:hAnsi="宋体"/>
                <w:kern w:val="0"/>
                <w:szCs w:val="21"/>
              </w:rPr>
            </w:pPr>
            <w:r>
              <w:rPr>
                <w:rFonts w:ascii="宋体" w:hAnsi="宋体"/>
                <w:kern w:val="0"/>
                <w:szCs w:val="21"/>
              </w:rPr>
              <w:t>不组织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keepNext w:val="0"/>
              <w:keepLines w:val="0"/>
              <w:pageBreakBefore w:val="0"/>
              <w:kinsoku/>
              <w:overflowPunct/>
              <w:bidi w:val="0"/>
              <w:snapToGrid w:val="0"/>
              <w:spacing w:line="400" w:lineRule="exact"/>
              <w:jc w:val="center"/>
              <w:textAlignment w:val="auto"/>
              <w:rPr>
                <w:rFonts w:ascii="宋体" w:hAnsi="宋体"/>
                <w:kern w:val="0"/>
                <w:szCs w:val="21"/>
              </w:rPr>
            </w:pPr>
            <w:r>
              <w:rPr>
                <w:rFonts w:ascii="宋体" w:hAnsi="宋体"/>
                <w:kern w:val="0"/>
                <w:szCs w:val="21"/>
              </w:rPr>
              <w:t>1.10.1</w:t>
            </w:r>
          </w:p>
        </w:tc>
        <w:tc>
          <w:tcPr>
            <w:tcW w:w="1644" w:type="dxa"/>
            <w:vAlign w:val="center"/>
          </w:tcPr>
          <w:p>
            <w:pPr>
              <w:keepNext w:val="0"/>
              <w:keepLines w:val="0"/>
              <w:pageBreakBefore w:val="0"/>
              <w:kinsoku/>
              <w:overflowPunct/>
              <w:bidi w:val="0"/>
              <w:snapToGrid w:val="0"/>
              <w:spacing w:line="400" w:lineRule="exact"/>
              <w:jc w:val="center"/>
              <w:textAlignment w:val="auto"/>
              <w:rPr>
                <w:rFonts w:ascii="宋体" w:hAnsi="宋体"/>
                <w:kern w:val="0"/>
                <w:szCs w:val="21"/>
              </w:rPr>
            </w:pPr>
            <w:r>
              <w:rPr>
                <w:rFonts w:ascii="宋体" w:hAnsi="宋体"/>
                <w:kern w:val="0"/>
                <w:szCs w:val="21"/>
              </w:rPr>
              <w:t>投标预备会</w:t>
            </w:r>
          </w:p>
        </w:tc>
        <w:tc>
          <w:tcPr>
            <w:tcW w:w="6490" w:type="dxa"/>
            <w:vAlign w:val="center"/>
          </w:tcPr>
          <w:p>
            <w:pPr>
              <w:keepNext w:val="0"/>
              <w:keepLines w:val="0"/>
              <w:pageBreakBefore w:val="0"/>
              <w:kinsoku/>
              <w:overflowPunct/>
              <w:bidi w:val="0"/>
              <w:snapToGrid w:val="0"/>
              <w:spacing w:line="400" w:lineRule="exact"/>
              <w:ind w:firstLine="420" w:firstLineChars="200"/>
              <w:textAlignment w:val="auto"/>
              <w:rPr>
                <w:rFonts w:ascii="宋体" w:hAnsi="宋体"/>
                <w:kern w:val="0"/>
                <w:szCs w:val="21"/>
              </w:rPr>
            </w:pPr>
            <w:r>
              <w:rPr>
                <w:rFonts w:ascii="宋体" w:hAnsi="宋体"/>
                <w:kern w:val="0"/>
                <w:szCs w:val="21"/>
              </w:rPr>
              <w:t>不召开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keepNext w:val="0"/>
              <w:keepLines w:val="0"/>
              <w:pageBreakBefore w:val="0"/>
              <w:kinsoku/>
              <w:overflowPunct/>
              <w:bidi w:val="0"/>
              <w:snapToGrid w:val="0"/>
              <w:spacing w:line="400" w:lineRule="exact"/>
              <w:jc w:val="center"/>
              <w:textAlignment w:val="auto"/>
              <w:rPr>
                <w:rFonts w:ascii="宋体" w:hAnsi="宋体"/>
                <w:kern w:val="0"/>
                <w:szCs w:val="21"/>
              </w:rPr>
            </w:pPr>
            <w:r>
              <w:rPr>
                <w:rFonts w:ascii="宋体" w:hAnsi="宋体"/>
                <w:kern w:val="0"/>
                <w:szCs w:val="21"/>
              </w:rPr>
              <w:t>1.11</w:t>
            </w:r>
          </w:p>
        </w:tc>
        <w:tc>
          <w:tcPr>
            <w:tcW w:w="1644" w:type="dxa"/>
            <w:vAlign w:val="center"/>
          </w:tcPr>
          <w:p>
            <w:pPr>
              <w:keepNext w:val="0"/>
              <w:keepLines w:val="0"/>
              <w:pageBreakBefore w:val="0"/>
              <w:kinsoku/>
              <w:overflowPunct/>
              <w:bidi w:val="0"/>
              <w:snapToGrid w:val="0"/>
              <w:spacing w:line="400" w:lineRule="exact"/>
              <w:jc w:val="center"/>
              <w:textAlignment w:val="auto"/>
              <w:rPr>
                <w:rFonts w:ascii="宋体" w:hAnsi="宋体"/>
                <w:kern w:val="0"/>
                <w:szCs w:val="21"/>
              </w:rPr>
            </w:pPr>
            <w:r>
              <w:rPr>
                <w:rFonts w:ascii="宋体" w:hAnsi="宋体"/>
                <w:kern w:val="0"/>
                <w:szCs w:val="21"/>
              </w:rPr>
              <w:t>分包</w:t>
            </w:r>
          </w:p>
        </w:tc>
        <w:tc>
          <w:tcPr>
            <w:tcW w:w="6490" w:type="dxa"/>
            <w:vAlign w:val="center"/>
          </w:tcPr>
          <w:p>
            <w:pPr>
              <w:snapToGrid w:val="0"/>
              <w:spacing w:line="400" w:lineRule="exact"/>
              <w:ind w:firstLine="420" w:firstLineChars="200"/>
              <w:rPr>
                <w:color w:val="auto"/>
                <w:highlight w:val="none"/>
              </w:rPr>
            </w:pPr>
            <w:r>
              <w:rPr>
                <w:rFonts w:hint="eastAsia"/>
                <w:color w:val="auto"/>
                <w:highlight w:val="none"/>
              </w:rPr>
              <w:sym w:font="Wingdings 2" w:char="00A3"/>
            </w:r>
            <w:r>
              <w:rPr>
                <w:color w:val="auto"/>
                <w:highlight w:val="none"/>
              </w:rPr>
              <w:t>不允许</w:t>
            </w:r>
          </w:p>
          <w:p>
            <w:pPr>
              <w:snapToGrid w:val="0"/>
              <w:spacing w:line="400" w:lineRule="exact"/>
              <w:ind w:firstLine="420" w:firstLineChars="200"/>
              <w:rPr>
                <w:rFonts w:hint="default" w:eastAsia="宋体"/>
                <w:color w:val="auto"/>
                <w:highlight w:val="none"/>
                <w:lang w:val="en-US" w:eastAsia="zh-CN"/>
              </w:rPr>
            </w:pPr>
            <w:r>
              <w:rPr>
                <w:rFonts w:hint="eastAsia"/>
                <w:color w:val="auto"/>
                <w:highlight w:val="none"/>
              </w:rPr>
              <w:sym w:font="Wingdings 2" w:char="0052"/>
            </w:r>
            <w:r>
              <w:rPr>
                <w:color w:val="auto"/>
                <w:highlight w:val="none"/>
              </w:rPr>
              <w:t>允许，分包内容要求：</w:t>
            </w:r>
            <w:r>
              <w:rPr>
                <w:rFonts w:hint="eastAsia"/>
                <w:color w:val="auto"/>
                <w:highlight w:val="none"/>
                <w:lang w:val="en-US" w:eastAsia="zh-CN"/>
              </w:rPr>
              <w:t>白蚁专项整治</w:t>
            </w:r>
          </w:p>
          <w:p>
            <w:pPr>
              <w:snapToGrid w:val="0"/>
              <w:spacing w:line="400" w:lineRule="exact"/>
              <w:ind w:firstLine="1260" w:firstLineChars="600"/>
              <w:rPr>
                <w:color w:val="auto"/>
                <w:highlight w:val="none"/>
              </w:rPr>
            </w:pPr>
            <w:r>
              <w:rPr>
                <w:color w:val="auto"/>
                <w:highlight w:val="none"/>
              </w:rPr>
              <w:t>分包金额要求：</w:t>
            </w:r>
          </w:p>
          <w:p>
            <w:pPr>
              <w:snapToGrid w:val="0"/>
              <w:spacing w:after="15" w:afterLines="5" w:line="400" w:lineRule="exact"/>
              <w:rPr>
                <w:rFonts w:hint="eastAsia" w:eastAsia="宋体"/>
                <w:color w:val="auto"/>
                <w:highlight w:val="none"/>
                <w:lang w:val="en-US" w:eastAsia="zh-CN"/>
              </w:rPr>
            </w:pPr>
            <w:r>
              <w:rPr>
                <w:color w:val="auto"/>
                <w:highlight w:val="none"/>
              </w:rPr>
              <w:t>接受分包的第三人资质要求：</w:t>
            </w:r>
            <w:r>
              <w:rPr>
                <w:rFonts w:hint="eastAsia"/>
                <w:color w:val="auto"/>
                <w:highlight w:val="none"/>
                <w:lang w:val="en-US" w:eastAsia="zh-CN"/>
              </w:rPr>
              <w:t>一级白蚁防治单位</w:t>
            </w:r>
          </w:p>
          <w:p>
            <w:pPr>
              <w:keepNext w:val="0"/>
              <w:keepLines w:val="0"/>
              <w:pageBreakBefore w:val="0"/>
              <w:kinsoku/>
              <w:overflowPunct/>
              <w:bidi w:val="0"/>
              <w:snapToGrid w:val="0"/>
              <w:spacing w:line="400" w:lineRule="exact"/>
              <w:ind w:firstLine="420" w:firstLineChars="200"/>
              <w:textAlignment w:val="auto"/>
            </w:pPr>
            <w:r>
              <w:rPr>
                <w:rFonts w:hint="eastAsia"/>
                <w:color w:val="auto"/>
                <w:highlight w:val="none"/>
              </w:rPr>
              <w:t>注：分包应按照相关法律法规及规范性文件执行，不得违法分包。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keepNext w:val="0"/>
              <w:keepLines w:val="0"/>
              <w:pageBreakBefore w:val="0"/>
              <w:kinsoku/>
              <w:overflowPunct/>
              <w:bidi w:val="0"/>
              <w:snapToGrid w:val="0"/>
              <w:spacing w:line="400" w:lineRule="exact"/>
              <w:jc w:val="center"/>
              <w:textAlignment w:val="auto"/>
              <w:rPr>
                <w:rFonts w:ascii="宋体" w:hAnsi="宋体"/>
                <w:kern w:val="0"/>
                <w:szCs w:val="21"/>
              </w:rPr>
            </w:pPr>
            <w:r>
              <w:rPr>
                <w:rFonts w:ascii="宋体" w:hAnsi="宋体"/>
                <w:kern w:val="0"/>
                <w:szCs w:val="21"/>
              </w:rPr>
              <w:t>2.1</w:t>
            </w:r>
          </w:p>
        </w:tc>
        <w:tc>
          <w:tcPr>
            <w:tcW w:w="1644" w:type="dxa"/>
            <w:vAlign w:val="center"/>
          </w:tcPr>
          <w:p>
            <w:pPr>
              <w:keepNext w:val="0"/>
              <w:keepLines w:val="0"/>
              <w:pageBreakBefore w:val="0"/>
              <w:kinsoku/>
              <w:overflowPunct/>
              <w:bidi w:val="0"/>
              <w:snapToGrid w:val="0"/>
              <w:spacing w:line="400" w:lineRule="exact"/>
              <w:jc w:val="center"/>
              <w:textAlignment w:val="auto"/>
              <w:rPr>
                <w:rFonts w:ascii="宋体" w:hAnsi="宋体"/>
                <w:kern w:val="0"/>
                <w:szCs w:val="21"/>
              </w:rPr>
            </w:pPr>
            <w:r>
              <w:rPr>
                <w:rFonts w:ascii="宋体" w:hAnsi="宋体"/>
                <w:kern w:val="0"/>
                <w:szCs w:val="21"/>
              </w:rPr>
              <w:t>构成</w:t>
            </w:r>
            <w:r>
              <w:rPr>
                <w:rFonts w:hint="eastAsia" w:ascii="宋体" w:hAnsi="宋体"/>
                <w:kern w:val="0"/>
                <w:szCs w:val="21"/>
              </w:rPr>
              <w:t>比选</w:t>
            </w:r>
            <w:r>
              <w:rPr>
                <w:rFonts w:ascii="宋体" w:hAnsi="宋体"/>
                <w:kern w:val="0"/>
                <w:szCs w:val="21"/>
              </w:rPr>
              <w:t>文件的其他材料</w:t>
            </w:r>
          </w:p>
        </w:tc>
        <w:tc>
          <w:tcPr>
            <w:tcW w:w="6490" w:type="dxa"/>
            <w:vAlign w:val="center"/>
          </w:tcPr>
          <w:p>
            <w:pPr>
              <w:keepNext w:val="0"/>
              <w:keepLines w:val="0"/>
              <w:pageBreakBefore w:val="0"/>
              <w:kinsoku/>
              <w:overflowPunct/>
              <w:bidi w:val="0"/>
              <w:snapToGrid w:val="0"/>
              <w:spacing w:line="400" w:lineRule="exact"/>
              <w:ind w:firstLine="420" w:firstLineChars="200"/>
              <w:textAlignment w:val="auto"/>
              <w:rPr>
                <w:rFonts w:ascii="宋体" w:hAnsi="宋体"/>
                <w:szCs w:val="21"/>
              </w:rPr>
            </w:pPr>
            <w:r>
              <w:rPr>
                <w:rFonts w:hint="eastAsia" w:ascii="宋体" w:hAnsi="宋体"/>
                <w:szCs w:val="21"/>
              </w:rPr>
              <w:t>比选</w:t>
            </w:r>
            <w:r>
              <w:rPr>
                <w:rFonts w:ascii="宋体" w:hAnsi="宋体"/>
                <w:szCs w:val="21"/>
              </w:rPr>
              <w:t>人发出的</w:t>
            </w:r>
            <w:r>
              <w:rPr>
                <w:rFonts w:hint="eastAsia" w:ascii="宋体" w:hAnsi="宋体"/>
                <w:szCs w:val="21"/>
              </w:rPr>
              <w:t>澄清</w:t>
            </w:r>
            <w:r>
              <w:rPr>
                <w:rFonts w:ascii="宋体" w:hAnsi="宋体"/>
                <w:szCs w:val="21"/>
              </w:rPr>
              <w:t>及</w:t>
            </w:r>
            <w:r>
              <w:rPr>
                <w:rFonts w:hint="eastAsia" w:ascii="宋体" w:hAnsi="宋体"/>
                <w:szCs w:val="21"/>
              </w:rPr>
              <w:t>修改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keepNext w:val="0"/>
              <w:keepLines w:val="0"/>
              <w:pageBreakBefore w:val="0"/>
              <w:kinsoku/>
              <w:overflowPunct/>
              <w:bidi w:val="0"/>
              <w:snapToGrid w:val="0"/>
              <w:spacing w:line="400" w:lineRule="exact"/>
              <w:jc w:val="center"/>
              <w:textAlignment w:val="auto"/>
              <w:rPr>
                <w:rFonts w:ascii="宋体" w:hAnsi="宋体"/>
                <w:kern w:val="0"/>
                <w:szCs w:val="21"/>
              </w:rPr>
            </w:pPr>
            <w:r>
              <w:rPr>
                <w:rFonts w:hint="eastAsia" w:ascii="宋体" w:hAnsi="宋体"/>
                <w:kern w:val="0"/>
                <w:szCs w:val="21"/>
              </w:rPr>
              <w:t>2</w:t>
            </w:r>
            <w:r>
              <w:rPr>
                <w:rFonts w:ascii="宋体" w:hAnsi="宋体"/>
                <w:kern w:val="0"/>
                <w:szCs w:val="21"/>
              </w:rPr>
              <w:t>.</w:t>
            </w:r>
            <w:r>
              <w:rPr>
                <w:rFonts w:hint="eastAsia" w:ascii="宋体" w:hAnsi="宋体"/>
                <w:kern w:val="0"/>
                <w:szCs w:val="21"/>
              </w:rPr>
              <w:t>2</w:t>
            </w:r>
            <w:r>
              <w:rPr>
                <w:rFonts w:ascii="宋体" w:hAnsi="宋体"/>
                <w:kern w:val="0"/>
                <w:szCs w:val="21"/>
              </w:rPr>
              <w:t>.</w:t>
            </w:r>
            <w:r>
              <w:rPr>
                <w:rFonts w:hint="eastAsia" w:ascii="宋体" w:hAnsi="宋体"/>
                <w:kern w:val="0"/>
                <w:szCs w:val="21"/>
              </w:rPr>
              <w:t>1</w:t>
            </w:r>
          </w:p>
        </w:tc>
        <w:tc>
          <w:tcPr>
            <w:tcW w:w="1644" w:type="dxa"/>
            <w:tcBorders>
              <w:bottom w:val="single" w:color="auto" w:sz="4" w:space="0"/>
            </w:tcBorders>
            <w:vAlign w:val="center"/>
          </w:tcPr>
          <w:p>
            <w:pPr>
              <w:keepNext w:val="0"/>
              <w:keepLines w:val="0"/>
              <w:pageBreakBefore w:val="0"/>
              <w:kinsoku/>
              <w:overflowPunct/>
              <w:bidi w:val="0"/>
              <w:snapToGrid w:val="0"/>
              <w:spacing w:line="400" w:lineRule="exact"/>
              <w:jc w:val="center"/>
              <w:textAlignment w:val="auto"/>
              <w:rPr>
                <w:rFonts w:ascii="宋体" w:hAnsi="宋体"/>
                <w:kern w:val="0"/>
                <w:szCs w:val="21"/>
              </w:rPr>
            </w:pPr>
            <w:r>
              <w:rPr>
                <w:rFonts w:hint="eastAsia" w:ascii="宋体" w:hAnsi="宋体" w:cs="宋体"/>
                <w:kern w:val="0"/>
                <w:szCs w:val="21"/>
              </w:rPr>
              <w:t>竞标人要求澄清比选文件的形式和截止时间</w:t>
            </w:r>
          </w:p>
        </w:tc>
        <w:tc>
          <w:tcPr>
            <w:tcW w:w="6490" w:type="dxa"/>
            <w:vAlign w:val="center"/>
          </w:tcPr>
          <w:p>
            <w:pPr>
              <w:keepNext w:val="0"/>
              <w:keepLines w:val="0"/>
              <w:pageBreakBefore w:val="0"/>
              <w:kinsoku/>
              <w:overflowPunct/>
              <w:bidi w:val="0"/>
              <w:snapToGrid w:val="0"/>
              <w:spacing w:line="400" w:lineRule="exact"/>
              <w:ind w:firstLine="420" w:firstLineChars="200"/>
              <w:textAlignment w:val="auto"/>
              <w:rPr>
                <w:rFonts w:ascii="宋体" w:hAnsi="宋体"/>
                <w:kern w:val="0"/>
                <w:szCs w:val="21"/>
              </w:rPr>
            </w:pPr>
            <w:r>
              <w:rPr>
                <w:rFonts w:hint="eastAsia" w:ascii="宋体" w:hAnsi="宋体" w:cs="宋体"/>
                <w:kern w:val="0"/>
                <w:szCs w:val="21"/>
              </w:rPr>
              <w:t>竞标人应仔细阅读比选文件及附件的所有内容，如有文字表述不清以及存在错、漏、缺、概念模糊和有可能出现歧义或理解上的偏差的内容等应在比选公告规定的时间前提问。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75" w:hRule="atLeast"/>
          <w:jc w:val="center"/>
        </w:trPr>
        <w:tc>
          <w:tcPr>
            <w:tcW w:w="1335" w:type="dxa"/>
            <w:vAlign w:val="center"/>
          </w:tcPr>
          <w:p>
            <w:pPr>
              <w:keepNext w:val="0"/>
              <w:keepLines w:val="0"/>
              <w:pageBreakBefore w:val="0"/>
              <w:kinsoku/>
              <w:overflowPunct/>
              <w:bidi w:val="0"/>
              <w:snapToGrid w:val="0"/>
              <w:spacing w:line="400" w:lineRule="exact"/>
              <w:jc w:val="center"/>
              <w:textAlignment w:val="auto"/>
              <w:rPr>
                <w:rFonts w:ascii="宋体" w:hAnsi="宋体"/>
                <w:kern w:val="0"/>
                <w:szCs w:val="21"/>
              </w:rPr>
            </w:pPr>
            <w:r>
              <w:rPr>
                <w:rFonts w:ascii="宋体" w:hAnsi="宋体"/>
                <w:kern w:val="0"/>
                <w:szCs w:val="21"/>
              </w:rPr>
              <w:t>2.2.2</w:t>
            </w:r>
          </w:p>
        </w:tc>
        <w:tc>
          <w:tcPr>
            <w:tcW w:w="1644" w:type="dxa"/>
            <w:tcBorders>
              <w:top w:val="single" w:color="auto" w:sz="4" w:space="0"/>
            </w:tcBorders>
            <w:vAlign w:val="center"/>
          </w:tcPr>
          <w:p>
            <w:pPr>
              <w:snapToGrid w:val="0"/>
              <w:spacing w:line="360" w:lineRule="auto"/>
              <w:jc w:val="center"/>
              <w:rPr>
                <w:rFonts w:ascii="宋体" w:hAnsi="宋体"/>
                <w:kern w:val="0"/>
                <w:szCs w:val="21"/>
              </w:rPr>
            </w:pPr>
            <w:r>
              <w:rPr>
                <w:rFonts w:hint="eastAsia" w:ascii="宋体" w:hAnsi="宋体" w:cs="宋体"/>
                <w:kern w:val="0"/>
                <w:szCs w:val="21"/>
              </w:rPr>
              <w:t>比选文件澄清发出的形式和时间</w:t>
            </w:r>
          </w:p>
        </w:tc>
        <w:tc>
          <w:tcPr>
            <w:tcW w:w="6490" w:type="dxa"/>
            <w:vAlign w:val="center"/>
          </w:tcPr>
          <w:p>
            <w:pPr>
              <w:snapToGrid w:val="0"/>
              <w:spacing w:line="360" w:lineRule="auto"/>
              <w:ind w:firstLine="420" w:firstLineChars="200"/>
              <w:rPr>
                <w:rFonts w:ascii="宋体" w:hAnsi="宋体"/>
                <w:snapToGrid w:val="0"/>
                <w:kern w:val="0"/>
                <w:szCs w:val="21"/>
                <w:highlight w:val="none"/>
              </w:rPr>
            </w:pPr>
            <w:r>
              <w:rPr>
                <w:rFonts w:hint="eastAsia" w:ascii="宋体" w:hAnsi="宋体" w:cs="宋体"/>
                <w:szCs w:val="21"/>
              </w:rPr>
              <w:t>比选人应在比选公告规定的时间前，</w:t>
            </w:r>
            <w:r>
              <w:rPr>
                <w:rFonts w:hint="eastAsia" w:ascii="宋体" w:hAnsi="宋体" w:cs="宋体"/>
                <w:kern w:val="0"/>
                <w:szCs w:val="21"/>
              </w:rPr>
              <w:t>在</w:t>
            </w:r>
            <w:r>
              <w:rPr>
                <w:rFonts w:hint="eastAsia" w:ascii="宋体" w:hAnsi="宋体" w:cs="宋体"/>
                <w:kern w:val="0"/>
                <w:szCs w:val="21"/>
                <w:u w:val="single"/>
              </w:rPr>
              <w:t>重庆市公共资源交易网（渝中区）</w:t>
            </w:r>
            <w:r>
              <w:rPr>
                <w:rFonts w:hint="eastAsia" w:ascii="宋体" w:hAnsi="宋体" w:cs="宋体"/>
                <w:kern w:val="0"/>
                <w:szCs w:val="21"/>
              </w:rPr>
              <w:t>发布澄清。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snapToGrid w:val="0"/>
              <w:spacing w:line="360" w:lineRule="auto"/>
              <w:jc w:val="center"/>
              <w:rPr>
                <w:rFonts w:ascii="宋体" w:hAnsi="宋体"/>
                <w:kern w:val="0"/>
                <w:szCs w:val="21"/>
              </w:rPr>
            </w:pPr>
            <w:r>
              <w:rPr>
                <w:rFonts w:hint="eastAsia" w:ascii="宋体" w:hAnsi="宋体" w:cs="宋体"/>
                <w:kern w:val="0"/>
                <w:szCs w:val="21"/>
              </w:rPr>
              <w:t>2.3.1</w:t>
            </w:r>
          </w:p>
        </w:tc>
        <w:tc>
          <w:tcPr>
            <w:tcW w:w="1644" w:type="dxa"/>
            <w:vAlign w:val="top"/>
          </w:tcPr>
          <w:p>
            <w:pPr>
              <w:snapToGrid w:val="0"/>
              <w:spacing w:after="15" w:afterLines="5" w:line="360" w:lineRule="auto"/>
              <w:jc w:val="center"/>
              <w:rPr>
                <w:rFonts w:ascii="宋体" w:hAnsi="宋体"/>
                <w:kern w:val="0"/>
                <w:szCs w:val="21"/>
              </w:rPr>
            </w:pPr>
            <w:r>
              <w:rPr>
                <w:rFonts w:hint="eastAsia" w:ascii="宋体" w:hAnsi="宋体" w:cs="宋体"/>
              </w:rPr>
              <w:t>比选文件修改发出的形式和时间</w:t>
            </w:r>
          </w:p>
        </w:tc>
        <w:tc>
          <w:tcPr>
            <w:tcW w:w="6490" w:type="dxa"/>
            <w:vAlign w:val="center"/>
          </w:tcPr>
          <w:p>
            <w:pPr>
              <w:snapToGrid w:val="0"/>
              <w:spacing w:line="360" w:lineRule="auto"/>
              <w:ind w:firstLine="420" w:firstLineChars="200"/>
              <w:jc w:val="both"/>
              <w:rPr>
                <w:rFonts w:ascii="宋体" w:hAnsi="宋体"/>
                <w:szCs w:val="21"/>
              </w:rPr>
            </w:pPr>
            <w:r>
              <w:rPr>
                <w:rFonts w:hint="eastAsia" w:ascii="宋体" w:hAnsi="宋体" w:cs="宋体"/>
              </w:rPr>
              <w:t>比选人应在比选公告规定的时间前，在</w:t>
            </w:r>
            <w:r>
              <w:rPr>
                <w:rFonts w:hint="eastAsia" w:ascii="宋体" w:hAnsi="宋体" w:cs="宋体"/>
                <w:u w:val="single"/>
              </w:rPr>
              <w:t>重庆市公共资源交易网（渝中区）</w:t>
            </w:r>
            <w:r>
              <w:rPr>
                <w:rFonts w:hint="eastAsia" w:ascii="宋体" w:hAnsi="宋体" w:cs="宋体"/>
              </w:rPr>
              <w:t>发布修改。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1335" w:type="dxa"/>
            <w:vAlign w:val="center"/>
          </w:tcPr>
          <w:p>
            <w:pPr>
              <w:snapToGrid w:val="0"/>
              <w:spacing w:line="360" w:lineRule="auto"/>
              <w:jc w:val="center"/>
              <w:rPr>
                <w:rFonts w:ascii="宋体" w:hAnsi="宋体" w:eastAsia="宋体" w:cs="宋体"/>
                <w:kern w:val="0"/>
                <w:sz w:val="21"/>
                <w:szCs w:val="21"/>
                <w:lang w:val="en-US" w:eastAsia="zh-CN" w:bidi="ar-SA"/>
              </w:rPr>
            </w:pPr>
            <w:r>
              <w:rPr>
                <w:rFonts w:hint="eastAsia" w:ascii="宋体" w:hAnsi="宋体" w:cs="宋体"/>
                <w:kern w:val="0"/>
                <w:szCs w:val="21"/>
              </w:rPr>
              <w:t>2.4</w:t>
            </w:r>
          </w:p>
        </w:tc>
        <w:tc>
          <w:tcPr>
            <w:tcW w:w="1644" w:type="dxa"/>
            <w:vAlign w:val="center"/>
          </w:tcPr>
          <w:p>
            <w:pPr>
              <w:snapToGrid w:val="0"/>
              <w:spacing w:line="360" w:lineRule="auto"/>
              <w:jc w:val="center"/>
              <w:rPr>
                <w:rFonts w:hint="eastAsia" w:ascii="宋体" w:hAnsi="宋体" w:eastAsia="宋体" w:cs="宋体"/>
                <w:kern w:val="0"/>
                <w:sz w:val="21"/>
                <w:szCs w:val="21"/>
                <w:lang w:val="en-US" w:eastAsia="zh-CN" w:bidi="ar-SA"/>
              </w:rPr>
            </w:pPr>
            <w:r>
              <w:rPr>
                <w:rFonts w:hint="eastAsia" w:ascii="宋体" w:hAnsi="宋体" w:cs="宋体"/>
                <w:kern w:val="0"/>
                <w:szCs w:val="21"/>
              </w:rPr>
              <w:t>竞标人对比选文件及澄清修改提出异议的形式和时间</w:t>
            </w:r>
          </w:p>
        </w:tc>
        <w:tc>
          <w:tcPr>
            <w:tcW w:w="6490" w:type="dxa"/>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napToGrid w:val="0"/>
                <w:kern w:val="0"/>
                <w:sz w:val="21"/>
                <w:szCs w:val="21"/>
                <w:lang w:val="en-US" w:eastAsia="zh-CN" w:bidi="ar-SA"/>
              </w:rPr>
            </w:pPr>
            <w:r>
              <w:rPr>
                <w:rFonts w:hint="eastAsia" w:ascii="宋体" w:hAnsi="宋体" w:cs="宋体"/>
                <w:snapToGrid w:val="0"/>
                <w:kern w:val="0"/>
                <w:szCs w:val="21"/>
              </w:rPr>
              <w:t>竞标人对比选文件和澄清修改有异议的，应当在竞标截止时间3日前提出，比选人应当自收到异议之日起3日内做出答复。最终实质性答复内容可能影响竞标文件编制的，将以修改的形式于竞标截止时间3日前在</w:t>
            </w:r>
            <w:r>
              <w:rPr>
                <w:rFonts w:hint="eastAsia" w:ascii="宋体" w:hAnsi="宋体" w:cs="宋体"/>
                <w:snapToGrid w:val="0"/>
                <w:kern w:val="0"/>
                <w:szCs w:val="21"/>
                <w:u w:val="single"/>
              </w:rPr>
              <w:t>重庆市公共资源交易网（渝中区）</w:t>
            </w:r>
            <w:r>
              <w:rPr>
                <w:rFonts w:hint="eastAsia" w:ascii="宋体" w:hAnsi="宋体" w:cs="宋体"/>
                <w:snapToGrid w:val="0"/>
                <w:kern w:val="0"/>
                <w:szCs w:val="21"/>
              </w:rPr>
              <w:t>发布。发布时间至竞标截止时间不足3日的，须相应延后竞标截止时间。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keepNext w:val="0"/>
              <w:keepLines w:val="0"/>
              <w:pageBreakBefore w:val="0"/>
              <w:kinsoku/>
              <w:overflowPunct/>
              <w:bidi w:val="0"/>
              <w:snapToGrid w:val="0"/>
              <w:spacing w:line="400" w:lineRule="exact"/>
              <w:jc w:val="center"/>
              <w:textAlignment w:val="auto"/>
              <w:rPr>
                <w:rFonts w:ascii="宋体" w:hAnsi="宋体"/>
                <w:kern w:val="0"/>
                <w:szCs w:val="21"/>
              </w:rPr>
            </w:pPr>
            <w:r>
              <w:rPr>
                <w:rFonts w:ascii="宋体" w:hAnsi="宋体"/>
                <w:kern w:val="0"/>
                <w:szCs w:val="21"/>
              </w:rPr>
              <w:t>3.1.1</w:t>
            </w:r>
          </w:p>
        </w:tc>
        <w:tc>
          <w:tcPr>
            <w:tcW w:w="1644" w:type="dxa"/>
            <w:vAlign w:val="center"/>
          </w:tcPr>
          <w:p>
            <w:pPr>
              <w:keepNext w:val="0"/>
              <w:keepLines w:val="0"/>
              <w:pageBreakBefore w:val="0"/>
              <w:kinsoku/>
              <w:overflowPunct/>
              <w:bidi w:val="0"/>
              <w:snapToGrid w:val="0"/>
              <w:spacing w:line="400" w:lineRule="exact"/>
              <w:jc w:val="center"/>
              <w:textAlignment w:val="auto"/>
              <w:rPr>
                <w:rFonts w:ascii="宋体" w:hAnsi="宋体"/>
                <w:kern w:val="0"/>
                <w:szCs w:val="21"/>
              </w:rPr>
            </w:pPr>
            <w:r>
              <w:rPr>
                <w:rFonts w:ascii="宋体" w:hAnsi="宋体"/>
                <w:kern w:val="0"/>
                <w:szCs w:val="21"/>
              </w:rPr>
              <w:t>构成</w:t>
            </w:r>
            <w:r>
              <w:rPr>
                <w:rFonts w:hint="eastAsia" w:ascii="宋体" w:hAnsi="宋体"/>
                <w:kern w:val="0"/>
                <w:szCs w:val="21"/>
                <w:lang w:eastAsia="zh-CN"/>
              </w:rPr>
              <w:t>竞标</w:t>
            </w:r>
            <w:r>
              <w:rPr>
                <w:rFonts w:ascii="宋体" w:hAnsi="宋体"/>
                <w:kern w:val="0"/>
                <w:szCs w:val="21"/>
              </w:rPr>
              <w:t>文件的其他材料</w:t>
            </w:r>
          </w:p>
        </w:tc>
        <w:tc>
          <w:tcPr>
            <w:tcW w:w="6490" w:type="dxa"/>
            <w:vAlign w:val="center"/>
          </w:tcPr>
          <w:p>
            <w:pPr>
              <w:keepNext w:val="0"/>
              <w:keepLines w:val="0"/>
              <w:pageBreakBefore w:val="0"/>
              <w:kinsoku/>
              <w:overflowPunct/>
              <w:bidi w:val="0"/>
              <w:snapToGrid w:val="0"/>
              <w:spacing w:line="400" w:lineRule="exact"/>
              <w:ind w:firstLine="420" w:firstLineChars="200"/>
              <w:textAlignment w:val="auto"/>
              <w:rPr>
                <w:rFonts w:ascii="宋体" w:hAnsi="宋体"/>
                <w:szCs w:val="21"/>
              </w:rPr>
            </w:pPr>
            <w:r>
              <w:rPr>
                <w:rFonts w:hint="eastAsia" w:ascii="宋体" w:hAnsi="宋体"/>
                <w:szCs w:val="21"/>
                <w:lang w:eastAsia="zh-CN"/>
              </w:rPr>
              <w:t>竞标</w:t>
            </w:r>
            <w:r>
              <w:rPr>
                <w:rFonts w:hint="eastAsia" w:ascii="宋体" w:hAnsi="宋体"/>
                <w:szCs w:val="21"/>
              </w:rPr>
              <w:t>人</w:t>
            </w:r>
            <w:r>
              <w:rPr>
                <w:rFonts w:ascii="宋体" w:hAnsi="宋体"/>
                <w:szCs w:val="21"/>
              </w:rPr>
              <w:t>的书面澄清、说明和补正（但不得改变</w:t>
            </w:r>
            <w:r>
              <w:rPr>
                <w:rFonts w:hint="eastAsia" w:ascii="宋体" w:hAnsi="宋体"/>
                <w:szCs w:val="21"/>
                <w:lang w:eastAsia="zh-CN"/>
              </w:rPr>
              <w:t>竞标</w:t>
            </w:r>
            <w:r>
              <w:rPr>
                <w:rFonts w:ascii="宋体" w:hAnsi="宋体"/>
                <w:szCs w:val="21"/>
              </w:rPr>
              <w:t>文件的实质性内容）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keepNext w:val="0"/>
              <w:keepLines w:val="0"/>
              <w:pageBreakBefore w:val="0"/>
              <w:kinsoku/>
              <w:overflowPunct/>
              <w:bidi w:val="0"/>
              <w:snapToGrid w:val="0"/>
              <w:spacing w:line="400" w:lineRule="exact"/>
              <w:jc w:val="center"/>
              <w:textAlignment w:val="auto"/>
              <w:rPr>
                <w:rFonts w:ascii="宋体" w:hAnsi="宋体"/>
                <w:kern w:val="0"/>
                <w:szCs w:val="21"/>
              </w:rPr>
            </w:pPr>
            <w:r>
              <w:rPr>
                <w:rFonts w:hint="eastAsia" w:ascii="宋体" w:hAnsi="宋体"/>
                <w:kern w:val="0"/>
                <w:szCs w:val="21"/>
              </w:rPr>
              <w:t>3.2</w:t>
            </w:r>
          </w:p>
        </w:tc>
        <w:tc>
          <w:tcPr>
            <w:tcW w:w="1644" w:type="dxa"/>
            <w:vAlign w:val="center"/>
          </w:tcPr>
          <w:p>
            <w:pPr>
              <w:keepNext w:val="0"/>
              <w:keepLines w:val="0"/>
              <w:pageBreakBefore w:val="0"/>
              <w:kinsoku/>
              <w:overflowPunct/>
              <w:bidi w:val="0"/>
              <w:snapToGrid w:val="0"/>
              <w:spacing w:line="400" w:lineRule="exact"/>
              <w:jc w:val="center"/>
              <w:textAlignment w:val="auto"/>
              <w:rPr>
                <w:rFonts w:ascii="宋体" w:hAnsi="宋体"/>
                <w:kern w:val="0"/>
                <w:szCs w:val="21"/>
              </w:rPr>
            </w:pPr>
            <w:r>
              <w:rPr>
                <w:rFonts w:hint="eastAsia" w:ascii="宋体" w:hAnsi="宋体"/>
                <w:kern w:val="0"/>
                <w:szCs w:val="21"/>
                <w:lang w:eastAsia="zh-CN"/>
              </w:rPr>
              <w:t>竞标</w:t>
            </w:r>
            <w:r>
              <w:rPr>
                <w:rFonts w:ascii="宋体" w:hAnsi="宋体"/>
                <w:kern w:val="0"/>
                <w:szCs w:val="21"/>
              </w:rPr>
              <w:t>报价</w:t>
            </w:r>
          </w:p>
        </w:tc>
        <w:tc>
          <w:tcPr>
            <w:tcW w:w="6490" w:type="dxa"/>
            <w:vAlign w:val="center"/>
          </w:tcPr>
          <w:p>
            <w:pPr>
              <w:pStyle w:val="2"/>
              <w:keepNext w:val="0"/>
              <w:keepLines w:val="0"/>
              <w:pageBreakBefore w:val="0"/>
              <w:widowControl w:val="0"/>
              <w:tabs>
                <w:tab w:val="left" w:pos="546"/>
                <w:tab w:val="left" w:pos="711"/>
              </w:tabs>
              <w:kinsoku/>
              <w:wordWrap/>
              <w:overflowPunct/>
              <w:topLinePunct w:val="0"/>
              <w:autoSpaceDE/>
              <w:autoSpaceDN/>
              <w:bidi w:val="0"/>
              <w:adjustRightInd/>
              <w:snapToGrid w:val="0"/>
              <w:spacing w:after="0" w:line="400" w:lineRule="exact"/>
              <w:ind w:firstLine="420" w:firstLineChars="200"/>
              <w:jc w:val="both"/>
              <w:textAlignment w:val="auto"/>
              <w:rPr>
                <w:rFonts w:ascii="宋体" w:hAnsi="宋体" w:cs="宋体"/>
              </w:rPr>
            </w:pPr>
            <w:r>
              <w:rPr>
                <w:rFonts w:hint="eastAsia" w:ascii="宋体" w:hAnsi="宋体" w:cs="宋体"/>
              </w:rPr>
              <w:t>1.使用国有资金投资的建设工程发承包，必须采用工程量清单计价。工程量清单应采用综合单价计价。</w:t>
            </w:r>
          </w:p>
          <w:p>
            <w:pPr>
              <w:pStyle w:val="2"/>
              <w:keepNext w:val="0"/>
              <w:keepLines w:val="0"/>
              <w:pageBreakBefore w:val="0"/>
              <w:widowControl w:val="0"/>
              <w:tabs>
                <w:tab w:val="left" w:pos="546"/>
                <w:tab w:val="left" w:pos="711"/>
              </w:tabs>
              <w:kinsoku/>
              <w:wordWrap/>
              <w:overflowPunct/>
              <w:topLinePunct w:val="0"/>
              <w:autoSpaceDE/>
              <w:autoSpaceDN/>
              <w:bidi w:val="0"/>
              <w:adjustRightInd/>
              <w:snapToGrid w:val="0"/>
              <w:spacing w:after="0" w:line="400" w:lineRule="exact"/>
              <w:ind w:firstLine="420" w:firstLineChars="200"/>
              <w:jc w:val="both"/>
              <w:textAlignment w:val="auto"/>
            </w:pPr>
            <w:r>
              <w:rPr>
                <w:rFonts w:hint="eastAsia" w:ascii="宋体" w:hAnsi="宋体" w:cs="宋体"/>
              </w:rPr>
              <w:t>2.</w:t>
            </w:r>
            <w:r>
              <w:rPr>
                <w:rFonts w:hint="eastAsia" w:ascii="宋体" w:hAnsi="宋体" w:cs="宋体"/>
                <w:lang w:eastAsia="zh-CN"/>
              </w:rPr>
              <w:t>竞标</w:t>
            </w:r>
            <w:r>
              <w:rPr>
                <w:rFonts w:hint="eastAsia" w:ascii="宋体" w:hAnsi="宋体" w:cs="宋体"/>
              </w:rPr>
              <w:t>人应按《建设工程工程量清单计价规范》（GB50500-2013）及重庆市相关工程量清单计价规则的要求填写相应清单表格。</w:t>
            </w:r>
            <w:r>
              <w:rPr>
                <w:rFonts w:hint="eastAsia" w:ascii="宋体" w:hAnsi="宋体" w:cs="宋体"/>
                <w:lang w:eastAsia="zh-CN"/>
              </w:rPr>
              <w:t>竞标</w:t>
            </w:r>
            <w:r>
              <w:rPr>
                <w:rFonts w:hint="eastAsia" w:ascii="宋体" w:hAnsi="宋体" w:cs="宋体"/>
              </w:rPr>
              <w:t>人应按本须知、《重庆市建设工程费用定额》（CQFYDE-2018）、《重庆市住房和城乡建设委员会关于适用增值税新税率调整建设工程计价依据的通知》（渝建〔2019〕143号）和第五章“工程量清单”的要求填写相应清单表格。</w:t>
            </w:r>
            <w:r>
              <w:rPr>
                <w:rFonts w:hint="eastAsia" w:ascii="宋体" w:hAnsi="宋体" w:cs="宋体"/>
                <w:lang w:eastAsia="zh-CN"/>
              </w:rPr>
              <w:t>竞标</w:t>
            </w:r>
            <w:r>
              <w:rPr>
                <w:rFonts w:hint="eastAsia" w:ascii="宋体" w:hAnsi="宋体" w:cs="宋体"/>
              </w:rPr>
              <w:t>人的竞标报</w:t>
            </w:r>
            <w:r>
              <w:rPr>
                <w:rFonts w:hint="eastAsia"/>
              </w:rPr>
              <w:t>价应是本章</w:t>
            </w:r>
            <w:r>
              <w:rPr>
                <w:rFonts w:hint="eastAsia"/>
                <w:lang w:eastAsia="zh-CN"/>
              </w:rPr>
              <w:t>竞标</w:t>
            </w:r>
            <w:r>
              <w:rPr>
                <w:rFonts w:hint="eastAsia"/>
              </w:rPr>
              <w:t>人须知前附</w:t>
            </w:r>
            <w:r>
              <w:rPr>
                <w:rFonts w:hint="eastAsia" w:ascii="宋体" w:hAnsi="宋体" w:eastAsia="宋体" w:cs="宋体"/>
              </w:rPr>
              <w:t>表第1.3.1项中所述的</w:t>
            </w:r>
            <w:r>
              <w:rPr>
                <w:rFonts w:hint="eastAsia"/>
              </w:rPr>
              <w:t>本工程合同段比选范围内的全部工程的</w:t>
            </w:r>
            <w:r>
              <w:rPr>
                <w:rFonts w:hint="eastAsia"/>
                <w:lang w:eastAsia="zh-CN"/>
              </w:rPr>
              <w:t>竞标报价</w:t>
            </w:r>
            <w:r>
              <w:rPr>
                <w:rFonts w:hint="eastAsia"/>
              </w:rPr>
              <w:t>，并以</w:t>
            </w:r>
            <w:r>
              <w:rPr>
                <w:rFonts w:hint="eastAsia"/>
                <w:lang w:eastAsia="zh-CN"/>
              </w:rPr>
              <w:t>竞标</w:t>
            </w:r>
            <w:r>
              <w:rPr>
                <w:rFonts w:hint="eastAsia"/>
              </w:rPr>
              <w:t>人在工程量清单中提出的单价或总价为依据。</w:t>
            </w:r>
          </w:p>
          <w:p>
            <w:pPr>
              <w:keepNext w:val="0"/>
              <w:keepLines w:val="0"/>
              <w:pageBreakBefore w:val="0"/>
              <w:widowControl w:val="0"/>
              <w:tabs>
                <w:tab w:val="left" w:pos="546"/>
                <w:tab w:val="left" w:pos="711"/>
              </w:tabs>
              <w:kinsoku/>
              <w:wordWrap/>
              <w:overflowPunct/>
              <w:topLinePunct w:val="0"/>
              <w:autoSpaceDE/>
              <w:autoSpaceDN/>
              <w:bidi w:val="0"/>
              <w:adjustRightInd/>
              <w:snapToGrid w:val="0"/>
              <w:spacing w:line="400" w:lineRule="exact"/>
              <w:ind w:firstLine="420" w:firstLineChars="200"/>
              <w:jc w:val="both"/>
              <w:textAlignment w:val="auto"/>
            </w:pPr>
            <w:r>
              <w:rPr>
                <w:rFonts w:hint="eastAsia" w:ascii="宋体" w:hAnsi="宋体" w:eastAsia="宋体" w:cs="宋体"/>
              </w:rPr>
              <w:t>3.</w:t>
            </w:r>
            <w:r>
              <w:rPr>
                <w:rFonts w:hint="eastAsia" w:ascii="宋体" w:hAnsi="宋体" w:cs="宋体"/>
                <w:lang w:eastAsia="zh-CN"/>
              </w:rPr>
              <w:t>竞标</w:t>
            </w:r>
            <w:r>
              <w:rPr>
                <w:rFonts w:hint="eastAsia" w:ascii="宋体" w:hAnsi="宋体" w:eastAsia="宋体" w:cs="宋体"/>
              </w:rPr>
              <w:t>人应认真填写</w:t>
            </w:r>
            <w:r>
              <w:rPr>
                <w:rFonts w:hint="eastAsia"/>
              </w:rPr>
              <w:t>工程量清单中所列的本合同各工程子目的单价或总价。</w:t>
            </w:r>
            <w:r>
              <w:rPr>
                <w:rFonts w:hint="eastAsia"/>
                <w:lang w:eastAsia="zh-CN"/>
              </w:rPr>
              <w:t>竞标</w:t>
            </w:r>
            <w:r>
              <w:rPr>
                <w:rFonts w:hint="eastAsia"/>
              </w:rPr>
              <w:t>人没有填入单价或总价的工程子目，比选人将认为该子目的价款已包括在工程量清单其他子目的单价和总价中。</w:t>
            </w:r>
            <w:r>
              <w:rPr>
                <w:rFonts w:hint="eastAsia"/>
                <w:lang w:eastAsia="zh-CN"/>
              </w:rPr>
              <w:t>竞标</w:t>
            </w:r>
            <w:r>
              <w:rPr>
                <w:rFonts w:hint="eastAsia"/>
              </w:rPr>
              <w:t>人必须按竞标工程量清单填报价格。项目编码、项目名称、项目特征、计量单位、工程量必须与竞标工程量清单一致。否则交由评标委员会作否决竞标处理。</w:t>
            </w:r>
          </w:p>
          <w:p>
            <w:pPr>
              <w:keepNext w:val="0"/>
              <w:keepLines w:val="0"/>
              <w:pageBreakBefore w:val="0"/>
              <w:widowControl w:val="0"/>
              <w:tabs>
                <w:tab w:val="left" w:pos="546"/>
                <w:tab w:val="left" w:pos="711"/>
              </w:tabs>
              <w:kinsoku/>
              <w:wordWrap/>
              <w:overflowPunct/>
              <w:topLinePunct w:val="0"/>
              <w:autoSpaceDE/>
              <w:autoSpaceDN/>
              <w:bidi w:val="0"/>
              <w:adjustRightInd/>
              <w:snapToGrid w:val="0"/>
              <w:spacing w:line="400" w:lineRule="exact"/>
              <w:ind w:firstLine="420" w:firstLineChars="200"/>
              <w:jc w:val="both"/>
              <w:textAlignment w:val="auto"/>
            </w:pPr>
            <w:r>
              <w:rPr>
                <w:rFonts w:hint="eastAsia"/>
              </w:rPr>
              <w:t>注：评标过程中，评标委员会可以运用评标系统辅助工具对</w:t>
            </w:r>
            <w:r>
              <w:rPr>
                <w:rFonts w:hint="eastAsia"/>
                <w:lang w:eastAsia="zh-CN"/>
              </w:rPr>
              <w:t>竞标</w:t>
            </w:r>
            <w:r>
              <w:rPr>
                <w:rFonts w:hint="eastAsia"/>
              </w:rPr>
              <w:t>人竞标工程量清单进行清标。当清标结果显红时，评标委员会应深入了解显红的原因后，对照比选文件否决竞标情况一览表的规定，对确实不满足比选文件相关要求的，方可作否决竞标处理。</w:t>
            </w:r>
          </w:p>
          <w:p>
            <w:pPr>
              <w:keepNext w:val="0"/>
              <w:keepLines w:val="0"/>
              <w:pageBreakBefore w:val="0"/>
              <w:widowControl w:val="0"/>
              <w:tabs>
                <w:tab w:val="left" w:pos="546"/>
                <w:tab w:val="left" w:pos="711"/>
              </w:tabs>
              <w:kinsoku/>
              <w:wordWrap/>
              <w:overflowPunct/>
              <w:topLinePunct w:val="0"/>
              <w:autoSpaceDE/>
              <w:autoSpaceDN/>
              <w:bidi w:val="0"/>
              <w:adjustRightInd/>
              <w:snapToGrid w:val="0"/>
              <w:spacing w:line="400" w:lineRule="exact"/>
              <w:ind w:firstLine="420" w:firstLineChars="200"/>
              <w:jc w:val="both"/>
              <w:textAlignment w:val="auto"/>
              <w:rPr>
                <w:rFonts w:hint="eastAsia" w:ascii="宋体" w:hAnsi="宋体" w:eastAsia="宋体" w:cs="宋体"/>
              </w:rPr>
            </w:pPr>
            <w:r>
              <w:rPr>
                <w:rFonts w:hint="eastAsia" w:ascii="宋体" w:hAnsi="宋体" w:eastAsia="宋体" w:cs="宋体"/>
              </w:rPr>
              <w:t>4.</w:t>
            </w:r>
            <w:r>
              <w:rPr>
                <w:rFonts w:hint="eastAsia" w:ascii="宋体" w:hAnsi="宋体" w:cs="宋体"/>
                <w:lang w:eastAsia="zh-CN"/>
              </w:rPr>
              <w:t>竞标</w:t>
            </w:r>
            <w:r>
              <w:rPr>
                <w:rFonts w:hint="eastAsia" w:ascii="宋体" w:hAnsi="宋体" w:eastAsia="宋体" w:cs="宋体"/>
              </w:rPr>
              <w:t>函中的总报价必须与已标价工程量清单总报价一致,且工程量清单总报价与依据单价、工程数量、分部分项工程合价计算出的结果应一致，否则由评标委员会作否决竞标处理。</w:t>
            </w:r>
          </w:p>
          <w:p>
            <w:pPr>
              <w:pStyle w:val="2"/>
              <w:keepNext w:val="0"/>
              <w:keepLines w:val="0"/>
              <w:pageBreakBefore w:val="0"/>
              <w:widowControl w:val="0"/>
              <w:tabs>
                <w:tab w:val="left" w:pos="546"/>
                <w:tab w:val="left" w:pos="711"/>
              </w:tabs>
              <w:kinsoku/>
              <w:wordWrap/>
              <w:overflowPunct/>
              <w:topLinePunct w:val="0"/>
              <w:autoSpaceDE/>
              <w:autoSpaceDN/>
              <w:bidi w:val="0"/>
              <w:adjustRightInd/>
              <w:snapToGrid w:val="0"/>
              <w:spacing w:after="0" w:line="400" w:lineRule="exact"/>
              <w:ind w:firstLine="420" w:firstLineChars="200"/>
              <w:jc w:val="both"/>
              <w:textAlignment w:val="auto"/>
              <w:rPr>
                <w:rFonts w:hint="eastAsia" w:ascii="宋体" w:hAnsi="宋体" w:eastAsia="宋体" w:cs="宋体"/>
              </w:rPr>
            </w:pPr>
            <w:r>
              <w:rPr>
                <w:rFonts w:hint="eastAsia" w:ascii="宋体" w:hAnsi="宋体" w:eastAsia="宋体" w:cs="宋体"/>
              </w:rPr>
              <w:t>5.（1）在合同实施期间，单价和总价按专用合同条款第11条的规定可调整。</w:t>
            </w:r>
          </w:p>
          <w:p>
            <w:pPr>
              <w:pStyle w:val="2"/>
              <w:keepNext w:val="0"/>
              <w:keepLines w:val="0"/>
              <w:pageBreakBefore w:val="0"/>
              <w:widowControl w:val="0"/>
              <w:tabs>
                <w:tab w:val="left" w:pos="546"/>
                <w:tab w:val="left" w:pos="711"/>
              </w:tabs>
              <w:kinsoku/>
              <w:wordWrap/>
              <w:overflowPunct/>
              <w:topLinePunct w:val="0"/>
              <w:autoSpaceDE/>
              <w:autoSpaceDN/>
              <w:bidi w:val="0"/>
              <w:adjustRightInd/>
              <w:snapToGrid w:val="0"/>
              <w:spacing w:after="0" w:line="400" w:lineRule="exact"/>
              <w:ind w:firstLine="420" w:firstLineChars="200"/>
              <w:jc w:val="both"/>
              <w:textAlignment w:val="auto"/>
              <w:rPr>
                <w:rFonts w:hint="eastAsia" w:ascii="宋体" w:hAnsi="宋体" w:eastAsia="宋体" w:cs="宋体"/>
              </w:rPr>
            </w:pPr>
            <w:r>
              <w:rPr>
                <w:rFonts w:hint="eastAsia" w:ascii="宋体" w:hAnsi="宋体" w:eastAsia="宋体" w:cs="宋体"/>
              </w:rPr>
              <w:t>（2）增值税计税方法由招标人依据国家税法规定选择：</w:t>
            </w:r>
          </w:p>
          <w:p>
            <w:pPr>
              <w:pStyle w:val="2"/>
              <w:keepNext w:val="0"/>
              <w:keepLines w:val="0"/>
              <w:pageBreakBefore w:val="0"/>
              <w:widowControl w:val="0"/>
              <w:tabs>
                <w:tab w:val="left" w:pos="546"/>
                <w:tab w:val="left" w:pos="711"/>
              </w:tabs>
              <w:kinsoku/>
              <w:wordWrap/>
              <w:overflowPunct/>
              <w:topLinePunct w:val="0"/>
              <w:autoSpaceDE/>
              <w:autoSpaceDN/>
              <w:bidi w:val="0"/>
              <w:adjustRightInd/>
              <w:snapToGrid w:val="0"/>
              <w:spacing w:after="0" w:line="400" w:lineRule="exact"/>
              <w:ind w:firstLine="420" w:firstLineChars="200"/>
              <w:jc w:val="both"/>
              <w:textAlignment w:val="auto"/>
              <w:rPr>
                <w:rFonts w:hint="eastAsia" w:ascii="宋体" w:hAnsi="宋体" w:eastAsia="宋体" w:cs="宋体"/>
              </w:rPr>
            </w:pPr>
            <w:r>
              <w:rPr>
                <w:rFonts w:hint="eastAsia" w:ascii="宋体" w:hAnsi="宋体" w:eastAsia="宋体" w:cs="宋体"/>
              </w:rPr>
              <w:sym w:font="Wingdings 2" w:char="0052"/>
            </w:r>
            <w:r>
              <w:rPr>
                <w:rFonts w:hint="eastAsia" w:ascii="宋体" w:hAnsi="宋体" w:eastAsia="宋体" w:cs="宋体"/>
              </w:rPr>
              <w:t>一般计税法</w:t>
            </w:r>
          </w:p>
          <w:p>
            <w:pPr>
              <w:pStyle w:val="2"/>
              <w:keepNext w:val="0"/>
              <w:keepLines w:val="0"/>
              <w:pageBreakBefore w:val="0"/>
              <w:widowControl w:val="0"/>
              <w:tabs>
                <w:tab w:val="left" w:pos="546"/>
                <w:tab w:val="left" w:pos="711"/>
              </w:tabs>
              <w:kinsoku/>
              <w:wordWrap/>
              <w:overflowPunct/>
              <w:topLinePunct w:val="0"/>
              <w:autoSpaceDE/>
              <w:autoSpaceDN/>
              <w:bidi w:val="0"/>
              <w:adjustRightInd/>
              <w:snapToGrid w:val="0"/>
              <w:spacing w:after="0" w:line="400" w:lineRule="exact"/>
              <w:ind w:firstLine="420" w:firstLineChars="200"/>
              <w:jc w:val="both"/>
              <w:textAlignment w:val="auto"/>
              <w:rPr>
                <w:rFonts w:hint="eastAsia" w:ascii="宋体" w:hAnsi="宋体" w:eastAsia="宋体" w:cs="宋体"/>
              </w:rPr>
            </w:pPr>
            <w:r>
              <w:rPr>
                <w:rFonts w:hint="eastAsia" w:ascii="宋体" w:hAnsi="宋体" w:eastAsia="宋体" w:cs="宋体"/>
              </w:rPr>
              <w:t>6.如发现工程量清单中的数量与图纸中数量不一致，应于本须知第2.2.1项中规定的时间前书面通知比选人核查，除非比选人以修改的形式予以更正，否则，应以工程量清单中列出的数量为准。</w:t>
            </w:r>
          </w:p>
          <w:p>
            <w:pPr>
              <w:keepNext w:val="0"/>
              <w:keepLines w:val="0"/>
              <w:pageBreakBefore w:val="0"/>
              <w:widowControl w:val="0"/>
              <w:tabs>
                <w:tab w:val="left" w:pos="546"/>
                <w:tab w:val="left" w:pos="711"/>
              </w:tabs>
              <w:kinsoku/>
              <w:wordWrap/>
              <w:overflowPunct/>
              <w:topLinePunct w:val="0"/>
              <w:autoSpaceDE/>
              <w:autoSpaceDN/>
              <w:bidi w:val="0"/>
              <w:adjustRightInd/>
              <w:snapToGrid w:val="0"/>
              <w:spacing w:line="400" w:lineRule="exact"/>
              <w:ind w:firstLine="420" w:firstLineChars="200"/>
              <w:jc w:val="both"/>
              <w:textAlignment w:val="auto"/>
              <w:rPr>
                <w:rFonts w:hint="eastAsia" w:ascii="宋体" w:hAnsi="宋体" w:eastAsia="宋体" w:cs="宋体"/>
              </w:rPr>
            </w:pPr>
            <w:r>
              <w:rPr>
                <w:rFonts w:hint="eastAsia" w:ascii="宋体" w:hAnsi="宋体" w:eastAsia="宋体" w:cs="宋体"/>
              </w:rPr>
              <w:t>7.比选人在工程量清单中所列出的价格（包括暂列金额、暂估价等），</w:t>
            </w:r>
            <w:r>
              <w:rPr>
                <w:rFonts w:hint="eastAsia" w:ascii="宋体" w:hAnsi="宋体" w:cs="宋体"/>
                <w:lang w:eastAsia="zh-CN"/>
              </w:rPr>
              <w:t>竞标</w:t>
            </w:r>
            <w:r>
              <w:rPr>
                <w:rFonts w:hint="eastAsia" w:ascii="宋体" w:hAnsi="宋体" w:eastAsia="宋体" w:cs="宋体"/>
              </w:rPr>
              <w:t>人不得修改，否则由评标委员会作否决竞标处理。</w:t>
            </w:r>
          </w:p>
          <w:p>
            <w:pPr>
              <w:keepNext w:val="0"/>
              <w:keepLines w:val="0"/>
              <w:pageBreakBefore w:val="0"/>
              <w:widowControl w:val="0"/>
              <w:tabs>
                <w:tab w:val="left" w:pos="546"/>
                <w:tab w:val="left" w:pos="711"/>
              </w:tabs>
              <w:kinsoku/>
              <w:wordWrap/>
              <w:overflowPunct/>
              <w:topLinePunct w:val="0"/>
              <w:autoSpaceDE/>
              <w:autoSpaceDN/>
              <w:bidi w:val="0"/>
              <w:adjustRightInd/>
              <w:snapToGrid w:val="0"/>
              <w:spacing w:line="400" w:lineRule="exact"/>
              <w:ind w:firstLine="420" w:firstLineChars="200"/>
              <w:jc w:val="both"/>
              <w:textAlignment w:val="auto"/>
              <w:rPr>
                <w:rFonts w:ascii="宋体" w:hAnsi="宋体" w:cs="宋体"/>
              </w:rPr>
            </w:pPr>
            <w:r>
              <w:rPr>
                <w:rFonts w:hint="eastAsia" w:ascii="宋体" w:hAnsi="宋体" w:eastAsia="宋体" w:cs="宋体"/>
              </w:rPr>
              <w:t>8.本工程竞争性比选将设置竞标总报价最高限价，</w:t>
            </w:r>
            <w:r>
              <w:rPr>
                <w:rFonts w:hint="eastAsia" w:ascii="宋体" w:hAnsi="宋体" w:eastAsia="宋体" w:cs="宋体"/>
                <w:b/>
                <w:bCs/>
              </w:rPr>
              <w:t>竞标总报价最高限价</w:t>
            </w:r>
            <w:r>
              <w:rPr>
                <w:rFonts w:hint="eastAsia" w:ascii="宋体" w:hAnsi="宋体" w:cs="宋体"/>
                <w:b/>
                <w:bCs/>
                <w:highlight w:val="none"/>
                <w:lang w:val="en-US" w:eastAsia="zh-CN"/>
              </w:rPr>
              <w:t>为</w:t>
            </w:r>
            <w:r>
              <w:rPr>
                <w:rFonts w:hint="eastAsia" w:ascii="宋体" w:hAnsi="宋体" w:eastAsia="宋体" w:cs="宋体"/>
                <w:b/>
                <w:bCs/>
                <w:highlight w:val="none"/>
              </w:rPr>
              <w:t>人民币：</w:t>
            </w:r>
            <w:r>
              <w:rPr>
                <w:rFonts w:hint="eastAsia" w:ascii="宋体" w:hAnsi="宋体" w:eastAsia="宋体" w:cs="宋体"/>
                <w:b/>
                <w:bCs/>
                <w:highlight w:val="none"/>
                <w:u w:val="single"/>
                <w:lang w:val="en-US" w:eastAsia="zh-CN"/>
              </w:rPr>
              <w:t>3000306.12</w:t>
            </w:r>
            <w:r>
              <w:rPr>
                <w:rFonts w:hint="eastAsia" w:ascii="宋体" w:hAnsi="宋体" w:eastAsia="宋体" w:cs="宋体"/>
                <w:b/>
                <w:bCs/>
                <w:highlight w:val="none"/>
              </w:rPr>
              <w:t>元（大写：</w:t>
            </w:r>
            <w:r>
              <w:rPr>
                <w:rFonts w:hint="eastAsia" w:ascii="宋体" w:hAnsi="宋体" w:cs="宋体"/>
                <w:b/>
                <w:bCs/>
                <w:highlight w:val="none"/>
                <w:u w:val="single"/>
                <w:lang w:val="en-US" w:eastAsia="zh-CN"/>
              </w:rPr>
              <w:t>叁佰万零叁佰零陆元壹角贰分</w:t>
            </w:r>
            <w:r>
              <w:rPr>
                <w:rFonts w:hint="eastAsia" w:ascii="宋体" w:hAnsi="宋体" w:eastAsia="宋体" w:cs="宋体"/>
                <w:b/>
                <w:bCs/>
                <w:highlight w:val="none"/>
              </w:rPr>
              <w:t>）</w:t>
            </w:r>
            <w:r>
              <w:rPr>
                <w:rFonts w:hint="eastAsia" w:ascii="宋体" w:hAnsi="宋体" w:cs="宋体"/>
                <w:highlight w:val="none"/>
                <w:lang w:eastAsia="zh-CN"/>
              </w:rPr>
              <w:t>，</w:t>
            </w:r>
            <w:r>
              <w:rPr>
                <w:rFonts w:hint="eastAsia" w:ascii="宋体" w:hAnsi="宋体" w:cs="宋体"/>
                <w:highlight w:val="none"/>
                <w:lang w:val="en-US" w:eastAsia="zh-CN"/>
              </w:rPr>
              <w:t>其中（1）</w:t>
            </w:r>
            <w:r>
              <w:rPr>
                <w:rFonts w:hint="eastAsia" w:ascii="宋体" w:hAnsi="宋体" w:cs="宋体"/>
                <w:snapToGrid w:val="0"/>
                <w:kern w:val="0"/>
                <w:szCs w:val="21"/>
                <w:highlight w:val="none"/>
                <w:u w:val="single"/>
                <w:lang w:eastAsia="zh-CN"/>
              </w:rPr>
              <w:t>区属文物保养维护工程（6个文物点）（</w:t>
            </w:r>
            <w:r>
              <w:rPr>
                <w:rFonts w:hint="eastAsia" w:ascii="宋体" w:hAnsi="宋体" w:cs="宋体"/>
                <w:snapToGrid w:val="0"/>
                <w:kern w:val="0"/>
                <w:szCs w:val="21"/>
                <w:highlight w:val="none"/>
                <w:u w:val="single"/>
                <w:lang w:val="en-US" w:eastAsia="zh-CN"/>
              </w:rPr>
              <w:t>第二次</w:t>
            </w:r>
            <w:r>
              <w:rPr>
                <w:rFonts w:hint="eastAsia" w:ascii="宋体" w:hAnsi="宋体" w:cs="宋体"/>
                <w:snapToGrid w:val="0"/>
                <w:kern w:val="0"/>
                <w:szCs w:val="21"/>
                <w:highlight w:val="none"/>
                <w:u w:val="single"/>
                <w:lang w:eastAsia="zh-CN"/>
              </w:rPr>
              <w:t>）</w:t>
            </w:r>
            <w:r>
              <w:rPr>
                <w:rFonts w:hint="eastAsia" w:ascii="宋体" w:hAnsi="宋体" w:eastAsia="宋体" w:cs="宋体"/>
                <w:highlight w:val="none"/>
              </w:rPr>
              <w:t>竞标报价最高限价为人民币：</w:t>
            </w:r>
            <w:r>
              <w:rPr>
                <w:rFonts w:hint="eastAsia" w:ascii="宋体" w:hAnsi="宋体" w:eastAsia="宋体" w:cs="宋体"/>
                <w:highlight w:val="none"/>
                <w:u w:val="single"/>
                <w:lang w:val="en-US" w:eastAsia="zh-CN"/>
              </w:rPr>
              <w:t>839905.65</w:t>
            </w:r>
            <w:r>
              <w:rPr>
                <w:rFonts w:hint="eastAsia" w:ascii="宋体" w:hAnsi="宋体" w:eastAsia="宋体" w:cs="宋体"/>
                <w:highlight w:val="none"/>
              </w:rPr>
              <w:t>元（大写：</w:t>
            </w:r>
            <w:r>
              <w:rPr>
                <w:rFonts w:hint="eastAsia" w:ascii="宋体" w:hAnsi="宋体" w:cs="宋体"/>
                <w:highlight w:val="none"/>
                <w:u w:val="single"/>
                <w:lang w:val="en-US" w:eastAsia="zh-CN"/>
              </w:rPr>
              <w:t>捌拾叁万玖仟玖佰零伍元陆角伍分</w:t>
            </w:r>
            <w:r>
              <w:rPr>
                <w:rFonts w:hint="eastAsia" w:ascii="宋体" w:hAnsi="宋体" w:eastAsia="宋体" w:cs="宋体"/>
                <w:highlight w:val="none"/>
              </w:rPr>
              <w:t>）</w:t>
            </w:r>
            <w:r>
              <w:rPr>
                <w:rFonts w:hint="eastAsia" w:ascii="宋体" w:hAnsi="宋体" w:cs="宋体"/>
                <w:highlight w:val="none"/>
                <w:lang w:eastAsia="zh-CN"/>
              </w:rPr>
              <w:t>；（</w:t>
            </w:r>
            <w:r>
              <w:rPr>
                <w:rFonts w:hint="eastAsia" w:ascii="宋体" w:hAnsi="宋体" w:cs="宋体"/>
                <w:highlight w:val="none"/>
                <w:lang w:val="en-US" w:eastAsia="zh-CN"/>
              </w:rPr>
              <w:t>2</w:t>
            </w:r>
            <w:r>
              <w:rPr>
                <w:rFonts w:hint="eastAsia" w:ascii="宋体" w:hAnsi="宋体" w:cs="宋体"/>
                <w:highlight w:val="none"/>
                <w:lang w:eastAsia="zh-CN"/>
              </w:rPr>
              <w:t>）</w:t>
            </w:r>
            <w:r>
              <w:rPr>
                <w:rFonts w:hint="eastAsia" w:ascii="宋体" w:hAnsi="宋体" w:cs="宋体"/>
                <w:snapToGrid w:val="0"/>
                <w:kern w:val="0"/>
                <w:szCs w:val="21"/>
                <w:highlight w:val="none"/>
                <w:u w:val="single"/>
                <w:lang w:eastAsia="zh-CN"/>
              </w:rPr>
              <w:t>区属文物保养维护工程（湖广会馆白蚁防治及保养维护）（</w:t>
            </w:r>
            <w:r>
              <w:rPr>
                <w:rFonts w:hint="eastAsia" w:ascii="宋体" w:hAnsi="宋体" w:cs="宋体"/>
                <w:snapToGrid w:val="0"/>
                <w:kern w:val="0"/>
                <w:szCs w:val="21"/>
                <w:highlight w:val="none"/>
                <w:u w:val="single"/>
                <w:lang w:val="en-US" w:eastAsia="zh-CN"/>
              </w:rPr>
              <w:t>第二次</w:t>
            </w:r>
            <w:r>
              <w:rPr>
                <w:rFonts w:hint="eastAsia" w:ascii="宋体" w:hAnsi="宋体" w:cs="宋体"/>
                <w:snapToGrid w:val="0"/>
                <w:kern w:val="0"/>
                <w:szCs w:val="21"/>
                <w:highlight w:val="none"/>
                <w:u w:val="single"/>
                <w:lang w:eastAsia="zh-CN"/>
              </w:rPr>
              <w:t>）</w:t>
            </w:r>
            <w:r>
              <w:rPr>
                <w:rFonts w:hint="eastAsia" w:ascii="宋体" w:hAnsi="宋体" w:eastAsia="宋体" w:cs="宋体"/>
                <w:highlight w:val="none"/>
              </w:rPr>
              <w:t>竞标报价最高限价为人民币：</w:t>
            </w:r>
            <w:r>
              <w:rPr>
                <w:rFonts w:hint="eastAsia" w:ascii="宋体" w:hAnsi="宋体" w:eastAsia="宋体" w:cs="宋体"/>
                <w:highlight w:val="none"/>
                <w:u w:val="single"/>
                <w:lang w:val="en-US" w:eastAsia="zh-CN"/>
              </w:rPr>
              <w:t>2160400.47</w:t>
            </w:r>
            <w:r>
              <w:rPr>
                <w:rFonts w:hint="eastAsia" w:ascii="宋体" w:hAnsi="宋体" w:eastAsia="宋体" w:cs="宋体"/>
                <w:highlight w:val="none"/>
              </w:rPr>
              <w:t>元（大写：</w:t>
            </w:r>
            <w:r>
              <w:rPr>
                <w:rFonts w:hint="eastAsia" w:ascii="宋体" w:hAnsi="宋体" w:cs="宋体"/>
                <w:highlight w:val="none"/>
                <w:u w:val="single"/>
                <w:lang w:val="en-US" w:eastAsia="zh-CN"/>
              </w:rPr>
              <w:t>贰佰壹拾陆万零肆佰元肆角柒分</w:t>
            </w:r>
            <w:r>
              <w:rPr>
                <w:rFonts w:hint="eastAsia" w:ascii="宋体" w:hAnsi="宋体" w:eastAsia="宋体" w:cs="宋体"/>
                <w:highlight w:val="none"/>
              </w:rPr>
              <w:t>）</w:t>
            </w:r>
            <w:r>
              <w:rPr>
                <w:rFonts w:hint="eastAsia" w:ascii="宋体" w:hAnsi="宋体" w:cs="宋体"/>
                <w:highlight w:val="none"/>
                <w:lang w:eastAsia="zh-CN"/>
              </w:rPr>
              <w:t>。</w:t>
            </w:r>
            <w:r>
              <w:rPr>
                <w:rFonts w:hint="eastAsia" w:ascii="宋体" w:hAnsi="宋体" w:eastAsia="宋体" w:cs="宋体"/>
                <w:highlight w:val="none"/>
              </w:rPr>
              <w:t>各</w:t>
            </w:r>
            <w:r>
              <w:rPr>
                <w:rFonts w:hint="eastAsia" w:ascii="宋体" w:hAnsi="宋体" w:cs="宋体"/>
                <w:highlight w:val="none"/>
                <w:lang w:eastAsia="zh-CN"/>
              </w:rPr>
              <w:t>竞标</w:t>
            </w:r>
            <w:r>
              <w:rPr>
                <w:rFonts w:hint="eastAsia" w:ascii="宋体" w:hAnsi="宋体" w:eastAsia="宋体" w:cs="宋体"/>
                <w:highlight w:val="none"/>
              </w:rPr>
              <w:t>人的竞标报价</w:t>
            </w:r>
            <w:r>
              <w:rPr>
                <w:rFonts w:hint="eastAsia" w:ascii="宋体" w:hAnsi="宋体" w:cs="宋体"/>
                <w:highlight w:val="none"/>
                <w:lang w:val="en-US" w:eastAsia="zh-CN"/>
              </w:rPr>
              <w:t>均</w:t>
            </w:r>
            <w:r>
              <w:rPr>
                <w:rFonts w:hint="eastAsia" w:ascii="宋体" w:hAnsi="宋体" w:eastAsia="宋体" w:cs="宋体"/>
                <w:highlight w:val="none"/>
              </w:rPr>
              <w:t>不得超过</w:t>
            </w:r>
            <w:r>
              <w:rPr>
                <w:rFonts w:hint="eastAsia" w:ascii="宋体" w:hAnsi="宋体" w:cs="宋体"/>
                <w:highlight w:val="none"/>
                <w:lang w:val="en-US" w:eastAsia="zh-CN"/>
              </w:rPr>
              <w:t>该项目的</w:t>
            </w:r>
            <w:r>
              <w:rPr>
                <w:rFonts w:hint="eastAsia" w:ascii="宋体" w:hAnsi="宋体" w:eastAsia="宋体" w:cs="宋体"/>
                <w:highlight w:val="none"/>
              </w:rPr>
              <w:t>最高限价，否则按否决竞标处理。</w:t>
            </w:r>
            <w:r>
              <w:rPr>
                <w:rFonts w:hint="eastAsia" w:ascii="宋体" w:hAnsi="宋体" w:eastAsia="宋体" w:cs="宋体"/>
                <w:b/>
                <w:bCs/>
                <w:highlight w:val="none"/>
              </w:rPr>
              <w:t>安全文明施工费暂定金额为人民币：</w:t>
            </w:r>
            <w:r>
              <w:rPr>
                <w:rFonts w:hint="eastAsia" w:ascii="宋体" w:hAnsi="宋体" w:eastAsia="宋体" w:cs="宋体"/>
                <w:b/>
                <w:bCs/>
                <w:highlight w:val="none"/>
                <w:u w:val="single"/>
                <w:lang w:val="en-US" w:eastAsia="zh-CN"/>
              </w:rPr>
              <w:t>84123.14</w:t>
            </w:r>
            <w:r>
              <w:rPr>
                <w:rFonts w:hint="eastAsia" w:ascii="宋体" w:hAnsi="宋体" w:eastAsia="宋体" w:cs="宋体"/>
                <w:b/>
                <w:bCs/>
                <w:highlight w:val="none"/>
              </w:rPr>
              <w:t>元</w:t>
            </w:r>
            <w:r>
              <w:rPr>
                <w:rFonts w:hint="eastAsia" w:ascii="宋体" w:hAnsi="宋体" w:cs="宋体"/>
                <w:highlight w:val="none"/>
                <w:lang w:eastAsia="zh-CN"/>
              </w:rPr>
              <w:t>，</w:t>
            </w:r>
            <w:r>
              <w:rPr>
                <w:rFonts w:hint="eastAsia" w:ascii="宋体" w:hAnsi="宋体" w:cs="宋体"/>
                <w:highlight w:val="none"/>
                <w:lang w:val="en-US" w:eastAsia="zh-CN"/>
              </w:rPr>
              <w:t>其中（1）</w:t>
            </w:r>
            <w:r>
              <w:rPr>
                <w:rFonts w:hint="eastAsia" w:ascii="宋体" w:hAnsi="宋体" w:cs="宋体"/>
                <w:snapToGrid w:val="0"/>
                <w:kern w:val="0"/>
                <w:szCs w:val="21"/>
                <w:highlight w:val="none"/>
                <w:u w:val="single"/>
                <w:lang w:eastAsia="zh-CN"/>
              </w:rPr>
              <w:t>区属文物保养维护工程（6个文物点）（</w:t>
            </w:r>
            <w:r>
              <w:rPr>
                <w:rFonts w:hint="eastAsia" w:ascii="宋体" w:hAnsi="宋体" w:cs="宋体"/>
                <w:snapToGrid w:val="0"/>
                <w:kern w:val="0"/>
                <w:szCs w:val="21"/>
                <w:highlight w:val="none"/>
                <w:u w:val="single"/>
                <w:lang w:val="en-US" w:eastAsia="zh-CN"/>
              </w:rPr>
              <w:t>第二次</w:t>
            </w:r>
            <w:r>
              <w:rPr>
                <w:rFonts w:hint="eastAsia" w:ascii="宋体" w:hAnsi="宋体" w:cs="宋体"/>
                <w:snapToGrid w:val="0"/>
                <w:kern w:val="0"/>
                <w:szCs w:val="21"/>
                <w:highlight w:val="none"/>
                <w:u w:val="single"/>
                <w:lang w:eastAsia="zh-CN"/>
              </w:rPr>
              <w:t>）</w:t>
            </w:r>
            <w:r>
              <w:rPr>
                <w:rFonts w:hint="eastAsia" w:ascii="宋体" w:hAnsi="宋体" w:eastAsia="宋体" w:cs="宋体"/>
                <w:highlight w:val="none"/>
              </w:rPr>
              <w:t>安全文明施工费暂定金额为人民币：</w:t>
            </w:r>
            <w:r>
              <w:rPr>
                <w:rFonts w:hint="eastAsia" w:ascii="宋体" w:hAnsi="宋体" w:eastAsia="宋体" w:cs="宋体"/>
                <w:highlight w:val="none"/>
                <w:u w:val="single"/>
                <w:lang w:val="en-US" w:eastAsia="zh-CN"/>
              </w:rPr>
              <w:t>22715.5</w:t>
            </w:r>
            <w:r>
              <w:rPr>
                <w:rFonts w:hint="eastAsia" w:ascii="宋体" w:hAnsi="宋体" w:eastAsia="宋体" w:cs="宋体"/>
                <w:highlight w:val="none"/>
              </w:rPr>
              <w:t>元</w:t>
            </w:r>
            <w:r>
              <w:rPr>
                <w:rFonts w:hint="eastAsia" w:ascii="宋体" w:hAnsi="宋体" w:cs="宋体"/>
                <w:highlight w:val="none"/>
                <w:lang w:eastAsia="zh-CN"/>
              </w:rPr>
              <w:t>；（</w:t>
            </w:r>
            <w:r>
              <w:rPr>
                <w:rFonts w:hint="eastAsia" w:ascii="宋体" w:hAnsi="宋体" w:cs="宋体"/>
                <w:highlight w:val="none"/>
                <w:lang w:val="en-US" w:eastAsia="zh-CN"/>
              </w:rPr>
              <w:t>2</w:t>
            </w:r>
            <w:r>
              <w:rPr>
                <w:rFonts w:hint="eastAsia" w:ascii="宋体" w:hAnsi="宋体" w:cs="宋体"/>
                <w:highlight w:val="none"/>
                <w:lang w:eastAsia="zh-CN"/>
              </w:rPr>
              <w:t>）</w:t>
            </w:r>
            <w:r>
              <w:rPr>
                <w:rFonts w:hint="eastAsia" w:ascii="宋体" w:hAnsi="宋体" w:cs="宋体"/>
                <w:snapToGrid w:val="0"/>
                <w:kern w:val="0"/>
                <w:szCs w:val="21"/>
                <w:highlight w:val="none"/>
                <w:u w:val="single"/>
                <w:lang w:eastAsia="zh-CN"/>
              </w:rPr>
              <w:t>区属文物保养维护工程（湖广会馆白蚁防治及保养维护）（</w:t>
            </w:r>
            <w:r>
              <w:rPr>
                <w:rFonts w:hint="eastAsia" w:ascii="宋体" w:hAnsi="宋体" w:cs="宋体"/>
                <w:snapToGrid w:val="0"/>
                <w:kern w:val="0"/>
                <w:szCs w:val="21"/>
                <w:highlight w:val="none"/>
                <w:u w:val="single"/>
                <w:lang w:val="en-US" w:eastAsia="zh-CN"/>
              </w:rPr>
              <w:t>第二次</w:t>
            </w:r>
            <w:r>
              <w:rPr>
                <w:rFonts w:hint="eastAsia" w:ascii="宋体" w:hAnsi="宋体" w:cs="宋体"/>
                <w:snapToGrid w:val="0"/>
                <w:kern w:val="0"/>
                <w:szCs w:val="21"/>
                <w:highlight w:val="none"/>
                <w:u w:val="single"/>
                <w:lang w:eastAsia="zh-CN"/>
              </w:rPr>
              <w:t>）</w:t>
            </w:r>
            <w:r>
              <w:rPr>
                <w:rFonts w:hint="eastAsia" w:ascii="宋体" w:hAnsi="宋体" w:eastAsia="宋体" w:cs="宋体"/>
                <w:highlight w:val="none"/>
              </w:rPr>
              <w:t>安全文明施工费暂定金额为人民币：</w:t>
            </w:r>
            <w:r>
              <w:rPr>
                <w:rFonts w:hint="eastAsia" w:ascii="宋体" w:hAnsi="宋体" w:eastAsia="宋体" w:cs="宋体"/>
                <w:highlight w:val="none"/>
                <w:u w:val="single"/>
                <w:lang w:val="en-US" w:eastAsia="zh-CN"/>
              </w:rPr>
              <w:t>61407.64</w:t>
            </w:r>
            <w:r>
              <w:rPr>
                <w:rFonts w:hint="eastAsia" w:ascii="宋体" w:hAnsi="宋体" w:eastAsia="宋体" w:cs="宋体"/>
                <w:highlight w:val="none"/>
              </w:rPr>
              <w:t>元</w:t>
            </w:r>
            <w:r>
              <w:rPr>
                <w:rFonts w:hint="eastAsia" w:ascii="宋体" w:hAnsi="宋体" w:cs="宋体"/>
                <w:highlight w:val="none"/>
                <w:lang w:eastAsia="zh-CN"/>
              </w:rPr>
              <w:t>。</w:t>
            </w:r>
            <w:r>
              <w:rPr>
                <w:rFonts w:hint="eastAsia" w:ascii="宋体" w:hAnsi="宋体" w:eastAsia="宋体" w:cs="宋体"/>
                <w:highlight w:val="none"/>
              </w:rPr>
              <w:t>安全文明施工费必须按发布暂定金额填报，否则视为对竞争性比选文件不作</w:t>
            </w:r>
            <w:r>
              <w:rPr>
                <w:rFonts w:hint="eastAsia" w:ascii="宋体" w:hAnsi="宋体" w:eastAsia="宋体" w:cs="宋体"/>
              </w:rPr>
              <w:t>实</w:t>
            </w:r>
            <w:r>
              <w:rPr>
                <w:rFonts w:hint="eastAsia" w:ascii="宋体" w:hAnsi="宋体" w:cs="宋体"/>
              </w:rPr>
              <w:t>质性响应，其</w:t>
            </w:r>
            <w:r>
              <w:rPr>
                <w:rFonts w:hint="eastAsia" w:ascii="宋体" w:hAnsi="宋体" w:cs="宋体"/>
                <w:lang w:eastAsia="zh-CN"/>
              </w:rPr>
              <w:t>竞标</w:t>
            </w:r>
            <w:r>
              <w:rPr>
                <w:rFonts w:hint="eastAsia" w:ascii="宋体" w:hAnsi="宋体" w:cs="宋体"/>
              </w:rPr>
              <w:t>文件按否决竞标处理。</w:t>
            </w:r>
          </w:p>
          <w:p>
            <w:pPr>
              <w:keepNext w:val="0"/>
              <w:keepLines w:val="0"/>
              <w:pageBreakBefore w:val="0"/>
              <w:widowControl w:val="0"/>
              <w:tabs>
                <w:tab w:val="left" w:pos="546"/>
                <w:tab w:val="left" w:pos="711"/>
              </w:tabs>
              <w:kinsoku/>
              <w:wordWrap/>
              <w:overflowPunct/>
              <w:topLinePunct w:val="0"/>
              <w:autoSpaceDE/>
              <w:autoSpaceDN/>
              <w:bidi w:val="0"/>
              <w:adjustRightInd/>
              <w:snapToGrid w:val="0"/>
              <w:spacing w:line="400" w:lineRule="exact"/>
              <w:ind w:firstLine="420" w:firstLineChars="200"/>
              <w:jc w:val="both"/>
              <w:textAlignment w:val="auto"/>
              <w:rPr>
                <w:rFonts w:ascii="宋体" w:hAnsi="宋体" w:cs="宋体"/>
                <w:szCs w:val="21"/>
              </w:rPr>
            </w:pPr>
            <w:r>
              <w:rPr>
                <w:rFonts w:ascii="宋体" w:hAnsi="宋体" w:cs="宋体"/>
                <w:szCs w:val="21"/>
                <w:highlight w:val="none"/>
              </w:rPr>
              <w:t>本工程</w:t>
            </w:r>
            <w:r>
              <w:rPr>
                <w:rFonts w:hint="eastAsia" w:ascii="宋体" w:hAnsi="宋体" w:cs="宋体"/>
                <w:szCs w:val="21"/>
                <w:highlight w:val="none"/>
              </w:rPr>
              <w:t>竞标</w:t>
            </w:r>
            <w:r>
              <w:rPr>
                <w:rFonts w:ascii="宋体" w:hAnsi="宋体" w:cs="宋体"/>
                <w:szCs w:val="21"/>
                <w:highlight w:val="none"/>
              </w:rPr>
              <w:t>将设置全部工程量清单综合单价最高限价，全部清单 综合单价最高限价与本工程</w:t>
            </w:r>
            <w:r>
              <w:rPr>
                <w:rFonts w:hint="eastAsia" w:ascii="宋体" w:hAnsi="宋体" w:cs="宋体"/>
                <w:szCs w:val="21"/>
                <w:highlight w:val="none"/>
              </w:rPr>
              <w:t>竞标</w:t>
            </w:r>
            <w:r>
              <w:rPr>
                <w:rFonts w:ascii="宋体" w:hAnsi="宋体" w:cs="宋体"/>
                <w:szCs w:val="21"/>
                <w:highlight w:val="none"/>
              </w:rPr>
              <w:t>总报价最高限价一起发布，投标人的 每项清单综合单价报价不得超过每项清单综合单价最高限价。</w:t>
            </w:r>
          </w:p>
          <w:p>
            <w:pPr>
              <w:keepNext w:val="0"/>
              <w:keepLines w:val="0"/>
              <w:pageBreakBefore w:val="0"/>
              <w:widowControl w:val="0"/>
              <w:tabs>
                <w:tab w:val="left" w:pos="546"/>
                <w:tab w:val="left" w:pos="711"/>
              </w:tabs>
              <w:kinsoku/>
              <w:wordWrap/>
              <w:overflowPunct/>
              <w:topLinePunct w:val="0"/>
              <w:autoSpaceDE/>
              <w:autoSpaceDN/>
              <w:bidi w:val="0"/>
              <w:adjustRightInd/>
              <w:snapToGrid w:val="0"/>
              <w:spacing w:line="400" w:lineRule="exact"/>
              <w:ind w:firstLine="420" w:firstLineChars="200"/>
              <w:jc w:val="both"/>
              <w:textAlignment w:val="auto"/>
              <w:rPr>
                <w:rFonts w:ascii="宋体" w:hAnsi="宋体" w:cs="宋体"/>
                <w:szCs w:val="21"/>
              </w:rPr>
            </w:pPr>
            <w:r>
              <w:rPr>
                <w:rFonts w:hint="eastAsia" w:ascii="宋体" w:hAnsi="宋体" w:cs="宋体"/>
                <w:szCs w:val="21"/>
              </w:rPr>
              <w:t>比选</w:t>
            </w:r>
            <w:r>
              <w:rPr>
                <w:rFonts w:ascii="宋体" w:hAnsi="宋体" w:cs="宋体"/>
                <w:szCs w:val="21"/>
              </w:rPr>
              <w:t>人在合同签订前将对中标人已标价工程量清单进行清标。若发现中标人的工程量清单综合单价报价超过</w:t>
            </w:r>
            <w:r>
              <w:rPr>
                <w:rFonts w:hint="eastAsia" w:ascii="宋体" w:hAnsi="宋体" w:cs="宋体"/>
                <w:szCs w:val="21"/>
              </w:rPr>
              <w:t>竞标</w:t>
            </w:r>
            <w:r>
              <w:rPr>
                <w:rFonts w:ascii="宋体" w:hAnsi="宋体" w:cs="宋体"/>
                <w:szCs w:val="21"/>
              </w:rPr>
              <w:t>时给出的工程量清单综合单价最高限价的，在工程结算时</w:t>
            </w:r>
            <w:r>
              <w:rPr>
                <w:rFonts w:hint="eastAsia" w:ascii="宋体" w:hAnsi="宋体" w:cs="宋体"/>
                <w:szCs w:val="21"/>
              </w:rPr>
              <w:t>比选</w:t>
            </w:r>
            <w:r>
              <w:rPr>
                <w:rFonts w:ascii="宋体" w:hAnsi="宋体" w:cs="宋体"/>
                <w:szCs w:val="21"/>
              </w:rPr>
              <w:t>人将以发出的工程量清单综合单价最高限价为基础，按照中标人的中标总报价与本工程的总价最高限价的下浮比例进行同比例下调，中标人必须无条件接受，否则按中标人违约处理。</w:t>
            </w:r>
            <w:r>
              <w:rPr>
                <w:rFonts w:hint="eastAsia" w:ascii="宋体" w:hAnsi="宋体" w:cs="宋体"/>
                <w:szCs w:val="21"/>
              </w:rPr>
              <w:t>比选</w:t>
            </w:r>
            <w:r>
              <w:rPr>
                <w:rFonts w:ascii="宋体" w:hAnsi="宋体" w:cs="宋体"/>
                <w:szCs w:val="21"/>
              </w:rPr>
              <w:t>人须在</w:t>
            </w:r>
            <w:r>
              <w:rPr>
                <w:rFonts w:hint="eastAsia" w:ascii="宋体" w:hAnsi="宋体" w:cs="宋体"/>
                <w:szCs w:val="21"/>
              </w:rPr>
              <w:t>竞争性比选</w:t>
            </w:r>
            <w:r>
              <w:rPr>
                <w:rFonts w:ascii="宋体" w:hAnsi="宋体" w:cs="宋体"/>
                <w:szCs w:val="21"/>
              </w:rPr>
              <w:t>文件资格审查部分提供承诺函，承诺函包括以下内容：</w:t>
            </w:r>
          </w:p>
          <w:p>
            <w:pPr>
              <w:keepNext w:val="0"/>
              <w:keepLines w:val="0"/>
              <w:pageBreakBefore w:val="0"/>
              <w:widowControl w:val="0"/>
              <w:tabs>
                <w:tab w:val="left" w:pos="546"/>
                <w:tab w:val="left" w:pos="711"/>
              </w:tabs>
              <w:kinsoku/>
              <w:wordWrap/>
              <w:overflowPunct/>
              <w:topLinePunct w:val="0"/>
              <w:autoSpaceDE/>
              <w:autoSpaceDN/>
              <w:bidi w:val="0"/>
              <w:adjustRightInd/>
              <w:snapToGrid w:val="0"/>
              <w:spacing w:line="400" w:lineRule="exact"/>
              <w:ind w:firstLine="420" w:firstLineChars="200"/>
              <w:jc w:val="both"/>
              <w:textAlignment w:val="auto"/>
              <w:rPr>
                <w:rFonts w:ascii="宋体" w:hAnsi="宋体" w:cs="宋体"/>
                <w:szCs w:val="21"/>
              </w:rPr>
            </w:pPr>
            <w:r>
              <w:rPr>
                <w:rFonts w:ascii="宋体" w:hAnsi="宋体" w:cs="宋体"/>
                <w:szCs w:val="21"/>
              </w:rPr>
              <w:t>（1）符合第五章“工程量清单”给出的范围及数量。</w:t>
            </w:r>
          </w:p>
          <w:p>
            <w:pPr>
              <w:keepNext w:val="0"/>
              <w:keepLines w:val="0"/>
              <w:pageBreakBefore w:val="0"/>
              <w:widowControl w:val="0"/>
              <w:tabs>
                <w:tab w:val="left" w:pos="546"/>
                <w:tab w:val="left" w:pos="711"/>
              </w:tabs>
              <w:kinsoku/>
              <w:wordWrap/>
              <w:overflowPunct/>
              <w:topLinePunct w:val="0"/>
              <w:autoSpaceDE/>
              <w:autoSpaceDN/>
              <w:bidi w:val="0"/>
              <w:adjustRightInd/>
              <w:snapToGrid w:val="0"/>
              <w:spacing w:line="400" w:lineRule="exact"/>
              <w:ind w:firstLine="420" w:firstLineChars="200"/>
              <w:jc w:val="both"/>
              <w:textAlignment w:val="auto"/>
              <w:rPr>
                <w:rFonts w:ascii="宋体" w:hAnsi="宋体" w:cs="宋体"/>
                <w:szCs w:val="21"/>
              </w:rPr>
            </w:pPr>
            <w:r>
              <w:rPr>
                <w:rFonts w:ascii="宋体" w:hAnsi="宋体" w:cs="宋体"/>
                <w:szCs w:val="21"/>
              </w:rPr>
              <w:t>（2）</w:t>
            </w:r>
            <w:r>
              <w:rPr>
                <w:rFonts w:hint="eastAsia" w:ascii="宋体" w:hAnsi="宋体" w:cs="宋体"/>
                <w:szCs w:val="21"/>
              </w:rPr>
              <w:t>比选</w:t>
            </w:r>
            <w:r>
              <w:rPr>
                <w:rFonts w:ascii="宋体" w:hAnsi="宋体" w:cs="宋体"/>
                <w:szCs w:val="21"/>
              </w:rPr>
              <w:t>文件中规定工程量清单不允许修改的内容不得修改。</w:t>
            </w:r>
          </w:p>
          <w:p>
            <w:pPr>
              <w:keepNext w:val="0"/>
              <w:keepLines w:val="0"/>
              <w:pageBreakBefore w:val="0"/>
              <w:widowControl w:val="0"/>
              <w:tabs>
                <w:tab w:val="left" w:pos="546"/>
                <w:tab w:val="left" w:pos="711"/>
              </w:tabs>
              <w:kinsoku/>
              <w:wordWrap/>
              <w:overflowPunct/>
              <w:topLinePunct w:val="0"/>
              <w:autoSpaceDE/>
              <w:autoSpaceDN/>
              <w:bidi w:val="0"/>
              <w:adjustRightInd/>
              <w:snapToGrid w:val="0"/>
              <w:spacing w:line="400" w:lineRule="exact"/>
              <w:ind w:firstLine="420" w:firstLineChars="200"/>
              <w:jc w:val="both"/>
              <w:textAlignment w:val="auto"/>
              <w:rPr>
                <w:rFonts w:ascii="宋体" w:hAnsi="宋体" w:cs="宋体"/>
                <w:szCs w:val="21"/>
                <w:highlight w:val="yellow"/>
              </w:rPr>
            </w:pPr>
            <w:r>
              <w:rPr>
                <w:rFonts w:ascii="宋体" w:hAnsi="宋体" w:cs="宋体"/>
                <w:szCs w:val="21"/>
              </w:rPr>
              <w:t>（3）每项工程量清单综合单价报价不得高于对应工程量清单综 合单价最高限价。</w:t>
            </w:r>
          </w:p>
          <w:p>
            <w:pPr>
              <w:pStyle w:val="2"/>
              <w:keepNext w:val="0"/>
              <w:keepLines w:val="0"/>
              <w:pageBreakBefore w:val="0"/>
              <w:widowControl w:val="0"/>
              <w:kinsoku/>
              <w:wordWrap/>
              <w:overflowPunct/>
              <w:topLinePunct w:val="0"/>
              <w:autoSpaceDE/>
              <w:autoSpaceDN/>
              <w:bidi w:val="0"/>
              <w:adjustRightInd/>
              <w:spacing w:after="0" w:line="400" w:lineRule="exact"/>
              <w:ind w:firstLine="420" w:firstLineChars="200"/>
              <w:jc w:val="both"/>
              <w:textAlignment w:val="auto"/>
              <w:rPr>
                <w:rFonts w:ascii="宋体" w:hAnsi="宋体" w:cs="宋体"/>
              </w:rPr>
            </w:pPr>
            <w:r>
              <w:rPr>
                <w:rFonts w:hint="eastAsia" w:ascii="宋体" w:hAnsi="宋体" w:cs="宋体"/>
              </w:rPr>
              <w:t>9.安全文明施工费：</w:t>
            </w:r>
          </w:p>
          <w:p>
            <w:pPr>
              <w:pStyle w:val="2"/>
              <w:keepNext w:val="0"/>
              <w:keepLines w:val="0"/>
              <w:pageBreakBefore w:val="0"/>
              <w:widowControl w:val="0"/>
              <w:tabs>
                <w:tab w:val="left" w:pos="546"/>
                <w:tab w:val="left" w:pos="711"/>
              </w:tabs>
              <w:kinsoku/>
              <w:wordWrap/>
              <w:overflowPunct/>
              <w:topLinePunct w:val="0"/>
              <w:autoSpaceDE/>
              <w:autoSpaceDN/>
              <w:bidi w:val="0"/>
              <w:adjustRightInd/>
              <w:snapToGrid w:val="0"/>
              <w:spacing w:after="0" w:line="400" w:lineRule="exact"/>
              <w:ind w:firstLine="420" w:firstLineChars="200"/>
              <w:jc w:val="both"/>
              <w:textAlignment w:val="auto"/>
              <w:rPr>
                <w:rFonts w:ascii="宋体" w:hAnsi="宋体" w:cs="宋体"/>
              </w:rPr>
            </w:pPr>
            <w:r>
              <w:rPr>
                <w:rFonts w:hint="eastAsia" w:ascii="宋体" w:hAnsi="宋体" w:cs="宋体"/>
              </w:rPr>
              <w:t>9.1根据《重庆城乡建设委员会关于印发&lt;重庆市建设工程安全文明施工费计取及使用管理规定&gt;的通知》（渝建发〔2014〕25号）规定，安全文明施工费由安全施工费、文明施工费、环境保护费及临时设施费组成。</w:t>
            </w:r>
          </w:p>
          <w:p>
            <w:pPr>
              <w:keepNext w:val="0"/>
              <w:keepLines w:val="0"/>
              <w:pageBreakBefore w:val="0"/>
              <w:widowControl w:val="0"/>
              <w:tabs>
                <w:tab w:val="left" w:pos="546"/>
                <w:tab w:val="left" w:pos="711"/>
              </w:tabs>
              <w:kinsoku/>
              <w:wordWrap/>
              <w:overflowPunct/>
              <w:topLinePunct w:val="0"/>
              <w:autoSpaceDE/>
              <w:autoSpaceDN/>
              <w:bidi w:val="0"/>
              <w:adjustRightInd/>
              <w:snapToGrid w:val="0"/>
              <w:spacing w:line="400" w:lineRule="exact"/>
              <w:ind w:firstLine="420" w:firstLineChars="200"/>
              <w:jc w:val="both"/>
              <w:textAlignment w:val="auto"/>
              <w:rPr>
                <w:rFonts w:ascii="宋体" w:hAnsi="宋体" w:cs="宋体"/>
              </w:rPr>
            </w:pPr>
            <w:r>
              <w:rPr>
                <w:rFonts w:hint="eastAsia" w:ascii="宋体" w:hAnsi="宋体" w:cs="宋体"/>
              </w:rPr>
              <w:t>9.2本工程安全文明施工费由比选人根据《建设工程工程量清单计价规范》（GB50500-2013）、《重庆市建设工程工程量清单计价规则》（CQJJGZ-2013）、《重庆市城乡建设委员会关于印发&lt;重庆市建设工程安全文明施工费计取及使用管理规定&gt;的通知》（渝建发〔2014〕25号）、《重庆市住房和城乡建设委员会关于调整建设施工现场形象品质提升安全文明施工费计取的通知》（渝建管〔2020〕97号）、《重庆市建设工程费用定额》（CQFYDE-2018）、《重庆市住房和城乡建设委员会关于适用增值税新税率调整建设工程计价依据的通知》（渝建〔2019〕143号）的相关规定和费用标准单列计算，安全文明施工费为暂定金额，与最高限价一起公布。《</w:t>
            </w:r>
            <w:r>
              <w:rPr>
                <w:rFonts w:hint="eastAsia" w:ascii="宋体" w:hAnsi="宋体" w:cs="宋体"/>
                <w:lang w:eastAsia="zh-CN"/>
              </w:rPr>
              <w:t>竞标</w:t>
            </w:r>
            <w:r>
              <w:rPr>
                <w:rFonts w:hint="eastAsia" w:ascii="宋体" w:hAnsi="宋体" w:cs="宋体"/>
              </w:rPr>
              <w:t>函》及工程量清单报价中的安全文明施工费必须按照比选人给出的暂定金额填报，否则视为对比选文件不作实质性响应，其</w:t>
            </w:r>
            <w:r>
              <w:rPr>
                <w:rFonts w:hint="eastAsia" w:ascii="宋体" w:hAnsi="宋体" w:cs="宋体"/>
                <w:lang w:eastAsia="zh-CN"/>
              </w:rPr>
              <w:t>竞标</w:t>
            </w:r>
            <w:r>
              <w:rPr>
                <w:rFonts w:hint="eastAsia" w:ascii="宋体" w:hAnsi="宋体" w:cs="宋体"/>
              </w:rPr>
              <w:t>文件由评标委员会作否决投标处理。注：采用全费用清单计价的项目，安全文明施工费仅针对《</w:t>
            </w:r>
            <w:r>
              <w:rPr>
                <w:rFonts w:hint="eastAsia" w:ascii="宋体" w:hAnsi="宋体" w:cs="宋体"/>
                <w:szCs w:val="21"/>
                <w:lang w:eastAsia="zh-CN"/>
              </w:rPr>
              <w:t>竞标</w:t>
            </w:r>
            <w:r>
              <w:rPr>
                <w:rFonts w:hint="eastAsia" w:ascii="宋体" w:hAnsi="宋体" w:cs="宋体"/>
              </w:rPr>
              <w:t>函》中的安全文明施工费进行评审。</w:t>
            </w:r>
          </w:p>
          <w:p>
            <w:pPr>
              <w:keepNext w:val="0"/>
              <w:keepLines w:val="0"/>
              <w:pageBreakBefore w:val="0"/>
              <w:widowControl w:val="0"/>
              <w:tabs>
                <w:tab w:val="left" w:pos="546"/>
                <w:tab w:val="left" w:pos="711"/>
              </w:tabs>
              <w:kinsoku/>
              <w:wordWrap/>
              <w:overflowPunct/>
              <w:topLinePunct w:val="0"/>
              <w:autoSpaceDE/>
              <w:autoSpaceDN/>
              <w:bidi w:val="0"/>
              <w:adjustRightInd/>
              <w:snapToGrid w:val="0"/>
              <w:spacing w:line="400" w:lineRule="exact"/>
              <w:ind w:firstLine="420" w:firstLineChars="200"/>
              <w:jc w:val="both"/>
              <w:textAlignment w:val="auto"/>
              <w:rPr>
                <w:rFonts w:ascii="宋体" w:hAnsi="宋体" w:cs="宋体"/>
              </w:rPr>
            </w:pPr>
            <w:r>
              <w:rPr>
                <w:rFonts w:hint="eastAsia" w:ascii="宋体" w:hAnsi="宋体" w:cs="宋体"/>
              </w:rPr>
              <w:t>10.本工程所需材料（含设备）价格由</w:t>
            </w:r>
            <w:r>
              <w:rPr>
                <w:rFonts w:hint="eastAsia" w:ascii="宋体" w:hAnsi="宋体" w:cs="宋体"/>
                <w:szCs w:val="21"/>
                <w:lang w:eastAsia="zh-CN"/>
              </w:rPr>
              <w:t>竞标</w:t>
            </w:r>
            <w:r>
              <w:rPr>
                <w:rFonts w:hint="eastAsia" w:ascii="宋体" w:hAnsi="宋体" w:cs="宋体"/>
              </w:rPr>
              <w:t>人参照重庆市建设工程造价管理总站发布的《重庆工程造价信息》或工程造价管理机构发布的工程造价信息（造价信息引用时限为竞争性</w:t>
            </w:r>
            <w:r>
              <w:rPr>
                <w:rFonts w:hint="eastAsia" w:ascii="宋体" w:hAnsi="宋体" w:cs="宋体"/>
                <w:szCs w:val="21"/>
                <w:lang w:eastAsia="zh-CN"/>
              </w:rPr>
              <w:t>竞标</w:t>
            </w:r>
            <w:r>
              <w:rPr>
                <w:rFonts w:hint="eastAsia" w:ascii="宋体" w:hAnsi="宋体" w:cs="宋体"/>
              </w:rPr>
              <w:t>公告发布日期前一期），并结合市场行情及自身实力进行自主报价。</w:t>
            </w:r>
          </w:p>
          <w:p>
            <w:pPr>
              <w:pStyle w:val="2"/>
              <w:keepNext w:val="0"/>
              <w:keepLines w:val="0"/>
              <w:pageBreakBefore w:val="0"/>
              <w:widowControl w:val="0"/>
              <w:tabs>
                <w:tab w:val="left" w:pos="546"/>
                <w:tab w:val="left" w:pos="711"/>
              </w:tabs>
              <w:kinsoku/>
              <w:wordWrap/>
              <w:overflowPunct/>
              <w:topLinePunct w:val="0"/>
              <w:autoSpaceDE/>
              <w:autoSpaceDN/>
              <w:bidi w:val="0"/>
              <w:adjustRightInd/>
              <w:snapToGrid w:val="0"/>
              <w:spacing w:after="0" w:line="400" w:lineRule="exact"/>
              <w:ind w:firstLine="420" w:firstLineChars="200"/>
              <w:jc w:val="both"/>
              <w:textAlignment w:val="auto"/>
              <w:rPr>
                <w:rFonts w:ascii="宋体" w:hAnsi="宋体" w:cs="宋体"/>
              </w:rPr>
            </w:pPr>
            <w:r>
              <w:rPr>
                <w:rFonts w:hint="eastAsia" w:ascii="宋体" w:hAnsi="宋体" w:cs="宋体"/>
              </w:rPr>
              <w:t>11.本项目建筑安装材料价格风险按照《重庆市城乡建设委员会关于进一步加强建筑安装材料价格风险管控的指导意见》（渝建〔2018〕61号）执行。本项目主要材料及设备价格风险内容、范围及调整方法为：详见合同专用条款</w:t>
            </w:r>
          </w:p>
          <w:p>
            <w:pPr>
              <w:pStyle w:val="2"/>
              <w:keepNext w:val="0"/>
              <w:keepLines w:val="0"/>
              <w:pageBreakBefore w:val="0"/>
              <w:widowControl w:val="0"/>
              <w:tabs>
                <w:tab w:val="left" w:pos="546"/>
                <w:tab w:val="left" w:pos="711"/>
              </w:tabs>
              <w:kinsoku/>
              <w:wordWrap/>
              <w:overflowPunct/>
              <w:topLinePunct w:val="0"/>
              <w:autoSpaceDE/>
              <w:autoSpaceDN/>
              <w:bidi w:val="0"/>
              <w:adjustRightInd/>
              <w:snapToGrid w:val="0"/>
              <w:spacing w:after="0" w:line="400" w:lineRule="exact"/>
              <w:ind w:firstLine="420" w:firstLineChars="200"/>
              <w:jc w:val="both"/>
              <w:textAlignment w:val="auto"/>
              <w:rPr>
                <w:rFonts w:ascii="宋体" w:hAnsi="宋体" w:cs="宋体"/>
              </w:rPr>
            </w:pPr>
            <w:r>
              <w:rPr>
                <w:rFonts w:hint="eastAsia" w:ascii="宋体" w:hAnsi="宋体" w:cs="宋体"/>
              </w:rPr>
              <w:t>12.本项目所采用技术、工艺和产品等必须执行重庆市住房和城乡建设委员会关于发布《重庆市建设领域禁止、限制使用落后技术通告（2019年版）（渝建发〔2019〕25号）的规定。</w:t>
            </w:r>
          </w:p>
          <w:p>
            <w:pPr>
              <w:pStyle w:val="2"/>
              <w:keepNext w:val="0"/>
              <w:keepLines w:val="0"/>
              <w:pageBreakBefore w:val="0"/>
              <w:widowControl w:val="0"/>
              <w:tabs>
                <w:tab w:val="left" w:pos="546"/>
                <w:tab w:val="left" w:pos="711"/>
              </w:tabs>
              <w:kinsoku/>
              <w:wordWrap/>
              <w:overflowPunct/>
              <w:topLinePunct w:val="0"/>
              <w:autoSpaceDE/>
              <w:autoSpaceDN/>
              <w:bidi w:val="0"/>
              <w:adjustRightInd/>
              <w:snapToGrid w:val="0"/>
              <w:spacing w:after="0" w:line="400" w:lineRule="exact"/>
              <w:ind w:firstLine="420" w:firstLineChars="200"/>
              <w:jc w:val="both"/>
              <w:textAlignment w:val="auto"/>
            </w:pPr>
            <w:r>
              <w:rPr>
                <w:rFonts w:hint="eastAsia" w:ascii="宋体" w:hAnsi="宋体" w:cs="宋体"/>
              </w:rPr>
              <w:t>13.本工程主体结构若需混凝土，则必须使用商品混凝土，不得自建搅拌站。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keepNext w:val="0"/>
              <w:keepLines w:val="0"/>
              <w:pageBreakBefore w:val="0"/>
              <w:kinsoku/>
              <w:overflowPunct/>
              <w:bidi w:val="0"/>
              <w:snapToGrid w:val="0"/>
              <w:spacing w:line="400" w:lineRule="exact"/>
              <w:jc w:val="center"/>
              <w:textAlignment w:val="auto"/>
              <w:rPr>
                <w:rFonts w:ascii="宋体" w:hAnsi="宋体"/>
                <w:kern w:val="0"/>
                <w:szCs w:val="21"/>
              </w:rPr>
            </w:pPr>
            <w:r>
              <w:rPr>
                <w:rFonts w:ascii="宋体" w:hAnsi="宋体"/>
                <w:kern w:val="0"/>
                <w:szCs w:val="21"/>
              </w:rPr>
              <w:t>3.3.1</w:t>
            </w:r>
          </w:p>
        </w:tc>
        <w:tc>
          <w:tcPr>
            <w:tcW w:w="1644" w:type="dxa"/>
            <w:vAlign w:val="center"/>
          </w:tcPr>
          <w:p>
            <w:pPr>
              <w:keepNext w:val="0"/>
              <w:keepLines w:val="0"/>
              <w:pageBreakBefore w:val="0"/>
              <w:kinsoku/>
              <w:overflowPunct/>
              <w:bidi w:val="0"/>
              <w:snapToGrid w:val="0"/>
              <w:spacing w:line="400" w:lineRule="exact"/>
              <w:jc w:val="center"/>
              <w:textAlignment w:val="auto"/>
              <w:rPr>
                <w:rFonts w:ascii="宋体" w:hAnsi="宋体"/>
                <w:kern w:val="0"/>
                <w:szCs w:val="21"/>
              </w:rPr>
            </w:pPr>
            <w:r>
              <w:rPr>
                <w:rFonts w:hint="eastAsia" w:ascii="宋体" w:hAnsi="宋体"/>
                <w:kern w:val="0"/>
                <w:szCs w:val="21"/>
                <w:lang w:eastAsia="zh-CN"/>
              </w:rPr>
              <w:t>竞标</w:t>
            </w:r>
            <w:r>
              <w:rPr>
                <w:rFonts w:ascii="宋体" w:hAnsi="宋体"/>
                <w:kern w:val="0"/>
                <w:szCs w:val="21"/>
              </w:rPr>
              <w:t>有效期</w:t>
            </w:r>
          </w:p>
        </w:tc>
        <w:tc>
          <w:tcPr>
            <w:tcW w:w="6490" w:type="dxa"/>
            <w:vAlign w:val="center"/>
          </w:tcPr>
          <w:p>
            <w:pPr>
              <w:keepNext w:val="0"/>
              <w:keepLines w:val="0"/>
              <w:pageBreakBefore w:val="0"/>
              <w:kinsoku/>
              <w:overflowPunct/>
              <w:bidi w:val="0"/>
              <w:snapToGrid w:val="0"/>
              <w:spacing w:line="400" w:lineRule="exact"/>
              <w:ind w:firstLine="420" w:firstLineChars="200"/>
              <w:textAlignment w:val="auto"/>
              <w:rPr>
                <w:rFonts w:ascii="宋体" w:hAnsi="宋体"/>
                <w:szCs w:val="21"/>
              </w:rPr>
            </w:pPr>
            <w:r>
              <w:rPr>
                <w:rFonts w:hint="eastAsia" w:ascii="宋体" w:hAnsi="宋体"/>
                <w:szCs w:val="21"/>
                <w:u w:val="single"/>
              </w:rPr>
              <w:t>90</w:t>
            </w:r>
            <w:r>
              <w:rPr>
                <w:rFonts w:ascii="宋体" w:hAnsi="宋体"/>
                <w:szCs w:val="21"/>
              </w:rPr>
              <w:t>日历天（从提交投标文件截止日起计算）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keepNext w:val="0"/>
              <w:keepLines w:val="0"/>
              <w:pageBreakBefore w:val="0"/>
              <w:kinsoku/>
              <w:overflowPunct/>
              <w:bidi w:val="0"/>
              <w:snapToGrid w:val="0"/>
              <w:spacing w:line="400" w:lineRule="exact"/>
              <w:jc w:val="center"/>
              <w:textAlignment w:val="auto"/>
              <w:rPr>
                <w:rFonts w:ascii="宋体" w:hAnsi="宋体"/>
                <w:kern w:val="0"/>
                <w:szCs w:val="21"/>
              </w:rPr>
            </w:pPr>
            <w:r>
              <w:rPr>
                <w:rFonts w:ascii="宋体" w:hAnsi="宋体"/>
                <w:kern w:val="0"/>
                <w:szCs w:val="21"/>
              </w:rPr>
              <w:t>3.4</w:t>
            </w:r>
          </w:p>
        </w:tc>
        <w:tc>
          <w:tcPr>
            <w:tcW w:w="1644" w:type="dxa"/>
            <w:vAlign w:val="center"/>
          </w:tcPr>
          <w:p>
            <w:pPr>
              <w:keepNext w:val="0"/>
              <w:keepLines w:val="0"/>
              <w:pageBreakBefore w:val="0"/>
              <w:kinsoku/>
              <w:overflowPunct/>
              <w:bidi w:val="0"/>
              <w:snapToGrid w:val="0"/>
              <w:spacing w:line="400" w:lineRule="exact"/>
              <w:jc w:val="center"/>
              <w:textAlignment w:val="auto"/>
              <w:rPr>
                <w:rFonts w:ascii="宋体" w:hAnsi="宋体"/>
                <w:kern w:val="0"/>
                <w:szCs w:val="21"/>
              </w:rPr>
            </w:pPr>
            <w:r>
              <w:rPr>
                <w:rFonts w:hint="eastAsia" w:ascii="宋体" w:hAnsi="宋体"/>
                <w:kern w:val="0"/>
                <w:szCs w:val="21"/>
                <w:lang w:eastAsia="zh-CN"/>
              </w:rPr>
              <w:t>竞标</w:t>
            </w:r>
            <w:r>
              <w:rPr>
                <w:rFonts w:ascii="宋体" w:hAnsi="宋体"/>
                <w:kern w:val="0"/>
                <w:szCs w:val="21"/>
              </w:rPr>
              <w:t>保</w:t>
            </w:r>
          </w:p>
          <w:p>
            <w:pPr>
              <w:keepNext w:val="0"/>
              <w:keepLines w:val="0"/>
              <w:pageBreakBefore w:val="0"/>
              <w:kinsoku/>
              <w:overflowPunct/>
              <w:bidi w:val="0"/>
              <w:snapToGrid w:val="0"/>
              <w:spacing w:line="400" w:lineRule="exact"/>
              <w:jc w:val="center"/>
              <w:textAlignment w:val="auto"/>
              <w:rPr>
                <w:rFonts w:ascii="宋体" w:hAnsi="宋体"/>
                <w:kern w:val="0"/>
                <w:szCs w:val="21"/>
              </w:rPr>
            </w:pPr>
            <w:r>
              <w:rPr>
                <w:rFonts w:ascii="宋体" w:hAnsi="宋体"/>
                <w:kern w:val="0"/>
                <w:szCs w:val="21"/>
              </w:rPr>
              <w:t>证金</w:t>
            </w:r>
          </w:p>
        </w:tc>
        <w:tc>
          <w:tcPr>
            <w:tcW w:w="6490" w:type="dxa"/>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ascii="宋体" w:hAnsi="宋体" w:cs="宋体"/>
              </w:rPr>
            </w:pPr>
            <w:r>
              <w:rPr>
                <w:rFonts w:hint="eastAsia" w:ascii="宋体" w:hAnsi="宋体" w:cs="宋体"/>
              </w:rPr>
              <w:t>竞标保证金的交纳方式：竞标人可选择以下两种方式之一。</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ascii="宋体" w:hAnsi="宋体" w:cs="宋体"/>
              </w:rPr>
            </w:pPr>
            <w:r>
              <w:rPr>
                <w:rFonts w:hint="eastAsia" w:ascii="宋体" w:hAnsi="宋体" w:cs="宋体"/>
              </w:rPr>
              <w:t>方式一</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ascii="宋体" w:hAnsi="宋体" w:cs="宋体"/>
              </w:rPr>
            </w:pPr>
            <w:r>
              <w:rPr>
                <w:rFonts w:hint="eastAsia" w:ascii="宋体" w:hAnsi="宋体" w:cs="宋体"/>
              </w:rPr>
              <w:t>一、以转账支票或电汇形式交纳竞标保证金</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ascii="宋体" w:hAnsi="宋体" w:cs="宋体"/>
              </w:rPr>
            </w:pPr>
            <w:r>
              <w:rPr>
                <w:rFonts w:hint="eastAsia" w:ascii="宋体" w:hAnsi="宋体" w:cs="宋体"/>
              </w:rPr>
              <w:t>1、竞标保证金交款形式及要求：竞标人从企业的基本账户（开户行）在竞标截止时间前通过转账支票直接划付或以电汇方式直接划付至下面指定的竞标保证金账户。若竞标截止时间延期，则竞标保证金提交的截止时间和竞标截止时间应当保持一致。</w:t>
            </w:r>
            <w:r>
              <w:rPr>
                <w:rFonts w:hint="eastAsia" w:ascii="宋体" w:hAnsi="宋体" w:cs="宋体"/>
                <w:kern w:val="0"/>
                <w:szCs w:val="21"/>
              </w:rPr>
              <w:t>不满足上述要求的竞标保证金无效。</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ascii="宋体" w:hAnsi="宋体" w:cs="宋体"/>
              </w:rPr>
            </w:pPr>
            <w:r>
              <w:rPr>
                <w:rFonts w:hint="eastAsia" w:ascii="宋体" w:hAnsi="宋体" w:cs="宋体"/>
              </w:rPr>
              <w:t>竞标人自行考虑汇入时间风险，如同城汇入、异地汇入、跨行汇入的时间要求。</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ascii="宋体" w:hAnsi="宋体" w:cs="宋体"/>
              </w:rPr>
            </w:pPr>
            <w:r>
              <w:rPr>
                <w:rFonts w:hint="eastAsia" w:ascii="宋体" w:hAnsi="宋体" w:cs="宋体"/>
              </w:rPr>
              <w:t>2、以转账支票或电汇形式提交竞标保证金的金额：</w:t>
            </w:r>
            <w:r>
              <w:rPr>
                <w:rFonts w:hint="eastAsia" w:ascii="宋体" w:hAnsi="宋体" w:cs="宋体"/>
                <w:u w:val="single"/>
                <w:lang w:val="en-US" w:eastAsia="zh-CN"/>
              </w:rPr>
              <w:t>肆</w:t>
            </w:r>
            <w:r>
              <w:rPr>
                <w:rFonts w:hint="eastAsia" w:ascii="宋体" w:hAnsi="宋体" w:cs="宋体"/>
              </w:rPr>
              <w:t>万元整（人民币）</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ascii="宋体" w:hAnsi="宋体" w:cs="宋体"/>
              </w:rPr>
            </w:pPr>
            <w:r>
              <w:rPr>
                <w:rFonts w:hint="eastAsia" w:ascii="宋体" w:hAnsi="宋体" w:cs="宋体"/>
              </w:rPr>
              <w:t>3、竞标保证金账户及账号（任选其一）：</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cs="宋体"/>
                <w:snapToGrid w:val="0"/>
                <w:kern w:val="0"/>
                <w:szCs w:val="21"/>
                <w:lang w:eastAsia="zh-CN"/>
              </w:rPr>
            </w:pPr>
            <w:r>
              <w:rPr>
                <w:rFonts w:hint="eastAsia" w:ascii="宋体" w:hAnsi="宋体" w:cs="宋体"/>
              </w:rPr>
              <w:t>项目名称：</w:t>
            </w:r>
            <w:r>
              <w:rPr>
                <w:rFonts w:hint="eastAsia" w:ascii="宋体" w:hAnsi="宋体" w:cs="宋体"/>
                <w:snapToGrid w:val="0"/>
                <w:kern w:val="0"/>
                <w:szCs w:val="21"/>
                <w:lang w:eastAsia="zh-CN"/>
              </w:rPr>
              <w:t>区属文物保养维护工程（6个文物点）（第二次）、区属文物保养维护工程（湖广会馆白蚁防治及保养维护）（第二次）</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ascii="宋体" w:hAnsi="宋体" w:cs="宋体"/>
              </w:rPr>
            </w:pPr>
            <w:r>
              <w:rPr>
                <w:rFonts w:hint="eastAsia" w:ascii="宋体" w:hAnsi="宋体" w:cs="宋体"/>
              </w:rPr>
              <w:t>竞标保证金专用账户（1）</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ascii="宋体" w:hAnsi="宋体" w:cs="宋体"/>
              </w:rPr>
            </w:pPr>
            <w:r>
              <w:rPr>
                <w:rFonts w:hint="eastAsia" w:ascii="宋体" w:hAnsi="宋体" w:cs="宋体"/>
              </w:rPr>
              <w:t>户 名：重庆市渝中区公共资源交易中心</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ascii="宋体" w:hAnsi="宋体" w:cs="宋体"/>
              </w:rPr>
            </w:pPr>
            <w:r>
              <w:rPr>
                <w:rFonts w:hint="eastAsia" w:ascii="宋体" w:hAnsi="宋体" w:cs="宋体"/>
              </w:rPr>
              <w:t>开户行：建行重庆渝中支行</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cs="宋体"/>
              </w:rPr>
            </w:pPr>
            <w:r>
              <w:rPr>
                <w:rFonts w:hint="eastAsia" w:ascii="宋体" w:hAnsi="宋体" w:cs="宋体"/>
              </w:rPr>
              <w:t>竞标保证金账号：50001013500050218275-1728</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ascii="宋体" w:hAnsi="宋体" w:cs="宋体"/>
              </w:rPr>
            </w:pPr>
            <w:r>
              <w:rPr>
                <w:rFonts w:hint="eastAsia" w:ascii="宋体" w:hAnsi="宋体" w:cs="宋体"/>
              </w:rPr>
              <w:t>竞标保证金专用账户（2）</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ascii="宋体" w:hAnsi="宋体" w:cs="宋体"/>
              </w:rPr>
            </w:pPr>
            <w:r>
              <w:rPr>
                <w:rFonts w:hint="eastAsia" w:ascii="宋体" w:hAnsi="宋体" w:cs="宋体"/>
              </w:rPr>
              <w:t>户 名：重庆市渝中区公共资源交易中心</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cs="宋体"/>
              </w:rPr>
            </w:pPr>
            <w:r>
              <w:rPr>
                <w:rFonts w:hint="eastAsia" w:ascii="宋体" w:hAnsi="宋体" w:cs="宋体"/>
              </w:rPr>
              <w:t>开户行：中国农业银行股份有限公司重庆渝中较场口支行</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cs="宋体"/>
              </w:rPr>
            </w:pPr>
            <w:r>
              <w:rPr>
                <w:rFonts w:hint="eastAsia" w:ascii="宋体" w:hAnsi="宋体" w:cs="宋体"/>
              </w:rPr>
              <w:t>竞标保证金账号：310206010400153240000001270</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ascii="宋体" w:hAnsi="宋体" w:cs="宋体"/>
              </w:rPr>
            </w:pPr>
            <w:r>
              <w:rPr>
                <w:rFonts w:hint="eastAsia" w:ascii="宋体" w:hAnsi="宋体" w:cs="宋体"/>
              </w:rPr>
              <w:t>竞标保证金专用账户（3）</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ascii="宋体" w:hAnsi="宋体" w:cs="宋体"/>
              </w:rPr>
            </w:pPr>
            <w:r>
              <w:rPr>
                <w:rFonts w:hint="eastAsia" w:ascii="宋体" w:hAnsi="宋体" w:cs="宋体"/>
              </w:rPr>
              <w:t>户 名：重庆市渝中区公共资源交易中心</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ascii="宋体" w:hAnsi="宋体" w:cs="宋体"/>
              </w:rPr>
            </w:pPr>
            <w:r>
              <w:rPr>
                <w:rFonts w:hint="eastAsia" w:ascii="宋体" w:hAnsi="宋体" w:cs="宋体"/>
              </w:rPr>
              <w:t>开户行：工商银行重庆解放碑支行</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cs="宋体"/>
              </w:rPr>
            </w:pPr>
            <w:r>
              <w:rPr>
                <w:rFonts w:hint="eastAsia" w:ascii="宋体" w:hAnsi="宋体" w:cs="宋体"/>
              </w:rPr>
              <w:t>竞标保证金账号：9558853100009012604</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ascii="宋体" w:hAnsi="宋体" w:cs="宋体"/>
              </w:rPr>
            </w:pPr>
            <w:r>
              <w:rPr>
                <w:rFonts w:hint="eastAsia" w:ascii="宋体" w:hAnsi="宋体" w:cs="宋体"/>
              </w:rPr>
              <w:t>竞标保证金以</w:t>
            </w:r>
            <w:r>
              <w:rPr>
                <w:rFonts w:hint="eastAsia" w:ascii="宋体" w:hAnsi="宋体" w:cs="宋体"/>
                <w:u w:val="single"/>
              </w:rPr>
              <w:t>重庆市渝中区公共资源交易中心</w:t>
            </w:r>
            <w:r>
              <w:rPr>
                <w:rFonts w:hint="eastAsia" w:ascii="宋体" w:hAnsi="宋体" w:cs="宋体"/>
              </w:rPr>
              <w:t>开标现场展示的保证金交纳情况为准。竞标人须在竞标文件资格审查部分</w:t>
            </w:r>
            <w:r>
              <w:rPr>
                <w:rFonts w:hint="eastAsia" w:ascii="宋体" w:hAnsi="宋体" w:cs="宋体"/>
                <w:kern w:val="0"/>
                <w:szCs w:val="21"/>
              </w:rPr>
              <w:t>中</w:t>
            </w:r>
            <w:r>
              <w:rPr>
                <w:rFonts w:hint="eastAsia" w:ascii="宋体" w:hAnsi="宋体" w:cs="宋体"/>
              </w:rPr>
              <w:t>提供企业基本账户开户证明文件。</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ascii="宋体" w:hAnsi="宋体" w:cs="宋体"/>
                <w:u w:val="single"/>
              </w:rPr>
            </w:pPr>
            <w:r>
              <w:rPr>
                <w:rFonts w:hint="eastAsia" w:ascii="宋体" w:hAnsi="宋体" w:cs="宋体"/>
              </w:rPr>
              <w:t>4、竞标人必须在付款凭证备注栏中注明是“</w:t>
            </w:r>
            <w:r>
              <w:rPr>
                <w:rFonts w:hint="eastAsia" w:ascii="宋体" w:hAnsi="宋体" w:cs="宋体"/>
                <w:snapToGrid w:val="0"/>
                <w:kern w:val="0"/>
                <w:szCs w:val="21"/>
                <w:u w:val="single"/>
                <w:lang w:eastAsia="zh-CN"/>
              </w:rPr>
              <w:t>区属文物保养维护工程（6个文物点）（第二次）、区属文物保养维护工程（湖广会馆白蚁防治及保养维护）（第二次）</w:t>
            </w:r>
            <w:r>
              <w:rPr>
                <w:rFonts w:hint="eastAsia" w:ascii="宋体" w:hAnsi="宋体" w:cs="宋体"/>
              </w:rPr>
              <w:t>竞标保证金”。项目名称可简写。</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ascii="宋体" w:hAnsi="宋体" w:cs="宋体"/>
              </w:rPr>
            </w:pPr>
            <w:r>
              <w:rPr>
                <w:rFonts w:hint="eastAsia" w:ascii="宋体" w:hAnsi="宋体" w:cs="宋体"/>
              </w:rPr>
              <w:t>5、竞标保证金有效期与竞标有效期一致。</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ascii="宋体" w:hAnsi="宋体" w:cs="宋体"/>
              </w:rPr>
            </w:pPr>
            <w:r>
              <w:rPr>
                <w:rFonts w:hint="eastAsia" w:ascii="宋体" w:hAnsi="宋体" w:cs="宋体"/>
              </w:rPr>
              <w:t>6、根据重庆市公共资源交易中心《关于开展公共资源交易市场主体信息登记工作的公告》的要求，</w:t>
            </w:r>
            <w:r>
              <w:rPr>
                <w:rFonts w:hint="eastAsia" w:ascii="宋体" w:hAnsi="宋体" w:cs="宋体"/>
                <w:lang w:val="en-US" w:eastAsia="zh-CN"/>
              </w:rPr>
              <w:t>竞标</w:t>
            </w:r>
            <w:r>
              <w:rPr>
                <w:rFonts w:hint="eastAsia" w:ascii="宋体" w:hAnsi="宋体" w:cs="宋体"/>
              </w:rPr>
              <w:t>人在开标前需在重庆市公共资源交易网（www.cqggzy.com）办理市场主体信息登记手续。因故未能提前办理市场主体信息登记或更新的，评标过程中由评标委员会根据</w:t>
            </w:r>
            <w:r>
              <w:rPr>
                <w:rFonts w:hint="eastAsia" w:ascii="宋体" w:hAnsi="宋体" w:cs="宋体"/>
                <w:lang w:eastAsia="zh-CN"/>
              </w:rPr>
              <w:t>竞标</w:t>
            </w:r>
            <w:r>
              <w:rPr>
                <w:rFonts w:hint="eastAsia" w:ascii="宋体" w:hAnsi="宋体" w:cs="宋体"/>
              </w:rPr>
              <w:t>人在</w:t>
            </w:r>
            <w:r>
              <w:rPr>
                <w:rFonts w:hint="eastAsia" w:ascii="宋体" w:hAnsi="宋体" w:cs="宋体"/>
                <w:lang w:eastAsia="zh-CN"/>
              </w:rPr>
              <w:t>竞标</w:t>
            </w:r>
            <w:r>
              <w:rPr>
                <w:rFonts w:hint="eastAsia" w:ascii="宋体" w:hAnsi="宋体" w:cs="宋体"/>
              </w:rPr>
              <w:t>文件中提供的企业基本账户开户证明文件核实其</w:t>
            </w:r>
            <w:r>
              <w:rPr>
                <w:rFonts w:hint="eastAsia" w:ascii="宋体" w:hAnsi="宋体" w:cs="宋体"/>
                <w:lang w:eastAsia="zh-CN"/>
              </w:rPr>
              <w:t>竞标</w:t>
            </w:r>
            <w:r>
              <w:rPr>
                <w:rFonts w:hint="eastAsia" w:ascii="宋体" w:hAnsi="宋体" w:cs="宋体"/>
              </w:rPr>
              <w:t>保证金是否由基本账户转入，未从基本账户转入的，由评标委员会作否决竞标处理。</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ascii="宋体" w:hAnsi="宋体" w:cs="宋体"/>
              </w:rPr>
            </w:pPr>
            <w:r>
              <w:rPr>
                <w:rFonts w:hint="eastAsia" w:ascii="宋体" w:hAnsi="宋体" w:cs="宋体"/>
              </w:rPr>
              <w:t>二、竞标保证金的退还</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ascii="宋体" w:hAnsi="宋体" w:cs="宋体"/>
              </w:rPr>
            </w:pPr>
            <w:r>
              <w:rPr>
                <w:rFonts w:hint="eastAsia" w:ascii="宋体" w:hAnsi="宋体" w:cs="宋体"/>
              </w:rPr>
              <w:t>比选人应当在法定时间内确定中选人。比选人应当在中选通知书发出后2个工作日内将中选通知书和保证金退还通知抄告</w:t>
            </w:r>
            <w:r>
              <w:rPr>
                <w:rFonts w:hint="eastAsia" w:ascii="宋体" w:hAnsi="宋体" w:cs="宋体"/>
                <w:u w:val="single"/>
              </w:rPr>
              <w:t>重庆市渝中区公共资源交易中心</w:t>
            </w:r>
            <w:r>
              <w:rPr>
                <w:rFonts w:hint="eastAsia" w:ascii="宋体" w:hAnsi="宋体" w:cs="宋体"/>
              </w:rPr>
              <w:t>，</w:t>
            </w:r>
            <w:r>
              <w:rPr>
                <w:rFonts w:hint="eastAsia" w:ascii="宋体" w:hAnsi="宋体" w:cs="宋体"/>
                <w:u w:val="single"/>
              </w:rPr>
              <w:t>重庆市渝中区公共资源交易中心</w:t>
            </w:r>
            <w:r>
              <w:rPr>
                <w:rFonts w:hint="eastAsia" w:ascii="宋体" w:hAnsi="宋体" w:cs="宋体"/>
              </w:rPr>
              <w:t>在收到保证金退还通知后2个工作日内，向除中选人和中选候选人以外的竞标人，退还竞标保证金及银行同期活期存款利息。</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ascii="宋体" w:hAnsi="宋体" w:cs="宋体"/>
              </w:rPr>
            </w:pPr>
            <w:r>
              <w:rPr>
                <w:rFonts w:hint="eastAsia" w:ascii="宋体" w:hAnsi="宋体" w:cs="宋体"/>
              </w:rPr>
              <w:t>比选人应当在法定时间内和中选人签订合同。比选人应当在合同生效后2个工作日内将签订的合同和保证金退还通知抄告</w:t>
            </w:r>
            <w:r>
              <w:rPr>
                <w:rFonts w:hint="eastAsia" w:ascii="宋体" w:hAnsi="宋体" w:cs="宋体"/>
                <w:u w:val="single"/>
              </w:rPr>
              <w:t>重庆市渝中区公共资源交易中心</w:t>
            </w:r>
            <w:r>
              <w:rPr>
                <w:rFonts w:hint="eastAsia" w:ascii="宋体" w:hAnsi="宋体" w:cs="宋体"/>
              </w:rPr>
              <w:t>，</w:t>
            </w:r>
            <w:r>
              <w:rPr>
                <w:rFonts w:hint="eastAsia" w:ascii="宋体" w:hAnsi="宋体" w:cs="宋体"/>
                <w:u w:val="single"/>
              </w:rPr>
              <w:t>重庆市渝中区公共资源交易中心</w:t>
            </w:r>
            <w:r>
              <w:rPr>
                <w:rFonts w:hint="eastAsia" w:ascii="宋体" w:hAnsi="宋体" w:cs="宋体"/>
              </w:rPr>
              <w:t>在收到保证金退还通知后2个工作日内，向中选人和中选候选人退还竞标保证金及银行同期活期存款利息。</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left"/>
              <w:textAlignment w:val="auto"/>
              <w:rPr>
                <w:rFonts w:ascii="宋体" w:hAnsi="宋体" w:cs="宋体"/>
              </w:rPr>
            </w:pPr>
            <w:r>
              <w:rPr>
                <w:rFonts w:hint="eastAsia" w:ascii="宋体" w:hAnsi="宋体" w:cs="宋体"/>
              </w:rPr>
              <w:t>竞标保证金专用账户由</w:t>
            </w:r>
            <w:r>
              <w:rPr>
                <w:rFonts w:hint="eastAsia" w:ascii="宋体" w:hAnsi="宋体" w:cs="宋体"/>
                <w:u w:val="single"/>
              </w:rPr>
              <w:t>重庆市渝中区公共资源交易中心</w:t>
            </w:r>
            <w:r>
              <w:rPr>
                <w:rFonts w:hint="eastAsia" w:ascii="宋体" w:hAnsi="宋体" w:cs="宋体"/>
              </w:rPr>
              <w:t>制定，关于保证金相关情况的问题请咨询</w:t>
            </w:r>
            <w:r>
              <w:rPr>
                <w:rFonts w:hint="eastAsia" w:ascii="宋体" w:hAnsi="宋体" w:cs="宋体"/>
                <w:u w:val="single"/>
              </w:rPr>
              <w:t>重庆市渝中区公共资源交易中心</w:t>
            </w:r>
            <w:r>
              <w:rPr>
                <w:rFonts w:hint="eastAsia" w:ascii="宋体" w:hAnsi="宋体" w:cs="宋体"/>
              </w:rPr>
              <w:t>，联系电话023-</w:t>
            </w:r>
            <w:r>
              <w:rPr>
                <w:rFonts w:ascii="宋体" w:hAnsi="宋体" w:cs="宋体"/>
                <w:u w:val="single"/>
              </w:rPr>
              <w:t>68726501</w:t>
            </w:r>
            <w:r>
              <w:rPr>
                <w:rFonts w:hint="eastAsia" w:ascii="宋体" w:hAnsi="宋体" w:cs="宋体"/>
              </w:rPr>
              <w:t>。</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ascii="宋体" w:hAnsi="宋体" w:cs="宋体"/>
                <w:bCs/>
                <w:kern w:val="0"/>
                <w:szCs w:val="21"/>
              </w:rPr>
            </w:pP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ascii="宋体" w:hAnsi="宋体" w:cs="宋体"/>
                <w:bCs/>
                <w:kern w:val="0"/>
                <w:szCs w:val="21"/>
              </w:rPr>
            </w:pPr>
            <w:r>
              <w:rPr>
                <w:rFonts w:hint="eastAsia" w:ascii="宋体" w:hAnsi="宋体" w:cs="宋体"/>
                <w:bCs/>
                <w:kern w:val="0"/>
                <w:szCs w:val="21"/>
              </w:rPr>
              <w:t>方式二</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ascii="宋体" w:hAnsi="宋体" w:cs="宋体"/>
                <w:kern w:val="0"/>
                <w:szCs w:val="21"/>
              </w:rPr>
            </w:pPr>
            <w:r>
              <w:rPr>
                <w:rFonts w:hint="eastAsia" w:ascii="宋体" w:hAnsi="宋体" w:cs="宋体"/>
                <w:kern w:val="0"/>
                <w:szCs w:val="21"/>
              </w:rPr>
              <w:t>一、以纸质竞标保函形式交纳竞标保证金</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ascii="宋体" w:hAnsi="宋体" w:cs="宋体"/>
                <w:kern w:val="0"/>
                <w:szCs w:val="21"/>
              </w:rPr>
            </w:pPr>
            <w:r>
              <w:rPr>
                <w:rFonts w:hint="eastAsia" w:ascii="宋体" w:hAnsi="宋体" w:cs="宋体"/>
                <w:kern w:val="0"/>
                <w:szCs w:val="21"/>
              </w:rPr>
              <w:t>1. 纸质竞标保函交纳形式及要求：</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ascii="宋体" w:hAnsi="宋体" w:cs="宋体"/>
                <w:kern w:val="0"/>
                <w:szCs w:val="21"/>
              </w:rPr>
            </w:pPr>
            <w:r>
              <w:rPr>
                <w:rFonts w:hint="eastAsia" w:ascii="宋体" w:hAnsi="宋体" w:cs="宋体"/>
                <w:kern w:val="0"/>
                <w:szCs w:val="21"/>
              </w:rPr>
              <w:t>（1）缴纳形式：竞标人提供</w:t>
            </w:r>
            <w:r>
              <w:rPr>
                <w:rFonts w:hint="eastAsia" w:ascii="宋体" w:hAnsi="宋体" w:cs="宋体"/>
              </w:rPr>
              <w:t>不可撤销且见索即付</w:t>
            </w:r>
            <w:r>
              <w:rPr>
                <w:rFonts w:hint="eastAsia" w:ascii="宋体" w:hAnsi="宋体" w:cs="宋体"/>
                <w:kern w:val="0"/>
                <w:szCs w:val="21"/>
              </w:rPr>
              <w:t>的银行保函；</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ascii="宋体" w:hAnsi="宋体" w:cs="宋体"/>
                <w:kern w:val="0"/>
                <w:szCs w:val="21"/>
              </w:rPr>
            </w:pPr>
            <w:r>
              <w:rPr>
                <w:rFonts w:hint="eastAsia" w:ascii="宋体" w:hAnsi="宋体" w:cs="宋体"/>
                <w:kern w:val="0"/>
                <w:szCs w:val="21"/>
              </w:rPr>
              <w:t>（2）具体要求：竞标人须在竞标文件资格审查部分“（</w:t>
            </w:r>
            <w:r>
              <w:rPr>
                <w:rFonts w:hint="eastAsia" w:ascii="宋体" w:hAnsi="宋体" w:cs="宋体"/>
                <w:kern w:val="0"/>
                <w:szCs w:val="21"/>
                <w:lang w:val="en-US" w:eastAsia="zh-CN"/>
              </w:rPr>
              <w:t>七</w:t>
            </w:r>
            <w:r>
              <w:rPr>
                <w:rFonts w:hint="eastAsia" w:ascii="宋体" w:hAnsi="宋体" w:cs="宋体"/>
                <w:kern w:val="0"/>
                <w:szCs w:val="21"/>
              </w:rPr>
              <w:t>）其他资料”中提供银行开具的纸质竞标保函正本复印件，纸质竞标保函正本原件应当在开标现场递交比选人保管。纸质竞标保函应至少体现如下内容：①担保项目必须为本项目；②受益人必须为本项目比选人；③保函担保金额必须满足本项目要求；④保函生效时间必须在竞标截止时间前，有效期限必须至少包含整个竞标有效期；⑤保函须不可撤销且见索即付。</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ascii="宋体" w:hAnsi="宋体" w:cs="宋体"/>
              </w:rPr>
            </w:pPr>
            <w:r>
              <w:rPr>
                <w:rFonts w:hint="eastAsia" w:ascii="宋体" w:hAnsi="宋体" w:cs="宋体"/>
              </w:rPr>
              <w:t>若竞标截止时间延期，则纸质竞标保函递交的截止时间和竞标截止时间保持一致。</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ascii="宋体" w:hAnsi="宋体" w:cs="宋体"/>
              </w:rPr>
            </w:pPr>
            <w:r>
              <w:rPr>
                <w:rFonts w:hint="eastAsia" w:ascii="宋体" w:hAnsi="宋体" w:cs="宋体"/>
                <w:kern w:val="0"/>
                <w:szCs w:val="21"/>
              </w:rPr>
              <w:t>不满足上述要求的纸质竞标保函无效。</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ascii="宋体" w:hAnsi="宋体" w:cs="宋体"/>
                <w:kern w:val="0"/>
                <w:szCs w:val="21"/>
              </w:rPr>
            </w:pPr>
            <w:r>
              <w:rPr>
                <w:rFonts w:hint="eastAsia" w:ascii="宋体" w:hAnsi="宋体" w:cs="宋体"/>
                <w:kern w:val="0"/>
                <w:szCs w:val="21"/>
              </w:rPr>
              <w:t xml:space="preserve">2. </w:t>
            </w:r>
            <w:r>
              <w:rPr>
                <w:rFonts w:hint="eastAsia" w:ascii="宋体" w:hAnsi="宋体" w:cs="宋体"/>
              </w:rPr>
              <w:t>以纸质竞标保函形式担保的竞标保证金的金额</w:t>
            </w:r>
            <w:r>
              <w:rPr>
                <w:rFonts w:hint="eastAsia" w:ascii="宋体" w:hAnsi="宋体" w:cs="宋体"/>
                <w:kern w:val="0"/>
                <w:szCs w:val="21"/>
              </w:rPr>
              <w:t>：</w:t>
            </w:r>
            <w:r>
              <w:rPr>
                <w:rFonts w:hint="eastAsia" w:ascii="宋体" w:hAnsi="宋体" w:cs="宋体"/>
                <w:kern w:val="0"/>
                <w:szCs w:val="21"/>
                <w:u w:val="single"/>
                <w:lang w:val="en-US" w:eastAsia="zh-CN"/>
              </w:rPr>
              <w:t>肆</w:t>
            </w:r>
            <w:r>
              <w:rPr>
                <w:rFonts w:hint="eastAsia" w:ascii="宋体" w:hAnsi="宋体" w:cs="宋体"/>
                <w:kern w:val="0"/>
                <w:szCs w:val="21"/>
              </w:rPr>
              <w:t>万元整（人民币）</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ascii="宋体" w:hAnsi="宋体" w:cs="宋体"/>
                <w:kern w:val="0"/>
                <w:szCs w:val="21"/>
              </w:rPr>
            </w:pPr>
            <w:r>
              <w:rPr>
                <w:rFonts w:hint="eastAsia" w:ascii="宋体" w:hAnsi="宋体" w:cs="宋体"/>
                <w:kern w:val="0"/>
                <w:szCs w:val="21"/>
              </w:rPr>
              <w:t>3. 竞标人须确保其递交的纸质竞标保函能在重庆市中心城区相关银行核验真伪，并</w:t>
            </w:r>
            <w:r>
              <w:rPr>
                <w:rFonts w:hint="eastAsia" w:ascii="宋体" w:hAnsi="宋体" w:cs="宋体"/>
              </w:rPr>
              <w:t>在竞标文件资格审查部分</w:t>
            </w:r>
            <w:r>
              <w:rPr>
                <w:rFonts w:hint="eastAsia" w:ascii="宋体" w:hAnsi="宋体" w:cs="宋体"/>
                <w:kern w:val="0"/>
                <w:szCs w:val="21"/>
              </w:rPr>
              <w:t>“（</w:t>
            </w:r>
            <w:r>
              <w:rPr>
                <w:rFonts w:hint="eastAsia" w:ascii="宋体" w:hAnsi="宋体" w:cs="宋体"/>
                <w:kern w:val="0"/>
                <w:szCs w:val="21"/>
                <w:lang w:val="en-US" w:eastAsia="zh-CN"/>
              </w:rPr>
              <w:t>七</w:t>
            </w:r>
            <w:r>
              <w:rPr>
                <w:rFonts w:hint="eastAsia" w:ascii="宋体" w:hAnsi="宋体" w:cs="宋体"/>
                <w:kern w:val="0"/>
                <w:szCs w:val="21"/>
              </w:rPr>
              <w:t>）其他资料”中提供纸质竞标保函的核验地点、方式和联系人，否则该纸质竞标保函视为无效。</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ascii="宋体" w:hAnsi="宋体" w:cs="宋体"/>
                <w:kern w:val="0"/>
                <w:szCs w:val="21"/>
              </w:rPr>
            </w:pPr>
            <w:r>
              <w:rPr>
                <w:rFonts w:hint="eastAsia" w:ascii="宋体" w:hAnsi="宋体" w:cs="宋体"/>
                <w:kern w:val="0"/>
                <w:szCs w:val="21"/>
              </w:rPr>
              <w:t>4. 竞标人在开标现场递交的纸质竞标保函原件应与竞标文件中提供的纸质竞标保函复印件一致，否则由比选小组作否决竞标处理。</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ascii="宋体" w:hAnsi="宋体" w:cs="宋体"/>
                <w:kern w:val="0"/>
                <w:szCs w:val="21"/>
              </w:rPr>
            </w:pPr>
            <w:r>
              <w:rPr>
                <w:rFonts w:hint="eastAsia" w:ascii="宋体" w:hAnsi="宋体" w:cs="宋体"/>
                <w:kern w:val="0"/>
                <w:szCs w:val="21"/>
              </w:rPr>
              <w:t>5. 在发出中选通知书前，比选人应当对竞标人（至少中选候选人或中选人）的纸质竞标保函开展核验。比选人按照竞标人提供的核验地点、方式和联系人等信息无法对该纸质竞标保函进行核验的，或发现竞标人递交的纸质竞标保函弄虚作假的，对</w:t>
            </w:r>
            <w:r>
              <w:rPr>
                <w:rFonts w:hint="eastAsia" w:ascii="宋体" w:hAnsi="宋体" w:cs="宋体"/>
                <w:szCs w:val="21"/>
              </w:rPr>
              <w:t>已取得中选候选人资格或中选资格的竞标人，取消中选候选人资格或中选资格</w:t>
            </w:r>
            <w:r>
              <w:rPr>
                <w:rFonts w:hint="eastAsia" w:ascii="宋体" w:hAnsi="宋体" w:cs="宋体"/>
                <w:kern w:val="0"/>
                <w:szCs w:val="21"/>
              </w:rPr>
              <w:t>，</w:t>
            </w:r>
            <w:r>
              <w:rPr>
                <w:rFonts w:hint="eastAsia" w:ascii="宋体" w:hAnsi="宋体" w:cs="宋体"/>
                <w:szCs w:val="21"/>
              </w:rPr>
              <w:t>给比选人造成损失的，竞标人依法承担赔偿责任。比选人对纸质竞标保函无法核验的，</w:t>
            </w:r>
            <w:r>
              <w:rPr>
                <w:rFonts w:hint="eastAsia" w:ascii="宋体" w:hAnsi="宋体" w:cs="宋体"/>
                <w:kern w:val="0"/>
                <w:szCs w:val="21"/>
              </w:rPr>
              <w:t>应当报行政监管部门依法依规处理；对纸质竞标保函</w:t>
            </w:r>
            <w:r>
              <w:rPr>
                <w:rFonts w:hint="eastAsia" w:ascii="宋体" w:hAnsi="宋体" w:cs="宋体"/>
                <w:szCs w:val="21"/>
              </w:rPr>
              <w:t>弄虚作假的，</w:t>
            </w:r>
            <w:r>
              <w:rPr>
                <w:rFonts w:hint="eastAsia" w:ascii="宋体" w:hAnsi="宋体" w:cs="宋体"/>
                <w:kern w:val="0"/>
                <w:szCs w:val="21"/>
              </w:rPr>
              <w:t>应当报行政监管部门和公安机关依法依规处理。</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ascii="宋体" w:hAnsi="宋体" w:cs="宋体"/>
                <w:kern w:val="0"/>
                <w:szCs w:val="21"/>
              </w:rPr>
            </w:pPr>
            <w:r>
              <w:rPr>
                <w:rFonts w:hint="eastAsia" w:ascii="宋体" w:hAnsi="宋体" w:cs="宋体"/>
                <w:kern w:val="0"/>
                <w:szCs w:val="21"/>
              </w:rPr>
              <w:t>二、纸质竞标保函的退还、注销</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ascii="宋体" w:hAnsi="宋体" w:cs="宋体"/>
                <w:kern w:val="0"/>
                <w:szCs w:val="21"/>
              </w:rPr>
            </w:pPr>
            <w:r>
              <w:rPr>
                <w:rFonts w:hint="eastAsia" w:ascii="宋体" w:hAnsi="宋体" w:cs="宋体"/>
                <w:kern w:val="0"/>
                <w:szCs w:val="21"/>
              </w:rPr>
              <w:t>比选人应当在法定时间内确定中选人，向中选人发出中选通知书，同时向除中选候选人以外的其他竞标人退还纸质竞标保函正本并书面通知相关银行本项目准予提前注销纸质竞标保函。具体注销事宜由竞标人与银行协商。</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left"/>
              <w:textAlignment w:val="auto"/>
              <w:rPr>
                <w:rFonts w:ascii="宋体" w:hAnsi="宋体" w:cs="宋体"/>
                <w:kern w:val="0"/>
                <w:szCs w:val="21"/>
              </w:rPr>
            </w:pPr>
            <w:r>
              <w:rPr>
                <w:rFonts w:hint="eastAsia" w:ascii="宋体" w:hAnsi="宋体" w:cs="宋体"/>
                <w:kern w:val="0"/>
                <w:szCs w:val="21"/>
              </w:rPr>
              <w:t>比选人应在法定时间内和中选人签订合同，并同时书面通知相关银行向中选人和其他中选候选人注销纸质竞标保函。具体注销事宜由竞标人与银行协商。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keepNext w:val="0"/>
              <w:keepLines w:val="0"/>
              <w:pageBreakBefore w:val="0"/>
              <w:kinsoku/>
              <w:overflowPunct/>
              <w:bidi w:val="0"/>
              <w:snapToGrid w:val="0"/>
              <w:spacing w:line="400" w:lineRule="exact"/>
              <w:jc w:val="center"/>
              <w:textAlignment w:val="auto"/>
              <w:rPr>
                <w:rFonts w:ascii="宋体" w:hAnsi="宋体"/>
                <w:kern w:val="0"/>
                <w:szCs w:val="21"/>
              </w:rPr>
            </w:pPr>
            <w:r>
              <w:rPr>
                <w:rFonts w:ascii="宋体" w:hAnsi="宋体"/>
                <w:kern w:val="0"/>
                <w:szCs w:val="21"/>
              </w:rPr>
              <w:t>3.6</w:t>
            </w:r>
          </w:p>
        </w:tc>
        <w:tc>
          <w:tcPr>
            <w:tcW w:w="1644" w:type="dxa"/>
            <w:vAlign w:val="center"/>
          </w:tcPr>
          <w:p>
            <w:pPr>
              <w:keepNext w:val="0"/>
              <w:keepLines w:val="0"/>
              <w:pageBreakBefore w:val="0"/>
              <w:kinsoku/>
              <w:overflowPunct/>
              <w:bidi w:val="0"/>
              <w:snapToGrid w:val="0"/>
              <w:spacing w:line="400" w:lineRule="exact"/>
              <w:jc w:val="center"/>
              <w:textAlignment w:val="auto"/>
              <w:rPr>
                <w:rFonts w:ascii="宋体" w:hAnsi="宋体"/>
                <w:kern w:val="0"/>
                <w:szCs w:val="21"/>
              </w:rPr>
            </w:pPr>
            <w:r>
              <w:rPr>
                <w:rFonts w:ascii="宋体" w:hAnsi="宋体"/>
                <w:kern w:val="0"/>
                <w:szCs w:val="21"/>
              </w:rPr>
              <w:t>是否允许递交</w:t>
            </w:r>
          </w:p>
          <w:p>
            <w:pPr>
              <w:keepNext w:val="0"/>
              <w:keepLines w:val="0"/>
              <w:pageBreakBefore w:val="0"/>
              <w:kinsoku/>
              <w:overflowPunct/>
              <w:bidi w:val="0"/>
              <w:snapToGrid w:val="0"/>
              <w:spacing w:line="400" w:lineRule="exact"/>
              <w:jc w:val="center"/>
              <w:textAlignment w:val="auto"/>
              <w:rPr>
                <w:rFonts w:ascii="宋体" w:hAnsi="宋体"/>
                <w:kern w:val="0"/>
                <w:szCs w:val="21"/>
              </w:rPr>
            </w:pPr>
            <w:r>
              <w:rPr>
                <w:rFonts w:ascii="宋体" w:hAnsi="宋体"/>
                <w:kern w:val="0"/>
                <w:szCs w:val="21"/>
              </w:rPr>
              <w:t>备选</w:t>
            </w:r>
            <w:r>
              <w:rPr>
                <w:rFonts w:hint="eastAsia" w:ascii="宋体" w:hAnsi="宋体"/>
                <w:kern w:val="0"/>
                <w:szCs w:val="21"/>
                <w:lang w:eastAsia="zh-CN"/>
              </w:rPr>
              <w:t>竞标</w:t>
            </w:r>
            <w:r>
              <w:rPr>
                <w:rFonts w:ascii="宋体" w:hAnsi="宋体"/>
                <w:kern w:val="0"/>
                <w:szCs w:val="21"/>
              </w:rPr>
              <w:t>方案</w:t>
            </w:r>
          </w:p>
        </w:tc>
        <w:tc>
          <w:tcPr>
            <w:tcW w:w="6490" w:type="dxa"/>
            <w:vAlign w:val="center"/>
          </w:tcPr>
          <w:p>
            <w:pPr>
              <w:keepNext w:val="0"/>
              <w:keepLines w:val="0"/>
              <w:pageBreakBefore w:val="0"/>
              <w:kinsoku/>
              <w:overflowPunct/>
              <w:bidi w:val="0"/>
              <w:snapToGrid w:val="0"/>
              <w:spacing w:line="400" w:lineRule="exact"/>
              <w:ind w:firstLine="420" w:firstLineChars="200"/>
              <w:jc w:val="left"/>
              <w:textAlignment w:val="auto"/>
              <w:rPr>
                <w:rFonts w:ascii="宋体" w:hAnsi="宋体" w:cs="宋体"/>
                <w:kern w:val="0"/>
                <w:szCs w:val="21"/>
              </w:rPr>
            </w:pPr>
            <w:r>
              <w:rPr>
                <w:rFonts w:hint="eastAsia" w:ascii="宋体" w:hAnsi="宋体" w:cs="宋体"/>
                <w:kern w:val="0"/>
                <w:szCs w:val="21"/>
              </w:rPr>
              <w:t>不允许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keepNext w:val="0"/>
              <w:keepLines w:val="0"/>
              <w:pageBreakBefore w:val="0"/>
              <w:kinsoku/>
              <w:overflowPunct/>
              <w:bidi w:val="0"/>
              <w:snapToGrid w:val="0"/>
              <w:spacing w:line="400" w:lineRule="exact"/>
              <w:jc w:val="center"/>
              <w:textAlignment w:val="auto"/>
              <w:rPr>
                <w:rFonts w:ascii="宋体" w:hAnsi="宋体"/>
                <w:kern w:val="0"/>
                <w:szCs w:val="21"/>
              </w:rPr>
            </w:pPr>
            <w:r>
              <w:rPr>
                <w:rFonts w:hint="eastAsia" w:ascii="宋体" w:hAnsi="宋体"/>
                <w:kern w:val="0"/>
                <w:szCs w:val="21"/>
              </w:rPr>
              <w:t>3.7.1</w:t>
            </w:r>
          </w:p>
        </w:tc>
        <w:tc>
          <w:tcPr>
            <w:tcW w:w="1644" w:type="dxa"/>
            <w:vAlign w:val="center"/>
          </w:tcPr>
          <w:p>
            <w:pPr>
              <w:keepNext w:val="0"/>
              <w:keepLines w:val="0"/>
              <w:pageBreakBefore w:val="0"/>
              <w:kinsoku/>
              <w:overflowPunct/>
              <w:bidi w:val="0"/>
              <w:snapToGrid w:val="0"/>
              <w:spacing w:line="400" w:lineRule="exact"/>
              <w:jc w:val="center"/>
              <w:textAlignment w:val="auto"/>
              <w:rPr>
                <w:rFonts w:ascii="宋体" w:hAnsi="宋体"/>
                <w:kern w:val="0"/>
                <w:szCs w:val="21"/>
              </w:rPr>
            </w:pPr>
            <w:r>
              <w:rPr>
                <w:rFonts w:hint="eastAsia" w:ascii="宋体" w:hAnsi="宋体"/>
                <w:kern w:val="0"/>
                <w:szCs w:val="21"/>
                <w:lang w:eastAsia="zh-CN"/>
              </w:rPr>
              <w:t>竞标</w:t>
            </w:r>
            <w:r>
              <w:rPr>
                <w:rFonts w:hint="eastAsia" w:ascii="宋体" w:hAnsi="宋体"/>
                <w:kern w:val="0"/>
                <w:szCs w:val="21"/>
              </w:rPr>
              <w:t>文件格式要求</w:t>
            </w:r>
          </w:p>
        </w:tc>
        <w:tc>
          <w:tcPr>
            <w:tcW w:w="6490" w:type="dxa"/>
            <w:vAlign w:val="center"/>
          </w:tcPr>
          <w:p>
            <w:pPr>
              <w:keepNext w:val="0"/>
              <w:keepLines w:val="0"/>
              <w:pageBreakBefore w:val="0"/>
              <w:kinsoku/>
              <w:overflowPunct/>
              <w:bidi w:val="0"/>
              <w:snapToGrid w:val="0"/>
              <w:spacing w:line="400" w:lineRule="exact"/>
              <w:ind w:firstLine="420" w:firstLineChars="200"/>
              <w:jc w:val="left"/>
              <w:textAlignment w:val="auto"/>
              <w:rPr>
                <w:rFonts w:ascii="宋体" w:hAnsi="宋体" w:cs="宋体"/>
                <w:kern w:val="0"/>
                <w:szCs w:val="21"/>
              </w:rPr>
            </w:pPr>
            <w:r>
              <w:rPr>
                <w:rFonts w:hint="eastAsia" w:ascii="宋体" w:hAnsi="宋体" w:cs="宋体"/>
                <w:kern w:val="0"/>
                <w:szCs w:val="21"/>
              </w:rPr>
              <w:t>编制</w:t>
            </w:r>
            <w:r>
              <w:rPr>
                <w:rFonts w:hint="eastAsia" w:ascii="宋体" w:hAnsi="宋体" w:cs="宋体"/>
                <w:kern w:val="0"/>
                <w:szCs w:val="21"/>
                <w:lang w:eastAsia="zh-CN"/>
              </w:rPr>
              <w:t>竞标</w:t>
            </w:r>
            <w:r>
              <w:rPr>
                <w:rFonts w:hint="eastAsia" w:ascii="宋体" w:hAnsi="宋体" w:cs="宋体"/>
                <w:kern w:val="0"/>
                <w:szCs w:val="21"/>
              </w:rPr>
              <w:t>文件时不得对第八章“</w:t>
            </w:r>
            <w:r>
              <w:rPr>
                <w:rFonts w:hint="eastAsia" w:ascii="宋体" w:hAnsi="宋体" w:cs="宋体"/>
                <w:szCs w:val="21"/>
                <w:lang w:eastAsia="zh-CN"/>
              </w:rPr>
              <w:t>竞标</w:t>
            </w:r>
            <w:r>
              <w:rPr>
                <w:rFonts w:hint="eastAsia" w:ascii="宋体" w:hAnsi="宋体" w:cs="宋体"/>
                <w:kern w:val="0"/>
                <w:szCs w:val="21"/>
              </w:rPr>
              <w:t>文件格式”的相应要素作实质性修改，否则视为重大偏差，由评标委员会作否决投标处理。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keepNext w:val="0"/>
              <w:keepLines w:val="0"/>
              <w:pageBreakBefore w:val="0"/>
              <w:kinsoku/>
              <w:overflowPunct/>
              <w:bidi w:val="0"/>
              <w:snapToGrid w:val="0"/>
              <w:spacing w:line="400" w:lineRule="exact"/>
              <w:jc w:val="center"/>
              <w:textAlignment w:val="auto"/>
              <w:rPr>
                <w:rFonts w:ascii="宋体" w:hAnsi="宋体"/>
                <w:kern w:val="0"/>
                <w:szCs w:val="21"/>
              </w:rPr>
            </w:pPr>
            <w:r>
              <w:rPr>
                <w:rFonts w:hint="eastAsia" w:ascii="宋体" w:hAnsi="宋体"/>
                <w:kern w:val="0"/>
                <w:szCs w:val="21"/>
              </w:rPr>
              <w:t>3.7.3</w:t>
            </w:r>
          </w:p>
        </w:tc>
        <w:tc>
          <w:tcPr>
            <w:tcW w:w="1644" w:type="dxa"/>
            <w:vAlign w:val="center"/>
          </w:tcPr>
          <w:p>
            <w:pPr>
              <w:keepNext w:val="0"/>
              <w:keepLines w:val="0"/>
              <w:pageBreakBefore w:val="0"/>
              <w:kinsoku/>
              <w:overflowPunct/>
              <w:bidi w:val="0"/>
              <w:snapToGrid w:val="0"/>
              <w:spacing w:line="400" w:lineRule="exact"/>
              <w:textAlignment w:val="auto"/>
              <w:rPr>
                <w:rFonts w:ascii="宋体" w:hAnsi="宋体"/>
                <w:kern w:val="0"/>
                <w:szCs w:val="21"/>
              </w:rPr>
            </w:pPr>
            <w:r>
              <w:rPr>
                <w:rFonts w:hint="eastAsia" w:ascii="宋体" w:hAnsi="宋体"/>
                <w:kern w:val="0"/>
                <w:szCs w:val="21"/>
              </w:rPr>
              <w:t>签名盖章要求</w:t>
            </w:r>
          </w:p>
        </w:tc>
        <w:tc>
          <w:tcPr>
            <w:tcW w:w="6490" w:type="dxa"/>
            <w:vAlign w:val="center"/>
          </w:tcPr>
          <w:p>
            <w:pPr>
              <w:keepNext w:val="0"/>
              <w:keepLines w:val="0"/>
              <w:pageBreakBefore w:val="0"/>
              <w:kinsoku/>
              <w:overflowPunct/>
              <w:bidi w:val="0"/>
              <w:snapToGrid w:val="0"/>
              <w:spacing w:line="400" w:lineRule="exact"/>
              <w:ind w:firstLine="420" w:firstLineChars="200"/>
              <w:jc w:val="left"/>
              <w:textAlignment w:val="auto"/>
              <w:rPr>
                <w:rFonts w:ascii="宋体" w:hAnsi="宋体" w:cs="宋体"/>
                <w:kern w:val="0"/>
                <w:szCs w:val="21"/>
              </w:rPr>
            </w:pPr>
            <w:r>
              <w:rPr>
                <w:rFonts w:hint="eastAsia" w:ascii="宋体" w:hAnsi="宋体" w:cs="宋体"/>
                <w:kern w:val="0"/>
                <w:szCs w:val="21"/>
                <w:lang w:eastAsia="zh-CN"/>
              </w:rPr>
              <w:t>竞标</w:t>
            </w:r>
            <w:r>
              <w:rPr>
                <w:rFonts w:hint="eastAsia" w:ascii="宋体" w:hAnsi="宋体" w:cs="宋体"/>
                <w:kern w:val="0"/>
                <w:szCs w:val="21"/>
              </w:rPr>
              <w:t>文件应用不褪色的材料书写或打印，并由</w:t>
            </w:r>
            <w:r>
              <w:rPr>
                <w:rFonts w:hint="eastAsia" w:ascii="宋体" w:hAnsi="宋体" w:cs="宋体"/>
                <w:kern w:val="0"/>
                <w:szCs w:val="21"/>
                <w:lang w:eastAsia="zh-CN"/>
              </w:rPr>
              <w:t>竞标</w:t>
            </w:r>
            <w:r>
              <w:rPr>
                <w:rFonts w:hint="eastAsia" w:ascii="宋体" w:hAnsi="宋体" w:cs="宋体"/>
                <w:kern w:val="0"/>
                <w:szCs w:val="21"/>
              </w:rPr>
              <w:t>人的法定代表人或其委托代理人在比选文件规定的位置按比选文件要求签字或盖章、盖单位法人章。委托代理人签字的，</w:t>
            </w:r>
            <w:r>
              <w:rPr>
                <w:rFonts w:hint="eastAsia" w:ascii="宋体" w:hAnsi="宋体" w:cs="宋体"/>
                <w:kern w:val="0"/>
                <w:szCs w:val="21"/>
                <w:lang w:eastAsia="zh-CN"/>
              </w:rPr>
              <w:t>竞标</w:t>
            </w:r>
            <w:r>
              <w:rPr>
                <w:rFonts w:hint="eastAsia" w:ascii="宋体" w:hAnsi="宋体" w:cs="宋体"/>
                <w:kern w:val="0"/>
                <w:szCs w:val="21"/>
              </w:rPr>
              <w:t>文件应附法定代表人签署的授权委托书。</w:t>
            </w:r>
            <w:r>
              <w:rPr>
                <w:rFonts w:hint="eastAsia" w:ascii="宋体" w:hAnsi="宋体" w:cs="宋体"/>
                <w:kern w:val="0"/>
                <w:szCs w:val="21"/>
                <w:lang w:eastAsia="zh-CN"/>
              </w:rPr>
              <w:t>竞标</w:t>
            </w:r>
            <w:r>
              <w:rPr>
                <w:rFonts w:hint="eastAsia" w:ascii="宋体" w:hAnsi="宋体" w:cs="宋体"/>
                <w:kern w:val="0"/>
                <w:szCs w:val="21"/>
              </w:rPr>
              <w:t>文件应尽量避免涂改、行间插字或删除。如果出现上述情况，改动之处应加盖单位法人章或由</w:t>
            </w:r>
            <w:r>
              <w:rPr>
                <w:rFonts w:hint="eastAsia" w:ascii="宋体" w:hAnsi="宋体" w:cs="宋体"/>
                <w:kern w:val="0"/>
                <w:szCs w:val="21"/>
                <w:lang w:eastAsia="zh-CN"/>
              </w:rPr>
              <w:t>竞标</w:t>
            </w:r>
            <w:r>
              <w:rPr>
                <w:rFonts w:hint="eastAsia" w:ascii="宋体" w:hAnsi="宋体" w:cs="宋体"/>
                <w:kern w:val="0"/>
                <w:szCs w:val="21"/>
              </w:rPr>
              <w:t>人的法定代表人或其授权的代理人签字确认。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keepNext w:val="0"/>
              <w:keepLines w:val="0"/>
              <w:pageBreakBefore w:val="0"/>
              <w:kinsoku/>
              <w:overflowPunct/>
              <w:bidi w:val="0"/>
              <w:snapToGrid w:val="0"/>
              <w:spacing w:line="400" w:lineRule="exact"/>
              <w:jc w:val="center"/>
              <w:textAlignment w:val="auto"/>
              <w:rPr>
                <w:rFonts w:ascii="宋体" w:hAnsi="宋体"/>
                <w:kern w:val="0"/>
                <w:szCs w:val="21"/>
              </w:rPr>
            </w:pPr>
            <w:r>
              <w:rPr>
                <w:rFonts w:ascii="宋体" w:hAnsi="宋体"/>
                <w:kern w:val="0"/>
                <w:szCs w:val="21"/>
              </w:rPr>
              <w:t>3.7.4</w:t>
            </w:r>
          </w:p>
        </w:tc>
        <w:tc>
          <w:tcPr>
            <w:tcW w:w="1644" w:type="dxa"/>
            <w:vAlign w:val="center"/>
          </w:tcPr>
          <w:p>
            <w:pPr>
              <w:keepNext w:val="0"/>
              <w:keepLines w:val="0"/>
              <w:pageBreakBefore w:val="0"/>
              <w:kinsoku/>
              <w:overflowPunct/>
              <w:bidi w:val="0"/>
              <w:snapToGrid w:val="0"/>
              <w:spacing w:line="400" w:lineRule="exact"/>
              <w:jc w:val="center"/>
              <w:textAlignment w:val="auto"/>
              <w:rPr>
                <w:rFonts w:ascii="宋体" w:hAnsi="宋体"/>
                <w:spacing w:val="-6"/>
                <w:kern w:val="0"/>
                <w:szCs w:val="21"/>
              </w:rPr>
            </w:pPr>
            <w:r>
              <w:rPr>
                <w:rFonts w:hint="eastAsia" w:ascii="宋体" w:hAnsi="宋体"/>
                <w:spacing w:val="-6"/>
                <w:kern w:val="0"/>
                <w:szCs w:val="21"/>
                <w:lang w:eastAsia="zh-CN"/>
              </w:rPr>
              <w:t>竞标</w:t>
            </w:r>
            <w:r>
              <w:rPr>
                <w:rFonts w:ascii="宋体" w:hAnsi="宋体"/>
                <w:spacing w:val="-6"/>
                <w:kern w:val="0"/>
                <w:szCs w:val="21"/>
              </w:rPr>
              <w:t>文件的份数</w:t>
            </w:r>
          </w:p>
        </w:tc>
        <w:tc>
          <w:tcPr>
            <w:tcW w:w="6490" w:type="dxa"/>
            <w:vAlign w:val="center"/>
          </w:tcPr>
          <w:p>
            <w:pPr>
              <w:keepNext w:val="0"/>
              <w:keepLines w:val="0"/>
              <w:pageBreakBefore w:val="0"/>
              <w:kinsoku/>
              <w:overflowPunct/>
              <w:bidi w:val="0"/>
              <w:snapToGrid w:val="0"/>
              <w:spacing w:line="400" w:lineRule="exact"/>
              <w:ind w:firstLine="420" w:firstLineChars="200"/>
              <w:jc w:val="left"/>
              <w:textAlignment w:val="auto"/>
              <w:rPr>
                <w:rFonts w:ascii="宋体" w:hAnsi="宋体" w:cs="宋体"/>
                <w:kern w:val="0"/>
                <w:szCs w:val="21"/>
              </w:rPr>
            </w:pPr>
            <w:r>
              <w:rPr>
                <w:rFonts w:hint="eastAsia" w:ascii="宋体" w:hAnsi="宋体" w:cs="宋体"/>
                <w:kern w:val="0"/>
                <w:szCs w:val="21"/>
                <w:lang w:eastAsia="zh-CN"/>
              </w:rPr>
              <w:t>竞标</w:t>
            </w:r>
            <w:r>
              <w:rPr>
                <w:rFonts w:hint="eastAsia" w:ascii="宋体" w:hAnsi="宋体" w:cs="宋体"/>
                <w:kern w:val="0"/>
                <w:szCs w:val="21"/>
              </w:rPr>
              <w:t>文件正本1份、副本1份，电子版形式（光盘</w:t>
            </w:r>
            <w:r>
              <w:rPr>
                <w:rFonts w:hint="eastAsia" w:ascii="宋体" w:hAnsi="宋体" w:cs="宋体"/>
                <w:kern w:val="0"/>
                <w:szCs w:val="21"/>
                <w:lang w:eastAsia="zh-CN"/>
              </w:rPr>
              <w:t>，</w:t>
            </w:r>
            <w:r>
              <w:rPr>
                <w:rFonts w:hint="eastAsia" w:ascii="宋体" w:hAnsi="宋体" w:cs="宋体"/>
                <w:szCs w:val="21"/>
                <w:lang w:val="en-US" w:eastAsia="zh-CN"/>
              </w:rPr>
              <w:t>应</w:t>
            </w:r>
            <w:r>
              <w:rPr>
                <w:rFonts w:hint="eastAsia" w:ascii="宋体" w:hAnsi="宋体" w:cs="宋体"/>
                <w:szCs w:val="21"/>
              </w:rPr>
              <w:t>包含竞标函部分、商务部分、技术部分和资格审查部分的全部内容</w:t>
            </w:r>
            <w:r>
              <w:rPr>
                <w:rFonts w:hint="eastAsia" w:ascii="宋体" w:hAnsi="宋体" w:cs="宋体"/>
                <w:kern w:val="0"/>
                <w:szCs w:val="21"/>
              </w:rPr>
              <w:t>）</w:t>
            </w:r>
            <w:r>
              <w:rPr>
                <w:rFonts w:hint="eastAsia" w:ascii="宋体" w:hAnsi="宋体" w:cs="宋体"/>
                <w:kern w:val="0"/>
                <w:szCs w:val="21"/>
                <w:lang w:val="en-US" w:eastAsia="zh-CN"/>
              </w:rPr>
              <w:t>2</w:t>
            </w:r>
            <w:r>
              <w:rPr>
                <w:rFonts w:hint="eastAsia" w:ascii="宋体" w:hAnsi="宋体" w:cs="宋体"/>
                <w:kern w:val="0"/>
                <w:szCs w:val="21"/>
              </w:rPr>
              <w:t>份，《技术方案》不分正副本。当副本和正本不一致时，以正本为准。否则由评标委员会作否决竞标处理。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85" w:hRule="atLeast"/>
          <w:jc w:val="center"/>
        </w:trPr>
        <w:tc>
          <w:tcPr>
            <w:tcW w:w="1335" w:type="dxa"/>
            <w:vAlign w:val="center"/>
          </w:tcPr>
          <w:p>
            <w:pPr>
              <w:keepNext w:val="0"/>
              <w:keepLines w:val="0"/>
              <w:pageBreakBefore w:val="0"/>
              <w:kinsoku/>
              <w:overflowPunct/>
              <w:bidi w:val="0"/>
              <w:snapToGrid w:val="0"/>
              <w:spacing w:line="400" w:lineRule="exact"/>
              <w:jc w:val="center"/>
              <w:textAlignment w:val="auto"/>
              <w:rPr>
                <w:rFonts w:ascii="宋体" w:hAnsi="宋体"/>
                <w:kern w:val="0"/>
                <w:szCs w:val="21"/>
              </w:rPr>
            </w:pPr>
            <w:r>
              <w:rPr>
                <w:rFonts w:ascii="宋体" w:hAnsi="宋体"/>
                <w:kern w:val="0"/>
                <w:szCs w:val="21"/>
              </w:rPr>
              <w:t>3.7.5</w:t>
            </w:r>
          </w:p>
        </w:tc>
        <w:tc>
          <w:tcPr>
            <w:tcW w:w="1644" w:type="dxa"/>
            <w:vAlign w:val="center"/>
          </w:tcPr>
          <w:p>
            <w:pPr>
              <w:keepNext w:val="0"/>
              <w:keepLines w:val="0"/>
              <w:pageBreakBefore w:val="0"/>
              <w:kinsoku/>
              <w:overflowPunct/>
              <w:bidi w:val="0"/>
              <w:snapToGrid w:val="0"/>
              <w:spacing w:line="400" w:lineRule="exact"/>
              <w:jc w:val="center"/>
              <w:textAlignment w:val="auto"/>
              <w:rPr>
                <w:rFonts w:ascii="宋体" w:hAnsi="宋体"/>
                <w:spacing w:val="-6"/>
                <w:kern w:val="0"/>
                <w:szCs w:val="21"/>
              </w:rPr>
            </w:pPr>
            <w:r>
              <w:rPr>
                <w:rFonts w:hint="eastAsia" w:ascii="宋体" w:hAnsi="宋体"/>
                <w:spacing w:val="-6"/>
                <w:kern w:val="0"/>
                <w:szCs w:val="21"/>
              </w:rPr>
              <w:t>装订要求</w:t>
            </w:r>
          </w:p>
        </w:tc>
        <w:tc>
          <w:tcPr>
            <w:tcW w:w="6490"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ascii="宋体" w:hAnsi="宋体"/>
                <w:szCs w:val="21"/>
              </w:rPr>
            </w:pPr>
            <w:r>
              <w:rPr>
                <w:rFonts w:ascii="宋体" w:hAnsi="宋体"/>
                <w:szCs w:val="21"/>
              </w:rPr>
              <w:t>1</w:t>
            </w:r>
            <w:r>
              <w:rPr>
                <w:rFonts w:hint="eastAsia" w:ascii="宋体" w:hAnsi="宋体"/>
                <w:szCs w:val="21"/>
              </w:rPr>
              <w:t>.</w:t>
            </w:r>
            <w:r>
              <w:rPr>
                <w:rFonts w:ascii="宋体" w:hAnsi="宋体"/>
                <w:szCs w:val="21"/>
              </w:rPr>
              <w:t>本工程技术部分</w:t>
            </w:r>
            <w:r>
              <w:rPr>
                <w:rFonts w:hint="eastAsia" w:ascii="宋体" w:hAnsi="宋体" w:cs="宋体"/>
                <w:szCs w:val="21"/>
              </w:rPr>
              <w:t>采用暗标评审</w:t>
            </w:r>
            <w:r>
              <w:rPr>
                <w:rFonts w:ascii="宋体" w:hAnsi="宋体"/>
                <w:szCs w:val="21"/>
              </w:rPr>
              <w:t>，应将</w:t>
            </w:r>
            <w:r>
              <w:rPr>
                <w:rFonts w:hint="eastAsia" w:ascii="宋体" w:hAnsi="宋体"/>
                <w:szCs w:val="21"/>
                <w:lang w:eastAsia="zh-CN"/>
              </w:rPr>
              <w:t>竞标</w:t>
            </w:r>
            <w:r>
              <w:rPr>
                <w:rFonts w:ascii="宋体" w:hAnsi="宋体"/>
                <w:szCs w:val="21"/>
              </w:rPr>
              <w:t>函部分、</w:t>
            </w:r>
            <w:r>
              <w:rPr>
                <w:rFonts w:hint="eastAsia" w:ascii="宋体" w:hAnsi="宋体"/>
                <w:szCs w:val="21"/>
              </w:rPr>
              <w:t>商务部分、经济</w:t>
            </w:r>
            <w:r>
              <w:rPr>
                <w:rFonts w:ascii="宋体" w:hAnsi="宋体"/>
                <w:szCs w:val="21"/>
              </w:rPr>
              <w:t>部分、技术部分、</w:t>
            </w:r>
            <w:r>
              <w:rPr>
                <w:rFonts w:hint="eastAsia" w:ascii="宋体" w:hAnsi="宋体"/>
                <w:szCs w:val="21"/>
              </w:rPr>
              <w:t>资格审查部分</w:t>
            </w:r>
            <w:r>
              <w:rPr>
                <w:rFonts w:ascii="宋体" w:hAnsi="宋体"/>
                <w:szCs w:val="21"/>
              </w:rPr>
              <w:t>各自分别装订成册。</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ascii="宋体" w:hAnsi="宋体"/>
                <w:szCs w:val="21"/>
              </w:rPr>
            </w:pPr>
            <w:r>
              <w:rPr>
                <w:rFonts w:ascii="宋体" w:hAnsi="宋体"/>
                <w:szCs w:val="21"/>
              </w:rPr>
              <w:t>2</w:t>
            </w:r>
            <w:r>
              <w:rPr>
                <w:rFonts w:hint="eastAsia" w:ascii="宋体" w:hAnsi="宋体"/>
                <w:szCs w:val="21"/>
              </w:rPr>
              <w:t>.</w:t>
            </w:r>
            <w:r>
              <w:rPr>
                <w:rFonts w:ascii="宋体" w:hAnsi="宋体"/>
                <w:szCs w:val="21"/>
              </w:rPr>
              <w:t>装订</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ascii="宋体" w:hAnsi="宋体"/>
                <w:szCs w:val="21"/>
              </w:rPr>
            </w:pPr>
            <w:r>
              <w:rPr>
                <w:rFonts w:ascii="宋体" w:hAnsi="宋体"/>
                <w:szCs w:val="21"/>
              </w:rPr>
              <w:t>（</w:t>
            </w:r>
            <w:r>
              <w:rPr>
                <w:rFonts w:hint="eastAsia" w:ascii="宋体" w:hAnsi="宋体"/>
                <w:szCs w:val="21"/>
              </w:rPr>
              <w:t>1</w:t>
            </w:r>
            <w:r>
              <w:rPr>
                <w:rFonts w:ascii="宋体" w:hAnsi="宋体"/>
                <w:szCs w:val="21"/>
              </w:rPr>
              <w:t>）</w:t>
            </w:r>
            <w:r>
              <w:rPr>
                <w:rFonts w:hint="eastAsia" w:ascii="宋体" w:hAnsi="宋体"/>
                <w:szCs w:val="21"/>
                <w:lang w:eastAsia="zh-CN"/>
              </w:rPr>
              <w:t>竞标</w:t>
            </w:r>
            <w:r>
              <w:rPr>
                <w:rFonts w:ascii="宋体" w:hAnsi="宋体"/>
                <w:szCs w:val="21"/>
              </w:rPr>
              <w:t>函部分的装订要求</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ascii="宋体" w:hAnsi="宋体"/>
                <w:szCs w:val="21"/>
              </w:rPr>
            </w:pPr>
            <w:r>
              <w:rPr>
                <w:rFonts w:ascii="宋体" w:hAnsi="宋体"/>
                <w:szCs w:val="21"/>
              </w:rPr>
              <w:t>应按照第八章规定格式装订成册，并应编制目录，标注页码。</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ascii="宋体" w:hAnsi="宋体"/>
                <w:szCs w:val="21"/>
              </w:rPr>
            </w:pPr>
            <w:r>
              <w:rPr>
                <w:rFonts w:ascii="宋体" w:hAnsi="宋体"/>
                <w:szCs w:val="21"/>
              </w:rPr>
              <w:t>（</w:t>
            </w:r>
            <w:r>
              <w:rPr>
                <w:rFonts w:hint="eastAsia" w:ascii="宋体" w:hAnsi="宋体"/>
                <w:szCs w:val="21"/>
              </w:rPr>
              <w:t>2</w:t>
            </w:r>
            <w:r>
              <w:rPr>
                <w:rFonts w:ascii="宋体" w:hAnsi="宋体"/>
                <w:szCs w:val="21"/>
              </w:rPr>
              <w:t>）</w:t>
            </w:r>
            <w:r>
              <w:rPr>
                <w:rFonts w:hint="eastAsia" w:ascii="宋体" w:hAnsi="宋体"/>
                <w:szCs w:val="21"/>
              </w:rPr>
              <w:t>经济</w:t>
            </w:r>
            <w:r>
              <w:rPr>
                <w:rFonts w:ascii="宋体" w:hAnsi="宋体"/>
                <w:szCs w:val="21"/>
              </w:rPr>
              <w:t>部分的装订要求</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ascii="宋体" w:hAnsi="宋体"/>
                <w:szCs w:val="21"/>
              </w:rPr>
            </w:pPr>
            <w:r>
              <w:rPr>
                <w:rFonts w:ascii="宋体" w:hAnsi="宋体"/>
                <w:szCs w:val="21"/>
              </w:rPr>
              <w:t>应按照第八章规定格式装订成册，并应编制目录，标注页码。</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firstLine="420" w:firstLineChars="200"/>
              <w:jc w:val="left"/>
              <w:textAlignment w:val="auto"/>
              <w:rPr>
                <w:rFonts w:ascii="宋体" w:hAnsi="宋体"/>
                <w:szCs w:val="21"/>
              </w:rPr>
            </w:pPr>
            <w:r>
              <w:rPr>
                <w:rFonts w:hint="eastAsia" w:ascii="宋体" w:hAnsi="宋体"/>
                <w:szCs w:val="21"/>
              </w:rPr>
              <w:t>商务部分的</w:t>
            </w:r>
            <w:r>
              <w:rPr>
                <w:rFonts w:ascii="宋体" w:hAnsi="宋体"/>
                <w:szCs w:val="21"/>
              </w:rPr>
              <w:t>装订要求</w:t>
            </w:r>
          </w:p>
          <w:p>
            <w:pPr>
              <w:keepNext w:val="0"/>
              <w:keepLines w:val="0"/>
              <w:pageBreakBefore w:val="0"/>
              <w:widowControl w:val="0"/>
              <w:numPr>
                <w:ilvl w:val="255"/>
                <w:numId w:val="0"/>
              </w:numPr>
              <w:kinsoku/>
              <w:wordWrap/>
              <w:overflowPunct/>
              <w:topLinePunct w:val="0"/>
              <w:autoSpaceDE/>
              <w:autoSpaceDN/>
              <w:bidi w:val="0"/>
              <w:adjustRightInd w:val="0"/>
              <w:snapToGrid w:val="0"/>
              <w:spacing w:line="360" w:lineRule="auto"/>
              <w:ind w:firstLine="420" w:firstLineChars="200"/>
              <w:jc w:val="left"/>
              <w:textAlignment w:val="auto"/>
              <w:rPr>
                <w:rFonts w:ascii="宋体" w:hAnsi="宋体"/>
                <w:szCs w:val="21"/>
              </w:rPr>
            </w:pPr>
            <w:r>
              <w:rPr>
                <w:rFonts w:ascii="宋体" w:hAnsi="宋体"/>
                <w:szCs w:val="21"/>
              </w:rPr>
              <w:t>应按照第八章规定格式装订成册，并应编制目录，标注页码。</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ascii="宋体" w:hAnsi="宋体"/>
                <w:szCs w:val="21"/>
                <w:highlight w:val="none"/>
              </w:rPr>
            </w:pPr>
            <w:r>
              <w:rPr>
                <w:rFonts w:ascii="宋体" w:hAnsi="宋体"/>
                <w:szCs w:val="21"/>
                <w:highlight w:val="none"/>
              </w:rPr>
              <w:t>（</w:t>
            </w:r>
            <w:r>
              <w:rPr>
                <w:rFonts w:hint="eastAsia" w:ascii="宋体" w:hAnsi="宋体"/>
                <w:szCs w:val="21"/>
                <w:highlight w:val="none"/>
              </w:rPr>
              <w:t>4</w:t>
            </w:r>
            <w:r>
              <w:rPr>
                <w:rFonts w:ascii="宋体" w:hAnsi="宋体"/>
                <w:szCs w:val="21"/>
                <w:highlight w:val="none"/>
              </w:rPr>
              <w:t>）技术部分的装订要求</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宋体" w:hAnsi="宋体" w:cs="宋体"/>
                <w:szCs w:val="21"/>
              </w:rPr>
            </w:pPr>
            <w:r>
              <w:rPr>
                <w:rFonts w:hint="eastAsia" w:ascii="宋体" w:hAnsi="宋体" w:cs="宋体"/>
                <w:szCs w:val="21"/>
              </w:rPr>
              <w:t>《技术方案》面页使用A4厚型白纸面页，用初号仿宋字体居中选明“技术方案”；在页面右下角加盖竞标单位章后沿密封线折叠成腰约10cm左右的等腰直角三角形密封；面页除了“技术方案”四字和右下角密封处印章外不得有其他印记；密封后的面页及整个《技术方案》均不得出现白页、残页和倒页，不得显示与竞标人企业有关的任何信息及与本工程无关内容（面页由竞标人按比选人提供的电子文档格式用A4厚型白纸打印，加盖单位法人章后其面页的反面以不得显示出单位法人章单位名称为准）；《技术方案》文字部分纸张采用A4白纸，四号仿宋字体；图表采用A4或A3白纸，图表内的字体、字号大小不限；文字、图表不得使用彩色和不得编制页码，且整个《技术方案》不超过</w:t>
            </w:r>
            <w:r>
              <w:rPr>
                <w:rFonts w:hint="eastAsia" w:ascii="宋体" w:hAnsi="宋体" w:cs="宋体"/>
                <w:szCs w:val="21"/>
                <w:lang w:val="en-US" w:eastAsia="zh-CN"/>
              </w:rPr>
              <w:t>2</w:t>
            </w:r>
            <w:r>
              <w:rPr>
                <w:rFonts w:hint="eastAsia" w:ascii="宋体" w:hAnsi="宋体" w:cs="宋体"/>
                <w:szCs w:val="21"/>
              </w:rPr>
              <w:t>00页。违反上述任何一项，其竞标文件《技术方案》部分为零分。</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ascii="宋体" w:hAnsi="宋体"/>
                <w:kern w:val="0"/>
                <w:szCs w:val="21"/>
              </w:rPr>
            </w:pPr>
            <w:r>
              <w:rPr>
                <w:rFonts w:ascii="宋体" w:hAnsi="宋体"/>
                <w:szCs w:val="21"/>
              </w:rPr>
              <w:t>（</w:t>
            </w:r>
            <w:r>
              <w:rPr>
                <w:rFonts w:hint="eastAsia" w:ascii="宋体" w:hAnsi="宋体"/>
                <w:szCs w:val="21"/>
              </w:rPr>
              <w:t>5</w:t>
            </w:r>
            <w:r>
              <w:rPr>
                <w:rFonts w:ascii="宋体" w:hAnsi="宋体"/>
                <w:szCs w:val="21"/>
              </w:rPr>
              <w:t>）</w:t>
            </w:r>
            <w:r>
              <w:rPr>
                <w:rFonts w:hint="eastAsia" w:ascii="宋体" w:hAnsi="宋体"/>
                <w:kern w:val="0"/>
                <w:szCs w:val="21"/>
              </w:rPr>
              <w:t>资格审查部分</w:t>
            </w:r>
            <w:r>
              <w:rPr>
                <w:rFonts w:ascii="宋体" w:hAnsi="宋体"/>
                <w:kern w:val="0"/>
                <w:szCs w:val="21"/>
              </w:rPr>
              <w:t>的装订要求</w:t>
            </w:r>
          </w:p>
          <w:p>
            <w:pPr>
              <w:keepNext w:val="0"/>
              <w:keepLines w:val="0"/>
              <w:pageBreakBefore w:val="0"/>
              <w:widowControl w:val="0"/>
              <w:kinsoku/>
              <w:wordWrap/>
              <w:overflowPunct/>
              <w:topLinePunct w:val="0"/>
              <w:autoSpaceDE/>
              <w:autoSpaceDN/>
              <w:bidi w:val="0"/>
              <w:snapToGrid w:val="0"/>
              <w:spacing w:line="360" w:lineRule="auto"/>
              <w:ind w:firstLine="420" w:firstLineChars="200"/>
              <w:jc w:val="left"/>
              <w:textAlignment w:val="auto"/>
              <w:rPr>
                <w:rFonts w:ascii="宋体" w:hAnsi="宋体"/>
                <w:spacing w:val="-6"/>
                <w:kern w:val="0"/>
                <w:szCs w:val="21"/>
              </w:rPr>
            </w:pPr>
            <w:r>
              <w:rPr>
                <w:rFonts w:ascii="宋体" w:hAnsi="宋体"/>
                <w:szCs w:val="21"/>
              </w:rPr>
              <w:t>应按照第八章规定格式装订成册，并应编制目录，标注页</w:t>
            </w:r>
            <w:r>
              <w:rPr>
                <w:rFonts w:ascii="宋体" w:hAnsi="宋体"/>
                <w:kern w:val="0"/>
                <w:szCs w:val="21"/>
              </w:rPr>
              <w:t>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keepNext w:val="0"/>
              <w:keepLines w:val="0"/>
              <w:pageBreakBefore w:val="0"/>
              <w:kinsoku/>
              <w:overflowPunct/>
              <w:bidi w:val="0"/>
              <w:snapToGrid w:val="0"/>
              <w:spacing w:line="400" w:lineRule="exact"/>
              <w:jc w:val="center"/>
              <w:textAlignment w:val="auto"/>
              <w:rPr>
                <w:rFonts w:ascii="宋体" w:hAnsi="宋体"/>
                <w:kern w:val="0"/>
                <w:szCs w:val="21"/>
              </w:rPr>
            </w:pPr>
            <w:r>
              <w:rPr>
                <w:rFonts w:hint="eastAsia" w:ascii="宋体" w:hAnsi="宋体"/>
                <w:kern w:val="0"/>
                <w:szCs w:val="21"/>
              </w:rPr>
              <w:t>4.1.1</w:t>
            </w:r>
          </w:p>
        </w:tc>
        <w:tc>
          <w:tcPr>
            <w:tcW w:w="1644" w:type="dxa"/>
            <w:vAlign w:val="center"/>
          </w:tcPr>
          <w:p>
            <w:pPr>
              <w:keepNext w:val="0"/>
              <w:keepLines w:val="0"/>
              <w:pageBreakBefore w:val="0"/>
              <w:kinsoku/>
              <w:overflowPunct/>
              <w:bidi w:val="0"/>
              <w:snapToGrid w:val="0"/>
              <w:spacing w:line="400" w:lineRule="exact"/>
              <w:jc w:val="center"/>
              <w:textAlignment w:val="auto"/>
              <w:rPr>
                <w:rFonts w:ascii="宋体" w:hAnsi="宋体"/>
                <w:kern w:val="0"/>
                <w:szCs w:val="21"/>
              </w:rPr>
            </w:pPr>
            <w:r>
              <w:rPr>
                <w:rFonts w:hint="eastAsia" w:ascii="宋体" w:hAnsi="宋体"/>
                <w:kern w:val="0"/>
                <w:szCs w:val="21"/>
                <w:lang w:eastAsia="zh-CN"/>
              </w:rPr>
              <w:t>竞标</w:t>
            </w:r>
            <w:r>
              <w:rPr>
                <w:rFonts w:hint="eastAsia" w:ascii="宋体" w:hAnsi="宋体"/>
                <w:kern w:val="0"/>
                <w:szCs w:val="21"/>
              </w:rPr>
              <w:t>文件的密封</w:t>
            </w:r>
          </w:p>
        </w:tc>
        <w:tc>
          <w:tcPr>
            <w:tcW w:w="6490" w:type="dxa"/>
            <w:vAlign w:val="center"/>
          </w:tcPr>
          <w:p>
            <w:pPr>
              <w:keepNext w:val="0"/>
              <w:keepLines w:val="0"/>
              <w:pageBreakBefore w:val="0"/>
              <w:kinsoku/>
              <w:overflowPunct/>
              <w:bidi w:val="0"/>
              <w:snapToGrid w:val="0"/>
              <w:spacing w:line="400" w:lineRule="exact"/>
              <w:ind w:firstLine="420" w:firstLineChars="200"/>
              <w:jc w:val="left"/>
              <w:textAlignment w:val="auto"/>
              <w:rPr>
                <w:rFonts w:ascii="宋体" w:hAnsi="宋体"/>
                <w:kern w:val="0"/>
                <w:szCs w:val="21"/>
              </w:rPr>
            </w:pPr>
            <w:r>
              <w:rPr>
                <w:rFonts w:hint="eastAsia" w:ascii="宋体" w:hAnsi="宋体"/>
                <w:kern w:val="0"/>
                <w:szCs w:val="21"/>
              </w:rPr>
              <w:t>1.</w:t>
            </w:r>
            <w:r>
              <w:rPr>
                <w:rFonts w:hint="eastAsia" w:ascii="宋体" w:hAnsi="宋体"/>
                <w:kern w:val="0"/>
                <w:szCs w:val="21"/>
                <w:lang w:eastAsia="zh-CN"/>
              </w:rPr>
              <w:t>竞标</w:t>
            </w:r>
            <w:r>
              <w:rPr>
                <w:rFonts w:hint="eastAsia" w:ascii="宋体" w:hAnsi="宋体"/>
                <w:kern w:val="0"/>
                <w:szCs w:val="21"/>
              </w:rPr>
              <w:t>文件袋使用“</w:t>
            </w:r>
            <w:r>
              <w:rPr>
                <w:rFonts w:hint="eastAsia" w:ascii="宋体" w:hAnsi="宋体"/>
                <w:kern w:val="0"/>
                <w:szCs w:val="21"/>
                <w:lang w:eastAsia="zh-CN"/>
              </w:rPr>
              <w:t>竞标</w:t>
            </w:r>
            <w:r>
              <w:rPr>
                <w:rFonts w:hint="eastAsia" w:ascii="宋体" w:hAnsi="宋体"/>
                <w:kern w:val="0"/>
                <w:szCs w:val="21"/>
              </w:rPr>
              <w:t>函”袋、“经济部分”袋、“商务部分”袋、“技术部分”袋、“资格审查部分”袋以及“</w:t>
            </w:r>
            <w:r>
              <w:rPr>
                <w:rFonts w:hint="eastAsia" w:ascii="宋体" w:hAnsi="宋体"/>
                <w:kern w:val="0"/>
                <w:szCs w:val="21"/>
                <w:lang w:eastAsia="zh-CN"/>
              </w:rPr>
              <w:t>竞标</w:t>
            </w:r>
            <w:r>
              <w:rPr>
                <w:rFonts w:hint="eastAsia" w:ascii="宋体" w:hAnsi="宋体"/>
                <w:kern w:val="0"/>
                <w:szCs w:val="21"/>
              </w:rPr>
              <w:t>文件”大袋。</w:t>
            </w:r>
          </w:p>
          <w:p>
            <w:pPr>
              <w:keepNext w:val="0"/>
              <w:keepLines w:val="0"/>
              <w:pageBreakBefore w:val="0"/>
              <w:kinsoku/>
              <w:overflowPunct/>
              <w:bidi w:val="0"/>
              <w:snapToGrid w:val="0"/>
              <w:spacing w:line="400" w:lineRule="exact"/>
              <w:ind w:firstLine="420" w:firstLineChars="200"/>
              <w:jc w:val="left"/>
              <w:textAlignment w:val="auto"/>
              <w:rPr>
                <w:rFonts w:ascii="宋体" w:hAnsi="宋体"/>
                <w:kern w:val="0"/>
                <w:szCs w:val="21"/>
              </w:rPr>
            </w:pPr>
            <w:r>
              <w:rPr>
                <w:rFonts w:hint="eastAsia" w:ascii="宋体" w:hAnsi="宋体"/>
                <w:kern w:val="0"/>
                <w:szCs w:val="21"/>
              </w:rPr>
              <w:t>2.</w:t>
            </w:r>
            <w:r>
              <w:rPr>
                <w:rFonts w:hint="eastAsia" w:ascii="宋体" w:hAnsi="宋体"/>
                <w:kern w:val="0"/>
                <w:szCs w:val="21"/>
                <w:lang w:eastAsia="zh-CN"/>
              </w:rPr>
              <w:t>竞标</w:t>
            </w:r>
            <w:r>
              <w:rPr>
                <w:rFonts w:hint="eastAsia" w:ascii="宋体" w:hAnsi="宋体"/>
                <w:kern w:val="0"/>
                <w:szCs w:val="21"/>
              </w:rPr>
              <w:t>函部分、电子文档（光盘或U盘）、装入“</w:t>
            </w:r>
            <w:r>
              <w:rPr>
                <w:rFonts w:hint="eastAsia" w:ascii="宋体" w:hAnsi="宋体"/>
                <w:kern w:val="0"/>
                <w:szCs w:val="21"/>
                <w:lang w:eastAsia="zh-CN"/>
              </w:rPr>
              <w:t>竞标</w:t>
            </w:r>
            <w:r>
              <w:rPr>
                <w:rFonts w:hint="eastAsia" w:ascii="宋体" w:hAnsi="宋体"/>
                <w:kern w:val="0"/>
                <w:szCs w:val="21"/>
              </w:rPr>
              <w:t>函部分”袋中</w:t>
            </w:r>
            <w:r>
              <w:rPr>
                <w:rFonts w:hint="eastAsia" w:ascii="宋体" w:hAnsi="宋体" w:cs="宋体"/>
                <w:spacing w:val="4"/>
                <w:szCs w:val="21"/>
              </w:rPr>
              <w:t>，密封并在袋上加盖竞标人单</w:t>
            </w:r>
            <w:r>
              <w:rPr>
                <w:rFonts w:hint="eastAsia" w:ascii="宋体" w:hAnsi="宋体" w:cs="宋体"/>
                <w:szCs w:val="21"/>
              </w:rPr>
              <w:t>位法人章</w:t>
            </w:r>
            <w:r>
              <w:rPr>
                <w:rFonts w:hint="eastAsia" w:ascii="宋体" w:hAnsi="宋体"/>
                <w:kern w:val="0"/>
                <w:szCs w:val="21"/>
              </w:rPr>
              <w:t>。</w:t>
            </w:r>
          </w:p>
          <w:p>
            <w:pPr>
              <w:keepNext w:val="0"/>
              <w:keepLines w:val="0"/>
              <w:pageBreakBefore w:val="0"/>
              <w:kinsoku/>
              <w:overflowPunct/>
              <w:bidi w:val="0"/>
              <w:snapToGrid w:val="0"/>
              <w:spacing w:line="400" w:lineRule="exact"/>
              <w:ind w:firstLine="420" w:firstLineChars="200"/>
              <w:jc w:val="left"/>
              <w:textAlignment w:val="auto"/>
              <w:rPr>
                <w:rFonts w:ascii="宋体" w:hAnsi="宋体"/>
                <w:kern w:val="0"/>
                <w:szCs w:val="21"/>
              </w:rPr>
            </w:pPr>
            <w:r>
              <w:rPr>
                <w:rFonts w:hint="eastAsia" w:ascii="宋体" w:hAnsi="宋体"/>
                <w:kern w:val="0"/>
                <w:szCs w:val="21"/>
              </w:rPr>
              <w:t>3.经济部分装入“经济部分”袋中密封</w:t>
            </w:r>
            <w:r>
              <w:rPr>
                <w:rFonts w:hint="eastAsia" w:ascii="宋体" w:hAnsi="宋体" w:cs="宋体"/>
                <w:spacing w:val="4"/>
                <w:szCs w:val="21"/>
              </w:rPr>
              <w:t>，密封并在袋上加盖竞标人单</w:t>
            </w:r>
            <w:r>
              <w:rPr>
                <w:rFonts w:hint="eastAsia" w:ascii="宋体" w:hAnsi="宋体" w:cs="宋体"/>
                <w:szCs w:val="21"/>
              </w:rPr>
              <w:t>位法人章</w:t>
            </w:r>
            <w:r>
              <w:rPr>
                <w:rFonts w:hint="eastAsia" w:ascii="宋体" w:hAnsi="宋体"/>
                <w:kern w:val="0"/>
                <w:szCs w:val="21"/>
              </w:rPr>
              <w:t>。</w:t>
            </w:r>
          </w:p>
          <w:p>
            <w:pPr>
              <w:keepNext w:val="0"/>
              <w:keepLines w:val="0"/>
              <w:pageBreakBefore w:val="0"/>
              <w:kinsoku/>
              <w:overflowPunct/>
              <w:bidi w:val="0"/>
              <w:snapToGrid w:val="0"/>
              <w:spacing w:line="400" w:lineRule="exact"/>
              <w:ind w:firstLine="420" w:firstLineChars="200"/>
              <w:jc w:val="left"/>
              <w:textAlignment w:val="auto"/>
              <w:rPr>
                <w:rFonts w:ascii="宋体" w:hAnsi="宋体"/>
                <w:kern w:val="0"/>
                <w:szCs w:val="21"/>
              </w:rPr>
            </w:pPr>
            <w:r>
              <w:rPr>
                <w:rFonts w:hint="eastAsia" w:ascii="宋体" w:hAnsi="宋体"/>
                <w:kern w:val="0"/>
                <w:szCs w:val="21"/>
              </w:rPr>
              <w:t>4.商务部分装入“商务部分”袋中密封</w:t>
            </w:r>
            <w:r>
              <w:rPr>
                <w:rFonts w:hint="eastAsia" w:ascii="宋体" w:hAnsi="宋体" w:cs="宋体"/>
                <w:spacing w:val="4"/>
                <w:szCs w:val="21"/>
              </w:rPr>
              <w:t>，密封并在袋上加盖竞标人单</w:t>
            </w:r>
            <w:r>
              <w:rPr>
                <w:rFonts w:hint="eastAsia" w:ascii="宋体" w:hAnsi="宋体" w:cs="宋体"/>
                <w:szCs w:val="21"/>
              </w:rPr>
              <w:t>位法人章</w:t>
            </w:r>
            <w:r>
              <w:rPr>
                <w:rFonts w:hint="eastAsia" w:ascii="宋体" w:hAnsi="宋体"/>
                <w:kern w:val="0"/>
                <w:szCs w:val="21"/>
              </w:rPr>
              <w:t>。</w:t>
            </w:r>
          </w:p>
          <w:p>
            <w:pPr>
              <w:spacing w:line="360" w:lineRule="auto"/>
              <w:ind w:firstLine="420" w:firstLineChars="200"/>
            </w:pPr>
            <w:r>
              <w:rPr>
                <w:rFonts w:hint="eastAsia" w:ascii="宋体" w:hAnsi="宋体"/>
                <w:kern w:val="0"/>
                <w:szCs w:val="21"/>
              </w:rPr>
              <w:t>5.</w:t>
            </w:r>
            <w:r>
              <w:rPr>
                <w:rFonts w:hint="eastAsia" w:ascii="宋体" w:hAnsi="宋体" w:cs="宋体"/>
                <w:szCs w:val="21"/>
              </w:rPr>
              <w:t>技术部分采用暗标评审，技术部分装入“技术部分”袋中，密封不加盖任何印章。</w:t>
            </w:r>
          </w:p>
          <w:p>
            <w:pPr>
              <w:keepNext w:val="0"/>
              <w:keepLines w:val="0"/>
              <w:pageBreakBefore w:val="0"/>
              <w:kinsoku/>
              <w:overflowPunct/>
              <w:bidi w:val="0"/>
              <w:snapToGrid w:val="0"/>
              <w:spacing w:line="400" w:lineRule="exact"/>
              <w:ind w:firstLine="420" w:firstLineChars="200"/>
              <w:jc w:val="left"/>
              <w:textAlignment w:val="auto"/>
              <w:rPr>
                <w:rFonts w:ascii="宋体" w:hAnsi="宋体"/>
                <w:kern w:val="0"/>
                <w:szCs w:val="21"/>
              </w:rPr>
            </w:pPr>
            <w:r>
              <w:rPr>
                <w:rFonts w:hint="eastAsia" w:ascii="宋体" w:hAnsi="宋体"/>
                <w:kern w:val="0"/>
                <w:szCs w:val="21"/>
              </w:rPr>
              <w:t>6.资格审查部分装入“资格审查部分”袋中</w:t>
            </w:r>
            <w:r>
              <w:rPr>
                <w:rFonts w:hint="eastAsia" w:ascii="宋体" w:hAnsi="宋体" w:cs="宋体"/>
                <w:spacing w:val="4"/>
                <w:szCs w:val="21"/>
              </w:rPr>
              <w:t>，密封并在袋上加盖竞标人单</w:t>
            </w:r>
            <w:r>
              <w:rPr>
                <w:rFonts w:hint="eastAsia" w:ascii="宋体" w:hAnsi="宋体" w:cs="宋体"/>
                <w:szCs w:val="21"/>
              </w:rPr>
              <w:t>位法人章</w:t>
            </w:r>
            <w:r>
              <w:rPr>
                <w:rFonts w:hint="eastAsia" w:ascii="宋体" w:hAnsi="宋体"/>
                <w:kern w:val="0"/>
                <w:szCs w:val="21"/>
              </w:rPr>
              <w:t>。</w:t>
            </w:r>
          </w:p>
          <w:p>
            <w:pPr>
              <w:keepNext w:val="0"/>
              <w:keepLines w:val="0"/>
              <w:pageBreakBefore w:val="0"/>
              <w:kinsoku/>
              <w:overflowPunct/>
              <w:bidi w:val="0"/>
              <w:snapToGrid w:val="0"/>
              <w:spacing w:line="400" w:lineRule="exact"/>
              <w:ind w:firstLine="420" w:firstLineChars="200"/>
              <w:jc w:val="left"/>
              <w:textAlignment w:val="auto"/>
              <w:rPr>
                <w:rFonts w:ascii="宋体" w:hAnsi="宋体"/>
                <w:kern w:val="0"/>
                <w:szCs w:val="21"/>
              </w:rPr>
            </w:pPr>
            <w:r>
              <w:rPr>
                <w:rFonts w:hint="eastAsia" w:ascii="宋体" w:hAnsi="宋体"/>
                <w:kern w:val="0"/>
                <w:szCs w:val="21"/>
              </w:rPr>
              <w:t>7.“</w:t>
            </w:r>
            <w:r>
              <w:rPr>
                <w:rFonts w:hint="eastAsia" w:ascii="宋体" w:hAnsi="宋体"/>
                <w:kern w:val="0"/>
                <w:szCs w:val="21"/>
                <w:lang w:eastAsia="zh-CN"/>
              </w:rPr>
              <w:t>竞标</w:t>
            </w:r>
            <w:r>
              <w:rPr>
                <w:rFonts w:hint="eastAsia" w:ascii="宋体" w:hAnsi="宋体"/>
                <w:kern w:val="0"/>
                <w:szCs w:val="21"/>
              </w:rPr>
              <w:t>函部分”、“经济部分”、“商务部分”、“技术部分部分”“资格审查部分”小袋装入“</w:t>
            </w:r>
            <w:r>
              <w:rPr>
                <w:rFonts w:hint="eastAsia" w:ascii="宋体" w:hAnsi="宋体"/>
                <w:kern w:val="0"/>
                <w:szCs w:val="21"/>
                <w:lang w:eastAsia="zh-CN"/>
              </w:rPr>
              <w:t>竞标</w:t>
            </w:r>
            <w:r>
              <w:rPr>
                <w:rFonts w:hint="eastAsia" w:ascii="宋体" w:hAnsi="宋体"/>
                <w:kern w:val="0"/>
                <w:szCs w:val="21"/>
              </w:rPr>
              <w:t>文件”大袋中，密封并加盖</w:t>
            </w:r>
            <w:r>
              <w:rPr>
                <w:rFonts w:hint="eastAsia" w:ascii="宋体" w:hAnsi="宋体"/>
                <w:kern w:val="0"/>
                <w:szCs w:val="21"/>
                <w:lang w:eastAsia="zh-CN"/>
              </w:rPr>
              <w:t>竞标</w:t>
            </w:r>
            <w:r>
              <w:rPr>
                <w:rFonts w:hint="eastAsia" w:ascii="宋体" w:hAnsi="宋体"/>
                <w:kern w:val="0"/>
                <w:szCs w:val="21"/>
              </w:rPr>
              <w:t>人单位法人章，同时“</w:t>
            </w:r>
            <w:r>
              <w:rPr>
                <w:rFonts w:hint="eastAsia" w:ascii="宋体" w:hAnsi="宋体"/>
                <w:kern w:val="0"/>
                <w:szCs w:val="21"/>
                <w:lang w:eastAsia="zh-CN"/>
              </w:rPr>
              <w:t>竞标</w:t>
            </w:r>
            <w:r>
              <w:rPr>
                <w:rFonts w:hint="eastAsia" w:ascii="宋体" w:hAnsi="宋体"/>
                <w:kern w:val="0"/>
                <w:szCs w:val="21"/>
              </w:rPr>
              <w:t>文件”大袋应按本表第4.1.2项的规定写明相应内容。</w:t>
            </w:r>
          </w:p>
          <w:p>
            <w:pPr>
              <w:keepNext w:val="0"/>
              <w:keepLines w:val="0"/>
              <w:pageBreakBefore w:val="0"/>
              <w:kinsoku/>
              <w:overflowPunct/>
              <w:bidi w:val="0"/>
              <w:snapToGrid w:val="0"/>
              <w:spacing w:line="400" w:lineRule="exact"/>
              <w:ind w:firstLine="420" w:firstLineChars="200"/>
              <w:jc w:val="left"/>
              <w:textAlignment w:val="auto"/>
              <w:rPr>
                <w:rFonts w:ascii="宋体" w:hAnsi="宋体"/>
                <w:kern w:val="0"/>
                <w:szCs w:val="21"/>
              </w:rPr>
            </w:pPr>
            <w:r>
              <w:rPr>
                <w:rFonts w:hint="eastAsia" w:ascii="宋体" w:hAnsi="宋体"/>
                <w:kern w:val="0"/>
                <w:szCs w:val="21"/>
              </w:rPr>
              <w:t>8.如果“</w:t>
            </w:r>
            <w:r>
              <w:rPr>
                <w:rFonts w:hint="eastAsia" w:ascii="宋体" w:hAnsi="宋体"/>
                <w:kern w:val="0"/>
                <w:szCs w:val="21"/>
                <w:lang w:eastAsia="zh-CN"/>
              </w:rPr>
              <w:t>竞标</w:t>
            </w:r>
            <w:r>
              <w:rPr>
                <w:rFonts w:hint="eastAsia" w:ascii="宋体" w:hAnsi="宋体"/>
                <w:kern w:val="0"/>
                <w:szCs w:val="21"/>
              </w:rPr>
              <w:t>文件”大袋未按上述规定封装，比选人或比选代理机构应当拒绝接收。</w:t>
            </w:r>
          </w:p>
          <w:p>
            <w:pPr>
              <w:keepNext w:val="0"/>
              <w:keepLines w:val="0"/>
              <w:pageBreakBefore w:val="0"/>
              <w:kinsoku/>
              <w:overflowPunct/>
              <w:bidi w:val="0"/>
              <w:snapToGrid w:val="0"/>
              <w:spacing w:line="400" w:lineRule="exact"/>
              <w:ind w:firstLine="420" w:firstLineChars="200"/>
              <w:jc w:val="left"/>
              <w:textAlignment w:val="auto"/>
              <w:rPr>
                <w:rFonts w:ascii="宋体" w:hAnsi="宋体"/>
                <w:kern w:val="0"/>
                <w:szCs w:val="21"/>
              </w:rPr>
            </w:pPr>
            <w:r>
              <w:rPr>
                <w:rFonts w:hint="eastAsia" w:ascii="宋体" w:hAnsi="宋体"/>
                <w:kern w:val="0"/>
                <w:szCs w:val="21"/>
              </w:rPr>
              <w:t>注：如</w:t>
            </w:r>
            <w:r>
              <w:rPr>
                <w:rFonts w:hint="eastAsia" w:ascii="宋体" w:hAnsi="宋体"/>
                <w:kern w:val="0"/>
                <w:szCs w:val="21"/>
                <w:lang w:eastAsia="zh-CN"/>
              </w:rPr>
              <w:t>竞标</w:t>
            </w:r>
            <w:r>
              <w:rPr>
                <w:rFonts w:hint="eastAsia" w:ascii="宋体" w:hAnsi="宋体"/>
                <w:kern w:val="0"/>
                <w:szCs w:val="21"/>
              </w:rPr>
              <w:t>文件较厚，上述各部分</w:t>
            </w:r>
            <w:r>
              <w:rPr>
                <w:rFonts w:hint="eastAsia" w:ascii="宋体" w:hAnsi="宋体"/>
                <w:kern w:val="0"/>
                <w:szCs w:val="21"/>
                <w:lang w:eastAsia="zh-CN"/>
              </w:rPr>
              <w:t>竞标</w:t>
            </w:r>
            <w:r>
              <w:rPr>
                <w:rFonts w:hint="eastAsia" w:ascii="宋体" w:hAnsi="宋体"/>
                <w:kern w:val="0"/>
                <w:szCs w:val="21"/>
              </w:rPr>
              <w:t>文件不能装入相应的一个袋中，</w:t>
            </w:r>
            <w:r>
              <w:rPr>
                <w:rFonts w:hint="eastAsia" w:ascii="宋体" w:hAnsi="宋体"/>
                <w:kern w:val="0"/>
                <w:szCs w:val="21"/>
                <w:lang w:eastAsia="zh-CN"/>
              </w:rPr>
              <w:t>竞标</w:t>
            </w:r>
            <w:r>
              <w:rPr>
                <w:rFonts w:hint="eastAsia" w:ascii="宋体" w:hAnsi="宋体"/>
                <w:kern w:val="0"/>
                <w:szCs w:val="21"/>
              </w:rPr>
              <w:t>人可按上述要求增加</w:t>
            </w:r>
            <w:r>
              <w:rPr>
                <w:rFonts w:hint="eastAsia" w:ascii="宋体" w:hAnsi="宋体"/>
                <w:kern w:val="0"/>
                <w:szCs w:val="21"/>
                <w:lang w:eastAsia="zh-CN"/>
              </w:rPr>
              <w:t>竞标</w:t>
            </w:r>
            <w:r>
              <w:rPr>
                <w:rFonts w:hint="eastAsia" w:ascii="宋体" w:hAnsi="宋体"/>
                <w:kern w:val="0"/>
                <w:szCs w:val="21"/>
              </w:rPr>
              <w:t>文件袋。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keepNext w:val="0"/>
              <w:keepLines w:val="0"/>
              <w:pageBreakBefore w:val="0"/>
              <w:kinsoku/>
              <w:overflowPunct/>
              <w:bidi w:val="0"/>
              <w:snapToGrid w:val="0"/>
              <w:spacing w:line="400" w:lineRule="exact"/>
              <w:jc w:val="center"/>
              <w:textAlignment w:val="auto"/>
              <w:rPr>
                <w:rFonts w:ascii="宋体" w:hAnsi="宋体"/>
                <w:kern w:val="0"/>
                <w:szCs w:val="21"/>
              </w:rPr>
            </w:pPr>
            <w:r>
              <w:rPr>
                <w:rFonts w:ascii="宋体" w:hAnsi="宋体"/>
                <w:kern w:val="0"/>
                <w:szCs w:val="21"/>
              </w:rPr>
              <w:t>4.1.2</w:t>
            </w:r>
          </w:p>
        </w:tc>
        <w:tc>
          <w:tcPr>
            <w:tcW w:w="1644" w:type="dxa"/>
            <w:vAlign w:val="center"/>
          </w:tcPr>
          <w:p>
            <w:pPr>
              <w:keepNext w:val="0"/>
              <w:keepLines w:val="0"/>
              <w:pageBreakBefore w:val="0"/>
              <w:kinsoku/>
              <w:overflowPunct/>
              <w:bidi w:val="0"/>
              <w:snapToGrid w:val="0"/>
              <w:spacing w:line="400" w:lineRule="exact"/>
              <w:jc w:val="center"/>
              <w:textAlignment w:val="auto"/>
              <w:rPr>
                <w:rFonts w:ascii="宋体" w:hAnsi="宋体"/>
                <w:kern w:val="0"/>
                <w:szCs w:val="21"/>
              </w:rPr>
            </w:pPr>
            <w:r>
              <w:rPr>
                <w:rFonts w:ascii="宋体" w:hAnsi="宋体"/>
                <w:kern w:val="0"/>
                <w:szCs w:val="21"/>
              </w:rPr>
              <w:t>封套上写明</w:t>
            </w:r>
          </w:p>
        </w:tc>
        <w:tc>
          <w:tcPr>
            <w:tcW w:w="6490" w:type="dxa"/>
            <w:vAlign w:val="center"/>
          </w:tcPr>
          <w:p>
            <w:pPr>
              <w:keepNext w:val="0"/>
              <w:keepLines w:val="0"/>
              <w:pageBreakBefore w:val="0"/>
              <w:kinsoku/>
              <w:overflowPunct/>
              <w:bidi w:val="0"/>
              <w:snapToGrid w:val="0"/>
              <w:spacing w:line="400" w:lineRule="exact"/>
              <w:ind w:firstLine="420" w:firstLineChars="200"/>
              <w:jc w:val="left"/>
              <w:textAlignment w:val="auto"/>
              <w:rPr>
                <w:rFonts w:ascii="宋体" w:hAnsi="宋体"/>
                <w:kern w:val="0"/>
                <w:szCs w:val="21"/>
              </w:rPr>
            </w:pPr>
            <w:r>
              <w:rPr>
                <w:rFonts w:ascii="宋体" w:hAnsi="宋体"/>
                <w:kern w:val="0"/>
                <w:szCs w:val="21"/>
              </w:rPr>
              <w:t>应在</w:t>
            </w:r>
            <w:r>
              <w:rPr>
                <w:rFonts w:ascii="宋体" w:hAnsi="宋体"/>
                <w:szCs w:val="21"/>
              </w:rPr>
              <w:t xml:space="preserve"> </w:t>
            </w:r>
            <w:r>
              <w:rPr>
                <w:rFonts w:ascii="宋体" w:hAnsi="宋体"/>
                <w:kern w:val="0"/>
                <w:szCs w:val="21"/>
              </w:rPr>
              <w:t>“</w:t>
            </w:r>
            <w:r>
              <w:rPr>
                <w:rFonts w:hint="eastAsia" w:ascii="宋体" w:hAnsi="宋体"/>
                <w:kern w:val="0"/>
                <w:szCs w:val="21"/>
                <w:lang w:eastAsia="zh-CN"/>
              </w:rPr>
              <w:t>竞标</w:t>
            </w:r>
            <w:r>
              <w:rPr>
                <w:rFonts w:ascii="宋体" w:hAnsi="宋体"/>
                <w:kern w:val="0"/>
                <w:szCs w:val="21"/>
              </w:rPr>
              <w:t>文件”袋封套上写明如下内容：</w:t>
            </w:r>
          </w:p>
          <w:p>
            <w:pPr>
              <w:keepNext w:val="0"/>
              <w:keepLines w:val="0"/>
              <w:pageBreakBefore w:val="0"/>
              <w:kinsoku/>
              <w:overflowPunct/>
              <w:bidi w:val="0"/>
              <w:snapToGrid w:val="0"/>
              <w:spacing w:line="400" w:lineRule="exact"/>
              <w:ind w:firstLine="420" w:firstLineChars="200"/>
              <w:jc w:val="left"/>
              <w:textAlignment w:val="auto"/>
              <w:rPr>
                <w:rFonts w:ascii="宋体" w:hAnsi="宋体"/>
                <w:kern w:val="0"/>
                <w:szCs w:val="21"/>
                <w:u w:val="single"/>
              </w:rPr>
            </w:pPr>
            <w:r>
              <w:rPr>
                <w:rFonts w:hint="eastAsia" w:ascii="宋体" w:hAnsi="宋体"/>
                <w:kern w:val="0"/>
                <w:szCs w:val="21"/>
              </w:rPr>
              <w:t>比选</w:t>
            </w:r>
            <w:r>
              <w:rPr>
                <w:rFonts w:ascii="宋体" w:hAnsi="宋体"/>
                <w:kern w:val="0"/>
                <w:szCs w:val="21"/>
              </w:rPr>
              <w:t>人名称：</w:t>
            </w:r>
            <w:r>
              <w:rPr>
                <w:rFonts w:hint="eastAsia" w:ascii="宋体" w:hAnsi="宋体"/>
                <w:kern w:val="0"/>
                <w:szCs w:val="21"/>
                <w:u w:val="single"/>
              </w:rPr>
              <w:t xml:space="preserve">            </w:t>
            </w:r>
          </w:p>
          <w:p>
            <w:pPr>
              <w:keepNext w:val="0"/>
              <w:keepLines w:val="0"/>
              <w:pageBreakBefore w:val="0"/>
              <w:kinsoku/>
              <w:overflowPunct/>
              <w:bidi w:val="0"/>
              <w:snapToGrid w:val="0"/>
              <w:spacing w:line="400" w:lineRule="exact"/>
              <w:ind w:firstLine="420" w:firstLineChars="200"/>
              <w:jc w:val="left"/>
              <w:textAlignment w:val="auto"/>
              <w:rPr>
                <w:rFonts w:ascii="宋体" w:hAnsi="宋体"/>
                <w:kern w:val="0"/>
                <w:szCs w:val="21"/>
                <w:u w:val="single"/>
              </w:rPr>
            </w:pPr>
            <w:r>
              <w:rPr>
                <w:rFonts w:hint="eastAsia" w:ascii="宋体" w:hAnsi="宋体"/>
                <w:kern w:val="0"/>
                <w:szCs w:val="21"/>
                <w:lang w:eastAsia="zh-CN"/>
              </w:rPr>
              <w:t>竞标</w:t>
            </w:r>
            <w:r>
              <w:rPr>
                <w:rFonts w:hint="eastAsia" w:ascii="宋体" w:hAnsi="宋体"/>
                <w:kern w:val="0"/>
                <w:szCs w:val="21"/>
              </w:rPr>
              <w:t>人名称：</w:t>
            </w:r>
            <w:r>
              <w:rPr>
                <w:rFonts w:hint="eastAsia" w:ascii="宋体" w:hAnsi="宋体"/>
                <w:kern w:val="0"/>
                <w:szCs w:val="21"/>
                <w:u w:val="single"/>
              </w:rPr>
              <w:t xml:space="preserve">            </w:t>
            </w:r>
          </w:p>
          <w:p>
            <w:pPr>
              <w:keepNext w:val="0"/>
              <w:keepLines w:val="0"/>
              <w:pageBreakBefore w:val="0"/>
              <w:kinsoku/>
              <w:overflowPunct/>
              <w:bidi w:val="0"/>
              <w:snapToGrid w:val="0"/>
              <w:spacing w:line="400" w:lineRule="exact"/>
              <w:ind w:firstLine="420" w:firstLineChars="200"/>
              <w:jc w:val="left"/>
              <w:textAlignment w:val="auto"/>
              <w:rPr>
                <w:rFonts w:ascii="宋体" w:hAnsi="宋体"/>
                <w:kern w:val="0"/>
                <w:szCs w:val="21"/>
              </w:rPr>
            </w:pPr>
            <w:r>
              <w:rPr>
                <w:rFonts w:ascii="宋体" w:hAnsi="宋体"/>
                <w:kern w:val="0"/>
                <w:szCs w:val="21"/>
                <w:u w:val="single"/>
              </w:rPr>
              <w:t xml:space="preserve">                （项目名称）</w:t>
            </w:r>
            <w:r>
              <w:rPr>
                <w:rFonts w:hint="eastAsia" w:ascii="宋体" w:hAnsi="宋体"/>
                <w:kern w:val="0"/>
                <w:szCs w:val="21"/>
                <w:lang w:eastAsia="zh-CN"/>
              </w:rPr>
              <w:t>竞标</w:t>
            </w:r>
            <w:r>
              <w:rPr>
                <w:rFonts w:ascii="宋体" w:hAnsi="宋体"/>
                <w:kern w:val="0"/>
                <w:szCs w:val="21"/>
              </w:rPr>
              <w:t>文件</w:t>
            </w:r>
          </w:p>
          <w:p>
            <w:pPr>
              <w:keepNext w:val="0"/>
              <w:keepLines w:val="0"/>
              <w:pageBreakBefore w:val="0"/>
              <w:kinsoku/>
              <w:overflowPunct/>
              <w:bidi w:val="0"/>
              <w:snapToGrid w:val="0"/>
              <w:spacing w:line="400" w:lineRule="exact"/>
              <w:ind w:firstLine="420" w:firstLineChars="200"/>
              <w:jc w:val="left"/>
              <w:textAlignment w:val="auto"/>
              <w:rPr>
                <w:rFonts w:ascii="宋体" w:hAnsi="宋体"/>
                <w:szCs w:val="21"/>
              </w:rPr>
            </w:pPr>
            <w:r>
              <w:rPr>
                <w:rFonts w:ascii="宋体" w:hAnsi="宋体"/>
                <w:kern w:val="0"/>
                <w:szCs w:val="21"/>
              </w:rPr>
              <w:t>在</w:t>
            </w:r>
            <w:r>
              <w:rPr>
                <w:rFonts w:hint="eastAsia" w:ascii="宋体" w:hAnsi="宋体"/>
                <w:kern w:val="0"/>
                <w:szCs w:val="21"/>
                <w:u w:val="single"/>
              </w:rPr>
              <w:t xml:space="preserve">    </w:t>
            </w:r>
            <w:r>
              <w:rPr>
                <w:rFonts w:ascii="宋体" w:hAnsi="宋体"/>
                <w:kern w:val="0"/>
                <w:szCs w:val="21"/>
              </w:rPr>
              <w:t>年</w:t>
            </w:r>
            <w:r>
              <w:rPr>
                <w:rFonts w:hint="eastAsia" w:ascii="宋体" w:hAnsi="宋体"/>
                <w:kern w:val="0"/>
                <w:szCs w:val="21"/>
                <w:u w:val="single"/>
              </w:rPr>
              <w:t xml:space="preserve">    </w:t>
            </w:r>
            <w:r>
              <w:rPr>
                <w:rFonts w:ascii="宋体" w:hAnsi="宋体"/>
                <w:kern w:val="0"/>
                <w:szCs w:val="21"/>
              </w:rPr>
              <w:t>月</w:t>
            </w:r>
            <w:r>
              <w:rPr>
                <w:rFonts w:hint="eastAsia" w:ascii="宋体" w:hAnsi="宋体"/>
                <w:kern w:val="0"/>
                <w:szCs w:val="21"/>
                <w:u w:val="single"/>
              </w:rPr>
              <w:t xml:space="preserve">    </w:t>
            </w:r>
            <w:r>
              <w:rPr>
                <w:rFonts w:ascii="宋体" w:hAnsi="宋体"/>
                <w:kern w:val="0"/>
                <w:szCs w:val="21"/>
              </w:rPr>
              <w:t>日</w:t>
            </w:r>
            <w:r>
              <w:rPr>
                <w:rFonts w:hint="eastAsia" w:ascii="宋体" w:hAnsi="宋体"/>
                <w:kern w:val="0"/>
                <w:szCs w:val="21"/>
                <w:u w:val="single"/>
              </w:rPr>
              <w:t xml:space="preserve">    </w:t>
            </w:r>
            <w:r>
              <w:rPr>
                <w:rFonts w:ascii="宋体" w:hAnsi="宋体"/>
                <w:kern w:val="0"/>
                <w:szCs w:val="21"/>
              </w:rPr>
              <w:t>时</w:t>
            </w:r>
            <w:r>
              <w:rPr>
                <w:rFonts w:hint="eastAsia" w:ascii="宋体" w:hAnsi="宋体"/>
                <w:kern w:val="0"/>
                <w:szCs w:val="21"/>
                <w:u w:val="single"/>
              </w:rPr>
              <w:t xml:space="preserve">    </w:t>
            </w:r>
            <w:r>
              <w:rPr>
                <w:rFonts w:ascii="宋体" w:hAnsi="宋体"/>
                <w:kern w:val="0"/>
                <w:szCs w:val="21"/>
              </w:rPr>
              <w:t>分前不得开启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keepNext w:val="0"/>
              <w:keepLines w:val="0"/>
              <w:pageBreakBefore w:val="0"/>
              <w:kinsoku/>
              <w:overflowPunct/>
              <w:bidi w:val="0"/>
              <w:snapToGrid w:val="0"/>
              <w:spacing w:line="400" w:lineRule="exact"/>
              <w:jc w:val="center"/>
              <w:textAlignment w:val="auto"/>
              <w:rPr>
                <w:rFonts w:ascii="宋体" w:hAnsi="宋体"/>
                <w:kern w:val="0"/>
                <w:szCs w:val="21"/>
              </w:rPr>
            </w:pPr>
            <w:r>
              <w:rPr>
                <w:rFonts w:ascii="宋体" w:hAnsi="宋体"/>
                <w:kern w:val="0"/>
                <w:szCs w:val="21"/>
              </w:rPr>
              <w:t>4.2.2</w:t>
            </w:r>
          </w:p>
        </w:tc>
        <w:tc>
          <w:tcPr>
            <w:tcW w:w="1644" w:type="dxa"/>
            <w:vAlign w:val="center"/>
          </w:tcPr>
          <w:p>
            <w:pPr>
              <w:keepNext w:val="0"/>
              <w:keepLines w:val="0"/>
              <w:pageBreakBefore w:val="0"/>
              <w:kinsoku/>
              <w:overflowPunct/>
              <w:bidi w:val="0"/>
              <w:snapToGrid w:val="0"/>
              <w:spacing w:line="400" w:lineRule="exact"/>
              <w:jc w:val="center"/>
              <w:textAlignment w:val="auto"/>
              <w:rPr>
                <w:rFonts w:ascii="宋体" w:hAnsi="宋体"/>
                <w:kern w:val="0"/>
                <w:szCs w:val="21"/>
              </w:rPr>
            </w:pPr>
            <w:r>
              <w:rPr>
                <w:rFonts w:ascii="宋体" w:hAnsi="宋体"/>
                <w:kern w:val="0"/>
                <w:szCs w:val="21"/>
              </w:rPr>
              <w:t>递交</w:t>
            </w:r>
            <w:r>
              <w:rPr>
                <w:rFonts w:hint="eastAsia" w:ascii="宋体" w:hAnsi="宋体"/>
                <w:kern w:val="0"/>
                <w:szCs w:val="21"/>
                <w:lang w:eastAsia="zh-CN"/>
              </w:rPr>
              <w:t>竞标</w:t>
            </w:r>
            <w:r>
              <w:rPr>
                <w:rFonts w:ascii="宋体" w:hAnsi="宋体"/>
                <w:kern w:val="0"/>
                <w:szCs w:val="21"/>
              </w:rPr>
              <w:t>文件地点</w:t>
            </w:r>
          </w:p>
        </w:tc>
        <w:tc>
          <w:tcPr>
            <w:tcW w:w="6490" w:type="dxa"/>
            <w:vAlign w:val="center"/>
          </w:tcPr>
          <w:p>
            <w:pPr>
              <w:keepNext w:val="0"/>
              <w:keepLines w:val="0"/>
              <w:pageBreakBefore w:val="0"/>
              <w:tabs>
                <w:tab w:val="left" w:pos="3840"/>
                <w:tab w:val="left" w:pos="5300"/>
              </w:tabs>
              <w:kinsoku/>
              <w:overflowPunct/>
              <w:autoSpaceDE w:val="0"/>
              <w:autoSpaceDN w:val="0"/>
              <w:bidi w:val="0"/>
              <w:adjustRightInd w:val="0"/>
              <w:snapToGrid w:val="0"/>
              <w:spacing w:line="400" w:lineRule="exact"/>
              <w:ind w:firstLine="420" w:firstLineChars="200"/>
              <w:jc w:val="left"/>
              <w:textAlignment w:val="auto"/>
              <w:rPr>
                <w:rFonts w:ascii="宋体" w:hAnsi="宋体"/>
                <w:bCs/>
                <w:szCs w:val="21"/>
              </w:rPr>
            </w:pPr>
            <w:r>
              <w:rPr>
                <w:rFonts w:hint="eastAsia" w:ascii="宋体" w:hAnsi="宋体" w:cs="宋体"/>
                <w:bCs/>
                <w:szCs w:val="21"/>
              </w:rPr>
              <w:t>重庆市渝中区公共资源交易中心（重庆市渝中区和平路192号2楼）开标室（具体开标室以递交文件当日交易中心大厅电子显示屏为准）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keepNext w:val="0"/>
              <w:keepLines w:val="0"/>
              <w:pageBreakBefore w:val="0"/>
              <w:kinsoku/>
              <w:overflowPunct/>
              <w:bidi w:val="0"/>
              <w:snapToGrid w:val="0"/>
              <w:spacing w:line="400" w:lineRule="exact"/>
              <w:jc w:val="center"/>
              <w:textAlignment w:val="auto"/>
              <w:rPr>
                <w:rFonts w:ascii="宋体" w:hAnsi="宋体"/>
                <w:kern w:val="0"/>
                <w:szCs w:val="21"/>
              </w:rPr>
            </w:pPr>
            <w:r>
              <w:rPr>
                <w:rFonts w:ascii="宋体" w:hAnsi="宋体"/>
                <w:kern w:val="0"/>
                <w:szCs w:val="21"/>
              </w:rPr>
              <w:t>4.2.3</w:t>
            </w:r>
          </w:p>
        </w:tc>
        <w:tc>
          <w:tcPr>
            <w:tcW w:w="1644" w:type="dxa"/>
            <w:vAlign w:val="center"/>
          </w:tcPr>
          <w:p>
            <w:pPr>
              <w:keepNext w:val="0"/>
              <w:keepLines w:val="0"/>
              <w:pageBreakBefore w:val="0"/>
              <w:kinsoku/>
              <w:overflowPunct/>
              <w:bidi w:val="0"/>
              <w:snapToGrid w:val="0"/>
              <w:spacing w:line="400" w:lineRule="exact"/>
              <w:jc w:val="center"/>
              <w:textAlignment w:val="auto"/>
              <w:rPr>
                <w:rFonts w:ascii="宋体" w:hAnsi="宋体"/>
                <w:kern w:val="0"/>
                <w:szCs w:val="21"/>
              </w:rPr>
            </w:pPr>
            <w:r>
              <w:rPr>
                <w:rFonts w:ascii="宋体" w:hAnsi="宋体"/>
                <w:kern w:val="0"/>
                <w:szCs w:val="21"/>
              </w:rPr>
              <w:t>是否退还</w:t>
            </w:r>
            <w:r>
              <w:rPr>
                <w:rFonts w:hint="eastAsia" w:ascii="宋体" w:hAnsi="宋体"/>
                <w:kern w:val="0"/>
                <w:szCs w:val="21"/>
                <w:lang w:eastAsia="zh-CN"/>
              </w:rPr>
              <w:t>竞标</w:t>
            </w:r>
            <w:r>
              <w:rPr>
                <w:rFonts w:ascii="宋体" w:hAnsi="宋体"/>
                <w:kern w:val="0"/>
                <w:szCs w:val="21"/>
              </w:rPr>
              <w:t>文件</w:t>
            </w:r>
          </w:p>
        </w:tc>
        <w:tc>
          <w:tcPr>
            <w:tcW w:w="6490" w:type="dxa"/>
            <w:vAlign w:val="center"/>
          </w:tcPr>
          <w:p>
            <w:pPr>
              <w:keepNext w:val="0"/>
              <w:keepLines w:val="0"/>
              <w:pageBreakBefore w:val="0"/>
              <w:kinsoku/>
              <w:overflowPunct/>
              <w:bidi w:val="0"/>
              <w:snapToGrid w:val="0"/>
              <w:spacing w:line="400" w:lineRule="exact"/>
              <w:ind w:firstLine="420" w:firstLineChars="200"/>
              <w:jc w:val="left"/>
              <w:textAlignment w:val="auto"/>
              <w:rPr>
                <w:rFonts w:ascii="宋体" w:hAnsi="宋体"/>
                <w:kern w:val="0"/>
                <w:szCs w:val="21"/>
              </w:rPr>
            </w:pPr>
            <w:r>
              <w:rPr>
                <w:rFonts w:ascii="宋体" w:hAnsi="宋体"/>
                <w:kern w:val="0"/>
                <w:szCs w:val="21"/>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keepNext w:val="0"/>
              <w:keepLines w:val="0"/>
              <w:pageBreakBefore w:val="0"/>
              <w:kinsoku/>
              <w:overflowPunct/>
              <w:bidi w:val="0"/>
              <w:snapToGrid w:val="0"/>
              <w:spacing w:line="400" w:lineRule="exact"/>
              <w:jc w:val="center"/>
              <w:textAlignment w:val="auto"/>
              <w:rPr>
                <w:rFonts w:ascii="宋体" w:hAnsi="宋体"/>
                <w:kern w:val="0"/>
                <w:szCs w:val="21"/>
              </w:rPr>
            </w:pPr>
            <w:r>
              <w:rPr>
                <w:rFonts w:ascii="宋体" w:hAnsi="宋体"/>
                <w:kern w:val="0"/>
                <w:szCs w:val="21"/>
              </w:rPr>
              <w:t>5.1</w:t>
            </w:r>
            <w:r>
              <w:rPr>
                <w:rFonts w:hint="eastAsia" w:ascii="宋体" w:hAnsi="宋体"/>
                <w:kern w:val="0"/>
                <w:szCs w:val="21"/>
              </w:rPr>
              <w:t>.1</w:t>
            </w:r>
          </w:p>
        </w:tc>
        <w:tc>
          <w:tcPr>
            <w:tcW w:w="1644" w:type="dxa"/>
            <w:vAlign w:val="center"/>
          </w:tcPr>
          <w:p>
            <w:pPr>
              <w:keepNext w:val="0"/>
              <w:keepLines w:val="0"/>
              <w:pageBreakBefore w:val="0"/>
              <w:kinsoku/>
              <w:overflowPunct/>
              <w:bidi w:val="0"/>
              <w:snapToGrid w:val="0"/>
              <w:spacing w:line="400" w:lineRule="exact"/>
              <w:jc w:val="center"/>
              <w:textAlignment w:val="auto"/>
              <w:rPr>
                <w:rFonts w:ascii="宋体" w:hAnsi="宋体"/>
                <w:kern w:val="0"/>
                <w:szCs w:val="21"/>
              </w:rPr>
            </w:pPr>
            <w:r>
              <w:rPr>
                <w:rFonts w:hint="eastAsia" w:ascii="宋体" w:hAnsi="宋体"/>
                <w:kern w:val="0"/>
                <w:szCs w:val="21"/>
              </w:rPr>
              <w:t>比选</w:t>
            </w:r>
            <w:r>
              <w:rPr>
                <w:rFonts w:ascii="宋体" w:hAnsi="宋体"/>
                <w:kern w:val="0"/>
                <w:szCs w:val="21"/>
              </w:rPr>
              <w:t>时间和</w:t>
            </w:r>
          </w:p>
          <w:p>
            <w:pPr>
              <w:keepNext w:val="0"/>
              <w:keepLines w:val="0"/>
              <w:pageBreakBefore w:val="0"/>
              <w:kinsoku/>
              <w:overflowPunct/>
              <w:bidi w:val="0"/>
              <w:snapToGrid w:val="0"/>
              <w:spacing w:line="400" w:lineRule="exact"/>
              <w:jc w:val="center"/>
              <w:textAlignment w:val="auto"/>
              <w:rPr>
                <w:rFonts w:ascii="宋体" w:hAnsi="宋体"/>
                <w:kern w:val="0"/>
                <w:szCs w:val="21"/>
              </w:rPr>
            </w:pPr>
            <w:r>
              <w:rPr>
                <w:rFonts w:ascii="宋体" w:hAnsi="宋体"/>
                <w:kern w:val="0"/>
                <w:szCs w:val="21"/>
              </w:rPr>
              <w:t>地点</w:t>
            </w:r>
          </w:p>
        </w:tc>
        <w:tc>
          <w:tcPr>
            <w:tcW w:w="6490" w:type="dxa"/>
            <w:vAlign w:val="center"/>
          </w:tcPr>
          <w:p>
            <w:pPr>
              <w:keepNext w:val="0"/>
              <w:keepLines w:val="0"/>
              <w:pageBreakBefore w:val="0"/>
              <w:kinsoku/>
              <w:overflowPunct/>
              <w:bidi w:val="0"/>
              <w:snapToGrid w:val="0"/>
              <w:spacing w:line="400" w:lineRule="exact"/>
              <w:ind w:firstLine="420" w:firstLineChars="200"/>
              <w:jc w:val="left"/>
              <w:textAlignment w:val="auto"/>
              <w:rPr>
                <w:rFonts w:ascii="宋体" w:hAnsi="宋体"/>
                <w:kern w:val="0"/>
                <w:szCs w:val="21"/>
              </w:rPr>
            </w:pPr>
            <w:r>
              <w:rPr>
                <w:rFonts w:ascii="宋体" w:hAnsi="宋体"/>
                <w:kern w:val="0"/>
                <w:szCs w:val="21"/>
              </w:rPr>
              <w:t>开标时间：同</w:t>
            </w:r>
            <w:r>
              <w:rPr>
                <w:rFonts w:hint="eastAsia" w:ascii="宋体" w:hAnsi="宋体"/>
                <w:kern w:val="0"/>
                <w:szCs w:val="21"/>
                <w:lang w:val="en-US" w:eastAsia="zh-CN"/>
              </w:rPr>
              <w:t>竞标</w:t>
            </w:r>
            <w:r>
              <w:rPr>
                <w:rFonts w:ascii="宋体" w:hAnsi="宋体"/>
                <w:kern w:val="0"/>
                <w:szCs w:val="21"/>
              </w:rPr>
              <w:t>截止时间</w:t>
            </w:r>
          </w:p>
          <w:p>
            <w:pPr>
              <w:keepNext w:val="0"/>
              <w:keepLines w:val="0"/>
              <w:pageBreakBefore w:val="0"/>
              <w:kinsoku/>
              <w:overflowPunct/>
              <w:bidi w:val="0"/>
              <w:snapToGrid w:val="0"/>
              <w:spacing w:line="400" w:lineRule="exact"/>
              <w:ind w:firstLine="420" w:firstLineChars="200"/>
              <w:jc w:val="left"/>
              <w:textAlignment w:val="auto"/>
              <w:rPr>
                <w:rFonts w:ascii="宋体" w:hAnsi="宋体"/>
                <w:bCs/>
                <w:szCs w:val="21"/>
              </w:rPr>
            </w:pPr>
            <w:r>
              <w:rPr>
                <w:rFonts w:ascii="宋体" w:hAnsi="宋体"/>
                <w:kern w:val="0"/>
                <w:szCs w:val="21"/>
              </w:rPr>
              <w:t>开标地点：</w:t>
            </w:r>
            <w:r>
              <w:rPr>
                <w:rFonts w:hint="eastAsia" w:ascii="宋体" w:hAnsi="宋体" w:cs="宋体"/>
                <w:bCs/>
                <w:szCs w:val="21"/>
              </w:rPr>
              <w:t>重庆市渝中区公共资源交易中心（重庆市渝中区和平路192号2楼）开标室（具体开标室以递交文件当日交易中心大厅电子显示屏为准）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keepNext w:val="0"/>
              <w:keepLines w:val="0"/>
              <w:pageBreakBefore w:val="0"/>
              <w:kinsoku/>
              <w:overflowPunct/>
              <w:bidi w:val="0"/>
              <w:snapToGrid w:val="0"/>
              <w:spacing w:line="400" w:lineRule="exact"/>
              <w:jc w:val="center"/>
              <w:textAlignment w:val="auto"/>
              <w:rPr>
                <w:rFonts w:ascii="宋体" w:hAnsi="宋体"/>
                <w:szCs w:val="21"/>
              </w:rPr>
            </w:pPr>
            <w:r>
              <w:rPr>
                <w:rFonts w:hint="eastAsia" w:ascii="宋体" w:hAnsi="宋体"/>
                <w:szCs w:val="21"/>
              </w:rPr>
              <w:t>5.2</w:t>
            </w:r>
          </w:p>
        </w:tc>
        <w:tc>
          <w:tcPr>
            <w:tcW w:w="1644" w:type="dxa"/>
            <w:vAlign w:val="center"/>
          </w:tcPr>
          <w:p>
            <w:pPr>
              <w:keepNext w:val="0"/>
              <w:keepLines w:val="0"/>
              <w:pageBreakBefore w:val="0"/>
              <w:kinsoku/>
              <w:overflowPunct/>
              <w:bidi w:val="0"/>
              <w:snapToGrid w:val="0"/>
              <w:spacing w:line="400" w:lineRule="exact"/>
              <w:jc w:val="center"/>
              <w:textAlignment w:val="auto"/>
              <w:rPr>
                <w:rFonts w:ascii="宋体" w:hAnsi="宋体"/>
                <w:szCs w:val="21"/>
              </w:rPr>
            </w:pPr>
            <w:r>
              <w:rPr>
                <w:rFonts w:hint="eastAsia" w:ascii="宋体" w:hAnsi="宋体"/>
                <w:szCs w:val="21"/>
              </w:rPr>
              <w:t>比选程序</w:t>
            </w:r>
          </w:p>
        </w:tc>
        <w:tc>
          <w:tcPr>
            <w:tcW w:w="6490" w:type="dxa"/>
            <w:vAlign w:val="center"/>
          </w:tcPr>
          <w:p>
            <w:pPr>
              <w:keepNext w:val="0"/>
              <w:keepLines w:val="0"/>
              <w:pageBreakBefore w:val="0"/>
              <w:kinsoku/>
              <w:overflowPunct/>
              <w:autoSpaceDE w:val="0"/>
              <w:autoSpaceDN w:val="0"/>
              <w:bidi w:val="0"/>
              <w:adjustRightInd w:val="0"/>
              <w:snapToGrid w:val="0"/>
              <w:spacing w:line="400" w:lineRule="exact"/>
              <w:ind w:firstLine="420" w:firstLineChars="200"/>
              <w:jc w:val="left"/>
              <w:textAlignment w:val="auto"/>
              <w:rPr>
                <w:rFonts w:ascii="宋体" w:hAnsi="宋体" w:cs="宋体"/>
                <w:kern w:val="0"/>
                <w:szCs w:val="21"/>
              </w:rPr>
            </w:pPr>
            <w:r>
              <w:rPr>
                <w:rFonts w:hint="eastAsia" w:ascii="宋体" w:hAnsi="宋体" w:cs="宋体"/>
                <w:kern w:val="0"/>
                <w:szCs w:val="21"/>
              </w:rPr>
              <w:t>1</w:t>
            </w:r>
            <w:r>
              <w:rPr>
                <w:rFonts w:hint="eastAsia" w:ascii="宋体" w:hAnsi="宋体" w:cs="宋体"/>
                <w:kern w:val="0"/>
                <w:szCs w:val="21"/>
                <w:lang w:eastAsia="zh-CN"/>
              </w:rPr>
              <w:t>、</w:t>
            </w:r>
            <w:r>
              <w:rPr>
                <w:rFonts w:hint="eastAsia" w:ascii="宋体" w:hAnsi="宋体" w:cs="宋体"/>
                <w:kern w:val="0"/>
                <w:szCs w:val="21"/>
              </w:rPr>
              <w:t>主持人按下列程序进行比选：</w:t>
            </w:r>
          </w:p>
          <w:p>
            <w:pPr>
              <w:keepNext w:val="0"/>
              <w:keepLines w:val="0"/>
              <w:pageBreakBefore w:val="0"/>
              <w:kinsoku/>
              <w:overflowPunct/>
              <w:bidi w:val="0"/>
              <w:snapToGrid w:val="0"/>
              <w:spacing w:line="400" w:lineRule="exact"/>
              <w:ind w:firstLine="420" w:firstLineChars="200"/>
              <w:jc w:val="left"/>
              <w:textAlignment w:val="auto"/>
              <w:rPr>
                <w:rFonts w:ascii="宋体" w:hAnsi="宋体" w:cs="宋体"/>
                <w:kern w:val="0"/>
                <w:szCs w:val="21"/>
              </w:rPr>
            </w:pPr>
            <w:r>
              <w:rPr>
                <w:rFonts w:hint="eastAsia" w:ascii="宋体" w:hAnsi="宋体" w:cs="宋体"/>
                <w:kern w:val="0"/>
                <w:szCs w:val="21"/>
              </w:rPr>
              <w:t>2</w:t>
            </w:r>
            <w:r>
              <w:rPr>
                <w:rFonts w:hint="eastAsia" w:ascii="宋体" w:hAnsi="宋体" w:cs="宋体"/>
                <w:kern w:val="0"/>
                <w:szCs w:val="21"/>
                <w:lang w:eastAsia="zh-CN"/>
              </w:rPr>
              <w:t>、</w:t>
            </w:r>
            <w:r>
              <w:rPr>
                <w:rFonts w:hint="eastAsia" w:ascii="宋体" w:hAnsi="宋体" w:cs="宋体"/>
                <w:kern w:val="0"/>
                <w:szCs w:val="21"/>
              </w:rPr>
              <w:t>宣布开标人、唱标人、记录人、监标人有关人员姓名；</w:t>
            </w:r>
          </w:p>
          <w:p>
            <w:pPr>
              <w:keepNext w:val="0"/>
              <w:keepLines w:val="0"/>
              <w:pageBreakBefore w:val="0"/>
              <w:kinsoku/>
              <w:overflowPunct/>
              <w:bidi w:val="0"/>
              <w:snapToGrid w:val="0"/>
              <w:spacing w:line="400" w:lineRule="exact"/>
              <w:ind w:firstLine="420" w:firstLineChars="200"/>
              <w:jc w:val="left"/>
              <w:textAlignment w:val="auto"/>
              <w:rPr>
                <w:rFonts w:ascii="宋体" w:hAnsi="宋体" w:cs="宋体"/>
                <w:kern w:val="0"/>
                <w:szCs w:val="21"/>
              </w:rPr>
            </w:pPr>
            <w:r>
              <w:rPr>
                <w:rFonts w:hint="eastAsia" w:ascii="宋体" w:hAnsi="宋体" w:cs="宋体"/>
                <w:kern w:val="0"/>
                <w:szCs w:val="21"/>
              </w:rPr>
              <w:t>3</w:t>
            </w:r>
            <w:r>
              <w:rPr>
                <w:rFonts w:hint="eastAsia" w:ascii="宋体" w:hAnsi="宋体" w:cs="宋体"/>
                <w:kern w:val="0"/>
                <w:szCs w:val="21"/>
                <w:lang w:eastAsia="zh-CN"/>
              </w:rPr>
              <w:t>、</w:t>
            </w:r>
            <w:r>
              <w:rPr>
                <w:rFonts w:hint="eastAsia" w:ascii="宋体" w:hAnsi="宋体" w:cs="宋体"/>
                <w:kern w:val="0"/>
                <w:szCs w:val="21"/>
              </w:rPr>
              <w:t>宣布比选纪律；</w:t>
            </w:r>
          </w:p>
          <w:p>
            <w:pPr>
              <w:keepNext w:val="0"/>
              <w:keepLines w:val="0"/>
              <w:pageBreakBefore w:val="0"/>
              <w:kinsoku/>
              <w:overflowPunct/>
              <w:bidi w:val="0"/>
              <w:snapToGrid w:val="0"/>
              <w:spacing w:line="400" w:lineRule="exact"/>
              <w:ind w:firstLine="420" w:firstLineChars="200"/>
              <w:jc w:val="left"/>
              <w:textAlignment w:val="auto"/>
              <w:rPr>
                <w:rFonts w:ascii="宋体" w:hAnsi="宋体" w:cs="宋体"/>
                <w:kern w:val="0"/>
                <w:szCs w:val="21"/>
              </w:rPr>
            </w:pPr>
            <w:r>
              <w:rPr>
                <w:rFonts w:hint="eastAsia" w:ascii="宋体" w:hAnsi="宋体" w:cs="宋体"/>
                <w:kern w:val="0"/>
                <w:szCs w:val="21"/>
              </w:rPr>
              <w:t>4</w:t>
            </w:r>
            <w:r>
              <w:rPr>
                <w:rFonts w:hint="eastAsia" w:ascii="宋体" w:hAnsi="宋体" w:cs="宋体"/>
                <w:kern w:val="0"/>
                <w:szCs w:val="21"/>
                <w:lang w:eastAsia="zh-CN"/>
              </w:rPr>
              <w:t>、</w:t>
            </w:r>
            <w:r>
              <w:rPr>
                <w:rFonts w:hint="eastAsia" w:ascii="宋体" w:hAnsi="宋体" w:cs="宋体"/>
                <w:kern w:val="0"/>
                <w:szCs w:val="21"/>
              </w:rPr>
              <w:t>公布在</w:t>
            </w:r>
            <w:r>
              <w:rPr>
                <w:rFonts w:hint="eastAsia" w:ascii="宋体" w:hAnsi="宋体" w:cs="宋体"/>
                <w:kern w:val="0"/>
                <w:szCs w:val="21"/>
                <w:lang w:eastAsia="zh-CN"/>
              </w:rPr>
              <w:t>竞标</w:t>
            </w:r>
            <w:r>
              <w:rPr>
                <w:rFonts w:hint="eastAsia" w:ascii="宋体" w:hAnsi="宋体" w:cs="宋体"/>
                <w:kern w:val="0"/>
                <w:szCs w:val="21"/>
              </w:rPr>
              <w:t>截止时间前递交</w:t>
            </w:r>
            <w:r>
              <w:rPr>
                <w:rFonts w:hint="eastAsia" w:ascii="宋体" w:hAnsi="宋体" w:cs="宋体"/>
                <w:kern w:val="0"/>
                <w:szCs w:val="21"/>
                <w:lang w:eastAsia="zh-CN"/>
              </w:rPr>
              <w:t>竞标</w:t>
            </w:r>
            <w:r>
              <w:rPr>
                <w:rFonts w:hint="eastAsia" w:ascii="宋体" w:hAnsi="宋体" w:cs="宋体"/>
                <w:kern w:val="0"/>
                <w:szCs w:val="21"/>
              </w:rPr>
              <w:t>文件的</w:t>
            </w:r>
            <w:r>
              <w:rPr>
                <w:rFonts w:hint="eastAsia" w:ascii="宋体" w:hAnsi="宋体" w:cs="宋体"/>
                <w:kern w:val="0"/>
                <w:szCs w:val="21"/>
                <w:lang w:eastAsia="zh-CN"/>
              </w:rPr>
              <w:t>竞标</w:t>
            </w:r>
            <w:r>
              <w:rPr>
                <w:rFonts w:hint="eastAsia" w:ascii="宋体" w:hAnsi="宋体" w:cs="宋体"/>
                <w:kern w:val="0"/>
                <w:szCs w:val="21"/>
              </w:rPr>
              <w:t>人名单，并点名确认</w:t>
            </w:r>
            <w:r>
              <w:rPr>
                <w:rFonts w:hint="eastAsia" w:ascii="宋体" w:hAnsi="宋体" w:cs="宋体"/>
                <w:kern w:val="0"/>
                <w:szCs w:val="21"/>
                <w:lang w:eastAsia="zh-CN"/>
              </w:rPr>
              <w:t>竞标</w:t>
            </w:r>
            <w:r>
              <w:rPr>
                <w:rFonts w:hint="eastAsia" w:ascii="宋体" w:hAnsi="宋体" w:cs="宋体"/>
                <w:kern w:val="0"/>
                <w:szCs w:val="21"/>
              </w:rPr>
              <w:t>人是否派人到场；若</w:t>
            </w:r>
            <w:r>
              <w:rPr>
                <w:rFonts w:hint="eastAsia" w:ascii="宋体" w:hAnsi="宋体" w:cs="宋体"/>
                <w:kern w:val="0"/>
                <w:szCs w:val="21"/>
                <w:lang w:eastAsia="zh-CN"/>
              </w:rPr>
              <w:t>竞标</w:t>
            </w:r>
            <w:r>
              <w:rPr>
                <w:rFonts w:hint="eastAsia" w:ascii="宋体" w:hAnsi="宋体" w:cs="宋体"/>
                <w:kern w:val="0"/>
                <w:szCs w:val="21"/>
              </w:rPr>
              <w:t>人未派法定代表人或委托代理人到场，则</w:t>
            </w:r>
            <w:r>
              <w:rPr>
                <w:rFonts w:hint="eastAsia" w:ascii="宋体" w:hAnsi="宋体" w:cs="宋体"/>
                <w:kern w:val="0"/>
                <w:szCs w:val="21"/>
                <w:lang w:eastAsia="zh-CN"/>
              </w:rPr>
              <w:t>竞标</w:t>
            </w:r>
            <w:r>
              <w:rPr>
                <w:rFonts w:hint="eastAsia" w:ascii="宋体" w:hAnsi="宋体" w:cs="宋体"/>
                <w:kern w:val="0"/>
                <w:szCs w:val="21"/>
              </w:rPr>
              <w:t xml:space="preserve">文件无效。 </w:t>
            </w:r>
          </w:p>
          <w:p>
            <w:pPr>
              <w:keepNext w:val="0"/>
              <w:keepLines w:val="0"/>
              <w:pageBreakBefore w:val="0"/>
              <w:kinsoku/>
              <w:overflowPunct/>
              <w:bidi w:val="0"/>
              <w:snapToGrid w:val="0"/>
              <w:spacing w:line="400" w:lineRule="exact"/>
              <w:ind w:firstLine="420" w:firstLineChars="200"/>
              <w:jc w:val="left"/>
              <w:textAlignment w:val="auto"/>
              <w:rPr>
                <w:rFonts w:ascii="宋体" w:hAnsi="宋体" w:cs="宋体"/>
                <w:kern w:val="0"/>
                <w:szCs w:val="21"/>
              </w:rPr>
            </w:pPr>
            <w:r>
              <w:rPr>
                <w:rFonts w:hint="eastAsia" w:ascii="宋体" w:hAnsi="宋体" w:cs="宋体"/>
                <w:kern w:val="0"/>
                <w:szCs w:val="21"/>
              </w:rPr>
              <w:t>5</w:t>
            </w:r>
            <w:r>
              <w:rPr>
                <w:rFonts w:hint="eastAsia" w:ascii="宋体" w:hAnsi="宋体" w:cs="宋体"/>
                <w:kern w:val="0"/>
                <w:szCs w:val="21"/>
                <w:lang w:eastAsia="zh-CN"/>
              </w:rPr>
              <w:t>、</w:t>
            </w:r>
            <w:r>
              <w:rPr>
                <w:rFonts w:hint="eastAsia" w:ascii="宋体" w:hAnsi="宋体" w:cs="宋体"/>
                <w:kern w:val="0"/>
                <w:szCs w:val="21"/>
              </w:rPr>
              <w:t>核验参加比选会议的</w:t>
            </w:r>
            <w:r>
              <w:rPr>
                <w:rFonts w:hint="eastAsia" w:ascii="宋体" w:hAnsi="宋体" w:cs="宋体"/>
                <w:kern w:val="0"/>
                <w:szCs w:val="21"/>
                <w:lang w:eastAsia="zh-CN"/>
              </w:rPr>
              <w:t>竞标</w:t>
            </w:r>
            <w:r>
              <w:rPr>
                <w:rFonts w:hint="eastAsia" w:ascii="宋体" w:hAnsi="宋体" w:cs="宋体"/>
                <w:kern w:val="0"/>
                <w:szCs w:val="21"/>
              </w:rPr>
              <w:t>人的法定代表人或委托代理人本人身份证（原件），授权委托人参与比选的应提供法定代表人身份证明（原件）及授权委托书（原件）。若法定代表人参与比选的应提供法定代表人身份证明（原件），以确认其身份合法有效，不按要求提供或提供不完整，否则由比选人当场退还其</w:t>
            </w:r>
            <w:r>
              <w:rPr>
                <w:rFonts w:hint="eastAsia" w:ascii="宋体" w:hAnsi="宋体" w:cs="宋体"/>
                <w:kern w:val="0"/>
                <w:szCs w:val="21"/>
                <w:lang w:eastAsia="zh-CN"/>
              </w:rPr>
              <w:t>竞标</w:t>
            </w:r>
            <w:r>
              <w:rPr>
                <w:rFonts w:hint="eastAsia" w:ascii="宋体" w:hAnsi="宋体" w:cs="宋体"/>
                <w:kern w:val="0"/>
                <w:szCs w:val="21"/>
              </w:rPr>
              <w:t>文件。</w:t>
            </w:r>
          </w:p>
          <w:p>
            <w:pPr>
              <w:keepNext w:val="0"/>
              <w:keepLines w:val="0"/>
              <w:pageBreakBefore w:val="0"/>
              <w:kinsoku/>
              <w:overflowPunct/>
              <w:bidi w:val="0"/>
              <w:snapToGrid w:val="0"/>
              <w:spacing w:line="400" w:lineRule="exact"/>
              <w:ind w:firstLine="420" w:firstLineChars="200"/>
              <w:jc w:val="left"/>
              <w:textAlignment w:val="auto"/>
              <w:rPr>
                <w:rFonts w:ascii="宋体" w:hAnsi="宋体" w:cs="宋体"/>
                <w:kern w:val="0"/>
                <w:szCs w:val="21"/>
              </w:rPr>
            </w:pPr>
            <w:r>
              <w:rPr>
                <w:rFonts w:hint="eastAsia" w:ascii="宋体" w:hAnsi="宋体" w:cs="宋体"/>
                <w:kern w:val="0"/>
                <w:szCs w:val="21"/>
              </w:rPr>
              <w:t>注：以上所有手持证明文件每页必须加盖</w:t>
            </w:r>
            <w:r>
              <w:rPr>
                <w:rFonts w:hint="eastAsia" w:ascii="宋体" w:hAnsi="宋体" w:cs="宋体"/>
                <w:kern w:val="0"/>
                <w:szCs w:val="21"/>
                <w:lang w:eastAsia="zh-CN"/>
              </w:rPr>
              <w:t>竞标</w:t>
            </w:r>
            <w:r>
              <w:rPr>
                <w:rFonts w:hint="eastAsia" w:ascii="宋体" w:hAnsi="宋体" w:cs="宋体"/>
                <w:kern w:val="0"/>
                <w:szCs w:val="21"/>
                <w:lang w:val="en-US" w:eastAsia="zh-CN"/>
              </w:rPr>
              <w:t>人单位法人</w:t>
            </w:r>
            <w:r>
              <w:rPr>
                <w:rFonts w:hint="eastAsia" w:ascii="宋体" w:hAnsi="宋体" w:cs="宋体"/>
                <w:kern w:val="0"/>
                <w:szCs w:val="21"/>
              </w:rPr>
              <w:t>章（鲜章）,内容和公章清晰可辨,并且</w:t>
            </w:r>
            <w:r>
              <w:rPr>
                <w:rFonts w:hint="eastAsia" w:ascii="宋体" w:hAnsi="宋体" w:cs="宋体"/>
                <w:kern w:val="0"/>
                <w:szCs w:val="21"/>
                <w:lang w:val="en-US" w:eastAsia="zh-CN"/>
              </w:rPr>
              <w:t>单位法人</w:t>
            </w:r>
            <w:r>
              <w:rPr>
                <w:rFonts w:hint="eastAsia" w:ascii="宋体" w:hAnsi="宋体" w:cs="宋体"/>
                <w:kern w:val="0"/>
                <w:szCs w:val="21"/>
              </w:rPr>
              <w:t>章必须完整，若</w:t>
            </w:r>
            <w:r>
              <w:rPr>
                <w:rFonts w:hint="eastAsia" w:ascii="宋体" w:hAnsi="宋体" w:cs="宋体"/>
                <w:kern w:val="0"/>
                <w:szCs w:val="21"/>
                <w:lang w:eastAsia="zh-CN"/>
              </w:rPr>
              <w:t>竞标</w:t>
            </w:r>
            <w:r>
              <w:rPr>
                <w:rFonts w:hint="eastAsia" w:ascii="宋体" w:hAnsi="宋体" w:cs="宋体"/>
                <w:kern w:val="0"/>
                <w:szCs w:val="21"/>
              </w:rPr>
              <w:t>人提供的证明文件内容不清晰、不完整，当场退还其</w:t>
            </w:r>
            <w:r>
              <w:rPr>
                <w:rFonts w:hint="eastAsia" w:ascii="宋体" w:hAnsi="宋体" w:cs="宋体"/>
                <w:kern w:val="0"/>
                <w:szCs w:val="21"/>
                <w:lang w:eastAsia="zh-CN"/>
              </w:rPr>
              <w:t>竞标</w:t>
            </w:r>
            <w:r>
              <w:rPr>
                <w:rFonts w:hint="eastAsia" w:ascii="宋体" w:hAnsi="宋体" w:cs="宋体"/>
                <w:kern w:val="0"/>
                <w:szCs w:val="21"/>
              </w:rPr>
              <w:t>文件。</w:t>
            </w:r>
          </w:p>
          <w:p>
            <w:pPr>
              <w:keepNext w:val="0"/>
              <w:keepLines w:val="0"/>
              <w:pageBreakBefore w:val="0"/>
              <w:kinsoku/>
              <w:overflowPunct/>
              <w:bidi w:val="0"/>
              <w:snapToGrid w:val="0"/>
              <w:spacing w:line="400" w:lineRule="exact"/>
              <w:ind w:firstLine="420" w:firstLineChars="200"/>
              <w:jc w:val="left"/>
              <w:textAlignment w:val="auto"/>
              <w:rPr>
                <w:rFonts w:ascii="宋体" w:hAnsi="宋体" w:cs="宋体"/>
                <w:kern w:val="0"/>
                <w:szCs w:val="21"/>
              </w:rPr>
            </w:pPr>
            <w:r>
              <w:rPr>
                <w:rFonts w:hint="eastAsia" w:ascii="宋体" w:hAnsi="宋体" w:cs="宋体"/>
                <w:kern w:val="0"/>
                <w:szCs w:val="21"/>
              </w:rPr>
              <w:t>6</w:t>
            </w:r>
            <w:r>
              <w:rPr>
                <w:rFonts w:hint="eastAsia" w:ascii="宋体" w:hAnsi="宋体" w:cs="宋体"/>
                <w:kern w:val="0"/>
                <w:szCs w:val="21"/>
                <w:lang w:eastAsia="zh-CN"/>
              </w:rPr>
              <w:t>、</w:t>
            </w:r>
            <w:r>
              <w:rPr>
                <w:rFonts w:hint="eastAsia" w:ascii="宋体" w:hAnsi="宋体" w:cs="宋体"/>
                <w:kern w:val="0"/>
                <w:szCs w:val="21"/>
              </w:rPr>
              <w:t>设有最高限价的，公布最高限价；</w:t>
            </w:r>
          </w:p>
          <w:p>
            <w:pPr>
              <w:keepNext w:val="0"/>
              <w:keepLines w:val="0"/>
              <w:pageBreakBefore w:val="0"/>
              <w:kinsoku/>
              <w:overflowPunct/>
              <w:bidi w:val="0"/>
              <w:snapToGrid w:val="0"/>
              <w:spacing w:line="400" w:lineRule="exact"/>
              <w:ind w:firstLine="420" w:firstLineChars="200"/>
              <w:jc w:val="left"/>
              <w:textAlignment w:val="auto"/>
              <w:rPr>
                <w:rFonts w:ascii="宋体" w:hAnsi="宋体" w:cs="宋体"/>
                <w:kern w:val="0"/>
                <w:szCs w:val="21"/>
              </w:rPr>
            </w:pPr>
            <w:r>
              <w:rPr>
                <w:rFonts w:hint="eastAsia" w:ascii="宋体" w:hAnsi="宋体" w:cs="宋体"/>
                <w:kern w:val="0"/>
                <w:szCs w:val="21"/>
              </w:rPr>
              <w:t>7</w:t>
            </w:r>
            <w:r>
              <w:rPr>
                <w:rFonts w:hint="eastAsia" w:ascii="宋体" w:hAnsi="宋体" w:cs="宋体"/>
                <w:kern w:val="0"/>
                <w:szCs w:val="21"/>
                <w:lang w:eastAsia="zh-CN"/>
              </w:rPr>
              <w:t>、</w:t>
            </w:r>
            <w:r>
              <w:rPr>
                <w:rFonts w:hint="eastAsia" w:ascii="宋体" w:hAnsi="宋体" w:cs="宋体"/>
                <w:kern w:val="0"/>
                <w:szCs w:val="21"/>
              </w:rPr>
              <w:t>密封情况检查：</w:t>
            </w:r>
            <w:r>
              <w:rPr>
                <w:rFonts w:hint="eastAsia" w:ascii="宋体" w:hAnsi="宋体" w:cs="宋体"/>
                <w:kern w:val="0"/>
                <w:szCs w:val="21"/>
                <w:lang w:eastAsia="zh-CN"/>
              </w:rPr>
              <w:t>竞标</w:t>
            </w:r>
            <w:r>
              <w:rPr>
                <w:rFonts w:hint="eastAsia" w:ascii="宋体" w:hAnsi="宋体" w:cs="宋体"/>
                <w:kern w:val="0"/>
                <w:szCs w:val="21"/>
              </w:rPr>
              <w:t>人推选出的代表检查所有</w:t>
            </w:r>
            <w:r>
              <w:rPr>
                <w:rFonts w:hint="eastAsia" w:ascii="宋体" w:hAnsi="宋体" w:cs="宋体"/>
                <w:kern w:val="0"/>
                <w:szCs w:val="21"/>
                <w:lang w:eastAsia="zh-CN"/>
              </w:rPr>
              <w:t>竞标</w:t>
            </w:r>
            <w:r>
              <w:rPr>
                <w:rFonts w:hint="eastAsia" w:ascii="宋体" w:hAnsi="宋体" w:cs="宋体"/>
                <w:kern w:val="0"/>
                <w:szCs w:val="21"/>
              </w:rPr>
              <w:t xml:space="preserve">文件的密封情况并确认。 </w:t>
            </w:r>
          </w:p>
          <w:p>
            <w:pPr>
              <w:keepNext w:val="0"/>
              <w:keepLines w:val="0"/>
              <w:pageBreakBefore w:val="0"/>
              <w:kinsoku/>
              <w:overflowPunct/>
              <w:bidi w:val="0"/>
              <w:snapToGrid w:val="0"/>
              <w:spacing w:line="400" w:lineRule="exact"/>
              <w:ind w:firstLine="420" w:firstLineChars="200"/>
              <w:jc w:val="left"/>
              <w:textAlignment w:val="auto"/>
              <w:rPr>
                <w:rFonts w:ascii="宋体" w:hAnsi="宋体" w:cs="宋体"/>
                <w:kern w:val="0"/>
                <w:szCs w:val="21"/>
              </w:rPr>
            </w:pPr>
            <w:r>
              <w:rPr>
                <w:rFonts w:hint="eastAsia" w:ascii="宋体" w:hAnsi="宋体" w:cs="宋体"/>
                <w:kern w:val="0"/>
                <w:szCs w:val="21"/>
              </w:rPr>
              <w:t>8</w:t>
            </w:r>
            <w:r>
              <w:rPr>
                <w:rFonts w:hint="eastAsia" w:ascii="宋体" w:hAnsi="宋体" w:cs="宋体"/>
                <w:kern w:val="0"/>
                <w:szCs w:val="21"/>
                <w:lang w:eastAsia="zh-CN"/>
              </w:rPr>
              <w:t>、</w:t>
            </w:r>
            <w:r>
              <w:rPr>
                <w:rFonts w:hint="eastAsia" w:ascii="宋体" w:hAnsi="宋体" w:cs="宋体"/>
                <w:kern w:val="0"/>
                <w:szCs w:val="21"/>
              </w:rPr>
              <w:t>开启</w:t>
            </w:r>
            <w:r>
              <w:rPr>
                <w:rFonts w:hint="eastAsia" w:ascii="宋体" w:hAnsi="宋体" w:cs="宋体"/>
                <w:kern w:val="0"/>
                <w:szCs w:val="21"/>
                <w:lang w:eastAsia="zh-CN"/>
              </w:rPr>
              <w:t>竞标</w:t>
            </w:r>
            <w:r>
              <w:rPr>
                <w:rFonts w:hint="eastAsia" w:ascii="宋体" w:hAnsi="宋体" w:cs="宋体"/>
                <w:kern w:val="0"/>
                <w:szCs w:val="21"/>
              </w:rPr>
              <w:t>文件顺序：随机开启；</w:t>
            </w:r>
          </w:p>
          <w:p>
            <w:pPr>
              <w:keepNext w:val="0"/>
              <w:keepLines w:val="0"/>
              <w:pageBreakBefore w:val="0"/>
              <w:kinsoku/>
              <w:overflowPunct/>
              <w:bidi w:val="0"/>
              <w:snapToGrid w:val="0"/>
              <w:spacing w:line="400" w:lineRule="exact"/>
              <w:ind w:firstLine="420" w:firstLineChars="200"/>
              <w:jc w:val="left"/>
              <w:textAlignment w:val="auto"/>
              <w:rPr>
                <w:rFonts w:ascii="宋体" w:hAnsi="宋体" w:cs="宋体"/>
                <w:kern w:val="0"/>
                <w:szCs w:val="21"/>
              </w:rPr>
            </w:pPr>
            <w:r>
              <w:rPr>
                <w:rFonts w:hint="eastAsia" w:ascii="宋体" w:hAnsi="宋体" w:cs="宋体"/>
                <w:kern w:val="0"/>
                <w:szCs w:val="21"/>
              </w:rPr>
              <w:t>9</w:t>
            </w:r>
            <w:r>
              <w:rPr>
                <w:rFonts w:hint="eastAsia" w:ascii="宋体" w:hAnsi="宋体" w:cs="宋体"/>
                <w:kern w:val="0"/>
                <w:szCs w:val="21"/>
                <w:lang w:eastAsia="zh-CN"/>
              </w:rPr>
              <w:t>、</w:t>
            </w:r>
            <w:r>
              <w:rPr>
                <w:rFonts w:hint="eastAsia" w:ascii="宋体" w:hAnsi="宋体" w:cs="宋体"/>
                <w:kern w:val="0"/>
                <w:szCs w:val="21"/>
              </w:rPr>
              <w:t>按照宣布的顺序当众开标，开启</w:t>
            </w:r>
            <w:r>
              <w:rPr>
                <w:rFonts w:hint="eastAsia" w:ascii="宋体" w:hAnsi="宋体" w:cs="宋体"/>
                <w:kern w:val="0"/>
                <w:szCs w:val="21"/>
                <w:lang w:eastAsia="zh-CN"/>
              </w:rPr>
              <w:t>竞标</w:t>
            </w:r>
            <w:r>
              <w:rPr>
                <w:rFonts w:hint="eastAsia" w:ascii="宋体" w:hAnsi="宋体" w:cs="宋体"/>
                <w:kern w:val="0"/>
                <w:szCs w:val="21"/>
              </w:rPr>
              <w:t>文件大袋及</w:t>
            </w:r>
            <w:r>
              <w:rPr>
                <w:rFonts w:hint="eastAsia" w:ascii="宋体" w:hAnsi="宋体" w:cs="宋体"/>
                <w:kern w:val="0"/>
                <w:szCs w:val="21"/>
                <w:lang w:eastAsia="zh-CN"/>
              </w:rPr>
              <w:t>竞标</w:t>
            </w:r>
            <w:r>
              <w:rPr>
                <w:rFonts w:hint="eastAsia" w:ascii="宋体" w:hAnsi="宋体" w:cs="宋体"/>
                <w:kern w:val="0"/>
                <w:szCs w:val="21"/>
              </w:rPr>
              <w:t>函部分袋；公布</w:t>
            </w:r>
            <w:r>
              <w:rPr>
                <w:rFonts w:hint="eastAsia" w:ascii="宋体" w:hAnsi="宋体" w:cs="宋体"/>
                <w:kern w:val="0"/>
                <w:szCs w:val="21"/>
                <w:lang w:eastAsia="zh-CN"/>
              </w:rPr>
              <w:t>竞标</w:t>
            </w:r>
            <w:r>
              <w:rPr>
                <w:rFonts w:hint="eastAsia" w:ascii="宋体" w:hAnsi="宋体" w:cs="宋体"/>
                <w:kern w:val="0"/>
                <w:szCs w:val="21"/>
              </w:rPr>
              <w:t>人名称、</w:t>
            </w:r>
            <w:r>
              <w:rPr>
                <w:rFonts w:hint="eastAsia" w:ascii="宋体" w:hAnsi="宋体" w:cs="宋体"/>
                <w:kern w:val="0"/>
                <w:szCs w:val="21"/>
                <w:lang w:eastAsia="zh-CN"/>
              </w:rPr>
              <w:t>竞标</w:t>
            </w:r>
            <w:r>
              <w:rPr>
                <w:rFonts w:hint="eastAsia" w:ascii="宋体" w:hAnsi="宋体" w:cs="宋体"/>
                <w:kern w:val="0"/>
                <w:szCs w:val="21"/>
              </w:rPr>
              <w:t>报价、工期及其他内容，并记录在案；</w:t>
            </w:r>
          </w:p>
          <w:p>
            <w:pPr>
              <w:keepNext w:val="0"/>
              <w:keepLines w:val="0"/>
              <w:pageBreakBefore w:val="0"/>
              <w:kinsoku/>
              <w:overflowPunct/>
              <w:bidi w:val="0"/>
              <w:snapToGrid w:val="0"/>
              <w:spacing w:line="400" w:lineRule="exact"/>
              <w:ind w:firstLine="420" w:firstLineChars="200"/>
              <w:jc w:val="left"/>
              <w:textAlignment w:val="auto"/>
              <w:rPr>
                <w:rFonts w:ascii="宋体" w:hAnsi="宋体" w:cs="宋体"/>
                <w:kern w:val="0"/>
                <w:szCs w:val="21"/>
              </w:rPr>
            </w:pPr>
            <w:r>
              <w:rPr>
                <w:rFonts w:hint="eastAsia" w:ascii="宋体" w:hAnsi="宋体" w:cs="宋体"/>
                <w:kern w:val="0"/>
                <w:szCs w:val="21"/>
              </w:rPr>
              <w:t>10</w:t>
            </w:r>
            <w:r>
              <w:rPr>
                <w:rFonts w:hint="eastAsia" w:ascii="宋体" w:hAnsi="宋体" w:cs="宋体"/>
                <w:kern w:val="0"/>
                <w:szCs w:val="21"/>
                <w:lang w:eastAsia="zh-CN"/>
              </w:rPr>
              <w:t>、竞标</w:t>
            </w:r>
            <w:r>
              <w:rPr>
                <w:rFonts w:hint="eastAsia" w:ascii="宋体" w:hAnsi="宋体" w:cs="宋体"/>
                <w:kern w:val="0"/>
                <w:szCs w:val="21"/>
              </w:rPr>
              <w:t>人代表、比选人代表、监标人、记录人等有关人员在比选记录表上签字确认；</w:t>
            </w:r>
          </w:p>
          <w:p>
            <w:pPr>
              <w:keepNext w:val="0"/>
              <w:keepLines w:val="0"/>
              <w:pageBreakBefore w:val="0"/>
              <w:kinsoku/>
              <w:overflowPunct/>
              <w:bidi w:val="0"/>
              <w:snapToGrid w:val="0"/>
              <w:spacing w:line="400" w:lineRule="exact"/>
              <w:ind w:firstLine="420" w:firstLineChars="200"/>
              <w:jc w:val="left"/>
              <w:textAlignment w:val="auto"/>
              <w:rPr>
                <w:rFonts w:ascii="宋体" w:hAnsi="宋体" w:cs="宋体"/>
                <w:szCs w:val="21"/>
              </w:rPr>
            </w:pPr>
            <w:r>
              <w:rPr>
                <w:rFonts w:hint="eastAsia" w:ascii="宋体" w:hAnsi="宋体" w:cs="宋体"/>
                <w:kern w:val="0"/>
                <w:szCs w:val="21"/>
              </w:rPr>
              <w:t>11</w:t>
            </w:r>
            <w:r>
              <w:rPr>
                <w:rFonts w:hint="eastAsia" w:ascii="宋体" w:hAnsi="宋体" w:cs="宋体"/>
                <w:kern w:val="0"/>
                <w:szCs w:val="21"/>
                <w:lang w:eastAsia="zh-CN"/>
              </w:rPr>
              <w:t>、</w:t>
            </w:r>
            <w:r>
              <w:rPr>
                <w:rFonts w:hint="eastAsia" w:ascii="宋体" w:hAnsi="宋体" w:cs="宋体"/>
                <w:kern w:val="0"/>
                <w:szCs w:val="21"/>
              </w:rPr>
              <w:t>比选结束。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keepNext w:val="0"/>
              <w:keepLines w:val="0"/>
              <w:pageBreakBefore w:val="0"/>
              <w:kinsoku/>
              <w:overflowPunct/>
              <w:bidi w:val="0"/>
              <w:snapToGrid w:val="0"/>
              <w:spacing w:line="400" w:lineRule="exact"/>
              <w:jc w:val="center"/>
              <w:textAlignment w:val="auto"/>
              <w:rPr>
                <w:rFonts w:ascii="宋体" w:hAnsi="宋体"/>
                <w:kern w:val="0"/>
                <w:szCs w:val="21"/>
              </w:rPr>
            </w:pPr>
            <w:r>
              <w:rPr>
                <w:rFonts w:ascii="宋体" w:hAnsi="宋体"/>
                <w:kern w:val="0"/>
                <w:szCs w:val="21"/>
              </w:rPr>
              <w:t>6.1.1</w:t>
            </w:r>
          </w:p>
        </w:tc>
        <w:tc>
          <w:tcPr>
            <w:tcW w:w="1644" w:type="dxa"/>
            <w:vAlign w:val="center"/>
          </w:tcPr>
          <w:p>
            <w:pPr>
              <w:keepNext w:val="0"/>
              <w:keepLines w:val="0"/>
              <w:pageBreakBefore w:val="0"/>
              <w:kinsoku/>
              <w:overflowPunct/>
              <w:bidi w:val="0"/>
              <w:snapToGrid w:val="0"/>
              <w:spacing w:line="400" w:lineRule="exact"/>
              <w:jc w:val="center"/>
              <w:textAlignment w:val="auto"/>
              <w:rPr>
                <w:rFonts w:ascii="宋体" w:hAnsi="宋体"/>
                <w:kern w:val="0"/>
                <w:szCs w:val="21"/>
              </w:rPr>
            </w:pPr>
            <w:r>
              <w:rPr>
                <w:rFonts w:ascii="宋体" w:hAnsi="宋体"/>
                <w:kern w:val="0"/>
                <w:szCs w:val="21"/>
              </w:rPr>
              <w:t>评标委员会的组建</w:t>
            </w:r>
          </w:p>
        </w:tc>
        <w:tc>
          <w:tcPr>
            <w:tcW w:w="6490" w:type="dxa"/>
            <w:vAlign w:val="center"/>
          </w:tcPr>
          <w:p>
            <w:pPr>
              <w:autoSpaceDE w:val="0"/>
              <w:autoSpaceDN w:val="0"/>
              <w:adjustRightInd w:val="0"/>
              <w:snapToGrid w:val="0"/>
              <w:spacing w:line="400" w:lineRule="exact"/>
              <w:ind w:firstLine="436" w:firstLineChars="200"/>
              <w:rPr>
                <w:rFonts w:hint="eastAsia" w:ascii="宋体" w:hAnsi="宋体"/>
                <w:color w:val="auto"/>
                <w:spacing w:val="4"/>
                <w:kern w:val="0"/>
                <w:szCs w:val="21"/>
                <w:highlight w:val="none"/>
                <w:lang w:val="en-US" w:eastAsia="zh-CN"/>
              </w:rPr>
            </w:pPr>
            <w:r>
              <w:rPr>
                <w:rFonts w:hint="eastAsia" w:ascii="宋体" w:hAnsi="宋体"/>
                <w:color w:val="auto"/>
                <w:spacing w:val="4"/>
                <w:kern w:val="0"/>
                <w:szCs w:val="21"/>
                <w:highlight w:val="none"/>
                <w:lang w:val="en-US" w:eastAsia="zh-CN"/>
              </w:rPr>
              <w:t>评标委员会构成：共3人。其中：比选人代表1人，在重庆市综</w:t>
            </w:r>
          </w:p>
          <w:p>
            <w:pPr>
              <w:keepNext w:val="0"/>
              <w:keepLines w:val="0"/>
              <w:pageBreakBefore w:val="0"/>
              <w:kinsoku/>
              <w:overflowPunct/>
              <w:autoSpaceDE w:val="0"/>
              <w:autoSpaceDN w:val="0"/>
              <w:bidi w:val="0"/>
              <w:adjustRightInd w:val="0"/>
              <w:snapToGrid w:val="0"/>
              <w:spacing w:line="400" w:lineRule="exact"/>
              <w:textAlignment w:val="auto"/>
              <w:rPr>
                <w:rFonts w:ascii="宋体" w:hAnsi="宋体" w:cs="宋体"/>
                <w:kern w:val="0"/>
                <w:szCs w:val="21"/>
              </w:rPr>
            </w:pPr>
            <w:r>
              <w:rPr>
                <w:rFonts w:hint="eastAsia" w:ascii="宋体" w:hAnsi="宋体"/>
                <w:color w:val="auto"/>
                <w:spacing w:val="4"/>
                <w:kern w:val="0"/>
                <w:szCs w:val="21"/>
                <w:highlight w:val="none"/>
                <w:lang w:val="en-US" w:eastAsia="zh-CN"/>
              </w:rPr>
              <w:t xml:space="preserve">合评标专家库中随机抽取2人。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keepNext w:val="0"/>
              <w:keepLines w:val="0"/>
              <w:pageBreakBefore w:val="0"/>
              <w:kinsoku/>
              <w:overflowPunct/>
              <w:bidi w:val="0"/>
              <w:snapToGrid w:val="0"/>
              <w:spacing w:line="400" w:lineRule="exact"/>
              <w:jc w:val="center"/>
              <w:textAlignment w:val="auto"/>
              <w:rPr>
                <w:rFonts w:ascii="宋体" w:hAnsi="宋体"/>
                <w:kern w:val="0"/>
                <w:szCs w:val="21"/>
              </w:rPr>
            </w:pPr>
            <w:r>
              <w:rPr>
                <w:rFonts w:ascii="宋体" w:hAnsi="宋体"/>
                <w:kern w:val="0"/>
                <w:szCs w:val="21"/>
              </w:rPr>
              <w:t>7.1</w:t>
            </w:r>
          </w:p>
        </w:tc>
        <w:tc>
          <w:tcPr>
            <w:tcW w:w="1644" w:type="dxa"/>
            <w:vAlign w:val="center"/>
          </w:tcPr>
          <w:p>
            <w:pPr>
              <w:keepNext w:val="0"/>
              <w:keepLines w:val="0"/>
              <w:pageBreakBefore w:val="0"/>
              <w:kinsoku/>
              <w:overflowPunct/>
              <w:bidi w:val="0"/>
              <w:snapToGrid w:val="0"/>
              <w:spacing w:line="400" w:lineRule="exact"/>
              <w:jc w:val="center"/>
              <w:textAlignment w:val="auto"/>
              <w:rPr>
                <w:rFonts w:ascii="宋体" w:hAnsi="宋体"/>
                <w:kern w:val="0"/>
                <w:szCs w:val="21"/>
              </w:rPr>
            </w:pPr>
            <w:r>
              <w:rPr>
                <w:rFonts w:ascii="宋体" w:hAnsi="宋体"/>
                <w:kern w:val="0"/>
                <w:szCs w:val="21"/>
              </w:rPr>
              <w:t>是否授权评标委员会确定中标人</w:t>
            </w:r>
          </w:p>
        </w:tc>
        <w:tc>
          <w:tcPr>
            <w:tcW w:w="6490" w:type="dxa"/>
            <w:vAlign w:val="center"/>
          </w:tcPr>
          <w:p>
            <w:pPr>
              <w:keepNext w:val="0"/>
              <w:keepLines w:val="0"/>
              <w:pageBreakBefore w:val="0"/>
              <w:kinsoku/>
              <w:overflowPunct/>
              <w:bidi w:val="0"/>
              <w:snapToGrid w:val="0"/>
              <w:spacing w:line="400" w:lineRule="exact"/>
              <w:ind w:firstLine="420" w:firstLineChars="200"/>
              <w:textAlignment w:val="auto"/>
              <w:rPr>
                <w:rFonts w:ascii="宋体" w:hAnsi="宋体" w:cs="宋体"/>
                <w:i/>
                <w:kern w:val="0"/>
                <w:szCs w:val="21"/>
              </w:rPr>
            </w:pPr>
            <w:r>
              <w:rPr>
                <w:rFonts w:ascii="宋体" w:hAnsi="宋体"/>
                <w:kern w:val="0"/>
                <w:szCs w:val="21"/>
              </w:rPr>
              <w:t>否，推荐经评审综合得分由高到低排名前三名为中标候选人</w:t>
            </w:r>
            <w:r>
              <w:rPr>
                <w:rFonts w:hint="eastAsia" w:ascii="宋体" w:hAnsi="宋体" w:cs="宋体"/>
                <w:kern w:val="0"/>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keepNext w:val="0"/>
              <w:keepLines w:val="0"/>
              <w:pageBreakBefore w:val="0"/>
              <w:kinsoku/>
              <w:overflowPunct/>
              <w:bidi w:val="0"/>
              <w:snapToGrid w:val="0"/>
              <w:spacing w:line="400" w:lineRule="exact"/>
              <w:jc w:val="center"/>
              <w:textAlignment w:val="auto"/>
              <w:rPr>
                <w:rFonts w:ascii="宋体" w:hAnsi="宋体"/>
                <w:kern w:val="0"/>
                <w:szCs w:val="21"/>
              </w:rPr>
            </w:pPr>
            <w:r>
              <w:rPr>
                <w:rFonts w:hint="eastAsia" w:ascii="宋体" w:hAnsi="宋体"/>
                <w:kern w:val="0"/>
                <w:szCs w:val="21"/>
              </w:rPr>
              <w:t>7.2</w:t>
            </w:r>
          </w:p>
        </w:tc>
        <w:tc>
          <w:tcPr>
            <w:tcW w:w="1644" w:type="dxa"/>
            <w:vAlign w:val="center"/>
          </w:tcPr>
          <w:p>
            <w:pPr>
              <w:keepNext w:val="0"/>
              <w:keepLines w:val="0"/>
              <w:pageBreakBefore w:val="0"/>
              <w:kinsoku/>
              <w:overflowPunct/>
              <w:bidi w:val="0"/>
              <w:snapToGrid w:val="0"/>
              <w:spacing w:line="400" w:lineRule="exact"/>
              <w:jc w:val="center"/>
              <w:textAlignment w:val="auto"/>
              <w:rPr>
                <w:rFonts w:ascii="宋体" w:hAnsi="宋体"/>
                <w:kern w:val="0"/>
                <w:szCs w:val="21"/>
              </w:rPr>
            </w:pPr>
            <w:r>
              <w:rPr>
                <w:rFonts w:ascii="宋体" w:hAnsi="宋体"/>
                <w:kern w:val="0"/>
                <w:szCs w:val="21"/>
              </w:rPr>
              <w:t>中标公示</w:t>
            </w:r>
          </w:p>
        </w:tc>
        <w:tc>
          <w:tcPr>
            <w:tcW w:w="6490" w:type="dxa"/>
            <w:vAlign w:val="center"/>
          </w:tcPr>
          <w:p>
            <w:pPr>
              <w:keepNext w:val="0"/>
              <w:keepLines w:val="0"/>
              <w:pageBreakBefore w:val="0"/>
              <w:kinsoku/>
              <w:overflowPunct/>
              <w:bidi w:val="0"/>
              <w:snapToGrid w:val="0"/>
              <w:spacing w:line="400" w:lineRule="exact"/>
              <w:ind w:firstLine="420" w:firstLineChars="200"/>
              <w:textAlignment w:val="auto"/>
              <w:rPr>
                <w:rFonts w:ascii="宋体" w:hAnsi="宋体" w:cs="宋体"/>
                <w:kern w:val="0"/>
                <w:szCs w:val="21"/>
              </w:rPr>
            </w:pPr>
            <w:r>
              <w:rPr>
                <w:rFonts w:hint="eastAsia" w:ascii="宋体" w:hAnsi="宋体" w:cs="宋体"/>
                <w:szCs w:val="21"/>
              </w:rPr>
              <w:t>比选人在收到评标报告后3日内将评标结果在</w:t>
            </w:r>
            <w:r>
              <w:rPr>
                <w:rFonts w:hint="eastAsia" w:ascii="宋体" w:hAnsi="宋体" w:cs="宋体"/>
                <w:snapToGrid w:val="0"/>
                <w:kern w:val="0"/>
                <w:szCs w:val="21"/>
                <w:u w:val="single"/>
              </w:rPr>
              <w:t>重庆市公共资源交易网（渝中区）（https://www.cqggzy.com/yuzhongweb/）</w:t>
            </w:r>
            <w:r>
              <w:rPr>
                <w:rFonts w:hint="eastAsia" w:ascii="宋体" w:hAnsi="宋体" w:cs="宋体"/>
                <w:szCs w:val="21"/>
              </w:rPr>
              <w:t>上进行公示，公示期为3日。为深化信息公开，接受社会监督，本项目将按照《招标公告和公示信息发布管理办法》（国家发改委令第10号）的要求，公示内容包括中标候选人名称、排序、竞标报价、质量、工期；中标候选人资质、</w:t>
            </w:r>
            <w:r>
              <w:rPr>
                <w:rFonts w:hint="eastAsia" w:ascii="宋体" w:hAnsi="宋体" w:cs="宋体"/>
                <w:szCs w:val="21"/>
                <w:lang w:eastAsia="zh-CN"/>
              </w:rPr>
              <w:t>竞标</w:t>
            </w:r>
            <w:r>
              <w:rPr>
                <w:rFonts w:hint="eastAsia" w:ascii="宋体" w:hAnsi="宋体" w:cs="宋体"/>
                <w:szCs w:val="21"/>
              </w:rPr>
              <w:t>业绩名称，中标候选人项目经理姓名及其相关证书名称和编号、</w:t>
            </w:r>
            <w:r>
              <w:rPr>
                <w:rFonts w:hint="eastAsia" w:ascii="宋体" w:hAnsi="宋体" w:cs="宋体"/>
                <w:szCs w:val="21"/>
                <w:lang w:eastAsia="zh-CN"/>
              </w:rPr>
              <w:t>竞标</w:t>
            </w:r>
            <w:r>
              <w:rPr>
                <w:rFonts w:hint="eastAsia" w:ascii="宋体" w:hAnsi="宋体" w:cs="宋体"/>
                <w:szCs w:val="21"/>
              </w:rPr>
              <w:t>业绩名称；否决竞标情况及理由；提出异议、投诉的渠道和方式。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keepNext w:val="0"/>
              <w:keepLines w:val="0"/>
              <w:pageBreakBefore w:val="0"/>
              <w:kinsoku/>
              <w:overflowPunct/>
              <w:bidi w:val="0"/>
              <w:snapToGrid w:val="0"/>
              <w:spacing w:line="400" w:lineRule="exact"/>
              <w:jc w:val="center"/>
              <w:textAlignment w:val="auto"/>
              <w:rPr>
                <w:rFonts w:ascii="宋体" w:hAnsi="宋体"/>
                <w:kern w:val="0"/>
                <w:szCs w:val="21"/>
              </w:rPr>
            </w:pPr>
            <w:r>
              <w:rPr>
                <w:rFonts w:ascii="宋体" w:hAnsi="宋体"/>
                <w:kern w:val="0"/>
                <w:szCs w:val="21"/>
              </w:rPr>
              <w:t>7.3.1</w:t>
            </w:r>
          </w:p>
        </w:tc>
        <w:tc>
          <w:tcPr>
            <w:tcW w:w="1644" w:type="dxa"/>
            <w:vAlign w:val="center"/>
          </w:tcPr>
          <w:p>
            <w:pPr>
              <w:keepNext w:val="0"/>
              <w:keepLines w:val="0"/>
              <w:pageBreakBefore w:val="0"/>
              <w:kinsoku/>
              <w:overflowPunct/>
              <w:bidi w:val="0"/>
              <w:snapToGrid w:val="0"/>
              <w:spacing w:line="400" w:lineRule="exact"/>
              <w:jc w:val="center"/>
              <w:textAlignment w:val="auto"/>
              <w:rPr>
                <w:rFonts w:ascii="宋体" w:hAnsi="宋体"/>
                <w:kern w:val="0"/>
                <w:szCs w:val="21"/>
              </w:rPr>
            </w:pPr>
            <w:r>
              <w:rPr>
                <w:rFonts w:ascii="宋体" w:hAnsi="宋体"/>
                <w:kern w:val="0"/>
                <w:szCs w:val="21"/>
              </w:rPr>
              <w:t>履约担保</w:t>
            </w:r>
          </w:p>
        </w:tc>
        <w:tc>
          <w:tcPr>
            <w:tcW w:w="6490" w:type="dxa"/>
            <w:vAlign w:val="center"/>
          </w:tcPr>
          <w:p>
            <w:pPr>
              <w:keepNext w:val="0"/>
              <w:keepLines w:val="0"/>
              <w:pageBreakBefore w:val="0"/>
              <w:kinsoku/>
              <w:overflowPunct/>
              <w:bidi w:val="0"/>
              <w:snapToGrid w:val="0"/>
              <w:spacing w:line="400" w:lineRule="exact"/>
              <w:ind w:firstLine="420" w:firstLineChars="200"/>
              <w:jc w:val="left"/>
              <w:textAlignment w:val="auto"/>
              <w:rPr>
                <w:rFonts w:ascii="宋体" w:hAnsi="宋体" w:cs="宋体"/>
                <w:kern w:val="0"/>
                <w:szCs w:val="21"/>
              </w:rPr>
            </w:pPr>
            <w:r>
              <w:rPr>
                <w:rFonts w:hint="eastAsia" w:ascii="宋体" w:hAnsi="宋体" w:cs="宋体"/>
                <w:kern w:val="0"/>
                <w:szCs w:val="21"/>
              </w:rPr>
              <w:t>1.中标人是否提供履约担保：提供。</w:t>
            </w:r>
          </w:p>
          <w:p>
            <w:pPr>
              <w:keepNext w:val="0"/>
              <w:keepLines w:val="0"/>
              <w:pageBreakBefore w:val="0"/>
              <w:kinsoku/>
              <w:overflowPunct/>
              <w:bidi w:val="0"/>
              <w:snapToGrid w:val="0"/>
              <w:spacing w:line="400" w:lineRule="exact"/>
              <w:ind w:firstLine="420" w:firstLineChars="200"/>
              <w:jc w:val="left"/>
              <w:textAlignment w:val="auto"/>
              <w:rPr>
                <w:rFonts w:ascii="宋体" w:hAnsi="宋体" w:cs="宋体"/>
                <w:kern w:val="0"/>
                <w:szCs w:val="21"/>
              </w:rPr>
            </w:pPr>
            <w:r>
              <w:rPr>
                <w:rFonts w:hint="eastAsia" w:ascii="宋体" w:hAnsi="宋体" w:cs="宋体"/>
                <w:kern w:val="0"/>
                <w:szCs w:val="21"/>
              </w:rPr>
              <w:t>2.中标人提供履约担保的形式、金额及期限：</w:t>
            </w:r>
          </w:p>
          <w:p>
            <w:pPr>
              <w:keepNext w:val="0"/>
              <w:keepLines w:val="0"/>
              <w:pageBreakBefore w:val="0"/>
              <w:kinsoku/>
              <w:overflowPunct/>
              <w:bidi w:val="0"/>
              <w:snapToGrid w:val="0"/>
              <w:spacing w:line="400" w:lineRule="exact"/>
              <w:ind w:firstLine="420" w:firstLineChars="200"/>
              <w:jc w:val="left"/>
              <w:textAlignment w:val="auto"/>
              <w:rPr>
                <w:rFonts w:ascii="宋体" w:hAnsi="宋体" w:cs="宋体"/>
                <w:kern w:val="0"/>
                <w:szCs w:val="21"/>
              </w:rPr>
            </w:pPr>
            <w:r>
              <w:rPr>
                <w:rFonts w:hint="eastAsia" w:ascii="宋体" w:hAnsi="宋体" w:cs="宋体"/>
                <w:kern w:val="0"/>
                <w:szCs w:val="21"/>
              </w:rPr>
              <w:t>（1）履约担保的形式：现金或银行保函或现金+银行保函的组合；采用银行保函形式的，保函必须为不可撤销且见索即付；</w:t>
            </w:r>
          </w:p>
          <w:p>
            <w:pPr>
              <w:keepNext w:val="0"/>
              <w:keepLines w:val="0"/>
              <w:pageBreakBefore w:val="0"/>
              <w:kinsoku/>
              <w:overflowPunct/>
              <w:bidi w:val="0"/>
              <w:snapToGrid w:val="0"/>
              <w:spacing w:line="400" w:lineRule="exact"/>
              <w:ind w:firstLine="420" w:firstLineChars="200"/>
              <w:jc w:val="left"/>
              <w:textAlignment w:val="auto"/>
              <w:rPr>
                <w:rFonts w:ascii="宋体" w:hAnsi="宋体" w:cs="宋体"/>
                <w:kern w:val="0"/>
                <w:szCs w:val="21"/>
              </w:rPr>
            </w:pPr>
            <w:r>
              <w:rPr>
                <w:rFonts w:hint="eastAsia" w:ascii="宋体" w:hAnsi="宋体" w:cs="宋体"/>
                <w:kern w:val="0"/>
                <w:szCs w:val="21"/>
              </w:rPr>
              <w:t>（2）履约担保的金额</w:t>
            </w:r>
            <w:r>
              <w:rPr>
                <w:rFonts w:hint="eastAsia" w:ascii="宋体" w:hAnsi="宋体" w:cs="宋体"/>
                <w:kern w:val="0"/>
                <w:szCs w:val="21"/>
                <w:lang w:eastAsia="zh-CN"/>
              </w:rPr>
              <w:t>：</w:t>
            </w:r>
            <w:r>
              <w:rPr>
                <w:rFonts w:hint="eastAsia" w:ascii="宋体" w:hAnsi="宋体" w:cs="宋体"/>
                <w:kern w:val="0"/>
                <w:szCs w:val="21"/>
              </w:rPr>
              <w:t>中标合同总金额的10%。</w:t>
            </w:r>
          </w:p>
          <w:p>
            <w:pPr>
              <w:keepNext w:val="0"/>
              <w:keepLines w:val="0"/>
              <w:pageBreakBefore w:val="0"/>
              <w:kinsoku/>
              <w:overflowPunct/>
              <w:bidi w:val="0"/>
              <w:snapToGrid w:val="0"/>
              <w:spacing w:line="400" w:lineRule="exact"/>
              <w:ind w:firstLine="420" w:firstLineChars="200"/>
              <w:jc w:val="left"/>
              <w:textAlignment w:val="auto"/>
              <w:rPr>
                <w:rFonts w:ascii="宋体" w:hAnsi="宋体" w:cs="宋体"/>
                <w:kern w:val="0"/>
                <w:szCs w:val="21"/>
              </w:rPr>
            </w:pPr>
            <w:r>
              <w:rPr>
                <w:rFonts w:hint="eastAsia" w:ascii="宋体" w:hAnsi="宋体" w:cs="宋体"/>
                <w:kern w:val="0"/>
                <w:szCs w:val="21"/>
              </w:rPr>
              <w:t>（3）履约担保的提交时间：见专用合同条款。</w:t>
            </w:r>
          </w:p>
          <w:p>
            <w:pPr>
              <w:keepNext w:val="0"/>
              <w:keepLines w:val="0"/>
              <w:pageBreakBefore w:val="0"/>
              <w:kinsoku/>
              <w:overflowPunct/>
              <w:bidi w:val="0"/>
              <w:snapToGrid w:val="0"/>
              <w:spacing w:line="400" w:lineRule="exact"/>
              <w:ind w:firstLine="420" w:firstLineChars="200"/>
              <w:jc w:val="left"/>
              <w:textAlignment w:val="auto"/>
              <w:rPr>
                <w:rFonts w:ascii="宋体" w:hAnsi="宋体" w:cs="宋体"/>
                <w:kern w:val="0"/>
                <w:szCs w:val="21"/>
              </w:rPr>
            </w:pPr>
            <w:r>
              <w:rPr>
                <w:rFonts w:hint="eastAsia" w:ascii="宋体" w:hAnsi="宋体" w:cs="宋体"/>
                <w:kern w:val="0"/>
                <w:szCs w:val="21"/>
              </w:rPr>
              <w:t>（4）履约担保的期限：见专用合同条款。</w:t>
            </w:r>
          </w:p>
          <w:p>
            <w:pPr>
              <w:keepNext w:val="0"/>
              <w:keepLines w:val="0"/>
              <w:pageBreakBefore w:val="0"/>
              <w:kinsoku/>
              <w:overflowPunct/>
              <w:bidi w:val="0"/>
              <w:snapToGrid w:val="0"/>
              <w:spacing w:line="400" w:lineRule="exact"/>
              <w:ind w:firstLine="420" w:firstLineChars="200"/>
              <w:jc w:val="left"/>
              <w:textAlignment w:val="auto"/>
              <w:rPr>
                <w:rFonts w:ascii="宋体" w:hAnsi="宋体" w:cs="宋体"/>
                <w:kern w:val="0"/>
                <w:szCs w:val="21"/>
              </w:rPr>
            </w:pPr>
            <w:r>
              <w:rPr>
                <w:rFonts w:hint="eastAsia" w:ascii="宋体" w:hAnsi="宋体" w:cs="宋体"/>
                <w:kern w:val="0"/>
                <w:szCs w:val="21"/>
              </w:rPr>
              <w:t>（5）履约担保的退还时间：见专用合同条款。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keepNext w:val="0"/>
              <w:keepLines w:val="0"/>
              <w:pageBreakBefore w:val="0"/>
              <w:kinsoku/>
              <w:overflowPunct/>
              <w:bidi w:val="0"/>
              <w:snapToGrid w:val="0"/>
              <w:spacing w:line="400" w:lineRule="exact"/>
              <w:jc w:val="center"/>
              <w:textAlignment w:val="auto"/>
              <w:rPr>
                <w:rFonts w:ascii="宋体" w:hAnsi="宋体"/>
                <w:kern w:val="0"/>
                <w:szCs w:val="21"/>
              </w:rPr>
            </w:pPr>
            <w:r>
              <w:rPr>
                <w:rFonts w:hint="eastAsia" w:ascii="宋体" w:hAnsi="宋体"/>
                <w:kern w:val="0"/>
                <w:szCs w:val="21"/>
              </w:rPr>
              <w:t>7.4.1</w:t>
            </w:r>
          </w:p>
        </w:tc>
        <w:tc>
          <w:tcPr>
            <w:tcW w:w="1644" w:type="dxa"/>
            <w:vAlign w:val="center"/>
          </w:tcPr>
          <w:p>
            <w:pPr>
              <w:keepNext w:val="0"/>
              <w:keepLines w:val="0"/>
              <w:pageBreakBefore w:val="0"/>
              <w:kinsoku/>
              <w:overflowPunct/>
              <w:bidi w:val="0"/>
              <w:snapToGrid w:val="0"/>
              <w:spacing w:line="400" w:lineRule="exact"/>
              <w:jc w:val="center"/>
              <w:textAlignment w:val="auto"/>
              <w:rPr>
                <w:rFonts w:ascii="宋体" w:hAnsi="宋体"/>
                <w:kern w:val="0"/>
                <w:szCs w:val="21"/>
              </w:rPr>
            </w:pPr>
            <w:r>
              <w:rPr>
                <w:rFonts w:hint="eastAsia" w:ascii="宋体" w:hAnsi="宋体"/>
                <w:kern w:val="0"/>
                <w:szCs w:val="21"/>
              </w:rPr>
              <w:t>签订合同</w:t>
            </w:r>
          </w:p>
        </w:tc>
        <w:tc>
          <w:tcPr>
            <w:tcW w:w="6490" w:type="dxa"/>
            <w:vAlign w:val="center"/>
          </w:tcPr>
          <w:p>
            <w:pPr>
              <w:keepNext w:val="0"/>
              <w:keepLines w:val="0"/>
              <w:pageBreakBefore w:val="0"/>
              <w:kinsoku/>
              <w:overflowPunct/>
              <w:bidi w:val="0"/>
              <w:snapToGrid w:val="0"/>
              <w:spacing w:line="400" w:lineRule="exact"/>
              <w:ind w:firstLine="420" w:firstLineChars="200"/>
              <w:jc w:val="left"/>
              <w:textAlignment w:val="auto"/>
              <w:rPr>
                <w:rFonts w:ascii="宋体" w:hAnsi="宋体" w:cs="宋体"/>
                <w:kern w:val="0"/>
                <w:szCs w:val="21"/>
              </w:rPr>
            </w:pPr>
            <w:r>
              <w:rPr>
                <w:rFonts w:hint="eastAsia" w:ascii="宋体" w:hAnsi="宋体" w:cs="宋体"/>
                <w:kern w:val="0"/>
                <w:szCs w:val="21"/>
              </w:rPr>
              <w:t>依法必须进行招标的项目，中标候选人有《招标竞标法实施条例》第七十四条规定行为的，视为特别严重信用不良行为且情节特别严重，按信用记分上限一次性记12分，纳入黑名单管理；中标人有《招标投标法实施条例》第七十四条规定行为的，按中标项目金额10‰罚款上限予以行政处罚，按信用记分上限一次性并处记12分，纳入黑名单管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keepNext w:val="0"/>
              <w:keepLines w:val="0"/>
              <w:pageBreakBefore w:val="0"/>
              <w:kinsoku/>
              <w:overflowPunct/>
              <w:bidi w:val="0"/>
              <w:snapToGrid w:val="0"/>
              <w:spacing w:line="400" w:lineRule="exact"/>
              <w:jc w:val="center"/>
              <w:textAlignment w:val="auto"/>
              <w:rPr>
                <w:rFonts w:ascii="宋体" w:hAnsi="宋体"/>
                <w:kern w:val="0"/>
                <w:szCs w:val="21"/>
              </w:rPr>
            </w:pPr>
            <w:r>
              <w:rPr>
                <w:rFonts w:ascii="宋体" w:hAnsi="宋体"/>
                <w:kern w:val="0"/>
                <w:szCs w:val="21"/>
              </w:rPr>
              <w:t>8.2</w:t>
            </w:r>
          </w:p>
        </w:tc>
        <w:tc>
          <w:tcPr>
            <w:tcW w:w="1644" w:type="dxa"/>
            <w:vAlign w:val="center"/>
          </w:tcPr>
          <w:p>
            <w:pPr>
              <w:keepNext w:val="0"/>
              <w:keepLines w:val="0"/>
              <w:pageBreakBefore w:val="0"/>
              <w:kinsoku/>
              <w:overflowPunct/>
              <w:bidi w:val="0"/>
              <w:snapToGrid w:val="0"/>
              <w:spacing w:line="400" w:lineRule="exact"/>
              <w:jc w:val="center"/>
              <w:textAlignment w:val="auto"/>
            </w:pPr>
            <w:bookmarkStart w:id="136" w:name="_Toc509218709"/>
            <w:bookmarkStart w:id="137" w:name="_Toc13210670"/>
            <w:bookmarkStart w:id="138" w:name="_Toc536628250"/>
            <w:bookmarkStart w:id="139" w:name="_Toc430530434"/>
            <w:bookmarkStart w:id="140" w:name="_Toc16930431"/>
            <w:r>
              <w:rPr>
                <w:rFonts w:hint="eastAsia" w:ascii="宋体" w:hAnsi="宋体"/>
                <w:kern w:val="0"/>
                <w:szCs w:val="21"/>
              </w:rPr>
              <w:t>重新比选</w:t>
            </w:r>
            <w:r>
              <w:rPr>
                <w:rFonts w:ascii="宋体" w:hAnsi="宋体"/>
                <w:kern w:val="0"/>
                <w:szCs w:val="21"/>
              </w:rPr>
              <w:t>和不再</w:t>
            </w:r>
            <w:bookmarkEnd w:id="136"/>
            <w:bookmarkEnd w:id="137"/>
            <w:bookmarkEnd w:id="138"/>
            <w:bookmarkEnd w:id="139"/>
            <w:bookmarkEnd w:id="140"/>
            <w:r>
              <w:rPr>
                <w:rFonts w:hint="eastAsia" w:ascii="宋体" w:hAnsi="宋体"/>
                <w:kern w:val="0"/>
                <w:szCs w:val="21"/>
              </w:rPr>
              <w:t>比选</w:t>
            </w:r>
          </w:p>
        </w:tc>
        <w:tc>
          <w:tcPr>
            <w:tcW w:w="6490" w:type="dxa"/>
            <w:vAlign w:val="center"/>
          </w:tcPr>
          <w:p>
            <w:pPr>
              <w:keepNext w:val="0"/>
              <w:keepLines w:val="0"/>
              <w:pageBreakBefore w:val="0"/>
              <w:kinsoku/>
              <w:overflowPunct/>
              <w:autoSpaceDE w:val="0"/>
              <w:autoSpaceDN w:val="0"/>
              <w:bidi w:val="0"/>
              <w:adjustRightInd w:val="0"/>
              <w:snapToGrid w:val="0"/>
              <w:spacing w:line="400" w:lineRule="exact"/>
              <w:ind w:firstLine="420" w:firstLineChars="200"/>
              <w:jc w:val="left"/>
              <w:textAlignment w:val="auto"/>
              <w:rPr>
                <w:rFonts w:ascii="宋体" w:hAnsi="宋体" w:cs="宋体"/>
                <w:snapToGrid w:val="0"/>
                <w:kern w:val="0"/>
                <w:szCs w:val="21"/>
              </w:rPr>
            </w:pPr>
            <w:r>
              <w:rPr>
                <w:rFonts w:hint="eastAsia" w:ascii="宋体" w:hAnsi="宋体" w:cs="宋体"/>
                <w:kern w:val="0"/>
                <w:szCs w:val="21"/>
              </w:rPr>
              <w:t>重新比选的</w:t>
            </w:r>
            <w:r>
              <w:rPr>
                <w:rFonts w:hint="eastAsia" w:ascii="宋体" w:hAnsi="宋体" w:cs="宋体"/>
                <w:kern w:val="0"/>
                <w:szCs w:val="21"/>
                <w:lang w:eastAsia="zh-CN"/>
              </w:rPr>
              <w:t>竞标</w:t>
            </w:r>
            <w:r>
              <w:rPr>
                <w:rFonts w:hint="eastAsia" w:ascii="宋体" w:hAnsi="宋体" w:cs="宋体"/>
                <w:kern w:val="0"/>
                <w:szCs w:val="21"/>
              </w:rPr>
              <w:t>人仍然少于三个的，按照招标竞标法律法规规定的程序开标和评标。重新比选经评审有有效</w:t>
            </w:r>
            <w:r>
              <w:rPr>
                <w:rFonts w:hint="eastAsia" w:ascii="宋体" w:hAnsi="宋体" w:cs="宋体"/>
                <w:kern w:val="0"/>
                <w:szCs w:val="21"/>
                <w:lang w:eastAsia="zh-CN"/>
              </w:rPr>
              <w:t>竞标</w:t>
            </w:r>
            <w:r>
              <w:rPr>
                <w:rFonts w:hint="eastAsia" w:ascii="宋体" w:hAnsi="宋体" w:cs="宋体"/>
                <w:kern w:val="0"/>
                <w:szCs w:val="21"/>
              </w:rPr>
              <w:t>人的，应当依法确定中标候选人；无有效</w:t>
            </w:r>
            <w:r>
              <w:rPr>
                <w:rFonts w:hint="eastAsia" w:ascii="宋体" w:hAnsi="宋体" w:cs="宋体"/>
                <w:kern w:val="0"/>
                <w:szCs w:val="21"/>
                <w:lang w:eastAsia="zh-CN"/>
              </w:rPr>
              <w:t>竞标</w:t>
            </w:r>
            <w:r>
              <w:rPr>
                <w:rFonts w:hint="eastAsia" w:ascii="宋体" w:hAnsi="宋体" w:cs="宋体"/>
                <w:kern w:val="0"/>
                <w:szCs w:val="21"/>
              </w:rPr>
              <w:t>人的，可以不再进行比选，但是按照国家有关规定需要履行审批、核准、备案手续的依法必须进行招标的项目，应当报原项目投资主管部门审批、核准、备案。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keepNext w:val="0"/>
              <w:keepLines w:val="0"/>
              <w:pageBreakBefore w:val="0"/>
              <w:kinsoku/>
              <w:overflowPunct/>
              <w:bidi w:val="0"/>
              <w:snapToGrid w:val="0"/>
              <w:spacing w:line="400" w:lineRule="exact"/>
              <w:jc w:val="center"/>
              <w:textAlignment w:val="auto"/>
              <w:rPr>
                <w:rFonts w:ascii="宋体" w:hAnsi="宋体"/>
                <w:kern w:val="0"/>
                <w:szCs w:val="21"/>
              </w:rPr>
            </w:pPr>
            <w:r>
              <w:rPr>
                <w:rFonts w:ascii="宋体" w:hAnsi="宋体"/>
                <w:kern w:val="0"/>
                <w:szCs w:val="21"/>
              </w:rPr>
              <w:t>10</w:t>
            </w:r>
          </w:p>
        </w:tc>
        <w:tc>
          <w:tcPr>
            <w:tcW w:w="8134" w:type="dxa"/>
            <w:gridSpan w:val="2"/>
            <w:vAlign w:val="center"/>
          </w:tcPr>
          <w:p>
            <w:pPr>
              <w:keepNext w:val="0"/>
              <w:keepLines w:val="0"/>
              <w:pageBreakBefore w:val="0"/>
              <w:kinsoku/>
              <w:overflowPunct/>
              <w:bidi w:val="0"/>
              <w:snapToGrid w:val="0"/>
              <w:spacing w:line="400" w:lineRule="exact"/>
              <w:jc w:val="center"/>
              <w:textAlignment w:val="auto"/>
              <w:rPr>
                <w:rFonts w:ascii="宋体" w:hAnsi="宋体" w:cs="宋体"/>
                <w:kern w:val="0"/>
                <w:szCs w:val="21"/>
              </w:rPr>
            </w:pPr>
            <w:r>
              <w:rPr>
                <w:rFonts w:hint="eastAsia" w:ascii="宋体" w:hAnsi="宋体" w:cs="宋体"/>
                <w:kern w:val="0"/>
                <w:szCs w:val="21"/>
              </w:rPr>
              <w:t>需要补充的其他内容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335" w:type="dxa"/>
            <w:vAlign w:val="center"/>
          </w:tcPr>
          <w:p>
            <w:pPr>
              <w:keepNext w:val="0"/>
              <w:keepLines w:val="0"/>
              <w:pageBreakBefore w:val="0"/>
              <w:kinsoku/>
              <w:overflowPunct/>
              <w:bidi w:val="0"/>
              <w:snapToGrid w:val="0"/>
              <w:spacing w:line="400" w:lineRule="exact"/>
              <w:jc w:val="center"/>
              <w:textAlignment w:val="auto"/>
              <w:rPr>
                <w:rFonts w:ascii="宋体" w:hAnsi="宋体"/>
                <w:kern w:val="0"/>
                <w:szCs w:val="21"/>
              </w:rPr>
            </w:pPr>
            <w:r>
              <w:rPr>
                <w:rFonts w:ascii="宋体" w:hAnsi="宋体"/>
                <w:kern w:val="0"/>
                <w:szCs w:val="21"/>
              </w:rPr>
              <w:t>10.1</w:t>
            </w:r>
          </w:p>
        </w:tc>
        <w:tc>
          <w:tcPr>
            <w:tcW w:w="1644" w:type="dxa"/>
            <w:vAlign w:val="center"/>
          </w:tcPr>
          <w:p>
            <w:pPr>
              <w:keepNext w:val="0"/>
              <w:keepLines w:val="0"/>
              <w:pageBreakBefore w:val="0"/>
              <w:kinsoku/>
              <w:overflowPunct/>
              <w:bidi w:val="0"/>
              <w:snapToGrid w:val="0"/>
              <w:spacing w:line="400" w:lineRule="exact"/>
              <w:jc w:val="center"/>
              <w:textAlignment w:val="auto"/>
              <w:rPr>
                <w:rFonts w:ascii="宋体" w:hAnsi="宋体"/>
                <w:kern w:val="0"/>
                <w:szCs w:val="21"/>
              </w:rPr>
            </w:pPr>
            <w:r>
              <w:rPr>
                <w:rFonts w:ascii="宋体" w:hAnsi="宋体"/>
                <w:kern w:val="0"/>
                <w:szCs w:val="21"/>
              </w:rPr>
              <w:t>支付担保</w:t>
            </w:r>
          </w:p>
        </w:tc>
        <w:tc>
          <w:tcPr>
            <w:tcW w:w="6490" w:type="dxa"/>
            <w:vAlign w:val="center"/>
          </w:tcPr>
          <w:p>
            <w:pPr>
              <w:keepNext w:val="0"/>
              <w:keepLines w:val="0"/>
              <w:pageBreakBefore w:val="0"/>
              <w:kinsoku/>
              <w:overflowPunct/>
              <w:bidi w:val="0"/>
              <w:snapToGrid w:val="0"/>
              <w:spacing w:line="400" w:lineRule="exact"/>
              <w:ind w:firstLine="420" w:firstLineChars="200"/>
              <w:textAlignment w:val="auto"/>
              <w:rPr>
                <w:rFonts w:ascii="宋体" w:hAnsi="宋体" w:cs="宋体"/>
                <w:kern w:val="0"/>
                <w:szCs w:val="21"/>
              </w:rPr>
            </w:pPr>
            <w:r>
              <w:rPr>
                <w:rFonts w:hint="eastAsia" w:ascii="宋体" w:hAnsi="宋体" w:cs="宋体"/>
                <w:kern w:val="0"/>
                <w:szCs w:val="21"/>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335" w:type="dxa"/>
            <w:vAlign w:val="center"/>
          </w:tcPr>
          <w:p>
            <w:pPr>
              <w:keepNext w:val="0"/>
              <w:keepLines w:val="0"/>
              <w:pageBreakBefore w:val="0"/>
              <w:kinsoku/>
              <w:overflowPunct/>
              <w:bidi w:val="0"/>
              <w:snapToGrid w:val="0"/>
              <w:spacing w:line="400" w:lineRule="exact"/>
              <w:jc w:val="center"/>
              <w:textAlignment w:val="auto"/>
              <w:rPr>
                <w:rFonts w:ascii="宋体" w:hAnsi="宋体"/>
                <w:kern w:val="0"/>
                <w:szCs w:val="21"/>
              </w:rPr>
            </w:pPr>
            <w:r>
              <w:rPr>
                <w:rFonts w:ascii="宋体" w:hAnsi="宋体"/>
                <w:kern w:val="0"/>
                <w:szCs w:val="21"/>
              </w:rPr>
              <w:t>10.2</w:t>
            </w:r>
          </w:p>
        </w:tc>
        <w:tc>
          <w:tcPr>
            <w:tcW w:w="1644" w:type="dxa"/>
            <w:vAlign w:val="center"/>
          </w:tcPr>
          <w:p>
            <w:pPr>
              <w:keepNext w:val="0"/>
              <w:keepLines w:val="0"/>
              <w:pageBreakBefore w:val="0"/>
              <w:kinsoku/>
              <w:overflowPunct/>
              <w:bidi w:val="0"/>
              <w:snapToGrid w:val="0"/>
              <w:spacing w:line="400" w:lineRule="exact"/>
              <w:jc w:val="center"/>
              <w:textAlignment w:val="auto"/>
              <w:rPr>
                <w:rFonts w:ascii="宋体" w:hAnsi="宋体"/>
                <w:kern w:val="0"/>
                <w:szCs w:val="21"/>
              </w:rPr>
            </w:pPr>
            <w:r>
              <w:rPr>
                <w:rFonts w:hint="eastAsia" w:ascii="宋体" w:hAnsi="宋体"/>
                <w:kern w:val="0"/>
                <w:szCs w:val="21"/>
              </w:rPr>
              <w:t>项目经理答辩</w:t>
            </w:r>
          </w:p>
        </w:tc>
        <w:tc>
          <w:tcPr>
            <w:tcW w:w="6490" w:type="dxa"/>
            <w:vAlign w:val="center"/>
          </w:tcPr>
          <w:p>
            <w:pPr>
              <w:keepNext w:val="0"/>
              <w:keepLines w:val="0"/>
              <w:pageBreakBefore w:val="0"/>
              <w:widowControl/>
              <w:kinsoku/>
              <w:overflowPunct/>
              <w:bidi w:val="0"/>
              <w:spacing w:line="400" w:lineRule="exact"/>
              <w:ind w:firstLine="420" w:firstLineChars="200"/>
              <w:textAlignment w:val="auto"/>
              <w:rPr>
                <w:rFonts w:ascii="宋体" w:hAnsi="宋体" w:cs="宋体"/>
                <w:kern w:val="0"/>
                <w:szCs w:val="21"/>
              </w:rPr>
            </w:pPr>
            <w:r>
              <w:rPr>
                <w:rFonts w:hint="eastAsia" w:ascii="宋体" w:hAnsi="宋体" w:cs="宋体"/>
                <w:kern w:val="0"/>
                <w:szCs w:val="21"/>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keepNext w:val="0"/>
              <w:keepLines w:val="0"/>
              <w:pageBreakBefore w:val="0"/>
              <w:kinsoku/>
              <w:overflowPunct/>
              <w:bidi w:val="0"/>
              <w:snapToGrid w:val="0"/>
              <w:spacing w:line="400" w:lineRule="exact"/>
              <w:jc w:val="center"/>
              <w:textAlignment w:val="auto"/>
              <w:rPr>
                <w:rFonts w:ascii="宋体" w:hAnsi="宋体"/>
                <w:kern w:val="0"/>
                <w:szCs w:val="21"/>
              </w:rPr>
            </w:pPr>
            <w:r>
              <w:rPr>
                <w:rFonts w:ascii="宋体" w:hAnsi="宋体"/>
                <w:kern w:val="0"/>
                <w:szCs w:val="21"/>
              </w:rPr>
              <w:t>10.3</w:t>
            </w:r>
          </w:p>
        </w:tc>
        <w:tc>
          <w:tcPr>
            <w:tcW w:w="1644" w:type="dxa"/>
            <w:vAlign w:val="center"/>
          </w:tcPr>
          <w:p>
            <w:pPr>
              <w:keepNext w:val="0"/>
              <w:keepLines w:val="0"/>
              <w:pageBreakBefore w:val="0"/>
              <w:kinsoku/>
              <w:overflowPunct/>
              <w:bidi w:val="0"/>
              <w:snapToGrid w:val="0"/>
              <w:spacing w:line="400" w:lineRule="exact"/>
              <w:jc w:val="center"/>
              <w:textAlignment w:val="auto"/>
              <w:rPr>
                <w:rFonts w:ascii="宋体" w:hAnsi="宋体" w:cs="宋体"/>
                <w:kern w:val="0"/>
                <w:szCs w:val="21"/>
              </w:rPr>
            </w:pPr>
            <w:r>
              <w:rPr>
                <w:rFonts w:hint="eastAsia" w:ascii="宋体" w:hAnsi="宋体" w:cs="宋体"/>
                <w:kern w:val="0"/>
                <w:szCs w:val="21"/>
              </w:rPr>
              <w:t>异议、投诉处理</w:t>
            </w:r>
          </w:p>
        </w:tc>
        <w:tc>
          <w:tcPr>
            <w:tcW w:w="6490" w:type="dxa"/>
            <w:vAlign w:val="center"/>
          </w:tcPr>
          <w:p>
            <w:pPr>
              <w:keepNext w:val="0"/>
              <w:keepLines w:val="0"/>
              <w:pageBreakBefore w:val="0"/>
              <w:widowControl/>
              <w:kinsoku/>
              <w:overflowPunct/>
              <w:bidi w:val="0"/>
              <w:spacing w:line="400" w:lineRule="exact"/>
              <w:ind w:firstLine="420" w:firstLineChars="200"/>
              <w:textAlignment w:val="auto"/>
              <w:rPr>
                <w:rFonts w:ascii="宋体" w:hAnsi="宋体" w:cs="宋体"/>
                <w:kern w:val="0"/>
                <w:szCs w:val="21"/>
              </w:rPr>
            </w:pPr>
            <w:r>
              <w:rPr>
                <w:rFonts w:hint="eastAsia" w:ascii="宋体" w:hAnsi="宋体" w:cs="宋体"/>
                <w:kern w:val="0"/>
                <w:szCs w:val="21"/>
              </w:rPr>
              <w:t>1. 比选人或者其他利害关系人就本项目的比选文件（含澄清修改）、开标情况、评标结果等事项提出投诉的，应当先向比选人提出异议；比选人应当在规定时间内答复；对比选人的答复不满意，可向监督部门投诉。</w:t>
            </w:r>
          </w:p>
          <w:p>
            <w:pPr>
              <w:keepNext w:val="0"/>
              <w:keepLines w:val="0"/>
              <w:pageBreakBefore w:val="0"/>
              <w:widowControl/>
              <w:kinsoku/>
              <w:overflowPunct/>
              <w:bidi w:val="0"/>
              <w:spacing w:line="400" w:lineRule="exact"/>
              <w:ind w:firstLine="420" w:firstLineChars="200"/>
              <w:textAlignment w:val="auto"/>
              <w:rPr>
                <w:rFonts w:ascii="宋体" w:hAnsi="宋体" w:cs="宋体"/>
                <w:kern w:val="0"/>
                <w:szCs w:val="21"/>
              </w:rPr>
            </w:pPr>
            <w:r>
              <w:rPr>
                <w:rFonts w:hint="eastAsia" w:ascii="宋体" w:hAnsi="宋体" w:cs="宋体"/>
                <w:kern w:val="0"/>
                <w:szCs w:val="21"/>
              </w:rPr>
              <w:t>提出异议或投诉时应当包括下列内容：</w:t>
            </w:r>
          </w:p>
          <w:p>
            <w:pPr>
              <w:keepNext w:val="0"/>
              <w:keepLines w:val="0"/>
              <w:pageBreakBefore w:val="0"/>
              <w:widowControl/>
              <w:kinsoku/>
              <w:overflowPunct/>
              <w:bidi w:val="0"/>
              <w:spacing w:line="400" w:lineRule="exact"/>
              <w:ind w:firstLine="420" w:firstLineChars="200"/>
              <w:textAlignment w:val="auto"/>
              <w:rPr>
                <w:rFonts w:ascii="宋体" w:hAnsi="宋体" w:cs="宋体"/>
                <w:kern w:val="0"/>
                <w:szCs w:val="21"/>
              </w:rPr>
            </w:pPr>
            <w:r>
              <w:rPr>
                <w:rFonts w:hint="eastAsia" w:ascii="宋体" w:hAnsi="宋体" w:cs="宋体"/>
                <w:kern w:val="0"/>
                <w:szCs w:val="21"/>
              </w:rPr>
              <w:t>（1）异议或投诉人的名称、地址及有效联系方式；</w:t>
            </w:r>
          </w:p>
          <w:p>
            <w:pPr>
              <w:keepNext w:val="0"/>
              <w:keepLines w:val="0"/>
              <w:pageBreakBefore w:val="0"/>
              <w:widowControl/>
              <w:kinsoku/>
              <w:overflowPunct/>
              <w:bidi w:val="0"/>
              <w:spacing w:line="400" w:lineRule="exact"/>
              <w:ind w:firstLine="420" w:firstLineChars="200"/>
              <w:textAlignment w:val="auto"/>
              <w:rPr>
                <w:rFonts w:ascii="宋体" w:hAnsi="宋体" w:cs="宋体"/>
                <w:kern w:val="0"/>
                <w:szCs w:val="21"/>
              </w:rPr>
            </w:pPr>
            <w:r>
              <w:rPr>
                <w:rFonts w:hint="eastAsia" w:ascii="宋体" w:hAnsi="宋体" w:cs="宋体"/>
                <w:kern w:val="0"/>
                <w:szCs w:val="21"/>
              </w:rPr>
              <w:t>（2）被异议或投诉人的名称、地址及有效联系方式；</w:t>
            </w:r>
          </w:p>
          <w:p>
            <w:pPr>
              <w:keepNext w:val="0"/>
              <w:keepLines w:val="0"/>
              <w:pageBreakBefore w:val="0"/>
              <w:widowControl/>
              <w:kinsoku/>
              <w:overflowPunct/>
              <w:bidi w:val="0"/>
              <w:spacing w:line="400" w:lineRule="exact"/>
              <w:ind w:firstLine="420" w:firstLineChars="200"/>
              <w:textAlignment w:val="auto"/>
              <w:rPr>
                <w:rFonts w:ascii="宋体" w:hAnsi="宋体" w:cs="宋体"/>
                <w:kern w:val="0"/>
                <w:szCs w:val="21"/>
              </w:rPr>
            </w:pPr>
            <w:r>
              <w:rPr>
                <w:rFonts w:hint="eastAsia" w:ascii="宋体" w:hAnsi="宋体" w:cs="宋体"/>
                <w:kern w:val="0"/>
                <w:szCs w:val="21"/>
              </w:rPr>
              <w:t>（3）异议或投诉事项的基本事实；</w:t>
            </w:r>
          </w:p>
          <w:p>
            <w:pPr>
              <w:keepNext w:val="0"/>
              <w:keepLines w:val="0"/>
              <w:pageBreakBefore w:val="0"/>
              <w:widowControl/>
              <w:kinsoku/>
              <w:overflowPunct/>
              <w:bidi w:val="0"/>
              <w:spacing w:line="400" w:lineRule="exact"/>
              <w:ind w:firstLine="420" w:firstLineChars="200"/>
              <w:textAlignment w:val="auto"/>
              <w:rPr>
                <w:rFonts w:ascii="宋体" w:hAnsi="宋体" w:cs="宋体"/>
                <w:kern w:val="0"/>
                <w:szCs w:val="21"/>
              </w:rPr>
            </w:pPr>
            <w:r>
              <w:rPr>
                <w:rFonts w:hint="eastAsia" w:ascii="宋体" w:hAnsi="宋体" w:cs="宋体"/>
                <w:kern w:val="0"/>
                <w:szCs w:val="21"/>
              </w:rPr>
              <w:t>（4）请求及主张；</w:t>
            </w:r>
          </w:p>
          <w:p>
            <w:pPr>
              <w:keepNext w:val="0"/>
              <w:keepLines w:val="0"/>
              <w:pageBreakBefore w:val="0"/>
              <w:widowControl/>
              <w:kinsoku/>
              <w:overflowPunct/>
              <w:bidi w:val="0"/>
              <w:spacing w:line="400" w:lineRule="exact"/>
              <w:ind w:firstLine="420" w:firstLineChars="200"/>
              <w:textAlignment w:val="auto"/>
              <w:rPr>
                <w:rFonts w:ascii="宋体" w:hAnsi="宋体" w:cs="宋体"/>
                <w:kern w:val="0"/>
                <w:szCs w:val="21"/>
              </w:rPr>
            </w:pPr>
            <w:r>
              <w:rPr>
                <w:rFonts w:hint="eastAsia" w:ascii="宋体" w:hAnsi="宋体" w:cs="宋体"/>
                <w:kern w:val="0"/>
                <w:szCs w:val="21"/>
              </w:rPr>
              <w:t>（5）涉及事项的证据、证明材料。</w:t>
            </w:r>
          </w:p>
          <w:p>
            <w:pPr>
              <w:keepNext w:val="0"/>
              <w:keepLines w:val="0"/>
              <w:pageBreakBefore w:val="0"/>
              <w:widowControl/>
              <w:kinsoku/>
              <w:overflowPunct/>
              <w:bidi w:val="0"/>
              <w:spacing w:line="400" w:lineRule="exact"/>
              <w:ind w:firstLine="420" w:firstLineChars="200"/>
              <w:textAlignment w:val="auto"/>
              <w:rPr>
                <w:rFonts w:ascii="宋体" w:hAnsi="宋体" w:cs="宋体"/>
                <w:kern w:val="0"/>
                <w:szCs w:val="21"/>
              </w:rPr>
            </w:pPr>
            <w:r>
              <w:rPr>
                <w:rFonts w:hint="eastAsia" w:ascii="宋体" w:hAnsi="宋体" w:cs="宋体"/>
                <w:kern w:val="0"/>
                <w:szCs w:val="21"/>
              </w:rPr>
              <w:t>异议人或投诉人是法人的，异议书或投诉书必须由其法定代表人或者委托代理人签名并加盖单位公章；异议人或投诉人是其他组织或者自然人的，异议书或投诉书必须由其主要负责人签名或者异议人（或投诉人）本人签名，并附有效身份证明。如有关材料是外文，应当同时提供中文译本。</w:t>
            </w:r>
          </w:p>
          <w:p>
            <w:pPr>
              <w:keepNext w:val="0"/>
              <w:keepLines w:val="0"/>
              <w:pageBreakBefore w:val="0"/>
              <w:widowControl/>
              <w:kinsoku/>
              <w:overflowPunct/>
              <w:bidi w:val="0"/>
              <w:spacing w:line="400" w:lineRule="exact"/>
              <w:ind w:firstLine="420" w:firstLineChars="200"/>
              <w:textAlignment w:val="auto"/>
              <w:rPr>
                <w:rFonts w:ascii="宋体" w:hAnsi="宋体" w:cs="宋体"/>
                <w:kern w:val="0"/>
                <w:szCs w:val="21"/>
              </w:rPr>
            </w:pPr>
            <w:r>
              <w:rPr>
                <w:rFonts w:hint="eastAsia" w:ascii="宋体" w:hAnsi="宋体" w:cs="宋体"/>
                <w:kern w:val="0"/>
                <w:szCs w:val="21"/>
              </w:rPr>
              <w:t>2. 监督部门依照《中华人民共和国招标</w:t>
            </w:r>
            <w:r>
              <w:rPr>
                <w:rFonts w:hint="eastAsia" w:ascii="宋体" w:hAnsi="宋体" w:cs="宋体"/>
                <w:kern w:val="0"/>
                <w:szCs w:val="21"/>
                <w:lang w:val="en-US" w:eastAsia="zh-CN"/>
              </w:rPr>
              <w:t>投</w:t>
            </w:r>
            <w:r>
              <w:rPr>
                <w:rFonts w:hint="eastAsia" w:ascii="宋体" w:hAnsi="宋体" w:cs="宋体"/>
                <w:kern w:val="0"/>
                <w:szCs w:val="21"/>
              </w:rPr>
              <w:t>标法》、《中华人民共和国招标</w:t>
            </w:r>
            <w:r>
              <w:rPr>
                <w:rFonts w:hint="eastAsia" w:ascii="宋体" w:hAnsi="宋体" w:cs="宋体"/>
                <w:kern w:val="0"/>
                <w:szCs w:val="21"/>
                <w:lang w:val="en-US" w:eastAsia="zh-CN"/>
              </w:rPr>
              <w:t>投</w:t>
            </w:r>
            <w:r>
              <w:rPr>
                <w:rFonts w:hint="eastAsia" w:ascii="宋体" w:hAnsi="宋体" w:cs="宋体"/>
                <w:kern w:val="0"/>
                <w:szCs w:val="21"/>
              </w:rPr>
              <w:t>标法实施条例》、《重庆市招标</w:t>
            </w:r>
            <w:r>
              <w:rPr>
                <w:rFonts w:hint="eastAsia" w:ascii="宋体" w:hAnsi="宋体" w:cs="宋体"/>
                <w:kern w:val="0"/>
                <w:szCs w:val="21"/>
                <w:lang w:val="en-US" w:eastAsia="zh-CN"/>
              </w:rPr>
              <w:t>投</w:t>
            </w:r>
            <w:r>
              <w:rPr>
                <w:rFonts w:hint="eastAsia" w:ascii="宋体" w:hAnsi="宋体" w:cs="宋体"/>
                <w:kern w:val="0"/>
                <w:szCs w:val="21"/>
              </w:rPr>
              <w:t>标条例》、《工程建设项目招标</w:t>
            </w:r>
            <w:r>
              <w:rPr>
                <w:rFonts w:hint="eastAsia" w:ascii="宋体" w:hAnsi="宋体" w:cs="宋体"/>
                <w:kern w:val="0"/>
                <w:szCs w:val="21"/>
                <w:lang w:val="en-US" w:eastAsia="zh-CN"/>
              </w:rPr>
              <w:t>投</w:t>
            </w:r>
            <w:r>
              <w:rPr>
                <w:rFonts w:hint="eastAsia" w:ascii="宋体" w:hAnsi="宋体" w:cs="宋体"/>
                <w:kern w:val="0"/>
                <w:szCs w:val="21"/>
              </w:rPr>
              <w:t>标活动投诉处理办法》（七部委令第11号（根据九部门2013年第23号令修正））、《重庆市招标</w:t>
            </w:r>
            <w:r>
              <w:rPr>
                <w:rFonts w:hint="eastAsia" w:ascii="宋体" w:hAnsi="宋体" w:cs="宋体"/>
                <w:kern w:val="0"/>
                <w:szCs w:val="21"/>
                <w:lang w:val="en-US" w:eastAsia="zh-CN"/>
              </w:rPr>
              <w:t>投</w:t>
            </w:r>
            <w:r>
              <w:rPr>
                <w:rFonts w:hint="eastAsia" w:ascii="宋体" w:hAnsi="宋体" w:cs="宋体"/>
                <w:kern w:val="0"/>
                <w:szCs w:val="21"/>
              </w:rPr>
              <w:t>标活动投诉处理实施细则》（渝发改标〔2014〕1168号）等法律法规文件处理投诉。</w:t>
            </w:r>
          </w:p>
          <w:p>
            <w:pPr>
              <w:keepNext w:val="0"/>
              <w:keepLines w:val="0"/>
              <w:pageBreakBefore w:val="0"/>
              <w:kinsoku/>
              <w:overflowPunct/>
              <w:bidi w:val="0"/>
              <w:snapToGrid w:val="0"/>
              <w:spacing w:line="400" w:lineRule="exact"/>
              <w:ind w:firstLine="420" w:firstLineChars="200"/>
              <w:textAlignment w:val="auto"/>
              <w:rPr>
                <w:rFonts w:ascii="宋体" w:hAnsi="宋体" w:cs="宋体"/>
                <w:kern w:val="0"/>
                <w:szCs w:val="21"/>
              </w:rPr>
            </w:pPr>
            <w:r>
              <w:rPr>
                <w:rFonts w:hint="eastAsia" w:ascii="宋体" w:hAnsi="宋体" w:cs="宋体"/>
                <w:kern w:val="0"/>
                <w:szCs w:val="21"/>
              </w:rPr>
              <w:t>3. 根据《重庆市工程建设领域招标</w:t>
            </w:r>
            <w:r>
              <w:rPr>
                <w:rFonts w:hint="eastAsia" w:ascii="宋体" w:hAnsi="宋体" w:cs="宋体"/>
                <w:kern w:val="0"/>
                <w:szCs w:val="21"/>
                <w:lang w:val="en-US" w:eastAsia="zh-CN"/>
              </w:rPr>
              <w:t>投</w:t>
            </w:r>
            <w:r>
              <w:rPr>
                <w:rFonts w:hint="eastAsia" w:ascii="宋体" w:hAnsi="宋体" w:cs="宋体"/>
                <w:kern w:val="0"/>
                <w:szCs w:val="21"/>
              </w:rPr>
              <w:t>标信用管理暂行办法》的规定，</w:t>
            </w:r>
            <w:r>
              <w:rPr>
                <w:rFonts w:hint="eastAsia" w:ascii="宋体" w:hAnsi="宋体" w:cs="宋体"/>
                <w:kern w:val="0"/>
                <w:szCs w:val="21"/>
                <w:lang w:eastAsia="zh-CN"/>
              </w:rPr>
              <w:t>竞标</w:t>
            </w:r>
            <w:r>
              <w:rPr>
                <w:rFonts w:hint="eastAsia" w:ascii="宋体" w:hAnsi="宋体" w:cs="宋体"/>
                <w:kern w:val="0"/>
                <w:szCs w:val="21"/>
              </w:rPr>
              <w:t>人捏造事实、伪造材料，或者以非法手段获取证明材料进行质疑或者投诉的，将被列入黑名单管理；给他人造成损失的，依法承担赔偿责任。</w:t>
            </w:r>
          </w:p>
          <w:p>
            <w:pPr>
              <w:keepNext w:val="0"/>
              <w:keepLines w:val="0"/>
              <w:pageBreakBefore w:val="0"/>
              <w:kinsoku/>
              <w:overflowPunct/>
              <w:bidi w:val="0"/>
              <w:snapToGrid w:val="0"/>
              <w:spacing w:line="400" w:lineRule="exact"/>
              <w:ind w:firstLine="420" w:firstLineChars="200"/>
              <w:textAlignment w:val="auto"/>
              <w:rPr>
                <w:rFonts w:ascii="宋体" w:hAnsi="宋体" w:cs="宋体"/>
              </w:rPr>
            </w:pPr>
            <w:r>
              <w:rPr>
                <w:rFonts w:hint="eastAsia" w:ascii="宋体" w:hAnsi="宋体" w:cs="宋体"/>
                <w:kern w:val="0"/>
                <w:szCs w:val="21"/>
              </w:rPr>
              <w:t>4.</w:t>
            </w:r>
            <w:r>
              <w:rPr>
                <w:rFonts w:hint="eastAsia" w:ascii="宋体" w:hAnsi="宋体" w:cs="宋体"/>
              </w:rPr>
              <w:t xml:space="preserve"> </w:t>
            </w:r>
            <w:r>
              <w:rPr>
                <w:rFonts w:hint="eastAsia" w:ascii="宋体" w:hAnsi="宋体" w:cs="宋体"/>
                <w:kern w:val="0"/>
                <w:szCs w:val="21"/>
              </w:rPr>
              <w:t>异议受理单位：重庆渝中母城文化发展有限公司</w:t>
            </w:r>
          </w:p>
          <w:p>
            <w:pPr>
              <w:keepNext w:val="0"/>
              <w:keepLines w:val="0"/>
              <w:pageBreakBefore w:val="0"/>
              <w:kinsoku/>
              <w:overflowPunct/>
              <w:bidi w:val="0"/>
              <w:snapToGrid w:val="0"/>
              <w:spacing w:line="400" w:lineRule="exact"/>
              <w:ind w:firstLine="420" w:firstLineChars="200"/>
              <w:textAlignment w:val="auto"/>
              <w:rPr>
                <w:rFonts w:ascii="宋体" w:hAnsi="宋体" w:cs="宋体"/>
                <w:kern w:val="0"/>
                <w:szCs w:val="21"/>
              </w:rPr>
            </w:pPr>
            <w:r>
              <w:rPr>
                <w:rFonts w:hint="eastAsia" w:ascii="宋体" w:hAnsi="宋体" w:cs="宋体"/>
                <w:kern w:val="0"/>
                <w:szCs w:val="21"/>
              </w:rPr>
              <w:t>联系电话：023-63930544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keepNext w:val="0"/>
              <w:keepLines w:val="0"/>
              <w:pageBreakBefore w:val="0"/>
              <w:kinsoku/>
              <w:overflowPunct/>
              <w:bidi w:val="0"/>
              <w:snapToGrid w:val="0"/>
              <w:spacing w:line="400" w:lineRule="exact"/>
              <w:jc w:val="center"/>
              <w:textAlignment w:val="auto"/>
              <w:rPr>
                <w:rFonts w:ascii="宋体" w:hAnsi="宋体"/>
                <w:kern w:val="0"/>
                <w:szCs w:val="21"/>
              </w:rPr>
            </w:pPr>
            <w:r>
              <w:rPr>
                <w:rFonts w:hint="eastAsia" w:ascii="宋体" w:hAnsi="宋体"/>
                <w:kern w:val="0"/>
                <w:szCs w:val="21"/>
              </w:rPr>
              <w:t>10.4</w:t>
            </w:r>
          </w:p>
        </w:tc>
        <w:tc>
          <w:tcPr>
            <w:tcW w:w="1644" w:type="dxa"/>
            <w:vAlign w:val="center"/>
          </w:tcPr>
          <w:p>
            <w:pPr>
              <w:keepNext w:val="0"/>
              <w:keepLines w:val="0"/>
              <w:pageBreakBefore w:val="0"/>
              <w:kinsoku/>
              <w:overflowPunct/>
              <w:bidi w:val="0"/>
              <w:snapToGrid w:val="0"/>
              <w:spacing w:line="400" w:lineRule="exact"/>
              <w:jc w:val="center"/>
              <w:textAlignment w:val="auto"/>
              <w:rPr>
                <w:rFonts w:ascii="宋体" w:hAnsi="宋体" w:cs="宋体"/>
                <w:kern w:val="0"/>
                <w:szCs w:val="21"/>
              </w:rPr>
            </w:pPr>
            <w:r>
              <w:rPr>
                <w:rFonts w:hint="eastAsia" w:ascii="宋体" w:hAnsi="宋体" w:cs="宋体"/>
                <w:kern w:val="0"/>
                <w:szCs w:val="21"/>
              </w:rPr>
              <w:t>工程量清单</w:t>
            </w:r>
          </w:p>
          <w:p>
            <w:pPr>
              <w:keepNext w:val="0"/>
              <w:keepLines w:val="0"/>
              <w:pageBreakBefore w:val="0"/>
              <w:kinsoku/>
              <w:overflowPunct/>
              <w:bidi w:val="0"/>
              <w:snapToGrid w:val="0"/>
              <w:spacing w:line="400" w:lineRule="exact"/>
              <w:jc w:val="center"/>
              <w:textAlignment w:val="auto"/>
              <w:rPr>
                <w:rFonts w:ascii="宋体" w:hAnsi="宋体" w:cs="宋体"/>
                <w:kern w:val="0"/>
                <w:szCs w:val="21"/>
              </w:rPr>
            </w:pPr>
            <w:r>
              <w:rPr>
                <w:rFonts w:hint="eastAsia" w:ascii="宋体" w:hAnsi="宋体" w:cs="宋体"/>
                <w:kern w:val="0"/>
                <w:szCs w:val="21"/>
              </w:rPr>
              <w:t>编制说明</w:t>
            </w:r>
          </w:p>
        </w:tc>
        <w:tc>
          <w:tcPr>
            <w:tcW w:w="6490" w:type="dxa"/>
            <w:vAlign w:val="center"/>
          </w:tcPr>
          <w:p>
            <w:pPr>
              <w:keepNext w:val="0"/>
              <w:keepLines w:val="0"/>
              <w:pageBreakBefore w:val="0"/>
              <w:widowControl/>
              <w:kinsoku/>
              <w:overflowPunct/>
              <w:bidi w:val="0"/>
              <w:spacing w:line="400" w:lineRule="exact"/>
              <w:ind w:firstLine="420" w:firstLineChars="200"/>
              <w:textAlignment w:val="auto"/>
              <w:rPr>
                <w:rFonts w:ascii="宋体" w:hAnsi="宋体" w:cs="宋体"/>
                <w:kern w:val="0"/>
                <w:szCs w:val="21"/>
              </w:rPr>
            </w:pPr>
            <w:r>
              <w:rPr>
                <w:rFonts w:hint="eastAsia" w:ascii="宋体" w:hAnsi="宋体" w:cs="宋体"/>
                <w:kern w:val="0"/>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keepNext w:val="0"/>
              <w:keepLines w:val="0"/>
              <w:pageBreakBefore w:val="0"/>
              <w:kinsoku/>
              <w:overflowPunct/>
              <w:bidi w:val="0"/>
              <w:snapToGrid w:val="0"/>
              <w:spacing w:line="400" w:lineRule="exact"/>
              <w:jc w:val="center"/>
              <w:textAlignment w:val="auto"/>
              <w:rPr>
                <w:rFonts w:hint="eastAsia" w:ascii="宋体" w:hAnsi="宋体" w:eastAsia="宋体"/>
                <w:kern w:val="0"/>
                <w:szCs w:val="21"/>
                <w:lang w:eastAsia="zh-CN"/>
              </w:rPr>
            </w:pPr>
            <w:r>
              <w:rPr>
                <w:rFonts w:hint="eastAsia" w:ascii="宋体" w:hAnsi="宋体"/>
                <w:kern w:val="0"/>
                <w:szCs w:val="21"/>
              </w:rPr>
              <w:t>10.</w:t>
            </w:r>
            <w:r>
              <w:rPr>
                <w:rFonts w:hint="eastAsia" w:ascii="宋体" w:hAnsi="宋体"/>
                <w:kern w:val="0"/>
                <w:szCs w:val="21"/>
                <w:lang w:val="en-US" w:eastAsia="zh-CN"/>
              </w:rPr>
              <w:t>5</w:t>
            </w:r>
          </w:p>
        </w:tc>
        <w:tc>
          <w:tcPr>
            <w:tcW w:w="1644" w:type="dxa"/>
            <w:vAlign w:val="center"/>
          </w:tcPr>
          <w:p>
            <w:pPr>
              <w:keepNext w:val="0"/>
              <w:keepLines w:val="0"/>
              <w:pageBreakBefore w:val="0"/>
              <w:kinsoku/>
              <w:overflowPunct/>
              <w:bidi w:val="0"/>
              <w:snapToGrid w:val="0"/>
              <w:spacing w:line="400" w:lineRule="exact"/>
              <w:jc w:val="center"/>
              <w:textAlignment w:val="auto"/>
              <w:rPr>
                <w:rFonts w:ascii="宋体" w:hAnsi="宋体"/>
                <w:kern w:val="0"/>
                <w:szCs w:val="21"/>
              </w:rPr>
            </w:pPr>
            <w:r>
              <w:rPr>
                <w:rFonts w:hint="eastAsia" w:ascii="宋体" w:hAnsi="宋体"/>
                <w:kern w:val="0"/>
                <w:szCs w:val="21"/>
              </w:rPr>
              <w:t>低价风险担保</w:t>
            </w:r>
          </w:p>
        </w:tc>
        <w:tc>
          <w:tcPr>
            <w:tcW w:w="6490" w:type="dxa"/>
            <w:vAlign w:val="center"/>
          </w:tcPr>
          <w:p>
            <w:pPr>
              <w:pStyle w:val="2"/>
              <w:keepNext w:val="0"/>
              <w:keepLines w:val="0"/>
              <w:pageBreakBefore w:val="0"/>
              <w:widowControl/>
              <w:kinsoku/>
              <w:overflowPunct/>
              <w:bidi w:val="0"/>
              <w:spacing w:after="0" w:line="400" w:lineRule="exact"/>
              <w:ind w:firstLine="420" w:firstLineChars="200"/>
              <w:textAlignment w:val="auto"/>
              <w:rPr>
                <w:rFonts w:ascii="宋体" w:hAnsi="宋体" w:cs="宋体"/>
                <w:kern w:val="0"/>
                <w:szCs w:val="21"/>
              </w:rPr>
            </w:pPr>
            <w:r>
              <w:rPr>
                <w:rFonts w:hint="eastAsia" w:ascii="宋体" w:hAnsi="宋体" w:cs="宋体"/>
                <w:kern w:val="0"/>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keepNext w:val="0"/>
              <w:keepLines w:val="0"/>
              <w:pageBreakBefore w:val="0"/>
              <w:kinsoku/>
              <w:overflowPunct/>
              <w:bidi w:val="0"/>
              <w:snapToGrid w:val="0"/>
              <w:spacing w:line="400" w:lineRule="exact"/>
              <w:jc w:val="center"/>
              <w:textAlignment w:val="auto"/>
              <w:rPr>
                <w:rFonts w:hint="eastAsia" w:ascii="宋体" w:hAnsi="宋体" w:eastAsia="宋体"/>
                <w:kern w:val="0"/>
                <w:szCs w:val="21"/>
                <w:lang w:eastAsia="zh-CN"/>
              </w:rPr>
            </w:pPr>
            <w:r>
              <w:rPr>
                <w:rFonts w:hint="eastAsia" w:ascii="宋体" w:hAnsi="宋体"/>
                <w:kern w:val="0"/>
                <w:szCs w:val="21"/>
              </w:rPr>
              <w:t>1</w:t>
            </w:r>
            <w:r>
              <w:rPr>
                <w:rFonts w:hint="eastAsia" w:ascii="宋体" w:hAnsi="宋体"/>
                <w:kern w:val="0"/>
                <w:szCs w:val="21"/>
                <w:lang w:val="en-US" w:eastAsia="zh-CN"/>
              </w:rPr>
              <w:t>0.6</w:t>
            </w:r>
          </w:p>
        </w:tc>
        <w:tc>
          <w:tcPr>
            <w:tcW w:w="1644" w:type="dxa"/>
            <w:vAlign w:val="center"/>
          </w:tcPr>
          <w:p>
            <w:pPr>
              <w:keepNext w:val="0"/>
              <w:keepLines w:val="0"/>
              <w:pageBreakBefore w:val="0"/>
              <w:kinsoku/>
              <w:overflowPunct/>
              <w:bidi w:val="0"/>
              <w:snapToGrid w:val="0"/>
              <w:spacing w:line="400" w:lineRule="exact"/>
              <w:jc w:val="center"/>
              <w:textAlignment w:val="auto"/>
              <w:rPr>
                <w:rFonts w:ascii="宋体" w:hAnsi="宋体"/>
                <w:kern w:val="0"/>
                <w:szCs w:val="21"/>
              </w:rPr>
            </w:pPr>
            <w:r>
              <w:rPr>
                <w:rFonts w:hint="eastAsia" w:ascii="宋体" w:hAnsi="宋体"/>
                <w:kern w:val="0"/>
                <w:szCs w:val="21"/>
              </w:rPr>
              <w:t>其他</w:t>
            </w:r>
          </w:p>
        </w:tc>
        <w:tc>
          <w:tcPr>
            <w:tcW w:w="6490" w:type="dxa"/>
            <w:vAlign w:val="center"/>
          </w:tcPr>
          <w:p>
            <w:pPr>
              <w:keepNext w:val="0"/>
              <w:keepLines w:val="0"/>
              <w:pageBreakBefore w:val="0"/>
              <w:kinsoku/>
              <w:overflowPunct/>
              <w:autoSpaceDE w:val="0"/>
              <w:autoSpaceDN w:val="0"/>
              <w:bidi w:val="0"/>
              <w:adjustRightInd w:val="0"/>
              <w:snapToGrid w:val="0"/>
              <w:spacing w:line="400" w:lineRule="exact"/>
              <w:ind w:firstLine="420" w:firstLineChars="200"/>
              <w:jc w:val="left"/>
              <w:textAlignment w:val="auto"/>
              <w:rPr>
                <w:rFonts w:ascii="宋体" w:hAnsi="宋体" w:cs="宋体"/>
                <w:i/>
                <w:kern w:val="0"/>
                <w:szCs w:val="21"/>
              </w:rPr>
            </w:pPr>
            <w:r>
              <w:rPr>
                <w:rFonts w:hint="eastAsia" w:ascii="宋体" w:hAnsi="宋体" w:cs="宋体"/>
                <w:kern w:val="0"/>
                <w:szCs w:val="21"/>
              </w:rPr>
              <w:t>代理服务费：1.</w:t>
            </w:r>
            <w:r>
              <w:rPr>
                <w:rFonts w:hint="eastAsia" w:ascii="宋体" w:hAnsi="宋体" w:cs="宋体"/>
                <w:kern w:val="0"/>
                <w:szCs w:val="21"/>
                <w:lang w:val="en-US" w:eastAsia="zh-CN"/>
              </w:rPr>
              <w:t>99</w:t>
            </w:r>
            <w:r>
              <w:rPr>
                <w:rFonts w:hint="eastAsia" w:ascii="宋体" w:hAnsi="宋体" w:cs="宋体"/>
                <w:kern w:val="0"/>
                <w:szCs w:val="21"/>
              </w:rPr>
              <w:t>万元，由中标单位在领取中标通知书时一次性向代理公司支付。该费用</w:t>
            </w:r>
            <w:r>
              <w:rPr>
                <w:rFonts w:hint="eastAsia" w:ascii="宋体" w:hAnsi="宋体" w:cs="宋体"/>
                <w:kern w:val="0"/>
                <w:szCs w:val="21"/>
                <w:lang w:eastAsia="zh-CN"/>
              </w:rPr>
              <w:t>竞标</w:t>
            </w:r>
            <w:r>
              <w:rPr>
                <w:rFonts w:hint="eastAsia" w:ascii="宋体" w:hAnsi="宋体" w:cs="宋体"/>
                <w:kern w:val="0"/>
                <w:szCs w:val="21"/>
              </w:rPr>
              <w:t>人自行考虑在</w:t>
            </w:r>
            <w:r>
              <w:rPr>
                <w:rFonts w:hint="eastAsia" w:ascii="宋体" w:hAnsi="宋体" w:cs="宋体"/>
                <w:kern w:val="0"/>
                <w:szCs w:val="21"/>
                <w:lang w:eastAsia="zh-CN"/>
              </w:rPr>
              <w:t>竞标</w:t>
            </w:r>
            <w:r>
              <w:rPr>
                <w:rFonts w:hint="eastAsia" w:ascii="宋体" w:hAnsi="宋体" w:cs="宋体"/>
                <w:kern w:val="0"/>
                <w:szCs w:val="21"/>
              </w:rPr>
              <w:t>报价中，但不单独列出。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5" w:type="dxa"/>
            <w:vAlign w:val="center"/>
          </w:tcPr>
          <w:p>
            <w:pPr>
              <w:keepNext w:val="0"/>
              <w:keepLines w:val="0"/>
              <w:pageBreakBefore w:val="0"/>
              <w:kinsoku/>
              <w:overflowPunct/>
              <w:bidi w:val="0"/>
              <w:snapToGrid w:val="0"/>
              <w:spacing w:line="400" w:lineRule="exact"/>
              <w:jc w:val="center"/>
              <w:textAlignment w:val="auto"/>
              <w:rPr>
                <w:rFonts w:hint="default" w:ascii="宋体" w:hAnsi="宋体" w:eastAsia="宋体"/>
                <w:kern w:val="0"/>
                <w:szCs w:val="21"/>
                <w:lang w:val="en-US" w:eastAsia="zh-CN"/>
              </w:rPr>
            </w:pPr>
            <w:bookmarkStart w:id="141" w:name="_Toc287620685"/>
            <w:bookmarkStart w:id="142" w:name="_Toc224103317"/>
            <w:bookmarkStart w:id="143" w:name="_Toc287607746"/>
            <w:bookmarkStart w:id="144" w:name="_Toc200513126"/>
            <w:bookmarkStart w:id="145" w:name="_Toc430530435"/>
            <w:bookmarkStart w:id="146" w:name="_Toc277082552"/>
            <w:r>
              <w:rPr>
                <w:rFonts w:hint="eastAsia" w:ascii="宋体" w:hAnsi="宋体"/>
                <w:kern w:val="0"/>
                <w:szCs w:val="21"/>
                <w:lang w:val="en-US" w:eastAsia="zh-CN"/>
              </w:rPr>
              <w:t>10.7</w:t>
            </w:r>
          </w:p>
        </w:tc>
        <w:tc>
          <w:tcPr>
            <w:tcW w:w="1644" w:type="dxa"/>
            <w:vAlign w:val="center"/>
          </w:tcPr>
          <w:p>
            <w:pPr>
              <w:keepNext w:val="0"/>
              <w:keepLines w:val="0"/>
              <w:pageBreakBefore w:val="0"/>
              <w:kinsoku/>
              <w:overflowPunct/>
              <w:bidi w:val="0"/>
              <w:snapToGrid w:val="0"/>
              <w:spacing w:line="400" w:lineRule="exact"/>
              <w:jc w:val="center"/>
              <w:textAlignment w:val="auto"/>
              <w:rPr>
                <w:rFonts w:hint="eastAsia" w:ascii="宋体" w:hAnsi="宋体"/>
                <w:kern w:val="0"/>
                <w:szCs w:val="21"/>
              </w:rPr>
            </w:pPr>
            <w:r>
              <w:rPr>
                <w:rFonts w:hint="eastAsia" w:ascii="宋体" w:hAnsi="宋体"/>
                <w:snapToGrid w:val="0"/>
                <w:kern w:val="0"/>
                <w:szCs w:val="21"/>
                <w:highlight w:val="none"/>
                <w:lang w:val="en-US" w:eastAsia="zh-CN"/>
              </w:rPr>
              <w:t>比选文件售价</w:t>
            </w:r>
          </w:p>
        </w:tc>
        <w:tc>
          <w:tcPr>
            <w:tcW w:w="6490" w:type="dxa"/>
            <w:vAlign w:val="center"/>
          </w:tcPr>
          <w:p>
            <w:pPr>
              <w:keepNext w:val="0"/>
              <w:keepLines w:val="0"/>
              <w:pageBreakBefore w:val="0"/>
              <w:kinsoku/>
              <w:overflowPunct/>
              <w:autoSpaceDE w:val="0"/>
              <w:autoSpaceDN w:val="0"/>
              <w:bidi w:val="0"/>
              <w:adjustRightInd w:val="0"/>
              <w:snapToGrid w:val="0"/>
              <w:spacing w:line="400" w:lineRule="exact"/>
              <w:ind w:firstLine="420" w:firstLineChars="200"/>
              <w:jc w:val="left"/>
              <w:textAlignment w:val="auto"/>
              <w:rPr>
                <w:rFonts w:hint="eastAsia" w:ascii="宋体" w:hAnsi="宋体" w:cs="宋体"/>
                <w:kern w:val="0"/>
                <w:szCs w:val="21"/>
              </w:rPr>
            </w:pPr>
            <w:r>
              <w:rPr>
                <w:rFonts w:hint="eastAsia" w:ascii="宋体" w:hAnsi="宋体" w:cs="宋体"/>
                <w:kern w:val="0"/>
                <w:szCs w:val="21"/>
              </w:rPr>
              <w:t>比选文件每套售价</w:t>
            </w:r>
            <w:r>
              <w:rPr>
                <w:rFonts w:hint="eastAsia" w:ascii="宋体" w:hAnsi="宋体" w:cs="宋体"/>
                <w:kern w:val="0"/>
                <w:szCs w:val="21"/>
                <w:u w:val="single"/>
                <w:lang w:val="en-US" w:eastAsia="zh-CN"/>
              </w:rPr>
              <w:t>5</w:t>
            </w:r>
            <w:r>
              <w:rPr>
                <w:rFonts w:hint="eastAsia" w:ascii="宋体" w:hAnsi="宋体" w:cs="宋体"/>
                <w:kern w:val="0"/>
                <w:szCs w:val="21"/>
                <w:u w:val="single"/>
              </w:rPr>
              <w:t>00.00</w:t>
            </w:r>
            <w:r>
              <w:rPr>
                <w:rFonts w:hint="eastAsia" w:ascii="宋体" w:hAnsi="宋体" w:cs="宋体"/>
                <w:kern w:val="0"/>
                <w:szCs w:val="21"/>
              </w:rPr>
              <w:t>元</w:t>
            </w:r>
            <w:r>
              <w:rPr>
                <w:rFonts w:hint="eastAsia" w:ascii="宋体" w:hAnsi="宋体" w:cs="宋体"/>
                <w:kern w:val="0"/>
                <w:szCs w:val="21"/>
                <w:lang w:eastAsia="zh-CN"/>
              </w:rPr>
              <w:t>（</w:t>
            </w:r>
            <w:r>
              <w:rPr>
                <w:rFonts w:hint="eastAsia" w:ascii="宋体" w:hAnsi="宋体" w:cs="宋体"/>
                <w:kern w:val="0"/>
                <w:szCs w:val="21"/>
                <w:lang w:val="en-US" w:eastAsia="zh-CN"/>
              </w:rPr>
              <w:t>售后不退</w:t>
            </w:r>
            <w:r>
              <w:rPr>
                <w:rFonts w:hint="eastAsia" w:ascii="宋体" w:hAnsi="宋体" w:cs="宋体"/>
                <w:kern w:val="0"/>
                <w:szCs w:val="21"/>
                <w:lang w:eastAsia="zh-CN"/>
              </w:rPr>
              <w:t>）</w:t>
            </w:r>
            <w:r>
              <w:rPr>
                <w:rFonts w:hint="eastAsia" w:ascii="宋体" w:hAnsi="宋体" w:cs="宋体"/>
                <w:kern w:val="0"/>
                <w:szCs w:val="21"/>
              </w:rPr>
              <w:t>，由竞标人在递交竞标文件时递交，售后不退。</w:t>
            </w:r>
          </w:p>
        </w:tc>
      </w:tr>
    </w:tbl>
    <w:p>
      <w:pPr>
        <w:pStyle w:val="4"/>
        <w:spacing w:before="0" w:after="0" w:line="20" w:lineRule="exact"/>
        <w:rPr>
          <w:rFonts w:ascii="宋体" w:hAnsi="宋体"/>
          <w:b w:val="0"/>
          <w:snapToGrid w:val="0"/>
        </w:rPr>
      </w:pPr>
    </w:p>
    <w:p>
      <w:pPr>
        <w:pStyle w:val="4"/>
        <w:spacing w:before="0" w:after="0" w:line="200" w:lineRule="exact"/>
        <w:rPr>
          <w:rFonts w:ascii="宋体" w:hAnsi="宋体"/>
          <w:b w:val="0"/>
          <w:snapToGrid w:val="0"/>
        </w:rPr>
      </w:pPr>
      <w:r>
        <w:rPr>
          <w:rFonts w:ascii="宋体" w:hAnsi="宋体"/>
          <w:b w:val="0"/>
          <w:snapToGrid w:val="0"/>
        </w:rPr>
        <w:br w:type="page"/>
      </w:r>
    </w:p>
    <w:bookmarkEnd w:id="141"/>
    <w:bookmarkEnd w:id="142"/>
    <w:bookmarkEnd w:id="143"/>
    <w:bookmarkEnd w:id="144"/>
    <w:bookmarkEnd w:id="145"/>
    <w:bookmarkEnd w:id="146"/>
    <w:p>
      <w:pPr>
        <w:keepNext w:val="0"/>
        <w:keepLines w:val="0"/>
        <w:pageBreakBefore w:val="0"/>
        <w:kinsoku/>
        <w:wordWrap/>
        <w:overflowPunct/>
        <w:topLinePunct w:val="0"/>
        <w:bidi w:val="0"/>
        <w:adjustRightInd w:val="0"/>
        <w:snapToGrid w:val="0"/>
        <w:spacing w:line="360" w:lineRule="auto"/>
        <w:jc w:val="left"/>
        <w:textAlignment w:val="auto"/>
        <w:rPr>
          <w:rFonts w:ascii="宋体" w:hAnsi="宋体"/>
          <w:b/>
          <w:bCs/>
          <w:sz w:val="28"/>
          <w:szCs w:val="28"/>
        </w:rPr>
      </w:pPr>
      <w:r>
        <w:rPr>
          <w:rFonts w:ascii="宋体" w:hAnsi="宋体"/>
          <w:b/>
          <w:bCs/>
          <w:sz w:val="28"/>
          <w:szCs w:val="28"/>
        </w:rPr>
        <w:t>1.总  则</w:t>
      </w:r>
    </w:p>
    <w:p>
      <w:pPr>
        <w:keepNext w:val="0"/>
        <w:keepLines w:val="0"/>
        <w:pageBreakBefore w:val="0"/>
        <w:kinsoku/>
        <w:wordWrap/>
        <w:overflowPunct/>
        <w:topLinePunct w:val="0"/>
        <w:bidi w:val="0"/>
        <w:adjustRightInd w:val="0"/>
        <w:snapToGrid w:val="0"/>
        <w:spacing w:line="360" w:lineRule="auto"/>
        <w:ind w:firstLine="422" w:firstLineChars="200"/>
        <w:jc w:val="left"/>
        <w:textAlignment w:val="auto"/>
        <w:rPr>
          <w:rFonts w:ascii="宋体" w:hAnsi="宋体"/>
          <w:b/>
          <w:bCs/>
          <w:szCs w:val="21"/>
        </w:rPr>
      </w:pPr>
      <w:r>
        <w:rPr>
          <w:rFonts w:ascii="宋体" w:hAnsi="宋体"/>
          <w:b/>
          <w:bCs/>
          <w:szCs w:val="21"/>
        </w:rPr>
        <w:t>1.1项目概况</w:t>
      </w:r>
    </w:p>
    <w:p>
      <w:pPr>
        <w:pStyle w:val="41"/>
        <w:keepNext w:val="0"/>
        <w:keepLines w:val="0"/>
        <w:pageBreakBefore w:val="0"/>
        <w:kinsoku/>
        <w:wordWrap/>
        <w:overflowPunct/>
        <w:topLinePunct w:val="0"/>
        <w:bidi w:val="0"/>
        <w:spacing w:before="0" w:beforeAutospacing="0" w:after="0" w:afterAutospacing="0" w:line="360" w:lineRule="auto"/>
        <w:ind w:firstLine="420" w:firstLineChars="200"/>
        <w:textAlignment w:val="auto"/>
        <w:rPr>
          <w:iCs/>
          <w:sz w:val="21"/>
          <w:szCs w:val="21"/>
        </w:rPr>
      </w:pPr>
      <w:r>
        <w:rPr>
          <w:iCs/>
          <w:sz w:val="21"/>
          <w:szCs w:val="21"/>
        </w:rPr>
        <w:t>1.1.1</w:t>
      </w:r>
      <w:r>
        <w:rPr>
          <w:rFonts w:hint="eastAsia"/>
          <w:iCs/>
          <w:sz w:val="21"/>
          <w:szCs w:val="21"/>
        </w:rPr>
        <w:t>根据《中华人民共和国招标</w:t>
      </w:r>
      <w:r>
        <w:rPr>
          <w:rFonts w:hint="eastAsia"/>
          <w:iCs/>
          <w:sz w:val="21"/>
          <w:szCs w:val="21"/>
          <w:lang w:val="en-US" w:eastAsia="zh-CN"/>
        </w:rPr>
        <w:t>投标</w:t>
      </w:r>
      <w:r>
        <w:rPr>
          <w:rFonts w:hint="eastAsia"/>
          <w:iCs/>
          <w:sz w:val="21"/>
          <w:szCs w:val="21"/>
        </w:rPr>
        <w:t>法》、《中华人民共和国招标投标法实施条例》等有关法律、法规和规章的规定，本比选项目已具备比选条件，现对本项目的</w:t>
      </w:r>
      <w:r>
        <w:rPr>
          <w:rFonts w:hint="eastAsia"/>
          <w:iCs/>
          <w:sz w:val="21"/>
          <w:szCs w:val="21"/>
          <w:lang w:val="en-US" w:eastAsia="zh-CN"/>
        </w:rPr>
        <w:t>施工</w:t>
      </w:r>
      <w:r>
        <w:rPr>
          <w:rFonts w:hint="eastAsia"/>
          <w:iCs/>
          <w:sz w:val="21"/>
          <w:szCs w:val="21"/>
        </w:rPr>
        <w:t>进行比选。</w:t>
      </w:r>
    </w:p>
    <w:p>
      <w:pPr>
        <w:pStyle w:val="41"/>
        <w:keepNext w:val="0"/>
        <w:keepLines w:val="0"/>
        <w:pageBreakBefore w:val="0"/>
        <w:kinsoku/>
        <w:wordWrap/>
        <w:overflowPunct/>
        <w:topLinePunct w:val="0"/>
        <w:bidi w:val="0"/>
        <w:spacing w:before="0" w:beforeAutospacing="0" w:after="0" w:afterAutospacing="0" w:line="360" w:lineRule="auto"/>
        <w:ind w:firstLine="420" w:firstLineChars="200"/>
        <w:textAlignment w:val="auto"/>
        <w:rPr>
          <w:snapToGrid w:val="0"/>
          <w:sz w:val="21"/>
          <w:szCs w:val="21"/>
        </w:rPr>
      </w:pPr>
      <w:r>
        <w:rPr>
          <w:rFonts w:hint="eastAsia"/>
          <w:snapToGrid w:val="0"/>
          <w:sz w:val="21"/>
          <w:szCs w:val="21"/>
        </w:rPr>
        <w:t>1.1.2本比选项目比选人：见</w:t>
      </w:r>
      <w:r>
        <w:rPr>
          <w:rFonts w:hint="eastAsia"/>
          <w:snapToGrid w:val="0"/>
          <w:sz w:val="21"/>
          <w:szCs w:val="21"/>
          <w:lang w:eastAsia="zh-CN"/>
        </w:rPr>
        <w:t>竞标</w:t>
      </w:r>
      <w:r>
        <w:rPr>
          <w:rFonts w:hint="eastAsia"/>
          <w:snapToGrid w:val="0"/>
          <w:sz w:val="21"/>
          <w:szCs w:val="21"/>
        </w:rPr>
        <w:t>人须知前附表。</w:t>
      </w:r>
    </w:p>
    <w:p>
      <w:pPr>
        <w:keepNext w:val="0"/>
        <w:keepLines w:val="0"/>
        <w:pageBreakBefore w:val="0"/>
        <w:kinsoku/>
        <w:wordWrap/>
        <w:overflowPunct/>
        <w:topLinePunct w:val="0"/>
        <w:autoSpaceDE w:val="0"/>
        <w:autoSpaceDN w:val="0"/>
        <w:bidi w:val="0"/>
        <w:adjustRightInd w:val="0"/>
        <w:snapToGrid w:val="0"/>
        <w:spacing w:line="360" w:lineRule="auto"/>
        <w:ind w:firstLine="420" w:firstLineChars="200"/>
        <w:jc w:val="left"/>
        <w:textAlignment w:val="auto"/>
        <w:rPr>
          <w:rFonts w:ascii="宋体" w:hAnsi="宋体"/>
          <w:snapToGrid w:val="0"/>
          <w:kern w:val="0"/>
          <w:szCs w:val="21"/>
        </w:rPr>
      </w:pPr>
      <w:r>
        <w:rPr>
          <w:rFonts w:hint="eastAsia" w:ascii="宋体" w:hAnsi="宋体"/>
          <w:snapToGrid w:val="0"/>
          <w:kern w:val="0"/>
          <w:szCs w:val="21"/>
        </w:rPr>
        <w:t>1.1.3本比选项目代理机构：见</w:t>
      </w:r>
      <w:r>
        <w:rPr>
          <w:rFonts w:hint="eastAsia" w:ascii="宋体" w:hAnsi="宋体"/>
          <w:snapToGrid w:val="0"/>
          <w:kern w:val="0"/>
          <w:szCs w:val="21"/>
          <w:lang w:eastAsia="zh-CN"/>
        </w:rPr>
        <w:t>竞标</w:t>
      </w:r>
      <w:r>
        <w:rPr>
          <w:rFonts w:hint="eastAsia" w:ascii="宋体" w:hAnsi="宋体"/>
          <w:snapToGrid w:val="0"/>
          <w:kern w:val="0"/>
          <w:szCs w:val="21"/>
        </w:rPr>
        <w:t>人须知前附表。</w:t>
      </w:r>
    </w:p>
    <w:p>
      <w:pPr>
        <w:keepNext w:val="0"/>
        <w:keepLines w:val="0"/>
        <w:pageBreakBefore w:val="0"/>
        <w:kinsoku/>
        <w:wordWrap/>
        <w:overflowPunct/>
        <w:topLinePunct w:val="0"/>
        <w:autoSpaceDE w:val="0"/>
        <w:autoSpaceDN w:val="0"/>
        <w:bidi w:val="0"/>
        <w:adjustRightInd w:val="0"/>
        <w:snapToGrid w:val="0"/>
        <w:spacing w:line="360" w:lineRule="auto"/>
        <w:ind w:firstLine="420" w:firstLineChars="200"/>
        <w:jc w:val="left"/>
        <w:textAlignment w:val="auto"/>
        <w:rPr>
          <w:rFonts w:ascii="宋体" w:hAnsi="宋体"/>
          <w:snapToGrid w:val="0"/>
          <w:kern w:val="0"/>
          <w:szCs w:val="21"/>
        </w:rPr>
      </w:pPr>
      <w:r>
        <w:rPr>
          <w:rFonts w:hint="eastAsia" w:ascii="宋体" w:hAnsi="宋体"/>
          <w:snapToGrid w:val="0"/>
          <w:kern w:val="0"/>
          <w:szCs w:val="21"/>
        </w:rPr>
        <w:t>1.1.4本比选项目名称：见</w:t>
      </w:r>
      <w:r>
        <w:rPr>
          <w:rFonts w:hint="eastAsia" w:ascii="宋体" w:hAnsi="宋体"/>
          <w:snapToGrid w:val="0"/>
          <w:kern w:val="0"/>
          <w:szCs w:val="21"/>
          <w:lang w:eastAsia="zh-CN"/>
        </w:rPr>
        <w:t>竞标</w:t>
      </w:r>
      <w:r>
        <w:rPr>
          <w:rFonts w:hint="eastAsia" w:ascii="宋体" w:hAnsi="宋体"/>
          <w:snapToGrid w:val="0"/>
          <w:kern w:val="0"/>
          <w:szCs w:val="21"/>
        </w:rPr>
        <w:t>人须知前附表。</w:t>
      </w:r>
    </w:p>
    <w:p>
      <w:pPr>
        <w:keepNext w:val="0"/>
        <w:keepLines w:val="0"/>
        <w:pageBreakBefore w:val="0"/>
        <w:kinsoku/>
        <w:wordWrap/>
        <w:overflowPunct/>
        <w:topLinePunct w:val="0"/>
        <w:autoSpaceDE w:val="0"/>
        <w:autoSpaceDN w:val="0"/>
        <w:bidi w:val="0"/>
        <w:adjustRightInd w:val="0"/>
        <w:snapToGrid w:val="0"/>
        <w:spacing w:line="360" w:lineRule="auto"/>
        <w:ind w:firstLine="420" w:firstLineChars="200"/>
        <w:jc w:val="left"/>
        <w:textAlignment w:val="auto"/>
        <w:rPr>
          <w:rFonts w:ascii="宋体" w:hAnsi="宋体"/>
          <w:snapToGrid w:val="0"/>
          <w:kern w:val="0"/>
          <w:szCs w:val="21"/>
        </w:rPr>
      </w:pPr>
      <w:r>
        <w:rPr>
          <w:rFonts w:hint="eastAsia" w:ascii="宋体" w:hAnsi="宋体"/>
          <w:snapToGrid w:val="0"/>
          <w:kern w:val="0"/>
          <w:szCs w:val="21"/>
        </w:rPr>
        <w:t>1.1.5本标段建设地点：见</w:t>
      </w:r>
      <w:r>
        <w:rPr>
          <w:rFonts w:hint="eastAsia" w:ascii="宋体" w:hAnsi="宋体"/>
          <w:snapToGrid w:val="0"/>
          <w:kern w:val="0"/>
          <w:szCs w:val="21"/>
          <w:lang w:eastAsia="zh-CN"/>
        </w:rPr>
        <w:t>竞标</w:t>
      </w:r>
      <w:r>
        <w:rPr>
          <w:rFonts w:hint="eastAsia" w:ascii="宋体" w:hAnsi="宋体"/>
          <w:snapToGrid w:val="0"/>
          <w:kern w:val="0"/>
          <w:szCs w:val="21"/>
        </w:rPr>
        <w:t>人须知前附表。</w:t>
      </w:r>
    </w:p>
    <w:p>
      <w:pPr>
        <w:keepNext w:val="0"/>
        <w:keepLines w:val="0"/>
        <w:pageBreakBefore w:val="0"/>
        <w:kinsoku/>
        <w:wordWrap/>
        <w:overflowPunct/>
        <w:topLinePunct w:val="0"/>
        <w:bidi w:val="0"/>
        <w:adjustRightInd w:val="0"/>
        <w:snapToGrid w:val="0"/>
        <w:spacing w:line="360" w:lineRule="auto"/>
        <w:ind w:firstLine="422" w:firstLineChars="200"/>
        <w:jc w:val="left"/>
        <w:textAlignment w:val="auto"/>
        <w:rPr>
          <w:rFonts w:ascii="宋体" w:hAnsi="宋体"/>
          <w:b/>
          <w:iCs/>
          <w:szCs w:val="21"/>
        </w:rPr>
      </w:pPr>
      <w:r>
        <w:rPr>
          <w:rFonts w:ascii="宋体" w:hAnsi="宋体"/>
          <w:b/>
          <w:iCs/>
          <w:szCs w:val="21"/>
        </w:rPr>
        <w:t>1.2资金来源及落实情况</w:t>
      </w:r>
    </w:p>
    <w:p>
      <w:pPr>
        <w:keepNext w:val="0"/>
        <w:keepLines w:val="0"/>
        <w:pageBreakBefore w:val="0"/>
        <w:kinsoku/>
        <w:wordWrap/>
        <w:overflowPunct/>
        <w:topLinePunct w:val="0"/>
        <w:bidi w:val="0"/>
        <w:adjustRightInd w:val="0"/>
        <w:snapToGrid w:val="0"/>
        <w:spacing w:line="360" w:lineRule="auto"/>
        <w:ind w:firstLine="420" w:firstLineChars="200"/>
        <w:jc w:val="left"/>
        <w:textAlignment w:val="auto"/>
        <w:rPr>
          <w:rFonts w:ascii="宋体" w:hAnsi="宋体"/>
          <w:iCs/>
          <w:szCs w:val="21"/>
        </w:rPr>
      </w:pPr>
      <w:r>
        <w:rPr>
          <w:rFonts w:ascii="宋体" w:hAnsi="宋体"/>
          <w:iCs/>
          <w:szCs w:val="21"/>
        </w:rPr>
        <w:t>1.2.1本工程项目的资金来源: 见</w:t>
      </w:r>
      <w:r>
        <w:rPr>
          <w:rFonts w:hint="eastAsia" w:ascii="宋体" w:hAnsi="宋体"/>
          <w:iCs/>
          <w:szCs w:val="21"/>
          <w:lang w:eastAsia="zh-CN"/>
        </w:rPr>
        <w:t>竞标</w:t>
      </w:r>
      <w:r>
        <w:rPr>
          <w:rFonts w:ascii="宋体" w:hAnsi="宋体"/>
          <w:iCs/>
          <w:szCs w:val="21"/>
        </w:rPr>
        <w:t>人须知前附表</w:t>
      </w:r>
    </w:p>
    <w:p>
      <w:pPr>
        <w:keepNext w:val="0"/>
        <w:keepLines w:val="0"/>
        <w:pageBreakBefore w:val="0"/>
        <w:kinsoku/>
        <w:wordWrap/>
        <w:overflowPunct/>
        <w:topLinePunct w:val="0"/>
        <w:bidi w:val="0"/>
        <w:adjustRightInd w:val="0"/>
        <w:snapToGrid w:val="0"/>
        <w:spacing w:line="360" w:lineRule="auto"/>
        <w:ind w:firstLine="420" w:firstLineChars="200"/>
        <w:jc w:val="left"/>
        <w:textAlignment w:val="auto"/>
        <w:rPr>
          <w:rFonts w:ascii="宋体" w:hAnsi="宋体"/>
          <w:iCs/>
          <w:szCs w:val="21"/>
        </w:rPr>
      </w:pPr>
      <w:r>
        <w:rPr>
          <w:rFonts w:ascii="宋体" w:hAnsi="宋体"/>
          <w:iCs/>
          <w:szCs w:val="21"/>
        </w:rPr>
        <w:t>1.2.2本工程项目的资金落实情况: 见</w:t>
      </w:r>
      <w:r>
        <w:rPr>
          <w:rFonts w:hint="eastAsia" w:ascii="宋体" w:hAnsi="宋体"/>
          <w:iCs/>
          <w:szCs w:val="21"/>
          <w:lang w:eastAsia="zh-CN"/>
        </w:rPr>
        <w:t>竞标</w:t>
      </w:r>
      <w:r>
        <w:rPr>
          <w:rFonts w:ascii="宋体" w:hAnsi="宋体"/>
          <w:iCs/>
          <w:szCs w:val="21"/>
        </w:rPr>
        <w:t>人须知前附表</w:t>
      </w:r>
    </w:p>
    <w:p>
      <w:pPr>
        <w:keepNext w:val="0"/>
        <w:keepLines w:val="0"/>
        <w:pageBreakBefore w:val="0"/>
        <w:kinsoku/>
        <w:wordWrap/>
        <w:overflowPunct/>
        <w:topLinePunct w:val="0"/>
        <w:bidi w:val="0"/>
        <w:adjustRightInd w:val="0"/>
        <w:snapToGrid w:val="0"/>
        <w:spacing w:line="360" w:lineRule="auto"/>
        <w:ind w:firstLine="422" w:firstLineChars="200"/>
        <w:jc w:val="left"/>
        <w:textAlignment w:val="auto"/>
        <w:rPr>
          <w:rFonts w:ascii="宋体" w:hAnsi="宋体"/>
          <w:b/>
          <w:iCs/>
          <w:szCs w:val="21"/>
        </w:rPr>
      </w:pPr>
      <w:r>
        <w:rPr>
          <w:rFonts w:ascii="宋体" w:hAnsi="宋体"/>
          <w:b/>
          <w:iCs/>
          <w:szCs w:val="21"/>
        </w:rPr>
        <w:t>1.3比选范围、</w:t>
      </w:r>
      <w:r>
        <w:rPr>
          <w:rFonts w:hint="eastAsia" w:ascii="宋体" w:hAnsi="宋体"/>
          <w:b/>
          <w:iCs/>
          <w:szCs w:val="21"/>
        </w:rPr>
        <w:t>工期</w:t>
      </w:r>
    </w:p>
    <w:p>
      <w:pPr>
        <w:keepNext w:val="0"/>
        <w:keepLines w:val="0"/>
        <w:pageBreakBefore w:val="0"/>
        <w:kinsoku/>
        <w:wordWrap/>
        <w:overflowPunct/>
        <w:topLinePunct w:val="0"/>
        <w:bidi w:val="0"/>
        <w:adjustRightInd w:val="0"/>
        <w:snapToGrid w:val="0"/>
        <w:spacing w:line="360" w:lineRule="auto"/>
        <w:ind w:firstLine="420" w:firstLineChars="200"/>
        <w:jc w:val="left"/>
        <w:textAlignment w:val="auto"/>
        <w:rPr>
          <w:rFonts w:ascii="宋体" w:hAnsi="宋体"/>
          <w:iCs/>
          <w:szCs w:val="21"/>
        </w:rPr>
      </w:pPr>
      <w:r>
        <w:rPr>
          <w:rFonts w:ascii="宋体" w:hAnsi="宋体"/>
          <w:iCs/>
          <w:szCs w:val="21"/>
        </w:rPr>
        <w:t>1.3.1本次比选范围: 见</w:t>
      </w:r>
      <w:r>
        <w:rPr>
          <w:rFonts w:hint="eastAsia" w:ascii="宋体" w:hAnsi="宋体"/>
          <w:iCs/>
          <w:szCs w:val="21"/>
          <w:lang w:eastAsia="zh-CN"/>
        </w:rPr>
        <w:t>竞标</w:t>
      </w:r>
      <w:r>
        <w:rPr>
          <w:rFonts w:ascii="宋体" w:hAnsi="宋体"/>
          <w:iCs/>
          <w:szCs w:val="21"/>
        </w:rPr>
        <w:t>人须知前附表</w:t>
      </w:r>
    </w:p>
    <w:p>
      <w:pPr>
        <w:keepNext w:val="0"/>
        <w:keepLines w:val="0"/>
        <w:pageBreakBefore w:val="0"/>
        <w:kinsoku/>
        <w:wordWrap/>
        <w:overflowPunct/>
        <w:topLinePunct w:val="0"/>
        <w:bidi w:val="0"/>
        <w:adjustRightInd w:val="0"/>
        <w:snapToGrid w:val="0"/>
        <w:spacing w:line="360" w:lineRule="auto"/>
        <w:ind w:firstLine="420" w:firstLineChars="200"/>
        <w:jc w:val="left"/>
        <w:textAlignment w:val="auto"/>
        <w:rPr>
          <w:rFonts w:ascii="宋体" w:hAnsi="宋体"/>
          <w:iCs/>
          <w:szCs w:val="21"/>
        </w:rPr>
      </w:pPr>
      <w:r>
        <w:rPr>
          <w:rFonts w:ascii="宋体" w:hAnsi="宋体"/>
          <w:iCs/>
          <w:szCs w:val="21"/>
        </w:rPr>
        <w:t>1.3.2本工程的</w:t>
      </w:r>
      <w:r>
        <w:rPr>
          <w:rFonts w:hint="eastAsia" w:ascii="宋体" w:hAnsi="宋体"/>
          <w:iCs/>
          <w:szCs w:val="21"/>
        </w:rPr>
        <w:t>工期</w:t>
      </w:r>
      <w:r>
        <w:rPr>
          <w:rFonts w:ascii="宋体" w:hAnsi="宋体"/>
          <w:iCs/>
          <w:szCs w:val="21"/>
        </w:rPr>
        <w:t>: 见</w:t>
      </w:r>
      <w:r>
        <w:rPr>
          <w:rFonts w:hint="eastAsia" w:ascii="宋体" w:hAnsi="宋体"/>
          <w:iCs/>
          <w:szCs w:val="21"/>
          <w:lang w:eastAsia="zh-CN"/>
        </w:rPr>
        <w:t>竞标</w:t>
      </w:r>
      <w:r>
        <w:rPr>
          <w:rFonts w:ascii="宋体" w:hAnsi="宋体"/>
          <w:iCs/>
          <w:szCs w:val="21"/>
        </w:rPr>
        <w:t>人须知前附表</w:t>
      </w:r>
    </w:p>
    <w:p>
      <w:pPr>
        <w:keepNext w:val="0"/>
        <w:keepLines w:val="0"/>
        <w:pageBreakBefore w:val="0"/>
        <w:kinsoku/>
        <w:wordWrap/>
        <w:overflowPunct/>
        <w:topLinePunct w:val="0"/>
        <w:bidi w:val="0"/>
        <w:adjustRightInd w:val="0"/>
        <w:snapToGrid w:val="0"/>
        <w:spacing w:line="360" w:lineRule="auto"/>
        <w:ind w:firstLine="422" w:firstLineChars="200"/>
        <w:jc w:val="left"/>
        <w:textAlignment w:val="auto"/>
        <w:rPr>
          <w:rFonts w:ascii="宋体" w:hAnsi="宋体"/>
          <w:b/>
          <w:iCs/>
          <w:szCs w:val="21"/>
        </w:rPr>
      </w:pPr>
      <w:r>
        <w:rPr>
          <w:rFonts w:ascii="宋体" w:hAnsi="宋体"/>
          <w:b/>
          <w:iCs/>
          <w:szCs w:val="21"/>
        </w:rPr>
        <w:t>1.4</w:t>
      </w:r>
      <w:r>
        <w:rPr>
          <w:rFonts w:hint="eastAsia" w:ascii="宋体" w:hAnsi="宋体"/>
          <w:b/>
          <w:iCs/>
          <w:szCs w:val="21"/>
          <w:lang w:eastAsia="zh-CN"/>
        </w:rPr>
        <w:t>竞标</w:t>
      </w:r>
      <w:r>
        <w:rPr>
          <w:rFonts w:ascii="宋体" w:hAnsi="宋体"/>
          <w:b/>
          <w:iCs/>
          <w:szCs w:val="21"/>
        </w:rPr>
        <w:t>人资格要求</w:t>
      </w:r>
    </w:p>
    <w:p>
      <w:pPr>
        <w:keepNext w:val="0"/>
        <w:keepLines w:val="0"/>
        <w:pageBreakBefore w:val="0"/>
        <w:kinsoku/>
        <w:wordWrap/>
        <w:overflowPunct/>
        <w:topLinePunct w:val="0"/>
        <w:bidi w:val="0"/>
        <w:adjustRightInd w:val="0"/>
        <w:snapToGrid w:val="0"/>
        <w:spacing w:line="360" w:lineRule="auto"/>
        <w:ind w:firstLine="420" w:firstLineChars="200"/>
        <w:jc w:val="left"/>
        <w:textAlignment w:val="auto"/>
        <w:rPr>
          <w:rFonts w:ascii="宋体" w:hAnsi="宋体"/>
          <w:iCs/>
          <w:szCs w:val="21"/>
        </w:rPr>
      </w:pPr>
      <w:r>
        <w:rPr>
          <w:rFonts w:ascii="宋体" w:hAnsi="宋体"/>
          <w:iCs/>
          <w:szCs w:val="21"/>
        </w:rPr>
        <w:t>1.4.1</w:t>
      </w:r>
      <w:r>
        <w:rPr>
          <w:rFonts w:hint="eastAsia" w:ascii="宋体" w:hAnsi="宋体"/>
          <w:iCs/>
          <w:szCs w:val="21"/>
        </w:rPr>
        <w:t xml:space="preserve">  </w:t>
      </w:r>
      <w:r>
        <w:rPr>
          <w:rFonts w:hint="eastAsia" w:ascii="宋体" w:hAnsi="宋体"/>
          <w:iCs/>
          <w:szCs w:val="21"/>
          <w:lang w:eastAsia="zh-CN"/>
        </w:rPr>
        <w:t>竞标</w:t>
      </w:r>
      <w:r>
        <w:rPr>
          <w:rFonts w:ascii="宋体" w:hAnsi="宋体"/>
          <w:iCs/>
          <w:szCs w:val="21"/>
        </w:rPr>
        <w:t>人资质要求：见</w:t>
      </w:r>
      <w:r>
        <w:rPr>
          <w:rFonts w:hint="eastAsia" w:ascii="宋体" w:hAnsi="宋体"/>
          <w:iCs/>
          <w:szCs w:val="21"/>
          <w:lang w:eastAsia="zh-CN"/>
        </w:rPr>
        <w:t>竞标</w:t>
      </w:r>
      <w:r>
        <w:rPr>
          <w:rFonts w:ascii="宋体" w:hAnsi="宋体"/>
          <w:iCs/>
          <w:szCs w:val="21"/>
        </w:rPr>
        <w:t>人须知前附表</w:t>
      </w:r>
      <w:r>
        <w:rPr>
          <w:rFonts w:hint="eastAsia" w:ascii="宋体" w:hAnsi="宋体"/>
          <w:iCs/>
          <w:szCs w:val="21"/>
        </w:rPr>
        <w:t>；</w:t>
      </w:r>
    </w:p>
    <w:p>
      <w:pPr>
        <w:keepNext w:val="0"/>
        <w:keepLines w:val="0"/>
        <w:pageBreakBefore w:val="0"/>
        <w:kinsoku/>
        <w:wordWrap/>
        <w:overflowPunct/>
        <w:topLinePunct w:val="0"/>
        <w:bidi w:val="0"/>
        <w:adjustRightInd w:val="0"/>
        <w:snapToGrid w:val="0"/>
        <w:spacing w:line="360" w:lineRule="auto"/>
        <w:ind w:firstLine="420" w:firstLineChars="200"/>
        <w:jc w:val="left"/>
        <w:textAlignment w:val="auto"/>
        <w:rPr>
          <w:rFonts w:ascii="宋体" w:hAnsi="宋体"/>
          <w:iCs/>
          <w:szCs w:val="21"/>
        </w:rPr>
      </w:pPr>
      <w:r>
        <w:rPr>
          <w:rFonts w:ascii="宋体" w:hAnsi="宋体"/>
          <w:iCs/>
          <w:szCs w:val="21"/>
        </w:rPr>
        <w:t>1.4.2</w:t>
      </w:r>
      <w:r>
        <w:rPr>
          <w:rFonts w:hint="eastAsia" w:ascii="宋体" w:hAnsi="宋体"/>
          <w:iCs/>
          <w:szCs w:val="21"/>
        </w:rPr>
        <w:t xml:space="preserve">  </w:t>
      </w:r>
      <w:r>
        <w:rPr>
          <w:rFonts w:ascii="宋体" w:hAnsi="宋体"/>
          <w:iCs/>
          <w:szCs w:val="21"/>
        </w:rPr>
        <w:t>联合体要求：不接受联合体</w:t>
      </w:r>
      <w:r>
        <w:rPr>
          <w:rFonts w:hint="eastAsia" w:ascii="宋体" w:hAnsi="宋体"/>
          <w:iCs/>
          <w:szCs w:val="21"/>
          <w:lang w:eastAsia="zh-CN"/>
        </w:rPr>
        <w:t>竞标</w:t>
      </w:r>
      <w:r>
        <w:rPr>
          <w:rFonts w:hint="eastAsia" w:ascii="宋体" w:hAnsi="宋体"/>
          <w:iCs/>
          <w:szCs w:val="21"/>
        </w:rPr>
        <w:t>；</w:t>
      </w:r>
    </w:p>
    <w:p>
      <w:pPr>
        <w:keepNext w:val="0"/>
        <w:keepLines w:val="0"/>
        <w:pageBreakBefore w:val="0"/>
        <w:kinsoku/>
        <w:wordWrap/>
        <w:overflowPunct/>
        <w:topLinePunct w:val="0"/>
        <w:bidi w:val="0"/>
        <w:adjustRightInd w:val="0"/>
        <w:snapToGrid w:val="0"/>
        <w:spacing w:line="360" w:lineRule="auto"/>
        <w:ind w:firstLine="420" w:firstLineChars="200"/>
        <w:jc w:val="left"/>
        <w:textAlignment w:val="auto"/>
        <w:rPr>
          <w:rFonts w:ascii="宋体" w:hAnsi="宋体"/>
          <w:iCs/>
          <w:szCs w:val="21"/>
        </w:rPr>
      </w:pPr>
      <w:r>
        <w:rPr>
          <w:rFonts w:hint="eastAsia" w:ascii="宋体" w:hAnsi="宋体"/>
          <w:iCs/>
          <w:szCs w:val="21"/>
        </w:rPr>
        <w:t xml:space="preserve">1.4.3 </w:t>
      </w:r>
      <w:r>
        <w:rPr>
          <w:rFonts w:hint="eastAsia" w:ascii="宋体" w:hAnsi="宋体"/>
          <w:iCs/>
          <w:szCs w:val="21"/>
          <w:lang w:eastAsia="zh-CN"/>
        </w:rPr>
        <w:t>竞标</w:t>
      </w:r>
      <w:r>
        <w:rPr>
          <w:rFonts w:ascii="宋体" w:hAnsi="宋体"/>
          <w:iCs/>
          <w:szCs w:val="21"/>
        </w:rPr>
        <w:t>人不得存在下列情形之一：</w:t>
      </w:r>
    </w:p>
    <w:p>
      <w:pPr>
        <w:keepNext w:val="0"/>
        <w:keepLines w:val="0"/>
        <w:pageBreakBefore w:val="0"/>
        <w:kinsoku/>
        <w:wordWrap/>
        <w:overflowPunct/>
        <w:topLinePunct w:val="0"/>
        <w:bidi w:val="0"/>
        <w:adjustRightInd w:val="0"/>
        <w:snapToGrid w:val="0"/>
        <w:spacing w:line="360" w:lineRule="auto"/>
        <w:ind w:firstLine="420" w:firstLineChars="200"/>
        <w:jc w:val="left"/>
        <w:textAlignment w:val="auto"/>
        <w:rPr>
          <w:rFonts w:ascii="宋体" w:hAnsi="宋体"/>
          <w:iCs/>
          <w:szCs w:val="21"/>
        </w:rPr>
      </w:pPr>
      <w:r>
        <w:rPr>
          <w:rFonts w:ascii="宋体" w:hAnsi="宋体"/>
          <w:iCs/>
          <w:szCs w:val="21"/>
        </w:rPr>
        <w:t>⑴ 为比选人不具有独立法人资格的附属机构（单位）；</w:t>
      </w:r>
    </w:p>
    <w:p>
      <w:pPr>
        <w:keepNext w:val="0"/>
        <w:keepLines w:val="0"/>
        <w:pageBreakBefore w:val="0"/>
        <w:kinsoku/>
        <w:wordWrap/>
        <w:overflowPunct/>
        <w:topLinePunct w:val="0"/>
        <w:bidi w:val="0"/>
        <w:adjustRightInd w:val="0"/>
        <w:snapToGrid w:val="0"/>
        <w:spacing w:line="360" w:lineRule="auto"/>
        <w:ind w:firstLine="420" w:firstLineChars="200"/>
        <w:jc w:val="left"/>
        <w:textAlignment w:val="auto"/>
        <w:rPr>
          <w:rFonts w:ascii="宋体" w:hAnsi="宋体"/>
          <w:iCs/>
          <w:szCs w:val="21"/>
        </w:rPr>
      </w:pPr>
      <w:r>
        <w:rPr>
          <w:rFonts w:ascii="宋体" w:hAnsi="宋体"/>
          <w:iCs/>
          <w:szCs w:val="21"/>
        </w:rPr>
        <w:t>⑵ 为本工程的代建人；</w:t>
      </w:r>
    </w:p>
    <w:p>
      <w:pPr>
        <w:keepNext w:val="0"/>
        <w:keepLines w:val="0"/>
        <w:pageBreakBefore w:val="0"/>
        <w:kinsoku/>
        <w:wordWrap/>
        <w:overflowPunct/>
        <w:topLinePunct w:val="0"/>
        <w:bidi w:val="0"/>
        <w:adjustRightInd w:val="0"/>
        <w:snapToGrid w:val="0"/>
        <w:spacing w:line="360" w:lineRule="auto"/>
        <w:ind w:firstLine="420" w:firstLineChars="200"/>
        <w:jc w:val="left"/>
        <w:textAlignment w:val="auto"/>
        <w:rPr>
          <w:rFonts w:ascii="宋体" w:hAnsi="宋体"/>
          <w:iCs/>
          <w:szCs w:val="21"/>
        </w:rPr>
      </w:pPr>
      <w:r>
        <w:rPr>
          <w:rFonts w:ascii="宋体" w:hAnsi="宋体"/>
          <w:iCs/>
          <w:szCs w:val="21"/>
        </w:rPr>
        <w:t>⑶ 为本工程的比选代理机构；</w:t>
      </w:r>
    </w:p>
    <w:p>
      <w:pPr>
        <w:keepNext w:val="0"/>
        <w:keepLines w:val="0"/>
        <w:pageBreakBefore w:val="0"/>
        <w:kinsoku/>
        <w:wordWrap/>
        <w:overflowPunct/>
        <w:topLinePunct w:val="0"/>
        <w:bidi w:val="0"/>
        <w:adjustRightInd w:val="0"/>
        <w:snapToGrid w:val="0"/>
        <w:spacing w:line="360" w:lineRule="auto"/>
        <w:ind w:firstLine="420" w:firstLineChars="200"/>
        <w:jc w:val="left"/>
        <w:textAlignment w:val="auto"/>
        <w:rPr>
          <w:rFonts w:ascii="宋体" w:hAnsi="宋体"/>
          <w:iCs/>
          <w:szCs w:val="21"/>
        </w:rPr>
      </w:pPr>
      <w:r>
        <w:rPr>
          <w:rFonts w:ascii="宋体" w:hAnsi="宋体"/>
          <w:iCs/>
          <w:szCs w:val="21"/>
        </w:rPr>
        <w:t>⑷ 与本工程代建人或比选代理机构同为一个法定代表人的；</w:t>
      </w:r>
    </w:p>
    <w:p>
      <w:pPr>
        <w:keepNext w:val="0"/>
        <w:keepLines w:val="0"/>
        <w:pageBreakBefore w:val="0"/>
        <w:kinsoku/>
        <w:wordWrap/>
        <w:overflowPunct/>
        <w:topLinePunct w:val="0"/>
        <w:bidi w:val="0"/>
        <w:adjustRightInd w:val="0"/>
        <w:snapToGrid w:val="0"/>
        <w:spacing w:line="360" w:lineRule="auto"/>
        <w:ind w:firstLine="420" w:firstLineChars="200"/>
        <w:jc w:val="left"/>
        <w:textAlignment w:val="auto"/>
        <w:rPr>
          <w:rFonts w:ascii="宋体" w:hAnsi="宋体"/>
          <w:iCs/>
          <w:szCs w:val="21"/>
        </w:rPr>
      </w:pPr>
      <w:r>
        <w:rPr>
          <w:rFonts w:ascii="宋体" w:hAnsi="宋体"/>
          <w:iCs/>
          <w:szCs w:val="21"/>
        </w:rPr>
        <w:t>⑸与本工程代建人虽不为同一法定代表人，但有隶属关系或者其他利益关系的；</w:t>
      </w:r>
    </w:p>
    <w:p>
      <w:pPr>
        <w:keepNext w:val="0"/>
        <w:keepLines w:val="0"/>
        <w:pageBreakBefore w:val="0"/>
        <w:kinsoku/>
        <w:wordWrap/>
        <w:overflowPunct/>
        <w:topLinePunct w:val="0"/>
        <w:bidi w:val="0"/>
        <w:adjustRightInd w:val="0"/>
        <w:snapToGrid w:val="0"/>
        <w:spacing w:line="360" w:lineRule="auto"/>
        <w:ind w:firstLine="420" w:firstLineChars="200"/>
        <w:jc w:val="left"/>
        <w:textAlignment w:val="auto"/>
        <w:rPr>
          <w:rFonts w:ascii="宋体" w:hAnsi="宋体"/>
          <w:iCs/>
          <w:szCs w:val="21"/>
        </w:rPr>
      </w:pPr>
      <w:r>
        <w:rPr>
          <w:rFonts w:ascii="宋体" w:hAnsi="宋体"/>
          <w:iCs/>
          <w:szCs w:val="21"/>
        </w:rPr>
        <w:t>⑹与本工程代建人或比选代理机构相互控股或参股的；</w:t>
      </w:r>
    </w:p>
    <w:p>
      <w:pPr>
        <w:keepNext w:val="0"/>
        <w:keepLines w:val="0"/>
        <w:pageBreakBefore w:val="0"/>
        <w:kinsoku/>
        <w:wordWrap/>
        <w:overflowPunct/>
        <w:topLinePunct w:val="0"/>
        <w:bidi w:val="0"/>
        <w:adjustRightInd w:val="0"/>
        <w:snapToGrid w:val="0"/>
        <w:spacing w:line="360" w:lineRule="auto"/>
        <w:ind w:firstLine="420" w:firstLineChars="200"/>
        <w:jc w:val="left"/>
        <w:textAlignment w:val="auto"/>
        <w:rPr>
          <w:rFonts w:ascii="宋体" w:hAnsi="宋体"/>
          <w:iCs/>
          <w:szCs w:val="21"/>
        </w:rPr>
      </w:pPr>
      <w:r>
        <w:rPr>
          <w:rFonts w:ascii="宋体" w:hAnsi="宋体"/>
          <w:iCs/>
          <w:szCs w:val="21"/>
        </w:rPr>
        <w:t>⑺与本工程代建人或比选代理机构相互任职或工作的；</w:t>
      </w:r>
    </w:p>
    <w:p>
      <w:pPr>
        <w:keepNext w:val="0"/>
        <w:keepLines w:val="0"/>
        <w:pageBreakBefore w:val="0"/>
        <w:kinsoku/>
        <w:wordWrap/>
        <w:overflowPunct/>
        <w:topLinePunct w:val="0"/>
        <w:bidi w:val="0"/>
        <w:adjustRightInd w:val="0"/>
        <w:snapToGrid w:val="0"/>
        <w:spacing w:line="360" w:lineRule="auto"/>
        <w:ind w:firstLine="420" w:firstLineChars="200"/>
        <w:jc w:val="left"/>
        <w:textAlignment w:val="auto"/>
        <w:rPr>
          <w:rFonts w:ascii="宋体" w:hAnsi="宋体"/>
          <w:iCs/>
          <w:szCs w:val="21"/>
        </w:rPr>
      </w:pPr>
      <w:r>
        <w:rPr>
          <w:rFonts w:ascii="宋体" w:hAnsi="宋体"/>
          <w:iCs/>
          <w:szCs w:val="21"/>
        </w:rPr>
        <w:t>⑻被责令停业的；</w:t>
      </w:r>
    </w:p>
    <w:p>
      <w:pPr>
        <w:keepNext w:val="0"/>
        <w:keepLines w:val="0"/>
        <w:pageBreakBefore w:val="0"/>
        <w:kinsoku/>
        <w:wordWrap/>
        <w:overflowPunct/>
        <w:topLinePunct w:val="0"/>
        <w:bidi w:val="0"/>
        <w:adjustRightInd w:val="0"/>
        <w:snapToGrid w:val="0"/>
        <w:spacing w:line="360" w:lineRule="auto"/>
        <w:ind w:firstLine="420" w:firstLineChars="200"/>
        <w:jc w:val="left"/>
        <w:textAlignment w:val="auto"/>
        <w:rPr>
          <w:rFonts w:ascii="宋体" w:hAnsi="宋体"/>
          <w:iCs/>
          <w:szCs w:val="21"/>
        </w:rPr>
      </w:pPr>
      <w:r>
        <w:rPr>
          <w:rFonts w:ascii="宋体" w:hAnsi="宋体"/>
          <w:iCs/>
          <w:szCs w:val="21"/>
        </w:rPr>
        <w:t>⑼被暂停或取消</w:t>
      </w:r>
      <w:r>
        <w:rPr>
          <w:rFonts w:hint="eastAsia" w:ascii="宋体" w:hAnsi="宋体"/>
          <w:iCs/>
          <w:szCs w:val="21"/>
          <w:lang w:eastAsia="zh-CN"/>
        </w:rPr>
        <w:t>竞标</w:t>
      </w:r>
      <w:r>
        <w:rPr>
          <w:rFonts w:ascii="宋体" w:hAnsi="宋体"/>
          <w:iCs/>
          <w:szCs w:val="21"/>
        </w:rPr>
        <w:t>资格的；</w:t>
      </w:r>
    </w:p>
    <w:p>
      <w:pPr>
        <w:keepNext w:val="0"/>
        <w:keepLines w:val="0"/>
        <w:pageBreakBefore w:val="0"/>
        <w:kinsoku/>
        <w:wordWrap/>
        <w:overflowPunct/>
        <w:topLinePunct w:val="0"/>
        <w:bidi w:val="0"/>
        <w:adjustRightInd w:val="0"/>
        <w:snapToGrid w:val="0"/>
        <w:spacing w:line="360" w:lineRule="auto"/>
        <w:ind w:firstLine="420" w:firstLineChars="200"/>
        <w:jc w:val="left"/>
        <w:textAlignment w:val="auto"/>
        <w:rPr>
          <w:rFonts w:ascii="宋体" w:hAnsi="宋体"/>
          <w:iCs/>
          <w:szCs w:val="21"/>
        </w:rPr>
      </w:pPr>
      <w:r>
        <w:rPr>
          <w:rFonts w:ascii="宋体" w:hAnsi="宋体"/>
          <w:iCs/>
          <w:szCs w:val="21"/>
        </w:rPr>
        <w:t>⑽财产被接管或冻结的；</w:t>
      </w:r>
    </w:p>
    <w:p>
      <w:pPr>
        <w:keepNext w:val="0"/>
        <w:keepLines w:val="0"/>
        <w:pageBreakBefore w:val="0"/>
        <w:kinsoku/>
        <w:wordWrap/>
        <w:overflowPunct/>
        <w:topLinePunct w:val="0"/>
        <w:bidi w:val="0"/>
        <w:adjustRightInd w:val="0"/>
        <w:snapToGrid w:val="0"/>
        <w:spacing w:line="360" w:lineRule="auto"/>
        <w:ind w:firstLine="420" w:firstLineChars="200"/>
        <w:jc w:val="left"/>
        <w:textAlignment w:val="auto"/>
        <w:rPr>
          <w:rFonts w:ascii="宋体" w:hAnsi="宋体"/>
          <w:iCs/>
          <w:szCs w:val="21"/>
        </w:rPr>
      </w:pPr>
      <w:r>
        <w:rPr>
          <w:rFonts w:ascii="宋体" w:hAnsi="宋体"/>
          <w:iCs/>
          <w:szCs w:val="21"/>
        </w:rPr>
        <w:t>⑾在最近三年内有骗取中选或严重违约或重大工程质量问题的；</w:t>
      </w:r>
    </w:p>
    <w:p>
      <w:pPr>
        <w:keepNext w:val="0"/>
        <w:keepLines w:val="0"/>
        <w:pageBreakBefore w:val="0"/>
        <w:kinsoku/>
        <w:wordWrap/>
        <w:overflowPunct/>
        <w:topLinePunct w:val="0"/>
        <w:bidi w:val="0"/>
        <w:adjustRightInd w:val="0"/>
        <w:snapToGrid w:val="0"/>
        <w:spacing w:line="360" w:lineRule="auto"/>
        <w:ind w:firstLine="422" w:firstLineChars="200"/>
        <w:jc w:val="left"/>
        <w:textAlignment w:val="auto"/>
        <w:rPr>
          <w:rFonts w:ascii="宋体" w:hAnsi="宋体"/>
          <w:b/>
          <w:iCs/>
          <w:szCs w:val="21"/>
        </w:rPr>
      </w:pPr>
      <w:r>
        <w:rPr>
          <w:rFonts w:ascii="宋体" w:hAnsi="宋体"/>
          <w:b/>
          <w:iCs/>
          <w:szCs w:val="21"/>
        </w:rPr>
        <w:t>1.5费用承担</w:t>
      </w:r>
    </w:p>
    <w:p>
      <w:pPr>
        <w:keepNext w:val="0"/>
        <w:keepLines w:val="0"/>
        <w:pageBreakBefore w:val="0"/>
        <w:kinsoku/>
        <w:wordWrap/>
        <w:overflowPunct/>
        <w:topLinePunct w:val="0"/>
        <w:bidi w:val="0"/>
        <w:adjustRightInd w:val="0"/>
        <w:snapToGrid w:val="0"/>
        <w:spacing w:line="360" w:lineRule="auto"/>
        <w:ind w:firstLine="420" w:firstLineChars="200"/>
        <w:jc w:val="left"/>
        <w:textAlignment w:val="auto"/>
        <w:rPr>
          <w:rFonts w:ascii="宋体" w:hAnsi="宋体"/>
          <w:iCs/>
          <w:szCs w:val="21"/>
        </w:rPr>
      </w:pPr>
      <w:r>
        <w:rPr>
          <w:rFonts w:ascii="宋体" w:hAnsi="宋体"/>
          <w:iCs/>
          <w:szCs w:val="21"/>
        </w:rPr>
        <w:t>不论</w:t>
      </w:r>
      <w:r>
        <w:rPr>
          <w:rFonts w:hint="eastAsia" w:ascii="宋体" w:hAnsi="宋体"/>
          <w:iCs/>
          <w:szCs w:val="21"/>
          <w:lang w:eastAsia="zh-CN"/>
        </w:rPr>
        <w:t>竞标</w:t>
      </w:r>
      <w:r>
        <w:rPr>
          <w:rFonts w:ascii="宋体" w:hAnsi="宋体"/>
          <w:iCs/>
          <w:szCs w:val="21"/>
        </w:rPr>
        <w:t>结果如何,</w:t>
      </w:r>
      <w:r>
        <w:rPr>
          <w:rFonts w:hint="eastAsia" w:ascii="宋体" w:hAnsi="宋体"/>
          <w:iCs/>
          <w:szCs w:val="21"/>
          <w:lang w:eastAsia="zh-CN"/>
        </w:rPr>
        <w:t>竞标</w:t>
      </w:r>
      <w:r>
        <w:rPr>
          <w:rFonts w:ascii="宋体" w:hAnsi="宋体"/>
          <w:iCs/>
          <w:szCs w:val="21"/>
        </w:rPr>
        <w:t>人应自行承担其准备和参加本</w:t>
      </w:r>
      <w:r>
        <w:rPr>
          <w:rFonts w:hint="eastAsia" w:ascii="宋体" w:hAnsi="宋体"/>
          <w:iCs/>
          <w:szCs w:val="21"/>
          <w:lang w:eastAsia="zh-CN"/>
        </w:rPr>
        <w:t>竞标</w:t>
      </w:r>
      <w:r>
        <w:rPr>
          <w:rFonts w:ascii="宋体" w:hAnsi="宋体"/>
          <w:iCs/>
          <w:szCs w:val="21"/>
        </w:rPr>
        <w:t>活动所涉及的一切费用。</w:t>
      </w:r>
    </w:p>
    <w:p>
      <w:pPr>
        <w:keepNext w:val="0"/>
        <w:keepLines w:val="0"/>
        <w:pageBreakBefore w:val="0"/>
        <w:kinsoku/>
        <w:wordWrap/>
        <w:overflowPunct/>
        <w:topLinePunct w:val="0"/>
        <w:bidi w:val="0"/>
        <w:adjustRightInd w:val="0"/>
        <w:snapToGrid w:val="0"/>
        <w:spacing w:line="360" w:lineRule="auto"/>
        <w:ind w:firstLine="422" w:firstLineChars="200"/>
        <w:jc w:val="left"/>
        <w:textAlignment w:val="auto"/>
        <w:rPr>
          <w:rFonts w:ascii="宋体" w:hAnsi="宋体"/>
          <w:b/>
          <w:iCs/>
          <w:szCs w:val="21"/>
        </w:rPr>
      </w:pPr>
      <w:r>
        <w:rPr>
          <w:rFonts w:ascii="宋体" w:hAnsi="宋体"/>
          <w:b/>
          <w:iCs/>
          <w:szCs w:val="21"/>
        </w:rPr>
        <w:t>1.6保密</w:t>
      </w:r>
    </w:p>
    <w:p>
      <w:pPr>
        <w:keepNext w:val="0"/>
        <w:keepLines w:val="0"/>
        <w:pageBreakBefore w:val="0"/>
        <w:kinsoku/>
        <w:wordWrap/>
        <w:overflowPunct/>
        <w:topLinePunct w:val="0"/>
        <w:bidi w:val="0"/>
        <w:adjustRightInd w:val="0"/>
        <w:snapToGrid w:val="0"/>
        <w:spacing w:line="360" w:lineRule="auto"/>
        <w:ind w:firstLine="420" w:firstLineChars="200"/>
        <w:jc w:val="left"/>
        <w:textAlignment w:val="auto"/>
        <w:rPr>
          <w:rFonts w:ascii="宋体" w:hAnsi="宋体"/>
          <w:iCs/>
          <w:szCs w:val="21"/>
        </w:rPr>
      </w:pPr>
      <w:r>
        <w:rPr>
          <w:rFonts w:ascii="宋体" w:hAnsi="宋体"/>
          <w:iCs/>
          <w:szCs w:val="21"/>
        </w:rPr>
        <w:t>参与比选</w:t>
      </w:r>
      <w:r>
        <w:rPr>
          <w:rFonts w:hint="eastAsia" w:ascii="宋体" w:hAnsi="宋体"/>
          <w:iCs/>
          <w:szCs w:val="21"/>
          <w:lang w:eastAsia="zh-CN"/>
        </w:rPr>
        <w:t>竞标</w:t>
      </w:r>
      <w:r>
        <w:rPr>
          <w:rFonts w:ascii="宋体" w:hAnsi="宋体"/>
          <w:iCs/>
          <w:szCs w:val="21"/>
        </w:rPr>
        <w:t>活动的各方必须对比选文件和</w:t>
      </w:r>
      <w:r>
        <w:rPr>
          <w:rFonts w:hint="eastAsia" w:ascii="宋体" w:hAnsi="宋体"/>
          <w:iCs/>
          <w:szCs w:val="21"/>
          <w:lang w:eastAsia="zh-CN"/>
        </w:rPr>
        <w:t>竞标</w:t>
      </w:r>
      <w:r>
        <w:rPr>
          <w:rFonts w:ascii="宋体" w:hAnsi="宋体"/>
          <w:iCs/>
          <w:szCs w:val="21"/>
        </w:rPr>
        <w:t>文件中的商业和技术等秘密保密,违者应对由此造成的一切后果承担一切经济及法律责任。</w:t>
      </w:r>
    </w:p>
    <w:p>
      <w:pPr>
        <w:keepNext w:val="0"/>
        <w:keepLines w:val="0"/>
        <w:pageBreakBefore w:val="0"/>
        <w:kinsoku/>
        <w:wordWrap/>
        <w:overflowPunct/>
        <w:topLinePunct w:val="0"/>
        <w:bidi w:val="0"/>
        <w:adjustRightInd w:val="0"/>
        <w:snapToGrid w:val="0"/>
        <w:spacing w:line="360" w:lineRule="auto"/>
        <w:ind w:firstLine="422" w:firstLineChars="200"/>
        <w:jc w:val="left"/>
        <w:textAlignment w:val="auto"/>
        <w:rPr>
          <w:rFonts w:ascii="宋体" w:hAnsi="宋体"/>
          <w:b/>
          <w:iCs/>
          <w:szCs w:val="21"/>
        </w:rPr>
      </w:pPr>
      <w:r>
        <w:rPr>
          <w:rFonts w:ascii="宋体" w:hAnsi="宋体"/>
          <w:b/>
          <w:iCs/>
          <w:szCs w:val="21"/>
        </w:rPr>
        <w:t>1.7语言文字</w:t>
      </w:r>
    </w:p>
    <w:p>
      <w:pPr>
        <w:keepNext w:val="0"/>
        <w:keepLines w:val="0"/>
        <w:pageBreakBefore w:val="0"/>
        <w:kinsoku/>
        <w:wordWrap/>
        <w:overflowPunct/>
        <w:topLinePunct w:val="0"/>
        <w:bidi w:val="0"/>
        <w:adjustRightInd w:val="0"/>
        <w:snapToGrid w:val="0"/>
        <w:spacing w:line="360" w:lineRule="auto"/>
        <w:ind w:firstLine="420" w:firstLineChars="200"/>
        <w:jc w:val="left"/>
        <w:textAlignment w:val="auto"/>
        <w:rPr>
          <w:rFonts w:ascii="宋体" w:hAnsi="宋体"/>
          <w:iCs/>
          <w:szCs w:val="21"/>
        </w:rPr>
      </w:pPr>
      <w:r>
        <w:rPr>
          <w:rFonts w:ascii="宋体" w:hAnsi="宋体"/>
          <w:iCs/>
          <w:szCs w:val="21"/>
        </w:rPr>
        <w:t>除专用术语外,与比选</w:t>
      </w:r>
      <w:r>
        <w:rPr>
          <w:rFonts w:hint="eastAsia" w:ascii="宋体" w:hAnsi="宋体"/>
          <w:iCs/>
          <w:szCs w:val="21"/>
          <w:lang w:eastAsia="zh-CN"/>
        </w:rPr>
        <w:t>竞标</w:t>
      </w:r>
      <w:r>
        <w:rPr>
          <w:rFonts w:ascii="宋体" w:hAnsi="宋体"/>
          <w:iCs/>
          <w:szCs w:val="21"/>
        </w:rPr>
        <w:t>有关的语言均使用中文，必要时专用术语应附有中文注释。</w:t>
      </w:r>
    </w:p>
    <w:p>
      <w:pPr>
        <w:keepNext w:val="0"/>
        <w:keepLines w:val="0"/>
        <w:pageBreakBefore w:val="0"/>
        <w:kinsoku/>
        <w:wordWrap/>
        <w:overflowPunct/>
        <w:topLinePunct w:val="0"/>
        <w:bidi w:val="0"/>
        <w:adjustRightInd w:val="0"/>
        <w:snapToGrid w:val="0"/>
        <w:spacing w:line="360" w:lineRule="auto"/>
        <w:ind w:firstLine="422" w:firstLineChars="200"/>
        <w:jc w:val="left"/>
        <w:textAlignment w:val="auto"/>
        <w:rPr>
          <w:rFonts w:ascii="宋体" w:hAnsi="宋体"/>
          <w:b/>
          <w:iCs/>
          <w:szCs w:val="21"/>
        </w:rPr>
      </w:pPr>
      <w:r>
        <w:rPr>
          <w:rFonts w:ascii="宋体" w:hAnsi="宋体"/>
          <w:b/>
          <w:iCs/>
          <w:szCs w:val="21"/>
        </w:rPr>
        <w:t>1.8计量单位</w:t>
      </w:r>
    </w:p>
    <w:p>
      <w:pPr>
        <w:keepNext w:val="0"/>
        <w:keepLines w:val="0"/>
        <w:pageBreakBefore w:val="0"/>
        <w:kinsoku/>
        <w:wordWrap/>
        <w:overflowPunct/>
        <w:topLinePunct w:val="0"/>
        <w:bidi w:val="0"/>
        <w:adjustRightInd w:val="0"/>
        <w:snapToGrid w:val="0"/>
        <w:spacing w:line="360" w:lineRule="auto"/>
        <w:ind w:firstLine="420" w:firstLineChars="200"/>
        <w:jc w:val="left"/>
        <w:textAlignment w:val="auto"/>
        <w:rPr>
          <w:rFonts w:ascii="宋体" w:hAnsi="宋体"/>
          <w:iCs/>
          <w:szCs w:val="21"/>
        </w:rPr>
      </w:pPr>
      <w:r>
        <w:rPr>
          <w:rFonts w:ascii="宋体" w:hAnsi="宋体"/>
          <w:iCs/>
          <w:szCs w:val="21"/>
        </w:rPr>
        <w:t>所有计量单位均采用中华人民共和国法定计量单位。</w:t>
      </w:r>
    </w:p>
    <w:p>
      <w:pPr>
        <w:keepNext w:val="0"/>
        <w:keepLines w:val="0"/>
        <w:pageBreakBefore w:val="0"/>
        <w:kinsoku/>
        <w:wordWrap/>
        <w:overflowPunct/>
        <w:topLinePunct w:val="0"/>
        <w:bidi w:val="0"/>
        <w:adjustRightInd w:val="0"/>
        <w:snapToGrid w:val="0"/>
        <w:spacing w:line="360" w:lineRule="auto"/>
        <w:ind w:firstLine="422" w:firstLineChars="200"/>
        <w:jc w:val="left"/>
        <w:textAlignment w:val="auto"/>
        <w:rPr>
          <w:rFonts w:ascii="宋体" w:hAnsi="宋体"/>
          <w:b/>
          <w:iCs/>
          <w:szCs w:val="21"/>
        </w:rPr>
      </w:pPr>
      <w:r>
        <w:rPr>
          <w:rFonts w:ascii="宋体" w:hAnsi="宋体"/>
          <w:b/>
          <w:iCs/>
          <w:szCs w:val="21"/>
        </w:rPr>
        <w:t>1.9踏勘现场</w:t>
      </w:r>
    </w:p>
    <w:p>
      <w:pPr>
        <w:pStyle w:val="23"/>
        <w:keepNext w:val="0"/>
        <w:keepLines w:val="0"/>
        <w:pageBreakBefore w:val="0"/>
        <w:kinsoku/>
        <w:wordWrap/>
        <w:overflowPunct/>
        <w:topLinePunct w:val="0"/>
        <w:bidi w:val="0"/>
        <w:spacing w:line="360" w:lineRule="auto"/>
        <w:ind w:firstLine="420" w:firstLineChars="200"/>
        <w:jc w:val="left"/>
        <w:textAlignment w:val="auto"/>
        <w:rPr>
          <w:rFonts w:hAnsi="宋体"/>
        </w:rPr>
      </w:pPr>
      <w:r>
        <w:rPr>
          <w:rFonts w:hAnsi="宋体"/>
          <w:iCs/>
        </w:rPr>
        <w:t>1.9</w:t>
      </w:r>
      <w:r>
        <w:rPr>
          <w:rFonts w:hAnsi="宋体"/>
        </w:rPr>
        <w:t>.1比选人不组织现场踏勘。</w:t>
      </w:r>
    </w:p>
    <w:p>
      <w:pPr>
        <w:keepNext w:val="0"/>
        <w:keepLines w:val="0"/>
        <w:pageBreakBefore w:val="0"/>
        <w:kinsoku/>
        <w:wordWrap/>
        <w:overflowPunct/>
        <w:topLinePunct w:val="0"/>
        <w:autoSpaceDE w:val="0"/>
        <w:autoSpaceDN w:val="0"/>
        <w:bidi w:val="0"/>
        <w:adjustRightInd w:val="0"/>
        <w:snapToGrid w:val="0"/>
        <w:spacing w:line="360" w:lineRule="auto"/>
        <w:ind w:firstLine="420" w:firstLineChars="200"/>
        <w:jc w:val="left"/>
        <w:textAlignment w:val="auto"/>
        <w:rPr>
          <w:rFonts w:ascii="宋体" w:hAnsi="宋体"/>
          <w:szCs w:val="21"/>
        </w:rPr>
      </w:pPr>
      <w:r>
        <w:rPr>
          <w:rFonts w:hint="eastAsia" w:ascii="宋体" w:hAnsi="宋体"/>
          <w:szCs w:val="21"/>
        </w:rPr>
        <w:t>1.9.2</w:t>
      </w:r>
      <w:r>
        <w:rPr>
          <w:rFonts w:hint="eastAsia" w:ascii="宋体" w:hAnsi="宋体"/>
          <w:szCs w:val="21"/>
          <w:lang w:eastAsia="zh-CN"/>
        </w:rPr>
        <w:t>竞标</w:t>
      </w:r>
      <w:r>
        <w:rPr>
          <w:rFonts w:hint="eastAsia" w:ascii="宋体" w:hAnsi="宋体"/>
          <w:szCs w:val="21"/>
        </w:rPr>
        <w:t>人踏勘现场发生的费用自理。</w:t>
      </w:r>
    </w:p>
    <w:p>
      <w:pPr>
        <w:keepNext w:val="0"/>
        <w:keepLines w:val="0"/>
        <w:pageBreakBefore w:val="0"/>
        <w:kinsoku/>
        <w:wordWrap/>
        <w:overflowPunct/>
        <w:topLinePunct w:val="0"/>
        <w:autoSpaceDE w:val="0"/>
        <w:autoSpaceDN w:val="0"/>
        <w:bidi w:val="0"/>
        <w:adjustRightInd w:val="0"/>
        <w:snapToGrid w:val="0"/>
        <w:spacing w:line="360" w:lineRule="auto"/>
        <w:ind w:firstLine="420" w:firstLineChars="200"/>
        <w:jc w:val="left"/>
        <w:textAlignment w:val="auto"/>
        <w:rPr>
          <w:rFonts w:ascii="宋体" w:hAnsi="宋体"/>
          <w:szCs w:val="21"/>
        </w:rPr>
      </w:pPr>
      <w:r>
        <w:rPr>
          <w:rFonts w:hint="eastAsia" w:ascii="宋体" w:hAnsi="宋体"/>
          <w:szCs w:val="21"/>
        </w:rPr>
        <w:t>1.9.3除比选人的原因外，</w:t>
      </w:r>
      <w:r>
        <w:rPr>
          <w:rFonts w:hint="eastAsia" w:ascii="宋体" w:hAnsi="宋体"/>
          <w:szCs w:val="21"/>
          <w:lang w:eastAsia="zh-CN"/>
        </w:rPr>
        <w:t>竞标</w:t>
      </w:r>
      <w:r>
        <w:rPr>
          <w:rFonts w:hint="eastAsia" w:ascii="宋体" w:hAnsi="宋体"/>
          <w:szCs w:val="21"/>
        </w:rPr>
        <w:t>人自行负责在踏勘现场中所发生的人员伤亡和财产损失。</w:t>
      </w:r>
    </w:p>
    <w:p>
      <w:pPr>
        <w:keepNext w:val="0"/>
        <w:keepLines w:val="0"/>
        <w:pageBreakBefore w:val="0"/>
        <w:kinsoku/>
        <w:wordWrap/>
        <w:overflowPunct/>
        <w:topLinePunct w:val="0"/>
        <w:autoSpaceDE w:val="0"/>
        <w:autoSpaceDN w:val="0"/>
        <w:bidi w:val="0"/>
        <w:adjustRightInd w:val="0"/>
        <w:snapToGrid w:val="0"/>
        <w:spacing w:line="360" w:lineRule="auto"/>
        <w:ind w:firstLine="420" w:firstLineChars="200"/>
        <w:jc w:val="left"/>
        <w:textAlignment w:val="auto"/>
        <w:rPr>
          <w:rFonts w:ascii="宋体" w:hAnsi="宋体"/>
          <w:szCs w:val="21"/>
        </w:rPr>
      </w:pPr>
      <w:r>
        <w:rPr>
          <w:rFonts w:hint="eastAsia" w:ascii="宋体" w:hAnsi="宋体"/>
          <w:szCs w:val="21"/>
        </w:rPr>
        <w:t>1.9.4比选人在踏勘现场中介绍的工程场地和相关的周边环境情况，供</w:t>
      </w:r>
      <w:r>
        <w:rPr>
          <w:rFonts w:hint="eastAsia" w:ascii="宋体" w:hAnsi="宋体"/>
          <w:szCs w:val="21"/>
          <w:lang w:eastAsia="zh-CN"/>
        </w:rPr>
        <w:t>竞标</w:t>
      </w:r>
      <w:r>
        <w:rPr>
          <w:rFonts w:hint="eastAsia" w:ascii="宋体" w:hAnsi="宋体"/>
          <w:szCs w:val="21"/>
        </w:rPr>
        <w:t>人在编制</w:t>
      </w:r>
      <w:r>
        <w:rPr>
          <w:rFonts w:hint="eastAsia" w:ascii="宋体" w:hAnsi="宋体"/>
          <w:szCs w:val="21"/>
          <w:lang w:eastAsia="zh-CN"/>
        </w:rPr>
        <w:t>竞标</w:t>
      </w:r>
      <w:r>
        <w:rPr>
          <w:rFonts w:hint="eastAsia" w:ascii="宋体" w:hAnsi="宋体"/>
          <w:szCs w:val="21"/>
        </w:rPr>
        <w:t>文件时参考，比选人不对</w:t>
      </w:r>
      <w:r>
        <w:rPr>
          <w:rFonts w:hint="eastAsia" w:ascii="宋体" w:hAnsi="宋体"/>
          <w:szCs w:val="21"/>
          <w:lang w:eastAsia="zh-CN"/>
        </w:rPr>
        <w:t>竞标</w:t>
      </w:r>
      <w:r>
        <w:rPr>
          <w:rFonts w:hint="eastAsia" w:ascii="宋体" w:hAnsi="宋体"/>
          <w:szCs w:val="21"/>
        </w:rPr>
        <w:t>人据此做出的判断和决策负责。</w:t>
      </w:r>
    </w:p>
    <w:p>
      <w:pPr>
        <w:keepNext w:val="0"/>
        <w:keepLines w:val="0"/>
        <w:pageBreakBefore w:val="0"/>
        <w:kinsoku/>
        <w:wordWrap/>
        <w:overflowPunct/>
        <w:topLinePunct w:val="0"/>
        <w:bidi w:val="0"/>
        <w:spacing w:line="360" w:lineRule="auto"/>
        <w:ind w:firstLine="420" w:firstLineChars="200"/>
        <w:jc w:val="left"/>
        <w:textAlignment w:val="auto"/>
        <w:rPr>
          <w:rFonts w:ascii="宋体" w:hAnsi="宋体"/>
          <w:szCs w:val="21"/>
        </w:rPr>
      </w:pPr>
      <w:r>
        <w:rPr>
          <w:rFonts w:hint="eastAsia" w:ascii="宋体" w:hAnsi="宋体"/>
          <w:szCs w:val="21"/>
        </w:rPr>
        <w:t>1.9.5比选人提供的本合同工程的水文、地质、气象等参考资料，并不构成合同文件的组成部分，</w:t>
      </w:r>
      <w:r>
        <w:rPr>
          <w:rFonts w:hint="eastAsia" w:ascii="宋体" w:hAnsi="宋体"/>
          <w:szCs w:val="21"/>
          <w:lang w:eastAsia="zh-CN"/>
        </w:rPr>
        <w:t>竞标</w:t>
      </w:r>
      <w:r>
        <w:rPr>
          <w:rFonts w:hint="eastAsia" w:ascii="宋体" w:hAnsi="宋体"/>
          <w:szCs w:val="21"/>
        </w:rPr>
        <w:t>人应对自己对上述资料的解释、推论和应用负责，比选人不对</w:t>
      </w:r>
      <w:r>
        <w:rPr>
          <w:rFonts w:hint="eastAsia" w:ascii="宋体" w:hAnsi="宋体"/>
          <w:szCs w:val="21"/>
          <w:lang w:eastAsia="zh-CN"/>
        </w:rPr>
        <w:t>竞标</w:t>
      </w:r>
      <w:r>
        <w:rPr>
          <w:rFonts w:hint="eastAsia" w:ascii="宋体" w:hAnsi="宋体"/>
          <w:szCs w:val="21"/>
        </w:rPr>
        <w:t>人据此作出的判断和决策承担任何责任。</w:t>
      </w:r>
    </w:p>
    <w:p>
      <w:pPr>
        <w:keepNext w:val="0"/>
        <w:keepLines w:val="0"/>
        <w:pageBreakBefore w:val="0"/>
        <w:kinsoku/>
        <w:wordWrap/>
        <w:overflowPunct/>
        <w:topLinePunct w:val="0"/>
        <w:bidi w:val="0"/>
        <w:adjustRightInd w:val="0"/>
        <w:snapToGrid w:val="0"/>
        <w:spacing w:line="360" w:lineRule="auto"/>
        <w:ind w:firstLine="422" w:firstLineChars="200"/>
        <w:jc w:val="left"/>
        <w:textAlignment w:val="auto"/>
        <w:rPr>
          <w:rFonts w:ascii="宋体" w:hAnsi="宋体"/>
          <w:b/>
          <w:iCs/>
          <w:szCs w:val="21"/>
        </w:rPr>
      </w:pPr>
      <w:r>
        <w:rPr>
          <w:rFonts w:ascii="宋体" w:hAnsi="宋体"/>
          <w:b/>
          <w:iCs/>
          <w:szCs w:val="21"/>
        </w:rPr>
        <w:t>1.10</w:t>
      </w:r>
      <w:r>
        <w:rPr>
          <w:rFonts w:hint="eastAsia" w:ascii="宋体" w:hAnsi="宋体"/>
          <w:b/>
          <w:iCs/>
          <w:szCs w:val="21"/>
          <w:lang w:eastAsia="zh-CN"/>
        </w:rPr>
        <w:t>竞标</w:t>
      </w:r>
      <w:r>
        <w:rPr>
          <w:rFonts w:ascii="宋体" w:hAnsi="宋体"/>
          <w:b/>
          <w:iCs/>
          <w:szCs w:val="21"/>
        </w:rPr>
        <w:t>预备会</w:t>
      </w:r>
    </w:p>
    <w:p>
      <w:pPr>
        <w:keepNext w:val="0"/>
        <w:keepLines w:val="0"/>
        <w:pageBreakBefore w:val="0"/>
        <w:kinsoku/>
        <w:wordWrap/>
        <w:overflowPunct/>
        <w:topLinePunct w:val="0"/>
        <w:bidi w:val="0"/>
        <w:adjustRightInd w:val="0"/>
        <w:snapToGrid w:val="0"/>
        <w:spacing w:line="360" w:lineRule="auto"/>
        <w:ind w:firstLine="420" w:firstLineChars="200"/>
        <w:jc w:val="left"/>
        <w:textAlignment w:val="auto"/>
        <w:rPr>
          <w:rFonts w:ascii="宋体" w:hAnsi="宋体"/>
          <w:iCs/>
          <w:szCs w:val="21"/>
        </w:rPr>
      </w:pPr>
      <w:r>
        <w:rPr>
          <w:rFonts w:ascii="宋体" w:hAnsi="宋体"/>
          <w:iCs/>
          <w:szCs w:val="21"/>
        </w:rPr>
        <w:t>1.10.1比选人不召开</w:t>
      </w:r>
      <w:r>
        <w:rPr>
          <w:rFonts w:hint="eastAsia" w:ascii="宋体" w:hAnsi="宋体"/>
          <w:iCs/>
          <w:szCs w:val="21"/>
          <w:lang w:eastAsia="zh-CN"/>
        </w:rPr>
        <w:t>竞标</w:t>
      </w:r>
      <w:r>
        <w:rPr>
          <w:rFonts w:ascii="宋体" w:hAnsi="宋体"/>
          <w:iCs/>
          <w:szCs w:val="21"/>
        </w:rPr>
        <w:t>预备会。</w:t>
      </w:r>
    </w:p>
    <w:p>
      <w:pPr>
        <w:keepNext w:val="0"/>
        <w:keepLines w:val="0"/>
        <w:pageBreakBefore w:val="0"/>
        <w:kinsoku/>
        <w:wordWrap/>
        <w:overflowPunct/>
        <w:topLinePunct w:val="0"/>
        <w:bidi w:val="0"/>
        <w:adjustRightInd w:val="0"/>
        <w:snapToGrid w:val="0"/>
        <w:spacing w:line="360" w:lineRule="auto"/>
        <w:ind w:firstLine="420" w:firstLineChars="200"/>
        <w:jc w:val="left"/>
        <w:textAlignment w:val="auto"/>
        <w:rPr>
          <w:rFonts w:ascii="宋体" w:hAnsi="宋体"/>
          <w:iCs/>
          <w:szCs w:val="21"/>
        </w:rPr>
      </w:pPr>
      <w:r>
        <w:rPr>
          <w:rFonts w:ascii="宋体" w:hAnsi="宋体"/>
          <w:iCs/>
          <w:szCs w:val="21"/>
        </w:rPr>
        <w:t>1.10.2</w:t>
      </w:r>
      <w:r>
        <w:rPr>
          <w:rFonts w:hint="eastAsia" w:ascii="宋体" w:hAnsi="宋体"/>
          <w:iCs/>
          <w:szCs w:val="21"/>
          <w:lang w:eastAsia="zh-CN"/>
        </w:rPr>
        <w:t>竞标</w:t>
      </w:r>
      <w:r>
        <w:rPr>
          <w:rFonts w:ascii="宋体" w:hAnsi="宋体"/>
          <w:iCs/>
          <w:szCs w:val="21"/>
        </w:rPr>
        <w:t>人应在</w:t>
      </w:r>
      <w:r>
        <w:rPr>
          <w:rFonts w:hint="eastAsia" w:ascii="宋体" w:hAnsi="宋体"/>
          <w:iCs/>
          <w:szCs w:val="21"/>
          <w:lang w:eastAsia="zh-CN"/>
        </w:rPr>
        <w:t>竞标</w:t>
      </w:r>
      <w:r>
        <w:rPr>
          <w:rFonts w:ascii="宋体" w:hAnsi="宋体"/>
          <w:iCs/>
          <w:szCs w:val="21"/>
        </w:rPr>
        <w:t>人须知前附表规定的时间前，将提出的问题送达比选代理机构</w:t>
      </w:r>
      <w:r>
        <w:rPr>
          <w:rFonts w:ascii="宋体" w:hAnsi="宋体"/>
          <w:kern w:val="0"/>
          <w:szCs w:val="21"/>
        </w:rPr>
        <w:t>或比选人，以便比选人澄清。</w:t>
      </w:r>
    </w:p>
    <w:p>
      <w:pPr>
        <w:keepNext w:val="0"/>
        <w:keepLines w:val="0"/>
        <w:pageBreakBefore w:val="0"/>
        <w:kinsoku/>
        <w:wordWrap/>
        <w:overflowPunct/>
        <w:topLinePunct w:val="0"/>
        <w:bidi w:val="0"/>
        <w:adjustRightInd w:val="0"/>
        <w:snapToGrid w:val="0"/>
        <w:spacing w:line="360" w:lineRule="auto"/>
        <w:ind w:firstLine="420" w:firstLineChars="200"/>
        <w:jc w:val="left"/>
        <w:textAlignment w:val="auto"/>
        <w:rPr>
          <w:rFonts w:ascii="宋体" w:hAnsi="宋体"/>
          <w:kern w:val="0"/>
          <w:szCs w:val="21"/>
        </w:rPr>
      </w:pPr>
      <w:r>
        <w:rPr>
          <w:rFonts w:ascii="宋体" w:hAnsi="宋体"/>
          <w:iCs/>
          <w:szCs w:val="21"/>
        </w:rPr>
        <w:t>1.10.3比选人在</w:t>
      </w:r>
      <w:r>
        <w:rPr>
          <w:rFonts w:hint="eastAsia" w:ascii="宋体" w:hAnsi="宋体"/>
          <w:iCs/>
          <w:szCs w:val="21"/>
          <w:lang w:eastAsia="zh-CN"/>
        </w:rPr>
        <w:t>竞标</w:t>
      </w:r>
      <w:r>
        <w:rPr>
          <w:rFonts w:ascii="宋体" w:hAnsi="宋体"/>
          <w:iCs/>
          <w:szCs w:val="21"/>
        </w:rPr>
        <w:t>人须知前附表规定的时间内，将对</w:t>
      </w:r>
      <w:r>
        <w:rPr>
          <w:rFonts w:hint="eastAsia" w:ascii="宋体" w:hAnsi="宋体"/>
          <w:iCs/>
          <w:szCs w:val="21"/>
          <w:lang w:eastAsia="zh-CN"/>
        </w:rPr>
        <w:t>竞标</w:t>
      </w:r>
      <w:r>
        <w:rPr>
          <w:rFonts w:ascii="宋体" w:hAnsi="宋体"/>
          <w:iCs/>
          <w:szCs w:val="21"/>
        </w:rPr>
        <w:t>人所提问题的澄清，以书面方式回复</w:t>
      </w:r>
      <w:r>
        <w:rPr>
          <w:rFonts w:ascii="宋体" w:hAnsi="宋体"/>
          <w:kern w:val="0"/>
          <w:szCs w:val="21"/>
        </w:rPr>
        <w:t>。该澄清内容为比选文件的组成部分。</w:t>
      </w:r>
    </w:p>
    <w:p>
      <w:pPr>
        <w:keepNext w:val="0"/>
        <w:keepLines w:val="0"/>
        <w:pageBreakBefore w:val="0"/>
        <w:kinsoku/>
        <w:wordWrap/>
        <w:overflowPunct/>
        <w:topLinePunct w:val="0"/>
        <w:bidi w:val="0"/>
        <w:adjustRightInd w:val="0"/>
        <w:snapToGrid w:val="0"/>
        <w:spacing w:line="360" w:lineRule="auto"/>
        <w:ind w:firstLine="422" w:firstLineChars="200"/>
        <w:jc w:val="left"/>
        <w:textAlignment w:val="auto"/>
        <w:rPr>
          <w:rFonts w:ascii="宋体" w:hAnsi="宋体"/>
          <w:b/>
          <w:iCs/>
          <w:szCs w:val="21"/>
        </w:rPr>
      </w:pPr>
      <w:r>
        <w:rPr>
          <w:rFonts w:ascii="宋体" w:hAnsi="宋体"/>
          <w:b/>
          <w:iCs/>
          <w:szCs w:val="21"/>
        </w:rPr>
        <w:t>1.11分包</w:t>
      </w:r>
    </w:p>
    <w:p>
      <w:pPr>
        <w:keepNext w:val="0"/>
        <w:keepLines w:val="0"/>
        <w:pageBreakBefore w:val="0"/>
        <w:kinsoku/>
        <w:wordWrap/>
        <w:overflowPunct/>
        <w:topLinePunct w:val="0"/>
        <w:bidi w:val="0"/>
        <w:adjustRightInd w:val="0"/>
        <w:snapToGrid w:val="0"/>
        <w:spacing w:line="360" w:lineRule="auto"/>
        <w:ind w:firstLine="420" w:firstLineChars="200"/>
        <w:jc w:val="left"/>
        <w:textAlignment w:val="auto"/>
        <w:rPr>
          <w:rFonts w:ascii="宋体" w:hAnsi="宋体"/>
          <w:iCs/>
          <w:szCs w:val="21"/>
        </w:rPr>
      </w:pPr>
      <w:r>
        <w:rPr>
          <w:rFonts w:hint="eastAsia" w:ascii="宋体" w:hAnsi="宋体"/>
          <w:szCs w:val="21"/>
          <w:lang w:val="en-US" w:eastAsia="zh-CN"/>
        </w:rPr>
        <w:t>见竞选人须知前附表</w:t>
      </w:r>
      <w:r>
        <w:rPr>
          <w:rFonts w:ascii="宋体" w:hAnsi="宋体"/>
          <w:szCs w:val="21"/>
        </w:rPr>
        <w:t>。</w:t>
      </w:r>
    </w:p>
    <w:p>
      <w:pPr>
        <w:keepNext w:val="0"/>
        <w:keepLines w:val="0"/>
        <w:pageBreakBefore w:val="0"/>
        <w:kinsoku/>
        <w:wordWrap/>
        <w:overflowPunct/>
        <w:topLinePunct w:val="0"/>
        <w:bidi w:val="0"/>
        <w:adjustRightInd w:val="0"/>
        <w:snapToGrid w:val="0"/>
        <w:spacing w:line="360" w:lineRule="auto"/>
        <w:jc w:val="left"/>
        <w:textAlignment w:val="auto"/>
        <w:rPr>
          <w:rFonts w:ascii="宋体" w:hAnsi="宋体"/>
          <w:b/>
          <w:iCs/>
          <w:sz w:val="28"/>
          <w:szCs w:val="28"/>
        </w:rPr>
      </w:pPr>
      <w:r>
        <w:rPr>
          <w:rFonts w:ascii="宋体" w:hAnsi="宋体"/>
          <w:b/>
          <w:iCs/>
          <w:sz w:val="28"/>
          <w:szCs w:val="28"/>
        </w:rPr>
        <w:t>2．比选文件</w:t>
      </w:r>
    </w:p>
    <w:p>
      <w:pPr>
        <w:keepNext w:val="0"/>
        <w:keepLines w:val="0"/>
        <w:pageBreakBefore w:val="0"/>
        <w:kinsoku/>
        <w:wordWrap/>
        <w:overflowPunct/>
        <w:topLinePunct w:val="0"/>
        <w:bidi w:val="0"/>
        <w:adjustRightInd w:val="0"/>
        <w:snapToGrid w:val="0"/>
        <w:spacing w:line="360" w:lineRule="auto"/>
        <w:ind w:firstLine="422" w:firstLineChars="200"/>
        <w:jc w:val="left"/>
        <w:textAlignment w:val="auto"/>
        <w:rPr>
          <w:rFonts w:ascii="宋体" w:hAnsi="宋体"/>
          <w:b/>
          <w:bCs/>
          <w:szCs w:val="21"/>
        </w:rPr>
      </w:pPr>
      <w:r>
        <w:rPr>
          <w:rFonts w:ascii="宋体" w:hAnsi="宋体"/>
          <w:b/>
          <w:bCs/>
          <w:szCs w:val="21"/>
        </w:rPr>
        <w:t>2.1比选文件的组成</w:t>
      </w:r>
    </w:p>
    <w:p>
      <w:pPr>
        <w:keepNext w:val="0"/>
        <w:keepLines w:val="0"/>
        <w:pageBreakBefore w:val="0"/>
        <w:kinsoku/>
        <w:wordWrap/>
        <w:overflowPunct/>
        <w:topLinePunct w:val="0"/>
        <w:bidi w:val="0"/>
        <w:adjustRightInd w:val="0"/>
        <w:snapToGrid w:val="0"/>
        <w:spacing w:line="360" w:lineRule="auto"/>
        <w:ind w:firstLine="420" w:firstLineChars="200"/>
        <w:jc w:val="left"/>
        <w:textAlignment w:val="auto"/>
        <w:rPr>
          <w:rFonts w:ascii="宋体" w:hAnsi="宋体"/>
          <w:szCs w:val="21"/>
        </w:rPr>
      </w:pPr>
      <w:r>
        <w:rPr>
          <w:rFonts w:ascii="宋体" w:hAnsi="宋体"/>
          <w:szCs w:val="21"/>
        </w:rPr>
        <w:t>比选文件包括下列内容：</w:t>
      </w:r>
    </w:p>
    <w:p>
      <w:pPr>
        <w:keepNext w:val="0"/>
        <w:keepLines w:val="0"/>
        <w:pageBreakBefore w:val="0"/>
        <w:kinsoku/>
        <w:wordWrap/>
        <w:overflowPunct/>
        <w:topLinePunct w:val="0"/>
        <w:bidi w:val="0"/>
        <w:adjustRightInd w:val="0"/>
        <w:snapToGrid w:val="0"/>
        <w:spacing w:line="360" w:lineRule="auto"/>
        <w:ind w:firstLine="420" w:firstLineChars="200"/>
        <w:jc w:val="left"/>
        <w:textAlignment w:val="auto"/>
        <w:rPr>
          <w:rFonts w:ascii="宋体" w:hAnsi="宋体"/>
          <w:szCs w:val="21"/>
        </w:rPr>
      </w:pPr>
      <w:r>
        <w:rPr>
          <w:rFonts w:ascii="宋体" w:hAnsi="宋体"/>
          <w:szCs w:val="21"/>
        </w:rPr>
        <w:t>（1）第一章</w:t>
      </w:r>
      <w:r>
        <w:rPr>
          <w:rFonts w:hint="eastAsia" w:ascii="宋体" w:hAnsi="宋体"/>
          <w:szCs w:val="21"/>
        </w:rPr>
        <w:t xml:space="preserve"> </w:t>
      </w:r>
      <w:r>
        <w:rPr>
          <w:rFonts w:ascii="宋体" w:hAnsi="宋体"/>
          <w:szCs w:val="21"/>
        </w:rPr>
        <w:t>比选公告</w:t>
      </w:r>
    </w:p>
    <w:p>
      <w:pPr>
        <w:keepNext w:val="0"/>
        <w:keepLines w:val="0"/>
        <w:pageBreakBefore w:val="0"/>
        <w:kinsoku/>
        <w:wordWrap/>
        <w:overflowPunct/>
        <w:topLinePunct w:val="0"/>
        <w:bidi w:val="0"/>
        <w:adjustRightInd w:val="0"/>
        <w:snapToGrid w:val="0"/>
        <w:spacing w:line="360" w:lineRule="auto"/>
        <w:ind w:firstLine="420" w:firstLineChars="200"/>
        <w:jc w:val="left"/>
        <w:textAlignment w:val="auto"/>
        <w:rPr>
          <w:rFonts w:ascii="宋体" w:hAnsi="宋体"/>
          <w:szCs w:val="21"/>
        </w:rPr>
      </w:pPr>
      <w:r>
        <w:rPr>
          <w:rFonts w:ascii="宋体" w:hAnsi="宋体"/>
          <w:szCs w:val="21"/>
        </w:rPr>
        <w:t xml:space="preserve">（2）第二章 </w:t>
      </w:r>
      <w:r>
        <w:rPr>
          <w:rFonts w:hint="eastAsia" w:ascii="宋体" w:hAnsi="宋体"/>
          <w:szCs w:val="21"/>
          <w:lang w:eastAsia="zh-CN"/>
        </w:rPr>
        <w:t>竞标</w:t>
      </w:r>
      <w:r>
        <w:rPr>
          <w:rFonts w:ascii="宋体" w:hAnsi="宋体"/>
          <w:szCs w:val="21"/>
        </w:rPr>
        <w:t xml:space="preserve">人须知 </w:t>
      </w:r>
    </w:p>
    <w:p>
      <w:pPr>
        <w:keepNext w:val="0"/>
        <w:keepLines w:val="0"/>
        <w:pageBreakBefore w:val="0"/>
        <w:kinsoku/>
        <w:wordWrap/>
        <w:overflowPunct/>
        <w:topLinePunct w:val="0"/>
        <w:bidi w:val="0"/>
        <w:adjustRightInd w:val="0"/>
        <w:snapToGrid w:val="0"/>
        <w:spacing w:line="360" w:lineRule="auto"/>
        <w:ind w:firstLine="420" w:firstLineChars="200"/>
        <w:jc w:val="left"/>
        <w:textAlignment w:val="auto"/>
        <w:rPr>
          <w:rFonts w:ascii="宋体" w:hAnsi="宋体"/>
          <w:szCs w:val="21"/>
        </w:rPr>
      </w:pPr>
      <w:r>
        <w:rPr>
          <w:rFonts w:ascii="宋体" w:hAnsi="宋体"/>
          <w:szCs w:val="21"/>
        </w:rPr>
        <w:t>（3）第三章 评标办法</w:t>
      </w:r>
    </w:p>
    <w:p>
      <w:pPr>
        <w:keepNext w:val="0"/>
        <w:keepLines w:val="0"/>
        <w:pageBreakBefore w:val="0"/>
        <w:kinsoku/>
        <w:wordWrap/>
        <w:overflowPunct/>
        <w:topLinePunct w:val="0"/>
        <w:bidi w:val="0"/>
        <w:adjustRightInd w:val="0"/>
        <w:snapToGrid w:val="0"/>
        <w:spacing w:line="360" w:lineRule="auto"/>
        <w:ind w:firstLine="420" w:firstLineChars="200"/>
        <w:jc w:val="left"/>
        <w:textAlignment w:val="auto"/>
        <w:rPr>
          <w:rFonts w:ascii="宋体" w:hAnsi="宋体"/>
          <w:szCs w:val="21"/>
        </w:rPr>
      </w:pPr>
      <w:r>
        <w:rPr>
          <w:rFonts w:ascii="宋体" w:hAnsi="宋体"/>
          <w:szCs w:val="21"/>
        </w:rPr>
        <w:t>（4）第四章</w:t>
      </w:r>
      <w:r>
        <w:rPr>
          <w:rFonts w:hint="eastAsia" w:ascii="宋体" w:hAnsi="宋体"/>
          <w:szCs w:val="21"/>
        </w:rPr>
        <w:t xml:space="preserve"> 合同条款及格式 </w:t>
      </w:r>
    </w:p>
    <w:p>
      <w:pPr>
        <w:keepNext w:val="0"/>
        <w:keepLines w:val="0"/>
        <w:pageBreakBefore w:val="0"/>
        <w:kinsoku/>
        <w:wordWrap/>
        <w:overflowPunct/>
        <w:topLinePunct w:val="0"/>
        <w:bidi w:val="0"/>
        <w:adjustRightInd w:val="0"/>
        <w:snapToGrid w:val="0"/>
        <w:spacing w:line="360" w:lineRule="auto"/>
        <w:ind w:firstLine="420" w:firstLineChars="200"/>
        <w:jc w:val="left"/>
        <w:textAlignment w:val="auto"/>
        <w:rPr>
          <w:rFonts w:ascii="宋体" w:hAnsi="宋体"/>
          <w:szCs w:val="21"/>
        </w:rPr>
      </w:pPr>
      <w:r>
        <w:rPr>
          <w:rFonts w:ascii="宋体" w:hAnsi="宋体"/>
          <w:szCs w:val="21"/>
        </w:rPr>
        <w:t>（5）</w:t>
      </w:r>
      <w:r>
        <w:rPr>
          <w:rFonts w:hint="eastAsia" w:ascii="宋体" w:hAnsi="宋体"/>
          <w:szCs w:val="21"/>
        </w:rPr>
        <w:t>第五章</w:t>
      </w:r>
      <w:r>
        <w:rPr>
          <w:rFonts w:hint="eastAsia" w:ascii="宋体" w:hAnsi="宋体"/>
          <w:kern w:val="0"/>
          <w:szCs w:val="21"/>
        </w:rPr>
        <w:t xml:space="preserve"> 技术要求</w:t>
      </w:r>
    </w:p>
    <w:p>
      <w:pPr>
        <w:keepNext w:val="0"/>
        <w:keepLines w:val="0"/>
        <w:pageBreakBefore w:val="0"/>
        <w:kinsoku/>
        <w:wordWrap/>
        <w:overflowPunct/>
        <w:topLinePunct w:val="0"/>
        <w:bidi w:val="0"/>
        <w:adjustRightInd w:val="0"/>
        <w:snapToGrid w:val="0"/>
        <w:spacing w:line="360" w:lineRule="auto"/>
        <w:ind w:firstLine="420" w:firstLineChars="200"/>
        <w:jc w:val="left"/>
        <w:textAlignment w:val="auto"/>
        <w:rPr>
          <w:rFonts w:ascii="宋体" w:hAnsi="宋体"/>
          <w:szCs w:val="21"/>
        </w:rPr>
      </w:pPr>
      <w:r>
        <w:rPr>
          <w:rFonts w:ascii="宋体" w:hAnsi="宋体"/>
          <w:szCs w:val="21"/>
        </w:rPr>
        <w:t>（6）第六章</w:t>
      </w:r>
      <w:r>
        <w:rPr>
          <w:rFonts w:hint="eastAsia" w:ascii="宋体" w:hAnsi="宋体"/>
          <w:szCs w:val="21"/>
        </w:rPr>
        <w:t xml:space="preserve"> </w:t>
      </w:r>
      <w:r>
        <w:rPr>
          <w:rFonts w:hint="eastAsia" w:ascii="宋体" w:hAnsi="宋体"/>
          <w:szCs w:val="21"/>
          <w:lang w:eastAsia="zh-CN"/>
        </w:rPr>
        <w:t>竞标</w:t>
      </w:r>
      <w:r>
        <w:rPr>
          <w:rFonts w:hint="eastAsia" w:ascii="宋体" w:hAnsi="宋体"/>
          <w:szCs w:val="21"/>
        </w:rPr>
        <w:t>文</w:t>
      </w:r>
      <w:r>
        <w:rPr>
          <w:rFonts w:ascii="宋体" w:hAnsi="宋体"/>
          <w:szCs w:val="21"/>
        </w:rPr>
        <w:t xml:space="preserve">件格式 </w:t>
      </w:r>
    </w:p>
    <w:p>
      <w:pPr>
        <w:keepNext w:val="0"/>
        <w:keepLines w:val="0"/>
        <w:pageBreakBefore w:val="0"/>
        <w:kinsoku/>
        <w:wordWrap/>
        <w:overflowPunct/>
        <w:topLinePunct w:val="0"/>
        <w:bidi w:val="0"/>
        <w:adjustRightInd w:val="0"/>
        <w:snapToGrid w:val="0"/>
        <w:spacing w:line="360" w:lineRule="auto"/>
        <w:ind w:firstLine="420" w:firstLineChars="200"/>
        <w:jc w:val="left"/>
        <w:textAlignment w:val="auto"/>
        <w:rPr>
          <w:rFonts w:ascii="宋体" w:hAnsi="宋体"/>
          <w:szCs w:val="21"/>
        </w:rPr>
      </w:pPr>
      <w:r>
        <w:rPr>
          <w:rFonts w:ascii="宋体" w:hAnsi="宋体"/>
          <w:szCs w:val="21"/>
        </w:rPr>
        <w:t>根据本章第2.2款和第2.3款对比选文件所作的澄清、修改构成比选文件的组成部分，对</w:t>
      </w:r>
      <w:r>
        <w:rPr>
          <w:rFonts w:hint="eastAsia" w:ascii="宋体" w:hAnsi="宋体"/>
          <w:szCs w:val="21"/>
          <w:lang w:eastAsia="zh-CN"/>
        </w:rPr>
        <w:t>竞标</w:t>
      </w:r>
      <w:r>
        <w:rPr>
          <w:rFonts w:ascii="宋体" w:hAnsi="宋体"/>
          <w:szCs w:val="21"/>
        </w:rPr>
        <w:t>人起约束作用。</w:t>
      </w:r>
    </w:p>
    <w:p>
      <w:pPr>
        <w:keepNext w:val="0"/>
        <w:keepLines w:val="0"/>
        <w:pageBreakBefore w:val="0"/>
        <w:kinsoku/>
        <w:wordWrap/>
        <w:overflowPunct/>
        <w:topLinePunct w:val="0"/>
        <w:bidi w:val="0"/>
        <w:adjustRightInd w:val="0"/>
        <w:snapToGrid w:val="0"/>
        <w:spacing w:line="360" w:lineRule="auto"/>
        <w:ind w:firstLine="422" w:firstLineChars="200"/>
        <w:jc w:val="left"/>
        <w:textAlignment w:val="auto"/>
        <w:rPr>
          <w:rFonts w:ascii="宋体" w:hAnsi="宋体"/>
          <w:b/>
          <w:bCs/>
          <w:szCs w:val="21"/>
        </w:rPr>
      </w:pPr>
      <w:r>
        <w:rPr>
          <w:rFonts w:ascii="宋体" w:hAnsi="宋体"/>
          <w:b/>
          <w:bCs/>
          <w:szCs w:val="21"/>
        </w:rPr>
        <w:t>2.2比选文件的澄清</w:t>
      </w:r>
    </w:p>
    <w:p>
      <w:pPr>
        <w:keepNext w:val="0"/>
        <w:keepLines w:val="0"/>
        <w:pageBreakBefore w:val="0"/>
        <w:kinsoku/>
        <w:wordWrap/>
        <w:overflowPunct/>
        <w:topLinePunct w:val="0"/>
        <w:bidi w:val="0"/>
        <w:adjustRightInd w:val="0"/>
        <w:snapToGrid w:val="0"/>
        <w:spacing w:line="360" w:lineRule="auto"/>
        <w:ind w:firstLine="420" w:firstLineChars="200"/>
        <w:jc w:val="left"/>
        <w:textAlignment w:val="auto"/>
        <w:rPr>
          <w:rFonts w:ascii="宋体" w:hAnsi="宋体"/>
          <w:szCs w:val="21"/>
        </w:rPr>
      </w:pPr>
      <w:r>
        <w:rPr>
          <w:rFonts w:hint="eastAsia" w:ascii="宋体" w:hAnsi="宋体"/>
          <w:szCs w:val="21"/>
        </w:rPr>
        <w:t>2.2.1</w:t>
      </w:r>
      <w:r>
        <w:rPr>
          <w:rFonts w:hint="eastAsia" w:ascii="宋体" w:hAnsi="宋体"/>
          <w:szCs w:val="21"/>
          <w:lang w:eastAsia="zh-CN"/>
        </w:rPr>
        <w:t>竞标</w:t>
      </w:r>
      <w:r>
        <w:rPr>
          <w:rFonts w:hint="eastAsia" w:ascii="宋体" w:hAnsi="宋体"/>
          <w:szCs w:val="21"/>
        </w:rPr>
        <w:t>人应仔细阅读和检查比选文件的全部内容。如发现缺页或附件不全，应及时向比选人提出，以便补齐。如有疑问，</w:t>
      </w:r>
      <w:r>
        <w:rPr>
          <w:rFonts w:hint="eastAsia" w:ascii="宋体" w:hAnsi="宋体" w:cs="宋体"/>
          <w:snapToGrid w:val="0"/>
          <w:kern w:val="0"/>
          <w:szCs w:val="21"/>
        </w:rPr>
        <w:t>应在</w:t>
      </w:r>
      <w:r>
        <w:rPr>
          <w:rFonts w:hint="eastAsia" w:ascii="宋体" w:hAnsi="宋体" w:cs="宋体"/>
          <w:snapToGrid w:val="0"/>
          <w:kern w:val="0"/>
          <w:szCs w:val="21"/>
          <w:lang w:eastAsia="zh-CN"/>
        </w:rPr>
        <w:t>竞标</w:t>
      </w:r>
      <w:r>
        <w:rPr>
          <w:rFonts w:hint="eastAsia" w:ascii="宋体" w:hAnsi="宋体" w:cs="宋体"/>
          <w:snapToGrid w:val="0"/>
          <w:kern w:val="0"/>
          <w:szCs w:val="21"/>
        </w:rPr>
        <w:t>人须知前附表规定的时间前在相应法定网站提问，要求比选人对比选文件予以澄清</w:t>
      </w:r>
      <w:r>
        <w:rPr>
          <w:rFonts w:hint="eastAsia" w:ascii="宋体" w:hAnsi="宋体"/>
          <w:szCs w:val="21"/>
        </w:rPr>
        <w:t>。</w:t>
      </w:r>
    </w:p>
    <w:p>
      <w:pPr>
        <w:keepNext w:val="0"/>
        <w:keepLines w:val="0"/>
        <w:pageBreakBefore w:val="0"/>
        <w:kinsoku/>
        <w:wordWrap/>
        <w:overflowPunct/>
        <w:topLinePunct w:val="0"/>
        <w:bidi w:val="0"/>
        <w:adjustRightInd w:val="0"/>
        <w:snapToGrid w:val="0"/>
        <w:spacing w:line="360" w:lineRule="auto"/>
        <w:ind w:firstLine="420" w:firstLineChars="200"/>
        <w:jc w:val="left"/>
        <w:textAlignment w:val="auto"/>
        <w:rPr>
          <w:rFonts w:ascii="宋体" w:hAnsi="宋体"/>
          <w:szCs w:val="21"/>
        </w:rPr>
      </w:pPr>
      <w:r>
        <w:rPr>
          <w:rFonts w:hint="eastAsia" w:ascii="宋体" w:hAnsi="宋体"/>
          <w:szCs w:val="21"/>
        </w:rPr>
        <w:t>2.2.2比选文件的澄清将在</w:t>
      </w:r>
      <w:r>
        <w:rPr>
          <w:rFonts w:hint="eastAsia" w:ascii="宋体" w:hAnsi="宋体"/>
          <w:szCs w:val="21"/>
          <w:lang w:eastAsia="zh-CN"/>
        </w:rPr>
        <w:t>竞标</w:t>
      </w:r>
      <w:r>
        <w:rPr>
          <w:rFonts w:hint="eastAsia" w:ascii="宋体" w:hAnsi="宋体"/>
          <w:szCs w:val="21"/>
        </w:rPr>
        <w:t>人须知前附表规定的</w:t>
      </w:r>
      <w:r>
        <w:rPr>
          <w:rFonts w:hint="eastAsia" w:ascii="宋体" w:hAnsi="宋体"/>
          <w:szCs w:val="21"/>
          <w:lang w:eastAsia="zh-CN"/>
        </w:rPr>
        <w:t>竞标</w:t>
      </w:r>
      <w:r>
        <w:rPr>
          <w:rFonts w:hint="eastAsia" w:ascii="宋体" w:hAnsi="宋体"/>
          <w:szCs w:val="21"/>
        </w:rPr>
        <w:t>截止时间3天前发布。如果澄清发出的时间距</w:t>
      </w:r>
      <w:r>
        <w:rPr>
          <w:rFonts w:hint="eastAsia" w:ascii="宋体" w:hAnsi="宋体"/>
          <w:szCs w:val="21"/>
          <w:lang w:eastAsia="zh-CN"/>
        </w:rPr>
        <w:t>竞标</w:t>
      </w:r>
      <w:r>
        <w:rPr>
          <w:rFonts w:hint="eastAsia" w:ascii="宋体" w:hAnsi="宋体"/>
          <w:szCs w:val="21"/>
        </w:rPr>
        <w:t>截止时间不足3天，相应延长</w:t>
      </w:r>
      <w:r>
        <w:rPr>
          <w:rFonts w:hint="eastAsia" w:ascii="宋体" w:hAnsi="宋体"/>
          <w:szCs w:val="21"/>
          <w:lang w:eastAsia="zh-CN"/>
        </w:rPr>
        <w:t>竞标</w:t>
      </w:r>
      <w:r>
        <w:rPr>
          <w:rFonts w:hint="eastAsia" w:ascii="宋体" w:hAnsi="宋体"/>
          <w:szCs w:val="21"/>
        </w:rPr>
        <w:t>截止时间。</w:t>
      </w:r>
    </w:p>
    <w:p>
      <w:pPr>
        <w:keepNext w:val="0"/>
        <w:keepLines w:val="0"/>
        <w:pageBreakBefore w:val="0"/>
        <w:kinsoku/>
        <w:wordWrap/>
        <w:overflowPunct/>
        <w:topLinePunct w:val="0"/>
        <w:bidi w:val="0"/>
        <w:adjustRightInd w:val="0"/>
        <w:snapToGrid w:val="0"/>
        <w:spacing w:line="360" w:lineRule="auto"/>
        <w:ind w:firstLine="422" w:firstLineChars="200"/>
        <w:jc w:val="left"/>
        <w:textAlignment w:val="auto"/>
        <w:rPr>
          <w:rFonts w:ascii="宋体" w:hAnsi="宋体"/>
          <w:szCs w:val="21"/>
        </w:rPr>
      </w:pPr>
      <w:r>
        <w:rPr>
          <w:rFonts w:ascii="宋体" w:hAnsi="宋体"/>
          <w:b/>
          <w:bCs/>
          <w:szCs w:val="21"/>
        </w:rPr>
        <w:t>2.3比选文件的修改</w:t>
      </w:r>
    </w:p>
    <w:p>
      <w:pPr>
        <w:keepNext w:val="0"/>
        <w:keepLines w:val="0"/>
        <w:pageBreakBefore w:val="0"/>
        <w:kinsoku/>
        <w:wordWrap/>
        <w:overflowPunct/>
        <w:topLinePunct w:val="0"/>
        <w:bidi w:val="0"/>
        <w:adjustRightInd w:val="0"/>
        <w:snapToGrid w:val="0"/>
        <w:spacing w:line="360" w:lineRule="auto"/>
        <w:ind w:firstLine="420" w:firstLineChars="200"/>
        <w:jc w:val="left"/>
        <w:textAlignment w:val="auto"/>
        <w:rPr>
          <w:rFonts w:ascii="宋体" w:hAnsi="宋体"/>
          <w:szCs w:val="21"/>
        </w:rPr>
      </w:pPr>
      <w:r>
        <w:rPr>
          <w:rFonts w:ascii="宋体" w:hAnsi="宋体"/>
          <w:szCs w:val="21"/>
        </w:rPr>
        <w:t>在</w:t>
      </w:r>
      <w:r>
        <w:rPr>
          <w:rFonts w:hint="eastAsia" w:ascii="宋体" w:hAnsi="宋体"/>
          <w:szCs w:val="21"/>
          <w:lang w:eastAsia="zh-CN"/>
        </w:rPr>
        <w:t>竞标</w:t>
      </w:r>
      <w:r>
        <w:rPr>
          <w:rFonts w:ascii="宋体" w:hAnsi="宋体"/>
          <w:szCs w:val="21"/>
        </w:rPr>
        <w:t xml:space="preserve">截止时间 </w:t>
      </w:r>
      <w:r>
        <w:rPr>
          <w:rFonts w:hint="eastAsia" w:ascii="宋体" w:hAnsi="宋体"/>
          <w:szCs w:val="21"/>
        </w:rPr>
        <w:t>3</w:t>
      </w:r>
      <w:r>
        <w:rPr>
          <w:rFonts w:ascii="宋体" w:hAnsi="宋体"/>
          <w:szCs w:val="21"/>
        </w:rPr>
        <w:t>天前，比选人可以书面形式修改比选文件</w:t>
      </w:r>
      <w:r>
        <w:rPr>
          <w:rFonts w:hint="eastAsia" w:ascii="宋体" w:hAnsi="宋体"/>
          <w:szCs w:val="21"/>
        </w:rPr>
        <w:t>，对同一事项的修改，以时间在后为准。</w:t>
      </w:r>
      <w:r>
        <w:rPr>
          <w:rFonts w:ascii="宋体" w:hAnsi="宋体"/>
          <w:szCs w:val="21"/>
        </w:rPr>
        <w:t>如果修改比选文件的时间距</w:t>
      </w:r>
      <w:r>
        <w:rPr>
          <w:rFonts w:hint="eastAsia" w:ascii="宋体" w:hAnsi="宋体"/>
          <w:szCs w:val="21"/>
          <w:lang w:eastAsia="zh-CN"/>
        </w:rPr>
        <w:t>竞标</w:t>
      </w:r>
      <w:r>
        <w:rPr>
          <w:rFonts w:ascii="宋体" w:hAnsi="宋体"/>
          <w:szCs w:val="21"/>
        </w:rPr>
        <w:t>截止时间不足</w:t>
      </w:r>
      <w:r>
        <w:rPr>
          <w:rFonts w:hint="eastAsia" w:ascii="宋体" w:hAnsi="宋体"/>
          <w:szCs w:val="21"/>
        </w:rPr>
        <w:t>3</w:t>
      </w:r>
      <w:r>
        <w:rPr>
          <w:rFonts w:ascii="宋体" w:hAnsi="宋体"/>
          <w:szCs w:val="21"/>
        </w:rPr>
        <w:t>天，相应延长</w:t>
      </w:r>
      <w:r>
        <w:rPr>
          <w:rFonts w:hint="eastAsia" w:ascii="宋体" w:hAnsi="宋体"/>
          <w:szCs w:val="21"/>
          <w:lang w:eastAsia="zh-CN"/>
        </w:rPr>
        <w:t>竞标</w:t>
      </w:r>
      <w:r>
        <w:rPr>
          <w:rFonts w:ascii="宋体" w:hAnsi="宋体"/>
          <w:szCs w:val="21"/>
        </w:rPr>
        <w:t>截止时间。</w:t>
      </w:r>
    </w:p>
    <w:p>
      <w:pPr>
        <w:keepNext w:val="0"/>
        <w:keepLines w:val="0"/>
        <w:pageBreakBefore w:val="0"/>
        <w:kinsoku/>
        <w:wordWrap/>
        <w:overflowPunct/>
        <w:topLinePunct w:val="0"/>
        <w:bidi w:val="0"/>
        <w:adjustRightInd w:val="0"/>
        <w:snapToGrid w:val="0"/>
        <w:spacing w:line="360" w:lineRule="auto"/>
        <w:jc w:val="left"/>
        <w:textAlignment w:val="auto"/>
        <w:rPr>
          <w:rFonts w:ascii="宋体" w:hAnsi="宋体"/>
          <w:b/>
          <w:sz w:val="28"/>
          <w:szCs w:val="28"/>
        </w:rPr>
      </w:pPr>
      <w:r>
        <w:rPr>
          <w:rFonts w:ascii="宋体" w:hAnsi="宋体"/>
          <w:b/>
          <w:sz w:val="28"/>
          <w:szCs w:val="28"/>
        </w:rPr>
        <w:t>3．</w:t>
      </w:r>
      <w:r>
        <w:rPr>
          <w:rFonts w:hint="eastAsia" w:ascii="宋体" w:hAnsi="宋体"/>
          <w:b/>
          <w:sz w:val="28"/>
          <w:szCs w:val="28"/>
          <w:lang w:eastAsia="zh-CN"/>
        </w:rPr>
        <w:t>竞标</w:t>
      </w:r>
      <w:r>
        <w:rPr>
          <w:rFonts w:ascii="宋体" w:hAnsi="宋体"/>
          <w:b/>
          <w:sz w:val="28"/>
          <w:szCs w:val="28"/>
        </w:rPr>
        <w:t>文件</w:t>
      </w:r>
    </w:p>
    <w:p>
      <w:pPr>
        <w:keepNext w:val="0"/>
        <w:keepLines w:val="0"/>
        <w:pageBreakBefore w:val="0"/>
        <w:kinsoku/>
        <w:wordWrap/>
        <w:overflowPunct/>
        <w:topLinePunct w:val="0"/>
        <w:bidi w:val="0"/>
        <w:adjustRightInd w:val="0"/>
        <w:snapToGrid w:val="0"/>
        <w:spacing w:line="360" w:lineRule="auto"/>
        <w:ind w:firstLine="422" w:firstLineChars="200"/>
        <w:jc w:val="left"/>
        <w:textAlignment w:val="auto"/>
        <w:rPr>
          <w:rFonts w:ascii="宋体" w:hAnsi="宋体"/>
          <w:b/>
          <w:szCs w:val="21"/>
        </w:rPr>
      </w:pPr>
      <w:r>
        <w:rPr>
          <w:rFonts w:ascii="宋体" w:hAnsi="宋体"/>
          <w:b/>
          <w:szCs w:val="21"/>
        </w:rPr>
        <w:t>3.1</w:t>
      </w:r>
      <w:r>
        <w:rPr>
          <w:rFonts w:hint="eastAsia" w:ascii="宋体" w:hAnsi="宋体"/>
          <w:b/>
          <w:szCs w:val="21"/>
          <w:lang w:eastAsia="zh-CN"/>
        </w:rPr>
        <w:t>竞标</w:t>
      </w:r>
      <w:r>
        <w:rPr>
          <w:rFonts w:ascii="宋体" w:hAnsi="宋体"/>
          <w:b/>
          <w:szCs w:val="21"/>
        </w:rPr>
        <w:t>文件的组成</w:t>
      </w:r>
    </w:p>
    <w:p>
      <w:pPr>
        <w:spacing w:line="360" w:lineRule="auto"/>
        <w:ind w:firstLine="422" w:firstLineChars="200"/>
        <w:rPr>
          <w:rFonts w:ascii="宋体" w:hAnsi="宋体"/>
          <w:b/>
        </w:rPr>
      </w:pPr>
      <w:r>
        <w:rPr>
          <w:rFonts w:hint="eastAsia" w:ascii="宋体" w:hAnsi="宋体"/>
          <w:b/>
        </w:rPr>
        <w:t>一</w:t>
      </w:r>
      <w:r>
        <w:rPr>
          <w:rFonts w:ascii="宋体" w:hAnsi="宋体"/>
          <w:b/>
        </w:rPr>
        <w:t>、</w:t>
      </w:r>
      <w:r>
        <w:rPr>
          <w:rFonts w:hint="eastAsia" w:ascii="宋体" w:hAnsi="宋体"/>
          <w:b/>
          <w:lang w:eastAsia="zh-CN"/>
        </w:rPr>
        <w:t>竞标</w:t>
      </w:r>
      <w:r>
        <w:rPr>
          <w:rFonts w:ascii="宋体" w:hAnsi="宋体"/>
          <w:b/>
        </w:rPr>
        <w:t>函部分</w:t>
      </w:r>
    </w:p>
    <w:p>
      <w:pPr>
        <w:spacing w:line="360" w:lineRule="auto"/>
        <w:ind w:firstLine="420" w:firstLineChars="200"/>
        <w:rPr>
          <w:rFonts w:ascii="宋体" w:hAnsi="宋体"/>
        </w:rPr>
      </w:pPr>
      <w:r>
        <w:rPr>
          <w:rFonts w:ascii="宋体" w:hAnsi="宋体"/>
        </w:rPr>
        <w:t>（一）</w:t>
      </w:r>
      <w:r>
        <w:rPr>
          <w:rFonts w:hint="eastAsia" w:ascii="宋体" w:hAnsi="宋体"/>
          <w:lang w:eastAsia="zh-CN"/>
        </w:rPr>
        <w:t>竞标</w:t>
      </w:r>
      <w:r>
        <w:rPr>
          <w:rFonts w:ascii="宋体" w:hAnsi="宋体"/>
        </w:rPr>
        <w:t>函</w:t>
      </w:r>
    </w:p>
    <w:p>
      <w:pPr>
        <w:spacing w:line="360" w:lineRule="auto"/>
        <w:ind w:firstLine="420" w:firstLineChars="200"/>
        <w:rPr>
          <w:rFonts w:ascii="宋体" w:hAnsi="宋体"/>
        </w:rPr>
      </w:pPr>
      <w:r>
        <w:rPr>
          <w:rFonts w:ascii="宋体" w:hAnsi="宋体"/>
        </w:rPr>
        <w:t>（二）</w:t>
      </w:r>
      <w:r>
        <w:rPr>
          <w:rFonts w:hint="eastAsia" w:ascii="宋体" w:hAnsi="宋体"/>
          <w:lang w:eastAsia="zh-CN"/>
        </w:rPr>
        <w:t>竞标</w:t>
      </w:r>
      <w:r>
        <w:rPr>
          <w:rFonts w:ascii="宋体" w:hAnsi="宋体"/>
        </w:rPr>
        <w:t>函附录</w:t>
      </w:r>
    </w:p>
    <w:p>
      <w:pPr>
        <w:spacing w:line="360" w:lineRule="auto"/>
        <w:ind w:firstLine="420" w:firstLineChars="200"/>
        <w:rPr>
          <w:rFonts w:ascii="宋体" w:hAnsi="宋体"/>
        </w:rPr>
      </w:pPr>
      <w:r>
        <w:rPr>
          <w:rFonts w:ascii="宋体" w:hAnsi="宋体"/>
        </w:rPr>
        <w:t>（三）</w:t>
      </w:r>
      <w:r>
        <w:rPr>
          <w:rFonts w:hint="eastAsia" w:ascii="宋体" w:hAnsi="宋体"/>
        </w:rPr>
        <w:t>法定代表人身份证明或附有法定代表人身份证明的授权委托书</w:t>
      </w:r>
    </w:p>
    <w:p>
      <w:pPr>
        <w:spacing w:line="360" w:lineRule="auto"/>
        <w:ind w:firstLine="422" w:firstLineChars="200"/>
        <w:rPr>
          <w:rFonts w:ascii="宋体" w:hAnsi="宋体"/>
          <w:b/>
        </w:rPr>
      </w:pPr>
      <w:r>
        <w:rPr>
          <w:rFonts w:hint="eastAsia" w:ascii="宋体" w:hAnsi="宋体"/>
          <w:b/>
        </w:rPr>
        <w:t>二</w:t>
      </w:r>
      <w:r>
        <w:rPr>
          <w:rFonts w:ascii="宋体" w:hAnsi="宋体"/>
          <w:b/>
        </w:rPr>
        <w:t>、</w:t>
      </w:r>
      <w:r>
        <w:rPr>
          <w:rFonts w:hint="eastAsia" w:ascii="宋体" w:hAnsi="宋体"/>
          <w:b/>
        </w:rPr>
        <w:t>经济</w:t>
      </w:r>
      <w:r>
        <w:rPr>
          <w:rFonts w:ascii="宋体" w:hAnsi="宋体"/>
          <w:b/>
        </w:rPr>
        <w:t>部分</w:t>
      </w:r>
    </w:p>
    <w:p>
      <w:pPr>
        <w:spacing w:line="360" w:lineRule="auto"/>
        <w:ind w:firstLine="420" w:firstLineChars="200"/>
        <w:rPr>
          <w:rFonts w:ascii="宋体" w:hAnsi="宋体"/>
        </w:rPr>
      </w:pPr>
      <w:r>
        <w:rPr>
          <w:rFonts w:ascii="宋体" w:hAnsi="宋体"/>
        </w:rPr>
        <w:t>已标价工程量清单</w:t>
      </w:r>
    </w:p>
    <w:p>
      <w:pPr>
        <w:numPr>
          <w:ilvl w:val="255"/>
          <w:numId w:val="0"/>
        </w:numPr>
        <w:spacing w:line="360" w:lineRule="auto"/>
        <w:ind w:firstLine="422" w:firstLineChars="200"/>
        <w:rPr>
          <w:rFonts w:ascii="宋体" w:hAnsi="宋体"/>
          <w:b/>
          <w:bCs/>
        </w:rPr>
      </w:pPr>
      <w:r>
        <w:rPr>
          <w:rFonts w:hint="eastAsia" w:ascii="宋体" w:hAnsi="宋体"/>
          <w:b/>
          <w:bCs/>
        </w:rPr>
        <w:t>三、商务部分</w:t>
      </w:r>
    </w:p>
    <w:p>
      <w:pPr>
        <w:numPr>
          <w:ilvl w:val="255"/>
          <w:numId w:val="0"/>
        </w:numPr>
        <w:spacing w:line="360" w:lineRule="auto"/>
        <w:ind w:firstLine="422" w:firstLineChars="200"/>
        <w:rPr>
          <w:b/>
          <w:bCs/>
        </w:rPr>
      </w:pPr>
      <w:r>
        <w:rPr>
          <w:rFonts w:hint="eastAsia" w:ascii="宋体" w:hAnsi="宋体"/>
          <w:b/>
          <w:bCs/>
        </w:rPr>
        <w:t>四、技术部分</w:t>
      </w:r>
    </w:p>
    <w:p>
      <w:pPr>
        <w:spacing w:line="360" w:lineRule="auto"/>
        <w:ind w:firstLine="422" w:firstLineChars="200"/>
        <w:rPr>
          <w:rFonts w:ascii="宋体" w:hAnsi="宋体"/>
          <w:b/>
        </w:rPr>
      </w:pPr>
      <w:r>
        <w:rPr>
          <w:rFonts w:hint="eastAsia" w:ascii="宋体" w:hAnsi="宋体"/>
          <w:b/>
        </w:rPr>
        <w:t>五</w:t>
      </w:r>
      <w:r>
        <w:rPr>
          <w:rFonts w:ascii="宋体" w:hAnsi="宋体"/>
          <w:b/>
        </w:rPr>
        <w:t>、</w:t>
      </w:r>
      <w:r>
        <w:rPr>
          <w:rFonts w:hint="eastAsia" w:ascii="宋体" w:hAnsi="宋体"/>
          <w:b/>
        </w:rPr>
        <w:t>资格审查部分</w:t>
      </w:r>
    </w:p>
    <w:p>
      <w:pPr>
        <w:spacing w:line="360" w:lineRule="auto"/>
        <w:ind w:firstLine="420" w:firstLineChars="200"/>
        <w:rPr>
          <w:rFonts w:ascii="宋体" w:hAnsi="宋体"/>
        </w:rPr>
      </w:pPr>
      <w:r>
        <w:rPr>
          <w:rFonts w:ascii="宋体" w:hAnsi="宋体"/>
        </w:rPr>
        <w:t>（一）</w:t>
      </w:r>
      <w:r>
        <w:rPr>
          <w:rFonts w:hint="eastAsia" w:ascii="宋体" w:hAnsi="宋体"/>
        </w:rPr>
        <w:t>法定代表人身份证明或附有法定代表人身份证明的授权委托书</w:t>
      </w:r>
    </w:p>
    <w:p>
      <w:pPr>
        <w:spacing w:line="360" w:lineRule="auto"/>
        <w:ind w:firstLine="420" w:firstLineChars="200"/>
        <w:rPr>
          <w:rFonts w:ascii="宋体" w:hAnsi="宋体"/>
        </w:rPr>
      </w:pPr>
      <w:r>
        <w:rPr>
          <w:rFonts w:ascii="宋体" w:hAnsi="宋体"/>
        </w:rPr>
        <w:t>（</w:t>
      </w:r>
      <w:r>
        <w:rPr>
          <w:rFonts w:hint="eastAsia" w:ascii="宋体" w:hAnsi="宋体"/>
        </w:rPr>
        <w:t>二</w:t>
      </w:r>
      <w:r>
        <w:rPr>
          <w:rFonts w:ascii="宋体" w:hAnsi="宋体"/>
        </w:rPr>
        <w:t>）投标人基本情况表</w:t>
      </w:r>
    </w:p>
    <w:p>
      <w:pPr>
        <w:spacing w:line="360" w:lineRule="auto"/>
        <w:ind w:firstLine="420" w:firstLineChars="200"/>
        <w:rPr>
          <w:rFonts w:ascii="宋体" w:hAnsi="宋体"/>
        </w:rPr>
      </w:pPr>
      <w:r>
        <w:rPr>
          <w:rFonts w:ascii="宋体" w:hAnsi="宋体"/>
        </w:rPr>
        <w:t>（</w:t>
      </w:r>
      <w:r>
        <w:rPr>
          <w:rFonts w:hint="eastAsia" w:ascii="宋体" w:hAnsi="宋体"/>
        </w:rPr>
        <w:t>三</w:t>
      </w:r>
      <w:r>
        <w:rPr>
          <w:rFonts w:ascii="宋体" w:hAnsi="宋体"/>
        </w:rPr>
        <w:t>）项目管理机构</w:t>
      </w:r>
    </w:p>
    <w:p>
      <w:pPr>
        <w:spacing w:line="360" w:lineRule="auto"/>
        <w:ind w:firstLine="420" w:firstLineChars="200"/>
        <w:rPr>
          <w:rFonts w:ascii="宋体" w:hAnsi="宋体"/>
        </w:rPr>
      </w:pPr>
      <w:r>
        <w:rPr>
          <w:rFonts w:ascii="宋体" w:hAnsi="宋体"/>
        </w:rPr>
        <w:t>（</w:t>
      </w:r>
      <w:r>
        <w:rPr>
          <w:rFonts w:hint="eastAsia" w:ascii="宋体" w:hAnsi="宋体"/>
        </w:rPr>
        <w:t>四</w:t>
      </w:r>
      <w:r>
        <w:rPr>
          <w:rFonts w:ascii="宋体" w:hAnsi="宋体"/>
        </w:rPr>
        <w:t>）近年财务状况表</w:t>
      </w:r>
    </w:p>
    <w:p>
      <w:pPr>
        <w:spacing w:line="360" w:lineRule="auto"/>
        <w:ind w:firstLine="420" w:firstLineChars="200"/>
        <w:rPr>
          <w:rFonts w:ascii="宋体" w:hAnsi="宋体"/>
        </w:rPr>
      </w:pPr>
      <w:r>
        <w:rPr>
          <w:rFonts w:ascii="宋体" w:hAnsi="宋体"/>
        </w:rPr>
        <w:t>（</w:t>
      </w:r>
      <w:r>
        <w:rPr>
          <w:rFonts w:hint="eastAsia" w:ascii="宋体" w:hAnsi="宋体"/>
        </w:rPr>
        <w:t>五</w:t>
      </w:r>
      <w:r>
        <w:rPr>
          <w:rFonts w:ascii="宋体" w:hAnsi="宋体"/>
        </w:rPr>
        <w:t>）类似项目情况表</w:t>
      </w:r>
    </w:p>
    <w:p>
      <w:pPr>
        <w:spacing w:line="360" w:lineRule="auto"/>
        <w:ind w:firstLine="420" w:firstLineChars="200"/>
        <w:rPr>
          <w:rFonts w:ascii="宋体" w:hAnsi="宋体"/>
        </w:rPr>
      </w:pPr>
      <w:r>
        <w:rPr>
          <w:rFonts w:ascii="宋体" w:hAnsi="宋体"/>
        </w:rPr>
        <w:t>（</w:t>
      </w:r>
      <w:r>
        <w:rPr>
          <w:rFonts w:hint="eastAsia" w:ascii="宋体" w:hAnsi="宋体"/>
        </w:rPr>
        <w:t>六</w:t>
      </w:r>
      <w:r>
        <w:rPr>
          <w:rFonts w:ascii="宋体" w:hAnsi="宋体"/>
        </w:rPr>
        <w:t>）</w:t>
      </w:r>
      <w:r>
        <w:rPr>
          <w:rFonts w:hint="eastAsia" w:ascii="宋体" w:hAnsi="宋体"/>
        </w:rPr>
        <w:t>承诺</w:t>
      </w:r>
    </w:p>
    <w:p>
      <w:pPr>
        <w:spacing w:line="360" w:lineRule="auto"/>
        <w:ind w:firstLine="420" w:firstLineChars="200"/>
        <w:rPr>
          <w:rFonts w:ascii="宋体" w:hAnsi="宋体"/>
        </w:rPr>
      </w:pPr>
      <w:r>
        <w:rPr>
          <w:rFonts w:ascii="宋体" w:hAnsi="宋体"/>
        </w:rPr>
        <w:t>（</w:t>
      </w:r>
      <w:r>
        <w:rPr>
          <w:rFonts w:hint="eastAsia" w:ascii="宋体" w:hAnsi="宋体"/>
        </w:rPr>
        <w:t>七</w:t>
      </w:r>
      <w:r>
        <w:rPr>
          <w:rFonts w:ascii="宋体" w:hAnsi="宋体"/>
        </w:rPr>
        <w:t>）其他资料</w:t>
      </w:r>
    </w:p>
    <w:p>
      <w:pPr>
        <w:keepNext w:val="0"/>
        <w:keepLines w:val="0"/>
        <w:pageBreakBefore w:val="0"/>
        <w:kinsoku/>
        <w:wordWrap/>
        <w:overflowPunct/>
        <w:topLinePunct w:val="0"/>
        <w:bidi w:val="0"/>
        <w:spacing w:line="360" w:lineRule="auto"/>
        <w:ind w:firstLine="420" w:firstLineChars="200"/>
        <w:jc w:val="left"/>
        <w:textAlignment w:val="auto"/>
        <w:rPr>
          <w:rFonts w:ascii="宋体" w:hAnsi="宋体"/>
          <w:szCs w:val="21"/>
        </w:rPr>
      </w:pPr>
      <w:r>
        <w:rPr>
          <w:rFonts w:hint="eastAsia" w:ascii="宋体" w:hAnsi="宋体"/>
          <w:szCs w:val="21"/>
          <w:lang w:eastAsia="zh-CN"/>
        </w:rPr>
        <w:t>竞标</w:t>
      </w:r>
      <w:r>
        <w:rPr>
          <w:rFonts w:ascii="宋体" w:hAnsi="宋体"/>
          <w:szCs w:val="21"/>
        </w:rPr>
        <w:t>文件应使用比选文件提供的规定格式，并不得有实质改动。</w:t>
      </w:r>
    </w:p>
    <w:p>
      <w:pPr>
        <w:keepNext w:val="0"/>
        <w:keepLines w:val="0"/>
        <w:pageBreakBefore w:val="0"/>
        <w:kinsoku/>
        <w:wordWrap/>
        <w:overflowPunct/>
        <w:topLinePunct w:val="0"/>
        <w:bidi w:val="0"/>
        <w:adjustRightInd w:val="0"/>
        <w:snapToGrid w:val="0"/>
        <w:spacing w:line="360" w:lineRule="auto"/>
        <w:ind w:firstLine="422" w:firstLineChars="200"/>
        <w:jc w:val="left"/>
        <w:textAlignment w:val="auto"/>
        <w:rPr>
          <w:rFonts w:ascii="宋体" w:hAnsi="宋体"/>
          <w:b/>
          <w:bCs/>
          <w:szCs w:val="21"/>
        </w:rPr>
      </w:pPr>
      <w:r>
        <w:rPr>
          <w:rFonts w:ascii="宋体" w:hAnsi="宋体"/>
          <w:b/>
          <w:bCs/>
          <w:szCs w:val="21"/>
        </w:rPr>
        <w:t>3.2</w:t>
      </w:r>
      <w:r>
        <w:rPr>
          <w:rFonts w:hint="eastAsia" w:ascii="宋体" w:hAnsi="宋体"/>
          <w:b/>
          <w:bCs/>
          <w:szCs w:val="21"/>
          <w:lang w:eastAsia="zh-CN"/>
        </w:rPr>
        <w:t>竞标</w:t>
      </w:r>
      <w:r>
        <w:rPr>
          <w:rFonts w:ascii="宋体" w:hAnsi="宋体"/>
          <w:b/>
          <w:bCs/>
          <w:szCs w:val="21"/>
        </w:rPr>
        <w:t>报价</w:t>
      </w:r>
    </w:p>
    <w:p>
      <w:pPr>
        <w:keepNext w:val="0"/>
        <w:keepLines w:val="0"/>
        <w:pageBreakBefore w:val="0"/>
        <w:kinsoku/>
        <w:wordWrap/>
        <w:overflowPunct/>
        <w:topLinePunct w:val="0"/>
        <w:bidi w:val="0"/>
        <w:adjustRightInd w:val="0"/>
        <w:snapToGrid w:val="0"/>
        <w:spacing w:line="360" w:lineRule="auto"/>
        <w:ind w:firstLine="420" w:firstLineChars="200"/>
        <w:jc w:val="left"/>
        <w:textAlignment w:val="auto"/>
        <w:rPr>
          <w:rFonts w:ascii="宋体" w:hAnsi="宋体"/>
          <w:szCs w:val="21"/>
        </w:rPr>
      </w:pPr>
      <w:r>
        <w:rPr>
          <w:rFonts w:hint="eastAsia" w:ascii="宋体" w:hAnsi="宋体"/>
          <w:szCs w:val="21"/>
        </w:rPr>
        <w:t>详见</w:t>
      </w:r>
      <w:r>
        <w:rPr>
          <w:rFonts w:hint="eastAsia" w:ascii="宋体" w:hAnsi="宋体"/>
          <w:szCs w:val="21"/>
          <w:lang w:eastAsia="zh-CN"/>
        </w:rPr>
        <w:t>竞标</w:t>
      </w:r>
      <w:r>
        <w:rPr>
          <w:rFonts w:hint="eastAsia" w:ascii="宋体" w:hAnsi="宋体"/>
          <w:szCs w:val="21"/>
        </w:rPr>
        <w:t>人须知前附表。</w:t>
      </w:r>
    </w:p>
    <w:p>
      <w:pPr>
        <w:keepNext w:val="0"/>
        <w:keepLines w:val="0"/>
        <w:pageBreakBefore w:val="0"/>
        <w:kinsoku/>
        <w:wordWrap/>
        <w:overflowPunct/>
        <w:topLinePunct w:val="0"/>
        <w:bidi w:val="0"/>
        <w:adjustRightInd w:val="0"/>
        <w:snapToGrid w:val="0"/>
        <w:spacing w:line="360" w:lineRule="auto"/>
        <w:ind w:firstLine="422" w:firstLineChars="200"/>
        <w:jc w:val="left"/>
        <w:textAlignment w:val="auto"/>
        <w:rPr>
          <w:rFonts w:ascii="宋体" w:hAnsi="宋体"/>
          <w:b/>
          <w:szCs w:val="21"/>
        </w:rPr>
      </w:pPr>
      <w:r>
        <w:rPr>
          <w:rFonts w:ascii="宋体" w:hAnsi="宋体"/>
          <w:b/>
          <w:szCs w:val="21"/>
        </w:rPr>
        <w:t>3.3</w:t>
      </w:r>
      <w:r>
        <w:rPr>
          <w:rFonts w:hint="eastAsia" w:ascii="宋体" w:hAnsi="宋体"/>
          <w:b/>
          <w:szCs w:val="21"/>
          <w:lang w:eastAsia="zh-CN"/>
        </w:rPr>
        <w:t>竞标</w:t>
      </w:r>
      <w:r>
        <w:rPr>
          <w:rFonts w:ascii="宋体" w:hAnsi="宋体"/>
          <w:b/>
          <w:szCs w:val="21"/>
        </w:rPr>
        <w:t>有效期</w:t>
      </w:r>
    </w:p>
    <w:p>
      <w:pPr>
        <w:keepNext w:val="0"/>
        <w:keepLines w:val="0"/>
        <w:pageBreakBefore w:val="0"/>
        <w:kinsoku/>
        <w:wordWrap/>
        <w:overflowPunct/>
        <w:topLinePunct w:val="0"/>
        <w:bidi w:val="0"/>
        <w:adjustRightInd w:val="0"/>
        <w:snapToGrid w:val="0"/>
        <w:spacing w:line="360" w:lineRule="auto"/>
        <w:ind w:firstLine="420" w:firstLineChars="200"/>
        <w:jc w:val="left"/>
        <w:textAlignment w:val="auto"/>
        <w:rPr>
          <w:rFonts w:ascii="宋体" w:hAnsi="宋体"/>
          <w:szCs w:val="21"/>
        </w:rPr>
      </w:pPr>
      <w:r>
        <w:rPr>
          <w:rFonts w:ascii="宋体" w:hAnsi="宋体"/>
          <w:szCs w:val="21"/>
        </w:rPr>
        <w:t>3.3.1在</w:t>
      </w:r>
      <w:r>
        <w:rPr>
          <w:rFonts w:hint="eastAsia" w:ascii="宋体" w:hAnsi="宋体"/>
          <w:szCs w:val="21"/>
          <w:lang w:eastAsia="zh-CN"/>
        </w:rPr>
        <w:t>竞标</w:t>
      </w:r>
      <w:r>
        <w:rPr>
          <w:rFonts w:ascii="宋体" w:hAnsi="宋体"/>
          <w:szCs w:val="21"/>
        </w:rPr>
        <w:t>人须知前附表规定的</w:t>
      </w:r>
      <w:r>
        <w:rPr>
          <w:rFonts w:hint="eastAsia" w:ascii="宋体" w:hAnsi="宋体"/>
          <w:szCs w:val="21"/>
          <w:lang w:eastAsia="zh-CN"/>
        </w:rPr>
        <w:t>竞标</w:t>
      </w:r>
      <w:r>
        <w:rPr>
          <w:rFonts w:ascii="宋体" w:hAnsi="宋体"/>
          <w:szCs w:val="21"/>
        </w:rPr>
        <w:t>有效期限内，</w:t>
      </w:r>
      <w:r>
        <w:rPr>
          <w:rFonts w:hint="eastAsia" w:ascii="宋体" w:hAnsi="宋体"/>
          <w:szCs w:val="21"/>
          <w:lang w:eastAsia="zh-CN"/>
        </w:rPr>
        <w:t>竞标</w:t>
      </w:r>
      <w:r>
        <w:rPr>
          <w:rFonts w:ascii="宋体" w:hAnsi="宋体"/>
          <w:szCs w:val="21"/>
        </w:rPr>
        <w:t>人不得要求撤销或修改其</w:t>
      </w:r>
      <w:r>
        <w:rPr>
          <w:rFonts w:hint="eastAsia" w:ascii="宋体" w:hAnsi="宋体"/>
          <w:szCs w:val="21"/>
          <w:lang w:eastAsia="zh-CN"/>
        </w:rPr>
        <w:t>竞标</w:t>
      </w:r>
      <w:r>
        <w:rPr>
          <w:rFonts w:ascii="宋体" w:hAnsi="宋体"/>
          <w:szCs w:val="21"/>
        </w:rPr>
        <w:t>文件。</w:t>
      </w:r>
    </w:p>
    <w:p>
      <w:pPr>
        <w:keepNext w:val="0"/>
        <w:keepLines w:val="0"/>
        <w:pageBreakBefore w:val="0"/>
        <w:kinsoku/>
        <w:wordWrap/>
        <w:overflowPunct/>
        <w:topLinePunct w:val="0"/>
        <w:bidi w:val="0"/>
        <w:adjustRightInd w:val="0"/>
        <w:snapToGrid w:val="0"/>
        <w:spacing w:line="360" w:lineRule="auto"/>
        <w:ind w:firstLine="420" w:firstLineChars="200"/>
        <w:jc w:val="left"/>
        <w:textAlignment w:val="auto"/>
        <w:rPr>
          <w:rFonts w:ascii="宋体" w:hAnsi="宋体"/>
          <w:szCs w:val="21"/>
        </w:rPr>
      </w:pPr>
      <w:r>
        <w:rPr>
          <w:rFonts w:ascii="宋体" w:hAnsi="宋体"/>
          <w:szCs w:val="21"/>
        </w:rPr>
        <w:t>3.3.2出现特殊情况需要延长</w:t>
      </w:r>
      <w:r>
        <w:rPr>
          <w:rFonts w:hint="eastAsia" w:ascii="宋体" w:hAnsi="宋体"/>
          <w:szCs w:val="21"/>
          <w:lang w:eastAsia="zh-CN"/>
        </w:rPr>
        <w:t>竞标</w:t>
      </w:r>
      <w:r>
        <w:rPr>
          <w:rFonts w:ascii="宋体" w:hAnsi="宋体"/>
          <w:szCs w:val="21"/>
        </w:rPr>
        <w:t>有效期的，比选人以书面形式通知</w:t>
      </w:r>
      <w:r>
        <w:rPr>
          <w:rFonts w:hint="eastAsia" w:ascii="宋体" w:hAnsi="宋体"/>
          <w:szCs w:val="21"/>
          <w:lang w:eastAsia="zh-CN"/>
        </w:rPr>
        <w:t>竞标</w:t>
      </w:r>
      <w:r>
        <w:rPr>
          <w:rFonts w:ascii="宋体" w:hAnsi="宋体"/>
          <w:szCs w:val="21"/>
        </w:rPr>
        <w:t>人延长</w:t>
      </w:r>
      <w:r>
        <w:rPr>
          <w:rFonts w:hint="eastAsia" w:ascii="宋体" w:hAnsi="宋体"/>
          <w:szCs w:val="21"/>
          <w:lang w:eastAsia="zh-CN"/>
        </w:rPr>
        <w:t>竞标</w:t>
      </w:r>
      <w:r>
        <w:rPr>
          <w:rFonts w:ascii="宋体" w:hAnsi="宋体"/>
          <w:szCs w:val="21"/>
        </w:rPr>
        <w:t>文件有效期。</w:t>
      </w:r>
      <w:r>
        <w:rPr>
          <w:rFonts w:hint="eastAsia" w:ascii="宋体" w:hAnsi="宋体"/>
          <w:szCs w:val="21"/>
          <w:lang w:eastAsia="zh-CN"/>
        </w:rPr>
        <w:t>竞标</w:t>
      </w:r>
      <w:r>
        <w:rPr>
          <w:rFonts w:ascii="宋体" w:hAnsi="宋体"/>
          <w:szCs w:val="21"/>
        </w:rPr>
        <w:t>人同意延期的，应相应地延长其</w:t>
      </w:r>
      <w:r>
        <w:rPr>
          <w:rFonts w:hint="eastAsia" w:ascii="宋体" w:hAnsi="宋体"/>
          <w:szCs w:val="21"/>
          <w:lang w:eastAsia="zh-CN"/>
        </w:rPr>
        <w:t>竞标</w:t>
      </w:r>
      <w:r>
        <w:rPr>
          <w:rFonts w:ascii="宋体" w:hAnsi="宋体"/>
          <w:szCs w:val="21"/>
        </w:rPr>
        <w:t>保证金的有效期，但不得因此而提出修改</w:t>
      </w:r>
      <w:r>
        <w:rPr>
          <w:rFonts w:hint="eastAsia" w:ascii="宋体" w:hAnsi="宋体"/>
          <w:szCs w:val="21"/>
          <w:lang w:eastAsia="zh-CN"/>
        </w:rPr>
        <w:t>竞标</w:t>
      </w:r>
      <w:r>
        <w:rPr>
          <w:rFonts w:ascii="宋体" w:hAnsi="宋体"/>
          <w:szCs w:val="21"/>
        </w:rPr>
        <w:t>文件的要求。</w:t>
      </w:r>
      <w:r>
        <w:rPr>
          <w:rFonts w:hint="eastAsia" w:ascii="宋体" w:hAnsi="宋体"/>
          <w:szCs w:val="21"/>
          <w:lang w:eastAsia="zh-CN"/>
        </w:rPr>
        <w:t>竞标</w:t>
      </w:r>
      <w:r>
        <w:rPr>
          <w:rFonts w:ascii="宋体" w:hAnsi="宋体"/>
          <w:szCs w:val="21"/>
        </w:rPr>
        <w:t>人拒绝延长的，其</w:t>
      </w:r>
      <w:r>
        <w:rPr>
          <w:rFonts w:hint="eastAsia" w:ascii="宋体" w:hAnsi="宋体"/>
          <w:szCs w:val="21"/>
          <w:lang w:eastAsia="zh-CN"/>
        </w:rPr>
        <w:t>竞标</w:t>
      </w:r>
      <w:r>
        <w:rPr>
          <w:rFonts w:ascii="宋体" w:hAnsi="宋体"/>
          <w:szCs w:val="21"/>
        </w:rPr>
        <w:t>失败，但</w:t>
      </w:r>
      <w:r>
        <w:rPr>
          <w:rFonts w:hint="eastAsia" w:ascii="宋体" w:hAnsi="宋体"/>
          <w:szCs w:val="21"/>
          <w:lang w:eastAsia="zh-CN"/>
        </w:rPr>
        <w:t>竞标</w:t>
      </w:r>
      <w:r>
        <w:rPr>
          <w:rFonts w:ascii="宋体" w:hAnsi="宋体"/>
          <w:szCs w:val="21"/>
        </w:rPr>
        <w:t>人有权收回其</w:t>
      </w:r>
      <w:r>
        <w:rPr>
          <w:rFonts w:hint="eastAsia" w:ascii="宋体" w:hAnsi="宋体"/>
          <w:szCs w:val="21"/>
          <w:lang w:eastAsia="zh-CN"/>
        </w:rPr>
        <w:t>竞标</w:t>
      </w:r>
      <w:r>
        <w:rPr>
          <w:rFonts w:ascii="宋体" w:hAnsi="宋体"/>
          <w:szCs w:val="21"/>
        </w:rPr>
        <w:t>保证金。</w:t>
      </w:r>
    </w:p>
    <w:p>
      <w:pPr>
        <w:keepNext w:val="0"/>
        <w:keepLines w:val="0"/>
        <w:pageBreakBefore w:val="0"/>
        <w:kinsoku/>
        <w:wordWrap/>
        <w:overflowPunct/>
        <w:topLinePunct w:val="0"/>
        <w:bidi w:val="0"/>
        <w:adjustRightInd w:val="0"/>
        <w:snapToGrid w:val="0"/>
        <w:spacing w:line="360" w:lineRule="auto"/>
        <w:ind w:firstLine="422" w:firstLineChars="200"/>
        <w:jc w:val="left"/>
        <w:textAlignment w:val="auto"/>
        <w:rPr>
          <w:rFonts w:ascii="宋体" w:hAnsi="宋体"/>
          <w:b/>
          <w:bCs/>
          <w:szCs w:val="21"/>
        </w:rPr>
      </w:pPr>
      <w:r>
        <w:rPr>
          <w:rFonts w:ascii="宋体" w:hAnsi="宋体"/>
          <w:b/>
          <w:bCs/>
          <w:szCs w:val="21"/>
        </w:rPr>
        <w:t>3.4</w:t>
      </w:r>
      <w:r>
        <w:rPr>
          <w:rFonts w:hint="eastAsia" w:ascii="宋体" w:hAnsi="宋体"/>
          <w:b/>
          <w:bCs/>
          <w:szCs w:val="21"/>
          <w:lang w:eastAsia="zh-CN"/>
        </w:rPr>
        <w:t>竞标</w:t>
      </w:r>
      <w:r>
        <w:rPr>
          <w:rFonts w:ascii="宋体" w:hAnsi="宋体"/>
          <w:b/>
          <w:bCs/>
          <w:szCs w:val="21"/>
        </w:rPr>
        <w:t>保证金</w:t>
      </w:r>
    </w:p>
    <w:p>
      <w:pPr>
        <w:keepNext w:val="0"/>
        <w:keepLines w:val="0"/>
        <w:pageBreakBefore w:val="0"/>
        <w:kinsoku/>
        <w:wordWrap/>
        <w:overflowPunct/>
        <w:topLinePunct w:val="0"/>
        <w:autoSpaceDE w:val="0"/>
        <w:autoSpaceDN w:val="0"/>
        <w:bidi w:val="0"/>
        <w:adjustRightInd w:val="0"/>
        <w:snapToGrid w:val="0"/>
        <w:spacing w:line="360" w:lineRule="auto"/>
        <w:ind w:firstLine="420" w:firstLineChars="200"/>
        <w:jc w:val="left"/>
        <w:textAlignment w:val="auto"/>
        <w:rPr>
          <w:rFonts w:ascii="宋体" w:hAnsi="宋体"/>
          <w:snapToGrid w:val="0"/>
          <w:kern w:val="0"/>
          <w:szCs w:val="21"/>
        </w:rPr>
      </w:pPr>
      <w:r>
        <w:rPr>
          <w:rFonts w:ascii="宋体" w:hAnsi="宋体"/>
          <w:snapToGrid w:val="0"/>
          <w:kern w:val="0"/>
          <w:szCs w:val="21"/>
        </w:rPr>
        <w:t>3.4.1</w:t>
      </w:r>
      <w:r>
        <w:rPr>
          <w:rFonts w:hint="eastAsia" w:ascii="宋体" w:hAnsi="宋体"/>
          <w:snapToGrid w:val="0"/>
          <w:kern w:val="0"/>
          <w:szCs w:val="21"/>
          <w:lang w:eastAsia="zh-CN"/>
        </w:rPr>
        <w:t>竞标</w:t>
      </w:r>
      <w:r>
        <w:rPr>
          <w:rFonts w:ascii="宋体" w:hAnsi="宋体"/>
          <w:snapToGrid w:val="0"/>
          <w:kern w:val="0"/>
          <w:szCs w:val="21"/>
        </w:rPr>
        <w:t>人在递交</w:t>
      </w:r>
      <w:r>
        <w:rPr>
          <w:rFonts w:hint="eastAsia" w:ascii="宋体" w:hAnsi="宋体"/>
          <w:snapToGrid w:val="0"/>
          <w:kern w:val="0"/>
          <w:szCs w:val="21"/>
          <w:lang w:eastAsia="zh-CN"/>
        </w:rPr>
        <w:t>竞标</w:t>
      </w:r>
      <w:r>
        <w:rPr>
          <w:rFonts w:ascii="宋体" w:hAnsi="宋体"/>
          <w:snapToGrid w:val="0"/>
          <w:kern w:val="0"/>
          <w:szCs w:val="21"/>
        </w:rPr>
        <w:t>文件的同时，应按</w:t>
      </w:r>
      <w:r>
        <w:rPr>
          <w:rFonts w:hint="eastAsia" w:ascii="宋体" w:hAnsi="宋体"/>
          <w:snapToGrid w:val="0"/>
          <w:kern w:val="0"/>
          <w:szCs w:val="21"/>
          <w:lang w:eastAsia="zh-CN"/>
        </w:rPr>
        <w:t>竞标</w:t>
      </w:r>
      <w:r>
        <w:rPr>
          <w:rFonts w:ascii="宋体" w:hAnsi="宋体"/>
          <w:snapToGrid w:val="0"/>
          <w:kern w:val="0"/>
          <w:szCs w:val="21"/>
        </w:rPr>
        <w:t>人须知前附表规定的金额递交</w:t>
      </w:r>
      <w:r>
        <w:rPr>
          <w:rFonts w:hint="eastAsia" w:ascii="宋体" w:hAnsi="宋体"/>
          <w:snapToGrid w:val="0"/>
          <w:kern w:val="0"/>
          <w:szCs w:val="21"/>
          <w:lang w:eastAsia="zh-CN"/>
        </w:rPr>
        <w:t>竞标</w:t>
      </w:r>
      <w:r>
        <w:rPr>
          <w:rFonts w:ascii="宋体" w:hAnsi="宋体"/>
          <w:snapToGrid w:val="0"/>
          <w:kern w:val="0"/>
          <w:szCs w:val="21"/>
        </w:rPr>
        <w:t>保证金，并作为其</w:t>
      </w:r>
      <w:r>
        <w:rPr>
          <w:rFonts w:hint="eastAsia" w:ascii="宋体" w:hAnsi="宋体"/>
          <w:snapToGrid w:val="0"/>
          <w:kern w:val="0"/>
          <w:szCs w:val="21"/>
          <w:lang w:eastAsia="zh-CN"/>
        </w:rPr>
        <w:t>竞标</w:t>
      </w:r>
      <w:r>
        <w:rPr>
          <w:rFonts w:ascii="宋体" w:hAnsi="宋体"/>
          <w:snapToGrid w:val="0"/>
          <w:kern w:val="0"/>
          <w:szCs w:val="21"/>
        </w:rPr>
        <w:t>文件的组成部分。</w:t>
      </w:r>
    </w:p>
    <w:p>
      <w:pPr>
        <w:keepNext w:val="0"/>
        <w:keepLines w:val="0"/>
        <w:pageBreakBefore w:val="0"/>
        <w:kinsoku/>
        <w:wordWrap/>
        <w:overflowPunct/>
        <w:topLinePunct w:val="0"/>
        <w:autoSpaceDE w:val="0"/>
        <w:autoSpaceDN w:val="0"/>
        <w:bidi w:val="0"/>
        <w:adjustRightInd w:val="0"/>
        <w:snapToGrid w:val="0"/>
        <w:spacing w:line="360" w:lineRule="auto"/>
        <w:ind w:firstLine="420" w:firstLineChars="200"/>
        <w:jc w:val="left"/>
        <w:textAlignment w:val="auto"/>
        <w:rPr>
          <w:rFonts w:ascii="宋体" w:hAnsi="宋体"/>
          <w:snapToGrid w:val="0"/>
          <w:kern w:val="0"/>
          <w:szCs w:val="21"/>
        </w:rPr>
      </w:pPr>
      <w:r>
        <w:rPr>
          <w:rFonts w:ascii="宋体" w:hAnsi="宋体"/>
          <w:snapToGrid w:val="0"/>
          <w:kern w:val="0"/>
          <w:szCs w:val="21"/>
        </w:rPr>
        <w:t>3.4.2</w:t>
      </w:r>
      <w:r>
        <w:rPr>
          <w:rFonts w:hint="eastAsia" w:ascii="宋体" w:hAnsi="宋体"/>
          <w:snapToGrid w:val="0"/>
          <w:kern w:val="0"/>
          <w:szCs w:val="21"/>
          <w:lang w:eastAsia="zh-CN"/>
        </w:rPr>
        <w:t>竞标</w:t>
      </w:r>
      <w:r>
        <w:rPr>
          <w:rFonts w:ascii="宋体" w:hAnsi="宋体"/>
          <w:snapToGrid w:val="0"/>
          <w:kern w:val="0"/>
          <w:szCs w:val="21"/>
        </w:rPr>
        <w:t>人不按本章第 3.4.1 项要求提交</w:t>
      </w:r>
      <w:r>
        <w:rPr>
          <w:rFonts w:hint="eastAsia" w:ascii="宋体" w:hAnsi="宋体"/>
          <w:snapToGrid w:val="0"/>
          <w:kern w:val="0"/>
          <w:szCs w:val="21"/>
          <w:lang w:eastAsia="zh-CN"/>
        </w:rPr>
        <w:t>竞标</w:t>
      </w:r>
      <w:r>
        <w:rPr>
          <w:rFonts w:ascii="宋体" w:hAnsi="宋体"/>
          <w:snapToGrid w:val="0"/>
          <w:kern w:val="0"/>
          <w:szCs w:val="21"/>
        </w:rPr>
        <w:t>保证金的，其</w:t>
      </w:r>
      <w:r>
        <w:rPr>
          <w:rFonts w:hint="eastAsia" w:ascii="宋体" w:hAnsi="宋体"/>
          <w:snapToGrid w:val="0"/>
          <w:kern w:val="0"/>
          <w:szCs w:val="21"/>
          <w:lang w:eastAsia="zh-CN"/>
        </w:rPr>
        <w:t>竞标</w:t>
      </w:r>
      <w:r>
        <w:rPr>
          <w:rFonts w:ascii="宋体" w:hAnsi="宋体"/>
          <w:snapToGrid w:val="0"/>
          <w:kern w:val="0"/>
          <w:szCs w:val="21"/>
        </w:rPr>
        <w:t>文件作废标处理。</w:t>
      </w:r>
    </w:p>
    <w:p>
      <w:pPr>
        <w:keepNext w:val="0"/>
        <w:keepLines w:val="0"/>
        <w:pageBreakBefore w:val="0"/>
        <w:kinsoku/>
        <w:wordWrap/>
        <w:overflowPunct/>
        <w:topLinePunct w:val="0"/>
        <w:autoSpaceDE w:val="0"/>
        <w:autoSpaceDN w:val="0"/>
        <w:bidi w:val="0"/>
        <w:adjustRightInd w:val="0"/>
        <w:snapToGrid w:val="0"/>
        <w:spacing w:line="360" w:lineRule="auto"/>
        <w:ind w:firstLine="420" w:firstLineChars="200"/>
        <w:jc w:val="left"/>
        <w:textAlignment w:val="auto"/>
        <w:rPr>
          <w:rFonts w:ascii="宋体" w:hAnsi="宋体"/>
          <w:snapToGrid w:val="0"/>
          <w:kern w:val="0"/>
          <w:szCs w:val="21"/>
        </w:rPr>
      </w:pPr>
      <w:r>
        <w:rPr>
          <w:rFonts w:ascii="宋体" w:hAnsi="宋体"/>
          <w:snapToGrid w:val="0"/>
          <w:kern w:val="0"/>
          <w:szCs w:val="21"/>
        </w:rPr>
        <w:t>3.4.3</w:t>
      </w:r>
      <w:r>
        <w:rPr>
          <w:rFonts w:hint="eastAsia" w:ascii="宋体" w:hAnsi="宋体"/>
          <w:szCs w:val="21"/>
          <w:lang w:eastAsia="zh-CN"/>
        </w:rPr>
        <w:t>竞标</w:t>
      </w:r>
      <w:r>
        <w:rPr>
          <w:rFonts w:ascii="宋体" w:hAnsi="宋体"/>
          <w:szCs w:val="21"/>
        </w:rPr>
        <w:t>保证金退还：</w:t>
      </w:r>
      <w:r>
        <w:rPr>
          <w:rFonts w:hint="eastAsia" w:ascii="宋体" w:hAnsi="宋体"/>
          <w:szCs w:val="21"/>
        </w:rPr>
        <w:t>详见</w:t>
      </w:r>
      <w:r>
        <w:rPr>
          <w:rFonts w:hint="eastAsia" w:ascii="宋体" w:hAnsi="宋体"/>
          <w:szCs w:val="21"/>
          <w:lang w:eastAsia="zh-CN"/>
        </w:rPr>
        <w:t>竞标</w:t>
      </w:r>
      <w:r>
        <w:rPr>
          <w:rFonts w:hint="eastAsia" w:ascii="宋体" w:hAnsi="宋体"/>
          <w:szCs w:val="21"/>
        </w:rPr>
        <w:t>人须知前附表</w:t>
      </w:r>
      <w:r>
        <w:rPr>
          <w:rFonts w:ascii="宋体" w:hAnsi="宋体"/>
          <w:szCs w:val="21"/>
        </w:rPr>
        <w:t>。</w:t>
      </w:r>
    </w:p>
    <w:p>
      <w:pPr>
        <w:keepNext w:val="0"/>
        <w:keepLines w:val="0"/>
        <w:pageBreakBefore w:val="0"/>
        <w:kinsoku/>
        <w:wordWrap/>
        <w:overflowPunct/>
        <w:topLinePunct w:val="0"/>
        <w:autoSpaceDE w:val="0"/>
        <w:autoSpaceDN w:val="0"/>
        <w:bidi w:val="0"/>
        <w:adjustRightInd w:val="0"/>
        <w:snapToGrid w:val="0"/>
        <w:spacing w:line="360" w:lineRule="auto"/>
        <w:ind w:firstLine="420" w:firstLineChars="200"/>
        <w:jc w:val="left"/>
        <w:textAlignment w:val="auto"/>
        <w:rPr>
          <w:rFonts w:ascii="宋体" w:hAnsi="宋体"/>
          <w:snapToGrid w:val="0"/>
          <w:kern w:val="0"/>
          <w:szCs w:val="21"/>
        </w:rPr>
      </w:pPr>
      <w:r>
        <w:rPr>
          <w:rFonts w:ascii="宋体" w:hAnsi="宋体"/>
          <w:snapToGrid w:val="0"/>
          <w:kern w:val="0"/>
          <w:szCs w:val="21"/>
        </w:rPr>
        <w:t>3.4.4有下列情形之一的，</w:t>
      </w:r>
      <w:r>
        <w:rPr>
          <w:rFonts w:hint="eastAsia" w:ascii="宋体" w:hAnsi="宋体"/>
          <w:snapToGrid w:val="0"/>
          <w:kern w:val="0"/>
          <w:szCs w:val="21"/>
          <w:lang w:eastAsia="zh-CN"/>
        </w:rPr>
        <w:t>竞标</w:t>
      </w:r>
      <w:r>
        <w:rPr>
          <w:rFonts w:ascii="宋体" w:hAnsi="宋体"/>
          <w:snapToGrid w:val="0"/>
          <w:kern w:val="0"/>
          <w:szCs w:val="21"/>
        </w:rPr>
        <w:t>保证金将不予退还：</w:t>
      </w:r>
    </w:p>
    <w:p>
      <w:pPr>
        <w:keepNext w:val="0"/>
        <w:keepLines w:val="0"/>
        <w:pageBreakBefore w:val="0"/>
        <w:kinsoku/>
        <w:wordWrap/>
        <w:overflowPunct/>
        <w:topLinePunct w:val="0"/>
        <w:autoSpaceDE w:val="0"/>
        <w:autoSpaceDN w:val="0"/>
        <w:bidi w:val="0"/>
        <w:adjustRightInd w:val="0"/>
        <w:snapToGrid w:val="0"/>
        <w:spacing w:line="360" w:lineRule="auto"/>
        <w:ind w:firstLine="420" w:firstLineChars="200"/>
        <w:jc w:val="left"/>
        <w:textAlignment w:val="auto"/>
        <w:rPr>
          <w:rFonts w:ascii="宋体" w:hAnsi="宋体"/>
          <w:snapToGrid w:val="0"/>
          <w:kern w:val="0"/>
          <w:szCs w:val="21"/>
        </w:rPr>
      </w:pPr>
      <w:r>
        <w:rPr>
          <w:rFonts w:ascii="宋体" w:hAnsi="宋体"/>
          <w:snapToGrid w:val="0"/>
          <w:kern w:val="0"/>
          <w:szCs w:val="21"/>
        </w:rPr>
        <w:t>（1）</w:t>
      </w:r>
      <w:r>
        <w:rPr>
          <w:rFonts w:hint="eastAsia" w:ascii="宋体" w:hAnsi="宋体"/>
          <w:snapToGrid w:val="0"/>
          <w:kern w:val="0"/>
          <w:szCs w:val="21"/>
          <w:lang w:eastAsia="zh-CN"/>
        </w:rPr>
        <w:t>竞标</w:t>
      </w:r>
      <w:r>
        <w:rPr>
          <w:rFonts w:ascii="宋体" w:hAnsi="宋体"/>
          <w:snapToGrid w:val="0"/>
          <w:kern w:val="0"/>
          <w:szCs w:val="21"/>
        </w:rPr>
        <w:t>人在规定的</w:t>
      </w:r>
      <w:r>
        <w:rPr>
          <w:rFonts w:hint="eastAsia" w:ascii="宋体" w:hAnsi="宋体"/>
          <w:snapToGrid w:val="0"/>
          <w:kern w:val="0"/>
          <w:szCs w:val="21"/>
          <w:lang w:eastAsia="zh-CN"/>
        </w:rPr>
        <w:t>竞标</w:t>
      </w:r>
      <w:r>
        <w:rPr>
          <w:rFonts w:ascii="宋体" w:hAnsi="宋体"/>
          <w:snapToGrid w:val="0"/>
          <w:kern w:val="0"/>
          <w:szCs w:val="21"/>
        </w:rPr>
        <w:t>有效期内撤销或修改其</w:t>
      </w:r>
      <w:r>
        <w:rPr>
          <w:rFonts w:hint="eastAsia" w:ascii="宋体" w:hAnsi="宋体"/>
          <w:snapToGrid w:val="0"/>
          <w:kern w:val="0"/>
          <w:szCs w:val="21"/>
          <w:lang w:eastAsia="zh-CN"/>
        </w:rPr>
        <w:t>竞标</w:t>
      </w:r>
      <w:r>
        <w:rPr>
          <w:rFonts w:ascii="宋体" w:hAnsi="宋体"/>
          <w:snapToGrid w:val="0"/>
          <w:kern w:val="0"/>
          <w:szCs w:val="21"/>
        </w:rPr>
        <w:t>文件；</w:t>
      </w:r>
    </w:p>
    <w:p>
      <w:pPr>
        <w:keepNext w:val="0"/>
        <w:keepLines w:val="0"/>
        <w:pageBreakBefore w:val="0"/>
        <w:kinsoku/>
        <w:wordWrap/>
        <w:overflowPunct/>
        <w:topLinePunct w:val="0"/>
        <w:bidi w:val="0"/>
        <w:adjustRightInd w:val="0"/>
        <w:snapToGrid w:val="0"/>
        <w:spacing w:line="360" w:lineRule="auto"/>
        <w:ind w:firstLine="420" w:firstLineChars="200"/>
        <w:jc w:val="left"/>
        <w:textAlignment w:val="auto"/>
        <w:rPr>
          <w:rFonts w:ascii="宋体" w:hAnsi="宋体"/>
          <w:spacing w:val="-4"/>
          <w:szCs w:val="21"/>
        </w:rPr>
      </w:pPr>
      <w:r>
        <w:rPr>
          <w:rFonts w:ascii="宋体" w:hAnsi="宋体"/>
          <w:snapToGrid w:val="0"/>
          <w:kern w:val="0"/>
          <w:szCs w:val="21"/>
        </w:rPr>
        <w:t>（2）中选人在收到中选通知书后，无正当理由拒签合同协议书。</w:t>
      </w:r>
    </w:p>
    <w:p>
      <w:pPr>
        <w:keepNext w:val="0"/>
        <w:keepLines w:val="0"/>
        <w:pageBreakBefore w:val="0"/>
        <w:kinsoku/>
        <w:wordWrap/>
        <w:overflowPunct/>
        <w:topLinePunct w:val="0"/>
        <w:bidi w:val="0"/>
        <w:adjustRightInd w:val="0"/>
        <w:snapToGrid w:val="0"/>
        <w:spacing w:line="360" w:lineRule="auto"/>
        <w:ind w:firstLine="422" w:firstLineChars="200"/>
        <w:jc w:val="left"/>
        <w:textAlignment w:val="auto"/>
        <w:rPr>
          <w:rFonts w:ascii="宋体" w:hAnsi="宋体"/>
          <w:b/>
          <w:szCs w:val="21"/>
        </w:rPr>
      </w:pPr>
      <w:r>
        <w:rPr>
          <w:rFonts w:ascii="宋体" w:hAnsi="宋体"/>
          <w:b/>
          <w:szCs w:val="21"/>
        </w:rPr>
        <w:t>3.5资格审查资料</w:t>
      </w:r>
    </w:p>
    <w:p>
      <w:pPr>
        <w:keepNext w:val="0"/>
        <w:keepLines w:val="0"/>
        <w:pageBreakBefore w:val="0"/>
        <w:kinsoku/>
        <w:wordWrap/>
        <w:overflowPunct/>
        <w:topLinePunct w:val="0"/>
        <w:bidi w:val="0"/>
        <w:adjustRightInd w:val="0"/>
        <w:snapToGrid w:val="0"/>
        <w:spacing w:line="360" w:lineRule="auto"/>
        <w:ind w:firstLine="420" w:firstLineChars="200"/>
        <w:jc w:val="left"/>
        <w:textAlignment w:val="auto"/>
        <w:rPr>
          <w:rFonts w:ascii="宋体" w:hAnsi="宋体"/>
          <w:szCs w:val="21"/>
        </w:rPr>
      </w:pPr>
      <w:r>
        <w:rPr>
          <w:rFonts w:hint="eastAsia" w:ascii="宋体" w:hAnsi="宋体"/>
          <w:szCs w:val="21"/>
        </w:rPr>
        <w:t>详见</w:t>
      </w:r>
      <w:r>
        <w:rPr>
          <w:rFonts w:hint="eastAsia" w:ascii="宋体" w:hAnsi="宋体"/>
          <w:szCs w:val="21"/>
          <w:lang w:eastAsia="zh-CN"/>
        </w:rPr>
        <w:t>竞标</w:t>
      </w:r>
      <w:r>
        <w:rPr>
          <w:rFonts w:hint="eastAsia" w:ascii="宋体" w:hAnsi="宋体"/>
          <w:szCs w:val="21"/>
        </w:rPr>
        <w:t>人须知前附表</w:t>
      </w:r>
    </w:p>
    <w:p>
      <w:pPr>
        <w:keepNext w:val="0"/>
        <w:keepLines w:val="0"/>
        <w:pageBreakBefore w:val="0"/>
        <w:kinsoku/>
        <w:wordWrap/>
        <w:overflowPunct/>
        <w:topLinePunct w:val="0"/>
        <w:bidi w:val="0"/>
        <w:adjustRightInd w:val="0"/>
        <w:snapToGrid w:val="0"/>
        <w:spacing w:line="360" w:lineRule="auto"/>
        <w:ind w:firstLine="422" w:firstLineChars="200"/>
        <w:jc w:val="left"/>
        <w:textAlignment w:val="auto"/>
        <w:rPr>
          <w:rFonts w:ascii="宋体" w:hAnsi="宋体"/>
          <w:b/>
          <w:szCs w:val="21"/>
        </w:rPr>
      </w:pPr>
      <w:r>
        <w:rPr>
          <w:rFonts w:ascii="宋体" w:hAnsi="宋体"/>
          <w:b/>
          <w:szCs w:val="21"/>
        </w:rPr>
        <w:t>3.6备选</w:t>
      </w:r>
      <w:r>
        <w:rPr>
          <w:rFonts w:hint="eastAsia" w:ascii="宋体" w:hAnsi="宋体"/>
          <w:b/>
          <w:szCs w:val="21"/>
          <w:lang w:eastAsia="zh-CN"/>
        </w:rPr>
        <w:t>竞标</w:t>
      </w:r>
      <w:r>
        <w:rPr>
          <w:rFonts w:ascii="宋体" w:hAnsi="宋体"/>
          <w:b/>
          <w:szCs w:val="21"/>
        </w:rPr>
        <w:t>方案</w:t>
      </w:r>
    </w:p>
    <w:p>
      <w:pPr>
        <w:keepNext w:val="0"/>
        <w:keepLines w:val="0"/>
        <w:pageBreakBefore w:val="0"/>
        <w:kinsoku/>
        <w:wordWrap/>
        <w:overflowPunct/>
        <w:topLinePunct w:val="0"/>
        <w:bidi w:val="0"/>
        <w:adjustRightInd w:val="0"/>
        <w:snapToGrid w:val="0"/>
        <w:spacing w:line="360" w:lineRule="auto"/>
        <w:ind w:firstLine="420" w:firstLineChars="200"/>
        <w:jc w:val="left"/>
        <w:textAlignment w:val="auto"/>
        <w:rPr>
          <w:rFonts w:ascii="宋体" w:hAnsi="宋体"/>
          <w:szCs w:val="21"/>
        </w:rPr>
      </w:pPr>
      <w:r>
        <w:rPr>
          <w:rFonts w:ascii="宋体" w:hAnsi="宋体"/>
          <w:szCs w:val="21"/>
        </w:rPr>
        <w:t>比选人不接受</w:t>
      </w:r>
      <w:r>
        <w:rPr>
          <w:rFonts w:hint="eastAsia" w:ascii="宋体" w:hAnsi="宋体"/>
          <w:szCs w:val="21"/>
          <w:lang w:eastAsia="zh-CN"/>
        </w:rPr>
        <w:t>竞标</w:t>
      </w:r>
      <w:r>
        <w:rPr>
          <w:rFonts w:ascii="宋体" w:hAnsi="宋体"/>
          <w:szCs w:val="21"/>
        </w:rPr>
        <w:t>人的备选</w:t>
      </w:r>
      <w:r>
        <w:rPr>
          <w:rFonts w:hint="eastAsia" w:ascii="宋体" w:hAnsi="宋体"/>
          <w:szCs w:val="21"/>
          <w:lang w:eastAsia="zh-CN"/>
        </w:rPr>
        <w:t>竞标</w:t>
      </w:r>
      <w:r>
        <w:rPr>
          <w:rFonts w:ascii="宋体" w:hAnsi="宋体"/>
          <w:szCs w:val="21"/>
        </w:rPr>
        <w:t>方案。</w:t>
      </w:r>
    </w:p>
    <w:p>
      <w:pPr>
        <w:keepNext w:val="0"/>
        <w:keepLines w:val="0"/>
        <w:pageBreakBefore w:val="0"/>
        <w:kinsoku/>
        <w:wordWrap/>
        <w:overflowPunct/>
        <w:topLinePunct w:val="0"/>
        <w:bidi w:val="0"/>
        <w:adjustRightInd w:val="0"/>
        <w:snapToGrid w:val="0"/>
        <w:spacing w:line="360" w:lineRule="auto"/>
        <w:ind w:firstLine="422" w:firstLineChars="200"/>
        <w:jc w:val="left"/>
        <w:textAlignment w:val="auto"/>
        <w:rPr>
          <w:rFonts w:ascii="宋体" w:hAnsi="宋体"/>
          <w:b/>
          <w:szCs w:val="21"/>
        </w:rPr>
      </w:pPr>
      <w:r>
        <w:rPr>
          <w:rFonts w:ascii="宋体" w:hAnsi="宋体"/>
          <w:b/>
          <w:szCs w:val="21"/>
        </w:rPr>
        <w:t>3.7</w:t>
      </w:r>
      <w:r>
        <w:rPr>
          <w:rFonts w:hint="eastAsia" w:ascii="宋体" w:hAnsi="宋体"/>
          <w:b/>
          <w:szCs w:val="21"/>
          <w:lang w:eastAsia="zh-CN"/>
        </w:rPr>
        <w:t>竞标</w:t>
      </w:r>
      <w:r>
        <w:rPr>
          <w:rFonts w:ascii="宋体" w:hAnsi="宋体"/>
          <w:b/>
          <w:szCs w:val="21"/>
        </w:rPr>
        <w:t>文件的编制</w:t>
      </w:r>
    </w:p>
    <w:p>
      <w:pPr>
        <w:keepNext w:val="0"/>
        <w:keepLines w:val="0"/>
        <w:pageBreakBefore w:val="0"/>
        <w:kinsoku/>
        <w:wordWrap/>
        <w:overflowPunct/>
        <w:topLinePunct w:val="0"/>
        <w:bidi w:val="0"/>
        <w:adjustRightInd w:val="0"/>
        <w:snapToGrid w:val="0"/>
        <w:spacing w:line="360" w:lineRule="auto"/>
        <w:ind w:firstLine="420" w:firstLineChars="200"/>
        <w:jc w:val="left"/>
        <w:textAlignment w:val="auto"/>
        <w:rPr>
          <w:rFonts w:ascii="宋体" w:hAnsi="宋体"/>
          <w:szCs w:val="21"/>
        </w:rPr>
      </w:pPr>
      <w:r>
        <w:rPr>
          <w:rFonts w:hint="eastAsia" w:ascii="宋体" w:hAnsi="宋体"/>
          <w:szCs w:val="21"/>
        </w:rPr>
        <w:t>详见</w:t>
      </w:r>
      <w:r>
        <w:rPr>
          <w:rFonts w:hint="eastAsia" w:ascii="宋体" w:hAnsi="宋体"/>
          <w:szCs w:val="21"/>
          <w:lang w:eastAsia="zh-CN"/>
        </w:rPr>
        <w:t>竞标</w:t>
      </w:r>
      <w:r>
        <w:rPr>
          <w:rFonts w:hint="eastAsia" w:ascii="宋体" w:hAnsi="宋体"/>
          <w:szCs w:val="21"/>
        </w:rPr>
        <w:t>人须知前附表</w:t>
      </w:r>
    </w:p>
    <w:p>
      <w:pPr>
        <w:keepNext w:val="0"/>
        <w:keepLines w:val="0"/>
        <w:pageBreakBefore w:val="0"/>
        <w:kinsoku/>
        <w:wordWrap/>
        <w:overflowPunct/>
        <w:topLinePunct w:val="0"/>
        <w:bidi w:val="0"/>
        <w:adjustRightInd w:val="0"/>
        <w:snapToGrid w:val="0"/>
        <w:spacing w:line="360" w:lineRule="auto"/>
        <w:jc w:val="left"/>
        <w:textAlignment w:val="auto"/>
        <w:rPr>
          <w:rFonts w:ascii="宋体" w:hAnsi="宋体"/>
          <w:b/>
          <w:sz w:val="28"/>
          <w:szCs w:val="28"/>
        </w:rPr>
      </w:pPr>
      <w:r>
        <w:rPr>
          <w:rFonts w:ascii="宋体" w:hAnsi="宋体"/>
          <w:b/>
          <w:sz w:val="28"/>
          <w:szCs w:val="28"/>
        </w:rPr>
        <w:t>4．</w:t>
      </w:r>
      <w:r>
        <w:rPr>
          <w:rFonts w:hint="eastAsia" w:ascii="宋体" w:hAnsi="宋体"/>
          <w:b/>
          <w:sz w:val="28"/>
          <w:szCs w:val="28"/>
        </w:rPr>
        <w:t>比选</w:t>
      </w:r>
    </w:p>
    <w:p>
      <w:pPr>
        <w:keepNext w:val="0"/>
        <w:keepLines w:val="0"/>
        <w:pageBreakBefore w:val="0"/>
        <w:kinsoku/>
        <w:wordWrap/>
        <w:overflowPunct/>
        <w:topLinePunct w:val="0"/>
        <w:bidi w:val="0"/>
        <w:adjustRightInd w:val="0"/>
        <w:snapToGrid w:val="0"/>
        <w:spacing w:line="360" w:lineRule="auto"/>
        <w:ind w:firstLine="422" w:firstLineChars="200"/>
        <w:jc w:val="left"/>
        <w:textAlignment w:val="auto"/>
        <w:rPr>
          <w:rFonts w:ascii="宋体" w:hAnsi="宋体"/>
          <w:b/>
          <w:szCs w:val="21"/>
        </w:rPr>
      </w:pPr>
      <w:r>
        <w:rPr>
          <w:rFonts w:ascii="宋体" w:hAnsi="宋体"/>
          <w:b/>
          <w:szCs w:val="21"/>
        </w:rPr>
        <w:t>4.1</w:t>
      </w:r>
      <w:r>
        <w:rPr>
          <w:rFonts w:hint="eastAsia" w:ascii="宋体" w:hAnsi="宋体"/>
          <w:b/>
          <w:szCs w:val="21"/>
          <w:lang w:eastAsia="zh-CN"/>
        </w:rPr>
        <w:t>竞标</w:t>
      </w:r>
      <w:r>
        <w:rPr>
          <w:rFonts w:ascii="宋体" w:hAnsi="宋体"/>
          <w:b/>
          <w:szCs w:val="21"/>
        </w:rPr>
        <w:t>文件的密封和标记</w:t>
      </w:r>
    </w:p>
    <w:p>
      <w:pPr>
        <w:keepNext w:val="0"/>
        <w:keepLines w:val="0"/>
        <w:pageBreakBefore w:val="0"/>
        <w:kinsoku/>
        <w:wordWrap/>
        <w:overflowPunct/>
        <w:topLinePunct w:val="0"/>
        <w:bidi w:val="0"/>
        <w:adjustRightInd w:val="0"/>
        <w:snapToGrid w:val="0"/>
        <w:spacing w:line="360" w:lineRule="auto"/>
        <w:ind w:firstLine="420" w:firstLineChars="200"/>
        <w:jc w:val="left"/>
        <w:textAlignment w:val="auto"/>
        <w:rPr>
          <w:rFonts w:ascii="宋体" w:hAnsi="宋体"/>
          <w:szCs w:val="21"/>
        </w:rPr>
      </w:pPr>
      <w:r>
        <w:rPr>
          <w:rFonts w:ascii="宋体" w:hAnsi="宋体"/>
          <w:szCs w:val="21"/>
        </w:rPr>
        <w:t>4.1.1</w:t>
      </w:r>
      <w:r>
        <w:rPr>
          <w:rFonts w:hint="eastAsia" w:ascii="宋体" w:hAnsi="宋体"/>
          <w:szCs w:val="21"/>
          <w:lang w:eastAsia="zh-CN"/>
        </w:rPr>
        <w:t>竞标</w:t>
      </w:r>
      <w:r>
        <w:rPr>
          <w:rFonts w:ascii="宋体" w:hAnsi="宋体"/>
          <w:szCs w:val="21"/>
        </w:rPr>
        <w:t>文件的密封要求见</w:t>
      </w:r>
      <w:r>
        <w:rPr>
          <w:rFonts w:hint="eastAsia" w:ascii="宋体" w:hAnsi="宋体"/>
          <w:szCs w:val="21"/>
          <w:lang w:eastAsia="zh-CN"/>
        </w:rPr>
        <w:t>竞标</w:t>
      </w:r>
      <w:r>
        <w:rPr>
          <w:rFonts w:ascii="宋体" w:hAnsi="宋体"/>
          <w:szCs w:val="21"/>
        </w:rPr>
        <w:t>人须知前附表。</w:t>
      </w:r>
    </w:p>
    <w:p>
      <w:pPr>
        <w:keepNext w:val="0"/>
        <w:keepLines w:val="0"/>
        <w:pageBreakBefore w:val="0"/>
        <w:kinsoku/>
        <w:wordWrap/>
        <w:overflowPunct/>
        <w:topLinePunct w:val="0"/>
        <w:bidi w:val="0"/>
        <w:adjustRightInd w:val="0"/>
        <w:snapToGrid w:val="0"/>
        <w:spacing w:line="360" w:lineRule="auto"/>
        <w:ind w:firstLine="420" w:firstLineChars="200"/>
        <w:jc w:val="left"/>
        <w:textAlignment w:val="auto"/>
        <w:rPr>
          <w:rFonts w:ascii="宋体" w:hAnsi="宋体"/>
          <w:szCs w:val="21"/>
        </w:rPr>
      </w:pPr>
      <w:r>
        <w:rPr>
          <w:rFonts w:ascii="宋体" w:hAnsi="宋体"/>
          <w:szCs w:val="21"/>
        </w:rPr>
        <w:t>4.1.2</w:t>
      </w:r>
      <w:r>
        <w:rPr>
          <w:rFonts w:hint="eastAsia" w:ascii="宋体" w:hAnsi="宋体"/>
          <w:szCs w:val="21"/>
          <w:lang w:eastAsia="zh-CN"/>
        </w:rPr>
        <w:t>竞标</w:t>
      </w:r>
      <w:r>
        <w:rPr>
          <w:rFonts w:ascii="宋体" w:hAnsi="宋体"/>
          <w:szCs w:val="21"/>
        </w:rPr>
        <w:t>文件的封套上应写明的内容见</w:t>
      </w:r>
      <w:r>
        <w:rPr>
          <w:rFonts w:hint="eastAsia" w:ascii="宋体" w:hAnsi="宋体"/>
          <w:szCs w:val="21"/>
          <w:lang w:eastAsia="zh-CN"/>
        </w:rPr>
        <w:t>竞标</w:t>
      </w:r>
      <w:r>
        <w:rPr>
          <w:rFonts w:ascii="宋体" w:hAnsi="宋体"/>
          <w:szCs w:val="21"/>
        </w:rPr>
        <w:t>人须知前附表。</w:t>
      </w:r>
    </w:p>
    <w:p>
      <w:pPr>
        <w:keepNext w:val="0"/>
        <w:keepLines w:val="0"/>
        <w:pageBreakBefore w:val="0"/>
        <w:kinsoku/>
        <w:wordWrap/>
        <w:overflowPunct/>
        <w:topLinePunct w:val="0"/>
        <w:bidi w:val="0"/>
        <w:adjustRightInd w:val="0"/>
        <w:snapToGrid w:val="0"/>
        <w:spacing w:line="360" w:lineRule="auto"/>
        <w:ind w:firstLine="420" w:firstLineChars="200"/>
        <w:jc w:val="left"/>
        <w:textAlignment w:val="auto"/>
        <w:rPr>
          <w:rFonts w:ascii="宋体" w:hAnsi="宋体"/>
          <w:szCs w:val="21"/>
        </w:rPr>
      </w:pPr>
      <w:r>
        <w:rPr>
          <w:rFonts w:ascii="宋体" w:hAnsi="宋体"/>
          <w:szCs w:val="21"/>
        </w:rPr>
        <w:t>4.1.3未按本章第4.1.1项或第4.1.2项要求密封和加写标记的</w:t>
      </w:r>
      <w:r>
        <w:rPr>
          <w:rFonts w:hint="eastAsia" w:ascii="宋体" w:hAnsi="宋体"/>
          <w:szCs w:val="21"/>
          <w:lang w:eastAsia="zh-CN"/>
        </w:rPr>
        <w:t>竞标</w:t>
      </w:r>
      <w:r>
        <w:rPr>
          <w:rFonts w:ascii="宋体" w:hAnsi="宋体"/>
          <w:szCs w:val="21"/>
        </w:rPr>
        <w:t>文件</w:t>
      </w:r>
      <w:r>
        <w:rPr>
          <w:rFonts w:hint="eastAsia" w:ascii="宋体" w:hAnsi="宋体"/>
          <w:szCs w:val="21"/>
        </w:rPr>
        <w:t>，</w:t>
      </w:r>
      <w:r>
        <w:rPr>
          <w:rFonts w:ascii="宋体" w:hAnsi="宋体"/>
          <w:szCs w:val="21"/>
        </w:rPr>
        <w:t>比选人不予受理。</w:t>
      </w:r>
    </w:p>
    <w:p>
      <w:pPr>
        <w:keepNext w:val="0"/>
        <w:keepLines w:val="0"/>
        <w:pageBreakBefore w:val="0"/>
        <w:kinsoku/>
        <w:wordWrap/>
        <w:overflowPunct/>
        <w:topLinePunct w:val="0"/>
        <w:bidi w:val="0"/>
        <w:adjustRightInd w:val="0"/>
        <w:snapToGrid w:val="0"/>
        <w:spacing w:line="360" w:lineRule="auto"/>
        <w:ind w:firstLine="422" w:firstLineChars="200"/>
        <w:jc w:val="left"/>
        <w:textAlignment w:val="auto"/>
        <w:rPr>
          <w:rFonts w:ascii="宋体" w:hAnsi="宋体"/>
          <w:b/>
          <w:szCs w:val="21"/>
        </w:rPr>
      </w:pPr>
      <w:r>
        <w:rPr>
          <w:rFonts w:ascii="宋体" w:hAnsi="宋体"/>
          <w:b/>
          <w:szCs w:val="21"/>
        </w:rPr>
        <w:t>4.2</w:t>
      </w:r>
      <w:r>
        <w:rPr>
          <w:rFonts w:hint="eastAsia" w:ascii="宋体" w:hAnsi="宋体"/>
          <w:b/>
          <w:szCs w:val="21"/>
          <w:lang w:eastAsia="zh-CN"/>
        </w:rPr>
        <w:t>竞标</w:t>
      </w:r>
      <w:r>
        <w:rPr>
          <w:rFonts w:ascii="宋体" w:hAnsi="宋体"/>
          <w:b/>
          <w:szCs w:val="21"/>
        </w:rPr>
        <w:t>文件的递交</w:t>
      </w:r>
    </w:p>
    <w:p>
      <w:pPr>
        <w:keepNext w:val="0"/>
        <w:keepLines w:val="0"/>
        <w:pageBreakBefore w:val="0"/>
        <w:kinsoku/>
        <w:wordWrap/>
        <w:overflowPunct/>
        <w:topLinePunct w:val="0"/>
        <w:bidi w:val="0"/>
        <w:adjustRightInd w:val="0"/>
        <w:snapToGrid w:val="0"/>
        <w:spacing w:line="360" w:lineRule="auto"/>
        <w:ind w:firstLine="420" w:firstLineChars="200"/>
        <w:jc w:val="left"/>
        <w:textAlignment w:val="auto"/>
        <w:rPr>
          <w:rFonts w:ascii="宋体" w:hAnsi="宋体"/>
          <w:szCs w:val="21"/>
        </w:rPr>
      </w:pPr>
      <w:r>
        <w:rPr>
          <w:rFonts w:ascii="宋体" w:hAnsi="宋体"/>
          <w:szCs w:val="21"/>
        </w:rPr>
        <w:t>4.2.1</w:t>
      </w:r>
      <w:r>
        <w:rPr>
          <w:rFonts w:hint="eastAsia" w:ascii="宋体" w:hAnsi="宋体"/>
          <w:szCs w:val="21"/>
          <w:lang w:eastAsia="zh-CN"/>
        </w:rPr>
        <w:t>竞标</w:t>
      </w:r>
      <w:r>
        <w:rPr>
          <w:rFonts w:hint="eastAsia" w:ascii="宋体" w:hAnsi="宋体"/>
          <w:szCs w:val="21"/>
        </w:rPr>
        <w:t>人应在比选公告的</w:t>
      </w:r>
      <w:r>
        <w:rPr>
          <w:rFonts w:hint="eastAsia" w:ascii="宋体" w:hAnsi="宋体"/>
          <w:szCs w:val="21"/>
          <w:lang w:eastAsia="zh-CN"/>
        </w:rPr>
        <w:t>竞标</w:t>
      </w:r>
      <w:r>
        <w:rPr>
          <w:rFonts w:hint="eastAsia" w:ascii="宋体" w:hAnsi="宋体"/>
          <w:szCs w:val="21"/>
        </w:rPr>
        <w:t>截止时间前递交</w:t>
      </w:r>
      <w:r>
        <w:rPr>
          <w:rFonts w:hint="eastAsia" w:ascii="宋体" w:hAnsi="宋体"/>
          <w:szCs w:val="21"/>
          <w:lang w:eastAsia="zh-CN"/>
        </w:rPr>
        <w:t>竞标</w:t>
      </w:r>
      <w:r>
        <w:rPr>
          <w:rFonts w:hint="eastAsia" w:ascii="宋体" w:hAnsi="宋体"/>
          <w:szCs w:val="21"/>
        </w:rPr>
        <w:t>文件。</w:t>
      </w:r>
    </w:p>
    <w:p>
      <w:pPr>
        <w:keepNext w:val="0"/>
        <w:keepLines w:val="0"/>
        <w:pageBreakBefore w:val="0"/>
        <w:kinsoku/>
        <w:wordWrap/>
        <w:overflowPunct/>
        <w:topLinePunct w:val="0"/>
        <w:bidi w:val="0"/>
        <w:adjustRightInd w:val="0"/>
        <w:snapToGrid w:val="0"/>
        <w:spacing w:line="360" w:lineRule="auto"/>
        <w:ind w:firstLine="420" w:firstLineChars="200"/>
        <w:jc w:val="left"/>
        <w:textAlignment w:val="auto"/>
        <w:rPr>
          <w:rFonts w:ascii="宋体" w:hAnsi="宋体"/>
          <w:szCs w:val="21"/>
        </w:rPr>
      </w:pPr>
      <w:r>
        <w:rPr>
          <w:rFonts w:ascii="宋体" w:hAnsi="宋体"/>
          <w:szCs w:val="21"/>
        </w:rPr>
        <w:t>4.2.2</w:t>
      </w:r>
      <w:r>
        <w:rPr>
          <w:rFonts w:hint="eastAsia" w:ascii="宋体" w:hAnsi="宋体"/>
          <w:szCs w:val="21"/>
          <w:lang w:eastAsia="zh-CN"/>
        </w:rPr>
        <w:t>竞标</w:t>
      </w:r>
      <w:r>
        <w:rPr>
          <w:rFonts w:ascii="宋体" w:hAnsi="宋体"/>
          <w:szCs w:val="21"/>
        </w:rPr>
        <w:t>人递交</w:t>
      </w:r>
      <w:r>
        <w:rPr>
          <w:rFonts w:hint="eastAsia" w:ascii="宋体" w:hAnsi="宋体"/>
          <w:szCs w:val="21"/>
          <w:lang w:eastAsia="zh-CN"/>
        </w:rPr>
        <w:t>竞标</w:t>
      </w:r>
      <w:r>
        <w:rPr>
          <w:rFonts w:ascii="宋体" w:hAnsi="宋体"/>
          <w:szCs w:val="21"/>
        </w:rPr>
        <w:t>文件的地点:见</w:t>
      </w:r>
      <w:r>
        <w:rPr>
          <w:rFonts w:hint="eastAsia" w:ascii="宋体" w:hAnsi="宋体"/>
          <w:szCs w:val="21"/>
          <w:lang w:eastAsia="zh-CN"/>
        </w:rPr>
        <w:t>竞标</w:t>
      </w:r>
      <w:r>
        <w:rPr>
          <w:rFonts w:ascii="宋体" w:hAnsi="宋体"/>
          <w:szCs w:val="21"/>
        </w:rPr>
        <w:t>人须知前附表。</w:t>
      </w:r>
    </w:p>
    <w:p>
      <w:pPr>
        <w:keepNext w:val="0"/>
        <w:keepLines w:val="0"/>
        <w:pageBreakBefore w:val="0"/>
        <w:kinsoku/>
        <w:wordWrap/>
        <w:overflowPunct/>
        <w:topLinePunct w:val="0"/>
        <w:bidi w:val="0"/>
        <w:adjustRightInd w:val="0"/>
        <w:snapToGrid w:val="0"/>
        <w:spacing w:line="360" w:lineRule="auto"/>
        <w:ind w:firstLine="420" w:firstLineChars="200"/>
        <w:jc w:val="left"/>
        <w:textAlignment w:val="auto"/>
        <w:rPr>
          <w:rFonts w:ascii="宋体" w:hAnsi="宋体"/>
          <w:szCs w:val="21"/>
        </w:rPr>
      </w:pPr>
      <w:r>
        <w:rPr>
          <w:rFonts w:ascii="宋体" w:hAnsi="宋体"/>
          <w:szCs w:val="21"/>
        </w:rPr>
        <w:t>4.2.3除</w:t>
      </w:r>
      <w:r>
        <w:rPr>
          <w:rFonts w:hint="eastAsia" w:ascii="宋体" w:hAnsi="宋体"/>
          <w:szCs w:val="21"/>
          <w:lang w:eastAsia="zh-CN"/>
        </w:rPr>
        <w:t>竞标</w:t>
      </w:r>
      <w:r>
        <w:rPr>
          <w:rFonts w:ascii="宋体" w:hAnsi="宋体"/>
          <w:szCs w:val="21"/>
        </w:rPr>
        <w:t>人须知前附表另有规定外,</w:t>
      </w:r>
      <w:r>
        <w:rPr>
          <w:rFonts w:hint="eastAsia" w:ascii="宋体" w:hAnsi="宋体"/>
          <w:szCs w:val="21"/>
          <w:lang w:eastAsia="zh-CN"/>
        </w:rPr>
        <w:t>竞标</w:t>
      </w:r>
      <w:r>
        <w:rPr>
          <w:rFonts w:ascii="宋体" w:hAnsi="宋体"/>
          <w:szCs w:val="21"/>
        </w:rPr>
        <w:t>人所递交的</w:t>
      </w:r>
      <w:r>
        <w:rPr>
          <w:rFonts w:hint="eastAsia" w:ascii="宋体" w:hAnsi="宋体"/>
          <w:szCs w:val="21"/>
          <w:lang w:eastAsia="zh-CN"/>
        </w:rPr>
        <w:t>竞标</w:t>
      </w:r>
      <w:r>
        <w:rPr>
          <w:rFonts w:ascii="宋体" w:hAnsi="宋体"/>
          <w:szCs w:val="21"/>
        </w:rPr>
        <w:t>文件不予退还。</w:t>
      </w:r>
    </w:p>
    <w:p>
      <w:pPr>
        <w:keepNext w:val="0"/>
        <w:keepLines w:val="0"/>
        <w:pageBreakBefore w:val="0"/>
        <w:kinsoku/>
        <w:wordWrap/>
        <w:overflowPunct/>
        <w:topLinePunct w:val="0"/>
        <w:bidi w:val="0"/>
        <w:adjustRightInd w:val="0"/>
        <w:snapToGrid w:val="0"/>
        <w:spacing w:line="360" w:lineRule="auto"/>
        <w:ind w:firstLine="420" w:firstLineChars="200"/>
        <w:jc w:val="left"/>
        <w:textAlignment w:val="auto"/>
        <w:rPr>
          <w:rFonts w:ascii="宋体" w:hAnsi="宋体"/>
          <w:szCs w:val="21"/>
        </w:rPr>
      </w:pPr>
      <w:r>
        <w:rPr>
          <w:rFonts w:ascii="宋体" w:hAnsi="宋体"/>
          <w:szCs w:val="21"/>
        </w:rPr>
        <w:t>4.2.4 逾期送达的或者未送达指定地点的</w:t>
      </w:r>
      <w:r>
        <w:rPr>
          <w:rFonts w:hint="eastAsia" w:ascii="宋体" w:hAnsi="宋体"/>
          <w:szCs w:val="21"/>
          <w:lang w:eastAsia="zh-CN"/>
        </w:rPr>
        <w:t>竞标</w:t>
      </w:r>
      <w:r>
        <w:rPr>
          <w:rFonts w:ascii="宋体" w:hAnsi="宋体"/>
          <w:szCs w:val="21"/>
        </w:rPr>
        <w:t>文件,比选人不予受理。</w:t>
      </w:r>
    </w:p>
    <w:p>
      <w:pPr>
        <w:keepNext w:val="0"/>
        <w:keepLines w:val="0"/>
        <w:pageBreakBefore w:val="0"/>
        <w:kinsoku/>
        <w:wordWrap/>
        <w:overflowPunct/>
        <w:topLinePunct w:val="0"/>
        <w:bidi w:val="0"/>
        <w:adjustRightInd w:val="0"/>
        <w:snapToGrid w:val="0"/>
        <w:spacing w:line="360" w:lineRule="auto"/>
        <w:ind w:firstLine="422" w:firstLineChars="200"/>
        <w:jc w:val="left"/>
        <w:textAlignment w:val="auto"/>
        <w:rPr>
          <w:rFonts w:ascii="宋体" w:hAnsi="宋体"/>
          <w:b/>
          <w:szCs w:val="21"/>
        </w:rPr>
      </w:pPr>
      <w:r>
        <w:rPr>
          <w:rFonts w:ascii="宋体" w:hAnsi="宋体"/>
          <w:b/>
          <w:szCs w:val="21"/>
        </w:rPr>
        <w:t>4.3</w:t>
      </w:r>
      <w:r>
        <w:rPr>
          <w:rFonts w:hint="eastAsia" w:ascii="宋体" w:hAnsi="宋体"/>
          <w:b/>
          <w:szCs w:val="21"/>
          <w:lang w:eastAsia="zh-CN"/>
        </w:rPr>
        <w:t>竞标</w:t>
      </w:r>
      <w:r>
        <w:rPr>
          <w:rFonts w:ascii="宋体" w:hAnsi="宋体"/>
          <w:b/>
          <w:szCs w:val="21"/>
        </w:rPr>
        <w:t>文件的修改与撤回</w:t>
      </w:r>
    </w:p>
    <w:p>
      <w:pPr>
        <w:keepNext w:val="0"/>
        <w:keepLines w:val="0"/>
        <w:pageBreakBefore w:val="0"/>
        <w:kinsoku/>
        <w:wordWrap/>
        <w:overflowPunct/>
        <w:topLinePunct w:val="0"/>
        <w:bidi w:val="0"/>
        <w:adjustRightInd w:val="0"/>
        <w:snapToGrid w:val="0"/>
        <w:spacing w:line="360" w:lineRule="auto"/>
        <w:ind w:firstLine="420" w:firstLineChars="200"/>
        <w:jc w:val="left"/>
        <w:textAlignment w:val="auto"/>
        <w:rPr>
          <w:rFonts w:ascii="宋体" w:hAnsi="宋体"/>
          <w:szCs w:val="21"/>
        </w:rPr>
      </w:pPr>
      <w:r>
        <w:rPr>
          <w:rFonts w:ascii="宋体" w:hAnsi="宋体"/>
          <w:szCs w:val="21"/>
        </w:rPr>
        <w:t>4.3.1在</w:t>
      </w:r>
      <w:r>
        <w:rPr>
          <w:rFonts w:hint="eastAsia" w:ascii="宋体" w:hAnsi="宋体"/>
          <w:szCs w:val="21"/>
          <w:lang w:eastAsia="zh-CN"/>
        </w:rPr>
        <w:t>竞标</w:t>
      </w:r>
      <w:r>
        <w:rPr>
          <w:rFonts w:ascii="宋体" w:hAnsi="宋体"/>
          <w:szCs w:val="21"/>
        </w:rPr>
        <w:t>人须知前附表</w:t>
      </w:r>
      <w:r>
        <w:rPr>
          <w:rFonts w:hint="eastAsia" w:ascii="宋体" w:hAnsi="宋体"/>
          <w:szCs w:val="21"/>
        </w:rPr>
        <w:t>第2.2.2项规定的</w:t>
      </w:r>
      <w:r>
        <w:rPr>
          <w:rFonts w:hint="eastAsia" w:ascii="宋体" w:hAnsi="宋体"/>
          <w:szCs w:val="21"/>
          <w:lang w:eastAsia="zh-CN"/>
        </w:rPr>
        <w:t>竞标</w:t>
      </w:r>
      <w:r>
        <w:rPr>
          <w:rFonts w:ascii="宋体" w:hAnsi="宋体"/>
          <w:szCs w:val="21"/>
        </w:rPr>
        <w:t>截止时间前</w:t>
      </w:r>
      <w:r>
        <w:rPr>
          <w:rFonts w:hint="eastAsia" w:ascii="宋体" w:hAnsi="宋体"/>
          <w:szCs w:val="21"/>
          <w:lang w:eastAsia="zh-CN"/>
        </w:rPr>
        <w:t>竞标</w:t>
      </w:r>
      <w:r>
        <w:rPr>
          <w:rFonts w:ascii="宋体" w:hAnsi="宋体"/>
          <w:szCs w:val="21"/>
        </w:rPr>
        <w:t>人可以修改或撤回已递交的</w:t>
      </w:r>
      <w:r>
        <w:rPr>
          <w:rFonts w:hint="eastAsia" w:ascii="宋体" w:hAnsi="宋体"/>
          <w:szCs w:val="21"/>
          <w:lang w:eastAsia="zh-CN"/>
        </w:rPr>
        <w:t>竞标</w:t>
      </w:r>
      <w:r>
        <w:rPr>
          <w:rFonts w:ascii="宋体" w:hAnsi="宋体"/>
          <w:szCs w:val="21"/>
        </w:rPr>
        <w:t>文件,但应以书面形式通知比选人。</w:t>
      </w:r>
    </w:p>
    <w:p>
      <w:pPr>
        <w:keepNext w:val="0"/>
        <w:keepLines w:val="0"/>
        <w:pageBreakBefore w:val="0"/>
        <w:kinsoku/>
        <w:wordWrap/>
        <w:overflowPunct/>
        <w:topLinePunct w:val="0"/>
        <w:bidi w:val="0"/>
        <w:adjustRightInd w:val="0"/>
        <w:snapToGrid w:val="0"/>
        <w:spacing w:line="360" w:lineRule="auto"/>
        <w:ind w:firstLine="420" w:firstLineChars="200"/>
        <w:jc w:val="left"/>
        <w:textAlignment w:val="auto"/>
        <w:rPr>
          <w:rFonts w:ascii="宋体" w:hAnsi="宋体"/>
          <w:szCs w:val="21"/>
        </w:rPr>
      </w:pPr>
      <w:r>
        <w:rPr>
          <w:rFonts w:ascii="宋体" w:hAnsi="宋体"/>
          <w:szCs w:val="21"/>
        </w:rPr>
        <w:t>4.3.2</w:t>
      </w:r>
      <w:r>
        <w:rPr>
          <w:rFonts w:hint="eastAsia" w:ascii="宋体" w:hAnsi="宋体"/>
          <w:szCs w:val="21"/>
          <w:lang w:eastAsia="zh-CN"/>
        </w:rPr>
        <w:t>竞标</w:t>
      </w:r>
      <w:r>
        <w:rPr>
          <w:rFonts w:ascii="宋体" w:hAnsi="宋体"/>
          <w:szCs w:val="21"/>
        </w:rPr>
        <w:t>人修改或撤回已递交</w:t>
      </w:r>
      <w:r>
        <w:rPr>
          <w:rFonts w:hint="eastAsia" w:ascii="宋体" w:hAnsi="宋体"/>
          <w:szCs w:val="21"/>
          <w:lang w:eastAsia="zh-CN"/>
        </w:rPr>
        <w:t>竞标</w:t>
      </w:r>
      <w:r>
        <w:rPr>
          <w:rFonts w:ascii="宋体" w:hAnsi="宋体"/>
          <w:szCs w:val="21"/>
        </w:rPr>
        <w:t>文件的书面通知应按照本章第3.7.3项的要求签字或盖章。比选人收到书面通知后,向</w:t>
      </w:r>
      <w:r>
        <w:rPr>
          <w:rFonts w:hint="eastAsia" w:ascii="宋体" w:hAnsi="宋体"/>
          <w:szCs w:val="21"/>
          <w:lang w:eastAsia="zh-CN"/>
        </w:rPr>
        <w:t>竞标</w:t>
      </w:r>
      <w:r>
        <w:rPr>
          <w:rFonts w:ascii="宋体" w:hAnsi="宋体"/>
          <w:szCs w:val="21"/>
        </w:rPr>
        <w:t>人出具签收凭证。</w:t>
      </w:r>
    </w:p>
    <w:p>
      <w:pPr>
        <w:keepNext w:val="0"/>
        <w:keepLines w:val="0"/>
        <w:pageBreakBefore w:val="0"/>
        <w:kinsoku/>
        <w:wordWrap/>
        <w:overflowPunct/>
        <w:topLinePunct w:val="0"/>
        <w:bidi w:val="0"/>
        <w:adjustRightInd w:val="0"/>
        <w:snapToGrid w:val="0"/>
        <w:spacing w:line="360" w:lineRule="auto"/>
        <w:ind w:firstLine="420" w:firstLineChars="200"/>
        <w:jc w:val="left"/>
        <w:textAlignment w:val="auto"/>
        <w:rPr>
          <w:rFonts w:ascii="宋体" w:hAnsi="宋体"/>
          <w:szCs w:val="21"/>
        </w:rPr>
      </w:pPr>
      <w:r>
        <w:rPr>
          <w:rFonts w:ascii="宋体" w:hAnsi="宋体"/>
          <w:szCs w:val="21"/>
        </w:rPr>
        <w:t>4.3.3修改的内容为</w:t>
      </w:r>
      <w:r>
        <w:rPr>
          <w:rFonts w:hint="eastAsia" w:ascii="宋体" w:hAnsi="宋体"/>
          <w:szCs w:val="21"/>
          <w:lang w:eastAsia="zh-CN"/>
        </w:rPr>
        <w:t>竞标</w:t>
      </w:r>
      <w:r>
        <w:rPr>
          <w:rFonts w:ascii="宋体" w:hAnsi="宋体"/>
          <w:szCs w:val="21"/>
        </w:rPr>
        <w:t>文件的组成部分</w:t>
      </w:r>
      <w:r>
        <w:rPr>
          <w:rFonts w:hint="eastAsia" w:ascii="宋体" w:hAnsi="宋体"/>
          <w:szCs w:val="21"/>
        </w:rPr>
        <w:t>。</w:t>
      </w:r>
      <w:r>
        <w:rPr>
          <w:rFonts w:ascii="宋体" w:hAnsi="宋体"/>
          <w:szCs w:val="21"/>
        </w:rPr>
        <w:t>修改的</w:t>
      </w:r>
      <w:r>
        <w:rPr>
          <w:rFonts w:hint="eastAsia" w:ascii="宋体" w:hAnsi="宋体"/>
          <w:szCs w:val="21"/>
          <w:lang w:eastAsia="zh-CN"/>
        </w:rPr>
        <w:t>竞标</w:t>
      </w:r>
      <w:r>
        <w:rPr>
          <w:rFonts w:ascii="宋体" w:hAnsi="宋体"/>
          <w:szCs w:val="21"/>
        </w:rPr>
        <w:t>文件应按照本章第3条、第4条规定进行编制、密封、标记和递交,并标明“修改”字样。</w:t>
      </w:r>
    </w:p>
    <w:p>
      <w:pPr>
        <w:keepNext w:val="0"/>
        <w:keepLines w:val="0"/>
        <w:pageBreakBefore w:val="0"/>
        <w:kinsoku/>
        <w:wordWrap/>
        <w:overflowPunct/>
        <w:topLinePunct w:val="0"/>
        <w:bidi w:val="0"/>
        <w:adjustRightInd w:val="0"/>
        <w:snapToGrid w:val="0"/>
        <w:spacing w:line="360" w:lineRule="auto"/>
        <w:jc w:val="left"/>
        <w:textAlignment w:val="auto"/>
        <w:rPr>
          <w:rFonts w:ascii="宋体" w:hAnsi="宋体"/>
          <w:b/>
          <w:sz w:val="28"/>
          <w:szCs w:val="28"/>
        </w:rPr>
      </w:pPr>
      <w:r>
        <w:rPr>
          <w:rFonts w:ascii="宋体" w:hAnsi="宋体"/>
          <w:b/>
          <w:sz w:val="28"/>
          <w:szCs w:val="28"/>
        </w:rPr>
        <w:t>5．开标</w:t>
      </w:r>
    </w:p>
    <w:p>
      <w:pPr>
        <w:keepNext w:val="0"/>
        <w:keepLines w:val="0"/>
        <w:pageBreakBefore w:val="0"/>
        <w:kinsoku/>
        <w:wordWrap/>
        <w:overflowPunct/>
        <w:topLinePunct w:val="0"/>
        <w:bidi w:val="0"/>
        <w:adjustRightInd w:val="0"/>
        <w:snapToGrid w:val="0"/>
        <w:spacing w:line="360" w:lineRule="auto"/>
        <w:ind w:firstLine="422" w:firstLineChars="200"/>
        <w:jc w:val="left"/>
        <w:textAlignment w:val="auto"/>
        <w:rPr>
          <w:rFonts w:ascii="宋体" w:hAnsi="宋体"/>
          <w:b/>
          <w:bCs/>
          <w:szCs w:val="21"/>
        </w:rPr>
      </w:pPr>
      <w:r>
        <w:rPr>
          <w:rFonts w:ascii="宋体" w:hAnsi="宋体"/>
          <w:b/>
          <w:bCs/>
          <w:szCs w:val="21"/>
        </w:rPr>
        <w:t>5.1开标时间和地点</w:t>
      </w:r>
    </w:p>
    <w:p>
      <w:pPr>
        <w:keepNext w:val="0"/>
        <w:keepLines w:val="0"/>
        <w:pageBreakBefore w:val="0"/>
        <w:kinsoku/>
        <w:wordWrap/>
        <w:overflowPunct/>
        <w:topLinePunct w:val="0"/>
        <w:bidi w:val="0"/>
        <w:adjustRightInd w:val="0"/>
        <w:snapToGrid w:val="0"/>
        <w:spacing w:line="360" w:lineRule="auto"/>
        <w:ind w:firstLine="420" w:firstLineChars="200"/>
        <w:jc w:val="left"/>
        <w:textAlignment w:val="auto"/>
        <w:rPr>
          <w:rFonts w:ascii="宋体" w:hAnsi="宋体"/>
          <w:szCs w:val="21"/>
        </w:rPr>
      </w:pPr>
      <w:r>
        <w:rPr>
          <w:rFonts w:ascii="宋体" w:hAnsi="宋体"/>
          <w:szCs w:val="21"/>
        </w:rPr>
        <w:t>5.1.1比选人按照</w:t>
      </w:r>
      <w:r>
        <w:rPr>
          <w:rFonts w:hint="eastAsia" w:ascii="宋体" w:hAnsi="宋体"/>
          <w:szCs w:val="21"/>
          <w:lang w:eastAsia="zh-CN"/>
        </w:rPr>
        <w:t>竞标</w:t>
      </w:r>
      <w:r>
        <w:rPr>
          <w:rFonts w:ascii="宋体" w:hAnsi="宋体"/>
          <w:szCs w:val="21"/>
        </w:rPr>
        <w:t>人须知前附表规定的时间和地点进行公开</w:t>
      </w:r>
      <w:r>
        <w:rPr>
          <w:rFonts w:hint="eastAsia" w:ascii="宋体" w:hAnsi="宋体"/>
          <w:szCs w:val="21"/>
        </w:rPr>
        <w:t>竞争性比选</w:t>
      </w:r>
      <w:r>
        <w:rPr>
          <w:rFonts w:ascii="宋体" w:hAnsi="宋体"/>
          <w:szCs w:val="21"/>
        </w:rPr>
        <w:t>,并邀请所有</w:t>
      </w:r>
      <w:r>
        <w:rPr>
          <w:rFonts w:hint="eastAsia" w:ascii="宋体" w:hAnsi="宋体"/>
          <w:szCs w:val="21"/>
          <w:lang w:eastAsia="zh-CN"/>
        </w:rPr>
        <w:t>竞标</w:t>
      </w:r>
      <w:r>
        <w:rPr>
          <w:rFonts w:ascii="宋体" w:hAnsi="宋体"/>
          <w:szCs w:val="21"/>
        </w:rPr>
        <w:t>人的法定代表人或其委托代理人准时参加开标会议，未派授权代表参加开标会议的</w:t>
      </w:r>
      <w:r>
        <w:rPr>
          <w:rFonts w:hint="eastAsia" w:ascii="宋体" w:hAnsi="宋体"/>
          <w:szCs w:val="21"/>
          <w:lang w:eastAsia="zh-CN"/>
        </w:rPr>
        <w:t>竞标</w:t>
      </w:r>
      <w:r>
        <w:rPr>
          <w:rFonts w:ascii="宋体" w:hAnsi="宋体"/>
          <w:szCs w:val="21"/>
        </w:rPr>
        <w:t>人视为默认开标结果。</w:t>
      </w:r>
    </w:p>
    <w:p>
      <w:pPr>
        <w:keepNext w:val="0"/>
        <w:keepLines w:val="0"/>
        <w:pageBreakBefore w:val="0"/>
        <w:kinsoku/>
        <w:wordWrap/>
        <w:overflowPunct/>
        <w:topLinePunct w:val="0"/>
        <w:bidi w:val="0"/>
        <w:adjustRightInd w:val="0"/>
        <w:snapToGrid w:val="0"/>
        <w:spacing w:line="360" w:lineRule="auto"/>
        <w:ind w:firstLine="420" w:firstLineChars="200"/>
        <w:jc w:val="left"/>
        <w:textAlignment w:val="auto"/>
        <w:rPr>
          <w:rFonts w:ascii="宋体" w:hAnsi="宋体"/>
          <w:szCs w:val="21"/>
        </w:rPr>
      </w:pPr>
      <w:r>
        <w:rPr>
          <w:rFonts w:ascii="宋体" w:hAnsi="宋体"/>
          <w:szCs w:val="21"/>
        </w:rPr>
        <w:t>5.1.2参加开标会议的法定代表人或其委托代理人应当随身携带本人身份证（原件），授权的代理人还应当随身携带法定代表人授权书（原件）</w:t>
      </w:r>
      <w:r>
        <w:rPr>
          <w:rFonts w:hint="eastAsia" w:ascii="宋体" w:hAnsi="宋体"/>
          <w:szCs w:val="21"/>
        </w:rPr>
        <w:t>和</w:t>
      </w:r>
      <w:r>
        <w:rPr>
          <w:rFonts w:hint="eastAsia" w:ascii="宋体" w:hAnsi="宋体"/>
          <w:szCs w:val="21"/>
          <w:lang w:eastAsia="zh-CN"/>
        </w:rPr>
        <w:t>竞标</w:t>
      </w:r>
      <w:r>
        <w:rPr>
          <w:rFonts w:hint="eastAsia" w:ascii="宋体" w:hAnsi="宋体"/>
          <w:szCs w:val="21"/>
        </w:rPr>
        <w:t>人为其缴纳的养老保险</w:t>
      </w:r>
      <w:r>
        <w:rPr>
          <w:rFonts w:ascii="宋体" w:hAnsi="宋体"/>
          <w:szCs w:val="21"/>
        </w:rPr>
        <w:t>，以备核验其身份合法有效。</w:t>
      </w:r>
    </w:p>
    <w:p>
      <w:pPr>
        <w:keepNext w:val="0"/>
        <w:keepLines w:val="0"/>
        <w:pageBreakBefore w:val="0"/>
        <w:kinsoku/>
        <w:wordWrap/>
        <w:overflowPunct/>
        <w:topLinePunct w:val="0"/>
        <w:bidi w:val="0"/>
        <w:adjustRightInd w:val="0"/>
        <w:snapToGrid w:val="0"/>
        <w:spacing w:line="360" w:lineRule="auto"/>
        <w:ind w:firstLine="420" w:firstLineChars="200"/>
        <w:jc w:val="left"/>
        <w:textAlignment w:val="auto"/>
        <w:rPr>
          <w:rFonts w:ascii="宋体" w:hAnsi="宋体"/>
          <w:szCs w:val="21"/>
        </w:rPr>
      </w:pPr>
      <w:r>
        <w:rPr>
          <w:rFonts w:ascii="宋体" w:hAnsi="宋体"/>
          <w:szCs w:val="21"/>
        </w:rPr>
        <w:t>5.1.3</w:t>
      </w:r>
      <w:r>
        <w:rPr>
          <w:rFonts w:hint="eastAsia" w:ascii="宋体" w:hAnsi="宋体"/>
          <w:szCs w:val="21"/>
          <w:lang w:eastAsia="zh-CN"/>
        </w:rPr>
        <w:t>竞标</w:t>
      </w:r>
      <w:r>
        <w:rPr>
          <w:rFonts w:ascii="宋体" w:hAnsi="宋体"/>
          <w:szCs w:val="21"/>
        </w:rPr>
        <w:t>人法定代表人或其委托代理人在评标过程中应保证评标委员会随时质询。若</w:t>
      </w:r>
      <w:r>
        <w:rPr>
          <w:rFonts w:hint="eastAsia" w:ascii="宋体" w:hAnsi="宋体"/>
          <w:szCs w:val="21"/>
          <w:lang w:eastAsia="zh-CN"/>
        </w:rPr>
        <w:t>竞标</w:t>
      </w:r>
      <w:r>
        <w:rPr>
          <w:rFonts w:ascii="宋体" w:hAnsi="宋体"/>
          <w:szCs w:val="21"/>
        </w:rPr>
        <w:t>人法定代表人或其委托代理人因故不能接受质询,其</w:t>
      </w:r>
      <w:r>
        <w:rPr>
          <w:rFonts w:hint="eastAsia" w:ascii="宋体" w:hAnsi="宋体"/>
          <w:szCs w:val="21"/>
          <w:lang w:eastAsia="zh-CN"/>
        </w:rPr>
        <w:t>竞标</w:t>
      </w:r>
      <w:r>
        <w:rPr>
          <w:rFonts w:ascii="宋体" w:hAnsi="宋体"/>
          <w:szCs w:val="21"/>
        </w:rPr>
        <w:t>文件仍有效,但应视为</w:t>
      </w:r>
      <w:r>
        <w:rPr>
          <w:rFonts w:hint="eastAsia" w:ascii="宋体" w:hAnsi="宋体"/>
          <w:szCs w:val="21"/>
          <w:lang w:eastAsia="zh-CN"/>
        </w:rPr>
        <w:t>竞标</w:t>
      </w:r>
      <w:r>
        <w:rPr>
          <w:rFonts w:ascii="宋体" w:hAnsi="宋体"/>
          <w:szCs w:val="21"/>
        </w:rPr>
        <w:t>人已默认评标委员会对缺席的质询所做出的结论。</w:t>
      </w:r>
    </w:p>
    <w:p>
      <w:pPr>
        <w:keepNext w:val="0"/>
        <w:keepLines w:val="0"/>
        <w:pageBreakBefore w:val="0"/>
        <w:kinsoku/>
        <w:wordWrap/>
        <w:overflowPunct/>
        <w:topLinePunct w:val="0"/>
        <w:bidi w:val="0"/>
        <w:adjustRightInd w:val="0"/>
        <w:snapToGrid w:val="0"/>
        <w:spacing w:line="360" w:lineRule="auto"/>
        <w:ind w:firstLine="422" w:firstLineChars="200"/>
        <w:jc w:val="left"/>
        <w:textAlignment w:val="auto"/>
        <w:rPr>
          <w:rFonts w:ascii="宋体" w:hAnsi="宋体"/>
          <w:b/>
          <w:szCs w:val="21"/>
        </w:rPr>
      </w:pPr>
      <w:r>
        <w:rPr>
          <w:rFonts w:ascii="宋体" w:hAnsi="宋体"/>
          <w:b/>
          <w:szCs w:val="21"/>
        </w:rPr>
        <w:t>5.2开标程序</w:t>
      </w:r>
    </w:p>
    <w:p>
      <w:pPr>
        <w:keepNext w:val="0"/>
        <w:keepLines w:val="0"/>
        <w:pageBreakBefore w:val="0"/>
        <w:kinsoku/>
        <w:wordWrap/>
        <w:overflowPunct/>
        <w:topLinePunct w:val="0"/>
        <w:bidi w:val="0"/>
        <w:adjustRightInd w:val="0"/>
        <w:snapToGrid w:val="0"/>
        <w:spacing w:line="360" w:lineRule="auto"/>
        <w:ind w:firstLine="420" w:firstLineChars="200"/>
        <w:jc w:val="left"/>
        <w:textAlignment w:val="auto"/>
        <w:rPr>
          <w:rFonts w:ascii="宋体" w:hAnsi="宋体"/>
          <w:szCs w:val="21"/>
        </w:rPr>
      </w:pPr>
      <w:r>
        <w:rPr>
          <w:rFonts w:hint="eastAsia" w:ascii="宋体" w:hAnsi="宋体"/>
          <w:szCs w:val="21"/>
        </w:rPr>
        <w:t>见</w:t>
      </w:r>
      <w:r>
        <w:rPr>
          <w:rFonts w:hint="eastAsia" w:ascii="宋体" w:hAnsi="宋体"/>
          <w:szCs w:val="21"/>
          <w:lang w:eastAsia="zh-CN"/>
        </w:rPr>
        <w:t>竞标</w:t>
      </w:r>
      <w:r>
        <w:rPr>
          <w:rFonts w:hint="eastAsia" w:ascii="宋体" w:hAnsi="宋体"/>
          <w:szCs w:val="21"/>
        </w:rPr>
        <w:t>人须知前附表。</w:t>
      </w:r>
    </w:p>
    <w:p>
      <w:pPr>
        <w:keepNext w:val="0"/>
        <w:keepLines w:val="0"/>
        <w:pageBreakBefore w:val="0"/>
        <w:kinsoku/>
        <w:wordWrap/>
        <w:overflowPunct/>
        <w:topLinePunct w:val="0"/>
        <w:bidi w:val="0"/>
        <w:adjustRightInd w:val="0"/>
        <w:snapToGrid w:val="0"/>
        <w:spacing w:line="360" w:lineRule="auto"/>
        <w:jc w:val="left"/>
        <w:textAlignment w:val="auto"/>
        <w:rPr>
          <w:rFonts w:ascii="宋体" w:hAnsi="宋体"/>
          <w:b/>
          <w:sz w:val="28"/>
          <w:szCs w:val="28"/>
        </w:rPr>
      </w:pPr>
      <w:r>
        <w:rPr>
          <w:rFonts w:ascii="宋体" w:hAnsi="宋体"/>
          <w:b/>
          <w:sz w:val="28"/>
          <w:szCs w:val="28"/>
        </w:rPr>
        <w:t>6．评标</w:t>
      </w:r>
    </w:p>
    <w:p>
      <w:pPr>
        <w:keepNext w:val="0"/>
        <w:keepLines w:val="0"/>
        <w:pageBreakBefore w:val="0"/>
        <w:kinsoku/>
        <w:wordWrap/>
        <w:overflowPunct/>
        <w:topLinePunct w:val="0"/>
        <w:bidi w:val="0"/>
        <w:adjustRightInd w:val="0"/>
        <w:snapToGrid w:val="0"/>
        <w:spacing w:line="360" w:lineRule="auto"/>
        <w:ind w:firstLine="422" w:firstLineChars="200"/>
        <w:jc w:val="left"/>
        <w:textAlignment w:val="auto"/>
        <w:rPr>
          <w:rFonts w:ascii="宋体" w:hAnsi="宋体"/>
          <w:b/>
          <w:szCs w:val="21"/>
        </w:rPr>
      </w:pPr>
      <w:r>
        <w:rPr>
          <w:rFonts w:ascii="宋体" w:hAnsi="宋体"/>
          <w:b/>
          <w:szCs w:val="21"/>
        </w:rPr>
        <w:t>6.1评标委员会</w:t>
      </w:r>
    </w:p>
    <w:p>
      <w:pPr>
        <w:keepNext w:val="0"/>
        <w:keepLines w:val="0"/>
        <w:pageBreakBefore w:val="0"/>
        <w:kinsoku/>
        <w:wordWrap/>
        <w:overflowPunct/>
        <w:topLinePunct w:val="0"/>
        <w:bidi w:val="0"/>
        <w:adjustRightInd w:val="0"/>
        <w:snapToGrid w:val="0"/>
        <w:spacing w:line="360" w:lineRule="auto"/>
        <w:ind w:firstLine="420" w:firstLineChars="200"/>
        <w:jc w:val="left"/>
        <w:textAlignment w:val="auto"/>
        <w:rPr>
          <w:rFonts w:ascii="宋体" w:hAnsi="宋体"/>
          <w:szCs w:val="21"/>
        </w:rPr>
      </w:pPr>
      <w:r>
        <w:rPr>
          <w:rFonts w:ascii="宋体" w:hAnsi="宋体"/>
          <w:szCs w:val="21"/>
        </w:rPr>
        <w:t>6.1.1评标由比选人依法组建的评标委员会负责。评标委员会成员数以及专家的确定方式见</w:t>
      </w:r>
      <w:r>
        <w:rPr>
          <w:rFonts w:hint="eastAsia" w:ascii="宋体" w:hAnsi="宋体"/>
          <w:szCs w:val="21"/>
          <w:lang w:eastAsia="zh-CN"/>
        </w:rPr>
        <w:t>竞标</w:t>
      </w:r>
      <w:r>
        <w:rPr>
          <w:rFonts w:ascii="宋体" w:hAnsi="宋体"/>
          <w:szCs w:val="21"/>
        </w:rPr>
        <w:t>人须知前附表。</w:t>
      </w:r>
    </w:p>
    <w:p>
      <w:pPr>
        <w:keepNext w:val="0"/>
        <w:keepLines w:val="0"/>
        <w:pageBreakBefore w:val="0"/>
        <w:kinsoku/>
        <w:wordWrap/>
        <w:overflowPunct/>
        <w:topLinePunct w:val="0"/>
        <w:bidi w:val="0"/>
        <w:adjustRightInd w:val="0"/>
        <w:snapToGrid w:val="0"/>
        <w:spacing w:line="360" w:lineRule="auto"/>
        <w:ind w:firstLine="420" w:firstLineChars="200"/>
        <w:jc w:val="left"/>
        <w:textAlignment w:val="auto"/>
        <w:rPr>
          <w:rFonts w:ascii="宋体" w:hAnsi="宋体"/>
          <w:szCs w:val="21"/>
        </w:rPr>
      </w:pPr>
      <w:r>
        <w:rPr>
          <w:rFonts w:ascii="宋体" w:hAnsi="宋体"/>
          <w:szCs w:val="21"/>
        </w:rPr>
        <w:t>6.1.2评标委员会成员有下列情形之一的,应当回避:</w:t>
      </w:r>
    </w:p>
    <w:p>
      <w:pPr>
        <w:keepNext w:val="0"/>
        <w:keepLines w:val="0"/>
        <w:pageBreakBefore w:val="0"/>
        <w:kinsoku/>
        <w:wordWrap/>
        <w:overflowPunct/>
        <w:topLinePunct w:val="0"/>
        <w:bidi w:val="0"/>
        <w:adjustRightInd w:val="0"/>
        <w:snapToGrid w:val="0"/>
        <w:spacing w:line="360" w:lineRule="auto"/>
        <w:ind w:firstLine="420" w:firstLineChars="200"/>
        <w:jc w:val="left"/>
        <w:textAlignment w:val="auto"/>
        <w:rPr>
          <w:rFonts w:ascii="宋体" w:hAnsi="宋体"/>
          <w:szCs w:val="21"/>
        </w:rPr>
      </w:pPr>
      <w:r>
        <w:rPr>
          <w:rFonts w:ascii="宋体" w:hAnsi="宋体"/>
          <w:szCs w:val="21"/>
        </w:rPr>
        <w:t>⑴比选人或</w:t>
      </w:r>
      <w:r>
        <w:rPr>
          <w:rFonts w:hint="eastAsia" w:ascii="宋体" w:hAnsi="宋体"/>
          <w:szCs w:val="21"/>
          <w:lang w:eastAsia="zh-CN"/>
        </w:rPr>
        <w:t>竞标</w:t>
      </w:r>
      <w:r>
        <w:rPr>
          <w:rFonts w:ascii="宋体" w:hAnsi="宋体"/>
          <w:szCs w:val="21"/>
        </w:rPr>
        <w:t>人的主要负责人的近亲属。</w:t>
      </w:r>
    </w:p>
    <w:p>
      <w:pPr>
        <w:keepNext w:val="0"/>
        <w:keepLines w:val="0"/>
        <w:pageBreakBefore w:val="0"/>
        <w:kinsoku/>
        <w:wordWrap/>
        <w:overflowPunct/>
        <w:topLinePunct w:val="0"/>
        <w:bidi w:val="0"/>
        <w:adjustRightInd w:val="0"/>
        <w:snapToGrid w:val="0"/>
        <w:spacing w:line="360" w:lineRule="auto"/>
        <w:ind w:firstLine="420" w:firstLineChars="200"/>
        <w:jc w:val="left"/>
        <w:textAlignment w:val="auto"/>
        <w:rPr>
          <w:rFonts w:ascii="宋体" w:hAnsi="宋体"/>
          <w:szCs w:val="21"/>
        </w:rPr>
      </w:pPr>
      <w:r>
        <w:rPr>
          <w:rFonts w:ascii="宋体" w:hAnsi="宋体"/>
          <w:szCs w:val="21"/>
        </w:rPr>
        <w:t>⑵项目主管部门或者行政监督部门的人员。</w:t>
      </w:r>
    </w:p>
    <w:p>
      <w:pPr>
        <w:keepNext w:val="0"/>
        <w:keepLines w:val="0"/>
        <w:pageBreakBefore w:val="0"/>
        <w:kinsoku/>
        <w:wordWrap/>
        <w:overflowPunct/>
        <w:topLinePunct w:val="0"/>
        <w:bidi w:val="0"/>
        <w:adjustRightInd w:val="0"/>
        <w:snapToGrid w:val="0"/>
        <w:spacing w:line="360" w:lineRule="auto"/>
        <w:ind w:firstLine="420" w:firstLineChars="200"/>
        <w:jc w:val="left"/>
        <w:textAlignment w:val="auto"/>
        <w:rPr>
          <w:rFonts w:ascii="宋体" w:hAnsi="宋体"/>
          <w:szCs w:val="21"/>
        </w:rPr>
      </w:pPr>
      <w:r>
        <w:rPr>
          <w:rFonts w:ascii="宋体" w:hAnsi="宋体"/>
          <w:szCs w:val="21"/>
        </w:rPr>
        <w:t>⑶与</w:t>
      </w:r>
      <w:r>
        <w:rPr>
          <w:rFonts w:hint="eastAsia" w:ascii="宋体" w:hAnsi="宋体"/>
          <w:szCs w:val="21"/>
          <w:lang w:eastAsia="zh-CN"/>
        </w:rPr>
        <w:t>竞标</w:t>
      </w:r>
      <w:r>
        <w:rPr>
          <w:rFonts w:ascii="宋体" w:hAnsi="宋体"/>
          <w:szCs w:val="21"/>
        </w:rPr>
        <w:t>人有经济利益关系,可能影响对</w:t>
      </w:r>
      <w:r>
        <w:rPr>
          <w:rFonts w:hint="eastAsia" w:ascii="宋体" w:hAnsi="宋体"/>
          <w:szCs w:val="21"/>
          <w:lang w:eastAsia="zh-CN"/>
        </w:rPr>
        <w:t>竞标</w:t>
      </w:r>
      <w:r>
        <w:rPr>
          <w:rFonts w:ascii="宋体" w:hAnsi="宋体"/>
          <w:szCs w:val="21"/>
        </w:rPr>
        <w:t>公正评审的 。</w:t>
      </w:r>
    </w:p>
    <w:p>
      <w:pPr>
        <w:keepNext w:val="0"/>
        <w:keepLines w:val="0"/>
        <w:pageBreakBefore w:val="0"/>
        <w:kinsoku/>
        <w:wordWrap/>
        <w:overflowPunct/>
        <w:topLinePunct w:val="0"/>
        <w:bidi w:val="0"/>
        <w:adjustRightInd w:val="0"/>
        <w:snapToGrid w:val="0"/>
        <w:spacing w:line="360" w:lineRule="auto"/>
        <w:ind w:firstLine="420" w:firstLineChars="200"/>
        <w:jc w:val="left"/>
        <w:textAlignment w:val="auto"/>
        <w:rPr>
          <w:rFonts w:ascii="宋体" w:hAnsi="宋体"/>
          <w:spacing w:val="-6"/>
          <w:szCs w:val="21"/>
        </w:rPr>
      </w:pPr>
      <w:r>
        <w:rPr>
          <w:rFonts w:ascii="宋体" w:hAnsi="宋体"/>
          <w:szCs w:val="21"/>
        </w:rPr>
        <w:t>⑷</w:t>
      </w:r>
      <w:r>
        <w:rPr>
          <w:rFonts w:ascii="宋体" w:hAnsi="宋体"/>
          <w:spacing w:val="-6"/>
          <w:szCs w:val="21"/>
        </w:rPr>
        <w:t>曾因在</w:t>
      </w:r>
      <w:r>
        <w:rPr>
          <w:rFonts w:hint="eastAsia" w:ascii="宋体" w:hAnsi="宋体"/>
          <w:spacing w:val="-6"/>
          <w:szCs w:val="21"/>
        </w:rPr>
        <w:t>比选</w:t>
      </w:r>
      <w:r>
        <w:rPr>
          <w:rFonts w:ascii="宋体" w:hAnsi="宋体"/>
          <w:spacing w:val="-6"/>
          <w:szCs w:val="21"/>
        </w:rPr>
        <w:t>评标以及其他与</w:t>
      </w:r>
      <w:r>
        <w:rPr>
          <w:rFonts w:hint="eastAsia" w:ascii="宋体" w:hAnsi="宋体"/>
          <w:spacing w:val="-6"/>
          <w:szCs w:val="21"/>
          <w:lang w:eastAsia="zh-CN"/>
        </w:rPr>
        <w:t>竞标</w:t>
      </w:r>
      <w:r>
        <w:rPr>
          <w:rFonts w:ascii="宋体" w:hAnsi="宋体"/>
          <w:spacing w:val="-6"/>
          <w:szCs w:val="21"/>
        </w:rPr>
        <w:t>有关活动中从事违法行为而受过行政处罚或刑事处罚的。</w:t>
      </w:r>
    </w:p>
    <w:p>
      <w:pPr>
        <w:keepNext w:val="0"/>
        <w:keepLines w:val="0"/>
        <w:pageBreakBefore w:val="0"/>
        <w:kinsoku/>
        <w:wordWrap/>
        <w:overflowPunct/>
        <w:topLinePunct w:val="0"/>
        <w:bidi w:val="0"/>
        <w:adjustRightInd w:val="0"/>
        <w:snapToGrid w:val="0"/>
        <w:spacing w:line="360" w:lineRule="auto"/>
        <w:ind w:firstLine="422" w:firstLineChars="200"/>
        <w:jc w:val="left"/>
        <w:textAlignment w:val="auto"/>
        <w:rPr>
          <w:rFonts w:ascii="宋体" w:hAnsi="宋体"/>
          <w:b/>
          <w:szCs w:val="21"/>
        </w:rPr>
      </w:pPr>
      <w:r>
        <w:rPr>
          <w:rFonts w:ascii="宋体" w:hAnsi="宋体"/>
          <w:b/>
          <w:szCs w:val="21"/>
        </w:rPr>
        <w:t>6.2评标原则</w:t>
      </w:r>
    </w:p>
    <w:p>
      <w:pPr>
        <w:keepNext w:val="0"/>
        <w:keepLines w:val="0"/>
        <w:pageBreakBefore w:val="0"/>
        <w:kinsoku/>
        <w:wordWrap/>
        <w:overflowPunct/>
        <w:topLinePunct w:val="0"/>
        <w:bidi w:val="0"/>
        <w:adjustRightInd w:val="0"/>
        <w:snapToGrid w:val="0"/>
        <w:spacing w:line="360" w:lineRule="auto"/>
        <w:ind w:firstLine="420" w:firstLineChars="200"/>
        <w:jc w:val="left"/>
        <w:textAlignment w:val="auto"/>
        <w:rPr>
          <w:rFonts w:ascii="宋体" w:hAnsi="宋体"/>
          <w:szCs w:val="21"/>
        </w:rPr>
      </w:pPr>
      <w:r>
        <w:rPr>
          <w:rFonts w:ascii="宋体" w:hAnsi="宋体"/>
          <w:szCs w:val="21"/>
        </w:rPr>
        <w:t>评标活动遵循公平、公正、科学和择优的原则。</w:t>
      </w:r>
    </w:p>
    <w:p>
      <w:pPr>
        <w:keepNext w:val="0"/>
        <w:keepLines w:val="0"/>
        <w:pageBreakBefore w:val="0"/>
        <w:kinsoku/>
        <w:wordWrap/>
        <w:overflowPunct/>
        <w:topLinePunct w:val="0"/>
        <w:bidi w:val="0"/>
        <w:adjustRightInd w:val="0"/>
        <w:snapToGrid w:val="0"/>
        <w:spacing w:line="360" w:lineRule="auto"/>
        <w:ind w:firstLine="422" w:firstLineChars="200"/>
        <w:jc w:val="left"/>
        <w:textAlignment w:val="auto"/>
        <w:rPr>
          <w:rFonts w:ascii="宋体" w:hAnsi="宋体"/>
          <w:b/>
          <w:szCs w:val="21"/>
        </w:rPr>
      </w:pPr>
      <w:r>
        <w:rPr>
          <w:rFonts w:ascii="宋体" w:hAnsi="宋体"/>
          <w:b/>
          <w:szCs w:val="21"/>
        </w:rPr>
        <w:t>6.3评标</w:t>
      </w:r>
    </w:p>
    <w:p>
      <w:pPr>
        <w:keepNext w:val="0"/>
        <w:keepLines w:val="0"/>
        <w:pageBreakBefore w:val="0"/>
        <w:kinsoku/>
        <w:wordWrap/>
        <w:overflowPunct/>
        <w:topLinePunct w:val="0"/>
        <w:bidi w:val="0"/>
        <w:adjustRightInd w:val="0"/>
        <w:snapToGrid w:val="0"/>
        <w:spacing w:line="360" w:lineRule="auto"/>
        <w:ind w:firstLine="420" w:firstLineChars="200"/>
        <w:jc w:val="left"/>
        <w:textAlignment w:val="auto"/>
        <w:rPr>
          <w:rFonts w:ascii="宋体" w:hAnsi="宋体"/>
          <w:szCs w:val="21"/>
        </w:rPr>
      </w:pPr>
      <w:r>
        <w:rPr>
          <w:rFonts w:ascii="宋体" w:hAnsi="宋体"/>
          <w:szCs w:val="21"/>
        </w:rPr>
        <w:t>评标委员会按照第三章“评标办法”规定的方法、评审因素、标准和程序对</w:t>
      </w:r>
      <w:r>
        <w:rPr>
          <w:rFonts w:hint="eastAsia" w:ascii="宋体" w:hAnsi="宋体"/>
          <w:szCs w:val="21"/>
          <w:lang w:eastAsia="zh-CN"/>
        </w:rPr>
        <w:t>竞标</w:t>
      </w:r>
      <w:r>
        <w:rPr>
          <w:rFonts w:ascii="宋体" w:hAnsi="宋体"/>
          <w:szCs w:val="21"/>
        </w:rPr>
        <w:t>文件进行评审。</w:t>
      </w:r>
    </w:p>
    <w:p>
      <w:pPr>
        <w:keepNext w:val="0"/>
        <w:keepLines w:val="0"/>
        <w:pageBreakBefore w:val="0"/>
        <w:kinsoku/>
        <w:wordWrap/>
        <w:overflowPunct/>
        <w:topLinePunct w:val="0"/>
        <w:bidi w:val="0"/>
        <w:adjustRightInd w:val="0"/>
        <w:snapToGrid w:val="0"/>
        <w:spacing w:line="360" w:lineRule="auto"/>
        <w:jc w:val="left"/>
        <w:textAlignment w:val="auto"/>
        <w:rPr>
          <w:rFonts w:ascii="宋体" w:hAnsi="宋体"/>
          <w:b/>
          <w:sz w:val="28"/>
          <w:szCs w:val="28"/>
        </w:rPr>
      </w:pPr>
      <w:r>
        <w:rPr>
          <w:rFonts w:ascii="宋体" w:hAnsi="宋体"/>
          <w:b/>
          <w:sz w:val="28"/>
          <w:szCs w:val="28"/>
        </w:rPr>
        <w:t>7．定标</w:t>
      </w:r>
    </w:p>
    <w:p>
      <w:pPr>
        <w:keepNext w:val="0"/>
        <w:keepLines w:val="0"/>
        <w:pageBreakBefore w:val="0"/>
        <w:kinsoku/>
        <w:wordWrap/>
        <w:overflowPunct/>
        <w:topLinePunct w:val="0"/>
        <w:bidi w:val="0"/>
        <w:adjustRightInd w:val="0"/>
        <w:snapToGrid w:val="0"/>
        <w:spacing w:line="360" w:lineRule="auto"/>
        <w:ind w:firstLine="422" w:firstLineChars="200"/>
        <w:jc w:val="left"/>
        <w:textAlignment w:val="auto"/>
        <w:rPr>
          <w:rFonts w:ascii="宋体" w:hAnsi="宋体"/>
          <w:b/>
          <w:szCs w:val="21"/>
        </w:rPr>
      </w:pPr>
      <w:r>
        <w:rPr>
          <w:rFonts w:ascii="宋体" w:hAnsi="宋体"/>
          <w:b/>
          <w:szCs w:val="21"/>
        </w:rPr>
        <w:t>7.1定标方式</w:t>
      </w:r>
    </w:p>
    <w:p>
      <w:pPr>
        <w:keepNext w:val="0"/>
        <w:keepLines w:val="0"/>
        <w:pageBreakBefore w:val="0"/>
        <w:kinsoku/>
        <w:wordWrap/>
        <w:overflowPunct/>
        <w:topLinePunct w:val="0"/>
        <w:bidi w:val="0"/>
        <w:adjustRightInd w:val="0"/>
        <w:snapToGrid w:val="0"/>
        <w:spacing w:line="360" w:lineRule="auto"/>
        <w:ind w:firstLine="420" w:firstLineChars="200"/>
        <w:jc w:val="left"/>
        <w:textAlignment w:val="auto"/>
        <w:rPr>
          <w:rFonts w:ascii="宋体" w:hAnsi="宋体"/>
          <w:szCs w:val="21"/>
        </w:rPr>
      </w:pPr>
      <w:r>
        <w:rPr>
          <w:rFonts w:ascii="宋体" w:hAnsi="宋体"/>
          <w:szCs w:val="21"/>
        </w:rPr>
        <w:t>7.1.1排名第一的中选候选人在中选公示后无异议的即为中选人。比选人不得在中选候选人之外确定中选人。评标委员会推荐中选候选人的人数见</w:t>
      </w:r>
      <w:r>
        <w:rPr>
          <w:rFonts w:hint="eastAsia" w:ascii="宋体" w:hAnsi="宋体"/>
          <w:szCs w:val="21"/>
          <w:lang w:eastAsia="zh-CN"/>
        </w:rPr>
        <w:t>竞标</w:t>
      </w:r>
      <w:r>
        <w:rPr>
          <w:rFonts w:ascii="宋体" w:hAnsi="宋体"/>
          <w:szCs w:val="21"/>
        </w:rPr>
        <w:t>人须知前附表。</w:t>
      </w:r>
    </w:p>
    <w:p>
      <w:pPr>
        <w:keepNext w:val="0"/>
        <w:keepLines w:val="0"/>
        <w:pageBreakBefore w:val="0"/>
        <w:kinsoku/>
        <w:wordWrap/>
        <w:overflowPunct/>
        <w:topLinePunct w:val="0"/>
        <w:bidi w:val="0"/>
        <w:adjustRightInd w:val="0"/>
        <w:snapToGrid w:val="0"/>
        <w:spacing w:line="360" w:lineRule="auto"/>
        <w:ind w:firstLine="420" w:firstLineChars="200"/>
        <w:jc w:val="left"/>
        <w:textAlignment w:val="auto"/>
        <w:rPr>
          <w:rFonts w:ascii="宋体" w:hAnsi="宋体"/>
          <w:szCs w:val="21"/>
        </w:rPr>
      </w:pPr>
      <w:r>
        <w:rPr>
          <w:rFonts w:ascii="宋体" w:hAnsi="宋体"/>
          <w:szCs w:val="21"/>
        </w:rPr>
        <w:t>7.1.2</w:t>
      </w:r>
      <w:r>
        <w:rPr>
          <w:rFonts w:ascii="宋体" w:hAnsi="宋体"/>
          <w:bCs/>
          <w:szCs w:val="21"/>
        </w:rPr>
        <w:t>排名第一的中选候选人放弃中选、因不可抗力提出不能履行合同，或者在比选文件规定的时间内中选人不与比选人签订合同的，比选人可以确定在中选公示后无异议</w:t>
      </w:r>
      <w:r>
        <w:rPr>
          <w:rFonts w:ascii="宋体" w:hAnsi="宋体"/>
          <w:bCs/>
          <w:spacing w:val="-6"/>
          <w:szCs w:val="21"/>
        </w:rPr>
        <w:t>的排名第二的中选候选人为中选人。</w:t>
      </w:r>
    </w:p>
    <w:p>
      <w:pPr>
        <w:keepNext w:val="0"/>
        <w:keepLines w:val="0"/>
        <w:pageBreakBefore w:val="0"/>
        <w:kinsoku/>
        <w:wordWrap/>
        <w:overflowPunct/>
        <w:topLinePunct w:val="0"/>
        <w:bidi w:val="0"/>
        <w:adjustRightInd w:val="0"/>
        <w:snapToGrid w:val="0"/>
        <w:spacing w:line="360" w:lineRule="auto"/>
        <w:ind w:firstLine="420" w:firstLineChars="200"/>
        <w:jc w:val="left"/>
        <w:textAlignment w:val="auto"/>
        <w:rPr>
          <w:rFonts w:ascii="宋体" w:hAnsi="宋体"/>
          <w:szCs w:val="21"/>
        </w:rPr>
      </w:pPr>
      <w:r>
        <w:rPr>
          <w:rFonts w:ascii="宋体" w:hAnsi="宋体"/>
          <w:szCs w:val="21"/>
        </w:rPr>
        <w:t>7.1.3</w:t>
      </w:r>
      <w:r>
        <w:rPr>
          <w:rFonts w:ascii="宋体" w:hAnsi="宋体"/>
          <w:bCs/>
          <w:szCs w:val="21"/>
        </w:rPr>
        <w:t>排名第二的中选候选人因前款规定的同样原因不能签订合同的，比选人可以确定在中选公示后无异议的排名第三的中选候选人为中选人。排名第三的中选候选人因前款规定的同样原因不能签订合同的，比选人应当依法重新组织比选。</w:t>
      </w:r>
    </w:p>
    <w:p>
      <w:pPr>
        <w:keepNext w:val="0"/>
        <w:keepLines w:val="0"/>
        <w:pageBreakBefore w:val="0"/>
        <w:kinsoku/>
        <w:wordWrap/>
        <w:overflowPunct/>
        <w:topLinePunct w:val="0"/>
        <w:bidi w:val="0"/>
        <w:adjustRightInd w:val="0"/>
        <w:snapToGrid w:val="0"/>
        <w:spacing w:line="360" w:lineRule="auto"/>
        <w:ind w:firstLine="422" w:firstLineChars="200"/>
        <w:jc w:val="left"/>
        <w:textAlignment w:val="auto"/>
        <w:rPr>
          <w:rFonts w:ascii="宋体" w:hAnsi="宋体"/>
          <w:b/>
          <w:szCs w:val="21"/>
        </w:rPr>
      </w:pPr>
      <w:r>
        <w:rPr>
          <w:rFonts w:ascii="宋体" w:hAnsi="宋体"/>
          <w:b/>
          <w:szCs w:val="21"/>
        </w:rPr>
        <w:t>7.2中选通知</w:t>
      </w:r>
    </w:p>
    <w:p>
      <w:pPr>
        <w:keepNext w:val="0"/>
        <w:keepLines w:val="0"/>
        <w:pageBreakBefore w:val="0"/>
        <w:kinsoku/>
        <w:wordWrap/>
        <w:overflowPunct/>
        <w:topLinePunct w:val="0"/>
        <w:bidi w:val="0"/>
        <w:spacing w:line="360" w:lineRule="auto"/>
        <w:ind w:firstLine="420" w:firstLineChars="200"/>
        <w:jc w:val="left"/>
        <w:textAlignment w:val="auto"/>
        <w:rPr>
          <w:rFonts w:ascii="宋体" w:hAnsi="宋体"/>
          <w:szCs w:val="21"/>
        </w:rPr>
      </w:pPr>
      <w:r>
        <w:rPr>
          <w:rFonts w:hint="eastAsia" w:ascii="宋体" w:hAnsi="宋体"/>
          <w:szCs w:val="21"/>
        </w:rPr>
        <w:t>在本章第 3.3 款规定的</w:t>
      </w:r>
      <w:r>
        <w:rPr>
          <w:rFonts w:hint="eastAsia" w:ascii="宋体" w:hAnsi="宋体"/>
          <w:szCs w:val="21"/>
          <w:lang w:eastAsia="zh-CN"/>
        </w:rPr>
        <w:t>竞标</w:t>
      </w:r>
      <w:r>
        <w:rPr>
          <w:rFonts w:hint="eastAsia" w:ascii="宋体" w:hAnsi="宋体"/>
          <w:szCs w:val="21"/>
        </w:rPr>
        <w:t>有效期内，比选人以书面形式向中选人发出中选通知书，同时将中选结果通知未中选的</w:t>
      </w:r>
      <w:r>
        <w:rPr>
          <w:rFonts w:hint="eastAsia" w:ascii="宋体" w:hAnsi="宋体"/>
          <w:szCs w:val="21"/>
          <w:lang w:eastAsia="zh-CN"/>
        </w:rPr>
        <w:t>竞标</w:t>
      </w:r>
      <w:r>
        <w:rPr>
          <w:rFonts w:hint="eastAsia" w:ascii="宋体" w:hAnsi="宋体"/>
          <w:szCs w:val="21"/>
        </w:rPr>
        <w:t>人。</w:t>
      </w:r>
    </w:p>
    <w:p>
      <w:pPr>
        <w:keepNext w:val="0"/>
        <w:keepLines w:val="0"/>
        <w:pageBreakBefore w:val="0"/>
        <w:kinsoku/>
        <w:wordWrap/>
        <w:overflowPunct/>
        <w:topLinePunct w:val="0"/>
        <w:bidi w:val="0"/>
        <w:adjustRightInd w:val="0"/>
        <w:snapToGrid w:val="0"/>
        <w:spacing w:line="360" w:lineRule="auto"/>
        <w:ind w:firstLine="422" w:firstLineChars="200"/>
        <w:jc w:val="left"/>
        <w:textAlignment w:val="auto"/>
        <w:rPr>
          <w:rFonts w:ascii="宋体" w:hAnsi="宋体"/>
          <w:b/>
          <w:szCs w:val="21"/>
        </w:rPr>
      </w:pPr>
      <w:r>
        <w:rPr>
          <w:rFonts w:ascii="宋体" w:hAnsi="宋体"/>
          <w:b/>
          <w:szCs w:val="21"/>
        </w:rPr>
        <w:t>7.3履约担保</w:t>
      </w:r>
    </w:p>
    <w:p>
      <w:pPr>
        <w:keepNext w:val="0"/>
        <w:keepLines w:val="0"/>
        <w:pageBreakBefore w:val="0"/>
        <w:kinsoku/>
        <w:wordWrap/>
        <w:overflowPunct/>
        <w:topLinePunct w:val="0"/>
        <w:bidi w:val="0"/>
        <w:adjustRightInd w:val="0"/>
        <w:snapToGrid w:val="0"/>
        <w:spacing w:line="360" w:lineRule="auto"/>
        <w:ind w:firstLine="420" w:firstLineChars="200"/>
        <w:jc w:val="left"/>
        <w:textAlignment w:val="auto"/>
        <w:rPr>
          <w:rFonts w:ascii="宋体" w:hAnsi="宋体"/>
          <w:szCs w:val="21"/>
        </w:rPr>
      </w:pPr>
      <w:r>
        <w:rPr>
          <w:rFonts w:hint="eastAsia" w:ascii="宋体" w:hAnsi="宋体"/>
          <w:szCs w:val="21"/>
        </w:rPr>
        <w:t>设置。</w:t>
      </w:r>
    </w:p>
    <w:p>
      <w:pPr>
        <w:keepNext w:val="0"/>
        <w:keepLines w:val="0"/>
        <w:pageBreakBefore w:val="0"/>
        <w:kinsoku/>
        <w:wordWrap/>
        <w:overflowPunct/>
        <w:topLinePunct w:val="0"/>
        <w:bidi w:val="0"/>
        <w:adjustRightInd w:val="0"/>
        <w:snapToGrid w:val="0"/>
        <w:spacing w:line="360" w:lineRule="auto"/>
        <w:ind w:firstLine="422" w:firstLineChars="200"/>
        <w:jc w:val="left"/>
        <w:textAlignment w:val="auto"/>
        <w:rPr>
          <w:rFonts w:ascii="宋体" w:hAnsi="宋体"/>
          <w:b/>
          <w:szCs w:val="21"/>
        </w:rPr>
      </w:pPr>
      <w:r>
        <w:rPr>
          <w:rFonts w:ascii="宋体" w:hAnsi="宋体"/>
          <w:b/>
          <w:szCs w:val="21"/>
        </w:rPr>
        <w:t>7.4签订合同</w:t>
      </w:r>
    </w:p>
    <w:p>
      <w:pPr>
        <w:keepNext w:val="0"/>
        <w:keepLines w:val="0"/>
        <w:pageBreakBefore w:val="0"/>
        <w:kinsoku/>
        <w:wordWrap/>
        <w:overflowPunct/>
        <w:topLinePunct w:val="0"/>
        <w:bidi w:val="0"/>
        <w:adjustRightInd w:val="0"/>
        <w:snapToGrid w:val="0"/>
        <w:spacing w:line="360" w:lineRule="auto"/>
        <w:ind w:firstLine="420" w:firstLineChars="200"/>
        <w:jc w:val="left"/>
        <w:textAlignment w:val="auto"/>
        <w:rPr>
          <w:rFonts w:ascii="宋体" w:hAnsi="宋体"/>
          <w:szCs w:val="21"/>
        </w:rPr>
      </w:pPr>
      <w:r>
        <w:rPr>
          <w:rFonts w:ascii="宋体" w:hAnsi="宋体"/>
          <w:szCs w:val="21"/>
        </w:rPr>
        <w:t>7.4.1比选人和中选人应当自中选通知书发出之日起</w:t>
      </w:r>
      <w:r>
        <w:rPr>
          <w:rFonts w:hint="eastAsia" w:ascii="宋体" w:hAnsi="宋体"/>
          <w:szCs w:val="21"/>
        </w:rPr>
        <w:t>10</w:t>
      </w:r>
      <w:r>
        <w:rPr>
          <w:rFonts w:ascii="宋体" w:hAnsi="宋体"/>
          <w:szCs w:val="21"/>
        </w:rPr>
        <w:t>日内,根据比选文件和中选人的</w:t>
      </w:r>
      <w:r>
        <w:rPr>
          <w:rFonts w:hint="eastAsia" w:ascii="宋体" w:hAnsi="宋体"/>
          <w:szCs w:val="21"/>
          <w:lang w:eastAsia="zh-CN"/>
        </w:rPr>
        <w:t>竞标</w:t>
      </w:r>
      <w:r>
        <w:rPr>
          <w:rFonts w:ascii="宋体" w:hAnsi="宋体"/>
          <w:szCs w:val="21"/>
        </w:rPr>
        <w:t>文件订立书面合同。中选人无正当理由拒签合同的,比选人取消其中选资格,其</w:t>
      </w:r>
      <w:r>
        <w:rPr>
          <w:rFonts w:hint="eastAsia" w:ascii="宋体" w:hAnsi="宋体"/>
          <w:szCs w:val="21"/>
          <w:lang w:eastAsia="zh-CN"/>
        </w:rPr>
        <w:t>竞标</w:t>
      </w:r>
      <w:r>
        <w:rPr>
          <w:rFonts w:ascii="宋体" w:hAnsi="宋体"/>
          <w:szCs w:val="21"/>
        </w:rPr>
        <w:t>保证金不予退还；给比选人造成的损失超过</w:t>
      </w:r>
      <w:r>
        <w:rPr>
          <w:rFonts w:hint="eastAsia" w:ascii="宋体" w:hAnsi="宋体"/>
          <w:szCs w:val="21"/>
          <w:lang w:eastAsia="zh-CN"/>
        </w:rPr>
        <w:t>竞标</w:t>
      </w:r>
      <w:r>
        <w:rPr>
          <w:rFonts w:ascii="宋体" w:hAnsi="宋体"/>
          <w:szCs w:val="21"/>
        </w:rPr>
        <w:t>保证金数额的,中选人还应当对超过部分予以赔偿。</w:t>
      </w:r>
    </w:p>
    <w:p>
      <w:pPr>
        <w:keepNext w:val="0"/>
        <w:keepLines w:val="0"/>
        <w:pageBreakBefore w:val="0"/>
        <w:kinsoku/>
        <w:wordWrap/>
        <w:overflowPunct/>
        <w:topLinePunct w:val="0"/>
        <w:bidi w:val="0"/>
        <w:adjustRightInd w:val="0"/>
        <w:snapToGrid w:val="0"/>
        <w:spacing w:line="360" w:lineRule="auto"/>
        <w:ind w:firstLine="420" w:firstLineChars="200"/>
        <w:jc w:val="left"/>
        <w:textAlignment w:val="auto"/>
        <w:rPr>
          <w:rFonts w:ascii="宋体" w:hAnsi="宋体"/>
          <w:szCs w:val="21"/>
        </w:rPr>
      </w:pPr>
      <w:r>
        <w:rPr>
          <w:rFonts w:ascii="宋体" w:hAnsi="宋体"/>
          <w:szCs w:val="21"/>
        </w:rPr>
        <w:t>7.4.2发出中选通知书后,比选人无正当理由拒签合同的,比选人向中选人退还</w:t>
      </w:r>
      <w:r>
        <w:rPr>
          <w:rFonts w:hint="eastAsia" w:ascii="宋体" w:hAnsi="宋体"/>
          <w:szCs w:val="21"/>
          <w:lang w:eastAsia="zh-CN"/>
        </w:rPr>
        <w:t>竞标</w:t>
      </w:r>
      <w:r>
        <w:rPr>
          <w:rFonts w:ascii="宋体" w:hAnsi="宋体"/>
          <w:szCs w:val="21"/>
        </w:rPr>
        <w:t>保证金；给中选人造成损失的,还应当赔偿损失。</w:t>
      </w:r>
    </w:p>
    <w:p>
      <w:pPr>
        <w:keepNext w:val="0"/>
        <w:keepLines w:val="0"/>
        <w:pageBreakBefore w:val="0"/>
        <w:kinsoku/>
        <w:wordWrap/>
        <w:overflowPunct/>
        <w:topLinePunct w:val="0"/>
        <w:bidi w:val="0"/>
        <w:adjustRightInd w:val="0"/>
        <w:snapToGrid w:val="0"/>
        <w:spacing w:line="360" w:lineRule="auto"/>
        <w:jc w:val="left"/>
        <w:textAlignment w:val="auto"/>
        <w:rPr>
          <w:rFonts w:ascii="宋体" w:hAnsi="宋体"/>
          <w:b/>
          <w:sz w:val="28"/>
          <w:szCs w:val="28"/>
        </w:rPr>
      </w:pPr>
      <w:r>
        <w:rPr>
          <w:rFonts w:ascii="宋体" w:hAnsi="宋体"/>
          <w:b/>
          <w:sz w:val="28"/>
          <w:szCs w:val="28"/>
        </w:rPr>
        <w:t>8．重新比选和不再比选</w:t>
      </w:r>
    </w:p>
    <w:p>
      <w:pPr>
        <w:keepNext w:val="0"/>
        <w:keepLines w:val="0"/>
        <w:pageBreakBefore w:val="0"/>
        <w:kinsoku/>
        <w:wordWrap/>
        <w:overflowPunct/>
        <w:topLinePunct w:val="0"/>
        <w:bidi w:val="0"/>
        <w:adjustRightInd w:val="0"/>
        <w:snapToGrid w:val="0"/>
        <w:spacing w:line="360" w:lineRule="auto"/>
        <w:ind w:firstLine="422" w:firstLineChars="200"/>
        <w:jc w:val="left"/>
        <w:textAlignment w:val="auto"/>
        <w:rPr>
          <w:rFonts w:ascii="宋体" w:hAnsi="宋体"/>
          <w:b/>
          <w:szCs w:val="21"/>
        </w:rPr>
      </w:pPr>
      <w:r>
        <w:rPr>
          <w:rFonts w:ascii="宋体" w:hAnsi="宋体"/>
          <w:b/>
          <w:szCs w:val="21"/>
        </w:rPr>
        <w:t>8.1重新比选</w:t>
      </w:r>
    </w:p>
    <w:p>
      <w:pPr>
        <w:keepNext w:val="0"/>
        <w:keepLines w:val="0"/>
        <w:pageBreakBefore w:val="0"/>
        <w:kinsoku/>
        <w:wordWrap/>
        <w:overflowPunct/>
        <w:topLinePunct w:val="0"/>
        <w:bidi w:val="0"/>
        <w:adjustRightInd w:val="0"/>
        <w:snapToGrid w:val="0"/>
        <w:spacing w:line="360" w:lineRule="auto"/>
        <w:ind w:firstLine="420" w:firstLineChars="200"/>
        <w:jc w:val="left"/>
        <w:textAlignment w:val="auto"/>
        <w:rPr>
          <w:rFonts w:ascii="宋体" w:hAnsi="宋体"/>
          <w:szCs w:val="21"/>
        </w:rPr>
      </w:pPr>
      <w:r>
        <w:rPr>
          <w:rFonts w:ascii="宋体" w:hAnsi="宋体"/>
          <w:szCs w:val="21"/>
        </w:rPr>
        <w:t>有下列情形之一的,比选人将重新比选:</w:t>
      </w:r>
    </w:p>
    <w:p>
      <w:pPr>
        <w:keepNext w:val="0"/>
        <w:keepLines w:val="0"/>
        <w:pageBreakBefore w:val="0"/>
        <w:kinsoku/>
        <w:wordWrap/>
        <w:overflowPunct/>
        <w:topLinePunct w:val="0"/>
        <w:bidi w:val="0"/>
        <w:adjustRightInd w:val="0"/>
        <w:snapToGrid w:val="0"/>
        <w:spacing w:line="360" w:lineRule="auto"/>
        <w:ind w:firstLine="420" w:firstLineChars="200"/>
        <w:jc w:val="left"/>
        <w:textAlignment w:val="auto"/>
        <w:rPr>
          <w:rFonts w:ascii="宋体" w:hAnsi="宋体"/>
          <w:szCs w:val="21"/>
        </w:rPr>
      </w:pPr>
      <w:r>
        <w:rPr>
          <w:rFonts w:ascii="宋体" w:hAnsi="宋体"/>
          <w:szCs w:val="21"/>
        </w:rPr>
        <w:t>⑴</w:t>
      </w:r>
      <w:r>
        <w:rPr>
          <w:rFonts w:hint="eastAsia" w:ascii="宋体" w:hAnsi="宋体"/>
          <w:szCs w:val="21"/>
          <w:lang w:eastAsia="zh-CN"/>
        </w:rPr>
        <w:t>竞标</w:t>
      </w:r>
      <w:r>
        <w:rPr>
          <w:rFonts w:ascii="宋体" w:hAnsi="宋体"/>
          <w:szCs w:val="21"/>
        </w:rPr>
        <w:t>截止时间止,</w:t>
      </w:r>
      <w:r>
        <w:rPr>
          <w:rFonts w:hint="eastAsia" w:ascii="宋体" w:hAnsi="宋体"/>
          <w:szCs w:val="21"/>
          <w:lang w:eastAsia="zh-CN"/>
        </w:rPr>
        <w:t>竞标</w:t>
      </w:r>
      <w:r>
        <w:rPr>
          <w:rFonts w:ascii="宋体" w:hAnsi="宋体"/>
          <w:szCs w:val="21"/>
        </w:rPr>
        <w:t>人少于3家。</w:t>
      </w:r>
    </w:p>
    <w:p>
      <w:pPr>
        <w:keepNext w:val="0"/>
        <w:keepLines w:val="0"/>
        <w:pageBreakBefore w:val="0"/>
        <w:kinsoku/>
        <w:wordWrap/>
        <w:overflowPunct/>
        <w:topLinePunct w:val="0"/>
        <w:bidi w:val="0"/>
        <w:adjustRightInd w:val="0"/>
        <w:snapToGrid w:val="0"/>
        <w:spacing w:line="360" w:lineRule="auto"/>
        <w:ind w:firstLine="420" w:firstLineChars="200"/>
        <w:jc w:val="left"/>
        <w:textAlignment w:val="auto"/>
        <w:rPr>
          <w:rFonts w:ascii="宋体" w:hAnsi="宋体"/>
          <w:szCs w:val="21"/>
        </w:rPr>
      </w:pPr>
      <w:r>
        <w:rPr>
          <w:rFonts w:ascii="宋体" w:hAnsi="宋体"/>
          <w:szCs w:val="21"/>
        </w:rPr>
        <w:t>⑵经评标委员会评审后否决所有</w:t>
      </w:r>
      <w:r>
        <w:rPr>
          <w:rFonts w:hint="eastAsia" w:ascii="宋体" w:hAnsi="宋体"/>
          <w:szCs w:val="21"/>
          <w:lang w:eastAsia="zh-CN"/>
        </w:rPr>
        <w:t>竞标</w:t>
      </w:r>
      <w:r>
        <w:rPr>
          <w:rFonts w:ascii="宋体" w:hAnsi="宋体"/>
          <w:szCs w:val="21"/>
        </w:rPr>
        <w:t>的。</w:t>
      </w:r>
    </w:p>
    <w:p>
      <w:pPr>
        <w:keepNext w:val="0"/>
        <w:keepLines w:val="0"/>
        <w:pageBreakBefore w:val="0"/>
        <w:kinsoku/>
        <w:wordWrap/>
        <w:overflowPunct/>
        <w:topLinePunct w:val="0"/>
        <w:bidi w:val="0"/>
        <w:adjustRightInd w:val="0"/>
        <w:snapToGrid w:val="0"/>
        <w:spacing w:line="360" w:lineRule="auto"/>
        <w:ind w:firstLine="422" w:firstLineChars="200"/>
        <w:jc w:val="left"/>
        <w:textAlignment w:val="auto"/>
        <w:rPr>
          <w:rFonts w:ascii="宋体" w:hAnsi="宋体"/>
          <w:b/>
          <w:szCs w:val="21"/>
        </w:rPr>
      </w:pPr>
      <w:r>
        <w:rPr>
          <w:rFonts w:ascii="宋体" w:hAnsi="宋体"/>
          <w:b/>
          <w:szCs w:val="21"/>
        </w:rPr>
        <w:t>8.2不再比选</w:t>
      </w:r>
    </w:p>
    <w:p>
      <w:pPr>
        <w:keepNext w:val="0"/>
        <w:keepLines w:val="0"/>
        <w:pageBreakBefore w:val="0"/>
        <w:kinsoku/>
        <w:wordWrap/>
        <w:overflowPunct/>
        <w:topLinePunct w:val="0"/>
        <w:bidi w:val="0"/>
        <w:adjustRightInd w:val="0"/>
        <w:snapToGrid w:val="0"/>
        <w:spacing w:line="360" w:lineRule="auto"/>
        <w:ind w:firstLine="420" w:firstLineChars="200"/>
        <w:jc w:val="left"/>
        <w:textAlignment w:val="auto"/>
        <w:rPr>
          <w:rFonts w:ascii="宋体" w:hAnsi="宋体"/>
          <w:b/>
          <w:szCs w:val="21"/>
        </w:rPr>
      </w:pPr>
      <w:r>
        <w:rPr>
          <w:rFonts w:hint="eastAsia" w:ascii="宋体" w:hAnsi="宋体"/>
          <w:szCs w:val="21"/>
        </w:rPr>
        <w:t>重新比选后</w:t>
      </w:r>
      <w:r>
        <w:rPr>
          <w:rFonts w:hint="eastAsia" w:ascii="宋体" w:hAnsi="宋体"/>
          <w:szCs w:val="21"/>
          <w:lang w:eastAsia="zh-CN"/>
        </w:rPr>
        <w:t>竞标</w:t>
      </w:r>
      <w:r>
        <w:rPr>
          <w:rFonts w:hint="eastAsia" w:ascii="宋体" w:hAnsi="宋体"/>
          <w:szCs w:val="21"/>
        </w:rPr>
        <w:t>人仍少于3个，按法定程序开标和评标，确定中选人。经评审无合格</w:t>
      </w:r>
      <w:r>
        <w:rPr>
          <w:rFonts w:hint="eastAsia" w:ascii="宋体" w:hAnsi="宋体"/>
          <w:szCs w:val="21"/>
          <w:lang w:eastAsia="zh-CN"/>
        </w:rPr>
        <w:t>竞标</w:t>
      </w:r>
      <w:r>
        <w:rPr>
          <w:rFonts w:hint="eastAsia" w:ascii="宋体" w:hAnsi="宋体"/>
          <w:szCs w:val="21"/>
        </w:rPr>
        <w:t>人，属于必须审批或核准的工程建设项目，经原审批或核准部门批准后不再进行比选。</w:t>
      </w:r>
    </w:p>
    <w:p>
      <w:pPr>
        <w:keepNext w:val="0"/>
        <w:keepLines w:val="0"/>
        <w:pageBreakBefore w:val="0"/>
        <w:kinsoku/>
        <w:wordWrap/>
        <w:overflowPunct/>
        <w:topLinePunct w:val="0"/>
        <w:bidi w:val="0"/>
        <w:adjustRightInd w:val="0"/>
        <w:snapToGrid w:val="0"/>
        <w:spacing w:line="360" w:lineRule="auto"/>
        <w:jc w:val="left"/>
        <w:textAlignment w:val="auto"/>
        <w:rPr>
          <w:rFonts w:ascii="宋体" w:hAnsi="宋体"/>
          <w:b/>
          <w:sz w:val="28"/>
          <w:szCs w:val="28"/>
        </w:rPr>
      </w:pPr>
      <w:r>
        <w:rPr>
          <w:rFonts w:ascii="宋体" w:hAnsi="宋体"/>
          <w:b/>
          <w:sz w:val="28"/>
          <w:szCs w:val="28"/>
        </w:rPr>
        <w:t>9.纪律和监督</w:t>
      </w:r>
    </w:p>
    <w:p>
      <w:pPr>
        <w:keepNext w:val="0"/>
        <w:keepLines w:val="0"/>
        <w:pageBreakBefore w:val="0"/>
        <w:kinsoku/>
        <w:wordWrap/>
        <w:overflowPunct/>
        <w:topLinePunct w:val="0"/>
        <w:bidi w:val="0"/>
        <w:adjustRightInd w:val="0"/>
        <w:snapToGrid w:val="0"/>
        <w:spacing w:line="360" w:lineRule="auto"/>
        <w:ind w:firstLine="422" w:firstLineChars="200"/>
        <w:jc w:val="left"/>
        <w:textAlignment w:val="auto"/>
        <w:rPr>
          <w:rFonts w:ascii="宋体" w:hAnsi="宋体"/>
          <w:b/>
          <w:spacing w:val="-6"/>
          <w:szCs w:val="21"/>
        </w:rPr>
      </w:pPr>
      <w:r>
        <w:rPr>
          <w:rFonts w:ascii="宋体" w:hAnsi="宋体"/>
          <w:b/>
          <w:szCs w:val="21"/>
        </w:rPr>
        <w:t>9.1对比选人的纪律要求</w:t>
      </w:r>
    </w:p>
    <w:p>
      <w:pPr>
        <w:keepNext w:val="0"/>
        <w:keepLines w:val="0"/>
        <w:pageBreakBefore w:val="0"/>
        <w:kinsoku/>
        <w:wordWrap/>
        <w:overflowPunct/>
        <w:topLinePunct w:val="0"/>
        <w:bidi w:val="0"/>
        <w:adjustRightInd w:val="0"/>
        <w:snapToGrid w:val="0"/>
        <w:spacing w:line="360" w:lineRule="auto"/>
        <w:ind w:firstLine="396" w:firstLineChars="200"/>
        <w:jc w:val="left"/>
        <w:textAlignment w:val="auto"/>
        <w:rPr>
          <w:rFonts w:ascii="宋体" w:hAnsi="宋体"/>
          <w:spacing w:val="-6"/>
          <w:szCs w:val="21"/>
        </w:rPr>
      </w:pPr>
      <w:r>
        <w:rPr>
          <w:rFonts w:ascii="宋体" w:hAnsi="宋体"/>
          <w:spacing w:val="-6"/>
          <w:szCs w:val="21"/>
        </w:rPr>
        <w:t>比选人不得泄漏</w:t>
      </w:r>
      <w:r>
        <w:rPr>
          <w:rFonts w:hint="eastAsia" w:ascii="宋体" w:hAnsi="宋体"/>
          <w:spacing w:val="-6"/>
          <w:szCs w:val="21"/>
          <w:lang w:eastAsia="zh-CN"/>
        </w:rPr>
        <w:t>竞标</w:t>
      </w:r>
      <w:r>
        <w:rPr>
          <w:rFonts w:ascii="宋体" w:hAnsi="宋体"/>
          <w:spacing w:val="-6"/>
          <w:szCs w:val="21"/>
        </w:rPr>
        <w:t>活动中应当保密的情况和资料，不得与</w:t>
      </w:r>
      <w:r>
        <w:rPr>
          <w:rFonts w:hint="eastAsia" w:ascii="宋体" w:hAnsi="宋体"/>
          <w:spacing w:val="-6"/>
          <w:szCs w:val="21"/>
          <w:lang w:eastAsia="zh-CN"/>
        </w:rPr>
        <w:t>竞标</w:t>
      </w:r>
      <w:r>
        <w:rPr>
          <w:rFonts w:ascii="宋体" w:hAnsi="宋体"/>
          <w:spacing w:val="-6"/>
          <w:szCs w:val="21"/>
        </w:rPr>
        <w:t>人串通损害国家利益、社会公共利益或者他人合法权益。</w:t>
      </w:r>
    </w:p>
    <w:p>
      <w:pPr>
        <w:keepNext w:val="0"/>
        <w:keepLines w:val="0"/>
        <w:pageBreakBefore w:val="0"/>
        <w:kinsoku/>
        <w:wordWrap/>
        <w:overflowPunct/>
        <w:topLinePunct w:val="0"/>
        <w:bidi w:val="0"/>
        <w:adjustRightInd w:val="0"/>
        <w:snapToGrid w:val="0"/>
        <w:spacing w:line="360" w:lineRule="auto"/>
        <w:ind w:firstLine="422" w:firstLineChars="200"/>
        <w:jc w:val="left"/>
        <w:textAlignment w:val="auto"/>
        <w:rPr>
          <w:rFonts w:ascii="宋体" w:hAnsi="宋体"/>
          <w:b/>
          <w:szCs w:val="21"/>
        </w:rPr>
      </w:pPr>
      <w:r>
        <w:rPr>
          <w:rFonts w:ascii="宋体" w:hAnsi="宋体"/>
          <w:b/>
          <w:szCs w:val="21"/>
        </w:rPr>
        <w:t>9.2对</w:t>
      </w:r>
      <w:r>
        <w:rPr>
          <w:rFonts w:hint="eastAsia" w:ascii="宋体" w:hAnsi="宋体"/>
          <w:b/>
          <w:szCs w:val="21"/>
          <w:lang w:eastAsia="zh-CN"/>
        </w:rPr>
        <w:t>竞标</w:t>
      </w:r>
      <w:r>
        <w:rPr>
          <w:rFonts w:ascii="宋体" w:hAnsi="宋体"/>
          <w:b/>
          <w:szCs w:val="21"/>
        </w:rPr>
        <w:t>人的纪律要求</w:t>
      </w:r>
    </w:p>
    <w:p>
      <w:pPr>
        <w:keepNext w:val="0"/>
        <w:keepLines w:val="0"/>
        <w:pageBreakBefore w:val="0"/>
        <w:kinsoku/>
        <w:wordWrap/>
        <w:overflowPunct/>
        <w:topLinePunct w:val="0"/>
        <w:bidi w:val="0"/>
        <w:adjustRightInd w:val="0"/>
        <w:snapToGrid w:val="0"/>
        <w:spacing w:line="360" w:lineRule="auto"/>
        <w:ind w:firstLine="420" w:firstLineChars="200"/>
        <w:jc w:val="left"/>
        <w:textAlignment w:val="auto"/>
        <w:rPr>
          <w:rFonts w:ascii="宋体" w:hAnsi="宋体"/>
          <w:szCs w:val="21"/>
        </w:rPr>
      </w:pPr>
      <w:r>
        <w:rPr>
          <w:rFonts w:hint="eastAsia" w:ascii="宋体" w:hAnsi="宋体"/>
          <w:szCs w:val="21"/>
          <w:lang w:eastAsia="zh-CN"/>
        </w:rPr>
        <w:t>竞标</w:t>
      </w:r>
      <w:r>
        <w:rPr>
          <w:rFonts w:ascii="宋体" w:hAnsi="宋体"/>
          <w:szCs w:val="21"/>
        </w:rPr>
        <w:t>人不得相互串通</w:t>
      </w:r>
      <w:r>
        <w:rPr>
          <w:rFonts w:hint="eastAsia" w:ascii="宋体" w:hAnsi="宋体"/>
          <w:szCs w:val="21"/>
          <w:lang w:eastAsia="zh-CN"/>
        </w:rPr>
        <w:t>竞标</w:t>
      </w:r>
      <w:r>
        <w:rPr>
          <w:rFonts w:ascii="宋体" w:hAnsi="宋体"/>
          <w:szCs w:val="21"/>
        </w:rPr>
        <w:t>或者与比选人串通</w:t>
      </w:r>
      <w:r>
        <w:rPr>
          <w:rFonts w:hint="eastAsia" w:ascii="宋体" w:hAnsi="宋体"/>
          <w:szCs w:val="21"/>
          <w:lang w:eastAsia="zh-CN"/>
        </w:rPr>
        <w:t>竞标</w:t>
      </w:r>
      <w:r>
        <w:rPr>
          <w:rFonts w:ascii="宋体" w:hAnsi="宋体"/>
          <w:szCs w:val="21"/>
        </w:rPr>
        <w:t>,不得向比选人或者评标委员会成员行贿谋取中选,不得以他人名义</w:t>
      </w:r>
      <w:r>
        <w:rPr>
          <w:rFonts w:hint="eastAsia" w:ascii="宋体" w:hAnsi="宋体"/>
          <w:szCs w:val="21"/>
          <w:lang w:eastAsia="zh-CN"/>
        </w:rPr>
        <w:t>竞标</w:t>
      </w:r>
      <w:r>
        <w:rPr>
          <w:rFonts w:ascii="宋体" w:hAnsi="宋体"/>
          <w:szCs w:val="21"/>
        </w:rPr>
        <w:t>或者以其他方式弄虚作假骗取中选；</w:t>
      </w:r>
      <w:r>
        <w:rPr>
          <w:rFonts w:hint="eastAsia" w:ascii="宋体" w:hAnsi="宋体"/>
          <w:szCs w:val="21"/>
          <w:lang w:eastAsia="zh-CN"/>
        </w:rPr>
        <w:t>竞标</w:t>
      </w:r>
      <w:r>
        <w:rPr>
          <w:rFonts w:ascii="宋体" w:hAnsi="宋体"/>
          <w:szCs w:val="21"/>
        </w:rPr>
        <w:t>人不得以任何方式干扰、影响评标工作。</w:t>
      </w:r>
    </w:p>
    <w:p>
      <w:pPr>
        <w:keepNext w:val="0"/>
        <w:keepLines w:val="0"/>
        <w:pageBreakBefore w:val="0"/>
        <w:kinsoku/>
        <w:wordWrap/>
        <w:overflowPunct/>
        <w:topLinePunct w:val="0"/>
        <w:bidi w:val="0"/>
        <w:adjustRightInd w:val="0"/>
        <w:snapToGrid w:val="0"/>
        <w:spacing w:line="360" w:lineRule="auto"/>
        <w:ind w:firstLine="422" w:firstLineChars="200"/>
        <w:jc w:val="left"/>
        <w:textAlignment w:val="auto"/>
        <w:rPr>
          <w:rFonts w:ascii="宋体" w:hAnsi="宋体"/>
          <w:b/>
          <w:szCs w:val="21"/>
        </w:rPr>
      </w:pPr>
      <w:r>
        <w:rPr>
          <w:rFonts w:ascii="宋体" w:hAnsi="宋体"/>
          <w:b/>
          <w:szCs w:val="21"/>
        </w:rPr>
        <w:t>9.3对评标委员会成员的纪律要求</w:t>
      </w:r>
    </w:p>
    <w:p>
      <w:pPr>
        <w:keepNext w:val="0"/>
        <w:keepLines w:val="0"/>
        <w:pageBreakBefore w:val="0"/>
        <w:kinsoku/>
        <w:wordWrap/>
        <w:overflowPunct/>
        <w:topLinePunct w:val="0"/>
        <w:bidi w:val="0"/>
        <w:adjustRightInd w:val="0"/>
        <w:snapToGrid w:val="0"/>
        <w:spacing w:line="360" w:lineRule="auto"/>
        <w:ind w:firstLine="396" w:firstLineChars="200"/>
        <w:jc w:val="left"/>
        <w:textAlignment w:val="auto"/>
        <w:rPr>
          <w:rFonts w:ascii="宋体" w:hAnsi="宋体"/>
          <w:spacing w:val="-6"/>
          <w:szCs w:val="21"/>
        </w:rPr>
      </w:pPr>
      <w:r>
        <w:rPr>
          <w:rFonts w:ascii="宋体" w:hAnsi="宋体"/>
          <w:spacing w:val="-6"/>
          <w:szCs w:val="21"/>
        </w:rPr>
        <w:t>评标委员会成员不得收受他人的财物或者其他好处，不得向他人透漏对</w:t>
      </w:r>
      <w:r>
        <w:rPr>
          <w:rFonts w:hint="eastAsia" w:ascii="宋体" w:hAnsi="宋体"/>
          <w:spacing w:val="-6"/>
          <w:szCs w:val="21"/>
          <w:lang w:eastAsia="zh-CN"/>
        </w:rPr>
        <w:t>竞标</w:t>
      </w:r>
      <w:r>
        <w:rPr>
          <w:rFonts w:ascii="宋体" w:hAnsi="宋体"/>
          <w:spacing w:val="-6"/>
          <w:szCs w:val="21"/>
        </w:rPr>
        <w:t>文件的评审和比较、中选候选人的推荐情况以及评标有关的其他情况。在评标活动中，评标委员会成员不得擅离职守，影响评标程序正常进行，不得使用第三章“评标办法”中没有规定的评审因素和标准进行评标。</w:t>
      </w:r>
    </w:p>
    <w:p>
      <w:pPr>
        <w:keepNext w:val="0"/>
        <w:keepLines w:val="0"/>
        <w:pageBreakBefore w:val="0"/>
        <w:kinsoku/>
        <w:wordWrap/>
        <w:overflowPunct/>
        <w:topLinePunct w:val="0"/>
        <w:bidi w:val="0"/>
        <w:adjustRightInd w:val="0"/>
        <w:snapToGrid w:val="0"/>
        <w:spacing w:line="360" w:lineRule="auto"/>
        <w:ind w:firstLine="422" w:firstLineChars="200"/>
        <w:jc w:val="left"/>
        <w:textAlignment w:val="auto"/>
        <w:rPr>
          <w:rFonts w:ascii="宋体" w:hAnsi="宋体"/>
          <w:b/>
          <w:szCs w:val="21"/>
        </w:rPr>
      </w:pPr>
      <w:r>
        <w:rPr>
          <w:rFonts w:ascii="宋体" w:hAnsi="宋体"/>
          <w:b/>
          <w:szCs w:val="21"/>
        </w:rPr>
        <w:t>9.4对与评标活动有关的工作人员的纪律要求</w:t>
      </w:r>
    </w:p>
    <w:p>
      <w:pPr>
        <w:keepNext w:val="0"/>
        <w:keepLines w:val="0"/>
        <w:pageBreakBefore w:val="0"/>
        <w:kinsoku/>
        <w:wordWrap/>
        <w:overflowPunct/>
        <w:topLinePunct w:val="0"/>
        <w:bidi w:val="0"/>
        <w:adjustRightInd w:val="0"/>
        <w:snapToGrid w:val="0"/>
        <w:spacing w:line="360" w:lineRule="auto"/>
        <w:ind w:firstLine="420" w:firstLineChars="200"/>
        <w:jc w:val="left"/>
        <w:textAlignment w:val="auto"/>
        <w:rPr>
          <w:rFonts w:ascii="宋体" w:hAnsi="宋体"/>
          <w:szCs w:val="21"/>
        </w:rPr>
      </w:pPr>
      <w:r>
        <w:rPr>
          <w:rFonts w:ascii="宋体" w:hAnsi="宋体"/>
          <w:szCs w:val="21"/>
        </w:rPr>
        <w:t>与评标活动有关的工作人员不得收受他人的财物或者其他好处,不得向他人透漏对</w:t>
      </w:r>
      <w:r>
        <w:rPr>
          <w:rFonts w:hint="eastAsia" w:ascii="宋体" w:hAnsi="宋体"/>
          <w:szCs w:val="21"/>
          <w:lang w:eastAsia="zh-CN"/>
        </w:rPr>
        <w:t>竞标</w:t>
      </w:r>
      <w:r>
        <w:rPr>
          <w:rFonts w:ascii="宋体" w:hAnsi="宋体"/>
          <w:szCs w:val="21"/>
        </w:rPr>
        <w:t>文件的评审和比较</w:t>
      </w:r>
      <w:r>
        <w:rPr>
          <w:rFonts w:ascii="宋体" w:hAnsi="宋体"/>
          <w:spacing w:val="-6"/>
          <w:szCs w:val="21"/>
        </w:rPr>
        <w:t>、中选候选人的推荐情况以及评标有关的其他情况。在评标活动中，评标委员会成员与评标有关的工作人员不得擅离职守，影响评标程序正常进行。</w:t>
      </w:r>
    </w:p>
    <w:p>
      <w:pPr>
        <w:keepNext w:val="0"/>
        <w:keepLines w:val="0"/>
        <w:pageBreakBefore w:val="0"/>
        <w:kinsoku/>
        <w:wordWrap/>
        <w:overflowPunct/>
        <w:topLinePunct w:val="0"/>
        <w:bidi w:val="0"/>
        <w:adjustRightInd w:val="0"/>
        <w:snapToGrid w:val="0"/>
        <w:spacing w:line="360" w:lineRule="auto"/>
        <w:ind w:firstLine="422" w:firstLineChars="200"/>
        <w:jc w:val="left"/>
        <w:textAlignment w:val="auto"/>
        <w:rPr>
          <w:rFonts w:ascii="宋体" w:hAnsi="宋体"/>
          <w:b/>
          <w:szCs w:val="21"/>
        </w:rPr>
      </w:pPr>
      <w:r>
        <w:rPr>
          <w:rFonts w:ascii="宋体" w:hAnsi="宋体"/>
          <w:b/>
          <w:szCs w:val="21"/>
        </w:rPr>
        <w:t>9.5投诉</w:t>
      </w:r>
    </w:p>
    <w:p>
      <w:pPr>
        <w:keepNext w:val="0"/>
        <w:keepLines w:val="0"/>
        <w:pageBreakBefore w:val="0"/>
        <w:kinsoku/>
        <w:wordWrap/>
        <w:overflowPunct/>
        <w:topLinePunct w:val="0"/>
        <w:bidi w:val="0"/>
        <w:adjustRightInd w:val="0"/>
        <w:snapToGrid w:val="0"/>
        <w:spacing w:line="360" w:lineRule="auto"/>
        <w:ind w:firstLine="420" w:firstLineChars="200"/>
        <w:jc w:val="left"/>
        <w:textAlignment w:val="auto"/>
        <w:rPr>
          <w:rFonts w:ascii="宋体" w:hAnsi="宋体"/>
          <w:szCs w:val="21"/>
        </w:rPr>
      </w:pPr>
      <w:r>
        <w:rPr>
          <w:rFonts w:hint="eastAsia" w:ascii="宋体" w:hAnsi="宋体"/>
          <w:szCs w:val="21"/>
          <w:lang w:eastAsia="zh-CN"/>
        </w:rPr>
        <w:t>竞标</w:t>
      </w:r>
      <w:r>
        <w:rPr>
          <w:rFonts w:ascii="宋体" w:hAnsi="宋体"/>
          <w:szCs w:val="21"/>
        </w:rPr>
        <w:t>人和其他利害关系人认为本次比选活动违反法律、法规和规章规定的,有权向有关行政监督部门投诉。</w:t>
      </w:r>
    </w:p>
    <w:p>
      <w:pPr>
        <w:keepNext w:val="0"/>
        <w:keepLines w:val="0"/>
        <w:pageBreakBefore w:val="0"/>
        <w:kinsoku/>
        <w:wordWrap/>
        <w:overflowPunct/>
        <w:topLinePunct w:val="0"/>
        <w:bidi w:val="0"/>
        <w:adjustRightInd w:val="0"/>
        <w:snapToGrid w:val="0"/>
        <w:spacing w:line="360" w:lineRule="auto"/>
        <w:jc w:val="left"/>
        <w:textAlignment w:val="auto"/>
        <w:rPr>
          <w:rFonts w:ascii="宋体" w:hAnsi="宋体"/>
          <w:b/>
          <w:sz w:val="24"/>
        </w:rPr>
      </w:pPr>
      <w:r>
        <w:rPr>
          <w:rFonts w:hint="eastAsia" w:ascii="宋体" w:hAnsi="宋体"/>
          <w:b/>
          <w:sz w:val="24"/>
        </w:rPr>
        <w:t>10.需要补充的其他内容</w:t>
      </w:r>
    </w:p>
    <w:p>
      <w:pPr>
        <w:keepNext w:val="0"/>
        <w:keepLines w:val="0"/>
        <w:pageBreakBefore w:val="0"/>
        <w:kinsoku/>
        <w:wordWrap/>
        <w:overflowPunct/>
        <w:topLinePunct w:val="0"/>
        <w:bidi w:val="0"/>
        <w:adjustRightInd w:val="0"/>
        <w:snapToGrid w:val="0"/>
        <w:spacing w:line="360" w:lineRule="auto"/>
        <w:ind w:firstLine="420" w:firstLineChars="200"/>
        <w:jc w:val="left"/>
        <w:textAlignment w:val="auto"/>
        <w:rPr>
          <w:rFonts w:ascii="宋体" w:hAnsi="宋体"/>
          <w:sz w:val="24"/>
        </w:rPr>
      </w:pPr>
      <w:r>
        <w:rPr>
          <w:rFonts w:hint="eastAsia" w:ascii="宋体" w:hAnsi="宋体"/>
          <w:szCs w:val="21"/>
        </w:rPr>
        <w:t>见前附表</w:t>
      </w:r>
      <w:r>
        <w:rPr>
          <w:rFonts w:hint="eastAsia" w:ascii="宋体" w:hAnsi="宋体"/>
          <w:sz w:val="24"/>
        </w:rPr>
        <w:t>。</w:t>
      </w:r>
    </w:p>
    <w:p>
      <w:pPr>
        <w:keepNext w:val="0"/>
        <w:keepLines w:val="0"/>
        <w:pageBreakBefore w:val="0"/>
        <w:kinsoku/>
        <w:wordWrap/>
        <w:overflowPunct/>
        <w:topLinePunct w:val="0"/>
        <w:autoSpaceDE w:val="0"/>
        <w:autoSpaceDN w:val="0"/>
        <w:bidi w:val="0"/>
        <w:adjustRightInd w:val="0"/>
        <w:snapToGrid w:val="0"/>
        <w:spacing w:line="360" w:lineRule="auto"/>
        <w:ind w:firstLine="420" w:firstLineChars="200"/>
        <w:textAlignment w:val="auto"/>
        <w:rPr>
          <w:rFonts w:ascii="宋体" w:hAnsi="宋体"/>
          <w:snapToGrid w:val="0"/>
          <w:kern w:val="0"/>
          <w:szCs w:val="21"/>
        </w:rPr>
        <w:sectPr>
          <w:footerReference r:id="rId5" w:type="default"/>
          <w:footerReference r:id="rId6" w:type="even"/>
          <w:pgSz w:w="11906" w:h="16838"/>
          <w:pgMar w:top="1304" w:right="1134" w:bottom="1304" w:left="1304" w:header="851" w:footer="992" w:gutter="0"/>
          <w:cols w:space="720" w:num="1"/>
          <w:docGrid w:type="lines" w:linePitch="312" w:charSpace="0"/>
        </w:sectPr>
      </w:pPr>
    </w:p>
    <w:p>
      <w:pPr>
        <w:pStyle w:val="3"/>
        <w:spacing w:line="360" w:lineRule="auto"/>
        <w:jc w:val="center"/>
        <w:rPr>
          <w:rFonts w:ascii="宋体" w:hAnsi="宋体"/>
          <w:snapToGrid w:val="0"/>
          <w:kern w:val="0"/>
        </w:rPr>
      </w:pPr>
      <w:bookmarkStart w:id="147" w:name="_Toc26701"/>
      <w:bookmarkStart w:id="148" w:name="_Toc4559"/>
      <w:bookmarkStart w:id="149" w:name="_Toc11142"/>
      <w:bookmarkStart w:id="150" w:name="_Toc17860"/>
      <w:bookmarkStart w:id="151" w:name="_Toc24841"/>
      <w:r>
        <w:rPr>
          <w:rFonts w:ascii="宋体" w:hAnsi="宋体"/>
          <w:snapToGrid w:val="0"/>
          <w:kern w:val="0"/>
        </w:rPr>
        <w:t xml:space="preserve">第三章 </w:t>
      </w:r>
      <w:r>
        <w:rPr>
          <w:rFonts w:hint="eastAsia" w:ascii="宋体" w:hAnsi="宋体"/>
          <w:snapToGrid w:val="0"/>
          <w:kern w:val="0"/>
        </w:rPr>
        <w:t xml:space="preserve"> </w:t>
      </w:r>
      <w:r>
        <w:rPr>
          <w:rFonts w:ascii="宋体" w:hAnsi="宋体"/>
          <w:snapToGrid w:val="0"/>
          <w:kern w:val="0"/>
        </w:rPr>
        <w:t>评标办法（</w:t>
      </w:r>
      <w:r>
        <w:rPr>
          <w:rFonts w:hint="eastAsia" w:ascii="宋体" w:hAnsi="宋体"/>
          <w:snapToGrid w:val="0"/>
          <w:kern w:val="0"/>
        </w:rPr>
        <w:t>综合评估法</w:t>
      </w:r>
      <w:r>
        <w:rPr>
          <w:rFonts w:ascii="宋体" w:hAnsi="宋体"/>
          <w:snapToGrid w:val="0"/>
          <w:kern w:val="0"/>
        </w:rPr>
        <w:t>）</w:t>
      </w:r>
      <w:bookmarkEnd w:id="147"/>
      <w:bookmarkEnd w:id="148"/>
      <w:bookmarkEnd w:id="149"/>
      <w:bookmarkEnd w:id="150"/>
      <w:bookmarkEnd w:id="151"/>
    </w:p>
    <w:p>
      <w:pPr>
        <w:keepNext/>
        <w:keepLines/>
        <w:spacing w:before="100" w:after="100" w:line="360" w:lineRule="auto"/>
        <w:outlineLvl w:val="1"/>
        <w:rPr>
          <w:rFonts w:ascii="宋体" w:hAnsi="宋体"/>
          <w:b/>
          <w:sz w:val="32"/>
          <w:szCs w:val="32"/>
        </w:rPr>
      </w:pPr>
      <w:bookmarkStart w:id="152" w:name="_Toc13733"/>
      <w:bookmarkStart w:id="153" w:name="_Toc17229"/>
      <w:bookmarkStart w:id="154" w:name="_Toc9130"/>
      <w:bookmarkStart w:id="155" w:name="_Toc26773"/>
      <w:bookmarkStart w:id="156" w:name="_Toc2652"/>
      <w:r>
        <w:rPr>
          <w:rFonts w:hint="eastAsia" w:ascii="宋体" w:hAnsi="宋体"/>
          <w:b/>
          <w:sz w:val="32"/>
          <w:szCs w:val="32"/>
        </w:rPr>
        <w:t>评标办法前附表</w:t>
      </w:r>
      <w:bookmarkEnd w:id="152"/>
      <w:bookmarkEnd w:id="153"/>
      <w:bookmarkEnd w:id="154"/>
      <w:bookmarkEnd w:id="155"/>
      <w:bookmarkEnd w:id="156"/>
    </w:p>
    <w:p>
      <w:pPr>
        <w:spacing w:line="400" w:lineRule="exact"/>
        <w:ind w:firstLine="427" w:firstLineChars="196"/>
        <w:rPr>
          <w:rFonts w:ascii="宋体" w:hAnsi="宋体"/>
          <w:spacing w:val="4"/>
          <w:kern w:val="0"/>
          <w:szCs w:val="21"/>
        </w:rPr>
      </w:pPr>
      <w:bookmarkStart w:id="157" w:name="_Toc13210726"/>
      <w:r>
        <w:rPr>
          <w:rFonts w:ascii="宋体" w:hAnsi="宋体"/>
          <w:spacing w:val="4"/>
          <w:kern w:val="0"/>
          <w:szCs w:val="21"/>
        </w:rPr>
        <w:t>评标办法中的评审内容必须和</w:t>
      </w:r>
      <w:r>
        <w:rPr>
          <w:rFonts w:hint="eastAsia" w:ascii="宋体" w:hAnsi="宋体"/>
          <w:spacing w:val="4"/>
          <w:kern w:val="0"/>
          <w:szCs w:val="21"/>
          <w:lang w:eastAsia="zh-CN"/>
        </w:rPr>
        <w:t>竞标</w:t>
      </w:r>
      <w:r>
        <w:rPr>
          <w:rFonts w:ascii="宋体" w:hAnsi="宋体"/>
          <w:spacing w:val="4"/>
          <w:kern w:val="0"/>
          <w:szCs w:val="21"/>
        </w:rPr>
        <w:t>人须知中的对应内容一致，若</w:t>
      </w:r>
      <w:r>
        <w:rPr>
          <w:rFonts w:hint="eastAsia" w:ascii="宋体" w:hAnsi="宋体"/>
          <w:spacing w:val="4"/>
          <w:kern w:val="0"/>
          <w:szCs w:val="21"/>
          <w:lang w:eastAsia="zh-CN"/>
        </w:rPr>
        <w:t>竞标</w:t>
      </w:r>
      <w:r>
        <w:rPr>
          <w:rFonts w:ascii="宋体" w:hAnsi="宋体"/>
          <w:spacing w:val="4"/>
          <w:kern w:val="0"/>
          <w:szCs w:val="21"/>
        </w:rPr>
        <w:t>人须知中未作要求的内容，不得列入评标办法作为评定依据。</w:t>
      </w:r>
      <w:bookmarkEnd w:id="157"/>
    </w:p>
    <w:tbl>
      <w:tblPr>
        <w:tblStyle w:val="45"/>
        <w:tblW w:w="9470"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
      <w:tblGrid>
        <w:gridCol w:w="833"/>
        <w:gridCol w:w="18"/>
        <w:gridCol w:w="567"/>
        <w:gridCol w:w="568"/>
        <w:gridCol w:w="403"/>
        <w:gridCol w:w="575"/>
        <w:gridCol w:w="1013"/>
        <w:gridCol w:w="5493"/>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PrEx>
        <w:trPr>
          <w:jc w:val="center"/>
        </w:trPr>
        <w:tc>
          <w:tcPr>
            <w:tcW w:w="1418" w:type="dxa"/>
            <w:gridSpan w:val="3"/>
            <w:vAlign w:val="center"/>
          </w:tcPr>
          <w:p>
            <w:pPr>
              <w:keepNext w:val="0"/>
              <w:keepLines w:val="0"/>
              <w:pageBreakBefore w:val="0"/>
              <w:widowControl w:val="0"/>
              <w:kinsoku/>
              <w:wordWrap/>
              <w:overflowPunct/>
              <w:topLinePunct w:val="0"/>
              <w:bidi w:val="0"/>
              <w:spacing w:line="400" w:lineRule="exact"/>
              <w:jc w:val="center"/>
              <w:textAlignment w:val="auto"/>
              <w:rPr>
                <w:rFonts w:ascii="宋体" w:hAnsi="宋体"/>
                <w:b/>
                <w:kern w:val="0"/>
              </w:rPr>
            </w:pPr>
            <w:r>
              <w:rPr>
                <w:rFonts w:ascii="宋体" w:hAnsi="宋体"/>
                <w:b/>
                <w:kern w:val="0"/>
              </w:rPr>
              <w:t>条款号</w:t>
            </w:r>
          </w:p>
        </w:tc>
        <w:tc>
          <w:tcPr>
            <w:tcW w:w="2559" w:type="dxa"/>
            <w:gridSpan w:val="4"/>
            <w:vAlign w:val="center"/>
          </w:tcPr>
          <w:p>
            <w:pPr>
              <w:keepNext w:val="0"/>
              <w:keepLines w:val="0"/>
              <w:pageBreakBefore w:val="0"/>
              <w:widowControl w:val="0"/>
              <w:kinsoku/>
              <w:wordWrap/>
              <w:overflowPunct/>
              <w:topLinePunct w:val="0"/>
              <w:bidi w:val="0"/>
              <w:spacing w:line="400" w:lineRule="exact"/>
              <w:jc w:val="center"/>
              <w:textAlignment w:val="auto"/>
              <w:rPr>
                <w:rFonts w:ascii="宋体" w:hAnsi="宋体"/>
                <w:b/>
                <w:kern w:val="0"/>
              </w:rPr>
            </w:pPr>
            <w:r>
              <w:rPr>
                <w:rFonts w:ascii="宋体" w:hAnsi="宋体"/>
                <w:b/>
                <w:kern w:val="0"/>
              </w:rPr>
              <w:t>评审因素</w:t>
            </w:r>
          </w:p>
        </w:tc>
        <w:tc>
          <w:tcPr>
            <w:tcW w:w="5493" w:type="dxa"/>
            <w:vAlign w:val="center"/>
          </w:tcPr>
          <w:p>
            <w:pPr>
              <w:keepNext w:val="0"/>
              <w:keepLines w:val="0"/>
              <w:pageBreakBefore w:val="0"/>
              <w:widowControl w:val="0"/>
              <w:kinsoku/>
              <w:wordWrap/>
              <w:overflowPunct/>
              <w:topLinePunct w:val="0"/>
              <w:bidi w:val="0"/>
              <w:spacing w:line="400" w:lineRule="exact"/>
              <w:jc w:val="center"/>
              <w:textAlignment w:val="auto"/>
              <w:rPr>
                <w:rFonts w:ascii="宋体" w:hAnsi="宋体"/>
                <w:b/>
                <w:kern w:val="0"/>
              </w:rPr>
            </w:pPr>
            <w:r>
              <w:rPr>
                <w:rFonts w:ascii="宋体" w:hAnsi="宋体"/>
                <w:b/>
                <w:kern w:val="0"/>
              </w:rPr>
              <w:t>评审标准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418" w:type="dxa"/>
            <w:gridSpan w:val="3"/>
            <w:vAlign w:val="center"/>
          </w:tcPr>
          <w:p>
            <w:pPr>
              <w:keepNext w:val="0"/>
              <w:keepLines w:val="0"/>
              <w:pageBreakBefore w:val="0"/>
              <w:widowControl w:val="0"/>
              <w:kinsoku/>
              <w:wordWrap/>
              <w:overflowPunct/>
              <w:topLinePunct w:val="0"/>
              <w:bidi w:val="0"/>
              <w:spacing w:line="400" w:lineRule="exact"/>
              <w:jc w:val="center"/>
              <w:textAlignment w:val="auto"/>
              <w:rPr>
                <w:rFonts w:ascii="宋体" w:hAnsi="宋体"/>
                <w:kern w:val="0"/>
              </w:rPr>
            </w:pPr>
            <w:r>
              <w:rPr>
                <w:rFonts w:hint="eastAsia" w:ascii="宋体" w:hAnsi="宋体"/>
                <w:kern w:val="0"/>
              </w:rPr>
              <w:t>1</w:t>
            </w:r>
          </w:p>
        </w:tc>
        <w:tc>
          <w:tcPr>
            <w:tcW w:w="2559" w:type="dxa"/>
            <w:gridSpan w:val="4"/>
            <w:vAlign w:val="center"/>
          </w:tcPr>
          <w:p>
            <w:pPr>
              <w:keepNext w:val="0"/>
              <w:keepLines w:val="0"/>
              <w:pageBreakBefore w:val="0"/>
              <w:widowControl w:val="0"/>
              <w:kinsoku/>
              <w:wordWrap/>
              <w:overflowPunct/>
              <w:topLinePunct w:val="0"/>
              <w:bidi w:val="0"/>
              <w:spacing w:line="400" w:lineRule="exact"/>
              <w:jc w:val="center"/>
              <w:textAlignment w:val="auto"/>
              <w:rPr>
                <w:rFonts w:ascii="宋体" w:hAnsi="宋体"/>
                <w:kern w:val="0"/>
              </w:rPr>
            </w:pPr>
            <w:r>
              <w:rPr>
                <w:rFonts w:ascii="宋体" w:hAnsi="宋体"/>
                <w:kern w:val="0"/>
              </w:rPr>
              <w:t>评标办法</w:t>
            </w:r>
          </w:p>
        </w:tc>
        <w:tc>
          <w:tcPr>
            <w:tcW w:w="5493" w:type="dxa"/>
            <w:vAlign w:val="center"/>
          </w:tcPr>
          <w:p>
            <w:pPr>
              <w:keepNext w:val="0"/>
              <w:keepLines w:val="0"/>
              <w:pageBreakBefore w:val="0"/>
              <w:widowControl w:val="0"/>
              <w:kinsoku/>
              <w:wordWrap/>
              <w:overflowPunct/>
              <w:topLinePunct w:val="0"/>
              <w:bidi w:val="0"/>
              <w:spacing w:line="400" w:lineRule="exact"/>
              <w:ind w:firstLine="420" w:firstLineChars="200"/>
              <w:jc w:val="left"/>
              <w:textAlignment w:val="auto"/>
              <w:rPr>
                <w:rFonts w:ascii="宋体" w:hAnsi="宋体"/>
                <w:kern w:val="0"/>
              </w:rPr>
            </w:pPr>
            <w:r>
              <w:rPr>
                <w:rFonts w:ascii="宋体" w:hAnsi="宋体"/>
                <w:kern w:val="0"/>
                <w:szCs w:val="21"/>
              </w:rPr>
              <w:t>本次评标采用综合评估法</w:t>
            </w:r>
            <w:r>
              <w:rPr>
                <w:rFonts w:ascii="宋体" w:hAnsi="宋体"/>
                <w:spacing w:val="-47"/>
                <w:kern w:val="0"/>
                <w:szCs w:val="21"/>
              </w:rPr>
              <w:t>。</w:t>
            </w:r>
            <w:r>
              <w:rPr>
                <w:rFonts w:ascii="宋体" w:hAnsi="宋体"/>
                <w:kern w:val="0"/>
                <w:szCs w:val="21"/>
              </w:rPr>
              <w:t xml:space="preserve">评标委员会按照本章第 </w:t>
            </w:r>
            <w:r>
              <w:rPr>
                <w:rFonts w:ascii="宋体" w:hAnsi="宋体"/>
                <w:spacing w:val="1"/>
                <w:kern w:val="0"/>
                <w:szCs w:val="21"/>
              </w:rPr>
              <w:t>2</w:t>
            </w:r>
            <w:r>
              <w:rPr>
                <w:rFonts w:ascii="宋体" w:hAnsi="宋体"/>
                <w:spacing w:val="-1"/>
                <w:kern w:val="0"/>
                <w:szCs w:val="21"/>
              </w:rPr>
              <w:t>.</w:t>
            </w:r>
            <w:r>
              <w:rPr>
                <w:rFonts w:ascii="宋体" w:hAnsi="宋体"/>
                <w:kern w:val="0"/>
                <w:szCs w:val="21"/>
              </w:rPr>
              <w:t>2</w:t>
            </w:r>
            <w:r>
              <w:rPr>
                <w:rFonts w:ascii="宋体" w:hAnsi="宋体"/>
                <w:spacing w:val="1"/>
                <w:kern w:val="0"/>
                <w:szCs w:val="21"/>
              </w:rPr>
              <w:t xml:space="preserve"> </w:t>
            </w:r>
            <w:r>
              <w:rPr>
                <w:rFonts w:ascii="宋体" w:hAnsi="宋体"/>
                <w:kern w:val="0"/>
                <w:szCs w:val="21"/>
              </w:rPr>
              <w:t>款</w:t>
            </w:r>
            <w:r>
              <w:rPr>
                <w:rFonts w:ascii="宋体" w:hAnsi="宋体"/>
                <w:spacing w:val="-1"/>
                <w:kern w:val="0"/>
                <w:szCs w:val="21"/>
              </w:rPr>
              <w:t>规</w:t>
            </w:r>
            <w:r>
              <w:rPr>
                <w:rFonts w:ascii="宋体" w:hAnsi="宋体"/>
                <w:kern w:val="0"/>
                <w:szCs w:val="21"/>
              </w:rPr>
              <w:t>定的评分标准进行打分，按得分由高到低顺序推荐中标候选人</w:t>
            </w:r>
            <w:r>
              <w:rPr>
                <w:rFonts w:ascii="宋体" w:hAnsi="宋体"/>
                <w:spacing w:val="-31"/>
                <w:kern w:val="0"/>
                <w:szCs w:val="21"/>
              </w:rPr>
              <w:t>。</w:t>
            </w:r>
            <w:r>
              <w:rPr>
                <w:rFonts w:ascii="宋体" w:hAnsi="宋体"/>
                <w:kern w:val="0"/>
                <w:szCs w:val="21"/>
              </w:rPr>
              <w:t>综合评分相等时</w:t>
            </w:r>
            <w:r>
              <w:rPr>
                <w:rFonts w:ascii="宋体" w:hAnsi="宋体"/>
                <w:spacing w:val="-31"/>
                <w:kern w:val="0"/>
                <w:szCs w:val="21"/>
              </w:rPr>
              <w:t>，</w:t>
            </w:r>
            <w:r>
              <w:rPr>
                <w:rFonts w:ascii="宋体" w:hAnsi="宋体"/>
                <w:kern w:val="0"/>
                <w:szCs w:val="21"/>
              </w:rPr>
              <w:t>以</w:t>
            </w:r>
            <w:r>
              <w:rPr>
                <w:rFonts w:hint="eastAsia" w:ascii="宋体" w:hAnsi="宋体"/>
                <w:kern w:val="0"/>
                <w:szCs w:val="21"/>
              </w:rPr>
              <w:t>竞标</w:t>
            </w:r>
            <w:r>
              <w:rPr>
                <w:rFonts w:ascii="宋体" w:hAnsi="宋体"/>
                <w:kern w:val="0"/>
                <w:szCs w:val="21"/>
              </w:rPr>
              <w:t>报价低的优先；</w:t>
            </w:r>
            <w:r>
              <w:rPr>
                <w:rFonts w:hint="eastAsia" w:ascii="宋体" w:hAnsi="宋体"/>
                <w:kern w:val="0"/>
                <w:szCs w:val="21"/>
              </w:rPr>
              <w:t>竞标</w:t>
            </w:r>
            <w:r>
              <w:rPr>
                <w:rFonts w:ascii="宋体" w:hAnsi="宋体"/>
                <w:kern w:val="0"/>
                <w:szCs w:val="21"/>
              </w:rPr>
              <w:t>报价相等的，</w:t>
            </w:r>
            <w:r>
              <w:rPr>
                <w:rFonts w:hint="eastAsia" w:ascii="宋体" w:hAnsi="宋体"/>
                <w:kern w:val="0"/>
                <w:szCs w:val="21"/>
              </w:rPr>
              <w:t>以“</w:t>
            </w:r>
            <w:r>
              <w:rPr>
                <w:rFonts w:hint="eastAsia" w:ascii="宋体" w:hAnsi="宋体"/>
                <w:kern w:val="0"/>
                <w:szCs w:val="21"/>
                <w:lang w:eastAsia="zh-CN"/>
              </w:rPr>
              <w:t>竞标</w:t>
            </w:r>
            <w:r>
              <w:rPr>
                <w:rFonts w:hint="eastAsia" w:ascii="宋体" w:hAnsi="宋体"/>
                <w:kern w:val="0"/>
                <w:szCs w:val="21"/>
              </w:rPr>
              <w:t>人在红名单中优先”的原则排序</w:t>
            </w:r>
            <w:r>
              <w:rPr>
                <w:rFonts w:hint="eastAsia" w:ascii="宋体" w:hAnsi="宋体"/>
                <w:spacing w:val="4"/>
                <w:kern w:val="0"/>
                <w:szCs w:val="21"/>
              </w:rPr>
              <w:t>，</w:t>
            </w:r>
            <w:r>
              <w:rPr>
                <w:rFonts w:hint="eastAsia" w:ascii="宋体" w:hAnsi="宋体"/>
                <w:spacing w:val="4"/>
                <w:kern w:val="0"/>
                <w:szCs w:val="21"/>
                <w:lang w:eastAsia="zh-CN"/>
              </w:rPr>
              <w:t>竞标</w:t>
            </w:r>
            <w:r>
              <w:rPr>
                <w:rFonts w:hint="eastAsia" w:ascii="宋体" w:hAnsi="宋体"/>
                <w:spacing w:val="4"/>
                <w:kern w:val="0"/>
                <w:szCs w:val="21"/>
              </w:rPr>
              <w:t>人是否属于红名单，以开标环节信用状况查询结果为准</w:t>
            </w:r>
            <w:r>
              <w:rPr>
                <w:rFonts w:hint="eastAsia" w:ascii="宋体" w:hAnsi="宋体"/>
                <w:kern w:val="0"/>
                <w:szCs w:val="21"/>
              </w:rPr>
              <w:t>；</w:t>
            </w:r>
            <w:r>
              <w:rPr>
                <w:rFonts w:hint="eastAsia" w:ascii="宋体" w:hAnsi="宋体"/>
                <w:kern w:val="0"/>
                <w:szCs w:val="21"/>
                <w:lang w:eastAsia="zh-CN"/>
              </w:rPr>
              <w:t>竞标</w:t>
            </w:r>
            <w:r>
              <w:rPr>
                <w:rFonts w:hint="eastAsia" w:ascii="宋体" w:hAnsi="宋体"/>
                <w:kern w:val="0"/>
                <w:szCs w:val="21"/>
              </w:rPr>
              <w:t>人均在红名单中或均不在红名单中的，由评标委员会按照</w:t>
            </w:r>
            <w:r>
              <w:rPr>
                <w:rFonts w:hint="eastAsia" w:ascii="宋体" w:hAnsi="宋体" w:cs="宋体"/>
                <w:b/>
                <w:bCs/>
                <w:color w:val="auto"/>
                <w:kern w:val="0"/>
                <w:highlight w:val="none"/>
                <w:u w:val="single"/>
                <w:lang w:val="en-US" w:eastAsia="zh-CN"/>
              </w:rPr>
              <w:t>资格审查提供的业绩合同金额由大到小的</w:t>
            </w:r>
            <w:r>
              <w:rPr>
                <w:rFonts w:hint="eastAsia" w:ascii="宋体" w:hAnsi="宋体"/>
                <w:kern w:val="0"/>
                <w:szCs w:val="21"/>
              </w:rPr>
              <w:t>原则排序。</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851" w:type="dxa"/>
            <w:gridSpan w:val="2"/>
            <w:vMerge w:val="restart"/>
            <w:vAlign w:val="center"/>
          </w:tcPr>
          <w:p>
            <w:pPr>
              <w:keepNext w:val="0"/>
              <w:keepLines w:val="0"/>
              <w:pageBreakBefore w:val="0"/>
              <w:widowControl w:val="0"/>
              <w:kinsoku/>
              <w:wordWrap/>
              <w:overflowPunct/>
              <w:topLinePunct w:val="0"/>
              <w:bidi w:val="0"/>
              <w:spacing w:line="400" w:lineRule="exact"/>
              <w:jc w:val="center"/>
              <w:textAlignment w:val="auto"/>
              <w:rPr>
                <w:rFonts w:ascii="宋体" w:hAnsi="宋体"/>
                <w:kern w:val="0"/>
              </w:rPr>
            </w:pPr>
            <w:r>
              <w:rPr>
                <w:rFonts w:ascii="宋体" w:hAnsi="宋体"/>
                <w:kern w:val="0"/>
              </w:rPr>
              <w:t>2.1.</w:t>
            </w:r>
            <w:r>
              <w:rPr>
                <w:rFonts w:hint="eastAsia" w:ascii="宋体" w:hAnsi="宋体"/>
                <w:kern w:val="0"/>
              </w:rPr>
              <w:t>1</w:t>
            </w:r>
          </w:p>
        </w:tc>
        <w:tc>
          <w:tcPr>
            <w:tcW w:w="567" w:type="dxa"/>
            <w:vMerge w:val="restart"/>
            <w:vAlign w:val="center"/>
          </w:tcPr>
          <w:p>
            <w:pPr>
              <w:keepNext w:val="0"/>
              <w:keepLines w:val="0"/>
              <w:pageBreakBefore w:val="0"/>
              <w:widowControl w:val="0"/>
              <w:kinsoku/>
              <w:wordWrap/>
              <w:overflowPunct/>
              <w:topLinePunct w:val="0"/>
              <w:bidi w:val="0"/>
              <w:spacing w:line="400" w:lineRule="exact"/>
              <w:jc w:val="center"/>
              <w:textAlignment w:val="auto"/>
              <w:rPr>
                <w:rFonts w:ascii="宋体" w:hAnsi="宋体"/>
                <w:kern w:val="0"/>
              </w:rPr>
            </w:pPr>
            <w:r>
              <w:rPr>
                <w:rFonts w:ascii="宋体" w:hAnsi="宋体"/>
                <w:kern w:val="0"/>
              </w:rPr>
              <w:t>资格评审标准</w:t>
            </w:r>
          </w:p>
        </w:tc>
        <w:tc>
          <w:tcPr>
            <w:tcW w:w="2559" w:type="dxa"/>
            <w:gridSpan w:val="4"/>
            <w:tcBorders>
              <w:bottom w:val="single" w:color="auto" w:sz="4" w:space="0"/>
            </w:tcBorders>
            <w:vAlign w:val="center"/>
          </w:tcPr>
          <w:p>
            <w:pPr>
              <w:keepNext w:val="0"/>
              <w:keepLines w:val="0"/>
              <w:pageBreakBefore w:val="0"/>
              <w:widowControl w:val="0"/>
              <w:kinsoku/>
              <w:wordWrap/>
              <w:overflowPunct/>
              <w:topLinePunct w:val="0"/>
              <w:bidi w:val="0"/>
              <w:spacing w:line="400" w:lineRule="exact"/>
              <w:jc w:val="center"/>
              <w:textAlignment w:val="auto"/>
              <w:rPr>
                <w:rFonts w:ascii="宋体" w:hAnsi="宋体"/>
                <w:kern w:val="0"/>
              </w:rPr>
            </w:pPr>
            <w:r>
              <w:rPr>
                <w:rFonts w:hint="eastAsia" w:ascii="宋体" w:hAnsi="宋体"/>
                <w:kern w:val="0"/>
              </w:rPr>
              <w:t>资质条件</w:t>
            </w:r>
          </w:p>
        </w:tc>
        <w:tc>
          <w:tcPr>
            <w:tcW w:w="5493" w:type="dxa"/>
            <w:vAlign w:val="center"/>
          </w:tcPr>
          <w:p>
            <w:pPr>
              <w:keepNext w:val="0"/>
              <w:keepLines w:val="0"/>
              <w:pageBreakBefore w:val="0"/>
              <w:widowControl w:val="0"/>
              <w:kinsoku/>
              <w:wordWrap/>
              <w:overflowPunct/>
              <w:topLinePunct w:val="0"/>
              <w:bidi w:val="0"/>
              <w:spacing w:line="400" w:lineRule="exact"/>
              <w:ind w:firstLine="420" w:firstLineChars="200"/>
              <w:jc w:val="left"/>
              <w:textAlignment w:val="auto"/>
              <w:rPr>
                <w:rFonts w:ascii="宋体" w:hAnsi="宋体"/>
                <w:kern w:val="0"/>
              </w:rPr>
            </w:pPr>
            <w:r>
              <w:rPr>
                <w:rFonts w:ascii="宋体" w:hAnsi="宋体"/>
                <w:kern w:val="0"/>
              </w:rPr>
              <w:t>符合第二章“</w:t>
            </w:r>
            <w:r>
              <w:rPr>
                <w:rFonts w:hint="eastAsia" w:ascii="宋体" w:hAnsi="宋体"/>
                <w:kern w:val="0"/>
                <w:lang w:eastAsia="zh-CN"/>
              </w:rPr>
              <w:t>竞标</w:t>
            </w:r>
            <w:r>
              <w:rPr>
                <w:rFonts w:ascii="宋体" w:hAnsi="宋体"/>
                <w:kern w:val="0"/>
              </w:rPr>
              <w:t>人须知”第1.4.1项规定。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851" w:type="dxa"/>
            <w:gridSpan w:val="2"/>
            <w:vMerge w:val="continue"/>
          </w:tcPr>
          <w:p>
            <w:pPr>
              <w:keepNext w:val="0"/>
              <w:keepLines w:val="0"/>
              <w:pageBreakBefore w:val="0"/>
              <w:widowControl w:val="0"/>
              <w:kinsoku/>
              <w:wordWrap/>
              <w:overflowPunct/>
              <w:topLinePunct w:val="0"/>
              <w:bidi w:val="0"/>
              <w:spacing w:line="400" w:lineRule="exact"/>
              <w:textAlignment w:val="auto"/>
              <w:rPr>
                <w:rFonts w:ascii="宋体" w:hAnsi="宋体"/>
              </w:rPr>
            </w:pPr>
          </w:p>
        </w:tc>
        <w:tc>
          <w:tcPr>
            <w:tcW w:w="567" w:type="dxa"/>
            <w:vMerge w:val="continue"/>
          </w:tcPr>
          <w:p>
            <w:pPr>
              <w:keepNext w:val="0"/>
              <w:keepLines w:val="0"/>
              <w:pageBreakBefore w:val="0"/>
              <w:widowControl w:val="0"/>
              <w:kinsoku/>
              <w:wordWrap/>
              <w:overflowPunct/>
              <w:topLinePunct w:val="0"/>
              <w:bidi w:val="0"/>
              <w:spacing w:line="400" w:lineRule="exact"/>
              <w:textAlignment w:val="auto"/>
              <w:rPr>
                <w:rFonts w:ascii="宋体" w:hAnsi="宋体"/>
              </w:rPr>
            </w:pPr>
          </w:p>
        </w:tc>
        <w:tc>
          <w:tcPr>
            <w:tcW w:w="2559" w:type="dxa"/>
            <w:gridSpan w:val="4"/>
            <w:tcBorders>
              <w:top w:val="single" w:color="auto" w:sz="4" w:space="0"/>
              <w:bottom w:val="single" w:color="auto" w:sz="4" w:space="0"/>
            </w:tcBorders>
          </w:tcPr>
          <w:p>
            <w:pPr>
              <w:keepNext w:val="0"/>
              <w:keepLines w:val="0"/>
              <w:pageBreakBefore w:val="0"/>
              <w:widowControl w:val="0"/>
              <w:kinsoku/>
              <w:wordWrap/>
              <w:overflowPunct/>
              <w:topLinePunct w:val="0"/>
              <w:bidi w:val="0"/>
              <w:spacing w:line="400" w:lineRule="exact"/>
              <w:jc w:val="center"/>
              <w:textAlignment w:val="auto"/>
              <w:rPr>
                <w:rFonts w:ascii="宋体" w:hAnsi="宋体"/>
                <w:kern w:val="0"/>
              </w:rPr>
            </w:pPr>
            <w:r>
              <w:rPr>
                <w:rFonts w:hint="eastAsia" w:ascii="宋体" w:hAnsi="宋体"/>
                <w:kern w:val="0"/>
              </w:rPr>
              <w:t>营业执照</w:t>
            </w:r>
          </w:p>
        </w:tc>
        <w:tc>
          <w:tcPr>
            <w:tcW w:w="5493" w:type="dxa"/>
            <w:vAlign w:val="center"/>
          </w:tcPr>
          <w:p>
            <w:pPr>
              <w:keepNext w:val="0"/>
              <w:keepLines w:val="0"/>
              <w:pageBreakBefore w:val="0"/>
              <w:widowControl w:val="0"/>
              <w:kinsoku/>
              <w:wordWrap/>
              <w:overflowPunct/>
              <w:topLinePunct w:val="0"/>
              <w:autoSpaceDE w:val="0"/>
              <w:autoSpaceDN w:val="0"/>
              <w:bidi w:val="0"/>
              <w:adjustRightInd w:val="0"/>
              <w:spacing w:line="400" w:lineRule="exact"/>
              <w:ind w:firstLine="420" w:firstLineChars="200"/>
              <w:jc w:val="left"/>
              <w:textAlignment w:val="auto"/>
              <w:rPr>
                <w:rFonts w:ascii="宋体" w:hAnsi="宋体"/>
                <w:kern w:val="0"/>
              </w:rPr>
            </w:pPr>
            <w:r>
              <w:rPr>
                <w:rFonts w:ascii="宋体" w:hAnsi="宋体"/>
                <w:kern w:val="0"/>
              </w:rPr>
              <w:t>符合第二章“</w:t>
            </w:r>
            <w:r>
              <w:rPr>
                <w:rFonts w:hint="eastAsia" w:ascii="宋体" w:hAnsi="宋体"/>
                <w:kern w:val="0"/>
                <w:lang w:eastAsia="zh-CN"/>
              </w:rPr>
              <w:t>竞标</w:t>
            </w:r>
            <w:r>
              <w:rPr>
                <w:rFonts w:ascii="宋体" w:hAnsi="宋体"/>
                <w:kern w:val="0"/>
              </w:rPr>
              <w:t>人须知”第1.4.1项规定。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cantSplit/>
          <w:trHeight w:val="90" w:hRule="atLeast"/>
          <w:jc w:val="center"/>
        </w:trPr>
        <w:tc>
          <w:tcPr>
            <w:tcW w:w="851" w:type="dxa"/>
            <w:gridSpan w:val="2"/>
            <w:vMerge w:val="continue"/>
          </w:tcPr>
          <w:p>
            <w:pPr>
              <w:keepNext w:val="0"/>
              <w:keepLines w:val="0"/>
              <w:pageBreakBefore w:val="0"/>
              <w:widowControl w:val="0"/>
              <w:kinsoku/>
              <w:wordWrap/>
              <w:overflowPunct/>
              <w:topLinePunct w:val="0"/>
              <w:bidi w:val="0"/>
              <w:spacing w:line="400" w:lineRule="exact"/>
              <w:textAlignment w:val="auto"/>
              <w:rPr>
                <w:rFonts w:ascii="宋体" w:hAnsi="宋体"/>
              </w:rPr>
            </w:pPr>
          </w:p>
        </w:tc>
        <w:tc>
          <w:tcPr>
            <w:tcW w:w="567" w:type="dxa"/>
            <w:vMerge w:val="continue"/>
          </w:tcPr>
          <w:p>
            <w:pPr>
              <w:keepNext w:val="0"/>
              <w:keepLines w:val="0"/>
              <w:pageBreakBefore w:val="0"/>
              <w:widowControl w:val="0"/>
              <w:kinsoku/>
              <w:wordWrap/>
              <w:overflowPunct/>
              <w:topLinePunct w:val="0"/>
              <w:bidi w:val="0"/>
              <w:spacing w:line="400" w:lineRule="exact"/>
              <w:textAlignment w:val="auto"/>
              <w:rPr>
                <w:rFonts w:ascii="宋体" w:hAnsi="宋体"/>
              </w:rPr>
            </w:pPr>
          </w:p>
        </w:tc>
        <w:tc>
          <w:tcPr>
            <w:tcW w:w="2559" w:type="dxa"/>
            <w:gridSpan w:val="4"/>
            <w:tcBorders>
              <w:top w:val="single" w:color="auto" w:sz="4" w:space="0"/>
            </w:tcBorders>
          </w:tcPr>
          <w:p>
            <w:pPr>
              <w:keepNext w:val="0"/>
              <w:keepLines w:val="0"/>
              <w:pageBreakBefore w:val="0"/>
              <w:widowControl w:val="0"/>
              <w:kinsoku/>
              <w:wordWrap/>
              <w:overflowPunct/>
              <w:topLinePunct w:val="0"/>
              <w:bidi w:val="0"/>
              <w:spacing w:line="400" w:lineRule="exact"/>
              <w:jc w:val="center"/>
              <w:textAlignment w:val="auto"/>
              <w:rPr>
                <w:rFonts w:ascii="宋体" w:hAnsi="宋体"/>
                <w:kern w:val="0"/>
                <w:highlight w:val="none"/>
              </w:rPr>
            </w:pPr>
            <w:r>
              <w:rPr>
                <w:rFonts w:hint="eastAsia" w:ascii="宋体" w:hAnsi="宋体"/>
                <w:kern w:val="0"/>
                <w:highlight w:val="none"/>
              </w:rPr>
              <w:t>安全生产条件</w:t>
            </w:r>
          </w:p>
        </w:tc>
        <w:tc>
          <w:tcPr>
            <w:tcW w:w="5493" w:type="dxa"/>
            <w:vAlign w:val="center"/>
          </w:tcPr>
          <w:p>
            <w:pPr>
              <w:keepNext w:val="0"/>
              <w:keepLines w:val="0"/>
              <w:pageBreakBefore w:val="0"/>
              <w:widowControl w:val="0"/>
              <w:kinsoku/>
              <w:wordWrap/>
              <w:overflowPunct/>
              <w:topLinePunct w:val="0"/>
              <w:bidi w:val="0"/>
              <w:spacing w:line="400" w:lineRule="exact"/>
              <w:ind w:firstLine="420" w:firstLineChars="200"/>
              <w:jc w:val="left"/>
              <w:textAlignment w:val="auto"/>
              <w:rPr>
                <w:rFonts w:ascii="宋体" w:hAnsi="宋体"/>
                <w:kern w:val="0"/>
                <w:highlight w:val="none"/>
              </w:rPr>
            </w:pPr>
            <w:r>
              <w:rPr>
                <w:rFonts w:ascii="宋体" w:hAnsi="宋体"/>
                <w:kern w:val="0"/>
                <w:highlight w:val="none"/>
              </w:rPr>
              <w:t>符合第二章“</w:t>
            </w:r>
            <w:r>
              <w:rPr>
                <w:rFonts w:hint="eastAsia" w:ascii="宋体" w:hAnsi="宋体"/>
                <w:kern w:val="0"/>
                <w:highlight w:val="none"/>
                <w:lang w:eastAsia="zh-CN"/>
              </w:rPr>
              <w:t>竞标</w:t>
            </w:r>
            <w:r>
              <w:rPr>
                <w:rFonts w:ascii="宋体" w:hAnsi="宋体"/>
                <w:kern w:val="0"/>
                <w:highlight w:val="none"/>
              </w:rPr>
              <w:t>人须知”第1.4.1项规定。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851" w:type="dxa"/>
            <w:gridSpan w:val="2"/>
            <w:vMerge w:val="continue"/>
          </w:tcPr>
          <w:p>
            <w:pPr>
              <w:keepNext w:val="0"/>
              <w:keepLines w:val="0"/>
              <w:pageBreakBefore w:val="0"/>
              <w:widowControl w:val="0"/>
              <w:kinsoku/>
              <w:wordWrap/>
              <w:overflowPunct/>
              <w:topLinePunct w:val="0"/>
              <w:bidi w:val="0"/>
              <w:spacing w:line="400" w:lineRule="exact"/>
              <w:textAlignment w:val="auto"/>
              <w:rPr>
                <w:rFonts w:ascii="宋体" w:hAnsi="宋体"/>
              </w:rPr>
            </w:pPr>
          </w:p>
        </w:tc>
        <w:tc>
          <w:tcPr>
            <w:tcW w:w="567" w:type="dxa"/>
            <w:vMerge w:val="continue"/>
          </w:tcPr>
          <w:p>
            <w:pPr>
              <w:keepNext w:val="0"/>
              <w:keepLines w:val="0"/>
              <w:pageBreakBefore w:val="0"/>
              <w:widowControl w:val="0"/>
              <w:kinsoku/>
              <w:wordWrap/>
              <w:overflowPunct/>
              <w:topLinePunct w:val="0"/>
              <w:bidi w:val="0"/>
              <w:spacing w:line="400" w:lineRule="exact"/>
              <w:textAlignment w:val="auto"/>
              <w:rPr>
                <w:rFonts w:ascii="宋体" w:hAnsi="宋体"/>
              </w:rPr>
            </w:pPr>
          </w:p>
        </w:tc>
        <w:tc>
          <w:tcPr>
            <w:tcW w:w="2559" w:type="dxa"/>
            <w:gridSpan w:val="4"/>
            <w:tcBorders>
              <w:bottom w:val="single" w:color="auto" w:sz="4" w:space="0"/>
            </w:tcBorders>
            <w:vAlign w:val="center"/>
          </w:tcPr>
          <w:p>
            <w:pPr>
              <w:keepNext w:val="0"/>
              <w:keepLines w:val="0"/>
              <w:pageBreakBefore w:val="0"/>
              <w:widowControl w:val="0"/>
              <w:kinsoku/>
              <w:wordWrap/>
              <w:overflowPunct/>
              <w:topLinePunct w:val="0"/>
              <w:bidi w:val="0"/>
              <w:spacing w:line="400" w:lineRule="exact"/>
              <w:jc w:val="center"/>
              <w:textAlignment w:val="auto"/>
              <w:rPr>
                <w:rFonts w:ascii="宋体" w:hAnsi="宋体"/>
                <w:kern w:val="0"/>
              </w:rPr>
            </w:pPr>
            <w:r>
              <w:rPr>
                <w:rFonts w:ascii="宋体" w:hAnsi="宋体"/>
                <w:kern w:val="0"/>
              </w:rPr>
              <w:t>财务</w:t>
            </w:r>
            <w:r>
              <w:rPr>
                <w:rFonts w:hint="eastAsia" w:ascii="宋体" w:hAnsi="宋体"/>
                <w:kern w:val="0"/>
              </w:rPr>
              <w:t>要求</w:t>
            </w:r>
          </w:p>
        </w:tc>
        <w:tc>
          <w:tcPr>
            <w:tcW w:w="5493" w:type="dxa"/>
            <w:vAlign w:val="center"/>
          </w:tcPr>
          <w:p>
            <w:pPr>
              <w:keepNext w:val="0"/>
              <w:keepLines w:val="0"/>
              <w:pageBreakBefore w:val="0"/>
              <w:widowControl w:val="0"/>
              <w:kinsoku/>
              <w:wordWrap/>
              <w:overflowPunct/>
              <w:topLinePunct w:val="0"/>
              <w:bidi w:val="0"/>
              <w:spacing w:line="400" w:lineRule="exact"/>
              <w:ind w:firstLine="420" w:firstLineChars="200"/>
              <w:jc w:val="left"/>
              <w:textAlignment w:val="auto"/>
              <w:rPr>
                <w:rFonts w:ascii="宋体" w:hAnsi="宋体"/>
                <w:kern w:val="0"/>
              </w:rPr>
            </w:pPr>
            <w:r>
              <w:rPr>
                <w:rFonts w:ascii="宋体" w:hAnsi="宋体"/>
                <w:kern w:val="0"/>
              </w:rPr>
              <w:t>符合第二章“</w:t>
            </w:r>
            <w:r>
              <w:rPr>
                <w:rFonts w:hint="eastAsia" w:ascii="宋体" w:hAnsi="宋体"/>
                <w:kern w:val="0"/>
                <w:lang w:eastAsia="zh-CN"/>
              </w:rPr>
              <w:t>竞标</w:t>
            </w:r>
            <w:r>
              <w:rPr>
                <w:rFonts w:ascii="宋体" w:hAnsi="宋体"/>
                <w:kern w:val="0"/>
              </w:rPr>
              <w:t>人须知”第1.4.1项规定。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851" w:type="dxa"/>
            <w:gridSpan w:val="2"/>
            <w:vMerge w:val="continue"/>
          </w:tcPr>
          <w:p>
            <w:pPr>
              <w:keepNext w:val="0"/>
              <w:keepLines w:val="0"/>
              <w:pageBreakBefore w:val="0"/>
              <w:widowControl w:val="0"/>
              <w:kinsoku/>
              <w:wordWrap/>
              <w:overflowPunct/>
              <w:topLinePunct w:val="0"/>
              <w:bidi w:val="0"/>
              <w:spacing w:line="400" w:lineRule="exact"/>
              <w:textAlignment w:val="auto"/>
              <w:rPr>
                <w:rFonts w:ascii="宋体" w:hAnsi="宋体"/>
              </w:rPr>
            </w:pPr>
          </w:p>
        </w:tc>
        <w:tc>
          <w:tcPr>
            <w:tcW w:w="567" w:type="dxa"/>
            <w:vMerge w:val="continue"/>
          </w:tcPr>
          <w:p>
            <w:pPr>
              <w:keepNext w:val="0"/>
              <w:keepLines w:val="0"/>
              <w:pageBreakBefore w:val="0"/>
              <w:widowControl w:val="0"/>
              <w:kinsoku/>
              <w:wordWrap/>
              <w:overflowPunct/>
              <w:topLinePunct w:val="0"/>
              <w:bidi w:val="0"/>
              <w:spacing w:line="400" w:lineRule="exact"/>
              <w:textAlignment w:val="auto"/>
              <w:rPr>
                <w:rFonts w:ascii="宋体" w:hAnsi="宋体"/>
              </w:rPr>
            </w:pPr>
          </w:p>
        </w:tc>
        <w:tc>
          <w:tcPr>
            <w:tcW w:w="2559" w:type="dxa"/>
            <w:gridSpan w:val="4"/>
            <w:tcBorders>
              <w:top w:val="single" w:color="auto" w:sz="4" w:space="0"/>
              <w:bottom w:val="single" w:color="auto" w:sz="4" w:space="0"/>
            </w:tcBorders>
          </w:tcPr>
          <w:p>
            <w:pPr>
              <w:keepNext w:val="0"/>
              <w:keepLines w:val="0"/>
              <w:pageBreakBefore w:val="0"/>
              <w:widowControl w:val="0"/>
              <w:kinsoku/>
              <w:wordWrap/>
              <w:overflowPunct/>
              <w:topLinePunct w:val="0"/>
              <w:bidi w:val="0"/>
              <w:spacing w:line="400" w:lineRule="exact"/>
              <w:jc w:val="center"/>
              <w:textAlignment w:val="auto"/>
              <w:rPr>
                <w:rFonts w:ascii="宋体" w:hAnsi="宋体"/>
                <w:kern w:val="0"/>
              </w:rPr>
            </w:pPr>
            <w:r>
              <w:rPr>
                <w:rFonts w:hint="eastAsia" w:ascii="宋体" w:hAnsi="宋体"/>
                <w:kern w:val="0"/>
              </w:rPr>
              <w:t>业绩要求</w:t>
            </w:r>
          </w:p>
        </w:tc>
        <w:tc>
          <w:tcPr>
            <w:tcW w:w="5493" w:type="dxa"/>
            <w:vAlign w:val="center"/>
          </w:tcPr>
          <w:p>
            <w:pPr>
              <w:keepNext w:val="0"/>
              <w:keepLines w:val="0"/>
              <w:pageBreakBefore w:val="0"/>
              <w:widowControl w:val="0"/>
              <w:kinsoku/>
              <w:wordWrap/>
              <w:overflowPunct/>
              <w:topLinePunct w:val="0"/>
              <w:bidi w:val="0"/>
              <w:spacing w:line="400" w:lineRule="exact"/>
              <w:ind w:firstLine="420" w:firstLineChars="200"/>
              <w:jc w:val="left"/>
              <w:textAlignment w:val="auto"/>
              <w:rPr>
                <w:rFonts w:ascii="宋体" w:hAnsi="宋体"/>
                <w:kern w:val="0"/>
              </w:rPr>
            </w:pPr>
            <w:r>
              <w:rPr>
                <w:rFonts w:ascii="宋体" w:hAnsi="宋体"/>
                <w:kern w:val="0"/>
              </w:rPr>
              <w:t>符合第二章“</w:t>
            </w:r>
            <w:r>
              <w:rPr>
                <w:rFonts w:hint="eastAsia" w:ascii="宋体" w:hAnsi="宋体"/>
                <w:kern w:val="0"/>
                <w:lang w:eastAsia="zh-CN"/>
              </w:rPr>
              <w:t>竞标</w:t>
            </w:r>
            <w:r>
              <w:rPr>
                <w:rFonts w:ascii="宋体" w:hAnsi="宋体"/>
                <w:kern w:val="0"/>
              </w:rPr>
              <w:t>人须知”第1.4.1项规定。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851" w:type="dxa"/>
            <w:gridSpan w:val="2"/>
            <w:vMerge w:val="continue"/>
          </w:tcPr>
          <w:p>
            <w:pPr>
              <w:keepNext w:val="0"/>
              <w:keepLines w:val="0"/>
              <w:pageBreakBefore w:val="0"/>
              <w:widowControl w:val="0"/>
              <w:kinsoku/>
              <w:wordWrap/>
              <w:overflowPunct/>
              <w:topLinePunct w:val="0"/>
              <w:bidi w:val="0"/>
              <w:spacing w:line="400" w:lineRule="exact"/>
              <w:textAlignment w:val="auto"/>
              <w:rPr>
                <w:rFonts w:ascii="宋体" w:hAnsi="宋体"/>
              </w:rPr>
            </w:pPr>
          </w:p>
        </w:tc>
        <w:tc>
          <w:tcPr>
            <w:tcW w:w="567" w:type="dxa"/>
            <w:vMerge w:val="continue"/>
          </w:tcPr>
          <w:p>
            <w:pPr>
              <w:keepNext w:val="0"/>
              <w:keepLines w:val="0"/>
              <w:pageBreakBefore w:val="0"/>
              <w:widowControl w:val="0"/>
              <w:kinsoku/>
              <w:wordWrap/>
              <w:overflowPunct/>
              <w:topLinePunct w:val="0"/>
              <w:bidi w:val="0"/>
              <w:spacing w:line="400" w:lineRule="exact"/>
              <w:textAlignment w:val="auto"/>
              <w:rPr>
                <w:rFonts w:ascii="宋体" w:hAnsi="宋体"/>
              </w:rPr>
            </w:pPr>
          </w:p>
        </w:tc>
        <w:tc>
          <w:tcPr>
            <w:tcW w:w="2559" w:type="dxa"/>
            <w:gridSpan w:val="4"/>
            <w:tcBorders>
              <w:top w:val="single" w:color="auto" w:sz="4" w:space="0"/>
              <w:bottom w:val="single" w:color="auto" w:sz="4" w:space="0"/>
            </w:tcBorders>
          </w:tcPr>
          <w:p>
            <w:pPr>
              <w:keepNext w:val="0"/>
              <w:keepLines w:val="0"/>
              <w:pageBreakBefore w:val="0"/>
              <w:widowControl w:val="0"/>
              <w:kinsoku/>
              <w:wordWrap/>
              <w:overflowPunct/>
              <w:topLinePunct w:val="0"/>
              <w:bidi w:val="0"/>
              <w:spacing w:line="400" w:lineRule="exact"/>
              <w:jc w:val="center"/>
              <w:textAlignment w:val="auto"/>
              <w:rPr>
                <w:rFonts w:ascii="宋体" w:hAnsi="宋体"/>
                <w:kern w:val="0"/>
              </w:rPr>
            </w:pPr>
            <w:r>
              <w:rPr>
                <w:rFonts w:hint="eastAsia" w:ascii="宋体" w:hAnsi="宋体"/>
                <w:szCs w:val="21"/>
              </w:rPr>
              <w:t>比选</w:t>
            </w:r>
            <w:r>
              <w:rPr>
                <w:rFonts w:ascii="宋体" w:hAnsi="宋体"/>
                <w:szCs w:val="21"/>
              </w:rPr>
              <w:t>截止日投标资格情况</w:t>
            </w:r>
          </w:p>
        </w:tc>
        <w:tc>
          <w:tcPr>
            <w:tcW w:w="5493" w:type="dxa"/>
            <w:vAlign w:val="center"/>
          </w:tcPr>
          <w:p>
            <w:pPr>
              <w:keepNext w:val="0"/>
              <w:keepLines w:val="0"/>
              <w:pageBreakBefore w:val="0"/>
              <w:widowControl w:val="0"/>
              <w:kinsoku/>
              <w:wordWrap/>
              <w:overflowPunct/>
              <w:topLinePunct w:val="0"/>
              <w:bidi w:val="0"/>
              <w:spacing w:line="400" w:lineRule="exact"/>
              <w:ind w:firstLine="420" w:firstLineChars="200"/>
              <w:jc w:val="left"/>
              <w:textAlignment w:val="auto"/>
              <w:rPr>
                <w:rFonts w:ascii="宋体" w:hAnsi="宋体"/>
                <w:kern w:val="0"/>
              </w:rPr>
            </w:pPr>
            <w:r>
              <w:rPr>
                <w:rFonts w:ascii="宋体" w:hAnsi="宋体"/>
                <w:kern w:val="0"/>
              </w:rPr>
              <w:t>符合第二章“</w:t>
            </w:r>
            <w:r>
              <w:rPr>
                <w:rFonts w:hint="eastAsia" w:ascii="宋体" w:hAnsi="宋体"/>
                <w:kern w:val="0"/>
                <w:lang w:eastAsia="zh-CN"/>
              </w:rPr>
              <w:t>竞标</w:t>
            </w:r>
            <w:r>
              <w:rPr>
                <w:rFonts w:ascii="宋体" w:hAnsi="宋体"/>
                <w:kern w:val="0"/>
              </w:rPr>
              <w:t>人须知”第1.4.1项规定。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851" w:type="dxa"/>
            <w:gridSpan w:val="2"/>
            <w:vMerge w:val="continue"/>
          </w:tcPr>
          <w:p>
            <w:pPr>
              <w:keepNext w:val="0"/>
              <w:keepLines w:val="0"/>
              <w:pageBreakBefore w:val="0"/>
              <w:widowControl w:val="0"/>
              <w:kinsoku/>
              <w:wordWrap/>
              <w:overflowPunct/>
              <w:topLinePunct w:val="0"/>
              <w:bidi w:val="0"/>
              <w:spacing w:line="400" w:lineRule="exact"/>
              <w:textAlignment w:val="auto"/>
              <w:rPr>
                <w:rFonts w:ascii="宋体" w:hAnsi="宋体"/>
              </w:rPr>
            </w:pPr>
          </w:p>
        </w:tc>
        <w:tc>
          <w:tcPr>
            <w:tcW w:w="567" w:type="dxa"/>
            <w:vMerge w:val="continue"/>
          </w:tcPr>
          <w:p>
            <w:pPr>
              <w:keepNext w:val="0"/>
              <w:keepLines w:val="0"/>
              <w:pageBreakBefore w:val="0"/>
              <w:widowControl w:val="0"/>
              <w:kinsoku/>
              <w:wordWrap/>
              <w:overflowPunct/>
              <w:topLinePunct w:val="0"/>
              <w:bidi w:val="0"/>
              <w:spacing w:line="400" w:lineRule="exact"/>
              <w:textAlignment w:val="auto"/>
              <w:rPr>
                <w:rFonts w:ascii="宋体" w:hAnsi="宋体"/>
              </w:rPr>
            </w:pPr>
          </w:p>
        </w:tc>
        <w:tc>
          <w:tcPr>
            <w:tcW w:w="2559" w:type="dxa"/>
            <w:gridSpan w:val="4"/>
            <w:tcBorders>
              <w:top w:val="single" w:color="auto" w:sz="4" w:space="0"/>
              <w:bottom w:val="single" w:color="auto" w:sz="4" w:space="0"/>
            </w:tcBorders>
          </w:tcPr>
          <w:p>
            <w:pPr>
              <w:keepNext w:val="0"/>
              <w:keepLines w:val="0"/>
              <w:pageBreakBefore w:val="0"/>
              <w:widowControl w:val="0"/>
              <w:kinsoku/>
              <w:wordWrap/>
              <w:overflowPunct/>
              <w:topLinePunct w:val="0"/>
              <w:bidi w:val="0"/>
              <w:spacing w:line="400" w:lineRule="exact"/>
              <w:jc w:val="center"/>
              <w:textAlignment w:val="auto"/>
              <w:rPr>
                <w:rFonts w:ascii="宋体" w:hAnsi="宋体"/>
                <w:szCs w:val="21"/>
              </w:rPr>
            </w:pPr>
            <w:r>
              <w:rPr>
                <w:rFonts w:ascii="宋体" w:hAnsi="宋体"/>
                <w:kern w:val="0"/>
              </w:rPr>
              <w:t>项目经理资格</w:t>
            </w:r>
            <w:r>
              <w:rPr>
                <w:rFonts w:hint="eastAsia" w:ascii="宋体" w:hAnsi="宋体"/>
                <w:kern w:val="0"/>
              </w:rPr>
              <w:t>要求</w:t>
            </w:r>
          </w:p>
        </w:tc>
        <w:tc>
          <w:tcPr>
            <w:tcW w:w="5493" w:type="dxa"/>
            <w:vAlign w:val="center"/>
          </w:tcPr>
          <w:p>
            <w:pPr>
              <w:keepNext w:val="0"/>
              <w:keepLines w:val="0"/>
              <w:pageBreakBefore w:val="0"/>
              <w:widowControl w:val="0"/>
              <w:kinsoku/>
              <w:wordWrap/>
              <w:overflowPunct/>
              <w:topLinePunct w:val="0"/>
              <w:bidi w:val="0"/>
              <w:spacing w:line="400" w:lineRule="exact"/>
              <w:ind w:firstLine="420" w:firstLineChars="200"/>
              <w:jc w:val="left"/>
              <w:textAlignment w:val="auto"/>
              <w:rPr>
                <w:rFonts w:ascii="宋体" w:hAnsi="宋体"/>
                <w:kern w:val="0"/>
              </w:rPr>
            </w:pPr>
            <w:r>
              <w:rPr>
                <w:rFonts w:ascii="宋体" w:hAnsi="宋体"/>
                <w:kern w:val="0"/>
              </w:rPr>
              <w:t>符合第二章“</w:t>
            </w:r>
            <w:r>
              <w:rPr>
                <w:rFonts w:hint="eastAsia" w:ascii="宋体" w:hAnsi="宋体"/>
                <w:kern w:val="0"/>
                <w:lang w:eastAsia="zh-CN"/>
              </w:rPr>
              <w:t>竞标</w:t>
            </w:r>
            <w:r>
              <w:rPr>
                <w:rFonts w:ascii="宋体" w:hAnsi="宋体"/>
                <w:kern w:val="0"/>
              </w:rPr>
              <w:t>人须知”第1.4.1项规定。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851" w:type="dxa"/>
            <w:gridSpan w:val="2"/>
            <w:vMerge w:val="continue"/>
          </w:tcPr>
          <w:p>
            <w:pPr>
              <w:keepNext w:val="0"/>
              <w:keepLines w:val="0"/>
              <w:pageBreakBefore w:val="0"/>
              <w:widowControl w:val="0"/>
              <w:kinsoku/>
              <w:wordWrap/>
              <w:overflowPunct/>
              <w:topLinePunct w:val="0"/>
              <w:bidi w:val="0"/>
              <w:spacing w:line="400" w:lineRule="exact"/>
              <w:textAlignment w:val="auto"/>
              <w:rPr>
                <w:rFonts w:ascii="宋体" w:hAnsi="宋体"/>
              </w:rPr>
            </w:pPr>
          </w:p>
        </w:tc>
        <w:tc>
          <w:tcPr>
            <w:tcW w:w="567" w:type="dxa"/>
            <w:vMerge w:val="continue"/>
          </w:tcPr>
          <w:p>
            <w:pPr>
              <w:keepNext w:val="0"/>
              <w:keepLines w:val="0"/>
              <w:pageBreakBefore w:val="0"/>
              <w:widowControl w:val="0"/>
              <w:kinsoku/>
              <w:wordWrap/>
              <w:overflowPunct/>
              <w:topLinePunct w:val="0"/>
              <w:bidi w:val="0"/>
              <w:spacing w:line="400" w:lineRule="exact"/>
              <w:textAlignment w:val="auto"/>
              <w:rPr>
                <w:rFonts w:ascii="宋体" w:hAnsi="宋体"/>
              </w:rPr>
            </w:pPr>
          </w:p>
        </w:tc>
        <w:tc>
          <w:tcPr>
            <w:tcW w:w="2559" w:type="dxa"/>
            <w:gridSpan w:val="4"/>
            <w:tcBorders>
              <w:top w:val="single" w:color="auto" w:sz="4" w:space="0"/>
              <w:bottom w:val="single" w:color="auto" w:sz="4" w:space="0"/>
            </w:tcBorders>
          </w:tcPr>
          <w:p>
            <w:pPr>
              <w:keepNext w:val="0"/>
              <w:keepLines w:val="0"/>
              <w:pageBreakBefore w:val="0"/>
              <w:widowControl w:val="0"/>
              <w:kinsoku/>
              <w:wordWrap/>
              <w:overflowPunct/>
              <w:topLinePunct w:val="0"/>
              <w:bidi w:val="0"/>
              <w:spacing w:line="400" w:lineRule="exact"/>
              <w:jc w:val="center"/>
              <w:textAlignment w:val="auto"/>
              <w:rPr>
                <w:rFonts w:ascii="宋体" w:hAnsi="宋体"/>
                <w:kern w:val="0"/>
              </w:rPr>
            </w:pPr>
            <w:r>
              <w:rPr>
                <w:rFonts w:ascii="宋体" w:hAnsi="宋体"/>
                <w:kern w:val="0"/>
              </w:rPr>
              <w:t>其他要求</w:t>
            </w:r>
          </w:p>
        </w:tc>
        <w:tc>
          <w:tcPr>
            <w:tcW w:w="5493" w:type="dxa"/>
            <w:vAlign w:val="center"/>
          </w:tcPr>
          <w:p>
            <w:pPr>
              <w:keepNext w:val="0"/>
              <w:keepLines w:val="0"/>
              <w:pageBreakBefore w:val="0"/>
              <w:widowControl w:val="0"/>
              <w:kinsoku/>
              <w:wordWrap/>
              <w:overflowPunct/>
              <w:topLinePunct w:val="0"/>
              <w:bidi w:val="0"/>
              <w:spacing w:line="400" w:lineRule="exact"/>
              <w:ind w:firstLine="420" w:firstLineChars="200"/>
              <w:jc w:val="left"/>
              <w:textAlignment w:val="auto"/>
              <w:rPr>
                <w:rFonts w:ascii="宋体" w:hAnsi="宋体"/>
                <w:kern w:val="0"/>
              </w:rPr>
            </w:pPr>
            <w:r>
              <w:rPr>
                <w:rFonts w:ascii="宋体" w:hAnsi="宋体"/>
                <w:kern w:val="0"/>
              </w:rPr>
              <w:t>符合第二章“</w:t>
            </w:r>
            <w:r>
              <w:rPr>
                <w:rFonts w:hint="eastAsia" w:ascii="宋体" w:hAnsi="宋体"/>
                <w:kern w:val="0"/>
                <w:lang w:eastAsia="zh-CN"/>
              </w:rPr>
              <w:t>竞标</w:t>
            </w:r>
            <w:r>
              <w:rPr>
                <w:rFonts w:ascii="宋体" w:hAnsi="宋体"/>
                <w:kern w:val="0"/>
              </w:rPr>
              <w:t>人须知”第1.4.1项规定。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851" w:type="dxa"/>
            <w:gridSpan w:val="2"/>
            <w:vMerge w:val="restart"/>
            <w:vAlign w:val="center"/>
          </w:tcPr>
          <w:p>
            <w:pPr>
              <w:keepNext w:val="0"/>
              <w:keepLines w:val="0"/>
              <w:pageBreakBefore w:val="0"/>
              <w:widowControl w:val="0"/>
              <w:kinsoku/>
              <w:wordWrap/>
              <w:overflowPunct/>
              <w:topLinePunct w:val="0"/>
              <w:bidi w:val="0"/>
              <w:spacing w:line="400" w:lineRule="exact"/>
              <w:jc w:val="center"/>
              <w:textAlignment w:val="auto"/>
              <w:rPr>
                <w:rFonts w:ascii="宋体" w:hAnsi="宋体"/>
              </w:rPr>
            </w:pPr>
            <w:r>
              <w:rPr>
                <w:rFonts w:ascii="宋体" w:hAnsi="宋体"/>
                <w:kern w:val="0"/>
              </w:rPr>
              <w:t>2.1.</w:t>
            </w:r>
            <w:r>
              <w:rPr>
                <w:rFonts w:hint="eastAsia" w:ascii="宋体" w:hAnsi="宋体"/>
                <w:kern w:val="0"/>
              </w:rPr>
              <w:t>2</w:t>
            </w:r>
          </w:p>
        </w:tc>
        <w:tc>
          <w:tcPr>
            <w:tcW w:w="567" w:type="dxa"/>
            <w:vMerge w:val="restart"/>
            <w:vAlign w:val="center"/>
          </w:tcPr>
          <w:p>
            <w:pPr>
              <w:keepNext w:val="0"/>
              <w:keepLines w:val="0"/>
              <w:pageBreakBefore w:val="0"/>
              <w:widowControl w:val="0"/>
              <w:kinsoku/>
              <w:wordWrap/>
              <w:overflowPunct/>
              <w:topLinePunct w:val="0"/>
              <w:bidi w:val="0"/>
              <w:spacing w:line="400" w:lineRule="exact"/>
              <w:jc w:val="center"/>
              <w:textAlignment w:val="auto"/>
              <w:rPr>
                <w:rFonts w:ascii="宋体" w:hAnsi="宋体"/>
              </w:rPr>
            </w:pPr>
            <w:r>
              <w:rPr>
                <w:rFonts w:ascii="宋体" w:hAnsi="宋体"/>
                <w:kern w:val="0"/>
              </w:rPr>
              <w:t>形式评审标准</w:t>
            </w:r>
          </w:p>
        </w:tc>
        <w:tc>
          <w:tcPr>
            <w:tcW w:w="2559" w:type="dxa"/>
            <w:gridSpan w:val="4"/>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spacing w:line="400" w:lineRule="exact"/>
              <w:jc w:val="center"/>
              <w:textAlignment w:val="auto"/>
              <w:rPr>
                <w:rFonts w:ascii="宋体" w:hAnsi="宋体"/>
                <w:kern w:val="0"/>
              </w:rPr>
            </w:pPr>
            <w:r>
              <w:rPr>
                <w:rFonts w:hint="eastAsia" w:ascii="宋体" w:hAnsi="宋体"/>
                <w:kern w:val="0"/>
                <w:lang w:eastAsia="zh-CN"/>
              </w:rPr>
              <w:t>竞标</w:t>
            </w:r>
            <w:r>
              <w:rPr>
                <w:rFonts w:ascii="宋体" w:hAnsi="宋体"/>
                <w:kern w:val="0"/>
              </w:rPr>
              <w:t>人名称</w:t>
            </w:r>
          </w:p>
        </w:tc>
        <w:tc>
          <w:tcPr>
            <w:tcW w:w="5493" w:type="dxa"/>
            <w:vAlign w:val="center"/>
          </w:tcPr>
          <w:p>
            <w:pPr>
              <w:keepNext w:val="0"/>
              <w:keepLines w:val="0"/>
              <w:pageBreakBefore w:val="0"/>
              <w:widowControl w:val="0"/>
              <w:kinsoku/>
              <w:wordWrap/>
              <w:overflowPunct/>
              <w:topLinePunct w:val="0"/>
              <w:bidi w:val="0"/>
              <w:spacing w:line="400" w:lineRule="exact"/>
              <w:ind w:firstLine="420" w:firstLineChars="200"/>
              <w:jc w:val="left"/>
              <w:textAlignment w:val="auto"/>
              <w:rPr>
                <w:rFonts w:ascii="宋体" w:hAnsi="宋体"/>
                <w:kern w:val="0"/>
              </w:rPr>
            </w:pPr>
            <w:r>
              <w:rPr>
                <w:rFonts w:ascii="宋体" w:hAnsi="宋体"/>
                <w:kern w:val="0"/>
              </w:rPr>
              <w:t>与营业执照、资质证书、安全生产许可证一致</w:t>
            </w:r>
            <w:r>
              <w:rPr>
                <w:rFonts w:hint="eastAsia" w:ascii="宋体" w:hAnsi="宋体"/>
                <w:kern w:val="0"/>
              </w:rPr>
              <w:t>，依法变更名称的应提交相应证明材料</w:t>
            </w:r>
            <w:r>
              <w:rPr>
                <w:rFonts w:ascii="宋体" w:hAnsi="宋体"/>
                <w:kern w:val="0"/>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851" w:type="dxa"/>
            <w:gridSpan w:val="2"/>
            <w:vMerge w:val="continue"/>
          </w:tcPr>
          <w:p>
            <w:pPr>
              <w:keepNext w:val="0"/>
              <w:keepLines w:val="0"/>
              <w:pageBreakBefore w:val="0"/>
              <w:widowControl w:val="0"/>
              <w:kinsoku/>
              <w:wordWrap/>
              <w:overflowPunct/>
              <w:topLinePunct w:val="0"/>
              <w:bidi w:val="0"/>
              <w:spacing w:line="400" w:lineRule="exact"/>
              <w:textAlignment w:val="auto"/>
              <w:rPr>
                <w:rFonts w:ascii="宋体" w:hAnsi="宋体"/>
              </w:rPr>
            </w:pPr>
          </w:p>
        </w:tc>
        <w:tc>
          <w:tcPr>
            <w:tcW w:w="567" w:type="dxa"/>
            <w:vMerge w:val="continue"/>
          </w:tcPr>
          <w:p>
            <w:pPr>
              <w:keepNext w:val="0"/>
              <w:keepLines w:val="0"/>
              <w:pageBreakBefore w:val="0"/>
              <w:widowControl w:val="0"/>
              <w:kinsoku/>
              <w:wordWrap/>
              <w:overflowPunct/>
              <w:topLinePunct w:val="0"/>
              <w:bidi w:val="0"/>
              <w:spacing w:line="400" w:lineRule="exact"/>
              <w:textAlignment w:val="auto"/>
              <w:rPr>
                <w:rFonts w:ascii="宋体" w:hAnsi="宋体"/>
              </w:rPr>
            </w:pPr>
          </w:p>
        </w:tc>
        <w:tc>
          <w:tcPr>
            <w:tcW w:w="2559" w:type="dxa"/>
            <w:gridSpan w:val="4"/>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spacing w:line="400" w:lineRule="exact"/>
              <w:jc w:val="center"/>
              <w:textAlignment w:val="auto"/>
              <w:rPr>
                <w:rFonts w:ascii="宋体" w:hAnsi="宋体"/>
                <w:kern w:val="0"/>
              </w:rPr>
            </w:pPr>
            <w:r>
              <w:rPr>
                <w:rFonts w:hint="eastAsia" w:ascii="宋体" w:hAnsi="宋体"/>
                <w:kern w:val="0"/>
                <w:lang w:eastAsia="zh-CN"/>
              </w:rPr>
              <w:t>竞标</w:t>
            </w:r>
            <w:r>
              <w:rPr>
                <w:rFonts w:ascii="宋体" w:hAnsi="宋体"/>
                <w:kern w:val="0"/>
              </w:rPr>
              <w:t>函</w:t>
            </w:r>
            <w:r>
              <w:rPr>
                <w:rFonts w:hint="eastAsia" w:ascii="宋体" w:hAnsi="宋体"/>
                <w:kern w:val="0"/>
              </w:rPr>
              <w:t>签名</w:t>
            </w:r>
            <w:r>
              <w:rPr>
                <w:rFonts w:ascii="宋体" w:hAnsi="宋体"/>
                <w:kern w:val="0"/>
              </w:rPr>
              <w:t>盖章</w:t>
            </w:r>
          </w:p>
        </w:tc>
        <w:tc>
          <w:tcPr>
            <w:tcW w:w="5493" w:type="dxa"/>
            <w:vAlign w:val="center"/>
          </w:tcPr>
          <w:p>
            <w:pPr>
              <w:keepNext w:val="0"/>
              <w:keepLines w:val="0"/>
              <w:pageBreakBefore w:val="0"/>
              <w:widowControl w:val="0"/>
              <w:kinsoku/>
              <w:wordWrap/>
              <w:overflowPunct/>
              <w:topLinePunct w:val="0"/>
              <w:bidi w:val="0"/>
              <w:spacing w:line="400" w:lineRule="exact"/>
              <w:ind w:firstLine="420" w:firstLineChars="200"/>
              <w:jc w:val="left"/>
              <w:textAlignment w:val="auto"/>
              <w:rPr>
                <w:rFonts w:ascii="宋体" w:hAnsi="宋体"/>
                <w:kern w:val="0"/>
              </w:rPr>
            </w:pPr>
            <w:r>
              <w:rPr>
                <w:rFonts w:hint="eastAsia" w:ascii="宋体" w:hAnsi="宋体"/>
                <w:kern w:val="0"/>
                <w:lang w:eastAsia="zh-CN"/>
              </w:rPr>
              <w:t>竞标</w:t>
            </w:r>
            <w:r>
              <w:rPr>
                <w:rFonts w:ascii="宋体" w:hAnsi="宋体"/>
                <w:kern w:val="0"/>
              </w:rPr>
              <w:t>函格式规定</w:t>
            </w:r>
            <w:r>
              <w:rPr>
                <w:rFonts w:hint="eastAsia" w:ascii="宋体" w:hAnsi="宋体"/>
                <w:kern w:val="0"/>
              </w:rPr>
              <w:t>签名、</w:t>
            </w:r>
            <w:r>
              <w:rPr>
                <w:rFonts w:ascii="宋体" w:hAnsi="宋体"/>
                <w:kern w:val="0"/>
              </w:rPr>
              <w:t>盖章的位置有法定代表人或其委托代理人</w:t>
            </w:r>
            <w:r>
              <w:rPr>
                <w:rFonts w:hint="eastAsia" w:ascii="宋体" w:hAnsi="宋体"/>
                <w:kern w:val="0"/>
              </w:rPr>
              <w:t>签名</w:t>
            </w:r>
            <w:r>
              <w:rPr>
                <w:rFonts w:ascii="宋体" w:hAnsi="宋体"/>
                <w:kern w:val="0"/>
              </w:rPr>
              <w:t>（或盖章）、加盖单位法人章。</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851" w:type="dxa"/>
            <w:gridSpan w:val="2"/>
            <w:vMerge w:val="continue"/>
          </w:tcPr>
          <w:p>
            <w:pPr>
              <w:keepNext w:val="0"/>
              <w:keepLines w:val="0"/>
              <w:pageBreakBefore w:val="0"/>
              <w:widowControl w:val="0"/>
              <w:kinsoku/>
              <w:wordWrap/>
              <w:overflowPunct/>
              <w:topLinePunct w:val="0"/>
              <w:bidi w:val="0"/>
              <w:spacing w:line="400" w:lineRule="exact"/>
              <w:textAlignment w:val="auto"/>
              <w:rPr>
                <w:rFonts w:ascii="宋体" w:hAnsi="宋体"/>
              </w:rPr>
            </w:pPr>
          </w:p>
        </w:tc>
        <w:tc>
          <w:tcPr>
            <w:tcW w:w="567" w:type="dxa"/>
            <w:vMerge w:val="continue"/>
          </w:tcPr>
          <w:p>
            <w:pPr>
              <w:keepNext w:val="0"/>
              <w:keepLines w:val="0"/>
              <w:pageBreakBefore w:val="0"/>
              <w:widowControl w:val="0"/>
              <w:kinsoku/>
              <w:wordWrap/>
              <w:overflowPunct/>
              <w:topLinePunct w:val="0"/>
              <w:bidi w:val="0"/>
              <w:spacing w:line="400" w:lineRule="exact"/>
              <w:textAlignment w:val="auto"/>
              <w:rPr>
                <w:rFonts w:ascii="宋体" w:hAnsi="宋体"/>
              </w:rPr>
            </w:pPr>
          </w:p>
        </w:tc>
        <w:tc>
          <w:tcPr>
            <w:tcW w:w="2559" w:type="dxa"/>
            <w:gridSpan w:val="4"/>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spacing w:line="400" w:lineRule="exact"/>
              <w:jc w:val="center"/>
              <w:textAlignment w:val="auto"/>
              <w:rPr>
                <w:rFonts w:ascii="宋体" w:hAnsi="宋体"/>
                <w:kern w:val="0"/>
              </w:rPr>
            </w:pPr>
            <w:r>
              <w:rPr>
                <w:rFonts w:hint="eastAsia" w:ascii="宋体" w:hAnsi="宋体"/>
                <w:kern w:val="0"/>
                <w:lang w:eastAsia="zh-CN"/>
              </w:rPr>
              <w:t>竞标</w:t>
            </w:r>
            <w:r>
              <w:rPr>
                <w:rFonts w:ascii="宋体" w:hAnsi="宋体"/>
                <w:kern w:val="0"/>
              </w:rPr>
              <w:t>文件格式</w:t>
            </w:r>
          </w:p>
        </w:tc>
        <w:tc>
          <w:tcPr>
            <w:tcW w:w="5493" w:type="dxa"/>
            <w:vAlign w:val="center"/>
          </w:tcPr>
          <w:p>
            <w:pPr>
              <w:keepNext w:val="0"/>
              <w:keepLines w:val="0"/>
              <w:pageBreakBefore w:val="0"/>
              <w:widowControl w:val="0"/>
              <w:kinsoku/>
              <w:wordWrap/>
              <w:overflowPunct/>
              <w:topLinePunct w:val="0"/>
              <w:bidi w:val="0"/>
              <w:spacing w:line="400" w:lineRule="exact"/>
              <w:ind w:firstLine="420" w:firstLineChars="200"/>
              <w:jc w:val="left"/>
              <w:textAlignment w:val="auto"/>
              <w:rPr>
                <w:rFonts w:ascii="宋体" w:hAnsi="宋体"/>
                <w:kern w:val="0"/>
              </w:rPr>
            </w:pPr>
            <w:r>
              <w:rPr>
                <w:rFonts w:ascii="宋体" w:hAnsi="宋体"/>
                <w:kern w:val="0"/>
              </w:rPr>
              <w:t>符合</w:t>
            </w:r>
            <w:r>
              <w:rPr>
                <w:rFonts w:hint="eastAsia" w:ascii="宋体" w:hAnsi="宋体"/>
                <w:kern w:val="0"/>
              </w:rPr>
              <w:t>第二</w:t>
            </w:r>
            <w:r>
              <w:rPr>
                <w:rFonts w:ascii="宋体" w:hAnsi="宋体"/>
                <w:kern w:val="0"/>
              </w:rPr>
              <w:t>章“</w:t>
            </w:r>
            <w:r>
              <w:rPr>
                <w:rFonts w:hint="eastAsia" w:ascii="宋体" w:hAnsi="宋体"/>
                <w:kern w:val="0"/>
                <w:lang w:eastAsia="zh-CN"/>
              </w:rPr>
              <w:t>竞标</w:t>
            </w:r>
            <w:r>
              <w:rPr>
                <w:rFonts w:ascii="宋体" w:hAnsi="宋体"/>
                <w:kern w:val="0"/>
              </w:rPr>
              <w:t>人</w:t>
            </w:r>
            <w:r>
              <w:rPr>
                <w:rFonts w:hint="eastAsia" w:ascii="宋体" w:hAnsi="宋体"/>
                <w:kern w:val="0"/>
              </w:rPr>
              <w:t>须知</w:t>
            </w:r>
            <w:r>
              <w:rPr>
                <w:rFonts w:ascii="宋体" w:hAnsi="宋体"/>
                <w:kern w:val="0"/>
              </w:rPr>
              <w:t>”</w:t>
            </w:r>
            <w:r>
              <w:rPr>
                <w:rFonts w:hint="eastAsia" w:ascii="宋体" w:hAnsi="宋体"/>
                <w:kern w:val="0"/>
              </w:rPr>
              <w:t>第3.7款</w:t>
            </w:r>
            <w:r>
              <w:rPr>
                <w:rFonts w:ascii="宋体" w:hAnsi="宋体"/>
                <w:kern w:val="0"/>
              </w:rPr>
              <w:t>的要求。</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851" w:type="dxa"/>
            <w:gridSpan w:val="2"/>
            <w:vMerge w:val="continue"/>
          </w:tcPr>
          <w:p>
            <w:pPr>
              <w:keepNext w:val="0"/>
              <w:keepLines w:val="0"/>
              <w:pageBreakBefore w:val="0"/>
              <w:widowControl w:val="0"/>
              <w:kinsoku/>
              <w:wordWrap/>
              <w:overflowPunct/>
              <w:topLinePunct w:val="0"/>
              <w:bidi w:val="0"/>
              <w:spacing w:line="400" w:lineRule="exact"/>
              <w:textAlignment w:val="auto"/>
              <w:rPr>
                <w:rFonts w:ascii="宋体" w:hAnsi="宋体"/>
              </w:rPr>
            </w:pPr>
          </w:p>
        </w:tc>
        <w:tc>
          <w:tcPr>
            <w:tcW w:w="567" w:type="dxa"/>
            <w:vMerge w:val="continue"/>
          </w:tcPr>
          <w:p>
            <w:pPr>
              <w:keepNext w:val="0"/>
              <w:keepLines w:val="0"/>
              <w:pageBreakBefore w:val="0"/>
              <w:widowControl w:val="0"/>
              <w:kinsoku/>
              <w:wordWrap/>
              <w:overflowPunct/>
              <w:topLinePunct w:val="0"/>
              <w:bidi w:val="0"/>
              <w:spacing w:line="400" w:lineRule="exact"/>
              <w:textAlignment w:val="auto"/>
              <w:rPr>
                <w:rFonts w:ascii="宋体" w:hAnsi="宋体"/>
              </w:rPr>
            </w:pPr>
          </w:p>
        </w:tc>
        <w:tc>
          <w:tcPr>
            <w:tcW w:w="2559" w:type="dxa"/>
            <w:gridSpan w:val="4"/>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spacing w:line="400" w:lineRule="exact"/>
              <w:jc w:val="center"/>
              <w:textAlignment w:val="auto"/>
              <w:rPr>
                <w:rFonts w:ascii="宋体" w:hAnsi="宋体"/>
                <w:kern w:val="0"/>
              </w:rPr>
            </w:pPr>
            <w:r>
              <w:rPr>
                <w:rFonts w:hint="eastAsia" w:ascii="宋体" w:hAnsi="宋体"/>
                <w:kern w:val="0"/>
                <w:lang w:eastAsia="zh-CN"/>
              </w:rPr>
              <w:t>竞标</w:t>
            </w:r>
            <w:r>
              <w:rPr>
                <w:rFonts w:hint="eastAsia" w:ascii="宋体" w:hAnsi="宋体"/>
                <w:kern w:val="0"/>
              </w:rPr>
              <w:t>文件份数</w:t>
            </w:r>
          </w:p>
        </w:tc>
        <w:tc>
          <w:tcPr>
            <w:tcW w:w="5493" w:type="dxa"/>
            <w:vAlign w:val="center"/>
          </w:tcPr>
          <w:p>
            <w:pPr>
              <w:keepNext w:val="0"/>
              <w:keepLines w:val="0"/>
              <w:pageBreakBefore w:val="0"/>
              <w:widowControl w:val="0"/>
              <w:kinsoku/>
              <w:wordWrap/>
              <w:overflowPunct/>
              <w:topLinePunct w:val="0"/>
              <w:bidi w:val="0"/>
              <w:spacing w:line="400" w:lineRule="exact"/>
              <w:ind w:firstLine="420" w:firstLineChars="200"/>
              <w:jc w:val="left"/>
              <w:textAlignment w:val="auto"/>
              <w:rPr>
                <w:rFonts w:ascii="宋体" w:hAnsi="宋体"/>
                <w:kern w:val="0"/>
              </w:rPr>
            </w:pPr>
            <w:r>
              <w:rPr>
                <w:rFonts w:hint="eastAsia" w:ascii="宋体" w:hAnsi="宋体"/>
                <w:kern w:val="0"/>
              </w:rPr>
              <w:t>符合第二章“</w:t>
            </w:r>
            <w:r>
              <w:rPr>
                <w:rFonts w:hint="eastAsia" w:ascii="宋体" w:hAnsi="宋体"/>
                <w:kern w:val="0"/>
                <w:lang w:eastAsia="zh-CN"/>
              </w:rPr>
              <w:t>竞标</w:t>
            </w:r>
            <w:r>
              <w:rPr>
                <w:rFonts w:ascii="宋体" w:hAnsi="宋体"/>
                <w:kern w:val="0"/>
              </w:rPr>
              <w:t>人</w:t>
            </w:r>
            <w:r>
              <w:rPr>
                <w:rFonts w:hint="eastAsia" w:ascii="宋体" w:hAnsi="宋体"/>
                <w:kern w:val="0"/>
              </w:rPr>
              <w:t>须知”第3.7.4项规定。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851" w:type="dxa"/>
            <w:gridSpan w:val="2"/>
            <w:vMerge w:val="continue"/>
          </w:tcPr>
          <w:p>
            <w:pPr>
              <w:keepNext w:val="0"/>
              <w:keepLines w:val="0"/>
              <w:pageBreakBefore w:val="0"/>
              <w:widowControl w:val="0"/>
              <w:kinsoku/>
              <w:wordWrap/>
              <w:overflowPunct/>
              <w:topLinePunct w:val="0"/>
              <w:bidi w:val="0"/>
              <w:spacing w:line="400" w:lineRule="exact"/>
              <w:textAlignment w:val="auto"/>
              <w:rPr>
                <w:rFonts w:ascii="宋体" w:hAnsi="宋体"/>
              </w:rPr>
            </w:pPr>
          </w:p>
        </w:tc>
        <w:tc>
          <w:tcPr>
            <w:tcW w:w="567" w:type="dxa"/>
            <w:vMerge w:val="continue"/>
          </w:tcPr>
          <w:p>
            <w:pPr>
              <w:keepNext w:val="0"/>
              <w:keepLines w:val="0"/>
              <w:pageBreakBefore w:val="0"/>
              <w:widowControl w:val="0"/>
              <w:kinsoku/>
              <w:wordWrap/>
              <w:overflowPunct/>
              <w:topLinePunct w:val="0"/>
              <w:bidi w:val="0"/>
              <w:spacing w:line="400" w:lineRule="exact"/>
              <w:textAlignment w:val="auto"/>
              <w:rPr>
                <w:rFonts w:ascii="宋体" w:hAnsi="宋体"/>
              </w:rPr>
            </w:pPr>
          </w:p>
        </w:tc>
        <w:tc>
          <w:tcPr>
            <w:tcW w:w="2559" w:type="dxa"/>
            <w:gridSpan w:val="4"/>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spacing w:line="400" w:lineRule="exact"/>
              <w:jc w:val="center"/>
              <w:textAlignment w:val="auto"/>
              <w:rPr>
                <w:rFonts w:ascii="宋体" w:hAnsi="宋体"/>
                <w:kern w:val="0"/>
              </w:rPr>
            </w:pPr>
            <w:r>
              <w:rPr>
                <w:rFonts w:ascii="宋体" w:hAnsi="宋体"/>
                <w:kern w:val="0"/>
              </w:rPr>
              <w:t>报价唯一</w:t>
            </w:r>
          </w:p>
        </w:tc>
        <w:tc>
          <w:tcPr>
            <w:tcW w:w="5493" w:type="dxa"/>
            <w:vAlign w:val="center"/>
          </w:tcPr>
          <w:p>
            <w:pPr>
              <w:keepNext w:val="0"/>
              <w:keepLines w:val="0"/>
              <w:pageBreakBefore w:val="0"/>
              <w:widowControl w:val="0"/>
              <w:kinsoku/>
              <w:wordWrap/>
              <w:overflowPunct/>
              <w:topLinePunct w:val="0"/>
              <w:bidi w:val="0"/>
              <w:spacing w:line="400" w:lineRule="exact"/>
              <w:ind w:firstLine="420" w:firstLineChars="200"/>
              <w:jc w:val="left"/>
              <w:textAlignment w:val="auto"/>
              <w:rPr>
                <w:rFonts w:ascii="宋体" w:hAnsi="宋体"/>
                <w:kern w:val="0"/>
              </w:rPr>
            </w:pPr>
            <w:r>
              <w:rPr>
                <w:rFonts w:ascii="宋体" w:hAnsi="宋体"/>
                <w:kern w:val="0"/>
              </w:rPr>
              <w:t>只能有一个有效报价，在</w:t>
            </w:r>
            <w:r>
              <w:rPr>
                <w:rFonts w:hint="eastAsia" w:ascii="宋体" w:hAnsi="宋体"/>
                <w:kern w:val="0"/>
              </w:rPr>
              <w:t>比选</w:t>
            </w:r>
            <w:r>
              <w:rPr>
                <w:rFonts w:ascii="宋体" w:hAnsi="宋体"/>
                <w:kern w:val="0"/>
              </w:rPr>
              <w:t>文件没有规定的情况下，不得提交选择性报价。</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851" w:type="dxa"/>
            <w:gridSpan w:val="2"/>
            <w:vMerge w:val="continue"/>
          </w:tcPr>
          <w:p>
            <w:pPr>
              <w:keepNext w:val="0"/>
              <w:keepLines w:val="0"/>
              <w:pageBreakBefore w:val="0"/>
              <w:widowControl w:val="0"/>
              <w:kinsoku/>
              <w:wordWrap/>
              <w:overflowPunct/>
              <w:topLinePunct w:val="0"/>
              <w:bidi w:val="0"/>
              <w:spacing w:line="400" w:lineRule="exact"/>
              <w:textAlignment w:val="auto"/>
              <w:rPr>
                <w:rFonts w:ascii="宋体" w:hAnsi="宋体"/>
              </w:rPr>
            </w:pPr>
          </w:p>
        </w:tc>
        <w:tc>
          <w:tcPr>
            <w:tcW w:w="567" w:type="dxa"/>
            <w:vMerge w:val="continue"/>
          </w:tcPr>
          <w:p>
            <w:pPr>
              <w:keepNext w:val="0"/>
              <w:keepLines w:val="0"/>
              <w:pageBreakBefore w:val="0"/>
              <w:widowControl w:val="0"/>
              <w:kinsoku/>
              <w:wordWrap/>
              <w:overflowPunct/>
              <w:topLinePunct w:val="0"/>
              <w:bidi w:val="0"/>
              <w:spacing w:line="400" w:lineRule="exact"/>
              <w:textAlignment w:val="auto"/>
              <w:rPr>
                <w:rFonts w:ascii="宋体" w:hAnsi="宋体"/>
              </w:rPr>
            </w:pPr>
          </w:p>
        </w:tc>
        <w:tc>
          <w:tcPr>
            <w:tcW w:w="2559" w:type="dxa"/>
            <w:gridSpan w:val="4"/>
            <w:tcBorders>
              <w:top w:val="single" w:color="auto" w:sz="4" w:space="0"/>
              <w:bottom w:val="single" w:color="auto" w:sz="4" w:space="0"/>
            </w:tcBorders>
            <w:vAlign w:val="center"/>
          </w:tcPr>
          <w:p>
            <w:pPr>
              <w:keepNext w:val="0"/>
              <w:keepLines w:val="0"/>
              <w:pageBreakBefore w:val="0"/>
              <w:widowControl w:val="0"/>
              <w:kinsoku/>
              <w:wordWrap/>
              <w:overflowPunct/>
              <w:topLinePunct w:val="0"/>
              <w:bidi w:val="0"/>
              <w:spacing w:line="400" w:lineRule="exact"/>
              <w:jc w:val="center"/>
              <w:textAlignment w:val="auto"/>
              <w:rPr>
                <w:rFonts w:ascii="宋体" w:hAnsi="宋体"/>
                <w:kern w:val="0"/>
              </w:rPr>
            </w:pPr>
            <w:r>
              <w:rPr>
                <w:rFonts w:hint="eastAsia" w:ascii="宋体" w:hAnsi="宋体"/>
                <w:kern w:val="0"/>
                <w:lang w:eastAsia="zh-CN"/>
              </w:rPr>
              <w:t>竞标</w:t>
            </w:r>
            <w:r>
              <w:rPr>
                <w:rFonts w:ascii="宋体" w:hAnsi="宋体"/>
                <w:kern w:val="0"/>
              </w:rPr>
              <w:t>文件的签署</w:t>
            </w:r>
          </w:p>
        </w:tc>
        <w:tc>
          <w:tcPr>
            <w:tcW w:w="5493" w:type="dxa"/>
            <w:tcBorders>
              <w:bottom w:val="single" w:color="auto" w:sz="4" w:space="0"/>
            </w:tcBorders>
            <w:vAlign w:val="center"/>
          </w:tcPr>
          <w:p>
            <w:pPr>
              <w:keepNext w:val="0"/>
              <w:keepLines w:val="0"/>
              <w:pageBreakBefore w:val="0"/>
              <w:widowControl w:val="0"/>
              <w:kinsoku/>
              <w:wordWrap/>
              <w:overflowPunct/>
              <w:topLinePunct w:val="0"/>
              <w:bidi w:val="0"/>
              <w:spacing w:line="400" w:lineRule="exact"/>
              <w:ind w:firstLine="420" w:firstLineChars="200"/>
              <w:jc w:val="left"/>
              <w:textAlignment w:val="auto"/>
              <w:rPr>
                <w:rFonts w:ascii="宋体" w:hAnsi="宋体"/>
                <w:kern w:val="0"/>
              </w:rPr>
            </w:pPr>
            <w:r>
              <w:rPr>
                <w:rFonts w:hint="eastAsia" w:ascii="宋体" w:hAnsi="宋体"/>
                <w:kern w:val="0"/>
              </w:rPr>
              <w:t>第八章 比选</w:t>
            </w:r>
            <w:r>
              <w:rPr>
                <w:rFonts w:ascii="宋体" w:hAnsi="宋体"/>
                <w:kern w:val="0"/>
              </w:rPr>
              <w:t>文件</w:t>
            </w:r>
            <w:r>
              <w:rPr>
                <w:rFonts w:hint="eastAsia" w:ascii="宋体" w:hAnsi="宋体"/>
                <w:kern w:val="0"/>
              </w:rPr>
              <w:t>格式要求</w:t>
            </w:r>
            <w:r>
              <w:rPr>
                <w:rFonts w:ascii="宋体" w:hAnsi="宋体"/>
                <w:kern w:val="0"/>
              </w:rPr>
              <w:t>法定代表人或其委托代理人</w:t>
            </w:r>
            <w:r>
              <w:rPr>
                <w:rFonts w:hint="eastAsia" w:ascii="宋体" w:hAnsi="宋体"/>
                <w:kern w:val="0"/>
              </w:rPr>
              <w:t>签名</w:t>
            </w:r>
            <w:r>
              <w:rPr>
                <w:rFonts w:ascii="宋体" w:hAnsi="宋体"/>
                <w:kern w:val="0"/>
              </w:rPr>
              <w:t>（或盖章）</w:t>
            </w:r>
            <w:r>
              <w:rPr>
                <w:rFonts w:hint="eastAsia" w:ascii="宋体" w:hAnsi="宋体"/>
                <w:kern w:val="0"/>
              </w:rPr>
              <w:t>的须</w:t>
            </w:r>
            <w:r>
              <w:rPr>
                <w:rFonts w:ascii="宋体" w:hAnsi="宋体"/>
                <w:kern w:val="0"/>
              </w:rPr>
              <w:t>齐全。</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851" w:type="dxa"/>
            <w:gridSpan w:val="2"/>
            <w:vMerge w:val="continue"/>
          </w:tcPr>
          <w:p>
            <w:pPr>
              <w:keepNext w:val="0"/>
              <w:keepLines w:val="0"/>
              <w:pageBreakBefore w:val="0"/>
              <w:widowControl w:val="0"/>
              <w:kinsoku/>
              <w:wordWrap/>
              <w:overflowPunct/>
              <w:topLinePunct w:val="0"/>
              <w:bidi w:val="0"/>
              <w:spacing w:line="400" w:lineRule="exact"/>
              <w:textAlignment w:val="auto"/>
              <w:rPr>
                <w:rFonts w:ascii="宋体" w:hAnsi="宋体"/>
              </w:rPr>
            </w:pPr>
          </w:p>
        </w:tc>
        <w:tc>
          <w:tcPr>
            <w:tcW w:w="567" w:type="dxa"/>
            <w:vMerge w:val="continue"/>
            <w:tcBorders>
              <w:right w:val="single" w:color="auto" w:sz="4" w:space="0"/>
            </w:tcBorders>
          </w:tcPr>
          <w:p>
            <w:pPr>
              <w:keepNext w:val="0"/>
              <w:keepLines w:val="0"/>
              <w:pageBreakBefore w:val="0"/>
              <w:widowControl w:val="0"/>
              <w:kinsoku/>
              <w:wordWrap/>
              <w:overflowPunct/>
              <w:topLinePunct w:val="0"/>
              <w:bidi w:val="0"/>
              <w:spacing w:line="400" w:lineRule="exact"/>
              <w:textAlignment w:val="auto"/>
              <w:rPr>
                <w:rFonts w:ascii="宋体" w:hAnsi="宋体"/>
              </w:rPr>
            </w:pPr>
          </w:p>
        </w:tc>
        <w:tc>
          <w:tcPr>
            <w:tcW w:w="2559" w:type="dxa"/>
            <w:gridSpan w:val="4"/>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bidi w:val="0"/>
              <w:spacing w:line="400" w:lineRule="exact"/>
              <w:jc w:val="center"/>
              <w:textAlignment w:val="auto"/>
              <w:rPr>
                <w:rFonts w:ascii="宋体" w:hAnsi="宋体"/>
                <w:kern w:val="0"/>
              </w:rPr>
            </w:pPr>
            <w:r>
              <w:rPr>
                <w:rFonts w:ascii="宋体" w:hAnsi="宋体"/>
                <w:kern w:val="0"/>
              </w:rPr>
              <w:t>委托代理人</w:t>
            </w:r>
          </w:p>
        </w:tc>
        <w:tc>
          <w:tcPr>
            <w:tcW w:w="5493"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400" w:lineRule="exact"/>
              <w:ind w:firstLine="420" w:firstLineChars="200"/>
              <w:jc w:val="left"/>
              <w:textAlignment w:val="auto"/>
              <w:rPr>
                <w:rFonts w:ascii="宋体" w:hAnsi="宋体"/>
                <w:kern w:val="0"/>
              </w:rPr>
            </w:pPr>
            <w:r>
              <w:rPr>
                <w:rFonts w:hint="eastAsia" w:ascii="宋体" w:hAnsi="宋体"/>
                <w:kern w:val="0"/>
                <w:lang w:eastAsia="zh-CN"/>
              </w:rPr>
              <w:t>竞标</w:t>
            </w:r>
            <w:r>
              <w:rPr>
                <w:rFonts w:ascii="宋体" w:hAnsi="宋体"/>
                <w:kern w:val="0"/>
              </w:rPr>
              <w:t>人法定代表人的委托代理人有法定代表人签署的授权委托书</w:t>
            </w:r>
            <w:r>
              <w:rPr>
                <w:rFonts w:hint="eastAsia" w:ascii="宋体" w:hAnsi="宋体"/>
                <w:kern w:val="0"/>
              </w:rPr>
              <w:t>和</w:t>
            </w:r>
            <w:r>
              <w:rPr>
                <w:rFonts w:hint="eastAsia" w:ascii="宋体" w:hAnsi="宋体"/>
                <w:kern w:val="0"/>
                <w:lang w:eastAsia="zh-CN"/>
              </w:rPr>
              <w:t>竞标</w:t>
            </w:r>
            <w:r>
              <w:rPr>
                <w:rFonts w:ascii="宋体" w:hAnsi="宋体"/>
                <w:kern w:val="0"/>
              </w:rPr>
              <w:t>人</w:t>
            </w:r>
            <w:r>
              <w:rPr>
                <w:rFonts w:hint="eastAsia" w:ascii="宋体" w:hAnsi="宋体"/>
                <w:kern w:val="0"/>
              </w:rPr>
              <w:t>为其缴纳的养老保险。</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851" w:type="dxa"/>
            <w:gridSpan w:val="2"/>
            <w:vMerge w:val="restart"/>
            <w:vAlign w:val="center"/>
          </w:tcPr>
          <w:p>
            <w:pPr>
              <w:keepNext w:val="0"/>
              <w:keepLines w:val="0"/>
              <w:pageBreakBefore w:val="0"/>
              <w:widowControl w:val="0"/>
              <w:kinsoku/>
              <w:wordWrap/>
              <w:overflowPunct/>
              <w:topLinePunct w:val="0"/>
              <w:bidi w:val="0"/>
              <w:spacing w:line="400" w:lineRule="exact"/>
              <w:jc w:val="center"/>
              <w:textAlignment w:val="auto"/>
              <w:rPr>
                <w:rFonts w:ascii="宋体" w:hAnsi="宋体"/>
              </w:rPr>
            </w:pPr>
            <w:r>
              <w:rPr>
                <w:rFonts w:ascii="宋体" w:hAnsi="宋体"/>
                <w:kern w:val="0"/>
              </w:rPr>
              <w:t>2.1.3</w:t>
            </w:r>
          </w:p>
        </w:tc>
        <w:tc>
          <w:tcPr>
            <w:tcW w:w="567" w:type="dxa"/>
            <w:vMerge w:val="restart"/>
            <w:vAlign w:val="center"/>
          </w:tcPr>
          <w:p>
            <w:pPr>
              <w:keepNext w:val="0"/>
              <w:keepLines w:val="0"/>
              <w:pageBreakBefore w:val="0"/>
              <w:widowControl w:val="0"/>
              <w:kinsoku/>
              <w:wordWrap/>
              <w:overflowPunct/>
              <w:topLinePunct w:val="0"/>
              <w:bidi w:val="0"/>
              <w:spacing w:line="400" w:lineRule="exact"/>
              <w:jc w:val="center"/>
              <w:textAlignment w:val="auto"/>
              <w:rPr>
                <w:rFonts w:ascii="宋体" w:hAnsi="宋体"/>
              </w:rPr>
            </w:pPr>
            <w:r>
              <w:rPr>
                <w:rFonts w:ascii="宋体" w:hAnsi="宋体"/>
                <w:kern w:val="0"/>
              </w:rPr>
              <w:t>响应性评审标准</w:t>
            </w:r>
          </w:p>
        </w:tc>
        <w:tc>
          <w:tcPr>
            <w:tcW w:w="2559" w:type="dxa"/>
            <w:gridSpan w:val="4"/>
            <w:tcBorders>
              <w:top w:val="single" w:color="auto" w:sz="4" w:space="0"/>
            </w:tcBorders>
            <w:vAlign w:val="center"/>
          </w:tcPr>
          <w:p>
            <w:pPr>
              <w:keepNext w:val="0"/>
              <w:keepLines w:val="0"/>
              <w:pageBreakBefore w:val="0"/>
              <w:widowControl w:val="0"/>
              <w:kinsoku/>
              <w:wordWrap/>
              <w:overflowPunct/>
              <w:topLinePunct w:val="0"/>
              <w:bidi w:val="0"/>
              <w:spacing w:line="400" w:lineRule="exact"/>
              <w:jc w:val="center"/>
              <w:textAlignment w:val="auto"/>
              <w:rPr>
                <w:rFonts w:ascii="宋体" w:hAnsi="宋体"/>
                <w:kern w:val="0"/>
              </w:rPr>
            </w:pPr>
            <w:r>
              <w:rPr>
                <w:rFonts w:hint="eastAsia" w:ascii="宋体" w:hAnsi="宋体"/>
                <w:kern w:val="0"/>
              </w:rPr>
              <w:t>竞标</w:t>
            </w:r>
            <w:r>
              <w:rPr>
                <w:rFonts w:ascii="宋体" w:hAnsi="宋体"/>
                <w:kern w:val="0"/>
              </w:rPr>
              <w:t>总报价</w:t>
            </w:r>
          </w:p>
        </w:tc>
        <w:tc>
          <w:tcPr>
            <w:tcW w:w="5493" w:type="dxa"/>
            <w:tcBorders>
              <w:top w:val="single" w:color="auto" w:sz="4" w:space="0"/>
            </w:tcBorders>
            <w:vAlign w:val="center"/>
          </w:tcPr>
          <w:p>
            <w:pPr>
              <w:keepNext w:val="0"/>
              <w:keepLines w:val="0"/>
              <w:pageBreakBefore w:val="0"/>
              <w:widowControl w:val="0"/>
              <w:kinsoku/>
              <w:wordWrap/>
              <w:overflowPunct/>
              <w:topLinePunct w:val="0"/>
              <w:bidi w:val="0"/>
              <w:spacing w:line="400" w:lineRule="exact"/>
              <w:ind w:firstLine="420" w:firstLineChars="200"/>
              <w:jc w:val="left"/>
              <w:textAlignment w:val="auto"/>
              <w:rPr>
                <w:rFonts w:ascii="宋体" w:hAnsi="宋体"/>
                <w:kern w:val="0"/>
              </w:rPr>
            </w:pPr>
            <w:r>
              <w:rPr>
                <w:rFonts w:hint="eastAsia" w:ascii="宋体" w:hAnsi="宋体"/>
                <w:kern w:val="0"/>
              </w:rPr>
              <w:t>1.</w:t>
            </w:r>
            <w:r>
              <w:rPr>
                <w:rFonts w:hint="eastAsia" w:ascii="宋体" w:hAnsi="宋体" w:cs="宋体"/>
                <w:szCs w:val="21"/>
              </w:rPr>
              <w:t>竞标总报价必须与已标价工程量清单总报价一致。</w:t>
            </w:r>
          </w:p>
          <w:p>
            <w:pPr>
              <w:keepNext w:val="0"/>
              <w:keepLines w:val="0"/>
              <w:pageBreakBefore w:val="0"/>
              <w:widowControl w:val="0"/>
              <w:kinsoku/>
              <w:wordWrap/>
              <w:overflowPunct/>
              <w:topLinePunct w:val="0"/>
              <w:bidi w:val="0"/>
              <w:spacing w:line="400" w:lineRule="exact"/>
              <w:ind w:firstLine="420" w:firstLineChars="200"/>
              <w:jc w:val="left"/>
              <w:textAlignment w:val="auto"/>
              <w:rPr>
                <w:rFonts w:ascii="宋体" w:hAnsi="宋体"/>
                <w:kern w:val="0"/>
              </w:rPr>
            </w:pPr>
            <w:r>
              <w:rPr>
                <w:rFonts w:hint="eastAsia" w:ascii="宋体" w:hAnsi="宋体"/>
                <w:kern w:val="0"/>
              </w:rPr>
              <w:t>2</w:t>
            </w:r>
            <w:r>
              <w:rPr>
                <w:rFonts w:ascii="宋体" w:hAnsi="宋体"/>
                <w:kern w:val="0"/>
              </w:rPr>
              <w:t>.</w:t>
            </w:r>
            <w:r>
              <w:rPr>
                <w:rFonts w:hint="eastAsia" w:ascii="宋体" w:hAnsi="宋体"/>
                <w:kern w:val="0"/>
              </w:rPr>
              <w:t>竞标</w:t>
            </w:r>
            <w:r>
              <w:rPr>
                <w:rFonts w:ascii="宋体" w:hAnsi="宋体"/>
                <w:kern w:val="0"/>
              </w:rPr>
              <w:t>总报价不得高于</w:t>
            </w:r>
            <w:r>
              <w:rPr>
                <w:rFonts w:hint="eastAsia" w:ascii="宋体" w:hAnsi="宋体"/>
                <w:kern w:val="0"/>
              </w:rPr>
              <w:t>比选</w:t>
            </w:r>
            <w:r>
              <w:rPr>
                <w:rFonts w:ascii="宋体" w:hAnsi="宋体"/>
                <w:kern w:val="0"/>
              </w:rPr>
              <w:t>人公布的</w:t>
            </w:r>
            <w:r>
              <w:rPr>
                <w:rFonts w:hint="eastAsia" w:ascii="宋体" w:hAnsi="宋体"/>
                <w:kern w:val="0"/>
              </w:rPr>
              <w:t>竞标</w:t>
            </w:r>
            <w:r>
              <w:rPr>
                <w:rFonts w:ascii="宋体" w:hAnsi="宋体"/>
                <w:kern w:val="0"/>
              </w:rPr>
              <w:t>总报价最高限价</w:t>
            </w:r>
            <w:r>
              <w:rPr>
                <w:rFonts w:hint="eastAsia" w:ascii="宋体" w:hAnsi="宋体"/>
                <w:kern w:val="0"/>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851" w:type="dxa"/>
            <w:gridSpan w:val="2"/>
            <w:vMerge w:val="continue"/>
            <w:vAlign w:val="center"/>
          </w:tcPr>
          <w:p>
            <w:pPr>
              <w:keepNext w:val="0"/>
              <w:keepLines w:val="0"/>
              <w:pageBreakBefore w:val="0"/>
              <w:widowControl w:val="0"/>
              <w:kinsoku/>
              <w:wordWrap/>
              <w:overflowPunct/>
              <w:topLinePunct w:val="0"/>
              <w:bidi w:val="0"/>
              <w:spacing w:line="400" w:lineRule="exact"/>
              <w:jc w:val="center"/>
              <w:textAlignment w:val="auto"/>
              <w:rPr>
                <w:rFonts w:ascii="宋体" w:hAnsi="宋体"/>
                <w:kern w:val="0"/>
              </w:rPr>
            </w:pPr>
          </w:p>
        </w:tc>
        <w:tc>
          <w:tcPr>
            <w:tcW w:w="567" w:type="dxa"/>
            <w:vMerge w:val="continue"/>
            <w:textDirection w:val="tbRlV"/>
            <w:vAlign w:val="center"/>
          </w:tcPr>
          <w:p>
            <w:pPr>
              <w:keepNext w:val="0"/>
              <w:keepLines w:val="0"/>
              <w:pageBreakBefore w:val="0"/>
              <w:widowControl w:val="0"/>
              <w:kinsoku/>
              <w:wordWrap/>
              <w:overflowPunct/>
              <w:topLinePunct w:val="0"/>
              <w:bidi w:val="0"/>
              <w:spacing w:line="400" w:lineRule="exact"/>
              <w:jc w:val="center"/>
              <w:textAlignment w:val="auto"/>
              <w:rPr>
                <w:rFonts w:ascii="宋体" w:hAnsi="宋体"/>
                <w:kern w:val="0"/>
              </w:rPr>
            </w:pPr>
          </w:p>
        </w:tc>
        <w:tc>
          <w:tcPr>
            <w:tcW w:w="2559" w:type="dxa"/>
            <w:gridSpan w:val="4"/>
            <w:vAlign w:val="center"/>
          </w:tcPr>
          <w:p>
            <w:pPr>
              <w:keepNext w:val="0"/>
              <w:keepLines w:val="0"/>
              <w:pageBreakBefore w:val="0"/>
              <w:widowControl w:val="0"/>
              <w:kinsoku/>
              <w:wordWrap/>
              <w:overflowPunct/>
              <w:topLinePunct w:val="0"/>
              <w:bidi w:val="0"/>
              <w:spacing w:line="400" w:lineRule="exact"/>
              <w:jc w:val="center"/>
              <w:textAlignment w:val="auto"/>
              <w:rPr>
                <w:rFonts w:ascii="宋体" w:hAnsi="宋体"/>
                <w:kern w:val="0"/>
              </w:rPr>
            </w:pPr>
            <w:r>
              <w:rPr>
                <w:rFonts w:hint="eastAsia" w:ascii="宋体" w:hAnsi="宋体"/>
                <w:kern w:val="0"/>
              </w:rPr>
              <w:t>暂定金额</w:t>
            </w:r>
          </w:p>
        </w:tc>
        <w:tc>
          <w:tcPr>
            <w:tcW w:w="5493" w:type="dxa"/>
            <w:vAlign w:val="center"/>
          </w:tcPr>
          <w:p>
            <w:pPr>
              <w:keepNext w:val="0"/>
              <w:keepLines w:val="0"/>
              <w:pageBreakBefore w:val="0"/>
              <w:widowControl w:val="0"/>
              <w:kinsoku/>
              <w:wordWrap/>
              <w:overflowPunct/>
              <w:topLinePunct w:val="0"/>
              <w:bidi w:val="0"/>
              <w:spacing w:line="400" w:lineRule="exact"/>
              <w:ind w:firstLine="420" w:firstLineChars="200"/>
              <w:jc w:val="left"/>
              <w:textAlignment w:val="auto"/>
              <w:rPr>
                <w:rFonts w:ascii="宋体" w:hAnsi="宋体"/>
                <w:kern w:val="0"/>
              </w:rPr>
            </w:pPr>
            <w:r>
              <w:rPr>
                <w:rFonts w:hint="eastAsia" w:ascii="宋体" w:hAnsi="宋体"/>
                <w:kern w:val="0"/>
              </w:rPr>
              <w:t>暂列金额、暂估价、安全文明施工费等暂定金额必须按照比选文件给定的金额填报。</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851" w:type="dxa"/>
            <w:gridSpan w:val="2"/>
            <w:vMerge w:val="continue"/>
            <w:vAlign w:val="center"/>
          </w:tcPr>
          <w:p>
            <w:pPr>
              <w:keepNext w:val="0"/>
              <w:keepLines w:val="0"/>
              <w:pageBreakBefore w:val="0"/>
              <w:widowControl w:val="0"/>
              <w:kinsoku/>
              <w:wordWrap/>
              <w:overflowPunct/>
              <w:topLinePunct w:val="0"/>
              <w:bidi w:val="0"/>
              <w:spacing w:line="400" w:lineRule="exact"/>
              <w:jc w:val="center"/>
              <w:textAlignment w:val="auto"/>
              <w:rPr>
                <w:rFonts w:ascii="宋体" w:hAnsi="宋体"/>
                <w:kern w:val="0"/>
              </w:rPr>
            </w:pPr>
          </w:p>
        </w:tc>
        <w:tc>
          <w:tcPr>
            <w:tcW w:w="567" w:type="dxa"/>
            <w:vMerge w:val="continue"/>
            <w:textDirection w:val="tbRlV"/>
            <w:vAlign w:val="center"/>
          </w:tcPr>
          <w:p>
            <w:pPr>
              <w:keepNext w:val="0"/>
              <w:keepLines w:val="0"/>
              <w:pageBreakBefore w:val="0"/>
              <w:widowControl w:val="0"/>
              <w:kinsoku/>
              <w:wordWrap/>
              <w:overflowPunct/>
              <w:topLinePunct w:val="0"/>
              <w:bidi w:val="0"/>
              <w:spacing w:line="400" w:lineRule="exact"/>
              <w:jc w:val="center"/>
              <w:textAlignment w:val="auto"/>
              <w:rPr>
                <w:rFonts w:ascii="宋体" w:hAnsi="宋体"/>
                <w:kern w:val="0"/>
              </w:rPr>
            </w:pPr>
          </w:p>
        </w:tc>
        <w:tc>
          <w:tcPr>
            <w:tcW w:w="2559" w:type="dxa"/>
            <w:gridSpan w:val="4"/>
            <w:vAlign w:val="center"/>
          </w:tcPr>
          <w:p>
            <w:pPr>
              <w:keepNext w:val="0"/>
              <w:keepLines w:val="0"/>
              <w:pageBreakBefore w:val="0"/>
              <w:widowControl w:val="0"/>
              <w:kinsoku/>
              <w:wordWrap/>
              <w:overflowPunct/>
              <w:topLinePunct w:val="0"/>
              <w:bidi w:val="0"/>
              <w:spacing w:line="400" w:lineRule="exact"/>
              <w:jc w:val="center"/>
              <w:textAlignment w:val="auto"/>
              <w:rPr>
                <w:rFonts w:ascii="宋体" w:hAnsi="宋体"/>
                <w:kern w:val="0"/>
              </w:rPr>
            </w:pPr>
            <w:r>
              <w:rPr>
                <w:rFonts w:hint="eastAsia" w:ascii="宋体" w:hAnsi="宋体"/>
                <w:kern w:val="0"/>
              </w:rPr>
              <w:t>比选</w:t>
            </w:r>
            <w:r>
              <w:rPr>
                <w:rFonts w:ascii="宋体" w:hAnsi="宋体"/>
                <w:kern w:val="0"/>
              </w:rPr>
              <w:t>内容</w:t>
            </w:r>
          </w:p>
        </w:tc>
        <w:tc>
          <w:tcPr>
            <w:tcW w:w="5493" w:type="dxa"/>
            <w:vAlign w:val="center"/>
          </w:tcPr>
          <w:p>
            <w:pPr>
              <w:keepNext w:val="0"/>
              <w:keepLines w:val="0"/>
              <w:pageBreakBefore w:val="0"/>
              <w:widowControl w:val="0"/>
              <w:kinsoku/>
              <w:wordWrap/>
              <w:overflowPunct/>
              <w:topLinePunct w:val="0"/>
              <w:bidi w:val="0"/>
              <w:spacing w:line="400" w:lineRule="exact"/>
              <w:ind w:firstLine="420" w:firstLineChars="200"/>
              <w:jc w:val="left"/>
              <w:textAlignment w:val="auto"/>
              <w:rPr>
                <w:rFonts w:ascii="宋体" w:hAnsi="宋体"/>
                <w:kern w:val="0"/>
              </w:rPr>
            </w:pPr>
            <w:r>
              <w:rPr>
                <w:rFonts w:ascii="宋体" w:hAnsi="宋体"/>
                <w:kern w:val="0"/>
              </w:rPr>
              <w:t>符合第二章“</w:t>
            </w:r>
            <w:r>
              <w:rPr>
                <w:rFonts w:hint="eastAsia" w:ascii="宋体" w:hAnsi="宋体"/>
                <w:kern w:val="0"/>
                <w:lang w:eastAsia="zh-CN"/>
              </w:rPr>
              <w:t>竞标</w:t>
            </w:r>
            <w:r>
              <w:rPr>
                <w:rFonts w:ascii="宋体" w:hAnsi="宋体"/>
                <w:kern w:val="0"/>
              </w:rPr>
              <w:t>人须知”第1.3.1项规定</w:t>
            </w:r>
            <w:r>
              <w:rPr>
                <w:rFonts w:hint="eastAsia" w:ascii="宋体" w:hAnsi="宋体"/>
                <w:kern w:val="0"/>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851" w:type="dxa"/>
            <w:gridSpan w:val="2"/>
            <w:vMerge w:val="continue"/>
          </w:tcPr>
          <w:p>
            <w:pPr>
              <w:keepNext w:val="0"/>
              <w:keepLines w:val="0"/>
              <w:pageBreakBefore w:val="0"/>
              <w:widowControl w:val="0"/>
              <w:kinsoku/>
              <w:wordWrap/>
              <w:overflowPunct/>
              <w:topLinePunct w:val="0"/>
              <w:bidi w:val="0"/>
              <w:spacing w:line="400" w:lineRule="exact"/>
              <w:jc w:val="center"/>
              <w:textAlignment w:val="auto"/>
              <w:rPr>
                <w:rFonts w:ascii="宋体" w:hAnsi="宋体"/>
              </w:rPr>
            </w:pPr>
          </w:p>
        </w:tc>
        <w:tc>
          <w:tcPr>
            <w:tcW w:w="567" w:type="dxa"/>
            <w:vMerge w:val="continue"/>
          </w:tcPr>
          <w:p>
            <w:pPr>
              <w:keepNext w:val="0"/>
              <w:keepLines w:val="0"/>
              <w:pageBreakBefore w:val="0"/>
              <w:widowControl w:val="0"/>
              <w:kinsoku/>
              <w:wordWrap/>
              <w:overflowPunct/>
              <w:topLinePunct w:val="0"/>
              <w:bidi w:val="0"/>
              <w:spacing w:line="400" w:lineRule="exact"/>
              <w:jc w:val="center"/>
              <w:textAlignment w:val="auto"/>
              <w:rPr>
                <w:rFonts w:ascii="宋体" w:hAnsi="宋体"/>
              </w:rPr>
            </w:pPr>
          </w:p>
        </w:tc>
        <w:tc>
          <w:tcPr>
            <w:tcW w:w="2559" w:type="dxa"/>
            <w:gridSpan w:val="4"/>
            <w:vAlign w:val="center"/>
          </w:tcPr>
          <w:p>
            <w:pPr>
              <w:keepNext w:val="0"/>
              <w:keepLines w:val="0"/>
              <w:pageBreakBefore w:val="0"/>
              <w:widowControl w:val="0"/>
              <w:kinsoku/>
              <w:wordWrap/>
              <w:overflowPunct/>
              <w:topLinePunct w:val="0"/>
              <w:bidi w:val="0"/>
              <w:spacing w:line="400" w:lineRule="exact"/>
              <w:jc w:val="center"/>
              <w:textAlignment w:val="auto"/>
              <w:rPr>
                <w:rFonts w:ascii="宋体" w:hAnsi="宋体"/>
                <w:kern w:val="0"/>
              </w:rPr>
            </w:pPr>
            <w:r>
              <w:rPr>
                <w:rFonts w:ascii="宋体" w:hAnsi="宋体"/>
                <w:kern w:val="0"/>
              </w:rPr>
              <w:t>工期</w:t>
            </w:r>
          </w:p>
        </w:tc>
        <w:tc>
          <w:tcPr>
            <w:tcW w:w="5493" w:type="dxa"/>
            <w:vAlign w:val="center"/>
          </w:tcPr>
          <w:p>
            <w:pPr>
              <w:keepNext w:val="0"/>
              <w:keepLines w:val="0"/>
              <w:pageBreakBefore w:val="0"/>
              <w:widowControl w:val="0"/>
              <w:kinsoku/>
              <w:wordWrap/>
              <w:overflowPunct/>
              <w:topLinePunct w:val="0"/>
              <w:bidi w:val="0"/>
              <w:spacing w:line="400" w:lineRule="exact"/>
              <w:ind w:firstLine="420" w:firstLineChars="200"/>
              <w:jc w:val="left"/>
              <w:textAlignment w:val="auto"/>
              <w:rPr>
                <w:rFonts w:ascii="宋体" w:hAnsi="宋体"/>
                <w:kern w:val="0"/>
              </w:rPr>
            </w:pPr>
            <w:r>
              <w:rPr>
                <w:rFonts w:ascii="宋体" w:hAnsi="宋体"/>
                <w:kern w:val="0"/>
              </w:rPr>
              <w:t>符合第二章“</w:t>
            </w:r>
            <w:r>
              <w:rPr>
                <w:rFonts w:hint="eastAsia" w:ascii="宋体" w:hAnsi="宋体"/>
                <w:kern w:val="0"/>
                <w:lang w:eastAsia="zh-CN"/>
              </w:rPr>
              <w:t>竞标</w:t>
            </w:r>
            <w:r>
              <w:rPr>
                <w:rFonts w:ascii="宋体" w:hAnsi="宋体"/>
                <w:kern w:val="0"/>
              </w:rPr>
              <w:t>人须知”第1.3.2项规定</w:t>
            </w:r>
            <w:r>
              <w:rPr>
                <w:rFonts w:hint="eastAsia" w:ascii="宋体" w:hAnsi="宋体"/>
                <w:kern w:val="0"/>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851" w:type="dxa"/>
            <w:gridSpan w:val="2"/>
            <w:vMerge w:val="continue"/>
          </w:tcPr>
          <w:p>
            <w:pPr>
              <w:keepNext w:val="0"/>
              <w:keepLines w:val="0"/>
              <w:pageBreakBefore w:val="0"/>
              <w:widowControl w:val="0"/>
              <w:kinsoku/>
              <w:wordWrap/>
              <w:overflowPunct/>
              <w:topLinePunct w:val="0"/>
              <w:bidi w:val="0"/>
              <w:spacing w:line="400" w:lineRule="exact"/>
              <w:jc w:val="center"/>
              <w:textAlignment w:val="auto"/>
              <w:rPr>
                <w:rFonts w:ascii="宋体" w:hAnsi="宋体"/>
              </w:rPr>
            </w:pPr>
          </w:p>
        </w:tc>
        <w:tc>
          <w:tcPr>
            <w:tcW w:w="567" w:type="dxa"/>
            <w:vMerge w:val="continue"/>
          </w:tcPr>
          <w:p>
            <w:pPr>
              <w:keepNext w:val="0"/>
              <w:keepLines w:val="0"/>
              <w:pageBreakBefore w:val="0"/>
              <w:widowControl w:val="0"/>
              <w:kinsoku/>
              <w:wordWrap/>
              <w:overflowPunct/>
              <w:topLinePunct w:val="0"/>
              <w:bidi w:val="0"/>
              <w:spacing w:line="400" w:lineRule="exact"/>
              <w:jc w:val="center"/>
              <w:textAlignment w:val="auto"/>
              <w:rPr>
                <w:rFonts w:ascii="宋体" w:hAnsi="宋体"/>
              </w:rPr>
            </w:pPr>
          </w:p>
        </w:tc>
        <w:tc>
          <w:tcPr>
            <w:tcW w:w="2559" w:type="dxa"/>
            <w:gridSpan w:val="4"/>
            <w:vAlign w:val="center"/>
          </w:tcPr>
          <w:p>
            <w:pPr>
              <w:keepNext w:val="0"/>
              <w:keepLines w:val="0"/>
              <w:pageBreakBefore w:val="0"/>
              <w:widowControl w:val="0"/>
              <w:kinsoku/>
              <w:wordWrap/>
              <w:overflowPunct/>
              <w:topLinePunct w:val="0"/>
              <w:bidi w:val="0"/>
              <w:spacing w:line="400" w:lineRule="exact"/>
              <w:jc w:val="center"/>
              <w:textAlignment w:val="auto"/>
              <w:rPr>
                <w:rFonts w:ascii="宋体" w:hAnsi="宋体"/>
                <w:kern w:val="0"/>
              </w:rPr>
            </w:pPr>
            <w:r>
              <w:rPr>
                <w:rFonts w:ascii="宋体" w:hAnsi="宋体"/>
                <w:kern w:val="0"/>
              </w:rPr>
              <w:t>工程质量</w:t>
            </w:r>
          </w:p>
        </w:tc>
        <w:tc>
          <w:tcPr>
            <w:tcW w:w="5493" w:type="dxa"/>
            <w:vAlign w:val="center"/>
          </w:tcPr>
          <w:p>
            <w:pPr>
              <w:keepNext w:val="0"/>
              <w:keepLines w:val="0"/>
              <w:pageBreakBefore w:val="0"/>
              <w:widowControl w:val="0"/>
              <w:kinsoku/>
              <w:wordWrap/>
              <w:overflowPunct/>
              <w:topLinePunct w:val="0"/>
              <w:bidi w:val="0"/>
              <w:spacing w:line="400" w:lineRule="exact"/>
              <w:ind w:firstLine="420" w:firstLineChars="200"/>
              <w:jc w:val="left"/>
              <w:textAlignment w:val="auto"/>
              <w:rPr>
                <w:rFonts w:ascii="宋体" w:hAnsi="宋体"/>
                <w:kern w:val="0"/>
              </w:rPr>
            </w:pPr>
            <w:r>
              <w:rPr>
                <w:rFonts w:ascii="宋体" w:hAnsi="宋体"/>
                <w:kern w:val="0"/>
              </w:rPr>
              <w:t>符合第二章“</w:t>
            </w:r>
            <w:r>
              <w:rPr>
                <w:rFonts w:hint="eastAsia" w:ascii="宋体" w:hAnsi="宋体"/>
                <w:kern w:val="0"/>
                <w:lang w:eastAsia="zh-CN"/>
              </w:rPr>
              <w:t>竞标</w:t>
            </w:r>
            <w:r>
              <w:rPr>
                <w:rFonts w:ascii="宋体" w:hAnsi="宋体"/>
                <w:kern w:val="0"/>
              </w:rPr>
              <w:t>人须知”第1.3.3项规定</w:t>
            </w:r>
            <w:r>
              <w:rPr>
                <w:rFonts w:hint="eastAsia" w:ascii="宋体" w:hAnsi="宋体"/>
                <w:kern w:val="0"/>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851" w:type="dxa"/>
            <w:gridSpan w:val="2"/>
            <w:vMerge w:val="continue"/>
          </w:tcPr>
          <w:p>
            <w:pPr>
              <w:keepNext w:val="0"/>
              <w:keepLines w:val="0"/>
              <w:pageBreakBefore w:val="0"/>
              <w:widowControl w:val="0"/>
              <w:kinsoku/>
              <w:wordWrap/>
              <w:overflowPunct/>
              <w:topLinePunct w:val="0"/>
              <w:bidi w:val="0"/>
              <w:spacing w:line="400" w:lineRule="exact"/>
              <w:jc w:val="center"/>
              <w:textAlignment w:val="auto"/>
              <w:rPr>
                <w:rFonts w:ascii="宋体" w:hAnsi="宋体"/>
              </w:rPr>
            </w:pPr>
          </w:p>
        </w:tc>
        <w:tc>
          <w:tcPr>
            <w:tcW w:w="567" w:type="dxa"/>
            <w:vMerge w:val="continue"/>
          </w:tcPr>
          <w:p>
            <w:pPr>
              <w:keepNext w:val="0"/>
              <w:keepLines w:val="0"/>
              <w:pageBreakBefore w:val="0"/>
              <w:widowControl w:val="0"/>
              <w:kinsoku/>
              <w:wordWrap/>
              <w:overflowPunct/>
              <w:topLinePunct w:val="0"/>
              <w:bidi w:val="0"/>
              <w:spacing w:line="400" w:lineRule="exact"/>
              <w:jc w:val="center"/>
              <w:textAlignment w:val="auto"/>
              <w:rPr>
                <w:rFonts w:ascii="宋体" w:hAnsi="宋体"/>
              </w:rPr>
            </w:pPr>
          </w:p>
        </w:tc>
        <w:tc>
          <w:tcPr>
            <w:tcW w:w="2559" w:type="dxa"/>
            <w:gridSpan w:val="4"/>
            <w:vAlign w:val="center"/>
          </w:tcPr>
          <w:p>
            <w:pPr>
              <w:keepNext w:val="0"/>
              <w:keepLines w:val="0"/>
              <w:pageBreakBefore w:val="0"/>
              <w:widowControl w:val="0"/>
              <w:kinsoku/>
              <w:wordWrap/>
              <w:overflowPunct/>
              <w:topLinePunct w:val="0"/>
              <w:bidi w:val="0"/>
              <w:spacing w:line="400" w:lineRule="exact"/>
              <w:jc w:val="center"/>
              <w:textAlignment w:val="auto"/>
              <w:rPr>
                <w:rFonts w:ascii="宋体" w:hAnsi="宋体"/>
                <w:kern w:val="0"/>
              </w:rPr>
            </w:pPr>
            <w:r>
              <w:rPr>
                <w:rFonts w:hint="eastAsia" w:ascii="宋体" w:hAnsi="宋体"/>
                <w:kern w:val="0"/>
                <w:lang w:eastAsia="zh-CN"/>
              </w:rPr>
              <w:t>竞标</w:t>
            </w:r>
            <w:r>
              <w:rPr>
                <w:rFonts w:ascii="宋体" w:hAnsi="宋体"/>
                <w:kern w:val="0"/>
              </w:rPr>
              <w:t>有效期</w:t>
            </w:r>
          </w:p>
        </w:tc>
        <w:tc>
          <w:tcPr>
            <w:tcW w:w="5493" w:type="dxa"/>
            <w:vAlign w:val="center"/>
          </w:tcPr>
          <w:p>
            <w:pPr>
              <w:keepNext w:val="0"/>
              <w:keepLines w:val="0"/>
              <w:pageBreakBefore w:val="0"/>
              <w:widowControl w:val="0"/>
              <w:kinsoku/>
              <w:wordWrap/>
              <w:overflowPunct/>
              <w:topLinePunct w:val="0"/>
              <w:bidi w:val="0"/>
              <w:spacing w:line="400" w:lineRule="exact"/>
              <w:ind w:firstLine="420" w:firstLineChars="200"/>
              <w:jc w:val="left"/>
              <w:textAlignment w:val="auto"/>
              <w:rPr>
                <w:rFonts w:ascii="宋体" w:hAnsi="宋体"/>
                <w:kern w:val="0"/>
              </w:rPr>
            </w:pPr>
            <w:r>
              <w:rPr>
                <w:rFonts w:ascii="宋体" w:hAnsi="宋体"/>
                <w:kern w:val="0"/>
              </w:rPr>
              <w:t>符合第二章“</w:t>
            </w:r>
            <w:r>
              <w:rPr>
                <w:rFonts w:hint="eastAsia" w:ascii="宋体" w:hAnsi="宋体"/>
                <w:kern w:val="0"/>
                <w:lang w:eastAsia="zh-CN"/>
              </w:rPr>
              <w:t>竞标</w:t>
            </w:r>
            <w:r>
              <w:rPr>
                <w:rFonts w:ascii="宋体" w:hAnsi="宋体"/>
                <w:kern w:val="0"/>
              </w:rPr>
              <w:t>人须知”第3.3.1项规定</w:t>
            </w:r>
            <w:r>
              <w:rPr>
                <w:rFonts w:hint="eastAsia" w:ascii="宋体" w:hAnsi="宋体"/>
                <w:kern w:val="0"/>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851" w:type="dxa"/>
            <w:gridSpan w:val="2"/>
            <w:vMerge w:val="continue"/>
          </w:tcPr>
          <w:p>
            <w:pPr>
              <w:keepNext w:val="0"/>
              <w:keepLines w:val="0"/>
              <w:pageBreakBefore w:val="0"/>
              <w:widowControl w:val="0"/>
              <w:kinsoku/>
              <w:wordWrap/>
              <w:overflowPunct/>
              <w:topLinePunct w:val="0"/>
              <w:bidi w:val="0"/>
              <w:spacing w:line="400" w:lineRule="exact"/>
              <w:jc w:val="center"/>
              <w:textAlignment w:val="auto"/>
              <w:rPr>
                <w:rFonts w:ascii="宋体" w:hAnsi="宋体"/>
              </w:rPr>
            </w:pPr>
          </w:p>
        </w:tc>
        <w:tc>
          <w:tcPr>
            <w:tcW w:w="567" w:type="dxa"/>
            <w:vMerge w:val="continue"/>
          </w:tcPr>
          <w:p>
            <w:pPr>
              <w:keepNext w:val="0"/>
              <w:keepLines w:val="0"/>
              <w:pageBreakBefore w:val="0"/>
              <w:widowControl w:val="0"/>
              <w:kinsoku/>
              <w:wordWrap/>
              <w:overflowPunct/>
              <w:topLinePunct w:val="0"/>
              <w:bidi w:val="0"/>
              <w:spacing w:line="400" w:lineRule="exact"/>
              <w:jc w:val="center"/>
              <w:textAlignment w:val="auto"/>
              <w:rPr>
                <w:rFonts w:ascii="宋体" w:hAnsi="宋体"/>
              </w:rPr>
            </w:pPr>
          </w:p>
        </w:tc>
        <w:tc>
          <w:tcPr>
            <w:tcW w:w="2559" w:type="dxa"/>
            <w:gridSpan w:val="4"/>
            <w:vAlign w:val="center"/>
          </w:tcPr>
          <w:p>
            <w:pPr>
              <w:keepNext w:val="0"/>
              <w:keepLines w:val="0"/>
              <w:pageBreakBefore w:val="0"/>
              <w:widowControl w:val="0"/>
              <w:kinsoku/>
              <w:wordWrap/>
              <w:overflowPunct/>
              <w:topLinePunct w:val="0"/>
              <w:bidi w:val="0"/>
              <w:spacing w:line="400" w:lineRule="exact"/>
              <w:jc w:val="center"/>
              <w:textAlignment w:val="auto"/>
              <w:rPr>
                <w:rFonts w:ascii="宋体" w:hAnsi="宋体"/>
                <w:kern w:val="0"/>
              </w:rPr>
            </w:pPr>
            <w:r>
              <w:rPr>
                <w:rFonts w:hint="eastAsia" w:ascii="宋体" w:hAnsi="宋体"/>
                <w:kern w:val="0"/>
                <w:lang w:eastAsia="zh-CN"/>
              </w:rPr>
              <w:t>竞标</w:t>
            </w:r>
            <w:r>
              <w:rPr>
                <w:rFonts w:ascii="宋体" w:hAnsi="宋体"/>
                <w:kern w:val="0"/>
              </w:rPr>
              <w:t>保证金</w:t>
            </w:r>
          </w:p>
        </w:tc>
        <w:tc>
          <w:tcPr>
            <w:tcW w:w="5493" w:type="dxa"/>
            <w:vAlign w:val="center"/>
          </w:tcPr>
          <w:p>
            <w:pPr>
              <w:keepNext w:val="0"/>
              <w:keepLines w:val="0"/>
              <w:pageBreakBefore w:val="0"/>
              <w:widowControl w:val="0"/>
              <w:tabs>
                <w:tab w:val="left" w:pos="601"/>
                <w:tab w:val="left" w:pos="669"/>
              </w:tabs>
              <w:kinsoku/>
              <w:wordWrap/>
              <w:overflowPunct/>
              <w:topLinePunct w:val="0"/>
              <w:bidi w:val="0"/>
              <w:snapToGrid w:val="0"/>
              <w:spacing w:line="400" w:lineRule="exact"/>
              <w:ind w:firstLine="420" w:firstLineChars="200"/>
              <w:jc w:val="left"/>
              <w:textAlignment w:val="auto"/>
              <w:rPr>
                <w:rFonts w:ascii="宋体" w:hAnsi="宋体"/>
                <w:kern w:val="0"/>
              </w:rPr>
            </w:pPr>
            <w:r>
              <w:rPr>
                <w:rFonts w:ascii="宋体" w:hAnsi="宋体"/>
                <w:kern w:val="0"/>
                <w:szCs w:val="21"/>
              </w:rPr>
              <w:t>符合第二章</w:t>
            </w:r>
            <w:r>
              <w:rPr>
                <w:rFonts w:ascii="宋体" w:hAnsi="宋体"/>
                <w:kern w:val="0"/>
              </w:rPr>
              <w:t>“</w:t>
            </w:r>
            <w:r>
              <w:rPr>
                <w:rFonts w:hint="eastAsia" w:ascii="宋体" w:hAnsi="宋体"/>
                <w:kern w:val="0"/>
                <w:lang w:eastAsia="zh-CN"/>
              </w:rPr>
              <w:t>竞标</w:t>
            </w:r>
            <w:r>
              <w:rPr>
                <w:rFonts w:ascii="宋体" w:hAnsi="宋体"/>
                <w:kern w:val="0"/>
              </w:rPr>
              <w:t>人须知”</w:t>
            </w:r>
            <w:r>
              <w:rPr>
                <w:rFonts w:ascii="宋体" w:hAnsi="宋体"/>
                <w:kern w:val="0"/>
                <w:szCs w:val="21"/>
              </w:rPr>
              <w:t>第3.4</w:t>
            </w:r>
            <w:r>
              <w:rPr>
                <w:rFonts w:ascii="宋体" w:hAnsi="宋体"/>
                <w:kern w:val="0"/>
              </w:rPr>
              <w:t>项规定</w:t>
            </w:r>
            <w:r>
              <w:rPr>
                <w:rFonts w:hint="eastAsia" w:ascii="宋体" w:hAnsi="宋体"/>
                <w:kern w:val="0"/>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851" w:type="dxa"/>
            <w:gridSpan w:val="2"/>
            <w:vMerge w:val="continue"/>
          </w:tcPr>
          <w:p>
            <w:pPr>
              <w:keepNext w:val="0"/>
              <w:keepLines w:val="0"/>
              <w:pageBreakBefore w:val="0"/>
              <w:widowControl w:val="0"/>
              <w:kinsoku/>
              <w:wordWrap/>
              <w:overflowPunct/>
              <w:topLinePunct w:val="0"/>
              <w:bidi w:val="0"/>
              <w:spacing w:line="400" w:lineRule="exact"/>
              <w:jc w:val="center"/>
              <w:textAlignment w:val="auto"/>
              <w:rPr>
                <w:rFonts w:ascii="宋体" w:hAnsi="宋体"/>
              </w:rPr>
            </w:pPr>
          </w:p>
        </w:tc>
        <w:tc>
          <w:tcPr>
            <w:tcW w:w="567" w:type="dxa"/>
            <w:vMerge w:val="continue"/>
          </w:tcPr>
          <w:p>
            <w:pPr>
              <w:keepNext w:val="0"/>
              <w:keepLines w:val="0"/>
              <w:pageBreakBefore w:val="0"/>
              <w:widowControl w:val="0"/>
              <w:kinsoku/>
              <w:wordWrap/>
              <w:overflowPunct/>
              <w:topLinePunct w:val="0"/>
              <w:bidi w:val="0"/>
              <w:spacing w:line="400" w:lineRule="exact"/>
              <w:jc w:val="center"/>
              <w:textAlignment w:val="auto"/>
              <w:rPr>
                <w:rFonts w:ascii="宋体" w:hAnsi="宋体"/>
              </w:rPr>
            </w:pPr>
          </w:p>
        </w:tc>
        <w:tc>
          <w:tcPr>
            <w:tcW w:w="2559" w:type="dxa"/>
            <w:gridSpan w:val="4"/>
            <w:vAlign w:val="center"/>
          </w:tcPr>
          <w:p>
            <w:pPr>
              <w:keepNext w:val="0"/>
              <w:keepLines w:val="0"/>
              <w:pageBreakBefore w:val="0"/>
              <w:widowControl w:val="0"/>
              <w:kinsoku/>
              <w:wordWrap/>
              <w:overflowPunct/>
              <w:topLinePunct w:val="0"/>
              <w:bidi w:val="0"/>
              <w:spacing w:line="400" w:lineRule="exact"/>
              <w:jc w:val="center"/>
              <w:textAlignment w:val="auto"/>
              <w:rPr>
                <w:rFonts w:ascii="宋体" w:hAnsi="宋体"/>
                <w:kern w:val="0"/>
              </w:rPr>
            </w:pPr>
            <w:r>
              <w:rPr>
                <w:rFonts w:ascii="宋体" w:hAnsi="宋体"/>
                <w:kern w:val="0"/>
              </w:rPr>
              <w:t>权利义务</w:t>
            </w:r>
          </w:p>
        </w:tc>
        <w:tc>
          <w:tcPr>
            <w:tcW w:w="5493" w:type="dxa"/>
            <w:vAlign w:val="center"/>
          </w:tcPr>
          <w:p>
            <w:pPr>
              <w:keepNext w:val="0"/>
              <w:keepLines w:val="0"/>
              <w:pageBreakBefore w:val="0"/>
              <w:widowControl w:val="0"/>
              <w:kinsoku/>
              <w:wordWrap/>
              <w:overflowPunct/>
              <w:topLinePunct w:val="0"/>
              <w:bidi w:val="0"/>
              <w:spacing w:line="400" w:lineRule="exact"/>
              <w:ind w:firstLine="420" w:firstLineChars="200"/>
              <w:jc w:val="left"/>
              <w:textAlignment w:val="auto"/>
              <w:rPr>
                <w:rFonts w:ascii="宋体" w:hAnsi="宋体"/>
                <w:kern w:val="0"/>
              </w:rPr>
            </w:pPr>
            <w:r>
              <w:rPr>
                <w:rFonts w:ascii="宋体" w:hAnsi="宋体"/>
                <w:kern w:val="0"/>
              </w:rPr>
              <w:t>符合第四章“合同条款及格式”规定，</w:t>
            </w:r>
            <w:r>
              <w:rPr>
                <w:rFonts w:hint="eastAsia" w:ascii="宋体" w:hAnsi="宋体"/>
                <w:kern w:val="0"/>
                <w:lang w:eastAsia="zh-CN"/>
              </w:rPr>
              <w:t>竞标</w:t>
            </w:r>
            <w:r>
              <w:rPr>
                <w:rFonts w:ascii="宋体" w:hAnsi="宋体"/>
                <w:kern w:val="0"/>
              </w:rPr>
              <w:t>文件不应附有</w:t>
            </w:r>
            <w:r>
              <w:rPr>
                <w:rFonts w:hint="eastAsia" w:ascii="宋体" w:hAnsi="宋体"/>
                <w:kern w:val="0"/>
              </w:rPr>
              <w:t>比选</w:t>
            </w:r>
            <w:r>
              <w:rPr>
                <w:rFonts w:ascii="宋体" w:hAnsi="宋体"/>
                <w:kern w:val="0"/>
              </w:rPr>
              <w:t>人不能接受的条件。</w:t>
            </w:r>
            <w:r>
              <w:rPr>
                <w:rFonts w:hint="eastAsia" w:ascii="宋体" w:hAnsi="宋体" w:cs="宋体"/>
                <w:kern w:val="0"/>
              </w:rPr>
              <w:t>（由</w:t>
            </w:r>
            <w:r>
              <w:rPr>
                <w:rFonts w:hint="eastAsia" w:ascii="宋体" w:hAnsi="宋体"/>
                <w:kern w:val="0"/>
                <w:lang w:eastAsia="zh-CN"/>
              </w:rPr>
              <w:t>竞标</w:t>
            </w:r>
            <w:r>
              <w:rPr>
                <w:rFonts w:hint="eastAsia" w:ascii="宋体" w:hAnsi="宋体" w:cs="宋体"/>
                <w:kern w:val="0"/>
              </w:rPr>
              <w:t>人承诺，承诺书格式详见第八章</w:t>
            </w:r>
            <w:r>
              <w:rPr>
                <w:rFonts w:hint="eastAsia" w:ascii="宋体" w:hAnsi="宋体"/>
                <w:kern w:val="0"/>
                <w:lang w:eastAsia="zh-CN"/>
              </w:rPr>
              <w:t>竞标</w:t>
            </w:r>
            <w:r>
              <w:rPr>
                <w:rFonts w:hint="eastAsia" w:ascii="宋体" w:hAnsi="宋体" w:cs="宋体"/>
                <w:kern w:val="0"/>
              </w:rPr>
              <w:t>文件格式。）</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851" w:type="dxa"/>
            <w:gridSpan w:val="2"/>
            <w:vMerge w:val="continue"/>
          </w:tcPr>
          <w:p>
            <w:pPr>
              <w:keepNext w:val="0"/>
              <w:keepLines w:val="0"/>
              <w:pageBreakBefore w:val="0"/>
              <w:widowControl w:val="0"/>
              <w:kinsoku/>
              <w:wordWrap/>
              <w:overflowPunct/>
              <w:topLinePunct w:val="0"/>
              <w:bidi w:val="0"/>
              <w:spacing w:line="400" w:lineRule="exact"/>
              <w:jc w:val="center"/>
              <w:textAlignment w:val="auto"/>
              <w:rPr>
                <w:rFonts w:ascii="宋体" w:hAnsi="宋体"/>
              </w:rPr>
            </w:pPr>
          </w:p>
        </w:tc>
        <w:tc>
          <w:tcPr>
            <w:tcW w:w="567" w:type="dxa"/>
            <w:vMerge w:val="continue"/>
          </w:tcPr>
          <w:p>
            <w:pPr>
              <w:keepNext w:val="0"/>
              <w:keepLines w:val="0"/>
              <w:pageBreakBefore w:val="0"/>
              <w:widowControl w:val="0"/>
              <w:kinsoku/>
              <w:wordWrap/>
              <w:overflowPunct/>
              <w:topLinePunct w:val="0"/>
              <w:bidi w:val="0"/>
              <w:spacing w:line="400" w:lineRule="exact"/>
              <w:jc w:val="center"/>
              <w:textAlignment w:val="auto"/>
              <w:rPr>
                <w:rFonts w:ascii="宋体" w:hAnsi="宋体"/>
              </w:rPr>
            </w:pPr>
          </w:p>
        </w:tc>
        <w:tc>
          <w:tcPr>
            <w:tcW w:w="2559" w:type="dxa"/>
            <w:gridSpan w:val="4"/>
            <w:vAlign w:val="center"/>
          </w:tcPr>
          <w:p>
            <w:pPr>
              <w:keepNext w:val="0"/>
              <w:keepLines w:val="0"/>
              <w:pageBreakBefore w:val="0"/>
              <w:widowControl w:val="0"/>
              <w:kinsoku/>
              <w:wordWrap/>
              <w:overflowPunct/>
              <w:topLinePunct w:val="0"/>
              <w:bidi w:val="0"/>
              <w:spacing w:line="400" w:lineRule="exact"/>
              <w:jc w:val="center"/>
              <w:textAlignment w:val="auto"/>
              <w:rPr>
                <w:rFonts w:ascii="宋体" w:hAnsi="宋体"/>
                <w:kern w:val="0"/>
              </w:rPr>
            </w:pPr>
            <w:r>
              <w:rPr>
                <w:rFonts w:ascii="宋体" w:hAnsi="宋体"/>
                <w:kern w:val="0"/>
              </w:rPr>
              <w:t>技术标准和要求</w:t>
            </w:r>
          </w:p>
        </w:tc>
        <w:tc>
          <w:tcPr>
            <w:tcW w:w="5493" w:type="dxa"/>
            <w:vAlign w:val="center"/>
          </w:tcPr>
          <w:p>
            <w:pPr>
              <w:keepNext w:val="0"/>
              <w:keepLines w:val="0"/>
              <w:pageBreakBefore w:val="0"/>
              <w:widowControl w:val="0"/>
              <w:kinsoku/>
              <w:wordWrap/>
              <w:overflowPunct/>
              <w:topLinePunct w:val="0"/>
              <w:bidi w:val="0"/>
              <w:spacing w:line="400" w:lineRule="exact"/>
              <w:ind w:firstLine="420" w:firstLineChars="200"/>
              <w:jc w:val="left"/>
              <w:textAlignment w:val="auto"/>
              <w:rPr>
                <w:rFonts w:ascii="宋体" w:hAnsi="宋体"/>
                <w:kern w:val="0"/>
              </w:rPr>
            </w:pPr>
            <w:r>
              <w:rPr>
                <w:rFonts w:ascii="宋体" w:hAnsi="宋体"/>
                <w:kern w:val="0"/>
              </w:rPr>
              <w:t>符合第七章“技术标准和要求”规定</w:t>
            </w:r>
            <w:r>
              <w:rPr>
                <w:rFonts w:hint="eastAsia" w:ascii="宋体" w:hAnsi="宋体"/>
                <w:kern w:val="0"/>
              </w:rPr>
              <w:t>。</w:t>
            </w:r>
            <w:r>
              <w:rPr>
                <w:rFonts w:hint="eastAsia" w:ascii="宋体" w:hAnsi="宋体" w:cs="宋体"/>
                <w:kern w:val="0"/>
              </w:rPr>
              <w:t>（由</w:t>
            </w:r>
            <w:r>
              <w:rPr>
                <w:rFonts w:hint="eastAsia" w:ascii="宋体" w:hAnsi="宋体"/>
                <w:kern w:val="0"/>
                <w:lang w:eastAsia="zh-CN"/>
              </w:rPr>
              <w:t>竞标</w:t>
            </w:r>
            <w:r>
              <w:rPr>
                <w:rFonts w:hint="eastAsia" w:ascii="宋体" w:hAnsi="宋体"/>
                <w:kern w:val="0"/>
              </w:rPr>
              <w:t>人</w:t>
            </w:r>
            <w:r>
              <w:rPr>
                <w:rFonts w:hint="eastAsia" w:ascii="宋体" w:hAnsi="宋体" w:cs="宋体"/>
                <w:kern w:val="0"/>
              </w:rPr>
              <w:t>承诺，承诺书格式详见第八章</w:t>
            </w:r>
            <w:r>
              <w:rPr>
                <w:rFonts w:hint="eastAsia" w:ascii="宋体" w:hAnsi="宋体"/>
                <w:kern w:val="0"/>
                <w:lang w:eastAsia="zh-CN"/>
              </w:rPr>
              <w:t>竞标</w:t>
            </w:r>
            <w:r>
              <w:rPr>
                <w:rFonts w:hint="eastAsia" w:ascii="宋体" w:hAnsi="宋体" w:cs="宋体"/>
                <w:kern w:val="0"/>
              </w:rPr>
              <w:t>文件格式。）</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851" w:type="dxa"/>
            <w:gridSpan w:val="2"/>
            <w:vMerge w:val="continue"/>
            <w:vAlign w:val="center"/>
          </w:tcPr>
          <w:p>
            <w:pPr>
              <w:keepNext w:val="0"/>
              <w:keepLines w:val="0"/>
              <w:pageBreakBefore w:val="0"/>
              <w:widowControl w:val="0"/>
              <w:kinsoku/>
              <w:wordWrap/>
              <w:overflowPunct/>
              <w:topLinePunct w:val="0"/>
              <w:bidi w:val="0"/>
              <w:spacing w:line="400" w:lineRule="exact"/>
              <w:jc w:val="center"/>
              <w:textAlignment w:val="auto"/>
              <w:rPr>
                <w:rFonts w:ascii="宋体" w:hAnsi="宋体"/>
              </w:rPr>
            </w:pPr>
          </w:p>
        </w:tc>
        <w:tc>
          <w:tcPr>
            <w:tcW w:w="567" w:type="dxa"/>
            <w:vMerge w:val="continue"/>
            <w:vAlign w:val="center"/>
          </w:tcPr>
          <w:p>
            <w:pPr>
              <w:keepNext w:val="0"/>
              <w:keepLines w:val="0"/>
              <w:pageBreakBefore w:val="0"/>
              <w:widowControl w:val="0"/>
              <w:kinsoku/>
              <w:wordWrap/>
              <w:overflowPunct/>
              <w:topLinePunct w:val="0"/>
              <w:bidi w:val="0"/>
              <w:spacing w:line="400" w:lineRule="exact"/>
              <w:jc w:val="center"/>
              <w:textAlignment w:val="auto"/>
              <w:rPr>
                <w:rFonts w:ascii="宋体" w:hAnsi="宋体"/>
              </w:rPr>
            </w:pPr>
          </w:p>
        </w:tc>
        <w:tc>
          <w:tcPr>
            <w:tcW w:w="2559" w:type="dxa"/>
            <w:gridSpan w:val="4"/>
            <w:vAlign w:val="center"/>
          </w:tcPr>
          <w:p>
            <w:pPr>
              <w:keepNext w:val="0"/>
              <w:keepLines w:val="0"/>
              <w:pageBreakBefore w:val="0"/>
              <w:widowControl w:val="0"/>
              <w:kinsoku/>
              <w:wordWrap/>
              <w:overflowPunct/>
              <w:topLinePunct w:val="0"/>
              <w:bidi w:val="0"/>
              <w:spacing w:line="400" w:lineRule="exact"/>
              <w:jc w:val="center"/>
              <w:textAlignment w:val="auto"/>
              <w:rPr>
                <w:rFonts w:ascii="宋体" w:hAnsi="宋体"/>
                <w:kern w:val="0"/>
              </w:rPr>
            </w:pPr>
            <w:r>
              <w:rPr>
                <w:rFonts w:ascii="宋体" w:hAnsi="宋体"/>
                <w:kern w:val="0"/>
              </w:rPr>
              <w:t>已标价工程量清单</w:t>
            </w:r>
          </w:p>
        </w:tc>
        <w:tc>
          <w:tcPr>
            <w:tcW w:w="5493" w:type="dxa"/>
            <w:vAlign w:val="center"/>
          </w:tcPr>
          <w:p>
            <w:pPr>
              <w:keepNext w:val="0"/>
              <w:keepLines w:val="0"/>
              <w:pageBreakBefore w:val="0"/>
              <w:widowControl w:val="0"/>
              <w:kinsoku/>
              <w:wordWrap/>
              <w:overflowPunct/>
              <w:topLinePunct w:val="0"/>
              <w:bidi w:val="0"/>
              <w:spacing w:line="400" w:lineRule="exact"/>
              <w:ind w:firstLine="420" w:firstLineChars="200"/>
              <w:jc w:val="left"/>
              <w:textAlignment w:val="auto"/>
              <w:rPr>
                <w:rFonts w:ascii="宋体" w:hAnsi="宋体"/>
                <w:kern w:val="0"/>
              </w:rPr>
            </w:pPr>
            <w:r>
              <w:rPr>
                <w:rFonts w:hint="eastAsia" w:ascii="宋体" w:hAnsi="宋体"/>
                <w:kern w:val="0"/>
                <w:lang w:eastAsia="zh-CN"/>
              </w:rPr>
              <w:t>竞标</w:t>
            </w:r>
            <w:r>
              <w:rPr>
                <w:rFonts w:hint="eastAsia" w:ascii="宋体" w:hAnsi="宋体"/>
                <w:kern w:val="0"/>
              </w:rPr>
              <w:t>人承诺满足以下内容：</w:t>
            </w:r>
          </w:p>
          <w:p>
            <w:pPr>
              <w:keepNext w:val="0"/>
              <w:keepLines w:val="0"/>
              <w:pageBreakBefore w:val="0"/>
              <w:widowControl w:val="0"/>
              <w:kinsoku/>
              <w:wordWrap/>
              <w:overflowPunct/>
              <w:topLinePunct w:val="0"/>
              <w:bidi w:val="0"/>
              <w:spacing w:line="400" w:lineRule="exact"/>
              <w:ind w:firstLine="420" w:firstLineChars="200"/>
              <w:jc w:val="left"/>
              <w:textAlignment w:val="auto"/>
              <w:rPr>
                <w:rFonts w:ascii="宋体" w:hAnsi="宋体"/>
                <w:kern w:val="0"/>
              </w:rPr>
            </w:pPr>
            <w:r>
              <w:rPr>
                <w:rFonts w:hint="eastAsia" w:ascii="宋体" w:hAnsi="宋体"/>
                <w:kern w:val="0"/>
              </w:rPr>
              <w:t>1</w:t>
            </w:r>
            <w:r>
              <w:rPr>
                <w:rFonts w:ascii="宋体" w:hAnsi="宋体"/>
                <w:kern w:val="0"/>
              </w:rPr>
              <w:t>.符合第五章“工程量清单”给出的范围及数量。</w:t>
            </w:r>
          </w:p>
          <w:p>
            <w:pPr>
              <w:keepNext w:val="0"/>
              <w:keepLines w:val="0"/>
              <w:pageBreakBefore w:val="0"/>
              <w:widowControl w:val="0"/>
              <w:kinsoku/>
              <w:wordWrap/>
              <w:overflowPunct/>
              <w:topLinePunct w:val="0"/>
              <w:bidi w:val="0"/>
              <w:spacing w:line="400" w:lineRule="exact"/>
              <w:ind w:firstLine="420" w:firstLineChars="200"/>
              <w:jc w:val="left"/>
              <w:textAlignment w:val="auto"/>
              <w:rPr>
                <w:rFonts w:ascii="宋体" w:hAnsi="宋体"/>
                <w:kern w:val="0"/>
              </w:rPr>
            </w:pPr>
            <w:r>
              <w:rPr>
                <w:rFonts w:ascii="宋体" w:hAnsi="宋体"/>
                <w:kern w:val="0"/>
              </w:rPr>
              <w:t>2.</w:t>
            </w:r>
            <w:r>
              <w:rPr>
                <w:rFonts w:hint="eastAsia" w:ascii="宋体" w:hAnsi="宋体"/>
                <w:kern w:val="0"/>
              </w:rPr>
              <w:t>比选文件中规定工程量清单不允许修改的内容不得修改。</w:t>
            </w:r>
          </w:p>
          <w:p>
            <w:pPr>
              <w:keepNext w:val="0"/>
              <w:keepLines w:val="0"/>
              <w:pageBreakBefore w:val="0"/>
              <w:widowControl w:val="0"/>
              <w:kinsoku/>
              <w:wordWrap/>
              <w:overflowPunct/>
              <w:topLinePunct w:val="0"/>
              <w:bidi w:val="0"/>
              <w:spacing w:line="400" w:lineRule="exact"/>
              <w:ind w:firstLine="420" w:firstLineChars="200"/>
              <w:jc w:val="left"/>
              <w:textAlignment w:val="auto"/>
              <w:rPr>
                <w:rFonts w:ascii="宋体" w:hAnsi="宋体"/>
                <w:kern w:val="0"/>
              </w:rPr>
            </w:pPr>
            <w:r>
              <w:rPr>
                <w:rFonts w:hint="eastAsia" w:ascii="宋体" w:hAnsi="宋体"/>
                <w:kern w:val="0"/>
              </w:rPr>
              <w:t>3.每项工程量清单综合单价报价不得高于对应工程量清单综合单价最高限价。</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851" w:type="dxa"/>
            <w:gridSpan w:val="2"/>
            <w:vMerge w:val="continue"/>
          </w:tcPr>
          <w:p>
            <w:pPr>
              <w:keepNext w:val="0"/>
              <w:keepLines w:val="0"/>
              <w:pageBreakBefore w:val="0"/>
              <w:widowControl w:val="0"/>
              <w:kinsoku/>
              <w:wordWrap/>
              <w:overflowPunct/>
              <w:topLinePunct w:val="0"/>
              <w:bidi w:val="0"/>
              <w:spacing w:line="400" w:lineRule="exact"/>
              <w:textAlignment w:val="auto"/>
              <w:rPr>
                <w:rFonts w:ascii="宋体" w:hAnsi="宋体"/>
              </w:rPr>
            </w:pPr>
          </w:p>
        </w:tc>
        <w:tc>
          <w:tcPr>
            <w:tcW w:w="567" w:type="dxa"/>
            <w:vMerge w:val="continue"/>
          </w:tcPr>
          <w:p>
            <w:pPr>
              <w:keepNext w:val="0"/>
              <w:keepLines w:val="0"/>
              <w:pageBreakBefore w:val="0"/>
              <w:widowControl w:val="0"/>
              <w:kinsoku/>
              <w:wordWrap/>
              <w:overflowPunct/>
              <w:topLinePunct w:val="0"/>
              <w:bidi w:val="0"/>
              <w:spacing w:line="400" w:lineRule="exact"/>
              <w:textAlignment w:val="auto"/>
              <w:rPr>
                <w:rFonts w:ascii="宋体" w:hAnsi="宋体"/>
              </w:rPr>
            </w:pPr>
          </w:p>
        </w:tc>
        <w:tc>
          <w:tcPr>
            <w:tcW w:w="2559" w:type="dxa"/>
            <w:gridSpan w:val="4"/>
            <w:vAlign w:val="center"/>
          </w:tcPr>
          <w:p>
            <w:pPr>
              <w:keepNext w:val="0"/>
              <w:keepLines w:val="0"/>
              <w:pageBreakBefore w:val="0"/>
              <w:widowControl w:val="0"/>
              <w:kinsoku/>
              <w:wordWrap/>
              <w:overflowPunct/>
              <w:topLinePunct w:val="0"/>
              <w:bidi w:val="0"/>
              <w:spacing w:line="400" w:lineRule="exact"/>
              <w:jc w:val="center"/>
              <w:textAlignment w:val="auto"/>
              <w:rPr>
                <w:rFonts w:ascii="宋体" w:hAnsi="宋体"/>
                <w:kern w:val="0"/>
              </w:rPr>
            </w:pPr>
            <w:r>
              <w:rPr>
                <w:rFonts w:hint="eastAsia" w:ascii="宋体" w:hAnsi="宋体"/>
                <w:kern w:val="0"/>
              </w:rPr>
              <w:t>竞标</w:t>
            </w:r>
            <w:r>
              <w:rPr>
                <w:rFonts w:ascii="宋体" w:hAnsi="宋体"/>
                <w:kern w:val="0"/>
              </w:rPr>
              <w:t>报价算术错误修正</w:t>
            </w:r>
          </w:p>
        </w:tc>
        <w:tc>
          <w:tcPr>
            <w:tcW w:w="5493" w:type="dxa"/>
            <w:vAlign w:val="center"/>
          </w:tcPr>
          <w:p>
            <w:pPr>
              <w:keepNext w:val="0"/>
              <w:keepLines w:val="0"/>
              <w:pageBreakBefore w:val="0"/>
              <w:widowControl w:val="0"/>
              <w:kinsoku/>
              <w:wordWrap/>
              <w:overflowPunct/>
              <w:topLinePunct w:val="0"/>
              <w:bidi w:val="0"/>
              <w:spacing w:line="400" w:lineRule="exact"/>
              <w:ind w:firstLine="420" w:firstLineChars="200"/>
              <w:jc w:val="left"/>
              <w:textAlignment w:val="auto"/>
              <w:rPr>
                <w:rFonts w:ascii="宋体" w:hAnsi="宋体"/>
                <w:kern w:val="0"/>
              </w:rPr>
            </w:pPr>
            <w:r>
              <w:rPr>
                <w:rFonts w:ascii="宋体" w:hAnsi="宋体"/>
                <w:kern w:val="0"/>
              </w:rPr>
              <w:t>符合第三章3.评标程序第3.1.3项规定。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851" w:type="dxa"/>
            <w:gridSpan w:val="2"/>
            <w:vMerge w:val="continue"/>
          </w:tcPr>
          <w:p>
            <w:pPr>
              <w:keepNext w:val="0"/>
              <w:keepLines w:val="0"/>
              <w:pageBreakBefore w:val="0"/>
              <w:widowControl w:val="0"/>
              <w:kinsoku/>
              <w:wordWrap/>
              <w:overflowPunct/>
              <w:topLinePunct w:val="0"/>
              <w:bidi w:val="0"/>
              <w:spacing w:line="400" w:lineRule="exact"/>
              <w:textAlignment w:val="auto"/>
              <w:rPr>
                <w:rFonts w:ascii="宋体" w:hAnsi="宋体"/>
              </w:rPr>
            </w:pPr>
          </w:p>
        </w:tc>
        <w:tc>
          <w:tcPr>
            <w:tcW w:w="567" w:type="dxa"/>
            <w:vMerge w:val="continue"/>
          </w:tcPr>
          <w:p>
            <w:pPr>
              <w:keepNext w:val="0"/>
              <w:keepLines w:val="0"/>
              <w:pageBreakBefore w:val="0"/>
              <w:widowControl w:val="0"/>
              <w:kinsoku/>
              <w:wordWrap/>
              <w:overflowPunct/>
              <w:topLinePunct w:val="0"/>
              <w:bidi w:val="0"/>
              <w:spacing w:line="400" w:lineRule="exact"/>
              <w:textAlignment w:val="auto"/>
              <w:rPr>
                <w:rFonts w:ascii="宋体" w:hAnsi="宋体"/>
              </w:rPr>
            </w:pPr>
          </w:p>
        </w:tc>
        <w:tc>
          <w:tcPr>
            <w:tcW w:w="2559" w:type="dxa"/>
            <w:gridSpan w:val="4"/>
            <w:vAlign w:val="center"/>
          </w:tcPr>
          <w:p>
            <w:pPr>
              <w:keepNext w:val="0"/>
              <w:keepLines w:val="0"/>
              <w:pageBreakBefore w:val="0"/>
              <w:widowControl w:val="0"/>
              <w:kinsoku/>
              <w:wordWrap/>
              <w:overflowPunct/>
              <w:topLinePunct w:val="0"/>
              <w:bidi w:val="0"/>
              <w:spacing w:line="400" w:lineRule="exact"/>
              <w:jc w:val="center"/>
              <w:textAlignment w:val="auto"/>
              <w:rPr>
                <w:rFonts w:ascii="宋体" w:hAnsi="宋体"/>
                <w:kern w:val="0"/>
              </w:rPr>
            </w:pPr>
            <w:r>
              <w:rPr>
                <w:rFonts w:ascii="宋体" w:hAnsi="宋体"/>
                <w:kern w:val="0"/>
              </w:rPr>
              <w:t>实质性要求</w:t>
            </w:r>
          </w:p>
        </w:tc>
        <w:tc>
          <w:tcPr>
            <w:tcW w:w="5493" w:type="dxa"/>
            <w:vAlign w:val="center"/>
          </w:tcPr>
          <w:p>
            <w:pPr>
              <w:keepNext w:val="0"/>
              <w:keepLines w:val="0"/>
              <w:pageBreakBefore w:val="0"/>
              <w:widowControl w:val="0"/>
              <w:kinsoku/>
              <w:wordWrap/>
              <w:overflowPunct/>
              <w:topLinePunct w:val="0"/>
              <w:bidi w:val="0"/>
              <w:spacing w:line="400" w:lineRule="exact"/>
              <w:ind w:firstLine="420" w:firstLineChars="200"/>
              <w:jc w:val="left"/>
              <w:textAlignment w:val="auto"/>
              <w:rPr>
                <w:rFonts w:ascii="宋体" w:hAnsi="宋体"/>
                <w:kern w:val="0"/>
              </w:rPr>
            </w:pPr>
            <w:r>
              <w:rPr>
                <w:rFonts w:hint="eastAsia" w:ascii="宋体" w:hAnsi="宋体"/>
                <w:kern w:val="0"/>
              </w:rPr>
              <w:t>符合第二章“</w:t>
            </w:r>
            <w:r>
              <w:rPr>
                <w:rFonts w:hint="eastAsia" w:ascii="宋体" w:hAnsi="宋体"/>
                <w:kern w:val="0"/>
                <w:lang w:eastAsia="zh-CN"/>
              </w:rPr>
              <w:t>竞标</w:t>
            </w:r>
            <w:r>
              <w:rPr>
                <w:rFonts w:hint="eastAsia" w:ascii="宋体" w:hAnsi="宋体"/>
                <w:kern w:val="0"/>
              </w:rPr>
              <w:t>人须知”第1.4.3项规定。</w:t>
            </w:r>
          </w:p>
          <w:p>
            <w:pPr>
              <w:keepNext w:val="0"/>
              <w:keepLines w:val="0"/>
              <w:pageBreakBefore w:val="0"/>
              <w:widowControl w:val="0"/>
              <w:kinsoku/>
              <w:wordWrap/>
              <w:overflowPunct/>
              <w:topLinePunct w:val="0"/>
              <w:bidi w:val="0"/>
              <w:spacing w:line="400" w:lineRule="exact"/>
              <w:ind w:firstLine="420" w:firstLineChars="200"/>
              <w:jc w:val="left"/>
              <w:textAlignment w:val="auto"/>
              <w:rPr>
                <w:rFonts w:ascii="宋体" w:hAnsi="宋体"/>
                <w:kern w:val="0"/>
              </w:rPr>
            </w:pPr>
            <w:r>
              <w:rPr>
                <w:rFonts w:hint="eastAsia" w:ascii="宋体" w:hAnsi="宋体"/>
                <w:kern w:val="0"/>
              </w:rPr>
              <w:t>本次比选不得有串通竞标</w:t>
            </w:r>
            <w:r>
              <w:rPr>
                <w:rFonts w:ascii="宋体" w:hAnsi="宋体"/>
                <w:kern w:val="0"/>
              </w:rPr>
              <w:t>、弄虚作假等其他违反招投标相关法律、法规行为。</w:t>
            </w:r>
          </w:p>
          <w:p>
            <w:pPr>
              <w:keepNext w:val="0"/>
              <w:keepLines w:val="0"/>
              <w:pageBreakBefore w:val="0"/>
              <w:widowControl w:val="0"/>
              <w:kinsoku/>
              <w:wordWrap/>
              <w:overflowPunct/>
              <w:topLinePunct w:val="0"/>
              <w:bidi w:val="0"/>
              <w:spacing w:line="400" w:lineRule="exact"/>
              <w:ind w:firstLine="420" w:firstLineChars="200"/>
              <w:jc w:val="left"/>
              <w:textAlignment w:val="auto"/>
              <w:rPr>
                <w:rFonts w:ascii="宋体" w:hAnsi="宋体"/>
                <w:kern w:val="0"/>
              </w:rPr>
            </w:pPr>
            <w:r>
              <w:rPr>
                <w:rFonts w:hint="eastAsia" w:ascii="宋体" w:hAnsi="宋体" w:cs="宋体"/>
                <w:kern w:val="0"/>
              </w:rPr>
              <w:t>按评标委员会要求澄清、说明或补正。</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418" w:type="dxa"/>
            <w:gridSpan w:val="3"/>
            <w:vAlign w:val="center"/>
          </w:tcPr>
          <w:p>
            <w:pPr>
              <w:keepNext w:val="0"/>
              <w:keepLines w:val="0"/>
              <w:pageBreakBefore w:val="0"/>
              <w:widowControl w:val="0"/>
              <w:kinsoku/>
              <w:wordWrap/>
              <w:overflowPunct/>
              <w:topLinePunct w:val="0"/>
              <w:bidi w:val="0"/>
              <w:spacing w:line="400" w:lineRule="exact"/>
              <w:ind w:firstLine="210" w:firstLineChars="100"/>
              <w:jc w:val="center"/>
              <w:textAlignment w:val="auto"/>
              <w:rPr>
                <w:rFonts w:ascii="宋体" w:hAnsi="宋体"/>
                <w:kern w:val="0"/>
              </w:rPr>
            </w:pPr>
            <w:r>
              <w:rPr>
                <w:rFonts w:ascii="宋体" w:hAnsi="宋体"/>
                <w:kern w:val="0"/>
              </w:rPr>
              <w:t>2.2.1</w:t>
            </w:r>
          </w:p>
        </w:tc>
        <w:tc>
          <w:tcPr>
            <w:tcW w:w="2559" w:type="dxa"/>
            <w:gridSpan w:val="4"/>
            <w:vAlign w:val="center"/>
          </w:tcPr>
          <w:p>
            <w:pPr>
              <w:keepNext w:val="0"/>
              <w:keepLines w:val="0"/>
              <w:pageBreakBefore w:val="0"/>
              <w:widowControl w:val="0"/>
              <w:tabs>
                <w:tab w:val="left" w:pos="1875"/>
              </w:tabs>
              <w:kinsoku/>
              <w:wordWrap/>
              <w:overflowPunct/>
              <w:topLinePunct w:val="0"/>
              <w:bidi w:val="0"/>
              <w:spacing w:line="400" w:lineRule="exact"/>
              <w:jc w:val="center"/>
              <w:textAlignment w:val="auto"/>
              <w:rPr>
                <w:rFonts w:ascii="宋体" w:hAnsi="宋体"/>
                <w:kern w:val="0"/>
              </w:rPr>
            </w:pPr>
            <w:r>
              <w:rPr>
                <w:rFonts w:ascii="宋体" w:hAnsi="宋体"/>
                <w:kern w:val="0"/>
              </w:rPr>
              <w:t>分值构成 （总分1</w:t>
            </w:r>
            <w:r>
              <w:rPr>
                <w:rFonts w:hint="eastAsia" w:ascii="宋体" w:hAnsi="宋体"/>
                <w:kern w:val="0"/>
              </w:rPr>
              <w:t>00</w:t>
            </w:r>
            <w:r>
              <w:rPr>
                <w:rFonts w:ascii="宋体" w:hAnsi="宋体"/>
                <w:kern w:val="0"/>
              </w:rPr>
              <w:t>分）</w:t>
            </w:r>
          </w:p>
        </w:tc>
        <w:tc>
          <w:tcPr>
            <w:tcW w:w="5493" w:type="dxa"/>
            <w:vAlign w:val="center"/>
          </w:tcPr>
          <w:p>
            <w:pPr>
              <w:keepNext w:val="0"/>
              <w:keepLines w:val="0"/>
              <w:pageBreakBefore w:val="0"/>
              <w:widowControl w:val="0"/>
              <w:kinsoku/>
              <w:wordWrap/>
              <w:overflowPunct/>
              <w:topLinePunct w:val="0"/>
              <w:bidi w:val="0"/>
              <w:snapToGrid w:val="0"/>
              <w:spacing w:line="400" w:lineRule="exact"/>
              <w:ind w:firstLine="420" w:firstLineChars="200"/>
              <w:jc w:val="left"/>
              <w:textAlignment w:val="auto"/>
              <w:rPr>
                <w:rFonts w:ascii="宋体" w:hAnsi="宋体"/>
                <w:kern w:val="0"/>
              </w:rPr>
            </w:pPr>
            <w:r>
              <w:rPr>
                <w:rFonts w:hint="eastAsia" w:ascii="宋体" w:hAnsi="宋体"/>
                <w:kern w:val="0"/>
              </w:rPr>
              <w:t>1</w:t>
            </w:r>
            <w:r>
              <w:rPr>
                <w:rFonts w:ascii="宋体" w:hAnsi="宋体"/>
                <w:kern w:val="0"/>
              </w:rPr>
              <w:t>.</w:t>
            </w:r>
            <w:r>
              <w:rPr>
                <w:rFonts w:hint="eastAsia" w:ascii="宋体" w:hAnsi="宋体"/>
                <w:kern w:val="0"/>
              </w:rPr>
              <w:t>技术部分30分</w:t>
            </w:r>
          </w:p>
          <w:p>
            <w:pPr>
              <w:keepNext w:val="0"/>
              <w:keepLines w:val="0"/>
              <w:pageBreakBefore w:val="0"/>
              <w:widowControl w:val="0"/>
              <w:kinsoku/>
              <w:wordWrap/>
              <w:overflowPunct/>
              <w:topLinePunct w:val="0"/>
              <w:bidi w:val="0"/>
              <w:snapToGrid w:val="0"/>
              <w:spacing w:line="400" w:lineRule="exact"/>
              <w:ind w:firstLine="420" w:firstLineChars="200"/>
              <w:jc w:val="left"/>
              <w:textAlignment w:val="auto"/>
              <w:rPr>
                <w:rFonts w:ascii="宋体" w:hAnsi="宋体"/>
                <w:kern w:val="0"/>
              </w:rPr>
            </w:pPr>
            <w:r>
              <w:rPr>
                <w:rFonts w:hint="eastAsia" w:ascii="宋体" w:hAnsi="宋体"/>
                <w:kern w:val="0"/>
              </w:rPr>
              <w:t>2.商务部分5分</w:t>
            </w:r>
          </w:p>
          <w:p>
            <w:pPr>
              <w:keepNext w:val="0"/>
              <w:keepLines w:val="0"/>
              <w:pageBreakBefore w:val="0"/>
              <w:widowControl w:val="0"/>
              <w:kinsoku/>
              <w:wordWrap/>
              <w:overflowPunct/>
              <w:topLinePunct w:val="0"/>
              <w:bidi w:val="0"/>
              <w:snapToGrid w:val="0"/>
              <w:spacing w:line="400" w:lineRule="exact"/>
              <w:ind w:firstLine="420" w:firstLineChars="200"/>
              <w:jc w:val="left"/>
              <w:textAlignment w:val="auto"/>
              <w:rPr>
                <w:rFonts w:ascii="宋体" w:hAnsi="宋体"/>
                <w:i/>
                <w:kern w:val="0"/>
              </w:rPr>
            </w:pPr>
            <w:r>
              <w:rPr>
                <w:rFonts w:hint="eastAsia" w:ascii="宋体" w:hAnsi="宋体"/>
                <w:kern w:val="0"/>
              </w:rPr>
              <w:t>3.竞标总报价</w:t>
            </w:r>
            <w:r>
              <w:rPr>
                <w:rFonts w:hint="eastAsia" w:ascii="宋体" w:hAnsi="宋体"/>
                <w:kern w:val="0"/>
                <w:u w:val="single"/>
              </w:rPr>
              <w:t>65</w:t>
            </w:r>
            <w:r>
              <w:rPr>
                <w:rFonts w:hint="eastAsia" w:ascii="宋体" w:hAnsi="宋体"/>
                <w:kern w:val="0"/>
              </w:rPr>
              <w:t>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780" w:hRule="atLeast"/>
          <w:jc w:val="center"/>
        </w:trPr>
        <w:tc>
          <w:tcPr>
            <w:tcW w:w="833" w:type="dxa"/>
            <w:tcBorders>
              <w:right w:val="single" w:color="auto" w:sz="4" w:space="0"/>
            </w:tcBorders>
            <w:vAlign w:val="center"/>
          </w:tcPr>
          <w:p>
            <w:pPr>
              <w:keepNext w:val="0"/>
              <w:keepLines w:val="0"/>
              <w:pageBreakBefore w:val="0"/>
              <w:widowControl w:val="0"/>
              <w:kinsoku/>
              <w:wordWrap/>
              <w:overflowPunct/>
              <w:topLinePunct w:val="0"/>
              <w:bidi w:val="0"/>
              <w:spacing w:line="400" w:lineRule="exact"/>
              <w:jc w:val="center"/>
              <w:textAlignment w:val="auto"/>
              <w:rPr>
                <w:rFonts w:ascii="宋体" w:hAnsi="宋体"/>
                <w:kern w:val="0"/>
              </w:rPr>
            </w:pPr>
            <w:r>
              <w:rPr>
                <w:rFonts w:hint="eastAsia" w:ascii="宋体" w:hAnsi="宋体"/>
                <w:kern w:val="0"/>
              </w:rPr>
              <w:t>2.2.2</w:t>
            </w:r>
          </w:p>
        </w:tc>
        <w:tc>
          <w:tcPr>
            <w:tcW w:w="585" w:type="dxa"/>
            <w:gridSpan w:val="2"/>
            <w:tcBorders>
              <w:left w:val="single" w:color="auto" w:sz="4" w:space="0"/>
            </w:tcBorders>
            <w:vAlign w:val="center"/>
          </w:tcPr>
          <w:p>
            <w:pPr>
              <w:keepNext w:val="0"/>
              <w:keepLines w:val="0"/>
              <w:pageBreakBefore w:val="0"/>
              <w:widowControl w:val="0"/>
              <w:kinsoku/>
              <w:wordWrap/>
              <w:overflowPunct/>
              <w:topLinePunct w:val="0"/>
              <w:bidi w:val="0"/>
              <w:spacing w:line="400" w:lineRule="exact"/>
              <w:jc w:val="center"/>
              <w:textAlignment w:val="auto"/>
              <w:rPr>
                <w:rFonts w:ascii="宋体" w:hAnsi="宋体"/>
                <w:kern w:val="0"/>
              </w:rPr>
            </w:pPr>
            <w:r>
              <w:rPr>
                <w:rFonts w:hint="eastAsia" w:ascii="宋体" w:hAnsi="宋体"/>
                <w:kern w:val="0"/>
              </w:rPr>
              <w:t>技术部分评分标准</w:t>
            </w:r>
          </w:p>
        </w:tc>
        <w:tc>
          <w:tcPr>
            <w:tcW w:w="568" w:type="dxa"/>
            <w:tcBorders>
              <w:right w:val="single" w:color="auto" w:sz="4" w:space="0"/>
            </w:tcBorders>
            <w:vAlign w:val="center"/>
          </w:tcPr>
          <w:p>
            <w:pPr>
              <w:keepNext w:val="0"/>
              <w:keepLines w:val="0"/>
              <w:pageBreakBefore w:val="0"/>
              <w:widowControl w:val="0"/>
              <w:tabs>
                <w:tab w:val="left" w:pos="1875"/>
              </w:tabs>
              <w:kinsoku/>
              <w:wordWrap/>
              <w:overflowPunct/>
              <w:topLinePunct w:val="0"/>
              <w:bidi w:val="0"/>
              <w:spacing w:line="400" w:lineRule="exact"/>
              <w:jc w:val="center"/>
              <w:textAlignment w:val="auto"/>
              <w:rPr>
                <w:rFonts w:ascii="宋体" w:hAnsi="宋体"/>
                <w:kern w:val="0"/>
              </w:rPr>
            </w:pPr>
            <w:r>
              <w:rPr>
                <w:rFonts w:ascii="宋体" w:hAnsi="宋体"/>
                <w:kern w:val="0"/>
              </w:rPr>
              <w:t>技</w:t>
            </w:r>
          </w:p>
          <w:p>
            <w:pPr>
              <w:keepNext w:val="0"/>
              <w:keepLines w:val="0"/>
              <w:pageBreakBefore w:val="0"/>
              <w:widowControl w:val="0"/>
              <w:tabs>
                <w:tab w:val="left" w:pos="1875"/>
              </w:tabs>
              <w:kinsoku/>
              <w:wordWrap/>
              <w:overflowPunct/>
              <w:topLinePunct w:val="0"/>
              <w:bidi w:val="0"/>
              <w:spacing w:line="400" w:lineRule="exact"/>
              <w:jc w:val="center"/>
              <w:textAlignment w:val="auto"/>
              <w:rPr>
                <w:rFonts w:ascii="宋体" w:hAnsi="宋体"/>
                <w:kern w:val="0"/>
              </w:rPr>
            </w:pPr>
            <w:r>
              <w:rPr>
                <w:rFonts w:ascii="宋体" w:hAnsi="宋体"/>
                <w:kern w:val="0"/>
              </w:rPr>
              <w:t>术</w:t>
            </w:r>
          </w:p>
          <w:p>
            <w:pPr>
              <w:keepNext w:val="0"/>
              <w:keepLines w:val="0"/>
              <w:pageBreakBefore w:val="0"/>
              <w:widowControl w:val="0"/>
              <w:tabs>
                <w:tab w:val="left" w:pos="1875"/>
              </w:tabs>
              <w:kinsoku/>
              <w:wordWrap/>
              <w:overflowPunct/>
              <w:topLinePunct w:val="0"/>
              <w:bidi w:val="0"/>
              <w:spacing w:line="400" w:lineRule="exact"/>
              <w:jc w:val="center"/>
              <w:textAlignment w:val="auto"/>
              <w:rPr>
                <w:rFonts w:ascii="宋体" w:hAnsi="宋体"/>
                <w:kern w:val="0"/>
              </w:rPr>
            </w:pPr>
            <w:r>
              <w:rPr>
                <w:rFonts w:ascii="宋体" w:hAnsi="宋体"/>
                <w:kern w:val="0"/>
              </w:rPr>
              <w:t>方</w:t>
            </w:r>
          </w:p>
          <w:p>
            <w:pPr>
              <w:keepNext w:val="0"/>
              <w:keepLines w:val="0"/>
              <w:pageBreakBefore w:val="0"/>
              <w:widowControl w:val="0"/>
              <w:tabs>
                <w:tab w:val="left" w:pos="1875"/>
              </w:tabs>
              <w:kinsoku/>
              <w:wordWrap/>
              <w:overflowPunct/>
              <w:topLinePunct w:val="0"/>
              <w:bidi w:val="0"/>
              <w:spacing w:line="400" w:lineRule="exact"/>
              <w:jc w:val="center"/>
              <w:textAlignment w:val="auto"/>
              <w:rPr>
                <w:rFonts w:ascii="宋体" w:hAnsi="宋体"/>
                <w:kern w:val="0"/>
              </w:rPr>
            </w:pPr>
            <w:r>
              <w:rPr>
                <w:rFonts w:ascii="宋体" w:hAnsi="宋体"/>
                <w:kern w:val="0"/>
              </w:rPr>
              <w:t>案</w:t>
            </w:r>
          </w:p>
          <w:p>
            <w:pPr>
              <w:keepNext w:val="0"/>
              <w:keepLines w:val="0"/>
              <w:pageBreakBefore w:val="0"/>
              <w:widowControl w:val="0"/>
              <w:tabs>
                <w:tab w:val="left" w:pos="1875"/>
              </w:tabs>
              <w:kinsoku/>
              <w:wordWrap/>
              <w:overflowPunct/>
              <w:topLinePunct w:val="0"/>
              <w:bidi w:val="0"/>
              <w:spacing w:line="400" w:lineRule="exact"/>
              <w:jc w:val="center"/>
              <w:textAlignment w:val="auto"/>
              <w:rPr>
                <w:rFonts w:ascii="宋体" w:hAnsi="宋体"/>
                <w:kern w:val="0"/>
              </w:rPr>
            </w:pPr>
            <w:r>
              <w:rPr>
                <w:rFonts w:ascii="宋体" w:hAnsi="宋体"/>
                <w:kern w:val="0"/>
              </w:rPr>
              <w:t>评</w:t>
            </w:r>
          </w:p>
          <w:p>
            <w:pPr>
              <w:keepNext w:val="0"/>
              <w:keepLines w:val="0"/>
              <w:pageBreakBefore w:val="0"/>
              <w:widowControl w:val="0"/>
              <w:tabs>
                <w:tab w:val="left" w:pos="1875"/>
              </w:tabs>
              <w:kinsoku/>
              <w:wordWrap/>
              <w:overflowPunct/>
              <w:topLinePunct w:val="0"/>
              <w:bidi w:val="0"/>
              <w:spacing w:line="400" w:lineRule="exact"/>
              <w:jc w:val="center"/>
              <w:textAlignment w:val="auto"/>
              <w:rPr>
                <w:rFonts w:ascii="宋体" w:hAnsi="宋体"/>
                <w:kern w:val="0"/>
              </w:rPr>
            </w:pPr>
            <w:r>
              <w:rPr>
                <w:rFonts w:ascii="宋体" w:hAnsi="宋体"/>
                <w:kern w:val="0"/>
              </w:rPr>
              <w:t>审</w:t>
            </w:r>
          </w:p>
        </w:tc>
        <w:tc>
          <w:tcPr>
            <w:tcW w:w="1991" w:type="dxa"/>
            <w:gridSpan w:val="3"/>
            <w:tcBorders>
              <w:left w:val="single" w:color="auto" w:sz="4" w:space="0"/>
            </w:tcBorders>
            <w:vAlign w:val="center"/>
          </w:tcPr>
          <w:p>
            <w:pPr>
              <w:keepNext w:val="0"/>
              <w:keepLines w:val="0"/>
              <w:pageBreakBefore w:val="0"/>
              <w:widowControl w:val="0"/>
              <w:kinsoku/>
              <w:wordWrap/>
              <w:overflowPunct/>
              <w:topLinePunct w:val="0"/>
              <w:bidi w:val="0"/>
              <w:spacing w:line="400" w:lineRule="exact"/>
              <w:jc w:val="center"/>
              <w:textAlignment w:val="auto"/>
              <w:rPr>
                <w:rFonts w:ascii="宋体" w:hAnsi="宋体"/>
                <w:kern w:val="0"/>
              </w:rPr>
            </w:pPr>
            <w:r>
              <w:rPr>
                <w:rFonts w:hint="eastAsia" w:ascii="宋体" w:hAnsi="宋体"/>
                <w:kern w:val="0"/>
              </w:rPr>
              <w:t>技术部分</w:t>
            </w:r>
          </w:p>
          <w:p>
            <w:pPr>
              <w:keepNext w:val="0"/>
              <w:keepLines w:val="0"/>
              <w:pageBreakBefore w:val="0"/>
              <w:widowControl w:val="0"/>
              <w:kinsoku/>
              <w:wordWrap/>
              <w:overflowPunct/>
              <w:topLinePunct w:val="0"/>
              <w:bidi w:val="0"/>
              <w:spacing w:line="400" w:lineRule="exact"/>
              <w:jc w:val="center"/>
              <w:textAlignment w:val="auto"/>
              <w:rPr>
                <w:rFonts w:ascii="宋体" w:hAnsi="宋体"/>
                <w:kern w:val="0"/>
              </w:rPr>
            </w:pPr>
            <w:r>
              <w:rPr>
                <w:rFonts w:hint="eastAsia" w:ascii="宋体" w:hAnsi="宋体"/>
                <w:kern w:val="0"/>
              </w:rPr>
              <w:t>（30分）</w:t>
            </w:r>
          </w:p>
        </w:tc>
        <w:tc>
          <w:tcPr>
            <w:tcW w:w="5493" w:type="dxa"/>
            <w:vAlign w:val="center"/>
          </w:tcPr>
          <w:p>
            <w:pPr>
              <w:pStyle w:val="313"/>
              <w:keepNext w:val="0"/>
              <w:keepLines w:val="0"/>
              <w:pageBreakBefore w:val="0"/>
              <w:widowControl w:val="0"/>
              <w:kinsoku/>
              <w:wordWrap/>
              <w:overflowPunct/>
              <w:topLinePunct w:val="0"/>
              <w:bidi w:val="0"/>
              <w:spacing w:line="400" w:lineRule="exact"/>
              <w:ind w:firstLine="420" w:firstLineChars="200"/>
              <w:textAlignment w:val="auto"/>
              <w:rPr>
                <w:rFonts w:ascii="宋体" w:hAnsi="宋体" w:eastAsia="宋体" w:cs="Times New Roman"/>
                <w:kern w:val="2"/>
                <w:sz w:val="21"/>
                <w:szCs w:val="24"/>
                <w:lang w:eastAsia="zh-CN"/>
              </w:rPr>
            </w:pPr>
            <w:r>
              <w:rPr>
                <w:rFonts w:hint="eastAsia" w:ascii="宋体" w:hAnsi="宋体" w:eastAsia="宋体" w:cs="Times New Roman"/>
                <w:kern w:val="2"/>
                <w:sz w:val="21"/>
                <w:szCs w:val="24"/>
                <w:lang w:eastAsia="zh-CN"/>
              </w:rPr>
              <w:t>1.确保工程质量的技术组织措施，根据方案实际性、可行性、科学性、合理性进行评审，优得5分，良得3分，一般得1分，差或未提供得0分。</w:t>
            </w:r>
          </w:p>
          <w:p>
            <w:pPr>
              <w:pStyle w:val="313"/>
              <w:keepNext w:val="0"/>
              <w:keepLines w:val="0"/>
              <w:pageBreakBefore w:val="0"/>
              <w:widowControl w:val="0"/>
              <w:kinsoku/>
              <w:wordWrap/>
              <w:overflowPunct/>
              <w:topLinePunct w:val="0"/>
              <w:bidi w:val="0"/>
              <w:spacing w:line="400" w:lineRule="exact"/>
              <w:ind w:firstLine="420" w:firstLineChars="200"/>
              <w:textAlignment w:val="auto"/>
              <w:rPr>
                <w:rFonts w:ascii="宋体" w:hAnsi="宋体" w:eastAsia="宋体" w:cs="Times New Roman"/>
                <w:kern w:val="2"/>
                <w:sz w:val="21"/>
                <w:szCs w:val="24"/>
                <w:lang w:eastAsia="zh-CN"/>
              </w:rPr>
            </w:pPr>
            <w:r>
              <w:rPr>
                <w:rFonts w:hint="eastAsia" w:ascii="宋体" w:hAnsi="宋体" w:eastAsia="宋体" w:cs="Times New Roman"/>
                <w:kern w:val="2"/>
                <w:sz w:val="21"/>
                <w:szCs w:val="24"/>
                <w:lang w:eastAsia="zh-CN"/>
              </w:rPr>
              <w:t>2.确保安全生产的技术组织措施，根据方案实际性、可行性、科学性、合理性进行评审，优得5分，良得3分，一般得1分，差或未提供得0分。</w:t>
            </w:r>
          </w:p>
          <w:p>
            <w:pPr>
              <w:pStyle w:val="313"/>
              <w:keepNext w:val="0"/>
              <w:keepLines w:val="0"/>
              <w:pageBreakBefore w:val="0"/>
              <w:widowControl w:val="0"/>
              <w:kinsoku/>
              <w:wordWrap/>
              <w:overflowPunct/>
              <w:topLinePunct w:val="0"/>
              <w:bidi w:val="0"/>
              <w:spacing w:line="400" w:lineRule="exact"/>
              <w:ind w:firstLine="420" w:firstLineChars="200"/>
              <w:textAlignment w:val="auto"/>
              <w:rPr>
                <w:rFonts w:ascii="宋体" w:hAnsi="宋体" w:eastAsia="宋体" w:cs="Times New Roman"/>
                <w:kern w:val="2"/>
                <w:sz w:val="21"/>
                <w:szCs w:val="24"/>
                <w:lang w:eastAsia="zh-CN"/>
              </w:rPr>
            </w:pPr>
            <w:r>
              <w:rPr>
                <w:rFonts w:hint="eastAsia" w:ascii="宋体" w:hAnsi="宋体" w:eastAsia="宋体" w:cs="Times New Roman"/>
                <w:kern w:val="2"/>
                <w:sz w:val="21"/>
                <w:szCs w:val="24"/>
                <w:lang w:eastAsia="zh-CN"/>
              </w:rPr>
              <w:t>3.确保文明施工的技术组织措施及环境保护措施，根据方案实际性、可行性、科学性、合理性进行评审，优得5分，良得3分，一般得1分，差或未提供得0分。</w:t>
            </w:r>
          </w:p>
          <w:p>
            <w:pPr>
              <w:pStyle w:val="313"/>
              <w:keepNext w:val="0"/>
              <w:keepLines w:val="0"/>
              <w:pageBreakBefore w:val="0"/>
              <w:widowControl w:val="0"/>
              <w:kinsoku/>
              <w:wordWrap/>
              <w:overflowPunct/>
              <w:topLinePunct w:val="0"/>
              <w:bidi w:val="0"/>
              <w:spacing w:line="400" w:lineRule="exact"/>
              <w:ind w:firstLine="420" w:firstLineChars="200"/>
              <w:textAlignment w:val="auto"/>
              <w:rPr>
                <w:rFonts w:ascii="宋体" w:hAnsi="宋体" w:eastAsia="宋体" w:cs="Times New Roman"/>
                <w:kern w:val="2"/>
                <w:sz w:val="21"/>
                <w:szCs w:val="24"/>
                <w:lang w:eastAsia="zh-CN"/>
              </w:rPr>
            </w:pPr>
            <w:r>
              <w:rPr>
                <w:rFonts w:hint="eastAsia" w:ascii="宋体" w:hAnsi="宋体" w:eastAsia="宋体" w:cs="Times New Roman"/>
                <w:kern w:val="2"/>
                <w:sz w:val="21"/>
                <w:szCs w:val="24"/>
                <w:lang w:eastAsia="zh-CN"/>
              </w:rPr>
              <w:t>4.施工进度表或施工网络图 ，根据方案实际性、可行性、科学性、合理性进行评审，优得5分，良得3分，一般得1分，差或未提供得0分。</w:t>
            </w:r>
          </w:p>
          <w:p>
            <w:pPr>
              <w:pStyle w:val="313"/>
              <w:keepNext w:val="0"/>
              <w:keepLines w:val="0"/>
              <w:pageBreakBefore w:val="0"/>
              <w:widowControl w:val="0"/>
              <w:kinsoku/>
              <w:wordWrap/>
              <w:overflowPunct/>
              <w:topLinePunct w:val="0"/>
              <w:bidi w:val="0"/>
              <w:spacing w:line="400" w:lineRule="exact"/>
              <w:ind w:firstLine="420" w:firstLineChars="200"/>
              <w:textAlignment w:val="auto"/>
              <w:rPr>
                <w:rFonts w:ascii="宋体" w:hAnsi="宋体" w:eastAsia="宋体" w:cs="Times New Roman"/>
                <w:kern w:val="2"/>
                <w:sz w:val="21"/>
                <w:szCs w:val="24"/>
                <w:lang w:eastAsia="zh-CN"/>
              </w:rPr>
            </w:pPr>
            <w:r>
              <w:rPr>
                <w:rFonts w:hint="eastAsia" w:ascii="宋体" w:hAnsi="宋体" w:eastAsia="宋体" w:cs="Times New Roman"/>
                <w:kern w:val="2"/>
                <w:sz w:val="21"/>
                <w:szCs w:val="24"/>
                <w:lang w:eastAsia="zh-CN"/>
              </w:rPr>
              <w:t>5.施工总平面布置图，根据方案实际性、可行性、科学性、合理性进行评审，优得5分，良得3分，一般得1分，差或未提供得0分。</w:t>
            </w:r>
          </w:p>
          <w:p>
            <w:pPr>
              <w:keepNext w:val="0"/>
              <w:keepLines w:val="0"/>
              <w:pageBreakBefore w:val="0"/>
              <w:widowControl w:val="0"/>
              <w:kinsoku/>
              <w:wordWrap/>
              <w:overflowPunct/>
              <w:topLinePunct w:val="0"/>
              <w:bidi w:val="0"/>
              <w:snapToGrid w:val="0"/>
              <w:spacing w:line="400" w:lineRule="exact"/>
              <w:ind w:firstLine="420" w:firstLineChars="200"/>
              <w:jc w:val="left"/>
              <w:textAlignment w:val="auto"/>
              <w:rPr>
                <w:rFonts w:ascii="宋体" w:hAnsi="宋体"/>
                <w:kern w:val="0"/>
              </w:rPr>
            </w:pPr>
            <w:r>
              <w:rPr>
                <w:rFonts w:hint="eastAsia" w:ascii="宋体" w:hAnsi="宋体"/>
              </w:rPr>
              <w:t>6.文物保护技术措施，保护工程中的课题设置，根据方案实际性、可行性、科学性、合理性进行评审，优得5分，良得3分，一般得1分，差或未提供得0分。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833" w:type="dxa"/>
            <w:vAlign w:val="center"/>
          </w:tcPr>
          <w:p>
            <w:pPr>
              <w:keepNext w:val="0"/>
              <w:keepLines w:val="0"/>
              <w:pageBreakBefore w:val="0"/>
              <w:widowControl w:val="0"/>
              <w:kinsoku/>
              <w:wordWrap/>
              <w:overflowPunct/>
              <w:topLinePunct w:val="0"/>
              <w:bidi w:val="0"/>
              <w:spacing w:line="400" w:lineRule="exact"/>
              <w:jc w:val="center"/>
              <w:textAlignment w:val="auto"/>
              <w:rPr>
                <w:rFonts w:ascii="宋体" w:hAnsi="宋体"/>
                <w:kern w:val="0"/>
              </w:rPr>
            </w:pPr>
            <w:r>
              <w:rPr>
                <w:rFonts w:ascii="宋体" w:hAnsi="宋体"/>
                <w:kern w:val="0"/>
              </w:rPr>
              <w:t>2.2.</w:t>
            </w:r>
            <w:r>
              <w:rPr>
                <w:rFonts w:hint="eastAsia" w:ascii="宋体" w:hAnsi="宋体"/>
                <w:kern w:val="0"/>
              </w:rPr>
              <w:t>3</w:t>
            </w:r>
          </w:p>
        </w:tc>
        <w:tc>
          <w:tcPr>
            <w:tcW w:w="2131" w:type="dxa"/>
            <w:gridSpan w:val="5"/>
            <w:vAlign w:val="center"/>
          </w:tcPr>
          <w:p>
            <w:pPr>
              <w:keepNext w:val="0"/>
              <w:keepLines w:val="0"/>
              <w:pageBreakBefore w:val="0"/>
              <w:widowControl w:val="0"/>
              <w:kinsoku/>
              <w:wordWrap/>
              <w:overflowPunct/>
              <w:topLinePunct w:val="0"/>
              <w:bidi w:val="0"/>
              <w:spacing w:line="400" w:lineRule="exact"/>
              <w:jc w:val="center"/>
              <w:textAlignment w:val="auto"/>
              <w:rPr>
                <w:rFonts w:ascii="宋体" w:hAnsi="宋体"/>
                <w:kern w:val="0"/>
              </w:rPr>
            </w:pPr>
            <w:r>
              <w:rPr>
                <w:rFonts w:ascii="宋体" w:hAnsi="宋体"/>
                <w:kern w:val="0"/>
              </w:rPr>
              <w:t>评标基准价计算方法</w:t>
            </w:r>
          </w:p>
        </w:tc>
        <w:tc>
          <w:tcPr>
            <w:tcW w:w="1013" w:type="dxa"/>
            <w:vAlign w:val="center"/>
          </w:tcPr>
          <w:p>
            <w:pPr>
              <w:keepNext w:val="0"/>
              <w:keepLines w:val="0"/>
              <w:pageBreakBefore w:val="0"/>
              <w:widowControl w:val="0"/>
              <w:kinsoku/>
              <w:wordWrap/>
              <w:overflowPunct/>
              <w:topLinePunct w:val="0"/>
              <w:bidi w:val="0"/>
              <w:spacing w:line="400" w:lineRule="exact"/>
              <w:jc w:val="center"/>
              <w:textAlignment w:val="auto"/>
              <w:rPr>
                <w:rFonts w:ascii="宋体" w:hAnsi="宋体"/>
                <w:kern w:val="0"/>
              </w:rPr>
            </w:pPr>
            <w:r>
              <w:rPr>
                <w:rFonts w:hint="eastAsia" w:ascii="宋体" w:hAnsi="宋体"/>
                <w:kern w:val="0"/>
              </w:rPr>
              <w:t>竞标</w:t>
            </w:r>
            <w:r>
              <w:rPr>
                <w:rFonts w:ascii="宋体" w:hAnsi="宋体"/>
                <w:kern w:val="0"/>
              </w:rPr>
              <w:t>总报价</w:t>
            </w:r>
          </w:p>
        </w:tc>
        <w:tc>
          <w:tcPr>
            <w:tcW w:w="5493" w:type="dxa"/>
          </w:tcPr>
          <w:p>
            <w:pPr>
              <w:keepNext w:val="0"/>
              <w:keepLines w:val="0"/>
              <w:pageBreakBefore w:val="0"/>
              <w:widowControl w:val="0"/>
              <w:kinsoku/>
              <w:wordWrap/>
              <w:overflowPunct/>
              <w:topLinePunct w:val="0"/>
              <w:bidi w:val="0"/>
              <w:snapToGrid w:val="0"/>
              <w:spacing w:line="400" w:lineRule="exact"/>
              <w:ind w:firstLine="420" w:firstLineChars="200"/>
              <w:jc w:val="left"/>
              <w:textAlignment w:val="auto"/>
              <w:rPr>
                <w:rFonts w:ascii="宋体" w:hAnsi="宋体"/>
                <w:i/>
                <w:kern w:val="0"/>
                <w:szCs w:val="21"/>
              </w:rPr>
            </w:pPr>
            <w:r>
              <w:rPr>
                <w:rFonts w:ascii="宋体" w:hAnsi="宋体"/>
                <w:kern w:val="0"/>
                <w:szCs w:val="21"/>
              </w:rPr>
              <w:t>所有通过初步评审合格的</w:t>
            </w:r>
            <w:r>
              <w:rPr>
                <w:rFonts w:hint="eastAsia" w:ascii="宋体" w:hAnsi="宋体"/>
                <w:kern w:val="0"/>
                <w:szCs w:val="21"/>
                <w:lang w:eastAsia="zh-CN"/>
              </w:rPr>
              <w:t>竞标</w:t>
            </w:r>
            <w:r>
              <w:rPr>
                <w:rFonts w:ascii="宋体" w:hAnsi="宋体"/>
                <w:kern w:val="0"/>
                <w:szCs w:val="21"/>
              </w:rPr>
              <w:t>人</w:t>
            </w:r>
            <w:r>
              <w:rPr>
                <w:rFonts w:ascii="宋体" w:hAnsi="宋体"/>
                <w:szCs w:val="21"/>
              </w:rPr>
              <w:t>的</w:t>
            </w:r>
            <w:r>
              <w:rPr>
                <w:rFonts w:hint="eastAsia" w:ascii="宋体" w:hAnsi="宋体"/>
                <w:szCs w:val="21"/>
              </w:rPr>
              <w:t>竞标</w:t>
            </w:r>
            <w:r>
              <w:rPr>
                <w:rFonts w:ascii="宋体" w:hAnsi="宋体"/>
                <w:szCs w:val="21"/>
              </w:rPr>
              <w:t>总报</w:t>
            </w:r>
            <w:r>
              <w:rPr>
                <w:rFonts w:ascii="宋体" w:hAnsi="宋体"/>
                <w:kern w:val="0"/>
                <w:szCs w:val="21"/>
              </w:rPr>
              <w:t>价中去掉六分之一（不能整除的按小数点前整数取整，不足六家报价则不去掉）的最低价和相同家数的最高价后的算术平均值</w:t>
            </w:r>
            <w:r>
              <w:rPr>
                <w:rFonts w:hint="eastAsia" w:ascii="宋体" w:hAnsi="宋体"/>
                <w:kern w:val="0"/>
                <w:szCs w:val="21"/>
              </w:rPr>
              <w:t>，即为本项目的竞标总报价的评标基准价。</w:t>
            </w:r>
          </w:p>
          <w:p>
            <w:pPr>
              <w:keepNext w:val="0"/>
              <w:keepLines w:val="0"/>
              <w:pageBreakBefore w:val="0"/>
              <w:widowControl w:val="0"/>
              <w:kinsoku/>
              <w:wordWrap/>
              <w:overflowPunct/>
              <w:topLinePunct w:val="0"/>
              <w:bidi w:val="0"/>
              <w:snapToGrid w:val="0"/>
              <w:spacing w:line="400" w:lineRule="exact"/>
              <w:ind w:firstLine="420" w:firstLineChars="200"/>
              <w:jc w:val="left"/>
              <w:textAlignment w:val="auto"/>
              <w:rPr>
                <w:rFonts w:ascii="宋体" w:hAnsi="宋体"/>
                <w:kern w:val="0"/>
                <w:szCs w:val="21"/>
              </w:rPr>
            </w:pPr>
            <w:r>
              <w:rPr>
                <w:rFonts w:hint="eastAsia" w:ascii="宋体" w:hAnsi="宋体"/>
                <w:kern w:val="0"/>
                <w:szCs w:val="21"/>
              </w:rPr>
              <w:t>评标基准价计算的最终</w:t>
            </w:r>
            <w:r>
              <w:rPr>
                <w:rFonts w:ascii="宋体" w:hAnsi="宋体"/>
                <w:kern w:val="0"/>
                <w:szCs w:val="21"/>
              </w:rPr>
              <w:t>结果取小数点后两位，第三位四舍五入。</w:t>
            </w:r>
          </w:p>
          <w:p>
            <w:pPr>
              <w:keepNext w:val="0"/>
              <w:keepLines w:val="0"/>
              <w:pageBreakBefore w:val="0"/>
              <w:widowControl w:val="0"/>
              <w:kinsoku/>
              <w:wordWrap/>
              <w:overflowPunct/>
              <w:topLinePunct w:val="0"/>
              <w:bidi w:val="0"/>
              <w:snapToGrid w:val="0"/>
              <w:spacing w:line="400" w:lineRule="exact"/>
              <w:ind w:firstLine="420" w:firstLineChars="200"/>
              <w:jc w:val="left"/>
              <w:textAlignment w:val="auto"/>
              <w:rPr>
                <w:rFonts w:ascii="宋体" w:hAnsi="宋体"/>
                <w:kern w:val="0"/>
                <w:szCs w:val="21"/>
              </w:rPr>
            </w:pPr>
            <w:r>
              <w:rPr>
                <w:rFonts w:ascii="宋体" w:hAnsi="宋体"/>
                <w:kern w:val="0"/>
                <w:szCs w:val="21"/>
              </w:rPr>
              <w:t>在评标基准价计算完成后（除计算错误外），在后续的评审中不得再对其做出调整。</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833" w:type="dxa"/>
            <w:vMerge w:val="restart"/>
            <w:vAlign w:val="center"/>
          </w:tcPr>
          <w:p>
            <w:pPr>
              <w:keepNext w:val="0"/>
              <w:keepLines w:val="0"/>
              <w:pageBreakBefore w:val="0"/>
              <w:widowControl w:val="0"/>
              <w:kinsoku/>
              <w:wordWrap/>
              <w:overflowPunct/>
              <w:topLinePunct w:val="0"/>
              <w:bidi w:val="0"/>
              <w:spacing w:line="400" w:lineRule="exact"/>
              <w:jc w:val="center"/>
              <w:textAlignment w:val="auto"/>
              <w:rPr>
                <w:rFonts w:ascii="宋体" w:hAnsi="宋体"/>
                <w:kern w:val="0"/>
              </w:rPr>
            </w:pPr>
            <w:r>
              <w:rPr>
                <w:rFonts w:ascii="宋体" w:hAnsi="宋体"/>
                <w:kern w:val="0"/>
              </w:rPr>
              <w:t>2.2.</w:t>
            </w:r>
            <w:r>
              <w:rPr>
                <w:rFonts w:hint="eastAsia" w:ascii="宋体" w:hAnsi="宋体"/>
                <w:kern w:val="0"/>
              </w:rPr>
              <w:t>4</w:t>
            </w:r>
          </w:p>
        </w:tc>
        <w:tc>
          <w:tcPr>
            <w:tcW w:w="3144" w:type="dxa"/>
            <w:gridSpan w:val="6"/>
            <w:vMerge w:val="restart"/>
            <w:vAlign w:val="center"/>
          </w:tcPr>
          <w:p>
            <w:pPr>
              <w:keepNext w:val="0"/>
              <w:keepLines w:val="0"/>
              <w:pageBreakBefore w:val="0"/>
              <w:widowControl w:val="0"/>
              <w:kinsoku/>
              <w:wordWrap/>
              <w:overflowPunct/>
              <w:topLinePunct w:val="0"/>
              <w:bidi w:val="0"/>
              <w:spacing w:line="400" w:lineRule="exact"/>
              <w:jc w:val="center"/>
              <w:textAlignment w:val="auto"/>
              <w:rPr>
                <w:rFonts w:ascii="宋体" w:hAnsi="宋体"/>
                <w:kern w:val="0"/>
              </w:rPr>
            </w:pPr>
            <w:r>
              <w:rPr>
                <w:rFonts w:hint="eastAsia" w:ascii="宋体" w:hAnsi="宋体"/>
                <w:kern w:val="0"/>
              </w:rPr>
              <w:t>允许偏差率</w:t>
            </w:r>
          </w:p>
        </w:tc>
        <w:tc>
          <w:tcPr>
            <w:tcW w:w="5493" w:type="dxa"/>
            <w:vAlign w:val="center"/>
          </w:tcPr>
          <w:p>
            <w:pPr>
              <w:keepNext w:val="0"/>
              <w:keepLines w:val="0"/>
              <w:pageBreakBefore w:val="0"/>
              <w:widowControl w:val="0"/>
              <w:kinsoku/>
              <w:wordWrap/>
              <w:overflowPunct/>
              <w:topLinePunct w:val="0"/>
              <w:bidi w:val="0"/>
              <w:spacing w:line="400" w:lineRule="exact"/>
              <w:ind w:firstLine="420" w:firstLineChars="200"/>
              <w:jc w:val="left"/>
              <w:textAlignment w:val="auto"/>
              <w:rPr>
                <w:rFonts w:ascii="宋体" w:hAnsi="宋体"/>
                <w:kern w:val="0"/>
              </w:rPr>
            </w:pPr>
            <w:r>
              <w:rPr>
                <w:rFonts w:hint="eastAsia" w:ascii="宋体" w:hAnsi="宋体"/>
                <w:kern w:val="0"/>
              </w:rPr>
              <w:t>竞标</w:t>
            </w:r>
            <w:r>
              <w:rPr>
                <w:rFonts w:ascii="宋体" w:hAnsi="宋体"/>
                <w:kern w:val="0"/>
              </w:rPr>
              <w:t>总报价的偏差率计算公式</w:t>
            </w:r>
          </w:p>
          <w:p>
            <w:pPr>
              <w:keepNext w:val="0"/>
              <w:keepLines w:val="0"/>
              <w:pageBreakBefore w:val="0"/>
              <w:widowControl w:val="0"/>
              <w:kinsoku/>
              <w:wordWrap/>
              <w:overflowPunct/>
              <w:topLinePunct w:val="0"/>
              <w:bidi w:val="0"/>
              <w:spacing w:line="400" w:lineRule="exact"/>
              <w:ind w:firstLine="420" w:firstLineChars="200"/>
              <w:jc w:val="left"/>
              <w:textAlignment w:val="auto"/>
              <w:rPr>
                <w:rFonts w:ascii="宋体" w:hAnsi="宋体"/>
                <w:kern w:val="0"/>
              </w:rPr>
            </w:pPr>
            <w:r>
              <w:rPr>
                <w:rFonts w:ascii="宋体" w:hAnsi="宋体"/>
                <w:kern w:val="0"/>
              </w:rPr>
              <w:t>偏差率</w:t>
            </w:r>
            <w:r>
              <w:rPr>
                <w:rFonts w:ascii="宋体" w:hAnsi="宋体"/>
                <w:kern w:val="0"/>
                <w:sz w:val="28"/>
                <w:szCs w:val="28"/>
              </w:rPr>
              <w:t>=</w:t>
            </w:r>
            <w:r>
              <w:rPr>
                <w:rFonts w:ascii="宋体" w:hAnsi="宋体"/>
                <w:kern w:val="0"/>
              </w:rPr>
              <w:t>100％×（投标人报价一评标基准价）／评标基准价</w:t>
            </w:r>
          </w:p>
          <w:p>
            <w:pPr>
              <w:keepNext w:val="0"/>
              <w:keepLines w:val="0"/>
              <w:pageBreakBefore w:val="0"/>
              <w:widowControl w:val="0"/>
              <w:kinsoku/>
              <w:wordWrap/>
              <w:overflowPunct/>
              <w:topLinePunct w:val="0"/>
              <w:bidi w:val="0"/>
              <w:spacing w:line="400" w:lineRule="exact"/>
              <w:ind w:firstLine="420" w:firstLineChars="200"/>
              <w:jc w:val="left"/>
              <w:textAlignment w:val="auto"/>
              <w:rPr>
                <w:rFonts w:ascii="宋体" w:hAnsi="宋体"/>
                <w:kern w:val="0"/>
              </w:rPr>
            </w:pPr>
            <w:r>
              <w:rPr>
                <w:rFonts w:ascii="宋体" w:hAnsi="宋体"/>
                <w:kern w:val="0"/>
              </w:rPr>
              <w:t>偏差率</w:t>
            </w:r>
            <w:r>
              <w:rPr>
                <w:rFonts w:ascii="宋体" w:hAnsi="宋体"/>
                <w:kern w:val="0"/>
                <w:szCs w:val="21"/>
              </w:rPr>
              <w:t>计算的最终结果</w:t>
            </w:r>
            <w:r>
              <w:rPr>
                <w:rFonts w:hint="eastAsia" w:ascii="宋体" w:hAnsi="宋体"/>
                <w:kern w:val="0"/>
                <w:szCs w:val="21"/>
              </w:rPr>
              <w:t>取</w:t>
            </w:r>
            <w:r>
              <w:rPr>
                <w:rFonts w:ascii="宋体" w:hAnsi="宋体"/>
                <w:kern w:val="0"/>
                <w:szCs w:val="21"/>
              </w:rPr>
              <w:t>小数点后两位，小数点后第三位“四舍五入”。</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474" w:hRule="atLeast"/>
          <w:jc w:val="center"/>
        </w:trPr>
        <w:tc>
          <w:tcPr>
            <w:tcW w:w="833" w:type="dxa"/>
            <w:vMerge w:val="continue"/>
            <w:vAlign w:val="center"/>
          </w:tcPr>
          <w:p>
            <w:pPr>
              <w:keepNext w:val="0"/>
              <w:keepLines w:val="0"/>
              <w:pageBreakBefore w:val="0"/>
              <w:widowControl w:val="0"/>
              <w:kinsoku/>
              <w:wordWrap/>
              <w:overflowPunct/>
              <w:topLinePunct w:val="0"/>
              <w:bidi w:val="0"/>
              <w:spacing w:line="400" w:lineRule="exact"/>
              <w:jc w:val="center"/>
              <w:textAlignment w:val="auto"/>
              <w:rPr>
                <w:rFonts w:ascii="宋体" w:hAnsi="宋体"/>
                <w:kern w:val="0"/>
              </w:rPr>
            </w:pPr>
          </w:p>
        </w:tc>
        <w:tc>
          <w:tcPr>
            <w:tcW w:w="3144" w:type="dxa"/>
            <w:gridSpan w:val="6"/>
            <w:vMerge w:val="continue"/>
            <w:vAlign w:val="center"/>
          </w:tcPr>
          <w:p>
            <w:pPr>
              <w:keepNext w:val="0"/>
              <w:keepLines w:val="0"/>
              <w:pageBreakBefore w:val="0"/>
              <w:widowControl w:val="0"/>
              <w:kinsoku/>
              <w:wordWrap/>
              <w:overflowPunct/>
              <w:topLinePunct w:val="0"/>
              <w:bidi w:val="0"/>
              <w:spacing w:line="400" w:lineRule="exact"/>
              <w:jc w:val="center"/>
              <w:textAlignment w:val="auto"/>
              <w:rPr>
                <w:rFonts w:ascii="宋体" w:hAnsi="宋体"/>
                <w:kern w:val="0"/>
              </w:rPr>
            </w:pPr>
          </w:p>
        </w:tc>
        <w:tc>
          <w:tcPr>
            <w:tcW w:w="5493" w:type="dxa"/>
            <w:vAlign w:val="center"/>
          </w:tcPr>
          <w:p>
            <w:pPr>
              <w:keepNext w:val="0"/>
              <w:keepLines w:val="0"/>
              <w:pageBreakBefore w:val="0"/>
              <w:widowControl w:val="0"/>
              <w:kinsoku/>
              <w:wordWrap/>
              <w:overflowPunct/>
              <w:topLinePunct w:val="0"/>
              <w:bidi w:val="0"/>
              <w:snapToGrid w:val="0"/>
              <w:spacing w:line="400" w:lineRule="exact"/>
              <w:ind w:firstLine="420" w:firstLineChars="200"/>
              <w:jc w:val="left"/>
              <w:textAlignment w:val="auto"/>
              <w:rPr>
                <w:rFonts w:ascii="宋体" w:hAnsi="宋体"/>
                <w:i/>
                <w:kern w:val="0"/>
              </w:rPr>
            </w:pPr>
            <w:r>
              <w:rPr>
                <w:rFonts w:hint="eastAsia" w:ascii="宋体" w:hAnsi="宋体"/>
                <w:kern w:val="0"/>
              </w:rPr>
              <w:t>不设偏差范围。</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851" w:type="dxa"/>
            <w:gridSpan w:val="2"/>
            <w:vAlign w:val="center"/>
          </w:tcPr>
          <w:p>
            <w:pPr>
              <w:keepNext w:val="0"/>
              <w:keepLines w:val="0"/>
              <w:pageBreakBefore w:val="0"/>
              <w:widowControl w:val="0"/>
              <w:kinsoku/>
              <w:wordWrap/>
              <w:overflowPunct/>
              <w:topLinePunct w:val="0"/>
              <w:bidi w:val="0"/>
              <w:spacing w:line="400" w:lineRule="exact"/>
              <w:jc w:val="center"/>
              <w:textAlignment w:val="auto"/>
              <w:rPr>
                <w:rFonts w:ascii="宋体" w:hAnsi="宋体"/>
                <w:kern w:val="0"/>
              </w:rPr>
            </w:pPr>
            <w:r>
              <w:rPr>
                <w:rFonts w:ascii="宋体" w:hAnsi="宋体"/>
              </w:rPr>
              <w:t>3</w:t>
            </w:r>
          </w:p>
        </w:tc>
        <w:tc>
          <w:tcPr>
            <w:tcW w:w="1538" w:type="dxa"/>
            <w:gridSpan w:val="3"/>
            <w:vAlign w:val="center"/>
          </w:tcPr>
          <w:p>
            <w:pPr>
              <w:keepNext w:val="0"/>
              <w:keepLines w:val="0"/>
              <w:pageBreakBefore w:val="0"/>
              <w:widowControl w:val="0"/>
              <w:kinsoku/>
              <w:wordWrap/>
              <w:overflowPunct/>
              <w:topLinePunct w:val="0"/>
              <w:bidi w:val="0"/>
              <w:spacing w:line="400" w:lineRule="exact"/>
              <w:jc w:val="center"/>
              <w:textAlignment w:val="auto"/>
              <w:rPr>
                <w:rFonts w:ascii="宋体" w:hAnsi="宋体"/>
                <w:kern w:val="0"/>
              </w:rPr>
            </w:pPr>
            <w:r>
              <w:rPr>
                <w:rFonts w:ascii="宋体" w:hAnsi="宋体"/>
              </w:rPr>
              <w:t>评标程序</w:t>
            </w:r>
          </w:p>
        </w:tc>
        <w:tc>
          <w:tcPr>
            <w:tcW w:w="7081" w:type="dxa"/>
            <w:gridSpan w:val="3"/>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ascii="宋体" w:hAnsi="宋体"/>
                <w:szCs w:val="21"/>
              </w:rPr>
            </w:pPr>
            <w:r>
              <w:rPr>
                <w:rFonts w:hint="eastAsia" w:ascii="宋体" w:hAnsi="宋体"/>
                <w:szCs w:val="21"/>
              </w:rPr>
              <w:t>1.按本章评标办法第3.1款进行初步评审。未通过初步评审或评标委员会认定为无效的</w:t>
            </w:r>
            <w:r>
              <w:rPr>
                <w:rFonts w:hint="eastAsia" w:ascii="宋体" w:hAnsi="宋体"/>
                <w:szCs w:val="21"/>
                <w:lang w:eastAsia="zh-CN"/>
              </w:rPr>
              <w:t>竞标</w:t>
            </w:r>
            <w:r>
              <w:rPr>
                <w:rFonts w:hint="eastAsia" w:ascii="宋体" w:hAnsi="宋体"/>
                <w:szCs w:val="21"/>
              </w:rPr>
              <w:t>文件的不再进行后续评审。</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ascii="宋体" w:hAnsi="宋体"/>
                <w:szCs w:val="21"/>
              </w:rPr>
            </w:pPr>
            <w:r>
              <w:rPr>
                <w:rFonts w:hint="eastAsia" w:ascii="宋体" w:hAnsi="宋体"/>
                <w:szCs w:val="21"/>
              </w:rPr>
              <w:t>2.按本章评标办法前附表第2.2.2项及第3.2.1（1）目的规定对技术部分进行评审。</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ascii="宋体" w:hAnsi="宋体"/>
                <w:szCs w:val="21"/>
              </w:rPr>
            </w:pPr>
            <w:r>
              <w:rPr>
                <w:rFonts w:hint="eastAsia" w:ascii="宋体" w:hAnsi="宋体"/>
                <w:szCs w:val="21"/>
              </w:rPr>
              <w:t>3.因评标委员会作否决竞标处理导致有效</w:t>
            </w:r>
            <w:r>
              <w:rPr>
                <w:rFonts w:hint="eastAsia" w:ascii="宋体" w:hAnsi="宋体"/>
                <w:szCs w:val="21"/>
                <w:lang w:eastAsia="zh-CN"/>
              </w:rPr>
              <w:t>竞标</w:t>
            </w:r>
            <w:r>
              <w:rPr>
                <w:rFonts w:hint="eastAsia" w:ascii="宋体" w:hAnsi="宋体"/>
                <w:szCs w:val="21"/>
              </w:rPr>
              <w:t>人不足三个的，评标委员会应当否决所有竞标。但是有效</w:t>
            </w:r>
            <w:r>
              <w:rPr>
                <w:rFonts w:hint="eastAsia" w:ascii="宋体" w:hAnsi="宋体"/>
                <w:szCs w:val="21"/>
                <w:lang w:eastAsia="zh-CN"/>
              </w:rPr>
              <w:t>竞标</w:t>
            </w:r>
            <w:r>
              <w:rPr>
                <w:rFonts w:hint="eastAsia" w:ascii="宋体" w:hAnsi="宋体"/>
                <w:szCs w:val="21"/>
              </w:rPr>
              <w:t>人的经济、技术等指标仍然具有市场竞争力，能够满足比选文件要求的，评标委员会可以继续评标并确定中标候选人。</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ascii="宋体" w:hAnsi="宋体"/>
                <w:szCs w:val="21"/>
              </w:rPr>
            </w:pPr>
            <w:r>
              <w:rPr>
                <w:rFonts w:hint="eastAsia" w:ascii="宋体" w:hAnsi="宋体"/>
                <w:szCs w:val="21"/>
              </w:rPr>
              <w:t>4.对初步评审合格的</w:t>
            </w:r>
            <w:r>
              <w:rPr>
                <w:rFonts w:hint="eastAsia" w:ascii="宋体" w:hAnsi="宋体"/>
                <w:szCs w:val="21"/>
                <w:lang w:eastAsia="zh-CN"/>
              </w:rPr>
              <w:t>竞标</w:t>
            </w:r>
            <w:r>
              <w:rPr>
                <w:rFonts w:hint="eastAsia" w:ascii="宋体" w:hAnsi="宋体"/>
                <w:szCs w:val="21"/>
              </w:rPr>
              <w:t>人按照本章第2.2.3项计算方法计算评标基准价，并按本附表第3.2.1（2）目规定的评分方法对竞标总报价进行评分。</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ascii="宋体" w:hAnsi="宋体"/>
                <w:szCs w:val="21"/>
              </w:rPr>
            </w:pPr>
            <w:r>
              <w:rPr>
                <w:rFonts w:hint="eastAsia" w:ascii="宋体" w:hAnsi="宋体"/>
                <w:szCs w:val="21"/>
              </w:rPr>
              <w:t>5.对技术部分、竞标总报价得分进行汇总，确定得分由高至低前三名</w:t>
            </w:r>
            <w:r>
              <w:rPr>
                <w:rFonts w:hint="eastAsia" w:ascii="宋体" w:hAnsi="宋体"/>
                <w:szCs w:val="21"/>
                <w:lang w:eastAsia="zh-CN"/>
              </w:rPr>
              <w:t>竞标</w:t>
            </w:r>
            <w:r>
              <w:rPr>
                <w:rFonts w:hint="eastAsia" w:ascii="宋体" w:hAnsi="宋体"/>
                <w:szCs w:val="21"/>
              </w:rPr>
              <w:t>人为中标候选人。</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097" w:hRule="atLeast"/>
          <w:jc w:val="center"/>
        </w:trPr>
        <w:tc>
          <w:tcPr>
            <w:tcW w:w="851" w:type="dxa"/>
            <w:gridSpan w:val="2"/>
            <w:vAlign w:val="center"/>
          </w:tcPr>
          <w:p>
            <w:pPr>
              <w:keepNext w:val="0"/>
              <w:keepLines w:val="0"/>
              <w:pageBreakBefore w:val="0"/>
              <w:widowControl w:val="0"/>
              <w:kinsoku/>
              <w:wordWrap/>
              <w:overflowPunct/>
              <w:topLinePunct w:val="0"/>
              <w:bidi w:val="0"/>
              <w:spacing w:line="400" w:lineRule="exact"/>
              <w:jc w:val="center"/>
              <w:textAlignment w:val="auto"/>
              <w:rPr>
                <w:rFonts w:ascii="宋体" w:hAnsi="宋体"/>
              </w:rPr>
            </w:pPr>
            <w:r>
              <w:rPr>
                <w:rFonts w:ascii="宋体" w:hAnsi="宋体"/>
              </w:rPr>
              <w:t>3.2.1</w:t>
            </w:r>
          </w:p>
          <w:p>
            <w:pPr>
              <w:keepNext w:val="0"/>
              <w:keepLines w:val="0"/>
              <w:pageBreakBefore w:val="0"/>
              <w:widowControl w:val="0"/>
              <w:kinsoku/>
              <w:wordWrap/>
              <w:overflowPunct/>
              <w:topLinePunct w:val="0"/>
              <w:bidi w:val="0"/>
              <w:spacing w:line="400" w:lineRule="exact"/>
              <w:jc w:val="center"/>
              <w:textAlignment w:val="auto"/>
              <w:rPr>
                <w:rFonts w:ascii="宋体" w:hAnsi="宋体"/>
              </w:rPr>
            </w:pPr>
            <w:r>
              <w:rPr>
                <w:rFonts w:ascii="宋体" w:hAnsi="宋体"/>
              </w:rPr>
              <w:t>（</w:t>
            </w:r>
            <w:r>
              <w:rPr>
                <w:rFonts w:hint="eastAsia" w:ascii="宋体" w:hAnsi="宋体"/>
              </w:rPr>
              <w:t>1</w:t>
            </w:r>
            <w:r>
              <w:rPr>
                <w:rFonts w:ascii="宋体" w:hAnsi="宋体"/>
              </w:rPr>
              <w:t>）</w:t>
            </w:r>
          </w:p>
        </w:tc>
        <w:tc>
          <w:tcPr>
            <w:tcW w:w="1538" w:type="dxa"/>
            <w:gridSpan w:val="3"/>
            <w:vAlign w:val="center"/>
          </w:tcPr>
          <w:p>
            <w:pPr>
              <w:keepNext w:val="0"/>
              <w:keepLines w:val="0"/>
              <w:pageBreakBefore w:val="0"/>
              <w:widowControl w:val="0"/>
              <w:kinsoku/>
              <w:wordWrap/>
              <w:overflowPunct/>
              <w:topLinePunct w:val="0"/>
              <w:bidi w:val="0"/>
              <w:spacing w:line="400" w:lineRule="exact"/>
              <w:jc w:val="center"/>
              <w:textAlignment w:val="auto"/>
              <w:rPr>
                <w:rFonts w:ascii="宋体" w:hAnsi="宋体"/>
              </w:rPr>
            </w:pPr>
            <w:r>
              <w:rPr>
                <w:rFonts w:hint="eastAsia" w:ascii="宋体" w:hAnsi="宋体"/>
              </w:rPr>
              <w:t>技术部分</w:t>
            </w:r>
            <w:r>
              <w:rPr>
                <w:rFonts w:ascii="宋体" w:hAnsi="宋体"/>
                <w:kern w:val="0"/>
              </w:rPr>
              <w:t>得分</w:t>
            </w:r>
            <w:r>
              <w:rPr>
                <w:rFonts w:ascii="宋体" w:hAnsi="宋体"/>
                <w:spacing w:val="-4"/>
              </w:rPr>
              <w:t>（</w:t>
            </w:r>
            <w:r>
              <w:rPr>
                <w:rFonts w:hint="eastAsia" w:ascii="宋体" w:hAnsi="宋体"/>
                <w:spacing w:val="-4"/>
              </w:rPr>
              <w:t>A）</w:t>
            </w:r>
          </w:p>
        </w:tc>
        <w:tc>
          <w:tcPr>
            <w:tcW w:w="1588" w:type="dxa"/>
            <w:gridSpan w:val="2"/>
            <w:vAlign w:val="center"/>
          </w:tcPr>
          <w:p>
            <w:pPr>
              <w:keepNext w:val="0"/>
              <w:keepLines w:val="0"/>
              <w:pageBreakBefore w:val="0"/>
              <w:widowControl w:val="0"/>
              <w:kinsoku/>
              <w:wordWrap/>
              <w:overflowPunct/>
              <w:topLinePunct w:val="0"/>
              <w:bidi w:val="0"/>
              <w:spacing w:line="400" w:lineRule="exact"/>
              <w:jc w:val="center"/>
              <w:textAlignment w:val="auto"/>
              <w:rPr>
                <w:rFonts w:ascii="宋体" w:hAnsi="宋体"/>
              </w:rPr>
            </w:pPr>
            <w:r>
              <w:rPr>
                <w:rFonts w:hint="eastAsia" w:ascii="宋体" w:hAnsi="宋体"/>
              </w:rPr>
              <w:t>技术部分得分（30分）</w:t>
            </w:r>
          </w:p>
        </w:tc>
        <w:tc>
          <w:tcPr>
            <w:tcW w:w="5493" w:type="dxa"/>
            <w:vAlign w:val="center"/>
          </w:tcPr>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firstLineChars="200"/>
              <w:jc w:val="left"/>
              <w:textAlignment w:val="auto"/>
              <w:rPr>
                <w:rFonts w:ascii="宋体" w:hAnsi="宋体"/>
                <w:szCs w:val="21"/>
              </w:rPr>
            </w:pPr>
            <w:r>
              <w:rPr>
                <w:rFonts w:hint="eastAsia" w:ascii="宋体" w:hAnsi="宋体"/>
                <w:szCs w:val="21"/>
              </w:rPr>
              <w:t>不符合第二章</w:t>
            </w:r>
            <w:r>
              <w:rPr>
                <w:rFonts w:hint="eastAsia" w:ascii="宋体" w:hAnsi="宋体"/>
                <w:szCs w:val="21"/>
                <w:lang w:eastAsia="zh-CN"/>
              </w:rPr>
              <w:t>竞标</w:t>
            </w:r>
            <w:r>
              <w:rPr>
                <w:rFonts w:hint="eastAsia" w:ascii="宋体" w:hAnsi="宋体"/>
                <w:szCs w:val="21"/>
              </w:rPr>
              <w:t>人须知前附表第3.7.5项要求的，技术方案得0分。</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firstLineChars="200"/>
              <w:jc w:val="left"/>
              <w:textAlignment w:val="auto"/>
              <w:rPr>
                <w:rFonts w:ascii="宋体" w:hAnsi="宋体"/>
                <w:snapToGrid w:val="0"/>
                <w:kern w:val="0"/>
                <w:szCs w:val="21"/>
              </w:rPr>
            </w:pPr>
            <w:r>
              <w:rPr>
                <w:rFonts w:ascii="宋体" w:hAnsi="宋体"/>
                <w:szCs w:val="21"/>
              </w:rPr>
              <w:t>评标委员会按</w:t>
            </w:r>
            <w:r>
              <w:rPr>
                <w:rFonts w:hint="eastAsia" w:ascii="宋体" w:hAnsi="宋体"/>
                <w:szCs w:val="21"/>
              </w:rPr>
              <w:t>第</w:t>
            </w:r>
            <w:r>
              <w:rPr>
                <w:rFonts w:ascii="宋体" w:hAnsi="宋体"/>
                <w:szCs w:val="21"/>
              </w:rPr>
              <w:t>2.2.</w:t>
            </w:r>
            <w:r>
              <w:rPr>
                <w:rFonts w:hint="eastAsia" w:ascii="宋体" w:hAnsi="宋体"/>
                <w:szCs w:val="21"/>
              </w:rPr>
              <w:t>2</w:t>
            </w:r>
            <w:r>
              <w:rPr>
                <w:rFonts w:ascii="宋体" w:hAnsi="宋体"/>
                <w:szCs w:val="21"/>
              </w:rPr>
              <w:t>项各评审因素设定的分值评分</w:t>
            </w:r>
            <w:r>
              <w:rPr>
                <w:rFonts w:hint="eastAsia" w:ascii="宋体" w:hAnsi="宋体"/>
                <w:szCs w:val="21"/>
              </w:rPr>
              <w:t>，</w:t>
            </w:r>
            <w:r>
              <w:rPr>
                <w:rFonts w:ascii="宋体" w:hAnsi="宋体"/>
                <w:snapToGrid w:val="0"/>
                <w:kern w:val="0"/>
                <w:szCs w:val="21"/>
              </w:rPr>
              <w:t>所有评委打分</w:t>
            </w:r>
            <w:r>
              <w:rPr>
                <w:rFonts w:hint="eastAsia" w:ascii="宋体" w:hAnsi="宋体"/>
                <w:snapToGrid w:val="0"/>
                <w:kern w:val="0"/>
                <w:szCs w:val="21"/>
              </w:rPr>
              <w:t>综合后</w:t>
            </w:r>
            <w:r>
              <w:rPr>
                <w:rFonts w:ascii="宋体" w:hAnsi="宋体"/>
                <w:snapToGrid w:val="0"/>
                <w:kern w:val="0"/>
                <w:szCs w:val="21"/>
              </w:rPr>
              <w:t>取算术平均值为该</w:t>
            </w:r>
            <w:r>
              <w:rPr>
                <w:rFonts w:hint="eastAsia" w:ascii="宋体" w:hAnsi="宋体"/>
                <w:snapToGrid w:val="0"/>
                <w:kern w:val="0"/>
                <w:szCs w:val="21"/>
                <w:lang w:eastAsia="zh-CN"/>
              </w:rPr>
              <w:t>竞标</w:t>
            </w:r>
            <w:r>
              <w:rPr>
                <w:rFonts w:ascii="宋体" w:hAnsi="宋体"/>
                <w:snapToGrid w:val="0"/>
                <w:kern w:val="0"/>
                <w:szCs w:val="21"/>
              </w:rPr>
              <w:t>人技术方案得分。</w:t>
            </w:r>
          </w:p>
          <w:p>
            <w:pPr>
              <w:keepNext w:val="0"/>
              <w:keepLines w:val="0"/>
              <w:pageBreakBefore w:val="0"/>
              <w:widowControl w:val="0"/>
              <w:kinsoku/>
              <w:wordWrap/>
              <w:overflowPunct/>
              <w:topLinePunct w:val="0"/>
              <w:bidi w:val="0"/>
              <w:spacing w:line="400" w:lineRule="exact"/>
              <w:ind w:firstLine="420" w:firstLineChars="200"/>
              <w:jc w:val="left"/>
              <w:textAlignment w:val="auto"/>
              <w:rPr>
                <w:rFonts w:ascii="宋体" w:hAnsi="宋体"/>
                <w:kern w:val="0"/>
                <w:szCs w:val="21"/>
              </w:rPr>
            </w:pPr>
            <w:r>
              <w:rPr>
                <w:rFonts w:ascii="宋体" w:hAnsi="宋体"/>
                <w:kern w:val="0"/>
                <w:szCs w:val="21"/>
              </w:rPr>
              <w:t>技术方案得分的最终结果取小数点后两位，第三位四舍五入。</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336" w:hRule="atLeast"/>
          <w:jc w:val="center"/>
        </w:trPr>
        <w:tc>
          <w:tcPr>
            <w:tcW w:w="851" w:type="dxa"/>
            <w:gridSpan w:val="2"/>
            <w:vAlign w:val="center"/>
          </w:tcPr>
          <w:p>
            <w:pPr>
              <w:keepNext w:val="0"/>
              <w:keepLines w:val="0"/>
              <w:pageBreakBefore w:val="0"/>
              <w:widowControl w:val="0"/>
              <w:kinsoku/>
              <w:wordWrap/>
              <w:overflowPunct/>
              <w:topLinePunct w:val="0"/>
              <w:bidi w:val="0"/>
              <w:spacing w:line="400" w:lineRule="exact"/>
              <w:jc w:val="center"/>
              <w:textAlignment w:val="auto"/>
              <w:rPr>
                <w:rFonts w:ascii="宋体" w:hAnsi="宋体"/>
              </w:rPr>
            </w:pPr>
            <w:r>
              <w:rPr>
                <w:rFonts w:ascii="宋体" w:hAnsi="宋体"/>
              </w:rPr>
              <w:t>3.2.1</w:t>
            </w:r>
          </w:p>
          <w:p>
            <w:pPr>
              <w:keepNext w:val="0"/>
              <w:keepLines w:val="0"/>
              <w:pageBreakBefore w:val="0"/>
              <w:widowControl w:val="0"/>
              <w:kinsoku/>
              <w:wordWrap/>
              <w:overflowPunct/>
              <w:topLinePunct w:val="0"/>
              <w:bidi w:val="0"/>
              <w:spacing w:line="400" w:lineRule="exact"/>
              <w:jc w:val="center"/>
              <w:textAlignment w:val="auto"/>
              <w:rPr>
                <w:rFonts w:ascii="宋体" w:hAnsi="宋体"/>
              </w:rPr>
            </w:pPr>
            <w:r>
              <w:rPr>
                <w:rFonts w:ascii="宋体" w:hAnsi="宋体"/>
              </w:rPr>
              <w:t>（</w:t>
            </w:r>
            <w:r>
              <w:rPr>
                <w:rFonts w:hint="eastAsia" w:ascii="宋体" w:hAnsi="宋体"/>
              </w:rPr>
              <w:t>2</w:t>
            </w:r>
            <w:r>
              <w:rPr>
                <w:rFonts w:ascii="宋体" w:hAnsi="宋体"/>
              </w:rPr>
              <w:t>）</w:t>
            </w:r>
          </w:p>
        </w:tc>
        <w:tc>
          <w:tcPr>
            <w:tcW w:w="1538" w:type="dxa"/>
            <w:gridSpan w:val="3"/>
            <w:vAlign w:val="center"/>
          </w:tcPr>
          <w:p>
            <w:pPr>
              <w:keepNext w:val="0"/>
              <w:keepLines w:val="0"/>
              <w:pageBreakBefore w:val="0"/>
              <w:widowControl w:val="0"/>
              <w:kinsoku/>
              <w:wordWrap/>
              <w:overflowPunct/>
              <w:topLinePunct w:val="0"/>
              <w:bidi w:val="0"/>
              <w:spacing w:line="400" w:lineRule="exact"/>
              <w:jc w:val="center"/>
              <w:textAlignment w:val="auto"/>
              <w:rPr>
                <w:rFonts w:ascii="宋体" w:hAnsi="宋体"/>
              </w:rPr>
            </w:pPr>
            <w:r>
              <w:rPr>
                <w:rFonts w:hint="eastAsia" w:ascii="宋体" w:hAnsi="宋体"/>
              </w:rPr>
              <w:t>商务部分</w:t>
            </w:r>
            <w:r>
              <w:rPr>
                <w:rFonts w:ascii="宋体" w:hAnsi="宋体"/>
                <w:kern w:val="0"/>
              </w:rPr>
              <w:t>得分</w:t>
            </w:r>
            <w:r>
              <w:rPr>
                <w:rFonts w:ascii="宋体" w:hAnsi="宋体"/>
                <w:spacing w:val="-4"/>
              </w:rPr>
              <w:t>（</w:t>
            </w:r>
            <w:r>
              <w:rPr>
                <w:rFonts w:hint="eastAsia" w:ascii="宋体" w:hAnsi="宋体"/>
                <w:spacing w:val="-4"/>
              </w:rPr>
              <w:t>B）</w:t>
            </w:r>
          </w:p>
        </w:tc>
        <w:tc>
          <w:tcPr>
            <w:tcW w:w="1588" w:type="dxa"/>
            <w:gridSpan w:val="2"/>
            <w:vAlign w:val="center"/>
          </w:tcPr>
          <w:p>
            <w:pPr>
              <w:keepNext w:val="0"/>
              <w:keepLines w:val="0"/>
              <w:pageBreakBefore w:val="0"/>
              <w:widowControl w:val="0"/>
              <w:kinsoku/>
              <w:wordWrap/>
              <w:overflowPunct/>
              <w:topLinePunct w:val="0"/>
              <w:bidi w:val="0"/>
              <w:spacing w:line="400" w:lineRule="exact"/>
              <w:jc w:val="center"/>
              <w:textAlignment w:val="auto"/>
              <w:rPr>
                <w:rFonts w:ascii="宋体" w:hAnsi="宋体"/>
              </w:rPr>
            </w:pPr>
            <w:r>
              <w:rPr>
                <w:rFonts w:hint="eastAsia" w:ascii="宋体" w:hAnsi="宋体"/>
              </w:rPr>
              <w:t>商务部分得分（5分）</w:t>
            </w:r>
          </w:p>
        </w:tc>
        <w:tc>
          <w:tcPr>
            <w:tcW w:w="5493" w:type="dxa"/>
            <w:vAlign w:val="center"/>
          </w:tcPr>
          <w:p>
            <w:pPr>
              <w:keepNext w:val="0"/>
              <w:keepLines w:val="0"/>
              <w:pageBreakBefore w:val="0"/>
              <w:widowControl w:val="0"/>
              <w:kinsoku/>
              <w:wordWrap/>
              <w:overflowPunct/>
              <w:topLinePunct w:val="0"/>
              <w:bidi w:val="0"/>
              <w:spacing w:line="400" w:lineRule="exact"/>
              <w:ind w:firstLine="420" w:firstLineChars="200"/>
              <w:jc w:val="left"/>
              <w:textAlignment w:val="auto"/>
              <w:rPr>
                <w:rFonts w:ascii="宋体" w:hAnsi="宋体"/>
                <w:kern w:val="0"/>
                <w:szCs w:val="21"/>
              </w:rPr>
            </w:pPr>
            <w:r>
              <w:rPr>
                <w:rFonts w:hint="eastAsia" w:ascii="宋体" w:hAnsi="宋体"/>
                <w:bCs/>
                <w:kern w:val="0"/>
                <w:szCs w:val="21"/>
                <w:highlight w:val="none"/>
              </w:rPr>
              <w:t>在2017年1月1日至今（以竣工验收时间为准），</w:t>
            </w:r>
            <w:r>
              <w:rPr>
                <w:rFonts w:hint="eastAsia" w:ascii="宋体" w:hAnsi="宋体"/>
                <w:bCs/>
                <w:kern w:val="0"/>
                <w:szCs w:val="21"/>
                <w:highlight w:val="none"/>
                <w:lang w:val="en-US" w:eastAsia="zh-CN"/>
              </w:rPr>
              <w:t>在资格审查要求的基础上，</w:t>
            </w:r>
            <w:r>
              <w:rPr>
                <w:rFonts w:hint="eastAsia" w:ascii="宋体" w:hAnsi="宋体"/>
                <w:bCs/>
                <w:kern w:val="0"/>
                <w:szCs w:val="21"/>
                <w:highlight w:val="none"/>
              </w:rPr>
              <w:t>每增加一个</w:t>
            </w:r>
            <w:r>
              <w:rPr>
                <w:rFonts w:hint="eastAsia" w:ascii="宋体" w:hAnsi="宋体"/>
                <w:color w:val="auto"/>
                <w:szCs w:val="21"/>
                <w:highlight w:val="none"/>
                <w:u w:val="single"/>
                <w:lang w:val="en-US" w:eastAsia="zh-CN"/>
              </w:rPr>
              <w:t>单个项目合同金额200万元及以上</w:t>
            </w:r>
            <w:r>
              <w:rPr>
                <w:rFonts w:hint="eastAsia" w:ascii="宋体" w:hAnsi="宋体"/>
                <w:bCs/>
                <w:kern w:val="0"/>
                <w:szCs w:val="21"/>
                <w:highlight w:val="none"/>
                <w:lang w:val="en-US" w:eastAsia="zh-CN"/>
              </w:rPr>
              <w:t>的</w:t>
            </w:r>
            <w:r>
              <w:rPr>
                <w:rFonts w:hint="eastAsia" w:ascii="宋体" w:hAnsi="宋体"/>
                <w:szCs w:val="21"/>
                <w:highlight w:val="none"/>
              </w:rPr>
              <w:t>古建筑保护（日常保养、抢险加固、修缮、搬迁）工程业绩</w:t>
            </w:r>
            <w:r>
              <w:rPr>
                <w:rFonts w:hint="eastAsia" w:ascii="宋体" w:hAnsi="宋体"/>
                <w:bCs/>
                <w:kern w:val="0"/>
                <w:szCs w:val="21"/>
                <w:highlight w:val="none"/>
              </w:rPr>
              <w:t>得1分，最多得5分。同一业绩不重复得分。（提供合同协议书、竣工验收证明复印件加盖供应商公章。）</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435" w:hRule="atLeast"/>
          <w:jc w:val="center"/>
        </w:trPr>
        <w:tc>
          <w:tcPr>
            <w:tcW w:w="851" w:type="dxa"/>
            <w:gridSpan w:val="2"/>
            <w:vAlign w:val="center"/>
          </w:tcPr>
          <w:p>
            <w:pPr>
              <w:keepNext w:val="0"/>
              <w:keepLines w:val="0"/>
              <w:pageBreakBefore w:val="0"/>
              <w:widowControl w:val="0"/>
              <w:kinsoku/>
              <w:wordWrap/>
              <w:overflowPunct/>
              <w:topLinePunct w:val="0"/>
              <w:bidi w:val="0"/>
              <w:spacing w:line="400" w:lineRule="exact"/>
              <w:jc w:val="center"/>
              <w:textAlignment w:val="auto"/>
              <w:rPr>
                <w:rFonts w:ascii="宋体" w:hAnsi="宋体"/>
              </w:rPr>
            </w:pPr>
            <w:r>
              <w:rPr>
                <w:rFonts w:ascii="宋体" w:hAnsi="宋体"/>
              </w:rPr>
              <w:t>3.2.1（</w:t>
            </w:r>
            <w:r>
              <w:rPr>
                <w:rFonts w:hint="eastAsia" w:ascii="宋体" w:hAnsi="宋体"/>
              </w:rPr>
              <w:t>3</w:t>
            </w:r>
            <w:r>
              <w:rPr>
                <w:rFonts w:ascii="宋体" w:hAnsi="宋体"/>
              </w:rPr>
              <w:t>）</w:t>
            </w:r>
          </w:p>
        </w:tc>
        <w:tc>
          <w:tcPr>
            <w:tcW w:w="1538" w:type="dxa"/>
            <w:gridSpan w:val="3"/>
            <w:vAlign w:val="center"/>
          </w:tcPr>
          <w:p>
            <w:pPr>
              <w:keepNext w:val="0"/>
              <w:keepLines w:val="0"/>
              <w:pageBreakBefore w:val="0"/>
              <w:widowControl w:val="0"/>
              <w:kinsoku/>
              <w:wordWrap/>
              <w:overflowPunct/>
              <w:topLinePunct w:val="0"/>
              <w:bidi w:val="0"/>
              <w:spacing w:line="400" w:lineRule="exact"/>
              <w:jc w:val="center"/>
              <w:textAlignment w:val="auto"/>
              <w:rPr>
                <w:rFonts w:ascii="宋体" w:hAnsi="宋体"/>
              </w:rPr>
            </w:pPr>
            <w:r>
              <w:rPr>
                <w:rFonts w:hint="eastAsia" w:ascii="宋体" w:hAnsi="宋体"/>
              </w:rPr>
              <w:t>竞标</w:t>
            </w:r>
            <w:r>
              <w:rPr>
                <w:rFonts w:ascii="宋体" w:hAnsi="宋体"/>
              </w:rPr>
              <w:t>报价</w:t>
            </w:r>
            <w:r>
              <w:rPr>
                <w:rFonts w:ascii="宋体" w:hAnsi="宋体"/>
                <w:kern w:val="0"/>
              </w:rPr>
              <w:t>得分</w:t>
            </w:r>
            <w:r>
              <w:rPr>
                <w:rFonts w:ascii="宋体" w:hAnsi="宋体"/>
                <w:spacing w:val="-8"/>
              </w:rPr>
              <w:t>（</w:t>
            </w:r>
            <w:r>
              <w:rPr>
                <w:rFonts w:hint="eastAsia" w:ascii="宋体" w:hAnsi="宋体"/>
                <w:spacing w:val="-8"/>
              </w:rPr>
              <w:t>C</w:t>
            </w:r>
            <w:r>
              <w:rPr>
                <w:rFonts w:ascii="宋体" w:hAnsi="宋体"/>
                <w:spacing w:val="-8"/>
              </w:rPr>
              <w:t>）</w:t>
            </w:r>
          </w:p>
        </w:tc>
        <w:tc>
          <w:tcPr>
            <w:tcW w:w="1588" w:type="dxa"/>
            <w:gridSpan w:val="2"/>
            <w:tcBorders>
              <w:top w:val="single" w:color="auto" w:sz="4" w:space="0"/>
            </w:tcBorders>
            <w:vAlign w:val="center"/>
          </w:tcPr>
          <w:p>
            <w:pPr>
              <w:keepNext w:val="0"/>
              <w:keepLines w:val="0"/>
              <w:pageBreakBefore w:val="0"/>
              <w:widowControl w:val="0"/>
              <w:kinsoku/>
              <w:wordWrap/>
              <w:overflowPunct/>
              <w:topLinePunct w:val="0"/>
              <w:bidi w:val="0"/>
              <w:spacing w:line="400" w:lineRule="exact"/>
              <w:jc w:val="center"/>
              <w:textAlignment w:val="auto"/>
              <w:rPr>
                <w:rFonts w:ascii="宋体" w:hAnsi="宋体"/>
              </w:rPr>
            </w:pPr>
            <w:r>
              <w:rPr>
                <w:rFonts w:hint="eastAsia" w:ascii="宋体" w:hAnsi="宋体"/>
              </w:rPr>
              <w:t>竞标</w:t>
            </w:r>
            <w:r>
              <w:rPr>
                <w:rFonts w:ascii="宋体" w:hAnsi="宋体"/>
              </w:rPr>
              <w:t>总报价</w:t>
            </w:r>
            <w:r>
              <w:rPr>
                <w:rFonts w:hint="eastAsia" w:ascii="宋体" w:hAnsi="宋体"/>
              </w:rPr>
              <w:t>（65分）</w:t>
            </w:r>
          </w:p>
        </w:tc>
        <w:tc>
          <w:tcPr>
            <w:tcW w:w="5493" w:type="dxa"/>
            <w:vAlign w:val="center"/>
          </w:tcPr>
          <w:p>
            <w:pPr>
              <w:keepNext w:val="0"/>
              <w:keepLines w:val="0"/>
              <w:pageBreakBefore w:val="0"/>
              <w:widowControl w:val="0"/>
              <w:kinsoku/>
              <w:wordWrap/>
              <w:overflowPunct/>
              <w:topLinePunct w:val="0"/>
              <w:bidi w:val="0"/>
              <w:spacing w:line="400" w:lineRule="exact"/>
              <w:ind w:firstLine="420" w:firstLineChars="200"/>
              <w:jc w:val="both"/>
              <w:textAlignment w:val="auto"/>
              <w:rPr>
                <w:rFonts w:hint="eastAsia" w:ascii="宋体" w:hAnsi="宋体"/>
                <w:bCs/>
                <w:kern w:val="0"/>
                <w:szCs w:val="21"/>
                <w:highlight w:val="none"/>
              </w:rPr>
            </w:pPr>
            <w:r>
              <w:rPr>
                <w:rFonts w:hint="eastAsia" w:ascii="宋体" w:hAnsi="宋体"/>
                <w:bCs/>
                <w:kern w:val="0"/>
                <w:szCs w:val="21"/>
                <w:highlight w:val="none"/>
              </w:rPr>
              <w:t>所有经初步评审合格且竞标报价不高于最高限价的</w:t>
            </w:r>
            <w:r>
              <w:rPr>
                <w:rFonts w:hint="eastAsia" w:ascii="宋体" w:hAnsi="宋体"/>
                <w:bCs/>
                <w:kern w:val="0"/>
                <w:szCs w:val="21"/>
                <w:highlight w:val="none"/>
                <w:lang w:eastAsia="zh-CN"/>
              </w:rPr>
              <w:t>竞标</w:t>
            </w:r>
            <w:r>
              <w:rPr>
                <w:rFonts w:hint="eastAsia" w:ascii="宋体" w:hAnsi="宋体"/>
                <w:bCs/>
                <w:kern w:val="0"/>
                <w:szCs w:val="21"/>
                <w:highlight w:val="none"/>
              </w:rPr>
              <w:t>人的</w:t>
            </w:r>
            <w:r>
              <w:rPr>
                <w:rFonts w:hint="eastAsia" w:ascii="宋体" w:hAnsi="宋体"/>
                <w:bCs/>
                <w:kern w:val="0"/>
                <w:szCs w:val="21"/>
                <w:highlight w:val="none"/>
                <w:lang w:val="en-US" w:eastAsia="zh-CN"/>
              </w:rPr>
              <w:t>竞标总</w:t>
            </w:r>
            <w:r>
              <w:rPr>
                <w:rFonts w:hint="eastAsia" w:ascii="宋体" w:hAnsi="宋体"/>
                <w:bCs/>
                <w:kern w:val="0"/>
                <w:szCs w:val="21"/>
                <w:highlight w:val="none"/>
              </w:rPr>
              <w:t>报价</w:t>
            </w:r>
            <w:r>
              <w:rPr>
                <w:rFonts w:hint="eastAsia" w:ascii="宋体" w:hAnsi="宋体"/>
                <w:bCs/>
                <w:kern w:val="0"/>
                <w:szCs w:val="21"/>
                <w:highlight w:val="none"/>
                <w:lang w:eastAsia="zh-CN"/>
              </w:rPr>
              <w:t>【区属文物保养维护工程（6个文物点）（</w:t>
            </w:r>
            <w:r>
              <w:rPr>
                <w:rFonts w:hint="eastAsia" w:ascii="宋体" w:hAnsi="宋体"/>
                <w:bCs/>
                <w:kern w:val="0"/>
                <w:szCs w:val="21"/>
                <w:highlight w:val="none"/>
                <w:lang w:val="en-US" w:eastAsia="zh-CN"/>
              </w:rPr>
              <w:t>第二次</w:t>
            </w:r>
            <w:r>
              <w:rPr>
                <w:rFonts w:hint="eastAsia" w:ascii="宋体" w:hAnsi="宋体"/>
                <w:bCs/>
                <w:kern w:val="0"/>
                <w:szCs w:val="21"/>
                <w:highlight w:val="none"/>
                <w:lang w:eastAsia="zh-CN"/>
              </w:rPr>
              <w:t>）</w:t>
            </w:r>
            <w:r>
              <w:rPr>
                <w:rFonts w:hint="eastAsia" w:ascii="宋体" w:hAnsi="宋体"/>
                <w:bCs/>
                <w:kern w:val="0"/>
                <w:szCs w:val="21"/>
                <w:highlight w:val="none"/>
                <w:lang w:val="en-US" w:eastAsia="zh-CN"/>
              </w:rPr>
              <w:t>竞标报价+</w:t>
            </w:r>
            <w:r>
              <w:rPr>
                <w:rFonts w:hint="eastAsia" w:ascii="宋体" w:hAnsi="宋体"/>
                <w:bCs/>
                <w:kern w:val="0"/>
                <w:szCs w:val="21"/>
                <w:highlight w:val="none"/>
                <w:lang w:eastAsia="zh-CN"/>
              </w:rPr>
              <w:t>区属文物保养维护工程（湖广会馆白蚁防治及保养维护）（</w:t>
            </w:r>
            <w:r>
              <w:rPr>
                <w:rFonts w:hint="eastAsia" w:ascii="宋体" w:hAnsi="宋体"/>
                <w:bCs/>
                <w:kern w:val="0"/>
                <w:szCs w:val="21"/>
                <w:highlight w:val="none"/>
                <w:lang w:val="en-US" w:eastAsia="zh-CN"/>
              </w:rPr>
              <w:t>第二次</w:t>
            </w:r>
            <w:r>
              <w:rPr>
                <w:rFonts w:hint="eastAsia" w:ascii="宋体" w:hAnsi="宋体"/>
                <w:bCs/>
                <w:kern w:val="0"/>
                <w:szCs w:val="21"/>
                <w:highlight w:val="none"/>
                <w:lang w:eastAsia="zh-CN"/>
              </w:rPr>
              <w:t>）</w:t>
            </w:r>
            <w:r>
              <w:rPr>
                <w:rFonts w:hint="eastAsia" w:ascii="宋体" w:hAnsi="宋体"/>
                <w:bCs/>
                <w:kern w:val="0"/>
                <w:szCs w:val="21"/>
                <w:highlight w:val="none"/>
                <w:lang w:val="en-US" w:eastAsia="zh-CN"/>
              </w:rPr>
              <w:t>竞标报价</w:t>
            </w:r>
            <w:r>
              <w:rPr>
                <w:rFonts w:hint="eastAsia" w:ascii="宋体" w:hAnsi="宋体"/>
                <w:bCs/>
                <w:kern w:val="0"/>
                <w:szCs w:val="21"/>
                <w:highlight w:val="none"/>
                <w:lang w:eastAsia="zh-CN"/>
              </w:rPr>
              <w:t>】</w:t>
            </w:r>
            <w:r>
              <w:rPr>
                <w:rFonts w:hint="eastAsia" w:ascii="宋体" w:hAnsi="宋体"/>
                <w:bCs/>
                <w:kern w:val="0"/>
                <w:szCs w:val="21"/>
                <w:highlight w:val="none"/>
              </w:rPr>
              <w:t>先得基本分65分，在此基础上，竞标报价与评标准基价相比，每增加</w:t>
            </w:r>
            <w:r>
              <w:rPr>
                <w:rFonts w:hint="eastAsia" w:ascii="宋体" w:hAnsi="宋体"/>
                <w:bCs/>
                <w:kern w:val="0"/>
                <w:szCs w:val="21"/>
                <w:highlight w:val="none"/>
                <w:lang w:val="en-US" w:eastAsia="zh-CN"/>
              </w:rPr>
              <w:t>1%</w:t>
            </w:r>
            <w:r>
              <w:rPr>
                <w:rFonts w:hint="eastAsia" w:ascii="宋体" w:hAnsi="宋体"/>
                <w:bCs/>
                <w:kern w:val="0"/>
                <w:szCs w:val="21"/>
                <w:highlight w:val="none"/>
              </w:rPr>
              <w:t>扣</w:t>
            </w:r>
            <w:r>
              <w:rPr>
                <w:rFonts w:hint="eastAsia" w:ascii="宋体" w:hAnsi="宋体"/>
                <w:bCs/>
                <w:kern w:val="0"/>
                <w:szCs w:val="21"/>
                <w:highlight w:val="none"/>
                <w:lang w:val="en-US" w:eastAsia="zh-CN"/>
              </w:rPr>
              <w:t>1</w:t>
            </w:r>
            <w:r>
              <w:rPr>
                <w:rFonts w:hint="eastAsia" w:ascii="宋体" w:hAnsi="宋体"/>
                <w:bCs/>
                <w:kern w:val="0"/>
                <w:szCs w:val="21"/>
                <w:highlight w:val="none"/>
              </w:rPr>
              <w:t>分，每减少</w:t>
            </w:r>
            <w:r>
              <w:rPr>
                <w:rFonts w:hint="eastAsia" w:ascii="宋体" w:hAnsi="宋体"/>
                <w:bCs/>
                <w:kern w:val="0"/>
                <w:szCs w:val="21"/>
                <w:highlight w:val="none"/>
                <w:lang w:val="en-US" w:eastAsia="zh-CN"/>
              </w:rPr>
              <w:t>1%</w:t>
            </w:r>
            <w:r>
              <w:rPr>
                <w:rFonts w:hint="eastAsia" w:ascii="宋体" w:hAnsi="宋体"/>
                <w:bCs/>
                <w:kern w:val="0"/>
                <w:szCs w:val="21"/>
                <w:highlight w:val="none"/>
              </w:rPr>
              <w:t>扣</w:t>
            </w:r>
            <w:r>
              <w:rPr>
                <w:rFonts w:hint="eastAsia" w:ascii="宋体" w:hAnsi="宋体"/>
                <w:bCs/>
                <w:kern w:val="0"/>
                <w:szCs w:val="21"/>
                <w:highlight w:val="none"/>
                <w:lang w:val="en-US" w:eastAsia="zh-CN"/>
              </w:rPr>
              <w:t>0.5</w:t>
            </w:r>
            <w:r>
              <w:rPr>
                <w:rFonts w:hint="eastAsia" w:ascii="宋体" w:hAnsi="宋体"/>
                <w:bCs/>
                <w:kern w:val="0"/>
                <w:szCs w:val="21"/>
                <w:highlight w:val="none"/>
              </w:rPr>
              <w:t>分，扣完为止。</w:t>
            </w:r>
          </w:p>
          <w:p>
            <w:pPr>
              <w:keepNext w:val="0"/>
              <w:keepLines w:val="0"/>
              <w:pageBreakBefore w:val="0"/>
              <w:widowControl w:val="0"/>
              <w:kinsoku/>
              <w:wordWrap/>
              <w:overflowPunct/>
              <w:topLinePunct w:val="0"/>
              <w:bidi w:val="0"/>
              <w:spacing w:line="400" w:lineRule="exact"/>
              <w:ind w:firstLine="420" w:firstLineChars="200"/>
              <w:jc w:val="left"/>
              <w:textAlignment w:val="auto"/>
              <w:rPr>
                <w:rFonts w:hint="eastAsia" w:ascii="宋体" w:hAnsi="宋体"/>
                <w:bCs/>
                <w:kern w:val="0"/>
                <w:szCs w:val="21"/>
                <w:highlight w:val="none"/>
              </w:rPr>
            </w:pPr>
            <w:r>
              <w:rPr>
                <w:rFonts w:hint="eastAsia" w:ascii="宋体" w:hAnsi="宋体"/>
                <w:bCs/>
                <w:kern w:val="0"/>
                <w:szCs w:val="21"/>
                <w:highlight w:val="none"/>
              </w:rPr>
              <w:t>按插入法计算得分。</w:t>
            </w:r>
          </w:p>
          <w:p>
            <w:pPr>
              <w:keepNext w:val="0"/>
              <w:keepLines w:val="0"/>
              <w:pageBreakBefore w:val="0"/>
              <w:widowControl w:val="0"/>
              <w:kinsoku/>
              <w:wordWrap/>
              <w:overflowPunct/>
              <w:topLinePunct w:val="0"/>
              <w:autoSpaceDE/>
              <w:autoSpaceDN/>
              <w:bidi w:val="0"/>
              <w:spacing w:line="400" w:lineRule="exact"/>
              <w:ind w:firstLine="420" w:firstLineChars="200"/>
              <w:jc w:val="left"/>
              <w:textAlignment w:val="auto"/>
              <w:rPr>
                <w:rFonts w:ascii="宋体" w:hAnsi="宋体"/>
                <w:kern w:val="0"/>
                <w:szCs w:val="21"/>
              </w:rPr>
            </w:pPr>
            <w:r>
              <w:rPr>
                <w:rFonts w:hint="eastAsia" w:ascii="宋体" w:hAnsi="宋体"/>
                <w:color w:val="000000" w:themeColor="text1"/>
                <w:kern w:val="0"/>
                <w:szCs w:val="21"/>
                <w14:textFill>
                  <w14:solidFill>
                    <w14:schemeClr w14:val="tx1"/>
                  </w14:solidFill>
                </w14:textFill>
              </w:rPr>
              <w:t>竞标总报价得分最终结果</w:t>
            </w:r>
            <w:r>
              <w:rPr>
                <w:rFonts w:ascii="宋体" w:hAnsi="宋体"/>
                <w:color w:val="000000" w:themeColor="text1"/>
                <w:kern w:val="0"/>
                <w:szCs w:val="21"/>
                <w14:textFill>
                  <w14:solidFill>
                    <w14:schemeClr w14:val="tx1"/>
                  </w14:solidFill>
                </w14:textFill>
              </w:rPr>
              <w:t>取小数点后两位，第三位四舍五入。</w:t>
            </w:r>
            <w:r>
              <w:rPr>
                <w:rFonts w:hint="eastAsia" w:ascii="宋体" w:hAnsi="宋体" w:cs="宋体"/>
                <w:color w:val="000000" w:themeColor="text1"/>
                <w:szCs w:val="21"/>
                <w14:textFill>
                  <w14:solidFill>
                    <w14:schemeClr w14:val="tx1"/>
                  </w14:solidFill>
                </w14:textFill>
              </w:rPr>
              <w:t>未参与评标基准价计算的有效的竞标报价，仍应参加计算相应分值。</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2389" w:type="dxa"/>
            <w:gridSpan w:val="5"/>
            <w:vAlign w:val="center"/>
          </w:tcPr>
          <w:p>
            <w:pPr>
              <w:keepNext w:val="0"/>
              <w:keepLines w:val="0"/>
              <w:pageBreakBefore w:val="0"/>
              <w:widowControl w:val="0"/>
              <w:kinsoku/>
              <w:wordWrap/>
              <w:overflowPunct/>
              <w:topLinePunct w:val="0"/>
              <w:bidi w:val="0"/>
              <w:spacing w:line="400" w:lineRule="exact"/>
              <w:ind w:firstLine="18" w:firstLineChars="9"/>
              <w:jc w:val="center"/>
              <w:textAlignment w:val="auto"/>
              <w:rPr>
                <w:rFonts w:ascii="宋体" w:hAnsi="宋体"/>
                <w:szCs w:val="21"/>
              </w:rPr>
            </w:pPr>
            <w:r>
              <w:rPr>
                <w:rFonts w:ascii="宋体" w:hAnsi="宋体"/>
                <w:szCs w:val="21"/>
              </w:rPr>
              <w:t>3.2.3</w:t>
            </w:r>
          </w:p>
        </w:tc>
        <w:tc>
          <w:tcPr>
            <w:tcW w:w="1588" w:type="dxa"/>
            <w:gridSpan w:val="2"/>
            <w:vAlign w:val="center"/>
          </w:tcPr>
          <w:p>
            <w:pPr>
              <w:keepNext w:val="0"/>
              <w:keepLines w:val="0"/>
              <w:pageBreakBefore w:val="0"/>
              <w:widowControl w:val="0"/>
              <w:kinsoku/>
              <w:wordWrap/>
              <w:overflowPunct/>
              <w:topLinePunct w:val="0"/>
              <w:bidi w:val="0"/>
              <w:spacing w:line="400" w:lineRule="exact"/>
              <w:jc w:val="center"/>
              <w:textAlignment w:val="auto"/>
              <w:rPr>
                <w:rFonts w:ascii="宋体" w:hAnsi="宋体"/>
                <w:szCs w:val="21"/>
              </w:rPr>
            </w:pPr>
            <w:r>
              <w:rPr>
                <w:rFonts w:hint="eastAsia" w:ascii="宋体" w:hAnsi="宋体"/>
                <w:szCs w:val="21"/>
                <w:lang w:eastAsia="zh-CN"/>
              </w:rPr>
              <w:t>竞标</w:t>
            </w:r>
            <w:r>
              <w:rPr>
                <w:rFonts w:ascii="宋体" w:hAnsi="宋体"/>
                <w:szCs w:val="21"/>
              </w:rPr>
              <w:t>人得分</w:t>
            </w:r>
          </w:p>
        </w:tc>
        <w:tc>
          <w:tcPr>
            <w:tcW w:w="5493" w:type="dxa"/>
            <w:vAlign w:val="center"/>
          </w:tcPr>
          <w:p>
            <w:pPr>
              <w:keepNext w:val="0"/>
              <w:keepLines w:val="0"/>
              <w:pageBreakBefore w:val="0"/>
              <w:widowControl w:val="0"/>
              <w:kinsoku/>
              <w:wordWrap/>
              <w:overflowPunct/>
              <w:topLinePunct w:val="0"/>
              <w:bidi w:val="0"/>
              <w:spacing w:line="400" w:lineRule="exact"/>
              <w:ind w:firstLine="420" w:firstLineChars="200"/>
              <w:jc w:val="left"/>
              <w:textAlignment w:val="auto"/>
              <w:rPr>
                <w:rFonts w:ascii="宋体" w:hAnsi="宋体"/>
                <w:szCs w:val="21"/>
                <w:u w:val="single"/>
              </w:rPr>
            </w:pPr>
            <w:r>
              <w:rPr>
                <w:rFonts w:ascii="宋体" w:hAnsi="宋体"/>
                <w:szCs w:val="21"/>
                <w:u w:val="none"/>
              </w:rPr>
              <w:t>得分=A+B</w:t>
            </w:r>
            <w:r>
              <w:rPr>
                <w:rFonts w:hint="eastAsia" w:ascii="宋体" w:hAnsi="宋体"/>
                <w:szCs w:val="21"/>
                <w:u w:val="none"/>
              </w:rPr>
              <w:t>+C</w:t>
            </w:r>
          </w:p>
        </w:tc>
      </w:tr>
    </w:tbl>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ascii="宋体" w:hAnsi="宋体" w:cs="仿宋"/>
          <w:snapToGrid w:val="0"/>
          <w:kern w:val="0"/>
          <w:szCs w:val="21"/>
        </w:rPr>
      </w:pPr>
      <w:r>
        <w:rPr>
          <w:rFonts w:ascii="宋体" w:hAnsi="宋体"/>
          <w:snapToGrid w:val="0"/>
        </w:rPr>
        <w:br w:type="page"/>
      </w:r>
      <w:bookmarkStart w:id="158" w:name="_Toc4954"/>
      <w:bookmarkStart w:id="159" w:name="_Toc18712"/>
      <w:r>
        <w:rPr>
          <w:rFonts w:hint="eastAsia" w:ascii="宋体" w:hAnsi="宋体" w:cs="仿宋"/>
          <w:b/>
          <w:bCs/>
          <w:snapToGrid w:val="0"/>
          <w:kern w:val="0"/>
          <w:sz w:val="28"/>
          <w:szCs w:val="28"/>
        </w:rPr>
        <w:t>1. 评标方法</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jc w:val="left"/>
        <w:textAlignment w:val="auto"/>
        <w:rPr>
          <w:rFonts w:ascii="宋体" w:hAnsi="宋体"/>
          <w:kern w:val="0"/>
          <w:szCs w:val="21"/>
        </w:rPr>
      </w:pPr>
      <w:bookmarkStart w:id="160" w:name="_Toc329358137"/>
      <w:bookmarkStart w:id="161" w:name="_Toc224103388"/>
      <w:bookmarkStart w:id="162" w:name="_Toc200513202"/>
      <w:bookmarkStart w:id="163" w:name="_Toc277082622"/>
      <w:bookmarkStart w:id="164" w:name="_Toc287607816"/>
      <w:bookmarkStart w:id="165" w:name="_Toc373263958"/>
      <w:r>
        <w:rPr>
          <w:rFonts w:ascii="宋体" w:hAnsi="宋体"/>
          <w:kern w:val="0"/>
          <w:szCs w:val="21"/>
        </w:rPr>
        <w:t>本次评标采用综合评估法</w:t>
      </w:r>
      <w:r>
        <w:rPr>
          <w:rFonts w:ascii="宋体" w:hAnsi="宋体"/>
          <w:spacing w:val="-47"/>
          <w:kern w:val="0"/>
          <w:szCs w:val="21"/>
        </w:rPr>
        <w:t>。</w:t>
      </w:r>
      <w:r>
        <w:rPr>
          <w:rFonts w:ascii="宋体" w:hAnsi="宋体"/>
          <w:kern w:val="0"/>
          <w:szCs w:val="21"/>
        </w:rPr>
        <w:t>按得分由高到低顺序推荐中标候选人</w:t>
      </w:r>
      <w:r>
        <w:rPr>
          <w:rFonts w:ascii="宋体" w:hAnsi="宋体"/>
          <w:spacing w:val="-31"/>
          <w:kern w:val="0"/>
          <w:szCs w:val="21"/>
        </w:rPr>
        <w:t>。</w:t>
      </w:r>
      <w:r>
        <w:rPr>
          <w:rFonts w:ascii="宋体" w:hAnsi="宋体"/>
          <w:kern w:val="0"/>
          <w:szCs w:val="21"/>
        </w:rPr>
        <w:t>综合评分相等时</w:t>
      </w:r>
      <w:r>
        <w:rPr>
          <w:rFonts w:ascii="宋体" w:hAnsi="宋体"/>
          <w:spacing w:val="-31"/>
          <w:kern w:val="0"/>
          <w:szCs w:val="21"/>
        </w:rPr>
        <w:t>，</w:t>
      </w:r>
      <w:r>
        <w:rPr>
          <w:rFonts w:ascii="宋体" w:hAnsi="宋体"/>
          <w:kern w:val="0"/>
          <w:szCs w:val="21"/>
        </w:rPr>
        <w:t>以</w:t>
      </w:r>
      <w:r>
        <w:rPr>
          <w:rFonts w:hint="eastAsia" w:ascii="宋体" w:hAnsi="宋体"/>
          <w:kern w:val="0"/>
          <w:szCs w:val="21"/>
        </w:rPr>
        <w:t>竞标</w:t>
      </w:r>
      <w:r>
        <w:rPr>
          <w:rFonts w:ascii="宋体" w:hAnsi="宋体"/>
          <w:kern w:val="0"/>
          <w:szCs w:val="21"/>
        </w:rPr>
        <w:t>报价低的优先；</w:t>
      </w:r>
      <w:r>
        <w:rPr>
          <w:rFonts w:hint="eastAsia" w:ascii="宋体" w:hAnsi="宋体"/>
          <w:kern w:val="0"/>
          <w:szCs w:val="21"/>
        </w:rPr>
        <w:t>竞标</w:t>
      </w:r>
      <w:r>
        <w:rPr>
          <w:rFonts w:ascii="宋体" w:hAnsi="宋体"/>
          <w:kern w:val="0"/>
          <w:szCs w:val="21"/>
        </w:rPr>
        <w:t>报价相等的，</w:t>
      </w:r>
      <w:r>
        <w:rPr>
          <w:rFonts w:hint="eastAsia" w:ascii="宋体" w:hAnsi="宋体"/>
          <w:kern w:val="0"/>
          <w:szCs w:val="21"/>
        </w:rPr>
        <w:t>以“</w:t>
      </w:r>
      <w:r>
        <w:rPr>
          <w:rFonts w:hint="eastAsia" w:ascii="宋体" w:hAnsi="宋体"/>
          <w:kern w:val="0"/>
          <w:szCs w:val="21"/>
          <w:lang w:eastAsia="zh-CN"/>
        </w:rPr>
        <w:t>竞标</w:t>
      </w:r>
      <w:r>
        <w:rPr>
          <w:rFonts w:hint="eastAsia" w:ascii="宋体" w:hAnsi="宋体"/>
          <w:kern w:val="0"/>
          <w:szCs w:val="21"/>
        </w:rPr>
        <w:t>人在红名单中优先”的原则排序</w:t>
      </w:r>
      <w:r>
        <w:rPr>
          <w:rFonts w:hint="eastAsia" w:ascii="宋体" w:hAnsi="宋体"/>
          <w:spacing w:val="4"/>
          <w:kern w:val="0"/>
          <w:szCs w:val="21"/>
        </w:rPr>
        <w:t>，</w:t>
      </w:r>
      <w:r>
        <w:rPr>
          <w:rFonts w:hint="eastAsia" w:ascii="宋体" w:hAnsi="宋体"/>
          <w:spacing w:val="4"/>
          <w:kern w:val="0"/>
          <w:szCs w:val="21"/>
          <w:lang w:eastAsia="zh-CN"/>
        </w:rPr>
        <w:t>竞标</w:t>
      </w:r>
      <w:r>
        <w:rPr>
          <w:rFonts w:hint="eastAsia" w:ascii="宋体" w:hAnsi="宋体"/>
          <w:spacing w:val="4"/>
          <w:kern w:val="0"/>
          <w:szCs w:val="21"/>
        </w:rPr>
        <w:t>人是否属于红名单，以开标环节信用状况查询结果为准</w:t>
      </w:r>
      <w:r>
        <w:rPr>
          <w:rFonts w:hint="eastAsia" w:ascii="宋体" w:hAnsi="宋体"/>
          <w:kern w:val="0"/>
          <w:szCs w:val="21"/>
        </w:rPr>
        <w:t>；</w:t>
      </w:r>
      <w:r>
        <w:rPr>
          <w:rFonts w:hint="eastAsia" w:ascii="宋体" w:hAnsi="宋体"/>
          <w:kern w:val="0"/>
          <w:szCs w:val="21"/>
          <w:lang w:eastAsia="zh-CN"/>
        </w:rPr>
        <w:t>竞标</w:t>
      </w:r>
      <w:r>
        <w:rPr>
          <w:rFonts w:hint="eastAsia" w:ascii="宋体" w:hAnsi="宋体"/>
          <w:kern w:val="0"/>
          <w:szCs w:val="21"/>
        </w:rPr>
        <w:t>人均在红名单中或均不在红名单中的，由评标委员会按照</w:t>
      </w:r>
      <w:r>
        <w:rPr>
          <w:rFonts w:hint="eastAsia" w:ascii="宋体" w:hAnsi="宋体"/>
          <w:kern w:val="0"/>
          <w:szCs w:val="21"/>
          <w:u w:val="single"/>
        </w:rPr>
        <w:t>随机抽取的</w:t>
      </w:r>
      <w:r>
        <w:rPr>
          <w:rFonts w:hint="eastAsia" w:ascii="宋体" w:hAnsi="宋体"/>
          <w:kern w:val="0"/>
          <w:szCs w:val="21"/>
        </w:rPr>
        <w:t>原则排序。</w:t>
      </w:r>
    </w:p>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ascii="宋体" w:hAnsi="宋体" w:cs="仿宋"/>
          <w:b/>
          <w:bCs/>
          <w:snapToGrid w:val="0"/>
          <w:kern w:val="0"/>
          <w:sz w:val="28"/>
          <w:szCs w:val="28"/>
        </w:rPr>
      </w:pPr>
      <w:r>
        <w:rPr>
          <w:rFonts w:hint="eastAsia" w:ascii="宋体" w:hAnsi="宋体" w:cs="仿宋"/>
          <w:b/>
          <w:bCs/>
          <w:snapToGrid w:val="0"/>
          <w:kern w:val="0"/>
          <w:sz w:val="28"/>
          <w:szCs w:val="28"/>
        </w:rPr>
        <w:t>2. 评审标准</w:t>
      </w:r>
    </w:p>
    <w:p>
      <w:pPr>
        <w:keepNext w:val="0"/>
        <w:keepLines w:val="0"/>
        <w:pageBreakBefore w:val="0"/>
        <w:widowControl w:val="0"/>
        <w:kinsoku/>
        <w:wordWrap/>
        <w:overflowPunct/>
        <w:topLinePunct w:val="0"/>
        <w:bidi w:val="0"/>
        <w:adjustRightInd w:val="0"/>
        <w:snapToGrid w:val="0"/>
        <w:spacing w:line="360" w:lineRule="auto"/>
        <w:ind w:firstLine="420" w:firstLineChars="200"/>
        <w:jc w:val="left"/>
        <w:textAlignment w:val="auto"/>
        <w:rPr>
          <w:rFonts w:ascii="宋体" w:hAnsi="宋体"/>
          <w:snapToGrid w:val="0"/>
          <w:szCs w:val="21"/>
        </w:rPr>
      </w:pPr>
      <w:bookmarkStart w:id="166" w:name="_Toc200513200"/>
      <w:bookmarkStart w:id="167" w:name="_Toc287607814"/>
      <w:bookmarkStart w:id="168" w:name="_Toc277082620"/>
      <w:bookmarkStart w:id="169" w:name="_Toc224103386"/>
      <w:bookmarkStart w:id="170" w:name="_Toc373263956"/>
      <w:bookmarkStart w:id="171" w:name="_Toc329358135"/>
      <w:r>
        <w:rPr>
          <w:rFonts w:hint="eastAsia" w:ascii="宋体" w:hAnsi="宋体"/>
          <w:snapToGrid w:val="0"/>
          <w:szCs w:val="21"/>
        </w:rPr>
        <w:t>2.1 初步评审标准</w:t>
      </w:r>
      <w:bookmarkEnd w:id="166"/>
      <w:bookmarkEnd w:id="167"/>
      <w:bookmarkEnd w:id="168"/>
      <w:bookmarkEnd w:id="169"/>
      <w:bookmarkEnd w:id="170"/>
      <w:bookmarkEnd w:id="171"/>
    </w:p>
    <w:p>
      <w:pPr>
        <w:keepNext w:val="0"/>
        <w:keepLines w:val="0"/>
        <w:pageBreakBefore w:val="0"/>
        <w:widowControl w:val="0"/>
        <w:kinsoku/>
        <w:wordWrap/>
        <w:overflowPunct/>
        <w:topLinePunct w:val="0"/>
        <w:bidi w:val="0"/>
        <w:adjustRightInd w:val="0"/>
        <w:snapToGrid w:val="0"/>
        <w:spacing w:line="360" w:lineRule="auto"/>
        <w:ind w:firstLine="420" w:firstLineChars="200"/>
        <w:jc w:val="left"/>
        <w:textAlignment w:val="auto"/>
        <w:rPr>
          <w:rFonts w:ascii="宋体" w:hAnsi="宋体"/>
          <w:snapToGrid w:val="0"/>
          <w:szCs w:val="21"/>
        </w:rPr>
      </w:pPr>
      <w:r>
        <w:rPr>
          <w:rFonts w:hint="eastAsia" w:ascii="宋体" w:hAnsi="宋体"/>
          <w:snapToGrid w:val="0"/>
          <w:szCs w:val="21"/>
        </w:rPr>
        <w:t>2.1.1 形式评审标准：见评标办法前附表。</w:t>
      </w:r>
    </w:p>
    <w:p>
      <w:pPr>
        <w:keepNext w:val="0"/>
        <w:keepLines w:val="0"/>
        <w:pageBreakBefore w:val="0"/>
        <w:widowControl w:val="0"/>
        <w:kinsoku/>
        <w:wordWrap/>
        <w:overflowPunct/>
        <w:topLinePunct w:val="0"/>
        <w:bidi w:val="0"/>
        <w:adjustRightInd w:val="0"/>
        <w:snapToGrid w:val="0"/>
        <w:spacing w:line="360" w:lineRule="auto"/>
        <w:ind w:firstLine="420" w:firstLineChars="200"/>
        <w:jc w:val="left"/>
        <w:textAlignment w:val="auto"/>
        <w:rPr>
          <w:rFonts w:ascii="宋体" w:hAnsi="宋体"/>
          <w:snapToGrid w:val="0"/>
          <w:szCs w:val="21"/>
        </w:rPr>
      </w:pPr>
      <w:r>
        <w:rPr>
          <w:rFonts w:hint="eastAsia" w:ascii="宋体" w:hAnsi="宋体"/>
          <w:snapToGrid w:val="0"/>
          <w:szCs w:val="21"/>
        </w:rPr>
        <w:t>2.1.2 资格评审标准：见评标办法前附表。</w:t>
      </w:r>
    </w:p>
    <w:p>
      <w:pPr>
        <w:keepNext w:val="0"/>
        <w:keepLines w:val="0"/>
        <w:pageBreakBefore w:val="0"/>
        <w:widowControl w:val="0"/>
        <w:kinsoku/>
        <w:wordWrap/>
        <w:overflowPunct/>
        <w:topLinePunct w:val="0"/>
        <w:bidi w:val="0"/>
        <w:adjustRightInd w:val="0"/>
        <w:snapToGrid w:val="0"/>
        <w:spacing w:line="360" w:lineRule="auto"/>
        <w:ind w:firstLine="420" w:firstLineChars="200"/>
        <w:jc w:val="left"/>
        <w:textAlignment w:val="auto"/>
        <w:rPr>
          <w:rFonts w:ascii="宋体" w:hAnsi="宋体"/>
          <w:snapToGrid w:val="0"/>
          <w:szCs w:val="21"/>
        </w:rPr>
      </w:pPr>
      <w:r>
        <w:rPr>
          <w:rFonts w:hint="eastAsia" w:ascii="宋体" w:hAnsi="宋体"/>
          <w:snapToGrid w:val="0"/>
          <w:szCs w:val="21"/>
        </w:rPr>
        <w:t>2.1.3 响应性评审标准：见评标办法前附表。</w:t>
      </w:r>
    </w:p>
    <w:p>
      <w:pPr>
        <w:keepNext w:val="0"/>
        <w:keepLines w:val="0"/>
        <w:pageBreakBefore w:val="0"/>
        <w:widowControl w:val="0"/>
        <w:kinsoku/>
        <w:wordWrap/>
        <w:overflowPunct/>
        <w:topLinePunct w:val="0"/>
        <w:bidi w:val="0"/>
        <w:adjustRightInd w:val="0"/>
        <w:snapToGrid w:val="0"/>
        <w:spacing w:line="360" w:lineRule="auto"/>
        <w:ind w:firstLine="420" w:firstLineChars="200"/>
        <w:jc w:val="left"/>
        <w:textAlignment w:val="auto"/>
        <w:rPr>
          <w:rFonts w:ascii="宋体" w:hAnsi="宋体"/>
          <w:snapToGrid w:val="0"/>
          <w:szCs w:val="21"/>
        </w:rPr>
      </w:pPr>
      <w:bookmarkStart w:id="172" w:name="_Toc373263957"/>
      <w:bookmarkStart w:id="173" w:name="_Toc200513201"/>
      <w:bookmarkStart w:id="174" w:name="_Toc224103387"/>
      <w:bookmarkStart w:id="175" w:name="_Toc277082621"/>
      <w:bookmarkStart w:id="176" w:name="_Toc287607815"/>
      <w:bookmarkStart w:id="177" w:name="_Toc329358136"/>
      <w:r>
        <w:rPr>
          <w:rFonts w:hint="eastAsia" w:ascii="宋体" w:hAnsi="宋体"/>
          <w:snapToGrid w:val="0"/>
          <w:szCs w:val="21"/>
        </w:rPr>
        <w:t>2.2 分值构成与评分标准</w:t>
      </w:r>
      <w:bookmarkEnd w:id="172"/>
      <w:bookmarkEnd w:id="173"/>
      <w:bookmarkEnd w:id="174"/>
      <w:bookmarkEnd w:id="175"/>
      <w:bookmarkEnd w:id="176"/>
      <w:bookmarkEnd w:id="177"/>
    </w:p>
    <w:p>
      <w:pPr>
        <w:keepNext w:val="0"/>
        <w:keepLines w:val="0"/>
        <w:pageBreakBefore w:val="0"/>
        <w:widowControl w:val="0"/>
        <w:kinsoku/>
        <w:wordWrap/>
        <w:overflowPunct/>
        <w:topLinePunct w:val="0"/>
        <w:bidi w:val="0"/>
        <w:adjustRightInd w:val="0"/>
        <w:snapToGrid w:val="0"/>
        <w:spacing w:line="360" w:lineRule="auto"/>
        <w:ind w:firstLine="420" w:firstLineChars="200"/>
        <w:jc w:val="left"/>
        <w:textAlignment w:val="auto"/>
        <w:rPr>
          <w:rFonts w:ascii="宋体" w:hAnsi="宋体"/>
          <w:snapToGrid w:val="0"/>
          <w:szCs w:val="21"/>
        </w:rPr>
      </w:pPr>
      <w:r>
        <w:rPr>
          <w:rFonts w:hint="eastAsia" w:ascii="宋体" w:hAnsi="宋体"/>
          <w:snapToGrid w:val="0"/>
          <w:szCs w:val="21"/>
        </w:rPr>
        <w:t>2.2.1 分值构成</w:t>
      </w:r>
    </w:p>
    <w:p>
      <w:pPr>
        <w:keepNext w:val="0"/>
        <w:keepLines w:val="0"/>
        <w:pageBreakBefore w:val="0"/>
        <w:widowControl w:val="0"/>
        <w:kinsoku/>
        <w:wordWrap/>
        <w:overflowPunct/>
        <w:topLinePunct w:val="0"/>
        <w:bidi w:val="0"/>
        <w:adjustRightInd w:val="0"/>
        <w:snapToGrid w:val="0"/>
        <w:spacing w:line="360" w:lineRule="auto"/>
        <w:ind w:firstLine="420" w:firstLineChars="200"/>
        <w:jc w:val="left"/>
        <w:textAlignment w:val="auto"/>
        <w:rPr>
          <w:rFonts w:ascii="宋体" w:hAnsi="宋体"/>
          <w:snapToGrid w:val="0"/>
          <w:szCs w:val="21"/>
        </w:rPr>
      </w:pPr>
      <w:r>
        <w:rPr>
          <w:rFonts w:hint="eastAsia" w:ascii="宋体" w:hAnsi="宋体"/>
          <w:snapToGrid w:val="0"/>
          <w:szCs w:val="21"/>
        </w:rPr>
        <w:t>技术报价：见评标办法前附表；</w:t>
      </w:r>
    </w:p>
    <w:p>
      <w:pPr>
        <w:keepNext w:val="0"/>
        <w:keepLines w:val="0"/>
        <w:pageBreakBefore w:val="0"/>
        <w:widowControl w:val="0"/>
        <w:kinsoku/>
        <w:wordWrap/>
        <w:overflowPunct/>
        <w:topLinePunct w:val="0"/>
        <w:bidi w:val="0"/>
        <w:adjustRightInd w:val="0"/>
        <w:snapToGrid w:val="0"/>
        <w:spacing w:line="360" w:lineRule="auto"/>
        <w:ind w:firstLine="420" w:firstLineChars="200"/>
        <w:jc w:val="left"/>
        <w:textAlignment w:val="auto"/>
        <w:rPr>
          <w:rFonts w:ascii="宋体" w:hAnsi="宋体"/>
          <w:snapToGrid w:val="0"/>
          <w:szCs w:val="21"/>
        </w:rPr>
      </w:pPr>
      <w:r>
        <w:rPr>
          <w:rFonts w:hint="eastAsia" w:ascii="宋体" w:hAnsi="宋体"/>
          <w:snapToGrid w:val="0"/>
          <w:szCs w:val="21"/>
        </w:rPr>
        <w:t>商务部分：见评标办法前附表；</w:t>
      </w:r>
    </w:p>
    <w:p>
      <w:pPr>
        <w:keepNext w:val="0"/>
        <w:keepLines w:val="0"/>
        <w:pageBreakBefore w:val="0"/>
        <w:widowControl w:val="0"/>
        <w:kinsoku/>
        <w:wordWrap/>
        <w:overflowPunct/>
        <w:topLinePunct w:val="0"/>
        <w:bidi w:val="0"/>
        <w:adjustRightInd w:val="0"/>
        <w:snapToGrid w:val="0"/>
        <w:spacing w:line="360" w:lineRule="auto"/>
        <w:ind w:firstLine="420" w:firstLineChars="200"/>
        <w:jc w:val="left"/>
        <w:textAlignment w:val="auto"/>
        <w:rPr>
          <w:rFonts w:ascii="宋体" w:hAnsi="宋体"/>
          <w:snapToGrid w:val="0"/>
          <w:szCs w:val="21"/>
        </w:rPr>
      </w:pPr>
      <w:r>
        <w:rPr>
          <w:rFonts w:hint="eastAsia" w:ascii="宋体" w:hAnsi="宋体"/>
          <w:snapToGrid w:val="0"/>
          <w:szCs w:val="21"/>
        </w:rPr>
        <w:t>竞标报价部分：见评标办法前附表；</w:t>
      </w:r>
    </w:p>
    <w:p>
      <w:pPr>
        <w:keepNext w:val="0"/>
        <w:keepLines w:val="0"/>
        <w:pageBreakBefore w:val="0"/>
        <w:widowControl w:val="0"/>
        <w:kinsoku/>
        <w:wordWrap/>
        <w:overflowPunct/>
        <w:topLinePunct w:val="0"/>
        <w:bidi w:val="0"/>
        <w:adjustRightInd w:val="0"/>
        <w:snapToGrid w:val="0"/>
        <w:spacing w:line="360" w:lineRule="auto"/>
        <w:ind w:firstLine="420" w:firstLineChars="200"/>
        <w:jc w:val="left"/>
        <w:textAlignment w:val="auto"/>
        <w:rPr>
          <w:rFonts w:ascii="宋体" w:hAnsi="宋体"/>
          <w:snapToGrid w:val="0"/>
          <w:szCs w:val="21"/>
        </w:rPr>
      </w:pPr>
      <w:r>
        <w:rPr>
          <w:rFonts w:hint="eastAsia" w:ascii="宋体" w:hAnsi="宋体"/>
          <w:snapToGrid w:val="0"/>
          <w:szCs w:val="21"/>
        </w:rPr>
        <w:t>2.2.4 评分标准</w:t>
      </w:r>
    </w:p>
    <w:p>
      <w:pPr>
        <w:keepNext w:val="0"/>
        <w:keepLines w:val="0"/>
        <w:pageBreakBefore w:val="0"/>
        <w:widowControl w:val="0"/>
        <w:kinsoku/>
        <w:wordWrap/>
        <w:overflowPunct/>
        <w:topLinePunct w:val="0"/>
        <w:bidi w:val="0"/>
        <w:adjustRightInd w:val="0"/>
        <w:snapToGrid w:val="0"/>
        <w:spacing w:line="360" w:lineRule="auto"/>
        <w:ind w:firstLine="420" w:firstLineChars="200"/>
        <w:jc w:val="left"/>
        <w:textAlignment w:val="auto"/>
        <w:rPr>
          <w:rFonts w:ascii="宋体" w:hAnsi="宋体"/>
          <w:snapToGrid w:val="0"/>
          <w:szCs w:val="21"/>
        </w:rPr>
      </w:pPr>
      <w:r>
        <w:rPr>
          <w:rFonts w:hint="eastAsia" w:ascii="宋体" w:hAnsi="宋体"/>
          <w:snapToGrid w:val="0"/>
          <w:szCs w:val="21"/>
        </w:rPr>
        <w:t>见评标办法前附表。</w:t>
      </w:r>
    </w:p>
    <w:bookmarkEnd w:id="160"/>
    <w:bookmarkEnd w:id="161"/>
    <w:bookmarkEnd w:id="162"/>
    <w:bookmarkEnd w:id="163"/>
    <w:bookmarkEnd w:id="164"/>
    <w:bookmarkEnd w:id="165"/>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ascii="宋体" w:hAnsi="宋体" w:cs="仿宋"/>
          <w:b/>
          <w:bCs/>
          <w:snapToGrid w:val="0"/>
          <w:kern w:val="0"/>
          <w:sz w:val="28"/>
          <w:szCs w:val="28"/>
        </w:rPr>
      </w:pPr>
      <w:r>
        <w:rPr>
          <w:rFonts w:hint="eastAsia" w:ascii="宋体" w:hAnsi="宋体" w:cs="仿宋"/>
          <w:b/>
          <w:bCs/>
          <w:snapToGrid w:val="0"/>
          <w:kern w:val="0"/>
          <w:sz w:val="28"/>
          <w:szCs w:val="28"/>
        </w:rPr>
        <w:t>3. 评标程序</w:t>
      </w:r>
    </w:p>
    <w:p>
      <w:pPr>
        <w:keepNext w:val="0"/>
        <w:keepLines w:val="0"/>
        <w:pageBreakBefore w:val="0"/>
        <w:widowControl w:val="0"/>
        <w:kinsoku/>
        <w:wordWrap/>
        <w:overflowPunct/>
        <w:topLinePunct w:val="0"/>
        <w:bidi w:val="0"/>
        <w:adjustRightInd w:val="0"/>
        <w:snapToGrid w:val="0"/>
        <w:spacing w:line="360" w:lineRule="auto"/>
        <w:ind w:firstLine="420" w:firstLineChars="200"/>
        <w:jc w:val="left"/>
        <w:textAlignment w:val="auto"/>
        <w:rPr>
          <w:rFonts w:ascii="宋体" w:hAnsi="宋体"/>
          <w:snapToGrid w:val="0"/>
          <w:szCs w:val="21"/>
        </w:rPr>
      </w:pPr>
      <w:bookmarkStart w:id="178" w:name="_Toc200513203"/>
      <w:bookmarkStart w:id="179" w:name="_Toc224103389"/>
      <w:bookmarkStart w:id="180" w:name="_Toc277082623"/>
      <w:bookmarkStart w:id="181" w:name="_Toc329358138"/>
      <w:bookmarkStart w:id="182" w:name="_Toc287607817"/>
      <w:bookmarkStart w:id="183" w:name="_Toc373263959"/>
      <w:r>
        <w:rPr>
          <w:rFonts w:hint="eastAsia" w:ascii="宋体" w:hAnsi="宋体"/>
          <w:snapToGrid w:val="0"/>
          <w:szCs w:val="21"/>
        </w:rPr>
        <w:t>3.1 初步评审</w:t>
      </w:r>
      <w:bookmarkEnd w:id="178"/>
      <w:bookmarkEnd w:id="179"/>
      <w:bookmarkEnd w:id="180"/>
      <w:bookmarkEnd w:id="181"/>
      <w:bookmarkEnd w:id="182"/>
      <w:bookmarkEnd w:id="183"/>
    </w:p>
    <w:p>
      <w:pPr>
        <w:keepNext w:val="0"/>
        <w:keepLines w:val="0"/>
        <w:pageBreakBefore w:val="0"/>
        <w:widowControl w:val="0"/>
        <w:kinsoku/>
        <w:wordWrap/>
        <w:overflowPunct/>
        <w:topLinePunct w:val="0"/>
        <w:bidi w:val="0"/>
        <w:adjustRightInd w:val="0"/>
        <w:snapToGrid w:val="0"/>
        <w:spacing w:line="360" w:lineRule="auto"/>
        <w:ind w:firstLine="420" w:firstLineChars="200"/>
        <w:jc w:val="left"/>
        <w:textAlignment w:val="auto"/>
        <w:rPr>
          <w:rFonts w:ascii="宋体" w:hAnsi="宋体"/>
          <w:snapToGrid w:val="0"/>
          <w:szCs w:val="21"/>
        </w:rPr>
      </w:pPr>
      <w:r>
        <w:rPr>
          <w:rFonts w:hint="eastAsia" w:ascii="宋体" w:hAnsi="宋体"/>
          <w:snapToGrid w:val="0"/>
          <w:szCs w:val="21"/>
        </w:rPr>
        <w:t>3.1.1 评标委员会可要求投标人提交第二章“</w:t>
      </w:r>
      <w:r>
        <w:rPr>
          <w:rFonts w:hint="eastAsia" w:ascii="宋体" w:hAnsi="宋体"/>
          <w:snapToGrid w:val="0"/>
          <w:szCs w:val="21"/>
          <w:lang w:eastAsia="zh-CN"/>
        </w:rPr>
        <w:t>竞标</w:t>
      </w:r>
      <w:r>
        <w:rPr>
          <w:rFonts w:hint="eastAsia" w:ascii="宋体" w:hAnsi="宋体"/>
          <w:snapToGrid w:val="0"/>
          <w:szCs w:val="21"/>
        </w:rPr>
        <w:t>人须知”第1.4.1项和第 3.5条规定的有关证明和证件，以便核验。评标委员会依据本章第 2.1.1、2.2.2、2.2.3 款规定的标准对</w:t>
      </w:r>
      <w:r>
        <w:rPr>
          <w:rFonts w:hint="eastAsia" w:ascii="宋体" w:hAnsi="宋体"/>
          <w:snapToGrid w:val="0"/>
          <w:szCs w:val="21"/>
          <w:lang w:eastAsia="zh-CN"/>
        </w:rPr>
        <w:t>竞标</w:t>
      </w:r>
      <w:r>
        <w:rPr>
          <w:rFonts w:hint="eastAsia" w:ascii="宋体" w:hAnsi="宋体"/>
          <w:snapToGrid w:val="0"/>
          <w:szCs w:val="21"/>
        </w:rPr>
        <w:t>文件进行初步评审、如有必要进行原件核查。有一项不符合评审标准的，作否决竞标处理。</w:t>
      </w:r>
    </w:p>
    <w:p>
      <w:pPr>
        <w:keepNext w:val="0"/>
        <w:keepLines w:val="0"/>
        <w:pageBreakBefore w:val="0"/>
        <w:widowControl w:val="0"/>
        <w:kinsoku/>
        <w:wordWrap/>
        <w:overflowPunct/>
        <w:topLinePunct w:val="0"/>
        <w:bidi w:val="0"/>
        <w:adjustRightInd w:val="0"/>
        <w:snapToGrid w:val="0"/>
        <w:spacing w:line="360" w:lineRule="auto"/>
        <w:ind w:firstLine="420" w:firstLineChars="200"/>
        <w:jc w:val="left"/>
        <w:textAlignment w:val="auto"/>
        <w:rPr>
          <w:rFonts w:ascii="宋体" w:hAnsi="宋体"/>
          <w:snapToGrid w:val="0"/>
          <w:szCs w:val="21"/>
        </w:rPr>
      </w:pPr>
      <w:r>
        <w:rPr>
          <w:rFonts w:hint="eastAsia" w:ascii="宋体" w:hAnsi="宋体"/>
          <w:snapToGrid w:val="0"/>
          <w:szCs w:val="21"/>
        </w:rPr>
        <w:t xml:space="preserve">3.1.2 </w:t>
      </w:r>
      <w:r>
        <w:rPr>
          <w:rFonts w:hint="eastAsia" w:ascii="宋体" w:hAnsi="宋体"/>
          <w:snapToGrid w:val="0"/>
          <w:szCs w:val="21"/>
          <w:lang w:eastAsia="zh-CN"/>
        </w:rPr>
        <w:t>竞标</w:t>
      </w:r>
      <w:r>
        <w:rPr>
          <w:rFonts w:hint="eastAsia" w:ascii="宋体" w:hAnsi="宋体"/>
          <w:snapToGrid w:val="0"/>
          <w:szCs w:val="21"/>
        </w:rPr>
        <w:t>人有以下情形之一的，其投标作否决竞标处理：</w:t>
      </w:r>
    </w:p>
    <w:p>
      <w:pPr>
        <w:keepNext w:val="0"/>
        <w:keepLines w:val="0"/>
        <w:pageBreakBefore w:val="0"/>
        <w:widowControl w:val="0"/>
        <w:kinsoku/>
        <w:wordWrap/>
        <w:overflowPunct/>
        <w:topLinePunct w:val="0"/>
        <w:bidi w:val="0"/>
        <w:adjustRightInd w:val="0"/>
        <w:snapToGrid w:val="0"/>
        <w:spacing w:line="360" w:lineRule="auto"/>
        <w:ind w:firstLine="420" w:firstLineChars="200"/>
        <w:jc w:val="left"/>
        <w:textAlignment w:val="auto"/>
        <w:rPr>
          <w:rFonts w:ascii="宋体" w:hAnsi="宋体"/>
          <w:snapToGrid w:val="0"/>
          <w:szCs w:val="21"/>
        </w:rPr>
      </w:pPr>
      <w:r>
        <w:rPr>
          <w:rFonts w:hint="eastAsia" w:ascii="宋体" w:hAnsi="宋体"/>
          <w:snapToGrid w:val="0"/>
          <w:szCs w:val="21"/>
        </w:rPr>
        <w:t>（1）串通竞标或弄虚作假或有其他违法行为的；</w:t>
      </w:r>
    </w:p>
    <w:p>
      <w:pPr>
        <w:keepNext w:val="0"/>
        <w:keepLines w:val="0"/>
        <w:pageBreakBefore w:val="0"/>
        <w:widowControl w:val="0"/>
        <w:kinsoku/>
        <w:wordWrap/>
        <w:overflowPunct/>
        <w:topLinePunct w:val="0"/>
        <w:bidi w:val="0"/>
        <w:adjustRightInd w:val="0"/>
        <w:snapToGrid w:val="0"/>
        <w:spacing w:line="360" w:lineRule="auto"/>
        <w:ind w:firstLine="420" w:firstLineChars="200"/>
        <w:jc w:val="left"/>
        <w:textAlignment w:val="auto"/>
        <w:rPr>
          <w:rFonts w:ascii="宋体" w:hAnsi="宋体"/>
          <w:snapToGrid w:val="0"/>
          <w:szCs w:val="21"/>
        </w:rPr>
      </w:pPr>
      <w:r>
        <w:rPr>
          <w:rFonts w:hint="eastAsia" w:ascii="宋体" w:hAnsi="宋体"/>
          <w:snapToGrid w:val="0"/>
          <w:szCs w:val="21"/>
        </w:rPr>
        <w:t>（2）不按评标委员会要求澄清、说明或补正的；</w:t>
      </w:r>
    </w:p>
    <w:p>
      <w:pPr>
        <w:keepNext w:val="0"/>
        <w:keepLines w:val="0"/>
        <w:pageBreakBefore w:val="0"/>
        <w:widowControl w:val="0"/>
        <w:kinsoku/>
        <w:wordWrap/>
        <w:overflowPunct/>
        <w:topLinePunct w:val="0"/>
        <w:bidi w:val="0"/>
        <w:adjustRightInd w:val="0"/>
        <w:snapToGrid w:val="0"/>
        <w:spacing w:line="360" w:lineRule="auto"/>
        <w:ind w:firstLine="420" w:firstLineChars="200"/>
        <w:jc w:val="left"/>
        <w:textAlignment w:val="auto"/>
        <w:rPr>
          <w:rFonts w:ascii="宋体" w:hAnsi="宋体"/>
          <w:snapToGrid w:val="0"/>
          <w:szCs w:val="21"/>
        </w:rPr>
      </w:pPr>
      <w:r>
        <w:rPr>
          <w:rFonts w:hint="eastAsia" w:ascii="宋体" w:hAnsi="宋体"/>
          <w:snapToGrid w:val="0"/>
          <w:szCs w:val="21"/>
        </w:rPr>
        <w:t>（3）未在评标委员会规定的时间内提供原件备查的或提供的原件不齐全的；</w:t>
      </w:r>
    </w:p>
    <w:p>
      <w:pPr>
        <w:keepNext w:val="0"/>
        <w:keepLines w:val="0"/>
        <w:pageBreakBefore w:val="0"/>
        <w:widowControl w:val="0"/>
        <w:kinsoku/>
        <w:wordWrap/>
        <w:overflowPunct/>
        <w:topLinePunct w:val="0"/>
        <w:bidi w:val="0"/>
        <w:adjustRightInd w:val="0"/>
        <w:snapToGrid w:val="0"/>
        <w:spacing w:line="360" w:lineRule="auto"/>
        <w:ind w:firstLine="420" w:firstLineChars="200"/>
        <w:jc w:val="left"/>
        <w:textAlignment w:val="auto"/>
        <w:rPr>
          <w:rFonts w:ascii="宋体" w:hAnsi="宋体"/>
          <w:snapToGrid w:val="0"/>
          <w:szCs w:val="21"/>
        </w:rPr>
      </w:pPr>
      <w:r>
        <w:rPr>
          <w:rFonts w:hint="eastAsia" w:ascii="宋体" w:hAnsi="宋体"/>
          <w:snapToGrid w:val="0"/>
          <w:szCs w:val="21"/>
        </w:rPr>
        <w:t>（4）提供的原件与复印件实质性内容不一致的。</w:t>
      </w:r>
    </w:p>
    <w:p>
      <w:pPr>
        <w:keepNext w:val="0"/>
        <w:keepLines w:val="0"/>
        <w:pageBreakBefore w:val="0"/>
        <w:widowControl w:val="0"/>
        <w:kinsoku/>
        <w:wordWrap/>
        <w:overflowPunct/>
        <w:topLinePunct w:val="0"/>
        <w:bidi w:val="0"/>
        <w:adjustRightInd w:val="0"/>
        <w:snapToGrid w:val="0"/>
        <w:spacing w:line="360" w:lineRule="auto"/>
        <w:ind w:firstLine="420" w:firstLineChars="200"/>
        <w:jc w:val="left"/>
        <w:textAlignment w:val="auto"/>
        <w:rPr>
          <w:rFonts w:ascii="宋体" w:hAnsi="宋体"/>
          <w:snapToGrid w:val="0"/>
          <w:szCs w:val="21"/>
        </w:rPr>
      </w:pPr>
      <w:r>
        <w:rPr>
          <w:rFonts w:hint="eastAsia" w:ascii="宋体" w:hAnsi="宋体"/>
          <w:snapToGrid w:val="0"/>
          <w:szCs w:val="21"/>
        </w:rPr>
        <w:t>3.1.3 竞标报价有算术错误的，评标委员会按以下原则对竞标报价进行修正，修正的价格经</w:t>
      </w:r>
      <w:r>
        <w:rPr>
          <w:rFonts w:hint="eastAsia" w:ascii="宋体" w:hAnsi="宋体"/>
          <w:snapToGrid w:val="0"/>
          <w:szCs w:val="21"/>
          <w:lang w:eastAsia="zh-CN"/>
        </w:rPr>
        <w:t>竞标</w:t>
      </w:r>
      <w:r>
        <w:rPr>
          <w:rFonts w:hint="eastAsia" w:ascii="宋体" w:hAnsi="宋体"/>
          <w:snapToGrid w:val="0"/>
          <w:szCs w:val="21"/>
        </w:rPr>
        <w:t>人书面确认后具有约束力。</w:t>
      </w:r>
      <w:r>
        <w:rPr>
          <w:rFonts w:hint="eastAsia" w:ascii="宋体" w:hAnsi="宋体"/>
          <w:snapToGrid w:val="0"/>
          <w:szCs w:val="21"/>
          <w:lang w:eastAsia="zh-CN"/>
        </w:rPr>
        <w:t>竞标</w:t>
      </w:r>
      <w:r>
        <w:rPr>
          <w:rFonts w:hint="eastAsia" w:ascii="宋体" w:hAnsi="宋体"/>
          <w:snapToGrid w:val="0"/>
          <w:szCs w:val="21"/>
        </w:rPr>
        <w:t>人不接受修正价格的，其</w:t>
      </w:r>
      <w:r>
        <w:rPr>
          <w:rFonts w:hint="eastAsia" w:ascii="宋体" w:hAnsi="宋体"/>
          <w:snapToGrid w:val="0"/>
          <w:szCs w:val="21"/>
          <w:lang w:eastAsia="zh-CN"/>
        </w:rPr>
        <w:t>竞标</w:t>
      </w:r>
      <w:r>
        <w:rPr>
          <w:rFonts w:hint="eastAsia" w:ascii="宋体" w:hAnsi="宋体"/>
          <w:snapToGrid w:val="0"/>
          <w:szCs w:val="21"/>
        </w:rPr>
        <w:t>作否决竞标处理。</w:t>
      </w:r>
    </w:p>
    <w:p>
      <w:pPr>
        <w:keepNext w:val="0"/>
        <w:keepLines w:val="0"/>
        <w:pageBreakBefore w:val="0"/>
        <w:widowControl w:val="0"/>
        <w:kinsoku/>
        <w:wordWrap/>
        <w:overflowPunct/>
        <w:topLinePunct w:val="0"/>
        <w:bidi w:val="0"/>
        <w:adjustRightInd w:val="0"/>
        <w:snapToGrid w:val="0"/>
        <w:spacing w:line="360" w:lineRule="auto"/>
        <w:ind w:firstLine="420" w:firstLineChars="200"/>
        <w:jc w:val="left"/>
        <w:textAlignment w:val="auto"/>
        <w:rPr>
          <w:rFonts w:ascii="宋体" w:hAnsi="宋体"/>
          <w:snapToGrid w:val="0"/>
          <w:szCs w:val="21"/>
        </w:rPr>
      </w:pPr>
      <w:r>
        <w:rPr>
          <w:rFonts w:hint="eastAsia" w:ascii="宋体" w:hAnsi="宋体"/>
          <w:snapToGrid w:val="0"/>
          <w:szCs w:val="21"/>
        </w:rPr>
        <w:t>（1）</w:t>
      </w:r>
      <w:r>
        <w:rPr>
          <w:rFonts w:hint="eastAsia" w:ascii="宋体" w:hAnsi="宋体"/>
          <w:snapToGrid w:val="0"/>
          <w:szCs w:val="21"/>
          <w:lang w:eastAsia="zh-CN"/>
        </w:rPr>
        <w:t>竞标</w:t>
      </w:r>
      <w:r>
        <w:rPr>
          <w:rFonts w:hint="eastAsia" w:ascii="宋体" w:hAnsi="宋体"/>
          <w:snapToGrid w:val="0"/>
          <w:szCs w:val="21"/>
        </w:rPr>
        <w:t>文件中的大写金额与小写金额不一致的，以大写金额为准；</w:t>
      </w:r>
    </w:p>
    <w:p>
      <w:pPr>
        <w:keepNext w:val="0"/>
        <w:keepLines w:val="0"/>
        <w:pageBreakBefore w:val="0"/>
        <w:widowControl w:val="0"/>
        <w:kinsoku/>
        <w:wordWrap/>
        <w:overflowPunct/>
        <w:topLinePunct w:val="0"/>
        <w:bidi w:val="0"/>
        <w:adjustRightInd w:val="0"/>
        <w:snapToGrid w:val="0"/>
        <w:spacing w:line="360" w:lineRule="auto"/>
        <w:ind w:firstLine="420" w:firstLineChars="200"/>
        <w:jc w:val="left"/>
        <w:textAlignment w:val="auto"/>
        <w:rPr>
          <w:rFonts w:ascii="宋体" w:hAnsi="宋体"/>
          <w:snapToGrid w:val="0"/>
          <w:szCs w:val="21"/>
        </w:rPr>
      </w:pPr>
      <w:r>
        <w:rPr>
          <w:rFonts w:hint="eastAsia" w:ascii="宋体" w:hAnsi="宋体"/>
          <w:snapToGrid w:val="0"/>
          <w:szCs w:val="21"/>
        </w:rPr>
        <w:t>（2）总价金额与依据单价计算出的结果不一致的，以总价金额为准修正单价（同比例上下浮动），但单价金额小数点有明显错误的除外。</w:t>
      </w:r>
    </w:p>
    <w:p>
      <w:pPr>
        <w:keepNext w:val="0"/>
        <w:keepLines w:val="0"/>
        <w:pageBreakBefore w:val="0"/>
        <w:widowControl w:val="0"/>
        <w:kinsoku/>
        <w:wordWrap/>
        <w:overflowPunct/>
        <w:topLinePunct w:val="0"/>
        <w:bidi w:val="0"/>
        <w:adjustRightInd w:val="0"/>
        <w:snapToGrid w:val="0"/>
        <w:spacing w:line="360" w:lineRule="auto"/>
        <w:ind w:firstLine="420" w:firstLineChars="200"/>
        <w:jc w:val="left"/>
        <w:textAlignment w:val="auto"/>
        <w:rPr>
          <w:rFonts w:ascii="宋体" w:hAnsi="宋体"/>
          <w:snapToGrid w:val="0"/>
          <w:szCs w:val="21"/>
        </w:rPr>
      </w:pPr>
      <w:bookmarkStart w:id="184" w:name="_Toc373263960"/>
      <w:bookmarkStart w:id="185" w:name="_Toc200513204"/>
      <w:bookmarkStart w:id="186" w:name="_Toc287607818"/>
      <w:bookmarkStart w:id="187" w:name="_Toc277082624"/>
      <w:bookmarkStart w:id="188" w:name="_Toc224103390"/>
      <w:bookmarkStart w:id="189" w:name="_Toc329358139"/>
      <w:r>
        <w:rPr>
          <w:rFonts w:hint="eastAsia" w:ascii="宋体" w:hAnsi="宋体"/>
          <w:snapToGrid w:val="0"/>
          <w:szCs w:val="21"/>
        </w:rPr>
        <w:t>3.2 详细评审</w:t>
      </w:r>
      <w:bookmarkEnd w:id="184"/>
      <w:bookmarkEnd w:id="185"/>
      <w:bookmarkEnd w:id="186"/>
      <w:bookmarkEnd w:id="187"/>
      <w:bookmarkEnd w:id="188"/>
      <w:bookmarkEnd w:id="189"/>
    </w:p>
    <w:p>
      <w:pPr>
        <w:keepNext w:val="0"/>
        <w:keepLines w:val="0"/>
        <w:pageBreakBefore w:val="0"/>
        <w:widowControl w:val="0"/>
        <w:kinsoku/>
        <w:wordWrap/>
        <w:overflowPunct/>
        <w:topLinePunct w:val="0"/>
        <w:bidi w:val="0"/>
        <w:adjustRightInd w:val="0"/>
        <w:snapToGrid w:val="0"/>
        <w:spacing w:line="360" w:lineRule="auto"/>
        <w:ind w:firstLine="420" w:firstLineChars="200"/>
        <w:jc w:val="left"/>
        <w:textAlignment w:val="auto"/>
        <w:rPr>
          <w:rFonts w:ascii="宋体" w:hAnsi="宋体"/>
          <w:snapToGrid w:val="0"/>
          <w:szCs w:val="21"/>
        </w:rPr>
      </w:pPr>
      <w:r>
        <w:rPr>
          <w:rFonts w:hint="eastAsia" w:ascii="宋体" w:hAnsi="宋体"/>
          <w:snapToGrid w:val="0"/>
          <w:szCs w:val="21"/>
        </w:rPr>
        <w:t>3.2.1 评标委员会按本章第2.2款规定的量化因素和分值进行打分，并计算出综合评估得分。</w:t>
      </w:r>
    </w:p>
    <w:p>
      <w:pPr>
        <w:keepNext w:val="0"/>
        <w:keepLines w:val="0"/>
        <w:pageBreakBefore w:val="0"/>
        <w:widowControl w:val="0"/>
        <w:kinsoku/>
        <w:wordWrap/>
        <w:overflowPunct/>
        <w:topLinePunct w:val="0"/>
        <w:bidi w:val="0"/>
        <w:adjustRightInd w:val="0"/>
        <w:snapToGrid w:val="0"/>
        <w:spacing w:line="360" w:lineRule="auto"/>
        <w:ind w:firstLine="420" w:firstLineChars="200"/>
        <w:jc w:val="left"/>
        <w:textAlignment w:val="auto"/>
        <w:rPr>
          <w:rFonts w:ascii="宋体" w:hAnsi="宋体"/>
          <w:snapToGrid w:val="0"/>
          <w:szCs w:val="21"/>
        </w:rPr>
      </w:pPr>
      <w:r>
        <w:rPr>
          <w:rFonts w:hint="eastAsia" w:ascii="宋体" w:hAnsi="宋体"/>
          <w:snapToGrid w:val="0"/>
          <w:szCs w:val="21"/>
        </w:rPr>
        <w:t>（1）按本章评标办法前附表第2.2.4（1）目规定的评审因素和分值对技术报价计算出得分A；</w:t>
      </w:r>
    </w:p>
    <w:p>
      <w:pPr>
        <w:keepNext w:val="0"/>
        <w:keepLines w:val="0"/>
        <w:pageBreakBefore w:val="0"/>
        <w:widowControl w:val="0"/>
        <w:kinsoku/>
        <w:wordWrap/>
        <w:overflowPunct/>
        <w:topLinePunct w:val="0"/>
        <w:bidi w:val="0"/>
        <w:adjustRightInd w:val="0"/>
        <w:snapToGrid w:val="0"/>
        <w:spacing w:line="360" w:lineRule="auto"/>
        <w:ind w:firstLine="420" w:firstLineChars="200"/>
        <w:jc w:val="left"/>
        <w:textAlignment w:val="auto"/>
        <w:rPr>
          <w:rFonts w:ascii="宋体" w:hAnsi="宋体"/>
          <w:snapToGrid w:val="0"/>
          <w:szCs w:val="21"/>
        </w:rPr>
      </w:pPr>
      <w:r>
        <w:rPr>
          <w:rFonts w:hint="eastAsia" w:ascii="宋体" w:hAnsi="宋体"/>
          <w:snapToGrid w:val="0"/>
          <w:szCs w:val="21"/>
        </w:rPr>
        <w:t>（2）按本章评标办法前附表第 3.2.1（2）目规定的评审因素和分值对商务部分计算出得分B；</w:t>
      </w:r>
    </w:p>
    <w:p>
      <w:pPr>
        <w:keepNext w:val="0"/>
        <w:keepLines w:val="0"/>
        <w:pageBreakBefore w:val="0"/>
        <w:widowControl w:val="0"/>
        <w:kinsoku/>
        <w:wordWrap/>
        <w:overflowPunct/>
        <w:topLinePunct w:val="0"/>
        <w:bidi w:val="0"/>
        <w:adjustRightInd w:val="0"/>
        <w:snapToGrid w:val="0"/>
        <w:spacing w:line="360" w:lineRule="auto"/>
        <w:ind w:firstLine="420" w:firstLineChars="200"/>
        <w:jc w:val="left"/>
        <w:textAlignment w:val="auto"/>
        <w:rPr>
          <w:rFonts w:ascii="宋体" w:hAnsi="宋体"/>
          <w:snapToGrid w:val="0"/>
          <w:szCs w:val="21"/>
        </w:rPr>
      </w:pPr>
      <w:r>
        <w:rPr>
          <w:rFonts w:hint="eastAsia" w:ascii="宋体" w:hAnsi="宋体"/>
          <w:snapToGrid w:val="0"/>
          <w:szCs w:val="21"/>
        </w:rPr>
        <w:t>（3）按本章评标办法前附表第 3.2.1（3）目规定的评审因素和分值对竞标报价部分计算出得分C，</w:t>
      </w:r>
    </w:p>
    <w:p>
      <w:pPr>
        <w:keepNext w:val="0"/>
        <w:keepLines w:val="0"/>
        <w:pageBreakBefore w:val="0"/>
        <w:widowControl w:val="0"/>
        <w:kinsoku/>
        <w:wordWrap/>
        <w:overflowPunct/>
        <w:topLinePunct w:val="0"/>
        <w:bidi w:val="0"/>
        <w:adjustRightInd w:val="0"/>
        <w:snapToGrid w:val="0"/>
        <w:spacing w:line="360" w:lineRule="auto"/>
        <w:ind w:firstLine="420" w:firstLineChars="200"/>
        <w:jc w:val="left"/>
        <w:textAlignment w:val="auto"/>
        <w:rPr>
          <w:rFonts w:ascii="宋体" w:hAnsi="宋体"/>
          <w:snapToGrid w:val="0"/>
          <w:szCs w:val="21"/>
        </w:rPr>
      </w:pPr>
      <w:r>
        <w:rPr>
          <w:rFonts w:hint="eastAsia" w:ascii="宋体" w:hAnsi="宋体"/>
          <w:snapToGrid w:val="0"/>
          <w:szCs w:val="21"/>
        </w:rPr>
        <w:t>3.2.2 评分分值计算保留小数点后两位，小数点后第三位“四舍五入”。</w:t>
      </w:r>
    </w:p>
    <w:p>
      <w:pPr>
        <w:keepNext w:val="0"/>
        <w:keepLines w:val="0"/>
        <w:pageBreakBefore w:val="0"/>
        <w:widowControl w:val="0"/>
        <w:kinsoku/>
        <w:wordWrap/>
        <w:overflowPunct/>
        <w:topLinePunct w:val="0"/>
        <w:bidi w:val="0"/>
        <w:adjustRightInd w:val="0"/>
        <w:snapToGrid w:val="0"/>
        <w:spacing w:line="360" w:lineRule="auto"/>
        <w:ind w:firstLine="420" w:firstLineChars="200"/>
        <w:jc w:val="left"/>
        <w:textAlignment w:val="auto"/>
        <w:rPr>
          <w:rFonts w:ascii="宋体" w:hAnsi="宋体"/>
          <w:snapToGrid w:val="0"/>
          <w:szCs w:val="21"/>
        </w:rPr>
      </w:pPr>
      <w:r>
        <w:rPr>
          <w:rFonts w:hint="eastAsia" w:ascii="宋体" w:hAnsi="宋体"/>
          <w:snapToGrid w:val="0"/>
          <w:szCs w:val="21"/>
        </w:rPr>
        <w:t xml:space="preserve">3.2.3 </w:t>
      </w:r>
      <w:r>
        <w:rPr>
          <w:rFonts w:hint="eastAsia" w:ascii="宋体" w:hAnsi="宋体"/>
          <w:snapToGrid w:val="0"/>
          <w:szCs w:val="21"/>
          <w:lang w:eastAsia="zh-CN"/>
        </w:rPr>
        <w:t>竞标</w:t>
      </w:r>
      <w:r>
        <w:rPr>
          <w:rFonts w:hint="eastAsia" w:ascii="宋体" w:hAnsi="宋体"/>
          <w:snapToGrid w:val="0"/>
          <w:szCs w:val="21"/>
        </w:rPr>
        <w:t>人得分=A+B+C</w:t>
      </w:r>
    </w:p>
    <w:p>
      <w:pPr>
        <w:keepNext w:val="0"/>
        <w:keepLines w:val="0"/>
        <w:pageBreakBefore w:val="0"/>
        <w:widowControl w:val="0"/>
        <w:kinsoku/>
        <w:wordWrap/>
        <w:overflowPunct/>
        <w:topLinePunct w:val="0"/>
        <w:bidi w:val="0"/>
        <w:adjustRightInd w:val="0"/>
        <w:snapToGrid w:val="0"/>
        <w:spacing w:line="360" w:lineRule="auto"/>
        <w:ind w:firstLine="420" w:firstLineChars="200"/>
        <w:jc w:val="left"/>
        <w:textAlignment w:val="auto"/>
        <w:rPr>
          <w:rFonts w:ascii="宋体" w:hAnsi="宋体"/>
          <w:snapToGrid w:val="0"/>
          <w:szCs w:val="21"/>
        </w:rPr>
      </w:pPr>
      <w:r>
        <w:rPr>
          <w:rFonts w:hint="eastAsia" w:ascii="宋体" w:hAnsi="宋体"/>
          <w:snapToGrid w:val="0"/>
          <w:szCs w:val="21"/>
        </w:rPr>
        <w:t>3.2.4 评标委员会发现</w:t>
      </w:r>
      <w:r>
        <w:rPr>
          <w:rFonts w:hint="eastAsia" w:ascii="宋体" w:hAnsi="宋体"/>
          <w:snapToGrid w:val="0"/>
          <w:szCs w:val="21"/>
          <w:lang w:eastAsia="zh-CN"/>
        </w:rPr>
        <w:t>竞标</w:t>
      </w:r>
      <w:r>
        <w:rPr>
          <w:rFonts w:hint="eastAsia" w:ascii="宋体" w:hAnsi="宋体"/>
          <w:snapToGrid w:val="0"/>
          <w:szCs w:val="21"/>
        </w:rPr>
        <w:t>人的报价明显低于其他竞标报价，或者在设有标底时明显低于标底，使得其竞标报价可能低于其个别成本的，应当要求该</w:t>
      </w:r>
      <w:r>
        <w:rPr>
          <w:rFonts w:hint="eastAsia" w:ascii="宋体" w:hAnsi="宋体"/>
          <w:snapToGrid w:val="0"/>
          <w:szCs w:val="21"/>
          <w:lang w:eastAsia="zh-CN"/>
        </w:rPr>
        <w:t>竞标</w:t>
      </w:r>
      <w:r>
        <w:rPr>
          <w:rFonts w:hint="eastAsia" w:ascii="宋体" w:hAnsi="宋体"/>
          <w:snapToGrid w:val="0"/>
          <w:szCs w:val="21"/>
        </w:rPr>
        <w:t>人做出书面说明并提供相应的证明材料。</w:t>
      </w:r>
      <w:r>
        <w:rPr>
          <w:rFonts w:hint="eastAsia" w:ascii="宋体" w:hAnsi="宋体"/>
          <w:snapToGrid w:val="0"/>
          <w:szCs w:val="21"/>
          <w:lang w:eastAsia="zh-CN"/>
        </w:rPr>
        <w:t>竞标</w:t>
      </w:r>
      <w:r>
        <w:rPr>
          <w:rFonts w:hint="eastAsia" w:ascii="宋体" w:hAnsi="宋体"/>
          <w:snapToGrid w:val="0"/>
          <w:szCs w:val="21"/>
        </w:rPr>
        <w:t>人不能合理说明或者不能提供相应证明材料的，由评标委员会认定该</w:t>
      </w:r>
      <w:r>
        <w:rPr>
          <w:rFonts w:hint="eastAsia" w:ascii="宋体" w:hAnsi="宋体"/>
          <w:snapToGrid w:val="0"/>
          <w:szCs w:val="21"/>
          <w:lang w:eastAsia="zh-CN"/>
        </w:rPr>
        <w:t>竞标</w:t>
      </w:r>
      <w:r>
        <w:rPr>
          <w:rFonts w:hint="eastAsia" w:ascii="宋体" w:hAnsi="宋体"/>
          <w:snapToGrid w:val="0"/>
          <w:szCs w:val="21"/>
        </w:rPr>
        <w:t>人以低于成本报价竞标，其</w:t>
      </w:r>
      <w:r>
        <w:rPr>
          <w:rFonts w:hint="eastAsia" w:ascii="宋体" w:hAnsi="宋体"/>
          <w:snapToGrid w:val="0"/>
          <w:szCs w:val="21"/>
          <w:lang w:eastAsia="zh-CN"/>
        </w:rPr>
        <w:t>竞标</w:t>
      </w:r>
      <w:r>
        <w:rPr>
          <w:rFonts w:hint="eastAsia" w:ascii="宋体" w:hAnsi="宋体"/>
          <w:snapToGrid w:val="0"/>
          <w:szCs w:val="21"/>
        </w:rPr>
        <w:t>作否决竞标处理。</w:t>
      </w:r>
    </w:p>
    <w:p>
      <w:pPr>
        <w:keepNext w:val="0"/>
        <w:keepLines w:val="0"/>
        <w:pageBreakBefore w:val="0"/>
        <w:widowControl w:val="0"/>
        <w:kinsoku/>
        <w:wordWrap/>
        <w:overflowPunct/>
        <w:topLinePunct w:val="0"/>
        <w:bidi w:val="0"/>
        <w:adjustRightInd w:val="0"/>
        <w:snapToGrid w:val="0"/>
        <w:spacing w:line="360" w:lineRule="auto"/>
        <w:ind w:firstLine="420" w:firstLineChars="200"/>
        <w:jc w:val="left"/>
        <w:textAlignment w:val="auto"/>
        <w:rPr>
          <w:rFonts w:ascii="宋体" w:hAnsi="宋体"/>
          <w:snapToGrid w:val="0"/>
          <w:szCs w:val="21"/>
        </w:rPr>
      </w:pPr>
      <w:bookmarkStart w:id="190" w:name="_Toc277082625"/>
      <w:bookmarkStart w:id="191" w:name="_Toc287607819"/>
      <w:bookmarkStart w:id="192" w:name="_Toc329358140"/>
      <w:bookmarkStart w:id="193" w:name="_Toc373263961"/>
      <w:bookmarkStart w:id="194" w:name="_Toc200513205"/>
      <w:bookmarkStart w:id="195" w:name="_Toc224103391"/>
      <w:r>
        <w:rPr>
          <w:rFonts w:hint="eastAsia" w:ascii="宋体" w:hAnsi="宋体"/>
          <w:snapToGrid w:val="0"/>
          <w:szCs w:val="21"/>
        </w:rPr>
        <w:t xml:space="preserve">3.3 </w:t>
      </w:r>
      <w:r>
        <w:rPr>
          <w:rFonts w:hint="eastAsia" w:ascii="宋体" w:hAnsi="宋体"/>
          <w:snapToGrid w:val="0"/>
          <w:szCs w:val="21"/>
          <w:lang w:eastAsia="zh-CN"/>
        </w:rPr>
        <w:t>竞标</w:t>
      </w:r>
      <w:r>
        <w:rPr>
          <w:rFonts w:hint="eastAsia" w:ascii="宋体" w:hAnsi="宋体"/>
          <w:snapToGrid w:val="0"/>
          <w:szCs w:val="21"/>
        </w:rPr>
        <w:t>文件的澄清和补正</w:t>
      </w:r>
    </w:p>
    <w:p>
      <w:pPr>
        <w:keepNext w:val="0"/>
        <w:keepLines w:val="0"/>
        <w:pageBreakBefore w:val="0"/>
        <w:widowControl w:val="0"/>
        <w:kinsoku/>
        <w:wordWrap/>
        <w:overflowPunct/>
        <w:topLinePunct w:val="0"/>
        <w:bidi w:val="0"/>
        <w:adjustRightInd w:val="0"/>
        <w:snapToGrid w:val="0"/>
        <w:spacing w:line="360" w:lineRule="auto"/>
        <w:ind w:firstLine="420" w:firstLineChars="200"/>
        <w:jc w:val="left"/>
        <w:textAlignment w:val="auto"/>
        <w:rPr>
          <w:rFonts w:ascii="宋体" w:hAnsi="宋体"/>
          <w:snapToGrid w:val="0"/>
          <w:szCs w:val="21"/>
        </w:rPr>
      </w:pPr>
      <w:r>
        <w:rPr>
          <w:rFonts w:hint="eastAsia" w:ascii="宋体" w:hAnsi="宋体"/>
          <w:snapToGrid w:val="0"/>
          <w:szCs w:val="21"/>
        </w:rPr>
        <w:t>3.3.1 在评标过程中，评标委员会可以书面形式要求</w:t>
      </w:r>
      <w:r>
        <w:rPr>
          <w:rFonts w:hint="eastAsia" w:ascii="宋体" w:hAnsi="宋体"/>
          <w:snapToGrid w:val="0"/>
          <w:szCs w:val="21"/>
          <w:lang w:eastAsia="zh-CN"/>
        </w:rPr>
        <w:t>竞标</w:t>
      </w:r>
      <w:r>
        <w:rPr>
          <w:rFonts w:hint="eastAsia" w:ascii="宋体" w:hAnsi="宋体"/>
          <w:snapToGrid w:val="0"/>
          <w:szCs w:val="21"/>
        </w:rPr>
        <w:t>人对所提交</w:t>
      </w:r>
      <w:r>
        <w:rPr>
          <w:rFonts w:hint="eastAsia" w:ascii="宋体" w:hAnsi="宋体"/>
          <w:snapToGrid w:val="0"/>
          <w:szCs w:val="21"/>
          <w:lang w:eastAsia="zh-CN"/>
        </w:rPr>
        <w:t>竞标</w:t>
      </w:r>
      <w:r>
        <w:rPr>
          <w:rFonts w:hint="eastAsia" w:ascii="宋体" w:hAnsi="宋体"/>
          <w:snapToGrid w:val="0"/>
          <w:szCs w:val="21"/>
        </w:rPr>
        <w:t>文件中不明确的内容进行书面澄清或说明，或者对细微偏差进行补正。评标委员会不接受</w:t>
      </w:r>
      <w:r>
        <w:rPr>
          <w:rFonts w:hint="eastAsia" w:ascii="宋体" w:hAnsi="宋体"/>
          <w:snapToGrid w:val="0"/>
          <w:szCs w:val="21"/>
          <w:lang w:eastAsia="zh-CN"/>
        </w:rPr>
        <w:t>竞标</w:t>
      </w:r>
      <w:r>
        <w:rPr>
          <w:rFonts w:hint="eastAsia" w:ascii="宋体" w:hAnsi="宋体"/>
          <w:snapToGrid w:val="0"/>
          <w:szCs w:val="21"/>
        </w:rPr>
        <w:t>人主动提出的澄清、说明或补正。</w:t>
      </w:r>
    </w:p>
    <w:p>
      <w:pPr>
        <w:keepNext w:val="0"/>
        <w:keepLines w:val="0"/>
        <w:pageBreakBefore w:val="0"/>
        <w:widowControl w:val="0"/>
        <w:kinsoku/>
        <w:wordWrap/>
        <w:overflowPunct/>
        <w:topLinePunct w:val="0"/>
        <w:bidi w:val="0"/>
        <w:adjustRightInd w:val="0"/>
        <w:snapToGrid w:val="0"/>
        <w:spacing w:line="360" w:lineRule="auto"/>
        <w:ind w:firstLine="420" w:firstLineChars="200"/>
        <w:jc w:val="left"/>
        <w:textAlignment w:val="auto"/>
        <w:rPr>
          <w:rFonts w:ascii="宋体" w:hAnsi="宋体"/>
          <w:snapToGrid w:val="0"/>
          <w:szCs w:val="21"/>
        </w:rPr>
      </w:pPr>
      <w:r>
        <w:rPr>
          <w:rFonts w:hint="eastAsia" w:ascii="宋体" w:hAnsi="宋体"/>
          <w:snapToGrid w:val="0"/>
          <w:szCs w:val="21"/>
        </w:rPr>
        <w:t>3.3.2 澄清、说明和补正不得改变</w:t>
      </w:r>
      <w:r>
        <w:rPr>
          <w:rFonts w:hint="eastAsia" w:ascii="宋体" w:hAnsi="宋体"/>
          <w:snapToGrid w:val="0"/>
          <w:szCs w:val="21"/>
          <w:lang w:eastAsia="zh-CN"/>
        </w:rPr>
        <w:t>竞标</w:t>
      </w:r>
      <w:r>
        <w:rPr>
          <w:rFonts w:hint="eastAsia" w:ascii="宋体" w:hAnsi="宋体"/>
          <w:snapToGrid w:val="0"/>
          <w:szCs w:val="21"/>
        </w:rPr>
        <w:t>文件的实质性内容（算术性错误修正的除外）。</w:t>
      </w:r>
      <w:r>
        <w:rPr>
          <w:rFonts w:hint="eastAsia" w:ascii="宋体" w:hAnsi="宋体"/>
          <w:snapToGrid w:val="0"/>
          <w:szCs w:val="21"/>
          <w:lang w:eastAsia="zh-CN"/>
        </w:rPr>
        <w:t>竞标</w:t>
      </w:r>
      <w:r>
        <w:rPr>
          <w:rFonts w:hint="eastAsia" w:ascii="宋体" w:hAnsi="宋体"/>
          <w:snapToGrid w:val="0"/>
          <w:szCs w:val="21"/>
        </w:rPr>
        <w:t>人的书面澄清、说明和补正属于</w:t>
      </w:r>
      <w:r>
        <w:rPr>
          <w:rFonts w:hint="eastAsia" w:ascii="宋体" w:hAnsi="宋体"/>
          <w:snapToGrid w:val="0"/>
          <w:szCs w:val="21"/>
          <w:lang w:eastAsia="zh-CN"/>
        </w:rPr>
        <w:t>竞标</w:t>
      </w:r>
      <w:r>
        <w:rPr>
          <w:rFonts w:hint="eastAsia" w:ascii="宋体" w:hAnsi="宋体"/>
          <w:snapToGrid w:val="0"/>
          <w:szCs w:val="21"/>
        </w:rPr>
        <w:t>文件的组成部分。</w:t>
      </w:r>
    </w:p>
    <w:p>
      <w:pPr>
        <w:keepNext w:val="0"/>
        <w:keepLines w:val="0"/>
        <w:pageBreakBefore w:val="0"/>
        <w:widowControl w:val="0"/>
        <w:kinsoku/>
        <w:wordWrap/>
        <w:overflowPunct/>
        <w:topLinePunct w:val="0"/>
        <w:bidi w:val="0"/>
        <w:adjustRightInd w:val="0"/>
        <w:snapToGrid w:val="0"/>
        <w:spacing w:line="360" w:lineRule="auto"/>
        <w:ind w:firstLine="420" w:firstLineChars="200"/>
        <w:jc w:val="left"/>
        <w:textAlignment w:val="auto"/>
        <w:rPr>
          <w:rFonts w:ascii="宋体" w:hAnsi="宋体"/>
          <w:snapToGrid w:val="0"/>
          <w:szCs w:val="21"/>
        </w:rPr>
      </w:pPr>
      <w:r>
        <w:rPr>
          <w:rFonts w:hint="eastAsia" w:ascii="宋体" w:hAnsi="宋体"/>
          <w:snapToGrid w:val="0"/>
          <w:szCs w:val="21"/>
        </w:rPr>
        <w:t>3.3.3 评标委员会对</w:t>
      </w:r>
      <w:r>
        <w:rPr>
          <w:rFonts w:hint="eastAsia" w:ascii="宋体" w:hAnsi="宋体"/>
          <w:snapToGrid w:val="0"/>
          <w:szCs w:val="21"/>
          <w:lang w:eastAsia="zh-CN"/>
        </w:rPr>
        <w:t>竞标</w:t>
      </w:r>
      <w:r>
        <w:rPr>
          <w:rFonts w:hint="eastAsia" w:ascii="宋体" w:hAnsi="宋体"/>
          <w:snapToGrid w:val="0"/>
          <w:szCs w:val="21"/>
        </w:rPr>
        <w:t>人提交的澄清、说明或补正有疑问的，可以要求</w:t>
      </w:r>
      <w:r>
        <w:rPr>
          <w:rFonts w:hint="eastAsia" w:ascii="宋体" w:hAnsi="宋体"/>
          <w:snapToGrid w:val="0"/>
          <w:szCs w:val="21"/>
          <w:lang w:eastAsia="zh-CN"/>
        </w:rPr>
        <w:t>竞标</w:t>
      </w:r>
      <w:r>
        <w:rPr>
          <w:rFonts w:hint="eastAsia" w:ascii="宋体" w:hAnsi="宋体"/>
          <w:snapToGrid w:val="0"/>
          <w:szCs w:val="21"/>
        </w:rPr>
        <w:t>人进一步澄清、说明或补正，直至满足评标委员会的要求。</w:t>
      </w:r>
    </w:p>
    <w:bookmarkEnd w:id="190"/>
    <w:bookmarkEnd w:id="191"/>
    <w:bookmarkEnd w:id="192"/>
    <w:bookmarkEnd w:id="193"/>
    <w:bookmarkEnd w:id="194"/>
    <w:bookmarkEnd w:id="195"/>
    <w:p>
      <w:pPr>
        <w:keepNext w:val="0"/>
        <w:keepLines w:val="0"/>
        <w:pageBreakBefore w:val="0"/>
        <w:widowControl w:val="0"/>
        <w:kinsoku/>
        <w:wordWrap/>
        <w:overflowPunct/>
        <w:topLinePunct w:val="0"/>
        <w:bidi w:val="0"/>
        <w:adjustRightInd w:val="0"/>
        <w:snapToGrid w:val="0"/>
        <w:spacing w:line="360" w:lineRule="auto"/>
        <w:ind w:firstLine="420" w:firstLineChars="200"/>
        <w:jc w:val="left"/>
        <w:textAlignment w:val="auto"/>
        <w:rPr>
          <w:rFonts w:ascii="宋体" w:hAnsi="宋体"/>
          <w:snapToGrid w:val="0"/>
          <w:szCs w:val="21"/>
        </w:rPr>
      </w:pPr>
      <w:bookmarkStart w:id="196" w:name="_Toc277082626"/>
      <w:bookmarkStart w:id="197" w:name="_Toc329358141"/>
      <w:bookmarkStart w:id="198" w:name="_Toc224103392"/>
      <w:bookmarkStart w:id="199" w:name="_Toc200513206"/>
      <w:bookmarkStart w:id="200" w:name="_Toc373263962"/>
      <w:bookmarkStart w:id="201" w:name="_Toc287607820"/>
      <w:bookmarkStart w:id="202" w:name="_Toc329281990"/>
      <w:r>
        <w:rPr>
          <w:rFonts w:hint="eastAsia" w:ascii="宋体" w:hAnsi="宋体"/>
          <w:snapToGrid w:val="0"/>
          <w:szCs w:val="21"/>
        </w:rPr>
        <w:t>3.4 评标结果</w:t>
      </w:r>
      <w:bookmarkEnd w:id="196"/>
      <w:bookmarkEnd w:id="197"/>
      <w:bookmarkEnd w:id="198"/>
      <w:bookmarkEnd w:id="199"/>
      <w:bookmarkEnd w:id="200"/>
      <w:bookmarkEnd w:id="201"/>
      <w:bookmarkEnd w:id="202"/>
    </w:p>
    <w:p>
      <w:pPr>
        <w:keepNext w:val="0"/>
        <w:keepLines w:val="0"/>
        <w:pageBreakBefore w:val="0"/>
        <w:widowControl w:val="0"/>
        <w:kinsoku/>
        <w:wordWrap/>
        <w:overflowPunct/>
        <w:topLinePunct w:val="0"/>
        <w:bidi w:val="0"/>
        <w:adjustRightInd w:val="0"/>
        <w:snapToGrid w:val="0"/>
        <w:spacing w:line="360" w:lineRule="auto"/>
        <w:ind w:firstLine="420" w:firstLineChars="200"/>
        <w:jc w:val="left"/>
        <w:textAlignment w:val="auto"/>
        <w:rPr>
          <w:rFonts w:ascii="宋体" w:hAnsi="宋体"/>
          <w:snapToGrid w:val="0"/>
          <w:szCs w:val="21"/>
        </w:rPr>
      </w:pPr>
      <w:r>
        <w:rPr>
          <w:rFonts w:hint="eastAsia" w:ascii="宋体" w:hAnsi="宋体"/>
          <w:snapToGrid w:val="0"/>
          <w:szCs w:val="21"/>
        </w:rPr>
        <w:t>3.4.1 除第二章“</w:t>
      </w:r>
      <w:r>
        <w:rPr>
          <w:rFonts w:hint="eastAsia" w:ascii="宋体" w:hAnsi="宋体"/>
          <w:snapToGrid w:val="0"/>
          <w:szCs w:val="21"/>
          <w:lang w:eastAsia="zh-CN"/>
        </w:rPr>
        <w:t>竞标</w:t>
      </w:r>
      <w:r>
        <w:rPr>
          <w:rFonts w:hint="eastAsia" w:ascii="宋体" w:hAnsi="宋体"/>
          <w:snapToGrid w:val="0"/>
          <w:szCs w:val="21"/>
        </w:rPr>
        <w:t>人须知”前附表授权直接确定中标人外，评标委员会按照</w:t>
      </w:r>
      <w:r>
        <w:rPr>
          <w:rFonts w:hint="eastAsia" w:ascii="宋体" w:hAnsi="宋体"/>
          <w:snapToGrid w:val="0"/>
          <w:szCs w:val="21"/>
          <w:lang w:eastAsia="zh-CN"/>
        </w:rPr>
        <w:t>竞标</w:t>
      </w:r>
      <w:r>
        <w:rPr>
          <w:rFonts w:hint="eastAsia" w:ascii="宋体" w:hAnsi="宋体"/>
          <w:snapToGrid w:val="0"/>
          <w:szCs w:val="21"/>
        </w:rPr>
        <w:t>人得分由高到低的顺序推荐中标候选人（三名）。</w:t>
      </w:r>
    </w:p>
    <w:p>
      <w:pPr>
        <w:keepNext w:val="0"/>
        <w:keepLines w:val="0"/>
        <w:pageBreakBefore w:val="0"/>
        <w:widowControl w:val="0"/>
        <w:kinsoku/>
        <w:wordWrap/>
        <w:overflowPunct/>
        <w:topLinePunct w:val="0"/>
        <w:bidi w:val="0"/>
        <w:adjustRightInd w:val="0"/>
        <w:snapToGrid w:val="0"/>
        <w:spacing w:line="360" w:lineRule="auto"/>
        <w:ind w:firstLine="420" w:firstLineChars="200"/>
        <w:jc w:val="left"/>
        <w:textAlignment w:val="auto"/>
        <w:rPr>
          <w:rFonts w:ascii="宋体" w:hAnsi="宋体"/>
          <w:snapToGrid w:val="0"/>
          <w:szCs w:val="21"/>
        </w:rPr>
      </w:pPr>
      <w:r>
        <w:rPr>
          <w:rFonts w:hint="eastAsia" w:ascii="宋体" w:hAnsi="宋体"/>
          <w:snapToGrid w:val="0"/>
          <w:szCs w:val="21"/>
        </w:rPr>
        <w:t>3.4.2 评标委员会完成评标后，应当向比选人提交书面评标报告。</w:t>
      </w:r>
    </w:p>
    <w:p>
      <w:pPr>
        <w:keepNext w:val="0"/>
        <w:keepLines w:val="0"/>
        <w:pageBreakBefore w:val="0"/>
        <w:widowControl w:val="0"/>
        <w:kinsoku/>
        <w:wordWrap/>
        <w:overflowPunct/>
        <w:topLinePunct w:val="0"/>
        <w:bidi w:val="0"/>
        <w:snapToGrid w:val="0"/>
        <w:spacing w:line="360" w:lineRule="auto"/>
        <w:ind w:firstLine="420" w:firstLineChars="200"/>
        <w:jc w:val="left"/>
        <w:textAlignment w:val="auto"/>
        <w:rPr>
          <w:rFonts w:ascii="宋体" w:hAnsi="宋体"/>
        </w:rPr>
      </w:pPr>
      <w:r>
        <w:rPr>
          <w:rFonts w:hint="eastAsia" w:ascii="宋体" w:hAnsi="宋体"/>
          <w:snapToGrid w:val="0"/>
          <w:szCs w:val="21"/>
        </w:rPr>
        <w:t>3.4.3 如经过对所有</w:t>
      </w:r>
      <w:r>
        <w:rPr>
          <w:rFonts w:hint="eastAsia" w:ascii="宋体" w:hAnsi="宋体"/>
          <w:snapToGrid w:val="0"/>
          <w:szCs w:val="21"/>
          <w:lang w:eastAsia="zh-CN"/>
        </w:rPr>
        <w:t>竞标</w:t>
      </w:r>
      <w:r>
        <w:rPr>
          <w:rFonts w:hint="eastAsia" w:ascii="宋体" w:hAnsi="宋体"/>
          <w:snapToGrid w:val="0"/>
          <w:szCs w:val="21"/>
        </w:rPr>
        <w:t>人的投标文件进行评审，有效投标不足三个且竞标报价明显缺乏竞争的，评标委员会可以否决全部竞标。</w:t>
      </w:r>
      <w:bookmarkEnd w:id="158"/>
      <w:bookmarkEnd w:id="159"/>
    </w:p>
    <w:p>
      <w:pPr>
        <w:spacing w:line="360" w:lineRule="auto"/>
        <w:ind w:firstLine="420" w:firstLineChars="200"/>
        <w:jc w:val="left"/>
        <w:rPr>
          <w:rFonts w:ascii="宋体" w:hAnsi="宋体" w:cs="宋体"/>
          <w:szCs w:val="21"/>
        </w:rPr>
      </w:pPr>
    </w:p>
    <w:p>
      <w:pPr>
        <w:pStyle w:val="33"/>
        <w:spacing w:line="360" w:lineRule="auto"/>
        <w:rPr>
          <w:rFonts w:ascii="宋体" w:hAnsi="宋体"/>
          <w:b/>
          <w:sz w:val="28"/>
          <w:szCs w:val="28"/>
          <w:u w:val="none"/>
          <w:lang w:eastAsia="zh-CN"/>
        </w:rPr>
      </w:pPr>
      <w:r>
        <w:rPr>
          <w:rFonts w:ascii="宋体" w:hAnsi="宋体" w:cs="宋体"/>
          <w:szCs w:val="21"/>
          <w:lang w:eastAsia="zh-CN"/>
        </w:rPr>
        <w:br w:type="page"/>
      </w:r>
      <w:r>
        <w:rPr>
          <w:rFonts w:ascii="宋体" w:hAnsi="宋体"/>
          <w:b/>
          <w:sz w:val="28"/>
          <w:szCs w:val="28"/>
          <w:u w:val="none"/>
          <w:lang w:eastAsia="zh-CN"/>
        </w:rPr>
        <w:t>附件A：综合评估法否决投标情况一览表</w:t>
      </w:r>
    </w:p>
    <w:p>
      <w:pPr>
        <w:pStyle w:val="33"/>
        <w:spacing w:line="360" w:lineRule="auto"/>
        <w:ind w:firstLine="420" w:firstLineChars="200"/>
        <w:jc w:val="both"/>
        <w:rPr>
          <w:rFonts w:ascii="宋体" w:hAnsi="宋体"/>
          <w:sz w:val="21"/>
          <w:szCs w:val="21"/>
          <w:u w:val="none"/>
          <w:lang w:eastAsia="zh-CN"/>
        </w:rPr>
      </w:pPr>
      <w:r>
        <w:rPr>
          <w:rFonts w:ascii="宋体" w:hAnsi="宋体"/>
          <w:sz w:val="21"/>
          <w:szCs w:val="21"/>
          <w:u w:val="none"/>
          <w:lang w:eastAsia="zh-CN"/>
        </w:rPr>
        <w:t>一览表中</w:t>
      </w:r>
      <w:r>
        <w:rPr>
          <w:rFonts w:hint="eastAsia" w:ascii="宋体" w:hAnsi="宋体"/>
          <w:sz w:val="21"/>
          <w:szCs w:val="21"/>
          <w:u w:val="none"/>
          <w:lang w:eastAsia="zh-CN"/>
        </w:rPr>
        <w:t>竞标</w:t>
      </w:r>
      <w:r>
        <w:rPr>
          <w:rFonts w:ascii="宋体" w:hAnsi="宋体"/>
          <w:sz w:val="21"/>
          <w:szCs w:val="21"/>
          <w:u w:val="none"/>
          <w:lang w:eastAsia="zh-CN"/>
        </w:rPr>
        <w:t>人有下列情形之一的，其</w:t>
      </w:r>
      <w:r>
        <w:rPr>
          <w:rFonts w:hint="eastAsia" w:ascii="宋体" w:hAnsi="宋体"/>
          <w:sz w:val="21"/>
          <w:szCs w:val="21"/>
          <w:u w:val="none"/>
          <w:lang w:eastAsia="zh-CN"/>
        </w:rPr>
        <w:t>竞标</w:t>
      </w:r>
      <w:r>
        <w:rPr>
          <w:rFonts w:ascii="宋体" w:hAnsi="宋体"/>
          <w:sz w:val="21"/>
          <w:szCs w:val="21"/>
          <w:u w:val="none"/>
          <w:lang w:eastAsia="zh-CN"/>
        </w:rPr>
        <w:t>作否决</w:t>
      </w:r>
      <w:r>
        <w:rPr>
          <w:rFonts w:hint="eastAsia" w:ascii="宋体" w:hAnsi="宋体"/>
          <w:sz w:val="21"/>
          <w:szCs w:val="21"/>
          <w:u w:val="none"/>
          <w:lang w:eastAsia="zh-CN"/>
        </w:rPr>
        <w:t>竞标</w:t>
      </w:r>
      <w:r>
        <w:rPr>
          <w:rFonts w:ascii="宋体" w:hAnsi="宋体"/>
          <w:sz w:val="21"/>
          <w:szCs w:val="21"/>
          <w:u w:val="none"/>
          <w:lang w:eastAsia="zh-CN"/>
        </w:rPr>
        <w:t>处理，否决</w:t>
      </w:r>
      <w:r>
        <w:rPr>
          <w:rFonts w:hint="eastAsia" w:ascii="宋体" w:hAnsi="宋体"/>
          <w:sz w:val="21"/>
          <w:szCs w:val="21"/>
          <w:u w:val="none"/>
          <w:lang w:eastAsia="zh-CN"/>
        </w:rPr>
        <w:t>竞标</w:t>
      </w:r>
      <w:r>
        <w:rPr>
          <w:rFonts w:ascii="宋体" w:hAnsi="宋体"/>
          <w:sz w:val="21"/>
          <w:szCs w:val="21"/>
          <w:u w:val="none"/>
          <w:lang w:eastAsia="zh-CN"/>
        </w:rPr>
        <w:t>条件之外的评标委员会不得判为重大偏差</w:t>
      </w:r>
      <w:r>
        <w:rPr>
          <w:rFonts w:hint="eastAsia" w:ascii="宋体" w:hAnsi="宋体"/>
          <w:sz w:val="21"/>
          <w:szCs w:val="21"/>
          <w:u w:val="none"/>
          <w:lang w:eastAsia="zh-CN"/>
        </w:rPr>
        <w:t>而否决竞标人竞标文件</w:t>
      </w:r>
      <w:r>
        <w:rPr>
          <w:rFonts w:ascii="宋体" w:hAnsi="宋体"/>
          <w:sz w:val="21"/>
          <w:szCs w:val="21"/>
          <w:u w:val="none"/>
          <w:lang w:eastAsia="zh-CN"/>
        </w:rPr>
        <w:t>。</w:t>
      </w:r>
    </w:p>
    <w:tbl>
      <w:tblPr>
        <w:tblStyle w:val="45"/>
        <w:tblW w:w="9469"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
      <w:tblGrid>
        <w:gridCol w:w="1237"/>
        <w:gridCol w:w="1899"/>
        <w:gridCol w:w="6333"/>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Align w:val="center"/>
          </w:tcPr>
          <w:p>
            <w:pPr>
              <w:spacing w:line="400" w:lineRule="exact"/>
              <w:jc w:val="center"/>
              <w:rPr>
                <w:rFonts w:ascii="宋体" w:hAnsi="宋体"/>
                <w:b/>
                <w:szCs w:val="21"/>
              </w:rPr>
            </w:pPr>
            <w:r>
              <w:rPr>
                <w:rFonts w:ascii="宋体" w:hAnsi="宋体"/>
                <w:b/>
                <w:szCs w:val="21"/>
              </w:rPr>
              <w:t>章节号</w:t>
            </w:r>
          </w:p>
        </w:tc>
        <w:tc>
          <w:tcPr>
            <w:tcW w:w="1899" w:type="dxa"/>
            <w:vAlign w:val="center"/>
          </w:tcPr>
          <w:p>
            <w:pPr>
              <w:spacing w:line="400" w:lineRule="exact"/>
              <w:jc w:val="center"/>
              <w:rPr>
                <w:rFonts w:ascii="宋体" w:hAnsi="宋体"/>
                <w:b/>
                <w:szCs w:val="21"/>
              </w:rPr>
            </w:pPr>
            <w:r>
              <w:rPr>
                <w:rFonts w:ascii="宋体" w:hAnsi="宋体"/>
                <w:b/>
                <w:szCs w:val="21"/>
              </w:rPr>
              <w:t>条款名称</w:t>
            </w:r>
          </w:p>
        </w:tc>
        <w:tc>
          <w:tcPr>
            <w:tcW w:w="6333" w:type="dxa"/>
            <w:vAlign w:val="center"/>
          </w:tcPr>
          <w:p>
            <w:pPr>
              <w:spacing w:line="400" w:lineRule="exact"/>
              <w:jc w:val="center"/>
              <w:rPr>
                <w:rFonts w:ascii="宋体" w:hAnsi="宋体"/>
                <w:b/>
                <w:szCs w:val="21"/>
              </w:rPr>
            </w:pPr>
            <w:r>
              <w:rPr>
                <w:rFonts w:ascii="宋体" w:hAnsi="宋体"/>
                <w:b/>
                <w:szCs w:val="21"/>
              </w:rPr>
              <w:t>否决投标条件</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237" w:type="dxa"/>
            <w:vMerge w:val="restart"/>
            <w:vAlign w:val="center"/>
          </w:tcPr>
          <w:p>
            <w:pPr>
              <w:spacing w:line="400" w:lineRule="exact"/>
              <w:jc w:val="center"/>
              <w:rPr>
                <w:rFonts w:ascii="宋体" w:hAnsi="宋体"/>
                <w:szCs w:val="21"/>
              </w:rPr>
            </w:pPr>
          </w:p>
        </w:tc>
        <w:tc>
          <w:tcPr>
            <w:tcW w:w="1899" w:type="dxa"/>
            <w:vMerge w:val="restart"/>
            <w:vAlign w:val="center"/>
          </w:tcPr>
          <w:p>
            <w:pPr>
              <w:spacing w:line="400" w:lineRule="exact"/>
              <w:jc w:val="center"/>
              <w:rPr>
                <w:rFonts w:ascii="宋体" w:hAnsi="宋体"/>
                <w:szCs w:val="21"/>
              </w:rPr>
            </w:pPr>
            <w:r>
              <w:rPr>
                <w:rFonts w:hint="eastAsia" w:ascii="宋体" w:hAnsi="宋体"/>
                <w:szCs w:val="21"/>
              </w:rPr>
              <w:t>资格评审</w:t>
            </w:r>
          </w:p>
        </w:tc>
        <w:tc>
          <w:tcPr>
            <w:tcW w:w="6333" w:type="dxa"/>
            <w:vAlign w:val="center"/>
          </w:tcPr>
          <w:p>
            <w:pPr>
              <w:spacing w:line="400" w:lineRule="exact"/>
              <w:ind w:firstLine="420" w:firstLineChars="200"/>
              <w:jc w:val="left"/>
              <w:rPr>
                <w:rFonts w:ascii="宋体" w:hAnsi="宋体"/>
                <w:szCs w:val="21"/>
              </w:rPr>
            </w:pPr>
            <w:r>
              <w:rPr>
                <w:rFonts w:hint="eastAsia" w:ascii="宋体" w:hAnsi="宋体"/>
                <w:szCs w:val="21"/>
              </w:rPr>
              <w:t>A-1</w:t>
            </w:r>
            <w:r>
              <w:rPr>
                <w:rFonts w:hint="eastAsia" w:ascii="宋体" w:hAnsi="宋体"/>
                <w:szCs w:val="21"/>
                <w:lang w:eastAsia="zh-CN"/>
              </w:rPr>
              <w:t>竞标</w:t>
            </w:r>
            <w:r>
              <w:rPr>
                <w:rFonts w:hint="eastAsia" w:ascii="宋体" w:hAnsi="宋体"/>
                <w:szCs w:val="21"/>
              </w:rPr>
              <w:t>人的资质条件、营业执照及安全生产条件须满足</w:t>
            </w:r>
            <w:r>
              <w:rPr>
                <w:rFonts w:hint="eastAsia" w:ascii="宋体" w:hAnsi="宋体"/>
                <w:szCs w:val="21"/>
                <w:lang w:eastAsia="zh-CN"/>
              </w:rPr>
              <w:t>竞标</w:t>
            </w:r>
            <w:r>
              <w:rPr>
                <w:rFonts w:hint="eastAsia" w:ascii="宋体" w:hAnsi="宋体"/>
                <w:szCs w:val="21"/>
              </w:rPr>
              <w:t>人须知前附表1.4.1项第1条的要求，否则由评标委员会作否决竞标处理。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237" w:type="dxa"/>
            <w:vMerge w:val="continue"/>
            <w:vAlign w:val="center"/>
          </w:tcPr>
          <w:p>
            <w:pPr>
              <w:spacing w:line="400" w:lineRule="exact"/>
              <w:jc w:val="center"/>
              <w:rPr>
                <w:rFonts w:ascii="宋体" w:hAnsi="宋体"/>
                <w:szCs w:val="21"/>
              </w:rPr>
            </w:pPr>
          </w:p>
        </w:tc>
        <w:tc>
          <w:tcPr>
            <w:tcW w:w="1899" w:type="dxa"/>
            <w:vMerge w:val="continue"/>
            <w:vAlign w:val="center"/>
          </w:tcPr>
          <w:p>
            <w:pPr>
              <w:spacing w:line="400" w:lineRule="exact"/>
              <w:jc w:val="center"/>
              <w:rPr>
                <w:rFonts w:ascii="宋体" w:hAnsi="宋体"/>
                <w:szCs w:val="21"/>
              </w:rPr>
            </w:pPr>
          </w:p>
        </w:tc>
        <w:tc>
          <w:tcPr>
            <w:tcW w:w="6333" w:type="dxa"/>
            <w:vAlign w:val="center"/>
          </w:tcPr>
          <w:p>
            <w:pPr>
              <w:spacing w:line="400" w:lineRule="exact"/>
              <w:ind w:firstLine="420" w:firstLineChars="200"/>
              <w:jc w:val="left"/>
              <w:rPr>
                <w:rFonts w:ascii="宋体" w:hAnsi="宋体"/>
                <w:szCs w:val="21"/>
              </w:rPr>
            </w:pPr>
            <w:r>
              <w:rPr>
                <w:rFonts w:hint="eastAsia" w:ascii="宋体" w:hAnsi="宋体"/>
                <w:szCs w:val="21"/>
              </w:rPr>
              <w:t>A-2</w:t>
            </w:r>
            <w:r>
              <w:rPr>
                <w:rFonts w:hint="eastAsia" w:ascii="宋体" w:hAnsi="宋体"/>
                <w:szCs w:val="21"/>
                <w:lang w:eastAsia="zh-CN"/>
              </w:rPr>
              <w:t>竞标</w:t>
            </w:r>
            <w:r>
              <w:rPr>
                <w:rFonts w:hint="eastAsia" w:ascii="宋体" w:hAnsi="宋体"/>
                <w:szCs w:val="21"/>
              </w:rPr>
              <w:t>人的财务须满足</w:t>
            </w:r>
            <w:r>
              <w:rPr>
                <w:rFonts w:hint="eastAsia" w:ascii="宋体" w:hAnsi="宋体"/>
                <w:szCs w:val="21"/>
                <w:lang w:eastAsia="zh-CN"/>
              </w:rPr>
              <w:t>竞标</w:t>
            </w:r>
            <w:r>
              <w:rPr>
                <w:rFonts w:hint="eastAsia" w:ascii="宋体" w:hAnsi="宋体"/>
                <w:szCs w:val="21"/>
              </w:rPr>
              <w:t>人须知前附表第1.4.1项第2条的要求，否则由评标委员会作否决竞标处理。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237" w:type="dxa"/>
            <w:vMerge w:val="continue"/>
            <w:vAlign w:val="center"/>
          </w:tcPr>
          <w:p>
            <w:pPr>
              <w:spacing w:line="400" w:lineRule="exact"/>
              <w:jc w:val="center"/>
              <w:rPr>
                <w:rFonts w:ascii="宋体" w:hAnsi="宋体"/>
                <w:szCs w:val="21"/>
              </w:rPr>
            </w:pPr>
          </w:p>
        </w:tc>
        <w:tc>
          <w:tcPr>
            <w:tcW w:w="1899" w:type="dxa"/>
            <w:vMerge w:val="continue"/>
            <w:vAlign w:val="center"/>
          </w:tcPr>
          <w:p>
            <w:pPr>
              <w:spacing w:line="400" w:lineRule="exact"/>
              <w:jc w:val="center"/>
              <w:rPr>
                <w:rFonts w:ascii="宋体" w:hAnsi="宋体"/>
                <w:szCs w:val="21"/>
              </w:rPr>
            </w:pPr>
          </w:p>
        </w:tc>
        <w:tc>
          <w:tcPr>
            <w:tcW w:w="6333" w:type="dxa"/>
            <w:vAlign w:val="center"/>
          </w:tcPr>
          <w:p>
            <w:pPr>
              <w:spacing w:line="400" w:lineRule="exact"/>
              <w:ind w:firstLine="420" w:firstLineChars="200"/>
              <w:jc w:val="left"/>
              <w:rPr>
                <w:rFonts w:ascii="宋体" w:hAnsi="宋体"/>
                <w:szCs w:val="21"/>
              </w:rPr>
            </w:pPr>
            <w:r>
              <w:rPr>
                <w:rFonts w:hint="eastAsia" w:ascii="宋体" w:hAnsi="宋体"/>
                <w:szCs w:val="21"/>
              </w:rPr>
              <w:t>A-3</w:t>
            </w:r>
            <w:r>
              <w:rPr>
                <w:rFonts w:hint="eastAsia" w:ascii="宋体" w:hAnsi="宋体"/>
                <w:szCs w:val="21"/>
                <w:lang w:eastAsia="zh-CN"/>
              </w:rPr>
              <w:t>竞标</w:t>
            </w:r>
            <w:r>
              <w:rPr>
                <w:rFonts w:hint="eastAsia" w:ascii="宋体" w:hAnsi="宋体"/>
                <w:szCs w:val="21"/>
              </w:rPr>
              <w:t>人的业绩须满足</w:t>
            </w:r>
            <w:r>
              <w:rPr>
                <w:rFonts w:hint="eastAsia" w:ascii="宋体" w:hAnsi="宋体"/>
                <w:szCs w:val="21"/>
                <w:lang w:eastAsia="zh-CN"/>
              </w:rPr>
              <w:t>竞标</w:t>
            </w:r>
            <w:r>
              <w:rPr>
                <w:rFonts w:hint="eastAsia" w:ascii="宋体" w:hAnsi="宋体"/>
                <w:szCs w:val="21"/>
              </w:rPr>
              <w:t>人须知前附表第1.4.1项第3条的要求，否则由评标委员会作否决竞标处理。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237" w:type="dxa"/>
            <w:vMerge w:val="continue"/>
            <w:vAlign w:val="center"/>
          </w:tcPr>
          <w:p>
            <w:pPr>
              <w:spacing w:line="400" w:lineRule="exact"/>
              <w:jc w:val="center"/>
              <w:rPr>
                <w:rFonts w:ascii="宋体" w:hAnsi="宋体"/>
                <w:szCs w:val="21"/>
              </w:rPr>
            </w:pPr>
          </w:p>
        </w:tc>
        <w:tc>
          <w:tcPr>
            <w:tcW w:w="1899" w:type="dxa"/>
            <w:vMerge w:val="continue"/>
            <w:vAlign w:val="center"/>
          </w:tcPr>
          <w:p>
            <w:pPr>
              <w:spacing w:line="400" w:lineRule="exact"/>
              <w:jc w:val="center"/>
              <w:rPr>
                <w:rFonts w:ascii="宋体" w:hAnsi="宋体"/>
                <w:szCs w:val="21"/>
              </w:rPr>
            </w:pPr>
          </w:p>
        </w:tc>
        <w:tc>
          <w:tcPr>
            <w:tcW w:w="6333" w:type="dxa"/>
            <w:vAlign w:val="center"/>
          </w:tcPr>
          <w:p>
            <w:pPr>
              <w:spacing w:line="400" w:lineRule="exact"/>
              <w:ind w:firstLine="420" w:firstLineChars="200"/>
              <w:jc w:val="left"/>
              <w:rPr>
                <w:rFonts w:ascii="宋体" w:hAnsi="宋体"/>
                <w:szCs w:val="21"/>
              </w:rPr>
            </w:pPr>
            <w:r>
              <w:rPr>
                <w:rFonts w:hint="eastAsia" w:ascii="宋体" w:hAnsi="宋体"/>
                <w:szCs w:val="21"/>
              </w:rPr>
              <w:t>A-4</w:t>
            </w:r>
            <w:r>
              <w:rPr>
                <w:rFonts w:hint="eastAsia" w:ascii="宋体" w:hAnsi="宋体"/>
                <w:szCs w:val="21"/>
                <w:lang w:eastAsia="zh-CN"/>
              </w:rPr>
              <w:t>竞标</w:t>
            </w:r>
            <w:r>
              <w:rPr>
                <w:rFonts w:hint="eastAsia" w:ascii="宋体" w:hAnsi="宋体"/>
                <w:szCs w:val="21"/>
              </w:rPr>
              <w:t>人的</w:t>
            </w:r>
            <w:r>
              <w:rPr>
                <w:rFonts w:hint="eastAsia" w:ascii="宋体" w:hAnsi="宋体"/>
                <w:szCs w:val="21"/>
                <w:lang w:eastAsia="zh-CN"/>
              </w:rPr>
              <w:t>竞标</w:t>
            </w:r>
            <w:r>
              <w:rPr>
                <w:rFonts w:hint="eastAsia" w:ascii="宋体" w:hAnsi="宋体"/>
                <w:szCs w:val="21"/>
              </w:rPr>
              <w:t>截止日竞标资格情况须满足</w:t>
            </w:r>
            <w:r>
              <w:rPr>
                <w:rFonts w:hint="eastAsia" w:ascii="宋体" w:hAnsi="宋体"/>
                <w:szCs w:val="21"/>
                <w:lang w:eastAsia="zh-CN"/>
              </w:rPr>
              <w:t>竞标</w:t>
            </w:r>
            <w:r>
              <w:rPr>
                <w:rFonts w:hint="eastAsia" w:ascii="宋体" w:hAnsi="宋体"/>
                <w:szCs w:val="21"/>
              </w:rPr>
              <w:t>人须知前附表第1.4.1项第4条的要求，否则由评标委员会作否决竞标处理。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237" w:type="dxa"/>
            <w:vMerge w:val="continue"/>
            <w:vAlign w:val="center"/>
          </w:tcPr>
          <w:p>
            <w:pPr>
              <w:spacing w:line="400" w:lineRule="exact"/>
              <w:jc w:val="center"/>
              <w:rPr>
                <w:rFonts w:ascii="宋体" w:hAnsi="宋体"/>
                <w:szCs w:val="21"/>
              </w:rPr>
            </w:pPr>
          </w:p>
        </w:tc>
        <w:tc>
          <w:tcPr>
            <w:tcW w:w="1899" w:type="dxa"/>
            <w:vMerge w:val="continue"/>
            <w:vAlign w:val="center"/>
          </w:tcPr>
          <w:p>
            <w:pPr>
              <w:spacing w:line="400" w:lineRule="exact"/>
              <w:jc w:val="center"/>
              <w:rPr>
                <w:rFonts w:ascii="宋体" w:hAnsi="宋体"/>
                <w:szCs w:val="21"/>
              </w:rPr>
            </w:pPr>
          </w:p>
        </w:tc>
        <w:tc>
          <w:tcPr>
            <w:tcW w:w="6333" w:type="dxa"/>
            <w:vAlign w:val="center"/>
          </w:tcPr>
          <w:p>
            <w:pPr>
              <w:spacing w:line="400" w:lineRule="exact"/>
              <w:ind w:firstLine="420" w:firstLineChars="200"/>
              <w:jc w:val="left"/>
              <w:rPr>
                <w:rFonts w:ascii="宋体" w:hAnsi="宋体"/>
                <w:szCs w:val="21"/>
              </w:rPr>
            </w:pPr>
            <w:r>
              <w:rPr>
                <w:rFonts w:hint="eastAsia" w:ascii="宋体" w:hAnsi="宋体"/>
                <w:szCs w:val="21"/>
              </w:rPr>
              <w:t>A-5</w:t>
            </w:r>
            <w:r>
              <w:rPr>
                <w:rFonts w:hint="eastAsia" w:ascii="宋体" w:hAnsi="宋体"/>
                <w:szCs w:val="21"/>
                <w:lang w:eastAsia="zh-CN"/>
              </w:rPr>
              <w:t>竞标</w:t>
            </w:r>
            <w:r>
              <w:rPr>
                <w:rFonts w:hint="eastAsia" w:ascii="宋体" w:hAnsi="宋体"/>
                <w:szCs w:val="21"/>
              </w:rPr>
              <w:t>人的项目经理资格须满足</w:t>
            </w:r>
            <w:r>
              <w:rPr>
                <w:rFonts w:hint="eastAsia" w:ascii="宋体" w:hAnsi="宋体"/>
                <w:szCs w:val="21"/>
                <w:lang w:eastAsia="zh-CN"/>
              </w:rPr>
              <w:t>竞标</w:t>
            </w:r>
            <w:r>
              <w:rPr>
                <w:rFonts w:hint="eastAsia" w:ascii="宋体" w:hAnsi="宋体"/>
                <w:szCs w:val="21"/>
              </w:rPr>
              <w:t>人须知前附表第1.4.1项第5条的要求，否则由评标委员会作否决竞标处理。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764" w:hRule="atLeast"/>
          <w:tblHeader/>
          <w:jc w:val="center"/>
        </w:trPr>
        <w:tc>
          <w:tcPr>
            <w:tcW w:w="1237" w:type="dxa"/>
            <w:vMerge w:val="continue"/>
            <w:vAlign w:val="center"/>
          </w:tcPr>
          <w:p>
            <w:pPr>
              <w:spacing w:line="400" w:lineRule="exact"/>
              <w:jc w:val="center"/>
              <w:rPr>
                <w:rFonts w:ascii="宋体" w:hAnsi="宋体"/>
                <w:szCs w:val="21"/>
              </w:rPr>
            </w:pPr>
          </w:p>
        </w:tc>
        <w:tc>
          <w:tcPr>
            <w:tcW w:w="1899" w:type="dxa"/>
            <w:vMerge w:val="continue"/>
            <w:vAlign w:val="center"/>
          </w:tcPr>
          <w:p>
            <w:pPr>
              <w:spacing w:line="400" w:lineRule="exact"/>
              <w:jc w:val="center"/>
              <w:rPr>
                <w:rFonts w:ascii="宋体" w:hAnsi="宋体"/>
                <w:szCs w:val="21"/>
              </w:rPr>
            </w:pPr>
          </w:p>
        </w:tc>
        <w:tc>
          <w:tcPr>
            <w:tcW w:w="6333" w:type="dxa"/>
            <w:vAlign w:val="center"/>
          </w:tcPr>
          <w:p>
            <w:pPr>
              <w:spacing w:line="400" w:lineRule="exact"/>
              <w:ind w:firstLine="420" w:firstLineChars="200"/>
              <w:jc w:val="left"/>
              <w:rPr>
                <w:rFonts w:ascii="宋体" w:hAnsi="宋体"/>
                <w:szCs w:val="21"/>
              </w:rPr>
            </w:pPr>
            <w:r>
              <w:rPr>
                <w:rFonts w:hint="eastAsia" w:ascii="宋体" w:hAnsi="宋体"/>
                <w:szCs w:val="21"/>
              </w:rPr>
              <w:t>A-6</w:t>
            </w:r>
            <w:r>
              <w:rPr>
                <w:rFonts w:hint="eastAsia" w:ascii="宋体" w:hAnsi="宋体"/>
                <w:szCs w:val="21"/>
                <w:lang w:eastAsia="zh-CN"/>
              </w:rPr>
              <w:t>竞标</w:t>
            </w:r>
            <w:r>
              <w:rPr>
                <w:rFonts w:hint="eastAsia" w:ascii="宋体" w:hAnsi="宋体"/>
                <w:szCs w:val="21"/>
              </w:rPr>
              <w:t>人的其他要求须满足</w:t>
            </w:r>
            <w:r>
              <w:rPr>
                <w:rFonts w:hint="eastAsia" w:ascii="宋体" w:hAnsi="宋体"/>
                <w:szCs w:val="21"/>
                <w:lang w:eastAsia="zh-CN"/>
              </w:rPr>
              <w:t>竞标</w:t>
            </w:r>
            <w:r>
              <w:rPr>
                <w:rFonts w:hint="eastAsia" w:ascii="宋体" w:hAnsi="宋体"/>
                <w:szCs w:val="21"/>
              </w:rPr>
              <w:t>人须知前附表第1.4.1项第6条的要求，否则由评标委员会作否决竞标处理。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vAlign w:val="center"/>
          </w:tcPr>
          <w:p>
            <w:pPr>
              <w:spacing w:line="400" w:lineRule="exact"/>
              <w:jc w:val="center"/>
              <w:rPr>
                <w:rFonts w:ascii="宋体" w:hAnsi="宋体"/>
                <w:szCs w:val="21"/>
              </w:rPr>
            </w:pPr>
          </w:p>
        </w:tc>
        <w:tc>
          <w:tcPr>
            <w:tcW w:w="1899" w:type="dxa"/>
            <w:vMerge w:val="restart"/>
            <w:vAlign w:val="center"/>
          </w:tcPr>
          <w:p>
            <w:pPr>
              <w:spacing w:line="400" w:lineRule="exact"/>
              <w:jc w:val="center"/>
              <w:rPr>
                <w:rFonts w:ascii="宋体" w:hAnsi="宋体"/>
                <w:szCs w:val="21"/>
              </w:rPr>
            </w:pPr>
            <w:r>
              <w:rPr>
                <w:rFonts w:hint="eastAsia" w:ascii="宋体" w:hAnsi="宋体"/>
                <w:szCs w:val="21"/>
              </w:rPr>
              <w:t>形式评审</w:t>
            </w:r>
          </w:p>
        </w:tc>
        <w:tc>
          <w:tcPr>
            <w:tcW w:w="6333" w:type="dxa"/>
          </w:tcPr>
          <w:p>
            <w:pPr>
              <w:spacing w:line="400" w:lineRule="exact"/>
              <w:ind w:firstLine="420" w:firstLineChars="200"/>
              <w:jc w:val="left"/>
              <w:rPr>
                <w:rFonts w:ascii="宋体" w:hAnsi="宋体"/>
                <w:szCs w:val="21"/>
              </w:rPr>
            </w:pPr>
            <w:r>
              <w:rPr>
                <w:rFonts w:hint="eastAsia" w:ascii="宋体" w:hAnsi="宋体"/>
                <w:szCs w:val="21"/>
              </w:rPr>
              <w:t>A-7</w:t>
            </w:r>
            <w:r>
              <w:rPr>
                <w:rFonts w:hint="eastAsia" w:ascii="宋体" w:hAnsi="宋体"/>
                <w:szCs w:val="21"/>
                <w:lang w:eastAsia="zh-CN"/>
              </w:rPr>
              <w:t>竞标</w:t>
            </w:r>
            <w:r>
              <w:rPr>
                <w:rFonts w:hint="eastAsia" w:ascii="宋体" w:hAnsi="宋体"/>
                <w:szCs w:val="21"/>
              </w:rPr>
              <w:t>人名称必须与营业执照、资质证书、安全生产许可证一致，依法变更名称的应提交相应证明材料，</w:t>
            </w:r>
            <w:r>
              <w:rPr>
                <w:rFonts w:ascii="宋体" w:hAnsi="宋体"/>
                <w:szCs w:val="21"/>
              </w:rPr>
              <w:t>否则</w:t>
            </w:r>
            <w:r>
              <w:rPr>
                <w:rFonts w:hint="eastAsia" w:ascii="宋体" w:hAnsi="宋体"/>
                <w:szCs w:val="21"/>
              </w:rPr>
              <w:t>由评标委员会</w:t>
            </w:r>
            <w:r>
              <w:rPr>
                <w:rFonts w:ascii="宋体" w:hAnsi="宋体"/>
                <w:szCs w:val="21"/>
              </w:rPr>
              <w:t>作否决</w:t>
            </w:r>
            <w:r>
              <w:rPr>
                <w:rFonts w:hint="eastAsia" w:ascii="宋体" w:hAnsi="宋体"/>
                <w:szCs w:val="21"/>
              </w:rPr>
              <w:t>竞标</w:t>
            </w:r>
            <w:r>
              <w:rPr>
                <w:rFonts w:ascii="宋体" w:hAnsi="宋体"/>
                <w:szCs w:val="21"/>
              </w:rPr>
              <w:t>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vAlign w:val="center"/>
          </w:tcPr>
          <w:p>
            <w:pPr>
              <w:spacing w:line="400" w:lineRule="exact"/>
              <w:jc w:val="center"/>
              <w:rPr>
                <w:rFonts w:ascii="宋体" w:hAnsi="宋体"/>
                <w:szCs w:val="21"/>
              </w:rPr>
            </w:pPr>
          </w:p>
        </w:tc>
        <w:tc>
          <w:tcPr>
            <w:tcW w:w="1899" w:type="dxa"/>
            <w:vMerge w:val="continue"/>
            <w:vAlign w:val="center"/>
          </w:tcPr>
          <w:p>
            <w:pPr>
              <w:spacing w:line="400" w:lineRule="exact"/>
              <w:jc w:val="center"/>
              <w:rPr>
                <w:rFonts w:ascii="宋体" w:hAnsi="宋体"/>
                <w:szCs w:val="21"/>
              </w:rPr>
            </w:pPr>
          </w:p>
        </w:tc>
        <w:tc>
          <w:tcPr>
            <w:tcW w:w="6333" w:type="dxa"/>
          </w:tcPr>
          <w:p>
            <w:pPr>
              <w:spacing w:line="400" w:lineRule="exact"/>
              <w:ind w:firstLine="420" w:firstLineChars="200"/>
              <w:jc w:val="left"/>
              <w:rPr>
                <w:rFonts w:ascii="宋体" w:hAnsi="宋体"/>
                <w:szCs w:val="21"/>
              </w:rPr>
            </w:pPr>
            <w:r>
              <w:rPr>
                <w:rFonts w:hint="eastAsia" w:ascii="宋体" w:hAnsi="宋体"/>
                <w:szCs w:val="21"/>
              </w:rPr>
              <w:t>A-8</w:t>
            </w:r>
            <w:r>
              <w:rPr>
                <w:rFonts w:hint="eastAsia" w:ascii="宋体" w:hAnsi="宋体"/>
                <w:szCs w:val="21"/>
                <w:lang w:eastAsia="zh-CN"/>
              </w:rPr>
              <w:t>竞标</w:t>
            </w:r>
            <w:r>
              <w:rPr>
                <w:rFonts w:hint="eastAsia" w:ascii="宋体" w:hAnsi="宋体"/>
                <w:szCs w:val="21"/>
              </w:rPr>
              <w:t>函格式规定签名、盖章的位置有法定代表人或其委托代理人签名（或盖章）、加盖单位法人章，否则由评标委员会作否决投标处理。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vAlign w:val="center"/>
          </w:tcPr>
          <w:p>
            <w:pPr>
              <w:spacing w:line="400" w:lineRule="exact"/>
              <w:jc w:val="center"/>
              <w:rPr>
                <w:rFonts w:ascii="宋体" w:hAnsi="宋体"/>
                <w:szCs w:val="21"/>
              </w:rPr>
            </w:pPr>
          </w:p>
        </w:tc>
        <w:tc>
          <w:tcPr>
            <w:tcW w:w="1899" w:type="dxa"/>
            <w:vMerge w:val="continue"/>
            <w:vAlign w:val="center"/>
          </w:tcPr>
          <w:p>
            <w:pPr>
              <w:spacing w:line="400" w:lineRule="exact"/>
              <w:jc w:val="center"/>
              <w:rPr>
                <w:rFonts w:ascii="宋体" w:hAnsi="宋体"/>
                <w:szCs w:val="21"/>
              </w:rPr>
            </w:pPr>
          </w:p>
        </w:tc>
        <w:tc>
          <w:tcPr>
            <w:tcW w:w="6333" w:type="dxa"/>
          </w:tcPr>
          <w:p>
            <w:pPr>
              <w:spacing w:line="400" w:lineRule="exact"/>
              <w:ind w:firstLine="420" w:firstLineChars="200"/>
              <w:jc w:val="left"/>
              <w:rPr>
                <w:rFonts w:ascii="宋体" w:hAnsi="宋体"/>
                <w:szCs w:val="21"/>
              </w:rPr>
            </w:pPr>
            <w:r>
              <w:rPr>
                <w:rFonts w:hint="eastAsia" w:ascii="宋体" w:hAnsi="宋体"/>
                <w:szCs w:val="21"/>
              </w:rPr>
              <w:t>A-9</w:t>
            </w:r>
            <w:r>
              <w:rPr>
                <w:rFonts w:hint="eastAsia" w:ascii="宋体" w:hAnsi="宋体"/>
                <w:szCs w:val="21"/>
                <w:lang w:eastAsia="zh-CN"/>
              </w:rPr>
              <w:t>竞标</w:t>
            </w:r>
            <w:r>
              <w:rPr>
                <w:rFonts w:hint="eastAsia" w:ascii="宋体" w:hAnsi="宋体"/>
                <w:szCs w:val="21"/>
              </w:rPr>
              <w:t>文件格式符合第二章“</w:t>
            </w:r>
            <w:r>
              <w:rPr>
                <w:rFonts w:hint="eastAsia" w:ascii="宋体" w:hAnsi="宋体"/>
                <w:szCs w:val="21"/>
                <w:lang w:eastAsia="zh-CN"/>
              </w:rPr>
              <w:t>竞标</w:t>
            </w:r>
            <w:r>
              <w:rPr>
                <w:rFonts w:hint="eastAsia" w:ascii="宋体" w:hAnsi="宋体"/>
                <w:szCs w:val="21"/>
              </w:rPr>
              <w:t>人须知”第3.7款的要求，否则由评标委员会作否决竞标处理。</w:t>
            </w:r>
          </w:p>
          <w:p>
            <w:pPr>
              <w:spacing w:line="400" w:lineRule="exact"/>
              <w:ind w:firstLine="420" w:firstLineChars="200"/>
              <w:jc w:val="left"/>
              <w:rPr>
                <w:rFonts w:ascii="宋体" w:hAnsi="宋体"/>
                <w:szCs w:val="21"/>
              </w:rPr>
            </w:pPr>
            <w:r>
              <w:rPr>
                <w:rFonts w:hint="eastAsia" w:ascii="宋体" w:hAnsi="宋体"/>
                <w:kern w:val="0"/>
                <w:szCs w:val="21"/>
              </w:rPr>
              <w:t>编制</w:t>
            </w:r>
            <w:r>
              <w:rPr>
                <w:rFonts w:hint="eastAsia" w:ascii="宋体" w:hAnsi="宋体"/>
                <w:szCs w:val="21"/>
                <w:lang w:eastAsia="zh-CN"/>
              </w:rPr>
              <w:t>竞标</w:t>
            </w:r>
            <w:r>
              <w:rPr>
                <w:rFonts w:hint="eastAsia" w:ascii="宋体" w:hAnsi="宋体"/>
                <w:kern w:val="0"/>
                <w:szCs w:val="21"/>
              </w:rPr>
              <w:t>文件时不得对第八章“</w:t>
            </w:r>
            <w:r>
              <w:rPr>
                <w:rFonts w:hint="eastAsia" w:ascii="宋体" w:hAnsi="宋体"/>
                <w:szCs w:val="21"/>
                <w:lang w:eastAsia="zh-CN"/>
              </w:rPr>
              <w:t>竞标</w:t>
            </w:r>
            <w:r>
              <w:rPr>
                <w:rFonts w:hint="eastAsia" w:ascii="宋体" w:hAnsi="宋体"/>
                <w:kern w:val="0"/>
                <w:szCs w:val="21"/>
              </w:rPr>
              <w:t>文件格式”的相应要素作实质性修改，否则由评标委员会作否决竞标处理。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vAlign w:val="center"/>
          </w:tcPr>
          <w:p>
            <w:pPr>
              <w:spacing w:line="400" w:lineRule="exact"/>
              <w:jc w:val="center"/>
              <w:rPr>
                <w:rFonts w:ascii="宋体" w:hAnsi="宋体"/>
                <w:szCs w:val="21"/>
              </w:rPr>
            </w:pPr>
          </w:p>
        </w:tc>
        <w:tc>
          <w:tcPr>
            <w:tcW w:w="1899" w:type="dxa"/>
            <w:vMerge w:val="continue"/>
            <w:vAlign w:val="center"/>
          </w:tcPr>
          <w:p>
            <w:pPr>
              <w:spacing w:line="400" w:lineRule="exact"/>
              <w:jc w:val="center"/>
              <w:rPr>
                <w:rFonts w:ascii="宋体" w:hAnsi="宋体"/>
                <w:szCs w:val="21"/>
              </w:rPr>
            </w:pPr>
          </w:p>
        </w:tc>
        <w:tc>
          <w:tcPr>
            <w:tcW w:w="6333" w:type="dxa"/>
          </w:tcPr>
          <w:p>
            <w:pPr>
              <w:autoSpaceDE w:val="0"/>
              <w:autoSpaceDN w:val="0"/>
              <w:adjustRightInd w:val="0"/>
              <w:snapToGrid w:val="0"/>
              <w:spacing w:line="400" w:lineRule="exact"/>
              <w:ind w:firstLine="420" w:firstLineChars="200"/>
              <w:jc w:val="left"/>
              <w:rPr>
                <w:rFonts w:ascii="宋体" w:hAnsi="宋体"/>
                <w:i/>
                <w:szCs w:val="21"/>
              </w:rPr>
            </w:pPr>
            <w:r>
              <w:rPr>
                <w:rFonts w:hint="eastAsia" w:ascii="宋体" w:hAnsi="宋体"/>
                <w:szCs w:val="21"/>
              </w:rPr>
              <w:t>A-10</w:t>
            </w:r>
            <w:r>
              <w:rPr>
                <w:rFonts w:hint="eastAsia" w:ascii="宋体" w:hAnsi="宋体"/>
                <w:szCs w:val="21"/>
                <w:lang w:eastAsia="zh-CN"/>
              </w:rPr>
              <w:t>竞标</w:t>
            </w:r>
            <w:r>
              <w:rPr>
                <w:rFonts w:hint="eastAsia" w:ascii="宋体" w:hAnsi="宋体"/>
                <w:szCs w:val="21"/>
              </w:rPr>
              <w:t>文件份数符合第二章“</w:t>
            </w:r>
            <w:r>
              <w:rPr>
                <w:rFonts w:hint="eastAsia" w:ascii="宋体" w:hAnsi="宋体"/>
                <w:szCs w:val="21"/>
                <w:lang w:eastAsia="zh-CN"/>
              </w:rPr>
              <w:t>竞标</w:t>
            </w:r>
            <w:r>
              <w:rPr>
                <w:rFonts w:hint="eastAsia" w:ascii="宋体" w:hAnsi="宋体"/>
                <w:szCs w:val="21"/>
              </w:rPr>
              <w:t>人须知”第3.7.4项的规定，</w:t>
            </w:r>
            <w:r>
              <w:rPr>
                <w:rFonts w:hint="eastAsia" w:ascii="宋体" w:hAnsi="宋体"/>
                <w:kern w:val="0"/>
                <w:szCs w:val="21"/>
              </w:rPr>
              <w:t>否则由评标委员会作否决竞标处理。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829" w:hRule="atLeast"/>
          <w:jc w:val="center"/>
        </w:trPr>
        <w:tc>
          <w:tcPr>
            <w:tcW w:w="1237" w:type="dxa"/>
            <w:vMerge w:val="continue"/>
            <w:vAlign w:val="center"/>
          </w:tcPr>
          <w:p>
            <w:pPr>
              <w:spacing w:line="400" w:lineRule="exact"/>
              <w:jc w:val="center"/>
              <w:rPr>
                <w:rFonts w:ascii="宋体" w:hAnsi="宋体"/>
                <w:szCs w:val="21"/>
              </w:rPr>
            </w:pPr>
          </w:p>
        </w:tc>
        <w:tc>
          <w:tcPr>
            <w:tcW w:w="1899" w:type="dxa"/>
            <w:vMerge w:val="continue"/>
            <w:vAlign w:val="center"/>
          </w:tcPr>
          <w:p>
            <w:pPr>
              <w:spacing w:line="400" w:lineRule="exact"/>
              <w:jc w:val="center"/>
              <w:rPr>
                <w:rFonts w:ascii="宋体" w:hAnsi="宋体"/>
                <w:szCs w:val="21"/>
              </w:rPr>
            </w:pPr>
          </w:p>
        </w:tc>
        <w:tc>
          <w:tcPr>
            <w:tcW w:w="6333" w:type="dxa"/>
          </w:tcPr>
          <w:p>
            <w:pPr>
              <w:spacing w:line="400" w:lineRule="exact"/>
              <w:ind w:firstLine="420" w:firstLineChars="200"/>
              <w:jc w:val="left"/>
              <w:rPr>
                <w:rFonts w:ascii="宋体" w:hAnsi="宋体"/>
                <w:szCs w:val="21"/>
              </w:rPr>
            </w:pPr>
            <w:r>
              <w:rPr>
                <w:rFonts w:hint="eastAsia" w:ascii="宋体" w:hAnsi="宋体"/>
                <w:szCs w:val="21"/>
              </w:rPr>
              <w:t>A-11只能有一个有效报价。在</w:t>
            </w:r>
            <w:r>
              <w:rPr>
                <w:rFonts w:hint="eastAsia" w:ascii="宋体" w:hAnsi="宋体"/>
                <w:szCs w:val="21"/>
                <w:lang w:eastAsia="zh-CN"/>
              </w:rPr>
              <w:t>竞标</w:t>
            </w:r>
            <w:r>
              <w:rPr>
                <w:rFonts w:hint="eastAsia" w:ascii="宋体" w:hAnsi="宋体"/>
                <w:szCs w:val="21"/>
              </w:rPr>
              <w:t>文件没有规定的情况下，不得提交选择性报价，否则由评标委员会作否决竞标处理。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vAlign w:val="center"/>
          </w:tcPr>
          <w:p>
            <w:pPr>
              <w:spacing w:line="400" w:lineRule="exact"/>
              <w:jc w:val="center"/>
              <w:rPr>
                <w:rFonts w:ascii="宋体" w:hAnsi="宋体"/>
                <w:szCs w:val="21"/>
              </w:rPr>
            </w:pPr>
          </w:p>
        </w:tc>
        <w:tc>
          <w:tcPr>
            <w:tcW w:w="1899" w:type="dxa"/>
            <w:vMerge w:val="continue"/>
            <w:vAlign w:val="center"/>
          </w:tcPr>
          <w:p>
            <w:pPr>
              <w:spacing w:line="400" w:lineRule="exact"/>
              <w:jc w:val="center"/>
              <w:rPr>
                <w:rFonts w:ascii="宋体" w:hAnsi="宋体"/>
                <w:szCs w:val="21"/>
              </w:rPr>
            </w:pPr>
          </w:p>
        </w:tc>
        <w:tc>
          <w:tcPr>
            <w:tcW w:w="6333" w:type="dxa"/>
          </w:tcPr>
          <w:p>
            <w:pPr>
              <w:autoSpaceDE w:val="0"/>
              <w:autoSpaceDN w:val="0"/>
              <w:adjustRightInd w:val="0"/>
              <w:snapToGrid w:val="0"/>
              <w:spacing w:line="400" w:lineRule="exact"/>
              <w:ind w:firstLine="420" w:firstLineChars="200"/>
              <w:jc w:val="left"/>
              <w:rPr>
                <w:rFonts w:ascii="宋体" w:hAnsi="宋体"/>
                <w:szCs w:val="21"/>
              </w:rPr>
            </w:pPr>
            <w:r>
              <w:rPr>
                <w:rFonts w:hint="eastAsia" w:ascii="宋体" w:hAnsi="宋体"/>
                <w:szCs w:val="21"/>
              </w:rPr>
              <w:t>A-12</w:t>
            </w:r>
            <w:r>
              <w:rPr>
                <w:rFonts w:hint="eastAsia" w:ascii="宋体" w:hAnsi="宋体" w:cs="宋体"/>
                <w:kern w:val="0"/>
              </w:rPr>
              <w:t xml:space="preserve">第八章 </w:t>
            </w:r>
            <w:r>
              <w:rPr>
                <w:rFonts w:hint="eastAsia" w:ascii="宋体" w:hAnsi="宋体"/>
                <w:szCs w:val="21"/>
                <w:lang w:eastAsia="zh-CN"/>
              </w:rPr>
              <w:t>竞标</w:t>
            </w:r>
            <w:r>
              <w:rPr>
                <w:rFonts w:hint="eastAsia" w:ascii="宋体" w:hAnsi="宋体" w:cs="宋体"/>
                <w:kern w:val="0"/>
              </w:rPr>
              <w:t>文件格式要求法定代表人或其委托代理人签名（或盖章）的须齐全。</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vAlign w:val="center"/>
          </w:tcPr>
          <w:p>
            <w:pPr>
              <w:spacing w:line="400" w:lineRule="exact"/>
              <w:jc w:val="center"/>
              <w:rPr>
                <w:rFonts w:ascii="宋体" w:hAnsi="宋体"/>
                <w:szCs w:val="21"/>
              </w:rPr>
            </w:pPr>
          </w:p>
        </w:tc>
        <w:tc>
          <w:tcPr>
            <w:tcW w:w="1899" w:type="dxa"/>
            <w:vMerge w:val="continue"/>
            <w:vAlign w:val="center"/>
          </w:tcPr>
          <w:p>
            <w:pPr>
              <w:spacing w:line="400" w:lineRule="exact"/>
              <w:jc w:val="center"/>
              <w:rPr>
                <w:rFonts w:ascii="宋体" w:hAnsi="宋体"/>
                <w:szCs w:val="21"/>
              </w:rPr>
            </w:pPr>
          </w:p>
        </w:tc>
        <w:tc>
          <w:tcPr>
            <w:tcW w:w="6333" w:type="dxa"/>
          </w:tcPr>
          <w:p>
            <w:pPr>
              <w:spacing w:line="400" w:lineRule="exact"/>
              <w:ind w:firstLine="420" w:firstLineChars="200"/>
              <w:jc w:val="left"/>
              <w:rPr>
                <w:rFonts w:ascii="宋体" w:hAnsi="宋体"/>
                <w:szCs w:val="21"/>
              </w:rPr>
            </w:pPr>
            <w:r>
              <w:rPr>
                <w:rFonts w:hint="eastAsia" w:ascii="宋体" w:hAnsi="宋体"/>
                <w:szCs w:val="21"/>
              </w:rPr>
              <w:t>A-13</w:t>
            </w:r>
            <w:r>
              <w:rPr>
                <w:rFonts w:hint="eastAsia" w:ascii="宋体" w:hAnsi="宋体"/>
                <w:szCs w:val="21"/>
                <w:lang w:eastAsia="zh-CN"/>
              </w:rPr>
              <w:t>竞标</w:t>
            </w:r>
            <w:r>
              <w:rPr>
                <w:rFonts w:hint="eastAsia" w:ascii="宋体" w:hAnsi="宋体"/>
                <w:szCs w:val="21"/>
              </w:rPr>
              <w:t>人法定代表人的委托代理人有法定代表人签署的授权委托书和</w:t>
            </w:r>
            <w:r>
              <w:rPr>
                <w:rFonts w:hint="eastAsia" w:ascii="宋体" w:hAnsi="宋体"/>
                <w:szCs w:val="21"/>
                <w:lang w:eastAsia="zh-CN"/>
              </w:rPr>
              <w:t>竞标</w:t>
            </w:r>
            <w:r>
              <w:rPr>
                <w:rFonts w:hint="eastAsia" w:ascii="宋体" w:hAnsi="宋体"/>
                <w:szCs w:val="21"/>
              </w:rPr>
              <w:t>人为其缴纳的养老保险证明材料，否则由评标委员会作否决竞标处理。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vAlign w:val="center"/>
          </w:tcPr>
          <w:p>
            <w:pPr>
              <w:spacing w:line="400" w:lineRule="exact"/>
              <w:jc w:val="center"/>
              <w:rPr>
                <w:rFonts w:ascii="宋体" w:hAnsi="宋体"/>
                <w:szCs w:val="21"/>
              </w:rPr>
            </w:pPr>
          </w:p>
        </w:tc>
        <w:tc>
          <w:tcPr>
            <w:tcW w:w="1899" w:type="dxa"/>
            <w:vMerge w:val="restart"/>
            <w:vAlign w:val="center"/>
          </w:tcPr>
          <w:p>
            <w:pPr>
              <w:spacing w:line="400" w:lineRule="exact"/>
              <w:jc w:val="center"/>
              <w:rPr>
                <w:rFonts w:ascii="宋体" w:hAnsi="宋体"/>
                <w:szCs w:val="21"/>
              </w:rPr>
            </w:pPr>
            <w:r>
              <w:rPr>
                <w:rFonts w:hint="eastAsia" w:ascii="宋体" w:hAnsi="宋体"/>
                <w:szCs w:val="21"/>
              </w:rPr>
              <w:t>响应性评审</w:t>
            </w:r>
          </w:p>
        </w:tc>
        <w:tc>
          <w:tcPr>
            <w:tcW w:w="6333" w:type="dxa"/>
            <w:vAlign w:val="center"/>
          </w:tcPr>
          <w:p>
            <w:pPr>
              <w:spacing w:line="400" w:lineRule="exact"/>
              <w:ind w:firstLine="420" w:firstLineChars="200"/>
              <w:jc w:val="left"/>
              <w:rPr>
                <w:rFonts w:ascii="宋体" w:hAnsi="宋体"/>
                <w:szCs w:val="21"/>
              </w:rPr>
            </w:pPr>
            <w:r>
              <w:rPr>
                <w:rFonts w:hint="eastAsia" w:ascii="宋体" w:hAnsi="宋体"/>
                <w:szCs w:val="21"/>
              </w:rPr>
              <w:t>A-14</w:t>
            </w:r>
            <w:r>
              <w:rPr>
                <w:rFonts w:hint="eastAsia" w:ascii="宋体" w:hAnsi="宋体" w:cs="宋体"/>
                <w:szCs w:val="21"/>
              </w:rPr>
              <w:t>竞标总报价必须与已标价工程量清单总报价一致</w:t>
            </w:r>
            <w:r>
              <w:rPr>
                <w:rFonts w:hint="eastAsia" w:ascii="宋体" w:hAnsi="宋体"/>
                <w:szCs w:val="21"/>
              </w:rPr>
              <w:t>，否则由评标委员会作否决竞标处理。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vAlign w:val="center"/>
          </w:tcPr>
          <w:p>
            <w:pPr>
              <w:spacing w:line="400" w:lineRule="exact"/>
              <w:jc w:val="center"/>
              <w:rPr>
                <w:rFonts w:ascii="宋体" w:hAnsi="宋体"/>
                <w:szCs w:val="21"/>
              </w:rPr>
            </w:pPr>
          </w:p>
        </w:tc>
        <w:tc>
          <w:tcPr>
            <w:tcW w:w="1899" w:type="dxa"/>
            <w:vMerge w:val="continue"/>
            <w:vAlign w:val="center"/>
          </w:tcPr>
          <w:p>
            <w:pPr>
              <w:spacing w:line="400" w:lineRule="exact"/>
              <w:jc w:val="center"/>
              <w:rPr>
                <w:rFonts w:ascii="宋体" w:hAnsi="宋体"/>
                <w:szCs w:val="21"/>
              </w:rPr>
            </w:pPr>
          </w:p>
        </w:tc>
        <w:tc>
          <w:tcPr>
            <w:tcW w:w="6333" w:type="dxa"/>
            <w:vAlign w:val="center"/>
          </w:tcPr>
          <w:p>
            <w:pPr>
              <w:spacing w:line="400" w:lineRule="exact"/>
              <w:ind w:firstLine="420" w:firstLineChars="200"/>
              <w:jc w:val="left"/>
              <w:rPr>
                <w:rFonts w:ascii="宋体" w:hAnsi="宋体"/>
                <w:szCs w:val="21"/>
              </w:rPr>
            </w:pPr>
            <w:r>
              <w:rPr>
                <w:rFonts w:hint="eastAsia" w:ascii="宋体" w:hAnsi="宋体"/>
                <w:szCs w:val="21"/>
              </w:rPr>
              <w:t>A-15竞标总报价不得高于招标人公布的竞标总报价最高限价，否则由评标委员会作否决竞标处理。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vAlign w:val="center"/>
          </w:tcPr>
          <w:p>
            <w:pPr>
              <w:spacing w:line="400" w:lineRule="exact"/>
              <w:jc w:val="center"/>
              <w:rPr>
                <w:rFonts w:ascii="宋体" w:hAnsi="宋体"/>
                <w:szCs w:val="21"/>
              </w:rPr>
            </w:pPr>
          </w:p>
        </w:tc>
        <w:tc>
          <w:tcPr>
            <w:tcW w:w="1899" w:type="dxa"/>
            <w:vMerge w:val="continue"/>
            <w:vAlign w:val="center"/>
          </w:tcPr>
          <w:p>
            <w:pPr>
              <w:spacing w:line="400" w:lineRule="exact"/>
              <w:jc w:val="center"/>
              <w:rPr>
                <w:rFonts w:ascii="宋体" w:hAnsi="宋体"/>
                <w:szCs w:val="21"/>
              </w:rPr>
            </w:pPr>
          </w:p>
        </w:tc>
        <w:tc>
          <w:tcPr>
            <w:tcW w:w="6333" w:type="dxa"/>
            <w:vAlign w:val="center"/>
          </w:tcPr>
          <w:p>
            <w:pPr>
              <w:spacing w:line="400" w:lineRule="exact"/>
              <w:ind w:firstLine="420" w:firstLineChars="200"/>
              <w:jc w:val="left"/>
              <w:rPr>
                <w:rFonts w:ascii="宋体" w:hAnsi="宋体"/>
                <w:szCs w:val="21"/>
              </w:rPr>
            </w:pPr>
            <w:r>
              <w:rPr>
                <w:rFonts w:hint="eastAsia" w:ascii="宋体" w:hAnsi="宋体"/>
                <w:szCs w:val="21"/>
              </w:rPr>
              <w:t>A-16暂列金额、暂估价、安全文明施工费等暂定金额必须按照比选文件给定的金额填报，否则由评标委员会作否决竞标处理。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vAlign w:val="center"/>
          </w:tcPr>
          <w:p>
            <w:pPr>
              <w:spacing w:line="400" w:lineRule="exact"/>
              <w:jc w:val="center"/>
              <w:rPr>
                <w:rFonts w:ascii="宋体" w:hAnsi="宋体"/>
                <w:szCs w:val="21"/>
              </w:rPr>
            </w:pPr>
          </w:p>
        </w:tc>
        <w:tc>
          <w:tcPr>
            <w:tcW w:w="1899" w:type="dxa"/>
            <w:vMerge w:val="continue"/>
            <w:vAlign w:val="center"/>
          </w:tcPr>
          <w:p>
            <w:pPr>
              <w:spacing w:line="400" w:lineRule="exact"/>
              <w:jc w:val="center"/>
              <w:rPr>
                <w:rFonts w:ascii="宋体" w:hAnsi="宋体"/>
                <w:szCs w:val="21"/>
              </w:rPr>
            </w:pPr>
          </w:p>
        </w:tc>
        <w:tc>
          <w:tcPr>
            <w:tcW w:w="6333" w:type="dxa"/>
            <w:vAlign w:val="center"/>
          </w:tcPr>
          <w:p>
            <w:pPr>
              <w:spacing w:line="400" w:lineRule="exact"/>
              <w:ind w:firstLine="420" w:firstLineChars="200"/>
              <w:jc w:val="left"/>
              <w:rPr>
                <w:rFonts w:ascii="宋体" w:hAnsi="宋体"/>
                <w:szCs w:val="21"/>
              </w:rPr>
            </w:pPr>
            <w:r>
              <w:rPr>
                <w:rFonts w:hint="eastAsia" w:ascii="宋体" w:hAnsi="宋体"/>
                <w:szCs w:val="21"/>
              </w:rPr>
              <w:t>A-17</w:t>
            </w:r>
            <w:r>
              <w:rPr>
                <w:rFonts w:hint="eastAsia" w:ascii="宋体" w:hAnsi="宋体"/>
                <w:szCs w:val="21"/>
                <w:lang w:eastAsia="zh-CN"/>
              </w:rPr>
              <w:t>竞标</w:t>
            </w:r>
            <w:r>
              <w:rPr>
                <w:rFonts w:hint="eastAsia" w:ascii="宋体" w:hAnsi="宋体"/>
                <w:szCs w:val="21"/>
              </w:rPr>
              <w:t>内容符合第二章“</w:t>
            </w:r>
            <w:r>
              <w:rPr>
                <w:rFonts w:hint="eastAsia" w:ascii="宋体" w:hAnsi="宋体"/>
                <w:szCs w:val="21"/>
                <w:lang w:eastAsia="zh-CN"/>
              </w:rPr>
              <w:t>竞标</w:t>
            </w:r>
            <w:r>
              <w:rPr>
                <w:rFonts w:hint="eastAsia" w:ascii="宋体" w:hAnsi="宋体"/>
                <w:szCs w:val="21"/>
              </w:rPr>
              <w:t>人须知”第1.3.1项规定，否则由评标委员会作否决竞标处理。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vAlign w:val="center"/>
          </w:tcPr>
          <w:p>
            <w:pPr>
              <w:spacing w:line="400" w:lineRule="exact"/>
              <w:jc w:val="center"/>
              <w:rPr>
                <w:rFonts w:ascii="宋体" w:hAnsi="宋体"/>
                <w:szCs w:val="21"/>
              </w:rPr>
            </w:pPr>
          </w:p>
        </w:tc>
        <w:tc>
          <w:tcPr>
            <w:tcW w:w="1899" w:type="dxa"/>
            <w:vMerge w:val="continue"/>
            <w:vAlign w:val="center"/>
          </w:tcPr>
          <w:p>
            <w:pPr>
              <w:spacing w:line="400" w:lineRule="exact"/>
              <w:jc w:val="center"/>
              <w:rPr>
                <w:rFonts w:ascii="宋体" w:hAnsi="宋体"/>
                <w:szCs w:val="21"/>
              </w:rPr>
            </w:pPr>
          </w:p>
        </w:tc>
        <w:tc>
          <w:tcPr>
            <w:tcW w:w="6333" w:type="dxa"/>
            <w:vAlign w:val="center"/>
          </w:tcPr>
          <w:p>
            <w:pPr>
              <w:spacing w:line="400" w:lineRule="exact"/>
              <w:ind w:firstLine="420" w:firstLineChars="200"/>
              <w:jc w:val="left"/>
              <w:rPr>
                <w:rFonts w:ascii="宋体" w:hAnsi="宋体"/>
                <w:szCs w:val="21"/>
              </w:rPr>
            </w:pPr>
            <w:r>
              <w:rPr>
                <w:rFonts w:hint="eastAsia" w:ascii="宋体" w:hAnsi="宋体"/>
                <w:szCs w:val="21"/>
              </w:rPr>
              <w:t>A-18工期符合第二章“</w:t>
            </w:r>
            <w:r>
              <w:rPr>
                <w:rFonts w:hint="eastAsia" w:ascii="宋体" w:hAnsi="宋体"/>
                <w:szCs w:val="21"/>
                <w:lang w:eastAsia="zh-CN"/>
              </w:rPr>
              <w:t>竞标</w:t>
            </w:r>
            <w:r>
              <w:rPr>
                <w:rFonts w:hint="eastAsia" w:ascii="宋体" w:hAnsi="宋体"/>
                <w:szCs w:val="21"/>
              </w:rPr>
              <w:t>人须知”第1.3.2项规定，否则由评标委员会作否决竞标处理。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vAlign w:val="center"/>
          </w:tcPr>
          <w:p>
            <w:pPr>
              <w:spacing w:line="400" w:lineRule="exact"/>
              <w:jc w:val="center"/>
              <w:rPr>
                <w:rFonts w:ascii="宋体" w:hAnsi="宋体"/>
                <w:szCs w:val="21"/>
              </w:rPr>
            </w:pPr>
          </w:p>
        </w:tc>
        <w:tc>
          <w:tcPr>
            <w:tcW w:w="1899" w:type="dxa"/>
            <w:vMerge w:val="continue"/>
            <w:vAlign w:val="center"/>
          </w:tcPr>
          <w:p>
            <w:pPr>
              <w:spacing w:line="400" w:lineRule="exact"/>
              <w:jc w:val="center"/>
              <w:rPr>
                <w:rFonts w:ascii="宋体" w:hAnsi="宋体"/>
                <w:szCs w:val="21"/>
              </w:rPr>
            </w:pPr>
          </w:p>
        </w:tc>
        <w:tc>
          <w:tcPr>
            <w:tcW w:w="6333" w:type="dxa"/>
            <w:vAlign w:val="center"/>
          </w:tcPr>
          <w:p>
            <w:pPr>
              <w:spacing w:line="400" w:lineRule="exact"/>
              <w:ind w:firstLine="420" w:firstLineChars="200"/>
              <w:jc w:val="left"/>
              <w:rPr>
                <w:rFonts w:ascii="宋体" w:hAnsi="宋体"/>
                <w:szCs w:val="21"/>
              </w:rPr>
            </w:pPr>
            <w:r>
              <w:rPr>
                <w:rFonts w:hint="eastAsia" w:ascii="宋体" w:hAnsi="宋体"/>
                <w:szCs w:val="21"/>
              </w:rPr>
              <w:t>A-19工程质量符合第二章“</w:t>
            </w:r>
            <w:r>
              <w:rPr>
                <w:rFonts w:hint="eastAsia" w:ascii="宋体" w:hAnsi="宋体"/>
                <w:szCs w:val="21"/>
                <w:lang w:eastAsia="zh-CN"/>
              </w:rPr>
              <w:t>竞标</w:t>
            </w:r>
            <w:r>
              <w:rPr>
                <w:rFonts w:hint="eastAsia" w:ascii="宋体" w:hAnsi="宋体"/>
                <w:szCs w:val="21"/>
              </w:rPr>
              <w:t>人须知”第1.3.3项规定，否则由评标委员会作否决竞标处理。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vAlign w:val="center"/>
          </w:tcPr>
          <w:p>
            <w:pPr>
              <w:spacing w:line="400" w:lineRule="exact"/>
              <w:jc w:val="center"/>
              <w:rPr>
                <w:rFonts w:ascii="宋体" w:hAnsi="宋体"/>
                <w:szCs w:val="21"/>
              </w:rPr>
            </w:pPr>
          </w:p>
        </w:tc>
        <w:tc>
          <w:tcPr>
            <w:tcW w:w="1899" w:type="dxa"/>
            <w:vMerge w:val="continue"/>
            <w:vAlign w:val="center"/>
          </w:tcPr>
          <w:p>
            <w:pPr>
              <w:spacing w:line="400" w:lineRule="exact"/>
              <w:jc w:val="center"/>
              <w:rPr>
                <w:rFonts w:ascii="宋体" w:hAnsi="宋体"/>
                <w:szCs w:val="21"/>
              </w:rPr>
            </w:pPr>
          </w:p>
        </w:tc>
        <w:tc>
          <w:tcPr>
            <w:tcW w:w="6333" w:type="dxa"/>
            <w:vAlign w:val="center"/>
          </w:tcPr>
          <w:p>
            <w:pPr>
              <w:spacing w:line="400" w:lineRule="exact"/>
              <w:ind w:firstLine="420" w:firstLineChars="200"/>
              <w:jc w:val="left"/>
              <w:rPr>
                <w:rFonts w:ascii="宋体" w:hAnsi="宋体"/>
                <w:szCs w:val="21"/>
              </w:rPr>
            </w:pPr>
            <w:r>
              <w:rPr>
                <w:rFonts w:hint="eastAsia" w:ascii="宋体" w:hAnsi="宋体"/>
                <w:szCs w:val="21"/>
              </w:rPr>
              <w:t>A-20</w:t>
            </w:r>
            <w:r>
              <w:rPr>
                <w:rFonts w:hint="eastAsia" w:ascii="宋体" w:hAnsi="宋体"/>
                <w:szCs w:val="21"/>
                <w:lang w:eastAsia="zh-CN"/>
              </w:rPr>
              <w:t>竞标</w:t>
            </w:r>
            <w:r>
              <w:rPr>
                <w:rFonts w:hint="eastAsia" w:ascii="宋体" w:hAnsi="宋体"/>
                <w:szCs w:val="21"/>
              </w:rPr>
              <w:t>有效期符合第二章“</w:t>
            </w:r>
            <w:r>
              <w:rPr>
                <w:rFonts w:hint="eastAsia" w:ascii="宋体" w:hAnsi="宋体"/>
                <w:szCs w:val="21"/>
                <w:lang w:eastAsia="zh-CN"/>
              </w:rPr>
              <w:t>竞标</w:t>
            </w:r>
            <w:r>
              <w:rPr>
                <w:rFonts w:hint="eastAsia" w:ascii="宋体" w:hAnsi="宋体"/>
                <w:szCs w:val="21"/>
              </w:rPr>
              <w:t>人须知”第3.3.1项规定，否则由评标委员会作否决竞标处理。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vAlign w:val="center"/>
          </w:tcPr>
          <w:p>
            <w:pPr>
              <w:spacing w:line="400" w:lineRule="exact"/>
              <w:jc w:val="center"/>
              <w:rPr>
                <w:rFonts w:ascii="宋体" w:hAnsi="宋体"/>
                <w:szCs w:val="21"/>
              </w:rPr>
            </w:pPr>
          </w:p>
        </w:tc>
        <w:tc>
          <w:tcPr>
            <w:tcW w:w="1899" w:type="dxa"/>
            <w:vMerge w:val="continue"/>
            <w:vAlign w:val="center"/>
          </w:tcPr>
          <w:p>
            <w:pPr>
              <w:spacing w:line="400" w:lineRule="exact"/>
              <w:jc w:val="center"/>
              <w:rPr>
                <w:rFonts w:ascii="宋体" w:hAnsi="宋体"/>
                <w:szCs w:val="21"/>
              </w:rPr>
            </w:pPr>
          </w:p>
        </w:tc>
        <w:tc>
          <w:tcPr>
            <w:tcW w:w="6333" w:type="dxa"/>
            <w:vAlign w:val="center"/>
          </w:tcPr>
          <w:p>
            <w:pPr>
              <w:spacing w:line="400" w:lineRule="exact"/>
              <w:ind w:firstLine="420" w:firstLineChars="200"/>
              <w:jc w:val="left"/>
              <w:rPr>
                <w:rFonts w:ascii="宋体" w:hAnsi="宋体"/>
                <w:szCs w:val="21"/>
              </w:rPr>
            </w:pPr>
            <w:r>
              <w:rPr>
                <w:rFonts w:hint="eastAsia" w:ascii="宋体" w:hAnsi="宋体"/>
                <w:szCs w:val="21"/>
              </w:rPr>
              <w:t>A-21</w:t>
            </w:r>
            <w:r>
              <w:rPr>
                <w:rFonts w:hint="eastAsia" w:ascii="宋体" w:hAnsi="宋体"/>
                <w:szCs w:val="21"/>
                <w:lang w:eastAsia="zh-CN"/>
              </w:rPr>
              <w:t>竞标</w:t>
            </w:r>
            <w:r>
              <w:rPr>
                <w:rFonts w:ascii="宋体" w:hAnsi="宋体"/>
                <w:szCs w:val="21"/>
              </w:rPr>
              <w:t>人应按</w:t>
            </w:r>
            <w:r>
              <w:rPr>
                <w:rFonts w:hint="eastAsia" w:ascii="宋体" w:hAnsi="宋体"/>
                <w:szCs w:val="21"/>
                <w:lang w:eastAsia="zh-CN"/>
              </w:rPr>
              <w:t>竞标</w:t>
            </w:r>
            <w:r>
              <w:rPr>
                <w:rFonts w:ascii="宋体" w:hAnsi="宋体"/>
                <w:szCs w:val="21"/>
              </w:rPr>
              <w:t>人须知前附表</w:t>
            </w:r>
            <w:r>
              <w:rPr>
                <w:rFonts w:hint="eastAsia" w:ascii="宋体" w:hAnsi="宋体"/>
                <w:szCs w:val="21"/>
              </w:rPr>
              <w:t>第3.4款的</w:t>
            </w:r>
            <w:r>
              <w:rPr>
                <w:rFonts w:ascii="宋体" w:hAnsi="宋体"/>
                <w:szCs w:val="21"/>
              </w:rPr>
              <w:t>规定递交</w:t>
            </w:r>
            <w:r>
              <w:rPr>
                <w:rFonts w:hint="eastAsia" w:ascii="宋体" w:hAnsi="宋体"/>
                <w:szCs w:val="21"/>
                <w:lang w:eastAsia="zh-CN"/>
              </w:rPr>
              <w:t>竞标</w:t>
            </w:r>
            <w:r>
              <w:rPr>
                <w:rFonts w:ascii="宋体" w:hAnsi="宋体"/>
                <w:szCs w:val="21"/>
              </w:rPr>
              <w:t>保证金，并作为其</w:t>
            </w:r>
            <w:r>
              <w:rPr>
                <w:rFonts w:hint="eastAsia" w:ascii="宋体" w:hAnsi="宋体"/>
                <w:szCs w:val="21"/>
                <w:lang w:eastAsia="zh-CN"/>
              </w:rPr>
              <w:t>竞标</w:t>
            </w:r>
            <w:r>
              <w:rPr>
                <w:rFonts w:ascii="宋体" w:hAnsi="宋体"/>
                <w:szCs w:val="21"/>
              </w:rPr>
              <w:t>文件的组成部分</w:t>
            </w:r>
            <w:r>
              <w:rPr>
                <w:rFonts w:hint="eastAsia" w:ascii="宋体" w:hAnsi="宋体"/>
                <w:szCs w:val="21"/>
              </w:rPr>
              <w:t>，</w:t>
            </w:r>
            <w:r>
              <w:rPr>
                <w:rFonts w:ascii="宋体" w:hAnsi="宋体"/>
                <w:szCs w:val="21"/>
              </w:rPr>
              <w:t>否则</w:t>
            </w:r>
            <w:r>
              <w:rPr>
                <w:rFonts w:hint="eastAsia" w:ascii="宋体" w:hAnsi="宋体"/>
                <w:szCs w:val="21"/>
              </w:rPr>
              <w:t>由评标委员会</w:t>
            </w:r>
            <w:r>
              <w:rPr>
                <w:rFonts w:ascii="宋体" w:hAnsi="宋体"/>
                <w:szCs w:val="21"/>
              </w:rPr>
              <w:t>作否决</w:t>
            </w:r>
            <w:r>
              <w:rPr>
                <w:rFonts w:hint="eastAsia" w:ascii="宋体" w:hAnsi="宋体"/>
                <w:szCs w:val="21"/>
              </w:rPr>
              <w:t>竞标</w:t>
            </w:r>
            <w:r>
              <w:rPr>
                <w:rFonts w:ascii="宋体" w:hAnsi="宋体"/>
                <w:szCs w:val="21"/>
              </w:rPr>
              <w:t>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vAlign w:val="center"/>
          </w:tcPr>
          <w:p>
            <w:pPr>
              <w:spacing w:line="400" w:lineRule="exact"/>
              <w:jc w:val="center"/>
              <w:rPr>
                <w:rFonts w:ascii="宋体" w:hAnsi="宋体"/>
                <w:szCs w:val="21"/>
              </w:rPr>
            </w:pPr>
          </w:p>
        </w:tc>
        <w:tc>
          <w:tcPr>
            <w:tcW w:w="1899" w:type="dxa"/>
            <w:vMerge w:val="continue"/>
            <w:vAlign w:val="center"/>
          </w:tcPr>
          <w:p>
            <w:pPr>
              <w:spacing w:line="400" w:lineRule="exact"/>
              <w:jc w:val="center"/>
              <w:rPr>
                <w:rFonts w:ascii="宋体" w:hAnsi="宋体"/>
                <w:szCs w:val="21"/>
              </w:rPr>
            </w:pPr>
          </w:p>
        </w:tc>
        <w:tc>
          <w:tcPr>
            <w:tcW w:w="6333" w:type="dxa"/>
            <w:vAlign w:val="center"/>
          </w:tcPr>
          <w:p>
            <w:pPr>
              <w:spacing w:line="400" w:lineRule="exact"/>
              <w:ind w:firstLine="420" w:firstLineChars="200"/>
              <w:jc w:val="left"/>
              <w:rPr>
                <w:rFonts w:ascii="宋体" w:hAnsi="宋体"/>
                <w:szCs w:val="21"/>
              </w:rPr>
            </w:pPr>
            <w:r>
              <w:rPr>
                <w:rFonts w:hint="eastAsia" w:ascii="宋体" w:hAnsi="宋体"/>
                <w:szCs w:val="21"/>
              </w:rPr>
              <w:t>A-22符合第四章“合同条款及格式”规定，</w:t>
            </w:r>
            <w:r>
              <w:rPr>
                <w:rFonts w:hint="eastAsia" w:ascii="宋体" w:hAnsi="宋体"/>
                <w:szCs w:val="21"/>
                <w:lang w:eastAsia="zh-CN"/>
              </w:rPr>
              <w:t>竞标</w:t>
            </w:r>
            <w:r>
              <w:rPr>
                <w:rFonts w:hint="eastAsia" w:ascii="宋体" w:hAnsi="宋体"/>
                <w:szCs w:val="21"/>
              </w:rPr>
              <w:t>文件不应附有比选人不能接受的条件，否则由评标委员会作否决竞标处理。（由</w:t>
            </w:r>
            <w:r>
              <w:rPr>
                <w:rFonts w:hint="eastAsia" w:ascii="宋体" w:hAnsi="宋体"/>
                <w:szCs w:val="21"/>
                <w:lang w:eastAsia="zh-CN"/>
              </w:rPr>
              <w:t>竞标</w:t>
            </w:r>
            <w:r>
              <w:rPr>
                <w:rFonts w:hint="eastAsia" w:ascii="宋体" w:hAnsi="宋体"/>
                <w:szCs w:val="21"/>
              </w:rPr>
              <w:t>人承诺，承诺书格式详见第八章</w:t>
            </w:r>
            <w:r>
              <w:rPr>
                <w:rFonts w:hint="eastAsia" w:ascii="宋体" w:hAnsi="宋体"/>
                <w:szCs w:val="21"/>
                <w:lang w:eastAsia="zh-CN"/>
              </w:rPr>
              <w:t>竞标</w:t>
            </w:r>
            <w:r>
              <w:rPr>
                <w:rFonts w:hint="eastAsia" w:ascii="宋体" w:hAnsi="宋体"/>
                <w:szCs w:val="21"/>
              </w:rPr>
              <w:t>文件格式。）</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vAlign w:val="center"/>
          </w:tcPr>
          <w:p>
            <w:pPr>
              <w:spacing w:line="400" w:lineRule="exact"/>
              <w:jc w:val="center"/>
              <w:rPr>
                <w:rFonts w:ascii="宋体" w:hAnsi="宋体"/>
                <w:szCs w:val="21"/>
              </w:rPr>
            </w:pPr>
          </w:p>
        </w:tc>
        <w:tc>
          <w:tcPr>
            <w:tcW w:w="1899" w:type="dxa"/>
            <w:vMerge w:val="continue"/>
            <w:vAlign w:val="center"/>
          </w:tcPr>
          <w:p>
            <w:pPr>
              <w:spacing w:line="400" w:lineRule="exact"/>
              <w:jc w:val="center"/>
              <w:rPr>
                <w:rFonts w:ascii="宋体" w:hAnsi="宋体"/>
                <w:szCs w:val="21"/>
              </w:rPr>
            </w:pPr>
          </w:p>
        </w:tc>
        <w:tc>
          <w:tcPr>
            <w:tcW w:w="6333" w:type="dxa"/>
            <w:vAlign w:val="center"/>
          </w:tcPr>
          <w:p>
            <w:pPr>
              <w:spacing w:line="400" w:lineRule="exact"/>
              <w:ind w:firstLine="420" w:firstLineChars="200"/>
              <w:jc w:val="left"/>
              <w:rPr>
                <w:rFonts w:ascii="宋体" w:hAnsi="宋体"/>
                <w:szCs w:val="21"/>
              </w:rPr>
            </w:pPr>
            <w:r>
              <w:rPr>
                <w:rFonts w:hint="eastAsia" w:ascii="宋体" w:hAnsi="宋体"/>
                <w:szCs w:val="21"/>
              </w:rPr>
              <w:t>A-23符合第七章“技术标准和要求”规定。否则由评标委员会作否决竞标处理（如有）。（由</w:t>
            </w:r>
            <w:r>
              <w:rPr>
                <w:rFonts w:hint="eastAsia" w:ascii="宋体" w:hAnsi="宋体"/>
                <w:szCs w:val="21"/>
                <w:lang w:eastAsia="zh-CN"/>
              </w:rPr>
              <w:t>竞标</w:t>
            </w:r>
            <w:r>
              <w:rPr>
                <w:rFonts w:hint="eastAsia" w:ascii="宋体" w:hAnsi="宋体"/>
                <w:szCs w:val="21"/>
              </w:rPr>
              <w:t>人承诺，承诺书格式详见第八章</w:t>
            </w:r>
            <w:r>
              <w:rPr>
                <w:rFonts w:hint="eastAsia" w:ascii="宋体" w:hAnsi="宋体"/>
                <w:szCs w:val="21"/>
                <w:lang w:eastAsia="zh-CN"/>
              </w:rPr>
              <w:t>竞标</w:t>
            </w:r>
            <w:r>
              <w:rPr>
                <w:rFonts w:hint="eastAsia" w:ascii="宋体" w:hAnsi="宋体"/>
                <w:szCs w:val="21"/>
              </w:rPr>
              <w:t>文件格式。）</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vAlign w:val="center"/>
          </w:tcPr>
          <w:p>
            <w:pPr>
              <w:spacing w:line="400" w:lineRule="exact"/>
              <w:jc w:val="center"/>
              <w:rPr>
                <w:rFonts w:ascii="宋体" w:hAnsi="宋体"/>
                <w:szCs w:val="21"/>
              </w:rPr>
            </w:pPr>
          </w:p>
        </w:tc>
        <w:tc>
          <w:tcPr>
            <w:tcW w:w="1899" w:type="dxa"/>
            <w:vMerge w:val="continue"/>
            <w:vAlign w:val="center"/>
          </w:tcPr>
          <w:p>
            <w:pPr>
              <w:spacing w:line="400" w:lineRule="exact"/>
              <w:jc w:val="center"/>
              <w:rPr>
                <w:rFonts w:ascii="宋体" w:hAnsi="宋体"/>
                <w:szCs w:val="21"/>
              </w:rPr>
            </w:pPr>
          </w:p>
        </w:tc>
        <w:tc>
          <w:tcPr>
            <w:tcW w:w="6333" w:type="dxa"/>
            <w:vAlign w:val="center"/>
          </w:tcPr>
          <w:p>
            <w:pPr>
              <w:spacing w:line="400" w:lineRule="exact"/>
              <w:ind w:firstLine="420" w:firstLineChars="200"/>
              <w:jc w:val="left"/>
              <w:rPr>
                <w:rFonts w:ascii="宋体" w:hAnsi="宋体"/>
                <w:szCs w:val="21"/>
              </w:rPr>
            </w:pPr>
            <w:r>
              <w:rPr>
                <w:rFonts w:hint="eastAsia" w:ascii="宋体" w:hAnsi="宋体"/>
                <w:szCs w:val="21"/>
              </w:rPr>
              <w:t>A-24</w:t>
            </w:r>
            <w:r>
              <w:rPr>
                <w:rFonts w:hint="eastAsia" w:ascii="宋体" w:hAnsi="宋体"/>
                <w:szCs w:val="21"/>
                <w:lang w:eastAsia="zh-CN"/>
              </w:rPr>
              <w:t>竞标</w:t>
            </w:r>
            <w:r>
              <w:rPr>
                <w:rFonts w:hint="eastAsia" w:ascii="宋体" w:hAnsi="宋体"/>
                <w:szCs w:val="21"/>
              </w:rPr>
              <w:t>人提供的关于已标价工程量清单的承诺符合比选文件的要求，</w:t>
            </w:r>
            <w:r>
              <w:rPr>
                <w:rFonts w:ascii="宋体" w:hAnsi="宋体"/>
                <w:szCs w:val="21"/>
              </w:rPr>
              <w:t>否则</w:t>
            </w:r>
            <w:r>
              <w:rPr>
                <w:rFonts w:hint="eastAsia" w:ascii="宋体" w:hAnsi="宋体"/>
                <w:szCs w:val="21"/>
              </w:rPr>
              <w:t>由评标委员会</w:t>
            </w:r>
            <w:r>
              <w:rPr>
                <w:rFonts w:ascii="宋体" w:hAnsi="宋体"/>
                <w:szCs w:val="21"/>
              </w:rPr>
              <w:t>作否决</w:t>
            </w:r>
            <w:r>
              <w:rPr>
                <w:rFonts w:hint="eastAsia" w:ascii="宋体" w:hAnsi="宋体"/>
                <w:szCs w:val="21"/>
              </w:rPr>
              <w:t>竞标</w:t>
            </w:r>
            <w:r>
              <w:rPr>
                <w:rFonts w:ascii="宋体" w:hAnsi="宋体"/>
                <w:szCs w:val="21"/>
              </w:rPr>
              <w:t>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vAlign w:val="center"/>
          </w:tcPr>
          <w:p>
            <w:pPr>
              <w:spacing w:line="400" w:lineRule="exact"/>
              <w:jc w:val="center"/>
              <w:rPr>
                <w:rFonts w:ascii="宋体" w:hAnsi="宋体"/>
                <w:szCs w:val="21"/>
              </w:rPr>
            </w:pPr>
          </w:p>
        </w:tc>
        <w:tc>
          <w:tcPr>
            <w:tcW w:w="1899" w:type="dxa"/>
            <w:vMerge w:val="continue"/>
            <w:vAlign w:val="center"/>
          </w:tcPr>
          <w:p>
            <w:pPr>
              <w:spacing w:line="400" w:lineRule="exact"/>
              <w:jc w:val="center"/>
              <w:rPr>
                <w:rFonts w:ascii="宋体" w:hAnsi="宋体"/>
                <w:szCs w:val="21"/>
              </w:rPr>
            </w:pPr>
          </w:p>
        </w:tc>
        <w:tc>
          <w:tcPr>
            <w:tcW w:w="6333" w:type="dxa"/>
            <w:vAlign w:val="center"/>
          </w:tcPr>
          <w:p>
            <w:pPr>
              <w:spacing w:line="400" w:lineRule="exact"/>
              <w:ind w:firstLine="420" w:firstLineChars="200"/>
              <w:jc w:val="left"/>
              <w:rPr>
                <w:rFonts w:ascii="宋体" w:hAnsi="宋体"/>
                <w:szCs w:val="21"/>
              </w:rPr>
            </w:pPr>
            <w:r>
              <w:rPr>
                <w:rFonts w:hint="eastAsia" w:ascii="宋体" w:hAnsi="宋体"/>
                <w:szCs w:val="21"/>
              </w:rPr>
              <w:t>A-25</w:t>
            </w:r>
            <w:r>
              <w:rPr>
                <w:rFonts w:hint="eastAsia" w:ascii="宋体" w:hAnsi="宋体"/>
                <w:szCs w:val="21"/>
                <w:lang w:eastAsia="zh-CN"/>
              </w:rPr>
              <w:t>竞标</w:t>
            </w:r>
            <w:r>
              <w:rPr>
                <w:rFonts w:hint="eastAsia" w:ascii="宋体" w:hAnsi="宋体"/>
                <w:szCs w:val="21"/>
              </w:rPr>
              <w:t>报价有算术错误的，按照第三章“评标办法”第3.1.3项规定执行，否则由评标委员会作否决竞标处理</w:t>
            </w:r>
            <w:r>
              <w:rPr>
                <w:rFonts w:ascii="宋体" w:hAnsi="宋体"/>
                <w:szCs w:val="21"/>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vAlign w:val="center"/>
          </w:tcPr>
          <w:p>
            <w:pPr>
              <w:spacing w:line="400" w:lineRule="exact"/>
              <w:jc w:val="center"/>
              <w:rPr>
                <w:rFonts w:ascii="宋体" w:hAnsi="宋体"/>
                <w:szCs w:val="21"/>
              </w:rPr>
            </w:pPr>
          </w:p>
        </w:tc>
        <w:tc>
          <w:tcPr>
            <w:tcW w:w="1899" w:type="dxa"/>
            <w:vMerge w:val="continue"/>
            <w:vAlign w:val="center"/>
          </w:tcPr>
          <w:p>
            <w:pPr>
              <w:spacing w:line="400" w:lineRule="exact"/>
              <w:jc w:val="center"/>
              <w:rPr>
                <w:rFonts w:ascii="宋体" w:hAnsi="宋体"/>
                <w:szCs w:val="21"/>
              </w:rPr>
            </w:pPr>
          </w:p>
        </w:tc>
        <w:tc>
          <w:tcPr>
            <w:tcW w:w="6333" w:type="dxa"/>
            <w:vAlign w:val="center"/>
          </w:tcPr>
          <w:p>
            <w:pPr>
              <w:spacing w:line="400" w:lineRule="exact"/>
              <w:ind w:firstLine="420" w:firstLineChars="200"/>
              <w:jc w:val="left"/>
              <w:rPr>
                <w:rFonts w:ascii="宋体" w:hAnsi="宋体"/>
                <w:szCs w:val="21"/>
              </w:rPr>
            </w:pPr>
            <w:r>
              <w:rPr>
                <w:rFonts w:hint="eastAsia" w:ascii="宋体" w:hAnsi="宋体"/>
                <w:szCs w:val="21"/>
              </w:rPr>
              <w:t>A-26</w:t>
            </w:r>
            <w:r>
              <w:rPr>
                <w:rFonts w:hint="eastAsia" w:ascii="宋体" w:hAnsi="宋体"/>
                <w:szCs w:val="21"/>
                <w:lang w:eastAsia="zh-CN"/>
              </w:rPr>
              <w:t>竞标</w:t>
            </w:r>
            <w:r>
              <w:rPr>
                <w:rFonts w:hint="eastAsia" w:ascii="宋体" w:hAnsi="宋体"/>
                <w:szCs w:val="21"/>
              </w:rPr>
              <w:t>人有以下情形之一的，其</w:t>
            </w:r>
            <w:r>
              <w:rPr>
                <w:rFonts w:hint="eastAsia" w:ascii="宋体" w:hAnsi="宋体"/>
                <w:szCs w:val="21"/>
                <w:lang w:eastAsia="zh-CN"/>
              </w:rPr>
              <w:t>竞标</w:t>
            </w:r>
            <w:r>
              <w:rPr>
                <w:rFonts w:hint="eastAsia" w:ascii="宋体" w:hAnsi="宋体"/>
                <w:szCs w:val="21"/>
              </w:rPr>
              <w:t>文件由评标委员会</w:t>
            </w:r>
            <w:r>
              <w:rPr>
                <w:rFonts w:ascii="宋体" w:hAnsi="宋体"/>
                <w:szCs w:val="21"/>
              </w:rPr>
              <w:t>作否决</w:t>
            </w:r>
            <w:r>
              <w:rPr>
                <w:rFonts w:hint="eastAsia" w:ascii="宋体" w:hAnsi="宋体"/>
                <w:szCs w:val="21"/>
              </w:rPr>
              <w:t>竞标</w:t>
            </w:r>
            <w:r>
              <w:rPr>
                <w:rFonts w:ascii="宋体" w:hAnsi="宋体"/>
                <w:szCs w:val="21"/>
              </w:rPr>
              <w:t>处理</w:t>
            </w:r>
            <w:r>
              <w:rPr>
                <w:rFonts w:hint="eastAsia" w:ascii="宋体" w:hAnsi="宋体"/>
                <w:szCs w:val="21"/>
              </w:rPr>
              <w:t>：</w:t>
            </w:r>
          </w:p>
          <w:p>
            <w:pPr>
              <w:spacing w:line="400" w:lineRule="exact"/>
              <w:ind w:firstLine="420" w:firstLineChars="200"/>
              <w:jc w:val="left"/>
              <w:rPr>
                <w:rFonts w:ascii="宋体" w:hAnsi="宋体"/>
                <w:szCs w:val="21"/>
              </w:rPr>
            </w:pPr>
            <w:r>
              <w:rPr>
                <w:rFonts w:hint="eastAsia" w:ascii="宋体" w:hAnsi="宋体"/>
                <w:szCs w:val="21"/>
              </w:rPr>
              <w:t>1.第二章“</w:t>
            </w:r>
            <w:r>
              <w:rPr>
                <w:rFonts w:hint="eastAsia" w:ascii="宋体" w:hAnsi="宋体"/>
                <w:szCs w:val="21"/>
                <w:lang w:eastAsia="zh-CN"/>
              </w:rPr>
              <w:t>竞标</w:t>
            </w:r>
            <w:r>
              <w:rPr>
                <w:rFonts w:hint="eastAsia" w:ascii="宋体" w:hAnsi="宋体"/>
                <w:szCs w:val="21"/>
              </w:rPr>
              <w:t>人须知”第1.4.3项规定的任何一种情形的；</w:t>
            </w:r>
          </w:p>
          <w:p>
            <w:pPr>
              <w:spacing w:line="400" w:lineRule="exact"/>
              <w:ind w:firstLine="420" w:firstLineChars="200"/>
              <w:jc w:val="left"/>
              <w:rPr>
                <w:rFonts w:ascii="宋体" w:hAnsi="宋体"/>
                <w:szCs w:val="21"/>
              </w:rPr>
            </w:pPr>
            <w:r>
              <w:rPr>
                <w:rFonts w:hint="eastAsia" w:ascii="宋体" w:hAnsi="宋体"/>
                <w:szCs w:val="21"/>
              </w:rPr>
              <w:t>2.本次竞标有串通投标、弄虚作假等违反招投标相关法律、法规的行为的；</w:t>
            </w:r>
          </w:p>
          <w:p>
            <w:pPr>
              <w:spacing w:line="400" w:lineRule="exact"/>
              <w:ind w:firstLine="420" w:firstLineChars="200"/>
              <w:jc w:val="left"/>
              <w:rPr>
                <w:rFonts w:ascii="宋体" w:hAnsi="宋体"/>
                <w:szCs w:val="21"/>
              </w:rPr>
            </w:pPr>
            <w:r>
              <w:rPr>
                <w:rFonts w:hint="eastAsia" w:ascii="宋体" w:hAnsi="宋体"/>
                <w:szCs w:val="21"/>
              </w:rPr>
              <w:t>3.拒绝按评标委员会要求澄清、说明或补正的。</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Align w:val="center"/>
          </w:tcPr>
          <w:p>
            <w:pPr>
              <w:spacing w:line="400" w:lineRule="exact"/>
              <w:jc w:val="center"/>
              <w:rPr>
                <w:rFonts w:ascii="宋体" w:hAnsi="宋体"/>
                <w:szCs w:val="21"/>
              </w:rPr>
            </w:pPr>
            <w:r>
              <w:rPr>
                <w:rFonts w:ascii="宋体" w:hAnsi="宋体"/>
                <w:szCs w:val="21"/>
              </w:rPr>
              <w:t>其他</w:t>
            </w:r>
          </w:p>
        </w:tc>
        <w:tc>
          <w:tcPr>
            <w:tcW w:w="1899" w:type="dxa"/>
            <w:vAlign w:val="center"/>
          </w:tcPr>
          <w:p>
            <w:pPr>
              <w:spacing w:line="400" w:lineRule="exact"/>
              <w:jc w:val="center"/>
              <w:rPr>
                <w:rFonts w:ascii="宋体" w:hAnsi="宋体"/>
                <w:szCs w:val="21"/>
              </w:rPr>
            </w:pPr>
          </w:p>
        </w:tc>
        <w:tc>
          <w:tcPr>
            <w:tcW w:w="6333" w:type="dxa"/>
          </w:tcPr>
          <w:p>
            <w:pPr>
              <w:spacing w:line="400" w:lineRule="exact"/>
              <w:ind w:firstLine="420" w:firstLineChars="200"/>
              <w:rPr>
                <w:rFonts w:ascii="宋体" w:hAnsi="宋体"/>
                <w:i/>
                <w:szCs w:val="21"/>
              </w:rPr>
            </w:pPr>
            <w:r>
              <w:rPr>
                <w:rFonts w:hint="eastAsia" w:ascii="宋体" w:hAnsi="宋体"/>
                <w:iCs/>
                <w:szCs w:val="21"/>
              </w:rPr>
              <w:t>无</w:t>
            </w:r>
          </w:p>
        </w:tc>
      </w:tr>
    </w:tbl>
    <w:p>
      <w:pPr>
        <w:pStyle w:val="33"/>
        <w:spacing w:line="360" w:lineRule="auto"/>
        <w:jc w:val="both"/>
        <w:rPr>
          <w:rFonts w:ascii="宋体" w:hAnsi="宋体"/>
          <w:sz w:val="21"/>
          <w:szCs w:val="21"/>
          <w:u w:val="none"/>
          <w:lang w:eastAsia="zh-CN"/>
        </w:rPr>
      </w:pPr>
    </w:p>
    <w:p>
      <w:pPr>
        <w:spacing w:line="200" w:lineRule="exact"/>
        <w:rPr>
          <w:rFonts w:ascii="宋体" w:hAnsi="宋体"/>
          <w:kern w:val="0"/>
          <w:sz w:val="52"/>
          <w:szCs w:val="52"/>
        </w:rPr>
      </w:pPr>
      <w:r>
        <w:rPr>
          <w:rFonts w:ascii="宋体" w:hAnsi="宋体"/>
          <w:snapToGrid w:val="0"/>
          <w:kern w:val="0"/>
        </w:rPr>
        <w:br w:type="page"/>
      </w:r>
      <w:bookmarkStart w:id="203" w:name="招标文件03章02评标办法综合评估法"/>
      <w:bookmarkEnd w:id="203"/>
      <w:bookmarkStart w:id="204" w:name="招标文件03章02评标办法综合评估法00"/>
      <w:bookmarkEnd w:id="204"/>
    </w:p>
    <w:p>
      <w:pPr>
        <w:pStyle w:val="3"/>
        <w:spacing w:line="360" w:lineRule="auto"/>
        <w:jc w:val="center"/>
        <w:rPr>
          <w:rFonts w:ascii="宋体" w:hAnsi="宋体"/>
          <w:kern w:val="0"/>
        </w:rPr>
      </w:pPr>
      <w:bookmarkStart w:id="205" w:name="_Toc13782"/>
      <w:bookmarkStart w:id="206" w:name="_Toc16666"/>
      <w:bookmarkStart w:id="207" w:name="_Toc430530509"/>
      <w:bookmarkStart w:id="208" w:name="_Toc12150"/>
      <w:bookmarkStart w:id="209" w:name="_Toc509218785"/>
      <w:bookmarkStart w:id="210" w:name="_Toc11598"/>
      <w:bookmarkStart w:id="211" w:name="_Toc17401"/>
      <w:r>
        <w:rPr>
          <w:rFonts w:hint="eastAsia" w:ascii="宋体" w:hAnsi="宋体"/>
          <w:kern w:val="0"/>
        </w:rPr>
        <w:t>第四章  合同条款及格式</w:t>
      </w:r>
      <w:bookmarkEnd w:id="205"/>
      <w:bookmarkEnd w:id="206"/>
      <w:bookmarkEnd w:id="207"/>
      <w:bookmarkEnd w:id="208"/>
      <w:bookmarkEnd w:id="209"/>
      <w:bookmarkEnd w:id="210"/>
      <w:bookmarkEnd w:id="211"/>
    </w:p>
    <w:p>
      <w:pPr>
        <w:rPr>
          <w:rFonts w:ascii="宋体" w:hAnsi="宋体"/>
          <w:sz w:val="44"/>
          <w:szCs w:val="44"/>
        </w:rPr>
      </w:pPr>
      <w:r>
        <w:rPr>
          <w:rFonts w:ascii="宋体" w:hAnsi="宋体"/>
        </w:rPr>
        <w:br w:type="page"/>
      </w:r>
      <w:bookmarkStart w:id="212" w:name="_Toc296890982"/>
      <w:bookmarkStart w:id="213" w:name="_Toc296503025"/>
      <w:bookmarkStart w:id="214" w:name="_Toc351203480"/>
    </w:p>
    <w:p>
      <w:pPr>
        <w:spacing w:line="360" w:lineRule="auto"/>
        <w:jc w:val="center"/>
        <w:rPr>
          <w:rFonts w:ascii="宋体" w:hAnsi="宋体"/>
          <w:sz w:val="44"/>
          <w:szCs w:val="44"/>
        </w:rPr>
      </w:pPr>
      <w:r>
        <w:rPr>
          <w:rFonts w:hint="eastAsia" w:ascii="宋体" w:hAnsi="宋体"/>
          <w:sz w:val="44"/>
          <w:szCs w:val="44"/>
        </w:rPr>
        <w:t>第一部分 合同协议书</w:t>
      </w:r>
    </w:p>
    <w:p>
      <w:pPr>
        <w:pStyle w:val="123"/>
        <w:snapToGrid w:val="0"/>
        <w:spacing w:before="0" w:line="360" w:lineRule="auto"/>
        <w:ind w:firstLine="562" w:firstLineChars="200"/>
        <w:rPr>
          <w:rFonts w:ascii="宋体" w:hAnsi="宋体"/>
          <w:color w:val="auto"/>
        </w:rPr>
      </w:pPr>
    </w:p>
    <w:p>
      <w:pPr>
        <w:spacing w:line="360" w:lineRule="auto"/>
        <w:ind w:firstLine="420" w:firstLineChars="200"/>
        <w:rPr>
          <w:rFonts w:ascii="宋体" w:hAnsi="宋体"/>
          <w:bCs/>
          <w:i/>
          <w:szCs w:val="21"/>
        </w:rPr>
      </w:pPr>
      <w:r>
        <w:rPr>
          <w:rFonts w:hint="eastAsia" w:ascii="宋体" w:hAnsi="宋体"/>
          <w:bCs/>
          <w:i/>
          <w:szCs w:val="21"/>
        </w:rPr>
        <w:t>[提示：合同协议书为示范性内容，比选人在编制比选文件时不必填写，供中标后签订合同时填写。]</w:t>
      </w:r>
    </w:p>
    <w:p>
      <w:pPr>
        <w:pStyle w:val="5"/>
        <w:jc w:val="center"/>
        <w:rPr>
          <w:rFonts w:ascii="宋体" w:hAnsi="宋体"/>
          <w:b w:val="0"/>
          <w:sz w:val="44"/>
          <w:szCs w:val="44"/>
        </w:rPr>
      </w:pPr>
      <w:r>
        <mc:AlternateContent>
          <mc:Choice Requires="wps">
            <w:drawing>
              <wp:anchor distT="0" distB="0" distL="114300" distR="114300" simplePos="0" relativeHeight="251659264" behindDoc="0" locked="0" layoutInCell="1" allowOverlap="1">
                <wp:simplePos x="0" y="0"/>
                <wp:positionH relativeFrom="column">
                  <wp:posOffset>2691130</wp:posOffset>
                </wp:positionH>
                <wp:positionV relativeFrom="paragraph">
                  <wp:posOffset>8717280</wp:posOffset>
                </wp:positionV>
                <wp:extent cx="807720" cy="693420"/>
                <wp:effectExtent l="0" t="0" r="11430" b="11430"/>
                <wp:wrapNone/>
                <wp:docPr id="1" name="矩形 130"/>
                <wp:cNvGraphicFramePr/>
                <a:graphic xmlns:a="http://schemas.openxmlformats.org/drawingml/2006/main">
                  <a:graphicData uri="http://schemas.microsoft.com/office/word/2010/wordprocessingShape">
                    <wps:wsp>
                      <wps:cNvSpPr/>
                      <wps:spPr>
                        <a:xfrm>
                          <a:off x="0" y="0"/>
                          <a:ext cx="807720" cy="693420"/>
                        </a:xfrm>
                        <a:prstGeom prst="rect">
                          <a:avLst/>
                        </a:prstGeom>
                        <a:solidFill>
                          <a:srgbClr val="FFFFFF"/>
                        </a:solidFill>
                        <a:ln>
                          <a:noFill/>
                        </a:ln>
                      </wps:spPr>
                      <wps:txbx>
                        <w:txbxContent>
                          <w:p/>
                        </w:txbxContent>
                      </wps:txbx>
                      <wps:bodyPr wrap="square" upright="1"/>
                    </wps:wsp>
                  </a:graphicData>
                </a:graphic>
              </wp:anchor>
            </w:drawing>
          </mc:Choice>
          <mc:Fallback>
            <w:pict>
              <v:rect id="矩形 130" o:spid="_x0000_s1026" o:spt="1" style="position:absolute;left:0pt;margin-left:211.9pt;margin-top:686.4pt;height:54.6pt;width:63.6pt;z-index:251659264;mso-width-relative:page;mso-height-relative:page;" fillcolor="#FFFFFF" filled="t" stroked="f" coordsize="21600,21600" o:gfxdata="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89ed32QAAAA0BAAAPAAAAAAAAAAEAIAAAACIAAABkcnMvZG93bnJldi54&#10;bWxQSwECFAAUAAAACACHTuJA4Lr+1MABAAB5AwAADgAAAAAAAAABACAAAAAoAQAAZHJzL2Uyb0Rv&#10;Yy54bWxQSwUGAAAAAAYABgBZAQAAWgUAAAAA&#10;">
                <v:fill on="t" focussize="0,0"/>
                <v:stroke on="f"/>
                <v:imagedata o:title=""/>
                <o:lock v:ext="edit" aspectratio="f"/>
                <v:textbox>
                  <w:txbxContent>
                    <w:p/>
                  </w:txbxContent>
                </v:textbox>
              </v:rect>
            </w:pict>
          </mc:Fallback>
        </mc:AlternateContent>
      </w:r>
      <w:r>
        <w:rPr>
          <w:rFonts w:ascii="宋体" w:hAnsi="宋体"/>
        </w:rPr>
        <w:br w:type="page"/>
      </w:r>
      <w:bookmarkStart w:id="215" w:name="_Toc534185765"/>
      <w:bookmarkStart w:id="216" w:name="_Toc21148"/>
      <w:bookmarkStart w:id="217" w:name="_Toc509218786"/>
      <w:bookmarkStart w:id="218" w:name="_Toc351203494"/>
      <w:r>
        <w:rPr>
          <w:rFonts w:ascii="宋体" w:hAnsi="宋体"/>
          <w:sz w:val="44"/>
          <w:szCs w:val="44"/>
        </w:rPr>
        <w:t>第一部分 合同协议书</w:t>
      </w:r>
      <w:bookmarkEnd w:id="215"/>
      <w:bookmarkEnd w:id="216"/>
      <w:bookmarkEnd w:id="217"/>
    </w:p>
    <w:bookmarkEnd w:id="218"/>
    <w:p>
      <w:pPr>
        <w:snapToGrid w:val="0"/>
        <w:spacing w:line="600" w:lineRule="exact"/>
        <w:ind w:firstLine="480" w:firstLineChars="200"/>
        <w:rPr>
          <w:rFonts w:ascii="宋体" w:hAnsi="宋体"/>
          <w:sz w:val="24"/>
        </w:rPr>
      </w:pPr>
    </w:p>
    <w:p>
      <w:pPr>
        <w:snapToGrid w:val="0"/>
        <w:spacing w:line="360" w:lineRule="auto"/>
        <w:ind w:firstLine="422" w:firstLineChars="200"/>
        <w:rPr>
          <w:rFonts w:ascii="宋体" w:hAnsi="宋体"/>
          <w:b/>
          <w:szCs w:val="21"/>
          <w:u w:val="single"/>
        </w:rPr>
      </w:pPr>
      <w:r>
        <w:rPr>
          <w:rFonts w:hint="eastAsia" w:ascii="宋体" w:hAnsi="宋体"/>
          <w:b/>
          <w:szCs w:val="21"/>
        </w:rPr>
        <w:t>发包人（全称）：</w:t>
      </w:r>
      <w:r>
        <w:rPr>
          <w:rFonts w:hint="eastAsia" w:ascii="宋体" w:hAnsi="宋体"/>
          <w:szCs w:val="21"/>
          <w:u w:val="single"/>
        </w:rPr>
        <w:t xml:space="preserve">                             </w:t>
      </w:r>
    </w:p>
    <w:p>
      <w:pPr>
        <w:snapToGrid w:val="0"/>
        <w:spacing w:line="360" w:lineRule="auto"/>
        <w:ind w:firstLine="422" w:firstLineChars="200"/>
        <w:rPr>
          <w:rFonts w:ascii="宋体" w:hAnsi="宋体"/>
          <w:b/>
          <w:szCs w:val="21"/>
          <w:u w:val="single"/>
        </w:rPr>
      </w:pPr>
      <w:r>
        <w:rPr>
          <w:rFonts w:hint="eastAsia" w:ascii="宋体" w:hAnsi="宋体"/>
          <w:b/>
          <w:szCs w:val="21"/>
        </w:rPr>
        <w:t>承包人（全称）：</w:t>
      </w:r>
      <w:r>
        <w:rPr>
          <w:rFonts w:hint="eastAsia" w:ascii="宋体" w:hAnsi="宋体"/>
          <w:szCs w:val="21"/>
          <w:u w:val="single"/>
        </w:rPr>
        <w:t xml:space="preserve">                                 </w:t>
      </w:r>
    </w:p>
    <w:p>
      <w:pPr>
        <w:spacing w:line="360" w:lineRule="auto"/>
        <w:ind w:firstLine="420" w:firstLineChars="200"/>
        <w:rPr>
          <w:rFonts w:ascii="宋体" w:hAnsi="宋体"/>
          <w:b/>
          <w:szCs w:val="21"/>
          <w:u w:val="single"/>
        </w:rPr>
      </w:pPr>
      <w:r>
        <w:rPr>
          <w:rFonts w:hint="eastAsia" w:ascii="宋体" w:hAnsi="宋体"/>
          <w:szCs w:val="21"/>
        </w:rPr>
        <w:t>根据《中华人民共和国民法典》、《中华人民共和国建筑法》及有关法律、法规规定，遵循平等、自愿、公平和诚实信用的原则，双方就</w:t>
      </w:r>
      <w:r>
        <w:rPr>
          <w:rFonts w:hint="eastAsia" w:ascii="宋体" w:hAnsi="宋体"/>
          <w:szCs w:val="21"/>
          <w:u w:val="single"/>
        </w:rPr>
        <w:t xml:space="preserve">                           </w:t>
      </w:r>
      <w:r>
        <w:rPr>
          <w:rFonts w:hint="eastAsia" w:ascii="宋体" w:hAnsi="宋体"/>
          <w:szCs w:val="21"/>
        </w:rPr>
        <w:t>工程施工及有关事项协商一致，共同达成如下协议：</w:t>
      </w:r>
    </w:p>
    <w:p>
      <w:pPr>
        <w:pStyle w:val="6"/>
        <w:spacing w:before="120" w:after="120" w:line="360" w:lineRule="auto"/>
        <w:ind w:firstLine="422" w:firstLineChars="200"/>
        <w:jc w:val="both"/>
        <w:rPr>
          <w:kern w:val="2"/>
          <w:sz w:val="21"/>
          <w:szCs w:val="21"/>
        </w:rPr>
      </w:pPr>
      <w:bookmarkStart w:id="219" w:name="_Toc351203481"/>
      <w:bookmarkStart w:id="220" w:name="_Toc532377166"/>
      <w:bookmarkStart w:id="221" w:name="_Toc532375573"/>
      <w:r>
        <w:rPr>
          <w:rFonts w:hint="eastAsia"/>
          <w:kern w:val="2"/>
          <w:sz w:val="21"/>
          <w:szCs w:val="21"/>
        </w:rPr>
        <w:t>一、工程概况</w:t>
      </w:r>
      <w:bookmarkEnd w:id="219"/>
      <w:bookmarkEnd w:id="220"/>
      <w:bookmarkEnd w:id="221"/>
    </w:p>
    <w:p>
      <w:pPr>
        <w:snapToGrid w:val="0"/>
        <w:spacing w:line="360" w:lineRule="auto"/>
        <w:ind w:firstLine="420" w:firstLineChars="200"/>
        <w:rPr>
          <w:rFonts w:ascii="宋体" w:hAnsi="宋体"/>
          <w:szCs w:val="21"/>
          <w:u w:val="single"/>
        </w:rPr>
      </w:pPr>
      <w:r>
        <w:rPr>
          <w:rFonts w:hint="eastAsia" w:ascii="宋体" w:hAnsi="宋体"/>
          <w:bCs/>
          <w:szCs w:val="21"/>
        </w:rPr>
        <w:t>1.工程名称</w:t>
      </w:r>
      <w:r>
        <w:rPr>
          <w:rFonts w:hint="eastAsia" w:ascii="宋体" w:hAnsi="宋体"/>
          <w:szCs w:val="21"/>
        </w:rPr>
        <w:t>：</w:t>
      </w:r>
      <w:r>
        <w:rPr>
          <w:rFonts w:hint="eastAsia" w:ascii="宋体" w:hAnsi="宋体"/>
          <w:szCs w:val="21"/>
          <w:u w:val="single"/>
        </w:rPr>
        <w:t xml:space="preserve">                                 </w:t>
      </w:r>
      <w:r>
        <w:rPr>
          <w:rFonts w:hint="eastAsia" w:ascii="宋体" w:hAnsi="宋体"/>
          <w:szCs w:val="21"/>
        </w:rPr>
        <w:t>。</w:t>
      </w:r>
    </w:p>
    <w:p>
      <w:pPr>
        <w:snapToGrid w:val="0"/>
        <w:spacing w:line="360" w:lineRule="auto"/>
        <w:ind w:firstLine="420" w:firstLineChars="200"/>
        <w:rPr>
          <w:rFonts w:ascii="宋体" w:hAnsi="宋体"/>
          <w:bCs/>
          <w:szCs w:val="21"/>
        </w:rPr>
      </w:pPr>
      <w:r>
        <w:rPr>
          <w:rFonts w:hint="eastAsia" w:ascii="宋体" w:hAnsi="宋体"/>
          <w:bCs/>
          <w:szCs w:val="21"/>
        </w:rPr>
        <w:t>2.工程地点：</w:t>
      </w:r>
      <w:r>
        <w:rPr>
          <w:rFonts w:hint="eastAsia" w:ascii="宋体" w:hAnsi="宋体"/>
          <w:szCs w:val="21"/>
          <w:u w:val="single"/>
        </w:rPr>
        <w:t xml:space="preserve">                                 </w:t>
      </w:r>
      <w:r>
        <w:rPr>
          <w:rFonts w:hint="eastAsia" w:ascii="宋体" w:hAnsi="宋体"/>
          <w:szCs w:val="21"/>
        </w:rPr>
        <w:t>。</w:t>
      </w:r>
    </w:p>
    <w:p>
      <w:pPr>
        <w:snapToGrid w:val="0"/>
        <w:spacing w:line="360" w:lineRule="auto"/>
        <w:ind w:firstLine="420" w:firstLineChars="200"/>
        <w:rPr>
          <w:rFonts w:ascii="宋体" w:hAnsi="宋体"/>
          <w:bCs/>
          <w:szCs w:val="21"/>
        </w:rPr>
      </w:pPr>
      <w:r>
        <w:rPr>
          <w:rFonts w:hint="eastAsia" w:ascii="宋体" w:hAnsi="宋体"/>
          <w:bCs/>
          <w:szCs w:val="21"/>
        </w:rPr>
        <w:t>3.工程立项批准文号：</w:t>
      </w:r>
      <w:r>
        <w:rPr>
          <w:rFonts w:hint="eastAsia" w:ascii="宋体" w:hAnsi="宋体"/>
          <w:szCs w:val="21"/>
          <w:u w:val="single"/>
        </w:rPr>
        <w:t xml:space="preserve">                        </w:t>
      </w:r>
      <w:r>
        <w:rPr>
          <w:rFonts w:hint="eastAsia" w:ascii="宋体" w:hAnsi="宋体"/>
          <w:bCs/>
          <w:szCs w:val="21"/>
        </w:rPr>
        <w:t>。</w:t>
      </w:r>
    </w:p>
    <w:p>
      <w:pPr>
        <w:snapToGrid w:val="0"/>
        <w:spacing w:line="360" w:lineRule="auto"/>
        <w:ind w:firstLine="420" w:firstLineChars="200"/>
        <w:rPr>
          <w:rFonts w:ascii="宋体" w:hAnsi="宋体"/>
          <w:bCs/>
          <w:szCs w:val="21"/>
        </w:rPr>
      </w:pPr>
      <w:r>
        <w:rPr>
          <w:rFonts w:hint="eastAsia" w:ascii="宋体" w:hAnsi="宋体"/>
          <w:bCs/>
          <w:szCs w:val="21"/>
        </w:rPr>
        <w:t>4.资金来源：</w:t>
      </w:r>
      <w:r>
        <w:rPr>
          <w:rFonts w:hint="eastAsia" w:ascii="宋体" w:hAnsi="宋体"/>
          <w:szCs w:val="21"/>
          <w:u w:val="single"/>
        </w:rPr>
        <w:t xml:space="preserve">                                 </w:t>
      </w:r>
      <w:r>
        <w:rPr>
          <w:rFonts w:hint="eastAsia" w:ascii="宋体" w:hAnsi="宋体"/>
          <w:szCs w:val="21"/>
        </w:rPr>
        <w:t>。</w:t>
      </w:r>
    </w:p>
    <w:p>
      <w:pPr>
        <w:snapToGrid w:val="0"/>
        <w:spacing w:line="360" w:lineRule="auto"/>
        <w:ind w:firstLine="420" w:firstLineChars="200"/>
        <w:rPr>
          <w:rFonts w:ascii="宋体" w:hAnsi="宋体"/>
          <w:bCs/>
          <w:szCs w:val="21"/>
        </w:rPr>
      </w:pPr>
      <w:r>
        <w:rPr>
          <w:rFonts w:hint="eastAsia" w:ascii="宋体" w:hAnsi="宋体"/>
          <w:bCs/>
          <w:szCs w:val="21"/>
        </w:rPr>
        <w:t>5.工程内容：</w:t>
      </w:r>
      <w:r>
        <w:rPr>
          <w:rFonts w:hint="eastAsia" w:ascii="宋体" w:hAnsi="宋体"/>
          <w:szCs w:val="21"/>
          <w:u w:val="single"/>
        </w:rPr>
        <w:t xml:space="preserve">                                 </w:t>
      </w:r>
      <w:r>
        <w:rPr>
          <w:rFonts w:hint="eastAsia" w:ascii="宋体" w:hAnsi="宋体"/>
          <w:szCs w:val="21"/>
        </w:rPr>
        <w:t>。</w:t>
      </w:r>
    </w:p>
    <w:p>
      <w:pPr>
        <w:snapToGrid w:val="0"/>
        <w:spacing w:line="360" w:lineRule="auto"/>
        <w:ind w:firstLine="420" w:firstLineChars="200"/>
        <w:jc w:val="left"/>
        <w:rPr>
          <w:rFonts w:ascii="宋体" w:hAnsi="宋体"/>
          <w:bCs/>
          <w:szCs w:val="21"/>
        </w:rPr>
      </w:pPr>
      <w:r>
        <w:rPr>
          <w:rFonts w:hint="eastAsia" w:ascii="宋体" w:hAnsi="宋体"/>
          <w:bCs/>
          <w:szCs w:val="21"/>
        </w:rPr>
        <w:t>6.工程承包范围：</w:t>
      </w:r>
      <w:r>
        <w:rPr>
          <w:rFonts w:hint="eastAsia" w:ascii="宋体" w:hAnsi="宋体"/>
          <w:szCs w:val="21"/>
          <w:u w:val="single"/>
        </w:rPr>
        <w:t xml:space="preserve">                     </w:t>
      </w:r>
      <w:r>
        <w:rPr>
          <w:rFonts w:hint="eastAsia" w:ascii="宋体" w:hAnsi="宋体"/>
          <w:szCs w:val="21"/>
        </w:rPr>
        <w:t>。</w:t>
      </w:r>
    </w:p>
    <w:p>
      <w:pPr>
        <w:pStyle w:val="6"/>
        <w:spacing w:before="120" w:after="120" w:line="360" w:lineRule="auto"/>
        <w:ind w:firstLine="422" w:firstLineChars="200"/>
        <w:jc w:val="both"/>
        <w:rPr>
          <w:kern w:val="2"/>
          <w:sz w:val="21"/>
          <w:szCs w:val="21"/>
        </w:rPr>
      </w:pPr>
      <w:bookmarkStart w:id="222" w:name="_Toc351203482"/>
      <w:bookmarkStart w:id="223" w:name="_Toc532377167"/>
      <w:bookmarkStart w:id="224" w:name="_Toc532375574"/>
      <w:r>
        <w:rPr>
          <w:rFonts w:hint="eastAsia"/>
          <w:kern w:val="2"/>
          <w:sz w:val="21"/>
          <w:szCs w:val="21"/>
        </w:rPr>
        <w:t>二、合同工期</w:t>
      </w:r>
      <w:bookmarkEnd w:id="222"/>
      <w:bookmarkEnd w:id="223"/>
      <w:bookmarkEnd w:id="224"/>
    </w:p>
    <w:p>
      <w:pPr>
        <w:spacing w:line="360" w:lineRule="auto"/>
        <w:ind w:firstLine="420" w:firstLineChars="200"/>
        <w:rPr>
          <w:rFonts w:ascii="宋体" w:hAnsi="宋体"/>
          <w:bCs/>
          <w:szCs w:val="21"/>
        </w:rPr>
      </w:pPr>
      <w:r>
        <w:rPr>
          <w:rFonts w:hint="eastAsia" w:ascii="宋体" w:hAnsi="宋体"/>
          <w:bCs/>
          <w:szCs w:val="21"/>
        </w:rPr>
        <w:t>承包人投标函中承诺的工期：</w:t>
      </w:r>
      <w:r>
        <w:rPr>
          <w:rFonts w:hint="eastAsia" w:ascii="宋体" w:hAnsi="宋体"/>
          <w:bCs/>
          <w:szCs w:val="21"/>
          <w:u w:val="single"/>
        </w:rPr>
        <w:t>日历天</w:t>
      </w:r>
      <w:r>
        <w:rPr>
          <w:rFonts w:hint="eastAsia" w:ascii="宋体" w:hAnsi="宋体"/>
          <w:bCs/>
          <w:szCs w:val="21"/>
        </w:rPr>
        <w:t>。</w:t>
      </w:r>
    </w:p>
    <w:p>
      <w:pPr>
        <w:spacing w:line="360" w:lineRule="auto"/>
        <w:ind w:firstLine="420" w:firstLineChars="200"/>
        <w:rPr>
          <w:rFonts w:ascii="宋体" w:hAnsi="宋体"/>
          <w:bCs/>
          <w:szCs w:val="21"/>
        </w:rPr>
      </w:pPr>
      <w:r>
        <w:rPr>
          <w:rFonts w:hint="eastAsia" w:ascii="宋体" w:hAnsi="宋体"/>
          <w:bCs/>
          <w:szCs w:val="21"/>
        </w:rPr>
        <w:t>计划开工日期：</w:t>
      </w:r>
      <w:r>
        <w:rPr>
          <w:rFonts w:hint="eastAsia" w:ascii="宋体" w:hAnsi="宋体"/>
          <w:bCs/>
          <w:szCs w:val="21"/>
          <w:u w:val="single"/>
        </w:rPr>
        <w:t></w:t>
      </w:r>
      <w:r>
        <w:rPr>
          <w:rFonts w:hint="eastAsia" w:ascii="宋体" w:hAnsi="宋体"/>
          <w:bCs/>
          <w:szCs w:val="21"/>
        </w:rPr>
        <w:t>年</w:t>
      </w:r>
      <w:r>
        <w:rPr>
          <w:rFonts w:hint="eastAsia" w:ascii="宋体" w:hAnsi="宋体"/>
          <w:bCs/>
          <w:szCs w:val="21"/>
          <w:u w:val="single"/>
        </w:rPr>
        <w:t></w:t>
      </w:r>
      <w:r>
        <w:rPr>
          <w:rFonts w:hint="eastAsia" w:ascii="宋体" w:hAnsi="宋体"/>
          <w:bCs/>
          <w:szCs w:val="21"/>
        </w:rPr>
        <w:t>月</w:t>
      </w:r>
      <w:r>
        <w:rPr>
          <w:rFonts w:hint="eastAsia" w:ascii="宋体" w:hAnsi="宋体"/>
          <w:bCs/>
          <w:szCs w:val="21"/>
          <w:u w:val="single"/>
        </w:rPr>
        <w:t></w:t>
      </w:r>
      <w:r>
        <w:rPr>
          <w:rFonts w:hint="eastAsia" w:ascii="宋体" w:hAnsi="宋体"/>
          <w:bCs/>
          <w:szCs w:val="21"/>
        </w:rPr>
        <w:t>日，实际开工日期以监理工程师签发的工程开工通知明确的开工日期为准。</w:t>
      </w:r>
    </w:p>
    <w:p>
      <w:pPr>
        <w:spacing w:line="360" w:lineRule="auto"/>
        <w:ind w:firstLine="420" w:firstLineChars="200"/>
        <w:rPr>
          <w:rFonts w:ascii="宋体" w:hAnsi="宋体"/>
          <w:bCs/>
          <w:szCs w:val="21"/>
        </w:rPr>
      </w:pPr>
      <w:r>
        <w:rPr>
          <w:rFonts w:hint="eastAsia" w:ascii="宋体" w:hAnsi="宋体"/>
          <w:bCs/>
          <w:szCs w:val="21"/>
        </w:rPr>
        <w:t>计划竣工日期：</w:t>
      </w:r>
      <w:r>
        <w:rPr>
          <w:rFonts w:hint="eastAsia" w:ascii="宋体" w:hAnsi="宋体"/>
          <w:bCs/>
          <w:szCs w:val="21"/>
          <w:u w:val="single"/>
        </w:rPr>
        <w:t></w:t>
      </w:r>
      <w:r>
        <w:rPr>
          <w:rFonts w:hint="eastAsia" w:ascii="宋体" w:hAnsi="宋体"/>
          <w:bCs/>
          <w:szCs w:val="21"/>
        </w:rPr>
        <w:t>年</w:t>
      </w:r>
      <w:r>
        <w:rPr>
          <w:rFonts w:hint="eastAsia" w:ascii="宋体" w:hAnsi="宋体"/>
          <w:bCs/>
          <w:szCs w:val="21"/>
          <w:u w:val="single"/>
        </w:rPr>
        <w:t></w:t>
      </w:r>
      <w:r>
        <w:rPr>
          <w:rFonts w:hint="eastAsia" w:ascii="宋体" w:hAnsi="宋体"/>
          <w:bCs/>
          <w:szCs w:val="21"/>
        </w:rPr>
        <w:t>月</w:t>
      </w:r>
      <w:r>
        <w:rPr>
          <w:rFonts w:hint="eastAsia" w:ascii="宋体" w:hAnsi="宋体"/>
          <w:bCs/>
          <w:szCs w:val="21"/>
          <w:u w:val="single"/>
        </w:rPr>
        <w:t></w:t>
      </w:r>
      <w:r>
        <w:rPr>
          <w:rFonts w:hint="eastAsia" w:ascii="宋体" w:hAnsi="宋体"/>
          <w:bCs/>
          <w:szCs w:val="21"/>
        </w:rPr>
        <w:t>日，实际竣工日期以工程竣工验收合格之日为准。</w:t>
      </w:r>
    </w:p>
    <w:p>
      <w:pPr>
        <w:spacing w:line="360" w:lineRule="auto"/>
        <w:ind w:firstLine="420" w:firstLineChars="200"/>
        <w:rPr>
          <w:rFonts w:ascii="宋体" w:hAnsi="宋体"/>
          <w:szCs w:val="21"/>
        </w:rPr>
      </w:pPr>
      <w:r>
        <w:rPr>
          <w:rFonts w:hint="eastAsia" w:ascii="宋体" w:hAnsi="宋体"/>
          <w:bCs/>
          <w:szCs w:val="21"/>
        </w:rPr>
        <w:t>工期总日历天数</w:t>
      </w:r>
      <w:r>
        <w:rPr>
          <w:rFonts w:hint="eastAsia" w:ascii="宋体" w:hAnsi="宋体"/>
          <w:bCs/>
          <w:szCs w:val="21"/>
          <w:u w:val="single"/>
        </w:rPr>
        <w:t></w:t>
      </w:r>
      <w:r>
        <w:rPr>
          <w:rFonts w:hint="eastAsia" w:ascii="宋体" w:hAnsi="宋体"/>
          <w:bCs/>
          <w:szCs w:val="21"/>
        </w:rPr>
        <w:t>天。工期总日历天数与根据前述计划开竣工日期计算的工期天数不一</w:t>
      </w:r>
      <w:r>
        <w:rPr>
          <w:rFonts w:hint="eastAsia" w:ascii="宋体" w:hAnsi="宋体"/>
          <w:szCs w:val="21"/>
        </w:rPr>
        <w:t>致的，以工期总日历天数为准。</w:t>
      </w:r>
    </w:p>
    <w:p>
      <w:pPr>
        <w:pStyle w:val="6"/>
        <w:spacing w:before="120" w:after="120" w:line="360" w:lineRule="auto"/>
        <w:ind w:firstLine="422" w:firstLineChars="200"/>
        <w:jc w:val="both"/>
        <w:rPr>
          <w:kern w:val="2"/>
          <w:sz w:val="21"/>
          <w:szCs w:val="21"/>
        </w:rPr>
      </w:pPr>
      <w:bookmarkStart w:id="225" w:name="_Toc351203483"/>
      <w:bookmarkStart w:id="226" w:name="_Toc532377168"/>
      <w:bookmarkStart w:id="227" w:name="_Toc532375575"/>
      <w:r>
        <w:rPr>
          <w:rFonts w:hint="eastAsia"/>
          <w:kern w:val="2"/>
          <w:sz w:val="21"/>
          <w:szCs w:val="21"/>
        </w:rPr>
        <w:t>三、质量标准</w:t>
      </w:r>
      <w:bookmarkEnd w:id="225"/>
      <w:bookmarkEnd w:id="226"/>
      <w:bookmarkEnd w:id="227"/>
    </w:p>
    <w:p>
      <w:pPr>
        <w:snapToGrid w:val="0"/>
        <w:spacing w:line="360" w:lineRule="auto"/>
        <w:ind w:firstLine="420" w:firstLineChars="200"/>
        <w:rPr>
          <w:rFonts w:ascii="宋体" w:hAnsi="宋体"/>
          <w:szCs w:val="21"/>
        </w:rPr>
      </w:pPr>
      <w:r>
        <w:rPr>
          <w:rFonts w:hint="eastAsia" w:ascii="宋体" w:hAnsi="宋体"/>
          <w:szCs w:val="21"/>
        </w:rPr>
        <w:t>工程质量符合强制性质量标准，</w:t>
      </w:r>
      <w:r>
        <w:rPr>
          <w:rFonts w:hint="eastAsia" w:ascii="宋体" w:hAnsi="宋体"/>
          <w:szCs w:val="21"/>
          <w:u w:val="single"/>
        </w:rPr>
        <w:t>符合国家</w:t>
      </w:r>
      <w:r>
        <w:rPr>
          <w:rFonts w:ascii="宋体" w:hAnsi="宋体"/>
          <w:szCs w:val="21"/>
          <w:u w:val="single"/>
        </w:rPr>
        <w:t>和重庆市现行</w:t>
      </w:r>
      <w:r>
        <w:rPr>
          <w:rFonts w:hint="eastAsia" w:ascii="宋体" w:hAnsi="宋体"/>
          <w:szCs w:val="21"/>
          <w:u w:val="single"/>
        </w:rPr>
        <w:t>有关施工质量验收规范要求，并达到合格</w:t>
      </w:r>
      <w:r>
        <w:rPr>
          <w:rFonts w:hint="eastAsia" w:ascii="宋体" w:hAnsi="宋体"/>
          <w:szCs w:val="21"/>
        </w:rPr>
        <w:t>标准。</w:t>
      </w:r>
    </w:p>
    <w:p>
      <w:pPr>
        <w:pStyle w:val="6"/>
        <w:spacing w:before="120" w:after="120" w:line="360" w:lineRule="auto"/>
        <w:ind w:firstLine="422" w:firstLineChars="200"/>
        <w:jc w:val="both"/>
        <w:rPr>
          <w:kern w:val="2"/>
          <w:sz w:val="21"/>
          <w:szCs w:val="21"/>
        </w:rPr>
      </w:pPr>
      <w:bookmarkStart w:id="228" w:name="_Toc532377169"/>
      <w:bookmarkStart w:id="229" w:name="_Toc532375576"/>
      <w:bookmarkStart w:id="230" w:name="_Toc351203484"/>
      <w:r>
        <w:rPr>
          <w:rFonts w:hint="eastAsia"/>
          <w:kern w:val="2"/>
          <w:sz w:val="21"/>
          <w:szCs w:val="21"/>
        </w:rPr>
        <w:t>四、签约合同价与合同价格形式</w:t>
      </w:r>
      <w:bookmarkEnd w:id="228"/>
      <w:bookmarkEnd w:id="229"/>
      <w:bookmarkEnd w:id="230"/>
      <w:r>
        <w:rPr>
          <w:rFonts w:hint="eastAsia"/>
          <w:kern w:val="2"/>
          <w:sz w:val="21"/>
          <w:szCs w:val="21"/>
        </w:rPr>
        <w:tab/>
      </w:r>
    </w:p>
    <w:p>
      <w:pPr>
        <w:spacing w:line="360" w:lineRule="auto"/>
        <w:ind w:firstLine="420" w:firstLineChars="200"/>
        <w:rPr>
          <w:rFonts w:ascii="宋体" w:hAnsi="宋体"/>
          <w:szCs w:val="21"/>
        </w:rPr>
      </w:pPr>
      <w:r>
        <w:rPr>
          <w:rFonts w:hint="eastAsia" w:ascii="宋体" w:hAnsi="宋体"/>
          <w:szCs w:val="21"/>
        </w:rPr>
        <w:t>1.承包人投标函中承诺的中标价为：</w:t>
      </w:r>
    </w:p>
    <w:p>
      <w:pPr>
        <w:spacing w:line="360" w:lineRule="auto"/>
        <w:ind w:firstLine="420" w:firstLineChars="200"/>
        <w:rPr>
          <w:rFonts w:ascii="宋体" w:hAnsi="宋体"/>
          <w:szCs w:val="21"/>
        </w:rPr>
      </w:pPr>
      <w:r>
        <w:rPr>
          <w:rFonts w:hint="eastAsia" w:ascii="宋体" w:hAnsi="宋体"/>
          <w:szCs w:val="21"/>
        </w:rPr>
        <w:t>人民币（大写）</w:t>
      </w:r>
      <w:r>
        <w:rPr>
          <w:rFonts w:hint="eastAsia" w:ascii="宋体" w:hAnsi="宋体"/>
          <w:szCs w:val="21"/>
          <w:u w:val="single"/>
        </w:rPr>
        <w:t xml:space="preserve">                  </w:t>
      </w:r>
      <w:r>
        <w:rPr>
          <w:rFonts w:hint="eastAsia" w:ascii="宋体" w:hAnsi="宋体"/>
          <w:szCs w:val="21"/>
        </w:rPr>
        <w:t>（¥</w:t>
      </w:r>
      <w:r>
        <w:rPr>
          <w:rFonts w:hint="eastAsia" w:ascii="宋体" w:hAnsi="宋体"/>
          <w:szCs w:val="21"/>
          <w:u w:val="single"/>
        </w:rPr>
        <w:t xml:space="preserve">            </w:t>
      </w:r>
      <w:r>
        <w:rPr>
          <w:rFonts w:hint="eastAsia" w:ascii="宋体" w:hAnsi="宋体"/>
          <w:szCs w:val="21"/>
        </w:rPr>
        <w:t>元）；</w:t>
      </w:r>
    </w:p>
    <w:p>
      <w:pPr>
        <w:spacing w:line="360" w:lineRule="auto"/>
        <w:ind w:firstLine="420" w:firstLineChars="200"/>
        <w:rPr>
          <w:rFonts w:ascii="宋体" w:hAnsi="宋体"/>
          <w:szCs w:val="21"/>
        </w:rPr>
      </w:pPr>
      <w:r>
        <w:rPr>
          <w:rFonts w:hint="eastAsia" w:ascii="宋体" w:hAnsi="宋体"/>
          <w:szCs w:val="21"/>
        </w:rPr>
        <w:t>2.签约合同价为：</w:t>
      </w:r>
    </w:p>
    <w:p>
      <w:pPr>
        <w:snapToGrid w:val="0"/>
        <w:spacing w:line="360" w:lineRule="auto"/>
        <w:ind w:firstLine="420" w:firstLineChars="200"/>
        <w:rPr>
          <w:rFonts w:ascii="宋体" w:hAnsi="宋体"/>
          <w:szCs w:val="21"/>
        </w:rPr>
      </w:pPr>
      <w:r>
        <w:rPr>
          <w:rFonts w:hint="eastAsia" w:ascii="宋体" w:hAnsi="宋体"/>
          <w:szCs w:val="21"/>
        </w:rPr>
        <w:t>人民币（大写）</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w:t>
      </w:r>
      <w:r>
        <w:rPr>
          <w:rFonts w:ascii="宋体" w:hAnsi="宋体"/>
          <w:szCs w:val="21"/>
          <w:u w:val="single"/>
        </w:rPr>
        <w:t xml:space="preserve">            </w:t>
      </w:r>
      <w:r>
        <w:rPr>
          <w:rFonts w:ascii="宋体" w:hAnsi="宋体"/>
          <w:szCs w:val="21"/>
        </w:rPr>
        <w:t>元）</w:t>
      </w:r>
      <w:r>
        <w:rPr>
          <w:rFonts w:hint="eastAsia" w:ascii="宋体" w:hAnsi="宋体"/>
          <w:szCs w:val="21"/>
        </w:rPr>
        <w:t>；</w:t>
      </w:r>
    </w:p>
    <w:p>
      <w:pPr>
        <w:snapToGrid w:val="0"/>
        <w:spacing w:line="360" w:lineRule="auto"/>
        <w:ind w:firstLine="420" w:firstLineChars="200"/>
        <w:rPr>
          <w:rFonts w:ascii="宋体" w:hAnsi="宋体"/>
          <w:szCs w:val="21"/>
        </w:rPr>
      </w:pPr>
      <w:r>
        <w:rPr>
          <w:rFonts w:hint="eastAsia" w:ascii="宋体" w:hAnsi="宋体"/>
          <w:szCs w:val="21"/>
        </w:rPr>
        <w:t>其中：</w:t>
      </w:r>
    </w:p>
    <w:p>
      <w:pPr>
        <w:spacing w:line="360" w:lineRule="auto"/>
        <w:ind w:firstLine="420" w:firstLineChars="200"/>
        <w:rPr>
          <w:rFonts w:ascii="宋体" w:hAnsi="宋体"/>
          <w:szCs w:val="21"/>
        </w:rPr>
      </w:pPr>
      <w:r>
        <w:rPr>
          <w:rFonts w:hint="eastAsia" w:ascii="宋体" w:hAnsi="宋体"/>
          <w:szCs w:val="21"/>
        </w:rPr>
        <w:t>（1）安全文明施工费：</w:t>
      </w:r>
    </w:p>
    <w:p>
      <w:pPr>
        <w:spacing w:line="360" w:lineRule="auto"/>
        <w:ind w:firstLine="420" w:firstLineChars="200"/>
        <w:rPr>
          <w:rFonts w:ascii="宋体" w:hAnsi="宋体"/>
          <w:szCs w:val="21"/>
        </w:rPr>
      </w:pPr>
      <w:r>
        <w:rPr>
          <w:rFonts w:hint="eastAsia" w:ascii="宋体" w:hAnsi="宋体"/>
          <w:szCs w:val="21"/>
        </w:rPr>
        <w:t>人民币（大写）</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w:t>
      </w:r>
      <w:r>
        <w:rPr>
          <w:rFonts w:ascii="宋体" w:hAnsi="宋体"/>
          <w:szCs w:val="21"/>
          <w:u w:val="single"/>
        </w:rPr>
        <w:t xml:space="preserve">            </w:t>
      </w:r>
      <w:r>
        <w:rPr>
          <w:rFonts w:ascii="宋体" w:hAnsi="宋体"/>
          <w:szCs w:val="21"/>
        </w:rPr>
        <w:t>元）</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（2）材料和工程设备暂估价金额：</w:t>
      </w:r>
    </w:p>
    <w:p>
      <w:pPr>
        <w:spacing w:line="360" w:lineRule="auto"/>
        <w:ind w:firstLine="420" w:firstLineChars="200"/>
        <w:rPr>
          <w:rFonts w:ascii="宋体" w:hAnsi="宋体"/>
          <w:szCs w:val="21"/>
        </w:rPr>
      </w:pPr>
      <w:r>
        <w:rPr>
          <w:rFonts w:hint="eastAsia" w:ascii="宋体" w:hAnsi="宋体"/>
          <w:szCs w:val="21"/>
        </w:rPr>
        <w:t>人民币（大写）</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w:t>
      </w:r>
      <w:r>
        <w:rPr>
          <w:rFonts w:ascii="宋体" w:hAnsi="宋体"/>
          <w:szCs w:val="21"/>
          <w:u w:val="single"/>
        </w:rPr>
        <w:t xml:space="preserve">            </w:t>
      </w:r>
      <w:r>
        <w:rPr>
          <w:rFonts w:ascii="宋体" w:hAnsi="宋体"/>
          <w:szCs w:val="21"/>
        </w:rPr>
        <w:t>元）</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（3）专业工程暂估价金额：</w:t>
      </w:r>
    </w:p>
    <w:p>
      <w:pPr>
        <w:spacing w:line="360" w:lineRule="auto"/>
        <w:ind w:firstLine="420" w:firstLineChars="200"/>
        <w:rPr>
          <w:rFonts w:ascii="宋体" w:hAnsi="宋体"/>
          <w:szCs w:val="21"/>
        </w:rPr>
      </w:pPr>
      <w:r>
        <w:rPr>
          <w:rFonts w:hint="eastAsia" w:ascii="宋体" w:hAnsi="宋体"/>
          <w:szCs w:val="21"/>
        </w:rPr>
        <w:t>人民币（大写）</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w:t>
      </w:r>
      <w:r>
        <w:rPr>
          <w:rFonts w:ascii="宋体" w:hAnsi="宋体"/>
          <w:szCs w:val="21"/>
          <w:u w:val="single"/>
        </w:rPr>
        <w:t xml:space="preserve">            </w:t>
      </w:r>
      <w:r>
        <w:rPr>
          <w:rFonts w:ascii="宋体" w:hAnsi="宋体"/>
          <w:szCs w:val="21"/>
        </w:rPr>
        <w:t>元）</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（4）暂列金额：</w:t>
      </w:r>
    </w:p>
    <w:p>
      <w:pPr>
        <w:spacing w:line="360" w:lineRule="auto"/>
        <w:ind w:firstLine="420" w:firstLineChars="200"/>
        <w:rPr>
          <w:rFonts w:ascii="宋体" w:hAnsi="宋体"/>
          <w:szCs w:val="21"/>
        </w:rPr>
      </w:pPr>
      <w:r>
        <w:rPr>
          <w:rFonts w:hint="eastAsia" w:ascii="宋体" w:hAnsi="宋体"/>
          <w:szCs w:val="21"/>
        </w:rPr>
        <w:t>人民币（大写）</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w:t>
      </w:r>
      <w:r>
        <w:rPr>
          <w:rFonts w:ascii="宋体" w:hAnsi="宋体"/>
          <w:szCs w:val="21"/>
          <w:u w:val="single"/>
        </w:rPr>
        <w:t xml:space="preserve">            </w:t>
      </w:r>
      <w:r>
        <w:rPr>
          <w:rFonts w:ascii="宋体" w:hAnsi="宋体"/>
          <w:szCs w:val="21"/>
        </w:rPr>
        <w:t>元）</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（5）人工费（工资款）</w:t>
      </w:r>
    </w:p>
    <w:p>
      <w:pPr>
        <w:spacing w:line="360" w:lineRule="auto"/>
        <w:ind w:firstLine="420" w:firstLineChars="200"/>
        <w:rPr>
          <w:rFonts w:ascii="宋体" w:hAnsi="宋体"/>
          <w:szCs w:val="21"/>
        </w:rPr>
      </w:pPr>
      <w:r>
        <w:rPr>
          <w:rFonts w:hint="eastAsia" w:ascii="宋体" w:hAnsi="宋体"/>
          <w:szCs w:val="21"/>
        </w:rPr>
        <w:t>该项目实行人工费（工资款）与其他工程款分账管理，发包人将应付工程款中的人工费（工资款），以不低于已完成合同价款的    ，农民工工资单独支付至承包人设立的农民工工资专用账户。</w:t>
      </w:r>
    </w:p>
    <w:p>
      <w:pPr>
        <w:spacing w:line="360" w:lineRule="auto"/>
        <w:ind w:firstLine="420" w:firstLineChars="200"/>
        <w:rPr>
          <w:rFonts w:ascii="宋体" w:hAnsi="宋体"/>
          <w:szCs w:val="21"/>
        </w:rPr>
      </w:pPr>
      <w:r>
        <w:rPr>
          <w:rFonts w:hint="eastAsia" w:ascii="宋体" w:hAnsi="宋体"/>
          <w:szCs w:val="21"/>
        </w:rPr>
        <w:t>3.合同价格形式：</w:t>
      </w:r>
      <w:r>
        <w:rPr>
          <w:rFonts w:ascii="宋体" w:hAnsi="宋体"/>
          <w:szCs w:val="21"/>
          <w:u w:val="single"/>
        </w:rPr>
        <w:t xml:space="preserve">              </w:t>
      </w:r>
      <w:r>
        <w:rPr>
          <w:rFonts w:hint="eastAsia" w:ascii="宋体" w:hAnsi="宋体"/>
          <w:szCs w:val="21"/>
        </w:rPr>
        <w:t>。</w:t>
      </w:r>
    </w:p>
    <w:p>
      <w:pPr>
        <w:pStyle w:val="6"/>
        <w:spacing w:before="120" w:after="120" w:line="360" w:lineRule="auto"/>
        <w:ind w:firstLine="422" w:firstLineChars="200"/>
        <w:jc w:val="both"/>
        <w:rPr>
          <w:kern w:val="2"/>
          <w:sz w:val="21"/>
          <w:szCs w:val="21"/>
        </w:rPr>
      </w:pPr>
      <w:bookmarkStart w:id="231" w:name="_Toc351203485"/>
      <w:bookmarkStart w:id="232" w:name="_Toc532375577"/>
      <w:bookmarkStart w:id="233" w:name="_Toc532377170"/>
      <w:r>
        <w:rPr>
          <w:rFonts w:hint="eastAsia"/>
          <w:kern w:val="2"/>
          <w:sz w:val="21"/>
          <w:szCs w:val="21"/>
        </w:rPr>
        <w:t>五、</w:t>
      </w:r>
      <w:bookmarkEnd w:id="231"/>
      <w:r>
        <w:rPr>
          <w:rFonts w:hint="eastAsia"/>
          <w:kern w:val="2"/>
          <w:sz w:val="21"/>
          <w:szCs w:val="21"/>
        </w:rPr>
        <w:t>项目经理及技术负责人</w:t>
      </w:r>
      <w:bookmarkEnd w:id="232"/>
      <w:bookmarkEnd w:id="233"/>
    </w:p>
    <w:p>
      <w:pPr>
        <w:spacing w:line="360" w:lineRule="auto"/>
        <w:ind w:firstLine="420" w:firstLineChars="200"/>
        <w:rPr>
          <w:rFonts w:ascii="宋体" w:hAnsi="宋体"/>
          <w:szCs w:val="21"/>
        </w:rPr>
      </w:pPr>
      <w:r>
        <w:rPr>
          <w:rFonts w:hint="eastAsia" w:ascii="宋体" w:hAnsi="宋体"/>
          <w:szCs w:val="21"/>
        </w:rPr>
        <w:t>承包人投标文件中承诺的项目经理：</w:t>
      </w:r>
    </w:p>
    <w:p>
      <w:pPr>
        <w:spacing w:line="360" w:lineRule="auto"/>
        <w:ind w:firstLine="420" w:firstLineChars="200"/>
        <w:rPr>
          <w:rFonts w:ascii="宋体" w:hAnsi="宋体"/>
          <w:szCs w:val="21"/>
        </w:rPr>
      </w:pPr>
      <w:r>
        <w:rPr>
          <w:rFonts w:hint="eastAsia" w:ascii="宋体" w:hAnsi="宋体"/>
          <w:szCs w:val="21"/>
        </w:rPr>
        <w:t>姓名：</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身份证号码：</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建造师</w:t>
      </w:r>
      <w:r>
        <w:rPr>
          <w:rFonts w:ascii="宋体" w:hAnsi="宋体"/>
          <w:szCs w:val="21"/>
        </w:rPr>
        <w:t>注册证书号</w:t>
      </w:r>
      <w:r>
        <w:rPr>
          <w:rFonts w:hint="eastAsia" w:ascii="宋体" w:hAnsi="宋体"/>
          <w:szCs w:val="21"/>
        </w:rPr>
        <w:t>：</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承包人投标文件中承诺的技术负责人：</w:t>
      </w:r>
    </w:p>
    <w:p>
      <w:pPr>
        <w:spacing w:line="360" w:lineRule="auto"/>
        <w:ind w:firstLine="420" w:firstLineChars="200"/>
        <w:rPr>
          <w:rFonts w:ascii="宋体" w:hAnsi="宋体"/>
          <w:szCs w:val="21"/>
        </w:rPr>
      </w:pPr>
      <w:r>
        <w:rPr>
          <w:rFonts w:hint="eastAsia" w:ascii="宋体" w:hAnsi="宋体"/>
          <w:szCs w:val="21"/>
        </w:rPr>
        <w:t>姓名：</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身份证号码：</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w:t>
      </w:r>
    </w:p>
    <w:p>
      <w:pPr>
        <w:pStyle w:val="2"/>
        <w:spacing w:line="360" w:lineRule="auto"/>
        <w:rPr>
          <w:rFonts w:ascii="宋体" w:hAnsi="宋体"/>
          <w:szCs w:val="21"/>
        </w:rPr>
      </w:pPr>
      <w:r>
        <w:rPr>
          <w:rFonts w:hint="eastAsia" w:ascii="宋体" w:hAnsi="宋体"/>
          <w:szCs w:val="21"/>
        </w:rPr>
        <w:t xml:space="preserve">    证书名称</w:t>
      </w:r>
      <w:r>
        <w:rPr>
          <w:rFonts w:ascii="宋体" w:hAnsi="宋体"/>
          <w:szCs w:val="21"/>
        </w:rPr>
        <w:t>及号码：</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w:t>
      </w:r>
    </w:p>
    <w:p>
      <w:pPr>
        <w:pStyle w:val="6"/>
        <w:spacing w:before="120" w:after="120" w:line="360" w:lineRule="auto"/>
        <w:ind w:firstLine="422" w:firstLineChars="200"/>
        <w:jc w:val="both"/>
        <w:rPr>
          <w:kern w:val="2"/>
          <w:sz w:val="21"/>
          <w:szCs w:val="21"/>
        </w:rPr>
      </w:pPr>
      <w:bookmarkStart w:id="234" w:name="_Toc532377171"/>
      <w:bookmarkStart w:id="235" w:name="_Toc532375578"/>
      <w:bookmarkStart w:id="236" w:name="_Toc351203486"/>
      <w:r>
        <w:rPr>
          <w:rFonts w:hint="eastAsia"/>
          <w:kern w:val="2"/>
          <w:sz w:val="21"/>
          <w:szCs w:val="21"/>
        </w:rPr>
        <w:t>六、合同文件构成</w:t>
      </w:r>
      <w:bookmarkEnd w:id="234"/>
      <w:bookmarkEnd w:id="235"/>
      <w:bookmarkEnd w:id="236"/>
    </w:p>
    <w:p>
      <w:pPr>
        <w:spacing w:line="360" w:lineRule="auto"/>
        <w:ind w:firstLine="420" w:firstLineChars="200"/>
        <w:rPr>
          <w:rFonts w:ascii="宋体" w:hAnsi="宋体"/>
          <w:bCs/>
          <w:szCs w:val="21"/>
        </w:rPr>
      </w:pPr>
      <w:r>
        <w:rPr>
          <w:rFonts w:hint="eastAsia" w:ascii="宋体" w:hAnsi="宋体"/>
          <w:bCs/>
          <w:szCs w:val="21"/>
        </w:rPr>
        <w:t>合同由以下文件构成：</w:t>
      </w:r>
    </w:p>
    <w:p>
      <w:pPr>
        <w:spacing w:line="360" w:lineRule="auto"/>
        <w:ind w:firstLine="420" w:firstLineChars="200"/>
        <w:rPr>
          <w:rFonts w:ascii="宋体" w:hAnsi="宋体"/>
          <w:szCs w:val="21"/>
        </w:rPr>
      </w:pPr>
      <w:r>
        <w:rPr>
          <w:rFonts w:hint="eastAsia" w:ascii="宋体" w:hAnsi="宋体"/>
          <w:szCs w:val="21"/>
        </w:rPr>
        <w:t>（1）合同协议书；</w:t>
      </w:r>
    </w:p>
    <w:p>
      <w:pPr>
        <w:spacing w:line="360" w:lineRule="auto"/>
        <w:ind w:firstLine="420" w:firstLineChars="200"/>
        <w:rPr>
          <w:rFonts w:ascii="宋体" w:hAnsi="宋体"/>
          <w:szCs w:val="21"/>
        </w:rPr>
      </w:pPr>
      <w:r>
        <w:rPr>
          <w:rFonts w:hint="eastAsia" w:ascii="宋体" w:hAnsi="宋体"/>
          <w:szCs w:val="21"/>
        </w:rPr>
        <w:t>（2）中标通知书；</w:t>
      </w:r>
    </w:p>
    <w:p>
      <w:pPr>
        <w:spacing w:line="360" w:lineRule="auto"/>
        <w:ind w:firstLine="420" w:firstLineChars="200"/>
        <w:rPr>
          <w:rFonts w:ascii="宋体" w:hAnsi="宋体"/>
          <w:szCs w:val="21"/>
        </w:rPr>
      </w:pPr>
      <w:r>
        <w:rPr>
          <w:rFonts w:hint="eastAsia" w:ascii="宋体" w:hAnsi="宋体"/>
          <w:szCs w:val="21"/>
        </w:rPr>
        <w:t>（3）投标函及投标函附录；</w:t>
      </w:r>
    </w:p>
    <w:p>
      <w:pPr>
        <w:spacing w:line="360" w:lineRule="auto"/>
        <w:ind w:firstLine="420" w:firstLineChars="200"/>
        <w:rPr>
          <w:rFonts w:ascii="宋体" w:hAnsi="宋体"/>
          <w:szCs w:val="21"/>
        </w:rPr>
      </w:pPr>
      <w:r>
        <w:rPr>
          <w:rFonts w:hint="eastAsia" w:ascii="宋体" w:hAnsi="宋体"/>
          <w:szCs w:val="21"/>
        </w:rPr>
        <w:t>（4）专用合同条款及其附件；</w:t>
      </w:r>
    </w:p>
    <w:p>
      <w:pPr>
        <w:spacing w:line="360" w:lineRule="auto"/>
        <w:ind w:firstLine="420" w:firstLineChars="200"/>
        <w:rPr>
          <w:rFonts w:ascii="宋体" w:hAnsi="宋体"/>
          <w:szCs w:val="21"/>
        </w:rPr>
      </w:pPr>
      <w:r>
        <w:rPr>
          <w:rFonts w:hint="eastAsia" w:ascii="宋体" w:hAnsi="宋体"/>
          <w:szCs w:val="21"/>
        </w:rPr>
        <w:t>（5）通用合同条款；</w:t>
      </w:r>
    </w:p>
    <w:p>
      <w:pPr>
        <w:spacing w:line="360" w:lineRule="auto"/>
        <w:ind w:firstLine="420" w:firstLineChars="200"/>
        <w:rPr>
          <w:rFonts w:ascii="宋体" w:hAnsi="宋体"/>
          <w:szCs w:val="21"/>
        </w:rPr>
      </w:pPr>
      <w:r>
        <w:rPr>
          <w:rFonts w:hint="eastAsia" w:ascii="宋体" w:hAnsi="宋体"/>
          <w:szCs w:val="21"/>
        </w:rPr>
        <w:t>（6）投标文件（投标函及投标函附录除外）；</w:t>
      </w:r>
    </w:p>
    <w:p>
      <w:pPr>
        <w:spacing w:line="360" w:lineRule="auto"/>
        <w:ind w:firstLine="420" w:firstLineChars="200"/>
        <w:rPr>
          <w:rFonts w:ascii="宋体" w:hAnsi="宋体"/>
          <w:szCs w:val="21"/>
        </w:rPr>
      </w:pPr>
      <w:r>
        <w:rPr>
          <w:rFonts w:hint="eastAsia" w:ascii="宋体" w:hAnsi="宋体"/>
          <w:szCs w:val="21"/>
        </w:rPr>
        <w:t>（7）招标文件及修改文件；</w:t>
      </w:r>
    </w:p>
    <w:p>
      <w:pPr>
        <w:spacing w:line="360" w:lineRule="auto"/>
        <w:ind w:firstLine="420" w:firstLineChars="200"/>
        <w:rPr>
          <w:rFonts w:ascii="宋体" w:hAnsi="宋体"/>
          <w:szCs w:val="21"/>
        </w:rPr>
      </w:pPr>
      <w:r>
        <w:rPr>
          <w:rFonts w:hint="eastAsia" w:ascii="宋体" w:hAnsi="宋体"/>
          <w:szCs w:val="21"/>
        </w:rPr>
        <w:t>（8）技术标准和要求；</w:t>
      </w:r>
    </w:p>
    <w:p>
      <w:pPr>
        <w:spacing w:line="360" w:lineRule="auto"/>
        <w:ind w:firstLine="420" w:firstLineChars="200"/>
        <w:rPr>
          <w:rFonts w:ascii="宋体" w:hAnsi="宋体"/>
          <w:szCs w:val="21"/>
        </w:rPr>
      </w:pPr>
      <w:r>
        <w:rPr>
          <w:rFonts w:hint="eastAsia" w:ascii="宋体" w:hAnsi="宋体"/>
          <w:szCs w:val="21"/>
        </w:rPr>
        <w:t>（9）图纸；</w:t>
      </w:r>
    </w:p>
    <w:p>
      <w:pPr>
        <w:spacing w:line="360" w:lineRule="auto"/>
        <w:ind w:firstLine="420" w:firstLineChars="200"/>
        <w:rPr>
          <w:rFonts w:ascii="宋体" w:hAnsi="宋体"/>
          <w:szCs w:val="21"/>
        </w:rPr>
      </w:pPr>
      <w:r>
        <w:rPr>
          <w:rFonts w:hint="eastAsia" w:ascii="宋体" w:hAnsi="宋体"/>
          <w:szCs w:val="21"/>
        </w:rPr>
        <w:t>（10）其他合同文件。</w:t>
      </w:r>
    </w:p>
    <w:p>
      <w:pPr>
        <w:spacing w:line="360" w:lineRule="auto"/>
        <w:ind w:firstLine="420" w:firstLineChars="200"/>
        <w:rPr>
          <w:rFonts w:ascii="宋体" w:hAnsi="宋体"/>
          <w:szCs w:val="21"/>
        </w:rPr>
      </w:pPr>
      <w:r>
        <w:rPr>
          <w:rFonts w:hint="eastAsia" w:ascii="宋体" w:hAnsi="宋体"/>
          <w:szCs w:val="21"/>
        </w:rPr>
        <w:t>在合同订立、履行过程中形成的与合同有关的书面形式的文件均构成合同文件组成部分。</w:t>
      </w:r>
    </w:p>
    <w:p>
      <w:pPr>
        <w:spacing w:line="360" w:lineRule="auto"/>
        <w:ind w:firstLine="420" w:firstLineChars="200"/>
        <w:rPr>
          <w:rFonts w:ascii="宋体" w:hAnsi="宋体"/>
          <w:szCs w:val="21"/>
        </w:rPr>
      </w:pPr>
      <w:r>
        <w:rPr>
          <w:rFonts w:hint="eastAsia" w:ascii="宋体" w:hAnsi="宋体"/>
          <w:szCs w:val="21"/>
        </w:rPr>
        <w:t>上述各项合同文件包括合同当事人就该项合同文件所作出的补充和修改，属于同一类内容的文件，应以最新签署的为准。专用合同条款及其附件须经合同当事人签名或盖章。</w:t>
      </w:r>
    </w:p>
    <w:p>
      <w:pPr>
        <w:pStyle w:val="6"/>
        <w:spacing w:before="120" w:after="120" w:line="360" w:lineRule="auto"/>
        <w:ind w:firstLine="422" w:firstLineChars="200"/>
        <w:jc w:val="both"/>
        <w:rPr>
          <w:kern w:val="2"/>
          <w:sz w:val="21"/>
          <w:szCs w:val="21"/>
        </w:rPr>
      </w:pPr>
      <w:bookmarkStart w:id="237" w:name="_Toc351203487"/>
      <w:bookmarkStart w:id="238" w:name="_Toc532375579"/>
      <w:bookmarkStart w:id="239" w:name="_Toc532377172"/>
      <w:r>
        <w:rPr>
          <w:rFonts w:hint="eastAsia"/>
          <w:kern w:val="2"/>
          <w:sz w:val="21"/>
          <w:szCs w:val="21"/>
        </w:rPr>
        <w:t>七、承诺</w:t>
      </w:r>
      <w:bookmarkEnd w:id="237"/>
      <w:bookmarkEnd w:id="238"/>
      <w:bookmarkEnd w:id="239"/>
    </w:p>
    <w:p>
      <w:pPr>
        <w:spacing w:line="360" w:lineRule="auto"/>
        <w:ind w:firstLine="420" w:firstLineChars="200"/>
        <w:rPr>
          <w:rFonts w:ascii="宋体" w:hAnsi="宋体"/>
          <w:bCs/>
          <w:szCs w:val="21"/>
        </w:rPr>
      </w:pPr>
      <w:r>
        <w:rPr>
          <w:rFonts w:hint="eastAsia" w:ascii="宋体" w:hAnsi="宋体"/>
          <w:bCs/>
          <w:szCs w:val="21"/>
        </w:rPr>
        <w:t>1.发包人承诺按照法律规定履行项目审批手续、筹集工程建设资金并按照合同约定的期限和方式支付合同价款。</w:t>
      </w:r>
    </w:p>
    <w:p>
      <w:pPr>
        <w:spacing w:line="360" w:lineRule="auto"/>
        <w:ind w:firstLine="420" w:firstLineChars="200"/>
        <w:rPr>
          <w:rFonts w:ascii="宋体" w:hAnsi="宋体"/>
          <w:bCs/>
          <w:szCs w:val="21"/>
        </w:rPr>
      </w:pPr>
      <w:r>
        <w:rPr>
          <w:rFonts w:hint="eastAsia" w:ascii="宋体" w:hAnsi="宋体"/>
          <w:bCs/>
          <w:szCs w:val="21"/>
        </w:rPr>
        <w:t>2.</w:t>
      </w:r>
      <w:r>
        <w:rPr>
          <w:rFonts w:hint="eastAsia" w:ascii="宋体" w:hAnsi="宋体"/>
          <w:szCs w:val="21"/>
        </w:rPr>
        <w:t>承包人承诺按照法律规定及合同约定组织完成工程施工，确保工程质量和安全，不进行转包及违法分包，并在缺陷责任期及保修期内承担相应的工程维修责任</w:t>
      </w:r>
      <w:r>
        <w:rPr>
          <w:rFonts w:hint="eastAsia" w:ascii="宋体" w:hAnsi="宋体"/>
          <w:bCs/>
          <w:szCs w:val="21"/>
        </w:rPr>
        <w:t>。</w:t>
      </w:r>
    </w:p>
    <w:p>
      <w:pPr>
        <w:spacing w:line="360" w:lineRule="auto"/>
        <w:ind w:firstLine="420" w:firstLineChars="200"/>
        <w:rPr>
          <w:rFonts w:ascii="宋体" w:hAnsi="宋体"/>
          <w:bCs/>
          <w:szCs w:val="21"/>
        </w:rPr>
      </w:pPr>
      <w:r>
        <w:rPr>
          <w:rFonts w:hint="eastAsia" w:ascii="宋体" w:hAnsi="宋体"/>
          <w:bCs/>
          <w:szCs w:val="21"/>
        </w:rPr>
        <w:t>3.发包人和承包人通过招投标形式签订合同的，双方理解并承诺不再就同一工程另行签订与合同实质性内容相背离的协议。</w:t>
      </w:r>
    </w:p>
    <w:p>
      <w:pPr>
        <w:pStyle w:val="6"/>
        <w:spacing w:before="120" w:after="120" w:line="360" w:lineRule="auto"/>
        <w:ind w:firstLine="422" w:firstLineChars="200"/>
        <w:jc w:val="both"/>
        <w:rPr>
          <w:kern w:val="2"/>
          <w:sz w:val="21"/>
          <w:szCs w:val="21"/>
        </w:rPr>
      </w:pPr>
      <w:bookmarkStart w:id="240" w:name="_Toc532375580"/>
      <w:bookmarkStart w:id="241" w:name="_Toc532377173"/>
      <w:bookmarkStart w:id="242" w:name="_Toc351203488"/>
      <w:r>
        <w:rPr>
          <w:rFonts w:hint="eastAsia"/>
          <w:kern w:val="2"/>
          <w:sz w:val="21"/>
          <w:szCs w:val="21"/>
        </w:rPr>
        <w:t>八、词语含义</w:t>
      </w:r>
      <w:bookmarkEnd w:id="240"/>
      <w:bookmarkEnd w:id="241"/>
      <w:bookmarkEnd w:id="242"/>
    </w:p>
    <w:p>
      <w:pPr>
        <w:spacing w:line="360" w:lineRule="auto"/>
        <w:ind w:firstLine="420" w:firstLineChars="200"/>
        <w:rPr>
          <w:rFonts w:ascii="宋体" w:hAnsi="宋体"/>
          <w:bCs/>
          <w:szCs w:val="21"/>
        </w:rPr>
      </w:pPr>
      <w:r>
        <w:rPr>
          <w:rFonts w:hint="eastAsia" w:ascii="宋体" w:hAnsi="宋体"/>
          <w:bCs/>
          <w:szCs w:val="21"/>
        </w:rPr>
        <w:t>本协议书中词语含义与专用合同条款及通用合同条款中赋予的含义相同。</w:t>
      </w:r>
    </w:p>
    <w:p>
      <w:pPr>
        <w:pStyle w:val="6"/>
        <w:spacing w:before="120" w:after="120" w:line="360" w:lineRule="auto"/>
        <w:ind w:firstLine="422" w:firstLineChars="200"/>
        <w:jc w:val="both"/>
        <w:rPr>
          <w:kern w:val="2"/>
          <w:sz w:val="21"/>
          <w:szCs w:val="21"/>
        </w:rPr>
      </w:pPr>
      <w:bookmarkStart w:id="243" w:name="_Toc532375581"/>
      <w:bookmarkStart w:id="244" w:name="_Toc532377174"/>
      <w:r>
        <w:rPr>
          <w:rFonts w:hint="eastAsia"/>
          <w:kern w:val="2"/>
          <w:sz w:val="21"/>
          <w:szCs w:val="21"/>
        </w:rPr>
        <w:t>九、签订时间</w:t>
      </w:r>
      <w:bookmarkEnd w:id="243"/>
      <w:bookmarkEnd w:id="244"/>
    </w:p>
    <w:p>
      <w:pPr>
        <w:spacing w:line="360" w:lineRule="auto"/>
        <w:ind w:firstLine="420" w:firstLineChars="200"/>
        <w:rPr>
          <w:rFonts w:ascii="宋体" w:hAnsi="宋体"/>
          <w:szCs w:val="21"/>
        </w:rPr>
      </w:pPr>
      <w:r>
        <w:rPr>
          <w:rFonts w:hint="eastAsia" w:ascii="宋体" w:hAnsi="宋体"/>
          <w:bCs/>
          <w:szCs w:val="21"/>
        </w:rPr>
        <w:t>合同于</w:t>
      </w:r>
      <w:r>
        <w:rPr>
          <w:rFonts w:hint="eastAsia" w:ascii="宋体" w:hAnsi="宋体"/>
          <w:bCs/>
          <w:szCs w:val="21"/>
          <w:u w:val="single"/>
        </w:rPr>
        <w:t xml:space="preserve">    </w:t>
      </w:r>
      <w:r>
        <w:rPr>
          <w:rFonts w:hint="eastAsia" w:ascii="宋体" w:hAnsi="宋体"/>
          <w:bCs/>
          <w:szCs w:val="21"/>
        </w:rPr>
        <w:t>年</w:t>
      </w:r>
      <w:r>
        <w:rPr>
          <w:rFonts w:hint="eastAsia" w:ascii="宋体" w:hAnsi="宋体"/>
          <w:bCs/>
          <w:szCs w:val="21"/>
          <w:u w:val="single"/>
        </w:rPr>
        <w:t xml:space="preserve">    </w:t>
      </w:r>
      <w:r>
        <w:rPr>
          <w:rFonts w:hint="eastAsia" w:ascii="宋体" w:hAnsi="宋体"/>
          <w:bCs/>
          <w:szCs w:val="21"/>
        </w:rPr>
        <w:t>月</w:t>
      </w:r>
      <w:r>
        <w:rPr>
          <w:rFonts w:hint="eastAsia" w:ascii="宋体" w:hAnsi="宋体"/>
          <w:bCs/>
          <w:szCs w:val="21"/>
          <w:u w:val="single"/>
        </w:rPr>
        <w:t xml:space="preserve">    </w:t>
      </w:r>
      <w:r>
        <w:rPr>
          <w:rFonts w:hint="eastAsia" w:ascii="宋体" w:hAnsi="宋体"/>
          <w:bCs/>
          <w:szCs w:val="21"/>
        </w:rPr>
        <w:t>日签订</w:t>
      </w:r>
    </w:p>
    <w:p>
      <w:pPr>
        <w:pStyle w:val="6"/>
        <w:spacing w:before="120" w:after="120" w:line="360" w:lineRule="auto"/>
        <w:ind w:firstLine="422" w:firstLineChars="200"/>
        <w:jc w:val="both"/>
        <w:rPr>
          <w:kern w:val="2"/>
          <w:sz w:val="21"/>
          <w:szCs w:val="21"/>
        </w:rPr>
      </w:pPr>
      <w:bookmarkStart w:id="245" w:name="_Toc351203489"/>
      <w:bookmarkStart w:id="246" w:name="_Toc532375582"/>
      <w:bookmarkStart w:id="247" w:name="_Toc532377175"/>
      <w:r>
        <w:rPr>
          <w:rFonts w:hint="eastAsia"/>
          <w:kern w:val="2"/>
          <w:sz w:val="21"/>
          <w:szCs w:val="21"/>
        </w:rPr>
        <w:t>十、</w:t>
      </w:r>
      <w:bookmarkEnd w:id="245"/>
      <w:bookmarkStart w:id="248" w:name="_Toc351203490"/>
      <w:r>
        <w:rPr>
          <w:rFonts w:hint="eastAsia"/>
          <w:kern w:val="2"/>
          <w:sz w:val="21"/>
          <w:szCs w:val="21"/>
        </w:rPr>
        <w:t>签订地点</w:t>
      </w:r>
      <w:bookmarkEnd w:id="246"/>
      <w:bookmarkEnd w:id="247"/>
      <w:bookmarkEnd w:id="248"/>
    </w:p>
    <w:p>
      <w:pPr>
        <w:spacing w:line="360" w:lineRule="auto"/>
        <w:ind w:firstLine="420" w:firstLineChars="200"/>
        <w:rPr>
          <w:rFonts w:ascii="宋体" w:hAnsi="宋体"/>
          <w:bCs/>
          <w:szCs w:val="21"/>
        </w:rPr>
      </w:pPr>
      <w:r>
        <w:rPr>
          <w:rFonts w:hint="eastAsia" w:ascii="宋体" w:hAnsi="宋体"/>
          <w:bCs/>
          <w:szCs w:val="21"/>
        </w:rPr>
        <w:t>合同在</w:t>
      </w:r>
      <w:r>
        <w:rPr>
          <w:rFonts w:hint="eastAsia" w:ascii="宋体" w:hAnsi="宋体"/>
          <w:bCs/>
          <w:szCs w:val="21"/>
          <w:u w:val="single"/>
        </w:rPr>
        <w:t xml:space="preserve">            </w:t>
      </w:r>
      <w:r>
        <w:rPr>
          <w:rFonts w:hint="eastAsia" w:ascii="宋体" w:hAnsi="宋体"/>
          <w:bCs/>
          <w:szCs w:val="21"/>
        </w:rPr>
        <w:t>签订。</w:t>
      </w:r>
    </w:p>
    <w:p>
      <w:pPr>
        <w:pStyle w:val="6"/>
        <w:spacing w:before="120" w:after="120" w:line="360" w:lineRule="auto"/>
        <w:ind w:firstLine="422" w:firstLineChars="200"/>
        <w:jc w:val="both"/>
        <w:rPr>
          <w:kern w:val="2"/>
          <w:sz w:val="21"/>
          <w:szCs w:val="21"/>
        </w:rPr>
      </w:pPr>
      <w:bookmarkStart w:id="249" w:name="_Toc351203491"/>
      <w:bookmarkStart w:id="250" w:name="_Toc532377176"/>
      <w:bookmarkStart w:id="251" w:name="_Toc532375583"/>
      <w:r>
        <w:rPr>
          <w:rFonts w:hint="eastAsia"/>
          <w:kern w:val="2"/>
          <w:sz w:val="21"/>
          <w:szCs w:val="21"/>
        </w:rPr>
        <w:t>十一、补充协议</w:t>
      </w:r>
      <w:bookmarkEnd w:id="249"/>
      <w:bookmarkEnd w:id="250"/>
      <w:bookmarkEnd w:id="251"/>
    </w:p>
    <w:p>
      <w:pPr>
        <w:spacing w:line="360" w:lineRule="auto"/>
        <w:ind w:firstLine="420" w:firstLineChars="200"/>
        <w:rPr>
          <w:rFonts w:ascii="宋体" w:hAnsi="宋体"/>
          <w:b/>
          <w:bCs/>
          <w:szCs w:val="21"/>
        </w:rPr>
      </w:pPr>
      <w:r>
        <w:rPr>
          <w:rFonts w:hint="eastAsia" w:ascii="宋体" w:hAnsi="宋体"/>
          <w:bCs/>
          <w:szCs w:val="21"/>
        </w:rPr>
        <w:t>合同未尽事宜，合同当事人另行签订补充协议，补充协议是合同的组成部分。</w:t>
      </w:r>
    </w:p>
    <w:p>
      <w:pPr>
        <w:pStyle w:val="6"/>
        <w:spacing w:before="120" w:after="120" w:line="360" w:lineRule="auto"/>
        <w:ind w:firstLine="422" w:firstLineChars="200"/>
        <w:jc w:val="both"/>
        <w:rPr>
          <w:kern w:val="2"/>
          <w:sz w:val="21"/>
          <w:szCs w:val="21"/>
        </w:rPr>
      </w:pPr>
      <w:bookmarkStart w:id="252" w:name="_Toc351203492"/>
      <w:bookmarkStart w:id="253" w:name="_Toc532375584"/>
      <w:bookmarkStart w:id="254" w:name="_Toc532377177"/>
      <w:r>
        <w:rPr>
          <w:rFonts w:hint="eastAsia"/>
          <w:kern w:val="2"/>
          <w:sz w:val="21"/>
          <w:szCs w:val="21"/>
        </w:rPr>
        <w:t>十二、合同生效</w:t>
      </w:r>
      <w:bookmarkEnd w:id="252"/>
      <w:bookmarkEnd w:id="253"/>
      <w:bookmarkEnd w:id="254"/>
    </w:p>
    <w:p>
      <w:pPr>
        <w:spacing w:line="360" w:lineRule="auto"/>
        <w:ind w:firstLine="420" w:firstLineChars="200"/>
        <w:rPr>
          <w:rFonts w:ascii="宋体" w:hAnsi="宋体"/>
          <w:bCs/>
          <w:szCs w:val="21"/>
        </w:rPr>
      </w:pPr>
      <w:r>
        <w:rPr>
          <w:rFonts w:hint="eastAsia" w:ascii="宋体" w:hAnsi="宋体"/>
          <w:bCs/>
          <w:szCs w:val="21"/>
        </w:rPr>
        <w:t>合同在以下条件全部满足之后生效：</w:t>
      </w:r>
    </w:p>
    <w:p>
      <w:pPr>
        <w:spacing w:line="360" w:lineRule="auto"/>
        <w:ind w:firstLine="420" w:firstLineChars="200"/>
        <w:rPr>
          <w:rFonts w:ascii="宋体" w:hAnsi="宋体"/>
          <w:szCs w:val="21"/>
        </w:rPr>
      </w:pPr>
      <w:r>
        <w:rPr>
          <w:rFonts w:hint="eastAsia" w:ascii="宋体" w:hAnsi="宋体"/>
          <w:bCs/>
          <w:szCs w:val="21"/>
        </w:rPr>
        <w:t>1.合同</w:t>
      </w:r>
      <w:r>
        <w:rPr>
          <w:rFonts w:hint="eastAsia" w:ascii="宋体" w:hAnsi="宋体"/>
          <w:szCs w:val="21"/>
        </w:rPr>
        <w:t>经双方法定代表人或其委托代理人签名并加盖</w:t>
      </w:r>
      <w:r>
        <w:rPr>
          <w:rFonts w:hint="eastAsia" w:ascii="宋体" w:hAnsi="宋体"/>
          <w:snapToGrid w:val="0"/>
          <w:kern w:val="0"/>
          <w:szCs w:val="21"/>
        </w:rPr>
        <w:t>公章或合同专用章</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2.采用保函形式递交履约担保的，承包人按合同约定向发包人提交履约担保后；</w:t>
      </w:r>
    </w:p>
    <w:p>
      <w:pPr>
        <w:spacing w:line="360" w:lineRule="auto"/>
        <w:ind w:firstLine="420" w:firstLineChars="200"/>
        <w:rPr>
          <w:rFonts w:ascii="宋体" w:hAnsi="宋体"/>
          <w:bCs/>
          <w:szCs w:val="21"/>
        </w:rPr>
      </w:pPr>
      <w:r>
        <w:rPr>
          <w:rFonts w:hint="eastAsia" w:ascii="宋体" w:hAnsi="宋体"/>
          <w:bCs/>
          <w:szCs w:val="21"/>
        </w:rPr>
        <w:t>3.</w:t>
      </w:r>
      <w:r>
        <w:rPr>
          <w:rFonts w:hint="eastAsia" w:ascii="宋体" w:hAnsi="宋体"/>
          <w:szCs w:val="21"/>
          <w:u w:val="single"/>
        </w:rPr>
        <w:t xml:space="preserve">        </w:t>
      </w:r>
      <w:r>
        <w:rPr>
          <w:rFonts w:hint="eastAsia" w:ascii="宋体" w:hAnsi="宋体"/>
          <w:szCs w:val="21"/>
        </w:rPr>
        <w:t>。</w:t>
      </w:r>
    </w:p>
    <w:p>
      <w:pPr>
        <w:pStyle w:val="6"/>
        <w:spacing w:before="120" w:after="120" w:line="360" w:lineRule="auto"/>
        <w:ind w:firstLine="422" w:firstLineChars="200"/>
        <w:jc w:val="both"/>
        <w:rPr>
          <w:kern w:val="2"/>
          <w:sz w:val="21"/>
          <w:szCs w:val="21"/>
        </w:rPr>
      </w:pPr>
      <w:bookmarkStart w:id="255" w:name="_Toc532375585"/>
      <w:bookmarkStart w:id="256" w:name="_Toc532377178"/>
      <w:bookmarkStart w:id="257" w:name="_Toc351203493"/>
      <w:r>
        <w:rPr>
          <w:rFonts w:hint="eastAsia"/>
          <w:kern w:val="2"/>
          <w:sz w:val="21"/>
          <w:szCs w:val="21"/>
        </w:rPr>
        <w:t>十三、合同份数</w:t>
      </w:r>
      <w:bookmarkEnd w:id="255"/>
      <w:bookmarkEnd w:id="256"/>
      <w:bookmarkEnd w:id="257"/>
    </w:p>
    <w:p>
      <w:pPr>
        <w:spacing w:line="360" w:lineRule="auto"/>
        <w:ind w:firstLine="420" w:firstLineChars="200"/>
        <w:rPr>
          <w:rFonts w:ascii="宋体" w:hAnsi="宋体"/>
          <w:bCs/>
          <w:szCs w:val="21"/>
        </w:rPr>
      </w:pPr>
      <w:r>
        <w:rPr>
          <w:rFonts w:hint="eastAsia" w:ascii="宋体" w:hAnsi="宋体" w:cs="Microsoft Sans Serif"/>
          <w:bCs/>
          <w:szCs w:val="21"/>
        </w:rPr>
        <w:t>合同一式</w:t>
      </w:r>
      <w:r>
        <w:rPr>
          <w:rFonts w:hint="eastAsia" w:ascii="宋体" w:hAnsi="宋体" w:cs="Microsoft Sans Serif"/>
          <w:bCs/>
          <w:szCs w:val="21"/>
          <w:u w:val="single"/>
        </w:rPr>
        <w:t xml:space="preserve">     </w:t>
      </w:r>
      <w:r>
        <w:rPr>
          <w:rFonts w:hint="eastAsia" w:ascii="宋体" w:hAnsi="宋体" w:cs="Microsoft Sans Serif"/>
          <w:bCs/>
          <w:szCs w:val="21"/>
        </w:rPr>
        <w:t>份，其中正本</w:t>
      </w:r>
      <w:r>
        <w:rPr>
          <w:rFonts w:hint="eastAsia" w:ascii="宋体" w:hAnsi="宋体" w:cs="Microsoft Sans Serif"/>
          <w:bCs/>
          <w:szCs w:val="21"/>
          <w:u w:val="single"/>
        </w:rPr>
        <w:t xml:space="preserve">    </w:t>
      </w:r>
      <w:r>
        <w:rPr>
          <w:rFonts w:hint="eastAsia" w:ascii="宋体" w:hAnsi="宋体" w:cs="Microsoft Sans Serif"/>
          <w:bCs/>
          <w:szCs w:val="21"/>
        </w:rPr>
        <w:t>份，双方各持</w:t>
      </w:r>
      <w:r>
        <w:rPr>
          <w:rFonts w:hint="eastAsia" w:ascii="宋体" w:hAnsi="宋体" w:cs="Microsoft Sans Serif"/>
          <w:bCs/>
          <w:szCs w:val="21"/>
          <w:u w:val="single"/>
        </w:rPr>
        <w:t xml:space="preserve">    </w:t>
      </w:r>
      <w:r>
        <w:rPr>
          <w:rFonts w:hint="eastAsia" w:ascii="宋体" w:hAnsi="宋体" w:cs="Microsoft Sans Serif"/>
          <w:bCs/>
          <w:szCs w:val="21"/>
        </w:rPr>
        <w:t>份，副本</w:t>
      </w:r>
      <w:r>
        <w:rPr>
          <w:rFonts w:hint="eastAsia" w:ascii="宋体" w:hAnsi="宋体" w:cs="Microsoft Sans Serif"/>
          <w:bCs/>
          <w:szCs w:val="21"/>
          <w:u w:val="single"/>
        </w:rPr>
        <w:t xml:space="preserve">    </w:t>
      </w:r>
      <w:r>
        <w:rPr>
          <w:rFonts w:hint="eastAsia" w:ascii="宋体" w:hAnsi="宋体" w:cs="Microsoft Sans Serif"/>
          <w:bCs/>
          <w:szCs w:val="21"/>
        </w:rPr>
        <w:t>份，双方各执</w:t>
      </w:r>
      <w:r>
        <w:rPr>
          <w:rFonts w:hint="eastAsia" w:ascii="宋体" w:hAnsi="宋体" w:cs="Microsoft Sans Serif"/>
          <w:bCs/>
          <w:szCs w:val="21"/>
          <w:u w:val="single"/>
        </w:rPr>
        <w:t xml:space="preserve">    </w:t>
      </w:r>
      <w:r>
        <w:rPr>
          <w:rFonts w:hint="eastAsia" w:ascii="宋体" w:hAnsi="宋体" w:cs="Microsoft Sans Serif"/>
          <w:bCs/>
          <w:szCs w:val="21"/>
        </w:rPr>
        <w:t>份。副本与正本不一致时，以正本为准</w:t>
      </w:r>
      <w:r>
        <w:rPr>
          <w:rFonts w:hint="eastAsia" w:ascii="宋体" w:hAnsi="宋体"/>
          <w:bCs/>
          <w:szCs w:val="21"/>
        </w:rPr>
        <w:t>。</w:t>
      </w:r>
    </w:p>
    <w:p>
      <w:pPr>
        <w:spacing w:line="360" w:lineRule="auto"/>
        <w:ind w:firstLine="420" w:firstLineChars="200"/>
        <w:rPr>
          <w:rFonts w:ascii="宋体" w:hAnsi="宋体"/>
          <w:bCs/>
          <w:szCs w:val="21"/>
        </w:rPr>
      </w:pPr>
    </w:p>
    <w:p>
      <w:pPr>
        <w:spacing w:line="360" w:lineRule="auto"/>
        <w:ind w:firstLine="420" w:firstLineChars="200"/>
        <w:rPr>
          <w:rFonts w:ascii="宋体" w:hAnsi="宋体"/>
          <w:bCs/>
          <w:szCs w:val="21"/>
        </w:rPr>
      </w:pPr>
      <w:r>
        <w:rPr>
          <w:rFonts w:hint="eastAsia" w:ascii="宋体" w:hAnsi="宋体"/>
          <w:bCs/>
          <w:szCs w:val="21"/>
        </w:rPr>
        <w:t>（以下为签名盖章页）。</w:t>
      </w:r>
    </w:p>
    <w:p>
      <w:pPr>
        <w:pStyle w:val="2"/>
        <w:spacing w:line="360" w:lineRule="auto"/>
        <w:ind w:firstLine="420" w:firstLineChars="200"/>
        <w:rPr>
          <w:rFonts w:ascii="宋体" w:hAnsi="宋体"/>
          <w:szCs w:val="21"/>
        </w:rPr>
      </w:pPr>
    </w:p>
    <w:p>
      <w:pPr>
        <w:pStyle w:val="2"/>
        <w:spacing w:line="360" w:lineRule="auto"/>
        <w:ind w:firstLine="420" w:firstLineChars="200"/>
        <w:rPr>
          <w:rFonts w:ascii="宋体" w:hAnsi="宋体"/>
          <w:szCs w:val="21"/>
        </w:rPr>
      </w:pPr>
    </w:p>
    <w:p>
      <w:pPr>
        <w:adjustRightInd w:val="0"/>
        <w:spacing w:line="360" w:lineRule="auto"/>
        <w:ind w:firstLine="420" w:firstLineChars="200"/>
        <w:rPr>
          <w:rFonts w:ascii="宋体" w:hAnsi="宋体"/>
          <w:snapToGrid w:val="0"/>
          <w:kern w:val="0"/>
          <w:szCs w:val="21"/>
        </w:rPr>
      </w:pPr>
      <w:bookmarkStart w:id="258" w:name="_Toc467689623"/>
      <w:r>
        <w:rPr>
          <w:rFonts w:ascii="宋体" w:hAnsi="宋体"/>
          <w:snapToGrid w:val="0"/>
          <w:kern w:val="0"/>
          <w:szCs w:val="21"/>
        </w:rPr>
        <w:t>发包人：</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r>
        <w:rPr>
          <w:rFonts w:ascii="宋体" w:hAnsi="宋体"/>
          <w:snapToGrid w:val="0"/>
          <w:kern w:val="0"/>
          <w:szCs w:val="21"/>
        </w:rPr>
        <w:t>（公章</w:t>
      </w:r>
      <w:r>
        <w:rPr>
          <w:rFonts w:hint="eastAsia" w:ascii="宋体" w:hAnsi="宋体"/>
          <w:snapToGrid w:val="0"/>
          <w:kern w:val="0"/>
          <w:szCs w:val="21"/>
        </w:rPr>
        <w:t>或合同专用章</w:t>
      </w:r>
      <w:r>
        <w:rPr>
          <w:rFonts w:ascii="宋体" w:hAnsi="宋体"/>
          <w:snapToGrid w:val="0"/>
          <w:kern w:val="0"/>
          <w:szCs w:val="21"/>
        </w:rPr>
        <w:t>）</w:t>
      </w:r>
    </w:p>
    <w:p>
      <w:pPr>
        <w:spacing w:line="360" w:lineRule="auto"/>
        <w:ind w:firstLine="420" w:firstLineChars="200"/>
        <w:rPr>
          <w:rFonts w:ascii="宋体" w:hAnsi="宋体"/>
          <w:snapToGrid w:val="0"/>
          <w:kern w:val="0"/>
          <w:szCs w:val="21"/>
        </w:rPr>
      </w:pPr>
      <w:r>
        <w:rPr>
          <w:rFonts w:ascii="宋体" w:hAnsi="宋体"/>
          <w:snapToGrid w:val="0"/>
          <w:kern w:val="0"/>
          <w:szCs w:val="21"/>
        </w:rPr>
        <w:t>法定代表人或其委托代理人：</w:t>
      </w:r>
      <w:r>
        <w:rPr>
          <w:rFonts w:ascii="宋体" w:hAnsi="宋体"/>
          <w:snapToGrid w:val="0"/>
          <w:w w:val="200"/>
          <w:kern w:val="0"/>
          <w:szCs w:val="21"/>
          <w:u w:val="single"/>
        </w:rPr>
        <w:t xml:space="preserve"> </w:t>
      </w:r>
      <w:r>
        <w:rPr>
          <w:rFonts w:ascii="宋体" w:hAnsi="宋体"/>
          <w:snapToGrid w:val="0"/>
          <w:kern w:val="0"/>
          <w:szCs w:val="21"/>
          <w:u w:val="single"/>
        </w:rPr>
        <w:t xml:space="preserve">                  </w:t>
      </w:r>
      <w:r>
        <w:rPr>
          <w:rFonts w:ascii="宋体" w:hAnsi="宋体"/>
          <w:snapToGrid w:val="0"/>
          <w:kern w:val="0"/>
          <w:szCs w:val="21"/>
        </w:rPr>
        <w:t>（</w:t>
      </w:r>
      <w:r>
        <w:rPr>
          <w:rFonts w:hint="eastAsia" w:ascii="宋体" w:hAnsi="宋体"/>
          <w:snapToGrid w:val="0"/>
          <w:kern w:val="0"/>
          <w:szCs w:val="21"/>
        </w:rPr>
        <w:t>签名</w:t>
      </w:r>
      <w:r>
        <w:rPr>
          <w:rFonts w:ascii="宋体" w:hAnsi="宋体"/>
          <w:snapToGrid w:val="0"/>
          <w:kern w:val="0"/>
          <w:szCs w:val="21"/>
        </w:rPr>
        <w:t>）</w:t>
      </w:r>
    </w:p>
    <w:p>
      <w:pPr>
        <w:spacing w:line="360" w:lineRule="auto"/>
        <w:ind w:firstLine="420" w:firstLineChars="200"/>
        <w:rPr>
          <w:rFonts w:ascii="宋体" w:hAnsi="宋体"/>
          <w:snapToGrid w:val="0"/>
          <w:kern w:val="0"/>
          <w:szCs w:val="21"/>
        </w:rPr>
      </w:pPr>
      <w:r>
        <w:rPr>
          <w:rFonts w:hint="eastAsia" w:ascii="宋体" w:hAnsi="宋体"/>
          <w:snapToGrid w:val="0"/>
          <w:kern w:val="0"/>
          <w:szCs w:val="21"/>
        </w:rPr>
        <w:t>统一社会信用代码：</w:t>
      </w:r>
      <w:r>
        <w:rPr>
          <w:rFonts w:ascii="宋体" w:hAnsi="宋体"/>
          <w:snapToGrid w:val="0"/>
          <w:w w:val="200"/>
          <w:kern w:val="0"/>
          <w:szCs w:val="21"/>
          <w:u w:val="single"/>
        </w:rPr>
        <w:t xml:space="preserve"> </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p>
    <w:p>
      <w:pPr>
        <w:spacing w:line="360" w:lineRule="auto"/>
        <w:ind w:firstLine="420" w:firstLineChars="200"/>
        <w:rPr>
          <w:rFonts w:ascii="宋体" w:hAnsi="宋体"/>
          <w:snapToGrid w:val="0"/>
          <w:kern w:val="0"/>
          <w:szCs w:val="21"/>
          <w:u w:val="single"/>
        </w:rPr>
      </w:pPr>
      <w:r>
        <w:rPr>
          <w:rFonts w:hint="eastAsia" w:ascii="宋体" w:hAnsi="宋体"/>
          <w:snapToGrid w:val="0"/>
          <w:kern w:val="0"/>
          <w:szCs w:val="21"/>
        </w:rPr>
        <w:t>纳税人识别号：</w:t>
      </w:r>
      <w:r>
        <w:rPr>
          <w:rFonts w:ascii="宋体" w:hAnsi="宋体"/>
          <w:snapToGrid w:val="0"/>
          <w:w w:val="200"/>
          <w:kern w:val="0"/>
          <w:szCs w:val="21"/>
          <w:u w:val="single"/>
        </w:rPr>
        <w:t xml:space="preserve"> </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p>
    <w:p>
      <w:pPr>
        <w:spacing w:line="360" w:lineRule="auto"/>
        <w:ind w:firstLine="420" w:firstLineChars="200"/>
        <w:rPr>
          <w:rFonts w:ascii="宋体" w:hAnsi="宋体"/>
          <w:snapToGrid w:val="0"/>
          <w:kern w:val="0"/>
          <w:szCs w:val="21"/>
          <w:u w:val="single"/>
        </w:rPr>
      </w:pPr>
      <w:r>
        <w:rPr>
          <w:rFonts w:hint="eastAsia" w:ascii="宋体" w:hAnsi="宋体"/>
          <w:snapToGrid w:val="0"/>
          <w:kern w:val="0"/>
          <w:szCs w:val="21"/>
        </w:rPr>
        <w:t>地    址：</w:t>
      </w:r>
      <w:r>
        <w:rPr>
          <w:rFonts w:ascii="宋体" w:hAnsi="宋体"/>
          <w:snapToGrid w:val="0"/>
          <w:w w:val="200"/>
          <w:kern w:val="0"/>
          <w:szCs w:val="21"/>
          <w:u w:val="single"/>
        </w:rPr>
        <w:t xml:space="preserve"> </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p>
    <w:p>
      <w:pPr>
        <w:spacing w:line="360" w:lineRule="auto"/>
        <w:ind w:firstLine="420" w:firstLineChars="200"/>
        <w:rPr>
          <w:rFonts w:ascii="宋体" w:hAnsi="宋体"/>
          <w:snapToGrid w:val="0"/>
          <w:kern w:val="0"/>
          <w:szCs w:val="21"/>
          <w:u w:val="single"/>
        </w:rPr>
      </w:pPr>
      <w:r>
        <w:rPr>
          <w:rFonts w:hint="eastAsia" w:ascii="宋体" w:hAnsi="宋体"/>
          <w:snapToGrid w:val="0"/>
          <w:kern w:val="0"/>
          <w:szCs w:val="21"/>
        </w:rPr>
        <w:t>电    话：</w:t>
      </w:r>
      <w:r>
        <w:rPr>
          <w:rFonts w:ascii="宋体" w:hAnsi="宋体"/>
          <w:snapToGrid w:val="0"/>
          <w:w w:val="200"/>
          <w:kern w:val="0"/>
          <w:szCs w:val="21"/>
          <w:u w:val="single"/>
        </w:rPr>
        <w:t xml:space="preserve"> </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p>
    <w:p>
      <w:pPr>
        <w:spacing w:line="360" w:lineRule="auto"/>
        <w:ind w:firstLine="420" w:firstLineChars="200"/>
        <w:rPr>
          <w:rFonts w:ascii="宋体" w:hAnsi="宋体"/>
          <w:snapToGrid w:val="0"/>
          <w:kern w:val="0"/>
          <w:szCs w:val="21"/>
          <w:u w:val="single"/>
        </w:rPr>
      </w:pPr>
      <w:r>
        <w:rPr>
          <w:rFonts w:hint="eastAsia" w:ascii="宋体" w:hAnsi="宋体"/>
          <w:snapToGrid w:val="0"/>
          <w:kern w:val="0"/>
          <w:szCs w:val="21"/>
        </w:rPr>
        <w:t>开户银行：</w:t>
      </w:r>
      <w:r>
        <w:rPr>
          <w:rFonts w:ascii="宋体" w:hAnsi="宋体"/>
          <w:snapToGrid w:val="0"/>
          <w:w w:val="200"/>
          <w:kern w:val="0"/>
          <w:szCs w:val="21"/>
          <w:u w:val="single"/>
        </w:rPr>
        <w:t xml:space="preserve"> </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p>
    <w:p>
      <w:pPr>
        <w:spacing w:line="360" w:lineRule="auto"/>
        <w:ind w:firstLine="420" w:firstLineChars="200"/>
        <w:rPr>
          <w:rFonts w:ascii="宋体" w:hAnsi="宋体"/>
          <w:szCs w:val="21"/>
        </w:rPr>
      </w:pPr>
      <w:r>
        <w:rPr>
          <w:rFonts w:hint="eastAsia" w:ascii="宋体" w:hAnsi="宋体"/>
          <w:snapToGrid w:val="0"/>
          <w:kern w:val="0"/>
          <w:szCs w:val="21"/>
        </w:rPr>
        <w:t>账    号：</w:t>
      </w:r>
      <w:r>
        <w:rPr>
          <w:rFonts w:ascii="宋体" w:hAnsi="宋体"/>
          <w:snapToGrid w:val="0"/>
          <w:w w:val="200"/>
          <w:kern w:val="0"/>
          <w:szCs w:val="21"/>
          <w:u w:val="single"/>
        </w:rPr>
        <w:t xml:space="preserve"> </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p>
    <w:p>
      <w:pPr>
        <w:spacing w:line="360" w:lineRule="auto"/>
        <w:rPr>
          <w:rFonts w:ascii="宋体" w:hAnsi="宋体"/>
          <w:snapToGrid w:val="0"/>
          <w:kern w:val="0"/>
          <w:szCs w:val="21"/>
        </w:rPr>
      </w:pPr>
    </w:p>
    <w:p>
      <w:pPr>
        <w:spacing w:line="360" w:lineRule="auto"/>
        <w:ind w:firstLine="420" w:firstLineChars="200"/>
        <w:rPr>
          <w:rFonts w:ascii="宋体" w:hAnsi="宋体"/>
          <w:szCs w:val="21"/>
        </w:rPr>
      </w:pPr>
      <w:r>
        <w:rPr>
          <w:rFonts w:ascii="宋体" w:hAnsi="宋体"/>
          <w:snapToGrid w:val="0"/>
          <w:kern w:val="0"/>
          <w:szCs w:val="21"/>
        </w:rPr>
        <w:t>承包人：</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r>
        <w:rPr>
          <w:rFonts w:ascii="宋体" w:hAnsi="宋体"/>
          <w:snapToGrid w:val="0"/>
          <w:kern w:val="0"/>
          <w:szCs w:val="21"/>
        </w:rPr>
        <w:t>（公章</w:t>
      </w:r>
      <w:r>
        <w:rPr>
          <w:rFonts w:hint="eastAsia" w:ascii="宋体" w:hAnsi="宋体"/>
          <w:snapToGrid w:val="0"/>
          <w:kern w:val="0"/>
          <w:szCs w:val="21"/>
        </w:rPr>
        <w:t>或合同专用章</w:t>
      </w:r>
      <w:r>
        <w:rPr>
          <w:rFonts w:ascii="宋体" w:hAnsi="宋体"/>
          <w:snapToGrid w:val="0"/>
          <w:kern w:val="0"/>
          <w:szCs w:val="21"/>
        </w:rPr>
        <w:t>）</w:t>
      </w:r>
    </w:p>
    <w:p>
      <w:pPr>
        <w:spacing w:line="360" w:lineRule="auto"/>
        <w:ind w:firstLine="420" w:firstLineChars="200"/>
        <w:rPr>
          <w:rFonts w:ascii="宋体" w:hAnsi="宋体"/>
          <w:snapToGrid w:val="0"/>
          <w:kern w:val="0"/>
          <w:szCs w:val="21"/>
        </w:rPr>
      </w:pPr>
      <w:r>
        <w:rPr>
          <w:rFonts w:ascii="宋体" w:hAnsi="宋体"/>
          <w:snapToGrid w:val="0"/>
          <w:kern w:val="0"/>
          <w:szCs w:val="21"/>
        </w:rPr>
        <w:t>法定代表人或其委托代理人：</w:t>
      </w:r>
      <w:r>
        <w:rPr>
          <w:rFonts w:ascii="宋体" w:hAnsi="宋体"/>
          <w:snapToGrid w:val="0"/>
          <w:w w:val="200"/>
          <w:kern w:val="0"/>
          <w:szCs w:val="21"/>
          <w:u w:val="single"/>
        </w:rPr>
        <w:t xml:space="preserve">         </w:t>
      </w:r>
      <w:r>
        <w:rPr>
          <w:rFonts w:hint="eastAsia" w:ascii="宋体" w:hAnsi="宋体"/>
          <w:snapToGrid w:val="0"/>
          <w:w w:val="200"/>
          <w:kern w:val="0"/>
          <w:szCs w:val="21"/>
          <w:u w:val="single"/>
        </w:rPr>
        <w:t xml:space="preserve"> </w:t>
      </w:r>
      <w:r>
        <w:rPr>
          <w:rFonts w:ascii="宋体" w:hAnsi="宋体"/>
          <w:snapToGrid w:val="0"/>
          <w:kern w:val="0"/>
          <w:szCs w:val="21"/>
        </w:rPr>
        <w:t>（</w:t>
      </w:r>
      <w:r>
        <w:rPr>
          <w:rFonts w:hint="eastAsia" w:ascii="宋体" w:hAnsi="宋体"/>
          <w:snapToGrid w:val="0"/>
          <w:kern w:val="0"/>
          <w:szCs w:val="21"/>
        </w:rPr>
        <w:t>签名</w:t>
      </w:r>
      <w:r>
        <w:rPr>
          <w:rFonts w:ascii="宋体" w:hAnsi="宋体"/>
          <w:snapToGrid w:val="0"/>
          <w:kern w:val="0"/>
          <w:szCs w:val="21"/>
        </w:rPr>
        <w:t>）</w:t>
      </w:r>
    </w:p>
    <w:p>
      <w:pPr>
        <w:spacing w:line="360" w:lineRule="auto"/>
        <w:ind w:firstLine="420" w:firstLineChars="200"/>
        <w:rPr>
          <w:rFonts w:ascii="宋体" w:hAnsi="宋体"/>
          <w:snapToGrid w:val="0"/>
          <w:kern w:val="0"/>
          <w:szCs w:val="21"/>
        </w:rPr>
      </w:pPr>
      <w:r>
        <w:rPr>
          <w:rFonts w:hint="eastAsia" w:ascii="宋体" w:hAnsi="宋体"/>
          <w:snapToGrid w:val="0"/>
          <w:kern w:val="0"/>
          <w:szCs w:val="21"/>
        </w:rPr>
        <w:t>统一社会信用代码：</w:t>
      </w:r>
      <w:r>
        <w:rPr>
          <w:rFonts w:ascii="宋体" w:hAnsi="宋体"/>
          <w:snapToGrid w:val="0"/>
          <w:w w:val="200"/>
          <w:kern w:val="0"/>
          <w:szCs w:val="21"/>
          <w:u w:val="single"/>
        </w:rPr>
        <w:t xml:space="preserve"> </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p>
    <w:p>
      <w:pPr>
        <w:spacing w:line="360" w:lineRule="auto"/>
        <w:ind w:firstLine="420" w:firstLineChars="200"/>
        <w:rPr>
          <w:rFonts w:ascii="宋体" w:hAnsi="宋体"/>
          <w:snapToGrid w:val="0"/>
          <w:kern w:val="0"/>
          <w:szCs w:val="21"/>
          <w:u w:val="single"/>
        </w:rPr>
      </w:pPr>
      <w:r>
        <w:rPr>
          <w:rFonts w:hint="eastAsia" w:ascii="宋体" w:hAnsi="宋体"/>
          <w:snapToGrid w:val="0"/>
          <w:kern w:val="0"/>
          <w:szCs w:val="21"/>
        </w:rPr>
        <w:t>纳税人识别号：</w:t>
      </w:r>
      <w:r>
        <w:rPr>
          <w:rFonts w:ascii="宋体" w:hAnsi="宋体"/>
          <w:snapToGrid w:val="0"/>
          <w:w w:val="200"/>
          <w:kern w:val="0"/>
          <w:szCs w:val="21"/>
          <w:u w:val="single"/>
        </w:rPr>
        <w:t xml:space="preserve"> </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p>
    <w:p>
      <w:pPr>
        <w:spacing w:line="360" w:lineRule="auto"/>
        <w:ind w:firstLine="420" w:firstLineChars="200"/>
        <w:rPr>
          <w:rFonts w:ascii="宋体" w:hAnsi="宋体"/>
          <w:snapToGrid w:val="0"/>
          <w:kern w:val="0"/>
          <w:szCs w:val="21"/>
          <w:u w:val="single"/>
        </w:rPr>
      </w:pPr>
      <w:r>
        <w:rPr>
          <w:rFonts w:hint="eastAsia" w:ascii="宋体" w:hAnsi="宋体"/>
          <w:snapToGrid w:val="0"/>
          <w:kern w:val="0"/>
          <w:szCs w:val="21"/>
        </w:rPr>
        <w:t>地    址：</w:t>
      </w:r>
      <w:r>
        <w:rPr>
          <w:rFonts w:ascii="宋体" w:hAnsi="宋体"/>
          <w:snapToGrid w:val="0"/>
          <w:w w:val="200"/>
          <w:kern w:val="0"/>
          <w:szCs w:val="21"/>
          <w:u w:val="single"/>
        </w:rPr>
        <w:t xml:space="preserve"> </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p>
    <w:p>
      <w:pPr>
        <w:spacing w:line="360" w:lineRule="auto"/>
        <w:ind w:firstLine="420" w:firstLineChars="200"/>
        <w:rPr>
          <w:rFonts w:ascii="宋体" w:hAnsi="宋体"/>
          <w:snapToGrid w:val="0"/>
          <w:kern w:val="0"/>
          <w:szCs w:val="21"/>
          <w:u w:val="single"/>
        </w:rPr>
      </w:pPr>
      <w:r>
        <w:rPr>
          <w:rFonts w:hint="eastAsia" w:ascii="宋体" w:hAnsi="宋体"/>
          <w:snapToGrid w:val="0"/>
          <w:kern w:val="0"/>
          <w:szCs w:val="21"/>
        </w:rPr>
        <w:t>电    话：</w:t>
      </w:r>
      <w:r>
        <w:rPr>
          <w:rFonts w:ascii="宋体" w:hAnsi="宋体"/>
          <w:snapToGrid w:val="0"/>
          <w:w w:val="200"/>
          <w:kern w:val="0"/>
          <w:szCs w:val="21"/>
          <w:u w:val="single"/>
        </w:rPr>
        <w:t xml:space="preserve"> </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p>
    <w:p>
      <w:pPr>
        <w:spacing w:line="360" w:lineRule="auto"/>
        <w:ind w:firstLine="420" w:firstLineChars="200"/>
        <w:rPr>
          <w:rFonts w:ascii="宋体" w:hAnsi="宋体"/>
          <w:snapToGrid w:val="0"/>
          <w:kern w:val="0"/>
          <w:szCs w:val="21"/>
          <w:u w:val="single"/>
        </w:rPr>
      </w:pPr>
      <w:r>
        <w:rPr>
          <w:rFonts w:hint="eastAsia" w:ascii="宋体" w:hAnsi="宋体"/>
          <w:snapToGrid w:val="0"/>
          <w:kern w:val="0"/>
          <w:szCs w:val="21"/>
        </w:rPr>
        <w:t>开户银行：</w:t>
      </w:r>
      <w:r>
        <w:rPr>
          <w:rFonts w:ascii="宋体" w:hAnsi="宋体"/>
          <w:snapToGrid w:val="0"/>
          <w:w w:val="200"/>
          <w:kern w:val="0"/>
          <w:szCs w:val="21"/>
          <w:u w:val="single"/>
        </w:rPr>
        <w:t xml:space="preserve"> </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p>
    <w:p>
      <w:pPr>
        <w:spacing w:line="360" w:lineRule="auto"/>
        <w:ind w:firstLine="420" w:firstLineChars="200"/>
        <w:rPr>
          <w:rFonts w:ascii="宋体" w:hAnsi="宋体"/>
          <w:snapToGrid w:val="0"/>
          <w:kern w:val="0"/>
          <w:szCs w:val="21"/>
          <w:u w:val="single"/>
        </w:rPr>
      </w:pPr>
      <w:r>
        <w:rPr>
          <w:rFonts w:hint="eastAsia" w:ascii="宋体" w:hAnsi="宋体"/>
          <w:snapToGrid w:val="0"/>
          <w:kern w:val="0"/>
          <w:szCs w:val="21"/>
        </w:rPr>
        <w:t>账    号：</w:t>
      </w:r>
      <w:r>
        <w:rPr>
          <w:rFonts w:ascii="宋体" w:hAnsi="宋体"/>
          <w:snapToGrid w:val="0"/>
          <w:w w:val="200"/>
          <w:kern w:val="0"/>
          <w:szCs w:val="21"/>
          <w:u w:val="single"/>
        </w:rPr>
        <w:t xml:space="preserve"> </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p>
    <w:p>
      <w:pPr>
        <w:pStyle w:val="2"/>
        <w:spacing w:line="360" w:lineRule="auto"/>
        <w:rPr>
          <w:rFonts w:ascii="宋体" w:hAnsi="宋体"/>
          <w:szCs w:val="21"/>
        </w:rPr>
      </w:pPr>
    </w:p>
    <w:p>
      <w:pPr>
        <w:spacing w:line="360" w:lineRule="auto"/>
        <w:jc w:val="right"/>
        <w:rPr>
          <w:rFonts w:ascii="宋体" w:hAnsi="宋体"/>
          <w:snapToGrid w:val="0"/>
          <w:kern w:val="0"/>
          <w:szCs w:val="21"/>
        </w:rPr>
      </w:pPr>
    </w:p>
    <w:p>
      <w:pPr>
        <w:spacing w:line="360" w:lineRule="auto"/>
        <w:jc w:val="right"/>
        <w:rPr>
          <w:rFonts w:ascii="宋体" w:hAnsi="宋体"/>
          <w:snapToGrid w:val="0"/>
          <w:kern w:val="0"/>
          <w:szCs w:val="21"/>
        </w:rPr>
      </w:pPr>
    </w:p>
    <w:p>
      <w:pPr>
        <w:spacing w:line="360" w:lineRule="auto"/>
        <w:jc w:val="right"/>
        <w:rPr>
          <w:rFonts w:ascii="宋体" w:hAnsi="宋体"/>
          <w:snapToGrid w:val="0"/>
          <w:kern w:val="0"/>
          <w:szCs w:val="21"/>
        </w:rPr>
      </w:pPr>
      <w:r>
        <w:rPr>
          <w:rFonts w:hint="eastAsia" w:ascii="宋体" w:hAnsi="宋体"/>
          <w:snapToGrid w:val="0"/>
          <w:kern w:val="0"/>
          <w:szCs w:val="21"/>
        </w:rPr>
        <w:t>签约时间：</w:t>
      </w:r>
      <w:r>
        <w:rPr>
          <w:rFonts w:hint="eastAsia" w:ascii="宋体" w:hAnsi="宋体"/>
          <w:snapToGrid w:val="0"/>
          <w:kern w:val="0"/>
          <w:szCs w:val="21"/>
          <w:u w:val="single"/>
        </w:rPr>
        <w:t xml:space="preserve">     </w:t>
      </w:r>
      <w:r>
        <w:rPr>
          <w:rFonts w:hint="eastAsia" w:ascii="宋体" w:hAnsi="宋体"/>
          <w:snapToGrid w:val="0"/>
          <w:kern w:val="0"/>
          <w:szCs w:val="21"/>
        </w:rPr>
        <w:t>年</w:t>
      </w:r>
      <w:r>
        <w:rPr>
          <w:rFonts w:hint="eastAsia" w:ascii="宋体" w:hAnsi="宋体"/>
          <w:snapToGrid w:val="0"/>
          <w:kern w:val="0"/>
          <w:szCs w:val="21"/>
          <w:u w:val="single"/>
        </w:rPr>
        <w:t xml:space="preserve">     </w:t>
      </w:r>
      <w:r>
        <w:rPr>
          <w:rFonts w:hint="eastAsia" w:ascii="宋体" w:hAnsi="宋体"/>
          <w:snapToGrid w:val="0"/>
          <w:kern w:val="0"/>
          <w:szCs w:val="21"/>
        </w:rPr>
        <w:t>月</w:t>
      </w:r>
      <w:r>
        <w:rPr>
          <w:rFonts w:hint="eastAsia" w:ascii="宋体" w:hAnsi="宋体"/>
          <w:snapToGrid w:val="0"/>
          <w:kern w:val="0"/>
          <w:szCs w:val="21"/>
          <w:u w:val="single"/>
        </w:rPr>
        <w:t xml:space="preserve">     </w:t>
      </w:r>
      <w:r>
        <w:rPr>
          <w:rFonts w:hint="eastAsia" w:ascii="宋体" w:hAnsi="宋体"/>
          <w:snapToGrid w:val="0"/>
          <w:kern w:val="0"/>
          <w:szCs w:val="21"/>
        </w:rPr>
        <w:t>日</w:t>
      </w:r>
      <w:bookmarkEnd w:id="258"/>
    </w:p>
    <w:p>
      <w:pPr>
        <w:pStyle w:val="5"/>
        <w:jc w:val="center"/>
        <w:rPr>
          <w:rFonts w:ascii="宋体" w:hAnsi="宋体"/>
          <w:bCs w:val="0"/>
          <w:sz w:val="21"/>
          <w:szCs w:val="21"/>
        </w:rPr>
      </w:pPr>
      <w:r>
        <w:rPr>
          <w:rFonts w:hint="eastAsia" w:ascii="宋体" w:hAnsi="宋体"/>
          <w:snapToGrid w:val="0"/>
          <w:kern w:val="0"/>
          <w:szCs w:val="21"/>
        </w:rPr>
        <w:br w:type="page"/>
      </w:r>
      <w:bookmarkStart w:id="259" w:name="_Toc529388289"/>
      <w:bookmarkStart w:id="260" w:name="_Toc27679"/>
      <w:bookmarkStart w:id="261" w:name="_Toc532377179"/>
      <w:bookmarkStart w:id="262" w:name="_Toc532375586"/>
      <w:r>
        <w:rPr>
          <w:rFonts w:hint="eastAsia" w:ascii="宋体" w:hAnsi="宋体"/>
          <w:sz w:val="44"/>
          <w:szCs w:val="44"/>
        </w:rPr>
        <w:t>第二部分 通用合同条款</w:t>
      </w:r>
      <w:bookmarkEnd w:id="259"/>
      <w:bookmarkEnd w:id="260"/>
      <w:bookmarkEnd w:id="261"/>
      <w:bookmarkEnd w:id="262"/>
    </w:p>
    <w:p>
      <w:pPr>
        <w:pStyle w:val="6"/>
        <w:spacing w:before="156" w:beforeLines="50" w:beforeAutospacing="0" w:after="156" w:afterLines="50" w:afterAutospacing="0" w:line="360" w:lineRule="auto"/>
        <w:jc w:val="both"/>
        <w:rPr>
          <w:kern w:val="2"/>
          <w:sz w:val="21"/>
          <w:szCs w:val="21"/>
        </w:rPr>
      </w:pPr>
      <w:bookmarkStart w:id="263" w:name="_Toc351203495"/>
      <w:bookmarkStart w:id="264" w:name="_Toc532375587"/>
      <w:bookmarkStart w:id="265" w:name="_Toc532377180"/>
      <w:r>
        <w:rPr>
          <w:rFonts w:hint="eastAsia"/>
          <w:kern w:val="2"/>
          <w:sz w:val="21"/>
          <w:szCs w:val="21"/>
        </w:rPr>
        <w:t>1.</w:t>
      </w:r>
      <w:bookmarkStart w:id="266" w:name="_Toc303538975"/>
      <w:bookmarkEnd w:id="266"/>
      <w:bookmarkStart w:id="267" w:name="_Toc303538972"/>
      <w:bookmarkEnd w:id="267"/>
      <w:bookmarkStart w:id="268" w:name="_Toc303538976"/>
      <w:bookmarkEnd w:id="268"/>
      <w:bookmarkStart w:id="269" w:name="_Toc303538974"/>
      <w:bookmarkEnd w:id="269"/>
      <w:bookmarkStart w:id="270" w:name="_Toc303538973"/>
      <w:bookmarkEnd w:id="270"/>
      <w:bookmarkStart w:id="271" w:name="_Toc296346528"/>
      <w:bookmarkStart w:id="272" w:name="_Toc296503027"/>
      <w:r>
        <w:rPr>
          <w:rFonts w:hint="eastAsia"/>
          <w:kern w:val="2"/>
          <w:sz w:val="21"/>
          <w:szCs w:val="21"/>
        </w:rPr>
        <w:t>一般约定</w:t>
      </w:r>
      <w:bookmarkEnd w:id="263"/>
      <w:bookmarkEnd w:id="264"/>
      <w:bookmarkEnd w:id="265"/>
      <w:bookmarkEnd w:id="271"/>
      <w:bookmarkEnd w:id="272"/>
    </w:p>
    <w:p>
      <w:pPr>
        <w:pStyle w:val="7"/>
        <w:spacing w:before="0" w:beforeAutospacing="0" w:after="0" w:afterAutospacing="0" w:line="360" w:lineRule="auto"/>
        <w:ind w:firstLine="422" w:firstLineChars="200"/>
        <w:rPr>
          <w:sz w:val="21"/>
          <w:szCs w:val="21"/>
        </w:rPr>
      </w:pPr>
      <w:bookmarkStart w:id="273" w:name="_Toc337558728"/>
      <w:bookmarkStart w:id="274" w:name="_Toc296503028"/>
      <w:bookmarkStart w:id="275" w:name="_Toc296346529"/>
      <w:bookmarkStart w:id="276" w:name="_Toc351203496"/>
      <w:bookmarkStart w:id="277" w:name="_Toc532377181"/>
      <w:r>
        <w:rPr>
          <w:rFonts w:hint="eastAsia"/>
          <w:sz w:val="21"/>
          <w:szCs w:val="21"/>
        </w:rPr>
        <w:t>1.1词语定义</w:t>
      </w:r>
      <w:bookmarkEnd w:id="273"/>
      <w:bookmarkEnd w:id="274"/>
      <w:bookmarkEnd w:id="275"/>
      <w:r>
        <w:rPr>
          <w:rFonts w:hint="eastAsia"/>
          <w:sz w:val="21"/>
          <w:szCs w:val="21"/>
        </w:rPr>
        <w:t>与解释</w:t>
      </w:r>
      <w:bookmarkEnd w:id="276"/>
      <w:bookmarkEnd w:id="277"/>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合同协议书、通用合同条款、专用合同条款中的下列词语具有本款所赋予的含义：</w:t>
      </w:r>
    </w:p>
    <w:p>
      <w:pPr>
        <w:pStyle w:val="7"/>
        <w:spacing w:before="0" w:beforeAutospacing="0" w:after="0" w:afterAutospacing="0" w:line="360" w:lineRule="auto"/>
        <w:ind w:firstLine="420" w:firstLineChars="200"/>
        <w:rPr>
          <w:b w:val="0"/>
          <w:bCs w:val="0"/>
          <w:sz w:val="21"/>
          <w:szCs w:val="21"/>
        </w:rPr>
      </w:pPr>
      <w:bookmarkStart w:id="278" w:name="_Toc532377182"/>
      <w:r>
        <w:rPr>
          <w:rFonts w:hint="eastAsia"/>
          <w:b w:val="0"/>
          <w:bCs w:val="0"/>
          <w:sz w:val="21"/>
          <w:szCs w:val="21"/>
        </w:rPr>
        <w:t>1.1.1 合同</w:t>
      </w:r>
      <w:bookmarkEnd w:id="278"/>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1.1.1.1 合同：是指根据法律规定和合同当事人约定具有约束力的文件，构成合同的文件包括合同协议书、中标通知书（如有）、投标函及其附录（如有）、专用合同条款</w:t>
      </w:r>
      <w:r>
        <w:rPr>
          <w:rFonts w:hint="eastAsia" w:ascii="宋体" w:hAnsi="宋体"/>
          <w:szCs w:val="21"/>
        </w:rPr>
        <w:t>及其附件</w:t>
      </w:r>
      <w:r>
        <w:rPr>
          <w:rFonts w:hint="eastAsia" w:ascii="宋体" w:hAnsi="宋体"/>
          <w:kern w:val="0"/>
          <w:szCs w:val="21"/>
        </w:rPr>
        <w:t>、通用合同条款、技术标准和要求、图纸、已标价工程量清单或预算书以及其他合同文件。</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1.1.1.2 合同协议书：是指构成合同的由发包人和承包人共同签署的称为“合同协议书”的书面文件。</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1.1.1.3 中标通知书：是指构成合同的由发包人通知承包人中标的书面文件。</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1.1.1.4 投标函：是指构成合同的由承包人填写并签署的用于投标的称为“投标函”的文件。</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1.1.1.5 投标函附录：是指构成合同的附在投标函后的称为“投标函附录”的文件。</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1.1.1.6 技术标准和要求：是指构成合同的施工应当遵守的或指导施工的国家、行业或地方的技术标准和要求，以及合同约定的技术标准和要求。</w:t>
      </w:r>
    </w:p>
    <w:p>
      <w:pPr>
        <w:spacing w:line="360" w:lineRule="auto"/>
        <w:ind w:firstLine="420" w:firstLineChars="200"/>
        <w:jc w:val="left"/>
        <w:rPr>
          <w:rFonts w:ascii="宋体" w:hAnsi="宋体"/>
          <w:kern w:val="0"/>
          <w:szCs w:val="21"/>
        </w:rPr>
      </w:pPr>
      <w:r>
        <w:rPr>
          <w:rFonts w:hint="eastAsia" w:ascii="宋体" w:hAnsi="宋体"/>
          <w:kern w:val="0"/>
          <w:szCs w:val="21"/>
        </w:rPr>
        <w:t>1.1.1.7 图纸：是指构成合同的图纸，包括由发包人按照合同约定提供或经发包人批准的设计文件、施工图、鸟瞰图及模型等，以及在合同履行过程中形成的图纸文件。图纸应当按照法律规定审查合格。</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1.1.1.8 已标价工程量清单：是指构成合同的由承包人按照规定的格式和要求填写并标明价格的工程量清单，包括说明和表格。</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1.1.1.9 预算书：是指构成合同的由承包人按照发包人规定的格式和要求编制的工程预算文件。</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1.1.1.10 其他合同文件：是指经合同当事人约定的与工程施工有关的具有合同约束力的文件或书面协议。合同当事人可以在专用合同条款中进行约定。</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1.1.2 合同当事人及其他相关方</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1.1.2.1 合同当事人：是指发包人和（或）承包人。</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1.1.2.2 发包人：是指与承包人签订合同协议书的当事人及取得该当事人资格的合法继承人。</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1.1.2.3 承包人：是指与发包人签订合同协议书的，具有相应工程施工承包资质的当事人及取得该当事人资格的合法继承人。</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1.1.2.4 监理人：是指在专用合同条款中指明的，受发包人委托按照法律规定进行工程监督管理的法人或其他组织。</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1.1.2.5 设计人：是指在专用合同条款中指明的，受发包人委托负责工程设计并具备相应工程设计资质的法人或其他组织。</w:t>
      </w:r>
    </w:p>
    <w:p>
      <w:pPr>
        <w:spacing w:line="360" w:lineRule="auto"/>
        <w:ind w:firstLine="420" w:firstLineChars="200"/>
        <w:jc w:val="left"/>
        <w:rPr>
          <w:rFonts w:ascii="宋体" w:hAnsi="宋体"/>
          <w:kern w:val="0"/>
          <w:szCs w:val="21"/>
        </w:rPr>
      </w:pPr>
      <w:r>
        <w:rPr>
          <w:rFonts w:hint="eastAsia" w:ascii="宋体" w:hAnsi="宋体"/>
          <w:kern w:val="0"/>
          <w:szCs w:val="21"/>
        </w:rPr>
        <w:t>1.1.2.6 分包人：</w:t>
      </w:r>
      <w:bookmarkStart w:id="279" w:name="#go5"/>
      <w:bookmarkEnd w:id="279"/>
      <w:r>
        <w:rPr>
          <w:rFonts w:hint="eastAsia" w:ascii="宋体" w:hAnsi="宋体"/>
          <w:kern w:val="0"/>
          <w:szCs w:val="21"/>
        </w:rPr>
        <w:t>是指按照法律规定和合同约定，分包部分工程或工作，并与承包人签订分包合同的具有相应资质的法人。</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1.1.2.7 发包人代表：是指由发包人任命并派驻施工现场在发包人授权范围内行使发包人权利的人。</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1.1.2.8 项目经理：是指由承包人任命并派驻施工现场，在承包人授权范围内负责合同履行，且按照法律规定具有相应资格的项目负责人。</w:t>
      </w:r>
    </w:p>
    <w:p>
      <w:pPr>
        <w:spacing w:line="360" w:lineRule="auto"/>
        <w:ind w:firstLine="420" w:firstLineChars="200"/>
        <w:jc w:val="left"/>
        <w:rPr>
          <w:rFonts w:ascii="宋体" w:hAnsi="宋体"/>
          <w:kern w:val="0"/>
          <w:szCs w:val="21"/>
        </w:rPr>
      </w:pPr>
      <w:r>
        <w:rPr>
          <w:rFonts w:hint="eastAsia" w:ascii="宋体" w:hAnsi="宋体"/>
          <w:kern w:val="0"/>
          <w:szCs w:val="21"/>
        </w:rPr>
        <w:t>1.1.2.9 总监理工程师：是指由监理人任命并派驻施工现场进行工程监理的总负责人。</w:t>
      </w:r>
    </w:p>
    <w:p>
      <w:pPr>
        <w:spacing w:line="360" w:lineRule="auto"/>
        <w:ind w:firstLine="420" w:firstLineChars="200"/>
        <w:jc w:val="left"/>
        <w:rPr>
          <w:rFonts w:ascii="宋体" w:hAnsi="宋体"/>
          <w:kern w:val="0"/>
          <w:szCs w:val="21"/>
        </w:rPr>
      </w:pPr>
      <w:r>
        <w:rPr>
          <w:rFonts w:hint="eastAsia" w:ascii="宋体" w:hAnsi="宋体"/>
          <w:kern w:val="0"/>
          <w:szCs w:val="21"/>
        </w:rPr>
        <w:t>1.1.3 工程和设备</w:t>
      </w:r>
    </w:p>
    <w:p>
      <w:pPr>
        <w:spacing w:line="360" w:lineRule="auto"/>
        <w:ind w:firstLine="420" w:firstLineChars="200"/>
        <w:jc w:val="left"/>
        <w:rPr>
          <w:rFonts w:ascii="宋体" w:hAnsi="宋体"/>
          <w:kern w:val="0"/>
          <w:szCs w:val="21"/>
        </w:rPr>
      </w:pPr>
      <w:r>
        <w:rPr>
          <w:rFonts w:hint="eastAsia" w:ascii="宋体" w:hAnsi="宋体"/>
          <w:kern w:val="0"/>
          <w:szCs w:val="21"/>
        </w:rPr>
        <w:t>1.1.3.1 工程：是指与合同协议书中工程承包范围对应的永久工程和（或）临时工程。</w:t>
      </w:r>
    </w:p>
    <w:p>
      <w:pPr>
        <w:spacing w:line="360" w:lineRule="auto"/>
        <w:ind w:firstLine="420" w:firstLineChars="200"/>
        <w:jc w:val="left"/>
        <w:rPr>
          <w:rFonts w:ascii="宋体" w:hAnsi="宋体"/>
          <w:kern w:val="0"/>
          <w:szCs w:val="21"/>
        </w:rPr>
      </w:pPr>
      <w:r>
        <w:rPr>
          <w:rFonts w:hint="eastAsia" w:ascii="宋体" w:hAnsi="宋体"/>
          <w:kern w:val="0"/>
          <w:szCs w:val="21"/>
        </w:rPr>
        <w:t>1.1.3.2 永久工程：是指按合同约定建造并移交给发包人的工程，包括工程设备。</w:t>
      </w:r>
    </w:p>
    <w:p>
      <w:pPr>
        <w:spacing w:line="360" w:lineRule="auto"/>
        <w:ind w:firstLine="420" w:firstLineChars="200"/>
        <w:jc w:val="left"/>
        <w:rPr>
          <w:rFonts w:ascii="宋体" w:hAnsi="宋体"/>
          <w:kern w:val="0"/>
          <w:szCs w:val="21"/>
        </w:rPr>
      </w:pPr>
      <w:r>
        <w:rPr>
          <w:rFonts w:hint="eastAsia" w:ascii="宋体" w:hAnsi="宋体"/>
          <w:kern w:val="0"/>
          <w:szCs w:val="21"/>
        </w:rPr>
        <w:t>1.1.3.3 临时工程：是指为完成合同约定的永久工程所修建的各类临时性工程，不包括施工设备。</w:t>
      </w:r>
    </w:p>
    <w:p>
      <w:pPr>
        <w:spacing w:line="360" w:lineRule="auto"/>
        <w:ind w:firstLine="420" w:firstLineChars="200"/>
        <w:jc w:val="left"/>
        <w:rPr>
          <w:rFonts w:ascii="宋体" w:hAnsi="宋体"/>
          <w:kern w:val="0"/>
          <w:szCs w:val="21"/>
        </w:rPr>
      </w:pPr>
      <w:r>
        <w:rPr>
          <w:rFonts w:hint="eastAsia" w:ascii="宋体" w:hAnsi="宋体"/>
          <w:kern w:val="0"/>
          <w:szCs w:val="21"/>
        </w:rPr>
        <w:t>1.1.3.4 单位工程：是指在合同协议书中指明的，具备独立施工条件并能形成独立使用功能的永久工程。</w:t>
      </w:r>
    </w:p>
    <w:p>
      <w:pPr>
        <w:spacing w:line="360" w:lineRule="auto"/>
        <w:ind w:firstLine="420" w:firstLineChars="200"/>
        <w:jc w:val="left"/>
        <w:rPr>
          <w:rFonts w:ascii="宋体" w:hAnsi="宋体"/>
          <w:kern w:val="0"/>
          <w:szCs w:val="21"/>
        </w:rPr>
      </w:pPr>
      <w:r>
        <w:rPr>
          <w:rFonts w:hint="eastAsia" w:ascii="宋体" w:hAnsi="宋体"/>
          <w:kern w:val="0"/>
          <w:szCs w:val="21"/>
        </w:rPr>
        <w:t>1.1.3.5 工程设备：是指构成永久工程的机电设备、金属结构设备、仪器及其他类似的设备和装置。</w:t>
      </w:r>
    </w:p>
    <w:p>
      <w:pPr>
        <w:spacing w:line="360" w:lineRule="auto"/>
        <w:ind w:firstLine="420" w:firstLineChars="200"/>
        <w:jc w:val="left"/>
        <w:rPr>
          <w:rFonts w:ascii="宋体" w:hAnsi="宋体"/>
          <w:kern w:val="0"/>
          <w:szCs w:val="21"/>
        </w:rPr>
      </w:pPr>
      <w:r>
        <w:rPr>
          <w:rFonts w:hint="eastAsia" w:ascii="宋体" w:hAnsi="宋体"/>
          <w:kern w:val="0"/>
          <w:szCs w:val="21"/>
        </w:rPr>
        <w:t>1.1.3.6 施工设备：是指为完成合同约定的各项工作所需的设备、器具和其他物品，但不包括工程设备、临时工程和材料。</w:t>
      </w:r>
    </w:p>
    <w:p>
      <w:pPr>
        <w:spacing w:line="360" w:lineRule="auto"/>
        <w:ind w:firstLine="420" w:firstLineChars="200"/>
        <w:jc w:val="left"/>
        <w:rPr>
          <w:rFonts w:ascii="宋体" w:hAnsi="宋体"/>
          <w:kern w:val="0"/>
          <w:szCs w:val="21"/>
        </w:rPr>
      </w:pPr>
      <w:r>
        <w:rPr>
          <w:rFonts w:hint="eastAsia" w:ascii="宋体" w:hAnsi="宋体"/>
          <w:kern w:val="0"/>
          <w:szCs w:val="21"/>
        </w:rPr>
        <w:t>1.1.3.7 施工现场：是指用于工程施工的场所，以及在专用合同条款中指明作为施工场所组成部分的其他场所，包括永久占地和临时占地。</w:t>
      </w:r>
    </w:p>
    <w:p>
      <w:pPr>
        <w:spacing w:line="360" w:lineRule="auto"/>
        <w:ind w:firstLine="420" w:firstLineChars="200"/>
        <w:jc w:val="left"/>
        <w:rPr>
          <w:rFonts w:ascii="宋体" w:hAnsi="宋体"/>
          <w:kern w:val="0"/>
          <w:szCs w:val="21"/>
        </w:rPr>
      </w:pPr>
      <w:r>
        <w:rPr>
          <w:rFonts w:hint="eastAsia" w:ascii="宋体" w:hAnsi="宋体"/>
          <w:kern w:val="0"/>
          <w:szCs w:val="21"/>
        </w:rPr>
        <w:t>1.1.3.8临时设施：是指为完成合同约定的各项工作所服务的临时性生产和生活设施。</w:t>
      </w:r>
    </w:p>
    <w:p>
      <w:pPr>
        <w:spacing w:line="360" w:lineRule="auto"/>
        <w:ind w:firstLine="420" w:firstLineChars="200"/>
        <w:jc w:val="left"/>
        <w:rPr>
          <w:rFonts w:ascii="宋体" w:hAnsi="宋体"/>
          <w:kern w:val="0"/>
          <w:szCs w:val="21"/>
        </w:rPr>
      </w:pPr>
      <w:r>
        <w:rPr>
          <w:rFonts w:hint="eastAsia" w:ascii="宋体" w:hAnsi="宋体"/>
          <w:kern w:val="0"/>
          <w:szCs w:val="21"/>
        </w:rPr>
        <w:t>1.1.3.9 永久占地：是指专用合同条款中指明为实施工程需永久占用的土地。</w:t>
      </w:r>
    </w:p>
    <w:p>
      <w:pPr>
        <w:spacing w:line="360" w:lineRule="auto"/>
        <w:ind w:firstLine="420" w:firstLineChars="200"/>
        <w:jc w:val="left"/>
        <w:rPr>
          <w:rFonts w:ascii="宋体" w:hAnsi="宋体"/>
          <w:kern w:val="0"/>
          <w:szCs w:val="21"/>
        </w:rPr>
      </w:pPr>
      <w:r>
        <w:rPr>
          <w:rFonts w:hint="eastAsia" w:ascii="宋体" w:hAnsi="宋体"/>
          <w:kern w:val="0"/>
          <w:szCs w:val="21"/>
        </w:rPr>
        <w:t>1.1.3.10 临时占地：是指专用合同条款中指明为实施工程需要临时占用的土地。</w:t>
      </w:r>
    </w:p>
    <w:p>
      <w:pPr>
        <w:spacing w:line="360" w:lineRule="auto"/>
        <w:ind w:firstLine="420" w:firstLineChars="200"/>
        <w:jc w:val="left"/>
        <w:rPr>
          <w:rFonts w:ascii="宋体" w:hAnsi="宋体"/>
          <w:kern w:val="0"/>
          <w:szCs w:val="21"/>
        </w:rPr>
      </w:pPr>
      <w:r>
        <w:rPr>
          <w:rFonts w:hint="eastAsia" w:ascii="宋体" w:hAnsi="宋体"/>
          <w:kern w:val="0"/>
          <w:szCs w:val="21"/>
        </w:rPr>
        <w:t>1.1.4 日期和期限</w:t>
      </w:r>
    </w:p>
    <w:p>
      <w:pPr>
        <w:spacing w:line="360" w:lineRule="auto"/>
        <w:ind w:firstLine="420" w:firstLineChars="200"/>
        <w:jc w:val="left"/>
        <w:rPr>
          <w:rFonts w:ascii="宋体" w:hAnsi="宋体"/>
          <w:kern w:val="0"/>
          <w:szCs w:val="21"/>
        </w:rPr>
      </w:pPr>
      <w:r>
        <w:rPr>
          <w:rFonts w:hint="eastAsia" w:ascii="宋体" w:hAnsi="宋体"/>
          <w:kern w:val="0"/>
          <w:szCs w:val="21"/>
        </w:rPr>
        <w:t>1.1.4.1 开工日期：包括计划开工日期和实际开工日期。计划开工日期是指合同协议书约定的开工日期；实际开工日期是指监理人按照第7.3.2项〔开工通知〕约定发出的符合法律规定的开工通知中载明的开工日期。</w:t>
      </w:r>
    </w:p>
    <w:p>
      <w:pPr>
        <w:spacing w:line="360" w:lineRule="auto"/>
        <w:ind w:firstLine="420" w:firstLineChars="200"/>
        <w:jc w:val="left"/>
        <w:rPr>
          <w:rFonts w:ascii="宋体" w:hAnsi="宋体"/>
          <w:kern w:val="0"/>
          <w:szCs w:val="21"/>
        </w:rPr>
      </w:pPr>
      <w:r>
        <w:rPr>
          <w:rFonts w:hint="eastAsia" w:ascii="宋体" w:hAnsi="宋体"/>
          <w:kern w:val="0"/>
          <w:szCs w:val="21"/>
        </w:rPr>
        <w:t xml:space="preserve">1.1.4.2 竣工日期：包括计划竣工日期和实际竣工日期。计划竣工日期是指合同协议书约定的竣工日期；实际竣工日期按照第13.2.3项〔竣工日期〕的约定确定。 </w:t>
      </w:r>
    </w:p>
    <w:p>
      <w:pPr>
        <w:spacing w:line="360" w:lineRule="auto"/>
        <w:ind w:firstLine="420" w:firstLineChars="200"/>
        <w:jc w:val="left"/>
        <w:rPr>
          <w:rFonts w:ascii="宋体" w:hAnsi="宋体"/>
          <w:szCs w:val="21"/>
        </w:rPr>
      </w:pPr>
      <w:r>
        <w:rPr>
          <w:rFonts w:hint="eastAsia" w:ascii="宋体" w:hAnsi="宋体"/>
          <w:kern w:val="0"/>
          <w:szCs w:val="21"/>
        </w:rPr>
        <w:t>1.1.4.3 工期：是指在合同协议书约定的承包人完成工程所需的期限，包括按照合同约定所作的期限变更。</w:t>
      </w:r>
    </w:p>
    <w:p>
      <w:pPr>
        <w:spacing w:line="360" w:lineRule="auto"/>
        <w:ind w:firstLine="420" w:firstLineChars="200"/>
        <w:jc w:val="left"/>
        <w:rPr>
          <w:rFonts w:ascii="宋体" w:hAnsi="宋体"/>
          <w:kern w:val="0"/>
          <w:szCs w:val="21"/>
        </w:rPr>
      </w:pPr>
      <w:r>
        <w:rPr>
          <w:rFonts w:hint="eastAsia" w:ascii="宋体" w:hAnsi="宋体"/>
          <w:kern w:val="0"/>
          <w:szCs w:val="21"/>
        </w:rPr>
        <w:t>1.1.4.4 缺陷责任期：是指承包人按照合同约定承担缺陷修复义务，且发包人预留质量保证金（已缴纳履约保证金的除外）的期限，自工程实际竣工日期起计算。</w:t>
      </w:r>
    </w:p>
    <w:p>
      <w:pPr>
        <w:spacing w:line="360" w:lineRule="auto"/>
        <w:ind w:firstLine="420" w:firstLineChars="200"/>
        <w:jc w:val="left"/>
        <w:rPr>
          <w:rFonts w:ascii="宋体" w:hAnsi="宋体"/>
          <w:kern w:val="0"/>
          <w:szCs w:val="21"/>
        </w:rPr>
      </w:pPr>
      <w:r>
        <w:rPr>
          <w:rFonts w:hint="eastAsia" w:ascii="宋体" w:hAnsi="宋体"/>
          <w:kern w:val="0"/>
          <w:szCs w:val="21"/>
        </w:rPr>
        <w:t>1.1.4.5 保修期：是指承包人按照合同约定对工程承担保修责任的期限，从工程竣工验收合格之日起计算。</w:t>
      </w:r>
    </w:p>
    <w:p>
      <w:pPr>
        <w:spacing w:line="360" w:lineRule="auto"/>
        <w:ind w:firstLine="420" w:firstLineChars="200"/>
        <w:jc w:val="left"/>
        <w:rPr>
          <w:rFonts w:ascii="宋体" w:hAnsi="宋体"/>
          <w:kern w:val="0"/>
          <w:szCs w:val="21"/>
        </w:rPr>
      </w:pPr>
      <w:r>
        <w:rPr>
          <w:rFonts w:hint="eastAsia" w:ascii="宋体" w:hAnsi="宋体"/>
          <w:kern w:val="0"/>
          <w:szCs w:val="21"/>
        </w:rPr>
        <w:t>1.1.4.6 基准日期：招标发包的工程以投标截止日前28天的日期为基准日期，直接发包的工程以合同签订日前28天的日期为基准日期。</w:t>
      </w:r>
    </w:p>
    <w:p>
      <w:pPr>
        <w:spacing w:line="360" w:lineRule="auto"/>
        <w:ind w:firstLine="420" w:firstLineChars="200"/>
        <w:jc w:val="left"/>
        <w:rPr>
          <w:rFonts w:ascii="宋体" w:hAnsi="宋体"/>
          <w:kern w:val="0"/>
          <w:szCs w:val="21"/>
        </w:rPr>
      </w:pPr>
      <w:r>
        <w:rPr>
          <w:rFonts w:hint="eastAsia" w:ascii="宋体" w:hAnsi="宋体"/>
          <w:kern w:val="0"/>
          <w:szCs w:val="21"/>
        </w:rPr>
        <w:t>1.1.4.7 天：除特别指明外，均指日历天。合同中按天计算时间的，开始当天不计入，从次日开始计算，期限最后一天的截止时间为当天24：00时。</w:t>
      </w:r>
    </w:p>
    <w:p>
      <w:pPr>
        <w:spacing w:line="360" w:lineRule="auto"/>
        <w:ind w:firstLine="420" w:firstLineChars="200"/>
        <w:jc w:val="left"/>
        <w:rPr>
          <w:rFonts w:ascii="宋体" w:hAnsi="宋体"/>
          <w:kern w:val="0"/>
          <w:szCs w:val="21"/>
        </w:rPr>
      </w:pPr>
      <w:r>
        <w:rPr>
          <w:rFonts w:hint="eastAsia" w:ascii="宋体" w:hAnsi="宋体"/>
          <w:kern w:val="0"/>
          <w:szCs w:val="21"/>
        </w:rPr>
        <w:t>1.1.5 合同价格和费用</w:t>
      </w:r>
    </w:p>
    <w:p>
      <w:pPr>
        <w:spacing w:line="360" w:lineRule="auto"/>
        <w:ind w:firstLine="420" w:firstLineChars="200"/>
        <w:jc w:val="left"/>
        <w:rPr>
          <w:rFonts w:ascii="宋体" w:hAnsi="宋体"/>
          <w:szCs w:val="21"/>
        </w:rPr>
      </w:pPr>
      <w:r>
        <w:rPr>
          <w:rFonts w:hint="eastAsia" w:ascii="宋体" w:hAnsi="宋体"/>
          <w:kern w:val="0"/>
          <w:szCs w:val="21"/>
        </w:rPr>
        <w:t>1.1.5.1 签约合同价：是指</w:t>
      </w:r>
      <w:r>
        <w:rPr>
          <w:rFonts w:hint="eastAsia" w:ascii="宋体" w:hAnsi="宋体"/>
          <w:szCs w:val="21"/>
        </w:rPr>
        <w:t>发包人和承包人在合同协议书中确定的总金额，包括安全文明施工费、暂估价及暂列金额等。</w:t>
      </w:r>
    </w:p>
    <w:p>
      <w:pPr>
        <w:spacing w:line="360" w:lineRule="auto"/>
        <w:ind w:firstLine="420" w:firstLineChars="200"/>
        <w:jc w:val="left"/>
        <w:rPr>
          <w:rFonts w:ascii="宋体" w:hAnsi="宋体"/>
          <w:kern w:val="0"/>
          <w:szCs w:val="21"/>
        </w:rPr>
      </w:pPr>
      <w:r>
        <w:rPr>
          <w:rFonts w:hint="eastAsia" w:ascii="宋体" w:hAnsi="宋体"/>
          <w:kern w:val="0"/>
          <w:szCs w:val="21"/>
        </w:rPr>
        <w:t>1.1.5.2 合同价格：是指发包人用于支付承包人按照合同约定完成承包范围内全部工作的金额，包括合同履行过程中按合同约定发生的价格变化。</w:t>
      </w:r>
    </w:p>
    <w:p>
      <w:pPr>
        <w:spacing w:line="360" w:lineRule="auto"/>
        <w:ind w:firstLine="420" w:firstLineChars="200"/>
        <w:jc w:val="left"/>
        <w:rPr>
          <w:rFonts w:ascii="宋体" w:hAnsi="宋体"/>
          <w:kern w:val="0"/>
          <w:szCs w:val="21"/>
        </w:rPr>
      </w:pPr>
      <w:r>
        <w:rPr>
          <w:rFonts w:hint="eastAsia" w:ascii="宋体" w:hAnsi="宋体"/>
          <w:kern w:val="0"/>
          <w:szCs w:val="21"/>
        </w:rPr>
        <w:t>1.1.5.3 费用：是指为履行合同所发生的或将要发生的所有必需的开支，包括管理费和应分摊的其他费用，但不包括利润。</w:t>
      </w:r>
    </w:p>
    <w:p>
      <w:pPr>
        <w:spacing w:line="360" w:lineRule="auto"/>
        <w:ind w:firstLine="420" w:firstLineChars="200"/>
        <w:jc w:val="left"/>
        <w:rPr>
          <w:rFonts w:ascii="宋体" w:hAnsi="宋体"/>
          <w:kern w:val="0"/>
          <w:szCs w:val="21"/>
        </w:rPr>
      </w:pPr>
      <w:r>
        <w:rPr>
          <w:rFonts w:hint="eastAsia" w:ascii="宋体" w:hAnsi="宋体"/>
          <w:kern w:val="0"/>
          <w:szCs w:val="21"/>
        </w:rPr>
        <w:t>1.1.5.4 暂估价：是指发包人在工程量清单或预算书中提供的用于支付必然发生但暂时不能确定价格的材料、工程设备的单价、专业工程以及服务工作的金额。</w:t>
      </w:r>
    </w:p>
    <w:p>
      <w:pPr>
        <w:spacing w:line="360" w:lineRule="auto"/>
        <w:ind w:firstLine="420" w:firstLineChars="200"/>
        <w:jc w:val="left"/>
        <w:rPr>
          <w:rFonts w:ascii="宋体" w:hAnsi="宋体"/>
          <w:kern w:val="0"/>
          <w:szCs w:val="21"/>
        </w:rPr>
      </w:pPr>
      <w:r>
        <w:rPr>
          <w:rFonts w:hint="eastAsia" w:ascii="宋体" w:hAnsi="宋体"/>
          <w:kern w:val="0"/>
          <w:szCs w:val="21"/>
        </w:rPr>
        <w:t>1.1.5.5 暂列金额：是指发包人在工程量清单或预算书中暂定并包括在合同价格中的一笔款项，用于工程合同签订时尚未确定或者不可预见的所需材料、工程设备、服务的采购，施工中可能发生的工程变更、合同约定调整因素出现时的合同价格调整以及发生的索赔、现场签证确认等的费用。</w:t>
      </w:r>
    </w:p>
    <w:p>
      <w:pPr>
        <w:spacing w:line="360" w:lineRule="auto"/>
        <w:ind w:firstLine="420" w:firstLineChars="200"/>
        <w:jc w:val="left"/>
        <w:rPr>
          <w:rFonts w:ascii="宋体" w:hAnsi="宋体"/>
          <w:kern w:val="0"/>
          <w:szCs w:val="21"/>
        </w:rPr>
      </w:pPr>
      <w:r>
        <w:rPr>
          <w:rFonts w:hint="eastAsia" w:ascii="宋体" w:hAnsi="宋体"/>
          <w:kern w:val="0"/>
          <w:szCs w:val="21"/>
        </w:rPr>
        <w:t>1.1.5.6 计日工：是指合同履行过程中，承包人完成发包人提出的零星工作或需要采用计日工计价的变更工作时，按合同中约定的单价计价的一种方式。</w:t>
      </w:r>
    </w:p>
    <w:p>
      <w:pPr>
        <w:spacing w:line="360" w:lineRule="auto"/>
        <w:ind w:firstLine="420" w:firstLineChars="200"/>
        <w:jc w:val="left"/>
        <w:rPr>
          <w:rFonts w:ascii="宋体" w:hAnsi="宋体"/>
          <w:szCs w:val="21"/>
        </w:rPr>
      </w:pPr>
      <w:r>
        <w:rPr>
          <w:rFonts w:hint="eastAsia" w:ascii="宋体" w:hAnsi="宋体"/>
          <w:kern w:val="0"/>
          <w:szCs w:val="21"/>
        </w:rPr>
        <w:t>1.1.5.7 质量保证金</w:t>
      </w:r>
      <w:bookmarkStart w:id="280" w:name="#go2"/>
      <w:bookmarkEnd w:id="280"/>
      <w:r>
        <w:rPr>
          <w:rFonts w:hint="eastAsia" w:ascii="宋体" w:hAnsi="宋体"/>
          <w:kern w:val="0"/>
          <w:szCs w:val="21"/>
        </w:rPr>
        <w:t>：是指按照第15.3款〔质量保证金〕约定承包人用于保证其在缺陷责任期内履行缺陷修补义务的担保</w:t>
      </w:r>
      <w:r>
        <w:rPr>
          <w:rFonts w:hint="eastAsia" w:ascii="宋体" w:hAnsi="宋体"/>
          <w:szCs w:val="21"/>
        </w:rPr>
        <w:t>。</w:t>
      </w:r>
    </w:p>
    <w:p>
      <w:pPr>
        <w:spacing w:line="360" w:lineRule="auto"/>
        <w:ind w:firstLine="420" w:firstLineChars="200"/>
        <w:jc w:val="left"/>
        <w:rPr>
          <w:rFonts w:ascii="宋体" w:hAnsi="宋体"/>
          <w:kern w:val="0"/>
          <w:szCs w:val="21"/>
        </w:rPr>
      </w:pPr>
      <w:r>
        <w:rPr>
          <w:rFonts w:hint="eastAsia" w:ascii="宋体" w:hAnsi="宋体"/>
          <w:kern w:val="0"/>
          <w:szCs w:val="21"/>
        </w:rPr>
        <w:t>1.1.5.8 总价项目：是指在现行国家、行业以及地方的计量规则中无工程量计算规则，在已标价工程量清单或预算书中以总价或以费率形式计算的项目。</w:t>
      </w:r>
    </w:p>
    <w:p>
      <w:pPr>
        <w:spacing w:line="360" w:lineRule="auto"/>
        <w:ind w:firstLine="420" w:firstLineChars="200"/>
        <w:jc w:val="left"/>
        <w:rPr>
          <w:rFonts w:ascii="宋体" w:hAnsi="宋体"/>
          <w:szCs w:val="21"/>
        </w:rPr>
      </w:pPr>
      <w:r>
        <w:rPr>
          <w:rFonts w:hint="eastAsia" w:ascii="宋体" w:hAnsi="宋体"/>
          <w:szCs w:val="21"/>
        </w:rPr>
        <w:t>1.1.6 其他</w:t>
      </w:r>
    </w:p>
    <w:p>
      <w:pPr>
        <w:spacing w:line="360" w:lineRule="auto"/>
        <w:ind w:firstLine="420" w:firstLineChars="200"/>
        <w:jc w:val="left"/>
        <w:rPr>
          <w:rFonts w:ascii="宋体" w:hAnsi="宋体"/>
          <w:kern w:val="0"/>
          <w:szCs w:val="21"/>
        </w:rPr>
      </w:pPr>
      <w:r>
        <w:rPr>
          <w:rFonts w:hint="eastAsia" w:ascii="宋体" w:hAnsi="宋体"/>
          <w:kern w:val="0"/>
          <w:szCs w:val="21"/>
        </w:rPr>
        <w:t>1.1.6.1 书面形式：是指合同文件、信函、电报、传真等可以有形地表现所载内容的形式。</w:t>
      </w:r>
    </w:p>
    <w:p>
      <w:pPr>
        <w:pStyle w:val="7"/>
        <w:spacing w:before="0" w:beforeAutospacing="0" w:after="0" w:afterAutospacing="0" w:line="360" w:lineRule="auto"/>
        <w:ind w:firstLine="422" w:firstLineChars="200"/>
        <w:rPr>
          <w:sz w:val="21"/>
          <w:szCs w:val="21"/>
        </w:rPr>
      </w:pPr>
      <w:bookmarkStart w:id="281" w:name="_Toc532377183"/>
      <w:r>
        <w:rPr>
          <w:rFonts w:hint="eastAsia"/>
          <w:sz w:val="21"/>
          <w:szCs w:val="21"/>
        </w:rPr>
        <w:t>1.2 语言文字</w:t>
      </w:r>
      <w:bookmarkEnd w:id="281"/>
    </w:p>
    <w:p>
      <w:pPr>
        <w:spacing w:line="360" w:lineRule="auto"/>
        <w:ind w:firstLine="420" w:firstLineChars="200"/>
        <w:jc w:val="left"/>
        <w:rPr>
          <w:rFonts w:ascii="宋体" w:hAnsi="宋体"/>
          <w:kern w:val="0"/>
          <w:szCs w:val="21"/>
        </w:rPr>
      </w:pPr>
      <w:r>
        <w:rPr>
          <w:rFonts w:hint="eastAsia" w:ascii="宋体" w:hAnsi="宋体"/>
          <w:kern w:val="0"/>
          <w:szCs w:val="21"/>
        </w:rPr>
        <w:t>合同以中国的汉语简体文字编写、解释和说明。合同当事人在专用合同条款中约定使用两种以上语言时，汉语为优先解释和说明合同的语言。</w:t>
      </w:r>
    </w:p>
    <w:p>
      <w:pPr>
        <w:pStyle w:val="7"/>
        <w:spacing w:before="0" w:beforeAutospacing="0" w:after="0" w:afterAutospacing="0" w:line="360" w:lineRule="auto"/>
        <w:ind w:firstLine="422" w:firstLineChars="200"/>
        <w:rPr>
          <w:sz w:val="21"/>
          <w:szCs w:val="21"/>
        </w:rPr>
      </w:pPr>
      <w:bookmarkStart w:id="282" w:name="_Toc337558730"/>
      <w:bookmarkStart w:id="283" w:name="_Toc351203498"/>
      <w:bookmarkStart w:id="284" w:name="_Toc532377184"/>
      <w:bookmarkStart w:id="285" w:name="_Toc296503030"/>
      <w:bookmarkStart w:id="286" w:name="_Toc296346531"/>
      <w:r>
        <w:rPr>
          <w:rFonts w:hint="eastAsia"/>
          <w:sz w:val="21"/>
          <w:szCs w:val="21"/>
        </w:rPr>
        <w:t>1.3法律</w:t>
      </w:r>
      <w:bookmarkEnd w:id="282"/>
      <w:bookmarkEnd w:id="283"/>
      <w:bookmarkEnd w:id="284"/>
      <w:bookmarkEnd w:id="285"/>
      <w:bookmarkEnd w:id="286"/>
    </w:p>
    <w:p>
      <w:pPr>
        <w:spacing w:line="360" w:lineRule="auto"/>
        <w:ind w:firstLine="420" w:firstLineChars="200"/>
        <w:jc w:val="left"/>
        <w:rPr>
          <w:rFonts w:ascii="宋体" w:hAnsi="宋体"/>
          <w:kern w:val="0"/>
          <w:szCs w:val="21"/>
        </w:rPr>
      </w:pPr>
      <w:r>
        <w:rPr>
          <w:rFonts w:hint="eastAsia" w:ascii="宋体" w:hAnsi="宋体"/>
          <w:kern w:val="0"/>
          <w:szCs w:val="21"/>
        </w:rPr>
        <w:t>合同所称法律是指中华人民共和国法律、行政法规、部门规章，以及工程所在地的地方性法规、自治条例、单行条例和地方政府规章等。</w:t>
      </w:r>
    </w:p>
    <w:p>
      <w:pPr>
        <w:spacing w:line="360" w:lineRule="auto"/>
        <w:ind w:firstLine="420" w:firstLineChars="200"/>
        <w:jc w:val="left"/>
        <w:rPr>
          <w:rFonts w:ascii="宋体" w:hAnsi="宋体"/>
          <w:kern w:val="0"/>
          <w:szCs w:val="21"/>
        </w:rPr>
      </w:pPr>
      <w:r>
        <w:rPr>
          <w:rFonts w:hint="eastAsia" w:ascii="宋体" w:hAnsi="宋体"/>
          <w:kern w:val="0"/>
          <w:szCs w:val="21"/>
        </w:rPr>
        <w:t>合同当事人可以在专用合同条款中约定合同适用的其他规范性文件。</w:t>
      </w:r>
    </w:p>
    <w:p>
      <w:pPr>
        <w:pStyle w:val="7"/>
        <w:spacing w:before="0" w:beforeAutospacing="0" w:after="0" w:afterAutospacing="0" w:line="360" w:lineRule="auto"/>
        <w:ind w:firstLine="422" w:firstLineChars="200"/>
        <w:rPr>
          <w:sz w:val="21"/>
          <w:szCs w:val="21"/>
        </w:rPr>
      </w:pPr>
      <w:bookmarkStart w:id="287" w:name="_Toc351203499"/>
      <w:bookmarkStart w:id="288" w:name="_Toc532377185"/>
      <w:r>
        <w:rPr>
          <w:rFonts w:hint="eastAsia"/>
          <w:sz w:val="21"/>
          <w:szCs w:val="21"/>
        </w:rPr>
        <w:t>1.4 标准和规范</w:t>
      </w:r>
      <w:bookmarkEnd w:id="287"/>
      <w:bookmarkEnd w:id="288"/>
    </w:p>
    <w:p>
      <w:pPr>
        <w:spacing w:line="360" w:lineRule="auto"/>
        <w:ind w:firstLine="420" w:firstLineChars="200"/>
        <w:jc w:val="left"/>
        <w:rPr>
          <w:rFonts w:ascii="宋体" w:hAnsi="宋体"/>
          <w:kern w:val="0"/>
          <w:szCs w:val="21"/>
        </w:rPr>
      </w:pPr>
      <w:r>
        <w:rPr>
          <w:rFonts w:hint="eastAsia" w:ascii="宋体" w:hAnsi="宋体"/>
          <w:kern w:val="0"/>
          <w:szCs w:val="21"/>
        </w:rPr>
        <w:t>1.4.1 适用于工程的国家标准、行业标准、工程所在地的地方性标准，以及相应的规范、规程等，合同当事人有特别要求的，应在专用合同条款中约定。</w:t>
      </w:r>
    </w:p>
    <w:p>
      <w:pPr>
        <w:spacing w:line="360" w:lineRule="auto"/>
        <w:ind w:firstLine="420" w:firstLineChars="200"/>
        <w:jc w:val="left"/>
        <w:rPr>
          <w:rFonts w:ascii="宋体" w:hAnsi="宋体"/>
          <w:kern w:val="0"/>
          <w:szCs w:val="21"/>
        </w:rPr>
      </w:pPr>
      <w:r>
        <w:rPr>
          <w:rFonts w:hint="eastAsia" w:ascii="宋体" w:hAnsi="宋体"/>
          <w:kern w:val="0"/>
          <w:szCs w:val="21"/>
        </w:rPr>
        <w:t>1.4.2 发包人要求使用国外标准、规范的，发包人负责提供原文版本和中文译本，并在专用合同条款中约定提供标准规范的名称、份数和时间。</w:t>
      </w:r>
    </w:p>
    <w:p>
      <w:pPr>
        <w:spacing w:line="360" w:lineRule="auto"/>
        <w:ind w:firstLine="420" w:firstLineChars="200"/>
        <w:jc w:val="left"/>
        <w:rPr>
          <w:rFonts w:ascii="宋体" w:hAnsi="宋体"/>
          <w:kern w:val="0"/>
          <w:szCs w:val="21"/>
        </w:rPr>
      </w:pPr>
      <w:r>
        <w:rPr>
          <w:rFonts w:hint="eastAsia" w:ascii="宋体" w:hAnsi="宋体"/>
          <w:kern w:val="0"/>
          <w:szCs w:val="21"/>
        </w:rPr>
        <w:t>1.4.3 发包人对工程的技术标准、功能要求高于或严于现行国家、行业或地方标准的，应当在专用合同条款中予以明确。除专用合同条款另有约定外，应视为承包人在签订合同前已充分预见前述技术标准和功能要求的复杂程度，签约合同价中已包含由此产生的费用。</w:t>
      </w:r>
    </w:p>
    <w:p>
      <w:pPr>
        <w:pStyle w:val="7"/>
        <w:spacing w:before="0" w:beforeAutospacing="0" w:after="0" w:afterAutospacing="0" w:line="360" w:lineRule="auto"/>
        <w:ind w:firstLine="422" w:firstLineChars="200"/>
        <w:rPr>
          <w:sz w:val="21"/>
          <w:szCs w:val="21"/>
        </w:rPr>
      </w:pPr>
      <w:bookmarkStart w:id="289" w:name="_Toc351203500"/>
      <w:bookmarkStart w:id="290" w:name="_Toc532377186"/>
      <w:r>
        <w:rPr>
          <w:rFonts w:hint="eastAsia"/>
          <w:sz w:val="21"/>
          <w:szCs w:val="21"/>
        </w:rPr>
        <w:t>1</w:t>
      </w:r>
      <w:bookmarkStart w:id="291" w:name="_Toc337558731"/>
      <w:bookmarkStart w:id="292" w:name="_Toc296503031"/>
      <w:bookmarkStart w:id="293" w:name="_Toc296346532"/>
      <w:r>
        <w:rPr>
          <w:rFonts w:hint="eastAsia"/>
          <w:sz w:val="21"/>
          <w:szCs w:val="21"/>
        </w:rPr>
        <w:t>.5 合同文件的优先顺序</w:t>
      </w:r>
      <w:bookmarkEnd w:id="289"/>
      <w:bookmarkEnd w:id="290"/>
    </w:p>
    <w:bookmarkEnd w:id="291"/>
    <w:bookmarkEnd w:id="292"/>
    <w:bookmarkEnd w:id="293"/>
    <w:p>
      <w:pPr>
        <w:spacing w:line="360" w:lineRule="auto"/>
        <w:ind w:firstLine="420" w:firstLineChars="200"/>
        <w:jc w:val="left"/>
        <w:rPr>
          <w:rFonts w:ascii="宋体" w:hAnsi="宋体"/>
          <w:kern w:val="0"/>
          <w:szCs w:val="21"/>
        </w:rPr>
      </w:pPr>
      <w:r>
        <w:rPr>
          <w:rFonts w:hint="eastAsia" w:ascii="宋体" w:hAnsi="宋体"/>
          <w:kern w:val="0"/>
          <w:szCs w:val="21"/>
        </w:rPr>
        <w:t>组成合同的各项文件应互相解释，互为说明。除专用合同条款另有约定外，解释合同文件的优先顺序如下：</w:t>
      </w:r>
    </w:p>
    <w:p>
      <w:pPr>
        <w:spacing w:line="360" w:lineRule="auto"/>
        <w:ind w:firstLine="420" w:firstLineChars="200"/>
        <w:jc w:val="left"/>
        <w:rPr>
          <w:rFonts w:ascii="宋体" w:hAnsi="宋体"/>
          <w:kern w:val="0"/>
          <w:szCs w:val="21"/>
        </w:rPr>
      </w:pPr>
      <w:r>
        <w:rPr>
          <w:rFonts w:hint="eastAsia" w:ascii="宋体" w:hAnsi="宋体"/>
          <w:kern w:val="0"/>
          <w:szCs w:val="21"/>
        </w:rPr>
        <w:t>（1）合同协议书；</w:t>
      </w:r>
    </w:p>
    <w:p>
      <w:pPr>
        <w:spacing w:line="360" w:lineRule="auto"/>
        <w:ind w:firstLine="420" w:firstLineChars="200"/>
        <w:jc w:val="left"/>
        <w:rPr>
          <w:rFonts w:ascii="宋体" w:hAnsi="宋体"/>
          <w:kern w:val="0"/>
          <w:szCs w:val="21"/>
        </w:rPr>
      </w:pPr>
      <w:r>
        <w:rPr>
          <w:rFonts w:hint="eastAsia" w:ascii="宋体" w:hAnsi="宋体"/>
          <w:kern w:val="0"/>
          <w:szCs w:val="21"/>
        </w:rPr>
        <w:t>（2）中标通知书（如有）；</w:t>
      </w:r>
    </w:p>
    <w:p>
      <w:pPr>
        <w:spacing w:line="360" w:lineRule="auto"/>
        <w:ind w:firstLine="420" w:firstLineChars="200"/>
        <w:jc w:val="left"/>
        <w:rPr>
          <w:rFonts w:ascii="宋体" w:hAnsi="宋体"/>
          <w:kern w:val="0"/>
          <w:szCs w:val="21"/>
        </w:rPr>
      </w:pPr>
      <w:r>
        <w:rPr>
          <w:rFonts w:hint="eastAsia" w:ascii="宋体" w:hAnsi="宋体"/>
          <w:kern w:val="0"/>
          <w:szCs w:val="21"/>
        </w:rPr>
        <w:t>（3）投标函及其附录（如有）；</w:t>
      </w:r>
    </w:p>
    <w:p>
      <w:pPr>
        <w:spacing w:line="360" w:lineRule="auto"/>
        <w:ind w:firstLine="420" w:firstLineChars="200"/>
        <w:jc w:val="left"/>
        <w:rPr>
          <w:rFonts w:ascii="宋体" w:hAnsi="宋体"/>
          <w:kern w:val="0"/>
          <w:szCs w:val="21"/>
        </w:rPr>
      </w:pPr>
      <w:r>
        <w:rPr>
          <w:rFonts w:hint="eastAsia" w:ascii="宋体" w:hAnsi="宋体"/>
          <w:kern w:val="0"/>
          <w:szCs w:val="21"/>
        </w:rPr>
        <w:t>（4）专用合同条款及其附件；</w:t>
      </w:r>
    </w:p>
    <w:p>
      <w:pPr>
        <w:spacing w:line="360" w:lineRule="auto"/>
        <w:ind w:firstLine="420" w:firstLineChars="200"/>
        <w:jc w:val="left"/>
        <w:rPr>
          <w:rFonts w:ascii="宋体" w:hAnsi="宋体"/>
          <w:kern w:val="0"/>
          <w:szCs w:val="21"/>
        </w:rPr>
      </w:pPr>
      <w:r>
        <w:rPr>
          <w:rFonts w:hint="eastAsia" w:ascii="宋体" w:hAnsi="宋体"/>
          <w:kern w:val="0"/>
          <w:szCs w:val="21"/>
        </w:rPr>
        <w:t>（5）通用合同条款；</w:t>
      </w:r>
    </w:p>
    <w:p>
      <w:pPr>
        <w:spacing w:line="360" w:lineRule="auto"/>
        <w:ind w:firstLine="420" w:firstLineChars="200"/>
        <w:jc w:val="left"/>
        <w:rPr>
          <w:rFonts w:ascii="宋体" w:hAnsi="宋体"/>
          <w:kern w:val="0"/>
          <w:szCs w:val="21"/>
        </w:rPr>
      </w:pPr>
      <w:r>
        <w:rPr>
          <w:rFonts w:hint="eastAsia" w:ascii="宋体" w:hAnsi="宋体"/>
          <w:kern w:val="0"/>
          <w:szCs w:val="21"/>
        </w:rPr>
        <w:t>（6）技术标准和要求；</w:t>
      </w:r>
    </w:p>
    <w:p>
      <w:pPr>
        <w:spacing w:line="360" w:lineRule="auto"/>
        <w:ind w:firstLine="420" w:firstLineChars="200"/>
        <w:jc w:val="left"/>
        <w:rPr>
          <w:rFonts w:ascii="宋体" w:hAnsi="宋体"/>
          <w:kern w:val="0"/>
          <w:szCs w:val="21"/>
        </w:rPr>
      </w:pPr>
      <w:r>
        <w:rPr>
          <w:rFonts w:hint="eastAsia" w:ascii="宋体" w:hAnsi="宋体"/>
          <w:kern w:val="0"/>
          <w:szCs w:val="21"/>
        </w:rPr>
        <w:t>（7）图纸；</w:t>
      </w:r>
    </w:p>
    <w:p>
      <w:pPr>
        <w:spacing w:line="360" w:lineRule="auto"/>
        <w:ind w:firstLine="420" w:firstLineChars="200"/>
        <w:jc w:val="left"/>
        <w:rPr>
          <w:rFonts w:ascii="宋体" w:hAnsi="宋体"/>
          <w:kern w:val="0"/>
          <w:szCs w:val="21"/>
        </w:rPr>
      </w:pPr>
      <w:r>
        <w:rPr>
          <w:rFonts w:hint="eastAsia" w:ascii="宋体" w:hAnsi="宋体"/>
          <w:kern w:val="0"/>
          <w:szCs w:val="21"/>
        </w:rPr>
        <w:t>（8）已标价工程量清单或预算书；</w:t>
      </w:r>
    </w:p>
    <w:p>
      <w:pPr>
        <w:spacing w:line="360" w:lineRule="auto"/>
        <w:ind w:firstLine="420" w:firstLineChars="200"/>
        <w:jc w:val="left"/>
        <w:rPr>
          <w:rFonts w:ascii="宋体" w:hAnsi="宋体"/>
          <w:kern w:val="0"/>
          <w:szCs w:val="21"/>
        </w:rPr>
      </w:pPr>
      <w:r>
        <w:rPr>
          <w:rFonts w:hint="eastAsia" w:ascii="宋体" w:hAnsi="宋体"/>
          <w:kern w:val="0"/>
          <w:szCs w:val="21"/>
        </w:rPr>
        <w:t>（9）其他合同文件。</w:t>
      </w:r>
    </w:p>
    <w:p>
      <w:pPr>
        <w:spacing w:line="360" w:lineRule="auto"/>
        <w:ind w:firstLine="420" w:firstLineChars="200"/>
        <w:jc w:val="left"/>
        <w:rPr>
          <w:rFonts w:ascii="宋体" w:hAnsi="宋体"/>
          <w:kern w:val="0"/>
          <w:szCs w:val="21"/>
        </w:rPr>
      </w:pPr>
      <w:r>
        <w:rPr>
          <w:rFonts w:hint="eastAsia" w:ascii="宋体" w:hAnsi="宋体"/>
          <w:kern w:val="0"/>
          <w:szCs w:val="21"/>
        </w:rPr>
        <w:t>上述各项合同文件包括合同当事人就该项合同文件所作出的补充和修改，属于同一类内容的文件，应以最新签署的为准。</w:t>
      </w:r>
    </w:p>
    <w:p>
      <w:pPr>
        <w:spacing w:line="360" w:lineRule="auto"/>
        <w:ind w:firstLine="420" w:firstLineChars="200"/>
        <w:jc w:val="left"/>
        <w:rPr>
          <w:rFonts w:ascii="宋体" w:hAnsi="宋体"/>
          <w:kern w:val="0"/>
          <w:szCs w:val="21"/>
        </w:rPr>
      </w:pPr>
      <w:r>
        <w:rPr>
          <w:rFonts w:hint="eastAsia" w:ascii="宋体" w:hAnsi="宋体"/>
          <w:kern w:val="0"/>
          <w:szCs w:val="21"/>
        </w:rPr>
        <w:t>在合同订立及履行过程中形成的与合同有关的文件均构成合同文件组成部分，并根据其性质确定优先解释顺序。</w:t>
      </w:r>
    </w:p>
    <w:p>
      <w:pPr>
        <w:pStyle w:val="7"/>
        <w:spacing w:before="0" w:beforeAutospacing="0" w:after="0" w:afterAutospacing="0" w:line="360" w:lineRule="auto"/>
        <w:ind w:firstLine="422" w:firstLineChars="200"/>
        <w:rPr>
          <w:sz w:val="21"/>
          <w:szCs w:val="21"/>
        </w:rPr>
      </w:pPr>
      <w:bookmarkStart w:id="294" w:name="_Toc351203501"/>
      <w:bookmarkStart w:id="295" w:name="_Toc532377187"/>
      <w:r>
        <w:rPr>
          <w:rFonts w:hint="eastAsia"/>
          <w:sz w:val="21"/>
          <w:szCs w:val="21"/>
        </w:rPr>
        <w:t>1</w:t>
      </w:r>
      <w:bookmarkStart w:id="296" w:name="_Toc296503032"/>
      <w:bookmarkStart w:id="297" w:name="_Toc296346533"/>
      <w:bookmarkStart w:id="298" w:name="_Toc337558732"/>
      <w:r>
        <w:rPr>
          <w:rFonts w:hint="eastAsia"/>
          <w:sz w:val="21"/>
          <w:szCs w:val="21"/>
        </w:rPr>
        <w:t>.6图纸和承包人文件</w:t>
      </w:r>
      <w:bookmarkEnd w:id="294"/>
      <w:bookmarkEnd w:id="295"/>
    </w:p>
    <w:bookmarkEnd w:id="296"/>
    <w:bookmarkEnd w:id="297"/>
    <w:bookmarkEnd w:id="298"/>
    <w:p>
      <w:pPr>
        <w:spacing w:line="360" w:lineRule="auto"/>
        <w:ind w:firstLine="420" w:firstLineChars="200"/>
        <w:jc w:val="left"/>
        <w:rPr>
          <w:rFonts w:ascii="宋体" w:hAnsi="宋体"/>
          <w:kern w:val="0"/>
          <w:szCs w:val="21"/>
        </w:rPr>
      </w:pPr>
      <w:r>
        <w:rPr>
          <w:rFonts w:hint="eastAsia" w:ascii="宋体" w:hAnsi="宋体"/>
          <w:kern w:val="0"/>
          <w:szCs w:val="21"/>
        </w:rPr>
        <w:t>1.6.1 图纸的提供和交底</w:t>
      </w:r>
    </w:p>
    <w:p>
      <w:pPr>
        <w:spacing w:line="360" w:lineRule="auto"/>
        <w:ind w:firstLine="420" w:firstLineChars="200"/>
        <w:jc w:val="left"/>
        <w:rPr>
          <w:rFonts w:ascii="宋体" w:hAnsi="宋体"/>
          <w:kern w:val="0"/>
          <w:szCs w:val="21"/>
        </w:rPr>
      </w:pPr>
      <w:r>
        <w:rPr>
          <w:rFonts w:hint="eastAsia" w:ascii="宋体" w:hAnsi="宋体"/>
          <w:kern w:val="0"/>
          <w:szCs w:val="21"/>
        </w:rPr>
        <w:t>发包人应按照专用合同条款约定的期限、数量和内容向承包人免费提供图纸，并组织承包人、监理人和设计人进行图纸会审和设计交底。发包人至迟不得晚于第7.3.2项〔开工通知〕载明的开工日期前14天向承包人提供图纸。</w:t>
      </w:r>
    </w:p>
    <w:p>
      <w:pPr>
        <w:spacing w:line="360" w:lineRule="auto"/>
        <w:ind w:firstLine="420" w:firstLineChars="200"/>
        <w:jc w:val="left"/>
        <w:rPr>
          <w:rFonts w:ascii="宋体" w:hAnsi="宋体"/>
          <w:kern w:val="0"/>
          <w:szCs w:val="21"/>
        </w:rPr>
      </w:pPr>
      <w:r>
        <w:rPr>
          <w:rFonts w:hint="eastAsia" w:ascii="宋体" w:hAnsi="宋体"/>
          <w:kern w:val="0"/>
          <w:szCs w:val="21"/>
        </w:rPr>
        <w:t>因发包人未按合同约定提供图纸导致承包人费用增加和（或）工期延误的，按照第7.5.1项〔因发包人原因导致工期延误〕约定办理。</w:t>
      </w:r>
    </w:p>
    <w:p>
      <w:pPr>
        <w:spacing w:line="360" w:lineRule="auto"/>
        <w:ind w:firstLine="420" w:firstLineChars="200"/>
        <w:jc w:val="left"/>
        <w:rPr>
          <w:rFonts w:ascii="宋体" w:hAnsi="宋体"/>
          <w:kern w:val="0"/>
          <w:szCs w:val="21"/>
        </w:rPr>
      </w:pPr>
      <w:r>
        <w:rPr>
          <w:rFonts w:hint="eastAsia" w:ascii="宋体" w:hAnsi="宋体"/>
          <w:kern w:val="0"/>
          <w:szCs w:val="21"/>
        </w:rPr>
        <w:t>1.6.2 图纸的错误</w:t>
      </w:r>
    </w:p>
    <w:p>
      <w:pPr>
        <w:spacing w:line="360" w:lineRule="auto"/>
        <w:ind w:firstLine="420" w:firstLineChars="200"/>
        <w:jc w:val="left"/>
        <w:rPr>
          <w:rFonts w:ascii="宋体" w:hAnsi="宋体"/>
          <w:kern w:val="0"/>
          <w:szCs w:val="21"/>
        </w:rPr>
      </w:pPr>
      <w:r>
        <w:rPr>
          <w:rFonts w:hint="eastAsia" w:ascii="宋体" w:hAnsi="宋体"/>
          <w:kern w:val="0"/>
          <w:szCs w:val="21"/>
        </w:rPr>
        <w:t>承包人在收到发包人提供的图纸后，发现图纸存在差错、遗漏或缺陷的，应及时通知监理人。监理人接到该通知后，应附具相关意见并立即报送发包人，发包人应在收到监理人报送的通知后的合理时间内作出决定。合理时间是指发包人在收到监理人的报送通知后，尽其努力且不懈怠地完成图纸修改补充所需的时间。</w:t>
      </w:r>
    </w:p>
    <w:p>
      <w:pPr>
        <w:spacing w:line="360" w:lineRule="auto"/>
        <w:ind w:firstLine="420" w:firstLineChars="200"/>
        <w:jc w:val="left"/>
        <w:rPr>
          <w:rFonts w:ascii="宋体" w:hAnsi="宋体"/>
          <w:kern w:val="0"/>
          <w:szCs w:val="21"/>
        </w:rPr>
      </w:pPr>
      <w:r>
        <w:rPr>
          <w:rFonts w:hint="eastAsia" w:ascii="宋体" w:hAnsi="宋体"/>
          <w:kern w:val="0"/>
          <w:szCs w:val="21"/>
        </w:rPr>
        <w:t>1.6.3 图纸的修改和补充</w:t>
      </w:r>
    </w:p>
    <w:p>
      <w:pPr>
        <w:spacing w:line="360" w:lineRule="auto"/>
        <w:ind w:firstLine="420" w:firstLineChars="200"/>
        <w:jc w:val="left"/>
        <w:rPr>
          <w:rFonts w:ascii="宋体" w:hAnsi="宋体"/>
          <w:kern w:val="0"/>
          <w:szCs w:val="21"/>
        </w:rPr>
      </w:pPr>
      <w:r>
        <w:rPr>
          <w:rFonts w:hint="eastAsia" w:ascii="宋体" w:hAnsi="宋体"/>
          <w:kern w:val="0"/>
          <w:szCs w:val="21"/>
        </w:rPr>
        <w:t>图纸需要修改和补充的，应经图纸原设计人及审批部门同意，并由监理人在工程或工程相应部位施工前将修改后的图纸或补充图纸提交给承包人，承包人应按修改或补充后的图纸施工。</w:t>
      </w:r>
    </w:p>
    <w:p>
      <w:pPr>
        <w:spacing w:line="360" w:lineRule="auto"/>
        <w:ind w:firstLine="420" w:firstLineChars="200"/>
        <w:jc w:val="left"/>
        <w:rPr>
          <w:rFonts w:ascii="宋体" w:hAnsi="宋体"/>
          <w:kern w:val="0"/>
          <w:szCs w:val="21"/>
        </w:rPr>
      </w:pPr>
      <w:r>
        <w:rPr>
          <w:rFonts w:hint="eastAsia" w:ascii="宋体" w:hAnsi="宋体"/>
          <w:kern w:val="0"/>
          <w:szCs w:val="21"/>
        </w:rPr>
        <w:t>1.6.4 承包人文件</w:t>
      </w:r>
    </w:p>
    <w:p>
      <w:pPr>
        <w:spacing w:line="360" w:lineRule="auto"/>
        <w:ind w:firstLine="420" w:firstLineChars="200"/>
        <w:jc w:val="left"/>
        <w:rPr>
          <w:rFonts w:ascii="宋体" w:hAnsi="宋体"/>
          <w:kern w:val="0"/>
          <w:szCs w:val="21"/>
        </w:rPr>
      </w:pPr>
      <w:r>
        <w:rPr>
          <w:rFonts w:hint="eastAsia" w:ascii="宋体" w:hAnsi="宋体"/>
          <w:kern w:val="0"/>
          <w:szCs w:val="21"/>
        </w:rPr>
        <w:t>承包人应按照专用合同条款的约定提供应当由其编制的与工程施工有关的文件，并按照专用合同条款约定的期限、数量和形式提交监理人，并由监理人报送发包人。</w:t>
      </w:r>
    </w:p>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监理人应在收到承包人文件后7天内审查完毕，监理人对承包人文件有异议的，承包人应予以修改，并重新报送监理人。监理人的审查并不减轻或免除承包人根据合同约定应当承担的责任。</w:t>
      </w:r>
    </w:p>
    <w:p>
      <w:pPr>
        <w:spacing w:line="360" w:lineRule="auto"/>
        <w:ind w:firstLine="420" w:firstLineChars="200"/>
        <w:jc w:val="left"/>
        <w:rPr>
          <w:rFonts w:ascii="宋体" w:hAnsi="宋体"/>
          <w:kern w:val="0"/>
          <w:szCs w:val="21"/>
        </w:rPr>
      </w:pPr>
      <w:r>
        <w:rPr>
          <w:rFonts w:hint="eastAsia" w:ascii="宋体" w:hAnsi="宋体"/>
          <w:kern w:val="0"/>
          <w:szCs w:val="21"/>
        </w:rPr>
        <w:t>1.6.5 图纸和承包人文件的保管</w:t>
      </w:r>
    </w:p>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除专用合同条款另有约定外，承包人应在施工现场另外保存一套完整的图纸和承包人文件，供发包人、监理人及有关人员进行工程检查时使用。</w:t>
      </w:r>
    </w:p>
    <w:p>
      <w:pPr>
        <w:pStyle w:val="7"/>
        <w:spacing w:before="0" w:beforeAutospacing="0" w:after="0" w:afterAutospacing="0" w:line="360" w:lineRule="auto"/>
        <w:ind w:firstLine="422" w:firstLineChars="200"/>
        <w:rPr>
          <w:sz w:val="21"/>
          <w:szCs w:val="21"/>
        </w:rPr>
      </w:pPr>
      <w:bookmarkStart w:id="299" w:name="_Toc351203502"/>
      <w:bookmarkStart w:id="300" w:name="_Toc532377188"/>
      <w:r>
        <w:rPr>
          <w:rFonts w:hint="eastAsia"/>
          <w:sz w:val="21"/>
          <w:szCs w:val="21"/>
        </w:rPr>
        <w:t>1</w:t>
      </w:r>
      <w:bookmarkStart w:id="301" w:name="_Toc337558733"/>
      <w:bookmarkStart w:id="302" w:name="_Toc296503033"/>
      <w:bookmarkStart w:id="303" w:name="_Toc296346534"/>
      <w:r>
        <w:rPr>
          <w:rFonts w:hint="eastAsia"/>
          <w:sz w:val="21"/>
          <w:szCs w:val="21"/>
        </w:rPr>
        <w:t>.7联络</w:t>
      </w:r>
      <w:bookmarkEnd w:id="299"/>
      <w:bookmarkEnd w:id="300"/>
    </w:p>
    <w:bookmarkEnd w:id="301"/>
    <w:bookmarkEnd w:id="302"/>
    <w:bookmarkEnd w:id="303"/>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1.7.1 与合同有关的通知、批准、证明、证书、指示、指令、要求、请求、同意、意见、确定和决定等，均应采用书面形式，并应在合同约定的期限内送达接收人和送达地点。</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1.7.2 发包人和承包人应在专用合同条款中约定各自的送达接收人和送达地点。任何一方合同当事人指定的接收人或送达地点发生变动的，应提前3天以书面形式通知对方。</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1.7.3 发包人和承包人应当及时签收另一方送达至送达地点和指定接收人的来往信函。拒不签收的，由此增加的费用和（或）延误的工期由拒绝接收一方承担。</w:t>
      </w:r>
    </w:p>
    <w:p>
      <w:pPr>
        <w:pStyle w:val="7"/>
        <w:spacing w:before="0" w:beforeAutospacing="0" w:after="0" w:afterAutospacing="0" w:line="360" w:lineRule="auto"/>
        <w:ind w:firstLine="422" w:firstLineChars="200"/>
        <w:rPr>
          <w:sz w:val="21"/>
          <w:szCs w:val="21"/>
        </w:rPr>
      </w:pPr>
      <w:bookmarkStart w:id="304" w:name="_Toc532377189"/>
      <w:bookmarkStart w:id="305" w:name="_Toc351203503"/>
      <w:r>
        <w:rPr>
          <w:rFonts w:hint="eastAsia"/>
          <w:sz w:val="21"/>
          <w:szCs w:val="21"/>
        </w:rPr>
        <w:t>1</w:t>
      </w:r>
      <w:bookmarkStart w:id="306" w:name="_Toc337558734"/>
      <w:bookmarkStart w:id="307" w:name="_Toc296346536"/>
      <w:bookmarkStart w:id="308" w:name="_Toc296503035"/>
      <w:r>
        <w:rPr>
          <w:rFonts w:hint="eastAsia"/>
          <w:sz w:val="21"/>
          <w:szCs w:val="21"/>
        </w:rPr>
        <w:t>.8严禁贿赂</w:t>
      </w:r>
      <w:bookmarkEnd w:id="304"/>
      <w:bookmarkEnd w:id="305"/>
    </w:p>
    <w:bookmarkEnd w:id="306"/>
    <w:bookmarkEnd w:id="307"/>
    <w:bookmarkEnd w:id="308"/>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合同当事人不得以贿赂或变相贿赂的方式，谋取非法利益或损害对方权益。因一方合同当事人的贿赂造成对方损失的，应赔偿损失，并承担相应的法律责任。</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承包人不得与监理人或发包人聘请的第三方串通损害发包人利益。未经发包人书面同意，承包人不得为监理人提供合同约定以外的通讯设备、交通工具及其他任何形式的利益，不得向监理人支付报酬。</w:t>
      </w:r>
    </w:p>
    <w:p>
      <w:pPr>
        <w:pStyle w:val="7"/>
        <w:spacing w:before="0" w:beforeAutospacing="0" w:after="0" w:afterAutospacing="0" w:line="360" w:lineRule="auto"/>
        <w:ind w:firstLine="422" w:firstLineChars="200"/>
        <w:rPr>
          <w:sz w:val="21"/>
          <w:szCs w:val="21"/>
        </w:rPr>
      </w:pPr>
      <w:bookmarkStart w:id="309" w:name="_Toc351203504"/>
      <w:bookmarkStart w:id="310" w:name="_Toc532377190"/>
      <w:r>
        <w:rPr>
          <w:rFonts w:hint="eastAsia"/>
          <w:sz w:val="21"/>
          <w:szCs w:val="21"/>
        </w:rPr>
        <w:t>1</w:t>
      </w:r>
      <w:bookmarkStart w:id="311" w:name="_Toc337558735"/>
      <w:bookmarkStart w:id="312" w:name="_Toc296346537"/>
      <w:bookmarkStart w:id="313" w:name="_Toc296503036"/>
      <w:r>
        <w:rPr>
          <w:rFonts w:hint="eastAsia"/>
          <w:sz w:val="21"/>
          <w:szCs w:val="21"/>
        </w:rPr>
        <w:t>.9化石、文物</w:t>
      </w:r>
      <w:bookmarkEnd w:id="309"/>
      <w:bookmarkEnd w:id="310"/>
    </w:p>
    <w:bookmarkEnd w:id="311"/>
    <w:bookmarkEnd w:id="312"/>
    <w:bookmarkEnd w:id="313"/>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在施工现场发掘的所有文物、古迹以及具有地质研究或考古价值的其他遗迹、化石、钱币或物品属于国家所有。一旦发现上述文物，承包人应采取合理有效的保护措施，防止任何人员移动或损坏上述物品，并立即报告有关政府行政管理部门，同时通知监理人。</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发包人、监理人和承包人应按有关政府行政管理部门要求采取妥善的保护措施，由此增加的费用和（或）延误的工期由发包人承担。</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承包人发现文物后不及时报告或隐瞒不报，致使文物丢失或损坏的，应赔偿损失，并承担相应的法律责任。</w:t>
      </w:r>
    </w:p>
    <w:p>
      <w:pPr>
        <w:pStyle w:val="7"/>
        <w:spacing w:before="0" w:beforeAutospacing="0" w:after="0" w:afterAutospacing="0" w:line="360" w:lineRule="auto"/>
        <w:ind w:firstLine="422" w:firstLineChars="200"/>
        <w:rPr>
          <w:sz w:val="21"/>
          <w:szCs w:val="21"/>
        </w:rPr>
      </w:pPr>
      <w:bookmarkStart w:id="314" w:name="_Toc532377191"/>
      <w:bookmarkStart w:id="315" w:name="_Toc351203505"/>
      <w:r>
        <w:rPr>
          <w:rFonts w:hint="eastAsia"/>
          <w:sz w:val="21"/>
          <w:szCs w:val="21"/>
        </w:rPr>
        <w:t>1</w:t>
      </w:r>
      <w:bookmarkStart w:id="316" w:name="_Toc337558736"/>
      <w:r>
        <w:rPr>
          <w:rFonts w:hint="eastAsia"/>
          <w:sz w:val="21"/>
          <w:szCs w:val="21"/>
        </w:rPr>
        <w:t>.10交通运输</w:t>
      </w:r>
      <w:bookmarkEnd w:id="314"/>
      <w:bookmarkEnd w:id="315"/>
    </w:p>
    <w:bookmarkEnd w:id="316"/>
    <w:p>
      <w:pPr>
        <w:spacing w:line="360" w:lineRule="auto"/>
        <w:ind w:firstLine="420" w:firstLineChars="200"/>
        <w:jc w:val="left"/>
        <w:rPr>
          <w:rFonts w:ascii="宋体" w:hAnsi="宋体"/>
          <w:kern w:val="0"/>
          <w:szCs w:val="21"/>
        </w:rPr>
      </w:pPr>
      <w:r>
        <w:rPr>
          <w:rFonts w:hint="eastAsia" w:ascii="宋体" w:hAnsi="宋体"/>
          <w:kern w:val="0"/>
          <w:szCs w:val="21"/>
        </w:rPr>
        <w:t>1.10.1 出入现场的权利</w:t>
      </w:r>
    </w:p>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发包人应根据施工需要，负责取得出入施工现场所需的批准手续和全部权利，以及取得因施工所需修建道路、桥梁以及其他基础设施的权利，并承担相关手续费用和建设费用。承包人应协助发包人办理修建场内外道路、桥梁以及其他基础设施的手续。</w:t>
      </w:r>
    </w:p>
    <w:p>
      <w:pPr>
        <w:spacing w:line="360" w:lineRule="auto"/>
        <w:ind w:firstLine="420" w:firstLineChars="200"/>
        <w:jc w:val="left"/>
        <w:rPr>
          <w:rFonts w:ascii="宋体" w:hAnsi="宋体"/>
          <w:kern w:val="0"/>
          <w:szCs w:val="21"/>
        </w:rPr>
      </w:pPr>
      <w:r>
        <w:rPr>
          <w:rFonts w:hint="eastAsia" w:ascii="宋体" w:hAnsi="宋体"/>
          <w:kern w:val="0"/>
          <w:szCs w:val="21"/>
        </w:rPr>
        <w:t>承包人应在订立合同前查勘施工现场，并根据工程规模及技术参数合理预见工程施工所需的进出施工现场的方式、手段、路径等。因承包人未合理预见所增加的费用和（或）延误的工期由承包人承担。</w:t>
      </w:r>
    </w:p>
    <w:p>
      <w:pPr>
        <w:spacing w:line="360" w:lineRule="auto"/>
        <w:ind w:firstLine="420" w:firstLineChars="200"/>
        <w:jc w:val="left"/>
        <w:rPr>
          <w:rFonts w:ascii="宋体" w:hAnsi="宋体"/>
          <w:kern w:val="0"/>
          <w:szCs w:val="21"/>
        </w:rPr>
      </w:pPr>
      <w:r>
        <w:rPr>
          <w:rFonts w:hint="eastAsia" w:ascii="宋体" w:hAnsi="宋体"/>
          <w:kern w:val="0"/>
          <w:szCs w:val="21"/>
        </w:rPr>
        <w:t>1.10.2 场外交通</w:t>
      </w:r>
    </w:p>
    <w:p>
      <w:pPr>
        <w:spacing w:line="360" w:lineRule="auto"/>
        <w:ind w:firstLine="420" w:firstLineChars="200"/>
        <w:jc w:val="left"/>
        <w:rPr>
          <w:rFonts w:ascii="宋体" w:hAnsi="宋体"/>
          <w:kern w:val="0"/>
          <w:szCs w:val="21"/>
        </w:rPr>
      </w:pPr>
      <w:r>
        <w:rPr>
          <w:rFonts w:hint="eastAsia" w:ascii="宋体" w:hAnsi="宋体"/>
          <w:kern w:val="0"/>
          <w:szCs w:val="21"/>
        </w:rPr>
        <w:t>发包人应提供场外交通设施的技术参数和具体条件，承包人应遵守有关交通法规，严格按照道路和桥梁的限制荷载行驶，执行有关道路限速、限行、禁止超载的规定，并配合交通管理部门的监督和检查。场外交通设施无法满足工程施工需要的，由发包人负责完善并承担相关费用。</w:t>
      </w:r>
    </w:p>
    <w:p>
      <w:pPr>
        <w:spacing w:line="360" w:lineRule="auto"/>
        <w:ind w:firstLine="420" w:firstLineChars="200"/>
        <w:jc w:val="left"/>
        <w:rPr>
          <w:rFonts w:ascii="宋体" w:hAnsi="宋体"/>
          <w:kern w:val="0"/>
          <w:szCs w:val="21"/>
        </w:rPr>
      </w:pPr>
      <w:r>
        <w:rPr>
          <w:rFonts w:hint="eastAsia" w:ascii="宋体" w:hAnsi="宋体"/>
          <w:kern w:val="0"/>
          <w:szCs w:val="21"/>
        </w:rPr>
        <w:t>1.10.3场内交通</w:t>
      </w:r>
    </w:p>
    <w:p>
      <w:pPr>
        <w:spacing w:line="360" w:lineRule="auto"/>
        <w:ind w:firstLine="420" w:firstLineChars="200"/>
        <w:jc w:val="left"/>
        <w:rPr>
          <w:rFonts w:ascii="宋体" w:hAnsi="宋体"/>
          <w:kern w:val="0"/>
          <w:szCs w:val="21"/>
        </w:rPr>
      </w:pPr>
      <w:r>
        <w:rPr>
          <w:rFonts w:hint="eastAsia" w:ascii="宋体" w:hAnsi="宋体"/>
          <w:kern w:val="0"/>
          <w:szCs w:val="21"/>
        </w:rPr>
        <w:t>发包人应提供场内交通设施的技术参数和具体条件，并应按照专用合同条款的约定向承包人免费提供满足工程施工所需的场内道路和交通设施。因承包人原因造成上述道路或交通设施损坏的，承包人负责修复并承担由此增加的费用。</w:t>
      </w:r>
    </w:p>
    <w:p>
      <w:pPr>
        <w:spacing w:line="360" w:lineRule="auto"/>
        <w:ind w:firstLine="420" w:firstLineChars="200"/>
        <w:jc w:val="left"/>
        <w:rPr>
          <w:rFonts w:ascii="宋体" w:hAnsi="宋体"/>
          <w:kern w:val="0"/>
          <w:szCs w:val="21"/>
        </w:rPr>
      </w:pPr>
      <w:r>
        <w:rPr>
          <w:rFonts w:hint="eastAsia" w:ascii="宋体" w:hAnsi="宋体"/>
          <w:kern w:val="0"/>
          <w:szCs w:val="21"/>
        </w:rPr>
        <w:t>除发包人按照合同约定提供的场内道路和交通设施外，承包人负责修建、维修、养护和管理施工所需的其他场内临时道路和交通设施。发包人和监理人可以为实现合同目的使用承包人修建的场内临时道路和交通设施。</w:t>
      </w:r>
    </w:p>
    <w:p>
      <w:pPr>
        <w:spacing w:line="360" w:lineRule="auto"/>
        <w:ind w:firstLine="420" w:firstLineChars="200"/>
        <w:jc w:val="left"/>
        <w:rPr>
          <w:rFonts w:ascii="宋体" w:hAnsi="宋体"/>
          <w:kern w:val="0"/>
          <w:szCs w:val="21"/>
        </w:rPr>
      </w:pPr>
      <w:r>
        <w:rPr>
          <w:rFonts w:hint="eastAsia" w:ascii="宋体" w:hAnsi="宋体"/>
          <w:kern w:val="0"/>
          <w:szCs w:val="21"/>
        </w:rPr>
        <w:t>场外交通和场内交通的边界由合同当事人在专用合同条款中约定。</w:t>
      </w:r>
    </w:p>
    <w:p>
      <w:pPr>
        <w:spacing w:line="360" w:lineRule="auto"/>
        <w:ind w:firstLine="420" w:firstLineChars="200"/>
        <w:jc w:val="left"/>
        <w:rPr>
          <w:rFonts w:ascii="宋体" w:hAnsi="宋体"/>
          <w:kern w:val="0"/>
          <w:szCs w:val="21"/>
        </w:rPr>
      </w:pPr>
      <w:r>
        <w:rPr>
          <w:rFonts w:hint="eastAsia" w:ascii="宋体" w:hAnsi="宋体"/>
          <w:kern w:val="0"/>
          <w:szCs w:val="21"/>
        </w:rPr>
        <w:t>1.10.4 超大件和超重件的运输</w:t>
      </w:r>
    </w:p>
    <w:p>
      <w:pPr>
        <w:spacing w:line="360" w:lineRule="auto"/>
        <w:ind w:firstLine="420" w:firstLineChars="200"/>
        <w:jc w:val="left"/>
        <w:rPr>
          <w:rFonts w:ascii="宋体" w:hAnsi="宋体"/>
          <w:kern w:val="0"/>
          <w:szCs w:val="21"/>
        </w:rPr>
      </w:pPr>
      <w:r>
        <w:rPr>
          <w:rFonts w:hint="eastAsia" w:ascii="宋体" w:hAnsi="宋体"/>
          <w:kern w:val="0"/>
          <w:szCs w:val="21"/>
        </w:rPr>
        <w:t>由承包人负责运输的超大件或超重件，应由承包人负责向交通管理部门办理申请手续，发包人给予协助。运输超大件或超重件所需的道路和桥梁临时加固改造费用和其他有关费用，由承包人承担，但专用合同条款另有约定除外。</w:t>
      </w:r>
    </w:p>
    <w:p>
      <w:pPr>
        <w:spacing w:line="360" w:lineRule="auto"/>
        <w:ind w:firstLine="420" w:firstLineChars="200"/>
        <w:jc w:val="left"/>
        <w:rPr>
          <w:rFonts w:ascii="宋体" w:hAnsi="宋体"/>
          <w:kern w:val="0"/>
          <w:szCs w:val="21"/>
        </w:rPr>
      </w:pPr>
      <w:r>
        <w:rPr>
          <w:rFonts w:hint="eastAsia" w:ascii="宋体" w:hAnsi="宋体"/>
          <w:kern w:val="0"/>
          <w:szCs w:val="21"/>
        </w:rPr>
        <w:t>1.10.5 道路和桥梁的损坏责任</w:t>
      </w:r>
    </w:p>
    <w:p>
      <w:pPr>
        <w:spacing w:line="360" w:lineRule="auto"/>
        <w:ind w:firstLine="420" w:firstLineChars="200"/>
        <w:jc w:val="left"/>
        <w:rPr>
          <w:rFonts w:ascii="宋体" w:hAnsi="宋体"/>
          <w:kern w:val="0"/>
          <w:szCs w:val="21"/>
        </w:rPr>
      </w:pPr>
      <w:r>
        <w:rPr>
          <w:rFonts w:hint="eastAsia" w:ascii="宋体" w:hAnsi="宋体"/>
          <w:kern w:val="0"/>
          <w:szCs w:val="21"/>
        </w:rPr>
        <w:t>因承包人运输造成施工场地内外公共道路和桥梁损坏的，由承包人承担修复损坏的全部费用和可能引起的赔偿。</w:t>
      </w:r>
    </w:p>
    <w:p>
      <w:pPr>
        <w:spacing w:line="360" w:lineRule="auto"/>
        <w:ind w:firstLine="420" w:firstLineChars="200"/>
        <w:jc w:val="left"/>
        <w:rPr>
          <w:rFonts w:ascii="宋体" w:hAnsi="宋体"/>
          <w:kern w:val="0"/>
          <w:szCs w:val="21"/>
        </w:rPr>
      </w:pPr>
      <w:r>
        <w:rPr>
          <w:rFonts w:hint="eastAsia" w:ascii="宋体" w:hAnsi="宋体"/>
          <w:kern w:val="0"/>
          <w:szCs w:val="21"/>
        </w:rPr>
        <w:t>1.10.6 水路和航空运输</w:t>
      </w:r>
    </w:p>
    <w:p>
      <w:pPr>
        <w:spacing w:line="360" w:lineRule="auto"/>
        <w:ind w:firstLine="420" w:firstLineChars="200"/>
        <w:jc w:val="left"/>
        <w:rPr>
          <w:rFonts w:ascii="宋体" w:hAnsi="宋体"/>
          <w:kern w:val="0"/>
          <w:szCs w:val="21"/>
        </w:rPr>
      </w:pPr>
      <w:r>
        <w:rPr>
          <w:rFonts w:hint="eastAsia" w:ascii="宋体" w:hAnsi="宋体"/>
          <w:kern w:val="0"/>
          <w:szCs w:val="21"/>
        </w:rPr>
        <w:t>本款前述各项的内容适用于水路运输和航空运输，其中“道路”一词的涵义包括河道、航线、船闸、机场、码头、堤防以及水路或航空运输中其他相似结构物；“车辆”一词的涵义包括船舶和飞机等。</w:t>
      </w:r>
    </w:p>
    <w:p>
      <w:pPr>
        <w:pStyle w:val="7"/>
        <w:spacing w:before="0" w:beforeAutospacing="0" w:after="0" w:afterAutospacing="0" w:line="360" w:lineRule="auto"/>
        <w:ind w:firstLine="422" w:firstLineChars="200"/>
        <w:rPr>
          <w:sz w:val="21"/>
          <w:szCs w:val="21"/>
        </w:rPr>
      </w:pPr>
      <w:bookmarkStart w:id="317" w:name="_Toc351203506"/>
      <w:bookmarkStart w:id="318" w:name="_Toc532377192"/>
      <w:r>
        <w:rPr>
          <w:rFonts w:hint="eastAsia"/>
          <w:sz w:val="21"/>
          <w:szCs w:val="21"/>
        </w:rPr>
        <w:t>1</w:t>
      </w:r>
      <w:bookmarkStart w:id="319" w:name="_Toc337558737"/>
      <w:bookmarkStart w:id="320" w:name="_Toc296346538"/>
      <w:bookmarkStart w:id="321" w:name="_Toc296503037"/>
      <w:r>
        <w:rPr>
          <w:rFonts w:hint="eastAsia"/>
          <w:sz w:val="21"/>
          <w:szCs w:val="21"/>
        </w:rPr>
        <w:t>.11知识产权</w:t>
      </w:r>
      <w:bookmarkEnd w:id="317"/>
      <w:bookmarkEnd w:id="318"/>
      <w:bookmarkEnd w:id="319"/>
    </w:p>
    <w:bookmarkEnd w:id="320"/>
    <w:bookmarkEnd w:id="321"/>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1.11.1 除专用合同条款另有约定外，发包人提供给承包人的图纸、发包人为实施工程自行编制或委托编制的技术规范以及反映发包人要求的或其他类似性质的文件的著作权属于发包人，承包人可以为实现合同目的而复制、使用此类文件，但不能用于与合同无关的其他事项。未经发包人书面同意，承包人不得为了合同以外的目的而复制、使用上述文件或将之提供给任何第三方。</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1.11.2 除专用合同条款另有约定外，承包人为实施工程所编制的文件，除署名权以外的著作权属于发包人，承包人可因实施工程的运行、调试、维修、改造等目的而复制、使用此类文件，但不能用于与合同无关的其他事项。未经发包人书面同意，承包人不得为了合同以外的目的而复制、使用上述文件或将之提供给任何第三方。</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1.11.3 合同当事人保证在履行合同过程中不侵犯对方及第三方的知识产权。承包人在使用材料、施工设备、工程设备或采用施工工艺时，因侵犯他人的专利权或其他知识产权所引起的责任，由承包人承担；因发包人提供的材料、施工设备、工程设备或施工工艺导致侵权的，由发包人承担责任。</w:t>
      </w:r>
    </w:p>
    <w:p>
      <w:pPr>
        <w:spacing w:line="360" w:lineRule="auto"/>
        <w:ind w:firstLine="420" w:firstLineChars="200"/>
        <w:jc w:val="left"/>
        <w:rPr>
          <w:rFonts w:ascii="宋体" w:hAnsi="宋体"/>
          <w:kern w:val="0"/>
          <w:szCs w:val="21"/>
        </w:rPr>
      </w:pPr>
      <w:r>
        <w:rPr>
          <w:rFonts w:hint="eastAsia" w:ascii="宋体" w:hAnsi="宋体"/>
          <w:kern w:val="0"/>
          <w:szCs w:val="21"/>
        </w:rPr>
        <w:t>1.11.4 除专用合同条款另有约定外，承包人在合同签订前和签订时已确定采用的专利、专有技术、技术秘密的使用费已包含在签约合同价中。</w:t>
      </w:r>
    </w:p>
    <w:p>
      <w:pPr>
        <w:pStyle w:val="7"/>
        <w:spacing w:before="0" w:beforeAutospacing="0" w:after="0" w:afterAutospacing="0" w:line="360" w:lineRule="auto"/>
        <w:ind w:firstLine="422" w:firstLineChars="200"/>
        <w:rPr>
          <w:sz w:val="21"/>
          <w:szCs w:val="21"/>
        </w:rPr>
      </w:pPr>
      <w:bookmarkStart w:id="322" w:name="_Toc351203507"/>
      <w:bookmarkStart w:id="323" w:name="_Toc532377193"/>
      <w:r>
        <w:rPr>
          <w:rFonts w:hint="eastAsia"/>
          <w:sz w:val="21"/>
          <w:szCs w:val="21"/>
        </w:rPr>
        <w:t>1</w:t>
      </w:r>
      <w:bookmarkStart w:id="324" w:name="_Toc337558738"/>
      <w:r>
        <w:rPr>
          <w:rFonts w:hint="eastAsia"/>
          <w:sz w:val="21"/>
          <w:szCs w:val="21"/>
        </w:rPr>
        <w:t>.12保密</w:t>
      </w:r>
      <w:bookmarkEnd w:id="322"/>
      <w:bookmarkEnd w:id="323"/>
    </w:p>
    <w:bookmarkEnd w:id="324"/>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除法律规定或合同另有约定外，未经发包人同意，承包人不得将发包人提供的图纸、文件以及声明需要保密的资料信息等商业秘密泄露给第三方。</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除法律规定或合同另有约定外，未经承包人同意，发包人不得将承包人提供的技术秘密及声明需要保密的资料信息等商业秘密泄露给第三方。</w:t>
      </w:r>
    </w:p>
    <w:p>
      <w:pPr>
        <w:pStyle w:val="7"/>
        <w:spacing w:before="0" w:beforeAutospacing="0" w:after="0" w:afterAutospacing="0" w:line="360" w:lineRule="auto"/>
        <w:ind w:firstLine="422" w:firstLineChars="200"/>
        <w:rPr>
          <w:sz w:val="21"/>
          <w:szCs w:val="21"/>
        </w:rPr>
      </w:pPr>
      <w:bookmarkStart w:id="325" w:name="_Toc351203508"/>
      <w:bookmarkStart w:id="326" w:name="_Toc532377194"/>
      <w:r>
        <w:rPr>
          <w:rFonts w:hint="eastAsia"/>
          <w:sz w:val="21"/>
          <w:szCs w:val="21"/>
        </w:rPr>
        <w:t>1.13工程量清单错误的修正</w:t>
      </w:r>
      <w:bookmarkEnd w:id="325"/>
      <w:bookmarkEnd w:id="326"/>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除专用合同条款另有约定外，发包人提供的工程量清单，应被认为是准确的和完整的。出现下列情形之一时，发包人应予以修正，并相应调整合同价格：</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（1）工程量清单存在缺项、漏项的；</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（2）工程量清单偏差超出专用合同条款约定的工程量偏差范围的；</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（3）未按照国家现行计量规范强制性规定计量的。</w:t>
      </w:r>
    </w:p>
    <w:p>
      <w:pPr>
        <w:pStyle w:val="6"/>
        <w:spacing w:before="156" w:beforeLines="50" w:beforeAutospacing="0" w:after="156" w:afterLines="50" w:afterAutospacing="0" w:line="360" w:lineRule="auto"/>
        <w:jc w:val="both"/>
        <w:rPr>
          <w:kern w:val="2"/>
          <w:sz w:val="21"/>
          <w:szCs w:val="21"/>
        </w:rPr>
      </w:pPr>
      <w:bookmarkStart w:id="327" w:name="_Toc351203509"/>
      <w:bookmarkStart w:id="328" w:name="_Toc532375588"/>
      <w:bookmarkStart w:id="329" w:name="_Toc532377195"/>
      <w:r>
        <w:rPr>
          <w:rFonts w:hint="eastAsia"/>
          <w:kern w:val="2"/>
          <w:sz w:val="21"/>
          <w:szCs w:val="21"/>
        </w:rPr>
        <w:t>2</w:t>
      </w:r>
      <w:bookmarkStart w:id="330" w:name="_Toc337558739"/>
      <w:bookmarkStart w:id="331" w:name="_Toc296503038"/>
      <w:bookmarkStart w:id="332" w:name="_Toc296346539"/>
      <w:bookmarkStart w:id="333" w:name="OLE_LINK2"/>
      <w:r>
        <w:rPr>
          <w:rFonts w:hint="eastAsia"/>
          <w:kern w:val="2"/>
          <w:sz w:val="21"/>
          <w:szCs w:val="21"/>
        </w:rPr>
        <w:t>. 发包人</w:t>
      </w:r>
      <w:bookmarkEnd w:id="327"/>
      <w:bookmarkEnd w:id="328"/>
      <w:bookmarkEnd w:id="329"/>
    </w:p>
    <w:bookmarkEnd w:id="330"/>
    <w:bookmarkEnd w:id="331"/>
    <w:bookmarkEnd w:id="332"/>
    <w:p>
      <w:pPr>
        <w:pStyle w:val="7"/>
        <w:spacing w:before="0" w:beforeAutospacing="0" w:after="0" w:afterAutospacing="0" w:line="360" w:lineRule="auto"/>
        <w:ind w:firstLine="422" w:firstLineChars="200"/>
        <w:rPr>
          <w:sz w:val="21"/>
          <w:szCs w:val="21"/>
        </w:rPr>
      </w:pPr>
      <w:bookmarkStart w:id="334" w:name="_Toc351203510"/>
      <w:bookmarkStart w:id="335" w:name="_Toc532377196"/>
      <w:r>
        <w:rPr>
          <w:rFonts w:hint="eastAsia"/>
          <w:sz w:val="21"/>
          <w:szCs w:val="21"/>
        </w:rPr>
        <w:t>2</w:t>
      </w:r>
      <w:bookmarkStart w:id="336" w:name="_Toc337558740"/>
      <w:bookmarkStart w:id="337" w:name="_Toc296346540"/>
      <w:bookmarkStart w:id="338" w:name="_Toc296503039"/>
      <w:r>
        <w:rPr>
          <w:rFonts w:hint="eastAsia"/>
          <w:sz w:val="21"/>
          <w:szCs w:val="21"/>
        </w:rPr>
        <w:t>.1 许可或批准</w:t>
      </w:r>
      <w:bookmarkEnd w:id="334"/>
      <w:bookmarkEnd w:id="335"/>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应遵守法律，并办理法律规定由其办理的许可、批准或备案，包括但不限于建设用地规划许可证、建设工程规划许可证、建设工程施工许可证、施工所需临时用水、临时用电、中断道路交通、临时占用土地等许可和批准。发包人应协助承包人办理法律规定的有关施工证件和批件。</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因发包人原因未能及时办理完毕前述许可、批准或备案，由发包人承担由此增加的费用和（或）延误的工期，并支付承包人合理的利润。</w:t>
      </w:r>
    </w:p>
    <w:p>
      <w:pPr>
        <w:pStyle w:val="7"/>
        <w:spacing w:before="0" w:beforeAutospacing="0" w:after="0" w:afterAutospacing="0" w:line="360" w:lineRule="auto"/>
        <w:ind w:firstLine="422" w:firstLineChars="200"/>
        <w:rPr>
          <w:sz w:val="21"/>
          <w:szCs w:val="21"/>
        </w:rPr>
      </w:pPr>
      <w:bookmarkStart w:id="339" w:name="_Toc351203511"/>
      <w:bookmarkStart w:id="340" w:name="_Toc532377197"/>
      <w:r>
        <w:rPr>
          <w:rFonts w:hint="eastAsia"/>
          <w:sz w:val="21"/>
          <w:szCs w:val="21"/>
        </w:rPr>
        <w:t>2.2 发包人代表</w:t>
      </w:r>
      <w:bookmarkEnd w:id="339"/>
      <w:bookmarkEnd w:id="340"/>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应在专用合同条款中明确其派驻施工现场的发包人代表的姓名、职务、联系方式及授权范围等事项。发包人代表在发包人的授权范围内，负责处理合同履行过程中与发包人有关的具体事宜。发包人代表在授权范围内的行为由发包人承担法律责任。发包人更换发包人代表的，应提前7天书面通知承包人。</w:t>
      </w:r>
    </w:p>
    <w:p>
      <w:pPr>
        <w:spacing w:line="360" w:lineRule="auto"/>
        <w:ind w:firstLine="420" w:firstLineChars="200"/>
        <w:jc w:val="left"/>
        <w:rPr>
          <w:rFonts w:ascii="宋体" w:hAnsi="宋体"/>
          <w:kern w:val="0"/>
          <w:szCs w:val="21"/>
        </w:rPr>
      </w:pPr>
      <w:r>
        <w:rPr>
          <w:rFonts w:hint="eastAsia" w:ascii="宋体" w:hAnsi="宋体"/>
          <w:kern w:val="0"/>
          <w:szCs w:val="21"/>
        </w:rPr>
        <w:t>发包人代表不能按照合同约定履行其职责及义务，并导致合同无法继续正常履行的，承包人可以要求发包人撤换发包人代表。</w:t>
      </w:r>
    </w:p>
    <w:p>
      <w:pPr>
        <w:spacing w:line="360" w:lineRule="auto"/>
        <w:ind w:firstLine="420" w:firstLineChars="200"/>
        <w:jc w:val="left"/>
        <w:rPr>
          <w:rFonts w:ascii="宋体" w:hAnsi="宋体"/>
          <w:kern w:val="0"/>
          <w:szCs w:val="21"/>
        </w:rPr>
      </w:pPr>
      <w:r>
        <w:rPr>
          <w:rFonts w:hint="eastAsia" w:ascii="宋体" w:hAnsi="宋体"/>
          <w:kern w:val="0"/>
          <w:szCs w:val="21"/>
        </w:rPr>
        <w:t>不属于法定必须监理的工程，监理人的职权可以由发包人代表或发包人指定的其他人员行使。</w:t>
      </w:r>
    </w:p>
    <w:p>
      <w:pPr>
        <w:pStyle w:val="7"/>
        <w:spacing w:before="0" w:beforeAutospacing="0" w:after="0" w:afterAutospacing="0" w:line="360" w:lineRule="auto"/>
        <w:ind w:firstLine="422" w:firstLineChars="200"/>
        <w:rPr>
          <w:sz w:val="21"/>
          <w:szCs w:val="21"/>
        </w:rPr>
      </w:pPr>
      <w:bookmarkStart w:id="341" w:name="_Toc351203512"/>
      <w:bookmarkStart w:id="342" w:name="_Toc532377198"/>
      <w:r>
        <w:rPr>
          <w:rFonts w:hint="eastAsia"/>
          <w:sz w:val="21"/>
          <w:szCs w:val="21"/>
        </w:rPr>
        <w:t>2.3 发包人人员</w:t>
      </w:r>
      <w:bookmarkEnd w:id="341"/>
      <w:bookmarkEnd w:id="342"/>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发包人应要求在施工现场的发包人人员遵守法律及有关安全、质量、环境保护、文明施工等规定，并保障承包人免于承受因发包人人员未遵守上述要求给承包人造成的损失和责任。</w:t>
      </w:r>
    </w:p>
    <w:p>
      <w:pPr>
        <w:spacing w:line="360" w:lineRule="auto"/>
        <w:ind w:firstLine="420" w:firstLineChars="200"/>
        <w:jc w:val="left"/>
        <w:rPr>
          <w:rFonts w:ascii="宋体" w:hAnsi="宋体"/>
          <w:kern w:val="0"/>
          <w:szCs w:val="21"/>
        </w:rPr>
      </w:pPr>
      <w:r>
        <w:rPr>
          <w:rFonts w:hint="eastAsia" w:ascii="宋体" w:hAnsi="宋体"/>
          <w:kern w:val="0"/>
          <w:szCs w:val="21"/>
        </w:rPr>
        <w:t>发包人人员包括发包人代表及其他由发包人派驻施工现场的人员。</w:t>
      </w:r>
      <w:bookmarkEnd w:id="336"/>
      <w:bookmarkEnd w:id="337"/>
      <w:bookmarkEnd w:id="338"/>
    </w:p>
    <w:p>
      <w:pPr>
        <w:pStyle w:val="7"/>
        <w:spacing w:before="0" w:beforeAutospacing="0" w:after="0" w:afterAutospacing="0" w:line="360" w:lineRule="auto"/>
        <w:ind w:firstLine="422" w:firstLineChars="200"/>
        <w:rPr>
          <w:sz w:val="21"/>
          <w:szCs w:val="21"/>
        </w:rPr>
      </w:pPr>
      <w:bookmarkStart w:id="343" w:name="_Toc532377199"/>
      <w:bookmarkStart w:id="344" w:name="_Toc351203513"/>
      <w:r>
        <w:rPr>
          <w:rFonts w:hint="eastAsia"/>
          <w:sz w:val="21"/>
          <w:szCs w:val="21"/>
        </w:rPr>
        <w:t>2</w:t>
      </w:r>
      <w:bookmarkStart w:id="345" w:name="_Toc296503040"/>
      <w:bookmarkStart w:id="346" w:name="_Toc337558741"/>
      <w:bookmarkStart w:id="347" w:name="_Toc296346541"/>
      <w:r>
        <w:rPr>
          <w:rFonts w:hint="eastAsia"/>
          <w:sz w:val="21"/>
          <w:szCs w:val="21"/>
        </w:rPr>
        <w:t>.4 施工现场、施工条件和基础资料的提供</w:t>
      </w:r>
      <w:bookmarkEnd w:id="343"/>
      <w:bookmarkEnd w:id="344"/>
      <w:bookmarkEnd w:id="345"/>
      <w:bookmarkEnd w:id="346"/>
      <w:bookmarkEnd w:id="347"/>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2.4.1 提供施工现场</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w:t>
      </w:r>
      <w:bookmarkEnd w:id="333"/>
      <w:r>
        <w:rPr>
          <w:rFonts w:hint="eastAsia" w:ascii="宋体" w:hAnsi="宋体"/>
          <w:kern w:val="0"/>
          <w:szCs w:val="21"/>
        </w:rPr>
        <w:t>专用合同条款另有约定外，发包人应最迟于开工日期7天前向承包人移交施工现场。</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2.4.2 提供施工条件</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除专用合同条款另有约定外，发包人应负责提供施工所需要的条件，包括：</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（1）将施工用水、电力、通讯线路等施工所必需的条件接至施工现场内；</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（2）保证向承包人提供正常施工所需要的进入施工现场的交通条件；</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（3）协调处理施工现场周围地下管线和邻近建筑物、构筑物、古树名木的保护工作，并承担相关费用；</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（4）按照专用合同条款约定应提供的其他设施和条件。</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2.4.3 提供基础资料</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应当在移交施工现场前向承包人提供施工现场及工程施工所必需的毗邻区域内供水、排水、供电、供气、供热、通信、广播电视等地下管线资料，气象和水文观测资料，地质勘察资料，相邻建筑物、构筑物和地下工程等有关基础资料，并对所提供资料的真实性、准确性和完整性负责。</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按照法律规定确需在开工后方能提供的基础资料，发包人应尽其努力及时地在相应工程施工前的合理期限内提供，合理期限应以不影响承包人的正常施工为限。</w:t>
      </w:r>
    </w:p>
    <w:p>
      <w:pPr>
        <w:spacing w:line="360" w:lineRule="auto"/>
        <w:ind w:firstLine="420" w:firstLineChars="200"/>
        <w:jc w:val="left"/>
        <w:rPr>
          <w:rFonts w:ascii="宋体" w:hAnsi="宋体"/>
          <w:kern w:val="0"/>
          <w:szCs w:val="21"/>
        </w:rPr>
      </w:pPr>
      <w:r>
        <w:rPr>
          <w:rFonts w:hint="eastAsia" w:ascii="宋体" w:hAnsi="宋体"/>
          <w:kern w:val="0"/>
          <w:szCs w:val="21"/>
        </w:rPr>
        <w:t>2.4.4 逾期提供的责任</w:t>
      </w:r>
    </w:p>
    <w:p>
      <w:pPr>
        <w:spacing w:line="360" w:lineRule="auto"/>
        <w:ind w:firstLine="420" w:firstLineChars="200"/>
        <w:jc w:val="left"/>
        <w:rPr>
          <w:rFonts w:ascii="宋体" w:hAnsi="宋体"/>
          <w:kern w:val="0"/>
          <w:szCs w:val="21"/>
        </w:rPr>
      </w:pPr>
      <w:r>
        <w:rPr>
          <w:rFonts w:hint="eastAsia" w:ascii="宋体" w:hAnsi="宋体"/>
          <w:kern w:val="0"/>
          <w:szCs w:val="21"/>
        </w:rPr>
        <w:t>因发包人原因未能按合同约定及时向承包人提供施工现场、施工条件、基础资料的，由发包人承担由此增加的费用和（或）延误的工期。</w:t>
      </w:r>
    </w:p>
    <w:p>
      <w:pPr>
        <w:pStyle w:val="7"/>
        <w:spacing w:before="0" w:beforeAutospacing="0" w:after="0" w:afterAutospacing="0" w:line="360" w:lineRule="auto"/>
        <w:ind w:firstLine="422" w:firstLineChars="200"/>
        <w:rPr>
          <w:sz w:val="21"/>
          <w:szCs w:val="21"/>
        </w:rPr>
      </w:pPr>
      <w:bookmarkStart w:id="348" w:name="_Toc532377200"/>
      <w:bookmarkStart w:id="349" w:name="_Toc351203514"/>
      <w:r>
        <w:rPr>
          <w:rFonts w:hint="eastAsia"/>
          <w:sz w:val="21"/>
          <w:szCs w:val="21"/>
        </w:rPr>
        <w:t>2</w:t>
      </w:r>
      <w:bookmarkStart w:id="350" w:name="_Toc337558745"/>
      <w:bookmarkStart w:id="351" w:name="_Toc296346543"/>
      <w:bookmarkStart w:id="352" w:name="_Toc296503042"/>
      <w:r>
        <w:rPr>
          <w:rFonts w:hint="eastAsia"/>
          <w:sz w:val="21"/>
          <w:szCs w:val="21"/>
        </w:rPr>
        <w:t>.5 资</w:t>
      </w:r>
      <w:bookmarkEnd w:id="350"/>
      <w:bookmarkEnd w:id="351"/>
      <w:bookmarkEnd w:id="352"/>
      <w:r>
        <w:rPr>
          <w:rFonts w:hint="eastAsia"/>
          <w:sz w:val="21"/>
          <w:szCs w:val="21"/>
        </w:rPr>
        <w:t>金来源证明及支付担保</w:t>
      </w:r>
      <w:bookmarkEnd w:id="348"/>
      <w:bookmarkEnd w:id="349"/>
    </w:p>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除专用合同条款另有约定外，发包人应在收到承包人要求提供资金来源证明的书面通知后28天内，向承包人提供能够按照合同约定支付合同价款的相应资金来源证明。</w:t>
      </w:r>
    </w:p>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除专用合同条款另有约定外，发包人要求承包人提供履约担保的，发包人应当向承包人提供支付担保。支付担保可以采用银行保函或担保公司担保等形式，具体由合同当事人在专用合同条款中约定。</w:t>
      </w:r>
    </w:p>
    <w:p>
      <w:pPr>
        <w:pStyle w:val="7"/>
        <w:spacing w:before="0" w:beforeAutospacing="0" w:after="0" w:afterAutospacing="0" w:line="360" w:lineRule="auto"/>
        <w:ind w:firstLine="422" w:firstLineChars="200"/>
        <w:rPr>
          <w:sz w:val="21"/>
          <w:szCs w:val="21"/>
        </w:rPr>
      </w:pPr>
      <w:bookmarkStart w:id="353" w:name="_Toc532377201"/>
      <w:bookmarkStart w:id="354" w:name="_Toc351203515"/>
      <w:r>
        <w:rPr>
          <w:rFonts w:hint="eastAsia"/>
          <w:sz w:val="21"/>
          <w:szCs w:val="21"/>
        </w:rPr>
        <w:t>2.6 支付合同价款</w:t>
      </w:r>
      <w:bookmarkEnd w:id="353"/>
      <w:bookmarkEnd w:id="354"/>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发包人应按合同约定向承包人及时支付合同价款。</w:t>
      </w:r>
    </w:p>
    <w:p>
      <w:pPr>
        <w:pStyle w:val="7"/>
        <w:spacing w:before="0" w:beforeAutospacing="0" w:after="0" w:afterAutospacing="0" w:line="360" w:lineRule="auto"/>
        <w:ind w:firstLine="422" w:firstLineChars="200"/>
        <w:rPr>
          <w:sz w:val="21"/>
          <w:szCs w:val="21"/>
        </w:rPr>
      </w:pPr>
      <w:bookmarkStart w:id="355" w:name="_Toc351203516"/>
      <w:bookmarkStart w:id="356" w:name="_Toc532377202"/>
      <w:r>
        <w:rPr>
          <w:rFonts w:hint="eastAsia"/>
          <w:sz w:val="21"/>
          <w:szCs w:val="21"/>
        </w:rPr>
        <w:t>2.7 组织竣工验收</w:t>
      </w:r>
      <w:bookmarkEnd w:id="355"/>
      <w:bookmarkEnd w:id="356"/>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发包人应按合同约定及时组织竣工验收。</w:t>
      </w:r>
    </w:p>
    <w:p>
      <w:pPr>
        <w:pStyle w:val="7"/>
        <w:spacing w:before="0" w:beforeAutospacing="0" w:after="0" w:afterAutospacing="0" w:line="360" w:lineRule="auto"/>
        <w:ind w:firstLine="422" w:firstLineChars="200"/>
        <w:rPr>
          <w:sz w:val="21"/>
          <w:szCs w:val="21"/>
        </w:rPr>
      </w:pPr>
      <w:bookmarkStart w:id="357" w:name="_Toc532377203"/>
      <w:bookmarkStart w:id="358" w:name="_Toc351203517"/>
      <w:r>
        <w:rPr>
          <w:rFonts w:hint="eastAsia"/>
          <w:sz w:val="21"/>
          <w:szCs w:val="21"/>
        </w:rPr>
        <w:t>2.8 现场统一管理协议</w:t>
      </w:r>
      <w:bookmarkEnd w:id="357"/>
      <w:bookmarkEnd w:id="358"/>
    </w:p>
    <w:p>
      <w:pPr>
        <w:spacing w:line="360" w:lineRule="auto"/>
        <w:ind w:firstLine="420" w:firstLineChars="200"/>
        <w:jc w:val="left"/>
        <w:rPr>
          <w:rFonts w:ascii="宋体" w:hAnsi="宋体"/>
          <w:kern w:val="0"/>
          <w:szCs w:val="21"/>
        </w:rPr>
      </w:pPr>
      <w:r>
        <w:rPr>
          <w:rFonts w:hint="eastAsia" w:ascii="宋体" w:hAnsi="宋体"/>
          <w:kern w:val="0"/>
          <w:szCs w:val="21"/>
        </w:rPr>
        <w:t>发包人应与承包人、由发包人直接发包的专业工程的承包人签订施工现场统一管理协议，明确各方的权利义务。施工现场统一管理协议作为专用合同条款的附件。</w:t>
      </w:r>
    </w:p>
    <w:p>
      <w:pPr>
        <w:pStyle w:val="6"/>
        <w:spacing w:before="156" w:beforeLines="50" w:beforeAutospacing="0" w:after="156" w:afterLines="50" w:afterAutospacing="0" w:line="360" w:lineRule="auto"/>
        <w:jc w:val="both"/>
        <w:rPr>
          <w:bCs w:val="0"/>
          <w:kern w:val="2"/>
          <w:sz w:val="21"/>
          <w:szCs w:val="21"/>
        </w:rPr>
      </w:pPr>
      <w:bookmarkStart w:id="359" w:name="_Toc532377204"/>
      <w:bookmarkStart w:id="360" w:name="_Toc351203518"/>
      <w:bookmarkStart w:id="361" w:name="_Toc532375589"/>
      <w:r>
        <w:rPr>
          <w:rFonts w:hint="eastAsia"/>
          <w:kern w:val="2"/>
          <w:sz w:val="21"/>
          <w:szCs w:val="21"/>
        </w:rPr>
        <w:t>3</w:t>
      </w:r>
      <w:bookmarkStart w:id="362" w:name="_Toc337558746"/>
      <w:bookmarkStart w:id="363" w:name="_Toc296503045"/>
      <w:bookmarkStart w:id="364" w:name="_Toc296346546"/>
      <w:r>
        <w:rPr>
          <w:rFonts w:hint="eastAsia"/>
          <w:kern w:val="2"/>
          <w:sz w:val="21"/>
          <w:szCs w:val="21"/>
        </w:rPr>
        <w:t>. 承包人</w:t>
      </w:r>
      <w:bookmarkEnd w:id="359"/>
      <w:bookmarkEnd w:id="360"/>
      <w:bookmarkEnd w:id="361"/>
    </w:p>
    <w:bookmarkEnd w:id="362"/>
    <w:bookmarkEnd w:id="363"/>
    <w:bookmarkEnd w:id="364"/>
    <w:p>
      <w:pPr>
        <w:pStyle w:val="7"/>
        <w:spacing w:before="0" w:beforeAutospacing="0" w:after="0" w:afterAutospacing="0" w:line="360" w:lineRule="auto"/>
        <w:ind w:firstLine="422" w:firstLineChars="200"/>
        <w:rPr>
          <w:sz w:val="21"/>
          <w:szCs w:val="21"/>
        </w:rPr>
      </w:pPr>
      <w:bookmarkStart w:id="365" w:name="_Toc351203519"/>
      <w:bookmarkStart w:id="366" w:name="_Toc532377205"/>
      <w:r>
        <w:rPr>
          <w:rFonts w:hint="eastAsia"/>
          <w:sz w:val="21"/>
          <w:szCs w:val="21"/>
        </w:rPr>
        <w:t>3</w:t>
      </w:r>
      <w:bookmarkStart w:id="367" w:name="_Toc296503046"/>
      <w:bookmarkStart w:id="368" w:name="_Toc337558747"/>
      <w:bookmarkStart w:id="369" w:name="_Toc296346547"/>
      <w:r>
        <w:rPr>
          <w:rFonts w:hint="eastAsia"/>
          <w:sz w:val="21"/>
          <w:szCs w:val="21"/>
        </w:rPr>
        <w:t>.1 承包人的一般义务</w:t>
      </w:r>
      <w:bookmarkEnd w:id="365"/>
      <w:bookmarkEnd w:id="366"/>
    </w:p>
    <w:bookmarkEnd w:id="367"/>
    <w:bookmarkEnd w:id="368"/>
    <w:bookmarkEnd w:id="369"/>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承包人在履行合同过程中应遵守法律和工程建设标准规范，并履行以下义务：</w:t>
      </w:r>
    </w:p>
    <w:p>
      <w:pPr>
        <w:numPr>
          <w:ilvl w:val="0"/>
          <w:numId w:val="2"/>
        </w:num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办理法律规定应由承包人办理的许可和批准，并将办理结果书面报送发包人留存；</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（2）按法律规定和合同约定完成工程，并在保修期内承担保修义务；</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（3）按法律规定和合同约定采取施工安全和环境保护措施，办理工伤保险，确保工程及人员、材料、设备和设施的安全；</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（4）按合同约定的工作内容和施工进度要求，编制施工组织设计和施工措施计划，并对所有施工作业和施工方法的完备性和安全可靠性负责；</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5）在进行合同约定的各项工作时，不得侵害发包人与他人使用公用道路、水源、市政管网等公共设施的权利，避免对邻近的公共设施产生干扰。承包人占用或使用他人的施工场地，影响他人作业或生活的，应承担相应责任；</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（6）按照第6.3款〔环境保护〕约定负责施工场地及其周边环境与生态的保护工作；</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（7）按第6.1款〔安全文明施工〕约定采取施工安全措施，确保工程及其人员、材料、设备和设施的安全，防止因工程施工造成的人身伤害和财产损失；</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（8）将发包人按合同约定支付的各项价款专用于合同工程，且应及时支付其雇用人员工资，并及时向分包人支付合同价款；</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（9）按照法律规定和合同约定编制竣工资料，完成竣工资料立卷及归档，并按专用合同条款约定的竣工资料的套数、内容、时间等要求移交发包人；</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（10）应履行的其他义务。</w:t>
      </w:r>
    </w:p>
    <w:p>
      <w:pPr>
        <w:pStyle w:val="7"/>
        <w:spacing w:before="0" w:beforeAutospacing="0" w:after="0" w:afterAutospacing="0" w:line="360" w:lineRule="auto"/>
        <w:ind w:firstLine="422" w:firstLineChars="200"/>
        <w:rPr>
          <w:sz w:val="21"/>
          <w:szCs w:val="21"/>
        </w:rPr>
      </w:pPr>
      <w:bookmarkStart w:id="370" w:name="_Toc351203520"/>
      <w:bookmarkStart w:id="371" w:name="_Toc532377206"/>
      <w:r>
        <w:rPr>
          <w:rFonts w:hint="eastAsia"/>
          <w:sz w:val="21"/>
          <w:szCs w:val="21"/>
        </w:rPr>
        <w:t>3</w:t>
      </w:r>
      <w:bookmarkStart w:id="372" w:name="_Toc337558748"/>
      <w:bookmarkStart w:id="373" w:name="_Toc296503047"/>
      <w:bookmarkStart w:id="374" w:name="_Toc296346548"/>
      <w:r>
        <w:rPr>
          <w:rFonts w:hint="eastAsia"/>
          <w:sz w:val="21"/>
          <w:szCs w:val="21"/>
        </w:rPr>
        <w:t xml:space="preserve">.2 </w:t>
      </w:r>
      <w:bookmarkEnd w:id="370"/>
      <w:r>
        <w:rPr>
          <w:rFonts w:hint="eastAsia"/>
          <w:sz w:val="21"/>
          <w:szCs w:val="21"/>
        </w:rPr>
        <w:t>项目经理</w:t>
      </w:r>
      <w:bookmarkEnd w:id="371"/>
    </w:p>
    <w:bookmarkEnd w:id="372"/>
    <w:bookmarkEnd w:id="373"/>
    <w:bookmarkEnd w:id="374"/>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3.2.1 项目经理应为合同当事人所确认的人选，并在专用合同条款中明确项目经理的姓名、职称、注册执业证书编号、联系方式及授权范围等事项，项目经理经承包人授权后代表承包人负责履行合同。项目经理应是承包人正式聘用的员工，承包人应向发包人提交项目经理与承包人之间的劳动合同，以及承包人为项目经理缴纳社会保险的有效证明。承包人不提交上述文件的，项目经理无权履行职责，发包人有权要求更换项目经理，由此增加的费用和（或）延误的工期由承包人承担。</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项目经理应常驻施工现场，且每月在施工现场时间不得少于专用合同条款约定的天数。项目经理不得同时担任其他项目的项目经理。项目经理确需离开施工现场时，应事先通知监理人，并取得发包人的书面同意。项目经理的通知中应当载明临时代行其职责的人员的注册执业资格、管理经验等资料，该人员应具备履行相应职责的能力。</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承包人违反上述约定的，应按照专用合同条款的约定，承担违约责任。</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3.2.2 项目经理按合同约定组织工程实施。在紧急情况下为确保施工安全和人员安全，在无法与发包人代表和总监理工程师及时取得联系时，项目经理有权采取必要的措施保证与工程有关的人身、财产和工程的安全，但应在48小时内向发包人代表和总监理工程师提交书面报告。</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3.2.3 承包人需要更换项目经理的，应提前14天书面通知发包人和监理人，并征得发包人书面同意。通知中应当载明继任项目经理的注册执业资格、管理经验等资料，继任项目经理继续履行第3.2.1项约定的职责。未经发包人书面同意，承包人不得擅自更换项目经理。承包人擅自更换项目经理的，应按照专用合同条款的约定承担违约责任。</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3.2.4 发包人有权书面通知承包人更换其认为不称职的项目经理，通知中应当载明要求更换的理由。承包人应在接到更换通知后14天内向发包人提出书面的改进报告。发包人收到改进报告后仍要求更换的，承包人应在接到第二次更换通知的28天内进行更换，并将新任命的项目经理的注册执业资格、管理经验等资料书面通知发包人。继任项目经理继续履行第3.2.1项约定的职责。承包人无正当理由拒绝更换项目经理的，应按照专用合同条款的约定承担违约责任。</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3.2.5 项目经理因特殊情况授权其下属人员履行其某项工作职责的，该下属人员应具备履行相应职责的能力，并应提前7天将上述人员的姓名和授权范围书面通知监理人，并征得发包人书面同意。</w:t>
      </w:r>
    </w:p>
    <w:p>
      <w:pPr>
        <w:pStyle w:val="7"/>
        <w:spacing w:before="0" w:beforeAutospacing="0" w:after="0" w:afterAutospacing="0" w:line="360" w:lineRule="auto"/>
        <w:ind w:firstLine="422" w:firstLineChars="200"/>
        <w:rPr>
          <w:sz w:val="21"/>
          <w:szCs w:val="21"/>
        </w:rPr>
      </w:pPr>
      <w:bookmarkStart w:id="375" w:name="_Toc532377207"/>
      <w:bookmarkStart w:id="376" w:name="_Toc351203521"/>
      <w:r>
        <w:rPr>
          <w:rFonts w:hint="eastAsia"/>
          <w:sz w:val="21"/>
          <w:szCs w:val="21"/>
        </w:rPr>
        <w:t>3</w:t>
      </w:r>
      <w:bookmarkStart w:id="377" w:name="_Toc296503048"/>
      <w:bookmarkStart w:id="378" w:name="_Toc296346549"/>
      <w:bookmarkStart w:id="379" w:name="_Toc337558749"/>
      <w:r>
        <w:rPr>
          <w:rFonts w:hint="eastAsia"/>
          <w:sz w:val="21"/>
          <w:szCs w:val="21"/>
        </w:rPr>
        <w:t xml:space="preserve">.3 </w:t>
      </w:r>
      <w:bookmarkEnd w:id="377"/>
      <w:bookmarkEnd w:id="378"/>
      <w:r>
        <w:rPr>
          <w:rFonts w:hint="eastAsia"/>
          <w:sz w:val="21"/>
          <w:szCs w:val="21"/>
        </w:rPr>
        <w:t>承包人人员</w:t>
      </w:r>
      <w:bookmarkEnd w:id="375"/>
      <w:bookmarkEnd w:id="376"/>
    </w:p>
    <w:bookmarkEnd w:id="379"/>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3.3.1 除专用合同条款另有约定外，承包人应在接到开工通知后7天内，向监理人提交承包人项目管理机构及施工现场人员安排的报告，其内容应包括合同管理、施工、技术、材料、质量、安全、财务等主要施工管理人员名单及其岗位、注册执业资格等，以及各工种技术工人的安排情况，并同时提交主要施工管理人员与承包人之间的劳动关系证明和缴纳社会保险的有效证明。</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3.3.2 承包人派驻到施工现场的主要施工管理人员应相对稳定。施工过程中如有变动，承包人应及时向监理人提交施工现场人员变动情况的报告。承包人更换主要施工管理人员时，应提前7天书面通知监理人，并征得发包人书面同意。通知中应当载明继任人员的注册执业资格、管理经验等资料。</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特殊工种作业人员均应持有相应的资格证明，监理人可以随时检查。</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3.3.3 发包人对于承包人主要施工管理人员的资格或能力有异议的，承包人应提供资料证明被质疑人员有能力完成其岗位工作或不存在发包人所质疑的情形。发包人要求撤换不能按照合同约定履行职责及义务的主要施工管理人员的，承包人应当撤换。承包人无正当理由拒绝撤换的，应按照专用合同条款的约定承担违约责任。</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3.3.4 除专用合同条款另有约定外，承包人的主要施工管理人员离开施工现场每月累计不超过5天的，应报监理人同意；离开施工现场每月累计超过5天的，应通知监理人，并征得发包人书面同意。主要施工管理人员离开施工现场前应指定一名有经验的人员临时代行其职责，该人员应具备履行相应职责的资格和能力，且应征得监理人或发包人的同意。</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3.3.5 承包人擅自更换主要施工管理人员，或前述人员未经监理人或发包人同意擅自离开施工现场的，应按照专用合同条款约定承担违约责任。</w:t>
      </w:r>
    </w:p>
    <w:p>
      <w:pPr>
        <w:pStyle w:val="7"/>
        <w:spacing w:before="0" w:beforeAutospacing="0" w:after="0" w:afterAutospacing="0" w:line="360" w:lineRule="auto"/>
        <w:ind w:firstLine="422" w:firstLineChars="200"/>
        <w:rPr>
          <w:sz w:val="21"/>
          <w:szCs w:val="21"/>
        </w:rPr>
      </w:pPr>
      <w:bookmarkStart w:id="380" w:name="_Toc532377208"/>
      <w:bookmarkStart w:id="381" w:name="_Toc351203522"/>
      <w:r>
        <w:rPr>
          <w:rFonts w:hint="eastAsia"/>
          <w:sz w:val="21"/>
          <w:szCs w:val="21"/>
        </w:rPr>
        <w:t>3</w:t>
      </w:r>
      <w:bookmarkStart w:id="382" w:name="_Toc296503050"/>
      <w:bookmarkStart w:id="383" w:name="_Toc296346551"/>
      <w:bookmarkStart w:id="384" w:name="_Toc337558750"/>
      <w:r>
        <w:rPr>
          <w:rFonts w:hint="eastAsia"/>
          <w:sz w:val="21"/>
          <w:szCs w:val="21"/>
        </w:rPr>
        <w:t>.4 承包人现场查勘</w:t>
      </w:r>
      <w:bookmarkEnd w:id="380"/>
      <w:bookmarkEnd w:id="381"/>
    </w:p>
    <w:bookmarkEnd w:id="382"/>
    <w:bookmarkEnd w:id="383"/>
    <w:bookmarkEnd w:id="384"/>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承包人应对基于发包人按照第2.4.3项〔提供基础资料〕提交的基础资料所做出的解释和推断负责，但因基础资料存在错误、遗漏导致承包人解释或推断失实的，由发包人承担责任。</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应对施工现场和施工条件进行查勘，并充分了解工程所在地的气象条件、交通条件、风俗习惯以及其他与完成合同工作有关的其他资料。因承包人未能充分查勘、了解前述情况或未能充分估计前述情况所可能产生后果的，承包人承担由此增加的费用和（或）延误的工期。</w:t>
      </w:r>
    </w:p>
    <w:p>
      <w:pPr>
        <w:pStyle w:val="7"/>
        <w:spacing w:before="0" w:beforeAutospacing="0" w:after="0" w:afterAutospacing="0" w:line="360" w:lineRule="auto"/>
        <w:ind w:firstLine="422" w:firstLineChars="200"/>
        <w:rPr>
          <w:sz w:val="21"/>
          <w:szCs w:val="21"/>
        </w:rPr>
      </w:pPr>
      <w:bookmarkStart w:id="385" w:name="_Toc532377209"/>
      <w:bookmarkStart w:id="386" w:name="_Toc351203523"/>
      <w:r>
        <w:rPr>
          <w:rFonts w:hint="eastAsia"/>
          <w:sz w:val="21"/>
          <w:szCs w:val="21"/>
        </w:rPr>
        <w:t>3</w:t>
      </w:r>
      <w:bookmarkStart w:id="387" w:name="_Toc296503051"/>
      <w:bookmarkStart w:id="388" w:name="_Toc296346552"/>
      <w:bookmarkStart w:id="389" w:name="_Toc337558751"/>
      <w:r>
        <w:rPr>
          <w:rFonts w:hint="eastAsia"/>
          <w:sz w:val="21"/>
          <w:szCs w:val="21"/>
        </w:rPr>
        <w:t>.5 分包</w:t>
      </w:r>
      <w:bookmarkEnd w:id="385"/>
      <w:bookmarkEnd w:id="386"/>
    </w:p>
    <w:bookmarkEnd w:id="387"/>
    <w:bookmarkEnd w:id="388"/>
    <w:bookmarkEnd w:id="389"/>
    <w:p>
      <w:pPr>
        <w:spacing w:line="360" w:lineRule="auto"/>
        <w:ind w:firstLine="420" w:firstLineChars="200"/>
        <w:jc w:val="left"/>
        <w:rPr>
          <w:rFonts w:ascii="宋体" w:hAnsi="宋体"/>
          <w:kern w:val="0"/>
          <w:szCs w:val="21"/>
        </w:rPr>
      </w:pPr>
      <w:r>
        <w:rPr>
          <w:rFonts w:hint="eastAsia" w:ascii="宋体" w:hAnsi="宋体"/>
          <w:kern w:val="0"/>
          <w:szCs w:val="21"/>
        </w:rPr>
        <w:t>3.5.1 分包的一般约定</w:t>
      </w:r>
    </w:p>
    <w:p>
      <w:pPr>
        <w:spacing w:line="360" w:lineRule="auto"/>
        <w:ind w:firstLine="420" w:firstLineChars="200"/>
        <w:jc w:val="left"/>
        <w:rPr>
          <w:rFonts w:ascii="宋体" w:hAnsi="宋体"/>
          <w:kern w:val="0"/>
          <w:szCs w:val="21"/>
        </w:rPr>
      </w:pPr>
      <w:r>
        <w:rPr>
          <w:rFonts w:hint="eastAsia" w:ascii="宋体" w:hAnsi="宋体"/>
          <w:kern w:val="0"/>
          <w:szCs w:val="21"/>
        </w:rPr>
        <w:t>承包人不得将其承包的全部工程转包给第三人，或将其承包的全部工程肢解后以分包的名义转包给第三人。承包人不得将工程主体结构、关键性工作及专用合同条款中禁止分包的专业工程分包给第三人，主体结构、关键性工作的范围由合同当事人按照法律规定在专用合同条款中予以明确。</w:t>
      </w:r>
    </w:p>
    <w:p>
      <w:pPr>
        <w:spacing w:line="360" w:lineRule="auto"/>
        <w:ind w:firstLine="420" w:firstLineChars="200"/>
        <w:jc w:val="left"/>
        <w:rPr>
          <w:rFonts w:ascii="宋体" w:hAnsi="宋体"/>
          <w:kern w:val="0"/>
          <w:szCs w:val="21"/>
        </w:rPr>
      </w:pPr>
      <w:r>
        <w:rPr>
          <w:rFonts w:hint="eastAsia" w:ascii="宋体" w:hAnsi="宋体"/>
          <w:kern w:val="0"/>
          <w:szCs w:val="21"/>
        </w:rPr>
        <w:t>承包人不得以劳务分包的名义转包或违法分包工程。</w:t>
      </w:r>
    </w:p>
    <w:p>
      <w:pPr>
        <w:spacing w:line="360" w:lineRule="auto"/>
        <w:ind w:firstLine="420" w:firstLineChars="200"/>
        <w:jc w:val="left"/>
        <w:rPr>
          <w:rFonts w:ascii="宋体" w:hAnsi="宋体"/>
          <w:kern w:val="0"/>
          <w:szCs w:val="21"/>
        </w:rPr>
      </w:pPr>
      <w:r>
        <w:rPr>
          <w:rFonts w:hint="eastAsia" w:ascii="宋体" w:hAnsi="宋体"/>
          <w:kern w:val="0"/>
          <w:szCs w:val="21"/>
        </w:rPr>
        <w:t>3.5.2 分包的确定</w:t>
      </w:r>
    </w:p>
    <w:p>
      <w:pPr>
        <w:spacing w:line="360" w:lineRule="auto"/>
        <w:ind w:firstLine="420" w:firstLineChars="200"/>
        <w:jc w:val="left"/>
        <w:rPr>
          <w:rFonts w:ascii="宋体" w:hAnsi="宋体"/>
          <w:kern w:val="0"/>
          <w:szCs w:val="21"/>
        </w:rPr>
      </w:pPr>
      <w:r>
        <w:rPr>
          <w:rFonts w:hint="eastAsia" w:ascii="宋体" w:hAnsi="宋体"/>
          <w:kern w:val="0"/>
          <w:szCs w:val="21"/>
        </w:rPr>
        <w:t>承包人应按专用合同条款的约定进行分包，确定分包人。已标价工程量清单或预算书中给定暂估价的专业工程，按照第10.7款〔暂估价〕确定分包人。按照合同约定进行分包的，承包人应确保分包人具有相应的资质和能力。工程分包不减轻或免除承包人的责任和义务，承包人和分包人就分包工程向发包人承担连带责任。除合同另有约定外，承包人应在分包合同签订后7天内向发包人和监理人提交分包合同副本。</w:t>
      </w:r>
    </w:p>
    <w:p>
      <w:pPr>
        <w:spacing w:line="360" w:lineRule="auto"/>
        <w:ind w:firstLine="420" w:firstLineChars="200"/>
        <w:jc w:val="left"/>
        <w:rPr>
          <w:rFonts w:ascii="宋体" w:hAnsi="宋体"/>
          <w:kern w:val="0"/>
          <w:szCs w:val="21"/>
        </w:rPr>
      </w:pPr>
      <w:r>
        <w:rPr>
          <w:rFonts w:hint="eastAsia" w:ascii="宋体" w:hAnsi="宋体"/>
          <w:kern w:val="0"/>
          <w:szCs w:val="21"/>
        </w:rPr>
        <w:t>3.5.3 分包管理</w:t>
      </w:r>
    </w:p>
    <w:p>
      <w:pPr>
        <w:spacing w:line="360" w:lineRule="auto"/>
        <w:ind w:firstLine="420" w:firstLineChars="200"/>
        <w:jc w:val="left"/>
        <w:rPr>
          <w:rFonts w:ascii="宋体" w:hAnsi="宋体"/>
          <w:kern w:val="0"/>
          <w:szCs w:val="21"/>
        </w:rPr>
      </w:pPr>
      <w:r>
        <w:rPr>
          <w:rFonts w:hint="eastAsia" w:ascii="宋体" w:hAnsi="宋体"/>
          <w:kern w:val="0"/>
          <w:szCs w:val="21"/>
        </w:rPr>
        <w:t>承包人应向监理人提交分包人的主要施工管理人员表，并对分包人的施工人员进行实名制管理，包括但不限于进出场管理、登记造册以及各种证照的办理。</w:t>
      </w:r>
    </w:p>
    <w:p>
      <w:pPr>
        <w:spacing w:line="360" w:lineRule="auto"/>
        <w:ind w:firstLine="420" w:firstLineChars="200"/>
        <w:jc w:val="left"/>
        <w:rPr>
          <w:rFonts w:ascii="宋体" w:hAnsi="宋体"/>
          <w:kern w:val="0"/>
          <w:szCs w:val="21"/>
        </w:rPr>
      </w:pPr>
      <w:r>
        <w:rPr>
          <w:rFonts w:hint="eastAsia" w:ascii="宋体" w:hAnsi="宋体"/>
          <w:kern w:val="0"/>
          <w:szCs w:val="21"/>
        </w:rPr>
        <w:t>3.5.4 分包合同价款</w:t>
      </w:r>
    </w:p>
    <w:p>
      <w:pPr>
        <w:spacing w:line="360" w:lineRule="auto"/>
        <w:ind w:firstLine="420" w:firstLineChars="200"/>
        <w:jc w:val="left"/>
        <w:rPr>
          <w:rFonts w:ascii="宋体" w:hAnsi="宋体"/>
          <w:kern w:val="0"/>
          <w:szCs w:val="21"/>
        </w:rPr>
      </w:pPr>
      <w:r>
        <w:rPr>
          <w:rFonts w:hint="eastAsia" w:ascii="宋体" w:hAnsi="宋体"/>
          <w:kern w:val="0"/>
          <w:szCs w:val="21"/>
        </w:rPr>
        <w:t>（1）除本项第（2）目约定的情况或专用合同条款另有约定外，分包合同价款由承包人与分包人结算，未经承包人同意，发包人不得向分包人支付分包工程价款；</w:t>
      </w:r>
    </w:p>
    <w:p>
      <w:pPr>
        <w:spacing w:line="360" w:lineRule="auto"/>
        <w:ind w:firstLine="420" w:firstLineChars="200"/>
        <w:jc w:val="left"/>
        <w:rPr>
          <w:rFonts w:ascii="宋体" w:hAnsi="宋体"/>
          <w:kern w:val="0"/>
          <w:szCs w:val="21"/>
        </w:rPr>
      </w:pPr>
      <w:r>
        <w:rPr>
          <w:rFonts w:hint="eastAsia" w:ascii="宋体" w:hAnsi="宋体"/>
          <w:kern w:val="0"/>
          <w:szCs w:val="21"/>
        </w:rPr>
        <w:t>（2）生效法律文书要求发包人向分包人支付分包合同价款的，发包人有权从应付承包人工程款中扣除该部分款项。</w:t>
      </w:r>
    </w:p>
    <w:p>
      <w:pPr>
        <w:spacing w:line="360" w:lineRule="auto"/>
        <w:ind w:firstLine="420" w:firstLineChars="200"/>
        <w:jc w:val="left"/>
        <w:rPr>
          <w:rFonts w:ascii="宋体" w:hAnsi="宋体"/>
          <w:kern w:val="0"/>
          <w:szCs w:val="21"/>
        </w:rPr>
      </w:pPr>
      <w:r>
        <w:rPr>
          <w:rFonts w:hint="eastAsia" w:ascii="宋体" w:hAnsi="宋体"/>
          <w:kern w:val="0"/>
          <w:szCs w:val="21"/>
        </w:rPr>
        <w:t>3.5.5 分包合同权益的转让</w:t>
      </w:r>
    </w:p>
    <w:p>
      <w:pPr>
        <w:spacing w:line="360" w:lineRule="auto"/>
        <w:ind w:firstLine="420" w:firstLineChars="200"/>
        <w:jc w:val="left"/>
        <w:rPr>
          <w:rFonts w:ascii="宋体" w:hAnsi="宋体"/>
          <w:kern w:val="0"/>
          <w:szCs w:val="21"/>
        </w:rPr>
      </w:pPr>
      <w:r>
        <w:rPr>
          <w:rFonts w:hint="eastAsia" w:ascii="宋体" w:hAnsi="宋体"/>
          <w:kern w:val="0"/>
          <w:szCs w:val="21"/>
        </w:rPr>
        <w:t>分包人在分包合同项下的义务持续到缺陷责任期届满以后的，发包人有权在缺陷责任期届满前，要求承包人将其在分包合同项下的权益转让给发包人，承包人应当转让。除转让合同另有约定外，转让合同生效后，由分包人向发包人履行义务。</w:t>
      </w:r>
      <w:bookmarkStart w:id="390" w:name="_Toc351203524"/>
    </w:p>
    <w:p>
      <w:pPr>
        <w:pStyle w:val="7"/>
        <w:spacing w:before="0" w:beforeAutospacing="0" w:after="0" w:afterAutospacing="0" w:line="360" w:lineRule="auto"/>
        <w:ind w:firstLine="422" w:firstLineChars="200"/>
        <w:rPr>
          <w:sz w:val="21"/>
          <w:szCs w:val="21"/>
        </w:rPr>
      </w:pPr>
      <w:bookmarkStart w:id="391" w:name="_Toc532377210"/>
      <w:r>
        <w:rPr>
          <w:rFonts w:hint="eastAsia"/>
          <w:sz w:val="21"/>
          <w:szCs w:val="21"/>
        </w:rPr>
        <w:t>3.6 工程照管与成品、半成品保护</w:t>
      </w:r>
      <w:bookmarkEnd w:id="390"/>
      <w:bookmarkEnd w:id="391"/>
    </w:p>
    <w:p>
      <w:pPr>
        <w:spacing w:line="360" w:lineRule="auto"/>
        <w:ind w:firstLine="420" w:firstLineChars="200"/>
        <w:jc w:val="left"/>
        <w:rPr>
          <w:rFonts w:ascii="宋体" w:hAnsi="宋体"/>
          <w:kern w:val="0"/>
          <w:szCs w:val="21"/>
        </w:rPr>
      </w:pPr>
      <w:r>
        <w:rPr>
          <w:rFonts w:hint="eastAsia" w:ascii="宋体" w:hAnsi="宋体"/>
          <w:kern w:val="0"/>
          <w:szCs w:val="21"/>
        </w:rPr>
        <w:t>（1）除专用合同条款另有约定外，自发包人向承包人移交施工现场之日起，承包人应负责照管工程及工程相关的材料、工程设备，直到颁发工程接收证书之日止。</w:t>
      </w:r>
    </w:p>
    <w:p>
      <w:pPr>
        <w:spacing w:line="360" w:lineRule="auto"/>
        <w:ind w:firstLine="420" w:firstLineChars="200"/>
        <w:jc w:val="left"/>
        <w:rPr>
          <w:rFonts w:ascii="宋体" w:hAnsi="宋体"/>
          <w:kern w:val="0"/>
          <w:szCs w:val="21"/>
        </w:rPr>
      </w:pPr>
      <w:r>
        <w:rPr>
          <w:rFonts w:hint="eastAsia" w:ascii="宋体" w:hAnsi="宋体"/>
          <w:kern w:val="0"/>
          <w:szCs w:val="21"/>
        </w:rPr>
        <w:t>（2）在承包人负责照管期间，因承包人原因造成工程、材料、工程设备损坏的，由承包人负责修复或更换，并承担由此增加的费用和（或）延误的工期。</w:t>
      </w:r>
    </w:p>
    <w:p>
      <w:pPr>
        <w:spacing w:line="360" w:lineRule="auto"/>
        <w:ind w:firstLine="420" w:firstLineChars="200"/>
        <w:jc w:val="left"/>
        <w:rPr>
          <w:rFonts w:ascii="宋体" w:hAnsi="宋体"/>
          <w:kern w:val="0"/>
          <w:szCs w:val="21"/>
        </w:rPr>
      </w:pPr>
      <w:r>
        <w:rPr>
          <w:rFonts w:hint="eastAsia" w:ascii="宋体" w:hAnsi="宋体"/>
          <w:kern w:val="0"/>
          <w:szCs w:val="21"/>
        </w:rPr>
        <w:t>（3）对合同内分期完成的成品和半成品，在工程接收证书颁发前，由承包人承担保护责任。因承包人原因造成成品或半成品损坏的，由承包人负责修复或更换，并承担由此增加的费用和（或）延误的工期。</w:t>
      </w:r>
    </w:p>
    <w:p>
      <w:pPr>
        <w:pStyle w:val="7"/>
        <w:spacing w:before="0" w:beforeAutospacing="0" w:after="0" w:afterAutospacing="0" w:line="360" w:lineRule="auto"/>
        <w:ind w:firstLine="422" w:firstLineChars="200"/>
        <w:rPr>
          <w:sz w:val="21"/>
          <w:szCs w:val="21"/>
        </w:rPr>
      </w:pPr>
      <w:bookmarkStart w:id="392" w:name="_Toc351203525"/>
      <w:bookmarkStart w:id="393" w:name="_Toc532377211"/>
      <w:r>
        <w:rPr>
          <w:rFonts w:hint="eastAsia"/>
          <w:sz w:val="21"/>
          <w:szCs w:val="21"/>
        </w:rPr>
        <w:t>3</w:t>
      </w:r>
      <w:bookmarkStart w:id="394" w:name="_Toc296503052"/>
      <w:bookmarkStart w:id="395" w:name="_Toc296346553"/>
      <w:bookmarkStart w:id="396" w:name="_Toc337558752"/>
      <w:r>
        <w:rPr>
          <w:rFonts w:hint="eastAsia"/>
          <w:sz w:val="21"/>
          <w:szCs w:val="21"/>
        </w:rPr>
        <w:t>.7 履约担保</w:t>
      </w:r>
      <w:bookmarkEnd w:id="392"/>
      <w:bookmarkEnd w:id="393"/>
    </w:p>
    <w:bookmarkEnd w:id="394"/>
    <w:bookmarkEnd w:id="395"/>
    <w:bookmarkEnd w:id="396"/>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发包人需要承包人提供履约担保的，由合同当事人在专用合同条款中约定履约担保的方式、金额及期限等。履约担保可以采用银行保函或担保公司担保等形式，具体由合同当事人在专用合同条款中约定。</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因承包人原因导致工期延长的，继续提供履约担保所增加的费用由承包人承担；非因承包人原因导致工期延长的，继续提供履约担保所增加的费用由发包人承担。</w:t>
      </w:r>
    </w:p>
    <w:p>
      <w:pPr>
        <w:pStyle w:val="7"/>
        <w:spacing w:before="0" w:beforeAutospacing="0" w:after="0" w:afterAutospacing="0" w:line="360" w:lineRule="auto"/>
        <w:ind w:firstLine="422" w:firstLineChars="200"/>
        <w:rPr>
          <w:sz w:val="21"/>
          <w:szCs w:val="21"/>
        </w:rPr>
      </w:pPr>
      <w:bookmarkStart w:id="397" w:name="_Toc351203526"/>
      <w:bookmarkStart w:id="398" w:name="_Toc532377212"/>
      <w:r>
        <w:rPr>
          <w:rFonts w:hint="eastAsia"/>
          <w:sz w:val="21"/>
          <w:szCs w:val="21"/>
        </w:rPr>
        <w:t>3.8 联合体</w:t>
      </w:r>
      <w:bookmarkEnd w:id="397"/>
      <w:bookmarkEnd w:id="398"/>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3.8.1 联合体各方应共同与发包人签订合同协议书。联合体各方应为履行合同向发包人承担连带责任。</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3.8.2 联合体协议经发包人确认后作为合同附件。在履行合同过程中，未经发包人同意，不得修改联合体协议。</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3.8.3 联合体牵头人负责与发包人和监理人联系，并接受指示，负责组织联合体各成员全面履行合同。</w:t>
      </w:r>
    </w:p>
    <w:p>
      <w:pPr>
        <w:pStyle w:val="6"/>
        <w:spacing w:before="156" w:beforeLines="50" w:beforeAutospacing="0" w:after="156" w:afterLines="50" w:afterAutospacing="0" w:line="360" w:lineRule="auto"/>
        <w:jc w:val="both"/>
        <w:rPr>
          <w:bCs w:val="0"/>
          <w:kern w:val="2"/>
          <w:sz w:val="21"/>
          <w:szCs w:val="21"/>
        </w:rPr>
      </w:pPr>
      <w:bookmarkStart w:id="399" w:name="_Toc532375590"/>
      <w:bookmarkStart w:id="400" w:name="_Toc351203527"/>
      <w:bookmarkStart w:id="401" w:name="_Toc532377213"/>
      <w:r>
        <w:rPr>
          <w:rFonts w:hint="eastAsia"/>
          <w:kern w:val="2"/>
          <w:sz w:val="21"/>
          <w:szCs w:val="21"/>
        </w:rPr>
        <w:t>4</w:t>
      </w:r>
      <w:bookmarkStart w:id="402" w:name="_Toc296503053"/>
      <w:bookmarkStart w:id="403" w:name="_Toc296346554"/>
      <w:bookmarkStart w:id="404" w:name="_Toc337558753"/>
      <w:r>
        <w:rPr>
          <w:rFonts w:hint="eastAsia"/>
          <w:kern w:val="2"/>
          <w:sz w:val="21"/>
          <w:szCs w:val="21"/>
        </w:rPr>
        <w:t>. 监</w:t>
      </w:r>
      <w:bookmarkEnd w:id="402"/>
      <w:bookmarkEnd w:id="403"/>
      <w:r>
        <w:rPr>
          <w:rFonts w:hint="eastAsia"/>
          <w:kern w:val="2"/>
          <w:sz w:val="21"/>
          <w:szCs w:val="21"/>
        </w:rPr>
        <w:t>理人</w:t>
      </w:r>
      <w:bookmarkEnd w:id="399"/>
      <w:bookmarkEnd w:id="400"/>
      <w:bookmarkEnd w:id="401"/>
    </w:p>
    <w:bookmarkEnd w:id="404"/>
    <w:p>
      <w:pPr>
        <w:pStyle w:val="7"/>
        <w:spacing w:before="0" w:beforeAutospacing="0" w:after="0" w:afterAutospacing="0" w:line="360" w:lineRule="auto"/>
        <w:ind w:firstLine="422" w:firstLineChars="200"/>
        <w:rPr>
          <w:sz w:val="21"/>
          <w:szCs w:val="21"/>
        </w:rPr>
      </w:pPr>
      <w:bookmarkStart w:id="405" w:name="_Toc532377214"/>
      <w:bookmarkStart w:id="406" w:name="_Toc351203528"/>
      <w:r>
        <w:rPr>
          <w:rFonts w:hint="eastAsia"/>
          <w:sz w:val="21"/>
          <w:szCs w:val="21"/>
        </w:rPr>
        <w:t>4</w:t>
      </w:r>
      <w:bookmarkStart w:id="407" w:name="_Toc337558754"/>
      <w:bookmarkStart w:id="408" w:name="_Toc296346555"/>
      <w:bookmarkStart w:id="409" w:name="_Toc296503054"/>
      <w:r>
        <w:rPr>
          <w:rFonts w:hint="eastAsia"/>
          <w:sz w:val="21"/>
          <w:szCs w:val="21"/>
        </w:rPr>
        <w:t>.1监理人的一般规定</w:t>
      </w:r>
      <w:bookmarkEnd w:id="405"/>
      <w:bookmarkEnd w:id="406"/>
    </w:p>
    <w:bookmarkEnd w:id="407"/>
    <w:bookmarkEnd w:id="408"/>
    <w:bookmarkEnd w:id="409"/>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工程实行监理的，发包人和承包人应在专用合同条款中明确监理人的监理内容及监理权限等事项。监理人应当根据发包人授权及法律规定，代表发包人对工程施工相关事项进行检查、查验、审核、验收，并签发相关指示，但监理人无权修改合同，且无权减轻或免除合同约定的承包人的任何责任与义务。</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除专用合同条款另有约定外，监理人在施工现场的办公场所、生活场所由承包人提供，所发生的费用由发包人承担。</w:t>
      </w:r>
    </w:p>
    <w:p>
      <w:pPr>
        <w:pStyle w:val="7"/>
        <w:spacing w:before="0" w:beforeAutospacing="0" w:after="0" w:afterAutospacing="0" w:line="360" w:lineRule="auto"/>
        <w:ind w:firstLine="422" w:firstLineChars="200"/>
        <w:rPr>
          <w:sz w:val="21"/>
          <w:szCs w:val="21"/>
        </w:rPr>
      </w:pPr>
      <w:bookmarkStart w:id="410" w:name="_Toc351203529"/>
      <w:bookmarkStart w:id="411" w:name="_Toc532377215"/>
      <w:r>
        <w:rPr>
          <w:rFonts w:hint="eastAsia"/>
          <w:sz w:val="21"/>
          <w:szCs w:val="21"/>
        </w:rPr>
        <w:t>4</w:t>
      </w:r>
      <w:bookmarkStart w:id="412" w:name="_Toc337558755"/>
      <w:r>
        <w:rPr>
          <w:rFonts w:hint="eastAsia"/>
          <w:sz w:val="21"/>
          <w:szCs w:val="21"/>
        </w:rPr>
        <w:t>.2监理人员</w:t>
      </w:r>
      <w:bookmarkEnd w:id="410"/>
      <w:bookmarkEnd w:id="411"/>
    </w:p>
    <w:bookmarkEnd w:id="412"/>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授予监理人对工程实施监理的权利由监理人派驻施工现场的监理人员行使，监理人员包括总监理工程师及监理工程师。监理人应将授权的总监理工程师和监理工程师的姓名及授权范围以书面形式提前通知承包人。更换总监理工程师的，监理人应提前7天书面通知承包人；更换其他监理人员，监理人应提前48小时书面通知承包人。</w:t>
      </w:r>
    </w:p>
    <w:p>
      <w:pPr>
        <w:pStyle w:val="7"/>
        <w:spacing w:before="0" w:beforeAutospacing="0" w:after="0" w:afterAutospacing="0" w:line="360" w:lineRule="auto"/>
        <w:ind w:firstLine="422" w:firstLineChars="200"/>
        <w:rPr>
          <w:sz w:val="21"/>
          <w:szCs w:val="21"/>
        </w:rPr>
      </w:pPr>
      <w:bookmarkStart w:id="413" w:name="_Toc532377216"/>
      <w:bookmarkStart w:id="414" w:name="_Toc351203530"/>
      <w:r>
        <w:rPr>
          <w:rFonts w:hint="eastAsia"/>
          <w:sz w:val="21"/>
          <w:szCs w:val="21"/>
        </w:rPr>
        <w:t>4</w:t>
      </w:r>
      <w:bookmarkStart w:id="415" w:name="_Toc296346556"/>
      <w:bookmarkStart w:id="416" w:name="_Toc296503055"/>
      <w:bookmarkStart w:id="417" w:name="_Toc337558756"/>
      <w:r>
        <w:rPr>
          <w:rFonts w:hint="eastAsia"/>
          <w:sz w:val="21"/>
          <w:szCs w:val="21"/>
        </w:rPr>
        <w:t>.3</w:t>
      </w:r>
      <w:bookmarkEnd w:id="415"/>
      <w:bookmarkEnd w:id="416"/>
      <w:r>
        <w:rPr>
          <w:rFonts w:hint="eastAsia"/>
          <w:sz w:val="21"/>
          <w:szCs w:val="21"/>
        </w:rPr>
        <w:t>监理人的指</w:t>
      </w:r>
      <w:bookmarkEnd w:id="417"/>
      <w:r>
        <w:rPr>
          <w:rFonts w:hint="eastAsia"/>
          <w:sz w:val="21"/>
          <w:szCs w:val="21"/>
        </w:rPr>
        <w:t>示</w:t>
      </w:r>
      <w:bookmarkEnd w:id="413"/>
      <w:bookmarkEnd w:id="414"/>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监理人应按照发包人的授权发出监理指示。监理人的指示应采用书面形式，并经其授权的监理人员签名。紧急情况下，为了保证施工人员的安全或避免工程受损，监理人员可以口头形式发出指示，该指示与书面形式的指示具有同等法律效力，但必须在发出口头指示后24小时内补发书面监理指示，补发的书面监理指示应与口头指示一致。</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监理人发出的指示应送达承包人项目经理或经项目经理授权接收的人员。因监理人未能按合同约定发出指示、指示延误或发出了错误指示而导致承包人费用增加和（或）工期延误的，由发包人承担相应责任。除专用合同条款另有约定外，总监理工程师不应将第4.4款〔商定或确定〕约定应由总监理工程师作出确定的权力授权或委托给其他监理人员。</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承包人对监理人发出的指示有疑问的，应向监理人提出书面异议，监理人应在48小时内对该指示予以确认、更改或撤销，监理人逾期未回复的，承包人有权拒绝执行上述指示。</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监理人对承包人的任何工作、工程或其采用的材料和工程设备未在约定的或合理期限内提出意见的，视为批准，但不免除或减轻承包人对该工作、工程、材料、工程设备等应承担的责任和义务。</w:t>
      </w:r>
    </w:p>
    <w:p>
      <w:pPr>
        <w:pStyle w:val="7"/>
        <w:spacing w:before="0" w:beforeAutospacing="0" w:after="0" w:afterAutospacing="0" w:line="360" w:lineRule="auto"/>
        <w:ind w:firstLine="422" w:firstLineChars="200"/>
        <w:rPr>
          <w:sz w:val="21"/>
          <w:szCs w:val="21"/>
        </w:rPr>
      </w:pPr>
      <w:bookmarkStart w:id="418" w:name="_Toc351203531"/>
      <w:bookmarkStart w:id="419" w:name="_Toc532377217"/>
      <w:r>
        <w:rPr>
          <w:rFonts w:hint="eastAsia"/>
          <w:sz w:val="21"/>
          <w:szCs w:val="21"/>
        </w:rPr>
        <w:t>4</w:t>
      </w:r>
      <w:bookmarkStart w:id="420" w:name="_Toc296346558"/>
      <w:bookmarkStart w:id="421" w:name="_Toc296503057"/>
      <w:bookmarkStart w:id="422" w:name="_Toc337558757"/>
      <w:r>
        <w:rPr>
          <w:rFonts w:hint="eastAsia"/>
          <w:sz w:val="21"/>
          <w:szCs w:val="21"/>
        </w:rPr>
        <w:t>.4 商定或确定</w:t>
      </w:r>
      <w:bookmarkEnd w:id="418"/>
      <w:bookmarkEnd w:id="419"/>
    </w:p>
    <w:bookmarkEnd w:id="420"/>
    <w:bookmarkEnd w:id="421"/>
    <w:bookmarkEnd w:id="422"/>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合同当事人进行商定或确定时，总监理工程师应当会同合同当事人尽量通过协商达成一致，不能达成一致的，由总监理工程师按照合同约定审慎做出公正的确定。</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总监理工程师应将确定以书面形式通知发包人和承包人，并附详细依据。合同当事人对总监理工程师的确定没有异议的，按照总监理工程师的确定执行。任何一方合同当事人有异议，按照第20条〔争议解决〕约定处理。争议解决前，合同当事人暂按总监理工程师的确定执行；争议解决后，争议解决的结果与总监理工程师的确定不一致的，按照争议解决的结果执行，由此造成的损失由责任人承担。</w:t>
      </w:r>
    </w:p>
    <w:p>
      <w:pPr>
        <w:pStyle w:val="6"/>
        <w:spacing w:before="156" w:beforeLines="50" w:beforeAutospacing="0" w:after="156" w:afterLines="50" w:afterAutospacing="0" w:line="360" w:lineRule="auto"/>
        <w:jc w:val="both"/>
        <w:rPr>
          <w:bCs w:val="0"/>
          <w:kern w:val="2"/>
          <w:sz w:val="21"/>
          <w:szCs w:val="21"/>
        </w:rPr>
      </w:pPr>
      <w:bookmarkStart w:id="423" w:name="_Toc351203532"/>
      <w:bookmarkStart w:id="424" w:name="_Toc532375591"/>
      <w:bookmarkStart w:id="425" w:name="_Toc532377218"/>
      <w:r>
        <w:rPr>
          <w:rFonts w:hint="eastAsia"/>
          <w:kern w:val="2"/>
          <w:sz w:val="21"/>
          <w:szCs w:val="21"/>
        </w:rPr>
        <w:t>5</w:t>
      </w:r>
      <w:bookmarkStart w:id="426" w:name="_Toc337558758"/>
      <w:r>
        <w:rPr>
          <w:rFonts w:hint="eastAsia"/>
          <w:kern w:val="2"/>
          <w:sz w:val="21"/>
          <w:szCs w:val="21"/>
        </w:rPr>
        <w:t>. 工程质量</w:t>
      </w:r>
      <w:bookmarkEnd w:id="423"/>
      <w:bookmarkEnd w:id="424"/>
      <w:bookmarkEnd w:id="425"/>
    </w:p>
    <w:bookmarkEnd w:id="426"/>
    <w:p>
      <w:pPr>
        <w:pStyle w:val="7"/>
        <w:spacing w:before="0" w:beforeAutospacing="0" w:after="0" w:afterAutospacing="0" w:line="360" w:lineRule="auto"/>
        <w:ind w:firstLine="422" w:firstLineChars="200"/>
        <w:rPr>
          <w:sz w:val="21"/>
          <w:szCs w:val="21"/>
        </w:rPr>
      </w:pPr>
      <w:bookmarkStart w:id="427" w:name="_Toc532377219"/>
      <w:bookmarkStart w:id="428" w:name="_Toc351203533"/>
      <w:r>
        <w:rPr>
          <w:rFonts w:hint="eastAsia"/>
          <w:sz w:val="21"/>
          <w:szCs w:val="21"/>
        </w:rPr>
        <w:t>5</w:t>
      </w:r>
      <w:bookmarkStart w:id="429" w:name="_Toc337558759"/>
      <w:r>
        <w:rPr>
          <w:rFonts w:hint="eastAsia"/>
          <w:sz w:val="21"/>
          <w:szCs w:val="21"/>
        </w:rPr>
        <w:t>.1质量要求</w:t>
      </w:r>
      <w:bookmarkEnd w:id="427"/>
      <w:bookmarkEnd w:id="428"/>
    </w:p>
    <w:bookmarkEnd w:id="429"/>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5.1.1 工程质量标准必须符合现行国家有关工程施工质量验收规范和标准的要求。有关工程质量的特殊标准或要求由合同当事人在专用合同条款中约定。</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5.1.2 因发包人原因造成工程质量未达到合同约定标准的，由发包人承担由此增加的费用和（或）延误的工期，并支付承包人合理的利润。</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5.1.3 因承包人原因造成工程质量未达到合同约定标准的，发包人有权要求承包人返工直至工程质量达到合同约定的标准为止，并由承包人承担由此增加的费用和（或）延误的工期。</w:t>
      </w:r>
    </w:p>
    <w:p>
      <w:pPr>
        <w:pStyle w:val="7"/>
        <w:spacing w:before="0" w:beforeAutospacing="0" w:after="0" w:afterAutospacing="0" w:line="360" w:lineRule="auto"/>
        <w:ind w:firstLine="422" w:firstLineChars="200"/>
        <w:rPr>
          <w:sz w:val="21"/>
          <w:szCs w:val="21"/>
        </w:rPr>
      </w:pPr>
      <w:bookmarkStart w:id="430" w:name="_Toc351203534"/>
      <w:bookmarkStart w:id="431" w:name="_Toc532377220"/>
      <w:r>
        <w:rPr>
          <w:rFonts w:hint="eastAsia"/>
          <w:sz w:val="21"/>
          <w:szCs w:val="21"/>
        </w:rPr>
        <w:t>5</w:t>
      </w:r>
      <w:bookmarkStart w:id="432" w:name="_Toc337558760"/>
      <w:r>
        <w:rPr>
          <w:rFonts w:hint="eastAsia"/>
          <w:sz w:val="21"/>
          <w:szCs w:val="21"/>
        </w:rPr>
        <w:t>.2质量保证措施</w:t>
      </w:r>
      <w:bookmarkEnd w:id="430"/>
      <w:bookmarkEnd w:id="431"/>
    </w:p>
    <w:bookmarkEnd w:id="432"/>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5.2.1 发包人的质量管理</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发包人应按照法律规定及合同约定完成与工程质量有关的各项工作。</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5.2.2 承包人的质量管理</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按照第7.1款〔施工组织设计〕约定向发包人和监理人提交工程质量保证体系及措施文件，建立完善的质量检查制度，并提交相应的工程质量文件。对于发包人和监理人违反法律规定和合同约定的错误指示，承包人有权拒绝实施。</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承包人应对施工人员进行质量教育和技术培训，定期考核施工人员的劳动技能，严格执行施工规范和操作规程。</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应按照法律规定和发包人的要求，对材料、工程设备以及工程的所有部位及其施工工艺进行全过程的质量检查和检验，并作详细记录，编制工程质量报表，报送监理人审查。此外，承包人还应按照法律规定和发包人的要求，进行施工现场取样试验、工程复核测量和设备性能检测，提供试验样品、提交试验报告和测量成果以及其他工作。</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5.2.3 监理人的质量检查和检验</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监理人按照法律规定和发包人授权对工程的所有部位及其施工工艺、材料和工程设备进行检查和检验。承包人应为监理人的检查和检验提供方便，包括监理人到施工现场，或制造、加工地点，或合同约定的其他地方进行察看和查阅施工原始记录。监理人为此进行的检查和检验，不免除或减轻承包人按照合同约定应当承担的责任。</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监理人的检查和检验不应影响施工正常进行。监理人的检查和检验影响施工正常进行的，且经检查检验不合格的，影响正常施工的费用由承包人承担，工期不予顺延；经检查检验合格的，由此增加的费用和（或）延误的工期由发包人承担。</w:t>
      </w:r>
    </w:p>
    <w:p>
      <w:pPr>
        <w:pStyle w:val="7"/>
        <w:spacing w:before="0" w:beforeAutospacing="0" w:after="0" w:afterAutospacing="0" w:line="360" w:lineRule="auto"/>
        <w:ind w:firstLine="422" w:firstLineChars="200"/>
        <w:rPr>
          <w:sz w:val="21"/>
          <w:szCs w:val="21"/>
        </w:rPr>
      </w:pPr>
      <w:bookmarkStart w:id="433" w:name="_Toc532377221"/>
      <w:bookmarkStart w:id="434" w:name="_Toc351203535"/>
      <w:r>
        <w:rPr>
          <w:rFonts w:hint="eastAsia"/>
          <w:sz w:val="21"/>
          <w:szCs w:val="21"/>
        </w:rPr>
        <w:t>5</w:t>
      </w:r>
      <w:bookmarkStart w:id="435" w:name="_Toc337558761"/>
      <w:r>
        <w:rPr>
          <w:rFonts w:hint="eastAsia"/>
          <w:sz w:val="21"/>
          <w:szCs w:val="21"/>
        </w:rPr>
        <w:t>.3 隐蔽工程检查</w:t>
      </w:r>
      <w:bookmarkEnd w:id="433"/>
      <w:bookmarkEnd w:id="434"/>
    </w:p>
    <w:bookmarkEnd w:id="435"/>
    <w:p>
      <w:pPr>
        <w:spacing w:line="360" w:lineRule="auto"/>
        <w:ind w:firstLine="420" w:firstLineChars="200"/>
        <w:jc w:val="left"/>
        <w:rPr>
          <w:rFonts w:ascii="宋体" w:hAnsi="宋体"/>
          <w:kern w:val="0"/>
          <w:szCs w:val="21"/>
        </w:rPr>
      </w:pPr>
      <w:r>
        <w:rPr>
          <w:rFonts w:hint="eastAsia" w:ascii="宋体" w:hAnsi="宋体"/>
          <w:kern w:val="0"/>
          <w:szCs w:val="21"/>
        </w:rPr>
        <w:t>5.3.1承包人自检</w:t>
      </w:r>
    </w:p>
    <w:p>
      <w:pPr>
        <w:spacing w:line="360" w:lineRule="auto"/>
        <w:ind w:firstLine="420" w:firstLineChars="200"/>
        <w:jc w:val="left"/>
        <w:rPr>
          <w:rFonts w:ascii="宋体" w:hAnsi="宋体"/>
          <w:kern w:val="0"/>
          <w:szCs w:val="21"/>
        </w:rPr>
      </w:pPr>
      <w:r>
        <w:rPr>
          <w:rFonts w:hint="eastAsia" w:ascii="宋体" w:hAnsi="宋体"/>
          <w:kern w:val="0"/>
          <w:szCs w:val="21"/>
        </w:rPr>
        <w:t>承包人应当对工程隐蔽部位进行自检，并经自检确认是否具备覆盖条件。</w:t>
      </w:r>
    </w:p>
    <w:p>
      <w:pPr>
        <w:spacing w:line="360" w:lineRule="auto"/>
        <w:ind w:firstLine="420" w:firstLineChars="200"/>
        <w:jc w:val="left"/>
        <w:rPr>
          <w:rFonts w:ascii="宋体" w:hAnsi="宋体"/>
          <w:kern w:val="0"/>
          <w:szCs w:val="21"/>
        </w:rPr>
      </w:pPr>
      <w:r>
        <w:rPr>
          <w:rFonts w:hint="eastAsia" w:ascii="宋体" w:hAnsi="宋体"/>
          <w:kern w:val="0"/>
          <w:szCs w:val="21"/>
        </w:rPr>
        <w:t>5.3.2检查程序</w:t>
      </w:r>
    </w:p>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工程隐蔽部位经承包人自检确认具备覆盖条件的，承包人应在共同检查前48小时书面通知监理人检查，通知中应载明隐蔽检查的内容、时间和地点，并应附有自检记录和必要的检查资料。</w:t>
      </w:r>
    </w:p>
    <w:p>
      <w:pPr>
        <w:spacing w:line="360" w:lineRule="auto"/>
        <w:ind w:firstLine="420" w:firstLineChars="200"/>
        <w:jc w:val="left"/>
        <w:rPr>
          <w:rFonts w:ascii="宋体" w:hAnsi="宋体"/>
          <w:kern w:val="0"/>
          <w:szCs w:val="21"/>
        </w:rPr>
      </w:pPr>
      <w:r>
        <w:rPr>
          <w:rFonts w:hint="eastAsia" w:ascii="宋体" w:hAnsi="宋体"/>
          <w:kern w:val="0"/>
          <w:szCs w:val="21"/>
        </w:rPr>
        <w:t>监理人应按时到场并对隐蔽工程及其施工工艺、材料和工程设备进行检查。经监理人检查确认质量符合隐蔽要求，并在验收记录上签名后，承包人才能进行覆盖。经监理人检查质量不合格的，承包人应在监理人指示的时间内完成修复，并由监理人重新检查，由此增加的费用和（或）延误的工期由承包人承担。</w:t>
      </w:r>
    </w:p>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监理人不能按时进行检查的，应在检查前24小时向承包人提交书面延期要求，但延期不能超过48小时，由此导致工期延误的，工期应予以顺延。监理人未按时进行检查，也未提出延期要求的，视为隐蔽工程检查合格，承包人可自行完成覆盖工作，并作相应记录报送监理人，监理人应签名确认。监理人事后对检查记录有疑问的，可按第5.3.3项〔重新检查〕的约定重新检查。</w:t>
      </w:r>
    </w:p>
    <w:p>
      <w:pPr>
        <w:spacing w:line="360" w:lineRule="auto"/>
        <w:ind w:firstLine="420" w:firstLineChars="200"/>
        <w:jc w:val="left"/>
        <w:rPr>
          <w:rFonts w:ascii="宋体" w:hAnsi="宋体"/>
          <w:kern w:val="0"/>
          <w:szCs w:val="21"/>
        </w:rPr>
      </w:pPr>
      <w:r>
        <w:rPr>
          <w:rFonts w:hint="eastAsia" w:ascii="宋体" w:hAnsi="宋体"/>
          <w:kern w:val="0"/>
          <w:szCs w:val="21"/>
        </w:rPr>
        <w:t>5.3.3 重新检查</w:t>
      </w:r>
    </w:p>
    <w:p>
      <w:pPr>
        <w:spacing w:line="360" w:lineRule="auto"/>
        <w:ind w:firstLine="420" w:firstLineChars="200"/>
        <w:jc w:val="left"/>
        <w:rPr>
          <w:rFonts w:ascii="宋体" w:hAnsi="宋体"/>
          <w:kern w:val="0"/>
          <w:szCs w:val="21"/>
        </w:rPr>
      </w:pPr>
      <w:r>
        <w:rPr>
          <w:rFonts w:hint="eastAsia" w:ascii="宋体" w:hAnsi="宋体"/>
          <w:kern w:val="0"/>
          <w:szCs w:val="21"/>
        </w:rPr>
        <w:t>承包人覆盖工程隐蔽部位后，发包人或监理人对质量有疑问的，可要求承包人对已覆盖的部位进行钻孔探测或揭开重新检查，承包人应遵照执行，并在检查后重新覆盖恢复原状。经检查证明工程质量符合合同要求的，由发包人承担由此增加的费用和（或）延误的工期，并支付承包人合理的利润；经检查证明工程质量不符合合同要求的，由此增加的费用和（或）延误的工期由承包人承担。</w:t>
      </w:r>
    </w:p>
    <w:p>
      <w:pPr>
        <w:spacing w:line="360" w:lineRule="auto"/>
        <w:ind w:firstLine="420" w:firstLineChars="200"/>
        <w:jc w:val="left"/>
        <w:rPr>
          <w:rFonts w:ascii="宋体" w:hAnsi="宋体"/>
          <w:kern w:val="0"/>
          <w:szCs w:val="21"/>
        </w:rPr>
      </w:pPr>
      <w:r>
        <w:rPr>
          <w:rFonts w:hint="eastAsia" w:ascii="宋体" w:hAnsi="宋体"/>
          <w:kern w:val="0"/>
          <w:szCs w:val="21"/>
        </w:rPr>
        <w:t>5.3.4 承包人私自覆盖</w:t>
      </w:r>
    </w:p>
    <w:p>
      <w:pPr>
        <w:spacing w:line="360" w:lineRule="auto"/>
        <w:ind w:firstLine="420" w:firstLineChars="200"/>
        <w:jc w:val="left"/>
        <w:rPr>
          <w:rFonts w:ascii="宋体" w:hAnsi="宋体"/>
          <w:kern w:val="0"/>
          <w:szCs w:val="21"/>
        </w:rPr>
      </w:pPr>
      <w:r>
        <w:rPr>
          <w:rFonts w:hint="eastAsia" w:ascii="宋体" w:hAnsi="宋体"/>
          <w:kern w:val="0"/>
          <w:szCs w:val="21"/>
        </w:rPr>
        <w:t>承包人未通知监理人到场检查，私自将工程隐蔽部位覆盖的，监理人有权指示承包人钻孔探测或揭开检查，无论工程隐蔽部位质量是否合格，由此增加的费用和（或）延误的工期均由承包人承担。</w:t>
      </w:r>
    </w:p>
    <w:p>
      <w:pPr>
        <w:pStyle w:val="7"/>
        <w:spacing w:before="0" w:beforeAutospacing="0" w:after="0" w:afterAutospacing="0" w:line="360" w:lineRule="auto"/>
        <w:ind w:firstLine="422" w:firstLineChars="200"/>
        <w:rPr>
          <w:sz w:val="21"/>
          <w:szCs w:val="21"/>
        </w:rPr>
      </w:pPr>
      <w:bookmarkStart w:id="436" w:name="_Toc532377222"/>
      <w:r>
        <w:rPr>
          <w:rFonts w:hint="eastAsia"/>
          <w:sz w:val="21"/>
          <w:szCs w:val="21"/>
        </w:rPr>
        <w:t>5.4不合格工程的处理</w:t>
      </w:r>
      <w:bookmarkEnd w:id="436"/>
    </w:p>
    <w:p>
      <w:pPr>
        <w:spacing w:line="360" w:lineRule="auto"/>
        <w:ind w:firstLine="420" w:firstLineChars="200"/>
        <w:jc w:val="left"/>
        <w:rPr>
          <w:rFonts w:ascii="宋体" w:hAnsi="宋体"/>
          <w:kern w:val="0"/>
          <w:szCs w:val="21"/>
        </w:rPr>
      </w:pPr>
      <w:r>
        <w:rPr>
          <w:rFonts w:hint="eastAsia" w:ascii="宋体" w:hAnsi="宋体"/>
          <w:kern w:val="0"/>
          <w:szCs w:val="21"/>
        </w:rPr>
        <w:t xml:space="preserve">5.4.1 因承包人原因造成工程不合格的，发包人有权随时要求承包人采取补救措施，直至达到合同要求的质量标准，由此增加的费用和（或）延误的工期由承包人承担。无法补救的，按照第13.2.4项〔拒绝接收全部或部分工程〕约定执行。 </w:t>
      </w:r>
    </w:p>
    <w:p>
      <w:pPr>
        <w:spacing w:line="360" w:lineRule="auto"/>
        <w:ind w:firstLine="420" w:firstLineChars="200"/>
        <w:jc w:val="left"/>
        <w:rPr>
          <w:rFonts w:ascii="宋体" w:hAnsi="宋体"/>
          <w:kern w:val="0"/>
          <w:szCs w:val="21"/>
        </w:rPr>
      </w:pPr>
      <w:r>
        <w:rPr>
          <w:rFonts w:hint="eastAsia" w:ascii="宋体" w:hAnsi="宋体"/>
          <w:kern w:val="0"/>
          <w:szCs w:val="21"/>
        </w:rPr>
        <w:t>5.4.2 因发包人原因造成工程不合格的，由此增加的费用和（或）延误的工期由发包人承担，并支付承包人合理的利润。</w:t>
      </w:r>
    </w:p>
    <w:p>
      <w:pPr>
        <w:pStyle w:val="7"/>
        <w:spacing w:before="0" w:beforeAutospacing="0" w:after="0" w:afterAutospacing="0" w:line="360" w:lineRule="auto"/>
        <w:ind w:firstLine="422" w:firstLineChars="200"/>
        <w:rPr>
          <w:sz w:val="21"/>
          <w:szCs w:val="21"/>
        </w:rPr>
      </w:pPr>
      <w:bookmarkStart w:id="437" w:name="_Toc351203537"/>
      <w:bookmarkStart w:id="438" w:name="_Toc532377223"/>
      <w:r>
        <w:rPr>
          <w:rFonts w:hint="eastAsia"/>
          <w:sz w:val="21"/>
          <w:szCs w:val="21"/>
        </w:rPr>
        <w:t>5.5 质量争议检测</w:t>
      </w:r>
      <w:bookmarkEnd w:id="437"/>
      <w:bookmarkEnd w:id="438"/>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合同当事人对工程质量有争议的，由双方协商确定的工程质量检测机构鉴定，由此产生的费用及因此造成的损失，由责任方承担。</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合同当事人均有责任的，由双方根据其责任分别承担。合同当事人无法达成一致的，按照第4.4款〔商定或确定〕执行。</w:t>
      </w:r>
    </w:p>
    <w:p>
      <w:pPr>
        <w:pStyle w:val="6"/>
        <w:spacing w:before="156" w:beforeLines="50" w:beforeAutospacing="0" w:after="156" w:afterLines="50" w:afterAutospacing="0" w:line="360" w:lineRule="auto"/>
        <w:jc w:val="both"/>
        <w:rPr>
          <w:bCs w:val="0"/>
          <w:kern w:val="2"/>
          <w:sz w:val="21"/>
          <w:szCs w:val="21"/>
        </w:rPr>
      </w:pPr>
      <w:bookmarkStart w:id="439" w:name="_Toc532377224"/>
      <w:bookmarkStart w:id="440" w:name="_Toc532375592"/>
      <w:bookmarkStart w:id="441" w:name="_Toc351203538"/>
      <w:r>
        <w:rPr>
          <w:rFonts w:hint="eastAsia"/>
          <w:kern w:val="2"/>
          <w:sz w:val="21"/>
          <w:szCs w:val="21"/>
        </w:rPr>
        <w:t>6</w:t>
      </w:r>
      <w:bookmarkStart w:id="442" w:name="_Toc337558763"/>
      <w:r>
        <w:rPr>
          <w:rFonts w:hint="eastAsia"/>
          <w:kern w:val="2"/>
          <w:sz w:val="21"/>
          <w:szCs w:val="21"/>
        </w:rPr>
        <w:t>. 安全文明施工与环境保护</w:t>
      </w:r>
      <w:bookmarkEnd w:id="439"/>
      <w:bookmarkEnd w:id="440"/>
      <w:bookmarkEnd w:id="441"/>
    </w:p>
    <w:bookmarkEnd w:id="442"/>
    <w:p>
      <w:pPr>
        <w:pStyle w:val="7"/>
        <w:spacing w:before="0" w:beforeAutospacing="0" w:after="0" w:afterAutospacing="0" w:line="360" w:lineRule="auto"/>
        <w:ind w:firstLine="422" w:firstLineChars="200"/>
        <w:rPr>
          <w:sz w:val="21"/>
          <w:szCs w:val="21"/>
        </w:rPr>
      </w:pPr>
      <w:bookmarkStart w:id="443" w:name="_Toc351203539"/>
      <w:bookmarkStart w:id="444" w:name="_Toc532377225"/>
      <w:r>
        <w:rPr>
          <w:rFonts w:hint="eastAsia"/>
          <w:sz w:val="21"/>
          <w:szCs w:val="21"/>
        </w:rPr>
        <w:t>6</w:t>
      </w:r>
      <w:bookmarkStart w:id="445" w:name="_Toc337558764"/>
      <w:r>
        <w:rPr>
          <w:rFonts w:hint="eastAsia"/>
          <w:sz w:val="21"/>
          <w:szCs w:val="21"/>
        </w:rPr>
        <w:t>.1安全文明施工</w:t>
      </w:r>
      <w:bookmarkEnd w:id="443"/>
      <w:bookmarkEnd w:id="444"/>
    </w:p>
    <w:bookmarkEnd w:id="445"/>
    <w:p>
      <w:pPr>
        <w:spacing w:line="360" w:lineRule="auto"/>
        <w:ind w:firstLine="420" w:firstLineChars="200"/>
        <w:jc w:val="left"/>
        <w:rPr>
          <w:rFonts w:ascii="宋体" w:hAnsi="宋体"/>
          <w:kern w:val="0"/>
          <w:szCs w:val="21"/>
        </w:rPr>
      </w:pPr>
      <w:r>
        <w:rPr>
          <w:rFonts w:hint="eastAsia" w:ascii="宋体" w:hAnsi="宋体"/>
          <w:kern w:val="0"/>
          <w:szCs w:val="21"/>
        </w:rPr>
        <w:t>6.1.1安全生产要求</w:t>
      </w:r>
    </w:p>
    <w:p>
      <w:pPr>
        <w:spacing w:line="360" w:lineRule="auto"/>
        <w:ind w:firstLine="420" w:firstLineChars="200"/>
        <w:jc w:val="left"/>
        <w:rPr>
          <w:rFonts w:ascii="宋体" w:hAnsi="宋体"/>
          <w:kern w:val="0"/>
          <w:szCs w:val="21"/>
        </w:rPr>
      </w:pPr>
      <w:r>
        <w:rPr>
          <w:rFonts w:hint="eastAsia" w:ascii="宋体" w:hAnsi="宋体"/>
          <w:kern w:val="0"/>
          <w:szCs w:val="21"/>
        </w:rPr>
        <w:t>合同履行期间，合同当事人均应当遵守国家和工程所在地有关安全生产的要求，合同当事人有特别要求的，应在专用合同条款中明确施工项目安全生产标准化达标目标及相应事项。承包人有权拒绝发包人及监理人强令承包人违章作业、冒险施工的任何指示。</w:t>
      </w:r>
    </w:p>
    <w:p>
      <w:pPr>
        <w:spacing w:line="360" w:lineRule="auto"/>
        <w:ind w:firstLine="420" w:firstLineChars="200"/>
        <w:jc w:val="left"/>
        <w:rPr>
          <w:rFonts w:ascii="宋体" w:hAnsi="宋体"/>
          <w:kern w:val="0"/>
          <w:szCs w:val="21"/>
        </w:rPr>
      </w:pPr>
      <w:r>
        <w:rPr>
          <w:rFonts w:hint="eastAsia" w:ascii="宋体" w:hAnsi="宋体"/>
          <w:kern w:val="0"/>
          <w:szCs w:val="21"/>
        </w:rPr>
        <w:t>在施工过程中，如遇到突发的地质变动、事先未知的地下施工障碍等影响施工安全的紧急情况，承包人应及时报告监理人和发包人，发包人应当及时下令停工并报政府有关行政管理部门采取应急措施。</w:t>
      </w:r>
    </w:p>
    <w:p>
      <w:pPr>
        <w:spacing w:line="360" w:lineRule="auto"/>
        <w:ind w:firstLine="420" w:firstLineChars="200"/>
        <w:jc w:val="left"/>
        <w:rPr>
          <w:rFonts w:ascii="宋体" w:hAnsi="宋体"/>
          <w:kern w:val="0"/>
          <w:szCs w:val="21"/>
        </w:rPr>
      </w:pPr>
      <w:r>
        <w:rPr>
          <w:rFonts w:hint="eastAsia" w:ascii="宋体" w:hAnsi="宋体"/>
          <w:kern w:val="0"/>
          <w:szCs w:val="21"/>
        </w:rPr>
        <w:t>因安全生产需要暂停施工的，按照第7.8款〔暂停施工〕的约定执行。</w:t>
      </w:r>
    </w:p>
    <w:p>
      <w:pPr>
        <w:spacing w:line="360" w:lineRule="auto"/>
        <w:ind w:firstLine="420" w:firstLineChars="200"/>
        <w:jc w:val="left"/>
        <w:rPr>
          <w:rFonts w:ascii="宋体" w:hAnsi="宋体"/>
          <w:kern w:val="0"/>
          <w:szCs w:val="21"/>
        </w:rPr>
      </w:pPr>
      <w:r>
        <w:rPr>
          <w:rFonts w:hint="eastAsia" w:ascii="宋体" w:hAnsi="宋体"/>
          <w:kern w:val="0"/>
          <w:szCs w:val="21"/>
        </w:rPr>
        <w:t>6.1.2 安全生产保证措施</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应当按照有关规定编制安全技术措施或者专项施工方案，建立安全生产责任制度、治安保卫制度及安全生产教育培训制度，并按安全生产法律规定及合同约定履行安全职责，如实编制工程安全生产的有关记录，接受发包人、监理人及政府安全监督部门的检查与监督。</w:t>
      </w:r>
    </w:p>
    <w:p>
      <w:pPr>
        <w:spacing w:line="360" w:lineRule="auto"/>
        <w:ind w:firstLine="420" w:firstLineChars="200"/>
        <w:jc w:val="left"/>
        <w:rPr>
          <w:rFonts w:ascii="宋体" w:hAnsi="宋体"/>
          <w:kern w:val="0"/>
          <w:szCs w:val="21"/>
        </w:rPr>
      </w:pPr>
      <w:r>
        <w:rPr>
          <w:rFonts w:hint="eastAsia" w:ascii="宋体" w:hAnsi="宋体"/>
          <w:kern w:val="0"/>
          <w:szCs w:val="21"/>
        </w:rPr>
        <w:t>6.1.3特别安全生产事项</w:t>
      </w:r>
    </w:p>
    <w:p>
      <w:pPr>
        <w:spacing w:line="360" w:lineRule="auto"/>
        <w:ind w:firstLine="420" w:firstLineChars="200"/>
        <w:jc w:val="left"/>
        <w:rPr>
          <w:rFonts w:ascii="宋体" w:hAnsi="宋体"/>
          <w:kern w:val="0"/>
          <w:szCs w:val="21"/>
        </w:rPr>
      </w:pPr>
      <w:r>
        <w:rPr>
          <w:rFonts w:hint="eastAsia" w:ascii="宋体" w:hAnsi="宋体"/>
          <w:kern w:val="0"/>
          <w:szCs w:val="21"/>
        </w:rPr>
        <w:t>承包人应按照法律规定进行施工，开工前做好安全技术交底工作，施工过程中做好各项安全防护措施。承包人为实施合同而雇用的特殊工种的人员应受过专门的培训并已取得政府有关管理机构颁发的上岗证书。</w:t>
      </w:r>
    </w:p>
    <w:p>
      <w:pPr>
        <w:spacing w:line="360" w:lineRule="auto"/>
        <w:ind w:firstLine="420" w:firstLineChars="200"/>
        <w:jc w:val="left"/>
        <w:rPr>
          <w:rFonts w:ascii="宋体" w:hAnsi="宋体"/>
          <w:kern w:val="0"/>
          <w:szCs w:val="21"/>
        </w:rPr>
      </w:pPr>
      <w:r>
        <w:rPr>
          <w:rFonts w:hint="eastAsia" w:ascii="宋体" w:hAnsi="宋体"/>
          <w:kern w:val="0"/>
          <w:szCs w:val="21"/>
        </w:rPr>
        <w:t xml:space="preserve">承包人在动力设备、输电线路、地下管道、密封防震车间、易燃易爆地段以及临街交通要道附近施工时，施工开始前应向发包人和监理人提出安全防护措施，经发包人认可后实施。 </w:t>
      </w:r>
    </w:p>
    <w:p>
      <w:pPr>
        <w:spacing w:line="360" w:lineRule="auto"/>
        <w:ind w:firstLine="420" w:firstLineChars="200"/>
        <w:jc w:val="left"/>
        <w:rPr>
          <w:rFonts w:ascii="宋体" w:hAnsi="宋体"/>
          <w:kern w:val="0"/>
          <w:szCs w:val="21"/>
        </w:rPr>
      </w:pPr>
      <w:r>
        <w:rPr>
          <w:rFonts w:hint="eastAsia" w:ascii="宋体" w:hAnsi="宋体"/>
          <w:kern w:val="0"/>
          <w:szCs w:val="21"/>
        </w:rPr>
        <w:t>实施爆破作业，在放射、毒害性环境中施工（含储存、运输、使用）及使用毒害性、腐蚀性物品施工时，承包人应在施工前7天以书面通知发包人和监理人，并报送相应的安全防护措施，经发包人认可后实施。</w:t>
      </w:r>
    </w:p>
    <w:p>
      <w:pPr>
        <w:spacing w:line="360" w:lineRule="auto"/>
        <w:ind w:firstLine="420" w:firstLineChars="200"/>
        <w:jc w:val="left"/>
        <w:rPr>
          <w:rFonts w:ascii="宋体" w:hAnsi="宋体"/>
          <w:kern w:val="0"/>
          <w:szCs w:val="21"/>
        </w:rPr>
      </w:pPr>
      <w:r>
        <w:rPr>
          <w:rFonts w:hint="eastAsia" w:ascii="宋体" w:hAnsi="宋体"/>
          <w:kern w:val="0"/>
          <w:szCs w:val="21"/>
        </w:rPr>
        <w:t>需单独编制危险性较大分部分项专项工程施工方案的，及要求进行专家论证的超过一定规模的危险性较大的分部分项工程，承包人应及时编制和组织论证。</w:t>
      </w:r>
    </w:p>
    <w:p>
      <w:pPr>
        <w:spacing w:line="360" w:lineRule="auto"/>
        <w:ind w:firstLine="420" w:firstLineChars="200"/>
        <w:jc w:val="left"/>
        <w:rPr>
          <w:rFonts w:ascii="宋体" w:hAnsi="宋体"/>
          <w:kern w:val="0"/>
          <w:szCs w:val="21"/>
        </w:rPr>
      </w:pPr>
      <w:r>
        <w:rPr>
          <w:rFonts w:hint="eastAsia" w:ascii="宋体" w:hAnsi="宋体"/>
          <w:kern w:val="0"/>
          <w:szCs w:val="21"/>
        </w:rPr>
        <w:t>6.1.4 治安保卫</w:t>
      </w:r>
    </w:p>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除专用合同条款另有约定外，发包人应与当地公安部门协商，在现场建立治安管理机构或联防组织，统一管理施工场地的治安保卫事项，履行合同工程的治安保卫职责。</w:t>
      </w:r>
    </w:p>
    <w:p>
      <w:pPr>
        <w:spacing w:line="360" w:lineRule="auto"/>
        <w:ind w:firstLine="420" w:firstLineChars="200"/>
        <w:jc w:val="left"/>
        <w:rPr>
          <w:rFonts w:ascii="宋体" w:hAnsi="宋体"/>
          <w:kern w:val="0"/>
          <w:szCs w:val="21"/>
        </w:rPr>
      </w:pPr>
      <w:r>
        <w:rPr>
          <w:rFonts w:hint="eastAsia" w:ascii="宋体" w:hAnsi="宋体"/>
          <w:kern w:val="0"/>
          <w:szCs w:val="21"/>
        </w:rPr>
        <w:t>发包人和承包人除应协助现场治安管理机构或联防组织维护施工场地的社会治安外，还应做好包括生活区在内的各自管辖区的治安保卫工作。</w:t>
      </w:r>
    </w:p>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发包人和承包人应在工程开工后7天内共同编制施工场地治安管理计划，并制定应对突发治安事件的紧急预案。在工程施工过程中，发生暴乱、爆炸等恐怖事件，以及群殴、械斗等群体性突发治安事件的，发包人和承包人应立即向当地政府报告。发包人和承包人应积极协助当地有关部门采取措施平息事态，防止事态扩大，尽量避免人员伤亡和财产损失。</w:t>
      </w:r>
    </w:p>
    <w:p>
      <w:pPr>
        <w:spacing w:line="360" w:lineRule="auto"/>
        <w:ind w:firstLine="420" w:firstLineChars="200"/>
        <w:jc w:val="left"/>
        <w:rPr>
          <w:rFonts w:ascii="宋体" w:hAnsi="宋体"/>
          <w:kern w:val="0"/>
          <w:szCs w:val="21"/>
        </w:rPr>
      </w:pPr>
      <w:r>
        <w:rPr>
          <w:rFonts w:hint="eastAsia" w:ascii="宋体" w:hAnsi="宋体"/>
          <w:kern w:val="0"/>
          <w:szCs w:val="21"/>
        </w:rPr>
        <w:t>6.1.5 文明施工</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承包人在工程施工期间，应当采取措施保持施工现场平整，物料堆放整齐。工程所在地有关政府行政管理部门有特殊要求的，按照其要求执行。合同当事人对文明施工有其他要求的，可以在专用合同条款中明确。</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在工程移交之前，承包人应当从施工现场清除承包人的全部工程设备、多余材料、垃圾和各种临时工程，并保持施工现场清洁整齐。经发包人书面同意，承包人可在发包人指定的地点保留承包人履行保修期内的各项义务所需要的材料、施工设备和临时工程。</w:t>
      </w:r>
    </w:p>
    <w:p>
      <w:pPr>
        <w:spacing w:line="360" w:lineRule="auto"/>
        <w:ind w:firstLine="420" w:firstLineChars="200"/>
        <w:jc w:val="left"/>
        <w:rPr>
          <w:rFonts w:ascii="宋体" w:hAnsi="宋体"/>
          <w:kern w:val="0"/>
          <w:szCs w:val="21"/>
        </w:rPr>
      </w:pPr>
      <w:r>
        <w:rPr>
          <w:rFonts w:hint="eastAsia" w:ascii="宋体" w:hAnsi="宋体"/>
          <w:kern w:val="0"/>
          <w:szCs w:val="21"/>
        </w:rPr>
        <w:t>6.1.6 安全文明施工费</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安全文明施工费由发包人承担，发包人不得以任何形式扣减该部分费用。因基准日期后合同所适用的法律或政府有关规定发生变化，增加的安全文明施工费由发包人承担。</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经发包人同意采取合同约定以外的安全措施所产生的费用，由发包人承担。未经发包人同意的，如果该措施避免了发包人的损失，则发包人在避免损失的额度内承担该措施费。如果该措施避免了承包人的损失，由承包人承担该措施费。</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发包人应在开工后28天内预付安全文明施工费总额的50%，其余部分与进度款同期支付。发包人逾期支付安全文明施工费超过7天的，承包人有权向发包人发出要求预付的催告通知，发包人收到通知后7天内仍未支付的，承包人有权暂停施工，并按第16.1.1项〔发包人违约的情形〕执行。</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对安全文明施工费应专款专用，承包人应在财务账目中单独列项备查，不得挪作他用，否则发包人有权责令其限期改正；逾期未改正的，可以责令其暂停施工，由此增加的费用和（或）延误的工期由承包人承担。</w:t>
      </w:r>
    </w:p>
    <w:p>
      <w:pPr>
        <w:spacing w:line="360" w:lineRule="auto"/>
        <w:ind w:firstLine="420" w:firstLineChars="200"/>
        <w:jc w:val="left"/>
        <w:rPr>
          <w:rFonts w:ascii="宋体" w:hAnsi="宋体"/>
          <w:kern w:val="0"/>
          <w:szCs w:val="21"/>
        </w:rPr>
      </w:pPr>
      <w:r>
        <w:rPr>
          <w:rFonts w:hint="eastAsia" w:ascii="宋体" w:hAnsi="宋体"/>
          <w:kern w:val="0"/>
          <w:szCs w:val="21"/>
        </w:rPr>
        <w:t>6.1.7 紧急情况处理</w:t>
      </w:r>
    </w:p>
    <w:p>
      <w:pPr>
        <w:spacing w:line="360" w:lineRule="auto"/>
        <w:ind w:firstLine="420" w:firstLineChars="200"/>
        <w:jc w:val="left"/>
        <w:rPr>
          <w:rFonts w:ascii="宋体" w:hAnsi="宋体"/>
          <w:kern w:val="0"/>
          <w:szCs w:val="21"/>
        </w:rPr>
      </w:pPr>
      <w:r>
        <w:rPr>
          <w:rFonts w:hint="eastAsia" w:ascii="宋体" w:hAnsi="宋体"/>
          <w:kern w:val="0"/>
          <w:szCs w:val="21"/>
        </w:rPr>
        <w:t>在工程实施期间或缺陷责任期内发生危及工程安全的事件，监理人通知承包人进行抢救，承包人声明无能力或不愿立即执行的，发包人有权雇佣其他人员进行抢救。此类抢救按合同约定属于承包人义务的，由此增加的费用和（或）延误的工期由承包人承担。</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6.1.8 事故处理</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工程施工过程中发生事故的，承包人应立即通知监理人，监理人应立即通知发包人。发包人和承包人应立即组织人员和设备进行紧急抢救和抢修，减少人员伤亡和财产损失，防止事故扩大，并保护事故现场。需要移动现场物品时，应作出标记和书面记录，妥善保管有关证据。发包人和承包人应按国家有关规定，及时如实地向有关部门报告事故发生的情况，以及正在采取的紧急措施等。</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6.1.9 安全生产责任</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6.1.9.1 发包人的安全责任</w:t>
      </w:r>
    </w:p>
    <w:p>
      <w:pPr>
        <w:spacing w:line="360" w:lineRule="auto"/>
        <w:ind w:firstLine="420" w:firstLineChars="200"/>
        <w:jc w:val="left"/>
        <w:rPr>
          <w:rFonts w:ascii="宋体" w:hAnsi="宋体"/>
          <w:kern w:val="0"/>
          <w:szCs w:val="21"/>
        </w:rPr>
      </w:pPr>
      <w:r>
        <w:rPr>
          <w:rFonts w:hint="eastAsia" w:ascii="宋体" w:hAnsi="宋体"/>
          <w:kern w:val="0"/>
          <w:szCs w:val="21"/>
        </w:rPr>
        <w:t>发包人应负责赔偿以下各种情况造成的损失：</w:t>
      </w:r>
    </w:p>
    <w:p>
      <w:pPr>
        <w:spacing w:line="360" w:lineRule="auto"/>
        <w:ind w:firstLine="420" w:firstLineChars="200"/>
        <w:jc w:val="left"/>
        <w:rPr>
          <w:rFonts w:ascii="宋体" w:hAnsi="宋体"/>
          <w:kern w:val="0"/>
          <w:szCs w:val="21"/>
        </w:rPr>
      </w:pPr>
      <w:r>
        <w:rPr>
          <w:rFonts w:hint="eastAsia" w:ascii="宋体" w:hAnsi="宋体"/>
          <w:kern w:val="0"/>
          <w:szCs w:val="21"/>
        </w:rPr>
        <w:t>（1）工程或工程的任何部分对土地的占用所造成的第三者财产损失；</w:t>
      </w:r>
    </w:p>
    <w:p>
      <w:pPr>
        <w:spacing w:line="360" w:lineRule="auto"/>
        <w:ind w:firstLine="420" w:firstLineChars="200"/>
        <w:jc w:val="left"/>
        <w:rPr>
          <w:rFonts w:ascii="宋体" w:hAnsi="宋体"/>
          <w:kern w:val="0"/>
          <w:szCs w:val="21"/>
        </w:rPr>
      </w:pPr>
      <w:r>
        <w:rPr>
          <w:rFonts w:hint="eastAsia" w:ascii="宋体" w:hAnsi="宋体"/>
          <w:kern w:val="0"/>
          <w:szCs w:val="21"/>
        </w:rPr>
        <w:t>（2）由于发包人原因在施工场地及其毗邻地带造成的第三者人身伤亡和财产损失；</w:t>
      </w:r>
    </w:p>
    <w:p>
      <w:pPr>
        <w:spacing w:line="360" w:lineRule="auto"/>
        <w:ind w:firstLine="420" w:firstLineChars="200"/>
        <w:jc w:val="left"/>
        <w:rPr>
          <w:rFonts w:ascii="宋体" w:hAnsi="宋体"/>
          <w:kern w:val="0"/>
          <w:szCs w:val="21"/>
        </w:rPr>
      </w:pPr>
      <w:r>
        <w:rPr>
          <w:rFonts w:hint="eastAsia" w:ascii="宋体" w:hAnsi="宋体"/>
          <w:kern w:val="0"/>
          <w:szCs w:val="21"/>
        </w:rPr>
        <w:t>（3）由于发包人原因对承包人、监理人造成的人员人身伤亡和财产损失；</w:t>
      </w:r>
    </w:p>
    <w:p>
      <w:pPr>
        <w:spacing w:line="360" w:lineRule="auto"/>
        <w:ind w:firstLine="420" w:firstLineChars="200"/>
        <w:jc w:val="left"/>
        <w:rPr>
          <w:rFonts w:ascii="宋体" w:hAnsi="宋体"/>
          <w:kern w:val="0"/>
          <w:szCs w:val="21"/>
        </w:rPr>
      </w:pPr>
      <w:r>
        <w:rPr>
          <w:rFonts w:hint="eastAsia" w:ascii="宋体" w:hAnsi="宋体"/>
          <w:kern w:val="0"/>
          <w:szCs w:val="21"/>
        </w:rPr>
        <w:t>（4）由于发包人原因造成的发包人自身人员的人身伤害以及财产损失。</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6.1.9.2 承包人的安全责任</w:t>
      </w:r>
    </w:p>
    <w:p>
      <w:pPr>
        <w:spacing w:line="360" w:lineRule="auto"/>
        <w:ind w:firstLine="420" w:firstLineChars="200"/>
        <w:jc w:val="left"/>
        <w:rPr>
          <w:rFonts w:ascii="宋体" w:hAnsi="宋体"/>
          <w:kern w:val="0"/>
          <w:szCs w:val="21"/>
        </w:rPr>
      </w:pPr>
      <w:r>
        <w:rPr>
          <w:rFonts w:hint="eastAsia" w:ascii="宋体" w:hAnsi="宋体"/>
          <w:kern w:val="0"/>
          <w:szCs w:val="21"/>
        </w:rPr>
        <w:t>由于承包人原因在施工场地内及其毗邻地带造成的发包人、监理人以及第三者人员伤亡和财产损失，由承包人负责赔偿。</w:t>
      </w:r>
    </w:p>
    <w:p>
      <w:pPr>
        <w:pStyle w:val="7"/>
        <w:spacing w:before="0" w:beforeAutospacing="0" w:after="0" w:afterAutospacing="0" w:line="360" w:lineRule="auto"/>
        <w:ind w:firstLine="422" w:firstLineChars="200"/>
        <w:rPr>
          <w:sz w:val="21"/>
          <w:szCs w:val="21"/>
        </w:rPr>
      </w:pPr>
      <w:bookmarkStart w:id="446" w:name="_Toc532377226"/>
      <w:bookmarkStart w:id="447" w:name="_Toc351203540"/>
      <w:r>
        <w:rPr>
          <w:rFonts w:hint="eastAsia"/>
          <w:sz w:val="21"/>
          <w:szCs w:val="21"/>
        </w:rPr>
        <w:t>6</w:t>
      </w:r>
      <w:bookmarkStart w:id="448" w:name="_Toc337558765"/>
      <w:r>
        <w:rPr>
          <w:rFonts w:hint="eastAsia"/>
          <w:sz w:val="21"/>
          <w:szCs w:val="21"/>
        </w:rPr>
        <w:t>.2 职业健康</w:t>
      </w:r>
      <w:bookmarkEnd w:id="446"/>
      <w:bookmarkEnd w:id="447"/>
    </w:p>
    <w:bookmarkEnd w:id="448"/>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6.2.1 劳动保护</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应按照法律规定安排现场施工人员的劳动和休息时间，保障劳动者的休息时间，并支付合理的报酬和费用。承包人应依法为其履行合同所雇用的人员办理必要的证件、许可、保险和注册等，承包人应督促其分包人为分包人所雇用的人员办理必要的证件、许可、保险和注册等。</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应按照法律规定保障现场施工人员的劳动安全，并提供劳动保护，并应按国家有关劳动保护的规定，采取有效的防止粉尘、降低噪声、控制有害气体和保障高温、高寒、高空作业安全等劳动保护措施。承包人雇佣人员在施工中受到伤害的，承包人应立即采取有效措施进行抢救和治疗。</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承包人应按法律规定安排工作时间，保证其雇佣人员享有休息和休假的权利。因工程施工的特殊需要占用休假日或延长工作时间的，应不超过法律规定的限度，并按法律规定给予补休或付酬。</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6.2.2 生活条件</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承包人应为其履行合同所雇用的人员提供必要的膳宿条件和生活环境；承包人应采取有效措施预防传染病，保证施工人员的健康，并定期对施工现场、施工人员生活基地和工程进行防疫和卫生的专业检查和处理， 在远离城镇的施工场地，还应配备必要的伤病防治和急救的医务人员与医疗设施。</w:t>
      </w:r>
    </w:p>
    <w:p>
      <w:pPr>
        <w:pStyle w:val="7"/>
        <w:spacing w:before="0" w:beforeAutospacing="0" w:after="0" w:afterAutospacing="0" w:line="360" w:lineRule="auto"/>
        <w:ind w:firstLine="422" w:firstLineChars="200"/>
        <w:rPr>
          <w:sz w:val="21"/>
          <w:szCs w:val="21"/>
        </w:rPr>
      </w:pPr>
      <w:bookmarkStart w:id="449" w:name="_Toc532377227"/>
      <w:bookmarkStart w:id="450" w:name="_Toc351203541"/>
      <w:r>
        <w:rPr>
          <w:rFonts w:hint="eastAsia"/>
          <w:sz w:val="21"/>
          <w:szCs w:val="21"/>
        </w:rPr>
        <w:t>6</w:t>
      </w:r>
      <w:bookmarkStart w:id="451" w:name="_Toc337558766"/>
      <w:r>
        <w:rPr>
          <w:rFonts w:hint="eastAsia"/>
          <w:sz w:val="21"/>
          <w:szCs w:val="21"/>
        </w:rPr>
        <w:t>.3 环境保护</w:t>
      </w:r>
      <w:bookmarkEnd w:id="449"/>
      <w:bookmarkEnd w:id="450"/>
    </w:p>
    <w:bookmarkEnd w:id="451"/>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承包人应在施工组织设计中列明环境保护的具体措施。在合同履行期间，承包人应采取合理措施保护施工现场环境。对施工作业过程中可能引起的大气、水、噪音以及固体废物污染采取具体可行的防范措施。</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承包人应当承担因其原因引起的环境污染侵权损害赔偿责任，因上述环境污染引起纠纷而导致暂停施工的，由此增加的费用和（或）延误的工期由承包人承担。</w:t>
      </w:r>
    </w:p>
    <w:p>
      <w:pPr>
        <w:pStyle w:val="6"/>
        <w:spacing w:before="156" w:beforeLines="50" w:beforeAutospacing="0" w:after="156" w:afterLines="50" w:afterAutospacing="0" w:line="360" w:lineRule="auto"/>
        <w:jc w:val="both"/>
        <w:rPr>
          <w:bCs w:val="0"/>
          <w:kern w:val="2"/>
          <w:sz w:val="21"/>
          <w:szCs w:val="21"/>
        </w:rPr>
      </w:pPr>
      <w:bookmarkStart w:id="452" w:name="_Toc351203542"/>
      <w:bookmarkStart w:id="453" w:name="_Toc532377228"/>
      <w:bookmarkStart w:id="454" w:name="_Toc532375593"/>
      <w:r>
        <w:rPr>
          <w:rFonts w:hint="eastAsia"/>
          <w:kern w:val="2"/>
          <w:sz w:val="21"/>
          <w:szCs w:val="21"/>
        </w:rPr>
        <w:t>7</w:t>
      </w:r>
      <w:bookmarkStart w:id="455" w:name="_Toc337558767"/>
      <w:r>
        <w:rPr>
          <w:rFonts w:hint="eastAsia"/>
          <w:kern w:val="2"/>
          <w:sz w:val="21"/>
          <w:szCs w:val="21"/>
        </w:rPr>
        <w:t>. 工期和进度</w:t>
      </w:r>
      <w:bookmarkEnd w:id="452"/>
      <w:bookmarkEnd w:id="453"/>
      <w:bookmarkEnd w:id="454"/>
    </w:p>
    <w:bookmarkEnd w:id="455"/>
    <w:p>
      <w:pPr>
        <w:pStyle w:val="7"/>
        <w:spacing w:before="0" w:beforeAutospacing="0" w:after="0" w:afterAutospacing="0" w:line="360" w:lineRule="auto"/>
        <w:ind w:firstLine="422" w:firstLineChars="200"/>
        <w:rPr>
          <w:sz w:val="21"/>
          <w:szCs w:val="21"/>
        </w:rPr>
      </w:pPr>
      <w:bookmarkStart w:id="456" w:name="_Toc351203543"/>
      <w:bookmarkStart w:id="457" w:name="_Toc532377229"/>
      <w:r>
        <w:rPr>
          <w:rFonts w:hint="eastAsia"/>
          <w:sz w:val="21"/>
          <w:szCs w:val="21"/>
        </w:rPr>
        <w:t>7</w:t>
      </w:r>
      <w:bookmarkStart w:id="458" w:name="_Toc337558768"/>
      <w:bookmarkStart w:id="459" w:name="_Toc296346567"/>
      <w:bookmarkStart w:id="460" w:name="_Toc296503066"/>
      <w:r>
        <w:rPr>
          <w:rFonts w:hint="eastAsia"/>
          <w:sz w:val="21"/>
          <w:szCs w:val="21"/>
        </w:rPr>
        <w:t>.1施工组织设计</w:t>
      </w:r>
      <w:bookmarkEnd w:id="456"/>
      <w:bookmarkEnd w:id="457"/>
    </w:p>
    <w:bookmarkEnd w:id="458"/>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7.1.1 施工组织设计的内容</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施工组织设计应包含以下内容：</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 xml:space="preserve">（1）施工方案； </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（2）施工现场平面布置图；</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 xml:space="preserve">（3）施工进度计划和保证措施； </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（4）劳动力及材料供应计划；</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（5）施工机械设备的选用；</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（6）质量保证体系及措施；</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（7）安全生产、文明施工措施；</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（8）环境保护、成本控制措施；</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（9）合同当事人约定的其他内容。</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7.1.2 施工组织设计的提交和修改</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承包人应在合同签订后14天内，但至迟不得晚于第7.3.2项〔开工通知〕载明的开工日期前7天，向监理人提交详细的施工组织设计，并由监理人报送发包人。除专用合同条款另有约定外，发包人和监理人应在监理人收到施工组织设计后7天内确认或提出修改意见。对发包人和监理人提出的合理意见和要求，承包人应自费修改完善。根据工程实际情况需要修改施工组织设计的，承包人应向发包人和监理人提交修改后的施工组织设计。</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施工进度计划的编制和修改按照第7.2款〔施工进度计划〕执行。</w:t>
      </w:r>
    </w:p>
    <w:p>
      <w:pPr>
        <w:pStyle w:val="7"/>
        <w:spacing w:before="0" w:beforeAutospacing="0" w:after="0" w:afterAutospacing="0" w:line="360" w:lineRule="auto"/>
        <w:ind w:firstLine="422" w:firstLineChars="200"/>
        <w:rPr>
          <w:sz w:val="21"/>
          <w:szCs w:val="21"/>
        </w:rPr>
      </w:pPr>
      <w:bookmarkStart w:id="461" w:name="_Toc351203544"/>
      <w:bookmarkStart w:id="462" w:name="_Toc532377230"/>
      <w:r>
        <w:rPr>
          <w:rFonts w:hint="eastAsia"/>
          <w:sz w:val="21"/>
          <w:szCs w:val="21"/>
        </w:rPr>
        <w:t>7</w:t>
      </w:r>
      <w:bookmarkStart w:id="463" w:name="_Toc337558769"/>
      <w:r>
        <w:rPr>
          <w:rFonts w:hint="eastAsia"/>
          <w:sz w:val="21"/>
          <w:szCs w:val="21"/>
        </w:rPr>
        <w:t>.2 施工进度计划</w:t>
      </w:r>
      <w:bookmarkEnd w:id="461"/>
      <w:bookmarkEnd w:id="462"/>
    </w:p>
    <w:bookmarkEnd w:id="463"/>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7.2.1 施工进度计划的编制</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应按照第7.1款〔施工组织设计〕约定提交详细的施工进度计划，施工进度计划的编制应当符合国家法律规定和一般工程实践惯例，施工进度计划经发包人批准后实施。施工进度计划是控制工程进度的依据，发包人和监理人有权按照施工进度计划检查工程进度情况。</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7.2.2 施工进度计划的修订</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施工进度计划不符合合同要求或与工程的实际进度不一致的，承包人应向监理人提交修订的施工进度计划，并附具有关措施和相关资料，由监理人报送发包人。除专用合同条款另有约定外，发包人和监理人应在收到修订的施工进度计划后7天内完成审核和批准或提出修改意见。发包人和监理人对承包人提交的施工进度计划的确认，不能减轻或免除承包人根据法律规定和合同约定应承担的任何责任或义务。</w:t>
      </w:r>
    </w:p>
    <w:p>
      <w:pPr>
        <w:pStyle w:val="7"/>
        <w:spacing w:before="0" w:beforeAutospacing="0" w:after="0" w:afterAutospacing="0" w:line="360" w:lineRule="auto"/>
        <w:ind w:firstLine="422" w:firstLineChars="200"/>
        <w:rPr>
          <w:sz w:val="21"/>
          <w:szCs w:val="21"/>
        </w:rPr>
      </w:pPr>
      <w:bookmarkStart w:id="464" w:name="_Toc532377231"/>
      <w:bookmarkStart w:id="465" w:name="_Toc351203545"/>
      <w:r>
        <w:rPr>
          <w:rFonts w:hint="eastAsia"/>
          <w:sz w:val="21"/>
          <w:szCs w:val="21"/>
        </w:rPr>
        <w:t>7</w:t>
      </w:r>
      <w:bookmarkStart w:id="466" w:name="_Toc337558770"/>
      <w:r>
        <w:rPr>
          <w:rFonts w:hint="eastAsia"/>
          <w:sz w:val="21"/>
          <w:szCs w:val="21"/>
        </w:rPr>
        <w:t>.3 开工</w:t>
      </w:r>
      <w:bookmarkEnd w:id="464"/>
      <w:bookmarkEnd w:id="465"/>
    </w:p>
    <w:p>
      <w:pPr>
        <w:spacing w:line="360" w:lineRule="auto"/>
        <w:ind w:firstLine="420" w:firstLineChars="200"/>
        <w:jc w:val="left"/>
        <w:rPr>
          <w:rFonts w:ascii="宋体" w:hAnsi="宋体"/>
          <w:kern w:val="0"/>
          <w:szCs w:val="21"/>
        </w:rPr>
      </w:pPr>
      <w:r>
        <w:rPr>
          <w:rFonts w:hint="eastAsia" w:ascii="宋体" w:hAnsi="宋体"/>
          <w:kern w:val="0"/>
          <w:szCs w:val="21"/>
        </w:rPr>
        <w:t>7.3.1 开工准备</w:t>
      </w:r>
    </w:p>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承包人应按照第7.1款〔施工组织设计〕约定的期限，向监理人提交工程开工报审表，经监理人报发包人批准后执行。开工报审表应详细说明按施工进度计划正常施工所需的施工道路、临时设施、材料、工程设备、施工设备、施工人员等落实情况以及工程的进度安排。</w:t>
      </w:r>
    </w:p>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除专用合同条款另有约定外，合同当事人应按约定完成开工准备工作。</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7.3.2 开工通知</w:t>
      </w:r>
    </w:p>
    <w:bookmarkEnd w:id="466"/>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发包人应按照法律规定获得工程施工所需的许可。经发包人同意后，监理人发出的开工通知应符合法律规定。监理人应在计划开工日期7天前向承包人发出开工通知，工期自开工通知中载明的开工日期起算。</w:t>
      </w:r>
    </w:p>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因发包人原因造成监理人未能在计划开工日期之日起90天内发出开工通知的，承包人有权提出价格调整要求，或者解除合同。发包人应当承担由此增加的费用和（或）延误的工期，并向承包人支付合理利润。</w:t>
      </w:r>
    </w:p>
    <w:p>
      <w:pPr>
        <w:pStyle w:val="7"/>
        <w:spacing w:before="0" w:beforeAutospacing="0" w:after="0" w:afterAutospacing="0" w:line="360" w:lineRule="auto"/>
        <w:ind w:firstLine="422" w:firstLineChars="200"/>
        <w:rPr>
          <w:sz w:val="21"/>
          <w:szCs w:val="21"/>
        </w:rPr>
      </w:pPr>
      <w:bookmarkStart w:id="467" w:name="_Toc532377232"/>
      <w:bookmarkStart w:id="468" w:name="_Toc351203546"/>
      <w:r>
        <w:rPr>
          <w:rFonts w:hint="eastAsia"/>
          <w:sz w:val="21"/>
          <w:szCs w:val="21"/>
        </w:rPr>
        <w:t>7.4测量放线</w:t>
      </w:r>
      <w:bookmarkEnd w:id="467"/>
      <w:bookmarkEnd w:id="468"/>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7.4.1 除专用合同条款另有约定外，发包人应在至迟不得晚于第7.3.2项〔开工通知〕载明的开工日期前7天通过监理人向承包人提供测量基准点、基准线和水准点及其书面资料。发包人应对其提供的测量基准点、基准线和水准点及其书面资料的真实性、准确性和完整性负责。</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发现发包人提供的测量基准点、基准线和水准点及其书面资料存在错误或疏漏的，应及时通知监理人。监理人应及时报告发包人，并会同发包人和承包人予以核实。发包人应就如何处理和是否继续施工作出决定，并通知监理人和承包人。</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7.4.2 承包人负责施工过程中的全部施工测量放线工作，并配置具有相应资质的人员、合格的仪器、设备和其他物品。承包人应矫正工程的位置、标高、尺寸或准线中出现的任何差错，并对工程各部分的定位负责。</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施工过程中对施工现场内水准点等测量标志物的保护工作由承包人负责。</w:t>
      </w:r>
      <w:bookmarkStart w:id="469" w:name="_Toc351203547"/>
    </w:p>
    <w:p>
      <w:pPr>
        <w:pStyle w:val="7"/>
        <w:spacing w:before="0" w:beforeAutospacing="0" w:after="0" w:afterAutospacing="0" w:line="360" w:lineRule="auto"/>
        <w:ind w:firstLine="422" w:firstLineChars="200"/>
        <w:rPr>
          <w:sz w:val="21"/>
          <w:szCs w:val="21"/>
        </w:rPr>
      </w:pPr>
      <w:bookmarkStart w:id="470" w:name="_Toc532377233"/>
      <w:r>
        <w:rPr>
          <w:rFonts w:hint="eastAsia"/>
          <w:sz w:val="21"/>
          <w:szCs w:val="21"/>
        </w:rPr>
        <w:t>7</w:t>
      </w:r>
      <w:bookmarkEnd w:id="459"/>
      <w:bookmarkEnd w:id="460"/>
      <w:bookmarkStart w:id="471" w:name="_Toc296503073"/>
      <w:bookmarkStart w:id="472" w:name="_Toc296346574"/>
      <w:bookmarkStart w:id="473" w:name="_Toc337558772"/>
      <w:r>
        <w:rPr>
          <w:rFonts w:hint="eastAsia"/>
          <w:sz w:val="21"/>
          <w:szCs w:val="21"/>
        </w:rPr>
        <w:t>.5 工期延误</w:t>
      </w:r>
      <w:bookmarkEnd w:id="469"/>
      <w:bookmarkEnd w:id="470"/>
    </w:p>
    <w:bookmarkEnd w:id="471"/>
    <w:bookmarkEnd w:id="472"/>
    <w:bookmarkEnd w:id="473"/>
    <w:p>
      <w:pPr>
        <w:spacing w:line="360" w:lineRule="auto"/>
        <w:ind w:firstLine="420" w:firstLineChars="200"/>
        <w:jc w:val="left"/>
        <w:rPr>
          <w:rFonts w:ascii="宋体" w:hAnsi="宋体"/>
          <w:kern w:val="0"/>
          <w:szCs w:val="21"/>
        </w:rPr>
      </w:pPr>
      <w:r>
        <w:rPr>
          <w:rFonts w:hint="eastAsia" w:ascii="宋体" w:hAnsi="宋体"/>
          <w:kern w:val="0"/>
          <w:szCs w:val="21"/>
        </w:rPr>
        <w:t>7.5.1 因发包人原因导致工期延误</w:t>
      </w:r>
    </w:p>
    <w:p>
      <w:pPr>
        <w:spacing w:line="360" w:lineRule="auto"/>
        <w:ind w:firstLine="420" w:firstLineChars="200"/>
        <w:jc w:val="left"/>
        <w:rPr>
          <w:rFonts w:ascii="宋体" w:hAnsi="宋体"/>
          <w:kern w:val="0"/>
          <w:szCs w:val="21"/>
        </w:rPr>
      </w:pPr>
      <w:r>
        <w:rPr>
          <w:rFonts w:hint="eastAsia" w:ascii="宋体" w:hAnsi="宋体"/>
          <w:kern w:val="0"/>
          <w:szCs w:val="21"/>
        </w:rPr>
        <w:t xml:space="preserve">在合同履行过程中，因下列情况导致工期延误和（或）费用增加的，由发包人承担由此延误的工期和（或）增加的费用，且发包人应支付承包人合理的利润： </w:t>
      </w:r>
    </w:p>
    <w:p>
      <w:pPr>
        <w:spacing w:line="360" w:lineRule="auto"/>
        <w:ind w:firstLine="420" w:firstLineChars="200"/>
        <w:jc w:val="left"/>
        <w:rPr>
          <w:rFonts w:ascii="宋体" w:hAnsi="宋体"/>
          <w:kern w:val="0"/>
          <w:szCs w:val="21"/>
        </w:rPr>
      </w:pPr>
      <w:r>
        <w:rPr>
          <w:rFonts w:hint="eastAsia" w:ascii="宋体" w:hAnsi="宋体"/>
          <w:kern w:val="0"/>
          <w:szCs w:val="21"/>
        </w:rPr>
        <w:t>（1）发包人未能按合同约定提供图纸或所提供图纸不符合合同约定的；</w:t>
      </w:r>
    </w:p>
    <w:p>
      <w:pPr>
        <w:spacing w:line="360" w:lineRule="auto"/>
        <w:ind w:firstLine="420" w:firstLineChars="200"/>
        <w:jc w:val="left"/>
        <w:rPr>
          <w:rFonts w:ascii="宋体" w:hAnsi="宋体"/>
          <w:kern w:val="0"/>
          <w:szCs w:val="21"/>
        </w:rPr>
      </w:pPr>
      <w:r>
        <w:rPr>
          <w:rFonts w:hint="eastAsia" w:ascii="宋体" w:hAnsi="宋体"/>
          <w:kern w:val="0"/>
          <w:szCs w:val="21"/>
        </w:rPr>
        <w:t>（2）发包人未能按合同约定提供施工现场、施工条件、基础资料、许可、批准等开工条件的；</w:t>
      </w:r>
    </w:p>
    <w:p>
      <w:pPr>
        <w:spacing w:line="360" w:lineRule="auto"/>
        <w:ind w:firstLine="420" w:firstLineChars="200"/>
        <w:jc w:val="left"/>
        <w:rPr>
          <w:rFonts w:ascii="宋体" w:hAnsi="宋体"/>
          <w:kern w:val="0"/>
          <w:szCs w:val="21"/>
        </w:rPr>
      </w:pPr>
      <w:r>
        <w:rPr>
          <w:rFonts w:hint="eastAsia" w:ascii="宋体" w:hAnsi="宋体"/>
          <w:kern w:val="0"/>
          <w:szCs w:val="21"/>
        </w:rPr>
        <w:t>（3）发包人提供的测量基准点、基准线和水准点及其书面资料存在错误或疏漏的；</w:t>
      </w:r>
    </w:p>
    <w:p>
      <w:pPr>
        <w:spacing w:line="360" w:lineRule="auto"/>
        <w:ind w:firstLine="420" w:firstLineChars="200"/>
        <w:jc w:val="left"/>
        <w:rPr>
          <w:rFonts w:ascii="宋体" w:hAnsi="宋体"/>
          <w:kern w:val="0"/>
          <w:szCs w:val="21"/>
        </w:rPr>
      </w:pPr>
      <w:r>
        <w:rPr>
          <w:rFonts w:hint="eastAsia" w:ascii="宋体" w:hAnsi="宋体"/>
          <w:kern w:val="0"/>
          <w:szCs w:val="21"/>
        </w:rPr>
        <w:t>（4）发包人未能在计划开工日期之日起7天内同意下达开工通知的；</w:t>
      </w:r>
    </w:p>
    <w:p>
      <w:pPr>
        <w:spacing w:line="360" w:lineRule="auto"/>
        <w:ind w:firstLine="420" w:firstLineChars="200"/>
        <w:jc w:val="left"/>
        <w:rPr>
          <w:rFonts w:ascii="宋体" w:hAnsi="宋体"/>
          <w:kern w:val="0"/>
          <w:szCs w:val="21"/>
        </w:rPr>
      </w:pPr>
      <w:r>
        <w:rPr>
          <w:rFonts w:hint="eastAsia" w:ascii="宋体" w:hAnsi="宋体"/>
          <w:kern w:val="0"/>
          <w:szCs w:val="21"/>
        </w:rPr>
        <w:t>（5）发包人未能按合同约定日期支付工程预付款、进度款或竣工结算款的；</w:t>
      </w:r>
    </w:p>
    <w:p>
      <w:pPr>
        <w:spacing w:line="360" w:lineRule="auto"/>
        <w:ind w:firstLine="420" w:firstLineChars="200"/>
        <w:jc w:val="left"/>
        <w:rPr>
          <w:rFonts w:ascii="宋体" w:hAnsi="宋体"/>
          <w:kern w:val="0"/>
          <w:szCs w:val="21"/>
        </w:rPr>
      </w:pPr>
      <w:r>
        <w:rPr>
          <w:rFonts w:hint="eastAsia" w:ascii="宋体" w:hAnsi="宋体"/>
          <w:kern w:val="0"/>
          <w:szCs w:val="21"/>
        </w:rPr>
        <w:t>（6）监理人未按合同约定发出指示、批准等文件的；</w:t>
      </w:r>
    </w:p>
    <w:p>
      <w:pPr>
        <w:spacing w:line="360" w:lineRule="auto"/>
        <w:ind w:firstLine="420" w:firstLineChars="200"/>
        <w:jc w:val="left"/>
        <w:rPr>
          <w:rFonts w:ascii="宋体" w:hAnsi="宋体"/>
          <w:kern w:val="0"/>
          <w:szCs w:val="21"/>
        </w:rPr>
      </w:pPr>
      <w:r>
        <w:rPr>
          <w:rFonts w:hint="eastAsia" w:ascii="宋体" w:hAnsi="宋体"/>
          <w:kern w:val="0"/>
          <w:szCs w:val="21"/>
        </w:rPr>
        <w:t>（7）专用合同条款中约定的其他情形。</w:t>
      </w:r>
    </w:p>
    <w:p>
      <w:pPr>
        <w:spacing w:line="360" w:lineRule="auto"/>
        <w:ind w:firstLine="420" w:firstLineChars="200"/>
        <w:jc w:val="left"/>
        <w:rPr>
          <w:rFonts w:ascii="宋体" w:hAnsi="宋体"/>
          <w:kern w:val="0"/>
          <w:szCs w:val="21"/>
        </w:rPr>
      </w:pPr>
      <w:r>
        <w:rPr>
          <w:rFonts w:hint="eastAsia" w:ascii="宋体" w:hAnsi="宋体"/>
          <w:kern w:val="0"/>
          <w:szCs w:val="21"/>
        </w:rPr>
        <w:t>因发包人原因未按计划开工日期开工的，发包人应按实际开工日期顺延竣工日期，确保实际工期不低于合同约定的工期总日历天数。因发包人原因导致工期延误需要修订施工进度计划的，按照第7.2.2项〔施工进度计划的修订〕执行。</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7.5.2 因承包人原因导致工期延误</w:t>
      </w:r>
    </w:p>
    <w:p>
      <w:pPr>
        <w:autoSpaceDE w:val="0"/>
        <w:autoSpaceDN w:val="0"/>
        <w:spacing w:line="360" w:lineRule="auto"/>
        <w:ind w:firstLine="420" w:firstLineChars="200"/>
        <w:jc w:val="left"/>
        <w:rPr>
          <w:rFonts w:ascii="宋体" w:hAnsi="宋体"/>
          <w:kern w:val="0"/>
          <w:szCs w:val="21"/>
        </w:rPr>
      </w:pPr>
      <w:bookmarkStart w:id="474" w:name="_Toc296346577"/>
      <w:bookmarkStart w:id="475" w:name="_Toc296503076"/>
      <w:r>
        <w:rPr>
          <w:rFonts w:hint="eastAsia" w:ascii="宋体" w:hAnsi="宋体"/>
          <w:kern w:val="0"/>
          <w:szCs w:val="21"/>
        </w:rPr>
        <w:t>因</w:t>
      </w:r>
      <w:bookmarkEnd w:id="474"/>
      <w:bookmarkEnd w:id="475"/>
      <w:r>
        <w:rPr>
          <w:rFonts w:hint="eastAsia" w:ascii="宋体" w:hAnsi="宋体"/>
          <w:kern w:val="0"/>
          <w:szCs w:val="21"/>
        </w:rPr>
        <w:t>承包人原因造成工期延误的，可以在专用合同条款中约定逾期竣工违约金的计算方法和逾期竣工违约金的上限。承包人支付逾期竣工违约金后，不免除承包人继续完成工程及修补缺陷的义务。</w:t>
      </w:r>
    </w:p>
    <w:p>
      <w:pPr>
        <w:pStyle w:val="7"/>
        <w:spacing w:before="0" w:beforeAutospacing="0" w:after="0" w:afterAutospacing="0" w:line="360" w:lineRule="auto"/>
        <w:ind w:firstLine="422" w:firstLineChars="200"/>
        <w:rPr>
          <w:sz w:val="21"/>
          <w:szCs w:val="21"/>
        </w:rPr>
      </w:pPr>
      <w:bookmarkStart w:id="476" w:name="_Toc351203548"/>
      <w:bookmarkStart w:id="477" w:name="_Toc532377234"/>
      <w:r>
        <w:rPr>
          <w:rFonts w:hint="eastAsia"/>
          <w:sz w:val="21"/>
          <w:szCs w:val="21"/>
        </w:rPr>
        <w:t>7</w:t>
      </w:r>
      <w:bookmarkStart w:id="478" w:name="_Toc337558773"/>
      <w:bookmarkStart w:id="479" w:name="_Toc296503074"/>
      <w:bookmarkStart w:id="480" w:name="_Toc296346575"/>
      <w:bookmarkStart w:id="481" w:name="_Toc296346578"/>
      <w:bookmarkStart w:id="482" w:name="_Toc296503077"/>
      <w:r>
        <w:rPr>
          <w:rFonts w:hint="eastAsia"/>
          <w:sz w:val="21"/>
          <w:szCs w:val="21"/>
        </w:rPr>
        <w:t>.6 不利物质条件</w:t>
      </w:r>
      <w:bookmarkEnd w:id="476"/>
      <w:bookmarkEnd w:id="477"/>
    </w:p>
    <w:bookmarkEnd w:id="478"/>
    <w:bookmarkEnd w:id="479"/>
    <w:bookmarkEnd w:id="480"/>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不利物质条件是指有经验的承包人在施工现场遇到的不可预见的自然物质条件、非自然的物质障碍和污染物，包括地表以下物质条件和水文条件以及专用合同条款约定的其他情形，但不包括气候条件。</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遇到不利物质条件时，应采取克服不利物质条件的合理措施继续施工，并及时通知发包人和监理人。通知应载明不利物质条件的内容以及承包人认为不可预见的理由。监理人经发包人同意后应当及时发出指示，指示构成变更的，按第10条〔变更〕约定执行。承包人因采取合理措施而增加的费用和（或）延误的工期由发包人承担。</w:t>
      </w:r>
    </w:p>
    <w:p>
      <w:pPr>
        <w:pStyle w:val="7"/>
        <w:spacing w:before="0" w:beforeAutospacing="0" w:after="0" w:afterAutospacing="0" w:line="360" w:lineRule="auto"/>
        <w:ind w:firstLine="422" w:firstLineChars="200"/>
        <w:rPr>
          <w:sz w:val="21"/>
          <w:szCs w:val="21"/>
        </w:rPr>
      </w:pPr>
      <w:bookmarkStart w:id="483" w:name="_Toc532377235"/>
      <w:bookmarkStart w:id="484" w:name="_Toc351203549"/>
      <w:r>
        <w:rPr>
          <w:rFonts w:hint="eastAsia"/>
          <w:sz w:val="21"/>
          <w:szCs w:val="21"/>
        </w:rPr>
        <w:t>7</w:t>
      </w:r>
      <w:bookmarkStart w:id="485" w:name="_Toc296503075"/>
      <w:bookmarkStart w:id="486" w:name="_Toc296346576"/>
      <w:bookmarkStart w:id="487" w:name="_Toc337558774"/>
      <w:r>
        <w:rPr>
          <w:rFonts w:hint="eastAsia"/>
          <w:sz w:val="21"/>
          <w:szCs w:val="21"/>
        </w:rPr>
        <w:t>.7 异常恶劣的气候条件</w:t>
      </w:r>
      <w:bookmarkEnd w:id="483"/>
      <w:bookmarkEnd w:id="484"/>
    </w:p>
    <w:bookmarkEnd w:id="485"/>
    <w:bookmarkEnd w:id="486"/>
    <w:bookmarkEnd w:id="487"/>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异常恶劣的气候条件是指在施工过程中遇到的，有经验的承包人在签订合同时不可预见的，对合同履行造成实质性影响的，但尚未构成不可抗力事件的恶劣气候条件。合同当事人可以在专用合同条款中约定异常恶劣的气候条件的具体情形。</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应采取克服异常恶劣的气候条件的合理措施继续施工，并及时通知发包人和监理人。监理人经发包人同意后应当及时发出指示，指示构成变更的，按第10条〔变更〕约定办理。承包人因采取合理措施而增加的费用和（或）延误的工期由发包人承担。</w:t>
      </w:r>
      <w:bookmarkStart w:id="488" w:name="_Toc351203550"/>
    </w:p>
    <w:p>
      <w:pPr>
        <w:pStyle w:val="7"/>
        <w:spacing w:before="0" w:beforeAutospacing="0" w:after="0" w:afterAutospacing="0" w:line="360" w:lineRule="auto"/>
        <w:ind w:firstLine="422" w:firstLineChars="200"/>
        <w:rPr>
          <w:sz w:val="21"/>
          <w:szCs w:val="21"/>
        </w:rPr>
      </w:pPr>
      <w:bookmarkStart w:id="489" w:name="_Toc532377236"/>
      <w:r>
        <w:rPr>
          <w:rFonts w:hint="eastAsia"/>
          <w:sz w:val="21"/>
          <w:szCs w:val="21"/>
        </w:rPr>
        <w:t>7</w:t>
      </w:r>
      <w:bookmarkStart w:id="490" w:name="_Toc337558775"/>
      <w:r>
        <w:rPr>
          <w:rFonts w:hint="eastAsia"/>
          <w:sz w:val="21"/>
          <w:szCs w:val="21"/>
        </w:rPr>
        <w:t>.8 暂停施工</w:t>
      </w:r>
      <w:bookmarkEnd w:id="488"/>
      <w:bookmarkEnd w:id="489"/>
    </w:p>
    <w:bookmarkEnd w:id="481"/>
    <w:bookmarkEnd w:id="482"/>
    <w:bookmarkEnd w:id="490"/>
    <w:p>
      <w:pPr>
        <w:spacing w:line="360" w:lineRule="auto"/>
        <w:ind w:firstLine="420" w:firstLineChars="200"/>
        <w:jc w:val="left"/>
        <w:rPr>
          <w:rFonts w:ascii="宋体" w:hAnsi="宋体"/>
          <w:kern w:val="0"/>
          <w:szCs w:val="21"/>
        </w:rPr>
      </w:pPr>
      <w:r>
        <w:rPr>
          <w:rFonts w:hint="eastAsia" w:ascii="宋体" w:hAnsi="宋体"/>
          <w:kern w:val="0"/>
          <w:szCs w:val="21"/>
        </w:rPr>
        <w:t>7.8.1发包人原因引起的暂停施工</w:t>
      </w:r>
    </w:p>
    <w:p>
      <w:pPr>
        <w:spacing w:line="360" w:lineRule="auto"/>
        <w:ind w:firstLine="420" w:firstLineChars="200"/>
        <w:jc w:val="left"/>
        <w:rPr>
          <w:rFonts w:ascii="宋体" w:hAnsi="宋体"/>
          <w:kern w:val="0"/>
          <w:szCs w:val="21"/>
        </w:rPr>
      </w:pPr>
      <w:r>
        <w:rPr>
          <w:rFonts w:hint="eastAsia" w:ascii="宋体" w:hAnsi="宋体"/>
          <w:kern w:val="0"/>
          <w:szCs w:val="21"/>
        </w:rPr>
        <w:t>因发包人原因引起暂停施工的，监理人经发包人同意后，应及时下达暂停施工指示。情况紧急且监理人未及时下达暂停施工指示的，按照第7.8.4项〔紧急情况下的暂停施工〕执行。</w:t>
      </w:r>
    </w:p>
    <w:p>
      <w:pPr>
        <w:spacing w:line="360" w:lineRule="auto"/>
        <w:ind w:firstLine="420" w:firstLineChars="200"/>
        <w:jc w:val="left"/>
        <w:rPr>
          <w:rFonts w:ascii="宋体" w:hAnsi="宋体"/>
          <w:kern w:val="0"/>
          <w:szCs w:val="21"/>
        </w:rPr>
      </w:pPr>
      <w:r>
        <w:rPr>
          <w:rFonts w:hint="eastAsia" w:ascii="宋体" w:hAnsi="宋体"/>
          <w:kern w:val="0"/>
          <w:szCs w:val="21"/>
        </w:rPr>
        <w:t>因发包人原因引起的暂停施工，发包人应承担由此增加的费用和（或）延误的工期，并支付承包人合理的利润。</w:t>
      </w:r>
    </w:p>
    <w:p>
      <w:pPr>
        <w:spacing w:line="360" w:lineRule="auto"/>
        <w:ind w:firstLine="420" w:firstLineChars="200"/>
        <w:jc w:val="left"/>
        <w:rPr>
          <w:rFonts w:ascii="宋体" w:hAnsi="宋体"/>
          <w:kern w:val="0"/>
          <w:szCs w:val="21"/>
        </w:rPr>
      </w:pPr>
      <w:r>
        <w:rPr>
          <w:rFonts w:hint="eastAsia" w:ascii="宋体" w:hAnsi="宋体"/>
          <w:kern w:val="0"/>
          <w:szCs w:val="21"/>
        </w:rPr>
        <w:t>7.8.2 承包人原因引起的暂停施工</w:t>
      </w:r>
    </w:p>
    <w:p>
      <w:pPr>
        <w:spacing w:line="360" w:lineRule="auto"/>
        <w:ind w:firstLine="420" w:firstLineChars="200"/>
        <w:jc w:val="left"/>
        <w:rPr>
          <w:rFonts w:ascii="宋体" w:hAnsi="宋体"/>
          <w:kern w:val="0"/>
          <w:szCs w:val="21"/>
        </w:rPr>
      </w:pPr>
      <w:r>
        <w:rPr>
          <w:rFonts w:hint="eastAsia" w:ascii="宋体" w:hAnsi="宋体"/>
          <w:kern w:val="0"/>
          <w:szCs w:val="21"/>
        </w:rPr>
        <w:t>因承包人原因引起的暂停施工，承包人应承担由此增加的费用和（或）延误的工期，且承包人在收到监理人复工指示后84天内仍未复工的，视为第16.2.1项〔承包人违约的情形〕第（7）目约定的承包人无法继续履行合同的情形。</w:t>
      </w:r>
    </w:p>
    <w:p>
      <w:pPr>
        <w:spacing w:line="360" w:lineRule="auto"/>
        <w:ind w:firstLine="420" w:firstLineChars="200"/>
        <w:jc w:val="left"/>
        <w:rPr>
          <w:rFonts w:ascii="宋体" w:hAnsi="宋体"/>
          <w:kern w:val="0"/>
          <w:szCs w:val="21"/>
        </w:rPr>
      </w:pPr>
      <w:r>
        <w:rPr>
          <w:rFonts w:hint="eastAsia" w:ascii="宋体" w:hAnsi="宋体"/>
          <w:kern w:val="0"/>
          <w:szCs w:val="21"/>
        </w:rPr>
        <w:t>7.8.3 指示暂停施工</w:t>
      </w:r>
    </w:p>
    <w:p>
      <w:pPr>
        <w:spacing w:line="360" w:lineRule="auto"/>
        <w:ind w:firstLine="420" w:firstLineChars="200"/>
        <w:jc w:val="left"/>
        <w:rPr>
          <w:rFonts w:ascii="宋体" w:hAnsi="宋体"/>
          <w:kern w:val="0"/>
          <w:szCs w:val="21"/>
        </w:rPr>
      </w:pPr>
      <w:r>
        <w:rPr>
          <w:rFonts w:hint="eastAsia" w:ascii="宋体" w:hAnsi="宋体"/>
          <w:kern w:val="0"/>
          <w:szCs w:val="21"/>
        </w:rPr>
        <w:t>监理人认为有必要时，并经发包人批准后，可向承包人作出暂停施工的指示，承包人应按监理人指示暂停施工。</w:t>
      </w:r>
    </w:p>
    <w:p>
      <w:pPr>
        <w:spacing w:line="360" w:lineRule="auto"/>
        <w:ind w:firstLine="420" w:firstLineChars="200"/>
        <w:jc w:val="left"/>
        <w:rPr>
          <w:rFonts w:ascii="宋体" w:hAnsi="宋体"/>
          <w:kern w:val="0"/>
          <w:szCs w:val="21"/>
        </w:rPr>
      </w:pPr>
      <w:r>
        <w:rPr>
          <w:rFonts w:hint="eastAsia" w:ascii="宋体" w:hAnsi="宋体"/>
          <w:kern w:val="0"/>
          <w:szCs w:val="21"/>
        </w:rPr>
        <w:t>7.8.4 紧急情况下的暂停施工</w:t>
      </w:r>
    </w:p>
    <w:p>
      <w:pPr>
        <w:spacing w:line="360" w:lineRule="auto"/>
        <w:ind w:firstLine="420" w:firstLineChars="200"/>
        <w:jc w:val="left"/>
        <w:rPr>
          <w:rFonts w:ascii="宋体" w:hAnsi="宋体"/>
          <w:kern w:val="0"/>
          <w:szCs w:val="21"/>
        </w:rPr>
      </w:pPr>
      <w:r>
        <w:rPr>
          <w:rFonts w:hint="eastAsia" w:ascii="宋体" w:hAnsi="宋体"/>
          <w:kern w:val="0"/>
          <w:szCs w:val="21"/>
        </w:rPr>
        <w:t>因紧急情况需暂停施工，且监理人未及时下达暂停施工指示的，承包人可先暂停施工，并及时通知监理人。监理人应在接到通知后24小时内发出指示，逾期未发出指示，视为同意承包人暂停施工。监理人不同意承包人暂停施工的，应说明理由，承包人对监理人的答复有异议，按照第20条〔争议解决〕约定处理。</w:t>
      </w:r>
    </w:p>
    <w:p>
      <w:pPr>
        <w:spacing w:line="360" w:lineRule="auto"/>
        <w:ind w:firstLine="420" w:firstLineChars="200"/>
        <w:jc w:val="left"/>
        <w:rPr>
          <w:rFonts w:ascii="宋体" w:hAnsi="宋体"/>
          <w:kern w:val="0"/>
          <w:szCs w:val="21"/>
        </w:rPr>
      </w:pPr>
      <w:r>
        <w:rPr>
          <w:rFonts w:hint="eastAsia" w:ascii="宋体" w:hAnsi="宋体"/>
          <w:kern w:val="0"/>
          <w:szCs w:val="21"/>
        </w:rPr>
        <w:t>7.8.5 暂停施工后的复工</w:t>
      </w:r>
    </w:p>
    <w:p>
      <w:pPr>
        <w:spacing w:line="360" w:lineRule="auto"/>
        <w:ind w:firstLine="420" w:firstLineChars="200"/>
        <w:jc w:val="left"/>
        <w:rPr>
          <w:rFonts w:ascii="宋体" w:hAnsi="宋体"/>
          <w:kern w:val="0"/>
          <w:szCs w:val="21"/>
        </w:rPr>
      </w:pPr>
      <w:r>
        <w:rPr>
          <w:rFonts w:hint="eastAsia" w:ascii="宋体" w:hAnsi="宋体"/>
          <w:kern w:val="0"/>
          <w:szCs w:val="21"/>
        </w:rPr>
        <w:t>暂停施工后，发包人和承包人应采取有效措施积极消除暂停施工的影响。在工程复工前，监理人会同发包人和承包人确定因暂停施工造成的损失，并确定工程复工条件。当工程具备复工条件时，监理人应经发包人批准后向承包人发出复工通知，承包人应按照复工通知要求复工。</w:t>
      </w:r>
    </w:p>
    <w:p>
      <w:pPr>
        <w:spacing w:line="360" w:lineRule="auto"/>
        <w:ind w:firstLine="420" w:firstLineChars="200"/>
        <w:jc w:val="left"/>
        <w:rPr>
          <w:rFonts w:ascii="宋体" w:hAnsi="宋体"/>
          <w:kern w:val="0"/>
          <w:szCs w:val="21"/>
        </w:rPr>
      </w:pPr>
      <w:r>
        <w:rPr>
          <w:rFonts w:hint="eastAsia" w:ascii="宋体" w:hAnsi="宋体"/>
          <w:kern w:val="0"/>
          <w:szCs w:val="21"/>
        </w:rPr>
        <w:t>承包人无故拖延和拒绝复工的，承包人承担由此增加的费用和（或）延误的工期；因发包人原因无法按时复工的，按照第7.5.1项〔因发包人原因导致工期延误〕约定办理。</w:t>
      </w:r>
    </w:p>
    <w:p>
      <w:pPr>
        <w:spacing w:line="360" w:lineRule="auto"/>
        <w:ind w:firstLine="420" w:firstLineChars="200"/>
        <w:jc w:val="left"/>
        <w:rPr>
          <w:rFonts w:ascii="宋体" w:hAnsi="宋体"/>
          <w:kern w:val="0"/>
          <w:szCs w:val="21"/>
        </w:rPr>
      </w:pPr>
      <w:r>
        <w:rPr>
          <w:rFonts w:hint="eastAsia" w:ascii="宋体" w:hAnsi="宋体"/>
          <w:kern w:val="0"/>
          <w:szCs w:val="21"/>
        </w:rPr>
        <w:t>7.8.6 暂停施工持续56天以上</w:t>
      </w:r>
    </w:p>
    <w:p>
      <w:pPr>
        <w:spacing w:line="360" w:lineRule="auto"/>
        <w:ind w:firstLine="420" w:firstLineChars="200"/>
        <w:jc w:val="left"/>
        <w:rPr>
          <w:rFonts w:ascii="宋体" w:hAnsi="宋体"/>
          <w:kern w:val="0"/>
          <w:szCs w:val="21"/>
        </w:rPr>
      </w:pPr>
      <w:r>
        <w:rPr>
          <w:rFonts w:hint="eastAsia" w:ascii="宋体" w:hAnsi="宋体"/>
          <w:kern w:val="0"/>
          <w:szCs w:val="21"/>
        </w:rPr>
        <w:t>监理人发出暂停施工指示后56天内未向承包人发出复工通知，除该项停工属于第7.8.2项〔承包人原因引起的暂停施工〕及第17条〔不可抗力〕约定的情形外，承包人可向发包人提交书面通知，要求发包人在收到书面通知后28天内准许已暂停施工的部分或全部工程继续施工。发包人逾期不予批准的，则承包人可以通知发包人，将工程受影响的部分视为按第10.1款〔变更的范围〕第（2）项的可取消工作。</w:t>
      </w:r>
    </w:p>
    <w:p>
      <w:pPr>
        <w:spacing w:line="360" w:lineRule="auto"/>
        <w:ind w:firstLine="420" w:firstLineChars="200"/>
        <w:jc w:val="left"/>
        <w:rPr>
          <w:rFonts w:ascii="宋体" w:hAnsi="宋体"/>
          <w:kern w:val="0"/>
          <w:szCs w:val="21"/>
        </w:rPr>
      </w:pPr>
      <w:r>
        <w:rPr>
          <w:rFonts w:hint="eastAsia" w:ascii="宋体" w:hAnsi="宋体"/>
          <w:kern w:val="0"/>
          <w:szCs w:val="21"/>
        </w:rPr>
        <w:t>暂停施工持续84天以上不复工的，且不属于第7.8.2项〔承包人原因引起的暂停施工〕及第17条〔不可抗力〕约定的情形，并影响到整个工程以及合同目的实现的，承包人有权提出价格调整要求，或者解除合同。解除合同的，按照第16.1.3项〔因发包人违约解除合同〕执行。</w:t>
      </w:r>
    </w:p>
    <w:p>
      <w:pPr>
        <w:spacing w:line="360" w:lineRule="auto"/>
        <w:ind w:firstLine="420" w:firstLineChars="200"/>
        <w:jc w:val="left"/>
        <w:rPr>
          <w:rFonts w:ascii="宋体" w:hAnsi="宋体"/>
          <w:kern w:val="0"/>
          <w:szCs w:val="21"/>
        </w:rPr>
      </w:pPr>
      <w:r>
        <w:rPr>
          <w:rFonts w:hint="eastAsia" w:ascii="宋体" w:hAnsi="宋体"/>
          <w:kern w:val="0"/>
          <w:szCs w:val="21"/>
        </w:rPr>
        <w:t>7.8.7 暂停施工期间的工程照管</w:t>
      </w:r>
    </w:p>
    <w:p>
      <w:pPr>
        <w:spacing w:line="360" w:lineRule="auto"/>
        <w:ind w:firstLine="420" w:firstLineChars="200"/>
        <w:jc w:val="left"/>
        <w:rPr>
          <w:rFonts w:ascii="宋体" w:hAnsi="宋体"/>
          <w:kern w:val="0"/>
          <w:szCs w:val="21"/>
        </w:rPr>
      </w:pPr>
      <w:r>
        <w:rPr>
          <w:rFonts w:hint="eastAsia" w:ascii="宋体" w:hAnsi="宋体"/>
          <w:kern w:val="0"/>
          <w:szCs w:val="21"/>
        </w:rPr>
        <w:t>暂停施工期间，承包人应负责妥善照管工程并提供安全保障，由此增加的费用由责任方承担。</w:t>
      </w:r>
    </w:p>
    <w:p>
      <w:pPr>
        <w:spacing w:line="360" w:lineRule="auto"/>
        <w:ind w:firstLine="420" w:firstLineChars="200"/>
        <w:jc w:val="left"/>
        <w:rPr>
          <w:rFonts w:ascii="宋体" w:hAnsi="宋体"/>
          <w:kern w:val="0"/>
          <w:szCs w:val="21"/>
        </w:rPr>
      </w:pPr>
      <w:r>
        <w:rPr>
          <w:rFonts w:hint="eastAsia" w:ascii="宋体" w:hAnsi="宋体"/>
          <w:kern w:val="0"/>
          <w:szCs w:val="21"/>
        </w:rPr>
        <w:t>7.8.8 暂停施工的措施</w:t>
      </w:r>
    </w:p>
    <w:p>
      <w:pPr>
        <w:spacing w:line="360" w:lineRule="auto"/>
        <w:ind w:firstLine="420" w:firstLineChars="200"/>
        <w:jc w:val="left"/>
        <w:rPr>
          <w:rFonts w:ascii="宋体" w:hAnsi="宋体"/>
          <w:kern w:val="0"/>
          <w:szCs w:val="21"/>
        </w:rPr>
      </w:pPr>
      <w:r>
        <w:rPr>
          <w:rFonts w:hint="eastAsia" w:ascii="宋体" w:hAnsi="宋体"/>
          <w:kern w:val="0"/>
          <w:szCs w:val="21"/>
        </w:rPr>
        <w:t>暂停施工期间，发包人和承包人均应采取必要的措施确保工程质量及安全，防止因暂停施工扩大损失。</w:t>
      </w:r>
    </w:p>
    <w:p>
      <w:pPr>
        <w:pStyle w:val="7"/>
        <w:spacing w:before="0" w:beforeAutospacing="0" w:after="0" w:afterAutospacing="0" w:line="360" w:lineRule="auto"/>
        <w:ind w:firstLine="422" w:firstLineChars="200"/>
        <w:rPr>
          <w:sz w:val="21"/>
          <w:szCs w:val="21"/>
        </w:rPr>
      </w:pPr>
      <w:bookmarkStart w:id="491" w:name="_Toc532377237"/>
      <w:bookmarkStart w:id="492" w:name="_Toc351203551"/>
      <w:r>
        <w:rPr>
          <w:rFonts w:hint="eastAsia"/>
          <w:sz w:val="21"/>
          <w:szCs w:val="21"/>
        </w:rPr>
        <w:t>7.9提前竣工</w:t>
      </w:r>
      <w:bookmarkEnd w:id="491"/>
      <w:bookmarkEnd w:id="492"/>
    </w:p>
    <w:p>
      <w:pPr>
        <w:spacing w:line="360" w:lineRule="auto"/>
        <w:ind w:firstLine="420" w:firstLineChars="200"/>
        <w:jc w:val="left"/>
        <w:rPr>
          <w:rFonts w:ascii="宋体" w:hAnsi="宋体"/>
          <w:kern w:val="0"/>
          <w:szCs w:val="21"/>
        </w:rPr>
      </w:pPr>
      <w:r>
        <w:rPr>
          <w:rFonts w:hint="eastAsia" w:ascii="宋体" w:hAnsi="宋体"/>
          <w:kern w:val="0"/>
          <w:szCs w:val="21"/>
        </w:rPr>
        <w:t>7.9.1 发包人要求承包人提前竣工的，发包人应通过监理人向承包人下达提前竣工指示，承包人应向发包人和监理人提交提前竣工建议书，提前竣工建议书应包括实施的方案、缩短的时间、增加的合同价格等内容。发包人接受该提前竣工建议书的，监理人应与发包人和承包人协商采取加快工程进度的措施，并修订施工进度计划，由此增加的费用由发包人承担。承包人认为提前竣工指示无法执行的，应向监理人和发包人提出书面异议，发包人和监理人应在收到异议后7天内予以答复。任何情况下，发包人不得压缩合理工期。</w:t>
      </w:r>
    </w:p>
    <w:p>
      <w:pPr>
        <w:spacing w:line="360" w:lineRule="auto"/>
        <w:ind w:firstLine="420" w:firstLineChars="200"/>
        <w:jc w:val="left"/>
        <w:rPr>
          <w:rFonts w:ascii="宋体" w:hAnsi="宋体"/>
          <w:kern w:val="0"/>
          <w:szCs w:val="21"/>
        </w:rPr>
      </w:pPr>
      <w:r>
        <w:rPr>
          <w:rFonts w:hint="eastAsia" w:ascii="宋体" w:hAnsi="宋体"/>
          <w:kern w:val="0"/>
          <w:szCs w:val="21"/>
        </w:rPr>
        <w:t>7.9.2 发包人要求承包人提前竣工，或承包人提出提前竣工的建议能够给发包人带来效益的，合同当事人可以在专用合同条款中约定提前竣工的奖励。</w:t>
      </w:r>
    </w:p>
    <w:p>
      <w:pPr>
        <w:pStyle w:val="6"/>
        <w:spacing w:before="156" w:beforeLines="50" w:beforeAutospacing="0" w:after="156" w:afterLines="50" w:afterAutospacing="0" w:line="360" w:lineRule="auto"/>
        <w:jc w:val="both"/>
        <w:rPr>
          <w:bCs w:val="0"/>
          <w:kern w:val="2"/>
          <w:sz w:val="21"/>
          <w:szCs w:val="21"/>
        </w:rPr>
      </w:pPr>
      <w:bookmarkStart w:id="493" w:name="_Toc351203552"/>
      <w:bookmarkStart w:id="494" w:name="_Toc532377238"/>
      <w:bookmarkStart w:id="495" w:name="_Toc532375594"/>
      <w:r>
        <w:rPr>
          <w:rFonts w:hint="eastAsia"/>
          <w:kern w:val="2"/>
          <w:sz w:val="21"/>
          <w:szCs w:val="21"/>
        </w:rPr>
        <w:t>8</w:t>
      </w:r>
      <w:bookmarkStart w:id="496" w:name="_Toc296503058"/>
      <w:bookmarkStart w:id="497" w:name="_Toc296346559"/>
      <w:bookmarkStart w:id="498" w:name="_Toc337558776"/>
      <w:r>
        <w:rPr>
          <w:rFonts w:hint="eastAsia"/>
          <w:kern w:val="2"/>
          <w:sz w:val="21"/>
          <w:szCs w:val="21"/>
        </w:rPr>
        <w:t>. 材料与设备</w:t>
      </w:r>
      <w:bookmarkEnd w:id="493"/>
      <w:bookmarkEnd w:id="494"/>
      <w:bookmarkEnd w:id="495"/>
    </w:p>
    <w:bookmarkEnd w:id="496"/>
    <w:bookmarkEnd w:id="497"/>
    <w:bookmarkEnd w:id="498"/>
    <w:p>
      <w:pPr>
        <w:pStyle w:val="7"/>
        <w:spacing w:before="0" w:beforeAutospacing="0" w:after="0" w:afterAutospacing="0" w:line="360" w:lineRule="auto"/>
        <w:ind w:firstLine="422" w:firstLineChars="200"/>
        <w:rPr>
          <w:sz w:val="21"/>
          <w:szCs w:val="21"/>
        </w:rPr>
      </w:pPr>
      <w:bookmarkStart w:id="499" w:name="_Toc532377239"/>
      <w:bookmarkStart w:id="500" w:name="_Toc351203553"/>
      <w:r>
        <w:rPr>
          <w:rFonts w:hint="eastAsia"/>
          <w:sz w:val="21"/>
          <w:szCs w:val="21"/>
        </w:rPr>
        <w:t>8</w:t>
      </w:r>
      <w:bookmarkStart w:id="501" w:name="_Toc337558777"/>
      <w:bookmarkStart w:id="502" w:name="_Toc296346560"/>
      <w:bookmarkStart w:id="503" w:name="_Toc296503059"/>
      <w:bookmarkStart w:id="504" w:name="_Toc468936960"/>
      <w:r>
        <w:rPr>
          <w:rFonts w:hint="eastAsia"/>
          <w:sz w:val="21"/>
          <w:szCs w:val="21"/>
        </w:rPr>
        <w:t>.1发包人供应材料与工程设备</w:t>
      </w:r>
      <w:bookmarkEnd w:id="499"/>
      <w:bookmarkEnd w:id="500"/>
    </w:p>
    <w:bookmarkEnd w:id="501"/>
    <w:bookmarkEnd w:id="502"/>
    <w:bookmarkEnd w:id="503"/>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发包人自行供应材料、工程设备的，应在签订合同时在专用合同条款的附件《发包人供应材料设备一览表》中明确材料、工程设备的品种、规格、型号、数量、单价、质量等级和送达地点。</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应提前30天通过监理人以书面形式通知发包人供应材料与工程设备进场。承包人按照第7.2.2项〔施工进度计划的修订〕约定修订施工进度计划时，需同时提交经修订后的发包人供应材料与工程设备的进场计划。</w:t>
      </w:r>
    </w:p>
    <w:p>
      <w:pPr>
        <w:pStyle w:val="7"/>
        <w:spacing w:before="0" w:beforeAutospacing="0" w:after="0" w:afterAutospacing="0" w:line="360" w:lineRule="auto"/>
        <w:ind w:firstLine="422" w:firstLineChars="200"/>
        <w:rPr>
          <w:sz w:val="21"/>
          <w:szCs w:val="21"/>
        </w:rPr>
      </w:pPr>
      <w:bookmarkStart w:id="505" w:name="_Toc532377240"/>
      <w:r>
        <w:rPr>
          <w:rFonts w:hint="eastAsia"/>
          <w:sz w:val="21"/>
          <w:szCs w:val="21"/>
        </w:rPr>
        <w:t>8.2承包人采购材料与工程设备</w:t>
      </w:r>
      <w:bookmarkEnd w:id="505"/>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负责采购材料、工程设备的，应按照设计和有关标准要求采购，并提供产品合格证明及出厂证明，对材料、工程设备质量负责。合同约定由承包人采购的材料、工程设备，发包人不得指定生产厂家或供应商，发包人违反本款约定指定生产厂家或供应商的，承包人有权拒绝，并由发包人承担相应责任。</w:t>
      </w:r>
    </w:p>
    <w:p>
      <w:pPr>
        <w:pStyle w:val="7"/>
        <w:spacing w:before="0" w:beforeAutospacing="0" w:after="0" w:afterAutospacing="0" w:line="360" w:lineRule="auto"/>
        <w:ind w:firstLine="422" w:firstLineChars="200"/>
        <w:rPr>
          <w:sz w:val="21"/>
          <w:szCs w:val="21"/>
        </w:rPr>
      </w:pPr>
      <w:bookmarkStart w:id="506" w:name="_Toc532377241"/>
      <w:bookmarkStart w:id="507" w:name="_Toc351203555"/>
      <w:r>
        <w:rPr>
          <w:rFonts w:hint="eastAsia"/>
          <w:sz w:val="21"/>
          <w:szCs w:val="21"/>
        </w:rPr>
        <w:t>8</w:t>
      </w:r>
      <w:bookmarkStart w:id="508" w:name="_Toc296346562"/>
      <w:bookmarkStart w:id="509" w:name="_Toc337558779"/>
      <w:bookmarkStart w:id="510" w:name="_Toc296503061"/>
      <w:r>
        <w:rPr>
          <w:rFonts w:hint="eastAsia"/>
          <w:sz w:val="21"/>
          <w:szCs w:val="21"/>
        </w:rPr>
        <w:t>.3材料与工程设备的接收与拒收</w:t>
      </w:r>
      <w:bookmarkEnd w:id="506"/>
      <w:bookmarkEnd w:id="507"/>
    </w:p>
    <w:bookmarkEnd w:id="508"/>
    <w:bookmarkEnd w:id="509"/>
    <w:bookmarkEnd w:id="510"/>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8.3.1 发包人应按《发包人供应材料设备一览表》约定的内容提供材料和工程设备，并向承包人提供产品合格证明及出厂证明，对其质量负责。发包人应提前24小时以书面形式通知承包人、监理人材料和工程设备到货时间，承包人负责材料和工程设备的清点、检验和接收。</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发包人提供的材料和工程设备的规格、数量或质量不符合合同约定的，或因发包人原因导致交货日期延误或交货地点变更等情况的，按照第16.1款〔发包人违约〕约定办理。</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8.3.2 承包人采购的材料和工程设备，应保证产品质量合格，承包人应在材料和工程设备到货前24小时通知监理人检验。承</w:t>
      </w:r>
      <w:bookmarkStart w:id="511" w:name="_Toc250655469"/>
      <w:r>
        <w:rPr>
          <w:rFonts w:hint="eastAsia" w:ascii="宋体" w:hAnsi="宋体"/>
          <w:kern w:val="0"/>
          <w:szCs w:val="21"/>
        </w:rPr>
        <w:t>包人进行永久设备、材料的制造和生产的，应符合相关质量标准，并向监理人提交材料的样本以及有关资料，并应在使用该材料或工程设备之前获得监理人同意。</w:t>
      </w:r>
    </w:p>
    <w:bookmarkEnd w:id="511"/>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 xml:space="preserve"> 承包人采购的材料和工程设备不符合设计或有关标准要求时，承包人应在监理人要求的合理期限内将不符合设计或有关标准要求的材料、工程设备运出施工现场，并重新采购符合要求的材料、工程设备，由此增加的费用和（或）延误的工期，由承包人承担。</w:t>
      </w:r>
    </w:p>
    <w:p>
      <w:pPr>
        <w:pStyle w:val="7"/>
        <w:spacing w:before="0" w:beforeAutospacing="0" w:after="0" w:afterAutospacing="0" w:line="360" w:lineRule="auto"/>
        <w:ind w:firstLine="422" w:firstLineChars="200"/>
        <w:rPr>
          <w:sz w:val="21"/>
          <w:szCs w:val="21"/>
        </w:rPr>
      </w:pPr>
      <w:bookmarkStart w:id="512" w:name="_Toc532377242"/>
      <w:bookmarkStart w:id="513" w:name="_Toc351203556"/>
      <w:r>
        <w:rPr>
          <w:rFonts w:hint="eastAsia"/>
          <w:sz w:val="21"/>
          <w:szCs w:val="21"/>
        </w:rPr>
        <w:t>8</w:t>
      </w:r>
      <w:bookmarkStart w:id="514" w:name="_Toc296503062"/>
      <w:bookmarkStart w:id="515" w:name="_Toc337558780"/>
      <w:bookmarkStart w:id="516" w:name="_Toc296346563"/>
      <w:r>
        <w:rPr>
          <w:rFonts w:hint="eastAsia"/>
          <w:sz w:val="21"/>
          <w:szCs w:val="21"/>
        </w:rPr>
        <w:t>.4材料与工程设备的保管与使用</w:t>
      </w:r>
      <w:bookmarkEnd w:id="512"/>
      <w:bookmarkEnd w:id="513"/>
    </w:p>
    <w:bookmarkEnd w:id="514"/>
    <w:bookmarkEnd w:id="515"/>
    <w:bookmarkEnd w:id="516"/>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8.4.1 发包人供应材料与工程设备的保管与使用</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供应的材料和工程设备，承包人清点后由承包人妥善保管，保管费用由发包人承担，但已标价工程量清单或预算书已经列支或专用合同条款另有约定除外。因承包人原因发生丢失毁损的，由承包人负责赔偿；监理人未通知承包人清点的，承包人不负责材料和工程设备的保管，由此导致丢失毁损的由发包人负责。</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发包人供应的材料和工程设备使用前，由承包人负责检验，检验费用由发包人承担，不合格的不得使用。</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8.4.2 承包人采购材料与工程设备的保管与使用</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采购的材料和工程设备由承包人妥善保管，保管费用由承包人承担。法律规定材料和工程设备使用前必须进行检验或试验的，承包人应按监理人的要求进行检验或试验，检验或试验费用由承包人承担，不合格的不得使用。</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发包人或监理人发现承包人使用不符合设计或有关标准要求的材料和工程设备时，有权要求承包人进行修复、拆除或重新采购，由此增加的费用和（或）延误的工期，由承包人承担。</w:t>
      </w:r>
    </w:p>
    <w:p>
      <w:pPr>
        <w:pStyle w:val="7"/>
        <w:spacing w:before="0" w:beforeAutospacing="0" w:after="0" w:afterAutospacing="0" w:line="360" w:lineRule="auto"/>
        <w:ind w:firstLine="422" w:firstLineChars="200"/>
        <w:rPr>
          <w:sz w:val="21"/>
          <w:szCs w:val="21"/>
        </w:rPr>
      </w:pPr>
      <w:bookmarkStart w:id="517" w:name="_Toc532377243"/>
      <w:bookmarkStart w:id="518" w:name="_Toc351203557"/>
      <w:r>
        <w:rPr>
          <w:rFonts w:hint="eastAsia"/>
          <w:sz w:val="21"/>
          <w:szCs w:val="21"/>
        </w:rPr>
        <w:t>8.5禁止使用不合格的材料和工程设备</w:t>
      </w:r>
      <w:bookmarkEnd w:id="517"/>
      <w:bookmarkEnd w:id="518"/>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8.5.1 监理人有权拒绝承包人提供的不合格材料或工程设备，并要求承包人立即进行更换。监理人应在更换后再次进行检查和检验，由此增加的费用和（或）延误的工期由承包人承担。</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8.5.2 监理人发现承包人使用了不合格的材料和工程设备，承包人应按照监理人的指示立即改正，并禁止在工程中继续使用不合格的材料和工程设备。</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8.5.3 发包人提供的材料或工程设备不符合合同要求的，承包人有权拒绝，并可要求发包人更换，由此增加的费用和（或）延误的工期由发包人承担，并支付承包人合理的利润。</w:t>
      </w:r>
    </w:p>
    <w:p>
      <w:pPr>
        <w:pStyle w:val="7"/>
        <w:spacing w:before="0" w:beforeAutospacing="0" w:after="0" w:afterAutospacing="0" w:line="360" w:lineRule="auto"/>
        <w:ind w:firstLine="422" w:firstLineChars="200"/>
        <w:rPr>
          <w:sz w:val="21"/>
          <w:szCs w:val="21"/>
        </w:rPr>
      </w:pPr>
      <w:bookmarkStart w:id="519" w:name="_Toc351203558"/>
      <w:bookmarkStart w:id="520" w:name="_Toc532377244"/>
      <w:r>
        <w:rPr>
          <w:rFonts w:hint="eastAsia"/>
          <w:sz w:val="21"/>
          <w:szCs w:val="21"/>
        </w:rPr>
        <w:t>8.6 样品</w:t>
      </w:r>
      <w:bookmarkEnd w:id="519"/>
      <w:bookmarkEnd w:id="520"/>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8.6.1</w:t>
      </w:r>
      <w:r>
        <w:rPr>
          <w:rFonts w:hint="eastAsia" w:ascii="宋体" w:hAnsi="宋体"/>
          <w:kern w:val="0"/>
          <w:szCs w:val="21"/>
        </w:rPr>
        <w:tab/>
      </w:r>
      <w:r>
        <w:rPr>
          <w:rFonts w:hint="eastAsia" w:ascii="宋体" w:hAnsi="宋体"/>
          <w:kern w:val="0"/>
          <w:szCs w:val="21"/>
        </w:rPr>
        <w:t>样品的报送与封存</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需要承包人报送样品的材料或工程设备，样品的种类、名称、规格、数量等要求均应在专用合同条款中约定。样品的报送程序如下：</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承包人应在计划采购前28天向监理人报送样品。承包人报送的样品均应来自供应材料的实际生产地，且提供的样品的规格、数量足以表明材料或工程设备的质量、型号、颜色、表面处理、质地、误差和其他要求的特征。</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承包人每次报送样品时应随附申报单，申报单应载明报送样品的相关数据和资料，并标明每件样品对应的图纸号，预留监理人批复意见栏。监理人应在收到承包人报送的样品后7天向承包人回复经发包人签认的样品审批意见。</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（3）经发包人和监理人审批确认的样品应按约定的方法封样，封存的样品作为检验工程相关部分的标准之一。承包人在施工过程中不得使用与样品不符的材料或工程设备。</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4）发包人和监理人对样品的审批确认仅为确认相关材料或工程设备的特征或用途，不得被理解为对合同的修改或改变，也并不减轻或免除承包人任何的责任和义务。如果封存的样品修改或改变了合同约定，合同当事人应当以书面协议予以确认。</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8.6.2 样品的保管</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经批准的样品应由监理人负责封存于现场，承包人应在现场为保存样品提供适当和固定的场所并保持适当和良好的存储环境条件。</w:t>
      </w:r>
    </w:p>
    <w:p>
      <w:pPr>
        <w:pStyle w:val="7"/>
        <w:spacing w:before="0" w:beforeAutospacing="0" w:after="0" w:afterAutospacing="0" w:line="360" w:lineRule="auto"/>
        <w:ind w:firstLine="422" w:firstLineChars="200"/>
        <w:rPr>
          <w:sz w:val="21"/>
          <w:szCs w:val="21"/>
        </w:rPr>
      </w:pPr>
      <w:bookmarkStart w:id="521" w:name="_Toc351203559"/>
      <w:bookmarkStart w:id="522" w:name="_Toc532377245"/>
      <w:r>
        <w:rPr>
          <w:rFonts w:hint="eastAsia"/>
          <w:sz w:val="21"/>
          <w:szCs w:val="21"/>
        </w:rPr>
        <w:t>8.7材料与工程设备的替代</w:t>
      </w:r>
      <w:bookmarkEnd w:id="521"/>
      <w:bookmarkEnd w:id="522"/>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8.7.1 出现下列情况需要使用替代材料和工程设备的，承包人应按照第8.7.2项约定的程序执行：</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（1）基准日期后生效的法律规定禁止使用的；</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（2）发包人要求使用替代品的；</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（3）因其他原因必须使用替代品的。</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8.7.2 承包人应在使用替代材料和工程设备28天前书面通知监理人，并附下列文件：</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（1）被替代的材料和工程设备的名称、数量、规格、型号、品牌、性能、价格及其他相关资料；</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（2）替代品的名称、数量、规格、型号、品牌、性能、价格及其他相关资料；</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（3）替代品与被替代产品之间的差异以及使用替代品可能对工程产生的影响；</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（4）替代品与被替代产品的价格差异；</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（5）使用替代品的理由和原因说明；</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（6）监理人要求的其他文件。</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监理人应在收到通知后14天内向承包人发出经发包人签认的书面指示；监理人逾期发出书面指示的，视为发包人和监理人同意使用替代品。</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8.7.3 发包人认可使用替代材料和工程设备的，替代材料和工程设备的价格，按照已标价工程量清单或预算书相同项目的价格认定；无相同项目的，参考相似项目价格认定；既无相同项目也无相似项目的，按照合理的成本与利润构成的原则，由合同当事人按照第4.4款〔商定或确定〕确定价格。</w:t>
      </w:r>
    </w:p>
    <w:p>
      <w:pPr>
        <w:pStyle w:val="7"/>
        <w:spacing w:before="0" w:beforeAutospacing="0" w:after="0" w:afterAutospacing="0" w:line="360" w:lineRule="auto"/>
        <w:ind w:firstLine="422" w:firstLineChars="200"/>
        <w:rPr>
          <w:sz w:val="21"/>
          <w:szCs w:val="21"/>
        </w:rPr>
      </w:pPr>
      <w:bookmarkStart w:id="523" w:name="_Toc351203560"/>
      <w:bookmarkStart w:id="524" w:name="_Toc532377246"/>
      <w:r>
        <w:rPr>
          <w:rFonts w:hint="eastAsia"/>
          <w:sz w:val="21"/>
          <w:szCs w:val="21"/>
        </w:rPr>
        <w:t>8.8施工设备和临时设施</w:t>
      </w:r>
      <w:bookmarkEnd w:id="523"/>
      <w:bookmarkEnd w:id="524"/>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8.8.1 承包人提供的施工设备和临时设施</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承包人应按合同进度计划的要求，及时配置施工设备和修建临时设施。进入施工场地的承包人设备需经监理人核查后才能投入使用。承包人更换合同约定的承包人设备的，应报监理人批准。</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除专用合同条款另有约定外，承包人应自行承担修建临时设施的费用，需要临时占地的，应由发包人办理申请手续并承担相应费用。</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8.8.2发包人提供的施工设备和临时设施</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发包人提供的施工设备或临时设施在专用合同条款中约定。</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8.8.3要求承包人增加或更换施工设备</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承包人使用的施工设备不能满足合同进度计划和（或）质量要求时，监理人有权要求承包人增加或更换施工设备，承包人应及时增加或更换，由此增加的费用和（或）延误的工期由承包人承担。</w:t>
      </w:r>
    </w:p>
    <w:p>
      <w:pPr>
        <w:pStyle w:val="7"/>
        <w:spacing w:before="0" w:beforeAutospacing="0" w:after="0" w:afterAutospacing="0" w:line="360" w:lineRule="auto"/>
        <w:ind w:firstLine="422" w:firstLineChars="200"/>
        <w:rPr>
          <w:sz w:val="21"/>
          <w:szCs w:val="21"/>
        </w:rPr>
      </w:pPr>
      <w:bookmarkStart w:id="525" w:name="_Toc351203561"/>
      <w:bookmarkStart w:id="526" w:name="_Toc532377247"/>
      <w:r>
        <w:rPr>
          <w:rFonts w:hint="eastAsia"/>
          <w:sz w:val="21"/>
          <w:szCs w:val="21"/>
        </w:rPr>
        <w:t>8</w:t>
      </w:r>
      <w:bookmarkStart w:id="527" w:name="_Toc337558781"/>
      <w:bookmarkStart w:id="528" w:name="_Toc296503063"/>
      <w:bookmarkStart w:id="529" w:name="_Toc296346564"/>
      <w:r>
        <w:rPr>
          <w:rFonts w:hint="eastAsia"/>
          <w:sz w:val="21"/>
          <w:szCs w:val="21"/>
        </w:rPr>
        <w:t>.9材料与设备专用</w:t>
      </w:r>
      <w:bookmarkEnd w:id="525"/>
      <w:r>
        <w:rPr>
          <w:rFonts w:hint="eastAsia"/>
          <w:sz w:val="21"/>
          <w:szCs w:val="21"/>
        </w:rPr>
        <w:t>要求</w:t>
      </w:r>
      <w:bookmarkEnd w:id="526"/>
    </w:p>
    <w:bookmarkEnd w:id="527"/>
    <w:bookmarkEnd w:id="528"/>
    <w:bookmarkEnd w:id="529"/>
    <w:p>
      <w:pPr>
        <w:spacing w:line="360" w:lineRule="auto"/>
        <w:ind w:firstLine="420" w:firstLineChars="200"/>
        <w:jc w:val="left"/>
        <w:rPr>
          <w:rFonts w:ascii="宋体" w:hAnsi="宋体"/>
          <w:kern w:val="0"/>
          <w:szCs w:val="21"/>
        </w:rPr>
      </w:pPr>
      <w:r>
        <w:rPr>
          <w:rFonts w:hint="eastAsia" w:ascii="宋体" w:hAnsi="宋体"/>
          <w:kern w:val="0"/>
          <w:szCs w:val="21"/>
        </w:rPr>
        <w:t>承包人运入施工现场的材料、工程设备、施工设备以及在施工场地建设的临时设施，包括备品备件、安装工具与资料，必须专用于工程。未经发包人批准，承包人不得运出施工现场或挪作他用；</w:t>
      </w:r>
      <w:bookmarkEnd w:id="504"/>
      <w:r>
        <w:rPr>
          <w:rFonts w:hint="eastAsia" w:ascii="宋体" w:hAnsi="宋体"/>
          <w:kern w:val="0"/>
          <w:szCs w:val="21"/>
        </w:rPr>
        <w:t>经发包人批准，承包人可以根据施工进度计划撤走闲置的施工设备和其他物品。</w:t>
      </w:r>
    </w:p>
    <w:p>
      <w:pPr>
        <w:pStyle w:val="6"/>
        <w:spacing w:before="156" w:beforeLines="50" w:beforeAutospacing="0" w:after="156" w:afterLines="50" w:afterAutospacing="0" w:line="360" w:lineRule="auto"/>
        <w:jc w:val="both"/>
        <w:rPr>
          <w:bCs w:val="0"/>
          <w:kern w:val="2"/>
          <w:sz w:val="21"/>
          <w:szCs w:val="21"/>
        </w:rPr>
      </w:pPr>
      <w:bookmarkStart w:id="530" w:name="_Toc532375595"/>
      <w:bookmarkStart w:id="531" w:name="_Toc532377248"/>
      <w:bookmarkStart w:id="532" w:name="_Toc351203562"/>
      <w:r>
        <w:rPr>
          <w:rFonts w:hint="eastAsia"/>
          <w:kern w:val="2"/>
          <w:sz w:val="21"/>
          <w:szCs w:val="21"/>
        </w:rPr>
        <w:t>9</w:t>
      </w:r>
      <w:bookmarkStart w:id="533" w:name="_Toc337558782"/>
      <w:bookmarkStart w:id="534" w:name="_Toc296346584"/>
      <w:bookmarkStart w:id="535" w:name="_Toc296503083"/>
      <w:r>
        <w:rPr>
          <w:rFonts w:hint="eastAsia"/>
          <w:kern w:val="2"/>
          <w:sz w:val="21"/>
          <w:szCs w:val="21"/>
        </w:rPr>
        <w:t>. 试验与检验</w:t>
      </w:r>
      <w:bookmarkEnd w:id="530"/>
      <w:bookmarkEnd w:id="531"/>
      <w:bookmarkEnd w:id="532"/>
    </w:p>
    <w:bookmarkEnd w:id="533"/>
    <w:p>
      <w:pPr>
        <w:pStyle w:val="7"/>
        <w:spacing w:before="0" w:beforeAutospacing="0" w:after="0" w:afterAutospacing="0" w:line="360" w:lineRule="auto"/>
        <w:ind w:firstLine="422" w:firstLineChars="200"/>
        <w:rPr>
          <w:sz w:val="21"/>
          <w:szCs w:val="21"/>
        </w:rPr>
      </w:pPr>
      <w:bookmarkStart w:id="536" w:name="_Toc351203563"/>
      <w:bookmarkStart w:id="537" w:name="_Toc532377249"/>
      <w:r>
        <w:rPr>
          <w:rFonts w:hint="eastAsia"/>
          <w:sz w:val="21"/>
          <w:szCs w:val="21"/>
        </w:rPr>
        <w:t>9</w:t>
      </w:r>
      <w:bookmarkStart w:id="538" w:name="_Toc337558783"/>
      <w:r>
        <w:rPr>
          <w:rFonts w:hint="eastAsia"/>
          <w:sz w:val="21"/>
          <w:szCs w:val="21"/>
        </w:rPr>
        <w:t>.1试验设备与试验人员</w:t>
      </w:r>
      <w:bookmarkEnd w:id="536"/>
      <w:bookmarkEnd w:id="537"/>
    </w:p>
    <w:bookmarkEnd w:id="538"/>
    <w:p>
      <w:pPr>
        <w:spacing w:line="360" w:lineRule="auto"/>
        <w:ind w:firstLine="420" w:firstLineChars="200"/>
        <w:jc w:val="left"/>
        <w:rPr>
          <w:rFonts w:ascii="宋体" w:hAnsi="宋体"/>
          <w:kern w:val="0"/>
          <w:szCs w:val="21"/>
        </w:rPr>
      </w:pPr>
      <w:r>
        <w:rPr>
          <w:rFonts w:hint="eastAsia" w:ascii="宋体" w:hAnsi="宋体"/>
          <w:kern w:val="0"/>
          <w:szCs w:val="21"/>
        </w:rPr>
        <w:t>9.1.1 承包人根据合同约定或监理人指示进行的现场材料试验，应由承包人提供试验场所、试验人员、试验设备以及其他必要的试验条件。监理人在必要时可以使用承包人提供的试验场所、试验设备以及其他试验条件，进行以工程质量检查为目的的材料复核试验，承包人应予以协助。</w:t>
      </w:r>
    </w:p>
    <w:p>
      <w:pPr>
        <w:spacing w:line="360" w:lineRule="auto"/>
        <w:ind w:firstLine="420" w:firstLineChars="200"/>
        <w:jc w:val="left"/>
        <w:rPr>
          <w:rFonts w:ascii="宋体" w:hAnsi="宋体"/>
          <w:kern w:val="0"/>
          <w:szCs w:val="21"/>
        </w:rPr>
      </w:pPr>
      <w:r>
        <w:rPr>
          <w:rFonts w:hint="eastAsia" w:ascii="宋体" w:hAnsi="宋体"/>
          <w:kern w:val="0"/>
          <w:szCs w:val="21"/>
        </w:rPr>
        <w:t>9.1.2 承包人应按专用合同条款的约定提供试验设备、取样装置、试验场所和试验条件，并向监理人提交相应进场计划表。</w:t>
      </w:r>
    </w:p>
    <w:p>
      <w:pPr>
        <w:spacing w:line="360" w:lineRule="auto"/>
        <w:ind w:firstLine="420" w:firstLineChars="200"/>
        <w:jc w:val="left"/>
        <w:rPr>
          <w:rFonts w:ascii="宋体" w:hAnsi="宋体"/>
          <w:kern w:val="0"/>
          <w:szCs w:val="21"/>
        </w:rPr>
      </w:pPr>
      <w:r>
        <w:rPr>
          <w:rFonts w:hint="eastAsia" w:ascii="宋体" w:hAnsi="宋体"/>
          <w:kern w:val="0"/>
          <w:szCs w:val="21"/>
        </w:rPr>
        <w:t>承包人配置的试验设备要符合相应试验规程的要求并经过具有资质的检测单位检测，且在正式使用该试验设备前，需要经过监理人与承包人共同校定。</w:t>
      </w:r>
    </w:p>
    <w:p>
      <w:pPr>
        <w:spacing w:line="360" w:lineRule="auto"/>
        <w:ind w:firstLine="420" w:firstLineChars="200"/>
        <w:jc w:val="left"/>
        <w:rPr>
          <w:rFonts w:ascii="宋体" w:hAnsi="宋体"/>
          <w:kern w:val="0"/>
          <w:szCs w:val="21"/>
        </w:rPr>
      </w:pPr>
      <w:r>
        <w:rPr>
          <w:rFonts w:hint="eastAsia" w:ascii="宋体" w:hAnsi="宋体"/>
          <w:kern w:val="0"/>
          <w:szCs w:val="21"/>
        </w:rPr>
        <w:t>9.1.3 承包人应向监理人提交试验人员的名单及其岗位、资格等证明资料，试验人员必须能够熟练进行相应的检测试验，承包人对试验人员的试验程序和试验结果的正确性负责。</w:t>
      </w:r>
    </w:p>
    <w:p>
      <w:pPr>
        <w:pStyle w:val="7"/>
        <w:spacing w:before="0" w:beforeAutospacing="0" w:after="0" w:afterAutospacing="0" w:line="360" w:lineRule="auto"/>
        <w:ind w:firstLine="422" w:firstLineChars="200"/>
        <w:rPr>
          <w:sz w:val="21"/>
          <w:szCs w:val="21"/>
        </w:rPr>
      </w:pPr>
      <w:bookmarkStart w:id="539" w:name="_Toc351203564"/>
      <w:bookmarkStart w:id="540" w:name="_Toc532377250"/>
      <w:r>
        <w:rPr>
          <w:rFonts w:hint="eastAsia"/>
          <w:sz w:val="21"/>
          <w:szCs w:val="21"/>
        </w:rPr>
        <w:t>9</w:t>
      </w:r>
      <w:bookmarkStart w:id="541" w:name="_Toc337558784"/>
      <w:r>
        <w:rPr>
          <w:rFonts w:hint="eastAsia"/>
          <w:sz w:val="21"/>
          <w:szCs w:val="21"/>
        </w:rPr>
        <w:t>.2取样</w:t>
      </w:r>
      <w:bookmarkEnd w:id="539"/>
      <w:bookmarkEnd w:id="540"/>
    </w:p>
    <w:bookmarkEnd w:id="541"/>
    <w:p>
      <w:pPr>
        <w:spacing w:line="360" w:lineRule="auto"/>
        <w:ind w:firstLine="420" w:firstLineChars="200"/>
        <w:jc w:val="left"/>
        <w:rPr>
          <w:rFonts w:ascii="宋体" w:hAnsi="宋体"/>
          <w:kern w:val="0"/>
          <w:szCs w:val="21"/>
        </w:rPr>
      </w:pPr>
      <w:r>
        <w:rPr>
          <w:rFonts w:hint="eastAsia" w:ascii="宋体" w:hAnsi="宋体"/>
          <w:kern w:val="0"/>
          <w:szCs w:val="21"/>
        </w:rPr>
        <w:t>试验属于自检性质的，承包人可以单独取样。试验属于监理人抽检性质的，可由监理人取样，也可由承包人的试验人员在监理人的监督下取样。</w:t>
      </w:r>
    </w:p>
    <w:p>
      <w:pPr>
        <w:pStyle w:val="7"/>
        <w:spacing w:before="0" w:beforeAutospacing="0" w:after="0" w:afterAutospacing="0" w:line="360" w:lineRule="auto"/>
        <w:ind w:firstLine="422" w:firstLineChars="200"/>
        <w:rPr>
          <w:sz w:val="21"/>
          <w:szCs w:val="21"/>
        </w:rPr>
      </w:pPr>
      <w:bookmarkStart w:id="542" w:name="_Toc532377251"/>
      <w:bookmarkStart w:id="543" w:name="_Toc351203565"/>
      <w:r>
        <w:rPr>
          <w:rFonts w:hint="eastAsia"/>
          <w:sz w:val="21"/>
          <w:szCs w:val="21"/>
        </w:rPr>
        <w:t>9</w:t>
      </w:r>
      <w:bookmarkStart w:id="544" w:name="_Toc337558785"/>
      <w:r>
        <w:rPr>
          <w:rFonts w:hint="eastAsia"/>
          <w:sz w:val="21"/>
          <w:szCs w:val="21"/>
        </w:rPr>
        <w:t>.3材料、工程设备和工程的试验和检验</w:t>
      </w:r>
      <w:bookmarkEnd w:id="542"/>
      <w:bookmarkEnd w:id="543"/>
    </w:p>
    <w:bookmarkEnd w:id="544"/>
    <w:p>
      <w:pPr>
        <w:spacing w:line="360" w:lineRule="auto"/>
        <w:ind w:firstLine="420" w:firstLineChars="200"/>
        <w:jc w:val="left"/>
        <w:rPr>
          <w:rFonts w:ascii="宋体" w:hAnsi="宋体"/>
          <w:kern w:val="0"/>
          <w:szCs w:val="21"/>
        </w:rPr>
      </w:pPr>
      <w:r>
        <w:rPr>
          <w:rFonts w:hint="eastAsia" w:ascii="宋体" w:hAnsi="宋体"/>
          <w:kern w:val="0"/>
          <w:szCs w:val="21"/>
        </w:rPr>
        <w:t>9.3.1承包人应按合同约定进行材料、工程设备和工程的试验和检验，并为监理人对上述材料、工程设备和工程的质量检查提供必要的试验资料和原始记录。按合同约定应由监理人与承包人共同进行试验和检验的，由承包人负责提供必要的试验资料和原始记录。</w:t>
      </w:r>
    </w:p>
    <w:p>
      <w:pPr>
        <w:spacing w:line="360" w:lineRule="auto"/>
        <w:ind w:firstLine="420" w:firstLineChars="200"/>
        <w:jc w:val="left"/>
        <w:rPr>
          <w:rFonts w:ascii="宋体" w:hAnsi="宋体"/>
          <w:kern w:val="0"/>
          <w:szCs w:val="21"/>
        </w:rPr>
      </w:pPr>
      <w:r>
        <w:rPr>
          <w:rFonts w:hint="eastAsia" w:ascii="宋体" w:hAnsi="宋体"/>
          <w:kern w:val="0"/>
          <w:szCs w:val="21"/>
        </w:rPr>
        <w:t>9.3.2试验属于自检性质的，承包人可以单独进行试验。试验属于监理人抽检性质的，监理人可以单独进行试验，也可由承包人与监理人共同进行。承包人对由监理人单独进行的试验结果有异议的，可以申请重新共同进行试验。约定共同进行试验的，监理人未按照约定参加试验的，承包人可自行试验，并将试验结果报送监理人，监理人应承认该试验结果。</w:t>
      </w:r>
    </w:p>
    <w:p>
      <w:pPr>
        <w:spacing w:line="360" w:lineRule="auto"/>
        <w:ind w:firstLine="420" w:firstLineChars="200"/>
        <w:jc w:val="left"/>
        <w:rPr>
          <w:rFonts w:ascii="宋体" w:hAnsi="宋体"/>
          <w:kern w:val="0"/>
          <w:szCs w:val="21"/>
        </w:rPr>
      </w:pPr>
      <w:r>
        <w:rPr>
          <w:rFonts w:hint="eastAsia" w:ascii="宋体" w:hAnsi="宋体"/>
          <w:kern w:val="0"/>
          <w:szCs w:val="21"/>
        </w:rPr>
        <w:t>9.3.3监理人对承包人的试验和检验结果有异议的，或为查清承包人试验和检验成果的可靠性要求承包人重新试验和检验的，可由监理人与承包人共同进行。重新试验和检验的结果证明该项材料、工程设备或工程的质量不符合合同要求的，由此增加的费用和（或）延误的工期由承包人承担；重新试验和检验结果证明该项材料、工程设备和工程符合合同要求的，由此增加的费用和（或）延误的工期由发包人承担。</w:t>
      </w:r>
    </w:p>
    <w:p>
      <w:pPr>
        <w:pStyle w:val="7"/>
        <w:spacing w:before="0" w:beforeAutospacing="0" w:after="0" w:afterAutospacing="0" w:line="360" w:lineRule="auto"/>
        <w:ind w:firstLine="422" w:firstLineChars="200"/>
        <w:rPr>
          <w:sz w:val="21"/>
          <w:szCs w:val="21"/>
        </w:rPr>
      </w:pPr>
      <w:bookmarkStart w:id="545" w:name="_Toc532377252"/>
      <w:bookmarkStart w:id="546" w:name="_Toc351203566"/>
      <w:r>
        <w:rPr>
          <w:rFonts w:hint="eastAsia"/>
          <w:sz w:val="21"/>
          <w:szCs w:val="21"/>
        </w:rPr>
        <w:t>9</w:t>
      </w:r>
      <w:bookmarkStart w:id="547" w:name="_Toc337558786"/>
      <w:r>
        <w:rPr>
          <w:rFonts w:hint="eastAsia"/>
          <w:sz w:val="21"/>
          <w:szCs w:val="21"/>
        </w:rPr>
        <w:t>.4现场工艺试验</w:t>
      </w:r>
      <w:bookmarkEnd w:id="545"/>
      <w:bookmarkEnd w:id="546"/>
    </w:p>
    <w:bookmarkEnd w:id="547"/>
    <w:p>
      <w:pPr>
        <w:spacing w:line="360" w:lineRule="auto"/>
        <w:ind w:firstLine="420" w:firstLineChars="200"/>
        <w:jc w:val="left"/>
        <w:rPr>
          <w:rFonts w:ascii="宋体" w:hAnsi="宋体"/>
          <w:kern w:val="0"/>
          <w:szCs w:val="21"/>
        </w:rPr>
      </w:pPr>
      <w:r>
        <w:rPr>
          <w:rFonts w:hint="eastAsia" w:ascii="宋体" w:hAnsi="宋体"/>
          <w:kern w:val="0"/>
          <w:szCs w:val="21"/>
        </w:rPr>
        <w:t>承包人应按合同约定或监理人指示进行现场工艺试验。对大型的现场工艺试验，监理人认为必要时，承包人应根据监理人提出的工艺试验要求，编制工艺试验措施计划，报送监理人审查。</w:t>
      </w:r>
    </w:p>
    <w:p>
      <w:pPr>
        <w:pStyle w:val="6"/>
        <w:spacing w:before="156" w:beforeLines="50" w:beforeAutospacing="0" w:after="156" w:afterLines="50" w:afterAutospacing="0" w:line="360" w:lineRule="auto"/>
        <w:jc w:val="both"/>
        <w:rPr>
          <w:bCs w:val="0"/>
          <w:kern w:val="2"/>
          <w:sz w:val="21"/>
          <w:szCs w:val="21"/>
        </w:rPr>
      </w:pPr>
      <w:bookmarkStart w:id="548" w:name="_Toc532375596"/>
      <w:bookmarkStart w:id="549" w:name="_Toc351203567"/>
      <w:bookmarkStart w:id="550" w:name="_Toc532377253"/>
      <w:r>
        <w:rPr>
          <w:rFonts w:hint="eastAsia"/>
          <w:kern w:val="2"/>
          <w:sz w:val="21"/>
          <w:szCs w:val="21"/>
        </w:rPr>
        <w:t>1</w:t>
      </w:r>
      <w:bookmarkStart w:id="551" w:name="_Toc337558787"/>
      <w:r>
        <w:rPr>
          <w:rFonts w:hint="eastAsia"/>
          <w:kern w:val="2"/>
          <w:sz w:val="21"/>
          <w:szCs w:val="21"/>
        </w:rPr>
        <w:t>0. 变更</w:t>
      </w:r>
      <w:bookmarkEnd w:id="534"/>
      <w:bookmarkEnd w:id="535"/>
      <w:bookmarkEnd w:id="548"/>
      <w:bookmarkEnd w:id="549"/>
      <w:bookmarkEnd w:id="550"/>
    </w:p>
    <w:bookmarkEnd w:id="551"/>
    <w:p>
      <w:pPr>
        <w:pStyle w:val="7"/>
        <w:spacing w:before="0" w:beforeAutospacing="0" w:after="0" w:afterAutospacing="0" w:line="360" w:lineRule="auto"/>
        <w:ind w:firstLine="422" w:firstLineChars="200"/>
        <w:rPr>
          <w:sz w:val="21"/>
          <w:szCs w:val="21"/>
        </w:rPr>
      </w:pPr>
      <w:bookmarkStart w:id="552" w:name="_Toc351203568"/>
      <w:bookmarkStart w:id="553" w:name="_Toc532377254"/>
      <w:r>
        <w:rPr>
          <w:rFonts w:hint="eastAsia"/>
          <w:sz w:val="21"/>
          <w:szCs w:val="21"/>
        </w:rPr>
        <w:t>1</w:t>
      </w:r>
      <w:bookmarkStart w:id="554" w:name="_Toc337558788"/>
      <w:bookmarkStart w:id="555" w:name="_Toc296503084"/>
      <w:bookmarkStart w:id="556" w:name="_Toc296346585"/>
      <w:r>
        <w:rPr>
          <w:rFonts w:hint="eastAsia"/>
          <w:sz w:val="21"/>
          <w:szCs w:val="21"/>
        </w:rPr>
        <w:t>0.1变更的范围</w:t>
      </w:r>
      <w:bookmarkEnd w:id="552"/>
      <w:bookmarkEnd w:id="553"/>
    </w:p>
    <w:bookmarkEnd w:id="554"/>
    <w:bookmarkEnd w:id="555"/>
    <w:bookmarkEnd w:id="556"/>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除专用合同条款另有约定外，合同履行过程中发生以下情形的，应按照本条约定进行变更：</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（1）增加或减少合同中任何工作，或追加额外的工作；</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（2）取消合同中任何工作，但转由他人实施的工作除外；</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（3）改变合同中任何工作的质量标准或其他特性；</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（4）改变工程的基线、标高、位置和尺寸；</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（5）改变工程的时间安排或实施顺序。</w:t>
      </w:r>
    </w:p>
    <w:p>
      <w:pPr>
        <w:pStyle w:val="7"/>
        <w:spacing w:before="0" w:beforeAutospacing="0" w:after="0" w:afterAutospacing="0" w:line="360" w:lineRule="auto"/>
        <w:ind w:firstLine="422" w:firstLineChars="200"/>
        <w:rPr>
          <w:sz w:val="21"/>
          <w:szCs w:val="21"/>
        </w:rPr>
      </w:pPr>
      <w:bookmarkStart w:id="557" w:name="_Toc532377255"/>
      <w:r>
        <w:rPr>
          <w:rFonts w:hint="eastAsia"/>
          <w:sz w:val="21"/>
          <w:szCs w:val="21"/>
        </w:rPr>
        <w:t>10.2变更权</w:t>
      </w:r>
      <w:bookmarkEnd w:id="557"/>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和监理人均可以提出变更。变更指示均通过监理人发出，监理人发出变更指示前应征得发包人同意。承包人收到经发包人签认的变更指示后，方可实施变更。未经许可，承包人不得擅自对工程的任何部分进行变更。</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涉及设计变更的，应由设计人提供变更后的图纸和说明。如变更超过原设计标准或批准的建设规模时，发包人应及时办理规划、设计变更等审批手续。</w:t>
      </w:r>
    </w:p>
    <w:p>
      <w:pPr>
        <w:pStyle w:val="7"/>
        <w:spacing w:before="0" w:beforeAutospacing="0" w:after="0" w:afterAutospacing="0" w:line="360" w:lineRule="auto"/>
        <w:ind w:firstLine="422" w:firstLineChars="200"/>
        <w:rPr>
          <w:sz w:val="21"/>
          <w:szCs w:val="21"/>
        </w:rPr>
      </w:pPr>
      <w:bookmarkStart w:id="558" w:name="_Toc532377256"/>
      <w:r>
        <w:rPr>
          <w:rFonts w:hint="eastAsia"/>
          <w:sz w:val="21"/>
          <w:szCs w:val="21"/>
        </w:rPr>
        <w:t>10.3变更程序</w:t>
      </w:r>
      <w:bookmarkEnd w:id="558"/>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10.3.1 发包人提出变更</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发包人提出变更的，应通过监理人向承包人发出变更指示，变更指示应说明计划变更的工程范围和变更的内容。</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10.3.2 监理人提出变更建议</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监理人提出变更建议的，需要向发包人以书面形式提出变更计划，说明计划变更工程范围和变更的内容、理由，以及实施该变更对合同价格和工期的影响。发包人同意变更的，由监理人向承包人发出变更指示。发包人不同意变更的，监理人无权擅自发出变更指示。</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10.3.3 变更执行</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收到监理人下达的变更指示后，认为不能执行，应立即提出不能执行该变更指示的理由。承包人认为可以执行变更的，应当书面说明实施该变更指示对合同价格和工期的影响，且合同当事人应当按照第10.4款〔变更估价〕约定确定变更估价。</w:t>
      </w:r>
    </w:p>
    <w:p>
      <w:pPr>
        <w:pStyle w:val="7"/>
        <w:spacing w:before="0" w:beforeAutospacing="0" w:after="0" w:afterAutospacing="0" w:line="360" w:lineRule="auto"/>
        <w:ind w:firstLine="422" w:firstLineChars="200"/>
        <w:rPr>
          <w:sz w:val="21"/>
          <w:szCs w:val="21"/>
        </w:rPr>
      </w:pPr>
      <w:bookmarkStart w:id="559" w:name="_Toc532377257"/>
      <w:bookmarkStart w:id="560" w:name="_Toc351203571"/>
      <w:r>
        <w:rPr>
          <w:rFonts w:hint="eastAsia"/>
          <w:sz w:val="21"/>
          <w:szCs w:val="21"/>
        </w:rPr>
        <w:t>1</w:t>
      </w:r>
      <w:bookmarkStart w:id="561" w:name="_Toc296346588"/>
      <w:bookmarkStart w:id="562" w:name="_Toc337558791"/>
      <w:bookmarkStart w:id="563" w:name="_Toc296503087"/>
      <w:r>
        <w:rPr>
          <w:rFonts w:hint="eastAsia"/>
          <w:sz w:val="21"/>
          <w:szCs w:val="21"/>
        </w:rPr>
        <w:t>0.4变更估价</w:t>
      </w:r>
      <w:bookmarkEnd w:id="559"/>
      <w:bookmarkEnd w:id="560"/>
    </w:p>
    <w:bookmarkEnd w:id="561"/>
    <w:bookmarkEnd w:id="562"/>
    <w:bookmarkEnd w:id="563"/>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10.4.1 变更估价原则</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除专用合同条款另有约定外，变更估价按照本款约定处理：</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（1）已标价工程量清单或预算书有相同项目的，按照相同项目单价认定；</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（2）已标价工程量清单或预算书中无相同项目，但有类似项目的，参照类似项目的单价认定；</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变更导致实际完成的变更工程量与已标价工程量清单或预算书中列明的该项目工程量的变化幅度超过15%的，或已标价工程量清单或预算书中无相同项目及类似项目单价的，按照合理的成本与利润构成的原则，由合同当事人按照第4.4款〔商定或确定〕确定变更工作的单价。</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10.4.2 变更估价程序</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应在收到变更指示后14天内，向监理人提交变更估价申请。监理人应在收到承包人提交的变更估价申请后7天内审查完毕并报送发包人，监理人对变更估价申请有异议，通知承包人修改后重新提交。发包人应在承包人提交变更估价申请后14天内审批完毕。发包人逾期未完成审批或未提出异议的，视为认可承包人提交的变更估价申请。</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因变更引起的价格调整应计入最近一期的进度款中支付。</w:t>
      </w:r>
    </w:p>
    <w:p>
      <w:pPr>
        <w:pStyle w:val="7"/>
        <w:spacing w:before="0" w:beforeAutospacing="0" w:after="0" w:afterAutospacing="0" w:line="360" w:lineRule="auto"/>
        <w:ind w:firstLine="422" w:firstLineChars="200"/>
        <w:rPr>
          <w:sz w:val="21"/>
          <w:szCs w:val="21"/>
        </w:rPr>
      </w:pPr>
      <w:bookmarkStart w:id="564" w:name="_Toc532377258"/>
      <w:bookmarkStart w:id="565" w:name="_Toc351203572"/>
      <w:r>
        <w:rPr>
          <w:rFonts w:hint="eastAsia"/>
          <w:sz w:val="21"/>
          <w:szCs w:val="21"/>
        </w:rPr>
        <w:t>1</w:t>
      </w:r>
      <w:bookmarkStart w:id="566" w:name="_Toc296346595"/>
      <w:bookmarkStart w:id="567" w:name="_Toc296503094"/>
      <w:bookmarkStart w:id="568" w:name="_Toc337558792"/>
      <w:r>
        <w:rPr>
          <w:rFonts w:hint="eastAsia"/>
          <w:sz w:val="21"/>
          <w:szCs w:val="21"/>
        </w:rPr>
        <w:t>0.5承包人的合理化建议</w:t>
      </w:r>
      <w:bookmarkEnd w:id="564"/>
      <w:bookmarkEnd w:id="565"/>
    </w:p>
    <w:bookmarkEnd w:id="566"/>
    <w:bookmarkEnd w:id="567"/>
    <w:bookmarkEnd w:id="568"/>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承包人提出合理化建议的，应向监理人提交合理化建议说明，说明建议的内容和理由，以及实施该建议对合同价格和工期的影响。</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监理人应在收到承包人提交的合理化建议后7天内审查完毕并报送发包人，发现其中存在技术上的缺陷，应通知承包人修改。发包人应在收到监理人报送的合理化建议后7天内审批完毕。合理化建议经发包人批准的，监理人应及时发出变更指示，由此引起的合同价格调整按照第10.4款〔变更估价〕约定执行。发包人不同意变更的，监理人应书面通知承包人。</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合理化建议降低了合同价格或者提高了工程经济效益的，发包人可对承包人给予奖励，奖励的方法和金额在专用合同条款中约定。</w:t>
      </w:r>
    </w:p>
    <w:p>
      <w:pPr>
        <w:pStyle w:val="7"/>
        <w:spacing w:before="0" w:beforeAutospacing="0" w:after="0" w:afterAutospacing="0" w:line="360" w:lineRule="auto"/>
        <w:ind w:firstLine="422" w:firstLineChars="200"/>
        <w:rPr>
          <w:sz w:val="21"/>
          <w:szCs w:val="21"/>
        </w:rPr>
      </w:pPr>
      <w:bookmarkStart w:id="569" w:name="_Toc532377259"/>
      <w:bookmarkStart w:id="570" w:name="_Toc351203573"/>
      <w:r>
        <w:rPr>
          <w:rFonts w:hint="eastAsia"/>
          <w:sz w:val="21"/>
          <w:szCs w:val="21"/>
        </w:rPr>
        <w:t>1</w:t>
      </w:r>
      <w:bookmarkStart w:id="571" w:name="_Toc337558793"/>
      <w:r>
        <w:rPr>
          <w:rFonts w:hint="eastAsia"/>
          <w:sz w:val="21"/>
          <w:szCs w:val="21"/>
        </w:rPr>
        <w:t>0.6变更引起的工期调整</w:t>
      </w:r>
      <w:bookmarkEnd w:id="569"/>
      <w:bookmarkEnd w:id="570"/>
      <w:bookmarkEnd w:id="571"/>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因变更引起工期变化的，合同当事人均可要求调整合同工期，由合同当事人按照第4.4款〔商定或确定〕并参考工程所在地的工期定额标准确定增减工期天数。</w:t>
      </w:r>
    </w:p>
    <w:p>
      <w:pPr>
        <w:pStyle w:val="7"/>
        <w:spacing w:before="0" w:beforeAutospacing="0" w:after="0" w:afterAutospacing="0" w:line="360" w:lineRule="auto"/>
        <w:ind w:firstLine="422" w:firstLineChars="200"/>
        <w:rPr>
          <w:sz w:val="21"/>
          <w:szCs w:val="21"/>
        </w:rPr>
      </w:pPr>
      <w:bookmarkStart w:id="572" w:name="_Toc351203574"/>
      <w:bookmarkStart w:id="573" w:name="_Toc532377260"/>
      <w:r>
        <w:rPr>
          <w:rFonts w:hint="eastAsia"/>
          <w:sz w:val="21"/>
          <w:szCs w:val="21"/>
        </w:rPr>
        <w:t>10.7暂估价</w:t>
      </w:r>
      <w:bookmarkEnd w:id="572"/>
      <w:bookmarkEnd w:id="573"/>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暂估价专业分包工程、服务、材料和工程设备的明细由合同当事人在专用合同条款中约定。</w:t>
      </w:r>
    </w:p>
    <w:p>
      <w:pPr>
        <w:spacing w:line="360" w:lineRule="auto"/>
        <w:ind w:firstLine="420" w:firstLineChars="200"/>
        <w:jc w:val="left"/>
        <w:rPr>
          <w:rFonts w:ascii="宋体" w:hAnsi="宋体"/>
          <w:kern w:val="0"/>
          <w:szCs w:val="21"/>
        </w:rPr>
      </w:pPr>
      <w:r>
        <w:rPr>
          <w:rFonts w:hint="eastAsia" w:ascii="宋体" w:hAnsi="宋体"/>
          <w:kern w:val="0"/>
          <w:szCs w:val="21"/>
        </w:rPr>
        <w:t>10.7.1 依法必须招标的暂估价项目</w:t>
      </w:r>
    </w:p>
    <w:p>
      <w:pPr>
        <w:spacing w:line="360" w:lineRule="auto"/>
        <w:ind w:firstLine="420" w:firstLineChars="200"/>
        <w:jc w:val="left"/>
        <w:rPr>
          <w:rFonts w:ascii="宋体" w:hAnsi="宋体"/>
          <w:kern w:val="0"/>
          <w:szCs w:val="21"/>
        </w:rPr>
      </w:pPr>
      <w:r>
        <w:rPr>
          <w:rFonts w:hint="eastAsia" w:ascii="宋体" w:hAnsi="宋体"/>
          <w:kern w:val="0"/>
          <w:szCs w:val="21"/>
        </w:rPr>
        <w:t>对于依法必须招标的暂估价项目，采取以下第1种方式确定。合同当事人也可以在专用合同条款中选择其他招标方式。</w:t>
      </w:r>
    </w:p>
    <w:p>
      <w:pPr>
        <w:spacing w:line="360" w:lineRule="auto"/>
        <w:ind w:firstLine="420" w:firstLineChars="200"/>
        <w:jc w:val="left"/>
        <w:rPr>
          <w:rFonts w:ascii="宋体" w:hAnsi="宋体"/>
          <w:kern w:val="0"/>
          <w:szCs w:val="21"/>
        </w:rPr>
      </w:pPr>
      <w:r>
        <w:rPr>
          <w:rFonts w:hint="eastAsia" w:ascii="宋体" w:hAnsi="宋体"/>
          <w:kern w:val="0"/>
          <w:szCs w:val="21"/>
        </w:rPr>
        <w:t>第1种方式：对于依法必须招标的暂估价项目，由承包人招标，对该暂估价项目的确认和批准按照以下约定执行：</w:t>
      </w:r>
    </w:p>
    <w:p>
      <w:pPr>
        <w:spacing w:line="360" w:lineRule="auto"/>
        <w:ind w:firstLine="420" w:firstLineChars="200"/>
        <w:jc w:val="left"/>
        <w:rPr>
          <w:rFonts w:ascii="宋体" w:hAnsi="宋体"/>
          <w:kern w:val="0"/>
          <w:szCs w:val="21"/>
        </w:rPr>
      </w:pPr>
      <w:r>
        <w:rPr>
          <w:rFonts w:hint="eastAsia" w:ascii="宋体" w:hAnsi="宋体"/>
          <w:kern w:val="0"/>
          <w:szCs w:val="21"/>
        </w:rPr>
        <w:t>（1）承包人应当根据施工进度计划，在招标工作启动前14天将招标方案通过监理人报送发包人审查，发包人应当在收到承包人报送的招标方案后7天内批准或提出修改意见。承包人应当按照经过发包人批准的招标方案开展招标工作；</w:t>
      </w:r>
    </w:p>
    <w:p>
      <w:pPr>
        <w:spacing w:line="360" w:lineRule="auto"/>
        <w:ind w:firstLine="420" w:firstLineChars="200"/>
        <w:jc w:val="left"/>
        <w:rPr>
          <w:rFonts w:ascii="宋体" w:hAnsi="宋体"/>
          <w:kern w:val="0"/>
          <w:szCs w:val="21"/>
        </w:rPr>
      </w:pPr>
      <w:r>
        <w:rPr>
          <w:rFonts w:hint="eastAsia" w:ascii="宋体" w:hAnsi="宋体"/>
          <w:kern w:val="0"/>
          <w:szCs w:val="21"/>
        </w:rPr>
        <w:t>（2）承包人应当根据施工进度计划，提前14天将招标文件通过监理人报送发包人审批，发包人应当在收到承包人报送的相关文件后7天内完成审批或提出修改意见；发包人有权确定最高限价并按照法律规定参加评标；</w:t>
      </w:r>
    </w:p>
    <w:p>
      <w:pPr>
        <w:spacing w:line="360" w:lineRule="auto"/>
        <w:ind w:firstLine="420" w:firstLineChars="200"/>
        <w:jc w:val="left"/>
        <w:rPr>
          <w:rFonts w:ascii="宋体" w:hAnsi="宋体"/>
          <w:kern w:val="0"/>
          <w:szCs w:val="21"/>
        </w:rPr>
      </w:pPr>
      <w:r>
        <w:rPr>
          <w:rFonts w:hint="eastAsia" w:ascii="宋体" w:hAnsi="宋体"/>
          <w:kern w:val="0"/>
          <w:szCs w:val="21"/>
        </w:rPr>
        <w:t>（3）承包人与供应商、分包人在签订暂估价合同前，应当提前7天将确定的中标候选供应商或中标候选分包人的资料报送发包人，发包人应在收到资料后3天内与承包人共同确定中标人；承包人应当在签订合同后7天内，将暂估价合同副本报送发包人留存。</w:t>
      </w:r>
    </w:p>
    <w:p>
      <w:pPr>
        <w:spacing w:line="360" w:lineRule="auto"/>
        <w:ind w:firstLine="420" w:firstLineChars="200"/>
        <w:jc w:val="left"/>
        <w:rPr>
          <w:rFonts w:ascii="宋体" w:hAnsi="宋体"/>
          <w:kern w:val="0"/>
          <w:szCs w:val="21"/>
        </w:rPr>
      </w:pPr>
      <w:r>
        <w:rPr>
          <w:rFonts w:hint="eastAsia" w:ascii="宋体" w:hAnsi="宋体"/>
          <w:kern w:val="0"/>
          <w:szCs w:val="21"/>
        </w:rPr>
        <w:t>第2种方式：对于依法必须招标的暂估价项目，由发包人和承包人共同招标确定暂估价供应商或分包人的，承包人应按照施工进度计划，在招标工作启动前14天通知发包人，并提交暂估价招标方案和工作分工。发包人应在收到后7天内确认。确定中标人后，由发包人、承包人与中标人共同签订暂估价合同。</w:t>
      </w:r>
    </w:p>
    <w:p>
      <w:pPr>
        <w:spacing w:line="360" w:lineRule="auto"/>
        <w:ind w:firstLine="420" w:firstLineChars="200"/>
        <w:jc w:val="left"/>
        <w:rPr>
          <w:rFonts w:ascii="宋体" w:hAnsi="宋体"/>
          <w:kern w:val="0"/>
          <w:szCs w:val="21"/>
        </w:rPr>
      </w:pPr>
      <w:r>
        <w:rPr>
          <w:rFonts w:hint="eastAsia" w:ascii="宋体" w:hAnsi="宋体"/>
          <w:kern w:val="0"/>
          <w:szCs w:val="21"/>
        </w:rPr>
        <w:t>10.7.2不属于依法必须招标的暂估价项目</w:t>
      </w:r>
    </w:p>
    <w:p>
      <w:pPr>
        <w:spacing w:line="360" w:lineRule="auto"/>
        <w:ind w:firstLine="420" w:firstLineChars="200"/>
        <w:jc w:val="left"/>
        <w:rPr>
          <w:rFonts w:ascii="宋体" w:hAnsi="宋体"/>
          <w:kern w:val="0"/>
          <w:szCs w:val="21"/>
        </w:rPr>
      </w:pPr>
      <w:r>
        <w:rPr>
          <w:rFonts w:hint="eastAsia" w:ascii="宋体" w:hAnsi="宋体"/>
          <w:kern w:val="0"/>
          <w:szCs w:val="21"/>
        </w:rPr>
        <w:t xml:space="preserve">除专用合同条款另有约定外，对于不属于依法必须招标的暂估价项目，采取以下第1种方式确定： </w:t>
      </w:r>
    </w:p>
    <w:p>
      <w:pPr>
        <w:spacing w:line="360" w:lineRule="auto"/>
        <w:ind w:firstLine="420" w:firstLineChars="200"/>
        <w:jc w:val="left"/>
        <w:rPr>
          <w:rFonts w:ascii="宋体" w:hAnsi="宋体"/>
          <w:kern w:val="0"/>
          <w:szCs w:val="21"/>
        </w:rPr>
      </w:pPr>
      <w:r>
        <w:rPr>
          <w:rFonts w:hint="eastAsia" w:ascii="宋体" w:hAnsi="宋体"/>
          <w:kern w:val="0"/>
          <w:szCs w:val="21"/>
        </w:rPr>
        <w:t>第1种方式：对于不属于依法必须招标的暂估价项目，按本项约定确认和批准：</w:t>
      </w:r>
    </w:p>
    <w:p>
      <w:pPr>
        <w:spacing w:line="360" w:lineRule="auto"/>
        <w:ind w:firstLine="420" w:firstLineChars="200"/>
        <w:jc w:val="left"/>
        <w:rPr>
          <w:rFonts w:ascii="宋体" w:hAnsi="宋体"/>
          <w:kern w:val="0"/>
          <w:szCs w:val="21"/>
        </w:rPr>
      </w:pPr>
      <w:r>
        <w:rPr>
          <w:rFonts w:hint="eastAsia" w:ascii="宋体" w:hAnsi="宋体"/>
          <w:kern w:val="0"/>
          <w:szCs w:val="21"/>
        </w:rPr>
        <w:t>（1）承包人应根据施工进度计划，在签订暂估价项目的采购合同、分包合同前28天向监理人提出书面申请。监理人应当在收到申请后3天内报送发包人，发包人应当在收到申请后14天内给予批准或提出修改意见，发包人逾期未予批准或提出修改意见的，视为该书面申请已获得同意；</w:t>
      </w:r>
    </w:p>
    <w:p>
      <w:pPr>
        <w:spacing w:line="360" w:lineRule="auto"/>
        <w:ind w:firstLine="420" w:firstLineChars="200"/>
        <w:jc w:val="left"/>
        <w:rPr>
          <w:rFonts w:ascii="宋体" w:hAnsi="宋体"/>
          <w:kern w:val="0"/>
          <w:szCs w:val="21"/>
        </w:rPr>
      </w:pPr>
      <w:r>
        <w:rPr>
          <w:rFonts w:hint="eastAsia" w:ascii="宋体" w:hAnsi="宋体"/>
          <w:kern w:val="0"/>
          <w:szCs w:val="21"/>
        </w:rPr>
        <w:t>（2）发包人认为承包人确定的供应商、分包人无法满足工程质量或合同要求的，发包人可以要求承包人重新确定暂估价项目的供应商、分包人;</w:t>
      </w:r>
    </w:p>
    <w:p>
      <w:pPr>
        <w:spacing w:line="360" w:lineRule="auto"/>
        <w:ind w:firstLine="420" w:firstLineChars="200"/>
        <w:jc w:val="left"/>
        <w:rPr>
          <w:rFonts w:ascii="宋体" w:hAnsi="宋体"/>
          <w:kern w:val="0"/>
          <w:szCs w:val="21"/>
        </w:rPr>
      </w:pPr>
      <w:r>
        <w:rPr>
          <w:rFonts w:hint="eastAsia" w:ascii="宋体" w:hAnsi="宋体"/>
          <w:kern w:val="0"/>
          <w:szCs w:val="21"/>
        </w:rPr>
        <w:t>（3）承包人应当在签订暂估价合同后7天内，将暂估价合同副本报送发包人留存。</w:t>
      </w:r>
    </w:p>
    <w:p>
      <w:pPr>
        <w:spacing w:line="360" w:lineRule="auto"/>
        <w:ind w:firstLine="420" w:firstLineChars="200"/>
        <w:jc w:val="left"/>
        <w:rPr>
          <w:rFonts w:ascii="宋体" w:hAnsi="宋体"/>
          <w:kern w:val="0"/>
          <w:szCs w:val="21"/>
        </w:rPr>
      </w:pPr>
      <w:r>
        <w:rPr>
          <w:rFonts w:hint="eastAsia" w:ascii="宋体" w:hAnsi="宋体"/>
          <w:kern w:val="0"/>
          <w:szCs w:val="21"/>
        </w:rPr>
        <w:t>第2种方式：承包人按照第10.7.1项〔依法必须招标的暂估价项目〕约定的第1种方式确定暂估价项目。</w:t>
      </w:r>
    </w:p>
    <w:p>
      <w:pPr>
        <w:spacing w:line="360" w:lineRule="auto"/>
        <w:ind w:firstLine="420" w:firstLineChars="200"/>
        <w:jc w:val="left"/>
        <w:rPr>
          <w:rFonts w:ascii="宋体" w:hAnsi="宋体"/>
          <w:kern w:val="0"/>
          <w:szCs w:val="21"/>
        </w:rPr>
      </w:pPr>
      <w:r>
        <w:rPr>
          <w:rFonts w:hint="eastAsia" w:ascii="宋体" w:hAnsi="宋体"/>
          <w:kern w:val="0"/>
          <w:szCs w:val="21"/>
        </w:rPr>
        <w:t>第3种方式：承包人直接实施的暂估价项目</w:t>
      </w:r>
    </w:p>
    <w:p>
      <w:pPr>
        <w:spacing w:line="360" w:lineRule="auto"/>
        <w:ind w:firstLine="420" w:firstLineChars="200"/>
        <w:jc w:val="left"/>
        <w:rPr>
          <w:rFonts w:ascii="宋体" w:hAnsi="宋体"/>
          <w:kern w:val="0"/>
          <w:szCs w:val="21"/>
        </w:rPr>
      </w:pPr>
      <w:r>
        <w:rPr>
          <w:rFonts w:hint="eastAsia" w:ascii="宋体" w:hAnsi="宋体"/>
          <w:kern w:val="0"/>
          <w:szCs w:val="21"/>
        </w:rPr>
        <w:t>承包人具备实施暂估价项目的资格和条件的，经发包人和承包人协商一致后，可由承包人自行实施暂估价项目，合同当事人可以在专用合同条款约定具体事项。</w:t>
      </w:r>
    </w:p>
    <w:p>
      <w:pPr>
        <w:spacing w:line="360" w:lineRule="auto"/>
        <w:ind w:firstLine="420" w:firstLineChars="200"/>
        <w:jc w:val="left"/>
        <w:rPr>
          <w:rFonts w:ascii="宋体" w:hAnsi="宋体"/>
          <w:kern w:val="0"/>
          <w:szCs w:val="21"/>
        </w:rPr>
      </w:pPr>
      <w:r>
        <w:rPr>
          <w:rFonts w:hint="eastAsia" w:ascii="宋体" w:hAnsi="宋体"/>
          <w:kern w:val="0"/>
          <w:szCs w:val="21"/>
        </w:rPr>
        <w:t>10.7.3 因发包人原因导致暂估价合同订立和履行迟延的，由此增加的费用和（或）延误的工期由发包人承担，并支付承包人合理的利润。因承包人原因导致暂估价合同订立和履行迟延的，由此增加的费用和（或）延误的工期由承包人承担。</w:t>
      </w:r>
    </w:p>
    <w:p>
      <w:pPr>
        <w:pStyle w:val="7"/>
        <w:spacing w:before="0" w:beforeAutospacing="0" w:after="0" w:afterAutospacing="0" w:line="360" w:lineRule="auto"/>
        <w:ind w:firstLine="422" w:firstLineChars="200"/>
        <w:rPr>
          <w:sz w:val="21"/>
          <w:szCs w:val="21"/>
        </w:rPr>
      </w:pPr>
      <w:bookmarkStart w:id="574" w:name="_Toc351203575"/>
      <w:bookmarkStart w:id="575" w:name="_Toc532377261"/>
      <w:r>
        <w:rPr>
          <w:rFonts w:hint="eastAsia"/>
          <w:sz w:val="21"/>
          <w:szCs w:val="21"/>
        </w:rPr>
        <w:t>1</w:t>
      </w:r>
      <w:bookmarkStart w:id="576" w:name="_Toc337558794"/>
      <w:bookmarkStart w:id="577" w:name="_Toc322522561"/>
      <w:bookmarkStart w:id="578" w:name="_Toc296346591"/>
      <w:bookmarkStart w:id="579" w:name="_Toc296503090"/>
      <w:r>
        <w:rPr>
          <w:rFonts w:hint="eastAsia"/>
          <w:sz w:val="21"/>
          <w:szCs w:val="21"/>
        </w:rPr>
        <w:t>0.8暂列金额</w:t>
      </w:r>
      <w:bookmarkEnd w:id="574"/>
      <w:bookmarkEnd w:id="575"/>
    </w:p>
    <w:bookmarkEnd w:id="576"/>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暂列金额应按照发包人的要求使用，发包人的要求应通过监理人发出。合同当事人可以在专用合同条款中协商确定有关事项。</w:t>
      </w:r>
    </w:p>
    <w:bookmarkEnd w:id="577"/>
    <w:bookmarkEnd w:id="578"/>
    <w:bookmarkEnd w:id="579"/>
    <w:p>
      <w:pPr>
        <w:pStyle w:val="7"/>
        <w:spacing w:before="0" w:beforeAutospacing="0" w:after="0" w:afterAutospacing="0" w:line="360" w:lineRule="auto"/>
        <w:ind w:firstLine="422" w:firstLineChars="200"/>
        <w:rPr>
          <w:sz w:val="21"/>
          <w:szCs w:val="21"/>
        </w:rPr>
      </w:pPr>
      <w:bookmarkStart w:id="580" w:name="_Toc532377262"/>
      <w:bookmarkStart w:id="581" w:name="_Toc351203576"/>
      <w:r>
        <w:rPr>
          <w:rFonts w:hint="eastAsia"/>
          <w:sz w:val="21"/>
          <w:szCs w:val="21"/>
        </w:rPr>
        <w:t>1</w:t>
      </w:r>
      <w:bookmarkStart w:id="582" w:name="_Toc296346592"/>
      <w:bookmarkStart w:id="583" w:name="_Toc337558796"/>
      <w:bookmarkStart w:id="584" w:name="_Toc296503091"/>
      <w:r>
        <w:rPr>
          <w:rFonts w:hint="eastAsia"/>
          <w:sz w:val="21"/>
          <w:szCs w:val="21"/>
        </w:rPr>
        <w:t>0.9计日工</w:t>
      </w:r>
      <w:bookmarkEnd w:id="580"/>
      <w:bookmarkEnd w:id="581"/>
      <w:bookmarkEnd w:id="582"/>
      <w:bookmarkEnd w:id="583"/>
      <w:bookmarkEnd w:id="584"/>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需要采用计日工方式的，经发包人同意后，由监理人通知承包人以计日工计价方式实施相应的工作，其价款按列入已标价工程量清单或预算书中的计日工计价项目及其单价进行计算；已标价工程量清单或预算书中无相应的计日工单价的，按照合理的成本与利润构成的原则，由合同当事人按照第4.4款〔商定或确定〕确定计日工的单价。</w:t>
      </w:r>
    </w:p>
    <w:p>
      <w:pPr>
        <w:spacing w:line="360" w:lineRule="auto"/>
        <w:ind w:firstLine="420" w:firstLineChars="200"/>
        <w:jc w:val="left"/>
        <w:rPr>
          <w:rFonts w:ascii="宋体" w:hAnsi="宋体"/>
          <w:kern w:val="0"/>
          <w:szCs w:val="21"/>
        </w:rPr>
      </w:pPr>
      <w:r>
        <w:rPr>
          <w:rFonts w:hint="eastAsia" w:ascii="宋体" w:hAnsi="宋体"/>
          <w:kern w:val="0"/>
          <w:szCs w:val="21"/>
        </w:rPr>
        <w:t>采用计日工计价的任何一项工作，承包人应在该项工作实施过程中，每天提交以下报表和有关凭证报送监理人审查：</w:t>
      </w:r>
    </w:p>
    <w:p>
      <w:pPr>
        <w:spacing w:line="360" w:lineRule="auto"/>
        <w:ind w:firstLine="420" w:firstLineChars="200"/>
        <w:jc w:val="left"/>
        <w:rPr>
          <w:rFonts w:ascii="宋体" w:hAnsi="宋体"/>
          <w:kern w:val="0"/>
          <w:szCs w:val="21"/>
        </w:rPr>
      </w:pPr>
      <w:r>
        <w:rPr>
          <w:rFonts w:hint="eastAsia" w:ascii="宋体" w:hAnsi="宋体"/>
          <w:kern w:val="0"/>
          <w:szCs w:val="21"/>
        </w:rPr>
        <w:t>（1）工作名称、内容和数量；</w:t>
      </w:r>
    </w:p>
    <w:p>
      <w:pPr>
        <w:spacing w:line="360" w:lineRule="auto"/>
        <w:ind w:firstLine="420" w:firstLineChars="200"/>
        <w:jc w:val="left"/>
        <w:rPr>
          <w:rFonts w:ascii="宋体" w:hAnsi="宋体"/>
          <w:kern w:val="0"/>
          <w:szCs w:val="21"/>
        </w:rPr>
      </w:pPr>
      <w:r>
        <w:rPr>
          <w:rFonts w:hint="eastAsia" w:ascii="宋体" w:hAnsi="宋体"/>
          <w:kern w:val="0"/>
          <w:szCs w:val="21"/>
        </w:rPr>
        <w:t>（2）投入该工作的所有人员的姓名、专业、工种、级别和耗用工时；</w:t>
      </w:r>
    </w:p>
    <w:p>
      <w:pPr>
        <w:spacing w:line="360" w:lineRule="auto"/>
        <w:ind w:firstLine="420" w:firstLineChars="200"/>
        <w:jc w:val="left"/>
        <w:rPr>
          <w:rFonts w:ascii="宋体" w:hAnsi="宋体"/>
          <w:kern w:val="0"/>
          <w:szCs w:val="21"/>
        </w:rPr>
      </w:pPr>
      <w:r>
        <w:rPr>
          <w:rFonts w:hint="eastAsia" w:ascii="宋体" w:hAnsi="宋体"/>
          <w:kern w:val="0"/>
          <w:szCs w:val="21"/>
        </w:rPr>
        <w:t>（3）投入该工作的材料类别和数量；</w:t>
      </w:r>
    </w:p>
    <w:p>
      <w:pPr>
        <w:spacing w:line="360" w:lineRule="auto"/>
        <w:ind w:firstLine="420" w:firstLineChars="200"/>
        <w:jc w:val="left"/>
        <w:rPr>
          <w:rFonts w:ascii="宋体" w:hAnsi="宋体"/>
          <w:kern w:val="0"/>
          <w:szCs w:val="21"/>
        </w:rPr>
      </w:pPr>
      <w:r>
        <w:rPr>
          <w:rFonts w:hint="eastAsia" w:ascii="宋体" w:hAnsi="宋体"/>
          <w:kern w:val="0"/>
          <w:szCs w:val="21"/>
        </w:rPr>
        <w:t>（4）投入该工作的施工设备型号、台数和耗用台时；</w:t>
      </w:r>
    </w:p>
    <w:p>
      <w:pPr>
        <w:spacing w:line="360" w:lineRule="auto"/>
        <w:ind w:firstLine="420" w:firstLineChars="200"/>
        <w:jc w:val="left"/>
        <w:rPr>
          <w:rFonts w:ascii="宋体" w:hAnsi="宋体"/>
          <w:kern w:val="0"/>
          <w:szCs w:val="21"/>
        </w:rPr>
      </w:pPr>
      <w:r>
        <w:rPr>
          <w:rFonts w:hint="eastAsia" w:ascii="宋体" w:hAnsi="宋体"/>
          <w:kern w:val="0"/>
          <w:szCs w:val="21"/>
        </w:rPr>
        <w:t>（5）其他有关资料和凭证。</w:t>
      </w:r>
    </w:p>
    <w:p>
      <w:pPr>
        <w:spacing w:line="360" w:lineRule="auto"/>
        <w:ind w:firstLine="420" w:firstLineChars="200"/>
        <w:jc w:val="left"/>
        <w:rPr>
          <w:rFonts w:ascii="宋体" w:hAnsi="宋体"/>
          <w:kern w:val="0"/>
          <w:szCs w:val="21"/>
        </w:rPr>
      </w:pPr>
      <w:r>
        <w:rPr>
          <w:rFonts w:hint="eastAsia" w:ascii="宋体" w:hAnsi="宋体"/>
          <w:kern w:val="0"/>
          <w:szCs w:val="21"/>
        </w:rPr>
        <w:t xml:space="preserve"> 计日工由承包人汇总后，列入最近一期进度付款申请单，由监理人审查并经发包人批准后列入进度付款。</w:t>
      </w:r>
    </w:p>
    <w:p>
      <w:pPr>
        <w:pStyle w:val="6"/>
        <w:spacing w:before="156" w:beforeLines="50" w:beforeAutospacing="0" w:after="156" w:afterLines="50" w:afterAutospacing="0" w:line="360" w:lineRule="auto"/>
        <w:jc w:val="both"/>
        <w:rPr>
          <w:bCs w:val="0"/>
          <w:kern w:val="2"/>
          <w:sz w:val="21"/>
          <w:szCs w:val="21"/>
        </w:rPr>
      </w:pPr>
      <w:bookmarkStart w:id="585" w:name="_Toc351203577"/>
      <w:bookmarkStart w:id="586" w:name="_Toc532377263"/>
      <w:bookmarkStart w:id="587" w:name="_Toc532375597"/>
      <w:r>
        <w:rPr>
          <w:rFonts w:hint="eastAsia"/>
          <w:kern w:val="2"/>
          <w:sz w:val="21"/>
          <w:szCs w:val="21"/>
        </w:rPr>
        <w:t>11. 价格调整</w:t>
      </w:r>
      <w:bookmarkEnd w:id="585"/>
      <w:bookmarkEnd w:id="586"/>
      <w:bookmarkEnd w:id="587"/>
    </w:p>
    <w:p>
      <w:pPr>
        <w:pStyle w:val="7"/>
        <w:spacing w:before="0" w:beforeAutospacing="0" w:after="0" w:afterAutospacing="0" w:line="360" w:lineRule="auto"/>
        <w:ind w:firstLine="422" w:firstLineChars="200"/>
        <w:rPr>
          <w:sz w:val="21"/>
          <w:szCs w:val="21"/>
        </w:rPr>
      </w:pPr>
      <w:bookmarkStart w:id="588" w:name="_Toc532377264"/>
      <w:bookmarkStart w:id="589" w:name="_Toc351203578"/>
      <w:bookmarkStart w:id="590" w:name="_Toc337558797"/>
      <w:bookmarkStart w:id="591" w:name="_Toc296503092"/>
      <w:bookmarkStart w:id="592" w:name="_Toc296346593"/>
      <w:r>
        <w:rPr>
          <w:rFonts w:hint="eastAsia"/>
          <w:sz w:val="21"/>
          <w:szCs w:val="21"/>
        </w:rPr>
        <w:t>11.1市场价格波动引起的调整</w:t>
      </w:r>
      <w:bookmarkEnd w:id="588"/>
      <w:bookmarkEnd w:id="589"/>
    </w:p>
    <w:bookmarkEnd w:id="590"/>
    <w:bookmarkEnd w:id="591"/>
    <w:bookmarkEnd w:id="592"/>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除专用合同条款另有约定外，市场价格波动超过合同当事人约定的范围，合同价格应当调整。合同当事人可以在专用合同条款中约定选择以下一种方式对合同价格进行调整：</w:t>
      </w:r>
    </w:p>
    <w:p>
      <w:pPr>
        <w:spacing w:line="360" w:lineRule="auto"/>
        <w:ind w:firstLine="420" w:firstLineChars="200"/>
        <w:jc w:val="left"/>
        <w:rPr>
          <w:rFonts w:ascii="宋体" w:hAnsi="宋体"/>
          <w:kern w:val="0"/>
          <w:szCs w:val="21"/>
        </w:rPr>
      </w:pPr>
      <w:r>
        <w:rPr>
          <w:rFonts w:hint="eastAsia" w:ascii="宋体" w:hAnsi="宋体"/>
          <w:kern w:val="0"/>
          <w:szCs w:val="21"/>
        </w:rPr>
        <w:t>第1种方式：采用价格指数进行价格调整。</w:t>
      </w:r>
    </w:p>
    <w:p>
      <w:pPr>
        <w:tabs>
          <w:tab w:val="left" w:pos="0"/>
          <w:tab w:val="left" w:pos="360"/>
          <w:tab w:val="left" w:pos="540"/>
        </w:tabs>
        <w:spacing w:line="360" w:lineRule="auto"/>
        <w:ind w:firstLine="420" w:firstLineChars="200"/>
        <w:jc w:val="left"/>
        <w:rPr>
          <w:rFonts w:ascii="宋体" w:hAnsi="宋体"/>
          <w:kern w:val="0"/>
          <w:szCs w:val="21"/>
        </w:rPr>
      </w:pPr>
      <w:r>
        <w:rPr>
          <w:rFonts w:hint="eastAsia" w:ascii="宋体" w:hAnsi="宋体"/>
          <w:kern w:val="0"/>
          <w:szCs w:val="21"/>
        </w:rPr>
        <w:t>（1）价格调整公式</w:t>
      </w:r>
    </w:p>
    <w:p>
      <w:pPr>
        <w:tabs>
          <w:tab w:val="left" w:pos="0"/>
          <w:tab w:val="left" w:pos="360"/>
          <w:tab w:val="left" w:pos="540"/>
        </w:tabs>
        <w:spacing w:line="360" w:lineRule="auto"/>
        <w:ind w:firstLine="420" w:firstLineChars="200"/>
        <w:jc w:val="left"/>
        <w:rPr>
          <w:rFonts w:ascii="宋体" w:hAnsi="宋体"/>
          <w:kern w:val="0"/>
          <w:szCs w:val="21"/>
        </w:rPr>
      </w:pPr>
      <w:r>
        <w:rPr>
          <w:rFonts w:hint="eastAsia" w:ascii="宋体" w:hAnsi="宋体"/>
          <w:kern w:val="0"/>
          <w:szCs w:val="21"/>
        </w:rPr>
        <w:t>因人工、材料和设备等价格波动影响合同价格时，根据专用合同条款中约定的数据，按以下公式计算差额并调整合同价格：</w:t>
      </w:r>
    </w:p>
    <w:p>
      <w:pPr>
        <w:tabs>
          <w:tab w:val="left" w:pos="0"/>
          <w:tab w:val="left" w:pos="360"/>
          <w:tab w:val="left" w:pos="540"/>
        </w:tabs>
        <w:spacing w:line="360" w:lineRule="auto"/>
        <w:ind w:firstLine="420" w:firstLineChars="200"/>
        <w:jc w:val="left"/>
        <w:rPr>
          <w:rFonts w:ascii="宋体" w:hAnsi="宋体"/>
          <w:kern w:val="0"/>
          <w:szCs w:val="21"/>
        </w:rPr>
      </w:pPr>
      <w:r>
        <w:rPr>
          <w:rFonts w:hint="eastAsia" w:ascii="宋体" w:hAnsi="宋体"/>
          <w:kern w:val="0"/>
          <w:szCs w:val="21"/>
        </w:rPr>
        <w:object>
          <v:shape id="_x0000_i1025" o:spt="75" type="#_x0000_t75" style="height:42.7pt;width:360pt;" o:ole="t" filled="f" o:preferrelative="t" stroked="f" coordsize="21600,21600">
            <v:path/>
            <v:fill on="f" focussize="0,0"/>
            <v:stroke on="f" joinstyle="miter"/>
            <v:imagedata r:id="rId10" o:title=""/>
            <o:lock v:ext="edit" aspectratio="t"/>
            <w10:wrap type="none"/>
            <w10:anchorlock/>
          </v:shape>
          <o:OLEObject Type="Embed" ProgID="Equation.3" ShapeID="_x0000_i1025" DrawAspect="Content" ObjectID="_1468075725" r:id="rId9">
            <o:LockedField>false</o:LockedField>
          </o:OLEObject>
        </w:object>
      </w:r>
    </w:p>
    <w:p>
      <w:pPr>
        <w:tabs>
          <w:tab w:val="left" w:pos="0"/>
          <w:tab w:val="left" w:pos="360"/>
          <w:tab w:val="left" w:pos="540"/>
        </w:tabs>
        <w:spacing w:line="360" w:lineRule="auto"/>
        <w:ind w:firstLine="200"/>
        <w:jc w:val="left"/>
        <w:rPr>
          <w:rFonts w:ascii="宋体" w:hAnsi="宋体"/>
          <w:kern w:val="0"/>
          <w:szCs w:val="21"/>
        </w:rPr>
      </w:pPr>
      <w:r>
        <w:rPr>
          <w:rFonts w:hint="eastAsia" w:ascii="宋体" w:hAnsi="宋体"/>
          <w:kern w:val="0"/>
          <w:szCs w:val="21"/>
        </w:rPr>
        <w:t>公式中：ΔP——需调整的价格差额；</w:t>
      </w:r>
    </w:p>
    <w:p>
      <w:pPr>
        <w:tabs>
          <w:tab w:val="left" w:pos="0"/>
          <w:tab w:val="left" w:pos="360"/>
          <w:tab w:val="left" w:pos="540"/>
        </w:tabs>
        <w:spacing w:line="360" w:lineRule="auto"/>
        <w:ind w:firstLine="1260" w:firstLineChars="600"/>
        <w:jc w:val="left"/>
        <w:rPr>
          <w:rFonts w:ascii="宋体" w:hAnsi="宋体"/>
          <w:kern w:val="0"/>
          <w:szCs w:val="21"/>
        </w:rPr>
      </w:pPr>
      <w:r>
        <w:rPr>
          <w:rFonts w:hint="eastAsia" w:ascii="宋体" w:hAnsi="宋体"/>
          <w:kern w:val="0"/>
          <w:szCs w:val="21"/>
        </w:rPr>
        <w:object>
          <v:shape id="_x0000_i1026" o:spt="75" type="#_x0000_t75" style="height:18.4pt;width:18.4pt;" o:ole="t" filled="f" o:preferrelative="t" stroked="f" coordsize="21600,21600">
            <v:path/>
            <v:fill on="f" focussize="0,0"/>
            <v:stroke on="f" joinstyle="miter"/>
            <v:imagedata r:id="rId12" o:title=""/>
            <o:lock v:ext="edit" aspectratio="t"/>
            <w10:wrap type="none"/>
            <w10:anchorlock/>
          </v:shape>
          <o:OLEObject Type="Embed" ProgID="Equation.3" ShapeID="_x0000_i1026" DrawAspect="Content" ObjectID="_1468075726" r:id="rId11">
            <o:LockedField>false</o:LockedField>
          </o:OLEObject>
        </w:object>
      </w:r>
      <w:r>
        <w:rPr>
          <w:rFonts w:hint="eastAsia" w:ascii="宋体" w:hAnsi="宋体"/>
          <w:kern w:val="0"/>
          <w:szCs w:val="21"/>
        </w:rPr>
        <w:t>——约定的付款证书中承包人应得到的已完成工程量的金额。此项金额应不包括价格调整、不计质量保证金的扣留和支付、预付款的支付和扣回。约定的变更及其他金额已按现行价格计价的，也不计在内；</w:t>
      </w:r>
    </w:p>
    <w:p>
      <w:pPr>
        <w:tabs>
          <w:tab w:val="left" w:pos="0"/>
          <w:tab w:val="left" w:pos="360"/>
          <w:tab w:val="left" w:pos="540"/>
        </w:tabs>
        <w:spacing w:line="360" w:lineRule="auto"/>
        <w:ind w:firstLine="420" w:firstLineChars="200"/>
        <w:jc w:val="left"/>
        <w:rPr>
          <w:rFonts w:ascii="宋体" w:hAnsi="宋体"/>
          <w:kern w:val="0"/>
          <w:szCs w:val="21"/>
        </w:rPr>
      </w:pPr>
      <w:r>
        <w:rPr>
          <w:rFonts w:hint="eastAsia" w:ascii="宋体" w:hAnsi="宋体"/>
          <w:kern w:val="0"/>
          <w:szCs w:val="21"/>
        </w:rPr>
        <w:t>A——定值权重（即不调部分的权重）；</w:t>
      </w:r>
    </w:p>
    <w:p>
      <w:pPr>
        <w:tabs>
          <w:tab w:val="left" w:pos="0"/>
          <w:tab w:val="left" w:pos="360"/>
          <w:tab w:val="left" w:pos="540"/>
        </w:tabs>
        <w:spacing w:line="360" w:lineRule="auto"/>
        <w:ind w:firstLine="420" w:firstLineChars="200"/>
        <w:jc w:val="left"/>
        <w:rPr>
          <w:rFonts w:ascii="宋体" w:hAnsi="宋体"/>
          <w:kern w:val="0"/>
          <w:szCs w:val="21"/>
        </w:rPr>
      </w:pPr>
      <w:r>
        <w:rPr>
          <w:rFonts w:hint="eastAsia" w:ascii="宋体" w:hAnsi="宋体"/>
          <w:kern w:val="0"/>
          <w:szCs w:val="21"/>
        </w:rPr>
        <w:object>
          <v:shape id="_x0000_i1027" o:spt="75" type="#_x0000_t75" style="height:21.75pt;width:100.45pt;" o:ole="t" filled="f" o:preferrelative="t" stroked="f" coordsize="21600,21600">
            <v:path/>
            <v:fill on="f" focussize="0,0"/>
            <v:stroke on="f" joinstyle="miter"/>
            <v:imagedata r:id="rId14" o:title=""/>
            <o:lock v:ext="edit" aspectratio="t"/>
            <w10:wrap type="none"/>
            <w10:anchorlock/>
          </v:shape>
          <o:OLEObject Type="Embed" ProgID="Equation.3" ShapeID="_x0000_i1027" DrawAspect="Content" ObjectID="_1468075727" r:id="rId13">
            <o:LockedField>false</o:LockedField>
          </o:OLEObject>
        </w:object>
      </w:r>
      <w:r>
        <w:rPr>
          <w:rFonts w:hint="eastAsia" w:ascii="宋体" w:hAnsi="宋体"/>
          <w:kern w:val="0"/>
          <w:szCs w:val="21"/>
        </w:rPr>
        <w:t>——各可调因子的变值权重（即可调部分的权重），为各可调因子在签约合同价中所占的比例；</w:t>
      </w:r>
    </w:p>
    <w:p>
      <w:pPr>
        <w:tabs>
          <w:tab w:val="left" w:pos="0"/>
          <w:tab w:val="left" w:pos="360"/>
          <w:tab w:val="left" w:pos="540"/>
        </w:tabs>
        <w:spacing w:line="360" w:lineRule="auto"/>
        <w:ind w:firstLine="420" w:firstLineChars="200"/>
        <w:jc w:val="left"/>
        <w:rPr>
          <w:rFonts w:ascii="宋体" w:hAnsi="宋体"/>
          <w:kern w:val="0"/>
          <w:szCs w:val="21"/>
        </w:rPr>
      </w:pPr>
      <w:r>
        <w:rPr>
          <w:rFonts w:hint="eastAsia" w:ascii="宋体" w:hAnsi="宋体"/>
          <w:kern w:val="0"/>
          <w:szCs w:val="21"/>
        </w:rPr>
        <w:object>
          <v:shape id="_x0000_i1028" o:spt="75" type="#_x0000_t75" style="height:21.75pt;width:101.3pt;" o:ole="t" filled="f" o:preferrelative="t" stroked="f" coordsize="21600,21600">
            <v:path/>
            <v:fill on="f" focussize="0,0"/>
            <v:stroke on="f" joinstyle="miter"/>
            <v:imagedata r:id="rId16" o:title=""/>
            <o:lock v:ext="edit" aspectratio="t"/>
            <w10:wrap type="none"/>
            <w10:anchorlock/>
          </v:shape>
          <o:OLEObject Type="Embed" ProgID="Equation.3" ShapeID="_x0000_i1028" DrawAspect="Content" ObjectID="_1468075728" r:id="rId15">
            <o:LockedField>false</o:LockedField>
          </o:OLEObject>
        </w:object>
      </w:r>
      <w:r>
        <w:rPr>
          <w:rFonts w:hint="eastAsia" w:ascii="宋体" w:hAnsi="宋体"/>
          <w:kern w:val="0"/>
          <w:szCs w:val="21"/>
        </w:rPr>
        <w:t>——各可调因子的现行价格指数，指约定的付款证书相关周期最后一天的前42天的各可调因子的价格指数；</w:t>
      </w:r>
    </w:p>
    <w:p>
      <w:pPr>
        <w:tabs>
          <w:tab w:val="left" w:pos="0"/>
          <w:tab w:val="left" w:pos="360"/>
          <w:tab w:val="left" w:pos="540"/>
        </w:tabs>
        <w:spacing w:line="360" w:lineRule="auto"/>
        <w:ind w:firstLine="420" w:firstLineChars="200"/>
        <w:jc w:val="left"/>
        <w:rPr>
          <w:rFonts w:ascii="宋体" w:hAnsi="宋体"/>
          <w:kern w:val="0"/>
          <w:szCs w:val="21"/>
        </w:rPr>
      </w:pPr>
      <w:r>
        <w:rPr>
          <w:rFonts w:hint="eastAsia" w:ascii="宋体" w:hAnsi="宋体"/>
          <w:kern w:val="0"/>
          <w:szCs w:val="21"/>
        </w:rPr>
        <w:object>
          <v:shape id="_x0000_i1029" o:spt="75" type="#_x0000_t75" style="height:21.75pt;width:108.85pt;" o:ole="t" filled="f" o:preferrelative="t" stroked="f" coordsize="21600,21600">
            <v:path/>
            <v:fill on="f" focussize="0,0"/>
            <v:stroke on="f" joinstyle="miter"/>
            <v:imagedata r:id="rId18" o:title=""/>
            <o:lock v:ext="edit" aspectratio="t"/>
            <w10:wrap type="none"/>
            <w10:anchorlock/>
          </v:shape>
          <o:OLEObject Type="Embed" ProgID="Equation.3" ShapeID="_x0000_i1029" DrawAspect="Content" ObjectID="_1468075729" r:id="rId17">
            <o:LockedField>false</o:LockedField>
          </o:OLEObject>
        </w:object>
      </w:r>
      <w:r>
        <w:rPr>
          <w:rFonts w:hint="eastAsia" w:ascii="宋体" w:hAnsi="宋体"/>
          <w:kern w:val="0"/>
          <w:szCs w:val="21"/>
        </w:rPr>
        <w:t>——各可调因子的基本价格指数，指基准日期的各可调因子的价格指数。</w:t>
      </w:r>
    </w:p>
    <w:p>
      <w:pPr>
        <w:tabs>
          <w:tab w:val="left" w:pos="0"/>
          <w:tab w:val="left" w:pos="360"/>
          <w:tab w:val="left" w:pos="540"/>
        </w:tabs>
        <w:spacing w:line="360" w:lineRule="auto"/>
        <w:ind w:firstLine="420" w:firstLineChars="200"/>
        <w:jc w:val="left"/>
        <w:rPr>
          <w:rFonts w:ascii="宋体" w:hAnsi="宋体"/>
          <w:kern w:val="0"/>
          <w:szCs w:val="21"/>
        </w:rPr>
      </w:pPr>
      <w:r>
        <w:rPr>
          <w:rFonts w:hint="eastAsia" w:ascii="宋体" w:hAnsi="宋体"/>
          <w:kern w:val="0"/>
          <w:szCs w:val="21"/>
        </w:rPr>
        <w:t>以上价格调整公式中的各可调因子、定值和变值权重，以及基本价格指数及其来源在投标函附录价格指数和权重表中约定，非招标订立的合同，由合同当事人在专用合同条款中约定。价格指数应首先采用工程造价管理机构发布的价格指数，无前述价格指数时，可采用工程造价管理机构发布的价格代替。</w:t>
      </w:r>
    </w:p>
    <w:p>
      <w:pPr>
        <w:tabs>
          <w:tab w:val="left" w:pos="0"/>
          <w:tab w:val="left" w:pos="360"/>
          <w:tab w:val="left" w:pos="540"/>
        </w:tabs>
        <w:spacing w:line="360" w:lineRule="auto"/>
        <w:ind w:firstLine="420" w:firstLineChars="200"/>
        <w:jc w:val="left"/>
        <w:rPr>
          <w:rFonts w:ascii="宋体" w:hAnsi="宋体"/>
          <w:kern w:val="0"/>
          <w:szCs w:val="21"/>
        </w:rPr>
      </w:pPr>
      <w:r>
        <w:rPr>
          <w:rFonts w:hint="eastAsia" w:ascii="宋体" w:hAnsi="宋体"/>
          <w:kern w:val="0"/>
          <w:szCs w:val="21"/>
        </w:rPr>
        <w:t>（2）暂时确定调整差额</w:t>
      </w:r>
    </w:p>
    <w:p>
      <w:pPr>
        <w:tabs>
          <w:tab w:val="left" w:pos="0"/>
          <w:tab w:val="left" w:pos="360"/>
          <w:tab w:val="left" w:pos="540"/>
        </w:tabs>
        <w:spacing w:line="360" w:lineRule="auto"/>
        <w:ind w:firstLine="420" w:firstLineChars="200"/>
        <w:jc w:val="left"/>
        <w:rPr>
          <w:rFonts w:ascii="宋体" w:hAnsi="宋体"/>
          <w:kern w:val="0"/>
          <w:szCs w:val="21"/>
        </w:rPr>
      </w:pPr>
      <w:r>
        <w:rPr>
          <w:rFonts w:hint="eastAsia" w:ascii="宋体" w:hAnsi="宋体"/>
          <w:kern w:val="0"/>
          <w:szCs w:val="21"/>
        </w:rPr>
        <w:t>在计算调整差额时无现行价格指数的，合同当事人同意暂用前次价格指数计算。实际价格指数有调整的，合同当事人进行相应调整。</w:t>
      </w:r>
    </w:p>
    <w:p>
      <w:pPr>
        <w:tabs>
          <w:tab w:val="left" w:pos="0"/>
          <w:tab w:val="left" w:pos="360"/>
          <w:tab w:val="left" w:pos="540"/>
        </w:tabs>
        <w:spacing w:line="360" w:lineRule="auto"/>
        <w:ind w:firstLine="420" w:firstLineChars="200"/>
        <w:jc w:val="left"/>
        <w:rPr>
          <w:rFonts w:ascii="宋体" w:hAnsi="宋体"/>
          <w:kern w:val="0"/>
          <w:szCs w:val="21"/>
        </w:rPr>
      </w:pPr>
      <w:r>
        <w:rPr>
          <w:rFonts w:hint="eastAsia" w:ascii="宋体" w:hAnsi="宋体"/>
          <w:kern w:val="0"/>
          <w:szCs w:val="21"/>
        </w:rPr>
        <w:t>（3）权重的调整</w:t>
      </w:r>
    </w:p>
    <w:p>
      <w:pPr>
        <w:tabs>
          <w:tab w:val="left" w:pos="0"/>
          <w:tab w:val="left" w:pos="360"/>
          <w:tab w:val="left" w:pos="540"/>
        </w:tabs>
        <w:spacing w:line="360" w:lineRule="auto"/>
        <w:ind w:firstLine="420" w:firstLineChars="200"/>
        <w:jc w:val="left"/>
        <w:rPr>
          <w:rFonts w:ascii="宋体" w:hAnsi="宋体"/>
          <w:kern w:val="0"/>
          <w:szCs w:val="21"/>
        </w:rPr>
      </w:pPr>
      <w:r>
        <w:rPr>
          <w:rFonts w:hint="eastAsia" w:ascii="宋体" w:hAnsi="宋体"/>
          <w:kern w:val="0"/>
          <w:szCs w:val="21"/>
        </w:rPr>
        <w:t>因变更导致合同约定的权重不合理时，按照第4.4款〔商定或确定〕执行。</w:t>
      </w:r>
    </w:p>
    <w:p>
      <w:pPr>
        <w:tabs>
          <w:tab w:val="left" w:pos="0"/>
          <w:tab w:val="left" w:pos="360"/>
          <w:tab w:val="left" w:pos="540"/>
        </w:tabs>
        <w:spacing w:line="360" w:lineRule="auto"/>
        <w:ind w:firstLine="420" w:firstLineChars="200"/>
        <w:jc w:val="left"/>
        <w:rPr>
          <w:rFonts w:ascii="宋体" w:hAnsi="宋体"/>
          <w:kern w:val="0"/>
          <w:szCs w:val="21"/>
        </w:rPr>
      </w:pPr>
      <w:r>
        <w:rPr>
          <w:rFonts w:hint="eastAsia" w:ascii="宋体" w:hAnsi="宋体"/>
          <w:kern w:val="0"/>
          <w:szCs w:val="21"/>
        </w:rPr>
        <w:t>（4）因承包人原因工期延误后的价格调整</w:t>
      </w:r>
    </w:p>
    <w:p>
      <w:pPr>
        <w:tabs>
          <w:tab w:val="left" w:pos="0"/>
          <w:tab w:val="left" w:pos="360"/>
          <w:tab w:val="left" w:pos="540"/>
        </w:tabs>
        <w:spacing w:line="360" w:lineRule="auto"/>
        <w:ind w:firstLine="420" w:firstLineChars="200"/>
        <w:jc w:val="left"/>
        <w:rPr>
          <w:rFonts w:ascii="宋体" w:hAnsi="宋体"/>
          <w:kern w:val="0"/>
          <w:szCs w:val="21"/>
        </w:rPr>
      </w:pPr>
      <w:r>
        <w:rPr>
          <w:rFonts w:hint="eastAsia" w:ascii="宋体" w:hAnsi="宋体"/>
          <w:kern w:val="0"/>
          <w:szCs w:val="21"/>
        </w:rPr>
        <w:t>因承包人原因未按期竣工的，对合同约定的竣工日期后继续施工的工程，在使用价格调整公式时，应采用计划竣工日期与实际竣工日期的两个价格指数中较低的一个作为现行价格指数。</w:t>
      </w:r>
    </w:p>
    <w:p>
      <w:pPr>
        <w:spacing w:line="360" w:lineRule="auto"/>
        <w:ind w:firstLine="420" w:firstLineChars="200"/>
        <w:jc w:val="left"/>
        <w:rPr>
          <w:rFonts w:ascii="宋体" w:hAnsi="宋体"/>
          <w:kern w:val="0"/>
          <w:szCs w:val="21"/>
        </w:rPr>
      </w:pPr>
      <w:r>
        <w:rPr>
          <w:rFonts w:hint="eastAsia" w:ascii="宋体" w:hAnsi="宋体"/>
          <w:kern w:val="0"/>
          <w:szCs w:val="21"/>
        </w:rPr>
        <w:t>第2种方式：采用造价信息进行价格调整。</w:t>
      </w:r>
    </w:p>
    <w:p>
      <w:pPr>
        <w:spacing w:line="360" w:lineRule="auto"/>
        <w:ind w:firstLine="420" w:firstLineChars="200"/>
        <w:jc w:val="left"/>
        <w:rPr>
          <w:rFonts w:ascii="宋体" w:hAnsi="宋体"/>
          <w:kern w:val="0"/>
          <w:szCs w:val="21"/>
        </w:rPr>
      </w:pPr>
      <w:r>
        <w:rPr>
          <w:rFonts w:hint="eastAsia" w:ascii="宋体" w:hAnsi="宋体"/>
          <w:kern w:val="0"/>
          <w:szCs w:val="21"/>
        </w:rPr>
        <w:t>合同履行期间，因人工、材料、工程设备和机械台班价格波动影响合同价格时，人工、机械使用费按照国家或省、自治区、直辖市建设行政管理部门、行业建设管理部门或其授权的工程造价管理机构发布的人工、机械使用费系数进行调整；需要进行价格调整的材料，其单价和采购数量应由发包人审批，发包人确认需调整的材料单价及数量，作为调整合同价格的依据。</w:t>
      </w:r>
    </w:p>
    <w:p>
      <w:pPr>
        <w:spacing w:line="360" w:lineRule="auto"/>
        <w:ind w:firstLine="420" w:firstLineChars="200"/>
        <w:jc w:val="left"/>
        <w:rPr>
          <w:rFonts w:ascii="宋体" w:hAnsi="宋体"/>
          <w:kern w:val="0"/>
          <w:szCs w:val="21"/>
        </w:rPr>
      </w:pPr>
      <w:r>
        <w:rPr>
          <w:rFonts w:hint="eastAsia" w:ascii="宋体" w:hAnsi="宋体"/>
          <w:kern w:val="0"/>
          <w:szCs w:val="21"/>
        </w:rPr>
        <w:t>（1）人工单价发生变化且符合省级或行业建设主管部门发布的人工费调整规定，合同当事人应按省级或行业建设主管部门或其授权的工程造价管理机构发布的人工费等文件调整合同价格，但承包人对人工费或人工单价的报价高于发布价格的除外。</w:t>
      </w:r>
    </w:p>
    <w:p>
      <w:pPr>
        <w:spacing w:line="360" w:lineRule="auto"/>
        <w:ind w:firstLine="420" w:firstLineChars="200"/>
        <w:jc w:val="left"/>
        <w:rPr>
          <w:rFonts w:ascii="宋体" w:hAnsi="宋体"/>
          <w:kern w:val="0"/>
          <w:szCs w:val="21"/>
        </w:rPr>
      </w:pPr>
      <w:r>
        <w:rPr>
          <w:rFonts w:hint="eastAsia" w:ascii="宋体" w:hAnsi="宋体"/>
          <w:kern w:val="0"/>
          <w:szCs w:val="21"/>
        </w:rPr>
        <w:t>（2）材料、工程设备价格变化的价款调整按照发包人提供的基准价格，按以下风险范围规定执行：</w:t>
      </w:r>
    </w:p>
    <w:p>
      <w:pPr>
        <w:spacing w:line="360" w:lineRule="auto"/>
        <w:ind w:firstLine="420" w:firstLineChars="200"/>
        <w:jc w:val="left"/>
        <w:rPr>
          <w:rFonts w:ascii="宋体" w:hAnsi="宋体"/>
          <w:kern w:val="0"/>
          <w:szCs w:val="21"/>
        </w:rPr>
      </w:pPr>
      <w:r>
        <w:rPr>
          <w:rFonts w:hint="eastAsia" w:ascii="宋体" w:hAnsi="宋体"/>
          <w:kern w:val="0"/>
          <w:szCs w:val="21"/>
        </w:rPr>
        <w:t>①承包人在已标价工程量清单或预算书中载明材料单价低于基准价格的：除专用合同条款另有约定外，合同履行期间材料单价涨幅以基准价格为基础超过10%时，或材料单价跌幅以在已标价工程量清单或预算书中载明材料单价为基础超过10%时，其超过部分据实调整。</w:t>
      </w:r>
    </w:p>
    <w:p>
      <w:pPr>
        <w:spacing w:line="360" w:lineRule="auto"/>
        <w:ind w:firstLine="420" w:firstLineChars="200"/>
        <w:jc w:val="left"/>
        <w:rPr>
          <w:rFonts w:ascii="宋体" w:hAnsi="宋体"/>
          <w:kern w:val="0"/>
          <w:szCs w:val="21"/>
        </w:rPr>
      </w:pPr>
      <w:r>
        <w:rPr>
          <w:rFonts w:hint="eastAsia" w:ascii="宋体" w:hAnsi="宋体"/>
          <w:kern w:val="0"/>
          <w:szCs w:val="21"/>
        </w:rPr>
        <w:t>②承包人在已标价工程量清单或预算书中载明材料单价高于基准价格的：除专用合同条款另有约定外，合同履行期间材料单价跌幅以基准价格为基础超过10%时，材料单价涨幅以在已标价工程量清单或预算书中载明材料单价为基础超过10%时，其超过部分据实调整。</w:t>
      </w:r>
    </w:p>
    <w:p>
      <w:pPr>
        <w:spacing w:line="360" w:lineRule="auto"/>
        <w:ind w:firstLine="420" w:firstLineChars="200"/>
        <w:jc w:val="left"/>
        <w:rPr>
          <w:rFonts w:ascii="宋体" w:hAnsi="宋体"/>
          <w:kern w:val="0"/>
          <w:szCs w:val="21"/>
        </w:rPr>
      </w:pPr>
      <w:r>
        <w:rPr>
          <w:rFonts w:hint="eastAsia" w:ascii="宋体" w:hAnsi="宋体"/>
          <w:kern w:val="0"/>
          <w:szCs w:val="21"/>
        </w:rPr>
        <w:t>③承包人在已标价工程量清单或预算书中载明材料单价等于基准价格的：除专用合同条款另有约定外，合同履行期间材料单价涨跌幅以基准价格为基础超过±10%时，其超过部分据实调整。</w:t>
      </w:r>
    </w:p>
    <w:p>
      <w:pPr>
        <w:spacing w:line="360" w:lineRule="auto"/>
        <w:ind w:firstLine="420" w:firstLineChars="200"/>
        <w:jc w:val="left"/>
        <w:rPr>
          <w:rFonts w:ascii="宋体" w:hAnsi="宋体"/>
          <w:kern w:val="0"/>
          <w:szCs w:val="21"/>
        </w:rPr>
      </w:pPr>
      <w:r>
        <w:rPr>
          <w:rFonts w:hint="eastAsia" w:ascii="宋体" w:hAnsi="宋体"/>
          <w:kern w:val="0"/>
          <w:szCs w:val="21"/>
        </w:rPr>
        <w:t>④承包人应在采购材料前将采购数量和新的材料单价报发包人核对，发包人确认用于工程时，发包人应确认采购材料的数量和单价。发包人在收到承包人报送的确认资料后5天内不予答复的视为认可，作为调整合同价格的依据。未经发包人事先核对，承包人自行采购材料的，发包人有权不予调整合同价格。发包人同意的，可以调整合同价格。</w:t>
      </w:r>
    </w:p>
    <w:p>
      <w:pPr>
        <w:spacing w:line="360" w:lineRule="auto"/>
        <w:ind w:firstLine="420" w:firstLineChars="200"/>
        <w:jc w:val="left"/>
        <w:rPr>
          <w:rFonts w:ascii="宋体" w:hAnsi="宋体"/>
          <w:kern w:val="0"/>
          <w:szCs w:val="21"/>
        </w:rPr>
      </w:pPr>
      <w:bookmarkStart w:id="593" w:name="OLE_LINK3"/>
      <w:r>
        <w:rPr>
          <w:rFonts w:hint="eastAsia" w:ascii="宋体" w:hAnsi="宋体"/>
          <w:kern w:val="0"/>
          <w:szCs w:val="21"/>
        </w:rPr>
        <w:t>前述基准价格是指由发包人在招标文件或专用合同条款中给定的材料、工程设备的价格，该价格原则上应当按照省级或行业建设主管部门或其授权的工程造价管理机构发布的信息价编制。</w:t>
      </w:r>
    </w:p>
    <w:p>
      <w:pPr>
        <w:spacing w:line="360" w:lineRule="auto"/>
        <w:ind w:firstLine="420" w:firstLineChars="200"/>
        <w:jc w:val="left"/>
        <w:rPr>
          <w:rFonts w:ascii="宋体" w:hAnsi="宋体"/>
          <w:kern w:val="0"/>
          <w:szCs w:val="21"/>
        </w:rPr>
      </w:pPr>
      <w:r>
        <w:rPr>
          <w:rFonts w:hint="eastAsia" w:ascii="宋体" w:hAnsi="宋体"/>
          <w:kern w:val="0"/>
          <w:szCs w:val="21"/>
        </w:rPr>
        <w:t>（3）施工机械台班单价或施工机械使用费发生变化超过省级或行业建设主管部门或其授权的工程造价管理机构规定的范围时，按规定调整合同价格。</w:t>
      </w:r>
    </w:p>
    <w:p>
      <w:pPr>
        <w:spacing w:line="360" w:lineRule="auto"/>
        <w:ind w:firstLine="420" w:firstLineChars="200"/>
        <w:jc w:val="left"/>
        <w:rPr>
          <w:rFonts w:ascii="宋体" w:hAnsi="宋体"/>
          <w:kern w:val="0"/>
          <w:szCs w:val="21"/>
        </w:rPr>
      </w:pPr>
      <w:r>
        <w:rPr>
          <w:rFonts w:hint="eastAsia" w:ascii="宋体" w:hAnsi="宋体"/>
          <w:kern w:val="0"/>
          <w:szCs w:val="21"/>
        </w:rPr>
        <w:t>第3种方式：专用合同条款约定的其他方式。</w:t>
      </w:r>
    </w:p>
    <w:p>
      <w:pPr>
        <w:pStyle w:val="7"/>
        <w:spacing w:before="0" w:beforeAutospacing="0" w:after="0" w:afterAutospacing="0" w:line="360" w:lineRule="auto"/>
        <w:ind w:firstLine="422" w:firstLineChars="200"/>
        <w:rPr>
          <w:sz w:val="21"/>
          <w:szCs w:val="21"/>
        </w:rPr>
      </w:pPr>
      <w:bookmarkStart w:id="594" w:name="_Toc532377265"/>
      <w:bookmarkStart w:id="595" w:name="_Toc351203579"/>
      <w:bookmarkStart w:id="596" w:name="_Toc296346594"/>
      <w:bookmarkStart w:id="597" w:name="_Toc337558798"/>
      <w:bookmarkStart w:id="598" w:name="_Toc296503093"/>
      <w:r>
        <w:rPr>
          <w:rFonts w:hint="eastAsia"/>
          <w:sz w:val="21"/>
          <w:szCs w:val="21"/>
        </w:rPr>
        <w:t>11.2法律变化引起的调整</w:t>
      </w:r>
      <w:bookmarkEnd w:id="594"/>
      <w:bookmarkEnd w:id="595"/>
    </w:p>
    <w:bookmarkEnd w:id="596"/>
    <w:bookmarkEnd w:id="597"/>
    <w:bookmarkEnd w:id="598"/>
    <w:p>
      <w:pPr>
        <w:spacing w:line="360" w:lineRule="auto"/>
        <w:ind w:firstLine="420" w:firstLineChars="200"/>
        <w:jc w:val="left"/>
        <w:rPr>
          <w:rFonts w:ascii="宋体" w:hAnsi="宋体"/>
          <w:kern w:val="0"/>
          <w:szCs w:val="21"/>
        </w:rPr>
      </w:pPr>
      <w:r>
        <w:rPr>
          <w:rFonts w:hint="eastAsia" w:ascii="宋体" w:hAnsi="宋体"/>
          <w:kern w:val="0"/>
          <w:szCs w:val="21"/>
        </w:rPr>
        <w:t>基准日期后，法律变化导致承包人在合同履行过程中所需要的费用发生除第11.1款〔市场价格波动引起的调整〕约定以外的增加时，由发包人承担由此增加的费用；减少时，应从合同价格中予以扣减。基准日期后，因法律变化造成工期延误时，工期应予以顺延。</w:t>
      </w:r>
    </w:p>
    <w:p>
      <w:pPr>
        <w:spacing w:line="360" w:lineRule="auto"/>
        <w:ind w:firstLine="420" w:firstLineChars="200"/>
        <w:jc w:val="left"/>
        <w:rPr>
          <w:rFonts w:ascii="宋体" w:hAnsi="宋体"/>
          <w:kern w:val="0"/>
          <w:szCs w:val="21"/>
        </w:rPr>
      </w:pPr>
      <w:r>
        <w:rPr>
          <w:rFonts w:hint="eastAsia" w:ascii="宋体" w:hAnsi="宋体"/>
          <w:kern w:val="0"/>
          <w:szCs w:val="21"/>
        </w:rPr>
        <w:t>因法律变化引起的合同价格和工期调整，合同当事人无法达成一致的，由总监理工程师按第4.4款〔商定或确定〕的约定处理。</w:t>
      </w:r>
    </w:p>
    <w:p>
      <w:pPr>
        <w:spacing w:line="360" w:lineRule="auto"/>
        <w:ind w:firstLine="420" w:firstLineChars="200"/>
        <w:jc w:val="left"/>
        <w:rPr>
          <w:rFonts w:ascii="宋体" w:hAnsi="宋体"/>
          <w:kern w:val="0"/>
          <w:szCs w:val="21"/>
        </w:rPr>
      </w:pPr>
      <w:r>
        <w:rPr>
          <w:rFonts w:hint="eastAsia" w:ascii="宋体" w:hAnsi="宋体"/>
          <w:kern w:val="0"/>
          <w:szCs w:val="21"/>
        </w:rPr>
        <w:t>因承包人原因造成工期延误，在工期延误期间出现法律变化的，由此增加的费用和（或）延误的工期由承包人承担。</w:t>
      </w:r>
    </w:p>
    <w:p>
      <w:pPr>
        <w:pStyle w:val="6"/>
        <w:spacing w:before="156" w:beforeLines="50" w:beforeAutospacing="0" w:after="156" w:afterLines="50" w:afterAutospacing="0" w:line="360" w:lineRule="auto"/>
        <w:jc w:val="both"/>
        <w:rPr>
          <w:bCs w:val="0"/>
          <w:kern w:val="2"/>
          <w:sz w:val="21"/>
          <w:szCs w:val="21"/>
        </w:rPr>
      </w:pPr>
      <w:bookmarkStart w:id="599" w:name="_Toc532377266"/>
      <w:bookmarkStart w:id="600" w:name="_Toc351203580"/>
      <w:bookmarkStart w:id="601" w:name="_Toc532375598"/>
      <w:bookmarkStart w:id="602" w:name="_Toc337558799"/>
      <w:bookmarkStart w:id="603" w:name="_Toc296346597"/>
      <w:bookmarkStart w:id="604" w:name="_Toc296503096"/>
      <w:r>
        <w:rPr>
          <w:rFonts w:hint="eastAsia"/>
          <w:kern w:val="2"/>
          <w:sz w:val="21"/>
          <w:szCs w:val="21"/>
        </w:rPr>
        <w:t>12. 合同价格、计量与支付</w:t>
      </w:r>
      <w:bookmarkEnd w:id="599"/>
      <w:bookmarkEnd w:id="600"/>
      <w:bookmarkEnd w:id="601"/>
    </w:p>
    <w:bookmarkEnd w:id="602"/>
    <w:p>
      <w:pPr>
        <w:pStyle w:val="7"/>
        <w:spacing w:before="0" w:beforeAutospacing="0" w:after="0" w:afterAutospacing="0" w:line="360" w:lineRule="auto"/>
        <w:ind w:firstLine="422" w:firstLineChars="200"/>
        <w:rPr>
          <w:sz w:val="21"/>
          <w:szCs w:val="21"/>
        </w:rPr>
      </w:pPr>
      <w:bookmarkStart w:id="605" w:name="_Toc351203581"/>
      <w:bookmarkStart w:id="606" w:name="_Toc532377267"/>
      <w:bookmarkStart w:id="607" w:name="_Toc337558800"/>
      <w:r>
        <w:rPr>
          <w:rFonts w:hint="eastAsia"/>
          <w:sz w:val="21"/>
          <w:szCs w:val="21"/>
        </w:rPr>
        <w:t>12.1 合同价</w:t>
      </w:r>
      <w:bookmarkEnd w:id="603"/>
      <w:bookmarkEnd w:id="604"/>
      <w:r>
        <w:rPr>
          <w:rFonts w:hint="eastAsia"/>
          <w:sz w:val="21"/>
          <w:szCs w:val="21"/>
        </w:rPr>
        <w:t>格形式</w:t>
      </w:r>
      <w:bookmarkEnd w:id="605"/>
      <w:bookmarkEnd w:id="606"/>
    </w:p>
    <w:bookmarkEnd w:id="607"/>
    <w:p>
      <w:pPr>
        <w:spacing w:line="360" w:lineRule="auto"/>
        <w:ind w:firstLine="420" w:firstLineChars="200"/>
        <w:jc w:val="left"/>
        <w:rPr>
          <w:rFonts w:ascii="宋体" w:hAnsi="宋体"/>
          <w:kern w:val="0"/>
          <w:szCs w:val="21"/>
        </w:rPr>
      </w:pPr>
      <w:r>
        <w:rPr>
          <w:rFonts w:hint="eastAsia" w:ascii="宋体" w:hAnsi="宋体"/>
          <w:kern w:val="0"/>
          <w:szCs w:val="21"/>
        </w:rPr>
        <w:t xml:space="preserve">发包人和承包人应在合同协议书中选择下列一种合同价格形式： </w:t>
      </w:r>
    </w:p>
    <w:p>
      <w:pPr>
        <w:spacing w:line="360" w:lineRule="auto"/>
        <w:ind w:firstLine="420" w:firstLineChars="200"/>
        <w:jc w:val="left"/>
        <w:rPr>
          <w:rFonts w:ascii="宋体" w:hAnsi="宋体"/>
          <w:kern w:val="0"/>
          <w:szCs w:val="21"/>
        </w:rPr>
      </w:pPr>
      <w:r>
        <w:rPr>
          <w:rFonts w:hint="eastAsia" w:ascii="宋体" w:hAnsi="宋体"/>
          <w:kern w:val="0"/>
          <w:szCs w:val="21"/>
        </w:rPr>
        <w:t>1.单价合同</w:t>
      </w:r>
    </w:p>
    <w:p>
      <w:pPr>
        <w:spacing w:line="360" w:lineRule="auto"/>
        <w:ind w:firstLine="420" w:firstLineChars="200"/>
        <w:jc w:val="left"/>
        <w:rPr>
          <w:rFonts w:ascii="宋体" w:hAnsi="宋体"/>
          <w:kern w:val="0"/>
          <w:szCs w:val="21"/>
        </w:rPr>
      </w:pPr>
      <w:r>
        <w:rPr>
          <w:rFonts w:hint="eastAsia" w:ascii="宋体" w:hAnsi="宋体"/>
          <w:kern w:val="0"/>
          <w:szCs w:val="21"/>
        </w:rPr>
        <w:t>单价合同是指合同当事人约定以工程量清单及其综合单价进行合同价格计算、调整和确认的建设工程施工合同，在约定的范围内合同单价不作调整。合同当事人应在专用合同条款中约定综合单价包含的风险范围和风险费用的计算方法，并约定风险范围以外的合同价格的调整方法，其中因市场价格波动引起的调整按第11.1款〔市场价格波动引起的调整〕约定执行。</w:t>
      </w:r>
    </w:p>
    <w:p>
      <w:pPr>
        <w:pStyle w:val="7"/>
        <w:spacing w:before="0" w:beforeAutospacing="0" w:after="0" w:afterAutospacing="0" w:line="360" w:lineRule="auto"/>
        <w:ind w:firstLine="420" w:firstLineChars="200"/>
        <w:rPr>
          <w:b w:val="0"/>
          <w:sz w:val="21"/>
          <w:szCs w:val="21"/>
        </w:rPr>
      </w:pPr>
      <w:bookmarkStart w:id="608" w:name="_Toc532377268"/>
      <w:r>
        <w:rPr>
          <w:rFonts w:hint="eastAsia"/>
          <w:b w:val="0"/>
          <w:sz w:val="21"/>
          <w:szCs w:val="21"/>
        </w:rPr>
        <w:t>2.总价合同</w:t>
      </w:r>
      <w:bookmarkEnd w:id="608"/>
    </w:p>
    <w:p>
      <w:pPr>
        <w:spacing w:line="360" w:lineRule="auto"/>
        <w:ind w:firstLine="420" w:firstLineChars="200"/>
        <w:jc w:val="left"/>
        <w:rPr>
          <w:rFonts w:ascii="宋体" w:hAnsi="宋体"/>
          <w:kern w:val="0"/>
          <w:szCs w:val="21"/>
        </w:rPr>
      </w:pPr>
      <w:r>
        <w:rPr>
          <w:rFonts w:hint="eastAsia" w:ascii="宋体" w:hAnsi="宋体"/>
          <w:kern w:val="0"/>
          <w:szCs w:val="21"/>
        </w:rPr>
        <w:t>总价合同是指合同当事人约定以施工图、已标价工程量清单或预算书及有关条件进行合同价格计算、调整和确认的建设工程施工合同，在约定的范围内合同总价不作调整。合同当事人应在专用合同条款中约定总价包含的风险范围和风险费用的计算方法，并约定风险范围以外的合同价格的调整方法，其中因市场价格波动引起的调整按第11.1款〔市场价格波动引起的调整〕、因法律变化引起的调整按第11.2款〔法律变化引起的调整〕约定执行。</w:t>
      </w:r>
    </w:p>
    <w:p>
      <w:pPr>
        <w:pStyle w:val="7"/>
        <w:spacing w:before="0" w:beforeAutospacing="0" w:after="0" w:afterAutospacing="0" w:line="360" w:lineRule="auto"/>
        <w:ind w:firstLine="420" w:firstLineChars="200"/>
        <w:rPr>
          <w:b w:val="0"/>
          <w:sz w:val="21"/>
          <w:szCs w:val="21"/>
        </w:rPr>
      </w:pPr>
      <w:bookmarkStart w:id="609" w:name="_Toc532377269"/>
      <w:r>
        <w:rPr>
          <w:rFonts w:hint="eastAsia"/>
          <w:b w:val="0"/>
          <w:sz w:val="21"/>
          <w:szCs w:val="21"/>
        </w:rPr>
        <w:t>3.其它价格形式</w:t>
      </w:r>
      <w:bookmarkEnd w:id="609"/>
    </w:p>
    <w:p>
      <w:pPr>
        <w:spacing w:line="360" w:lineRule="auto"/>
        <w:ind w:firstLine="420" w:firstLineChars="200"/>
        <w:jc w:val="left"/>
        <w:rPr>
          <w:rFonts w:ascii="宋体" w:hAnsi="宋体"/>
          <w:kern w:val="0"/>
          <w:szCs w:val="21"/>
        </w:rPr>
      </w:pPr>
      <w:r>
        <w:rPr>
          <w:rFonts w:hint="eastAsia" w:ascii="宋体" w:hAnsi="宋体"/>
          <w:kern w:val="0"/>
          <w:szCs w:val="21"/>
        </w:rPr>
        <w:t>合同当事人可在专用合同条款中约定其他合同价格形式。</w:t>
      </w:r>
    </w:p>
    <w:p>
      <w:pPr>
        <w:pStyle w:val="7"/>
        <w:spacing w:before="0" w:beforeAutospacing="0" w:after="0" w:afterAutospacing="0" w:line="360" w:lineRule="auto"/>
        <w:ind w:firstLine="422" w:firstLineChars="200"/>
        <w:rPr>
          <w:sz w:val="21"/>
          <w:szCs w:val="21"/>
        </w:rPr>
      </w:pPr>
      <w:bookmarkStart w:id="610" w:name="_Toc296503097"/>
      <w:bookmarkStart w:id="611" w:name="_Toc296346598"/>
      <w:bookmarkStart w:id="612" w:name="_Toc532377270"/>
      <w:bookmarkStart w:id="613" w:name="_Toc351203582"/>
      <w:bookmarkStart w:id="614" w:name="_Toc337558801"/>
      <w:r>
        <w:rPr>
          <w:rFonts w:hint="eastAsia"/>
          <w:sz w:val="21"/>
          <w:szCs w:val="21"/>
        </w:rPr>
        <w:t>12.2预</w:t>
      </w:r>
      <w:bookmarkEnd w:id="610"/>
      <w:bookmarkEnd w:id="611"/>
      <w:bookmarkStart w:id="615" w:name="_Toc296503100"/>
      <w:bookmarkStart w:id="616" w:name="_Toc296346601"/>
      <w:r>
        <w:rPr>
          <w:rFonts w:hint="eastAsia"/>
          <w:sz w:val="21"/>
          <w:szCs w:val="21"/>
        </w:rPr>
        <w:t>付款</w:t>
      </w:r>
      <w:bookmarkEnd w:id="612"/>
      <w:bookmarkEnd w:id="613"/>
    </w:p>
    <w:bookmarkEnd w:id="614"/>
    <w:bookmarkEnd w:id="615"/>
    <w:bookmarkEnd w:id="616"/>
    <w:p>
      <w:pPr>
        <w:spacing w:line="360" w:lineRule="auto"/>
        <w:ind w:firstLine="420" w:firstLineChars="200"/>
        <w:jc w:val="left"/>
        <w:rPr>
          <w:rFonts w:ascii="宋体" w:hAnsi="宋体"/>
          <w:kern w:val="0"/>
          <w:szCs w:val="21"/>
        </w:rPr>
      </w:pPr>
      <w:r>
        <w:rPr>
          <w:rFonts w:hint="eastAsia" w:ascii="宋体" w:hAnsi="宋体"/>
          <w:kern w:val="0"/>
          <w:szCs w:val="21"/>
        </w:rPr>
        <w:t>12.2.1预付款的支付</w:t>
      </w:r>
    </w:p>
    <w:p>
      <w:pPr>
        <w:spacing w:line="360" w:lineRule="auto"/>
        <w:ind w:firstLine="420" w:firstLineChars="200"/>
        <w:jc w:val="left"/>
        <w:rPr>
          <w:rFonts w:ascii="宋体" w:hAnsi="宋体"/>
          <w:kern w:val="0"/>
          <w:szCs w:val="21"/>
        </w:rPr>
      </w:pPr>
      <w:r>
        <w:rPr>
          <w:rFonts w:hint="eastAsia" w:ascii="宋体" w:hAnsi="宋体"/>
          <w:kern w:val="0"/>
          <w:szCs w:val="21"/>
        </w:rPr>
        <w:t>预付款的支付按照专用合同条款约定执行，但至迟应在开工通知载明的开工日期7天前支付。预付款应当用于材料、工程设备、施工设备的采购及修建临时工程、组织施工队伍进场等。</w:t>
      </w:r>
    </w:p>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除专用合同条款另有约定外，预付款在进度付款中同比例扣回。</w:t>
      </w:r>
      <w:bookmarkEnd w:id="593"/>
      <w:r>
        <w:rPr>
          <w:rFonts w:hint="eastAsia" w:ascii="宋体" w:hAnsi="宋体"/>
          <w:kern w:val="0"/>
          <w:szCs w:val="21"/>
        </w:rPr>
        <w:t>在颁发工程接收证书前，提前解除合同的，尚未扣完的预付款应与合同价款一并结算。</w:t>
      </w:r>
    </w:p>
    <w:p>
      <w:pPr>
        <w:spacing w:line="360" w:lineRule="auto"/>
        <w:ind w:firstLine="420" w:firstLineChars="200"/>
        <w:jc w:val="left"/>
        <w:rPr>
          <w:rFonts w:ascii="宋体" w:hAnsi="宋体"/>
          <w:kern w:val="0"/>
          <w:szCs w:val="21"/>
        </w:rPr>
      </w:pPr>
      <w:r>
        <w:rPr>
          <w:rFonts w:hint="eastAsia" w:ascii="宋体" w:hAnsi="宋体"/>
          <w:kern w:val="0"/>
          <w:szCs w:val="21"/>
        </w:rPr>
        <w:t>发包人逾期支付预付款超过7天的，承包人有权向发包人发出要求预付的催告通知，发包人收到通知后7天内仍未支付的，承包人有权暂停施工，并按第16.1.1项〔发包人违约的情形〕执行。</w:t>
      </w:r>
    </w:p>
    <w:p>
      <w:pPr>
        <w:spacing w:line="360" w:lineRule="auto"/>
        <w:ind w:firstLine="420" w:firstLineChars="200"/>
        <w:jc w:val="left"/>
        <w:rPr>
          <w:rFonts w:ascii="宋体" w:hAnsi="宋体"/>
          <w:kern w:val="0"/>
          <w:szCs w:val="21"/>
        </w:rPr>
      </w:pPr>
      <w:r>
        <w:rPr>
          <w:rFonts w:hint="eastAsia" w:ascii="宋体" w:hAnsi="宋体"/>
          <w:kern w:val="0"/>
          <w:szCs w:val="21"/>
        </w:rPr>
        <w:t>12.2.2 预付款担保</w:t>
      </w:r>
    </w:p>
    <w:p>
      <w:pPr>
        <w:spacing w:line="360" w:lineRule="auto"/>
        <w:ind w:firstLine="420" w:firstLineChars="200"/>
        <w:jc w:val="left"/>
        <w:rPr>
          <w:rFonts w:ascii="宋体" w:hAnsi="宋体"/>
          <w:kern w:val="0"/>
          <w:szCs w:val="21"/>
        </w:rPr>
      </w:pPr>
      <w:r>
        <w:rPr>
          <w:rFonts w:hint="eastAsia" w:ascii="宋体" w:hAnsi="宋体"/>
          <w:kern w:val="0"/>
          <w:szCs w:val="21"/>
        </w:rPr>
        <w:t>发包人要求承包人提供预付款担保的，承包人应在发包人支付预付款7天前提供预付款担保，专用合同条款另有约定除外。预付款担保可采用银行保函、担保公司担保等形式，具体由合同当事人在专用合同条款中约定。在预付款完全扣回之前，承包人应保证预付款担保持续有效。</w:t>
      </w:r>
    </w:p>
    <w:p>
      <w:pPr>
        <w:spacing w:line="360" w:lineRule="auto"/>
        <w:ind w:firstLine="420" w:firstLineChars="200"/>
        <w:jc w:val="left"/>
        <w:rPr>
          <w:rFonts w:ascii="宋体" w:hAnsi="宋体"/>
          <w:kern w:val="0"/>
          <w:szCs w:val="21"/>
        </w:rPr>
      </w:pPr>
      <w:r>
        <w:rPr>
          <w:rFonts w:hint="eastAsia" w:ascii="宋体" w:hAnsi="宋体"/>
          <w:kern w:val="0"/>
          <w:szCs w:val="21"/>
        </w:rPr>
        <w:t>发包人在工程款中逐期扣回预付款后，预付款担保额度应相应减少，但剩余的预付款担保金额不得低于未被扣回的预付款金额。</w:t>
      </w:r>
    </w:p>
    <w:p>
      <w:pPr>
        <w:pStyle w:val="7"/>
        <w:spacing w:before="0" w:beforeAutospacing="0" w:after="0" w:afterAutospacing="0" w:line="360" w:lineRule="auto"/>
        <w:ind w:firstLine="422" w:firstLineChars="200"/>
        <w:rPr>
          <w:sz w:val="21"/>
          <w:szCs w:val="21"/>
        </w:rPr>
      </w:pPr>
      <w:bookmarkStart w:id="617" w:name="_Toc351203583"/>
      <w:bookmarkStart w:id="618" w:name="_Toc532377271"/>
      <w:bookmarkStart w:id="619" w:name="_Toc337558802"/>
      <w:r>
        <w:rPr>
          <w:rFonts w:hint="eastAsia"/>
          <w:sz w:val="21"/>
          <w:szCs w:val="21"/>
        </w:rPr>
        <w:t>12.3计量</w:t>
      </w:r>
      <w:bookmarkEnd w:id="617"/>
      <w:bookmarkEnd w:id="618"/>
    </w:p>
    <w:bookmarkEnd w:id="619"/>
    <w:p>
      <w:pPr>
        <w:spacing w:line="360" w:lineRule="auto"/>
        <w:ind w:firstLine="420" w:firstLineChars="200"/>
        <w:jc w:val="left"/>
        <w:rPr>
          <w:rFonts w:ascii="宋体" w:hAnsi="宋体"/>
          <w:kern w:val="0"/>
          <w:szCs w:val="21"/>
        </w:rPr>
      </w:pPr>
      <w:r>
        <w:rPr>
          <w:rFonts w:hint="eastAsia" w:ascii="宋体" w:hAnsi="宋体"/>
          <w:kern w:val="0"/>
          <w:szCs w:val="21"/>
        </w:rPr>
        <w:t>12.3.1 计量原则</w:t>
      </w:r>
    </w:p>
    <w:p>
      <w:pPr>
        <w:spacing w:line="360" w:lineRule="auto"/>
        <w:ind w:firstLine="420" w:firstLineChars="200"/>
        <w:jc w:val="left"/>
        <w:rPr>
          <w:rFonts w:ascii="宋体" w:hAnsi="宋体"/>
          <w:kern w:val="0"/>
          <w:szCs w:val="21"/>
        </w:rPr>
      </w:pPr>
      <w:r>
        <w:rPr>
          <w:rFonts w:hint="eastAsia" w:ascii="宋体" w:hAnsi="宋体"/>
          <w:kern w:val="0"/>
          <w:szCs w:val="21"/>
        </w:rPr>
        <w:t>工程量计量按照合同约定的工程量计算规则、图纸及变更指示等进行计量。工程量计算规则应以相关的国家标准、行业标准等为依据，由合同当事人在专用合同条款中约定。</w:t>
      </w:r>
    </w:p>
    <w:p>
      <w:pPr>
        <w:spacing w:line="360" w:lineRule="auto"/>
        <w:ind w:firstLine="420" w:firstLineChars="200"/>
        <w:jc w:val="left"/>
        <w:rPr>
          <w:rFonts w:ascii="宋体" w:hAnsi="宋体"/>
          <w:kern w:val="0"/>
          <w:szCs w:val="21"/>
        </w:rPr>
      </w:pPr>
      <w:r>
        <w:rPr>
          <w:rFonts w:hint="eastAsia" w:ascii="宋体" w:hAnsi="宋体"/>
          <w:kern w:val="0"/>
          <w:szCs w:val="21"/>
        </w:rPr>
        <w:t>12.3.2 计量周期</w:t>
      </w:r>
    </w:p>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除专用合同条款另有约定外，工程量的计量按月进行。</w:t>
      </w:r>
    </w:p>
    <w:p>
      <w:pPr>
        <w:spacing w:line="360" w:lineRule="auto"/>
        <w:ind w:firstLine="420" w:firstLineChars="200"/>
        <w:jc w:val="left"/>
        <w:rPr>
          <w:rFonts w:ascii="宋体" w:hAnsi="宋体"/>
          <w:kern w:val="0"/>
          <w:szCs w:val="21"/>
        </w:rPr>
      </w:pPr>
      <w:r>
        <w:rPr>
          <w:rFonts w:hint="eastAsia" w:ascii="宋体" w:hAnsi="宋体"/>
          <w:kern w:val="0"/>
          <w:szCs w:val="21"/>
        </w:rPr>
        <w:t>12.3.3 单价合同的计量</w:t>
      </w:r>
    </w:p>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除专用合同条款另有约定外，单价合同的计量按照本项约定执行：</w:t>
      </w:r>
    </w:p>
    <w:p>
      <w:pPr>
        <w:spacing w:line="360" w:lineRule="auto"/>
        <w:ind w:firstLine="420" w:firstLineChars="200"/>
        <w:jc w:val="left"/>
        <w:rPr>
          <w:rFonts w:ascii="宋体" w:hAnsi="宋体"/>
          <w:kern w:val="0"/>
          <w:szCs w:val="21"/>
        </w:rPr>
      </w:pPr>
      <w:r>
        <w:rPr>
          <w:rFonts w:hint="eastAsia" w:ascii="宋体" w:hAnsi="宋体"/>
          <w:kern w:val="0"/>
          <w:szCs w:val="21"/>
        </w:rPr>
        <w:t>（1）承包人应于每月25日向监理人报送上月20日至当月19日已完成的工程量报告，并附具进度付款申请单、已完成工程量报表和有关资料。</w:t>
      </w:r>
    </w:p>
    <w:p>
      <w:pPr>
        <w:spacing w:line="360" w:lineRule="auto"/>
        <w:ind w:firstLine="420" w:firstLineChars="200"/>
        <w:jc w:val="left"/>
        <w:rPr>
          <w:rFonts w:ascii="宋体" w:hAnsi="宋体"/>
          <w:kern w:val="0"/>
          <w:szCs w:val="21"/>
        </w:rPr>
      </w:pPr>
      <w:r>
        <w:rPr>
          <w:rFonts w:hint="eastAsia" w:ascii="宋体" w:hAnsi="宋体"/>
          <w:kern w:val="0"/>
          <w:szCs w:val="21"/>
        </w:rPr>
        <w:t>（2）监理人应在收到承包人提交的工程量报告后7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复核或修正的工程量视为承包人实际完成的工程量。</w:t>
      </w:r>
    </w:p>
    <w:p>
      <w:pPr>
        <w:spacing w:line="360" w:lineRule="auto"/>
        <w:ind w:firstLine="420" w:firstLineChars="200"/>
        <w:jc w:val="left"/>
        <w:rPr>
          <w:rFonts w:ascii="宋体" w:hAnsi="宋体"/>
          <w:kern w:val="0"/>
          <w:szCs w:val="21"/>
        </w:rPr>
      </w:pPr>
      <w:r>
        <w:rPr>
          <w:rFonts w:hint="eastAsia" w:ascii="宋体" w:hAnsi="宋体"/>
          <w:kern w:val="0"/>
          <w:szCs w:val="21"/>
        </w:rPr>
        <w:t>（3）监理人未在收到承包人提交的工程量报表后的7天内完成审核的，承包人报送的工程量报告中的工程量视为承包人实际完成的工程量，据此计算工程价款。</w:t>
      </w:r>
    </w:p>
    <w:p>
      <w:pPr>
        <w:spacing w:line="360" w:lineRule="auto"/>
        <w:ind w:firstLine="420" w:firstLineChars="200"/>
        <w:jc w:val="left"/>
        <w:rPr>
          <w:rFonts w:ascii="宋体" w:hAnsi="宋体"/>
          <w:kern w:val="0"/>
          <w:szCs w:val="21"/>
        </w:rPr>
      </w:pPr>
      <w:r>
        <w:rPr>
          <w:rFonts w:hint="eastAsia" w:ascii="宋体" w:hAnsi="宋体"/>
          <w:kern w:val="0"/>
          <w:szCs w:val="21"/>
        </w:rPr>
        <w:t>12.3.4 总价合同的计量</w:t>
      </w:r>
    </w:p>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除专用合同条款另有约定外，按月计量支付的总价合同，按照本项约定执行：</w:t>
      </w:r>
    </w:p>
    <w:p>
      <w:pPr>
        <w:spacing w:line="360" w:lineRule="auto"/>
        <w:ind w:firstLine="420" w:firstLineChars="200"/>
        <w:jc w:val="left"/>
        <w:rPr>
          <w:rFonts w:ascii="宋体" w:hAnsi="宋体"/>
          <w:kern w:val="0"/>
          <w:szCs w:val="21"/>
        </w:rPr>
      </w:pPr>
      <w:r>
        <w:rPr>
          <w:rFonts w:hint="eastAsia" w:ascii="宋体" w:hAnsi="宋体"/>
          <w:kern w:val="0"/>
          <w:szCs w:val="21"/>
        </w:rPr>
        <w:t>（1）承包人应于每月25日向监理人报送上月20日至当月19日已完成的工程量报告，并附具进度付款申请单、已完成工程量报表和有关资料。</w:t>
      </w:r>
    </w:p>
    <w:p>
      <w:pPr>
        <w:spacing w:line="360" w:lineRule="auto"/>
        <w:ind w:firstLine="420" w:firstLineChars="200"/>
        <w:jc w:val="left"/>
        <w:rPr>
          <w:rFonts w:ascii="宋体" w:hAnsi="宋体"/>
          <w:kern w:val="0"/>
          <w:szCs w:val="21"/>
        </w:rPr>
      </w:pPr>
      <w:r>
        <w:rPr>
          <w:rFonts w:hint="eastAsia" w:ascii="宋体" w:hAnsi="宋体"/>
          <w:kern w:val="0"/>
          <w:szCs w:val="21"/>
        </w:rPr>
        <w:t>（2）监理人应在收到承包人提交的工程量报告后7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审核或修正的工程量视为承包人实际完成的工程量。</w:t>
      </w:r>
    </w:p>
    <w:p>
      <w:pPr>
        <w:spacing w:line="360" w:lineRule="auto"/>
        <w:ind w:firstLine="420" w:firstLineChars="200"/>
        <w:jc w:val="left"/>
        <w:rPr>
          <w:rFonts w:ascii="宋体" w:hAnsi="宋体"/>
          <w:kern w:val="0"/>
          <w:szCs w:val="21"/>
        </w:rPr>
      </w:pPr>
      <w:r>
        <w:rPr>
          <w:rFonts w:hint="eastAsia" w:ascii="宋体" w:hAnsi="宋体"/>
          <w:kern w:val="0"/>
          <w:szCs w:val="21"/>
        </w:rPr>
        <w:t>（3）监理人未在收到承包人提交的工程量报表后的7天内完成复核的，承包人提交的工程量报告中的工程量视为承包人实际完成的工程量。</w:t>
      </w:r>
    </w:p>
    <w:p>
      <w:pPr>
        <w:spacing w:line="360" w:lineRule="auto"/>
        <w:ind w:firstLine="420" w:firstLineChars="200"/>
        <w:jc w:val="left"/>
        <w:rPr>
          <w:rFonts w:ascii="宋体" w:hAnsi="宋体"/>
          <w:kern w:val="0"/>
          <w:szCs w:val="21"/>
        </w:rPr>
      </w:pPr>
      <w:r>
        <w:rPr>
          <w:rFonts w:hint="eastAsia" w:ascii="宋体" w:hAnsi="宋体"/>
          <w:kern w:val="0"/>
          <w:szCs w:val="21"/>
        </w:rPr>
        <w:t>12.3.5 总价合同采用支付分解表计量支付的，可以按照第12.3.4项〔总价合同的计量〕约定进行计量，但合同价款按照支付分解表进行支付。</w:t>
      </w:r>
    </w:p>
    <w:p>
      <w:pPr>
        <w:spacing w:line="360" w:lineRule="auto"/>
        <w:ind w:firstLine="420" w:firstLineChars="200"/>
        <w:jc w:val="left"/>
        <w:rPr>
          <w:rFonts w:ascii="宋体" w:hAnsi="宋体"/>
          <w:kern w:val="0"/>
          <w:szCs w:val="21"/>
        </w:rPr>
      </w:pPr>
      <w:r>
        <w:rPr>
          <w:rFonts w:hint="eastAsia" w:ascii="宋体" w:hAnsi="宋体"/>
          <w:kern w:val="0"/>
          <w:szCs w:val="21"/>
        </w:rPr>
        <w:t>12.3.6 其他价格形式合同的计量</w:t>
      </w:r>
    </w:p>
    <w:p>
      <w:pPr>
        <w:spacing w:line="360" w:lineRule="auto"/>
        <w:ind w:firstLine="420" w:firstLineChars="200"/>
        <w:jc w:val="left"/>
        <w:rPr>
          <w:rFonts w:ascii="宋体" w:hAnsi="宋体"/>
          <w:kern w:val="0"/>
          <w:szCs w:val="21"/>
        </w:rPr>
      </w:pPr>
      <w:r>
        <w:rPr>
          <w:rFonts w:hint="eastAsia" w:ascii="宋体" w:hAnsi="宋体"/>
          <w:kern w:val="0"/>
          <w:szCs w:val="21"/>
        </w:rPr>
        <w:t>合同当事人可在专用合同条款中约定其他价格形式合同的计量方式和程序。</w:t>
      </w:r>
    </w:p>
    <w:p>
      <w:pPr>
        <w:pStyle w:val="7"/>
        <w:spacing w:before="0" w:beforeAutospacing="0" w:after="0" w:afterAutospacing="0" w:line="360" w:lineRule="auto"/>
        <w:ind w:firstLine="422" w:firstLineChars="200"/>
        <w:rPr>
          <w:sz w:val="21"/>
          <w:szCs w:val="21"/>
        </w:rPr>
      </w:pPr>
      <w:bookmarkStart w:id="620" w:name="_Toc296503101"/>
      <w:bookmarkStart w:id="621" w:name="_Toc296346602"/>
      <w:bookmarkStart w:id="622" w:name="_Toc351203584"/>
      <w:bookmarkStart w:id="623" w:name="_Toc532377272"/>
      <w:bookmarkStart w:id="624" w:name="_Toc337558803"/>
      <w:r>
        <w:rPr>
          <w:rFonts w:hint="eastAsia"/>
          <w:sz w:val="21"/>
          <w:szCs w:val="21"/>
        </w:rPr>
        <w:t>12.4工程进度款支</w:t>
      </w:r>
      <w:bookmarkEnd w:id="620"/>
      <w:bookmarkEnd w:id="621"/>
      <w:r>
        <w:rPr>
          <w:rFonts w:hint="eastAsia"/>
          <w:sz w:val="21"/>
          <w:szCs w:val="21"/>
        </w:rPr>
        <w:t>付</w:t>
      </w:r>
      <w:bookmarkEnd w:id="622"/>
      <w:bookmarkEnd w:id="623"/>
    </w:p>
    <w:bookmarkEnd w:id="624"/>
    <w:p>
      <w:pPr>
        <w:spacing w:line="360" w:lineRule="auto"/>
        <w:ind w:firstLine="420" w:firstLineChars="200"/>
        <w:jc w:val="left"/>
        <w:rPr>
          <w:rFonts w:ascii="宋体" w:hAnsi="宋体"/>
          <w:kern w:val="0"/>
          <w:szCs w:val="21"/>
        </w:rPr>
      </w:pPr>
      <w:r>
        <w:rPr>
          <w:rFonts w:hint="eastAsia" w:ascii="宋体" w:hAnsi="宋体"/>
          <w:kern w:val="0"/>
          <w:szCs w:val="21"/>
        </w:rPr>
        <w:t>12.4.1 付款周期</w:t>
      </w:r>
    </w:p>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除专用合同条款另有约定外，付款周期应按照第12.3.2项〔计量周期〕的约定与计量周期保持一致。</w:t>
      </w:r>
    </w:p>
    <w:p>
      <w:pPr>
        <w:spacing w:line="360" w:lineRule="auto"/>
        <w:ind w:firstLine="420" w:firstLineChars="200"/>
        <w:jc w:val="left"/>
        <w:rPr>
          <w:rFonts w:ascii="宋体" w:hAnsi="宋体"/>
          <w:kern w:val="0"/>
          <w:szCs w:val="21"/>
        </w:rPr>
      </w:pPr>
      <w:r>
        <w:rPr>
          <w:rFonts w:hint="eastAsia" w:ascii="宋体" w:hAnsi="宋体"/>
          <w:kern w:val="0"/>
          <w:szCs w:val="21"/>
        </w:rPr>
        <w:t>12.4.2 进度付款申请单的编制</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除专用合同条款另有约定外，进度付款申请单应包括下列内容：</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（1）截至本次付款周期已完成工作对应的金额；</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（2）根据第10条〔变更〕应增加和扣减的变更金额；</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（3）根据第12.2款〔预付款〕约定应支付的预付款和扣减的返还预付款；</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（4）根据第15.3款〔质量保证金〕约定应扣减的质量保证金；</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（5）根据第19条〔索赔〕应增加和扣减的索赔金额；</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（6）对已签发的进度款支付证书中出现错误的修正，应在本次进度付款中支付或扣除的金额；</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（7）根据合同约定应增加和扣减的其他金额。</w:t>
      </w:r>
    </w:p>
    <w:p>
      <w:pPr>
        <w:spacing w:line="360" w:lineRule="auto"/>
        <w:ind w:firstLine="420" w:firstLineChars="200"/>
        <w:jc w:val="left"/>
        <w:rPr>
          <w:rFonts w:ascii="宋体" w:hAnsi="宋体"/>
          <w:kern w:val="0"/>
          <w:szCs w:val="21"/>
        </w:rPr>
      </w:pPr>
      <w:r>
        <w:rPr>
          <w:rFonts w:hint="eastAsia" w:ascii="宋体" w:hAnsi="宋体"/>
          <w:kern w:val="0"/>
          <w:szCs w:val="21"/>
        </w:rPr>
        <w:t>12.4.3 进度付款申请单的提交</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（1）单价合同进度付款申请单的提交</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单价合同的进度付款申请单，按照第12.3.3项〔单价合同的计量〕约定的时间按月向监理人提交，并附上已完成工程量报表和有关资料。单价合同中的总价项目按月进行支付分解，并汇总列入当期进度付款申请单。</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（2）总价合同进度付款申请单的提交</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总价合同按月计量支付的，承包人按照第12.3.4项〔总价合同的计量〕约定的时间按月向监理人提交进度付款申请单，并附上已完成工程量报表和有关资料。</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总价合同按支付分解表支付的，承包人应按照第12.4.6项〔支付分解表〕及第12.4.2项〔进度付款申请单的编制〕的约定向监理人提交进度付款申请单。</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（3）其他价格形式合同的进度付款申请单的提交</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合同当事人可在专用合同条款中约定其他价格形式合同的进度付款申请单的编制和提交程序。</w:t>
      </w:r>
    </w:p>
    <w:p>
      <w:pPr>
        <w:spacing w:line="360" w:lineRule="auto"/>
        <w:ind w:firstLine="420" w:firstLineChars="200"/>
        <w:jc w:val="left"/>
        <w:rPr>
          <w:rFonts w:ascii="宋体" w:hAnsi="宋体"/>
          <w:kern w:val="0"/>
          <w:szCs w:val="21"/>
        </w:rPr>
      </w:pPr>
      <w:r>
        <w:rPr>
          <w:rFonts w:hint="eastAsia" w:ascii="宋体" w:hAnsi="宋体"/>
          <w:kern w:val="0"/>
          <w:szCs w:val="21"/>
        </w:rPr>
        <w:t>12.4.4 进度款审核和支付</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除专用合同条款另有约定外，监理人应在收到承包人进度付款申请单以及相关资料后7天内完成审查并报送发包人，发包人应在收到后7天内完成审批并签发进度款支付证书。发包人逾期未完成审批且未提出异议的，视为已签发进度款支付证书。</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和监理人对承包人的进度付款申请单有异议的，有权要求承包人修正和提供补充资料，承包人应提交修正后的进度付款申请单。监理人应在收到承包人修正后的进度付款申请单及相关资料后7天内完成审查并报送发包人，发包人应在收到监理人报送的进度付款申请单及相关资料后7天内，向承包人签发无异议部分的临时进度款支付证书。存在争议的部分，按照第20条〔争议解决〕的约定处理。</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（2）除专用合同条款另有约定外，发包人应在进度款支付证书或临时进度款支付证书签发后14天内完成支付，发包人逾期支付进度款的，应按照中国人民银行发布的同期同类贷款基准利率支付违约金。</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（3）发包人签发进度款支付证书或临时进度款支付证书，不表明发包人已同意、批准或接受了承包人完成的相应部分的工作。</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12.4.5 进度付款的修正</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在对已签发的进度款支付证书进行阶段汇总和复核中发现错误、遗漏或重复的，发包人和承包人均有权提出修正申请。经发包人和承包人同意的修正，应在下期进度付款中支付或扣除。</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12.4.6 支付分解表</w:t>
      </w:r>
    </w:p>
    <w:p>
      <w:pPr>
        <w:spacing w:line="360" w:lineRule="auto"/>
        <w:ind w:firstLine="420" w:firstLineChars="200"/>
        <w:jc w:val="left"/>
        <w:rPr>
          <w:rFonts w:ascii="宋体" w:hAnsi="宋体"/>
          <w:kern w:val="0"/>
          <w:szCs w:val="21"/>
        </w:rPr>
      </w:pPr>
      <w:r>
        <w:rPr>
          <w:rFonts w:hint="eastAsia" w:ascii="宋体" w:hAnsi="宋体"/>
          <w:kern w:val="0"/>
          <w:szCs w:val="21"/>
        </w:rPr>
        <w:t>1.支付分解表的编制要求</w:t>
      </w:r>
    </w:p>
    <w:p>
      <w:pPr>
        <w:spacing w:line="360" w:lineRule="auto"/>
        <w:ind w:firstLine="420" w:firstLineChars="200"/>
        <w:jc w:val="left"/>
        <w:rPr>
          <w:rFonts w:ascii="宋体" w:hAnsi="宋体"/>
          <w:kern w:val="0"/>
          <w:szCs w:val="21"/>
        </w:rPr>
      </w:pPr>
      <w:r>
        <w:rPr>
          <w:rFonts w:hint="eastAsia" w:ascii="宋体" w:hAnsi="宋体"/>
          <w:kern w:val="0"/>
          <w:szCs w:val="21"/>
        </w:rPr>
        <w:t>（1）支付分解表中所列的每期付款金额，应为第12.4.2项〔进度付款申请单的编制〕第（1）目的估算金额；</w:t>
      </w:r>
    </w:p>
    <w:p>
      <w:pPr>
        <w:spacing w:line="360" w:lineRule="auto"/>
        <w:ind w:firstLine="420" w:firstLineChars="200"/>
        <w:jc w:val="left"/>
        <w:rPr>
          <w:rFonts w:ascii="宋体" w:hAnsi="宋体"/>
          <w:kern w:val="0"/>
          <w:szCs w:val="21"/>
        </w:rPr>
      </w:pPr>
      <w:r>
        <w:rPr>
          <w:rFonts w:hint="eastAsia" w:ascii="宋体" w:hAnsi="宋体"/>
          <w:kern w:val="0"/>
          <w:szCs w:val="21"/>
        </w:rPr>
        <w:t>（2）实际进度与施工进度计划不一致的，合同当事人可按照第4.4款〔商定或确定〕修改支付分解表；</w:t>
      </w:r>
    </w:p>
    <w:p>
      <w:pPr>
        <w:spacing w:line="360" w:lineRule="auto"/>
        <w:ind w:firstLine="420" w:firstLineChars="200"/>
        <w:jc w:val="left"/>
        <w:rPr>
          <w:rFonts w:ascii="宋体" w:hAnsi="宋体"/>
          <w:kern w:val="0"/>
          <w:szCs w:val="21"/>
        </w:rPr>
      </w:pPr>
      <w:r>
        <w:rPr>
          <w:rFonts w:hint="eastAsia" w:ascii="宋体" w:hAnsi="宋体"/>
          <w:kern w:val="0"/>
          <w:szCs w:val="21"/>
        </w:rPr>
        <w:t>（3）不采用支付分解表的，承包人应向发包人和监理人提交按季度编制的支付估算分解表，用于支付参考。</w:t>
      </w:r>
    </w:p>
    <w:p>
      <w:pPr>
        <w:spacing w:line="360" w:lineRule="auto"/>
        <w:ind w:firstLine="420" w:firstLineChars="200"/>
        <w:jc w:val="left"/>
        <w:rPr>
          <w:rFonts w:ascii="宋体" w:hAnsi="宋体"/>
          <w:kern w:val="0"/>
          <w:szCs w:val="21"/>
        </w:rPr>
      </w:pPr>
      <w:r>
        <w:rPr>
          <w:rFonts w:hint="eastAsia" w:ascii="宋体" w:hAnsi="宋体"/>
          <w:kern w:val="0"/>
          <w:szCs w:val="21"/>
        </w:rPr>
        <w:t>2.总价合同支付分解表的编制与审批</w:t>
      </w:r>
    </w:p>
    <w:p>
      <w:pPr>
        <w:spacing w:line="360" w:lineRule="auto"/>
        <w:ind w:firstLine="420" w:firstLineChars="200"/>
        <w:jc w:val="left"/>
        <w:rPr>
          <w:rFonts w:ascii="宋体" w:hAnsi="宋体"/>
          <w:kern w:val="0"/>
          <w:szCs w:val="21"/>
        </w:rPr>
      </w:pPr>
      <w:r>
        <w:rPr>
          <w:rFonts w:hint="eastAsia" w:ascii="宋体" w:hAnsi="宋体"/>
          <w:kern w:val="0"/>
          <w:szCs w:val="21"/>
        </w:rPr>
        <w:t>（1）除专用合同条款另有约定外，承包人应根据第7.2款〔施工进度计划〕约定的施工进度计划、签约合同价和工程量等因素对总价合同按月进行分解，编制支付分解表。承包人应当在收到监理人和发包人批准的施工进度计划后7天内，将支付分解表及编制支付分解表的支持性资料报送监理人。</w:t>
      </w:r>
    </w:p>
    <w:p>
      <w:pPr>
        <w:spacing w:line="360" w:lineRule="auto"/>
        <w:ind w:firstLine="420" w:firstLineChars="200"/>
        <w:jc w:val="left"/>
        <w:rPr>
          <w:rFonts w:ascii="宋体" w:hAnsi="宋体"/>
          <w:kern w:val="0"/>
          <w:szCs w:val="21"/>
        </w:rPr>
      </w:pPr>
      <w:r>
        <w:rPr>
          <w:rFonts w:hint="eastAsia" w:ascii="宋体" w:hAnsi="宋体"/>
          <w:kern w:val="0"/>
          <w:szCs w:val="21"/>
        </w:rPr>
        <w:t>（2）监理人应在收到支付分解表后7天内完成审核并报送发包人。发包人应在收到经监理人审核的支付分解表后7天内完成审批，经发包人批准的支付分解表为有约束力的支付分解表。</w:t>
      </w:r>
    </w:p>
    <w:p>
      <w:pPr>
        <w:spacing w:line="360" w:lineRule="auto"/>
        <w:ind w:firstLine="420" w:firstLineChars="200"/>
        <w:jc w:val="left"/>
        <w:rPr>
          <w:rFonts w:ascii="宋体" w:hAnsi="宋体"/>
          <w:kern w:val="0"/>
          <w:szCs w:val="21"/>
        </w:rPr>
      </w:pPr>
      <w:r>
        <w:rPr>
          <w:rFonts w:hint="eastAsia" w:ascii="宋体" w:hAnsi="宋体"/>
          <w:kern w:val="0"/>
          <w:szCs w:val="21"/>
        </w:rPr>
        <w:t>（3）发包人逾期未完成支付分解表审批的，也未及时要求承包人进行修正和提供补充资料的，则承包人提交的支付分解表视为已经获得发包人批准。</w:t>
      </w:r>
    </w:p>
    <w:p>
      <w:pPr>
        <w:spacing w:line="360" w:lineRule="auto"/>
        <w:ind w:firstLine="420" w:firstLineChars="200"/>
        <w:jc w:val="left"/>
        <w:rPr>
          <w:rFonts w:ascii="宋体" w:hAnsi="宋体"/>
          <w:kern w:val="0"/>
          <w:szCs w:val="21"/>
        </w:rPr>
      </w:pPr>
      <w:r>
        <w:rPr>
          <w:rFonts w:hint="eastAsia" w:ascii="宋体" w:hAnsi="宋体"/>
          <w:kern w:val="0"/>
          <w:szCs w:val="21"/>
        </w:rPr>
        <w:t>3.单价合同的总价项目支付分解表的编制与审批</w:t>
      </w:r>
    </w:p>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单价合同的总价项目，由承包人根据施工进度计划和总价项目的总价构成、费用性质、计划发生时间和相应工程量等因素按月进行分解，形成支付分解表，其编制与审批参照总价合同支付分解表的编制与审批执行。</w:t>
      </w:r>
    </w:p>
    <w:p>
      <w:pPr>
        <w:pStyle w:val="7"/>
        <w:spacing w:before="0" w:beforeAutospacing="0" w:after="0" w:afterAutospacing="0" w:line="360" w:lineRule="auto"/>
        <w:ind w:firstLine="422" w:firstLineChars="200"/>
        <w:rPr>
          <w:sz w:val="21"/>
          <w:szCs w:val="21"/>
        </w:rPr>
      </w:pPr>
      <w:bookmarkStart w:id="625" w:name="_Toc532377273"/>
      <w:r>
        <w:rPr>
          <w:rFonts w:hint="eastAsia"/>
          <w:sz w:val="21"/>
          <w:szCs w:val="21"/>
        </w:rPr>
        <w:t>12.5支付账户</w:t>
      </w:r>
      <w:bookmarkEnd w:id="625"/>
    </w:p>
    <w:p>
      <w:pPr>
        <w:spacing w:line="360" w:lineRule="auto"/>
        <w:ind w:firstLine="420" w:firstLineChars="200"/>
        <w:jc w:val="left"/>
        <w:rPr>
          <w:rFonts w:ascii="宋体" w:hAnsi="宋体"/>
          <w:kern w:val="0"/>
          <w:szCs w:val="21"/>
        </w:rPr>
      </w:pPr>
      <w:r>
        <w:rPr>
          <w:rFonts w:hint="eastAsia" w:ascii="宋体" w:hAnsi="宋体"/>
          <w:kern w:val="0"/>
          <w:szCs w:val="21"/>
        </w:rPr>
        <w:t>发包人应将合同价款支付至合同协议书中约定的承包人账户。</w:t>
      </w:r>
    </w:p>
    <w:p>
      <w:pPr>
        <w:pStyle w:val="6"/>
        <w:spacing w:before="156" w:beforeLines="50" w:beforeAutospacing="0" w:after="156" w:afterLines="50" w:afterAutospacing="0" w:line="360" w:lineRule="auto"/>
        <w:jc w:val="both"/>
        <w:rPr>
          <w:bCs w:val="0"/>
          <w:kern w:val="2"/>
          <w:sz w:val="21"/>
          <w:szCs w:val="21"/>
        </w:rPr>
      </w:pPr>
      <w:bookmarkStart w:id="626" w:name="_Toc532375599"/>
      <w:bookmarkStart w:id="627" w:name="_Toc351203586"/>
      <w:bookmarkStart w:id="628" w:name="_Toc532377274"/>
      <w:bookmarkStart w:id="629" w:name="_Toc296503106"/>
      <w:bookmarkStart w:id="630" w:name="_Toc296346607"/>
      <w:bookmarkStart w:id="631" w:name="_Toc337558804"/>
      <w:bookmarkStart w:id="632" w:name="_Toc322522574"/>
      <w:r>
        <w:rPr>
          <w:rFonts w:hint="eastAsia"/>
          <w:kern w:val="2"/>
          <w:sz w:val="21"/>
          <w:szCs w:val="21"/>
        </w:rPr>
        <w:t>13. 验收和工程试车</w:t>
      </w:r>
      <w:bookmarkEnd w:id="626"/>
      <w:bookmarkEnd w:id="627"/>
      <w:bookmarkEnd w:id="628"/>
    </w:p>
    <w:bookmarkEnd w:id="629"/>
    <w:bookmarkEnd w:id="630"/>
    <w:bookmarkEnd w:id="631"/>
    <w:bookmarkEnd w:id="632"/>
    <w:p>
      <w:pPr>
        <w:pStyle w:val="7"/>
        <w:spacing w:before="0" w:beforeAutospacing="0" w:after="0" w:afterAutospacing="0" w:line="360" w:lineRule="auto"/>
        <w:ind w:firstLine="422" w:firstLineChars="200"/>
        <w:rPr>
          <w:sz w:val="21"/>
          <w:szCs w:val="21"/>
        </w:rPr>
      </w:pPr>
      <w:bookmarkStart w:id="633" w:name="_Toc532377275"/>
      <w:bookmarkStart w:id="634" w:name="_Toc351203587"/>
      <w:bookmarkStart w:id="635" w:name="_Toc337558805"/>
      <w:bookmarkStart w:id="636" w:name="_Toc296346611"/>
      <w:bookmarkStart w:id="637" w:name="_Toc296503110"/>
      <w:r>
        <w:rPr>
          <w:rFonts w:hint="eastAsia"/>
          <w:sz w:val="21"/>
          <w:szCs w:val="21"/>
        </w:rPr>
        <w:t>13.1分部分项工程验收</w:t>
      </w:r>
      <w:bookmarkEnd w:id="633"/>
      <w:bookmarkEnd w:id="634"/>
    </w:p>
    <w:bookmarkEnd w:id="635"/>
    <w:p>
      <w:pPr>
        <w:spacing w:line="360" w:lineRule="auto"/>
        <w:ind w:firstLine="420" w:firstLineChars="200"/>
        <w:jc w:val="left"/>
        <w:rPr>
          <w:rFonts w:ascii="宋体" w:hAnsi="宋体"/>
          <w:kern w:val="0"/>
          <w:szCs w:val="21"/>
        </w:rPr>
      </w:pPr>
      <w:r>
        <w:rPr>
          <w:rFonts w:hint="eastAsia" w:ascii="宋体" w:hAnsi="宋体"/>
          <w:kern w:val="0"/>
          <w:szCs w:val="21"/>
        </w:rPr>
        <w:t>13.1.1 分部分项工程质量应符合国家有关工程施工验收规范、标准及合同约定，承包人应按照施工组织设计的要求完成分部分项工程施工。</w:t>
      </w:r>
    </w:p>
    <w:p>
      <w:pPr>
        <w:spacing w:line="360" w:lineRule="auto"/>
        <w:ind w:firstLine="420" w:firstLineChars="200"/>
        <w:jc w:val="left"/>
        <w:rPr>
          <w:rFonts w:ascii="宋体" w:hAnsi="宋体"/>
          <w:kern w:val="0"/>
          <w:szCs w:val="21"/>
        </w:rPr>
      </w:pPr>
      <w:r>
        <w:rPr>
          <w:rFonts w:hint="eastAsia" w:ascii="宋体" w:hAnsi="宋体"/>
          <w:kern w:val="0"/>
          <w:szCs w:val="21"/>
        </w:rPr>
        <w:t>13.1.2 除专用合同条款另有约定外，分部分项工程经承包人自检合格并具备验收条件的，承包人应提前48小时通知监理人进行验收。监理人不能按时进行验收的，应在验收前24小时向承包人提交书面延期要求，但延期不能超过48小时。监理人未按时进行验收，也未提出延期要求的，承包人有权自行验收，监理人应认可验收结果。分部分项工程未经验收的，不得进入下一道工序施工。</w:t>
      </w:r>
    </w:p>
    <w:p>
      <w:pPr>
        <w:spacing w:line="360" w:lineRule="auto"/>
        <w:ind w:firstLine="420" w:firstLineChars="200"/>
        <w:jc w:val="left"/>
        <w:rPr>
          <w:rFonts w:ascii="宋体" w:hAnsi="宋体"/>
          <w:kern w:val="0"/>
          <w:szCs w:val="21"/>
        </w:rPr>
      </w:pPr>
      <w:r>
        <w:rPr>
          <w:rFonts w:hint="eastAsia" w:ascii="宋体" w:hAnsi="宋体"/>
          <w:kern w:val="0"/>
          <w:szCs w:val="21"/>
        </w:rPr>
        <w:t>分部分项工程的验收资料应当作为竣工资料的组成部分。</w:t>
      </w:r>
    </w:p>
    <w:p>
      <w:pPr>
        <w:pStyle w:val="7"/>
        <w:spacing w:before="0" w:beforeAutospacing="0" w:after="0" w:afterAutospacing="0" w:line="360" w:lineRule="auto"/>
        <w:ind w:firstLine="422" w:firstLineChars="200"/>
        <w:rPr>
          <w:sz w:val="21"/>
          <w:szCs w:val="21"/>
        </w:rPr>
      </w:pPr>
      <w:bookmarkStart w:id="638" w:name="_Toc532377276"/>
      <w:bookmarkStart w:id="639" w:name="_Toc351203588"/>
      <w:bookmarkStart w:id="640" w:name="_Toc337558806"/>
      <w:r>
        <w:rPr>
          <w:rFonts w:hint="eastAsia"/>
          <w:sz w:val="21"/>
          <w:szCs w:val="21"/>
        </w:rPr>
        <w:t>13.2竣工验收</w:t>
      </w:r>
      <w:bookmarkEnd w:id="638"/>
      <w:bookmarkEnd w:id="639"/>
    </w:p>
    <w:bookmarkEnd w:id="636"/>
    <w:bookmarkEnd w:id="637"/>
    <w:bookmarkEnd w:id="640"/>
    <w:p>
      <w:pPr>
        <w:spacing w:line="360" w:lineRule="auto"/>
        <w:ind w:firstLine="420" w:firstLineChars="200"/>
        <w:jc w:val="left"/>
        <w:rPr>
          <w:rFonts w:ascii="宋体" w:hAnsi="宋体"/>
          <w:kern w:val="0"/>
          <w:szCs w:val="21"/>
        </w:rPr>
      </w:pPr>
      <w:r>
        <w:rPr>
          <w:rFonts w:hint="eastAsia" w:ascii="宋体" w:hAnsi="宋体"/>
          <w:kern w:val="0"/>
          <w:szCs w:val="21"/>
        </w:rPr>
        <w:t>13.2.1竣工验收条件</w:t>
      </w:r>
    </w:p>
    <w:p>
      <w:pPr>
        <w:spacing w:line="360" w:lineRule="auto"/>
        <w:ind w:firstLine="420" w:firstLineChars="200"/>
        <w:jc w:val="left"/>
        <w:rPr>
          <w:rFonts w:ascii="宋体" w:hAnsi="宋体"/>
          <w:kern w:val="0"/>
          <w:szCs w:val="21"/>
        </w:rPr>
      </w:pPr>
      <w:r>
        <w:rPr>
          <w:rFonts w:hint="eastAsia" w:ascii="宋体" w:hAnsi="宋体"/>
          <w:kern w:val="0"/>
          <w:szCs w:val="21"/>
        </w:rPr>
        <w:t>工程具备以下条件的，承包人可以申请竣工验收：</w:t>
      </w:r>
    </w:p>
    <w:p>
      <w:pPr>
        <w:spacing w:line="360" w:lineRule="auto"/>
        <w:ind w:firstLine="420" w:firstLineChars="200"/>
        <w:jc w:val="left"/>
        <w:rPr>
          <w:rFonts w:ascii="宋体" w:hAnsi="宋体"/>
          <w:kern w:val="0"/>
          <w:szCs w:val="21"/>
        </w:rPr>
      </w:pPr>
      <w:r>
        <w:rPr>
          <w:rFonts w:hint="eastAsia" w:ascii="宋体" w:hAnsi="宋体"/>
          <w:kern w:val="0"/>
          <w:szCs w:val="21"/>
        </w:rPr>
        <w:t>（1）除发包人同意的甩项工作和缺陷修补工作外，合同范围内的全部工程以及有关工作，包括合同要求的试验、试运行以及检验均已完成，并符合合同要求；</w:t>
      </w:r>
    </w:p>
    <w:p>
      <w:pPr>
        <w:spacing w:line="360" w:lineRule="auto"/>
        <w:ind w:firstLine="420" w:firstLineChars="200"/>
        <w:jc w:val="left"/>
        <w:rPr>
          <w:rFonts w:ascii="宋体" w:hAnsi="宋体"/>
          <w:kern w:val="0"/>
          <w:szCs w:val="21"/>
        </w:rPr>
      </w:pPr>
      <w:r>
        <w:rPr>
          <w:rFonts w:hint="eastAsia" w:ascii="宋体" w:hAnsi="宋体"/>
          <w:kern w:val="0"/>
          <w:szCs w:val="21"/>
        </w:rPr>
        <w:t>（2）已按合同约定编制了甩项工作和缺陷修补工作清单以及相应的施工计划；</w:t>
      </w:r>
    </w:p>
    <w:p>
      <w:pPr>
        <w:spacing w:line="360" w:lineRule="auto"/>
        <w:ind w:firstLine="420" w:firstLineChars="200"/>
        <w:jc w:val="left"/>
        <w:rPr>
          <w:rFonts w:ascii="宋体" w:hAnsi="宋体"/>
          <w:kern w:val="0"/>
          <w:szCs w:val="21"/>
        </w:rPr>
      </w:pPr>
      <w:r>
        <w:rPr>
          <w:rFonts w:hint="eastAsia" w:ascii="宋体" w:hAnsi="宋体"/>
          <w:kern w:val="0"/>
          <w:szCs w:val="21"/>
        </w:rPr>
        <w:t>（3）已按合同约定的内容和份数备齐竣工资料。</w:t>
      </w:r>
    </w:p>
    <w:p>
      <w:pPr>
        <w:spacing w:line="360" w:lineRule="auto"/>
        <w:ind w:firstLine="420" w:firstLineChars="200"/>
        <w:jc w:val="left"/>
        <w:rPr>
          <w:rFonts w:ascii="宋体" w:hAnsi="宋体"/>
          <w:kern w:val="0"/>
          <w:szCs w:val="21"/>
        </w:rPr>
      </w:pPr>
      <w:r>
        <w:rPr>
          <w:rFonts w:hint="eastAsia" w:ascii="宋体" w:hAnsi="宋体"/>
          <w:kern w:val="0"/>
          <w:szCs w:val="21"/>
        </w:rPr>
        <w:t>13.2.2竣工验收程序</w:t>
      </w:r>
    </w:p>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除专用合同条款另有约定外，承包人申请竣工验收的，应当按照以下程序进行：</w:t>
      </w:r>
    </w:p>
    <w:p>
      <w:pPr>
        <w:spacing w:line="360" w:lineRule="auto"/>
        <w:ind w:firstLine="420" w:firstLineChars="200"/>
        <w:jc w:val="left"/>
        <w:rPr>
          <w:rFonts w:ascii="宋体" w:hAnsi="宋体"/>
          <w:kern w:val="0"/>
          <w:szCs w:val="21"/>
        </w:rPr>
      </w:pPr>
      <w:r>
        <w:rPr>
          <w:rFonts w:hint="eastAsia" w:ascii="宋体" w:hAnsi="宋体"/>
          <w:kern w:val="0"/>
          <w:szCs w:val="21"/>
        </w:rPr>
        <w:t>（1）承包人向监理人报送竣工验收申请报告，监理人应在收到竣工验收申请报告后14天内完成审查并报送发包人。监理人审查后认为尚不具备验收条件的，应通知承包人在竣工验收前承包人还需完成的工作内容，承包人应在完成监理人通知的全部工作内容后，再次提交竣工验收申请报告。</w:t>
      </w:r>
    </w:p>
    <w:p>
      <w:pPr>
        <w:spacing w:line="360" w:lineRule="auto"/>
        <w:ind w:firstLine="420" w:firstLineChars="200"/>
        <w:jc w:val="left"/>
        <w:rPr>
          <w:rFonts w:ascii="宋体" w:hAnsi="宋体"/>
          <w:kern w:val="0"/>
          <w:szCs w:val="21"/>
        </w:rPr>
      </w:pPr>
      <w:r>
        <w:rPr>
          <w:rFonts w:hint="eastAsia" w:ascii="宋体" w:hAnsi="宋体"/>
          <w:kern w:val="0"/>
          <w:szCs w:val="21"/>
        </w:rPr>
        <w:t>（2）监理人审查后认为已具备竣工验收条件的，应将竣工验收申请报告提交发包人，发包人应在收到经监理人审核的竣工验收申请报告后28天内审批完毕并组织监理人、承包人、设计人等相关单位完成竣工验收。</w:t>
      </w:r>
    </w:p>
    <w:p>
      <w:pPr>
        <w:spacing w:line="360" w:lineRule="auto"/>
        <w:ind w:firstLine="420" w:firstLineChars="200"/>
        <w:jc w:val="left"/>
        <w:rPr>
          <w:rFonts w:ascii="宋体" w:hAnsi="宋体"/>
          <w:kern w:val="0"/>
          <w:szCs w:val="21"/>
        </w:rPr>
      </w:pPr>
      <w:r>
        <w:rPr>
          <w:rFonts w:hint="eastAsia" w:ascii="宋体" w:hAnsi="宋体"/>
          <w:kern w:val="0"/>
          <w:szCs w:val="21"/>
        </w:rPr>
        <w:t>（3）竣工验收合格的，发包人应在验收合格后14天内向承包人签发工程接收证书。发包人无正当理由逾期不颁发工程接收证书的，自验收合格后第15天起视为已颁发工程接收证书。</w:t>
      </w:r>
    </w:p>
    <w:p>
      <w:pPr>
        <w:spacing w:line="360" w:lineRule="auto"/>
        <w:ind w:firstLine="420" w:firstLineChars="200"/>
        <w:jc w:val="left"/>
        <w:rPr>
          <w:rFonts w:ascii="宋体" w:hAnsi="宋体"/>
          <w:kern w:val="0"/>
          <w:szCs w:val="21"/>
        </w:rPr>
      </w:pPr>
      <w:r>
        <w:rPr>
          <w:rFonts w:hint="eastAsia" w:ascii="宋体" w:hAnsi="宋体"/>
          <w:kern w:val="0"/>
          <w:szCs w:val="21"/>
        </w:rPr>
        <w:t>（4）竣工验收不合格的，监理人应按照验收意见发出指示，要求承包人对不合格工程返工、修复或采取其他补救措施，由此增加的费用和（或）延误的工期由承包人承担。承包人在完成不合格工程的返工、修复或采取其他补救措施后，应重新提交竣工验收申请报告，并按本项约定的程序重新进行验收。</w:t>
      </w:r>
    </w:p>
    <w:p>
      <w:pPr>
        <w:spacing w:line="360" w:lineRule="auto"/>
        <w:ind w:firstLine="420" w:firstLineChars="200"/>
        <w:jc w:val="left"/>
        <w:rPr>
          <w:rFonts w:ascii="宋体" w:hAnsi="宋体"/>
          <w:kern w:val="0"/>
          <w:szCs w:val="21"/>
        </w:rPr>
      </w:pPr>
      <w:r>
        <w:rPr>
          <w:rFonts w:hint="eastAsia" w:ascii="宋体" w:hAnsi="宋体"/>
          <w:kern w:val="0"/>
          <w:szCs w:val="21"/>
        </w:rPr>
        <w:t>（5）工程未经验收或验收不合格，发包人擅自使用的，应在转移占有工程后7天内向承包人颁发工程接收证书；发包人无正当理由逾期不颁发工程接收证书的，自转移占有后第15天起视为已颁发工程接收证书。</w:t>
      </w:r>
    </w:p>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除专用合同条款另有约定外，发包人不按照本项约定组织竣工验收、颁发工程接收证书的，每逾期一天，应以签约合同价为基数，按照中国人民银行发布的同期同类贷款基准利率支付违约金。</w:t>
      </w:r>
    </w:p>
    <w:p>
      <w:pPr>
        <w:spacing w:line="360" w:lineRule="auto"/>
        <w:ind w:firstLine="420" w:firstLineChars="200"/>
        <w:jc w:val="left"/>
        <w:rPr>
          <w:rFonts w:ascii="宋体" w:hAnsi="宋体"/>
          <w:kern w:val="0"/>
          <w:szCs w:val="21"/>
        </w:rPr>
      </w:pPr>
      <w:r>
        <w:rPr>
          <w:rFonts w:hint="eastAsia" w:ascii="宋体" w:hAnsi="宋体"/>
          <w:kern w:val="0"/>
          <w:szCs w:val="21"/>
        </w:rPr>
        <w:t>13.2.3竣工日期</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工程经竣工验收合格的，以承包人提交竣工验收申请报告之日为实际竣工日期，并在工程接收证书中载明；因发包人原因，未在监理人收到承包人提交的竣工验收申请报告42天内完成竣工验收，或完成竣工验收不予签发工程接收证书的，以提交竣工验</w:t>
      </w:r>
      <w:bookmarkStart w:id="641" w:name="#go14"/>
      <w:bookmarkEnd w:id="641"/>
      <w:r>
        <w:rPr>
          <w:rFonts w:hint="eastAsia" w:ascii="宋体" w:hAnsi="宋体"/>
          <w:kern w:val="0"/>
          <w:szCs w:val="21"/>
        </w:rPr>
        <w:t>收申请报告的日期为实际竣工日期；工程未经竣工验收，发包人擅自使用的，以转移占有工程之日为实际竣工日期。</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13.2.4 拒绝接收全部或部分工程</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对于竣工验收不合格的工程，承包人完成整改后，应当重新进行竣工验收，经重新组织验收仍不合格的且无法采取措施补救的，则发包人可以拒绝接收不合格工程，因不合格工程导致其他工程不能正常使用的，承包人应采取措施确保相关工程的正常使用，由此增加的费用和（或）延误的工期由承包人承担。</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13.2.5 移交、接收全部与部分工程</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除专用合同条款另有约定外，合同当事人应当在颁发工程接收证书后7天内完成工程的移交。</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发包人无正当理由不接收工程的，发包人自应当接收工程之日起，承担工程照管、成品保护、保管等与工程有关的各项费用，合同当事人可以在专用合同条款中另行约定发包人逾期接收工程的违约责任。</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承包人无正当理由不移交工程的，承包人应承担工程照管、成品保护、保管等与工程有关的各项费用，合同当事人可以在专用合同条款中另行约定承包人无正当理由不移交工程的违约责任。</w:t>
      </w:r>
    </w:p>
    <w:p>
      <w:pPr>
        <w:pStyle w:val="7"/>
        <w:spacing w:before="0" w:beforeAutospacing="0" w:after="0" w:afterAutospacing="0" w:line="360" w:lineRule="auto"/>
        <w:ind w:firstLine="422" w:firstLineChars="200"/>
        <w:rPr>
          <w:sz w:val="21"/>
          <w:szCs w:val="21"/>
        </w:rPr>
      </w:pPr>
      <w:bookmarkStart w:id="642" w:name="_Toc532377277"/>
      <w:bookmarkStart w:id="643" w:name="_Toc351203589"/>
      <w:bookmarkStart w:id="644" w:name="_Toc296503111"/>
      <w:bookmarkStart w:id="645" w:name="_Toc337558807"/>
      <w:bookmarkStart w:id="646" w:name="_Toc296346612"/>
      <w:r>
        <w:rPr>
          <w:rFonts w:hint="eastAsia"/>
          <w:sz w:val="21"/>
          <w:szCs w:val="21"/>
        </w:rPr>
        <w:t>13.3工程试车</w:t>
      </w:r>
      <w:bookmarkEnd w:id="642"/>
      <w:bookmarkEnd w:id="643"/>
    </w:p>
    <w:bookmarkEnd w:id="644"/>
    <w:bookmarkEnd w:id="645"/>
    <w:bookmarkEnd w:id="646"/>
    <w:p>
      <w:pPr>
        <w:spacing w:line="360" w:lineRule="auto"/>
        <w:ind w:firstLine="420" w:firstLineChars="200"/>
        <w:jc w:val="left"/>
        <w:rPr>
          <w:rFonts w:ascii="宋体" w:hAnsi="宋体"/>
          <w:kern w:val="0"/>
          <w:szCs w:val="21"/>
        </w:rPr>
      </w:pPr>
      <w:r>
        <w:rPr>
          <w:rFonts w:hint="eastAsia" w:ascii="宋体" w:hAnsi="宋体"/>
          <w:kern w:val="0"/>
          <w:szCs w:val="21"/>
        </w:rPr>
        <w:t>13.3.1试车程序</w:t>
      </w:r>
    </w:p>
    <w:p>
      <w:pPr>
        <w:spacing w:line="360" w:lineRule="auto"/>
        <w:ind w:firstLine="420" w:firstLineChars="200"/>
        <w:jc w:val="left"/>
        <w:rPr>
          <w:rFonts w:ascii="宋体" w:hAnsi="宋体"/>
          <w:kern w:val="0"/>
          <w:szCs w:val="21"/>
        </w:rPr>
      </w:pPr>
      <w:r>
        <w:rPr>
          <w:rFonts w:hint="eastAsia" w:ascii="宋体" w:hAnsi="宋体"/>
          <w:kern w:val="0"/>
          <w:szCs w:val="21"/>
        </w:rPr>
        <w:t>工程需要试车的，除专用合同条款另有约定外，试车内容应与承包人承包范围相一致，试车费用由承包人承担。工程试车应按如下程序进行：</w:t>
      </w:r>
    </w:p>
    <w:p>
      <w:pPr>
        <w:spacing w:line="360" w:lineRule="auto"/>
        <w:ind w:firstLine="420" w:firstLineChars="200"/>
        <w:jc w:val="left"/>
        <w:rPr>
          <w:rFonts w:ascii="宋体" w:hAnsi="宋体"/>
          <w:kern w:val="0"/>
          <w:szCs w:val="21"/>
        </w:rPr>
      </w:pPr>
      <w:r>
        <w:rPr>
          <w:rFonts w:hint="eastAsia" w:ascii="宋体" w:hAnsi="宋体"/>
          <w:kern w:val="0"/>
          <w:szCs w:val="21"/>
        </w:rPr>
        <w:t>（1）具备单机无负荷试车条件，承包人组织试车，并在试车前48小时书面通知监理人，通知中应载明试车内容、时间、地点。承包人准备试车记录，发包人根据承包人要求为试车提供必要条件。试车合格的，监理人在试车记录上签名。监理人在试车合格后不在试车记录上签名，自试车结束满24小时后视为监理人已经认可试车记录，承包人可继续施工或办理竣工验收手续。</w:t>
      </w:r>
    </w:p>
    <w:p>
      <w:pPr>
        <w:spacing w:line="360" w:lineRule="auto"/>
        <w:ind w:firstLine="420" w:firstLineChars="200"/>
        <w:jc w:val="left"/>
        <w:rPr>
          <w:rFonts w:ascii="宋体" w:hAnsi="宋体"/>
          <w:kern w:val="0"/>
          <w:szCs w:val="21"/>
        </w:rPr>
      </w:pPr>
      <w:r>
        <w:rPr>
          <w:rFonts w:hint="eastAsia" w:ascii="宋体" w:hAnsi="宋体"/>
          <w:kern w:val="0"/>
          <w:szCs w:val="21"/>
        </w:rPr>
        <w:t>监理人不能按时参加试车，应在试车前24小时以书面形式向承包人提出延期要求，但延期不能超过48小时，由此导致工期延误的，工期应予以顺延。监理人未能在前述期限内提出延期要求，又不参加试车的，视为认可试车记录。</w:t>
      </w:r>
    </w:p>
    <w:p>
      <w:pPr>
        <w:spacing w:line="360" w:lineRule="auto"/>
        <w:ind w:firstLine="420" w:firstLineChars="200"/>
        <w:jc w:val="left"/>
        <w:rPr>
          <w:rFonts w:ascii="宋体" w:hAnsi="宋体"/>
          <w:kern w:val="0"/>
          <w:szCs w:val="21"/>
        </w:rPr>
      </w:pPr>
      <w:r>
        <w:rPr>
          <w:rFonts w:hint="eastAsia" w:ascii="宋体" w:hAnsi="宋体"/>
          <w:kern w:val="0"/>
          <w:szCs w:val="21"/>
        </w:rPr>
        <w:t>（2）具备无负荷联动试车条件，发包人组织试车，并在试车前48小时以书面形式通知承包人。通知中应载明试车内容、时间、地点和对承包人的要求，承包人按要求做好准备工作。试车合格，合同当事人在试车记录上签名。承包人无正当理由不参加试车的，视为认可试车记录。</w:t>
      </w:r>
    </w:p>
    <w:p>
      <w:pPr>
        <w:spacing w:line="360" w:lineRule="auto"/>
        <w:ind w:firstLine="420" w:firstLineChars="200"/>
        <w:jc w:val="left"/>
        <w:rPr>
          <w:rFonts w:ascii="宋体" w:hAnsi="宋体"/>
          <w:kern w:val="0"/>
          <w:szCs w:val="21"/>
        </w:rPr>
      </w:pPr>
      <w:r>
        <w:rPr>
          <w:rFonts w:hint="eastAsia" w:ascii="宋体" w:hAnsi="宋体"/>
          <w:kern w:val="0"/>
          <w:szCs w:val="21"/>
        </w:rPr>
        <w:t>13.3.2 试车中的责任</w:t>
      </w:r>
    </w:p>
    <w:p>
      <w:pPr>
        <w:spacing w:line="360" w:lineRule="auto"/>
        <w:ind w:firstLine="420" w:firstLineChars="200"/>
        <w:jc w:val="left"/>
        <w:rPr>
          <w:rFonts w:ascii="宋体" w:hAnsi="宋体"/>
          <w:kern w:val="0"/>
          <w:szCs w:val="21"/>
        </w:rPr>
      </w:pPr>
      <w:r>
        <w:rPr>
          <w:rFonts w:hint="eastAsia" w:ascii="宋体" w:hAnsi="宋体"/>
          <w:kern w:val="0"/>
          <w:szCs w:val="21"/>
        </w:rPr>
        <w:t>因设计原因导致试车达不到验收要求，发包人应要求设计人修改设计，承包人按修改后的设计重新安装。发包人承担修改设计、拆除及重新安装的全部费用，工期相应顺延。因承包人原因导致试车达不到验收要求，承包人按监理人要求重新安装和试车，并承担重新安装和试车的费用，工期不予顺延。</w:t>
      </w:r>
    </w:p>
    <w:p>
      <w:pPr>
        <w:spacing w:line="360" w:lineRule="auto"/>
        <w:ind w:firstLine="420" w:firstLineChars="200"/>
        <w:jc w:val="left"/>
        <w:rPr>
          <w:rFonts w:ascii="宋体" w:hAnsi="宋体"/>
          <w:kern w:val="0"/>
          <w:szCs w:val="21"/>
        </w:rPr>
      </w:pPr>
      <w:r>
        <w:rPr>
          <w:rFonts w:hint="eastAsia" w:ascii="宋体" w:hAnsi="宋体"/>
          <w:kern w:val="0"/>
          <w:szCs w:val="21"/>
        </w:rPr>
        <w:t>因工程设备制造原因导致试车达不到验收要求的，由采购该工程设备的合同当事人负责重新购置或修理，承包人负责拆除和重新安装，由此增加的修理、重新购置、拆除及重新安装的费用及延误的工期由采购该工程设备的合同当事人承担。</w:t>
      </w:r>
    </w:p>
    <w:p>
      <w:pPr>
        <w:spacing w:line="360" w:lineRule="auto"/>
        <w:ind w:firstLine="420" w:firstLineChars="200"/>
        <w:jc w:val="left"/>
        <w:rPr>
          <w:rFonts w:ascii="宋体" w:hAnsi="宋体"/>
          <w:kern w:val="0"/>
          <w:szCs w:val="21"/>
        </w:rPr>
      </w:pPr>
      <w:r>
        <w:rPr>
          <w:rFonts w:hint="eastAsia" w:ascii="宋体" w:hAnsi="宋体"/>
          <w:kern w:val="0"/>
          <w:szCs w:val="21"/>
        </w:rPr>
        <w:t>13.3.3 投料试车</w:t>
      </w:r>
    </w:p>
    <w:p>
      <w:pPr>
        <w:spacing w:line="360" w:lineRule="auto"/>
        <w:ind w:firstLine="420" w:firstLineChars="200"/>
        <w:jc w:val="left"/>
        <w:rPr>
          <w:rFonts w:ascii="宋体" w:hAnsi="宋体"/>
          <w:kern w:val="0"/>
          <w:szCs w:val="21"/>
        </w:rPr>
      </w:pPr>
      <w:r>
        <w:rPr>
          <w:rFonts w:hint="eastAsia" w:ascii="宋体" w:hAnsi="宋体"/>
          <w:kern w:val="0"/>
          <w:szCs w:val="21"/>
        </w:rPr>
        <w:t>如需进行投料试车的，发包人应在工程竣工验收后组织投料试车。发包人要求在工程竣工验收前进行或需要承包人配合时，应征得承包人同意，并在专用合同条款中约定有关事项。</w:t>
      </w:r>
    </w:p>
    <w:p>
      <w:pPr>
        <w:spacing w:line="360" w:lineRule="auto"/>
        <w:ind w:firstLine="420" w:firstLineChars="200"/>
        <w:jc w:val="left"/>
        <w:rPr>
          <w:rFonts w:ascii="宋体" w:hAnsi="宋体"/>
          <w:kern w:val="0"/>
          <w:szCs w:val="21"/>
        </w:rPr>
      </w:pPr>
      <w:r>
        <w:rPr>
          <w:rFonts w:hint="eastAsia" w:ascii="宋体" w:hAnsi="宋体"/>
          <w:kern w:val="0"/>
          <w:szCs w:val="21"/>
        </w:rPr>
        <w:t>投料试车合格的，费用由发包人承担；因承包人原因造成投料试车不合格的，承包人应按照发包人要求进行整改，由此产生的整改费用由承包人承担；非因承包人原因导致投料试车不合格的，如发包人要求承包人进行整改的，由此产生的费用由发包人承担。</w:t>
      </w:r>
    </w:p>
    <w:p>
      <w:pPr>
        <w:pStyle w:val="7"/>
        <w:spacing w:before="0" w:beforeAutospacing="0" w:after="0" w:afterAutospacing="0" w:line="360" w:lineRule="auto"/>
        <w:ind w:firstLine="422" w:firstLineChars="200"/>
        <w:rPr>
          <w:sz w:val="21"/>
          <w:szCs w:val="21"/>
        </w:rPr>
      </w:pPr>
      <w:bookmarkStart w:id="647" w:name="_Toc532377278"/>
      <w:r>
        <w:rPr>
          <w:rFonts w:hint="eastAsia"/>
          <w:sz w:val="21"/>
          <w:szCs w:val="21"/>
        </w:rPr>
        <w:t>13.4提前交付单位工程的验收</w:t>
      </w:r>
      <w:bookmarkEnd w:id="647"/>
    </w:p>
    <w:p>
      <w:pPr>
        <w:spacing w:line="360" w:lineRule="auto"/>
        <w:ind w:firstLine="420" w:firstLineChars="200"/>
        <w:jc w:val="left"/>
        <w:rPr>
          <w:rFonts w:ascii="宋体" w:hAnsi="宋体"/>
          <w:kern w:val="0"/>
          <w:szCs w:val="21"/>
        </w:rPr>
      </w:pPr>
      <w:r>
        <w:rPr>
          <w:rFonts w:hint="eastAsia" w:ascii="宋体" w:hAnsi="宋体"/>
          <w:kern w:val="0"/>
          <w:szCs w:val="21"/>
        </w:rPr>
        <w:t>13.4.1 发包人需要在工程竣工前使用单位工程的，或承包人提出提前交付已经竣工的单位工程且经发包人同意的，可进行单位工程验收，验收的程序按照第13.2款〔竣工验收〕的约定进行。</w:t>
      </w:r>
    </w:p>
    <w:p>
      <w:pPr>
        <w:spacing w:line="360" w:lineRule="auto"/>
        <w:ind w:firstLine="420" w:firstLineChars="200"/>
        <w:jc w:val="left"/>
        <w:rPr>
          <w:rFonts w:ascii="宋体" w:hAnsi="宋体"/>
          <w:kern w:val="0"/>
          <w:szCs w:val="21"/>
        </w:rPr>
      </w:pPr>
      <w:r>
        <w:rPr>
          <w:rFonts w:hint="eastAsia" w:ascii="宋体" w:hAnsi="宋体"/>
          <w:kern w:val="0"/>
          <w:szCs w:val="21"/>
        </w:rPr>
        <w:t>验收合格后，由监理人向承包人出具经发包人签认的单位工程接收证书。已签发单位工程接收证书的单位工程由发包人负责照管。单位工程的验收成果和结论作为整体工程竣工验收申请报告的附件。</w:t>
      </w:r>
    </w:p>
    <w:p>
      <w:pPr>
        <w:spacing w:line="360" w:lineRule="auto"/>
        <w:ind w:firstLine="420" w:firstLineChars="200"/>
        <w:jc w:val="left"/>
        <w:rPr>
          <w:rFonts w:ascii="宋体" w:hAnsi="宋体"/>
          <w:kern w:val="0"/>
          <w:szCs w:val="21"/>
        </w:rPr>
      </w:pPr>
      <w:r>
        <w:rPr>
          <w:rFonts w:hint="eastAsia" w:ascii="宋体" w:hAnsi="宋体"/>
          <w:kern w:val="0"/>
          <w:szCs w:val="21"/>
        </w:rPr>
        <w:t>13.4.2 发包人要求在工程竣工前交付单位工程，由此导致承包人费用增加和（或）工期延误的，由发包人承担由此增加的费用和（或）延误的工期，并支付承包人合理的利润。</w:t>
      </w:r>
    </w:p>
    <w:p>
      <w:pPr>
        <w:pStyle w:val="7"/>
        <w:spacing w:before="0" w:beforeAutospacing="0" w:after="0" w:afterAutospacing="0" w:line="360" w:lineRule="auto"/>
        <w:ind w:firstLine="422" w:firstLineChars="200"/>
        <w:rPr>
          <w:sz w:val="21"/>
          <w:szCs w:val="21"/>
        </w:rPr>
      </w:pPr>
      <w:bookmarkStart w:id="648" w:name="_Toc351203591"/>
      <w:bookmarkStart w:id="649" w:name="_Toc532377279"/>
      <w:r>
        <w:rPr>
          <w:rFonts w:hint="eastAsia"/>
          <w:sz w:val="21"/>
          <w:szCs w:val="21"/>
        </w:rPr>
        <w:t>13.5 施工期运行</w:t>
      </w:r>
      <w:bookmarkEnd w:id="648"/>
      <w:bookmarkEnd w:id="649"/>
    </w:p>
    <w:p>
      <w:pPr>
        <w:spacing w:line="360" w:lineRule="auto"/>
        <w:ind w:firstLine="420" w:firstLineChars="200"/>
        <w:jc w:val="left"/>
        <w:rPr>
          <w:rFonts w:ascii="宋体" w:hAnsi="宋体"/>
          <w:kern w:val="0"/>
          <w:szCs w:val="21"/>
        </w:rPr>
      </w:pPr>
      <w:r>
        <w:rPr>
          <w:rFonts w:hint="eastAsia" w:ascii="宋体" w:hAnsi="宋体"/>
          <w:kern w:val="0"/>
          <w:szCs w:val="21"/>
        </w:rPr>
        <w:t>13.5.1 施工期运行是指合同工程尚未全部竣工，其中某项或某几项单位工程或工程设备安装已竣工，根据专用合同条款约定，需要投入施工期运行的，经发包人按第13.4款〔提前交付单位工程的验收〕的约定验收合格，证明能确保安全后，才能在施工期投入运行。</w:t>
      </w:r>
    </w:p>
    <w:p>
      <w:pPr>
        <w:spacing w:line="360" w:lineRule="auto"/>
        <w:ind w:firstLine="420" w:firstLineChars="200"/>
        <w:jc w:val="left"/>
        <w:rPr>
          <w:rFonts w:ascii="宋体" w:hAnsi="宋体"/>
          <w:kern w:val="0"/>
          <w:szCs w:val="21"/>
        </w:rPr>
      </w:pPr>
      <w:r>
        <w:rPr>
          <w:rFonts w:hint="eastAsia" w:ascii="宋体" w:hAnsi="宋体"/>
          <w:kern w:val="0"/>
          <w:szCs w:val="21"/>
        </w:rPr>
        <w:t>13.5.2 在施工期运行中发现工程或工程设备损坏或存在缺陷的，由承包人按第15.2款〔缺陷责任期〕约定进行修复。</w:t>
      </w:r>
    </w:p>
    <w:p>
      <w:pPr>
        <w:pStyle w:val="7"/>
        <w:spacing w:before="0" w:beforeAutospacing="0" w:after="0" w:afterAutospacing="0" w:line="360" w:lineRule="auto"/>
        <w:ind w:firstLine="422" w:firstLineChars="200"/>
        <w:rPr>
          <w:sz w:val="21"/>
          <w:szCs w:val="21"/>
        </w:rPr>
      </w:pPr>
      <w:bookmarkStart w:id="650" w:name="_Toc296346613"/>
      <w:bookmarkStart w:id="651" w:name="_Toc296503112"/>
      <w:bookmarkStart w:id="652" w:name="_Toc532377280"/>
      <w:bookmarkStart w:id="653" w:name="_Toc351203592"/>
      <w:bookmarkStart w:id="654" w:name="_Toc337558809"/>
      <w:r>
        <w:rPr>
          <w:rFonts w:hint="eastAsia"/>
          <w:sz w:val="21"/>
          <w:szCs w:val="21"/>
        </w:rPr>
        <w:t>13.6 竣工退</w:t>
      </w:r>
      <w:bookmarkEnd w:id="650"/>
      <w:bookmarkEnd w:id="651"/>
      <w:r>
        <w:rPr>
          <w:rFonts w:hint="eastAsia"/>
          <w:sz w:val="21"/>
          <w:szCs w:val="21"/>
        </w:rPr>
        <w:t>场</w:t>
      </w:r>
      <w:bookmarkEnd w:id="652"/>
      <w:bookmarkEnd w:id="653"/>
    </w:p>
    <w:bookmarkEnd w:id="654"/>
    <w:p>
      <w:pPr>
        <w:spacing w:line="360" w:lineRule="auto"/>
        <w:ind w:firstLine="420" w:firstLineChars="200"/>
        <w:jc w:val="left"/>
        <w:rPr>
          <w:rFonts w:ascii="宋体" w:hAnsi="宋体"/>
          <w:kern w:val="0"/>
          <w:szCs w:val="21"/>
        </w:rPr>
      </w:pPr>
      <w:r>
        <w:rPr>
          <w:rFonts w:hint="eastAsia" w:ascii="宋体" w:hAnsi="宋体"/>
          <w:kern w:val="0"/>
          <w:szCs w:val="21"/>
        </w:rPr>
        <w:t>13.6.1 竣工退场</w:t>
      </w:r>
    </w:p>
    <w:p>
      <w:pPr>
        <w:spacing w:line="360" w:lineRule="auto"/>
        <w:ind w:firstLine="420" w:firstLineChars="200"/>
        <w:jc w:val="left"/>
        <w:rPr>
          <w:rFonts w:ascii="宋体" w:hAnsi="宋体"/>
          <w:kern w:val="0"/>
          <w:szCs w:val="21"/>
        </w:rPr>
      </w:pPr>
      <w:r>
        <w:rPr>
          <w:rFonts w:hint="eastAsia" w:ascii="宋体" w:hAnsi="宋体"/>
          <w:kern w:val="0"/>
          <w:szCs w:val="21"/>
        </w:rPr>
        <w:t>颁发工程接收证书后，承包人应按以下要求对施工现场进行清理：</w:t>
      </w:r>
    </w:p>
    <w:p>
      <w:pPr>
        <w:spacing w:line="360" w:lineRule="auto"/>
        <w:ind w:firstLine="420" w:firstLineChars="200"/>
        <w:jc w:val="left"/>
        <w:rPr>
          <w:rFonts w:ascii="宋体" w:hAnsi="宋体"/>
          <w:kern w:val="0"/>
          <w:szCs w:val="21"/>
        </w:rPr>
      </w:pPr>
      <w:r>
        <w:rPr>
          <w:rFonts w:hint="eastAsia" w:ascii="宋体" w:hAnsi="宋体"/>
          <w:kern w:val="0"/>
          <w:szCs w:val="21"/>
        </w:rPr>
        <w:t>（1）施工现场内残留的垃圾已全部清除出场；</w:t>
      </w:r>
    </w:p>
    <w:p>
      <w:pPr>
        <w:spacing w:line="360" w:lineRule="auto"/>
        <w:ind w:firstLine="420" w:firstLineChars="200"/>
        <w:jc w:val="left"/>
        <w:rPr>
          <w:rFonts w:ascii="宋体" w:hAnsi="宋体"/>
          <w:kern w:val="0"/>
          <w:szCs w:val="21"/>
        </w:rPr>
      </w:pPr>
      <w:r>
        <w:rPr>
          <w:rFonts w:hint="eastAsia" w:ascii="宋体" w:hAnsi="宋体"/>
          <w:kern w:val="0"/>
          <w:szCs w:val="21"/>
        </w:rPr>
        <w:t>（2）临时工程已拆除，场地已进行清理、平整或复原；</w:t>
      </w:r>
    </w:p>
    <w:p>
      <w:pPr>
        <w:spacing w:line="360" w:lineRule="auto"/>
        <w:ind w:firstLine="420" w:firstLineChars="200"/>
        <w:jc w:val="left"/>
        <w:rPr>
          <w:rFonts w:ascii="宋体" w:hAnsi="宋体"/>
          <w:kern w:val="0"/>
          <w:szCs w:val="21"/>
        </w:rPr>
      </w:pPr>
      <w:r>
        <w:rPr>
          <w:rFonts w:hint="eastAsia" w:ascii="宋体" w:hAnsi="宋体"/>
          <w:kern w:val="0"/>
          <w:szCs w:val="21"/>
        </w:rPr>
        <w:t>（3）按合同约定应撤离的人员、承包人施工设备和剩余的材料，包括废弃的施工设备和材料，已按计划撤离施工现场；</w:t>
      </w:r>
    </w:p>
    <w:p>
      <w:pPr>
        <w:spacing w:line="360" w:lineRule="auto"/>
        <w:ind w:firstLine="420" w:firstLineChars="200"/>
        <w:jc w:val="left"/>
        <w:rPr>
          <w:rFonts w:ascii="宋体" w:hAnsi="宋体"/>
          <w:kern w:val="0"/>
          <w:szCs w:val="21"/>
        </w:rPr>
      </w:pPr>
      <w:r>
        <w:rPr>
          <w:rFonts w:hint="eastAsia" w:ascii="宋体" w:hAnsi="宋体"/>
          <w:kern w:val="0"/>
          <w:szCs w:val="21"/>
        </w:rPr>
        <w:t>（4）施工现场周边及其附近道路、河道的施工堆积物，已全部清理；</w:t>
      </w:r>
    </w:p>
    <w:p>
      <w:pPr>
        <w:spacing w:line="360" w:lineRule="auto"/>
        <w:ind w:firstLine="420" w:firstLineChars="200"/>
        <w:jc w:val="left"/>
        <w:rPr>
          <w:rFonts w:ascii="宋体" w:hAnsi="宋体"/>
          <w:kern w:val="0"/>
          <w:szCs w:val="21"/>
        </w:rPr>
      </w:pPr>
      <w:r>
        <w:rPr>
          <w:rFonts w:hint="eastAsia" w:ascii="宋体" w:hAnsi="宋体"/>
          <w:kern w:val="0"/>
          <w:szCs w:val="21"/>
        </w:rPr>
        <w:t>（5）施工现场其他场地清理工作已全部完成。</w:t>
      </w:r>
    </w:p>
    <w:p>
      <w:pPr>
        <w:spacing w:line="360" w:lineRule="auto"/>
        <w:ind w:firstLine="420" w:firstLineChars="200"/>
        <w:jc w:val="left"/>
        <w:rPr>
          <w:rFonts w:ascii="宋体" w:hAnsi="宋体"/>
          <w:kern w:val="0"/>
          <w:szCs w:val="21"/>
        </w:rPr>
      </w:pPr>
      <w:r>
        <w:rPr>
          <w:rFonts w:hint="eastAsia" w:ascii="宋体" w:hAnsi="宋体"/>
          <w:kern w:val="0"/>
          <w:szCs w:val="21"/>
        </w:rPr>
        <w:t>施工现场的竣工退场费用由承包人承担。承包人应在专用合同条款约定的期限内完成竣工退场，逾期未完成的，发包人有权出售或另行处理承包人遗留的物品，由此支出的费用由承包人承担，发包人出售承包人遗留物品所得款项在扣除必要费用后应返还承包人。</w:t>
      </w:r>
    </w:p>
    <w:p>
      <w:pPr>
        <w:spacing w:line="360" w:lineRule="auto"/>
        <w:ind w:firstLine="420" w:firstLineChars="200"/>
        <w:jc w:val="left"/>
        <w:rPr>
          <w:rFonts w:ascii="宋体" w:hAnsi="宋体"/>
          <w:kern w:val="0"/>
          <w:szCs w:val="21"/>
        </w:rPr>
      </w:pPr>
      <w:r>
        <w:rPr>
          <w:rFonts w:hint="eastAsia" w:ascii="宋体" w:hAnsi="宋体"/>
          <w:kern w:val="0"/>
          <w:szCs w:val="21"/>
        </w:rPr>
        <w:t>13.6.2 地表还原</w:t>
      </w:r>
    </w:p>
    <w:p>
      <w:pPr>
        <w:spacing w:line="360" w:lineRule="auto"/>
        <w:ind w:firstLine="420" w:firstLineChars="200"/>
        <w:jc w:val="left"/>
        <w:rPr>
          <w:rFonts w:ascii="宋体" w:hAnsi="宋体"/>
          <w:kern w:val="0"/>
          <w:szCs w:val="21"/>
        </w:rPr>
      </w:pPr>
      <w:r>
        <w:rPr>
          <w:rFonts w:hint="eastAsia" w:ascii="宋体" w:hAnsi="宋体"/>
          <w:kern w:val="0"/>
          <w:szCs w:val="21"/>
        </w:rPr>
        <w:t>承包人应按发包人要求恢复临时占地及清理场地，承包人未按发包人的要求恢复临时占地，或者场地清理未达到合同约定要求的，发包人有权委托其他人恢复或清理，所发生的费用由承包人承担。</w:t>
      </w:r>
    </w:p>
    <w:p>
      <w:pPr>
        <w:pStyle w:val="6"/>
        <w:spacing w:before="156" w:beforeLines="50" w:beforeAutospacing="0" w:after="156" w:afterLines="50" w:afterAutospacing="0" w:line="360" w:lineRule="auto"/>
        <w:jc w:val="both"/>
        <w:rPr>
          <w:bCs w:val="0"/>
          <w:kern w:val="2"/>
          <w:sz w:val="21"/>
          <w:szCs w:val="21"/>
        </w:rPr>
      </w:pPr>
      <w:bookmarkStart w:id="655" w:name="_Toc532377281"/>
      <w:bookmarkStart w:id="656" w:name="_Toc532375600"/>
      <w:bookmarkStart w:id="657" w:name="_Toc351203593"/>
      <w:bookmarkStart w:id="658" w:name="_Toc337558810"/>
      <w:bookmarkStart w:id="659" w:name="_Toc296503113"/>
      <w:bookmarkStart w:id="660" w:name="_Toc296346614"/>
      <w:r>
        <w:rPr>
          <w:rFonts w:hint="eastAsia"/>
          <w:kern w:val="2"/>
          <w:sz w:val="21"/>
          <w:szCs w:val="21"/>
        </w:rPr>
        <w:t>14. 竣工结算</w:t>
      </w:r>
      <w:bookmarkEnd w:id="655"/>
      <w:bookmarkEnd w:id="656"/>
      <w:bookmarkEnd w:id="657"/>
    </w:p>
    <w:bookmarkEnd w:id="658"/>
    <w:p>
      <w:pPr>
        <w:pStyle w:val="7"/>
        <w:spacing w:before="0" w:beforeAutospacing="0" w:after="0" w:afterAutospacing="0" w:line="360" w:lineRule="auto"/>
        <w:ind w:firstLine="422" w:firstLineChars="200"/>
        <w:rPr>
          <w:sz w:val="21"/>
          <w:szCs w:val="21"/>
        </w:rPr>
      </w:pPr>
      <w:bookmarkStart w:id="661" w:name="_Toc532377282"/>
      <w:bookmarkStart w:id="662" w:name="_Toc351203594"/>
      <w:bookmarkStart w:id="663" w:name="_Toc337558811"/>
      <w:r>
        <w:rPr>
          <w:rFonts w:hint="eastAsia"/>
          <w:sz w:val="21"/>
          <w:szCs w:val="21"/>
        </w:rPr>
        <w:t>14.1 竣工结算申请</w:t>
      </w:r>
      <w:bookmarkEnd w:id="661"/>
      <w:bookmarkEnd w:id="662"/>
    </w:p>
    <w:bookmarkEnd w:id="663"/>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承包人应在工程竣工验收合格后28天内向发包人和监理人提交竣工结算申请单，并提交完整的结算资料，有关竣工结算申请单的资料清单和份数等要求由合同当事人在专用合同条款中约定。</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除专用合同条款另有约定外，竣工结算申请单应包括以下内容：</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（1）竣工结算合同价格；</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（2）发包人已支付承包人的款项；</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 xml:space="preserve">（3）应扣留的质量保证金。已缴纳履约保证金的或提供其他工程质量担保方式的除外； </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（4）发包人应支付承包人的合同价款。</w:t>
      </w:r>
    </w:p>
    <w:p>
      <w:pPr>
        <w:pStyle w:val="7"/>
        <w:spacing w:before="0" w:beforeAutospacing="0" w:after="0" w:afterAutospacing="0" w:line="360" w:lineRule="auto"/>
        <w:ind w:firstLine="422" w:firstLineChars="200"/>
        <w:rPr>
          <w:sz w:val="21"/>
          <w:szCs w:val="21"/>
        </w:rPr>
      </w:pPr>
      <w:bookmarkStart w:id="664" w:name="_Toc532377283"/>
      <w:bookmarkStart w:id="665" w:name="_Toc351203595"/>
      <w:bookmarkStart w:id="666" w:name="_Toc337558812"/>
      <w:r>
        <w:rPr>
          <w:rFonts w:hint="eastAsia"/>
          <w:sz w:val="21"/>
          <w:szCs w:val="21"/>
        </w:rPr>
        <w:t>14.2 竣工结算审核</w:t>
      </w:r>
      <w:bookmarkEnd w:id="664"/>
      <w:bookmarkEnd w:id="665"/>
    </w:p>
    <w:bookmarkEnd w:id="666"/>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除专用合同条款另有约定外，监理人应在收到竣工结算申请单后14天内完成核查并报送发包人。发包人应在收到监理人提交的经审核的竣工结算申请单后14天内完成审批，并由监理人向承包人签发经发包人签认的竣工付款证书。监理人或发包人对竣工结算申请单有异议的，有权要求承包人进行修正和提供补充资料，承包人应提交修正后的竣工结算申请单。</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发包人在收到承包人提交竣工结算申请书后28天内未完成审批且未提出异议的，视为发包人认可承包人提交的竣工结算申请单，并自发包人收到承包人提交的竣工结算申请单后第29天起视为已签发竣工付款证书。</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（2）除专用合同条款另有约定外，发包人应在签发竣工付款证书后的14 天内，完成对承包人的竣工付款。发包人逾期支付的，按照中国人民银行发布的同期同类贷款基准利率支付违约金；逾期支付超过56天的，按照中国人民银行发布的同期同类贷款基准利率的两倍支付违约金。</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承包人对发包人签认的竣工付款证书有异议的，对于有异议部分应在收到发包人签认的竣工付款证书后7天内提出异议，并由合同当事人按照专用合同条款约定的方式和程序进行复核，或按照第20条〔争议解决〕约定处理。对于无异议部分，发包人应签发临时竣工付款证书，并按本款第（2）项完成付款。承包人逾期未提出异议的，视为认可发包人的审批结果。</w:t>
      </w:r>
    </w:p>
    <w:p>
      <w:pPr>
        <w:pStyle w:val="7"/>
        <w:spacing w:before="0" w:beforeAutospacing="0" w:after="0" w:afterAutospacing="0" w:line="360" w:lineRule="auto"/>
        <w:ind w:firstLine="422" w:firstLineChars="200"/>
        <w:rPr>
          <w:sz w:val="21"/>
          <w:szCs w:val="21"/>
        </w:rPr>
      </w:pPr>
      <w:bookmarkStart w:id="667" w:name="_Toc532377284"/>
      <w:bookmarkStart w:id="668" w:name="_Toc351203596"/>
      <w:bookmarkStart w:id="669" w:name="_Toc337558813"/>
      <w:r>
        <w:rPr>
          <w:rFonts w:hint="eastAsia"/>
          <w:sz w:val="21"/>
          <w:szCs w:val="21"/>
        </w:rPr>
        <w:t>14.3 甩项竣工协议</w:t>
      </w:r>
      <w:bookmarkEnd w:id="667"/>
      <w:bookmarkEnd w:id="668"/>
    </w:p>
    <w:bookmarkEnd w:id="669"/>
    <w:p>
      <w:pPr>
        <w:autoSpaceDE w:val="0"/>
        <w:autoSpaceDN w:val="0"/>
        <w:spacing w:line="360" w:lineRule="auto"/>
        <w:ind w:firstLine="411" w:firstLineChars="196"/>
        <w:jc w:val="left"/>
        <w:rPr>
          <w:rFonts w:ascii="宋体" w:hAnsi="宋体"/>
          <w:kern w:val="0"/>
          <w:szCs w:val="21"/>
        </w:rPr>
      </w:pPr>
      <w:r>
        <w:rPr>
          <w:rFonts w:hint="eastAsia" w:ascii="宋体" w:hAnsi="宋体"/>
          <w:kern w:val="0"/>
          <w:szCs w:val="21"/>
        </w:rPr>
        <w:t>发包人要求甩项竣工的，合同当事人应签订甩项竣工协议。在甩项竣工协议中应明确，合同当事人按照第14.1款〔竣工结算申请〕及14.2款〔竣工结算审核〕的约定，对已完合格工程进行结算，并支付相应合同价款。</w:t>
      </w:r>
    </w:p>
    <w:p>
      <w:pPr>
        <w:pStyle w:val="7"/>
        <w:spacing w:before="0" w:beforeAutospacing="0" w:after="0" w:afterAutospacing="0" w:line="360" w:lineRule="auto"/>
        <w:ind w:firstLine="422" w:firstLineChars="200"/>
        <w:rPr>
          <w:sz w:val="21"/>
          <w:szCs w:val="21"/>
        </w:rPr>
      </w:pPr>
      <w:bookmarkStart w:id="670" w:name="_Toc532377285"/>
      <w:bookmarkStart w:id="671" w:name="_Toc351203597"/>
      <w:bookmarkStart w:id="672" w:name="_Toc337558814"/>
      <w:r>
        <w:rPr>
          <w:rFonts w:hint="eastAsia"/>
          <w:sz w:val="21"/>
          <w:szCs w:val="21"/>
        </w:rPr>
        <w:t>14.4 最终结清</w:t>
      </w:r>
      <w:bookmarkEnd w:id="670"/>
      <w:bookmarkEnd w:id="671"/>
    </w:p>
    <w:bookmarkEnd w:id="672"/>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14.4.1 最终结清申请单</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（1）除专用合同条款另有约定外，承包人应在缺陷责任期终止证书颁发后7天内，按专用合同条款约定的份数向发包人提交最终结清申请单，并提供相关证明材料。</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除专用合同条款另有约定外，最终结清申请单应列明质量保证金、应扣除的质量保证金、缺陷责任期内发生的增减费用。</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（2）发包人对最终结清申请单内容有异议的，有权要求承包人进行修正和提供补充资料，承包人应向发包人提交修正后的最终结清申请单。</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14.4.2 最终结清证书和支付</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除专用合同条款另有约定外，发包人应在收到承包人提交的最终结清申请单后14天内完成审批并向承包人颁发最终结清证书。发包人逾期未完成审批，又未提出修改意见的，视为发包人同意承包人提交的最终结清申请单，且自发包人收到承包人提交的最终结清申请单后15天起视为已颁发最终结清证书。</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除专用合同条款另有约定外，发包人应在颁发最终结清证书后7天内完成支付。发包人逾期支付的，按照中国人民银行发布的同期同类贷款基准利率支付违约金；逾期支付超过56天的，按照中国人民银行发布的同期同类贷款基准利率的两倍支付违约金。</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（3）承包人对发包人颁发的最终结清证书有异议的，按第20条〔争议解决〕的约定办理。</w:t>
      </w:r>
    </w:p>
    <w:p>
      <w:pPr>
        <w:pStyle w:val="6"/>
        <w:spacing w:before="156" w:beforeLines="50" w:beforeAutospacing="0" w:after="156" w:afterLines="50" w:afterAutospacing="0" w:line="360" w:lineRule="auto"/>
        <w:jc w:val="both"/>
        <w:rPr>
          <w:bCs w:val="0"/>
          <w:kern w:val="2"/>
          <w:sz w:val="21"/>
          <w:szCs w:val="21"/>
        </w:rPr>
      </w:pPr>
      <w:bookmarkStart w:id="673" w:name="_Toc351203598"/>
      <w:bookmarkStart w:id="674" w:name="_Toc532377286"/>
      <w:bookmarkStart w:id="675" w:name="_Toc532375601"/>
      <w:bookmarkStart w:id="676" w:name="_Toc337558815"/>
      <w:r>
        <w:rPr>
          <w:rFonts w:hint="eastAsia"/>
          <w:kern w:val="2"/>
          <w:sz w:val="21"/>
          <w:szCs w:val="21"/>
        </w:rPr>
        <w:t>15. 缺陷责任与保修</w:t>
      </w:r>
      <w:bookmarkEnd w:id="673"/>
      <w:bookmarkEnd w:id="674"/>
      <w:bookmarkEnd w:id="675"/>
    </w:p>
    <w:bookmarkEnd w:id="659"/>
    <w:bookmarkEnd w:id="660"/>
    <w:bookmarkEnd w:id="676"/>
    <w:p>
      <w:pPr>
        <w:pStyle w:val="7"/>
        <w:spacing w:before="0" w:beforeAutospacing="0" w:after="0" w:afterAutospacing="0" w:line="360" w:lineRule="auto"/>
        <w:ind w:firstLine="422" w:firstLineChars="200"/>
        <w:rPr>
          <w:sz w:val="21"/>
          <w:szCs w:val="21"/>
        </w:rPr>
      </w:pPr>
      <w:bookmarkStart w:id="677" w:name="_Toc351203599"/>
      <w:bookmarkStart w:id="678" w:name="_Toc532377287"/>
      <w:bookmarkStart w:id="679" w:name="_Toc337558816"/>
      <w:bookmarkStart w:id="680" w:name="_Toc296503114"/>
      <w:bookmarkStart w:id="681" w:name="_Toc296346615"/>
      <w:r>
        <w:rPr>
          <w:rFonts w:hint="eastAsia"/>
          <w:sz w:val="21"/>
          <w:szCs w:val="21"/>
        </w:rPr>
        <w:t>15.1 工程保修的原则</w:t>
      </w:r>
      <w:bookmarkEnd w:id="677"/>
      <w:bookmarkEnd w:id="678"/>
    </w:p>
    <w:bookmarkEnd w:id="679"/>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在工程移交发包人后，因承包人原因产生的质量缺陷，承包人应承担质量缺陷责任和保修义务。缺陷责任期届满，承包人仍应按合同约定的工程各部位保修年限承担保修义务。</w:t>
      </w:r>
    </w:p>
    <w:p>
      <w:pPr>
        <w:pStyle w:val="7"/>
        <w:spacing w:before="0" w:beforeAutospacing="0" w:after="0" w:afterAutospacing="0" w:line="360" w:lineRule="auto"/>
        <w:ind w:firstLine="422" w:firstLineChars="200"/>
        <w:rPr>
          <w:sz w:val="21"/>
          <w:szCs w:val="21"/>
        </w:rPr>
      </w:pPr>
      <w:bookmarkStart w:id="682" w:name="_Toc532377288"/>
      <w:bookmarkStart w:id="683" w:name="_Toc351203600"/>
      <w:bookmarkStart w:id="684" w:name="_Toc337558817"/>
      <w:r>
        <w:rPr>
          <w:rFonts w:hint="eastAsia"/>
          <w:sz w:val="21"/>
          <w:szCs w:val="21"/>
        </w:rPr>
        <w:t>15.2 缺陷责任期</w:t>
      </w:r>
      <w:bookmarkEnd w:id="680"/>
      <w:bookmarkEnd w:id="681"/>
      <w:bookmarkEnd w:id="682"/>
      <w:bookmarkEnd w:id="683"/>
    </w:p>
    <w:bookmarkEnd w:id="684"/>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15.2.1 缺陷责任期从工程通过竣工验收之日起计算，合同当事人应在专用合同条款约定缺陷责任期的具体期限，但该期限最长不超过24个月。</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单位工程先于全部工程进行验收，经验收合格并交付使用的，该单位工程缺陷责任期自单位工程验收合格之日起算。因承包人原因导致工程无法按合同约定期限进行竣工验收的，缺陷责任期从实际通过竣工验收之日起计算。因发包人原因导致工程无法按合同约定期限进行竣工验收的，在承包人提交竣工验收报告90天后，工程自动进入缺陷责任期；发包人未经竣工验收擅自使用工程的，缺陷责任期自工程转移占有之日起开始计算。</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15.2.2缺陷责任期内，由承包人原因造成的缺陷，承包人应负责维修，并承担鉴定及维修费用。如承包人不维修也不承担费用，发包人可按合同约定从保证金或银行保函中扣除，费用超出保证金额的，发包人可按合同约定向承包人进行索赔。承包人维修并承担相应费用后，不免除对工程的损失赔偿责任。发包人有权要求承包人延长缺陷责任期，并应在原缺陷责任期届满前发出延长通知。但缺陷责任期（含延长部分）最长不能超过24个月。</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由他人原因造成的缺陷，发包人负责组织维修，承包人不承担费用，且发包人不得从保证金中扣除费用。</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15.2.3 任何一项缺陷或损坏修复后，经检查证明其影响了工程或工程设备的使用性能，承包人应重新进行合同约定的试验和试运行，试验和试运行的全部费用应由责任方承担。</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15.2.4 除专用合同条款另有约定外，承包人应于缺陷责任期届满后7天内向发包人发出缺陷责任期届满通知，发包人应在收到缺陷责任期满通知后14天内核实承包人是否履行缺陷修复义务，承包人未能履行缺陷修复义务的，发包人有权扣除相应金额的维修费用。发包人应在收到缺陷责任期届满通知后14天内，向承包人颁发缺陷责任期终止证书。</w:t>
      </w:r>
    </w:p>
    <w:p>
      <w:pPr>
        <w:pStyle w:val="7"/>
        <w:spacing w:before="0" w:beforeAutospacing="0" w:after="0" w:afterAutospacing="0" w:line="360" w:lineRule="auto"/>
        <w:ind w:firstLine="422" w:firstLineChars="200"/>
        <w:rPr>
          <w:sz w:val="21"/>
          <w:szCs w:val="21"/>
        </w:rPr>
      </w:pPr>
      <w:bookmarkStart w:id="685" w:name="_Toc351203601"/>
      <w:bookmarkStart w:id="686" w:name="_Toc532377289"/>
      <w:bookmarkStart w:id="687" w:name="_Toc337558818"/>
      <w:bookmarkStart w:id="688" w:name="_Toc296503115"/>
      <w:bookmarkStart w:id="689" w:name="_Toc296346616"/>
      <w:r>
        <w:rPr>
          <w:rFonts w:hint="eastAsia"/>
          <w:sz w:val="21"/>
          <w:szCs w:val="21"/>
        </w:rPr>
        <w:t>15.3 质量保证金</w:t>
      </w:r>
      <w:bookmarkEnd w:id="685"/>
      <w:bookmarkEnd w:id="686"/>
    </w:p>
    <w:bookmarkEnd w:id="687"/>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经合同当事人协商一致扣留质量保证金的，应在专用合同条款中予以明确。</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在工程项目竣工前，承包人已经提供履约担保的，发包人不得同时预留工程质量保证金。</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15.3.1 承包人提供质量保证金的方式</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承包人提供质量保证金有以下三种方式：</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（1）质量保证金保函；</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（2）相应比例的工程款；</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（3）双方约定的其他方式。</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除专用合同条款另有约定外，质量保证金原则上采用上述第（1）种方式。</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15.3.2 质量保证金的扣留</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质量保证金的扣留有以下三种方式：</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（1）在支付工程进度款时逐次扣留，在此情形下，质量保证金的计算基数不包括预付款的支付、扣回以及价格调整的金额；</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（2）工</w:t>
      </w:r>
      <w:bookmarkStart w:id="690" w:name="#go6"/>
      <w:bookmarkEnd w:id="690"/>
      <w:r>
        <w:rPr>
          <w:rFonts w:hint="eastAsia" w:ascii="宋体" w:hAnsi="宋体"/>
          <w:kern w:val="0"/>
          <w:szCs w:val="21"/>
        </w:rPr>
        <w:t>程竣工结算时一次性扣留质量保证金；</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（3）双方约定的其他扣留方式。</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除专用合同条款另有约定外，质量保证金的扣留原则上采用上述第（1）种方式。</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w:t>
      </w:r>
      <w:bookmarkStart w:id="691" w:name="#go4"/>
      <w:bookmarkEnd w:id="691"/>
      <w:r>
        <w:rPr>
          <w:rFonts w:hint="eastAsia" w:ascii="宋体" w:hAnsi="宋体"/>
          <w:kern w:val="0"/>
          <w:szCs w:val="21"/>
        </w:rPr>
        <w:t>包人累计扣留的质量保证金不得超过工程价款结算总额的3%。如承包人在发包人签发竣工付款证书后28天内提交质量保证金保函，发包人应同时退还扣留的作为质量保证金的工程价款；保函金额不得超过工程价款结算总额的3%。</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发包人在退还质量保证金的同时按照中国人民银行发布的同期同类贷款基准利率支付利息。</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15.3.3 质量保证金的退还</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缺陷责任期内，承包人认真履行合同约定的责任，到期后，承包人可向发包人申请返还保证金。</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在接到承包人返还保证金申请后，应于14天内会同承包人按照合同约定的内容进行核实。如无异议，发包人应当按照约定将保证金返还给承包人。对返还期限没有约定或者约定不明确的，发包人应当在核实后14天内将保证金返还承包人，逾期未返还的，依法承担违约责任。发包人在接到承包人返还保证金申请后14天内不予答复，经催告后14天内仍不予答复，视同认可承包人的返还保证金申请。</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发包人和承包人对保证金预留、返还以及工程维修质量、费用有争议的，按合同第20条约定的争议和纠纷解决程序处理。</w:t>
      </w:r>
    </w:p>
    <w:p>
      <w:pPr>
        <w:pStyle w:val="7"/>
        <w:spacing w:before="0" w:beforeAutospacing="0" w:after="0" w:afterAutospacing="0" w:line="360" w:lineRule="auto"/>
        <w:ind w:firstLine="422" w:firstLineChars="200"/>
        <w:rPr>
          <w:sz w:val="21"/>
          <w:szCs w:val="21"/>
        </w:rPr>
      </w:pPr>
      <w:bookmarkStart w:id="692" w:name="_Toc351203602"/>
      <w:bookmarkStart w:id="693" w:name="_Toc532377290"/>
      <w:bookmarkStart w:id="694" w:name="_Toc337558819"/>
      <w:r>
        <w:rPr>
          <w:rFonts w:hint="eastAsia"/>
          <w:sz w:val="21"/>
          <w:szCs w:val="21"/>
        </w:rPr>
        <w:t>15.4 保修</w:t>
      </w:r>
      <w:bookmarkEnd w:id="692"/>
      <w:bookmarkEnd w:id="693"/>
    </w:p>
    <w:bookmarkEnd w:id="688"/>
    <w:bookmarkEnd w:id="689"/>
    <w:bookmarkEnd w:id="694"/>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15.4.1保修责任</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工程保修期从工程竣工验收合格之日起算，具体分部分项工程的保修期由合同当事人在专用合同条款中约定，但不得低于法定最低保修年限。在工程保修期内，承包人应当根据有关法律规定以及合同约定承担保修责任。</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发包人未经竣工验收擅自使用工程的，保修期自转移占有之日起算。</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15.4.2 修复费用</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保修期内，修复的费用按照以下约定处理：</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（1）保修期内，因承包人原因造成工程的缺陷、损坏，承包人应负责修复，并承担修复的费用以及因工程的缺陷、损坏造成的人身伤害和财产损失；</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（2）保修期内，因发包人使用不当造成工程的缺陷、损坏，可以委托承包人修复，但发包人应承担修复的费用，并支付承包人合理利润；</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（3）因其他原因造成工程的缺陷、损坏，可以委托承包人修复，发包人应承担修复的费用，并支付承包人合理的利润，因工程的缺陷、损坏造成的人身伤害和财产损失由责任方承担。</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15.4.3 修复通知</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在保修期内，发包人在使用过程中，发现已接收的工程存在缺陷或损坏的，应书面通知承包人予以修复，但情况紧急必须立即修复缺陷或损坏的，发包人可以口头通知承包人并在口头通知后48小时内书面确认，承包人应在专用合同条款约定的合理期限内到达工程现场并修复缺陷或损坏。</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15.4.4 未能修复</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因承包人原因造成工程的缺陷或损坏，承包人拒绝维修或未能在合理期限内修复缺陷或损坏，且经发包人书面催告后仍未修复的，发包人有权自行修复或委托第三方修复，所需费用由承包人承担。但修复范围超出缺陷或损坏范围的，超出范围部分的修复费用由发包人承担。</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15.4.5 承包人出入权</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在保修期内，为了修复缺陷或损坏，承包人有权出入工程现场，除情况紧急必须立即修复缺陷或损坏外，承包人应提前24小时通知发包人进场修复的时间。承包人进入工程现场前应获得发包人同意，且不应影响发包人正常的生产经营，并应遵守发包人有关保安和保密等规定。</w:t>
      </w:r>
    </w:p>
    <w:p>
      <w:pPr>
        <w:pStyle w:val="6"/>
        <w:spacing w:before="156" w:beforeLines="50" w:beforeAutospacing="0" w:after="156" w:afterLines="50" w:afterAutospacing="0" w:line="360" w:lineRule="auto"/>
        <w:jc w:val="both"/>
        <w:rPr>
          <w:bCs w:val="0"/>
          <w:kern w:val="2"/>
          <w:sz w:val="21"/>
          <w:szCs w:val="21"/>
        </w:rPr>
      </w:pPr>
      <w:bookmarkStart w:id="695" w:name="_Toc532375602"/>
      <w:bookmarkStart w:id="696" w:name="_Toc351203603"/>
      <w:bookmarkStart w:id="697" w:name="_Toc532377291"/>
      <w:bookmarkStart w:id="698" w:name="_Toc337558820"/>
      <w:r>
        <w:rPr>
          <w:rFonts w:hint="eastAsia"/>
          <w:kern w:val="2"/>
          <w:sz w:val="21"/>
          <w:szCs w:val="21"/>
        </w:rPr>
        <w:t>16. 违约</w:t>
      </w:r>
      <w:bookmarkEnd w:id="695"/>
      <w:bookmarkEnd w:id="696"/>
      <w:bookmarkEnd w:id="697"/>
    </w:p>
    <w:bookmarkEnd w:id="698"/>
    <w:p>
      <w:pPr>
        <w:pStyle w:val="7"/>
        <w:spacing w:before="0" w:beforeAutospacing="0" w:after="0" w:afterAutospacing="0" w:line="360" w:lineRule="auto"/>
        <w:ind w:firstLine="422" w:firstLineChars="200"/>
        <w:rPr>
          <w:sz w:val="21"/>
          <w:szCs w:val="21"/>
        </w:rPr>
      </w:pPr>
      <w:bookmarkStart w:id="699" w:name="_Toc296346630"/>
      <w:bookmarkStart w:id="700" w:name="_Toc296503129"/>
      <w:bookmarkStart w:id="701" w:name="_Toc532377292"/>
      <w:bookmarkStart w:id="702" w:name="_Toc351203604"/>
      <w:bookmarkStart w:id="703" w:name="_Toc337558821"/>
      <w:r>
        <w:rPr>
          <w:rFonts w:hint="eastAsia"/>
          <w:sz w:val="21"/>
          <w:szCs w:val="21"/>
        </w:rPr>
        <w:t>16.1 发</w:t>
      </w:r>
      <w:bookmarkEnd w:id="699"/>
      <w:bookmarkEnd w:id="700"/>
      <w:r>
        <w:rPr>
          <w:rFonts w:hint="eastAsia"/>
          <w:sz w:val="21"/>
          <w:szCs w:val="21"/>
        </w:rPr>
        <w:t>包人违约</w:t>
      </w:r>
      <w:bookmarkEnd w:id="701"/>
      <w:bookmarkEnd w:id="702"/>
    </w:p>
    <w:bookmarkEnd w:id="703"/>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16.1.1 发包人违约的情形</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在合同履行过程中发生的下列情形，属于发包人违约：</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（1）因发包人原因未能在计划开工日期前7天内下达开工通知的；</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（2）因发包人原因未能按合同约定支付合同价款的；</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（3）发包人违反第10.1款〔变更的范围〕第（2）项约定，自行实施被取消的工作或转由他人实施的；</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（4）发包人提供的材料、工程设备的规格、数量或质量不符合合同约定，或因发包人原因导致交货日期延误或交货地点变更等情况的；</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（5）因发包人违反合同约定造成暂停施工的；</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（6）发包人无正当理由没有在约定期限内发出复工指示，导致承包人无法复工的；</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（7）发包人明确表示或者以其行为表明不履行合同主要义务的；</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（8）发包人未能按照合同约定履行其他义务的。</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发生除本项第（7）目以外的违约情况时，承包人可向发包人发出通知，要求发包人采取有效措施纠正违约行为。发包人收到承包人通知后28天内仍不纠正违约行为的，承包人有权暂停相应部位工程施工，并通知监理人。</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16.1.2 发包人违约的责任</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发包人应承担因其违约给承包人增加的费用和（或）延误的工期，并支付承包人合理的利润。此外，合同当事人可在专用合同条款中另行约定发包人违约责任的承担方式和计算方法。</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16.1.3 因发包人违约解除合同</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承包人按第16.1.1项〔发包人违约的情形〕约定暂停施工满28天后，发包人仍不纠正其违约行为并致使合同目的不能实现的，或出现第16.1.1项〔发包人违约的情形〕第（7）目约定的违约情况，承包人有权解除合同，发包人应承担由此增加的费用，并支付承包人合理的利润。</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16.1.4 因发包人违约解除合同后的付款</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承包人按照本款约定解除合同的，发包人应在解除合同后28天内支付下列款项，并解除履约担保：</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（1）合同解除前所完成工作的价款；</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（2）承包人为工程施工订购并已付款的材料、工程设备和其他物品的价款；</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（3）承包人撤离施工现场以及遣散承包人人员的款项；</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（4）按照合同约定在合同解除前应支付的违约金；</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（5）按照合同约定应当支付给承包人的其他款项；</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（6）按照合同约定应退还的质量保证金；</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（7）因解除合同给承包人造成的损失。</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合同当事人未能就解除合同后的结清达成一致的，按照第20条〔争议解决〕的约定处理。</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承包人应妥善做好已完工程和与工程有关的已购材料、工程设备的保护和移交工作，并将施工设备和人员撤出施工现场，发包人应为承包人撤出提供必要条件。</w:t>
      </w:r>
    </w:p>
    <w:p>
      <w:pPr>
        <w:pStyle w:val="7"/>
        <w:spacing w:before="0" w:beforeAutospacing="0" w:after="0" w:afterAutospacing="0" w:line="360" w:lineRule="auto"/>
        <w:ind w:firstLine="422" w:firstLineChars="200"/>
        <w:rPr>
          <w:sz w:val="21"/>
          <w:szCs w:val="21"/>
        </w:rPr>
      </w:pPr>
      <w:bookmarkStart w:id="704" w:name="_Toc351203605"/>
      <w:bookmarkStart w:id="705" w:name="_Toc532377293"/>
      <w:bookmarkStart w:id="706" w:name="_Toc296503131"/>
      <w:bookmarkStart w:id="707" w:name="_Toc337558822"/>
      <w:bookmarkStart w:id="708" w:name="_Toc296346632"/>
      <w:r>
        <w:rPr>
          <w:rFonts w:hint="eastAsia"/>
          <w:sz w:val="21"/>
          <w:szCs w:val="21"/>
        </w:rPr>
        <w:t>16.2 承包人违约</w:t>
      </w:r>
      <w:bookmarkEnd w:id="704"/>
      <w:bookmarkEnd w:id="705"/>
    </w:p>
    <w:bookmarkEnd w:id="706"/>
    <w:bookmarkEnd w:id="707"/>
    <w:bookmarkEnd w:id="708"/>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16.2.1 承包人违约的情形</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在合同履行过程中发生的下列情形，属于承包人违约：</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（1）承包人违反合同约定进行转包或违法分包的；</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（2）承包人违反合同约定采购和使用不合格的材料和工程设备的；</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 xml:space="preserve">（3）因承包人原因导致工程质量不符合合同要求的； </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（4）承包人违反第8.9款〔材料与设备专用要求〕的约定，未经批准，私自将已按照合同约定进入施工现场的材料或设备撤离施工现场的；</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（5）承包人未能按施工进度计划及时完成合同约定的工作，造成工期延误的；</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（6）承包人在缺陷责任期及保修期内，未能在合理期限对工程缺陷进行修复，或拒绝按发包人要求进行修复的；</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（7）承包人明确表示或者以其行为表明不履行合同主要义务的；</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（8）承包人未能按照合同约定履行其他义务的。</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承包人发生除本项第（7）目约定以外的其他违约情况时，监理人可向承包人发出整改通知，要求其在指定的期限内改正。</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16.2.2 承包人违约的责任</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承包人应承担因其违约行为而增加的费用和（或）延误的工期。此外，合同当事人可在专用合同条款中另行约定承包人违约责任的承担方式和计算方法。</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16.2.3 因承包人违约解除合同</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出现第16.2.1项〔承包人违约的情形〕第（7）目约定的违约情况时，或监理人发出整改通知后，承包人在指定的合理期限内仍不纠正违约行为并致使合同目的不能实现的，发包人有权解除合同。合同解除后，因继续完成工程的需要，发包人有权使用承包人在施工现场的材料、设备、临时工程、承包人文件和由承包人或以其名义编制的其他文件，合同当事人应在专用合同条款约定相应费用的承担方式。发包人继续使用的行为不免除或减轻承包人应承担的违约责任。</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16.2.4因承包人违约解除合同后的处理</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因承包人原因导致合同解除的，则合同当事人应在合同解除后28天内完成估价、付款和清算，并按以下约定执行：</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（1）合同解除后，按第4.4款〔商定或确定〕商定或确定承包人实际完成工作对应的合同价款，以及承包人已提供的材料、工程设备、施工设备和临时工程等的价值；</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（2）合同解除后，承包人应支付的违约金；</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（3）合同解除后，因解除合同给发包人造成的损失；</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（4）合同解除后，承包人应按照发包人要求和监理人的指示完成现场的清理和撤离；</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（5）发包人和承包人应在合同解除后进行清算，出具最终结清付款证书，结清全部款项。</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因承包人违约解除合同的，发包人有权暂停对承包人的付款，查清各项付款和已扣款项。发包人和承包人未能就合同解除后的清算和款项支付达成一致的，按照第20条〔争议解决〕的约定处理。</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16.2.5采购合同权益转让</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因承包人违约解除合同的，发包人有权要求承包人将其为实施合同而签订的材料和设备的采购合同的权益转让给发包人，承包人应在收到解除合同通知后14天内，协助发包人与采购合同的供应商达成相关的转让协议。</w:t>
      </w:r>
    </w:p>
    <w:p>
      <w:pPr>
        <w:pStyle w:val="7"/>
        <w:spacing w:before="0" w:beforeAutospacing="0" w:after="0" w:afterAutospacing="0" w:line="360" w:lineRule="auto"/>
        <w:ind w:firstLine="422" w:firstLineChars="200"/>
        <w:rPr>
          <w:sz w:val="21"/>
          <w:szCs w:val="21"/>
        </w:rPr>
      </w:pPr>
      <w:bookmarkStart w:id="709" w:name="_Toc351203606"/>
      <w:bookmarkStart w:id="710" w:name="_Toc532377294"/>
      <w:r>
        <w:rPr>
          <w:rFonts w:hint="eastAsia"/>
          <w:sz w:val="21"/>
          <w:szCs w:val="21"/>
        </w:rPr>
        <w:t>16.3 第三人造成的违约</w:t>
      </w:r>
      <w:bookmarkEnd w:id="709"/>
      <w:bookmarkEnd w:id="710"/>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在履行合同过程中，一方当事人因第三人的原因造成违约的，应当向对方当事人承担违约责任。一方当事人和第三人之间的纠纷，依照法律规定或者按照约定解决。</w:t>
      </w:r>
    </w:p>
    <w:p>
      <w:pPr>
        <w:pStyle w:val="6"/>
        <w:spacing w:before="156" w:beforeLines="50" w:beforeAutospacing="0" w:after="156" w:afterLines="50" w:afterAutospacing="0" w:line="360" w:lineRule="auto"/>
        <w:jc w:val="both"/>
        <w:rPr>
          <w:bCs w:val="0"/>
          <w:kern w:val="2"/>
          <w:sz w:val="21"/>
          <w:szCs w:val="21"/>
        </w:rPr>
      </w:pPr>
      <w:bookmarkStart w:id="711" w:name="_Toc532377295"/>
      <w:bookmarkStart w:id="712" w:name="_Toc296503116"/>
      <w:bookmarkStart w:id="713" w:name="_Toc337558823"/>
      <w:bookmarkStart w:id="714" w:name="_Toc532375603"/>
      <w:bookmarkStart w:id="715" w:name="_Toc351203607"/>
      <w:bookmarkStart w:id="716" w:name="_Toc296346617"/>
      <w:r>
        <w:rPr>
          <w:rFonts w:hint="eastAsia"/>
          <w:kern w:val="2"/>
          <w:sz w:val="21"/>
          <w:szCs w:val="21"/>
        </w:rPr>
        <w:t>17. 不可抗力</w:t>
      </w:r>
      <w:bookmarkEnd w:id="711"/>
      <w:bookmarkEnd w:id="712"/>
      <w:bookmarkEnd w:id="713"/>
      <w:bookmarkEnd w:id="714"/>
      <w:bookmarkEnd w:id="715"/>
      <w:bookmarkEnd w:id="716"/>
    </w:p>
    <w:p>
      <w:pPr>
        <w:pStyle w:val="7"/>
        <w:spacing w:before="0" w:beforeAutospacing="0" w:after="0" w:afterAutospacing="0" w:line="360" w:lineRule="auto"/>
        <w:ind w:firstLine="422" w:firstLineChars="200"/>
        <w:rPr>
          <w:sz w:val="21"/>
          <w:szCs w:val="21"/>
        </w:rPr>
      </w:pPr>
      <w:bookmarkStart w:id="717" w:name="_Toc532377296"/>
      <w:bookmarkStart w:id="718" w:name="_Toc351203608"/>
      <w:bookmarkStart w:id="719" w:name="_Toc337558824"/>
      <w:bookmarkStart w:id="720" w:name="_Toc296503117"/>
      <w:bookmarkStart w:id="721" w:name="_Toc296346618"/>
      <w:r>
        <w:rPr>
          <w:rFonts w:hint="eastAsia"/>
          <w:sz w:val="21"/>
          <w:szCs w:val="21"/>
        </w:rPr>
        <w:t>17.1 不可抗力的确认</w:t>
      </w:r>
      <w:bookmarkEnd w:id="717"/>
      <w:bookmarkEnd w:id="718"/>
    </w:p>
    <w:bookmarkEnd w:id="719"/>
    <w:bookmarkEnd w:id="720"/>
    <w:bookmarkEnd w:id="721"/>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不可抗力是指合同当事人在签订合同时不可预见，在合同履行过程中不可避免且不能克服的自然灾害和社会性突发事件，如地震、海啸、瘟疫、骚乱、戒严、暴动、战争和专用合同条款中约定的其他情形。</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不可抗力发生后，发包人和承包人应收集证明不可抗力发生及不可抗力造成损失的证据，并及时认真统计所造成的损失。合同当事人对是否属于不可抗力或其损失的意见不一致的，由监理人按第4.4款〔商定或确定〕的约定处理。发生争议时，按第20条〔争议解决〕的约定处理。</w:t>
      </w:r>
    </w:p>
    <w:p>
      <w:pPr>
        <w:pStyle w:val="7"/>
        <w:spacing w:before="0" w:beforeAutospacing="0" w:after="0" w:afterAutospacing="0" w:line="360" w:lineRule="auto"/>
        <w:ind w:firstLine="422" w:firstLineChars="200"/>
        <w:rPr>
          <w:sz w:val="21"/>
          <w:szCs w:val="21"/>
        </w:rPr>
      </w:pPr>
      <w:bookmarkStart w:id="722" w:name="_Toc532377297"/>
      <w:bookmarkStart w:id="723" w:name="_Toc351203609"/>
      <w:bookmarkStart w:id="724" w:name="_Toc337558825"/>
      <w:bookmarkStart w:id="725" w:name="_Toc296503118"/>
      <w:bookmarkStart w:id="726" w:name="_Toc296346619"/>
      <w:r>
        <w:rPr>
          <w:rFonts w:hint="eastAsia"/>
          <w:sz w:val="21"/>
          <w:szCs w:val="21"/>
        </w:rPr>
        <w:t>17.2 不可抗力的通知</w:t>
      </w:r>
      <w:bookmarkEnd w:id="722"/>
      <w:bookmarkEnd w:id="723"/>
    </w:p>
    <w:bookmarkEnd w:id="724"/>
    <w:bookmarkEnd w:id="725"/>
    <w:bookmarkEnd w:id="726"/>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合同一方当事人遇到不可抗力事件，使其履行合同义务受到阻碍时，应立即通知合同另一方当事人和监理人，书面说明不可抗力和受阻碍的详细情况，并提供必要的证明。</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不可抗力持续发生的，合同一方当事人应及时向合同另一方当事人和监理人提交中间报告，说明不可抗力和履行合同受阻的情况，并于不可抗力事件结束后28天内提交最终报告及有关资料。</w:t>
      </w:r>
    </w:p>
    <w:p>
      <w:pPr>
        <w:pStyle w:val="7"/>
        <w:spacing w:before="0" w:beforeAutospacing="0" w:after="0" w:afterAutospacing="0" w:line="360" w:lineRule="auto"/>
        <w:ind w:firstLine="422" w:firstLineChars="200"/>
        <w:rPr>
          <w:sz w:val="21"/>
          <w:szCs w:val="21"/>
        </w:rPr>
      </w:pPr>
      <w:bookmarkStart w:id="727" w:name="_Toc532377298"/>
      <w:r>
        <w:rPr>
          <w:rFonts w:hint="eastAsia"/>
          <w:sz w:val="21"/>
          <w:szCs w:val="21"/>
        </w:rPr>
        <w:t>17.3 不可抗力后果的承担</w:t>
      </w:r>
      <w:bookmarkEnd w:id="727"/>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17.3.1 不可抗力引起的后果及造成的损失由合同当事人按照法律规定及合同约定各自承担。不可抗力发生前已完成的工程应当按照合同约定进行计量支付。</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17.3.2 不可抗力导致的人员伤亡、财产损失、费用增加和（或）工期延误等后果，由合同当事人按以下原则承担：</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（1）永久工程、已运至施工现场的材料和工程设备的损坏，以及因工程损坏造成的第三人人员伤亡和财产损失由发包人承担；</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（2）承包人施工设备的损坏由承包人承担；</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（3）发包人和承包人承担各自人员伤亡和财产的损失；</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（4）因不可抗力影响承包人履行合同约定的义务，已经引起或将引起工期延误的，应当顺延工期，由此导致承包人停工的费用损失由发包人和承包人合理分担，停工期间必须支付的工人工资由发包人承担；</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（5）因不可抗力引起或将引起工期延误，发包人要求赶工的，由此增加的赶工费用由发包人承担；</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（6）承包人在停工期间按照发包人要求照管、清理和修复工程的费用由发包人承担。</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不可抗力发生后，合同当事人均应采取措施尽量避免和减少损失的扩大，任何一方当事人没有采取有效措施导致损失扩大的，应对扩大的损失承担责任。</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因合同一方迟延履行合同义务，在迟延履行期间遭遇不可抗力的，不免除其违约责任。</w:t>
      </w:r>
    </w:p>
    <w:p>
      <w:pPr>
        <w:pStyle w:val="7"/>
        <w:spacing w:before="0" w:beforeAutospacing="0" w:after="0" w:afterAutospacing="0" w:line="360" w:lineRule="auto"/>
        <w:ind w:firstLine="422" w:firstLineChars="200"/>
        <w:rPr>
          <w:sz w:val="21"/>
          <w:szCs w:val="21"/>
        </w:rPr>
      </w:pPr>
      <w:bookmarkStart w:id="728" w:name="_Toc351203611"/>
      <w:bookmarkStart w:id="729" w:name="_Toc532377299"/>
      <w:bookmarkStart w:id="730" w:name="_Toc337558827"/>
      <w:r>
        <w:rPr>
          <w:rFonts w:hint="eastAsia"/>
          <w:sz w:val="21"/>
          <w:szCs w:val="21"/>
        </w:rPr>
        <w:t>17.4 因不可抗力解除合同</w:t>
      </w:r>
      <w:bookmarkEnd w:id="728"/>
      <w:bookmarkEnd w:id="729"/>
    </w:p>
    <w:bookmarkEnd w:id="730"/>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因不可抗力导致合同无法履行连续超过84天或累计超过140天的，发包人和承包人均有权解除合同。合同解除后，由双方当事人按照第4.4款〔商定或确定〕商定或确定发包人应支付的款项，该款项包括：</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（1）合同解除前承包人已完成工作的价款；</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（2）承包人为工程订购的并已交付给承包人，或承包人有责任接受交付的材料、工程设备和其他物品的价款；</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（3）发包人要求承包人退货或解除订货合同而产生的费用，或因不能退货或解除合同而产生的损失；</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（4）承包人撤离施工现场以及遣散承包人人员的费用；</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（5）按照合同约定在合同解除前应支付给承包人的其他款项；</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（6）扣减承包人按照合同约定应向发包人支付的款项；</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（7）双方商定或确定的其他款项。</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除专用合同条款另有约定外，合同解除后，发包人应在商定或确定上述款项后28天内完成上述款项的支付。</w:t>
      </w:r>
    </w:p>
    <w:p>
      <w:pPr>
        <w:pStyle w:val="6"/>
        <w:spacing w:before="156" w:beforeLines="50" w:beforeAutospacing="0" w:after="156" w:afterLines="50" w:afterAutospacing="0" w:line="360" w:lineRule="auto"/>
        <w:jc w:val="both"/>
        <w:rPr>
          <w:bCs w:val="0"/>
          <w:kern w:val="2"/>
          <w:sz w:val="21"/>
          <w:szCs w:val="21"/>
        </w:rPr>
      </w:pPr>
      <w:bookmarkStart w:id="731" w:name="_Toc532377300"/>
      <w:bookmarkStart w:id="732" w:name="_Toc351203612"/>
      <w:bookmarkStart w:id="733" w:name="_Toc532375604"/>
      <w:bookmarkStart w:id="734" w:name="_Toc296346621"/>
      <w:bookmarkStart w:id="735" w:name="_Toc337558828"/>
      <w:bookmarkStart w:id="736" w:name="_Toc296503120"/>
      <w:r>
        <w:rPr>
          <w:rFonts w:hint="eastAsia"/>
          <w:kern w:val="2"/>
          <w:sz w:val="21"/>
          <w:szCs w:val="21"/>
        </w:rPr>
        <w:t>18. 保险</w:t>
      </w:r>
      <w:bookmarkEnd w:id="731"/>
      <w:bookmarkEnd w:id="732"/>
      <w:bookmarkEnd w:id="733"/>
    </w:p>
    <w:bookmarkEnd w:id="734"/>
    <w:bookmarkEnd w:id="735"/>
    <w:bookmarkEnd w:id="736"/>
    <w:p>
      <w:pPr>
        <w:pStyle w:val="7"/>
        <w:spacing w:before="0" w:beforeAutospacing="0" w:after="0" w:afterAutospacing="0" w:line="360" w:lineRule="auto"/>
        <w:ind w:firstLine="422" w:firstLineChars="200"/>
        <w:rPr>
          <w:sz w:val="21"/>
          <w:szCs w:val="21"/>
        </w:rPr>
      </w:pPr>
      <w:bookmarkStart w:id="737" w:name="_Toc532377301"/>
      <w:bookmarkStart w:id="738" w:name="_Toc351203613"/>
      <w:bookmarkStart w:id="739" w:name="_Toc296503121"/>
      <w:bookmarkStart w:id="740" w:name="_Toc337558829"/>
      <w:bookmarkStart w:id="741" w:name="_Toc296346622"/>
      <w:r>
        <w:rPr>
          <w:rFonts w:hint="eastAsia"/>
          <w:sz w:val="21"/>
          <w:szCs w:val="21"/>
        </w:rPr>
        <w:t>18.1 工程保险</w:t>
      </w:r>
      <w:bookmarkEnd w:id="737"/>
      <w:bookmarkEnd w:id="738"/>
    </w:p>
    <w:bookmarkEnd w:id="739"/>
    <w:bookmarkEnd w:id="740"/>
    <w:bookmarkEnd w:id="741"/>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除专用合同条款另有约定外，发包人应投保建筑工程一切险或安装工程一切险；发包人委托承包人投保的，因投保产生的保险费和其他相关费用由发包人承担。</w:t>
      </w:r>
    </w:p>
    <w:p>
      <w:pPr>
        <w:pStyle w:val="7"/>
        <w:spacing w:before="0" w:beforeAutospacing="0" w:after="0" w:afterAutospacing="0" w:line="360" w:lineRule="auto"/>
        <w:ind w:firstLine="422" w:firstLineChars="200"/>
        <w:rPr>
          <w:sz w:val="21"/>
          <w:szCs w:val="21"/>
        </w:rPr>
      </w:pPr>
      <w:bookmarkStart w:id="742" w:name="_Toc532377302"/>
      <w:bookmarkStart w:id="743" w:name="_Toc351203614"/>
      <w:bookmarkStart w:id="744" w:name="_Toc296503122"/>
      <w:bookmarkStart w:id="745" w:name="_Toc296346623"/>
      <w:bookmarkStart w:id="746" w:name="_Toc337558830"/>
      <w:r>
        <w:rPr>
          <w:rFonts w:hint="eastAsia"/>
          <w:sz w:val="21"/>
          <w:szCs w:val="21"/>
        </w:rPr>
        <w:t>18.2 工伤保险</w:t>
      </w:r>
      <w:bookmarkEnd w:id="742"/>
      <w:bookmarkEnd w:id="743"/>
    </w:p>
    <w:bookmarkEnd w:id="744"/>
    <w:bookmarkEnd w:id="745"/>
    <w:bookmarkEnd w:id="746"/>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18.2.1 发包人应依照法律规定参加工伤保险，并为在施工现场的全部员工办理工伤保险，缴纳工伤保险费，并要求监理人及由发包人为履行合同聘请的第三方依法参加工伤保险。</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18.2.2 承包人应依照法律规定参加工伤保险，并为其履行合同的全部员工办理工伤保险，缴纳工伤保险费，并要求分包人及由承包人为履行合同聘请的第三方依法参加工伤保险。</w:t>
      </w:r>
    </w:p>
    <w:p>
      <w:pPr>
        <w:pStyle w:val="7"/>
        <w:spacing w:before="0" w:beforeAutospacing="0" w:after="0" w:afterAutospacing="0" w:line="360" w:lineRule="auto"/>
        <w:ind w:firstLine="422" w:firstLineChars="200"/>
        <w:rPr>
          <w:sz w:val="21"/>
          <w:szCs w:val="21"/>
        </w:rPr>
      </w:pPr>
      <w:bookmarkStart w:id="747" w:name="_Toc532377303"/>
      <w:bookmarkStart w:id="748" w:name="_Toc351203615"/>
      <w:bookmarkStart w:id="749" w:name="_Toc296346626"/>
      <w:bookmarkStart w:id="750" w:name="_Toc337558831"/>
      <w:bookmarkStart w:id="751" w:name="_Toc296503125"/>
      <w:r>
        <w:rPr>
          <w:rFonts w:hint="eastAsia"/>
          <w:sz w:val="21"/>
          <w:szCs w:val="21"/>
        </w:rPr>
        <w:t>18.3其他保险</w:t>
      </w:r>
      <w:bookmarkEnd w:id="747"/>
      <w:bookmarkEnd w:id="748"/>
    </w:p>
    <w:bookmarkEnd w:id="749"/>
    <w:bookmarkEnd w:id="750"/>
    <w:bookmarkEnd w:id="751"/>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发包人和承包人可以为其施工现场的全部人员办理意外伤害保险并支付保险费，包括其员工及为履行合同聘请的第三方的人员，具体事项由合同当事人在专用合同条款约定。</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除专用合同条款另有约定外，承包人应为其施工设备等办理财产保险。</w:t>
      </w:r>
    </w:p>
    <w:p>
      <w:pPr>
        <w:pStyle w:val="7"/>
        <w:spacing w:before="0" w:beforeAutospacing="0" w:after="0" w:afterAutospacing="0" w:line="360" w:lineRule="auto"/>
        <w:ind w:firstLine="422" w:firstLineChars="200"/>
        <w:rPr>
          <w:sz w:val="21"/>
          <w:szCs w:val="21"/>
        </w:rPr>
      </w:pPr>
      <w:bookmarkStart w:id="752" w:name="_Toc532377304"/>
      <w:bookmarkStart w:id="753" w:name="_Toc351203616"/>
      <w:r>
        <w:rPr>
          <w:rFonts w:hint="eastAsia"/>
          <w:sz w:val="21"/>
          <w:szCs w:val="21"/>
        </w:rPr>
        <w:t>18.4持续保险</w:t>
      </w:r>
      <w:bookmarkEnd w:id="752"/>
      <w:bookmarkEnd w:id="753"/>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合同当事人应与保险人保持联系，使保险人能够随时了解工程实施中的变动，并确保按保险合同条款要求持续保险。</w:t>
      </w:r>
    </w:p>
    <w:p>
      <w:pPr>
        <w:pStyle w:val="7"/>
        <w:spacing w:before="0" w:beforeAutospacing="0" w:after="0" w:afterAutospacing="0" w:line="360" w:lineRule="auto"/>
        <w:ind w:firstLine="422" w:firstLineChars="200"/>
        <w:rPr>
          <w:sz w:val="21"/>
          <w:szCs w:val="21"/>
        </w:rPr>
      </w:pPr>
      <w:bookmarkStart w:id="754" w:name="_Toc351203617"/>
      <w:bookmarkStart w:id="755" w:name="_Toc532377305"/>
      <w:bookmarkStart w:id="756" w:name="_Toc296503126"/>
      <w:bookmarkStart w:id="757" w:name="_Toc296346627"/>
      <w:bookmarkStart w:id="758" w:name="_Toc337558832"/>
      <w:r>
        <w:rPr>
          <w:rFonts w:hint="eastAsia"/>
          <w:sz w:val="21"/>
          <w:szCs w:val="21"/>
        </w:rPr>
        <w:t>18.5 保险凭证</w:t>
      </w:r>
      <w:bookmarkEnd w:id="754"/>
      <w:bookmarkEnd w:id="755"/>
    </w:p>
    <w:bookmarkEnd w:id="756"/>
    <w:bookmarkEnd w:id="757"/>
    <w:bookmarkEnd w:id="758"/>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合同当事人应及时向另一方当事人提交其已投保的各项保险的凭证和保险单复印件。</w:t>
      </w:r>
    </w:p>
    <w:p>
      <w:pPr>
        <w:pStyle w:val="7"/>
        <w:spacing w:before="0" w:beforeAutospacing="0" w:after="0" w:afterAutospacing="0" w:line="360" w:lineRule="auto"/>
        <w:ind w:firstLine="422" w:firstLineChars="200"/>
        <w:rPr>
          <w:sz w:val="21"/>
          <w:szCs w:val="21"/>
        </w:rPr>
      </w:pPr>
      <w:bookmarkStart w:id="759" w:name="_Toc532377306"/>
      <w:bookmarkStart w:id="760" w:name="_Toc351203618"/>
      <w:bookmarkStart w:id="761" w:name="_Toc337558833"/>
      <w:bookmarkStart w:id="762" w:name="_Toc296346628"/>
      <w:bookmarkStart w:id="763" w:name="_Toc296503127"/>
      <w:r>
        <w:rPr>
          <w:rFonts w:hint="eastAsia"/>
          <w:sz w:val="21"/>
          <w:szCs w:val="21"/>
        </w:rPr>
        <w:t>18.6 未按约定投保的补救</w:t>
      </w:r>
      <w:bookmarkEnd w:id="759"/>
      <w:bookmarkEnd w:id="760"/>
    </w:p>
    <w:bookmarkEnd w:id="761"/>
    <w:bookmarkEnd w:id="762"/>
    <w:bookmarkEnd w:id="763"/>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18.6.1发包人未按合同约定办理保险，或未能使保险持续有效的，则承包人可代为办理，所需费用由发包人承担。发包人未按合同约定办理保险，导致未能得到足额赔偿的，由发包人负责补足。</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18.6.2承包人未按合同约定办理保险，或未能使保险持续有效的，则发包人可代为办理，所需费用由承包人承担。承包人未按合同约定办理保险，导致未能得到足额赔偿的，由承包人负责补足。</w:t>
      </w:r>
    </w:p>
    <w:p>
      <w:pPr>
        <w:pStyle w:val="7"/>
        <w:spacing w:before="0" w:beforeAutospacing="0" w:after="0" w:afterAutospacing="0" w:line="360" w:lineRule="auto"/>
        <w:ind w:firstLine="422" w:firstLineChars="200"/>
        <w:rPr>
          <w:sz w:val="21"/>
          <w:szCs w:val="21"/>
        </w:rPr>
      </w:pPr>
      <w:bookmarkStart w:id="764" w:name="_Toc532377307"/>
      <w:bookmarkStart w:id="765" w:name="_Toc351203619"/>
      <w:bookmarkStart w:id="766" w:name="_Toc337558834"/>
      <w:r>
        <w:rPr>
          <w:rFonts w:hint="eastAsia"/>
          <w:sz w:val="21"/>
          <w:szCs w:val="21"/>
        </w:rPr>
        <w:t>18.7 通知义务</w:t>
      </w:r>
      <w:bookmarkEnd w:id="764"/>
      <w:bookmarkEnd w:id="765"/>
    </w:p>
    <w:bookmarkEnd w:id="766"/>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除专用合同条款另有约定外，发包人变更除工伤保险之外的保险合同时，应事先征得承包人同意，并通知监理人；承包人变更除工伤保险之外的保险合同时，应事先征得发包人同意，并通知监理人。</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保险事故发生时，投保人应按照保险合同规定的条件和期限及时向保险人报告。发包人和承包人应当在知道保险事故发生后及时通知对方。</w:t>
      </w:r>
    </w:p>
    <w:p>
      <w:pPr>
        <w:pStyle w:val="6"/>
        <w:spacing w:before="156" w:beforeLines="50" w:beforeAutospacing="0" w:after="156" w:afterLines="50" w:afterAutospacing="0" w:line="360" w:lineRule="auto"/>
        <w:jc w:val="both"/>
        <w:rPr>
          <w:bCs w:val="0"/>
          <w:kern w:val="2"/>
          <w:sz w:val="21"/>
          <w:szCs w:val="21"/>
        </w:rPr>
      </w:pPr>
      <w:bookmarkStart w:id="767" w:name="_Toc532375605"/>
      <w:bookmarkStart w:id="768" w:name="_Toc532377308"/>
      <w:r>
        <w:rPr>
          <w:rFonts w:hint="eastAsia"/>
          <w:kern w:val="2"/>
          <w:sz w:val="21"/>
          <w:szCs w:val="21"/>
        </w:rPr>
        <w:t>19. 索赔</w:t>
      </w:r>
      <w:bookmarkEnd w:id="767"/>
      <w:bookmarkEnd w:id="768"/>
    </w:p>
    <w:p>
      <w:pPr>
        <w:pStyle w:val="7"/>
        <w:spacing w:before="0" w:beforeAutospacing="0" w:after="0" w:afterAutospacing="0" w:line="360" w:lineRule="auto"/>
        <w:ind w:firstLine="422" w:firstLineChars="200"/>
        <w:rPr>
          <w:sz w:val="21"/>
          <w:szCs w:val="21"/>
        </w:rPr>
      </w:pPr>
      <w:bookmarkStart w:id="769" w:name="_Toc532377309"/>
      <w:r>
        <w:rPr>
          <w:rFonts w:hint="eastAsia"/>
          <w:sz w:val="21"/>
          <w:szCs w:val="21"/>
        </w:rPr>
        <w:t>19.1承包人的索赔</w:t>
      </w:r>
      <w:bookmarkEnd w:id="769"/>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根据合同约定，承包人认为有权得到追加付款和（或）延长工期的，应按以下程序向发包人提出索赔：</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（1）承包人应在知道或应当知道索赔事件发生后28天内，向监理人递交索赔意向通知书，并说明发生索赔事件的事由；承包人未在前述28天内发出索赔意向通知书的，丧失要求追加付款和（或）延长工期的权利；</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（2）承包人应在发出索赔意向通知书后28天内，向监理人正式递交索赔报告；索赔报告应详细说明索赔理由以及要求追加的付款金额和（或）延长的工期，并附必要的记录和证明材料；</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（3）索赔事件具有持续影响的，承包人应按合理时间间隔继续递交延续索赔通知，说明持续影响的实际情况和记录，列出累计的追加付款金额和（或）工期延长天数；</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（4）在索赔事件影响结束后28天内，承包人应向监理人递交最终索赔报告，说明最终要求索赔的追加付款金额和（或）延长的工期，并附必要的记录和证明材料。</w:t>
      </w:r>
    </w:p>
    <w:p>
      <w:pPr>
        <w:pStyle w:val="7"/>
        <w:spacing w:before="0" w:beforeAutospacing="0" w:after="0" w:afterAutospacing="0" w:line="360" w:lineRule="auto"/>
        <w:ind w:firstLine="422" w:firstLineChars="200"/>
        <w:rPr>
          <w:sz w:val="21"/>
          <w:szCs w:val="21"/>
        </w:rPr>
      </w:pPr>
      <w:bookmarkStart w:id="770" w:name="_Toc351203622"/>
      <w:bookmarkStart w:id="771" w:name="_Toc532377310"/>
      <w:bookmarkStart w:id="772" w:name="_Toc296346643"/>
      <w:bookmarkStart w:id="773" w:name="_Toc296503142"/>
      <w:bookmarkStart w:id="774" w:name="_Toc337558837"/>
      <w:r>
        <w:rPr>
          <w:rFonts w:hint="eastAsia"/>
          <w:sz w:val="21"/>
          <w:szCs w:val="21"/>
        </w:rPr>
        <w:t>19.2 对承包人索赔的处理</w:t>
      </w:r>
      <w:bookmarkEnd w:id="770"/>
      <w:bookmarkEnd w:id="771"/>
    </w:p>
    <w:bookmarkEnd w:id="772"/>
    <w:bookmarkEnd w:id="773"/>
    <w:bookmarkEnd w:id="774"/>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对承包人索赔的处理如下：</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（1）监理人应在收到索赔报告后14天内完成审查并报送发包人。监理人对索赔报告存在异议的，有权要求承包人提交全部原始记录副本；</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（2）发包人应在监理人收到索赔报告或有关索赔的进一步证明材料后的28天内，由监理人向承包人出具经发包人签认的索赔处理结果。发包人逾期答复的，则视为认可承包人的索赔要求；</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（3）承包人接受索赔处理结果的，索赔款项在当期进度款中进行支付；承包人不接受索赔处理结果的，按照第20条〔争议解决〕约定处理。</w:t>
      </w:r>
    </w:p>
    <w:p>
      <w:pPr>
        <w:pStyle w:val="7"/>
        <w:spacing w:before="0" w:beforeAutospacing="0" w:after="0" w:afterAutospacing="0" w:line="360" w:lineRule="auto"/>
        <w:ind w:firstLine="422" w:firstLineChars="200"/>
        <w:rPr>
          <w:sz w:val="21"/>
          <w:szCs w:val="21"/>
        </w:rPr>
      </w:pPr>
      <w:bookmarkStart w:id="775" w:name="_Toc532377311"/>
      <w:bookmarkStart w:id="776" w:name="_Toc351203623"/>
      <w:bookmarkStart w:id="777" w:name="_Toc337558838"/>
      <w:bookmarkStart w:id="778" w:name="_Toc296503143"/>
      <w:bookmarkStart w:id="779" w:name="_Toc296346644"/>
      <w:r>
        <w:rPr>
          <w:rFonts w:hint="eastAsia"/>
          <w:sz w:val="21"/>
          <w:szCs w:val="21"/>
        </w:rPr>
        <w:t>19.3发包人的索赔</w:t>
      </w:r>
      <w:bookmarkEnd w:id="775"/>
      <w:bookmarkEnd w:id="776"/>
    </w:p>
    <w:bookmarkEnd w:id="777"/>
    <w:bookmarkEnd w:id="778"/>
    <w:bookmarkEnd w:id="779"/>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根据合同约定，发包人认为有权得到赔付金额和（或）延长缺陷责任期的，监理人应向承包人发出通知并附有详细的证明。</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应在知道或应当知道索赔事件发生后28天内通过监理人向承包人提出索赔意向通知书，发包人未在前述28天内发出索赔意向通知书的，丧失要求赔付金额和（或）延长缺陷责任期的权利。发包人应在发出索赔意向通知书后28天内，通过监理人向承包人正式递交索赔报告。</w:t>
      </w:r>
    </w:p>
    <w:p>
      <w:pPr>
        <w:pStyle w:val="7"/>
        <w:spacing w:before="0" w:beforeAutospacing="0" w:after="0" w:afterAutospacing="0" w:line="360" w:lineRule="auto"/>
        <w:ind w:firstLine="422" w:firstLineChars="200"/>
        <w:rPr>
          <w:sz w:val="21"/>
          <w:szCs w:val="21"/>
        </w:rPr>
      </w:pPr>
      <w:bookmarkStart w:id="780" w:name="_Toc351203624"/>
      <w:bookmarkStart w:id="781" w:name="_Toc532377312"/>
      <w:bookmarkStart w:id="782" w:name="_Toc337558839"/>
      <w:bookmarkStart w:id="783" w:name="_Toc296346645"/>
      <w:bookmarkStart w:id="784" w:name="_Toc296503144"/>
      <w:r>
        <w:rPr>
          <w:rFonts w:hint="eastAsia"/>
          <w:sz w:val="21"/>
          <w:szCs w:val="21"/>
        </w:rPr>
        <w:t>19.4 对发包人索赔的处理</w:t>
      </w:r>
      <w:bookmarkEnd w:id="780"/>
      <w:bookmarkEnd w:id="781"/>
    </w:p>
    <w:bookmarkEnd w:id="782"/>
    <w:bookmarkEnd w:id="783"/>
    <w:bookmarkEnd w:id="784"/>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对发包人索赔的处理如下：</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（1）承包人收到发包人提交的索赔报告后，应及时审查索赔报告的内容、查验发包人证明材料；</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（2）承包人应在收到索赔报告或有关索赔的进一步证明材料后28天内，将索赔处理结果答复发包人。如果承包人未在上述期限内作出答复的，则视为对发包人索赔要求的认可；</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（3）承包人接受索赔处理结果的，发包人可从应支付给承包人的合同价款中扣除赔付的金额或延长缺陷责任期；发包人不接受索赔处理结果的，按第20条〔争议解决〕约定处理。</w:t>
      </w:r>
    </w:p>
    <w:p>
      <w:pPr>
        <w:pStyle w:val="7"/>
        <w:spacing w:before="0" w:beforeAutospacing="0" w:after="0" w:afterAutospacing="0" w:line="360" w:lineRule="auto"/>
        <w:ind w:firstLine="420" w:firstLineChars="200"/>
        <w:rPr>
          <w:b w:val="0"/>
          <w:sz w:val="21"/>
          <w:szCs w:val="21"/>
        </w:rPr>
      </w:pPr>
      <w:bookmarkStart w:id="785" w:name="_Toc351203625"/>
      <w:bookmarkStart w:id="786" w:name="_Toc532377313"/>
      <w:r>
        <w:rPr>
          <w:rFonts w:hint="eastAsia"/>
          <w:b w:val="0"/>
          <w:sz w:val="21"/>
          <w:szCs w:val="21"/>
        </w:rPr>
        <w:t>19.5 提出索赔的期限</w:t>
      </w:r>
      <w:bookmarkEnd w:id="785"/>
      <w:bookmarkEnd w:id="786"/>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（1）承包人按第14.2款〔竣工结算审核〕约定接收竣工付款证书后，应被视为已无权再提出在工程接收证书颁发前所发生的任何索赔。</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（2）承包人按第14.4款〔最终结清〕提交的最终结清申请单中，只限于提出工程接收证书颁发后发生的索赔。提出索赔的期限自接受最终结清证书时终止。</w:t>
      </w:r>
    </w:p>
    <w:p>
      <w:pPr>
        <w:pStyle w:val="6"/>
        <w:spacing w:before="156" w:beforeLines="50" w:beforeAutospacing="0" w:after="156" w:afterLines="50" w:afterAutospacing="0" w:line="360" w:lineRule="auto"/>
        <w:jc w:val="both"/>
        <w:rPr>
          <w:bCs w:val="0"/>
          <w:kern w:val="2"/>
          <w:sz w:val="21"/>
          <w:szCs w:val="21"/>
        </w:rPr>
      </w:pPr>
      <w:bookmarkStart w:id="787" w:name="_Toc532375606"/>
      <w:bookmarkStart w:id="788" w:name="_Toc532377314"/>
      <w:bookmarkStart w:id="789" w:name="_Toc351203626"/>
      <w:r>
        <w:rPr>
          <w:rFonts w:hint="eastAsia"/>
          <w:kern w:val="2"/>
          <w:sz w:val="21"/>
          <w:szCs w:val="21"/>
        </w:rPr>
        <w:t>20</w:t>
      </w:r>
      <w:bookmarkStart w:id="790" w:name="_Toc296503146"/>
      <w:bookmarkStart w:id="791" w:name="_Toc296346647"/>
      <w:bookmarkStart w:id="792" w:name="_Toc337558840"/>
      <w:r>
        <w:rPr>
          <w:rFonts w:hint="eastAsia"/>
          <w:kern w:val="2"/>
          <w:sz w:val="21"/>
          <w:szCs w:val="21"/>
        </w:rPr>
        <w:t>. 争议解决</w:t>
      </w:r>
      <w:bookmarkEnd w:id="787"/>
      <w:bookmarkEnd w:id="788"/>
      <w:bookmarkEnd w:id="789"/>
    </w:p>
    <w:bookmarkEnd w:id="790"/>
    <w:bookmarkEnd w:id="791"/>
    <w:bookmarkEnd w:id="792"/>
    <w:p>
      <w:pPr>
        <w:pStyle w:val="7"/>
        <w:spacing w:before="0" w:beforeAutospacing="0" w:after="0" w:afterAutospacing="0" w:line="360" w:lineRule="auto"/>
        <w:ind w:firstLine="422" w:firstLineChars="200"/>
        <w:rPr>
          <w:sz w:val="21"/>
          <w:szCs w:val="21"/>
        </w:rPr>
      </w:pPr>
      <w:bookmarkStart w:id="793" w:name="_Toc351203627"/>
      <w:bookmarkStart w:id="794" w:name="_Toc532377315"/>
      <w:bookmarkStart w:id="795" w:name="_Toc296346648"/>
      <w:bookmarkStart w:id="796" w:name="_Toc296503147"/>
      <w:bookmarkStart w:id="797" w:name="_Toc337558841"/>
      <w:r>
        <w:rPr>
          <w:rFonts w:hint="eastAsia"/>
          <w:sz w:val="21"/>
          <w:szCs w:val="21"/>
        </w:rPr>
        <w:t>20.1和解</w:t>
      </w:r>
      <w:bookmarkEnd w:id="793"/>
      <w:bookmarkEnd w:id="794"/>
    </w:p>
    <w:bookmarkEnd w:id="795"/>
    <w:bookmarkEnd w:id="796"/>
    <w:bookmarkEnd w:id="797"/>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合同当事人可以就争议自行和解，自行和解达成协议的经双方签名并盖章后作为合同补充文件，双方均应遵照执行。</w:t>
      </w:r>
    </w:p>
    <w:p>
      <w:pPr>
        <w:pStyle w:val="7"/>
        <w:spacing w:before="0" w:beforeAutospacing="0" w:after="0" w:afterAutospacing="0" w:line="360" w:lineRule="auto"/>
        <w:ind w:firstLine="422" w:firstLineChars="200"/>
        <w:rPr>
          <w:sz w:val="21"/>
          <w:szCs w:val="21"/>
        </w:rPr>
      </w:pPr>
      <w:bookmarkStart w:id="798" w:name="_Toc351203628"/>
      <w:bookmarkStart w:id="799" w:name="_Toc532377316"/>
      <w:r>
        <w:rPr>
          <w:rFonts w:hint="eastAsia"/>
          <w:sz w:val="21"/>
          <w:szCs w:val="21"/>
        </w:rPr>
        <w:t>20</w:t>
      </w:r>
      <w:bookmarkStart w:id="800" w:name="_Toc296503148"/>
      <w:bookmarkStart w:id="801" w:name="_Toc337558842"/>
      <w:bookmarkStart w:id="802" w:name="_Toc296346649"/>
      <w:r>
        <w:rPr>
          <w:rFonts w:hint="eastAsia"/>
          <w:sz w:val="21"/>
          <w:szCs w:val="21"/>
        </w:rPr>
        <w:t>.2调解</w:t>
      </w:r>
      <w:bookmarkEnd w:id="798"/>
      <w:bookmarkEnd w:id="799"/>
    </w:p>
    <w:bookmarkEnd w:id="800"/>
    <w:bookmarkEnd w:id="801"/>
    <w:bookmarkEnd w:id="802"/>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合同当事人可以就争议请求建设行政主管部门、行业协会或其他第三方进行调解，调解达成协议的，经双方签名并盖章后作为合同补充文件，双方均应遵照执行。</w:t>
      </w:r>
    </w:p>
    <w:p>
      <w:pPr>
        <w:pStyle w:val="7"/>
        <w:spacing w:before="0" w:beforeAutospacing="0" w:after="0" w:afterAutospacing="0" w:line="360" w:lineRule="auto"/>
        <w:ind w:firstLine="422" w:firstLineChars="200"/>
        <w:rPr>
          <w:sz w:val="21"/>
          <w:szCs w:val="21"/>
        </w:rPr>
      </w:pPr>
      <w:bookmarkStart w:id="803" w:name="_Toc532377317"/>
      <w:bookmarkStart w:id="804" w:name="_Toc351203629"/>
      <w:bookmarkStart w:id="805" w:name="_Toc296503149"/>
      <w:bookmarkStart w:id="806" w:name="_Toc296346650"/>
      <w:bookmarkStart w:id="807" w:name="_Toc337558843"/>
      <w:r>
        <w:rPr>
          <w:rFonts w:hint="eastAsia"/>
          <w:sz w:val="21"/>
          <w:szCs w:val="21"/>
        </w:rPr>
        <w:t>20.3争议评审</w:t>
      </w:r>
      <w:bookmarkEnd w:id="803"/>
      <w:bookmarkEnd w:id="804"/>
    </w:p>
    <w:bookmarkEnd w:id="805"/>
    <w:bookmarkEnd w:id="806"/>
    <w:bookmarkEnd w:id="807"/>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 xml:space="preserve">合同当事人在专用合同条款中约定采取争议评审方式解决争议以及评审规则，并按下列约定执行： </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20.3.1 争议评审小组的确定</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合同当事人可以共同选择一名或三名争议评审员，组成争议评审小组。除专用合同条款另有约定外，合同当事人应当自合同签订后28天内，或者争议发生后14天内，选定争议评审员。</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 xml:space="preserve">选择一名争议评审员的，由合同当事人共同确定；选择三名争议评审员的，各自选定一名，第三名成员为首席争议评审员，由合同当事人共同确定或由合同当事人委托已选定的争议评审员共同确定，或由专用合同条款约定的评审机构指定第三名首席争议评审员。 </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除专用合同条款另有约定外，评审员报酬由发包人和承包人各承担一半。</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20.3.2 争议评审小组的决定</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合同当事人可在任何时间将与合同有关的任何争议共同提请争议评审小组进行评审。争议评审小组应秉持客观、公正原则，充分听取合同当事人的意见，依据相关法律、规范、标准、案例经验及商业惯例等，自收到争议评审申请报告后14天内作出书面决定，并说明理由。合同当事人可以在专用合同条款中对本项事项另行约定。</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20.3.3 争议评审小组决定的效力</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争议评审小组作出的书面决定经合同当事人签名确认后，对双方具有约束力，双方应遵照执行。</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任何一方当事人不接受争议评审小组决定或不履行争议评审小组决定的，双方可选择采用其他争议解决方式。</w:t>
      </w:r>
    </w:p>
    <w:p>
      <w:pPr>
        <w:pStyle w:val="7"/>
        <w:spacing w:before="0" w:beforeAutospacing="0" w:after="0" w:afterAutospacing="0" w:line="360" w:lineRule="auto"/>
        <w:ind w:firstLine="422" w:firstLineChars="200"/>
        <w:rPr>
          <w:sz w:val="21"/>
          <w:szCs w:val="21"/>
        </w:rPr>
      </w:pPr>
      <w:bookmarkStart w:id="808" w:name="_Toc532377318"/>
      <w:bookmarkStart w:id="809" w:name="_Toc351203630"/>
      <w:bookmarkStart w:id="810" w:name="_Toc337558844"/>
      <w:bookmarkStart w:id="811" w:name="_Toc296346651"/>
      <w:bookmarkStart w:id="812" w:name="_Toc296503150"/>
      <w:r>
        <w:rPr>
          <w:rFonts w:hint="eastAsia"/>
          <w:sz w:val="21"/>
          <w:szCs w:val="21"/>
        </w:rPr>
        <w:t>20.4仲裁或诉讼</w:t>
      </w:r>
      <w:bookmarkEnd w:id="808"/>
      <w:bookmarkEnd w:id="809"/>
    </w:p>
    <w:bookmarkEnd w:id="810"/>
    <w:bookmarkEnd w:id="811"/>
    <w:bookmarkEnd w:id="812"/>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因合同及合同有关事项产生的争议，合同当事人可以在专用合同条款中约定以下一种方式解决争议：</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（1）向约定的仲裁委员会申请仲裁；</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（2）向有管辖权的人民法院起诉。</w:t>
      </w:r>
    </w:p>
    <w:p>
      <w:pPr>
        <w:pStyle w:val="7"/>
        <w:spacing w:before="0" w:beforeAutospacing="0" w:after="0" w:afterAutospacing="0" w:line="360" w:lineRule="auto"/>
        <w:ind w:firstLine="420" w:firstLineChars="200"/>
        <w:rPr>
          <w:b w:val="0"/>
          <w:sz w:val="21"/>
          <w:szCs w:val="21"/>
        </w:rPr>
      </w:pPr>
      <w:bookmarkStart w:id="813" w:name="_Toc532377319"/>
      <w:bookmarkStart w:id="814" w:name="_Toc351203631"/>
      <w:bookmarkStart w:id="815" w:name="_Toc296346653"/>
      <w:bookmarkStart w:id="816" w:name="_Toc296503152"/>
      <w:bookmarkStart w:id="817" w:name="_Toc337558845"/>
      <w:r>
        <w:rPr>
          <w:rFonts w:hint="eastAsia"/>
          <w:b w:val="0"/>
          <w:sz w:val="21"/>
          <w:szCs w:val="21"/>
        </w:rPr>
        <w:t>20.5争议解决条款效力</w:t>
      </w:r>
      <w:bookmarkEnd w:id="813"/>
      <w:bookmarkEnd w:id="814"/>
    </w:p>
    <w:bookmarkEnd w:id="815"/>
    <w:bookmarkEnd w:id="816"/>
    <w:bookmarkEnd w:id="817"/>
    <w:p>
      <w:pPr>
        <w:spacing w:line="360" w:lineRule="auto"/>
        <w:ind w:firstLine="420" w:firstLineChars="200"/>
        <w:jc w:val="left"/>
        <w:rPr>
          <w:rFonts w:ascii="宋体" w:hAnsi="宋体"/>
          <w:kern w:val="0"/>
          <w:szCs w:val="21"/>
        </w:rPr>
      </w:pPr>
      <w:r>
        <w:rPr>
          <w:rFonts w:hint="eastAsia" w:ascii="宋体" w:hAnsi="宋体"/>
          <w:kern w:val="0"/>
          <w:szCs w:val="21"/>
        </w:rPr>
        <w:t>合同有关争议解决的条款独立存在，合同的变更、解除、终止、无效或者被撤销均不影响其效力。</w:t>
      </w:r>
    </w:p>
    <w:p>
      <w:pPr>
        <w:pStyle w:val="5"/>
        <w:jc w:val="center"/>
        <w:rPr>
          <w:rFonts w:ascii="宋体" w:hAnsi="宋体"/>
          <w:sz w:val="44"/>
          <w:szCs w:val="44"/>
        </w:rPr>
      </w:pPr>
      <w:r>
        <w:rPr>
          <w:rFonts w:hint="eastAsia" w:ascii="宋体" w:hAnsi="宋体"/>
          <w:snapToGrid w:val="0"/>
          <w:kern w:val="0"/>
          <w:szCs w:val="21"/>
        </w:rPr>
        <w:br w:type="page"/>
      </w:r>
      <w:bookmarkStart w:id="818" w:name="_Toc529388290"/>
      <w:bookmarkStart w:id="819" w:name="_Toc532377320"/>
      <w:bookmarkStart w:id="820" w:name="_Toc24994"/>
      <w:bookmarkStart w:id="821" w:name="_Toc532375607"/>
      <w:r>
        <w:rPr>
          <w:rFonts w:hint="eastAsia" w:ascii="宋体" w:hAnsi="宋体"/>
          <w:sz w:val="44"/>
          <w:szCs w:val="44"/>
        </w:rPr>
        <w:t>第三部分 专用合同条款</w:t>
      </w:r>
      <w:bookmarkEnd w:id="818"/>
      <w:bookmarkEnd w:id="819"/>
      <w:bookmarkEnd w:id="820"/>
      <w:bookmarkEnd w:id="821"/>
    </w:p>
    <w:p>
      <w:pPr>
        <w:pStyle w:val="6"/>
        <w:spacing w:before="156" w:beforeLines="50" w:beforeAutospacing="0" w:after="156" w:afterLines="50" w:afterAutospacing="0" w:line="360" w:lineRule="auto"/>
        <w:jc w:val="both"/>
        <w:rPr>
          <w:bCs w:val="0"/>
          <w:kern w:val="2"/>
          <w:sz w:val="21"/>
          <w:szCs w:val="21"/>
        </w:rPr>
      </w:pPr>
      <w:bookmarkStart w:id="822" w:name="_Toc532375608"/>
      <w:bookmarkStart w:id="823" w:name="_Toc532377321"/>
      <w:bookmarkStart w:id="824" w:name="_Toc351203633"/>
      <w:bookmarkStart w:id="825" w:name="_Hlk528927191"/>
      <w:r>
        <w:rPr>
          <w:rFonts w:hint="eastAsia"/>
          <w:kern w:val="2"/>
          <w:sz w:val="21"/>
          <w:szCs w:val="21"/>
        </w:rPr>
        <w:t>1</w:t>
      </w:r>
      <w:bookmarkStart w:id="826" w:name="_Toc292559361"/>
      <w:bookmarkStart w:id="827" w:name="_Toc297048342"/>
      <w:bookmarkStart w:id="828" w:name="_Toc296944495"/>
      <w:bookmarkStart w:id="829" w:name="_Toc296503156"/>
      <w:bookmarkStart w:id="830" w:name="_Toc296347155"/>
      <w:bookmarkStart w:id="831" w:name="_Toc292559866"/>
      <w:bookmarkStart w:id="832" w:name="_Toc297120456"/>
      <w:bookmarkStart w:id="833" w:name="_Toc296891196"/>
      <w:bookmarkStart w:id="834" w:name="_Toc296890984"/>
      <w:bookmarkStart w:id="835" w:name="_Toc296346657"/>
      <w:r>
        <w:rPr>
          <w:rFonts w:hint="eastAsia"/>
          <w:kern w:val="2"/>
          <w:sz w:val="21"/>
          <w:szCs w:val="21"/>
        </w:rPr>
        <w:t>. 一般约定</w:t>
      </w:r>
      <w:bookmarkEnd w:id="822"/>
      <w:bookmarkEnd w:id="823"/>
      <w:bookmarkEnd w:id="824"/>
    </w:p>
    <w:bookmarkEnd w:id="826"/>
    <w:bookmarkEnd w:id="827"/>
    <w:bookmarkEnd w:id="828"/>
    <w:bookmarkEnd w:id="829"/>
    <w:bookmarkEnd w:id="830"/>
    <w:bookmarkEnd w:id="831"/>
    <w:bookmarkEnd w:id="832"/>
    <w:bookmarkEnd w:id="833"/>
    <w:bookmarkEnd w:id="834"/>
    <w:bookmarkEnd w:id="835"/>
    <w:p>
      <w:pPr>
        <w:pStyle w:val="7"/>
        <w:spacing w:before="0" w:beforeAutospacing="0" w:after="0" w:afterAutospacing="0" w:line="360" w:lineRule="auto"/>
        <w:ind w:firstLine="422" w:firstLineChars="200"/>
        <w:rPr>
          <w:sz w:val="21"/>
          <w:szCs w:val="21"/>
        </w:rPr>
      </w:pPr>
      <w:bookmarkStart w:id="836" w:name="_Toc532377322"/>
      <w:r>
        <w:rPr>
          <w:rFonts w:hint="eastAsia"/>
          <w:sz w:val="21"/>
          <w:szCs w:val="21"/>
        </w:rPr>
        <w:t>1.1词语定义与解释</w:t>
      </w:r>
      <w:bookmarkEnd w:id="836"/>
    </w:p>
    <w:p>
      <w:pPr>
        <w:spacing w:line="360" w:lineRule="auto"/>
        <w:ind w:firstLine="420" w:firstLineChars="200"/>
        <w:jc w:val="left"/>
        <w:rPr>
          <w:rFonts w:ascii="宋体" w:hAnsi="宋体"/>
          <w:kern w:val="0"/>
          <w:szCs w:val="21"/>
        </w:rPr>
      </w:pPr>
      <w:r>
        <w:rPr>
          <w:rFonts w:hint="eastAsia" w:ascii="宋体" w:hAnsi="宋体"/>
          <w:kern w:val="0"/>
          <w:szCs w:val="21"/>
        </w:rPr>
        <w:t>1.1.1 合同</w:t>
      </w:r>
    </w:p>
    <w:p>
      <w:pPr>
        <w:spacing w:line="360" w:lineRule="auto"/>
        <w:ind w:firstLine="420" w:firstLineChars="200"/>
        <w:jc w:val="left"/>
        <w:rPr>
          <w:rFonts w:ascii="宋体" w:hAnsi="宋体"/>
          <w:kern w:val="0"/>
          <w:szCs w:val="21"/>
        </w:rPr>
      </w:pPr>
      <w:r>
        <w:rPr>
          <w:rFonts w:hint="eastAsia" w:ascii="宋体" w:hAnsi="宋体"/>
          <w:kern w:val="0"/>
          <w:szCs w:val="21"/>
        </w:rPr>
        <w:t>1.1.1.6技术标准和要求：</w:t>
      </w:r>
      <w:r>
        <w:rPr>
          <w:rFonts w:hint="eastAsia" w:ascii="宋体" w:hAnsi="宋体"/>
          <w:kern w:val="0"/>
          <w:szCs w:val="21"/>
          <w:u w:val="single"/>
        </w:rPr>
        <w:t>本目中的技术标准和要求是指技术规范，即合同所约定的技术标准和要求，是合同文件的组成部分。与通用合同条款中“技术标准和要求”一词具有相同含义，包括合同双方当事人约定对其所作的修改或补充</w:t>
      </w:r>
      <w:r>
        <w:rPr>
          <w:rFonts w:hint="eastAsia" w:ascii="宋体" w:hAnsi="宋体"/>
          <w:kern w:val="0"/>
          <w:szCs w:val="21"/>
        </w:rPr>
        <w:t>。</w:t>
      </w:r>
    </w:p>
    <w:p>
      <w:pPr>
        <w:spacing w:line="360" w:lineRule="auto"/>
        <w:ind w:firstLine="420" w:firstLineChars="200"/>
        <w:jc w:val="left"/>
        <w:rPr>
          <w:rFonts w:ascii="宋体" w:hAnsi="宋体"/>
          <w:kern w:val="0"/>
          <w:szCs w:val="21"/>
        </w:rPr>
      </w:pPr>
      <w:r>
        <w:rPr>
          <w:rFonts w:hint="eastAsia" w:ascii="宋体" w:hAnsi="宋体"/>
          <w:kern w:val="0"/>
          <w:szCs w:val="21"/>
        </w:rPr>
        <w:t>1.1.1.8 已标价工程量清单：</w:t>
      </w:r>
      <w:r>
        <w:rPr>
          <w:rFonts w:hint="eastAsia" w:ascii="宋体" w:hAnsi="宋体"/>
          <w:kern w:val="0"/>
          <w:szCs w:val="21"/>
          <w:u w:val="single"/>
        </w:rPr>
        <w:t>指构成合同的由承包人按照发包人规定的格式和要求填写并标明价格、经算术性错误修订及其他错误修订（如有）且承包人已确认的工程量清单</w:t>
      </w:r>
      <w:r>
        <w:rPr>
          <w:rFonts w:hint="eastAsia" w:ascii="宋体" w:hAnsi="宋体"/>
          <w:kern w:val="0"/>
          <w:szCs w:val="21"/>
        </w:rPr>
        <w:t>。</w:t>
      </w:r>
    </w:p>
    <w:p>
      <w:pPr>
        <w:spacing w:line="360" w:lineRule="auto"/>
        <w:ind w:firstLine="420" w:firstLineChars="200"/>
        <w:jc w:val="left"/>
        <w:rPr>
          <w:rFonts w:ascii="宋体" w:hAnsi="宋体"/>
          <w:szCs w:val="21"/>
        </w:rPr>
      </w:pPr>
      <w:r>
        <w:rPr>
          <w:rFonts w:hint="eastAsia" w:ascii="宋体" w:hAnsi="宋体"/>
          <w:kern w:val="0"/>
          <w:szCs w:val="21"/>
        </w:rPr>
        <w:t>1.1.1.10 其他合同文件包括：</w:t>
      </w:r>
      <w:r>
        <w:rPr>
          <w:rFonts w:hint="eastAsia" w:ascii="宋体" w:hAnsi="宋体"/>
          <w:szCs w:val="21"/>
          <w:u w:val="single"/>
        </w:rPr>
        <w:t>按照合同协议书</w:t>
      </w:r>
      <w:r>
        <w:rPr>
          <w:rFonts w:hint="eastAsia" w:ascii="宋体" w:hAnsi="宋体"/>
          <w:bCs/>
          <w:szCs w:val="21"/>
          <w:u w:val="single"/>
        </w:rPr>
        <w:t>〔</w:t>
      </w:r>
      <w:r>
        <w:rPr>
          <w:rFonts w:hint="eastAsia" w:ascii="宋体" w:hAnsi="宋体"/>
          <w:szCs w:val="21"/>
          <w:u w:val="single"/>
        </w:rPr>
        <w:t>第六条</w:t>
      </w:r>
      <w:r>
        <w:rPr>
          <w:rFonts w:hint="eastAsia" w:ascii="宋体" w:hAnsi="宋体"/>
          <w:bCs/>
          <w:szCs w:val="21"/>
          <w:u w:val="single"/>
        </w:rPr>
        <w:t>〕</w:t>
      </w:r>
      <w:r>
        <w:rPr>
          <w:rFonts w:hint="eastAsia" w:ascii="宋体" w:hAnsi="宋体"/>
          <w:szCs w:val="21"/>
          <w:u w:val="single"/>
        </w:rPr>
        <w:t>约定执行</w:t>
      </w:r>
      <w:r>
        <w:rPr>
          <w:rFonts w:hint="eastAsia" w:ascii="宋体" w:hAnsi="宋体"/>
          <w:szCs w:val="21"/>
        </w:rPr>
        <w:t>。</w:t>
      </w:r>
    </w:p>
    <w:p>
      <w:pPr>
        <w:spacing w:line="360" w:lineRule="auto"/>
        <w:ind w:firstLine="420" w:firstLineChars="200"/>
        <w:jc w:val="left"/>
        <w:rPr>
          <w:rFonts w:ascii="宋体" w:hAnsi="宋体"/>
          <w:kern w:val="0"/>
          <w:szCs w:val="21"/>
        </w:rPr>
      </w:pPr>
      <w:r>
        <w:rPr>
          <w:rFonts w:hint="eastAsia" w:ascii="宋体" w:hAnsi="宋体"/>
          <w:kern w:val="0"/>
          <w:szCs w:val="21"/>
        </w:rPr>
        <w:t>本项补充1.1.1.11～1.1.1.16目：</w:t>
      </w:r>
    </w:p>
    <w:p>
      <w:pPr>
        <w:spacing w:line="360" w:lineRule="auto"/>
        <w:ind w:firstLine="420" w:firstLineChars="200"/>
        <w:jc w:val="left"/>
        <w:rPr>
          <w:rFonts w:ascii="宋体" w:hAnsi="宋体"/>
          <w:kern w:val="0"/>
          <w:szCs w:val="21"/>
        </w:rPr>
      </w:pPr>
      <w:r>
        <w:rPr>
          <w:rFonts w:hint="eastAsia" w:ascii="宋体" w:hAnsi="宋体"/>
          <w:kern w:val="0"/>
          <w:szCs w:val="21"/>
        </w:rPr>
        <w:t>1.1.1.11 招标文件：</w:t>
      </w:r>
      <w:r>
        <w:rPr>
          <w:rFonts w:hint="eastAsia" w:ascii="宋体" w:hAnsi="宋体"/>
          <w:kern w:val="0"/>
          <w:szCs w:val="21"/>
          <w:u w:val="single"/>
        </w:rPr>
        <w:t>指本工程的招标文件、图纸、其他技术资料及招标人发出的对招标文件所作的澄清、修改等资料</w:t>
      </w:r>
      <w:r>
        <w:rPr>
          <w:rFonts w:hint="eastAsia" w:ascii="宋体" w:hAnsi="宋体"/>
          <w:kern w:val="0"/>
          <w:szCs w:val="21"/>
        </w:rPr>
        <w:t>。</w:t>
      </w:r>
    </w:p>
    <w:p>
      <w:pPr>
        <w:spacing w:line="360" w:lineRule="auto"/>
        <w:ind w:firstLine="420" w:firstLineChars="200"/>
        <w:jc w:val="left"/>
        <w:rPr>
          <w:rFonts w:ascii="宋体" w:hAnsi="宋体"/>
          <w:kern w:val="0"/>
          <w:szCs w:val="21"/>
        </w:rPr>
      </w:pPr>
      <w:r>
        <w:rPr>
          <w:rFonts w:hint="eastAsia" w:ascii="宋体" w:hAnsi="宋体"/>
          <w:kern w:val="0"/>
          <w:szCs w:val="21"/>
        </w:rPr>
        <w:t>1.1.1.12 工作：</w:t>
      </w:r>
      <w:r>
        <w:rPr>
          <w:rFonts w:hint="eastAsia" w:ascii="宋体" w:hAnsi="宋体"/>
          <w:kern w:val="0"/>
          <w:szCs w:val="21"/>
          <w:u w:val="single"/>
        </w:rPr>
        <w:t>指根据合同条款规定，或根据合同合理推及的，为本工程（包括永久工程和临时工程）施工与维护所需要的管理、劳务、材料、施工设备和其他物品的提供</w:t>
      </w:r>
      <w:r>
        <w:rPr>
          <w:rFonts w:hint="eastAsia" w:ascii="宋体" w:hAnsi="宋体"/>
          <w:kern w:val="0"/>
          <w:szCs w:val="21"/>
        </w:rPr>
        <w:t>。</w:t>
      </w:r>
    </w:p>
    <w:p>
      <w:pPr>
        <w:spacing w:line="360" w:lineRule="auto"/>
        <w:ind w:firstLine="420" w:firstLineChars="200"/>
        <w:jc w:val="left"/>
        <w:rPr>
          <w:rFonts w:ascii="宋体" w:hAnsi="宋体"/>
          <w:szCs w:val="21"/>
        </w:rPr>
      </w:pPr>
      <w:r>
        <w:rPr>
          <w:rFonts w:hint="eastAsia" w:ascii="宋体" w:hAnsi="宋体"/>
          <w:szCs w:val="21"/>
        </w:rPr>
        <w:t>1.1.1.13 重大设计变更：按照规定需要重新报建设行政主管部门批准的设计变更。</w:t>
      </w:r>
    </w:p>
    <w:p>
      <w:pPr>
        <w:spacing w:line="360" w:lineRule="auto"/>
        <w:ind w:firstLine="420" w:firstLineChars="200"/>
        <w:jc w:val="left"/>
        <w:rPr>
          <w:rFonts w:ascii="宋体" w:hAnsi="宋体"/>
          <w:szCs w:val="21"/>
        </w:rPr>
      </w:pPr>
      <w:r>
        <w:rPr>
          <w:rFonts w:ascii="宋体" w:hAnsi="宋体"/>
          <w:szCs w:val="21"/>
        </w:rPr>
        <w:t>1.1.1.</w:t>
      </w:r>
      <w:r>
        <w:rPr>
          <w:rFonts w:hint="eastAsia" w:ascii="宋体" w:hAnsi="宋体"/>
          <w:szCs w:val="21"/>
        </w:rPr>
        <w:t>14 公章：专指法定单位名称章</w:t>
      </w:r>
      <w:r>
        <w:rPr>
          <w:rFonts w:ascii="宋体" w:hAnsi="宋体"/>
          <w:szCs w:val="21"/>
        </w:rPr>
        <w:t>。</w:t>
      </w:r>
    </w:p>
    <w:bookmarkEnd w:id="825"/>
    <w:p>
      <w:pPr>
        <w:spacing w:line="360" w:lineRule="auto"/>
        <w:ind w:firstLine="420" w:firstLineChars="200"/>
        <w:jc w:val="left"/>
        <w:rPr>
          <w:rFonts w:ascii="宋体" w:hAnsi="宋体"/>
          <w:szCs w:val="21"/>
        </w:rPr>
      </w:pPr>
      <w:r>
        <w:rPr>
          <w:rFonts w:hint="eastAsia" w:ascii="宋体" w:hAnsi="宋体"/>
          <w:szCs w:val="21"/>
        </w:rPr>
        <w:t>1.1.1.15 到岗：指承包人按照到岗履职承诺安排满足办理施工许可手续相关要求的项目主要管理人员实际到施工现场就职履约的行为。</w:t>
      </w:r>
    </w:p>
    <w:p>
      <w:pPr>
        <w:spacing w:line="360" w:lineRule="auto"/>
        <w:ind w:firstLine="420" w:firstLineChars="200"/>
        <w:jc w:val="left"/>
        <w:rPr>
          <w:rFonts w:ascii="宋体" w:hAnsi="宋体"/>
          <w:szCs w:val="21"/>
        </w:rPr>
      </w:pPr>
      <w:r>
        <w:rPr>
          <w:rFonts w:hint="eastAsia" w:ascii="宋体" w:hAnsi="宋体"/>
          <w:szCs w:val="21"/>
        </w:rPr>
        <w:t>1.1.1.16 项目法人：指具有民事权利能力和民事行为能力，依法独立享有民事权利和承担民事义务，以建设项目为目的，从事项目管理的机构、单位或组织。</w:t>
      </w:r>
    </w:p>
    <w:p>
      <w:pPr>
        <w:spacing w:line="360" w:lineRule="auto"/>
        <w:ind w:firstLine="420" w:firstLineChars="200"/>
        <w:jc w:val="left"/>
        <w:rPr>
          <w:rFonts w:ascii="宋体" w:hAnsi="宋体"/>
          <w:szCs w:val="21"/>
        </w:rPr>
      </w:pPr>
      <w:r>
        <w:rPr>
          <w:rFonts w:hint="eastAsia" w:ascii="宋体" w:hAnsi="宋体"/>
          <w:szCs w:val="21"/>
        </w:rPr>
        <w:t>1.1.2 合同当事人及其他相关方</w:t>
      </w:r>
    </w:p>
    <w:p>
      <w:pPr>
        <w:spacing w:line="360" w:lineRule="auto"/>
        <w:ind w:firstLine="420" w:firstLineChars="200"/>
        <w:jc w:val="left"/>
        <w:rPr>
          <w:rFonts w:ascii="宋体" w:hAnsi="宋体"/>
          <w:szCs w:val="21"/>
        </w:rPr>
      </w:pPr>
      <w:r>
        <w:rPr>
          <w:rFonts w:hint="eastAsia" w:ascii="宋体" w:hAnsi="宋体"/>
          <w:szCs w:val="21"/>
        </w:rPr>
        <w:t>1.1.2.4 监理人：</w:t>
      </w:r>
    </w:p>
    <w:p>
      <w:pPr>
        <w:spacing w:line="360" w:lineRule="auto"/>
        <w:ind w:firstLine="420" w:firstLineChars="200"/>
        <w:jc w:val="left"/>
        <w:rPr>
          <w:rFonts w:ascii="宋体" w:hAnsi="宋体"/>
          <w:szCs w:val="21"/>
        </w:rPr>
      </w:pPr>
      <w:r>
        <w:rPr>
          <w:rFonts w:hint="eastAsia" w:ascii="宋体" w:hAnsi="宋体"/>
          <w:szCs w:val="21"/>
        </w:rPr>
        <w:t>名    称：</w:t>
      </w:r>
      <w:r>
        <w:rPr>
          <w:rFonts w:ascii="宋体" w:hAnsi="宋体"/>
          <w:szCs w:val="21"/>
          <w:u w:val="single"/>
        </w:rPr>
        <w:t xml:space="preserve">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资质类别和等级：</w:t>
      </w:r>
      <w:r>
        <w:rPr>
          <w:rFonts w:ascii="宋体" w:hAnsi="宋体"/>
          <w:szCs w:val="21"/>
          <w:u w:val="single"/>
        </w:rPr>
        <w:t></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联系方式：</w:t>
      </w:r>
      <w:r>
        <w:rPr>
          <w:rFonts w:ascii="宋体" w:hAnsi="宋体"/>
          <w:szCs w:val="21"/>
          <w:u w:val="single"/>
        </w:rPr>
        <w:t xml:space="preserve">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1.1.2.5 设计人：</w:t>
      </w:r>
    </w:p>
    <w:p>
      <w:pPr>
        <w:spacing w:line="360" w:lineRule="auto"/>
        <w:ind w:firstLine="420" w:firstLineChars="200"/>
        <w:jc w:val="left"/>
        <w:rPr>
          <w:rFonts w:ascii="宋体" w:hAnsi="宋体"/>
          <w:szCs w:val="21"/>
        </w:rPr>
      </w:pPr>
      <w:r>
        <w:rPr>
          <w:rFonts w:hint="eastAsia" w:ascii="宋体" w:hAnsi="宋体"/>
          <w:szCs w:val="21"/>
        </w:rPr>
        <w:t>名    称：</w:t>
      </w:r>
      <w:r>
        <w:rPr>
          <w:rFonts w:ascii="宋体" w:hAnsi="宋体"/>
          <w:szCs w:val="21"/>
          <w:u w:val="single"/>
        </w:rPr>
        <w:t xml:space="preserve">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资质类别和等级：</w:t>
      </w:r>
      <w:r>
        <w:rPr>
          <w:rFonts w:ascii="宋体" w:hAnsi="宋体"/>
          <w:szCs w:val="21"/>
          <w:u w:val="single"/>
        </w:rPr>
        <w:t></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联系方式：</w:t>
      </w:r>
      <w:r>
        <w:rPr>
          <w:rFonts w:ascii="宋体" w:hAnsi="宋体"/>
          <w:szCs w:val="21"/>
          <w:u w:val="single"/>
        </w:rPr>
        <w:t xml:space="preserve">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1.1.3 工程和设备</w:t>
      </w:r>
    </w:p>
    <w:p>
      <w:pPr>
        <w:spacing w:line="360" w:lineRule="auto"/>
        <w:ind w:firstLine="420" w:firstLineChars="200"/>
        <w:jc w:val="left"/>
        <w:rPr>
          <w:rFonts w:ascii="宋体" w:hAnsi="宋体"/>
          <w:szCs w:val="21"/>
        </w:rPr>
      </w:pPr>
      <w:r>
        <w:rPr>
          <w:rFonts w:hint="eastAsia" w:ascii="宋体" w:hAnsi="宋体"/>
          <w:kern w:val="0"/>
          <w:szCs w:val="21"/>
        </w:rPr>
        <w:t>1.1.3.7 作为施工现场组成部分的其他场所包括：</w:t>
      </w:r>
      <w:r>
        <w:rPr>
          <w:rFonts w:hint="eastAsia" w:ascii="宋体" w:hAnsi="宋体"/>
          <w:kern w:val="0"/>
          <w:szCs w:val="21"/>
          <w:u w:val="single"/>
        </w:rPr>
        <w:t>永久占地、临时占地以及为修建临时工程而租用、占用的土地</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kern w:val="0"/>
          <w:szCs w:val="21"/>
        </w:rPr>
        <w:t>1.1.3.9 永久占地包括：</w:t>
      </w:r>
      <w:r>
        <w:rPr>
          <w:rFonts w:hint="eastAsia" w:ascii="宋体" w:hAnsi="宋体"/>
          <w:kern w:val="0"/>
          <w:szCs w:val="21"/>
          <w:u w:val="single"/>
        </w:rPr>
        <w:t>为实施合同工程而需要的一切永久占用的土地，即合同工程</w:t>
      </w:r>
      <w:r>
        <w:rPr>
          <w:rFonts w:hint="eastAsia" w:ascii="宋体" w:hAnsi="宋体"/>
          <w:szCs w:val="21"/>
          <w:u w:val="single"/>
        </w:rPr>
        <w:t>用地红线范围内的土地</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1.1.3.10 临时占地包括：</w:t>
      </w:r>
      <w:r>
        <w:rPr>
          <w:rFonts w:hint="eastAsia" w:ascii="宋体" w:hAnsi="宋体"/>
          <w:szCs w:val="21"/>
          <w:u w:val="single"/>
        </w:rPr>
        <w:t>为实施合同工程而需要</w:t>
      </w:r>
      <w:r>
        <w:rPr>
          <w:rFonts w:hint="eastAsia" w:ascii="宋体" w:hAnsi="宋体"/>
          <w:kern w:val="0"/>
          <w:szCs w:val="21"/>
          <w:u w:val="single"/>
        </w:rPr>
        <w:t>的一切</w:t>
      </w:r>
      <w:r>
        <w:rPr>
          <w:rFonts w:hint="eastAsia" w:ascii="宋体" w:hAnsi="宋体"/>
          <w:szCs w:val="21"/>
          <w:u w:val="single"/>
        </w:rPr>
        <w:t>临时占用的土地，包括施工所用的临时便道等的临时出入道，以及生产（办公）、生活等临时设施用地</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1.1.6 其他</w:t>
      </w:r>
    </w:p>
    <w:p>
      <w:pPr>
        <w:spacing w:line="360" w:lineRule="auto"/>
        <w:ind w:firstLine="420" w:firstLineChars="200"/>
        <w:jc w:val="left"/>
        <w:rPr>
          <w:rFonts w:ascii="宋体" w:hAnsi="宋体"/>
          <w:szCs w:val="21"/>
        </w:rPr>
      </w:pPr>
      <w:bookmarkStart w:id="837" w:name="_Hlk528927262"/>
      <w:r>
        <w:rPr>
          <w:rFonts w:hint="eastAsia" w:ascii="宋体" w:hAnsi="宋体"/>
          <w:szCs w:val="21"/>
        </w:rPr>
        <w:t>本项补充1.1.6.2～1.1.6.3目：</w:t>
      </w:r>
    </w:p>
    <w:p>
      <w:pPr>
        <w:spacing w:line="360" w:lineRule="auto"/>
        <w:ind w:firstLine="420" w:firstLineChars="200"/>
        <w:jc w:val="left"/>
        <w:rPr>
          <w:rFonts w:ascii="宋体" w:hAnsi="宋体"/>
          <w:szCs w:val="21"/>
        </w:rPr>
      </w:pPr>
      <w:r>
        <w:rPr>
          <w:rFonts w:hint="eastAsia" w:ascii="宋体" w:hAnsi="宋体"/>
          <w:szCs w:val="21"/>
        </w:rPr>
        <w:t>1.1.6.2 转包、违法分包及挂靠：指符合《住房和城乡建设部关于印发建筑工程施工发包与承包违法行为认定查处管理办法的通知》（建市规〔2019〕1号）规定认定条件的</w:t>
      </w:r>
      <w:r>
        <w:rPr>
          <w:rFonts w:hint="eastAsia" w:ascii="宋体" w:hAnsi="宋体"/>
          <w:kern w:val="0"/>
          <w:szCs w:val="21"/>
        </w:rPr>
        <w:t>违法行为</w:t>
      </w:r>
      <w:r>
        <w:rPr>
          <w:rFonts w:hint="eastAsia" w:ascii="宋体" w:hAnsi="宋体"/>
          <w:szCs w:val="21"/>
        </w:rPr>
        <w:t>。</w:t>
      </w:r>
    </w:p>
    <w:bookmarkEnd w:id="837"/>
    <w:p>
      <w:pPr>
        <w:spacing w:line="360" w:lineRule="auto"/>
        <w:ind w:firstLine="420" w:firstLineChars="200"/>
        <w:jc w:val="left"/>
        <w:rPr>
          <w:rFonts w:ascii="宋体" w:hAnsi="宋体"/>
          <w:szCs w:val="21"/>
        </w:rPr>
      </w:pPr>
      <w:r>
        <w:rPr>
          <w:rFonts w:hint="eastAsia" w:ascii="宋体" w:hAnsi="宋体"/>
          <w:szCs w:val="21"/>
        </w:rPr>
        <w:t>1.1.6.3 危险性较大的分部分项工程（以下简称“危大工程”）：指住房和城乡建设部令第37号《危险性较大的分部分项工程安全管理规定》规定的房屋建筑和市政基础设施工程在施工过程中，容易导致人员群死群伤或者造成重大经济损失的分部分项工程。危大工程及超过一定规模的危大工程范围以国务院住房城乡建设主管部门制定及重庆市住房和城乡建设委员会补充的范围为准。</w:t>
      </w:r>
    </w:p>
    <w:p>
      <w:pPr>
        <w:pStyle w:val="7"/>
        <w:spacing w:before="0" w:beforeAutospacing="0" w:after="0" w:afterAutospacing="0" w:line="360" w:lineRule="auto"/>
        <w:ind w:firstLine="422" w:firstLineChars="200"/>
        <w:rPr>
          <w:sz w:val="21"/>
          <w:szCs w:val="21"/>
        </w:rPr>
      </w:pPr>
      <w:bookmarkStart w:id="838" w:name="_Toc532377323"/>
      <w:r>
        <w:rPr>
          <w:rFonts w:hint="eastAsia"/>
          <w:sz w:val="21"/>
          <w:szCs w:val="21"/>
        </w:rPr>
        <w:t>1.4 标准和规范</w:t>
      </w:r>
      <w:bookmarkEnd w:id="838"/>
    </w:p>
    <w:p>
      <w:pPr>
        <w:spacing w:line="360" w:lineRule="auto"/>
        <w:ind w:firstLine="420" w:firstLineChars="200"/>
        <w:jc w:val="left"/>
        <w:rPr>
          <w:rFonts w:ascii="宋体" w:hAnsi="宋体"/>
          <w:szCs w:val="21"/>
        </w:rPr>
      </w:pPr>
      <w:r>
        <w:rPr>
          <w:rFonts w:hint="eastAsia" w:ascii="宋体" w:hAnsi="宋体"/>
          <w:szCs w:val="21"/>
        </w:rPr>
        <w:t>1.4.1 适用于工程的标准规范包括：</w:t>
      </w:r>
    </w:p>
    <w:p>
      <w:pPr>
        <w:spacing w:line="360" w:lineRule="auto"/>
        <w:ind w:firstLine="420" w:firstLineChars="200"/>
        <w:jc w:val="left"/>
        <w:rPr>
          <w:rFonts w:ascii="宋体" w:hAnsi="宋体"/>
          <w:szCs w:val="21"/>
        </w:rPr>
      </w:pPr>
      <w:r>
        <w:rPr>
          <w:rFonts w:hint="eastAsia" w:ascii="宋体" w:hAnsi="宋体"/>
          <w:szCs w:val="21"/>
        </w:rPr>
        <w:t>（1）施工图所涉及的技术标准、规范、规程、图集等；</w:t>
      </w:r>
    </w:p>
    <w:p>
      <w:pPr>
        <w:spacing w:line="360" w:lineRule="auto"/>
        <w:ind w:firstLine="420" w:firstLineChars="200"/>
        <w:jc w:val="left"/>
        <w:rPr>
          <w:rFonts w:ascii="宋体" w:hAnsi="宋体"/>
          <w:szCs w:val="21"/>
          <w:u w:val="single"/>
        </w:rPr>
      </w:pPr>
      <w:r>
        <w:rPr>
          <w:rFonts w:hint="eastAsia" w:ascii="宋体" w:hAnsi="宋体"/>
          <w:szCs w:val="21"/>
        </w:rPr>
        <w:t>（2）国家、行业或重庆市与本工程有关的标准，以及相应的规范、规程等，当这些标准、规范、规程不一致时，以标准、规范、规程要求最高的为准。</w:t>
      </w:r>
    </w:p>
    <w:p>
      <w:pPr>
        <w:spacing w:line="360" w:lineRule="auto"/>
        <w:ind w:firstLine="420" w:firstLineChars="200"/>
        <w:jc w:val="left"/>
        <w:rPr>
          <w:rFonts w:ascii="宋体" w:hAnsi="宋体"/>
          <w:szCs w:val="21"/>
          <w:u w:val="single"/>
        </w:rPr>
      </w:pPr>
      <w:r>
        <w:rPr>
          <w:rFonts w:ascii="宋体" w:hAnsi="宋体"/>
          <w:szCs w:val="21"/>
        </w:rPr>
        <w:t>（</w:t>
      </w:r>
      <w:r>
        <w:rPr>
          <w:rFonts w:hint="eastAsia" w:ascii="宋体" w:hAnsi="宋体"/>
          <w:szCs w:val="21"/>
        </w:rPr>
        <w:t>3</w:t>
      </w:r>
      <w:r>
        <w:rPr>
          <w:rFonts w:ascii="宋体" w:hAnsi="宋体"/>
          <w:szCs w:val="21"/>
        </w:rPr>
        <w:t>）</w:t>
      </w:r>
      <w:r>
        <w:rPr>
          <w:rFonts w:hint="eastAsia" w:ascii="宋体" w:hAnsi="宋体"/>
          <w:szCs w:val="21"/>
          <w:u w:val="single"/>
        </w:rPr>
        <w:t xml:space="preserve">        </w:t>
      </w:r>
      <w:r>
        <w:rPr>
          <w:rFonts w:hint="eastAsia" w:ascii="宋体" w:hAnsi="宋体"/>
          <w:szCs w:val="21"/>
        </w:rPr>
        <w:t>。</w:t>
      </w:r>
    </w:p>
    <w:p>
      <w:pPr>
        <w:spacing w:line="360" w:lineRule="auto"/>
        <w:ind w:firstLine="420" w:firstLineChars="200"/>
        <w:jc w:val="left"/>
        <w:rPr>
          <w:rFonts w:ascii="宋体" w:hAnsi="宋体"/>
          <w:kern w:val="0"/>
          <w:szCs w:val="21"/>
        </w:rPr>
      </w:pPr>
      <w:r>
        <w:rPr>
          <w:rFonts w:hint="eastAsia" w:ascii="宋体" w:hAnsi="宋体"/>
          <w:kern w:val="0"/>
          <w:szCs w:val="21"/>
        </w:rPr>
        <w:t>1.4.2 发包人提供国外标准、规范的名称：</w:t>
      </w:r>
      <w:r>
        <w:rPr>
          <w:rFonts w:hint="eastAsia" w:ascii="宋体" w:hAnsi="宋体"/>
          <w:kern w:val="0"/>
          <w:szCs w:val="21"/>
          <w:u w:val="single"/>
        </w:rPr>
        <w:t xml:space="preserve"> / </w:t>
      </w:r>
      <w:r>
        <w:rPr>
          <w:rFonts w:hint="eastAsia" w:ascii="宋体" w:hAnsi="宋体"/>
          <w:kern w:val="0"/>
          <w:szCs w:val="21"/>
        </w:rPr>
        <w:t>；</w:t>
      </w:r>
    </w:p>
    <w:p>
      <w:pPr>
        <w:spacing w:line="360" w:lineRule="auto"/>
        <w:ind w:firstLine="420" w:firstLineChars="200"/>
        <w:jc w:val="left"/>
        <w:rPr>
          <w:rFonts w:ascii="宋体" w:hAnsi="宋体"/>
          <w:kern w:val="0"/>
          <w:szCs w:val="21"/>
        </w:rPr>
      </w:pPr>
      <w:r>
        <w:rPr>
          <w:rFonts w:hint="eastAsia" w:ascii="宋体" w:hAnsi="宋体"/>
          <w:kern w:val="0"/>
          <w:szCs w:val="21"/>
        </w:rPr>
        <w:t>发包人提供国外标准、规范的份数：</w:t>
      </w:r>
      <w:r>
        <w:rPr>
          <w:rFonts w:hint="eastAsia" w:ascii="宋体" w:hAnsi="宋体"/>
          <w:kern w:val="0"/>
          <w:szCs w:val="21"/>
          <w:u w:val="single"/>
        </w:rPr>
        <w:t xml:space="preserve"> / </w:t>
      </w:r>
      <w:r>
        <w:rPr>
          <w:rFonts w:hint="eastAsia" w:ascii="宋体" w:hAnsi="宋体"/>
          <w:kern w:val="0"/>
          <w:szCs w:val="21"/>
        </w:rPr>
        <w:t>；</w:t>
      </w:r>
    </w:p>
    <w:p>
      <w:pPr>
        <w:spacing w:line="360" w:lineRule="auto"/>
        <w:ind w:firstLine="420" w:firstLineChars="200"/>
        <w:jc w:val="left"/>
        <w:rPr>
          <w:rFonts w:ascii="宋体" w:hAnsi="宋体"/>
          <w:kern w:val="0"/>
          <w:szCs w:val="21"/>
        </w:rPr>
      </w:pPr>
      <w:r>
        <w:rPr>
          <w:rFonts w:hint="eastAsia" w:ascii="宋体" w:hAnsi="宋体"/>
          <w:kern w:val="0"/>
          <w:szCs w:val="21"/>
        </w:rPr>
        <w:t>发包人提供国外标准、规范的名称：</w:t>
      </w:r>
      <w:r>
        <w:rPr>
          <w:rFonts w:hint="eastAsia" w:ascii="宋体" w:hAnsi="宋体"/>
          <w:kern w:val="0"/>
          <w:szCs w:val="21"/>
          <w:u w:val="single"/>
        </w:rPr>
        <w:t xml:space="preserve"> / </w:t>
      </w:r>
      <w:r>
        <w:rPr>
          <w:rFonts w:hint="eastAsia" w:ascii="宋体" w:hAnsi="宋体"/>
          <w:kern w:val="0"/>
          <w:szCs w:val="21"/>
        </w:rPr>
        <w:t>。</w:t>
      </w:r>
    </w:p>
    <w:p>
      <w:pPr>
        <w:spacing w:line="360" w:lineRule="auto"/>
        <w:ind w:firstLine="420" w:firstLineChars="200"/>
        <w:jc w:val="left"/>
        <w:rPr>
          <w:rFonts w:ascii="宋体" w:hAnsi="宋体"/>
          <w:szCs w:val="21"/>
        </w:rPr>
      </w:pPr>
      <w:r>
        <w:rPr>
          <w:rFonts w:hint="eastAsia" w:ascii="宋体" w:hAnsi="宋体"/>
          <w:szCs w:val="21"/>
        </w:rPr>
        <w:t>1.4.3 发包人对工程的技术标准和功能要求的特殊要求：</w:t>
      </w:r>
      <w:r>
        <w:rPr>
          <w:rFonts w:hint="eastAsia" w:ascii="宋体" w:hAnsi="宋体"/>
          <w:kern w:val="0"/>
          <w:szCs w:val="21"/>
          <w:u w:val="single"/>
        </w:rPr>
        <w:t xml:space="preserve">/ </w:t>
      </w:r>
      <w:r>
        <w:rPr>
          <w:rFonts w:hint="eastAsia" w:ascii="宋体" w:hAnsi="宋体"/>
          <w:szCs w:val="21"/>
        </w:rPr>
        <w:t>。</w:t>
      </w:r>
    </w:p>
    <w:p>
      <w:pPr>
        <w:pStyle w:val="7"/>
        <w:spacing w:before="0" w:beforeAutospacing="0" w:after="0" w:afterAutospacing="0" w:line="360" w:lineRule="auto"/>
        <w:ind w:firstLine="422" w:firstLineChars="200"/>
        <w:rPr>
          <w:sz w:val="21"/>
          <w:szCs w:val="21"/>
        </w:rPr>
      </w:pPr>
      <w:bookmarkStart w:id="839" w:name="_Toc532377324"/>
      <w:r>
        <w:rPr>
          <w:rFonts w:hint="eastAsia"/>
          <w:sz w:val="21"/>
          <w:szCs w:val="21"/>
        </w:rPr>
        <w:t>1.5 合同文件的优先顺序</w:t>
      </w:r>
      <w:bookmarkEnd w:id="839"/>
    </w:p>
    <w:p>
      <w:pPr>
        <w:spacing w:line="360" w:lineRule="auto"/>
        <w:ind w:firstLine="420" w:firstLineChars="200"/>
        <w:jc w:val="left"/>
        <w:rPr>
          <w:rFonts w:ascii="宋体" w:hAnsi="宋体"/>
          <w:szCs w:val="21"/>
        </w:rPr>
      </w:pPr>
      <w:r>
        <w:rPr>
          <w:rFonts w:hint="eastAsia" w:ascii="宋体" w:hAnsi="宋体"/>
          <w:szCs w:val="21"/>
        </w:rPr>
        <w:t>合同文件组成及优先顺序为：</w:t>
      </w:r>
      <w:r>
        <w:rPr>
          <w:rFonts w:hint="eastAsia" w:ascii="宋体" w:hAnsi="宋体"/>
          <w:szCs w:val="21"/>
          <w:u w:val="single"/>
        </w:rPr>
        <w:t>按照合同协议书</w:t>
      </w:r>
      <w:r>
        <w:rPr>
          <w:rFonts w:hint="eastAsia" w:ascii="宋体" w:hAnsi="宋体"/>
          <w:bCs/>
          <w:szCs w:val="21"/>
          <w:u w:val="single"/>
        </w:rPr>
        <w:t>〔</w:t>
      </w:r>
      <w:r>
        <w:rPr>
          <w:rFonts w:hint="eastAsia" w:ascii="宋体" w:hAnsi="宋体"/>
          <w:szCs w:val="21"/>
          <w:u w:val="single"/>
        </w:rPr>
        <w:t>第六条</w:t>
      </w:r>
      <w:r>
        <w:rPr>
          <w:rFonts w:hint="eastAsia" w:ascii="宋体" w:hAnsi="宋体"/>
          <w:bCs/>
          <w:szCs w:val="21"/>
          <w:u w:val="single"/>
        </w:rPr>
        <w:t>〕</w:t>
      </w:r>
      <w:r>
        <w:rPr>
          <w:rFonts w:hint="eastAsia" w:ascii="宋体" w:hAnsi="宋体"/>
          <w:szCs w:val="21"/>
          <w:u w:val="single"/>
        </w:rPr>
        <w:t>约定执行</w:t>
      </w:r>
      <w:r>
        <w:rPr>
          <w:rFonts w:hint="eastAsia" w:ascii="宋体" w:hAnsi="宋体"/>
          <w:szCs w:val="21"/>
        </w:rPr>
        <w:t>。</w:t>
      </w:r>
    </w:p>
    <w:p>
      <w:pPr>
        <w:pStyle w:val="7"/>
        <w:spacing w:before="0" w:beforeAutospacing="0" w:after="0" w:afterAutospacing="0" w:line="360" w:lineRule="auto"/>
        <w:ind w:firstLine="422" w:firstLineChars="200"/>
        <w:rPr>
          <w:sz w:val="21"/>
          <w:szCs w:val="21"/>
        </w:rPr>
      </w:pPr>
      <w:bookmarkStart w:id="840" w:name="_Toc532377325"/>
      <w:r>
        <w:rPr>
          <w:rFonts w:hint="eastAsia"/>
          <w:sz w:val="21"/>
          <w:szCs w:val="21"/>
        </w:rPr>
        <w:t>1.6 图纸和承包人文件</w:t>
      </w:r>
      <w:bookmarkEnd w:id="840"/>
    </w:p>
    <w:p>
      <w:pPr>
        <w:spacing w:line="360" w:lineRule="auto"/>
        <w:ind w:firstLine="420" w:firstLineChars="200"/>
        <w:jc w:val="left"/>
        <w:rPr>
          <w:rFonts w:ascii="宋体" w:hAnsi="宋体"/>
          <w:szCs w:val="21"/>
        </w:rPr>
      </w:pPr>
      <w:r>
        <w:rPr>
          <w:rFonts w:hint="eastAsia" w:ascii="宋体" w:hAnsi="宋体"/>
          <w:szCs w:val="21"/>
        </w:rPr>
        <w:t>1.6.1 图纸的提供和交底</w:t>
      </w:r>
    </w:p>
    <w:p>
      <w:pPr>
        <w:spacing w:line="360" w:lineRule="auto"/>
        <w:ind w:firstLine="420" w:firstLineChars="200"/>
        <w:jc w:val="left"/>
        <w:rPr>
          <w:rFonts w:ascii="宋体" w:hAnsi="宋体"/>
          <w:szCs w:val="21"/>
        </w:rPr>
      </w:pPr>
      <w:r>
        <w:rPr>
          <w:rFonts w:hint="eastAsia" w:ascii="宋体" w:hAnsi="宋体"/>
          <w:szCs w:val="21"/>
        </w:rPr>
        <w:t>发包人向承包人提供图纸的期限：</w:t>
      </w:r>
      <w:r>
        <w:rPr>
          <w:rFonts w:hint="eastAsia" w:ascii="宋体" w:hAnsi="宋体"/>
          <w:szCs w:val="21"/>
          <w:u w:val="single"/>
        </w:rPr>
        <w:t>通用合同条款第7.3.2款</w:t>
      </w:r>
      <w:r>
        <w:rPr>
          <w:rFonts w:hint="eastAsia" w:ascii="宋体" w:hAnsi="宋体"/>
          <w:bCs/>
          <w:szCs w:val="21"/>
          <w:u w:val="single"/>
        </w:rPr>
        <w:t>〔</w:t>
      </w:r>
      <w:r>
        <w:rPr>
          <w:rFonts w:hint="eastAsia" w:ascii="宋体" w:hAnsi="宋体"/>
          <w:szCs w:val="21"/>
          <w:u w:val="single"/>
        </w:rPr>
        <w:t>开工通知</w:t>
      </w:r>
      <w:r>
        <w:rPr>
          <w:rFonts w:hint="eastAsia" w:ascii="宋体" w:hAnsi="宋体"/>
          <w:bCs/>
          <w:szCs w:val="21"/>
          <w:u w:val="single"/>
        </w:rPr>
        <w:t>〕</w:t>
      </w:r>
      <w:r>
        <w:rPr>
          <w:rFonts w:hint="eastAsia" w:ascii="宋体" w:hAnsi="宋体"/>
          <w:szCs w:val="21"/>
          <w:u w:val="single"/>
        </w:rPr>
        <w:t>载明的开工日期前14天</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发包人向承包人提供图纸的数量：</w:t>
      </w:r>
      <w:r>
        <w:rPr>
          <w:rFonts w:hint="eastAsia" w:ascii="宋体" w:hAnsi="宋体"/>
          <w:szCs w:val="21"/>
          <w:u w:val="single"/>
        </w:rPr>
        <w:t xml:space="preserve">  套</w:t>
      </w:r>
      <w:r>
        <w:rPr>
          <w:rFonts w:hint="eastAsia" w:ascii="宋体" w:hAnsi="宋体"/>
          <w:szCs w:val="21"/>
        </w:rPr>
        <w:t xml:space="preserve">； </w:t>
      </w:r>
    </w:p>
    <w:p>
      <w:pPr>
        <w:spacing w:line="360" w:lineRule="auto"/>
        <w:ind w:firstLine="420" w:firstLineChars="200"/>
        <w:jc w:val="left"/>
        <w:rPr>
          <w:rFonts w:ascii="宋体" w:hAnsi="宋体"/>
          <w:szCs w:val="21"/>
        </w:rPr>
      </w:pPr>
      <w:r>
        <w:rPr>
          <w:rFonts w:hint="eastAsia" w:ascii="宋体" w:hAnsi="宋体"/>
          <w:szCs w:val="21"/>
        </w:rPr>
        <w:t>发包人向承包人提供图纸的内容：</w:t>
      </w:r>
      <w:r>
        <w:rPr>
          <w:rFonts w:hint="eastAsia" w:ascii="宋体" w:hAnsi="宋体"/>
          <w:szCs w:val="21"/>
          <w:u w:val="single"/>
        </w:rPr>
        <w:t>工程承包范围内工程的施工图设计文件</w:t>
      </w:r>
      <w:r>
        <w:rPr>
          <w:rFonts w:hint="eastAsia" w:ascii="宋体" w:hAnsi="宋体"/>
          <w:szCs w:val="21"/>
        </w:rPr>
        <w:t>；</w:t>
      </w:r>
    </w:p>
    <w:p>
      <w:pPr>
        <w:spacing w:line="360" w:lineRule="auto"/>
        <w:ind w:firstLine="420" w:firstLineChars="200"/>
        <w:jc w:val="left"/>
        <w:rPr>
          <w:rFonts w:ascii="宋体" w:hAnsi="宋体"/>
          <w:szCs w:val="21"/>
          <w:u w:val="single"/>
        </w:rPr>
      </w:pPr>
      <w:r>
        <w:rPr>
          <w:rFonts w:hint="eastAsia" w:ascii="宋体" w:hAnsi="宋体"/>
          <w:szCs w:val="21"/>
        </w:rPr>
        <w:t>发包人组织承包人、监理人和设计人进行图纸会审和设计交底的时间：</w:t>
      </w:r>
      <w:r>
        <w:rPr>
          <w:rFonts w:hint="eastAsia" w:ascii="宋体" w:hAnsi="宋体"/>
          <w:szCs w:val="21"/>
          <w:u w:val="single"/>
        </w:rPr>
        <w:t>提供施工图后7天内</w:t>
      </w:r>
      <w:r>
        <w:rPr>
          <w:rFonts w:hint="eastAsia" w:ascii="宋体" w:hAnsi="宋体"/>
          <w:szCs w:val="21"/>
        </w:rPr>
        <w:t>。</w:t>
      </w:r>
    </w:p>
    <w:p>
      <w:pPr>
        <w:spacing w:line="360" w:lineRule="auto"/>
        <w:ind w:firstLine="420" w:firstLineChars="200"/>
        <w:jc w:val="left"/>
        <w:rPr>
          <w:rFonts w:ascii="宋体" w:hAnsi="宋体"/>
          <w:szCs w:val="21"/>
          <w:u w:val="single"/>
        </w:rPr>
      </w:pPr>
      <w:r>
        <w:rPr>
          <w:rFonts w:hint="eastAsia" w:ascii="宋体" w:hAnsi="宋体"/>
          <w:szCs w:val="21"/>
          <w:u w:val="single"/>
        </w:rPr>
        <w:t>承包人可以书面方式通过监理人向发包人申请进行紧急的设计交底，发包人认为确有必要且条件许可时，应尽快组织实施承包人申请的设计交底。</w:t>
      </w:r>
    </w:p>
    <w:p>
      <w:pPr>
        <w:spacing w:line="360" w:lineRule="auto"/>
        <w:ind w:firstLine="420" w:firstLineChars="200"/>
        <w:jc w:val="left"/>
        <w:rPr>
          <w:rFonts w:ascii="宋体" w:hAnsi="宋体"/>
          <w:szCs w:val="21"/>
        </w:rPr>
      </w:pPr>
      <w:r>
        <w:rPr>
          <w:rFonts w:hint="eastAsia" w:ascii="宋体" w:hAnsi="宋体"/>
          <w:szCs w:val="21"/>
        </w:rPr>
        <w:t>1.6.2 图纸的错误</w:t>
      </w:r>
    </w:p>
    <w:p>
      <w:pPr>
        <w:spacing w:line="360" w:lineRule="auto"/>
        <w:ind w:firstLine="420" w:firstLineChars="200"/>
        <w:jc w:val="left"/>
        <w:rPr>
          <w:rFonts w:ascii="宋体" w:hAnsi="宋体"/>
          <w:szCs w:val="21"/>
        </w:rPr>
      </w:pPr>
      <w:r>
        <w:rPr>
          <w:rFonts w:hint="eastAsia" w:ascii="宋体" w:hAnsi="宋体"/>
          <w:szCs w:val="21"/>
        </w:rPr>
        <w:t>承包人在收到发包人提供的图纸后，承包人应对收到的图纸进行仔细核查，并在开始施工前，将发现的图纸存在的差错、遗漏或缺陷及时通知监理人。监理人接到该通知后，应附相关意见并立即报送发包人，发包人应在收到监理人报送的通知后作出决定。</w:t>
      </w:r>
    </w:p>
    <w:p>
      <w:pPr>
        <w:spacing w:line="360" w:lineRule="auto"/>
        <w:ind w:firstLine="420" w:firstLineChars="200"/>
        <w:jc w:val="left"/>
        <w:rPr>
          <w:rFonts w:ascii="宋体" w:hAnsi="宋体"/>
          <w:szCs w:val="21"/>
          <w:u w:val="single"/>
        </w:rPr>
      </w:pPr>
      <w:r>
        <w:rPr>
          <w:rFonts w:hint="eastAsia" w:ascii="宋体" w:hAnsi="宋体"/>
          <w:szCs w:val="21"/>
        </w:rPr>
        <w:t>承包人不得利用图纸的差错、遗漏或缺陷，从中获得不正当的利益。</w:t>
      </w:r>
    </w:p>
    <w:p>
      <w:pPr>
        <w:spacing w:line="360" w:lineRule="auto"/>
        <w:ind w:firstLine="420" w:firstLineChars="200"/>
        <w:jc w:val="left"/>
        <w:rPr>
          <w:rFonts w:ascii="宋体" w:hAnsi="宋体"/>
          <w:szCs w:val="21"/>
        </w:rPr>
      </w:pPr>
      <w:r>
        <w:rPr>
          <w:rFonts w:hint="eastAsia" w:ascii="宋体" w:hAnsi="宋体"/>
          <w:szCs w:val="21"/>
        </w:rPr>
        <w:t>1.6.4 承包人文件</w:t>
      </w:r>
    </w:p>
    <w:p>
      <w:pPr>
        <w:spacing w:line="360" w:lineRule="auto"/>
        <w:ind w:firstLine="420" w:firstLineChars="200"/>
        <w:jc w:val="left"/>
        <w:rPr>
          <w:rFonts w:ascii="宋体" w:hAnsi="宋体"/>
          <w:szCs w:val="21"/>
        </w:rPr>
      </w:pPr>
      <w:r>
        <w:rPr>
          <w:rFonts w:hint="eastAsia" w:ascii="宋体" w:hAnsi="宋体"/>
          <w:szCs w:val="21"/>
        </w:rPr>
        <w:t>需要由承包人提供的书面文件，包括：</w:t>
      </w:r>
      <w:r>
        <w:rPr>
          <w:rFonts w:hint="eastAsia" w:ascii="宋体" w:hAnsi="宋体"/>
          <w:szCs w:val="21"/>
          <w:u w:val="single"/>
        </w:rPr>
        <w:t>施工组织设计、专项施工方案、</w:t>
      </w:r>
      <w:r>
        <w:rPr>
          <w:rFonts w:ascii="宋体" w:hAnsi="宋体"/>
          <w:szCs w:val="21"/>
          <w:u w:val="single"/>
        </w:rPr>
        <w:t>危险性较大分部分项工程施工方案</w:t>
      </w:r>
      <w:r>
        <w:rPr>
          <w:rFonts w:hint="eastAsia" w:ascii="宋体" w:hAnsi="宋体"/>
          <w:szCs w:val="21"/>
          <w:u w:val="single"/>
        </w:rPr>
        <w:t>（如有）、安全应急方案、进度计划、报表及计划、竣工资料及施工过程中因工程变更需要报送的施工方案、施工过程中涉及工程价款变更的相关资料、完整的竣工结算资料等</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承包人提供文件的期限、数量：</w:t>
      </w:r>
    </w:p>
    <w:p>
      <w:pPr>
        <w:spacing w:line="360" w:lineRule="auto"/>
        <w:ind w:firstLine="420" w:firstLineChars="200"/>
        <w:jc w:val="left"/>
        <w:rPr>
          <w:rFonts w:ascii="宋体" w:hAnsi="宋体"/>
          <w:szCs w:val="21"/>
          <w:u w:val="single"/>
        </w:rPr>
      </w:pPr>
      <w:r>
        <w:rPr>
          <w:rFonts w:hint="eastAsia" w:ascii="宋体" w:hAnsi="宋体"/>
          <w:szCs w:val="21"/>
        </w:rPr>
        <w:t>（1）</w:t>
      </w:r>
      <w:r>
        <w:rPr>
          <w:rFonts w:hint="eastAsia" w:ascii="宋体" w:hAnsi="宋体"/>
          <w:szCs w:val="21"/>
          <w:u w:val="single"/>
        </w:rPr>
        <w:t>图纸会审及设计交底后7天内，向监理人、发包人提交经优化完善的施工组织设计和工程总体进度计划及当年年度施工进度计划。进度计划安排必须符合发包人对本工程总体进度计划的安排。专项施工方案应在专项施工7日前通过审查（含专家论证）。施工组织设计和专项施工方案经监理人审批同意后执行。承包人应接受监理人、发包人对其提交的施工组织设计和专项施工方案中不合理的工期安排及技术措施、方案的修改意见，并修改完善后重新报批，直至获得批准</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（2）</w:t>
      </w:r>
      <w:r>
        <w:rPr>
          <w:rFonts w:hint="eastAsia" w:ascii="宋体" w:hAnsi="宋体"/>
          <w:szCs w:val="21"/>
          <w:u w:val="single"/>
        </w:rPr>
        <w:t>每月  日前报送月工程进度完成报表</w:t>
      </w:r>
      <w:r>
        <w:rPr>
          <w:rFonts w:hint="eastAsia" w:ascii="宋体" w:hAnsi="宋体"/>
          <w:szCs w:val="21"/>
        </w:rPr>
        <w:t>。</w:t>
      </w:r>
    </w:p>
    <w:p>
      <w:pPr>
        <w:spacing w:line="360" w:lineRule="auto"/>
        <w:ind w:firstLine="420" w:firstLineChars="200"/>
        <w:jc w:val="left"/>
        <w:rPr>
          <w:rFonts w:ascii="宋体" w:hAnsi="宋体"/>
          <w:szCs w:val="21"/>
          <w:u w:val="single"/>
        </w:rPr>
      </w:pPr>
      <w:r>
        <w:rPr>
          <w:rFonts w:hint="eastAsia" w:ascii="宋体" w:hAnsi="宋体"/>
          <w:szCs w:val="21"/>
        </w:rPr>
        <w:t>（3）合同另有约定的，按照其约定。</w:t>
      </w:r>
    </w:p>
    <w:p>
      <w:pPr>
        <w:spacing w:line="360" w:lineRule="auto"/>
        <w:ind w:firstLine="420" w:firstLineChars="200"/>
        <w:jc w:val="left"/>
        <w:rPr>
          <w:rFonts w:ascii="宋体" w:hAnsi="宋体"/>
          <w:szCs w:val="21"/>
          <w:u w:val="single"/>
        </w:rPr>
      </w:pPr>
      <w:r>
        <w:rPr>
          <w:rFonts w:hint="eastAsia" w:ascii="宋体" w:hAnsi="宋体"/>
          <w:szCs w:val="21"/>
        </w:rPr>
        <w:t>承包人提供的文件的形式：□采用电子招标的，投标文件以电子文档为准，其他文件以书面文件为准；□采用纸质招标的，当书面文件与电子文档不一致的，以书面文件为准。监理人审批承包人文件的期限：</w:t>
      </w:r>
      <w:r>
        <w:rPr>
          <w:rFonts w:hint="eastAsia" w:ascii="宋体" w:hAnsi="宋体"/>
          <w:szCs w:val="21"/>
          <w:u w:val="single"/>
        </w:rPr>
        <w:t>收到施工组织设计和工程总体进度计划及当年年度施工进度计划后7天内；合同另有约定的，从其约定</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承包人提供的文件的费用：</w:t>
      </w:r>
      <w:r>
        <w:rPr>
          <w:rFonts w:hint="eastAsia" w:ascii="宋体" w:hAnsi="宋体"/>
          <w:szCs w:val="21"/>
          <w:u w:val="single"/>
        </w:rPr>
        <w:t>由承包人承担</w:t>
      </w:r>
      <w:r>
        <w:rPr>
          <w:rFonts w:hint="eastAsia" w:ascii="宋体" w:hAnsi="宋体"/>
          <w:szCs w:val="21"/>
        </w:rPr>
        <w:t>。</w:t>
      </w:r>
    </w:p>
    <w:p>
      <w:pPr>
        <w:spacing w:line="360" w:lineRule="auto"/>
        <w:ind w:firstLine="420" w:firstLineChars="200"/>
        <w:jc w:val="left"/>
        <w:rPr>
          <w:rFonts w:ascii="宋体" w:hAnsi="宋体"/>
          <w:szCs w:val="21"/>
          <w:u w:val="single"/>
        </w:rPr>
      </w:pPr>
      <w:r>
        <w:rPr>
          <w:rFonts w:hint="eastAsia" w:ascii="宋体" w:hAnsi="宋体"/>
          <w:szCs w:val="21"/>
        </w:rPr>
        <w:t>发包人审批承包人文件的期限：</w:t>
      </w:r>
      <w:r>
        <w:rPr>
          <w:rFonts w:hint="eastAsia" w:ascii="宋体" w:hAnsi="宋体"/>
          <w:szCs w:val="21"/>
          <w:u w:val="single"/>
        </w:rPr>
        <w:t>收到后14天内；合同另有约定的，从其约定</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u w:val="single"/>
        </w:rPr>
        <w:t>监理人、发包人的修改意见和审批，不免除或减轻承包人对该工作、工程、材料、工程设备等应承担的责任和义务</w:t>
      </w:r>
      <w:r>
        <w:rPr>
          <w:rFonts w:hint="eastAsia" w:ascii="宋体" w:hAnsi="宋体"/>
          <w:szCs w:val="21"/>
        </w:rPr>
        <w:t>。</w:t>
      </w:r>
    </w:p>
    <w:p>
      <w:pPr>
        <w:pStyle w:val="7"/>
        <w:spacing w:before="0" w:beforeAutospacing="0" w:after="0" w:afterAutospacing="0" w:line="360" w:lineRule="auto"/>
        <w:ind w:firstLine="422" w:firstLineChars="200"/>
        <w:rPr>
          <w:sz w:val="21"/>
          <w:szCs w:val="21"/>
        </w:rPr>
      </w:pPr>
      <w:bookmarkStart w:id="841" w:name="_Toc532377326"/>
      <w:r>
        <w:rPr>
          <w:rFonts w:hint="eastAsia"/>
          <w:sz w:val="21"/>
          <w:szCs w:val="21"/>
        </w:rPr>
        <w:t>1.7 联络</w:t>
      </w:r>
      <w:bookmarkEnd w:id="841"/>
    </w:p>
    <w:p>
      <w:pPr>
        <w:spacing w:line="360" w:lineRule="auto"/>
        <w:ind w:firstLine="420" w:firstLineChars="200"/>
        <w:jc w:val="left"/>
        <w:rPr>
          <w:rFonts w:ascii="宋体" w:hAnsi="宋体"/>
          <w:kern w:val="0"/>
          <w:szCs w:val="21"/>
        </w:rPr>
      </w:pPr>
      <w:r>
        <w:rPr>
          <w:rFonts w:hint="eastAsia" w:ascii="宋体" w:hAnsi="宋体"/>
          <w:kern w:val="0"/>
          <w:szCs w:val="21"/>
        </w:rPr>
        <w:t>1.7.1 发包人和承包人应当在</w:t>
      </w:r>
      <w:r>
        <w:rPr>
          <w:rFonts w:hint="eastAsia" w:ascii="宋体" w:hAnsi="宋体"/>
          <w:szCs w:val="21"/>
          <w:u w:val="single"/>
        </w:rPr>
        <w:t xml:space="preserve"> 1 </w:t>
      </w:r>
      <w:r>
        <w:rPr>
          <w:rFonts w:hint="eastAsia" w:ascii="宋体" w:hAnsi="宋体"/>
          <w:kern w:val="0"/>
          <w:szCs w:val="21"/>
        </w:rPr>
        <w:t>天内将与合同有关的通知、批准、证明、证书、指示、指令、要求、请求、同意、意见、确定和决定等书面函件送达对方当事人，并办理书面签收手续。</w:t>
      </w:r>
    </w:p>
    <w:p>
      <w:pPr>
        <w:tabs>
          <w:tab w:val="left" w:pos="7513"/>
        </w:tabs>
        <w:spacing w:line="360" w:lineRule="auto"/>
        <w:ind w:firstLine="420" w:firstLineChars="200"/>
        <w:jc w:val="left"/>
        <w:rPr>
          <w:rFonts w:ascii="宋体" w:hAnsi="宋体"/>
          <w:kern w:val="0"/>
          <w:szCs w:val="21"/>
        </w:rPr>
      </w:pPr>
      <w:r>
        <w:rPr>
          <w:rFonts w:hint="eastAsia" w:ascii="宋体" w:hAnsi="宋体"/>
          <w:kern w:val="0"/>
          <w:szCs w:val="21"/>
        </w:rPr>
        <w:t>1.7.2 发包人接收文件地点：</w:t>
      </w:r>
      <w:r>
        <w:rPr>
          <w:rFonts w:ascii="宋体" w:hAnsi="宋体"/>
          <w:kern w:val="0"/>
          <w:szCs w:val="21"/>
          <w:u w:val="single"/>
        </w:rPr>
        <w:t xml:space="preserve">                        </w:t>
      </w:r>
      <w:r>
        <w:rPr>
          <w:rFonts w:hint="eastAsia" w:ascii="宋体" w:hAnsi="宋体"/>
          <w:kern w:val="0"/>
          <w:szCs w:val="21"/>
        </w:rPr>
        <w:t>；</w:t>
      </w:r>
    </w:p>
    <w:p>
      <w:pPr>
        <w:spacing w:line="360" w:lineRule="auto"/>
        <w:ind w:firstLine="420" w:firstLineChars="200"/>
        <w:jc w:val="left"/>
        <w:rPr>
          <w:rFonts w:ascii="宋体" w:hAnsi="宋体"/>
          <w:kern w:val="0"/>
          <w:szCs w:val="21"/>
        </w:rPr>
      </w:pPr>
      <w:r>
        <w:rPr>
          <w:rFonts w:hint="eastAsia" w:ascii="宋体" w:hAnsi="宋体"/>
          <w:kern w:val="0"/>
          <w:szCs w:val="21"/>
        </w:rPr>
        <w:t>发包人指定的接收人：</w:t>
      </w:r>
      <w:bookmarkStart w:id="842" w:name="_Hlk528493983"/>
      <w:bookmarkEnd w:id="842"/>
      <w:r>
        <w:rPr>
          <w:rFonts w:ascii="宋体" w:hAnsi="宋体"/>
          <w:kern w:val="0"/>
          <w:szCs w:val="21"/>
          <w:u w:val="single"/>
        </w:rPr>
        <w:t xml:space="preserve">                             </w:t>
      </w:r>
      <w:r>
        <w:rPr>
          <w:rFonts w:hint="eastAsia" w:ascii="宋体" w:hAnsi="宋体"/>
          <w:kern w:val="0"/>
          <w:szCs w:val="21"/>
        </w:rPr>
        <w:t>；</w:t>
      </w:r>
    </w:p>
    <w:p>
      <w:pPr>
        <w:tabs>
          <w:tab w:val="left" w:pos="7513"/>
        </w:tabs>
        <w:spacing w:line="360" w:lineRule="auto"/>
        <w:ind w:firstLine="420" w:firstLineChars="200"/>
        <w:jc w:val="left"/>
        <w:rPr>
          <w:rFonts w:ascii="宋体" w:hAnsi="宋体"/>
          <w:kern w:val="0"/>
          <w:szCs w:val="21"/>
        </w:rPr>
      </w:pPr>
      <w:r>
        <w:rPr>
          <w:rFonts w:hint="eastAsia" w:ascii="宋体" w:hAnsi="宋体"/>
          <w:kern w:val="0"/>
          <w:szCs w:val="21"/>
        </w:rPr>
        <w:t>承包人接收文件地点：</w:t>
      </w:r>
      <w:r>
        <w:rPr>
          <w:rFonts w:ascii="宋体" w:hAnsi="宋体"/>
          <w:kern w:val="0"/>
          <w:szCs w:val="21"/>
          <w:u w:val="single"/>
        </w:rPr>
        <w:t xml:space="preserve">                             </w:t>
      </w:r>
      <w:r>
        <w:rPr>
          <w:rFonts w:hint="eastAsia" w:ascii="宋体" w:hAnsi="宋体"/>
          <w:kern w:val="0"/>
          <w:szCs w:val="21"/>
        </w:rPr>
        <w:t>；</w:t>
      </w:r>
    </w:p>
    <w:p>
      <w:pPr>
        <w:spacing w:line="360" w:lineRule="auto"/>
        <w:ind w:firstLine="420" w:firstLineChars="200"/>
        <w:jc w:val="left"/>
        <w:rPr>
          <w:rFonts w:ascii="宋体" w:hAnsi="宋体"/>
          <w:kern w:val="0"/>
          <w:szCs w:val="21"/>
        </w:rPr>
      </w:pPr>
      <w:r>
        <w:rPr>
          <w:rFonts w:hint="eastAsia" w:ascii="宋体" w:hAnsi="宋体"/>
          <w:kern w:val="0"/>
          <w:szCs w:val="21"/>
        </w:rPr>
        <w:t>承包人指定的接收人：</w:t>
      </w:r>
      <w:r>
        <w:rPr>
          <w:rFonts w:ascii="宋体" w:hAnsi="宋体"/>
          <w:kern w:val="0"/>
          <w:szCs w:val="21"/>
          <w:u w:val="single"/>
        </w:rPr>
        <w:t xml:space="preserve">                             </w:t>
      </w:r>
      <w:r>
        <w:rPr>
          <w:rFonts w:hint="eastAsia" w:ascii="宋体" w:hAnsi="宋体"/>
          <w:kern w:val="0"/>
          <w:szCs w:val="21"/>
        </w:rPr>
        <w:t>；</w:t>
      </w:r>
    </w:p>
    <w:p>
      <w:pPr>
        <w:tabs>
          <w:tab w:val="left" w:pos="7371"/>
        </w:tabs>
        <w:spacing w:line="360" w:lineRule="auto"/>
        <w:ind w:firstLine="420" w:firstLineChars="200"/>
        <w:jc w:val="left"/>
        <w:rPr>
          <w:rFonts w:ascii="宋体" w:hAnsi="宋体"/>
          <w:kern w:val="0"/>
          <w:szCs w:val="21"/>
        </w:rPr>
      </w:pPr>
      <w:r>
        <w:rPr>
          <w:rFonts w:hint="eastAsia" w:ascii="宋体" w:hAnsi="宋体"/>
          <w:kern w:val="0"/>
          <w:szCs w:val="21"/>
        </w:rPr>
        <w:t>监理人接收文件地点：</w:t>
      </w:r>
      <w:r>
        <w:rPr>
          <w:rFonts w:ascii="宋体" w:hAnsi="宋体"/>
          <w:kern w:val="0"/>
          <w:szCs w:val="21"/>
          <w:u w:val="single"/>
        </w:rPr>
        <w:t xml:space="preserve">                             </w:t>
      </w:r>
      <w:r>
        <w:rPr>
          <w:rFonts w:hint="eastAsia" w:ascii="宋体" w:hAnsi="宋体"/>
          <w:kern w:val="0"/>
          <w:szCs w:val="21"/>
        </w:rPr>
        <w:t>；</w:t>
      </w:r>
    </w:p>
    <w:p>
      <w:pPr>
        <w:spacing w:line="360" w:lineRule="auto"/>
        <w:ind w:firstLine="420" w:firstLineChars="200"/>
        <w:jc w:val="left"/>
        <w:rPr>
          <w:rFonts w:ascii="宋体" w:hAnsi="宋体"/>
          <w:kern w:val="0"/>
          <w:szCs w:val="21"/>
        </w:rPr>
      </w:pPr>
      <w:r>
        <w:rPr>
          <w:rFonts w:hint="eastAsia" w:ascii="宋体" w:hAnsi="宋体"/>
          <w:kern w:val="0"/>
          <w:szCs w:val="21"/>
        </w:rPr>
        <w:t>监理人指定的接收人：</w:t>
      </w:r>
      <w:r>
        <w:rPr>
          <w:rFonts w:ascii="宋体" w:hAnsi="宋体"/>
          <w:kern w:val="0"/>
          <w:szCs w:val="21"/>
          <w:u w:val="single"/>
        </w:rPr>
        <w:t xml:space="preserve">                             </w:t>
      </w:r>
      <w:r>
        <w:rPr>
          <w:rFonts w:hint="eastAsia" w:ascii="宋体" w:hAnsi="宋体"/>
          <w:kern w:val="0"/>
          <w:szCs w:val="21"/>
        </w:rPr>
        <w:t>。</w:t>
      </w:r>
    </w:p>
    <w:p>
      <w:pPr>
        <w:pStyle w:val="7"/>
        <w:spacing w:before="0" w:beforeAutospacing="0" w:after="0" w:afterAutospacing="0" w:line="360" w:lineRule="auto"/>
        <w:ind w:firstLine="422" w:firstLineChars="200"/>
        <w:rPr>
          <w:sz w:val="21"/>
          <w:szCs w:val="21"/>
        </w:rPr>
      </w:pPr>
      <w:bookmarkStart w:id="843" w:name="_Toc532377327"/>
      <w:r>
        <w:rPr>
          <w:rFonts w:hint="eastAsia"/>
          <w:sz w:val="21"/>
          <w:szCs w:val="21"/>
        </w:rPr>
        <w:t>1.8 严禁贿赂</w:t>
      </w:r>
      <w:bookmarkEnd w:id="843"/>
    </w:p>
    <w:p>
      <w:pPr>
        <w:spacing w:line="360" w:lineRule="auto"/>
        <w:ind w:firstLine="420" w:firstLineChars="200"/>
        <w:jc w:val="left"/>
        <w:rPr>
          <w:rFonts w:ascii="宋体" w:hAnsi="宋体"/>
          <w:kern w:val="0"/>
          <w:szCs w:val="21"/>
        </w:rPr>
      </w:pPr>
      <w:r>
        <w:rPr>
          <w:rFonts w:hint="eastAsia" w:ascii="宋体" w:hAnsi="宋体"/>
          <w:kern w:val="0"/>
          <w:szCs w:val="21"/>
        </w:rPr>
        <w:t>本款补充以下内容：</w:t>
      </w:r>
    </w:p>
    <w:p>
      <w:pPr>
        <w:spacing w:line="360" w:lineRule="auto"/>
        <w:ind w:firstLine="420" w:firstLineChars="200"/>
        <w:jc w:val="left"/>
        <w:rPr>
          <w:rFonts w:ascii="宋体" w:hAnsi="宋体"/>
          <w:kern w:val="0"/>
          <w:szCs w:val="21"/>
          <w:u w:val="single"/>
        </w:rPr>
      </w:pPr>
      <w:r>
        <w:rPr>
          <w:rFonts w:hint="eastAsia" w:ascii="宋体" w:hAnsi="宋体"/>
          <w:kern w:val="0"/>
          <w:szCs w:val="21"/>
        </w:rPr>
        <w:t>在合同执行过程中，合同当事人应严格履行附件8《廉洁从业协议》。</w:t>
      </w:r>
    </w:p>
    <w:p>
      <w:pPr>
        <w:pStyle w:val="7"/>
        <w:spacing w:before="0" w:beforeAutospacing="0" w:after="0" w:afterAutospacing="0" w:line="360" w:lineRule="auto"/>
        <w:ind w:firstLine="422" w:firstLineChars="200"/>
        <w:rPr>
          <w:sz w:val="21"/>
          <w:szCs w:val="21"/>
        </w:rPr>
      </w:pPr>
      <w:bookmarkStart w:id="844" w:name="_Toc532377328"/>
      <w:r>
        <w:rPr>
          <w:rFonts w:hint="eastAsia"/>
          <w:sz w:val="21"/>
          <w:szCs w:val="21"/>
        </w:rPr>
        <w:t>1.10 交通运输</w:t>
      </w:r>
      <w:bookmarkEnd w:id="844"/>
    </w:p>
    <w:p>
      <w:pPr>
        <w:spacing w:line="360" w:lineRule="auto"/>
        <w:ind w:firstLine="420" w:firstLineChars="200"/>
        <w:jc w:val="left"/>
        <w:rPr>
          <w:rFonts w:ascii="宋体" w:hAnsi="宋体"/>
          <w:szCs w:val="21"/>
        </w:rPr>
      </w:pPr>
      <w:r>
        <w:rPr>
          <w:rFonts w:hint="eastAsia" w:ascii="宋体" w:hAnsi="宋体"/>
          <w:szCs w:val="21"/>
        </w:rPr>
        <w:t>1</w:t>
      </w:r>
      <w:bookmarkStart w:id="845" w:name="_Toc304295521"/>
      <w:bookmarkStart w:id="846" w:name="_Toc312677986"/>
      <w:bookmarkStart w:id="847" w:name="_Toc300934943"/>
      <w:bookmarkStart w:id="848" w:name="_Toc303539100"/>
      <w:bookmarkStart w:id="849" w:name="_Toc318581155"/>
      <w:r>
        <w:rPr>
          <w:rFonts w:hint="eastAsia" w:ascii="宋体" w:hAnsi="宋体"/>
          <w:szCs w:val="21"/>
        </w:rPr>
        <w:t>.10.1 出入现场的权利</w:t>
      </w:r>
    </w:p>
    <w:p>
      <w:pPr>
        <w:spacing w:line="360" w:lineRule="auto"/>
        <w:ind w:firstLine="420" w:firstLineChars="200"/>
        <w:jc w:val="left"/>
        <w:rPr>
          <w:rFonts w:ascii="宋体" w:hAnsi="宋体"/>
          <w:kern w:val="0"/>
          <w:szCs w:val="21"/>
        </w:rPr>
      </w:pPr>
      <w:r>
        <w:rPr>
          <w:rFonts w:hint="eastAsia" w:ascii="宋体" w:hAnsi="宋体"/>
          <w:szCs w:val="21"/>
        </w:rPr>
        <w:t>关于出入现场的权利的约定：</w:t>
      </w:r>
      <w:r>
        <w:rPr>
          <w:rFonts w:hint="eastAsia" w:ascii="宋体" w:hAnsi="宋体"/>
          <w:szCs w:val="21"/>
          <w:u w:val="single"/>
        </w:rPr>
        <w:t xml:space="preserve">        </w:t>
      </w:r>
      <w:r>
        <w:rPr>
          <w:rFonts w:hint="eastAsia" w:ascii="宋体" w:hAnsi="宋体"/>
          <w:szCs w:val="21"/>
        </w:rPr>
        <w:t>。</w:t>
      </w:r>
    </w:p>
    <w:bookmarkEnd w:id="845"/>
    <w:bookmarkEnd w:id="846"/>
    <w:bookmarkEnd w:id="847"/>
    <w:bookmarkEnd w:id="848"/>
    <w:bookmarkEnd w:id="849"/>
    <w:p>
      <w:pPr>
        <w:spacing w:line="360" w:lineRule="auto"/>
        <w:ind w:firstLine="420" w:firstLineChars="200"/>
        <w:jc w:val="left"/>
        <w:rPr>
          <w:rFonts w:ascii="宋体" w:hAnsi="宋体"/>
          <w:szCs w:val="21"/>
        </w:rPr>
      </w:pPr>
      <w:r>
        <w:rPr>
          <w:rFonts w:hint="eastAsia" w:ascii="宋体" w:hAnsi="宋体"/>
          <w:szCs w:val="21"/>
        </w:rPr>
        <w:t>1.10.2 场外交通</w:t>
      </w:r>
    </w:p>
    <w:p>
      <w:pPr>
        <w:spacing w:line="360" w:lineRule="auto"/>
        <w:ind w:firstLine="420" w:firstLineChars="200"/>
        <w:jc w:val="left"/>
        <w:rPr>
          <w:rFonts w:ascii="宋体" w:hAnsi="宋体"/>
          <w:kern w:val="0"/>
          <w:szCs w:val="21"/>
        </w:rPr>
      </w:pPr>
      <w:r>
        <w:rPr>
          <w:rFonts w:hint="eastAsia" w:ascii="宋体" w:hAnsi="宋体"/>
          <w:kern w:val="0"/>
          <w:szCs w:val="21"/>
        </w:rPr>
        <w:t>承包人应遵守有关交通法规，执行有关道路限速、限行、禁止超载的规定，并配合交通管理部门的监督和检查。场外交通以施工场地移交时的现状为准。</w:t>
      </w:r>
    </w:p>
    <w:p>
      <w:pPr>
        <w:spacing w:line="360" w:lineRule="auto"/>
        <w:ind w:firstLine="420" w:firstLineChars="200"/>
        <w:jc w:val="left"/>
        <w:rPr>
          <w:rFonts w:ascii="宋体" w:hAnsi="宋体"/>
          <w:szCs w:val="21"/>
        </w:rPr>
      </w:pPr>
      <w:r>
        <w:rPr>
          <w:rFonts w:hint="eastAsia" w:ascii="宋体" w:hAnsi="宋体"/>
          <w:szCs w:val="21"/>
        </w:rPr>
        <w:t>1</w:t>
      </w:r>
      <w:bookmarkStart w:id="850" w:name="_Toc304295522"/>
      <w:bookmarkStart w:id="851" w:name="_Toc318581156"/>
      <w:bookmarkStart w:id="852" w:name="_Toc300934944"/>
      <w:bookmarkStart w:id="853" w:name="_Toc303539101"/>
      <w:bookmarkStart w:id="854" w:name="_Toc312677987"/>
      <w:r>
        <w:rPr>
          <w:rFonts w:hint="eastAsia" w:ascii="宋体" w:hAnsi="宋体"/>
          <w:szCs w:val="21"/>
        </w:rPr>
        <w:t>.10.3 场内交通</w:t>
      </w:r>
    </w:p>
    <w:p>
      <w:pPr>
        <w:spacing w:line="360" w:lineRule="auto"/>
        <w:ind w:firstLine="420" w:firstLineChars="200"/>
        <w:jc w:val="left"/>
        <w:rPr>
          <w:rFonts w:ascii="宋体" w:hAnsi="宋体"/>
          <w:szCs w:val="21"/>
          <w:u w:val="single"/>
        </w:rPr>
      </w:pPr>
      <w:r>
        <w:rPr>
          <w:rFonts w:hint="eastAsia" w:ascii="宋体" w:hAnsi="宋体"/>
          <w:kern w:val="0"/>
          <w:szCs w:val="21"/>
        </w:rPr>
        <w:t>关于场外交通和场内交通的边界的约定：</w:t>
      </w:r>
      <w:r>
        <w:rPr>
          <w:rFonts w:hint="eastAsia" w:ascii="宋体" w:hAnsi="宋体"/>
          <w:szCs w:val="21"/>
          <w:u w:val="single"/>
        </w:rPr>
        <w:t>以合同工程用地红线为界，用地红线外为场外交通，用地红线范围内为场内交通（场外道路穿越场内的除外）</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kern w:val="0"/>
          <w:szCs w:val="21"/>
        </w:rPr>
        <w:t>关于发包人向承包人免费提供满足工程施工需要的场内道路和交通设施的约定：</w:t>
      </w:r>
      <w:r>
        <w:rPr>
          <w:rFonts w:hint="eastAsia" w:ascii="宋体" w:hAnsi="宋体"/>
          <w:kern w:val="0"/>
          <w:szCs w:val="21"/>
          <w:u w:val="single"/>
        </w:rPr>
        <w:t>以施工场地移交时的现状为准</w:t>
      </w:r>
      <w:r>
        <w:rPr>
          <w:rFonts w:hint="eastAsia" w:ascii="宋体" w:hAnsi="宋体"/>
          <w:szCs w:val="21"/>
        </w:rPr>
        <w:t>。</w:t>
      </w:r>
    </w:p>
    <w:bookmarkEnd w:id="850"/>
    <w:bookmarkEnd w:id="851"/>
    <w:bookmarkEnd w:id="852"/>
    <w:bookmarkEnd w:id="853"/>
    <w:bookmarkEnd w:id="854"/>
    <w:p>
      <w:pPr>
        <w:spacing w:line="360" w:lineRule="auto"/>
        <w:ind w:firstLine="420" w:firstLineChars="200"/>
        <w:jc w:val="left"/>
        <w:rPr>
          <w:rFonts w:ascii="宋体" w:hAnsi="宋体"/>
          <w:szCs w:val="21"/>
        </w:rPr>
      </w:pPr>
      <w:bookmarkStart w:id="855" w:name="_Toc318581157"/>
      <w:r>
        <w:rPr>
          <w:rFonts w:hint="eastAsia" w:ascii="宋体" w:hAnsi="宋体"/>
          <w:szCs w:val="21"/>
        </w:rPr>
        <w:t>1.10.4 超大件和超重件的运输</w:t>
      </w:r>
    </w:p>
    <w:p>
      <w:pPr>
        <w:spacing w:line="360" w:lineRule="auto"/>
        <w:ind w:firstLine="420" w:firstLineChars="200"/>
        <w:jc w:val="left"/>
        <w:rPr>
          <w:rFonts w:ascii="宋体" w:hAnsi="宋体"/>
          <w:szCs w:val="21"/>
        </w:rPr>
      </w:pPr>
      <w:r>
        <w:rPr>
          <w:rFonts w:hint="eastAsia" w:ascii="宋体" w:hAnsi="宋体"/>
          <w:szCs w:val="21"/>
        </w:rPr>
        <w:t>运输超大件或超重件所需的道路和桥梁临时加固改造费用和其他有关费用由</w:t>
      </w:r>
      <w:r>
        <w:rPr>
          <w:rFonts w:hint="eastAsia" w:ascii="宋体" w:hAnsi="宋体"/>
          <w:szCs w:val="21"/>
          <w:u w:val="single"/>
        </w:rPr>
        <w:t>发包人</w:t>
      </w:r>
      <w:r>
        <w:rPr>
          <w:rFonts w:hint="eastAsia" w:ascii="宋体" w:hAnsi="宋体"/>
          <w:szCs w:val="21"/>
        </w:rPr>
        <w:t>承担。</w:t>
      </w:r>
    </w:p>
    <w:bookmarkEnd w:id="855"/>
    <w:p>
      <w:pPr>
        <w:pStyle w:val="7"/>
        <w:spacing w:before="0" w:beforeAutospacing="0" w:after="0" w:afterAutospacing="0" w:line="360" w:lineRule="auto"/>
        <w:ind w:firstLine="422" w:firstLineChars="200"/>
        <w:rPr>
          <w:sz w:val="21"/>
          <w:szCs w:val="21"/>
        </w:rPr>
      </w:pPr>
      <w:bookmarkStart w:id="856" w:name="_Toc532377329"/>
      <w:r>
        <w:rPr>
          <w:rFonts w:hint="eastAsia"/>
          <w:sz w:val="21"/>
          <w:szCs w:val="21"/>
        </w:rPr>
        <w:t>1.11 知识产权</w:t>
      </w:r>
      <w:bookmarkEnd w:id="856"/>
    </w:p>
    <w:p>
      <w:pPr>
        <w:spacing w:line="360" w:lineRule="auto"/>
        <w:ind w:firstLine="420" w:firstLineChars="200"/>
        <w:jc w:val="left"/>
        <w:rPr>
          <w:rFonts w:ascii="宋体" w:hAnsi="宋体"/>
          <w:szCs w:val="21"/>
        </w:rPr>
      </w:pPr>
      <w:r>
        <w:rPr>
          <w:rFonts w:hint="eastAsia" w:ascii="宋体" w:hAnsi="宋体"/>
          <w:szCs w:val="21"/>
        </w:rPr>
        <w:t>1.11.1 关于发包人提供给承包人的图纸、发包人为实施工程自行编制或委托编制的技术规范以及反映发包人关于合同要求或其他类似性质的文件的著作权的归属：</w:t>
      </w:r>
      <w:r>
        <w:rPr>
          <w:rFonts w:hint="eastAsia" w:ascii="宋体" w:hAnsi="宋体"/>
          <w:szCs w:val="21"/>
          <w:u w:val="single"/>
        </w:rPr>
        <w:t>属于发包人</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关于发包人提供的上述文件的使用限制的要求：</w:t>
      </w:r>
      <w:r>
        <w:rPr>
          <w:rFonts w:hint="eastAsia" w:ascii="宋体" w:hAnsi="宋体"/>
          <w:szCs w:val="21"/>
          <w:u w:val="single"/>
        </w:rPr>
        <w:t>按通用合同条款执行</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1.11.4 承包人在施工过程中所采用的专利、专有技术、技术秘密的使用费的承担方式：</w:t>
      </w:r>
      <w:r>
        <w:rPr>
          <w:rFonts w:hint="eastAsia" w:ascii="宋体" w:hAnsi="宋体"/>
          <w:szCs w:val="21"/>
          <w:u w:val="single"/>
        </w:rPr>
        <w:t xml:space="preserve">        </w:t>
      </w:r>
      <w:r>
        <w:rPr>
          <w:rFonts w:hint="eastAsia" w:ascii="宋体" w:hAnsi="宋体"/>
          <w:szCs w:val="21"/>
        </w:rPr>
        <w:t>。</w:t>
      </w:r>
    </w:p>
    <w:p>
      <w:pPr>
        <w:pStyle w:val="7"/>
        <w:spacing w:before="0" w:beforeAutospacing="0" w:after="0" w:afterAutospacing="0" w:line="360" w:lineRule="auto"/>
        <w:ind w:firstLine="422" w:firstLineChars="200"/>
        <w:rPr>
          <w:sz w:val="21"/>
          <w:szCs w:val="21"/>
        </w:rPr>
      </w:pPr>
      <w:bookmarkStart w:id="857" w:name="_Toc532377330"/>
      <w:r>
        <w:rPr>
          <w:rFonts w:hint="eastAsia"/>
          <w:sz w:val="21"/>
          <w:szCs w:val="21"/>
        </w:rPr>
        <w:t>1.13工程量清单错误的修正</w:t>
      </w:r>
      <w:bookmarkEnd w:id="857"/>
    </w:p>
    <w:p>
      <w:pPr>
        <w:spacing w:line="360" w:lineRule="auto"/>
        <w:ind w:firstLine="420" w:firstLineChars="200"/>
        <w:jc w:val="left"/>
        <w:rPr>
          <w:rFonts w:ascii="宋体" w:hAnsi="宋体"/>
          <w:szCs w:val="21"/>
        </w:rPr>
      </w:pPr>
      <w:r>
        <w:rPr>
          <w:rFonts w:hint="eastAsia" w:ascii="宋体" w:hAnsi="宋体"/>
          <w:szCs w:val="21"/>
        </w:rPr>
        <w:t>出现工程量清单错误时，责任和权利划分：</w:t>
      </w:r>
      <w:r>
        <w:rPr>
          <w:rFonts w:hint="eastAsia" w:ascii="宋体" w:hAnsi="宋体"/>
          <w:szCs w:val="21"/>
          <w:u w:val="single"/>
        </w:rPr>
        <w:t xml:space="preserve">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出现工程量清单错误时，是否调整合同价格：</w:t>
      </w:r>
      <w:r>
        <w:rPr>
          <w:rFonts w:hint="eastAsia" w:ascii="宋体" w:hAnsi="宋体"/>
          <w:szCs w:val="21"/>
          <w:u w:val="single"/>
        </w:rPr>
        <w:t xml:space="preserve">        </w:t>
      </w:r>
      <w:r>
        <w:rPr>
          <w:rFonts w:hint="eastAsia" w:ascii="宋体" w:hAnsi="宋体"/>
          <w:kern w:val="0"/>
          <w:szCs w:val="21"/>
        </w:rPr>
        <w:t>。</w:t>
      </w:r>
    </w:p>
    <w:p>
      <w:pPr>
        <w:spacing w:line="360" w:lineRule="auto"/>
        <w:ind w:firstLine="420" w:firstLineChars="200"/>
        <w:jc w:val="left"/>
        <w:rPr>
          <w:rFonts w:ascii="宋体" w:hAnsi="宋体"/>
          <w:szCs w:val="21"/>
        </w:rPr>
      </w:pPr>
      <w:r>
        <w:rPr>
          <w:rFonts w:hint="eastAsia" w:ascii="宋体" w:hAnsi="宋体"/>
          <w:szCs w:val="21"/>
        </w:rPr>
        <w:t>允许调整合同价格的工程量偏差范围：</w:t>
      </w:r>
      <w:r>
        <w:rPr>
          <w:rFonts w:hint="eastAsia" w:ascii="宋体" w:hAnsi="宋体"/>
          <w:szCs w:val="21"/>
          <w:u w:val="single"/>
        </w:rPr>
        <w:t xml:space="preserve">        </w:t>
      </w:r>
      <w:r>
        <w:rPr>
          <w:rFonts w:hint="eastAsia" w:ascii="宋体" w:hAnsi="宋体"/>
          <w:szCs w:val="21"/>
        </w:rPr>
        <w:t>。</w:t>
      </w:r>
    </w:p>
    <w:p>
      <w:pPr>
        <w:pStyle w:val="6"/>
        <w:spacing w:before="156" w:beforeLines="50" w:beforeAutospacing="0" w:after="156" w:afterLines="50" w:afterAutospacing="0" w:line="360" w:lineRule="auto"/>
        <w:jc w:val="both"/>
        <w:rPr>
          <w:bCs w:val="0"/>
          <w:kern w:val="2"/>
          <w:sz w:val="21"/>
          <w:szCs w:val="21"/>
        </w:rPr>
      </w:pPr>
      <w:bookmarkStart w:id="858" w:name="_Toc532377331"/>
      <w:bookmarkStart w:id="859" w:name="_Toc351203634"/>
      <w:bookmarkStart w:id="860" w:name="_Toc532375609"/>
      <w:r>
        <w:rPr>
          <w:rFonts w:hint="eastAsia"/>
          <w:kern w:val="2"/>
          <w:sz w:val="21"/>
          <w:szCs w:val="21"/>
        </w:rPr>
        <w:t>2</w:t>
      </w:r>
      <w:bookmarkStart w:id="861" w:name="_Toc292559362"/>
      <w:bookmarkStart w:id="862" w:name="_Toc297120457"/>
      <w:bookmarkStart w:id="863" w:name="_Toc296347156"/>
      <w:bookmarkStart w:id="864" w:name="_Toc297048343"/>
      <w:bookmarkStart w:id="865" w:name="_Toc296890985"/>
      <w:bookmarkStart w:id="866" w:name="_Toc296944496"/>
      <w:bookmarkStart w:id="867" w:name="_Toc296503157"/>
      <w:bookmarkStart w:id="868" w:name="_Toc292559867"/>
      <w:bookmarkStart w:id="869" w:name="_Toc296346658"/>
      <w:bookmarkStart w:id="870" w:name="_Toc296891197"/>
      <w:r>
        <w:rPr>
          <w:rFonts w:hint="eastAsia"/>
          <w:kern w:val="2"/>
          <w:sz w:val="21"/>
          <w:szCs w:val="21"/>
        </w:rPr>
        <w:t>. 发包人</w:t>
      </w:r>
      <w:bookmarkEnd w:id="858"/>
      <w:bookmarkEnd w:id="859"/>
      <w:bookmarkEnd w:id="860"/>
    </w:p>
    <w:bookmarkEnd w:id="861"/>
    <w:bookmarkEnd w:id="862"/>
    <w:bookmarkEnd w:id="863"/>
    <w:bookmarkEnd w:id="864"/>
    <w:bookmarkEnd w:id="865"/>
    <w:bookmarkEnd w:id="866"/>
    <w:bookmarkEnd w:id="867"/>
    <w:bookmarkEnd w:id="868"/>
    <w:bookmarkEnd w:id="869"/>
    <w:bookmarkEnd w:id="870"/>
    <w:p>
      <w:pPr>
        <w:spacing w:line="360" w:lineRule="auto"/>
        <w:ind w:firstLine="420" w:firstLineChars="200"/>
        <w:jc w:val="left"/>
        <w:rPr>
          <w:rFonts w:ascii="宋体" w:hAnsi="宋体"/>
          <w:szCs w:val="21"/>
        </w:rPr>
      </w:pPr>
      <w:r>
        <w:rPr>
          <w:rFonts w:hint="eastAsia" w:ascii="宋体" w:hAnsi="宋体"/>
          <w:szCs w:val="21"/>
        </w:rPr>
        <w:t>2.2.1 发包人代表</w:t>
      </w:r>
    </w:p>
    <w:p>
      <w:pPr>
        <w:spacing w:line="360" w:lineRule="auto"/>
        <w:ind w:firstLine="420" w:firstLineChars="200"/>
        <w:jc w:val="left"/>
        <w:rPr>
          <w:rFonts w:ascii="宋体" w:hAnsi="宋体"/>
          <w:szCs w:val="21"/>
        </w:rPr>
      </w:pPr>
      <w:r>
        <w:rPr>
          <w:rFonts w:hint="eastAsia" w:ascii="宋体" w:hAnsi="宋体"/>
          <w:szCs w:val="21"/>
        </w:rPr>
        <w:t>发包人代表：</w:t>
      </w:r>
    </w:p>
    <w:p>
      <w:pPr>
        <w:spacing w:line="360" w:lineRule="auto"/>
        <w:ind w:firstLine="420" w:firstLineChars="200"/>
        <w:jc w:val="left"/>
        <w:rPr>
          <w:rFonts w:ascii="宋体" w:hAnsi="宋体"/>
          <w:szCs w:val="21"/>
        </w:rPr>
      </w:pPr>
      <w:r>
        <w:rPr>
          <w:rFonts w:hint="eastAsia" w:ascii="宋体" w:hAnsi="宋体"/>
          <w:szCs w:val="21"/>
        </w:rPr>
        <w:t>姓    名：</w:t>
      </w:r>
      <w:r>
        <w:rPr>
          <w:rFonts w:ascii="宋体" w:hAnsi="宋体"/>
          <w:szCs w:val="21"/>
          <w:u w:val="single"/>
        </w:rPr>
        <w:t xml:space="preserve">           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身份证号：</w:t>
      </w:r>
      <w:r>
        <w:rPr>
          <w:rFonts w:ascii="宋体" w:hAnsi="宋体"/>
          <w:szCs w:val="21"/>
          <w:u w:val="single"/>
        </w:rPr>
        <w:t xml:space="preserve">           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职    务：</w:t>
      </w:r>
      <w:r>
        <w:rPr>
          <w:rFonts w:ascii="宋体" w:hAnsi="宋体"/>
          <w:szCs w:val="21"/>
          <w:u w:val="single"/>
        </w:rPr>
        <w:t xml:space="preserve">           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联系方式：</w:t>
      </w:r>
      <w:r>
        <w:rPr>
          <w:rFonts w:ascii="宋体" w:hAnsi="宋体"/>
          <w:szCs w:val="21"/>
          <w:u w:val="single"/>
        </w:rPr>
        <w:t xml:space="preserve">           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邮    编：</w:t>
      </w:r>
      <w:r>
        <w:rPr>
          <w:rFonts w:ascii="宋体" w:hAnsi="宋体"/>
          <w:szCs w:val="21"/>
          <w:u w:val="single"/>
        </w:rPr>
        <w:t xml:space="preserve">           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发包人对发包人代表的授权范围如下：</w:t>
      </w:r>
      <w:r>
        <w:rPr>
          <w:rFonts w:hint="eastAsia" w:ascii="宋体" w:hAnsi="宋体"/>
          <w:szCs w:val="21"/>
          <w:u w:val="single"/>
        </w:rPr>
        <w:t>代表发包人对项目建设进行协调、管控、审查，确保安全、质量、环保、进度、成本可控，及时处理项目相关问题，向承包人、监理人等下达各类指令。由发包人授权的，以授权书载明的授权范围为准</w:t>
      </w:r>
      <w:r>
        <w:rPr>
          <w:rFonts w:hint="eastAsia" w:ascii="宋体" w:hAnsi="宋体"/>
          <w:szCs w:val="21"/>
        </w:rPr>
        <w:t>。</w:t>
      </w:r>
    </w:p>
    <w:p>
      <w:pPr>
        <w:pStyle w:val="7"/>
        <w:spacing w:before="0" w:beforeAutospacing="0" w:after="0" w:afterAutospacing="0" w:line="360" w:lineRule="auto"/>
        <w:ind w:firstLine="422" w:firstLineChars="200"/>
        <w:rPr>
          <w:sz w:val="21"/>
          <w:szCs w:val="21"/>
        </w:rPr>
      </w:pPr>
      <w:bookmarkStart w:id="871" w:name="_Toc532377332"/>
      <w:r>
        <w:rPr>
          <w:rFonts w:hint="eastAsia"/>
          <w:sz w:val="21"/>
          <w:szCs w:val="21"/>
        </w:rPr>
        <w:t>2.4 施工现场、施工条件和基础资料的提供</w:t>
      </w:r>
      <w:bookmarkEnd w:id="871"/>
    </w:p>
    <w:p>
      <w:pPr>
        <w:spacing w:line="360" w:lineRule="auto"/>
        <w:ind w:firstLine="420" w:firstLineChars="200"/>
        <w:jc w:val="left"/>
        <w:rPr>
          <w:rFonts w:ascii="宋体" w:hAnsi="宋体"/>
          <w:szCs w:val="21"/>
        </w:rPr>
      </w:pPr>
      <w:r>
        <w:rPr>
          <w:rFonts w:hint="eastAsia" w:ascii="宋体" w:hAnsi="宋体"/>
          <w:szCs w:val="21"/>
        </w:rPr>
        <w:t>2.4.1 提供施工现场</w:t>
      </w:r>
    </w:p>
    <w:p>
      <w:pPr>
        <w:spacing w:line="360" w:lineRule="auto"/>
        <w:ind w:firstLine="420" w:firstLineChars="200"/>
        <w:jc w:val="left"/>
        <w:rPr>
          <w:rFonts w:ascii="宋体" w:hAnsi="宋体"/>
          <w:szCs w:val="21"/>
        </w:rPr>
      </w:pPr>
      <w:r>
        <w:rPr>
          <w:rFonts w:hint="eastAsia" w:ascii="宋体" w:hAnsi="宋体"/>
          <w:szCs w:val="21"/>
        </w:rPr>
        <w:t>2.4.1.1 提供场地：</w:t>
      </w:r>
    </w:p>
    <w:p>
      <w:pPr>
        <w:spacing w:line="360" w:lineRule="auto"/>
        <w:ind w:firstLine="420" w:firstLineChars="200"/>
        <w:jc w:val="left"/>
        <w:rPr>
          <w:rFonts w:ascii="宋体" w:hAnsi="宋体"/>
          <w:szCs w:val="21"/>
        </w:rPr>
      </w:pPr>
      <w:r>
        <w:rPr>
          <w:rFonts w:hint="eastAsia" w:ascii="宋体" w:hAnsi="宋体"/>
          <w:szCs w:val="21"/>
        </w:rPr>
        <w:t>施工场地的提供采用以下第</w:t>
      </w:r>
      <w:r>
        <w:rPr>
          <w:rFonts w:hint="eastAsia" w:ascii="宋体" w:hAnsi="宋体"/>
          <w:szCs w:val="21"/>
          <w:u w:val="single"/>
        </w:rPr>
        <w:t xml:space="preserve">    </w:t>
      </w:r>
      <w:r>
        <w:rPr>
          <w:rFonts w:hint="eastAsia" w:ascii="宋体" w:hAnsi="宋体"/>
          <w:szCs w:val="21"/>
        </w:rPr>
        <w:t>种方式：</w:t>
      </w:r>
    </w:p>
    <w:p>
      <w:pPr>
        <w:spacing w:line="360" w:lineRule="auto"/>
        <w:ind w:firstLine="420" w:firstLineChars="200"/>
        <w:jc w:val="left"/>
        <w:rPr>
          <w:rFonts w:ascii="宋体" w:hAnsi="宋体"/>
          <w:szCs w:val="21"/>
        </w:rPr>
      </w:pPr>
      <w:r>
        <w:rPr>
          <w:rFonts w:hint="eastAsia" w:ascii="宋体" w:hAnsi="宋体"/>
          <w:szCs w:val="21"/>
        </w:rPr>
        <w:t>（1）一次提供全部施工场地：发包人于</w:t>
      </w:r>
      <w:r>
        <w:rPr>
          <w:rFonts w:hint="eastAsia" w:ascii="宋体" w:hAnsi="宋体"/>
          <w:szCs w:val="21"/>
          <w:u w:val="single"/>
        </w:rPr>
        <w:t>开工</w:t>
      </w:r>
      <w:r>
        <w:rPr>
          <w:rFonts w:hint="eastAsia" w:ascii="宋体" w:hAnsi="宋体"/>
          <w:szCs w:val="21"/>
        </w:rPr>
        <w:t>前向承包人提供合同工程用地红线范围内的施工场地。</w:t>
      </w:r>
    </w:p>
    <w:p>
      <w:pPr>
        <w:spacing w:line="360" w:lineRule="auto"/>
        <w:ind w:firstLine="420" w:firstLineChars="200"/>
        <w:jc w:val="left"/>
        <w:rPr>
          <w:rFonts w:ascii="宋体" w:hAnsi="宋体"/>
          <w:szCs w:val="21"/>
        </w:rPr>
      </w:pPr>
      <w:r>
        <w:rPr>
          <w:rFonts w:hint="eastAsia" w:ascii="宋体" w:hAnsi="宋体"/>
          <w:szCs w:val="21"/>
        </w:rPr>
        <w:t>（2）分次提供全部施工场地：</w:t>
      </w:r>
      <w:r>
        <w:rPr>
          <w:rFonts w:hint="eastAsia" w:ascii="宋体" w:hAnsi="宋体"/>
          <w:szCs w:val="21"/>
          <w:u w:val="single"/>
        </w:rPr>
        <w:t>发包人按约定的时间分次向承包人提供合同工程用地红线范围内的施工场地</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u w:val="single"/>
        </w:rPr>
        <w:t>承包人编制的施工组织计划已充分考虑了施工场地提供的因素</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u w:val="single"/>
        </w:rPr>
        <w:t>施工场地未能按约定提供的，承包人应结合施工场地实际交地情况，优化施工组织计划。施工场地未能按约定提供，影响项目关键线路的，承包人可提交索赔申请，并经监理人、发包人审批后可按约定顺延项目工期，否则工期不予顺延</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2.4.2 提供施工条件</w:t>
      </w:r>
    </w:p>
    <w:p>
      <w:pPr>
        <w:spacing w:line="360" w:lineRule="auto"/>
        <w:ind w:firstLine="420" w:firstLineChars="200"/>
        <w:jc w:val="left"/>
        <w:rPr>
          <w:rFonts w:ascii="宋体" w:hAnsi="宋体"/>
          <w:szCs w:val="21"/>
        </w:rPr>
      </w:pPr>
      <w:r>
        <w:rPr>
          <w:rFonts w:hint="eastAsia" w:ascii="宋体" w:hAnsi="宋体"/>
          <w:szCs w:val="21"/>
        </w:rPr>
        <w:t>关于发包人应负责提供施工所需要的条件：</w:t>
      </w:r>
      <w:r>
        <w:rPr>
          <w:rFonts w:hint="eastAsia" w:ascii="宋体" w:hAnsi="宋体"/>
          <w:szCs w:val="21"/>
          <w:u w:val="single"/>
        </w:rPr>
        <w:t xml:space="preserve">        </w:t>
      </w:r>
      <w:r>
        <w:rPr>
          <w:rFonts w:hint="eastAsia" w:ascii="宋体" w:hAnsi="宋体"/>
          <w:szCs w:val="21"/>
        </w:rPr>
        <w:t>。</w:t>
      </w:r>
    </w:p>
    <w:p>
      <w:pPr>
        <w:pStyle w:val="7"/>
        <w:spacing w:before="0" w:beforeAutospacing="0" w:after="0" w:afterAutospacing="0" w:line="360" w:lineRule="auto"/>
        <w:ind w:firstLine="422" w:firstLineChars="200"/>
        <w:rPr>
          <w:sz w:val="21"/>
          <w:szCs w:val="21"/>
        </w:rPr>
      </w:pPr>
      <w:bookmarkStart w:id="872" w:name="_Toc532377333"/>
      <w:r>
        <w:rPr>
          <w:rFonts w:hint="eastAsia"/>
          <w:sz w:val="21"/>
          <w:szCs w:val="21"/>
        </w:rPr>
        <w:t>2.5 资金来源证明及支付担保</w:t>
      </w:r>
      <w:bookmarkEnd w:id="872"/>
    </w:p>
    <w:p>
      <w:pPr>
        <w:spacing w:line="360" w:lineRule="auto"/>
        <w:ind w:firstLine="420" w:firstLineChars="200"/>
        <w:jc w:val="left"/>
        <w:rPr>
          <w:rFonts w:ascii="宋体" w:hAnsi="宋体"/>
          <w:szCs w:val="21"/>
        </w:rPr>
      </w:pPr>
      <w:r>
        <w:rPr>
          <w:rFonts w:hint="eastAsia" w:ascii="宋体" w:hAnsi="宋体"/>
          <w:szCs w:val="21"/>
        </w:rPr>
        <w:t>发包人提供资金来源证明的期限要求：</w:t>
      </w:r>
      <w:r>
        <w:rPr>
          <w:rFonts w:hint="eastAsia" w:ascii="宋体" w:hAnsi="宋体"/>
          <w:szCs w:val="21"/>
          <w:u w:val="single"/>
        </w:rPr>
        <w:t>不采用</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发包人是否提供支付担保：</w:t>
      </w:r>
      <w:r>
        <w:rPr>
          <w:rFonts w:hint="eastAsia" w:ascii="宋体" w:hAnsi="宋体"/>
          <w:szCs w:val="21"/>
          <w:u w:val="single"/>
          <w:lang w:val="en-US" w:eastAsia="zh-CN"/>
        </w:rPr>
        <w:t>不提供</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支付担保的形式：</w:t>
      </w:r>
      <w:r>
        <w:rPr>
          <w:rFonts w:hint="eastAsia" w:ascii="宋体" w:hAnsi="宋体"/>
          <w:szCs w:val="21"/>
          <w:u w:val="single"/>
        </w:rPr>
        <w:t xml:space="preserve">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支付担保的金额：</w:t>
      </w:r>
      <w:r>
        <w:rPr>
          <w:rFonts w:hint="eastAsia" w:ascii="宋体" w:hAnsi="宋体"/>
          <w:szCs w:val="21"/>
          <w:u w:val="single"/>
        </w:rPr>
        <w:t xml:space="preserve">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支付担保的时间：</w:t>
      </w:r>
      <w:r>
        <w:rPr>
          <w:rFonts w:hint="eastAsia" w:ascii="宋体" w:hAnsi="宋体"/>
          <w:szCs w:val="21"/>
          <w:u w:val="single"/>
        </w:rPr>
        <w:t xml:space="preserve">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支付担保的期限：</w:t>
      </w:r>
      <w:r>
        <w:rPr>
          <w:rFonts w:hint="eastAsia" w:ascii="宋体" w:hAnsi="宋体"/>
          <w:szCs w:val="21"/>
          <w:u w:val="single"/>
        </w:rPr>
        <w:t xml:space="preserve">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支付担保的退还时间：</w:t>
      </w:r>
      <w:r>
        <w:rPr>
          <w:rFonts w:hint="eastAsia" w:ascii="宋体" w:hAnsi="宋体"/>
          <w:szCs w:val="21"/>
          <w:u w:val="single"/>
        </w:rPr>
        <w:t xml:space="preserve">        </w:t>
      </w:r>
      <w:r>
        <w:rPr>
          <w:rFonts w:hint="eastAsia" w:ascii="宋体" w:hAnsi="宋体"/>
          <w:szCs w:val="21"/>
        </w:rPr>
        <w:t>。</w:t>
      </w:r>
    </w:p>
    <w:p>
      <w:pPr>
        <w:pStyle w:val="6"/>
        <w:spacing w:before="156" w:beforeLines="50" w:beforeAutospacing="0" w:after="156" w:afterLines="50" w:afterAutospacing="0" w:line="360" w:lineRule="auto"/>
        <w:jc w:val="both"/>
        <w:rPr>
          <w:bCs w:val="0"/>
          <w:kern w:val="2"/>
          <w:sz w:val="21"/>
          <w:szCs w:val="21"/>
        </w:rPr>
      </w:pPr>
      <w:bookmarkStart w:id="873" w:name="_Toc351203635"/>
      <w:bookmarkStart w:id="874" w:name="_Toc532375610"/>
      <w:bookmarkStart w:id="875" w:name="_Toc532377334"/>
      <w:r>
        <w:rPr>
          <w:rFonts w:hint="eastAsia"/>
          <w:kern w:val="2"/>
          <w:sz w:val="21"/>
          <w:szCs w:val="21"/>
        </w:rPr>
        <w:t>3</w:t>
      </w:r>
      <w:bookmarkStart w:id="876" w:name="_Toc296347157"/>
      <w:bookmarkStart w:id="877" w:name="_Toc296503158"/>
      <w:bookmarkStart w:id="878" w:name="_Toc296944497"/>
      <w:bookmarkStart w:id="879" w:name="_Toc296891198"/>
      <w:bookmarkStart w:id="880" w:name="_Toc296346659"/>
      <w:bookmarkStart w:id="881" w:name="_Toc297120458"/>
      <w:bookmarkStart w:id="882" w:name="_Toc292559363"/>
      <w:bookmarkStart w:id="883" w:name="_Toc296890986"/>
      <w:bookmarkStart w:id="884" w:name="_Toc297048344"/>
      <w:bookmarkStart w:id="885" w:name="_Toc292559868"/>
      <w:r>
        <w:rPr>
          <w:rFonts w:hint="eastAsia"/>
          <w:kern w:val="2"/>
          <w:sz w:val="21"/>
          <w:szCs w:val="21"/>
        </w:rPr>
        <w:t>. 承包人</w:t>
      </w:r>
      <w:bookmarkEnd w:id="873"/>
      <w:bookmarkEnd w:id="874"/>
      <w:bookmarkEnd w:id="875"/>
    </w:p>
    <w:bookmarkEnd w:id="876"/>
    <w:bookmarkEnd w:id="877"/>
    <w:bookmarkEnd w:id="878"/>
    <w:bookmarkEnd w:id="879"/>
    <w:bookmarkEnd w:id="880"/>
    <w:bookmarkEnd w:id="881"/>
    <w:bookmarkEnd w:id="882"/>
    <w:bookmarkEnd w:id="883"/>
    <w:bookmarkEnd w:id="884"/>
    <w:bookmarkEnd w:id="885"/>
    <w:p>
      <w:pPr>
        <w:pStyle w:val="7"/>
        <w:spacing w:before="0" w:beforeAutospacing="0" w:after="0" w:afterAutospacing="0" w:line="360" w:lineRule="auto"/>
        <w:ind w:firstLine="422" w:firstLineChars="200"/>
        <w:rPr>
          <w:sz w:val="21"/>
          <w:szCs w:val="21"/>
        </w:rPr>
      </w:pPr>
      <w:bookmarkStart w:id="886" w:name="_Toc532377335"/>
      <w:r>
        <w:rPr>
          <w:rFonts w:hint="eastAsia"/>
          <w:sz w:val="21"/>
          <w:szCs w:val="21"/>
        </w:rPr>
        <w:t>3.1 承包人的一般义务</w:t>
      </w:r>
      <w:bookmarkEnd w:id="886"/>
    </w:p>
    <w:p>
      <w:pPr>
        <w:spacing w:line="360" w:lineRule="auto"/>
        <w:ind w:firstLine="420" w:firstLineChars="200"/>
        <w:jc w:val="left"/>
        <w:rPr>
          <w:rFonts w:ascii="宋体" w:hAnsi="宋体"/>
          <w:szCs w:val="21"/>
        </w:rPr>
      </w:pPr>
      <w:r>
        <w:rPr>
          <w:rFonts w:hint="eastAsia" w:ascii="宋体" w:hAnsi="宋体"/>
          <w:szCs w:val="21"/>
        </w:rPr>
        <w:t>本款细化为3.1.1～3.1.10项：</w:t>
      </w:r>
    </w:p>
    <w:p>
      <w:pPr>
        <w:spacing w:line="360" w:lineRule="auto"/>
        <w:ind w:firstLine="420" w:firstLineChars="200"/>
        <w:jc w:val="left"/>
        <w:rPr>
          <w:rFonts w:ascii="宋体" w:hAnsi="宋体"/>
          <w:szCs w:val="21"/>
        </w:rPr>
      </w:pPr>
      <w:r>
        <w:rPr>
          <w:rFonts w:hint="eastAsia" w:ascii="宋体" w:hAnsi="宋体"/>
          <w:szCs w:val="21"/>
        </w:rPr>
        <w:t>3.1.1办理法律规定和合同约定应由承包人办理的许可和批准，并将办理结果书面报送发包人留存；协助发包人办理施工所需的工程质量监督、安全监督、施工许可证等相关证件及手续。</w:t>
      </w:r>
    </w:p>
    <w:p>
      <w:pPr>
        <w:spacing w:line="360" w:lineRule="auto"/>
        <w:ind w:firstLine="420" w:firstLineChars="200"/>
        <w:jc w:val="left"/>
        <w:rPr>
          <w:rFonts w:ascii="宋体" w:hAnsi="宋体"/>
          <w:szCs w:val="21"/>
        </w:rPr>
      </w:pPr>
      <w:r>
        <w:rPr>
          <w:rFonts w:hint="eastAsia" w:ascii="宋体" w:hAnsi="宋体"/>
          <w:szCs w:val="21"/>
        </w:rPr>
        <w:t>3.1.2按法律规定和合同约定完成工程，包括满足合同所必需的或合同隐含的以及由承包人义务而产生的任何工程，还应包括合同根据相关法律法规、技术规范等对工程的稳定性、完整性或安全、可靠、有效运行所必需的所有工程，并在保修期内承担保修义务。</w:t>
      </w:r>
    </w:p>
    <w:p>
      <w:pPr>
        <w:spacing w:line="360" w:lineRule="auto"/>
        <w:ind w:firstLine="420" w:firstLineChars="200"/>
        <w:jc w:val="left"/>
        <w:rPr>
          <w:rFonts w:ascii="宋体" w:hAnsi="宋体"/>
          <w:szCs w:val="21"/>
        </w:rPr>
      </w:pPr>
      <w:r>
        <w:rPr>
          <w:rFonts w:hint="eastAsia" w:ascii="宋体" w:hAnsi="宋体"/>
          <w:szCs w:val="21"/>
        </w:rPr>
        <w:t>3.1.3按法律规定和合同约定采取施工安全和环境保护措施，办理工伤保险，确保工程及人员、材料、设备和设施的安全。施工期间，承包人应避免因施工危及红线范围外的邻近道路、建筑安全；应注意做好对周边建（构）筑物、绿化、设施设备的保护，做好围挡、监测以及安全防护，采取有效的防尘及降低噪声的措施，减小施工噪音及污水等对周边环境的影响包括对居民生活、工作、生产和经营等的影响；对不实施拆迁的建、构筑物应采取保护措施，并保证既有道路的正常通行。</w:t>
      </w:r>
    </w:p>
    <w:p>
      <w:pPr>
        <w:spacing w:line="360" w:lineRule="auto"/>
        <w:ind w:firstLine="420" w:firstLineChars="200"/>
        <w:jc w:val="left"/>
        <w:rPr>
          <w:rFonts w:ascii="宋体" w:hAnsi="宋体"/>
          <w:szCs w:val="21"/>
        </w:rPr>
      </w:pPr>
      <w:r>
        <w:rPr>
          <w:rFonts w:hint="eastAsia" w:ascii="宋体" w:hAnsi="宋体"/>
          <w:szCs w:val="21"/>
        </w:rPr>
        <w:t>3.1.4按合同约定的工作内容和施工进度要求，编制施工组织设计和施工措施计划，并对所有施工作业和施工方法的完备性和安全可靠性负责。施工组织设计中的措施保障水平应满足工程按合同进度实施的需要，且不得低于投标时施工组织设计的措施保障水平。</w:t>
      </w:r>
    </w:p>
    <w:p>
      <w:pPr>
        <w:spacing w:line="360" w:lineRule="auto"/>
        <w:ind w:firstLine="420" w:firstLineChars="200"/>
        <w:jc w:val="left"/>
        <w:rPr>
          <w:rFonts w:ascii="宋体" w:hAnsi="宋体"/>
          <w:szCs w:val="21"/>
        </w:rPr>
      </w:pPr>
      <w:r>
        <w:rPr>
          <w:rFonts w:hint="eastAsia" w:ascii="宋体" w:hAnsi="宋体"/>
          <w:szCs w:val="21"/>
        </w:rPr>
        <w:t>3.1.5在进行合同约定的各项工作时，不得侵害发包人与他人使用公用道路、水源、市政管网等公共设施的权利，避免对邻近的公共设施产生干扰。承包人占用或使用他人的施工场地，影响他人作业或生活的，应承担相应责任。</w:t>
      </w:r>
    </w:p>
    <w:p>
      <w:pPr>
        <w:spacing w:line="360" w:lineRule="auto"/>
        <w:ind w:firstLine="420" w:firstLineChars="200"/>
        <w:jc w:val="left"/>
        <w:rPr>
          <w:rFonts w:ascii="宋体" w:hAnsi="宋体"/>
          <w:szCs w:val="21"/>
        </w:rPr>
      </w:pPr>
      <w:r>
        <w:rPr>
          <w:rFonts w:hint="eastAsia" w:ascii="宋体" w:hAnsi="宋体"/>
          <w:szCs w:val="21"/>
        </w:rPr>
        <w:t>3.1.6按照第6.3款〔环境保护〕约定负责施工场地及其周边环境与生态的保护工作。</w:t>
      </w:r>
    </w:p>
    <w:p>
      <w:pPr>
        <w:spacing w:line="360" w:lineRule="auto"/>
        <w:ind w:firstLine="420" w:firstLineChars="200"/>
        <w:jc w:val="left"/>
        <w:rPr>
          <w:rFonts w:ascii="宋体" w:hAnsi="宋体"/>
          <w:szCs w:val="21"/>
        </w:rPr>
      </w:pPr>
      <w:r>
        <w:rPr>
          <w:rFonts w:hint="eastAsia" w:ascii="宋体" w:hAnsi="宋体"/>
          <w:szCs w:val="21"/>
        </w:rPr>
        <w:t>3.1.7按照第6.1款〔安全文明施工〕约定采取施工安全措施，确保工程及其人员、材料、设备和设施的安全，防止因工程施工造成的人身伤害和财产损失。</w:t>
      </w:r>
    </w:p>
    <w:p>
      <w:pPr>
        <w:autoSpaceDE w:val="0"/>
        <w:autoSpaceDN w:val="0"/>
        <w:spacing w:line="360" w:lineRule="auto"/>
        <w:ind w:firstLine="420" w:firstLineChars="200"/>
        <w:jc w:val="left"/>
        <w:rPr>
          <w:rFonts w:ascii="宋体" w:hAnsi="宋体"/>
          <w:szCs w:val="21"/>
        </w:rPr>
      </w:pPr>
      <w:r>
        <w:rPr>
          <w:rFonts w:hint="eastAsia" w:ascii="宋体" w:hAnsi="宋体"/>
          <w:szCs w:val="21"/>
        </w:rPr>
        <w:t>3.1.8将发包人按合同约定支付的各项价款专用于合同工程，且应及时支付其雇用人员工资，并及时向分包人支付合同价款。</w:t>
      </w:r>
    </w:p>
    <w:p>
      <w:pPr>
        <w:autoSpaceDE w:val="0"/>
        <w:autoSpaceDN w:val="0"/>
        <w:spacing w:line="360" w:lineRule="auto"/>
        <w:ind w:firstLine="420" w:firstLineChars="200"/>
        <w:jc w:val="left"/>
        <w:rPr>
          <w:rFonts w:ascii="宋体" w:hAnsi="宋体"/>
          <w:szCs w:val="21"/>
        </w:rPr>
      </w:pPr>
      <w:r>
        <w:rPr>
          <w:rFonts w:hint="eastAsia" w:ascii="宋体" w:hAnsi="宋体"/>
          <w:szCs w:val="21"/>
        </w:rPr>
        <w:t>3.1.9承包人提交的竣工资料的内容：</w:t>
      </w:r>
      <w:r>
        <w:rPr>
          <w:rFonts w:hint="eastAsia" w:ascii="宋体" w:hAnsi="宋体"/>
          <w:szCs w:val="21"/>
          <w:u w:val="single"/>
        </w:rPr>
        <w:t>工程施工技术资料、工程质量保证资料、工程检验评定资料、竣工图及其他应交资料，应符合《建设工程文件归档整理规范》（GB/T50328-2014）和重庆市有关文件规定</w:t>
      </w:r>
      <w:r>
        <w:rPr>
          <w:rFonts w:hint="eastAsia" w:ascii="宋体" w:hAnsi="宋体"/>
          <w:szCs w:val="21"/>
        </w:rPr>
        <w:t>。</w:t>
      </w:r>
    </w:p>
    <w:p>
      <w:pPr>
        <w:autoSpaceDE w:val="0"/>
        <w:autoSpaceDN w:val="0"/>
        <w:spacing w:line="360" w:lineRule="auto"/>
        <w:ind w:firstLine="420" w:firstLineChars="200"/>
        <w:jc w:val="left"/>
        <w:rPr>
          <w:rFonts w:ascii="宋体" w:hAnsi="宋体"/>
          <w:szCs w:val="21"/>
        </w:rPr>
      </w:pPr>
      <w:r>
        <w:rPr>
          <w:rFonts w:hint="eastAsia" w:ascii="宋体" w:hAnsi="宋体"/>
          <w:szCs w:val="21"/>
        </w:rPr>
        <w:t>承包人需要提交的竣工资料套数：完整竣工资料一式</w:t>
      </w:r>
      <w:r>
        <w:rPr>
          <w:rFonts w:hint="eastAsia" w:ascii="宋体" w:hAnsi="宋体"/>
          <w:szCs w:val="21"/>
          <w:u w:val="single"/>
        </w:rPr>
        <w:t xml:space="preserve">    </w:t>
      </w:r>
      <w:r>
        <w:rPr>
          <w:rFonts w:hint="eastAsia" w:ascii="宋体" w:hAnsi="宋体"/>
          <w:szCs w:val="21"/>
        </w:rPr>
        <w:t>套（含电子文档）。</w:t>
      </w:r>
    </w:p>
    <w:p>
      <w:pPr>
        <w:spacing w:line="360" w:lineRule="auto"/>
        <w:ind w:firstLine="420" w:firstLineChars="200"/>
        <w:jc w:val="left"/>
        <w:rPr>
          <w:rFonts w:ascii="宋体" w:hAnsi="宋体"/>
          <w:szCs w:val="21"/>
        </w:rPr>
      </w:pPr>
      <w:r>
        <w:rPr>
          <w:rFonts w:hint="eastAsia" w:ascii="宋体" w:hAnsi="宋体"/>
          <w:szCs w:val="21"/>
        </w:rPr>
        <w:t>承包人提交的竣工资料的费用承担：</w:t>
      </w:r>
      <w:r>
        <w:rPr>
          <w:rFonts w:hint="eastAsia" w:ascii="宋体" w:hAnsi="宋体"/>
          <w:szCs w:val="21"/>
          <w:u w:val="single"/>
        </w:rPr>
        <w:t>由承包人承担</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承包人提交的竣工资料移交时间：</w:t>
      </w:r>
      <w:r>
        <w:rPr>
          <w:rFonts w:hint="eastAsia" w:ascii="宋体" w:hAnsi="宋体"/>
          <w:szCs w:val="21"/>
          <w:u w:val="single"/>
        </w:rPr>
        <w:t>工程竣工验收合格后  个月内移交给发包人</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承包人提交的竣工资料形式要求：</w:t>
      </w:r>
      <w:r>
        <w:rPr>
          <w:rFonts w:hint="eastAsia" w:ascii="宋体" w:hAnsi="宋体"/>
          <w:szCs w:val="21"/>
          <w:u w:val="single"/>
        </w:rPr>
        <w:t>完整的书面文件及电子文档</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3.1.10承包人应履行的其他义务：</w:t>
      </w:r>
    </w:p>
    <w:p>
      <w:pPr>
        <w:spacing w:line="360" w:lineRule="auto"/>
        <w:ind w:firstLine="420" w:firstLineChars="200"/>
        <w:jc w:val="left"/>
        <w:rPr>
          <w:rFonts w:ascii="宋体" w:hAnsi="宋体"/>
          <w:szCs w:val="21"/>
        </w:rPr>
      </w:pPr>
      <w:r>
        <w:rPr>
          <w:rFonts w:hint="eastAsia" w:ascii="宋体" w:hAnsi="宋体"/>
          <w:szCs w:val="21"/>
        </w:rPr>
        <w:t>3.1.10.1在开始施工之前，承包人应核查、复测本工程的各种基准标志。承包人应及时将上述基准标志中存在的错误、不完整或其他缺陷通知发包人，以便发包人核实后重新确认。</w:t>
      </w:r>
    </w:p>
    <w:p>
      <w:pPr>
        <w:spacing w:line="360" w:lineRule="auto"/>
        <w:ind w:firstLine="420" w:firstLineChars="200"/>
        <w:jc w:val="left"/>
        <w:rPr>
          <w:rFonts w:ascii="宋体" w:hAnsi="宋体"/>
          <w:szCs w:val="21"/>
        </w:rPr>
      </w:pPr>
      <w:r>
        <w:rPr>
          <w:rFonts w:hint="eastAsia" w:ascii="宋体" w:hAnsi="宋体"/>
          <w:szCs w:val="21"/>
        </w:rPr>
        <w:t>3.1.10.2承包人应负责合同工程范围内测量控制网的测量设定和管理工作，为控制施工造成测量控制网误差累加，每月承包人复测一次测量控制网，并将修正数据及时通知发包人。经监理人批准，其他相关承包人可免费使用施工控制网。</w:t>
      </w:r>
    </w:p>
    <w:p>
      <w:pPr>
        <w:spacing w:line="360" w:lineRule="auto"/>
        <w:ind w:firstLine="420" w:firstLineChars="200"/>
        <w:jc w:val="left"/>
        <w:rPr>
          <w:rFonts w:ascii="宋体" w:hAnsi="宋体"/>
          <w:szCs w:val="21"/>
        </w:rPr>
      </w:pPr>
      <w:r>
        <w:rPr>
          <w:rFonts w:hint="eastAsia" w:ascii="宋体" w:hAnsi="宋体"/>
          <w:szCs w:val="21"/>
        </w:rPr>
        <w:t>3.1.10.3承包人应在开始施工之前对本工程进行排查，补充完善遗漏的危大工程重点部位及环节。危大工程施工前，承包人应对危大工程编制专项施工方案，对于超过一定规模的危大工程，承包人还应组织召开专家论证会对专项施工方案进行论证，通过后方可实施。</w:t>
      </w:r>
    </w:p>
    <w:p>
      <w:pPr>
        <w:spacing w:line="360" w:lineRule="auto"/>
        <w:ind w:firstLine="420" w:firstLineChars="200"/>
        <w:jc w:val="left"/>
        <w:rPr>
          <w:rFonts w:ascii="宋体" w:hAnsi="宋体"/>
          <w:szCs w:val="21"/>
        </w:rPr>
      </w:pPr>
      <w:r>
        <w:rPr>
          <w:rFonts w:hint="eastAsia" w:ascii="宋体" w:hAnsi="宋体"/>
          <w:szCs w:val="21"/>
        </w:rPr>
        <w:t>3.1.10.4承包人应服从发包人要求的管理模式、工作方式和工作要求，同时接受监理人、跟审单位的管理和全程监督，配合项目结、决算的办理。</w:t>
      </w:r>
    </w:p>
    <w:p>
      <w:pPr>
        <w:spacing w:line="360" w:lineRule="auto"/>
        <w:ind w:firstLine="420" w:firstLineChars="200"/>
        <w:jc w:val="left"/>
        <w:rPr>
          <w:rFonts w:ascii="宋体" w:hAnsi="宋体"/>
          <w:szCs w:val="21"/>
        </w:rPr>
      </w:pPr>
      <w:r>
        <w:rPr>
          <w:rFonts w:hint="eastAsia" w:ascii="宋体" w:hAnsi="宋体"/>
          <w:szCs w:val="21"/>
        </w:rPr>
        <w:t>3.1.10.5</w:t>
      </w:r>
      <w:r>
        <w:rPr>
          <w:rFonts w:hint="eastAsia" w:ascii="宋体" w:hAnsi="宋体"/>
          <w:szCs w:val="21"/>
          <w:u w:val="single"/>
        </w:rPr>
        <w:t>承包人应为本工程开立专用账户，接受发包人的监管</w:t>
      </w:r>
      <w:r>
        <w:rPr>
          <w:rFonts w:hint="eastAsia" w:ascii="宋体" w:hAnsi="宋体"/>
          <w:szCs w:val="21"/>
        </w:rPr>
        <w:t>。</w:t>
      </w:r>
    </w:p>
    <w:p>
      <w:pPr>
        <w:spacing w:line="360" w:lineRule="auto"/>
        <w:ind w:firstLine="420" w:firstLineChars="200"/>
        <w:jc w:val="left"/>
        <w:rPr>
          <w:rFonts w:ascii="宋体" w:hAnsi="宋体"/>
          <w:szCs w:val="21"/>
          <w:u w:val="single"/>
        </w:rPr>
      </w:pPr>
      <w:r>
        <w:rPr>
          <w:rFonts w:hint="eastAsia" w:ascii="宋体" w:hAnsi="宋体"/>
          <w:szCs w:val="21"/>
        </w:rPr>
        <w:t>3.1.10.6</w:t>
      </w:r>
      <w:r>
        <w:rPr>
          <w:rFonts w:hint="eastAsia" w:ascii="宋体" w:hAnsi="宋体"/>
          <w:szCs w:val="21"/>
          <w:u w:val="single"/>
        </w:rPr>
        <w:t xml:space="preserve">        。</w:t>
      </w:r>
    </w:p>
    <w:p>
      <w:pPr>
        <w:pStyle w:val="7"/>
        <w:spacing w:before="0" w:beforeAutospacing="0" w:after="0" w:afterAutospacing="0" w:line="360" w:lineRule="auto"/>
        <w:ind w:firstLine="422" w:firstLineChars="200"/>
        <w:rPr>
          <w:sz w:val="21"/>
          <w:szCs w:val="21"/>
        </w:rPr>
      </w:pPr>
      <w:bookmarkStart w:id="887" w:name="_Toc532377336"/>
      <w:r>
        <w:rPr>
          <w:rFonts w:hint="eastAsia"/>
          <w:sz w:val="21"/>
          <w:szCs w:val="21"/>
        </w:rPr>
        <w:t>3.2 项目经理</w:t>
      </w:r>
      <w:bookmarkEnd w:id="887"/>
    </w:p>
    <w:p>
      <w:pPr>
        <w:spacing w:line="360" w:lineRule="auto"/>
        <w:ind w:firstLine="420" w:firstLineChars="200"/>
        <w:jc w:val="left"/>
        <w:rPr>
          <w:rFonts w:ascii="宋体" w:hAnsi="宋体"/>
          <w:szCs w:val="21"/>
        </w:rPr>
      </w:pPr>
      <w:r>
        <w:rPr>
          <w:rFonts w:hint="eastAsia" w:ascii="宋体" w:hAnsi="宋体"/>
          <w:kern w:val="0"/>
          <w:szCs w:val="21"/>
        </w:rPr>
        <w:t xml:space="preserve">3.2.1 </w:t>
      </w:r>
      <w:r>
        <w:rPr>
          <w:rFonts w:hint="eastAsia" w:ascii="宋体" w:hAnsi="宋体"/>
          <w:szCs w:val="21"/>
        </w:rPr>
        <w:t>项目经理：</w:t>
      </w:r>
    </w:p>
    <w:p>
      <w:pPr>
        <w:spacing w:line="360" w:lineRule="auto"/>
        <w:ind w:firstLine="420" w:firstLineChars="200"/>
        <w:jc w:val="left"/>
        <w:rPr>
          <w:rFonts w:ascii="宋体" w:hAnsi="宋体"/>
          <w:szCs w:val="21"/>
        </w:rPr>
      </w:pPr>
      <w:r>
        <w:rPr>
          <w:rFonts w:hint="eastAsia" w:ascii="宋体" w:hAnsi="宋体"/>
          <w:szCs w:val="21"/>
        </w:rPr>
        <w:t>姓    名：</w:t>
      </w:r>
      <w:r>
        <w:rPr>
          <w:rFonts w:ascii="宋体" w:hAnsi="宋体"/>
          <w:szCs w:val="21"/>
          <w:u w:val="single"/>
        </w:rPr>
        <w:t xml:space="preserve">                         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身份证号：</w:t>
      </w:r>
      <w:r>
        <w:rPr>
          <w:rFonts w:ascii="宋体" w:hAnsi="宋体"/>
          <w:szCs w:val="21"/>
          <w:u w:val="single"/>
        </w:rPr>
        <w:t>                   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建造师执业资格等级：</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建造师注册证书号：</w:t>
      </w:r>
      <w:r>
        <w:rPr>
          <w:rFonts w:ascii="宋体" w:hAnsi="宋体"/>
          <w:szCs w:val="21"/>
          <w:u w:val="single"/>
        </w:rPr>
        <w:t>      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建造师执业印章号：</w:t>
      </w:r>
      <w:r>
        <w:rPr>
          <w:rFonts w:ascii="宋体" w:hAnsi="宋体"/>
          <w:szCs w:val="21"/>
          <w:u w:val="single"/>
        </w:rPr>
        <w:t>                    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安全生产考核合格证书号：</w:t>
      </w:r>
      <w:r>
        <w:rPr>
          <w:rFonts w:ascii="宋体" w:hAnsi="宋体"/>
          <w:szCs w:val="21"/>
          <w:u w:val="single"/>
        </w:rPr>
        <w:t>          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联系方式：</w:t>
      </w:r>
      <w:r>
        <w:rPr>
          <w:rFonts w:ascii="宋体" w:hAnsi="宋体"/>
          <w:szCs w:val="21"/>
          <w:u w:val="single"/>
        </w:rPr>
        <w:t>        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承包人对项目经理的授权范围如下：</w:t>
      </w:r>
      <w:r>
        <w:rPr>
          <w:rFonts w:hint="eastAsia" w:ascii="宋体" w:hAnsi="宋体"/>
          <w:szCs w:val="21"/>
          <w:u w:val="single"/>
        </w:rPr>
        <w:t>严格按设计图纸、现行国家施工规范及验收规范组织施工，保证工程质量、进度、安全；及时向监理人、发包人报告现场情况（以承包人书面授权范围为准）</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关于项目经理每月在施工现场的时间要求：</w:t>
      </w:r>
      <w:r>
        <w:rPr>
          <w:rFonts w:hint="eastAsia" w:ascii="宋体" w:hAnsi="宋体"/>
          <w:szCs w:val="21"/>
          <w:u w:val="single"/>
        </w:rPr>
        <w:t>不少于22天，由监理人负责项目经理的考勤</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u w:val="single"/>
        </w:rPr>
        <w:t>承包人应在合同签订后7天内提交与项目经理签订的劳动合同及为项目经理缴纳社会保险的证明，承包人未在限期内提交的，项目经理无权履行职责，发包人有权要求更换项目经理</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3.2.2 技术负责人</w:t>
      </w:r>
    </w:p>
    <w:p>
      <w:pPr>
        <w:spacing w:line="360" w:lineRule="auto"/>
        <w:ind w:firstLine="420" w:firstLineChars="200"/>
        <w:jc w:val="left"/>
        <w:rPr>
          <w:rFonts w:ascii="宋体" w:hAnsi="宋体"/>
          <w:szCs w:val="21"/>
        </w:rPr>
      </w:pPr>
      <w:r>
        <w:rPr>
          <w:rFonts w:hint="eastAsia" w:ascii="宋体" w:hAnsi="宋体"/>
          <w:szCs w:val="21"/>
        </w:rPr>
        <w:t>姓    名：</w:t>
      </w:r>
      <w:r>
        <w:rPr>
          <w:rFonts w:ascii="宋体" w:hAnsi="宋体"/>
          <w:szCs w:val="21"/>
          <w:u w:val="single"/>
        </w:rPr>
        <w:t xml:space="preserve">                          </w:t>
      </w:r>
      <w:r>
        <w:rPr>
          <w:rFonts w:hint="eastAsia" w:ascii="宋体" w:hAnsi="宋体"/>
          <w:szCs w:val="21"/>
          <w:u w:val="single"/>
        </w:rPr>
        <w:t xml:space="preserve">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身份证号：</w:t>
      </w:r>
      <w:r>
        <w:rPr>
          <w:rFonts w:ascii="宋体" w:hAnsi="宋体"/>
          <w:szCs w:val="21"/>
          <w:u w:val="single"/>
        </w:rPr>
        <w:t xml:space="preserve">                          </w:t>
      </w:r>
      <w:r>
        <w:rPr>
          <w:rFonts w:hint="eastAsia" w:ascii="宋体" w:hAnsi="宋体"/>
          <w:szCs w:val="21"/>
          <w:u w:val="single"/>
        </w:rPr>
        <w:t xml:space="preserve">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联系方式：</w:t>
      </w:r>
      <w:r>
        <w:rPr>
          <w:rFonts w:ascii="宋体" w:hAnsi="宋体"/>
          <w:szCs w:val="21"/>
          <w:u w:val="single"/>
        </w:rPr>
        <w:t xml:space="preserve">                          </w:t>
      </w:r>
      <w:r>
        <w:rPr>
          <w:rFonts w:hint="eastAsia" w:ascii="宋体" w:hAnsi="宋体"/>
          <w:szCs w:val="21"/>
          <w:u w:val="single"/>
        </w:rPr>
        <w:t xml:space="preserve">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专     业：</w:t>
      </w:r>
      <w:r>
        <w:rPr>
          <w:rFonts w:ascii="宋体" w:hAnsi="宋体"/>
          <w:szCs w:val="21"/>
          <w:u w:val="single"/>
        </w:rPr>
        <w:t xml:space="preserve">                          </w:t>
      </w:r>
      <w:r>
        <w:rPr>
          <w:rFonts w:hint="eastAsia" w:ascii="宋体" w:hAnsi="宋体"/>
          <w:szCs w:val="21"/>
          <w:u w:val="single"/>
        </w:rPr>
        <w:t xml:space="preserve">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证书名称及号码：</w:t>
      </w:r>
      <w:r>
        <w:rPr>
          <w:rFonts w:ascii="宋体" w:hAnsi="宋体"/>
          <w:szCs w:val="21"/>
          <w:u w:val="single"/>
        </w:rPr>
        <w:t xml:space="preserve">                         </w:t>
      </w:r>
      <w:r>
        <w:rPr>
          <w:rFonts w:hint="eastAsia" w:ascii="宋体" w:hAnsi="宋体"/>
          <w:szCs w:val="21"/>
        </w:rPr>
        <w:t>；</w:t>
      </w:r>
    </w:p>
    <w:p>
      <w:pPr>
        <w:pStyle w:val="2"/>
        <w:spacing w:after="0" w:line="360" w:lineRule="auto"/>
        <w:rPr>
          <w:rFonts w:ascii="宋体" w:hAnsi="宋体"/>
          <w:szCs w:val="21"/>
        </w:rPr>
      </w:pPr>
      <w:r>
        <w:rPr>
          <w:rFonts w:hint="eastAsia" w:ascii="宋体" w:hAnsi="宋体"/>
          <w:szCs w:val="21"/>
        </w:rPr>
        <w:t xml:space="preserve">    </w:t>
      </w:r>
      <w:r>
        <w:rPr>
          <w:rFonts w:ascii="宋体" w:hAnsi="宋体"/>
          <w:szCs w:val="21"/>
        </w:rPr>
        <w:t>联系方式：</w:t>
      </w:r>
      <w:r>
        <w:rPr>
          <w:rFonts w:ascii="宋体" w:hAnsi="宋体"/>
          <w:szCs w:val="21"/>
          <w:u w:val="single"/>
        </w:rPr>
        <w:t xml:space="preserve">        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kern w:val="0"/>
          <w:szCs w:val="21"/>
        </w:rPr>
        <w:t>关于技</w:t>
      </w:r>
      <w:r>
        <w:rPr>
          <w:rFonts w:hint="eastAsia" w:ascii="宋体" w:hAnsi="宋体"/>
          <w:szCs w:val="21"/>
        </w:rPr>
        <w:t>术负责人每月在施工现场的时间要求：</w:t>
      </w:r>
      <w:r>
        <w:rPr>
          <w:rFonts w:hint="eastAsia" w:ascii="宋体" w:hAnsi="宋体"/>
          <w:szCs w:val="21"/>
          <w:u w:val="single"/>
        </w:rPr>
        <w:t>不少于22天，由监理人负责技术负责人的考勤</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u w:val="single"/>
        </w:rPr>
        <w:t>承包人应在合同签订后7天内提交与技术负责人签订的劳动合同及为技术负责人缴纳社会保险的证明，承包人未在限期内提交的，技术负责人无权履行职责，发包人有权要求更换技术负责人</w:t>
      </w:r>
      <w:r>
        <w:rPr>
          <w:rFonts w:hint="eastAsia" w:ascii="宋体" w:hAnsi="宋体"/>
          <w:szCs w:val="21"/>
        </w:rPr>
        <w:t>。</w:t>
      </w:r>
      <w:bookmarkStart w:id="888" w:name="_Hlk528927599"/>
    </w:p>
    <w:bookmarkEnd w:id="888"/>
    <w:p>
      <w:pPr>
        <w:spacing w:line="360" w:lineRule="auto"/>
        <w:ind w:firstLine="420" w:firstLineChars="200"/>
        <w:jc w:val="left"/>
        <w:rPr>
          <w:rFonts w:ascii="宋体" w:hAnsi="宋体"/>
          <w:szCs w:val="21"/>
        </w:rPr>
      </w:pPr>
      <w:bookmarkStart w:id="889" w:name="_Hlk528927718"/>
      <w:r>
        <w:rPr>
          <w:rFonts w:hint="eastAsia" w:ascii="宋体" w:hAnsi="宋体"/>
          <w:szCs w:val="21"/>
        </w:rPr>
        <w:t>3.2.3 发包人有权书面通知承包人更换其认为不称职/不履职的项目经理和（或）技术负责人，通知中应当载明要求更换的理由。承包人应在接到更换通知后7天内向发包人提出书面的改进报告。发包人收到改进报告后仍要求更换的，承包人应在接到第二次更换通知的14天内进行更换，并将新任命的项目经理和（或）技术负责人的注册执业资格、职称证书、管理经验等资料书面报送发包人审核批准。继任项目经理和（或）技术负责人继续履行合同约定的职责。</w:t>
      </w:r>
      <w:bookmarkEnd w:id="889"/>
    </w:p>
    <w:p>
      <w:pPr>
        <w:spacing w:line="360" w:lineRule="auto"/>
        <w:ind w:firstLine="420" w:firstLineChars="200"/>
        <w:jc w:val="left"/>
        <w:rPr>
          <w:rFonts w:ascii="宋体" w:hAnsi="宋体"/>
          <w:szCs w:val="21"/>
        </w:rPr>
      </w:pPr>
      <w:r>
        <w:rPr>
          <w:rFonts w:hint="eastAsia" w:ascii="宋体" w:hAnsi="宋体"/>
          <w:szCs w:val="21"/>
        </w:rPr>
        <w:t>若项目经理和技术负责人出现下列情形需更换的，承包人按通用条款第3.2.3项的规定向发包人发出通知，经发包人领导班子集体决策同意后予以批准，并将变更信息推送给行业主管部门：</w:t>
      </w:r>
    </w:p>
    <w:p>
      <w:pPr>
        <w:spacing w:line="360" w:lineRule="auto"/>
        <w:ind w:firstLine="420" w:firstLineChars="200"/>
        <w:jc w:val="left"/>
        <w:rPr>
          <w:rFonts w:ascii="宋体" w:hAnsi="宋体"/>
          <w:szCs w:val="21"/>
        </w:rPr>
      </w:pPr>
      <w:r>
        <w:rPr>
          <w:rFonts w:hint="eastAsia" w:ascii="宋体" w:hAnsi="宋体"/>
          <w:szCs w:val="21"/>
        </w:rPr>
        <w:t>1、死亡；</w:t>
      </w:r>
    </w:p>
    <w:p>
      <w:pPr>
        <w:spacing w:line="360" w:lineRule="auto"/>
        <w:ind w:firstLine="420" w:firstLineChars="200"/>
        <w:jc w:val="left"/>
        <w:rPr>
          <w:rFonts w:ascii="宋体" w:hAnsi="宋体"/>
          <w:szCs w:val="21"/>
        </w:rPr>
      </w:pPr>
      <w:r>
        <w:rPr>
          <w:rFonts w:hint="eastAsia" w:ascii="宋体" w:hAnsi="宋体"/>
          <w:szCs w:val="21"/>
        </w:rPr>
        <w:t>2、非承包人原因导致工期延长，而致使项目经理和技术负责人达到法定退休年龄且确需退休；</w:t>
      </w:r>
    </w:p>
    <w:p>
      <w:pPr>
        <w:spacing w:line="360" w:lineRule="auto"/>
        <w:ind w:firstLine="420" w:firstLineChars="200"/>
        <w:jc w:val="left"/>
        <w:rPr>
          <w:rFonts w:ascii="宋体" w:hAnsi="宋体"/>
          <w:szCs w:val="21"/>
        </w:rPr>
      </w:pPr>
      <w:r>
        <w:rPr>
          <w:rFonts w:hint="eastAsia" w:ascii="宋体" w:hAnsi="宋体"/>
          <w:szCs w:val="21"/>
        </w:rPr>
        <w:t>3、按《职工非因工伤残或因病丧失劳动能力程度鉴定标准（试行）》规定鉴定为完全丧失劳动能力和大部分丧失劳动能力；</w:t>
      </w:r>
    </w:p>
    <w:p>
      <w:pPr>
        <w:spacing w:line="360" w:lineRule="auto"/>
        <w:ind w:firstLine="420" w:firstLineChars="200"/>
        <w:jc w:val="left"/>
        <w:rPr>
          <w:rFonts w:ascii="宋体" w:hAnsi="宋体"/>
          <w:szCs w:val="21"/>
        </w:rPr>
      </w:pPr>
      <w:r>
        <w:rPr>
          <w:rFonts w:hint="eastAsia" w:ascii="宋体" w:hAnsi="宋体"/>
          <w:szCs w:val="21"/>
        </w:rPr>
        <w:t>4、非承包人原因导致中标3个月不能开工；</w:t>
      </w:r>
    </w:p>
    <w:p>
      <w:pPr>
        <w:spacing w:line="360" w:lineRule="auto"/>
        <w:ind w:firstLine="420" w:firstLineChars="200"/>
        <w:jc w:val="left"/>
        <w:rPr>
          <w:rFonts w:ascii="宋体" w:hAnsi="宋体"/>
          <w:szCs w:val="21"/>
        </w:rPr>
      </w:pPr>
      <w:r>
        <w:rPr>
          <w:rFonts w:hint="eastAsia" w:ascii="宋体" w:hAnsi="宋体"/>
          <w:szCs w:val="21"/>
        </w:rPr>
        <w:t>5、被公安或者司法机关限制人身自由；</w:t>
      </w:r>
    </w:p>
    <w:p>
      <w:pPr>
        <w:spacing w:line="360" w:lineRule="auto"/>
        <w:ind w:firstLine="420" w:firstLineChars="200"/>
        <w:jc w:val="left"/>
        <w:rPr>
          <w:rFonts w:ascii="宋体" w:hAnsi="宋体"/>
          <w:szCs w:val="21"/>
        </w:rPr>
      </w:pPr>
      <w:r>
        <w:rPr>
          <w:rFonts w:hint="eastAsia" w:ascii="宋体" w:hAnsi="宋体"/>
          <w:szCs w:val="21"/>
        </w:rPr>
        <w:t>6、被取消职称或者执业资格，不满足项目管理要求；</w:t>
      </w:r>
    </w:p>
    <w:p>
      <w:pPr>
        <w:spacing w:line="360" w:lineRule="auto"/>
        <w:ind w:firstLine="420" w:firstLineChars="200"/>
        <w:jc w:val="left"/>
        <w:rPr>
          <w:rFonts w:ascii="宋体" w:hAnsi="宋体"/>
          <w:szCs w:val="21"/>
        </w:rPr>
      </w:pPr>
      <w:r>
        <w:rPr>
          <w:rFonts w:hint="eastAsia" w:ascii="宋体" w:hAnsi="宋体"/>
          <w:szCs w:val="21"/>
        </w:rPr>
        <w:t>7、非承包人原因导致确需变更的其它情形。</w:t>
      </w:r>
    </w:p>
    <w:p>
      <w:pPr>
        <w:spacing w:line="360" w:lineRule="auto"/>
        <w:ind w:firstLine="420" w:firstLineChars="200"/>
        <w:jc w:val="left"/>
        <w:rPr>
          <w:rFonts w:ascii="宋体" w:hAnsi="宋体"/>
          <w:szCs w:val="21"/>
        </w:rPr>
      </w:pPr>
      <w:r>
        <w:rPr>
          <w:rFonts w:hint="eastAsia" w:ascii="宋体" w:hAnsi="宋体"/>
          <w:szCs w:val="21"/>
        </w:rPr>
        <w:t>本款补充3.2.6项</w:t>
      </w:r>
    </w:p>
    <w:p>
      <w:pPr>
        <w:spacing w:line="360" w:lineRule="auto"/>
        <w:ind w:firstLine="420" w:firstLineChars="200"/>
        <w:jc w:val="left"/>
        <w:rPr>
          <w:rFonts w:ascii="宋体" w:hAnsi="宋体"/>
          <w:szCs w:val="21"/>
        </w:rPr>
      </w:pPr>
      <w:r>
        <w:rPr>
          <w:rFonts w:hint="eastAsia" w:ascii="宋体" w:hAnsi="宋体"/>
          <w:szCs w:val="21"/>
        </w:rPr>
        <w:t>3.2.6 国有资金投资项目其他主要人员变更参照《重庆市政府投资项目合同变更管理暂行办法》的规定。</w:t>
      </w:r>
    </w:p>
    <w:p>
      <w:pPr>
        <w:pStyle w:val="7"/>
        <w:spacing w:before="0" w:beforeAutospacing="0" w:after="0" w:afterAutospacing="0" w:line="360" w:lineRule="auto"/>
        <w:ind w:firstLine="422" w:firstLineChars="200"/>
        <w:rPr>
          <w:sz w:val="21"/>
          <w:szCs w:val="21"/>
        </w:rPr>
      </w:pPr>
      <w:bookmarkStart w:id="890" w:name="_Toc532377337"/>
      <w:r>
        <w:rPr>
          <w:rFonts w:hint="eastAsia"/>
          <w:sz w:val="21"/>
          <w:szCs w:val="21"/>
        </w:rPr>
        <w:t>3.3 承包人人员</w:t>
      </w:r>
      <w:bookmarkEnd w:id="890"/>
    </w:p>
    <w:p>
      <w:pPr>
        <w:spacing w:line="360" w:lineRule="auto"/>
        <w:ind w:firstLine="420" w:firstLineChars="200"/>
        <w:jc w:val="left"/>
        <w:rPr>
          <w:rFonts w:ascii="宋体" w:hAnsi="宋体"/>
          <w:szCs w:val="21"/>
        </w:rPr>
      </w:pPr>
      <w:r>
        <w:rPr>
          <w:rFonts w:hint="eastAsia" w:ascii="宋体" w:hAnsi="宋体"/>
          <w:szCs w:val="21"/>
        </w:rPr>
        <w:t>3.3.1 承包人应按建设行政主管部门现行规定配备现场施工从业人员，具体要求如下：</w:t>
      </w:r>
      <w:r>
        <w:rPr>
          <w:rFonts w:hint="eastAsia" w:ascii="宋体" w:hAnsi="宋体"/>
          <w:szCs w:val="21"/>
          <w:u w:val="single"/>
        </w:rPr>
        <w:t xml:space="preserve">        </w:t>
      </w:r>
    </w:p>
    <w:p>
      <w:pPr>
        <w:spacing w:line="360" w:lineRule="auto"/>
        <w:ind w:firstLine="420" w:firstLineChars="200"/>
        <w:jc w:val="left"/>
        <w:rPr>
          <w:rFonts w:ascii="宋体" w:hAnsi="宋体"/>
          <w:szCs w:val="21"/>
        </w:rPr>
      </w:pPr>
      <w:r>
        <w:rPr>
          <w:rFonts w:hint="eastAsia" w:ascii="宋体" w:hAnsi="宋体"/>
          <w:szCs w:val="21"/>
        </w:rPr>
        <w:t>3.3.2承包人派驻到施工现场的主要施工管理人员在施工过程中如有变动，承包人应及时向监理人提交施工现场人员变动情况的报告。承包人更换主要施工管理人员时，应提前7天书面通知监理人，并征得发包人书面同意。通知中应当载明继任人员的职称、执业资格、项目管理经验等资料。更换后的施工管理人员应当是承包人的正式员工，且在职称、执业资格、项目管理经验等方面不低于原施工管理人员。</w:t>
      </w:r>
    </w:p>
    <w:p>
      <w:pPr>
        <w:spacing w:line="360" w:lineRule="auto"/>
        <w:ind w:firstLine="420" w:firstLineChars="200"/>
        <w:jc w:val="left"/>
        <w:rPr>
          <w:rFonts w:ascii="宋体" w:hAnsi="宋体"/>
          <w:szCs w:val="21"/>
        </w:rPr>
      </w:pPr>
      <w:r>
        <w:rPr>
          <w:rFonts w:hint="eastAsia" w:ascii="宋体" w:hAnsi="宋体"/>
          <w:szCs w:val="21"/>
        </w:rPr>
        <w:t>3.3.3 发包人有权书面通知承包人更换其认为不称职的主要施工管理人员，通知中应当载明要求更换的理由。承包人应在接到更换通知后7天内向发包人提出书面的改进报告。发包人收到改进报告后仍要求更换的，承包人应在接到第二次更换通知的7天内进行更换，并将新委派的主要施工管理人员的注册执业资格、职称证书、管理经验等资料书面报送发包人审核批准。</w:t>
      </w:r>
    </w:p>
    <w:p>
      <w:pPr>
        <w:spacing w:line="360" w:lineRule="auto"/>
        <w:ind w:firstLine="420" w:firstLineChars="200"/>
        <w:jc w:val="left"/>
        <w:rPr>
          <w:rFonts w:ascii="宋体" w:hAnsi="宋体"/>
          <w:szCs w:val="21"/>
        </w:rPr>
      </w:pPr>
      <w:r>
        <w:rPr>
          <w:rFonts w:hint="eastAsia" w:ascii="宋体" w:hAnsi="宋体"/>
          <w:szCs w:val="21"/>
        </w:rPr>
        <w:t>3.3.4 承包人主要施工管理人员离开施工现场，指定的临时人员需满足：</w:t>
      </w:r>
      <w:r>
        <w:rPr>
          <w:rFonts w:hint="eastAsia" w:ascii="宋体" w:hAnsi="宋体"/>
          <w:szCs w:val="21"/>
          <w:u w:val="single"/>
        </w:rPr>
        <w:t>《重庆市房屋建筑与市政基础设施工程现场施工从业人员配备标准》（DBJ50-157-2013）的相应要求</w:t>
      </w:r>
      <w:r>
        <w:rPr>
          <w:rFonts w:hint="eastAsia" w:ascii="宋体" w:hAnsi="宋体"/>
          <w:szCs w:val="21"/>
        </w:rPr>
        <w:t>。</w:t>
      </w:r>
    </w:p>
    <w:p>
      <w:pPr>
        <w:pStyle w:val="7"/>
        <w:spacing w:before="0" w:beforeAutospacing="0" w:after="0" w:afterAutospacing="0" w:line="360" w:lineRule="auto"/>
        <w:ind w:firstLine="422" w:firstLineChars="200"/>
        <w:rPr>
          <w:sz w:val="21"/>
          <w:szCs w:val="21"/>
        </w:rPr>
      </w:pPr>
      <w:bookmarkStart w:id="891" w:name="_Toc532377338"/>
      <w:r>
        <w:rPr>
          <w:rFonts w:hint="eastAsia"/>
          <w:sz w:val="21"/>
          <w:szCs w:val="21"/>
        </w:rPr>
        <w:t>3</w:t>
      </w:r>
      <w:bookmarkStart w:id="892" w:name="_Toc300934945"/>
      <w:bookmarkStart w:id="893" w:name="_Toc297216151"/>
      <w:bookmarkStart w:id="894" w:name="_Toc292559364"/>
      <w:bookmarkStart w:id="895" w:name="_Toc296944498"/>
      <w:bookmarkStart w:id="896" w:name="_Toc304295523"/>
      <w:bookmarkStart w:id="897" w:name="_Toc296347158"/>
      <w:bookmarkStart w:id="898" w:name="_Toc303539102"/>
      <w:bookmarkStart w:id="899" w:name="_Toc297048345"/>
      <w:bookmarkStart w:id="900" w:name="_Toc297120459"/>
      <w:bookmarkStart w:id="901" w:name="_Toc292559869"/>
      <w:bookmarkStart w:id="902" w:name="_Toc296890987"/>
      <w:bookmarkStart w:id="903" w:name="_Toc296891199"/>
      <w:bookmarkStart w:id="904" w:name="_Toc296503159"/>
      <w:bookmarkStart w:id="905" w:name="_Toc296346660"/>
      <w:bookmarkStart w:id="906" w:name="_Toc297123492"/>
      <w:bookmarkStart w:id="907" w:name="_Toc312677988"/>
      <w:r>
        <w:rPr>
          <w:rFonts w:hint="eastAsia"/>
          <w:sz w:val="21"/>
          <w:szCs w:val="21"/>
        </w:rPr>
        <w:t>.5 分包</w:t>
      </w:r>
      <w:bookmarkEnd w:id="891"/>
    </w:p>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p>
      <w:pPr>
        <w:spacing w:line="360" w:lineRule="auto"/>
        <w:ind w:firstLine="420" w:firstLineChars="200"/>
        <w:jc w:val="left"/>
        <w:rPr>
          <w:rFonts w:ascii="宋体" w:hAnsi="宋体"/>
          <w:szCs w:val="21"/>
        </w:rPr>
      </w:pPr>
      <w:r>
        <w:rPr>
          <w:rFonts w:hint="eastAsia" w:ascii="宋体" w:hAnsi="宋体"/>
          <w:szCs w:val="21"/>
        </w:rPr>
        <w:t>3</w:t>
      </w:r>
      <w:bookmarkStart w:id="908" w:name="_Toc296346661"/>
      <w:bookmarkStart w:id="909" w:name="_Toc300934946"/>
      <w:bookmarkStart w:id="910" w:name="_Toc297120460"/>
      <w:bookmarkStart w:id="911" w:name="_Toc312677989"/>
      <w:bookmarkStart w:id="912" w:name="_Toc296944499"/>
      <w:bookmarkStart w:id="913" w:name="_Toc297048346"/>
      <w:bookmarkStart w:id="914" w:name="_Toc303539103"/>
      <w:bookmarkStart w:id="915" w:name="_Toc296891200"/>
      <w:bookmarkStart w:id="916" w:name="_Toc318581158"/>
      <w:bookmarkStart w:id="917" w:name="_Toc304295524"/>
      <w:bookmarkStart w:id="918" w:name="_Toc296347159"/>
      <w:bookmarkStart w:id="919" w:name="_Toc297216152"/>
      <w:bookmarkStart w:id="920" w:name="_Toc296890988"/>
      <w:bookmarkStart w:id="921" w:name="_Toc292559365"/>
      <w:bookmarkStart w:id="922" w:name="_Toc296503160"/>
      <w:bookmarkStart w:id="923" w:name="_Toc292559870"/>
      <w:bookmarkStart w:id="924" w:name="_Toc297123493"/>
      <w:r>
        <w:rPr>
          <w:rFonts w:hint="eastAsia" w:ascii="宋体" w:hAnsi="宋体"/>
          <w:szCs w:val="21"/>
        </w:rPr>
        <w:t>.5.1 分包的一般约定</w:t>
      </w:r>
    </w:p>
    <w:p>
      <w:pPr>
        <w:spacing w:line="360" w:lineRule="auto"/>
        <w:ind w:firstLine="420" w:firstLineChars="200"/>
        <w:jc w:val="left"/>
        <w:rPr>
          <w:rFonts w:ascii="宋体" w:hAnsi="宋体"/>
          <w:szCs w:val="21"/>
        </w:rPr>
      </w:pPr>
      <w:r>
        <w:rPr>
          <w:rFonts w:hint="eastAsia" w:ascii="宋体" w:hAnsi="宋体"/>
          <w:szCs w:val="21"/>
        </w:rPr>
        <w:t>禁止分包的工程包括：主体结构、关键性工作等国家法律、法规禁止分包的工程。</w:t>
      </w:r>
    </w:p>
    <w:p>
      <w:pPr>
        <w:spacing w:line="360" w:lineRule="auto"/>
        <w:ind w:firstLine="420" w:firstLineChars="200"/>
        <w:jc w:val="left"/>
        <w:rPr>
          <w:rFonts w:ascii="宋体" w:hAnsi="宋体"/>
          <w:szCs w:val="21"/>
        </w:rPr>
      </w:pPr>
      <w:r>
        <w:rPr>
          <w:rFonts w:hint="eastAsia" w:ascii="宋体" w:hAnsi="宋体"/>
          <w:szCs w:val="21"/>
        </w:rPr>
        <w:t>主体结构、关键性工作的范围：国家法律、法规、规范、标准等所约束的范围。如房建工程主体结构指混凝土工程、砌体工程、钢结构工程（具体有基础、梁、板、柱、砼墙、楼梯工程等）</w:t>
      </w:r>
      <w:bookmarkStart w:id="925" w:name="_Toc296347160"/>
      <w:bookmarkStart w:id="926" w:name="_Toc296890989"/>
      <w:bookmarkStart w:id="927" w:name="_Toc296891201"/>
      <w:bookmarkStart w:id="928" w:name="_Toc297123494"/>
      <w:bookmarkStart w:id="929" w:name="_Toc300934947"/>
      <w:bookmarkStart w:id="930" w:name="_Toc297216153"/>
      <w:bookmarkStart w:id="931" w:name="_Toc304295525"/>
      <w:bookmarkStart w:id="932" w:name="_Toc296346662"/>
      <w:bookmarkStart w:id="933" w:name="_Toc303539104"/>
      <w:bookmarkStart w:id="934" w:name="_Toc297048347"/>
      <w:bookmarkStart w:id="935" w:name="_Toc297120461"/>
      <w:bookmarkStart w:id="936" w:name="_Toc296503161"/>
      <w:bookmarkStart w:id="937" w:name="_Toc296944500"/>
      <w:r>
        <w:rPr>
          <w:rFonts w:hint="eastAsia" w:ascii="宋体" w:hAnsi="宋体"/>
          <w:szCs w:val="21"/>
        </w:rPr>
        <w:t>；关键性工作指梁、板、柱等部位。</w:t>
      </w:r>
    </w:p>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p>
      <w:pPr>
        <w:spacing w:line="360" w:lineRule="auto"/>
        <w:ind w:firstLine="420" w:firstLineChars="200"/>
        <w:jc w:val="left"/>
        <w:rPr>
          <w:rFonts w:ascii="宋体" w:hAnsi="宋体"/>
          <w:szCs w:val="21"/>
        </w:rPr>
      </w:pPr>
      <w:r>
        <w:rPr>
          <w:rFonts w:hint="eastAsia" w:ascii="宋体" w:hAnsi="宋体"/>
          <w:szCs w:val="21"/>
        </w:rPr>
        <w:t>在合同履行过程中实行项目经理、技术负责人、安全负责人实名制管理，发包人有权核查承包人管理人员的资格证件、工程价款往来银行账户、施工单位的材料构配件、设备的发票等资料，配合相关行政主管部门加大对转包、违法分包行为的查处。</w:t>
      </w:r>
    </w:p>
    <w:p>
      <w:pPr>
        <w:spacing w:line="360" w:lineRule="auto"/>
        <w:ind w:firstLine="420" w:firstLineChars="200"/>
        <w:jc w:val="left"/>
        <w:rPr>
          <w:rFonts w:ascii="宋体" w:hAnsi="宋体"/>
          <w:szCs w:val="21"/>
        </w:rPr>
      </w:pPr>
      <w:r>
        <w:rPr>
          <w:rFonts w:hint="eastAsia" w:ascii="宋体" w:hAnsi="宋体"/>
          <w:szCs w:val="21"/>
        </w:rPr>
        <w:t>3</w:t>
      </w:r>
      <w:bookmarkStart w:id="938" w:name="_Toc312677990"/>
      <w:bookmarkStart w:id="939" w:name="_Toc318581159"/>
      <w:r>
        <w:rPr>
          <w:rFonts w:hint="eastAsia" w:ascii="宋体" w:hAnsi="宋体"/>
          <w:szCs w:val="21"/>
        </w:rPr>
        <w:t>.5.2分包的确定</w:t>
      </w:r>
    </w:p>
    <w:p>
      <w:pPr>
        <w:spacing w:line="360" w:lineRule="auto"/>
        <w:ind w:firstLine="420" w:firstLineChars="200"/>
        <w:jc w:val="left"/>
        <w:rPr>
          <w:rFonts w:ascii="宋体" w:hAnsi="宋体"/>
          <w:i/>
          <w:iCs/>
          <w:szCs w:val="21"/>
        </w:rPr>
      </w:pPr>
      <w:r>
        <w:rPr>
          <w:rFonts w:hint="eastAsia" w:ascii="宋体" w:hAnsi="宋体"/>
          <w:szCs w:val="21"/>
        </w:rPr>
        <w:t>允许分包的专业工程包括：</w:t>
      </w:r>
      <w:r>
        <w:rPr>
          <w:rFonts w:hint="eastAsia" w:ascii="宋体" w:hAnsi="宋体"/>
          <w:szCs w:val="21"/>
          <w:u w:val="single"/>
        </w:rPr>
        <w:t xml:space="preserve">        。</w:t>
      </w:r>
      <w:r>
        <w:rPr>
          <w:rFonts w:hint="eastAsia" w:ascii="宋体" w:hAnsi="宋体"/>
          <w:i/>
          <w:iCs/>
          <w:szCs w:val="21"/>
        </w:rPr>
        <w:t>[提示：符合《中华人民共和国建筑法》和《中华人民共和国招标投标法》的相关规定。]</w:t>
      </w:r>
    </w:p>
    <w:p>
      <w:pPr>
        <w:spacing w:line="360" w:lineRule="auto"/>
        <w:ind w:firstLine="420" w:firstLineChars="200"/>
        <w:jc w:val="left"/>
        <w:rPr>
          <w:rFonts w:ascii="宋体" w:hAnsi="宋体"/>
          <w:szCs w:val="21"/>
        </w:rPr>
      </w:pPr>
      <w:r>
        <w:rPr>
          <w:rFonts w:hint="eastAsia" w:ascii="宋体" w:hAnsi="宋体"/>
          <w:szCs w:val="21"/>
        </w:rPr>
        <w:t>3.5.4 分包合同价款</w:t>
      </w:r>
    </w:p>
    <w:p>
      <w:pPr>
        <w:spacing w:line="360" w:lineRule="auto"/>
        <w:ind w:firstLine="420" w:firstLineChars="200"/>
        <w:jc w:val="left"/>
        <w:rPr>
          <w:rFonts w:ascii="宋体" w:hAnsi="宋体"/>
          <w:szCs w:val="21"/>
        </w:rPr>
      </w:pPr>
      <w:r>
        <w:rPr>
          <w:rFonts w:hint="eastAsia" w:ascii="宋体" w:hAnsi="宋体"/>
          <w:szCs w:val="21"/>
        </w:rPr>
        <w:t>关于分包合同价款支付的约定：</w:t>
      </w:r>
      <w:bookmarkEnd w:id="938"/>
      <w:bookmarkEnd w:id="939"/>
      <w:r>
        <w:rPr>
          <w:rFonts w:hint="eastAsia" w:ascii="宋体" w:hAnsi="宋体"/>
          <w:szCs w:val="21"/>
          <w:u w:val="single"/>
        </w:rPr>
        <w:t>分包合同价款由承包人与分包人结算，未经承包人同意，发包人不得向分包人支付分包工程价款；生效法律文书要求发包人向分包人支付分包合同价款的，发包人有权从应付承包人工程款中扣除该部分款项</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本款补充3.5.6项：</w:t>
      </w:r>
    </w:p>
    <w:p>
      <w:pPr>
        <w:spacing w:line="360" w:lineRule="auto"/>
        <w:ind w:firstLine="420" w:firstLineChars="200"/>
        <w:jc w:val="left"/>
        <w:rPr>
          <w:rFonts w:ascii="宋体" w:hAnsi="宋体"/>
          <w:szCs w:val="21"/>
        </w:rPr>
      </w:pPr>
      <w:r>
        <w:rPr>
          <w:rFonts w:hint="eastAsia" w:ascii="宋体" w:hAnsi="宋体"/>
          <w:szCs w:val="21"/>
        </w:rPr>
        <w:t>3.5.6严禁违法分包</w:t>
      </w:r>
    </w:p>
    <w:p>
      <w:pPr>
        <w:spacing w:line="360" w:lineRule="auto"/>
        <w:ind w:firstLine="420" w:firstLineChars="200"/>
        <w:jc w:val="left"/>
        <w:rPr>
          <w:rFonts w:ascii="宋体" w:hAnsi="宋体"/>
          <w:szCs w:val="21"/>
        </w:rPr>
      </w:pPr>
      <w:r>
        <w:rPr>
          <w:rFonts w:hint="eastAsia" w:ascii="宋体" w:hAnsi="宋体"/>
          <w:szCs w:val="21"/>
        </w:rPr>
        <w:t>一经查实，承包人的履约担保不予退还，发包人有权终止合同；同时发包人有权向相关行政监管部门举报，根据《住房和城乡建设部关于印发建筑工程施工发包与承包违法行为认定查处管理办法的通知》（建市规〔2019〕1号）相关规定条执行。</w:t>
      </w:r>
    </w:p>
    <w:p>
      <w:pPr>
        <w:pStyle w:val="7"/>
        <w:spacing w:before="0" w:beforeAutospacing="0" w:after="0" w:afterAutospacing="0" w:line="360" w:lineRule="auto"/>
        <w:ind w:firstLine="422" w:firstLineChars="200"/>
        <w:rPr>
          <w:sz w:val="21"/>
          <w:szCs w:val="21"/>
        </w:rPr>
      </w:pPr>
      <w:bookmarkStart w:id="940" w:name="_Toc532377339"/>
      <w:r>
        <w:rPr>
          <w:rFonts w:hint="eastAsia"/>
          <w:sz w:val="21"/>
          <w:szCs w:val="21"/>
        </w:rPr>
        <w:t>3.7 履约担保</w:t>
      </w:r>
      <w:bookmarkEnd w:id="940"/>
    </w:p>
    <w:p>
      <w:pPr>
        <w:spacing w:line="360" w:lineRule="auto"/>
        <w:ind w:firstLine="420" w:firstLineChars="200"/>
        <w:jc w:val="left"/>
        <w:rPr>
          <w:rFonts w:ascii="宋体" w:hAnsi="宋体"/>
          <w:szCs w:val="21"/>
        </w:rPr>
      </w:pPr>
      <w:r>
        <w:rPr>
          <w:rFonts w:hint="eastAsia" w:ascii="宋体" w:hAnsi="宋体"/>
          <w:szCs w:val="21"/>
        </w:rPr>
        <w:t>3.7.1承包人是否提供履约担保：</w:t>
      </w:r>
      <w:r>
        <w:rPr>
          <w:rFonts w:hint="eastAsia" w:ascii="宋体" w:hAnsi="宋体"/>
          <w:szCs w:val="21"/>
          <w:u w:val="single"/>
        </w:rPr>
        <w:t>提供</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3.7.2承包人提供履约担保的形式、金额及期限：</w:t>
      </w:r>
    </w:p>
    <w:p>
      <w:pPr>
        <w:spacing w:line="360" w:lineRule="auto"/>
        <w:ind w:firstLine="420" w:firstLineChars="200"/>
        <w:jc w:val="left"/>
        <w:rPr>
          <w:rFonts w:ascii="宋体" w:hAnsi="宋体"/>
          <w:szCs w:val="21"/>
        </w:rPr>
      </w:pPr>
      <w:r>
        <w:rPr>
          <w:rFonts w:hint="eastAsia" w:ascii="宋体" w:hAnsi="宋体"/>
          <w:szCs w:val="21"/>
        </w:rPr>
        <w:t>（1）履约担保的形式：现金或银行保函或现金+银行保函的组合；采用保函形式的，保函必须为不可撤销且见索即付；</w:t>
      </w:r>
    </w:p>
    <w:p>
      <w:pPr>
        <w:tabs>
          <w:tab w:val="left" w:pos="1134"/>
        </w:tabs>
        <w:spacing w:line="360" w:lineRule="auto"/>
        <w:ind w:firstLine="420" w:firstLineChars="200"/>
        <w:jc w:val="left"/>
        <w:rPr>
          <w:rFonts w:ascii="宋体" w:hAnsi="宋体"/>
          <w:szCs w:val="21"/>
        </w:rPr>
      </w:pPr>
      <w:r>
        <w:rPr>
          <w:rFonts w:hint="eastAsia" w:ascii="宋体" w:hAnsi="宋体"/>
          <w:szCs w:val="21"/>
        </w:rPr>
        <w:t>（2）履约担保的金额：</w:t>
      </w:r>
      <w:r>
        <w:rPr>
          <w:rFonts w:hint="eastAsia" w:ascii="宋体" w:hAnsi="宋体" w:cs="宋体"/>
          <w:kern w:val="0"/>
          <w:szCs w:val="21"/>
          <w:u w:val="single"/>
        </w:rPr>
        <w:t>中标合同总金额的10%</w:t>
      </w:r>
      <w:r>
        <w:rPr>
          <w:rFonts w:hint="eastAsia" w:ascii="宋体" w:hAnsi="宋体"/>
          <w:szCs w:val="21"/>
        </w:rPr>
        <w:t>；</w:t>
      </w:r>
    </w:p>
    <w:p>
      <w:pPr>
        <w:tabs>
          <w:tab w:val="left" w:pos="1134"/>
        </w:tabs>
        <w:spacing w:line="360" w:lineRule="auto"/>
        <w:ind w:firstLine="420" w:firstLineChars="200"/>
        <w:jc w:val="left"/>
        <w:rPr>
          <w:rFonts w:ascii="宋体" w:hAnsi="宋体"/>
          <w:szCs w:val="21"/>
        </w:rPr>
      </w:pPr>
      <w:r>
        <w:rPr>
          <w:rFonts w:hint="eastAsia" w:ascii="宋体" w:hAnsi="宋体"/>
          <w:szCs w:val="21"/>
        </w:rPr>
        <w:t>（3）履约担保的提交时间：</w:t>
      </w:r>
      <w:r>
        <w:rPr>
          <w:rFonts w:hint="eastAsia" w:ascii="宋体" w:hAnsi="宋体"/>
          <w:szCs w:val="21"/>
          <w:u w:val="single"/>
        </w:rPr>
        <w:t>在中标通知书送达之日起10天内，承包人按担保金额向发包人提交履约担保</w:t>
      </w:r>
      <w:r>
        <w:rPr>
          <w:rFonts w:hint="eastAsia" w:ascii="宋体" w:hAnsi="宋体"/>
          <w:szCs w:val="21"/>
        </w:rPr>
        <w:t>。</w:t>
      </w:r>
    </w:p>
    <w:p>
      <w:pPr>
        <w:tabs>
          <w:tab w:val="left" w:pos="1134"/>
        </w:tabs>
        <w:spacing w:line="360" w:lineRule="auto"/>
        <w:ind w:firstLine="420" w:firstLineChars="200"/>
        <w:jc w:val="left"/>
        <w:rPr>
          <w:rFonts w:ascii="宋体" w:hAnsi="宋体"/>
          <w:szCs w:val="21"/>
        </w:rPr>
      </w:pPr>
      <w:r>
        <w:rPr>
          <w:rFonts w:hint="eastAsia" w:ascii="宋体" w:hAnsi="宋体"/>
          <w:szCs w:val="21"/>
        </w:rPr>
        <w:t>（4）履约担保的期限：</w:t>
      </w:r>
      <w:r>
        <w:rPr>
          <w:rFonts w:hint="eastAsia" w:ascii="宋体" w:hAnsi="宋体"/>
          <w:szCs w:val="21"/>
          <w:u w:val="single"/>
        </w:rPr>
        <w:t>自我方法定代表人（或其委托代理人）签名并加盖公章之日起至你方签发或应签发工程接收证书之日止</w:t>
      </w:r>
      <w:r>
        <w:rPr>
          <w:rFonts w:hint="eastAsia" w:ascii="宋体" w:hAnsi="宋体"/>
          <w:szCs w:val="21"/>
        </w:rPr>
        <w:t>。</w:t>
      </w:r>
    </w:p>
    <w:p>
      <w:pPr>
        <w:tabs>
          <w:tab w:val="left" w:pos="1134"/>
        </w:tabs>
        <w:spacing w:line="360" w:lineRule="auto"/>
        <w:ind w:firstLine="420" w:firstLineChars="200"/>
        <w:jc w:val="left"/>
        <w:rPr>
          <w:rFonts w:ascii="宋体" w:hAnsi="宋体"/>
          <w:szCs w:val="21"/>
          <w:u w:val="single"/>
        </w:rPr>
      </w:pPr>
      <w:r>
        <w:rPr>
          <w:rFonts w:hint="eastAsia" w:ascii="宋体" w:hAnsi="宋体"/>
          <w:szCs w:val="21"/>
        </w:rPr>
        <w:t>（5）履约担保的退还时间：</w:t>
      </w:r>
      <w:r>
        <w:rPr>
          <w:rFonts w:hint="eastAsia" w:ascii="宋体" w:hAnsi="宋体"/>
          <w:szCs w:val="21"/>
          <w:u w:val="single"/>
        </w:rPr>
        <w:t>采用现金担保的，工程竣工验收合格后14天内退还；采用银行保函的，工程竣工验收合格后14天内退还，或按工程实际情况约定分阶段退还，阶段划分按以下标准执行：</w:t>
      </w:r>
    </w:p>
    <w:p>
      <w:pPr>
        <w:tabs>
          <w:tab w:val="left" w:pos="1134"/>
        </w:tabs>
        <w:spacing w:line="360" w:lineRule="auto"/>
        <w:jc w:val="left"/>
        <w:rPr>
          <w:rFonts w:ascii="宋体" w:hAnsi="宋体"/>
          <w:szCs w:val="21"/>
        </w:rPr>
      </w:pPr>
      <w:r>
        <w:rPr>
          <w:rFonts w:hint="eastAsia" w:ascii="宋体" w:hAnsi="宋体"/>
          <w:szCs w:val="21"/>
          <w:u w:val="single"/>
        </w:rPr>
        <w:t xml:space="preserve">                                                   </w:t>
      </w:r>
      <w:r>
        <w:rPr>
          <w:rFonts w:hint="eastAsia" w:ascii="宋体" w:hAnsi="宋体"/>
          <w:szCs w:val="21"/>
        </w:rPr>
        <w:t>。</w:t>
      </w:r>
    </w:p>
    <w:p>
      <w:pPr>
        <w:pStyle w:val="6"/>
        <w:spacing w:before="156" w:beforeLines="50" w:beforeAutospacing="0" w:after="156" w:afterLines="50" w:afterAutospacing="0" w:line="360" w:lineRule="auto"/>
        <w:jc w:val="both"/>
        <w:rPr>
          <w:bCs w:val="0"/>
          <w:kern w:val="2"/>
          <w:sz w:val="21"/>
          <w:szCs w:val="21"/>
        </w:rPr>
      </w:pPr>
      <w:bookmarkStart w:id="941" w:name="_Toc532375611"/>
      <w:bookmarkStart w:id="942" w:name="_Toc351203636"/>
      <w:bookmarkStart w:id="943" w:name="_Toc532377340"/>
      <w:r>
        <w:rPr>
          <w:rFonts w:hint="eastAsia"/>
          <w:kern w:val="2"/>
          <w:sz w:val="21"/>
          <w:szCs w:val="21"/>
        </w:rPr>
        <w:t>4</w:t>
      </w:r>
      <w:bookmarkStart w:id="944" w:name="_Toc267251413"/>
      <w:bookmarkStart w:id="945" w:name="_Toc292559366"/>
      <w:bookmarkStart w:id="946" w:name="_Toc296890990"/>
      <w:bookmarkStart w:id="947" w:name="_Toc296944501"/>
      <w:bookmarkStart w:id="948" w:name="_Toc297120462"/>
      <w:bookmarkStart w:id="949" w:name="_Toc292559871"/>
      <w:bookmarkStart w:id="950" w:name="_Toc297048348"/>
      <w:bookmarkStart w:id="951" w:name="_Toc296346663"/>
      <w:bookmarkStart w:id="952" w:name="_Toc296347161"/>
      <w:bookmarkStart w:id="953" w:name="_Toc296891202"/>
      <w:bookmarkStart w:id="954" w:name="_Toc296503162"/>
      <w:r>
        <w:rPr>
          <w:rFonts w:hint="eastAsia"/>
          <w:kern w:val="2"/>
          <w:sz w:val="21"/>
          <w:szCs w:val="21"/>
        </w:rPr>
        <w:t>. 监</w:t>
      </w:r>
      <w:bookmarkEnd w:id="944"/>
      <w:bookmarkEnd w:id="945"/>
      <w:bookmarkEnd w:id="946"/>
      <w:bookmarkEnd w:id="947"/>
      <w:bookmarkEnd w:id="948"/>
      <w:bookmarkEnd w:id="949"/>
      <w:bookmarkEnd w:id="950"/>
      <w:bookmarkEnd w:id="951"/>
      <w:bookmarkEnd w:id="952"/>
      <w:bookmarkEnd w:id="953"/>
      <w:bookmarkEnd w:id="954"/>
      <w:r>
        <w:rPr>
          <w:rFonts w:hint="eastAsia"/>
          <w:kern w:val="2"/>
          <w:sz w:val="21"/>
          <w:szCs w:val="21"/>
        </w:rPr>
        <w:t>理人</w:t>
      </w:r>
      <w:bookmarkEnd w:id="941"/>
      <w:bookmarkEnd w:id="942"/>
      <w:bookmarkEnd w:id="943"/>
    </w:p>
    <w:p>
      <w:pPr>
        <w:pStyle w:val="7"/>
        <w:spacing w:before="0" w:beforeAutospacing="0" w:after="0" w:afterAutospacing="0" w:line="360" w:lineRule="auto"/>
        <w:ind w:firstLine="422" w:firstLineChars="200"/>
        <w:rPr>
          <w:sz w:val="21"/>
          <w:szCs w:val="21"/>
        </w:rPr>
      </w:pPr>
      <w:bookmarkStart w:id="955" w:name="_Toc532377341"/>
      <w:r>
        <w:rPr>
          <w:rFonts w:hint="eastAsia"/>
          <w:sz w:val="21"/>
          <w:szCs w:val="21"/>
        </w:rPr>
        <w:t>4.1 监理人的一般规定</w:t>
      </w:r>
      <w:bookmarkEnd w:id="955"/>
    </w:p>
    <w:p>
      <w:pPr>
        <w:spacing w:line="360" w:lineRule="auto"/>
        <w:ind w:firstLine="420" w:firstLineChars="200"/>
        <w:jc w:val="left"/>
        <w:rPr>
          <w:rFonts w:ascii="宋体" w:hAnsi="宋体"/>
          <w:szCs w:val="21"/>
        </w:rPr>
      </w:pPr>
      <w:r>
        <w:rPr>
          <w:rFonts w:hint="eastAsia" w:ascii="宋体" w:hAnsi="宋体"/>
          <w:szCs w:val="21"/>
        </w:rPr>
        <w:t>关于监理人的监理内容：</w:t>
      </w:r>
      <w:r>
        <w:rPr>
          <w:rFonts w:hint="eastAsia" w:ascii="宋体" w:hAnsi="宋体"/>
          <w:szCs w:val="21"/>
          <w:u w:val="single"/>
        </w:rPr>
        <w:t>见发包人与监理人就本工程签订的监理合同</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关于监理人的监理权限：</w:t>
      </w:r>
      <w:r>
        <w:rPr>
          <w:rFonts w:hint="eastAsia" w:ascii="宋体" w:hAnsi="宋体"/>
          <w:szCs w:val="21"/>
          <w:u w:val="single"/>
        </w:rPr>
        <w:t>见发包人与监理人就本工程签订的监理合同；任何涉及费用确定和（或）工期调整，或者设计变更，或者变更估价，或者涉及经济责任的事项，监理工程师在发出指令或通知前，须征得发包人书面同意</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关于监理人在施工现场的办公场所、生活场所的提供和费用承担的约定：</w:t>
      </w:r>
      <w:r>
        <w:rPr>
          <w:rFonts w:hint="eastAsia" w:ascii="宋体" w:hAnsi="宋体"/>
          <w:szCs w:val="21"/>
          <w:u w:val="single"/>
        </w:rPr>
        <w:t xml:space="preserve">                          </w:t>
      </w:r>
      <w:r>
        <w:rPr>
          <w:rFonts w:hint="eastAsia" w:ascii="宋体" w:hAnsi="宋体"/>
          <w:szCs w:val="21"/>
        </w:rPr>
        <w:t>。</w:t>
      </w:r>
    </w:p>
    <w:p>
      <w:pPr>
        <w:pStyle w:val="7"/>
        <w:spacing w:before="0" w:beforeAutospacing="0" w:after="0" w:afterAutospacing="0" w:line="360" w:lineRule="auto"/>
        <w:ind w:firstLine="422" w:firstLineChars="200"/>
        <w:rPr>
          <w:sz w:val="21"/>
          <w:szCs w:val="21"/>
        </w:rPr>
      </w:pPr>
      <w:bookmarkStart w:id="956" w:name="_Toc532377342"/>
      <w:r>
        <w:rPr>
          <w:rFonts w:hint="eastAsia"/>
          <w:sz w:val="21"/>
          <w:szCs w:val="21"/>
        </w:rPr>
        <w:t>4.2 监理人员</w:t>
      </w:r>
      <w:bookmarkEnd w:id="956"/>
    </w:p>
    <w:p>
      <w:pPr>
        <w:spacing w:line="360" w:lineRule="auto"/>
        <w:ind w:firstLine="420" w:firstLineChars="200"/>
        <w:jc w:val="left"/>
        <w:rPr>
          <w:rFonts w:ascii="宋体" w:hAnsi="宋体"/>
          <w:szCs w:val="21"/>
        </w:rPr>
      </w:pPr>
      <w:r>
        <w:rPr>
          <w:rFonts w:hint="eastAsia" w:ascii="宋体" w:hAnsi="宋体"/>
          <w:szCs w:val="21"/>
        </w:rPr>
        <w:t>总监理工程师：</w:t>
      </w:r>
    </w:p>
    <w:p>
      <w:pPr>
        <w:spacing w:line="360" w:lineRule="auto"/>
        <w:ind w:firstLine="420" w:firstLineChars="200"/>
        <w:jc w:val="left"/>
        <w:rPr>
          <w:rFonts w:ascii="宋体" w:hAnsi="宋体"/>
          <w:szCs w:val="21"/>
        </w:rPr>
      </w:pPr>
      <w:r>
        <w:rPr>
          <w:rFonts w:hint="eastAsia" w:ascii="宋体" w:hAnsi="宋体"/>
          <w:szCs w:val="21"/>
        </w:rPr>
        <w:t>姓    名：</w:t>
      </w:r>
      <w:r>
        <w:rPr>
          <w:rFonts w:ascii="宋体" w:hAnsi="宋体"/>
          <w:szCs w:val="21"/>
          <w:u w:val="single"/>
        </w:rPr>
        <w:t xml:space="preserve">                         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职    务：</w:t>
      </w:r>
      <w:r>
        <w:rPr>
          <w:rFonts w:ascii="宋体" w:hAnsi="宋体"/>
          <w:szCs w:val="21"/>
          <w:u w:val="single"/>
        </w:rPr>
        <w:t xml:space="preserve">                         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监理工程师执业资格证书号：</w:t>
      </w:r>
      <w:r>
        <w:rPr>
          <w:rFonts w:ascii="宋体" w:hAnsi="宋体"/>
          <w:szCs w:val="21"/>
          <w:u w:val="single"/>
        </w:rPr>
        <w:t xml:space="preserve"> 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联系方式：</w:t>
      </w:r>
      <w:r>
        <w:rPr>
          <w:rFonts w:ascii="宋体" w:hAnsi="宋体"/>
          <w:szCs w:val="21"/>
          <w:u w:val="single"/>
        </w:rPr>
        <w:t xml:space="preserve">                         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关于监理人的其他约定：</w:t>
      </w:r>
      <w:r>
        <w:rPr>
          <w:rFonts w:hint="eastAsia" w:ascii="宋体" w:hAnsi="宋体"/>
          <w:szCs w:val="21"/>
          <w:u w:val="single"/>
        </w:rPr>
        <w:t>见发包人与监理人就本工程签订的监理合同</w:t>
      </w:r>
      <w:r>
        <w:rPr>
          <w:rFonts w:hint="eastAsia" w:ascii="宋体" w:hAnsi="宋体"/>
          <w:szCs w:val="21"/>
        </w:rPr>
        <w:t>。</w:t>
      </w:r>
    </w:p>
    <w:p>
      <w:pPr>
        <w:pStyle w:val="7"/>
        <w:spacing w:before="0" w:beforeAutospacing="0" w:after="0" w:afterAutospacing="0" w:line="360" w:lineRule="auto"/>
        <w:ind w:firstLine="420" w:firstLineChars="200"/>
        <w:rPr>
          <w:b w:val="0"/>
          <w:sz w:val="21"/>
          <w:szCs w:val="21"/>
        </w:rPr>
      </w:pPr>
      <w:bookmarkStart w:id="957" w:name="_Toc532377343"/>
      <w:r>
        <w:rPr>
          <w:rFonts w:hint="eastAsia"/>
          <w:b w:val="0"/>
          <w:sz w:val="21"/>
          <w:szCs w:val="21"/>
        </w:rPr>
        <w:t>4.4 商定或确定</w:t>
      </w:r>
      <w:bookmarkEnd w:id="957"/>
    </w:p>
    <w:p>
      <w:pPr>
        <w:spacing w:line="360" w:lineRule="auto"/>
        <w:ind w:firstLine="420" w:firstLineChars="200"/>
        <w:jc w:val="left"/>
        <w:rPr>
          <w:rFonts w:ascii="宋体" w:hAnsi="宋体"/>
          <w:szCs w:val="21"/>
        </w:rPr>
      </w:pPr>
      <w:bookmarkStart w:id="958" w:name="_Toc267251418"/>
      <w:r>
        <w:rPr>
          <w:rFonts w:hint="eastAsia" w:ascii="宋体" w:hAnsi="宋体"/>
          <w:szCs w:val="21"/>
        </w:rPr>
        <w:t>在发包人和承包人不能通过协商达成一致意见时，发包人授权监理人对以下事项进行确定：</w:t>
      </w:r>
    </w:p>
    <w:p>
      <w:pPr>
        <w:spacing w:line="360" w:lineRule="auto"/>
        <w:ind w:firstLine="420" w:firstLineChars="200"/>
        <w:jc w:val="left"/>
        <w:rPr>
          <w:rFonts w:ascii="宋体" w:hAnsi="宋体"/>
          <w:szCs w:val="21"/>
        </w:rPr>
      </w:pPr>
      <w:r>
        <w:rPr>
          <w:rFonts w:hint="eastAsia" w:ascii="宋体" w:hAnsi="宋体"/>
          <w:szCs w:val="21"/>
          <w:u w:val="single"/>
        </w:rPr>
        <w:t xml:space="preserve">                          </w:t>
      </w:r>
      <w:r>
        <w:rPr>
          <w:rFonts w:hint="eastAsia" w:ascii="宋体" w:hAnsi="宋体"/>
          <w:szCs w:val="21"/>
        </w:rPr>
        <w:t>。</w:t>
      </w:r>
    </w:p>
    <w:p>
      <w:pPr>
        <w:pStyle w:val="6"/>
        <w:spacing w:before="156" w:beforeLines="50" w:beforeAutospacing="0" w:after="156" w:afterLines="50" w:afterAutospacing="0" w:line="360" w:lineRule="auto"/>
        <w:jc w:val="both"/>
        <w:rPr>
          <w:bCs w:val="0"/>
          <w:kern w:val="2"/>
          <w:sz w:val="21"/>
          <w:szCs w:val="21"/>
        </w:rPr>
      </w:pPr>
      <w:bookmarkStart w:id="959" w:name="_Toc532375612"/>
      <w:bookmarkStart w:id="960" w:name="_Toc532377344"/>
      <w:bookmarkStart w:id="961" w:name="_Toc351203637"/>
      <w:r>
        <w:rPr>
          <w:rFonts w:hint="eastAsia"/>
          <w:kern w:val="2"/>
          <w:sz w:val="21"/>
          <w:szCs w:val="21"/>
        </w:rPr>
        <w:t>5</w:t>
      </w:r>
      <w:bookmarkEnd w:id="958"/>
      <w:bookmarkStart w:id="962" w:name="_Toc297048349"/>
      <w:bookmarkStart w:id="963" w:name="_Toc296944502"/>
      <w:bookmarkStart w:id="964" w:name="_Toc292559872"/>
      <w:bookmarkStart w:id="965" w:name="_Toc296891203"/>
      <w:bookmarkStart w:id="966" w:name="_Toc297120463"/>
      <w:bookmarkStart w:id="967" w:name="_Toc296346664"/>
      <w:bookmarkStart w:id="968" w:name="_Toc296503163"/>
      <w:bookmarkStart w:id="969" w:name="_Toc296347162"/>
      <w:bookmarkStart w:id="970" w:name="_Toc296890991"/>
      <w:bookmarkStart w:id="971" w:name="_Toc292559367"/>
      <w:r>
        <w:rPr>
          <w:rFonts w:hint="eastAsia"/>
          <w:kern w:val="2"/>
          <w:sz w:val="21"/>
          <w:szCs w:val="21"/>
        </w:rPr>
        <w:t>. 工程质量</w:t>
      </w:r>
      <w:bookmarkEnd w:id="959"/>
      <w:bookmarkEnd w:id="960"/>
      <w:bookmarkEnd w:id="961"/>
    </w:p>
    <w:p>
      <w:pPr>
        <w:pStyle w:val="7"/>
        <w:spacing w:before="0" w:beforeAutospacing="0" w:after="0" w:afterAutospacing="0" w:line="360" w:lineRule="auto"/>
        <w:ind w:firstLine="422" w:firstLineChars="200"/>
        <w:rPr>
          <w:sz w:val="21"/>
          <w:szCs w:val="21"/>
        </w:rPr>
      </w:pPr>
      <w:bookmarkStart w:id="972" w:name="_Toc532377345"/>
      <w:r>
        <w:rPr>
          <w:rFonts w:hint="eastAsia"/>
          <w:sz w:val="21"/>
          <w:szCs w:val="21"/>
        </w:rPr>
        <w:t>5.1 质量要求</w:t>
      </w:r>
      <w:bookmarkEnd w:id="972"/>
      <w:bookmarkStart w:id="973" w:name="_Hlk528909888"/>
      <w:bookmarkStart w:id="974" w:name="_Toc297216155"/>
      <w:bookmarkStart w:id="975" w:name="_Toc304295527"/>
      <w:bookmarkStart w:id="976" w:name="_Toc300934949"/>
      <w:bookmarkStart w:id="977" w:name="_Toc297123496"/>
      <w:bookmarkStart w:id="978" w:name="_Toc312677997"/>
      <w:bookmarkStart w:id="979" w:name="_Toc318581164"/>
      <w:bookmarkStart w:id="980" w:name="_Toc303539106"/>
    </w:p>
    <w:p>
      <w:pPr>
        <w:spacing w:line="360" w:lineRule="auto"/>
        <w:ind w:firstLine="420" w:firstLineChars="200"/>
        <w:jc w:val="left"/>
        <w:rPr>
          <w:rFonts w:ascii="宋体" w:hAnsi="宋体"/>
          <w:szCs w:val="21"/>
          <w:u w:val="single"/>
        </w:rPr>
      </w:pPr>
      <w:r>
        <w:rPr>
          <w:rFonts w:hint="eastAsia" w:ascii="宋体" w:hAnsi="宋体"/>
          <w:szCs w:val="21"/>
        </w:rPr>
        <w:t>工程质量符合强制性质量标准，</w:t>
      </w:r>
      <w:r>
        <w:rPr>
          <w:rFonts w:hint="eastAsia" w:ascii="宋体" w:hAnsi="宋体"/>
          <w:szCs w:val="21"/>
          <w:u w:val="single"/>
        </w:rPr>
        <w:t>符合国家和重庆市现行有关施工质量验收规范要求，并达到合格标准</w:t>
      </w:r>
      <w:r>
        <w:rPr>
          <w:rFonts w:hint="eastAsia" w:ascii="宋体" w:hAnsi="宋体"/>
          <w:szCs w:val="21"/>
        </w:rPr>
        <w:t>。强制性质量标准有（包括但不限于）：</w:t>
      </w:r>
      <w:r>
        <w:rPr>
          <w:rFonts w:hint="eastAsia" w:ascii="宋体" w:hAnsi="宋体"/>
          <w:szCs w:val="21"/>
          <w:u w:val="single"/>
        </w:rPr>
        <w:t xml:space="preserve">            </w:t>
      </w:r>
      <w:r>
        <w:rPr>
          <w:rFonts w:hint="eastAsia" w:ascii="宋体" w:hAnsi="宋体"/>
          <w:szCs w:val="21"/>
        </w:rPr>
        <w:t>。</w:t>
      </w:r>
    </w:p>
    <w:bookmarkEnd w:id="973"/>
    <w:p>
      <w:pPr>
        <w:pStyle w:val="7"/>
        <w:spacing w:before="0" w:beforeAutospacing="0" w:after="0" w:afterAutospacing="0" w:line="360" w:lineRule="auto"/>
        <w:ind w:firstLine="422" w:firstLineChars="200"/>
        <w:rPr>
          <w:sz w:val="21"/>
          <w:szCs w:val="21"/>
        </w:rPr>
      </w:pPr>
      <w:bookmarkStart w:id="981" w:name="_Toc532377346"/>
      <w:r>
        <w:rPr>
          <w:rFonts w:hint="eastAsia"/>
          <w:sz w:val="21"/>
          <w:szCs w:val="21"/>
        </w:rPr>
        <w:t>5.2 质量保证措施</w:t>
      </w:r>
      <w:bookmarkEnd w:id="981"/>
    </w:p>
    <w:p>
      <w:pPr>
        <w:spacing w:line="360" w:lineRule="auto"/>
        <w:ind w:firstLine="420" w:firstLineChars="200"/>
        <w:jc w:val="left"/>
        <w:rPr>
          <w:rFonts w:ascii="宋体" w:hAnsi="宋体"/>
          <w:szCs w:val="21"/>
        </w:rPr>
      </w:pPr>
      <w:r>
        <w:rPr>
          <w:rFonts w:hint="eastAsia" w:ascii="宋体" w:hAnsi="宋体"/>
          <w:szCs w:val="21"/>
        </w:rPr>
        <w:t>本款补充5.2.4项：</w:t>
      </w:r>
    </w:p>
    <w:p>
      <w:pPr>
        <w:spacing w:line="360" w:lineRule="auto"/>
        <w:ind w:firstLine="420" w:firstLineChars="200"/>
        <w:jc w:val="left"/>
        <w:rPr>
          <w:rFonts w:ascii="宋体" w:hAnsi="宋体"/>
          <w:szCs w:val="21"/>
        </w:rPr>
      </w:pPr>
      <w:r>
        <w:rPr>
          <w:rFonts w:hint="eastAsia" w:ascii="宋体" w:hAnsi="宋体"/>
          <w:szCs w:val="21"/>
        </w:rPr>
        <w:t>5.2.4 在工程建设中，参建各方应严格执行以下规定（包括但不限于）：</w:t>
      </w:r>
    </w:p>
    <w:p>
      <w:pPr>
        <w:spacing w:line="360" w:lineRule="auto"/>
        <w:ind w:firstLine="420" w:firstLineChars="200"/>
        <w:jc w:val="left"/>
        <w:rPr>
          <w:rFonts w:ascii="宋体" w:hAnsi="宋体"/>
          <w:szCs w:val="21"/>
        </w:rPr>
      </w:pPr>
      <w:r>
        <w:rPr>
          <w:rFonts w:hint="eastAsia" w:ascii="宋体" w:hAnsi="宋体"/>
          <w:szCs w:val="21"/>
        </w:rPr>
        <w:t>（1）</w:t>
      </w:r>
      <w:r>
        <w:rPr>
          <w:rFonts w:hint="eastAsia" w:ascii="宋体" w:hAnsi="宋体"/>
          <w:szCs w:val="21"/>
          <w:u w:val="single"/>
        </w:rPr>
        <w:t>《建筑工程施工质量验收统一标准》（GB50300-2013）</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（2）</w:t>
      </w:r>
      <w:r>
        <w:rPr>
          <w:rFonts w:hint="eastAsia" w:ascii="宋体" w:hAnsi="宋体"/>
          <w:szCs w:val="21"/>
          <w:u w:val="single"/>
        </w:rPr>
        <w:t>《住房城乡建设部关于印发工程质量安全提升行动方案的通知》（建质〔2017〕57号）</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（3）</w:t>
      </w:r>
      <w:r>
        <w:rPr>
          <w:rFonts w:hint="eastAsia" w:ascii="宋体" w:hAnsi="宋体"/>
          <w:szCs w:val="21"/>
          <w:u w:val="single"/>
        </w:rPr>
        <w:t>《房屋建筑和市政基础设施工程竣工验收规定》（建质〔2013〕171号）</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（4）</w:t>
      </w:r>
      <w:r>
        <w:rPr>
          <w:rFonts w:hint="eastAsia" w:ascii="宋体" w:hAnsi="宋体"/>
          <w:szCs w:val="21"/>
          <w:u w:val="single"/>
        </w:rPr>
        <w:t>《建设部关于贯彻执行建筑工程勘察设计及施工质量验收规范若干问题的通知》（建标〔2002〕212号）</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（5）</w:t>
      </w:r>
      <w:r>
        <w:rPr>
          <w:rFonts w:hint="eastAsia" w:ascii="宋体" w:hAnsi="宋体"/>
          <w:szCs w:val="21"/>
          <w:u w:val="single"/>
        </w:rPr>
        <w:t>《重庆市住房和城乡建设委员会关于印发&lt;重庆市房屋建筑和市政基础设施工程质量常见问题防治要点（2019年版）&gt;的通知》（渝建〔2019〕198号）</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（6）</w:t>
      </w:r>
      <w:r>
        <w:rPr>
          <w:rFonts w:hint="eastAsia" w:ascii="宋体" w:hAnsi="宋体"/>
          <w:szCs w:val="21"/>
          <w:u w:val="single"/>
        </w:rPr>
        <w:t>《关于印发&lt;重庆市房屋建筑和市政基础设施工程预拌商品砂浆应用推进工作方案&gt;的通知》（渝建〔2018〕375号）</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（7）</w:t>
      </w:r>
      <w:r>
        <w:rPr>
          <w:rFonts w:hint="eastAsia" w:ascii="宋体" w:hAnsi="宋体"/>
          <w:szCs w:val="21"/>
          <w:u w:val="single"/>
        </w:rPr>
        <w:t>《重庆市城乡建设委员会关于印发2018年房屋建筑和市政基础设施工程质量要点的通知》（渝建〔2018〕94号）</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（8）</w:t>
      </w:r>
      <w:r>
        <w:rPr>
          <w:rFonts w:hint="eastAsia" w:ascii="宋体" w:hAnsi="宋体"/>
          <w:szCs w:val="21"/>
          <w:u w:val="single"/>
        </w:rPr>
        <w:t>《重庆市城乡建设委员会关于进一步推广应用预拌商品砂浆的通知》（渝建〔2016〕318号）</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（9）</w:t>
      </w:r>
      <w:r>
        <w:rPr>
          <w:rFonts w:hint="eastAsia" w:ascii="宋体" w:hAnsi="宋体"/>
          <w:szCs w:val="21"/>
          <w:u w:val="single"/>
        </w:rPr>
        <w:t>《重庆市建设委员会关于发布&lt;建筑工程施工质量验收规范用表（建筑节能分部工程）&gt;和&lt;建设工程技术用表（建筑节能工程）&gt;的通知》（渝建发〔2008〕76号）</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（10）</w:t>
      </w:r>
      <w:r>
        <w:rPr>
          <w:rFonts w:hint="eastAsia" w:ascii="宋体" w:hAnsi="宋体"/>
          <w:szCs w:val="21"/>
          <w:u w:val="single"/>
        </w:rPr>
        <w:t>国家和本市现行有关建设工程质量验收标准、规范和要求</w:t>
      </w:r>
      <w:r>
        <w:rPr>
          <w:rFonts w:hint="eastAsia" w:ascii="宋体" w:hAnsi="宋体"/>
          <w:szCs w:val="21"/>
        </w:rPr>
        <w:t>；</w:t>
      </w:r>
    </w:p>
    <w:p>
      <w:pPr>
        <w:pStyle w:val="2"/>
        <w:spacing w:after="0" w:line="360" w:lineRule="auto"/>
        <w:ind w:firstLine="420" w:firstLineChars="200"/>
        <w:jc w:val="left"/>
        <w:rPr>
          <w:rFonts w:ascii="宋体" w:hAnsi="宋体"/>
          <w:szCs w:val="21"/>
        </w:rPr>
      </w:pPr>
      <w:r>
        <w:rPr>
          <w:rFonts w:hint="eastAsia" w:ascii="宋体" w:hAnsi="宋体"/>
          <w:szCs w:val="21"/>
        </w:rPr>
        <w:t>（11）</w:t>
      </w:r>
      <w:r>
        <w:rPr>
          <w:rFonts w:hint="eastAsia" w:ascii="宋体" w:hAnsi="宋体"/>
          <w:szCs w:val="21"/>
          <w:u w:val="single"/>
        </w:rPr>
        <w:t xml:space="preserve">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承包人、监理人和发包人在工程建设中，应严格执行国家及重庆市现行标准，如上述标准及规范要求有出入则以较严格者为准。</w:t>
      </w:r>
    </w:p>
    <w:p>
      <w:pPr>
        <w:pStyle w:val="7"/>
        <w:spacing w:before="0" w:beforeAutospacing="0" w:after="0" w:afterAutospacing="0" w:line="360" w:lineRule="auto"/>
        <w:ind w:firstLine="422" w:firstLineChars="200"/>
        <w:rPr>
          <w:sz w:val="21"/>
          <w:szCs w:val="21"/>
        </w:rPr>
      </w:pPr>
      <w:bookmarkStart w:id="982" w:name="_Toc351203536"/>
      <w:bookmarkStart w:id="983" w:name="_Toc532377347"/>
      <w:bookmarkStart w:id="984" w:name="_Hlk528927873"/>
      <w:r>
        <w:rPr>
          <w:rFonts w:hint="eastAsia"/>
          <w:sz w:val="21"/>
          <w:szCs w:val="21"/>
        </w:rPr>
        <w:t>5.3隐蔽工程检查</w:t>
      </w:r>
    </w:p>
    <w:p>
      <w:pPr>
        <w:spacing w:line="360" w:lineRule="auto"/>
        <w:ind w:firstLine="420" w:firstLineChars="200"/>
        <w:jc w:val="left"/>
        <w:rPr>
          <w:rFonts w:ascii="宋体" w:hAnsi="宋体"/>
          <w:szCs w:val="21"/>
        </w:rPr>
      </w:pPr>
      <w:r>
        <w:rPr>
          <w:rFonts w:hint="eastAsia" w:ascii="宋体" w:hAnsi="宋体"/>
          <w:szCs w:val="21"/>
        </w:rPr>
        <w:t>5.3.2检查程序</w:t>
      </w:r>
    </w:p>
    <w:p>
      <w:pPr>
        <w:spacing w:line="360" w:lineRule="auto"/>
        <w:ind w:firstLine="420" w:firstLineChars="200"/>
        <w:jc w:val="left"/>
        <w:rPr>
          <w:rFonts w:ascii="宋体" w:hAnsi="宋体"/>
          <w:szCs w:val="21"/>
        </w:rPr>
      </w:pPr>
      <w:r>
        <w:rPr>
          <w:rFonts w:hint="eastAsia" w:ascii="宋体" w:hAnsi="宋体"/>
          <w:szCs w:val="21"/>
        </w:rPr>
        <w:t>工程隐蔽部位经承包人自检确认具备覆盖条件的，承包人应在共同检查前</w:t>
      </w:r>
      <w:r>
        <w:rPr>
          <w:rFonts w:hint="eastAsia" w:ascii="宋体" w:hAnsi="宋体"/>
          <w:szCs w:val="21"/>
          <w:u w:val="single"/>
        </w:rPr>
        <w:t xml:space="preserve">    </w:t>
      </w:r>
      <w:r>
        <w:rPr>
          <w:rFonts w:hint="eastAsia" w:ascii="宋体" w:hAnsi="宋体"/>
          <w:szCs w:val="21"/>
        </w:rPr>
        <w:t>小时书面通知监理人检查，通知中应载明隐蔽检查的内容、时间和地点，并应附有自检记录和必要的检查资料。</w:t>
      </w:r>
    </w:p>
    <w:p>
      <w:pPr>
        <w:pStyle w:val="7"/>
        <w:spacing w:before="0" w:beforeAutospacing="0" w:after="0" w:afterAutospacing="0" w:line="360" w:lineRule="auto"/>
        <w:ind w:firstLine="422" w:firstLineChars="200"/>
        <w:rPr>
          <w:sz w:val="21"/>
          <w:szCs w:val="21"/>
        </w:rPr>
      </w:pPr>
      <w:r>
        <w:rPr>
          <w:rFonts w:hint="eastAsia"/>
          <w:sz w:val="21"/>
          <w:szCs w:val="21"/>
        </w:rPr>
        <w:t>5</w:t>
      </w:r>
      <w:bookmarkStart w:id="985" w:name="_Toc337558762"/>
      <w:r>
        <w:rPr>
          <w:rFonts w:hint="eastAsia"/>
          <w:sz w:val="21"/>
          <w:szCs w:val="21"/>
        </w:rPr>
        <w:t>.4 不合格工程的处理</w:t>
      </w:r>
      <w:bookmarkEnd w:id="982"/>
      <w:bookmarkEnd w:id="983"/>
    </w:p>
    <w:bookmarkEnd w:id="985"/>
    <w:p>
      <w:pPr>
        <w:spacing w:line="360" w:lineRule="auto"/>
        <w:ind w:firstLine="420" w:firstLineChars="200"/>
        <w:jc w:val="left"/>
        <w:rPr>
          <w:rFonts w:ascii="宋体" w:hAnsi="宋体"/>
          <w:szCs w:val="21"/>
        </w:rPr>
      </w:pPr>
      <w:r>
        <w:rPr>
          <w:rFonts w:hint="eastAsia" w:ascii="宋体" w:hAnsi="宋体"/>
          <w:szCs w:val="21"/>
        </w:rPr>
        <w:t>本款补充5.4.3项：</w:t>
      </w:r>
    </w:p>
    <w:p>
      <w:pPr>
        <w:spacing w:line="360" w:lineRule="auto"/>
        <w:ind w:firstLine="420" w:firstLineChars="200"/>
        <w:jc w:val="left"/>
        <w:rPr>
          <w:rFonts w:ascii="宋体" w:hAnsi="宋体"/>
          <w:szCs w:val="21"/>
        </w:rPr>
      </w:pPr>
      <w:r>
        <w:rPr>
          <w:rFonts w:hint="eastAsia" w:ascii="宋体" w:hAnsi="宋体"/>
          <w:szCs w:val="21"/>
        </w:rPr>
        <w:t>5.4.3 承包人在收到监理人发出的《不合格分项报告》或监理通知单后，必须在监理人规定时间内按要求完成整改，未能在限定时间内完成整改的，须承担相应违约责任。</w:t>
      </w:r>
    </w:p>
    <w:p>
      <w:pPr>
        <w:spacing w:line="360" w:lineRule="auto"/>
        <w:ind w:firstLine="420" w:firstLineChars="200"/>
        <w:jc w:val="left"/>
        <w:rPr>
          <w:rFonts w:ascii="宋体" w:hAnsi="宋体"/>
          <w:szCs w:val="21"/>
        </w:rPr>
      </w:pPr>
      <w:r>
        <w:rPr>
          <w:rFonts w:hint="eastAsia" w:ascii="宋体" w:hAnsi="宋体"/>
          <w:szCs w:val="21"/>
        </w:rPr>
        <w:t>本条补充5.6款：</w:t>
      </w:r>
    </w:p>
    <w:bookmarkEnd w:id="984"/>
    <w:p>
      <w:pPr>
        <w:pStyle w:val="7"/>
        <w:spacing w:before="0" w:beforeAutospacing="0" w:after="0" w:afterAutospacing="0" w:line="360" w:lineRule="auto"/>
        <w:ind w:firstLine="422" w:firstLineChars="200"/>
        <w:rPr>
          <w:sz w:val="21"/>
          <w:szCs w:val="21"/>
        </w:rPr>
      </w:pPr>
      <w:bookmarkStart w:id="986" w:name="_Toc532377348"/>
      <w:r>
        <w:rPr>
          <w:rFonts w:hint="eastAsia"/>
          <w:sz w:val="21"/>
          <w:szCs w:val="21"/>
        </w:rPr>
        <w:t>5.6 质量事故的处理</w:t>
      </w:r>
      <w:bookmarkEnd w:id="986"/>
    </w:p>
    <w:p>
      <w:pPr>
        <w:spacing w:line="360" w:lineRule="auto"/>
        <w:ind w:firstLine="420" w:firstLineChars="200"/>
        <w:jc w:val="left"/>
        <w:rPr>
          <w:rFonts w:ascii="宋体" w:hAnsi="宋体"/>
          <w:szCs w:val="21"/>
        </w:rPr>
      </w:pPr>
      <w:r>
        <w:rPr>
          <w:rFonts w:hint="eastAsia" w:ascii="宋体" w:hAnsi="宋体"/>
          <w:szCs w:val="21"/>
        </w:rPr>
        <w:t>5.6.1 合同履行过程中，发生工程质量事故的调查处理按照国家及重庆市现行规定处理。</w:t>
      </w:r>
    </w:p>
    <w:p>
      <w:pPr>
        <w:spacing w:line="360" w:lineRule="auto"/>
        <w:ind w:firstLine="420" w:firstLineChars="200"/>
        <w:jc w:val="left"/>
        <w:rPr>
          <w:rFonts w:ascii="宋体" w:hAnsi="宋体"/>
          <w:szCs w:val="21"/>
        </w:rPr>
      </w:pPr>
      <w:r>
        <w:rPr>
          <w:rFonts w:hint="eastAsia" w:ascii="宋体" w:hAnsi="宋体"/>
          <w:szCs w:val="21"/>
        </w:rPr>
        <w:t>5.6.2 发包人在对工程质量、安全和环境保护、水土保持等建设全过程管理中发现有技术、质量和其他问题的，可通过监理人责令承包人返工或整改；对存在的隐患，有权责令承包人予以解决，承包人按照合同中其他条款约定承担违约责任。</w:t>
      </w:r>
    </w:p>
    <w:bookmarkEnd w:id="962"/>
    <w:bookmarkEnd w:id="963"/>
    <w:bookmarkEnd w:id="964"/>
    <w:bookmarkEnd w:id="965"/>
    <w:bookmarkEnd w:id="966"/>
    <w:bookmarkEnd w:id="967"/>
    <w:bookmarkEnd w:id="968"/>
    <w:bookmarkEnd w:id="969"/>
    <w:bookmarkEnd w:id="970"/>
    <w:bookmarkEnd w:id="971"/>
    <w:bookmarkEnd w:id="974"/>
    <w:bookmarkEnd w:id="975"/>
    <w:bookmarkEnd w:id="976"/>
    <w:bookmarkEnd w:id="977"/>
    <w:bookmarkEnd w:id="978"/>
    <w:bookmarkEnd w:id="979"/>
    <w:bookmarkEnd w:id="980"/>
    <w:p>
      <w:pPr>
        <w:pStyle w:val="6"/>
        <w:spacing w:before="156" w:beforeLines="50" w:beforeAutospacing="0" w:after="156" w:afterLines="50" w:afterAutospacing="0" w:line="360" w:lineRule="auto"/>
        <w:jc w:val="both"/>
        <w:rPr>
          <w:bCs w:val="0"/>
          <w:kern w:val="2"/>
          <w:sz w:val="21"/>
          <w:szCs w:val="21"/>
        </w:rPr>
      </w:pPr>
      <w:bookmarkStart w:id="987" w:name="_Toc532377349"/>
      <w:bookmarkStart w:id="988" w:name="_Toc532375613"/>
      <w:bookmarkStart w:id="989" w:name="_Toc351203638"/>
      <w:bookmarkStart w:id="990" w:name="_Toc296346674"/>
      <w:bookmarkStart w:id="991" w:name="_Toc297048359"/>
      <w:bookmarkStart w:id="992" w:name="_Toc297120473"/>
      <w:bookmarkStart w:id="993" w:name="_Toc296891001"/>
      <w:bookmarkStart w:id="994" w:name="_Toc267251428"/>
      <w:bookmarkStart w:id="995" w:name="_Toc296503173"/>
      <w:bookmarkStart w:id="996" w:name="_Toc296891213"/>
      <w:bookmarkStart w:id="997" w:name="_Toc267251427"/>
      <w:bookmarkStart w:id="998" w:name="_Toc292559883"/>
      <w:bookmarkStart w:id="999" w:name="_Toc351203642"/>
      <w:bookmarkStart w:id="1000" w:name="_Toc292559378"/>
      <w:bookmarkStart w:id="1001" w:name="_Toc296347172"/>
      <w:bookmarkStart w:id="1002" w:name="_Toc296944512"/>
      <w:r>
        <w:rPr>
          <w:rFonts w:hint="eastAsia"/>
          <w:kern w:val="2"/>
          <w:sz w:val="21"/>
          <w:szCs w:val="21"/>
        </w:rPr>
        <w:t>6. 安全文明施工与环境保护</w:t>
      </w:r>
      <w:bookmarkEnd w:id="987"/>
      <w:bookmarkEnd w:id="988"/>
      <w:bookmarkEnd w:id="989"/>
    </w:p>
    <w:p>
      <w:pPr>
        <w:pStyle w:val="7"/>
        <w:spacing w:before="0" w:beforeAutospacing="0" w:after="0" w:afterAutospacing="0" w:line="360" w:lineRule="auto"/>
        <w:ind w:firstLine="422" w:firstLineChars="200"/>
        <w:rPr>
          <w:sz w:val="21"/>
          <w:szCs w:val="21"/>
        </w:rPr>
      </w:pPr>
      <w:bookmarkStart w:id="1003" w:name="_Toc532375614"/>
      <w:bookmarkStart w:id="1004" w:name="_Toc532377350"/>
      <w:r>
        <w:rPr>
          <w:rFonts w:hint="eastAsia"/>
          <w:sz w:val="21"/>
          <w:szCs w:val="21"/>
        </w:rPr>
        <w:t>6.1 安全文明施工</w:t>
      </w:r>
      <w:bookmarkEnd w:id="1003"/>
      <w:bookmarkEnd w:id="1004"/>
    </w:p>
    <w:p>
      <w:pPr>
        <w:spacing w:line="360" w:lineRule="auto"/>
        <w:ind w:firstLine="420" w:firstLineChars="200"/>
        <w:jc w:val="left"/>
        <w:rPr>
          <w:rFonts w:ascii="宋体" w:hAnsi="宋体"/>
          <w:szCs w:val="21"/>
        </w:rPr>
      </w:pPr>
      <w:r>
        <w:rPr>
          <w:rFonts w:hint="eastAsia" w:ascii="宋体" w:hAnsi="宋体"/>
          <w:szCs w:val="21"/>
        </w:rPr>
        <w:t>承包人必须认真贯彻执行国家安全生产法律、法规、规章和强制性安全标准，按照重庆市现行的质量、安全文明施工有关规定和发包人安全管理的有关规定，建立完善的质量、安全、文明施工管理制度。</w:t>
      </w:r>
    </w:p>
    <w:p>
      <w:pPr>
        <w:spacing w:line="360" w:lineRule="auto"/>
        <w:ind w:firstLine="420" w:firstLineChars="200"/>
        <w:jc w:val="left"/>
        <w:rPr>
          <w:rFonts w:ascii="宋体" w:hAnsi="宋体"/>
          <w:szCs w:val="21"/>
        </w:rPr>
      </w:pPr>
      <w:r>
        <w:rPr>
          <w:rFonts w:hint="eastAsia" w:ascii="宋体" w:hAnsi="宋体"/>
          <w:szCs w:val="21"/>
        </w:rPr>
        <w:t>承包人的施工要做到节能、环保，如果通过采用新材料、新设备、新工艺、新技术的手段来提高工程质量或节省工期，则必须保证新材料、新设备、新工艺、新技术是成熟的并获得相关部门正式批准的，同时使用前承包人必须组织专家论证，并得到发包人、监理人的批准。</w:t>
      </w:r>
    </w:p>
    <w:p>
      <w:pPr>
        <w:spacing w:line="360" w:lineRule="auto"/>
        <w:ind w:firstLine="420" w:firstLineChars="200"/>
        <w:jc w:val="left"/>
        <w:rPr>
          <w:rFonts w:ascii="宋体" w:hAnsi="宋体"/>
          <w:szCs w:val="21"/>
          <w:u w:val="single"/>
        </w:rPr>
      </w:pPr>
      <w:r>
        <w:rPr>
          <w:rFonts w:hint="eastAsia" w:ascii="宋体" w:hAnsi="宋体"/>
          <w:szCs w:val="21"/>
        </w:rPr>
        <w:t>6.1.1 项目安全生产的达标目标及相应事项的约定：</w:t>
      </w:r>
      <w:r>
        <w:rPr>
          <w:rFonts w:hint="eastAsia" w:ascii="宋体" w:hAnsi="宋体"/>
          <w:szCs w:val="21"/>
          <w:u w:val="single"/>
        </w:rPr>
        <w:t>达到《建筑施工安全检查标准》（JGJ59-2011）的要求</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u w:val="single"/>
        </w:rPr>
        <w:t>（1）按现行安全文明施工费计取及使用管理的政策文件规定及发包人制订的安全管理制度执行</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u w:val="single"/>
        </w:rPr>
        <w:t>（2）承包人的原因造成事故，由此产生的法律责任和事故责任及费用由承包人全部承担</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u w:val="single"/>
        </w:rPr>
        <w:t>（3）承包人向发包人做出安全承诺，并签订《安全生产目标责任书》和《安全承诺书》</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u w:val="single"/>
        </w:rPr>
        <w:t>（4）承包人在施工过程中，必须严格执行安全生产法的相关规定，制定切实可靠的安全技术措施</w:t>
      </w:r>
      <w:r>
        <w:rPr>
          <w:rFonts w:hint="eastAsia" w:ascii="宋体" w:hAnsi="宋体"/>
          <w:szCs w:val="21"/>
        </w:rPr>
        <w:t>。</w:t>
      </w:r>
    </w:p>
    <w:p>
      <w:pPr>
        <w:spacing w:line="360" w:lineRule="auto"/>
        <w:ind w:firstLine="420" w:firstLineChars="200"/>
        <w:jc w:val="left"/>
        <w:rPr>
          <w:rFonts w:ascii="宋体" w:hAnsi="宋体"/>
          <w:szCs w:val="21"/>
          <w:u w:val="single"/>
        </w:rPr>
      </w:pPr>
      <w:r>
        <w:rPr>
          <w:rFonts w:hint="eastAsia" w:ascii="宋体" w:hAnsi="宋体"/>
          <w:szCs w:val="21"/>
          <w:u w:val="single"/>
        </w:rPr>
        <w:t>（5）接受发包人安全监督和管理，在施工中违反安全管理规定和操作规程、违章作业的，承担违约责任</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6.1.4 关于治安保卫的特别约定：</w:t>
      </w:r>
      <w:r>
        <w:rPr>
          <w:rFonts w:hint="eastAsia" w:ascii="宋体" w:hAnsi="宋体"/>
          <w:szCs w:val="21"/>
          <w:u w:val="single"/>
        </w:rPr>
        <w:t>承包人负责组建施工现场治安管理机构或联防组织；承包人负责编制施工场地治安管理计划和突发治安事件紧急预案</w:t>
      </w:r>
      <w:r>
        <w:rPr>
          <w:rFonts w:hint="eastAsia" w:ascii="宋体" w:hAnsi="宋体"/>
          <w:szCs w:val="21"/>
        </w:rPr>
        <w:t>。</w:t>
      </w:r>
    </w:p>
    <w:p>
      <w:pPr>
        <w:spacing w:line="360" w:lineRule="auto"/>
        <w:ind w:firstLine="420" w:firstLineChars="200"/>
        <w:jc w:val="left"/>
        <w:rPr>
          <w:rFonts w:ascii="宋体" w:hAnsi="宋体"/>
          <w:szCs w:val="21"/>
          <w:u w:val="single"/>
        </w:rPr>
      </w:pPr>
      <w:r>
        <w:rPr>
          <w:rFonts w:hint="eastAsia" w:ascii="宋体" w:hAnsi="宋体"/>
          <w:szCs w:val="21"/>
        </w:rPr>
        <w:t>关于编制施工场地治安管理计划的约定：</w:t>
      </w:r>
      <w:r>
        <w:rPr>
          <w:rFonts w:hint="eastAsia" w:ascii="宋体" w:hAnsi="宋体"/>
          <w:szCs w:val="21"/>
          <w:u w:val="single"/>
        </w:rPr>
        <w:t>由承包人负责</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6.1.5 文明施工</w:t>
      </w:r>
    </w:p>
    <w:p>
      <w:pPr>
        <w:spacing w:line="360" w:lineRule="auto"/>
        <w:ind w:firstLine="420" w:firstLineChars="200"/>
        <w:jc w:val="left"/>
        <w:rPr>
          <w:rFonts w:ascii="宋体" w:hAnsi="宋体"/>
          <w:szCs w:val="21"/>
          <w:u w:val="single"/>
        </w:rPr>
      </w:pPr>
      <w:r>
        <w:rPr>
          <w:rFonts w:hint="eastAsia" w:ascii="宋体" w:hAnsi="宋体"/>
          <w:szCs w:val="21"/>
        </w:rPr>
        <w:t>合同当事人对文明施工的要求：</w:t>
      </w:r>
      <w:r>
        <w:rPr>
          <w:rFonts w:hint="eastAsia" w:ascii="宋体" w:hAnsi="宋体"/>
          <w:szCs w:val="21"/>
          <w:u w:val="single"/>
        </w:rPr>
        <w:t>承包人应按照《房屋建筑和市政基础设施工程施工扬尘控制工作方案》（渝建发〔2009〕13号）、《重庆市建设委员会关于印发&lt;重庆市房屋建筑和市政基础设施工程现场文明施工标准&gt;的通知》（渝建发〔2008〕169号）等相关规定履行好施工扬尘控制、文明施工等责任</w:t>
      </w:r>
      <w:r>
        <w:rPr>
          <w:rFonts w:hint="eastAsia" w:ascii="宋体" w:hAnsi="宋体"/>
          <w:szCs w:val="21"/>
        </w:rPr>
        <w:t>。</w:t>
      </w:r>
    </w:p>
    <w:p>
      <w:pPr>
        <w:spacing w:line="360" w:lineRule="auto"/>
        <w:ind w:firstLine="420" w:firstLineChars="200"/>
        <w:jc w:val="left"/>
        <w:rPr>
          <w:rFonts w:ascii="宋体" w:hAnsi="宋体"/>
          <w:szCs w:val="21"/>
          <w:u w:val="single"/>
        </w:rPr>
      </w:pPr>
      <w:r>
        <w:rPr>
          <w:rFonts w:hint="eastAsia" w:ascii="宋体" w:hAnsi="宋体"/>
          <w:szCs w:val="21"/>
          <w:u w:val="single"/>
        </w:rPr>
        <w:t>承包人应按规定设置施工现场围挡，承包人采用的围挡主体形式应从重庆市城乡建委发布的标准图集（DJBT-062、DJBT-063）中选用，做好施工围挡，围挡应整齐美观，承包人按相关要求做好日常维护和保洁，围挡高度满足规范要求，相关费用已包含在签约合同价中</w:t>
      </w:r>
      <w:r>
        <w:rPr>
          <w:rFonts w:hint="eastAsia" w:ascii="宋体" w:hAnsi="宋体"/>
          <w:szCs w:val="21"/>
        </w:rPr>
        <w:t>。</w:t>
      </w:r>
    </w:p>
    <w:p>
      <w:pPr>
        <w:spacing w:line="360" w:lineRule="auto"/>
        <w:ind w:firstLine="420" w:firstLineChars="200"/>
        <w:jc w:val="left"/>
        <w:rPr>
          <w:rFonts w:ascii="宋体" w:hAnsi="宋体"/>
          <w:szCs w:val="21"/>
          <w:u w:val="single"/>
        </w:rPr>
      </w:pPr>
      <w:r>
        <w:rPr>
          <w:rFonts w:hint="eastAsia" w:ascii="宋体" w:hAnsi="宋体"/>
          <w:szCs w:val="21"/>
        </w:rPr>
        <w:t>6.1.6 关于安全文明施工费支付比例和支付期限的约定：按照行业主管部门相关规定</w:t>
      </w:r>
      <w:r>
        <w:rPr>
          <w:rFonts w:hint="eastAsia" w:ascii="宋体" w:hAnsi="宋体"/>
          <w:szCs w:val="21"/>
          <w:u w:val="single"/>
        </w:rPr>
        <w:t xml:space="preserve">                 </w:t>
      </w:r>
      <w:r>
        <w:rPr>
          <w:rFonts w:hint="eastAsia" w:ascii="宋体" w:hAnsi="宋体"/>
          <w:szCs w:val="21"/>
        </w:rPr>
        <w:t>执行。</w:t>
      </w:r>
    </w:p>
    <w:p>
      <w:pPr>
        <w:spacing w:line="360" w:lineRule="auto"/>
        <w:ind w:firstLine="420" w:firstLineChars="200"/>
        <w:jc w:val="left"/>
        <w:rPr>
          <w:rFonts w:ascii="宋体" w:hAnsi="宋体"/>
          <w:szCs w:val="21"/>
          <w:u w:val="single"/>
        </w:rPr>
      </w:pPr>
      <w:r>
        <w:rPr>
          <w:rFonts w:hint="eastAsia" w:ascii="宋体" w:hAnsi="宋体"/>
          <w:szCs w:val="21"/>
          <w:u w:val="single"/>
        </w:rPr>
        <w:t>安全文明施工费的要求与内容、提取支付方法以及违反约定造成损失的赔偿等条款，按照现行规范要求执行，做到专款专用</w:t>
      </w:r>
      <w:r>
        <w:rPr>
          <w:rFonts w:hint="eastAsia" w:ascii="宋体" w:hAnsi="宋体"/>
          <w:szCs w:val="21"/>
        </w:rPr>
        <w:t>。</w:t>
      </w:r>
    </w:p>
    <w:p>
      <w:pPr>
        <w:pStyle w:val="7"/>
        <w:spacing w:before="0" w:beforeAutospacing="0" w:after="0" w:afterAutospacing="0" w:line="360" w:lineRule="auto"/>
        <w:ind w:firstLine="422" w:firstLineChars="200"/>
        <w:rPr>
          <w:sz w:val="21"/>
          <w:szCs w:val="21"/>
        </w:rPr>
      </w:pPr>
      <w:bookmarkStart w:id="1005" w:name="_Toc532377351"/>
      <w:bookmarkStart w:id="1006" w:name="_Toc532375615"/>
      <w:r>
        <w:rPr>
          <w:rFonts w:hint="eastAsia"/>
          <w:sz w:val="21"/>
          <w:szCs w:val="21"/>
        </w:rPr>
        <w:t>6.3 环境保护</w:t>
      </w:r>
      <w:bookmarkEnd w:id="1005"/>
      <w:bookmarkEnd w:id="1006"/>
    </w:p>
    <w:p>
      <w:pPr>
        <w:tabs>
          <w:tab w:val="left" w:pos="711"/>
          <w:tab w:val="left" w:pos="2580"/>
        </w:tabs>
        <w:spacing w:line="360" w:lineRule="auto"/>
        <w:ind w:firstLine="420" w:firstLineChars="200"/>
        <w:jc w:val="left"/>
        <w:textAlignment w:val="baseline"/>
        <w:rPr>
          <w:rFonts w:ascii="宋体" w:hAnsi="宋体"/>
          <w:szCs w:val="21"/>
        </w:rPr>
      </w:pPr>
      <w:r>
        <w:rPr>
          <w:rFonts w:hint="eastAsia" w:ascii="宋体" w:hAnsi="宋体"/>
          <w:szCs w:val="21"/>
        </w:rPr>
        <w:t>本款补充6.3.1～6.3.8项：</w:t>
      </w:r>
    </w:p>
    <w:p>
      <w:pPr>
        <w:tabs>
          <w:tab w:val="left" w:pos="711"/>
          <w:tab w:val="left" w:pos="2580"/>
        </w:tabs>
        <w:spacing w:line="360" w:lineRule="auto"/>
        <w:ind w:firstLine="420" w:firstLineChars="200"/>
        <w:jc w:val="left"/>
        <w:textAlignment w:val="baseline"/>
        <w:rPr>
          <w:rFonts w:ascii="宋体" w:hAnsi="宋体"/>
          <w:szCs w:val="21"/>
        </w:rPr>
      </w:pPr>
      <w:r>
        <w:rPr>
          <w:rFonts w:hint="eastAsia" w:ascii="宋体" w:hAnsi="宋体"/>
          <w:szCs w:val="21"/>
        </w:rPr>
        <w:t>6.3.1 承包人应严格按照项目环境影响评价文件批准书结合发包人报送的环境影响报告书的要求进行环境保护的相关工作。如行政主管部门有新标准，则按最新标准执行，执行新标准增加的费用由发包人承担。</w:t>
      </w:r>
    </w:p>
    <w:p>
      <w:pPr>
        <w:tabs>
          <w:tab w:val="left" w:pos="711"/>
          <w:tab w:val="left" w:pos="2580"/>
        </w:tabs>
        <w:spacing w:line="360" w:lineRule="auto"/>
        <w:ind w:firstLine="420" w:firstLineChars="200"/>
        <w:jc w:val="left"/>
        <w:textAlignment w:val="baseline"/>
        <w:rPr>
          <w:rFonts w:ascii="宋体" w:hAnsi="宋体"/>
          <w:szCs w:val="21"/>
        </w:rPr>
      </w:pPr>
      <w:r>
        <w:rPr>
          <w:rFonts w:hint="eastAsia" w:ascii="宋体" w:hAnsi="宋体"/>
          <w:szCs w:val="21"/>
        </w:rPr>
        <w:t>6.3.2 承包人应做好对周边环境的调查工作，认真编制施工组织设计，严格按照施工方案组织施工，涉及交通、绿化、市政、环保、生态、公共安全等的施工方案应达到相关标准要求并在施工前得到相关行政主管部门和单位的同意，否则不得施工，因施工原因引起的一切投诉及处罚由承包人自行负责。</w:t>
      </w:r>
    </w:p>
    <w:p>
      <w:pPr>
        <w:tabs>
          <w:tab w:val="left" w:pos="711"/>
          <w:tab w:val="left" w:pos="2580"/>
        </w:tabs>
        <w:spacing w:line="360" w:lineRule="auto"/>
        <w:ind w:firstLine="420" w:firstLineChars="200"/>
        <w:jc w:val="left"/>
        <w:textAlignment w:val="baseline"/>
        <w:rPr>
          <w:rFonts w:ascii="宋体" w:hAnsi="宋体"/>
          <w:szCs w:val="21"/>
        </w:rPr>
      </w:pPr>
      <w:r>
        <w:rPr>
          <w:rFonts w:hint="eastAsia" w:ascii="宋体" w:hAnsi="宋体"/>
          <w:szCs w:val="21"/>
        </w:rPr>
        <w:t>6.3.3 承包人应加强生态环境保护工作。施工期间，采取边坡防护，挡渣坝、排水沟、沉淀池、表土剥离和绿化恢复等水土保持措施减少水土流失量，绿化恢复宜采用适于当地生长的植物。</w:t>
      </w:r>
    </w:p>
    <w:p>
      <w:pPr>
        <w:tabs>
          <w:tab w:val="left" w:pos="711"/>
          <w:tab w:val="left" w:pos="2580"/>
        </w:tabs>
        <w:spacing w:line="360" w:lineRule="auto"/>
        <w:ind w:firstLine="420" w:firstLineChars="200"/>
        <w:jc w:val="left"/>
        <w:textAlignment w:val="baseline"/>
        <w:rPr>
          <w:rFonts w:ascii="宋体" w:hAnsi="宋体"/>
          <w:szCs w:val="21"/>
        </w:rPr>
      </w:pPr>
      <w:r>
        <w:rPr>
          <w:rFonts w:hint="eastAsia" w:ascii="宋体" w:hAnsi="宋体"/>
          <w:szCs w:val="21"/>
        </w:rPr>
        <w:t>6.3.4 承包人应认真落实水污染防治措施。施工期间，加强机械设备维护，减少跑冒滴漏等现象；做好含油废水处理措施；施工场地生活污水经生化处理后达到《污水综合排放标准》（GB8978-1996）一级标准后排放。</w:t>
      </w:r>
    </w:p>
    <w:p>
      <w:pPr>
        <w:tabs>
          <w:tab w:val="left" w:pos="711"/>
          <w:tab w:val="left" w:pos="2580"/>
        </w:tabs>
        <w:spacing w:line="360" w:lineRule="auto"/>
        <w:ind w:firstLine="420" w:firstLineChars="200"/>
        <w:jc w:val="left"/>
        <w:textAlignment w:val="baseline"/>
        <w:rPr>
          <w:rFonts w:ascii="宋体" w:hAnsi="宋体"/>
          <w:szCs w:val="21"/>
        </w:rPr>
      </w:pPr>
      <w:r>
        <w:rPr>
          <w:rFonts w:hint="eastAsia" w:ascii="宋体" w:hAnsi="宋体"/>
          <w:szCs w:val="21"/>
        </w:rPr>
        <w:t>6.3.5 承包人应重视大气污染物污染防治措施。施工期间，严格执行市政府“蓝天行动”方案等有关规定，通过洒水防尘，严格控制施工场地扬尘和运输扬尘污染。</w:t>
      </w:r>
    </w:p>
    <w:p>
      <w:pPr>
        <w:tabs>
          <w:tab w:val="left" w:pos="711"/>
          <w:tab w:val="left" w:pos="2580"/>
        </w:tabs>
        <w:spacing w:line="360" w:lineRule="auto"/>
        <w:ind w:firstLine="420" w:firstLineChars="200"/>
        <w:jc w:val="left"/>
        <w:textAlignment w:val="baseline"/>
        <w:rPr>
          <w:rFonts w:ascii="宋体" w:hAnsi="宋体"/>
          <w:szCs w:val="21"/>
        </w:rPr>
      </w:pPr>
      <w:r>
        <w:rPr>
          <w:rFonts w:hint="eastAsia" w:ascii="宋体" w:hAnsi="宋体"/>
          <w:szCs w:val="21"/>
        </w:rPr>
        <w:t>6.3.6 承包人应落实固体废物污染防治措施。施工期间，项目产生的弃方不可合理</w:t>
      </w:r>
      <w:r>
        <w:rPr>
          <w:rFonts w:ascii="宋体" w:hAnsi="宋体"/>
          <w:szCs w:val="21"/>
        </w:rPr>
        <w:t>利用的</w:t>
      </w:r>
      <w:r>
        <w:rPr>
          <w:rFonts w:hint="eastAsia" w:ascii="宋体" w:hAnsi="宋体"/>
          <w:szCs w:val="21"/>
        </w:rPr>
        <w:t>，应运往指定的弃渣场内堆存；建筑垃圾运至指定的建筑垃圾消纳场处置；生活垃圾由当地环卫部门统一处置。</w:t>
      </w:r>
    </w:p>
    <w:p>
      <w:pPr>
        <w:tabs>
          <w:tab w:val="left" w:pos="711"/>
          <w:tab w:val="left" w:pos="2580"/>
        </w:tabs>
        <w:spacing w:line="360" w:lineRule="auto"/>
        <w:ind w:firstLine="420" w:firstLineChars="200"/>
        <w:jc w:val="left"/>
        <w:textAlignment w:val="baseline"/>
        <w:rPr>
          <w:rFonts w:ascii="宋体" w:hAnsi="宋体"/>
          <w:szCs w:val="21"/>
        </w:rPr>
      </w:pPr>
      <w:r>
        <w:rPr>
          <w:rFonts w:hint="eastAsia" w:ascii="宋体" w:hAnsi="宋体"/>
          <w:szCs w:val="21"/>
        </w:rPr>
        <w:t>6.3.7 承包人应认真落实噪声污染防治措施。施工期间，优选低噪声设备，合理安排施工时间，严格控制夜间施工，昼、夜施工场界需满足《建筑施工场界环境噪声排放标准》（GB12523-2011）。</w:t>
      </w:r>
    </w:p>
    <w:p>
      <w:pPr>
        <w:spacing w:line="360" w:lineRule="auto"/>
        <w:ind w:firstLine="420" w:firstLineChars="200"/>
        <w:jc w:val="left"/>
        <w:rPr>
          <w:rFonts w:ascii="宋体" w:hAnsi="宋体"/>
          <w:szCs w:val="21"/>
        </w:rPr>
      </w:pPr>
      <w:r>
        <w:rPr>
          <w:rFonts w:hint="eastAsia" w:ascii="宋体" w:hAnsi="宋体"/>
          <w:szCs w:val="21"/>
        </w:rPr>
        <w:t>6.3.8 承包人自行负责办理有关施工场地交通、环卫和施工噪音管理等手续，并应按要求结合自身实际和重庆市相关规定，考虑不低于以上标准的此类工作。</w:t>
      </w:r>
    </w:p>
    <w:p>
      <w:pPr>
        <w:spacing w:line="360" w:lineRule="auto"/>
        <w:ind w:firstLine="420" w:firstLineChars="200"/>
        <w:jc w:val="left"/>
        <w:rPr>
          <w:rFonts w:ascii="宋体" w:hAnsi="宋体"/>
          <w:szCs w:val="21"/>
        </w:rPr>
      </w:pPr>
      <w:r>
        <w:rPr>
          <w:rFonts w:hint="eastAsia" w:ascii="宋体" w:hAnsi="宋体"/>
          <w:szCs w:val="21"/>
        </w:rPr>
        <w:t xml:space="preserve">6.3.9 </w:t>
      </w:r>
      <w:r>
        <w:rPr>
          <w:rFonts w:hint="eastAsia" w:ascii="宋体" w:hAnsi="宋体"/>
          <w:szCs w:val="21"/>
          <w:u w:val="single"/>
        </w:rPr>
        <w:t xml:space="preserve">        </w:t>
      </w:r>
      <w:r>
        <w:rPr>
          <w:rFonts w:hint="eastAsia" w:ascii="宋体" w:hAnsi="宋体"/>
          <w:szCs w:val="21"/>
        </w:rPr>
        <w:t>。</w:t>
      </w:r>
    </w:p>
    <w:p>
      <w:pPr>
        <w:pStyle w:val="6"/>
        <w:spacing w:before="156" w:beforeLines="50" w:beforeAutospacing="0" w:after="156" w:afterLines="50" w:afterAutospacing="0" w:line="360" w:lineRule="auto"/>
        <w:jc w:val="both"/>
        <w:rPr>
          <w:bCs w:val="0"/>
          <w:kern w:val="2"/>
          <w:sz w:val="21"/>
          <w:szCs w:val="21"/>
        </w:rPr>
      </w:pPr>
      <w:bookmarkStart w:id="1007" w:name="_Toc351203639"/>
      <w:bookmarkStart w:id="1008" w:name="_Toc532377352"/>
      <w:bookmarkStart w:id="1009" w:name="_Toc532375616"/>
      <w:r>
        <w:rPr>
          <w:rFonts w:hint="eastAsia"/>
          <w:kern w:val="2"/>
          <w:sz w:val="21"/>
          <w:szCs w:val="21"/>
        </w:rPr>
        <w:t>7. 工期和进度</w:t>
      </w:r>
      <w:bookmarkEnd w:id="1007"/>
      <w:bookmarkEnd w:id="1008"/>
      <w:bookmarkEnd w:id="1009"/>
    </w:p>
    <w:p>
      <w:pPr>
        <w:pStyle w:val="7"/>
        <w:spacing w:before="0" w:beforeAutospacing="0" w:after="0" w:afterAutospacing="0" w:line="360" w:lineRule="auto"/>
        <w:ind w:firstLine="422" w:firstLineChars="200"/>
        <w:rPr>
          <w:sz w:val="21"/>
          <w:szCs w:val="21"/>
        </w:rPr>
      </w:pPr>
      <w:bookmarkStart w:id="1010" w:name="_Toc532375617"/>
      <w:bookmarkStart w:id="1011" w:name="_Toc532377353"/>
      <w:r>
        <w:rPr>
          <w:rFonts w:hint="eastAsia"/>
          <w:sz w:val="21"/>
          <w:szCs w:val="21"/>
        </w:rPr>
        <w:t>7.1 施工组织设计</w:t>
      </w:r>
      <w:bookmarkEnd w:id="1010"/>
      <w:bookmarkEnd w:id="1011"/>
    </w:p>
    <w:p>
      <w:pPr>
        <w:autoSpaceDE w:val="0"/>
        <w:autoSpaceDN w:val="0"/>
        <w:spacing w:line="360" w:lineRule="auto"/>
        <w:ind w:firstLine="420" w:firstLineChars="200"/>
        <w:jc w:val="left"/>
        <w:rPr>
          <w:rFonts w:ascii="宋体" w:hAnsi="宋体"/>
          <w:szCs w:val="21"/>
          <w:u w:val="single"/>
        </w:rPr>
      </w:pPr>
      <w:r>
        <w:rPr>
          <w:rFonts w:hint="eastAsia" w:ascii="宋体" w:hAnsi="宋体"/>
          <w:szCs w:val="21"/>
        </w:rPr>
        <w:t>7.1.1 合同当事人约定的施工组织设计应包括的其他内容：</w:t>
      </w:r>
      <w:r>
        <w:rPr>
          <w:rFonts w:hint="eastAsia" w:ascii="宋体" w:hAnsi="宋体"/>
          <w:szCs w:val="21"/>
          <w:u w:val="single"/>
        </w:rPr>
        <w:t>应采用文字并结合图表形式说明施工方法；拟投入工程的主要施工设备情况、拟配备工程的试验和检测仪器设备情况、劳动力计划等；结合工程特点提出切实可行的工程质量、安全生产、文明施工、工程进度、技术组织措施，同时应对关键工序、复杂环节重点提出相应技术措施，如冬雨季施工技术、减少噪音、降低环境污染、地下管线及其他地上地下设施的保护加固措施等按发包人要求提供</w:t>
      </w:r>
      <w:r>
        <w:rPr>
          <w:rFonts w:hint="eastAsia" w:ascii="宋体" w:hAnsi="宋体"/>
          <w:szCs w:val="21"/>
        </w:rPr>
        <w:t>。</w:t>
      </w:r>
    </w:p>
    <w:p>
      <w:pPr>
        <w:autoSpaceDE w:val="0"/>
        <w:autoSpaceDN w:val="0"/>
        <w:spacing w:line="360" w:lineRule="auto"/>
        <w:ind w:firstLine="420" w:firstLineChars="200"/>
        <w:jc w:val="left"/>
        <w:rPr>
          <w:rFonts w:ascii="宋体" w:hAnsi="宋体"/>
          <w:szCs w:val="21"/>
        </w:rPr>
      </w:pPr>
      <w:r>
        <w:rPr>
          <w:rFonts w:hint="eastAsia" w:ascii="宋体" w:hAnsi="宋体"/>
          <w:szCs w:val="21"/>
        </w:rPr>
        <w:t>7.1.2 施工组织设计的提交和修改</w:t>
      </w:r>
    </w:p>
    <w:p>
      <w:pPr>
        <w:autoSpaceDE w:val="0"/>
        <w:autoSpaceDN w:val="0"/>
        <w:spacing w:line="360" w:lineRule="auto"/>
        <w:ind w:firstLine="420" w:firstLineChars="200"/>
        <w:jc w:val="left"/>
        <w:rPr>
          <w:rFonts w:ascii="宋体" w:hAnsi="宋体"/>
          <w:szCs w:val="21"/>
        </w:rPr>
      </w:pPr>
      <w:r>
        <w:rPr>
          <w:rFonts w:hint="eastAsia" w:ascii="宋体" w:hAnsi="宋体"/>
          <w:szCs w:val="21"/>
        </w:rPr>
        <w:t>承包人提交详细施工组织设计的期限的约定：</w:t>
      </w:r>
      <w:r>
        <w:rPr>
          <w:rFonts w:hint="eastAsia" w:ascii="宋体" w:hAnsi="宋体"/>
          <w:szCs w:val="21"/>
          <w:u w:val="single"/>
        </w:rPr>
        <w:t>合同签订后  天内，但最迟不得晚于开工通知载明的开工日期前7天</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发包人和监理人在收到详细的施工组织设计后确认或提出修改意见的期限：</w:t>
      </w:r>
      <w:r>
        <w:rPr>
          <w:rFonts w:hint="eastAsia" w:ascii="宋体" w:hAnsi="宋体"/>
          <w:szCs w:val="21"/>
          <w:u w:val="single"/>
        </w:rPr>
        <w:t>收到施工组织设计后  天内</w:t>
      </w:r>
      <w:r>
        <w:rPr>
          <w:rFonts w:hint="eastAsia" w:ascii="宋体" w:hAnsi="宋体"/>
          <w:szCs w:val="21"/>
        </w:rPr>
        <w:t>。</w:t>
      </w:r>
    </w:p>
    <w:p>
      <w:pPr>
        <w:pStyle w:val="7"/>
        <w:spacing w:before="0" w:beforeAutospacing="0" w:after="0" w:afterAutospacing="0" w:line="360" w:lineRule="auto"/>
        <w:ind w:firstLine="422" w:firstLineChars="200"/>
        <w:rPr>
          <w:sz w:val="21"/>
          <w:szCs w:val="21"/>
        </w:rPr>
      </w:pPr>
      <w:bookmarkStart w:id="1012" w:name="_Toc532377354"/>
      <w:bookmarkStart w:id="1013" w:name="_Toc532375618"/>
      <w:r>
        <w:rPr>
          <w:rFonts w:hint="eastAsia"/>
          <w:sz w:val="21"/>
          <w:szCs w:val="21"/>
        </w:rPr>
        <w:t>7.2 施工进度计划</w:t>
      </w:r>
      <w:bookmarkEnd w:id="1012"/>
      <w:bookmarkEnd w:id="1013"/>
    </w:p>
    <w:p>
      <w:pPr>
        <w:spacing w:line="360" w:lineRule="auto"/>
        <w:ind w:firstLine="420" w:firstLineChars="200"/>
        <w:jc w:val="left"/>
        <w:rPr>
          <w:rFonts w:ascii="宋体" w:hAnsi="宋体"/>
          <w:szCs w:val="21"/>
        </w:rPr>
      </w:pPr>
      <w:r>
        <w:rPr>
          <w:rFonts w:hint="eastAsia" w:ascii="宋体" w:hAnsi="宋体"/>
          <w:szCs w:val="21"/>
        </w:rPr>
        <w:t>7.2.2 施工进度计划的修订</w:t>
      </w:r>
    </w:p>
    <w:p>
      <w:pPr>
        <w:spacing w:line="360" w:lineRule="auto"/>
        <w:ind w:firstLine="420" w:firstLineChars="200"/>
        <w:jc w:val="left"/>
        <w:rPr>
          <w:rFonts w:ascii="宋体" w:hAnsi="宋体"/>
          <w:szCs w:val="21"/>
        </w:rPr>
      </w:pPr>
      <w:r>
        <w:rPr>
          <w:rFonts w:hint="eastAsia" w:ascii="宋体" w:hAnsi="宋体"/>
          <w:szCs w:val="21"/>
        </w:rPr>
        <w:t>发包人和监理人在收到修订的施工进度计划后确认或提出修改意见的期限：</w:t>
      </w:r>
      <w:r>
        <w:rPr>
          <w:rFonts w:hint="eastAsia" w:ascii="宋体" w:hAnsi="宋体"/>
          <w:szCs w:val="21"/>
          <w:u w:val="single"/>
        </w:rPr>
        <w:t>收到修订的施工进度计划后  天内</w:t>
      </w:r>
      <w:r>
        <w:rPr>
          <w:rFonts w:hint="eastAsia" w:ascii="宋体" w:hAnsi="宋体"/>
          <w:szCs w:val="21"/>
        </w:rPr>
        <w:t>。</w:t>
      </w:r>
    </w:p>
    <w:p>
      <w:pPr>
        <w:pStyle w:val="7"/>
        <w:spacing w:before="0" w:beforeAutospacing="0" w:after="0" w:afterAutospacing="0" w:line="360" w:lineRule="auto"/>
        <w:ind w:firstLine="422" w:firstLineChars="200"/>
        <w:rPr>
          <w:sz w:val="21"/>
          <w:szCs w:val="21"/>
        </w:rPr>
      </w:pPr>
      <w:bookmarkStart w:id="1014" w:name="_Toc532375619"/>
      <w:bookmarkStart w:id="1015" w:name="_Toc532377355"/>
      <w:bookmarkStart w:id="1016" w:name="_Toc312677479"/>
      <w:bookmarkStart w:id="1017" w:name="_Toc300934966"/>
      <w:bookmarkStart w:id="1018" w:name="_Toc312678005"/>
      <w:bookmarkStart w:id="1019" w:name="_Toc297123514"/>
      <w:bookmarkStart w:id="1020" w:name="_Toc297216173"/>
      <w:bookmarkStart w:id="1021" w:name="_Toc304295541"/>
      <w:bookmarkStart w:id="1022" w:name="_Toc303539123"/>
      <w:r>
        <w:rPr>
          <w:rFonts w:hint="eastAsia"/>
          <w:sz w:val="21"/>
          <w:szCs w:val="21"/>
        </w:rPr>
        <w:t>7.3 开工</w:t>
      </w:r>
      <w:bookmarkEnd w:id="1014"/>
      <w:bookmarkEnd w:id="1015"/>
    </w:p>
    <w:p>
      <w:pPr>
        <w:spacing w:line="360" w:lineRule="auto"/>
        <w:ind w:firstLine="420" w:firstLineChars="200"/>
        <w:jc w:val="left"/>
        <w:rPr>
          <w:rFonts w:ascii="宋体" w:hAnsi="宋体"/>
          <w:szCs w:val="21"/>
        </w:rPr>
      </w:pPr>
      <w:r>
        <w:rPr>
          <w:rFonts w:hint="eastAsia" w:ascii="宋体" w:hAnsi="宋体"/>
          <w:szCs w:val="21"/>
        </w:rPr>
        <w:t>7.3.1 开工准备</w:t>
      </w:r>
    </w:p>
    <w:p>
      <w:pPr>
        <w:spacing w:line="360" w:lineRule="auto"/>
        <w:ind w:firstLine="420" w:firstLineChars="200"/>
        <w:jc w:val="left"/>
        <w:rPr>
          <w:rFonts w:ascii="宋体" w:hAnsi="宋体"/>
          <w:szCs w:val="21"/>
        </w:rPr>
      </w:pPr>
      <w:r>
        <w:rPr>
          <w:rFonts w:hint="eastAsia" w:ascii="宋体" w:hAnsi="宋体"/>
          <w:szCs w:val="21"/>
        </w:rPr>
        <w:t>关于承包人提交工程开工报审表的期限：</w:t>
      </w:r>
      <w:r>
        <w:rPr>
          <w:rFonts w:hint="eastAsia" w:ascii="宋体" w:hAnsi="宋体"/>
          <w:szCs w:val="21"/>
          <w:u w:val="single"/>
        </w:rPr>
        <w:t>不晚于开工前  天</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关于发包人应完成的其他开工准备工作及期限：</w:t>
      </w:r>
      <w:r>
        <w:rPr>
          <w:rFonts w:hint="eastAsia" w:ascii="宋体" w:hAnsi="宋体"/>
          <w:szCs w:val="21"/>
          <w:u w:val="single"/>
        </w:rPr>
        <w:t>不晚于开工前  天</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关于承包人应完成的其他开工准备工作及期限：</w:t>
      </w:r>
      <w:r>
        <w:rPr>
          <w:rFonts w:hint="eastAsia" w:ascii="宋体" w:hAnsi="宋体"/>
          <w:szCs w:val="21"/>
          <w:u w:val="single"/>
        </w:rPr>
        <w:t>不晚于开工前  天</w:t>
      </w:r>
      <w:r>
        <w:rPr>
          <w:rFonts w:hint="eastAsia" w:ascii="宋体" w:hAnsi="宋体"/>
          <w:szCs w:val="21"/>
        </w:rPr>
        <w:t>。</w:t>
      </w:r>
    </w:p>
    <w:bookmarkEnd w:id="1016"/>
    <w:bookmarkEnd w:id="1017"/>
    <w:bookmarkEnd w:id="1018"/>
    <w:bookmarkEnd w:id="1019"/>
    <w:bookmarkEnd w:id="1020"/>
    <w:bookmarkEnd w:id="1021"/>
    <w:bookmarkEnd w:id="1022"/>
    <w:p>
      <w:pPr>
        <w:pStyle w:val="7"/>
        <w:spacing w:before="0" w:beforeAutospacing="0" w:after="0" w:afterAutospacing="0" w:line="360" w:lineRule="auto"/>
        <w:ind w:firstLine="422" w:firstLineChars="200"/>
        <w:rPr>
          <w:sz w:val="21"/>
          <w:szCs w:val="21"/>
        </w:rPr>
      </w:pPr>
      <w:bookmarkStart w:id="1023" w:name="_Toc532377356"/>
      <w:bookmarkStart w:id="1024" w:name="_Toc532375620"/>
      <w:r>
        <w:rPr>
          <w:rFonts w:hint="eastAsia"/>
          <w:sz w:val="21"/>
          <w:szCs w:val="21"/>
        </w:rPr>
        <w:t>7.4 测量放线</w:t>
      </w:r>
      <w:bookmarkEnd w:id="1023"/>
      <w:bookmarkEnd w:id="1024"/>
    </w:p>
    <w:p>
      <w:pPr>
        <w:spacing w:line="360" w:lineRule="auto"/>
        <w:ind w:firstLine="420" w:firstLineChars="200"/>
        <w:jc w:val="left"/>
        <w:rPr>
          <w:rFonts w:ascii="宋体" w:hAnsi="宋体"/>
          <w:szCs w:val="21"/>
        </w:rPr>
      </w:pPr>
      <w:r>
        <w:rPr>
          <w:rFonts w:hint="eastAsia" w:ascii="宋体" w:hAnsi="宋体"/>
          <w:szCs w:val="21"/>
        </w:rPr>
        <w:t>7.4.1 发包人通过监理人向承包人提供测量基准点、基准线和水准点及其书面资料的期限：</w:t>
      </w:r>
      <w:r>
        <w:rPr>
          <w:rFonts w:hint="eastAsia" w:ascii="宋体" w:hAnsi="宋体"/>
          <w:szCs w:val="21"/>
          <w:u w:val="single"/>
        </w:rPr>
        <w:t>不晚于开工前  天</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承包人报监理人审批施工控制网资料的期限：</w:t>
      </w:r>
      <w:r>
        <w:rPr>
          <w:rFonts w:hint="eastAsia" w:ascii="宋体" w:hAnsi="宋体"/>
          <w:szCs w:val="21"/>
          <w:u w:val="single"/>
        </w:rPr>
        <w:t>发出开工通知后  天。承包人发现发包人提供的测量基准点、基准线和水准点及其书面资料存在错误或疏漏的，应及时通知监理人并报告发包人，承包人应会同监理人、发包人核实，发包人就如何处理和是否继续施工作出决定，并通过监理人通知承包人</w:t>
      </w:r>
      <w:r>
        <w:rPr>
          <w:rFonts w:hint="eastAsia" w:ascii="宋体" w:hAnsi="宋体"/>
          <w:szCs w:val="21"/>
        </w:rPr>
        <w:t>。</w:t>
      </w:r>
    </w:p>
    <w:p>
      <w:pPr>
        <w:pStyle w:val="7"/>
        <w:spacing w:before="0" w:beforeAutospacing="0" w:after="0" w:afterAutospacing="0" w:line="360" w:lineRule="auto"/>
        <w:ind w:firstLine="422" w:firstLineChars="200"/>
        <w:rPr>
          <w:sz w:val="21"/>
          <w:szCs w:val="21"/>
        </w:rPr>
      </w:pPr>
      <w:bookmarkStart w:id="1025" w:name="_Toc532377357"/>
      <w:bookmarkStart w:id="1026" w:name="_Toc532375621"/>
      <w:r>
        <w:rPr>
          <w:rFonts w:hint="eastAsia"/>
          <w:sz w:val="21"/>
          <w:szCs w:val="21"/>
        </w:rPr>
        <w:t>7</w:t>
      </w:r>
      <w:bookmarkStart w:id="1027" w:name="_Toc312678010"/>
      <w:bookmarkStart w:id="1028" w:name="_Toc297216175"/>
      <w:bookmarkStart w:id="1029" w:name="_Toc303539125"/>
      <w:bookmarkStart w:id="1030" w:name="_Toc300934968"/>
      <w:bookmarkStart w:id="1031" w:name="_Toc304295546"/>
      <w:bookmarkStart w:id="1032" w:name="_Toc297123516"/>
      <w:bookmarkStart w:id="1033" w:name="_Toc312677484"/>
      <w:r>
        <w:rPr>
          <w:rFonts w:hint="eastAsia"/>
          <w:sz w:val="21"/>
          <w:szCs w:val="21"/>
        </w:rPr>
        <w:t>.5 工期延误</w:t>
      </w:r>
      <w:bookmarkEnd w:id="1025"/>
      <w:bookmarkEnd w:id="1026"/>
    </w:p>
    <w:bookmarkEnd w:id="1027"/>
    <w:bookmarkEnd w:id="1028"/>
    <w:bookmarkEnd w:id="1029"/>
    <w:bookmarkEnd w:id="1030"/>
    <w:bookmarkEnd w:id="1031"/>
    <w:bookmarkEnd w:id="1032"/>
    <w:bookmarkEnd w:id="1033"/>
    <w:p>
      <w:pPr>
        <w:spacing w:line="360" w:lineRule="auto"/>
        <w:ind w:firstLine="420" w:firstLineChars="200"/>
        <w:jc w:val="left"/>
        <w:rPr>
          <w:rFonts w:ascii="宋体" w:hAnsi="宋体"/>
          <w:szCs w:val="21"/>
        </w:rPr>
      </w:pPr>
      <w:bookmarkStart w:id="1034" w:name="_Hlk528927940"/>
      <w:r>
        <w:rPr>
          <w:rFonts w:hint="eastAsia" w:ascii="宋体" w:hAnsi="宋体"/>
          <w:szCs w:val="21"/>
        </w:rPr>
        <w:t>7.5.1 因发包人原因导致工期延误：</w:t>
      </w:r>
    </w:p>
    <w:p>
      <w:pPr>
        <w:spacing w:line="360" w:lineRule="auto"/>
        <w:ind w:firstLine="420" w:firstLineChars="200"/>
        <w:jc w:val="left"/>
        <w:rPr>
          <w:rFonts w:ascii="宋体" w:hAnsi="宋体"/>
          <w:szCs w:val="21"/>
        </w:rPr>
      </w:pPr>
      <w:r>
        <w:rPr>
          <w:rFonts w:hint="eastAsia" w:ascii="宋体" w:hAnsi="宋体"/>
          <w:szCs w:val="21"/>
        </w:rPr>
        <w:t>在合同履行过程中，除通用条款约定外，因下列情况导致工期延误和（或）费用增加的，由发包人承担由此延误的工期和（或）增加的费用：</w:t>
      </w:r>
    </w:p>
    <w:p>
      <w:pPr>
        <w:spacing w:line="360" w:lineRule="auto"/>
        <w:ind w:firstLine="420" w:firstLineChars="200"/>
        <w:jc w:val="left"/>
        <w:rPr>
          <w:rFonts w:ascii="宋体" w:hAnsi="宋体"/>
          <w:szCs w:val="21"/>
        </w:rPr>
      </w:pPr>
      <w:r>
        <w:rPr>
          <w:rFonts w:hint="eastAsia" w:ascii="宋体" w:hAnsi="宋体"/>
          <w:szCs w:val="21"/>
        </w:rPr>
        <w:t>（1）发包人未能按合同约定提供施工场地，且该未提供开工条件直接影响项目关键线路的；</w:t>
      </w:r>
    </w:p>
    <w:p>
      <w:pPr>
        <w:spacing w:line="360" w:lineRule="auto"/>
        <w:ind w:firstLine="420" w:firstLineChars="200"/>
        <w:jc w:val="left"/>
        <w:rPr>
          <w:rFonts w:ascii="宋体" w:hAnsi="宋体"/>
          <w:szCs w:val="21"/>
        </w:rPr>
      </w:pPr>
      <w:r>
        <w:rPr>
          <w:rFonts w:hint="eastAsia" w:ascii="宋体" w:hAnsi="宋体"/>
          <w:szCs w:val="21"/>
        </w:rPr>
        <w:t>（2）发包人提供的测量基准点、基准线和水准点及其书面资料存在错误或疏漏，且该错误或疏漏直接影响项目关键线路的；</w:t>
      </w:r>
    </w:p>
    <w:p>
      <w:pPr>
        <w:spacing w:line="360" w:lineRule="auto"/>
        <w:ind w:firstLine="420" w:firstLineChars="200"/>
        <w:jc w:val="left"/>
        <w:rPr>
          <w:rFonts w:ascii="宋体" w:hAnsi="宋体"/>
          <w:szCs w:val="21"/>
        </w:rPr>
      </w:pPr>
      <w:r>
        <w:rPr>
          <w:rFonts w:hint="eastAsia" w:ascii="宋体" w:hAnsi="宋体"/>
          <w:szCs w:val="21"/>
        </w:rPr>
        <w:t>（3）监理人未按合同约定发出指示、批准等文件，且该未按合同约定发出指示、批准直接影响项目关键线路的；</w:t>
      </w:r>
    </w:p>
    <w:p>
      <w:pPr>
        <w:spacing w:line="360" w:lineRule="auto"/>
        <w:ind w:firstLine="420" w:firstLineChars="200"/>
        <w:jc w:val="left"/>
        <w:rPr>
          <w:rFonts w:ascii="宋体" w:hAnsi="宋体"/>
          <w:szCs w:val="21"/>
        </w:rPr>
      </w:pPr>
      <w:r>
        <w:rPr>
          <w:rFonts w:hint="eastAsia" w:ascii="宋体" w:hAnsi="宋体"/>
          <w:szCs w:val="21"/>
        </w:rPr>
        <w:t>（4）变更未及时审批，直接影响项目关键线路的；</w:t>
      </w:r>
    </w:p>
    <w:p>
      <w:pPr>
        <w:spacing w:line="360" w:lineRule="auto"/>
        <w:ind w:firstLine="420" w:firstLineChars="200"/>
        <w:jc w:val="left"/>
        <w:rPr>
          <w:rFonts w:ascii="宋体" w:hAnsi="宋体"/>
          <w:szCs w:val="21"/>
        </w:rPr>
      </w:pPr>
      <w:r>
        <w:rPr>
          <w:rFonts w:hint="eastAsia" w:ascii="宋体" w:hAnsi="宋体"/>
          <w:szCs w:val="21"/>
        </w:rPr>
        <w:t>（5）实施变更直接影响项目关键线路的；</w:t>
      </w:r>
    </w:p>
    <w:p>
      <w:pPr>
        <w:spacing w:line="360" w:lineRule="auto"/>
        <w:ind w:firstLine="420" w:firstLineChars="200"/>
        <w:jc w:val="left"/>
        <w:rPr>
          <w:rFonts w:ascii="宋体" w:hAnsi="宋体"/>
          <w:szCs w:val="21"/>
        </w:rPr>
      </w:pPr>
      <w:r>
        <w:rPr>
          <w:rFonts w:hint="eastAsia" w:ascii="宋体" w:hAnsi="宋体"/>
          <w:szCs w:val="21"/>
        </w:rPr>
        <w:t>（6）因发包人原因导致工程暂停施工、停建、缓建的；</w:t>
      </w:r>
    </w:p>
    <w:p>
      <w:pPr>
        <w:spacing w:line="360" w:lineRule="auto"/>
        <w:ind w:firstLine="420" w:firstLineChars="200"/>
        <w:jc w:val="left"/>
        <w:rPr>
          <w:rFonts w:ascii="宋体" w:hAnsi="宋体"/>
          <w:szCs w:val="21"/>
        </w:rPr>
      </w:pPr>
      <w:r>
        <w:rPr>
          <w:rFonts w:hint="eastAsia" w:ascii="宋体" w:hAnsi="宋体"/>
          <w:szCs w:val="21"/>
        </w:rPr>
        <w:t>（7）因征地拆迁、当地群众阻工等情形的；</w:t>
      </w:r>
    </w:p>
    <w:p>
      <w:pPr>
        <w:spacing w:line="360" w:lineRule="auto"/>
        <w:ind w:firstLine="420" w:firstLineChars="200"/>
        <w:jc w:val="left"/>
        <w:rPr>
          <w:rFonts w:ascii="宋体" w:hAnsi="宋体"/>
          <w:szCs w:val="21"/>
          <w:u w:val="single"/>
        </w:rPr>
      </w:pPr>
      <w:r>
        <w:rPr>
          <w:rFonts w:hint="eastAsia" w:ascii="宋体" w:hAnsi="宋体"/>
          <w:szCs w:val="21"/>
        </w:rPr>
        <w:t>（8）</w:t>
      </w:r>
      <w:r>
        <w:rPr>
          <w:rFonts w:hint="eastAsia" w:ascii="宋体" w:hAnsi="宋体"/>
          <w:szCs w:val="21"/>
          <w:u w:val="single"/>
        </w:rPr>
        <w:t>合同约定的其他情形</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u w:val="single"/>
        </w:rPr>
        <w:t>因发包人原因未按计划开工日期开工的，发包人应按实际开工日期顺延竣工日期。因发包人原因导致工期延误需要修订施工进度计划的，按照第7.2.2项〔施工进度计划的修订〕执行</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7.5.2 因承包人原因导致工期延误</w:t>
      </w:r>
    </w:p>
    <w:p>
      <w:pPr>
        <w:spacing w:line="360" w:lineRule="auto"/>
        <w:ind w:firstLine="420" w:firstLineChars="200"/>
        <w:jc w:val="left"/>
        <w:rPr>
          <w:rFonts w:ascii="宋体" w:hAnsi="宋体"/>
          <w:szCs w:val="21"/>
        </w:rPr>
      </w:pPr>
      <w:r>
        <w:rPr>
          <w:rFonts w:hint="eastAsia" w:ascii="宋体" w:hAnsi="宋体"/>
          <w:szCs w:val="21"/>
          <w:u w:val="single"/>
        </w:rPr>
        <w:t>因承包人原因造成工期延误，逾期竣工按16.2.2（6）目执行。</w:t>
      </w:r>
    </w:p>
    <w:bookmarkEnd w:id="1034"/>
    <w:p>
      <w:pPr>
        <w:pStyle w:val="7"/>
        <w:spacing w:before="0" w:beforeAutospacing="0" w:after="0" w:afterAutospacing="0" w:line="360" w:lineRule="auto"/>
        <w:ind w:firstLine="422" w:firstLineChars="200"/>
        <w:rPr>
          <w:sz w:val="21"/>
          <w:szCs w:val="21"/>
        </w:rPr>
      </w:pPr>
      <w:bookmarkStart w:id="1035" w:name="_Toc532375622"/>
      <w:bookmarkStart w:id="1036" w:name="_Toc532377358"/>
      <w:bookmarkStart w:id="1037" w:name="_Hlk528927997"/>
      <w:r>
        <w:rPr>
          <w:rFonts w:hint="eastAsia"/>
          <w:sz w:val="21"/>
          <w:szCs w:val="21"/>
        </w:rPr>
        <w:t>7</w:t>
      </w:r>
      <w:bookmarkStart w:id="1038" w:name="_Toc304295549"/>
      <w:bookmarkStart w:id="1039" w:name="_Toc297123519"/>
      <w:bookmarkStart w:id="1040" w:name="_Toc297216178"/>
      <w:bookmarkStart w:id="1041" w:name="_Toc300934971"/>
      <w:bookmarkStart w:id="1042" w:name="_Toc303539128"/>
      <w:bookmarkStart w:id="1043" w:name="_Toc312678015"/>
      <w:r>
        <w:rPr>
          <w:rFonts w:hint="eastAsia"/>
          <w:sz w:val="21"/>
          <w:szCs w:val="21"/>
        </w:rPr>
        <w:t>.6 不</w:t>
      </w:r>
      <w:bookmarkEnd w:id="1038"/>
      <w:bookmarkEnd w:id="1039"/>
      <w:bookmarkEnd w:id="1040"/>
      <w:bookmarkEnd w:id="1041"/>
      <w:bookmarkEnd w:id="1042"/>
      <w:bookmarkEnd w:id="1043"/>
      <w:r>
        <w:rPr>
          <w:rFonts w:hint="eastAsia"/>
          <w:sz w:val="21"/>
          <w:szCs w:val="21"/>
        </w:rPr>
        <w:t>利物质条件</w:t>
      </w:r>
      <w:bookmarkEnd w:id="1035"/>
      <w:bookmarkEnd w:id="1036"/>
    </w:p>
    <w:bookmarkEnd w:id="1037"/>
    <w:p>
      <w:pPr>
        <w:spacing w:line="360" w:lineRule="auto"/>
        <w:ind w:firstLine="420" w:firstLineChars="200"/>
        <w:jc w:val="left"/>
        <w:rPr>
          <w:rFonts w:ascii="宋体" w:hAnsi="宋体"/>
          <w:bCs/>
          <w:szCs w:val="21"/>
        </w:rPr>
      </w:pPr>
      <w:bookmarkStart w:id="1044" w:name="_Toc297123520"/>
      <w:bookmarkStart w:id="1045" w:name="_Toc297216179"/>
      <w:bookmarkStart w:id="1046" w:name="_Toc312678016"/>
      <w:bookmarkStart w:id="1047" w:name="_Toc303539129"/>
      <w:bookmarkStart w:id="1048" w:name="_Toc318581172"/>
      <w:bookmarkStart w:id="1049" w:name="_Toc304295550"/>
      <w:bookmarkStart w:id="1050" w:name="_Toc300934972"/>
      <w:r>
        <w:rPr>
          <w:rFonts w:hint="eastAsia" w:ascii="宋体" w:hAnsi="宋体"/>
          <w:szCs w:val="21"/>
        </w:rPr>
        <w:t>不利物质条件的其他情形和有关约定：</w:t>
      </w:r>
      <w:bookmarkStart w:id="1051" w:name="_Hlk528910274"/>
      <w:r>
        <w:rPr>
          <w:rFonts w:hint="eastAsia" w:ascii="宋体" w:hAnsi="宋体"/>
          <w:szCs w:val="21"/>
          <w:u w:val="single"/>
        </w:rPr>
        <w:t xml:space="preserve">    </w:t>
      </w:r>
      <w:r>
        <w:rPr>
          <w:rFonts w:hint="eastAsia" w:ascii="宋体" w:hAnsi="宋体"/>
          <w:szCs w:val="21"/>
        </w:rPr>
        <w:t>。</w:t>
      </w:r>
    </w:p>
    <w:bookmarkEnd w:id="1044"/>
    <w:bookmarkEnd w:id="1045"/>
    <w:bookmarkEnd w:id="1046"/>
    <w:bookmarkEnd w:id="1047"/>
    <w:bookmarkEnd w:id="1048"/>
    <w:bookmarkEnd w:id="1049"/>
    <w:bookmarkEnd w:id="1050"/>
    <w:bookmarkEnd w:id="1051"/>
    <w:p>
      <w:pPr>
        <w:pStyle w:val="7"/>
        <w:spacing w:before="0" w:beforeAutospacing="0" w:after="0" w:afterAutospacing="0" w:line="360" w:lineRule="auto"/>
        <w:ind w:firstLine="422" w:firstLineChars="200"/>
        <w:rPr>
          <w:sz w:val="21"/>
          <w:szCs w:val="21"/>
        </w:rPr>
      </w:pPr>
      <w:bookmarkStart w:id="1052" w:name="_Toc532377359"/>
      <w:bookmarkStart w:id="1053" w:name="_Toc532375623"/>
      <w:r>
        <w:rPr>
          <w:rFonts w:hint="eastAsia"/>
          <w:sz w:val="21"/>
          <w:szCs w:val="21"/>
        </w:rPr>
        <w:t>7</w:t>
      </w:r>
      <w:bookmarkStart w:id="1054" w:name="_Toc297216180"/>
      <w:bookmarkStart w:id="1055" w:name="_Toc312678017"/>
      <w:bookmarkStart w:id="1056" w:name="_Toc303539130"/>
      <w:bookmarkStart w:id="1057" w:name="_Toc300934973"/>
      <w:bookmarkStart w:id="1058" w:name="_Toc297123521"/>
      <w:bookmarkStart w:id="1059" w:name="_Toc304295551"/>
      <w:r>
        <w:rPr>
          <w:rFonts w:hint="eastAsia"/>
          <w:sz w:val="21"/>
          <w:szCs w:val="21"/>
        </w:rPr>
        <w:t>.7异常恶劣的气候条件</w:t>
      </w:r>
      <w:bookmarkEnd w:id="1052"/>
      <w:bookmarkEnd w:id="1053"/>
    </w:p>
    <w:bookmarkEnd w:id="1054"/>
    <w:bookmarkEnd w:id="1055"/>
    <w:bookmarkEnd w:id="1056"/>
    <w:bookmarkEnd w:id="1057"/>
    <w:bookmarkEnd w:id="1058"/>
    <w:bookmarkEnd w:id="1059"/>
    <w:p>
      <w:pPr>
        <w:spacing w:line="360" w:lineRule="auto"/>
        <w:ind w:firstLine="420" w:firstLineChars="200"/>
        <w:jc w:val="left"/>
        <w:rPr>
          <w:rFonts w:ascii="宋体" w:hAnsi="宋体"/>
          <w:szCs w:val="21"/>
          <w:u w:val="single"/>
        </w:rPr>
      </w:pPr>
      <w:r>
        <w:rPr>
          <w:rFonts w:hint="eastAsia" w:ascii="宋体" w:hAnsi="宋体"/>
          <w:szCs w:val="21"/>
        </w:rPr>
        <w:t>发包人和承包人同意以下情形视为异常恶劣的气候条件：</w:t>
      </w:r>
      <w:r>
        <w:rPr>
          <w:rFonts w:hint="eastAsia" w:ascii="宋体" w:hAnsi="宋体"/>
          <w:szCs w:val="21"/>
          <w:u w:val="single"/>
        </w:rPr>
        <w:t xml:space="preserve">    （异常气候是指项目所在地50年以上一遇的罕见气候现象）</w:t>
      </w:r>
      <w:r>
        <w:rPr>
          <w:rFonts w:hint="eastAsia" w:ascii="宋体" w:hAnsi="宋体"/>
          <w:szCs w:val="21"/>
        </w:rPr>
        <w:t>。</w:t>
      </w:r>
    </w:p>
    <w:p>
      <w:pPr>
        <w:pStyle w:val="7"/>
        <w:spacing w:before="0" w:beforeAutospacing="0" w:after="0" w:afterAutospacing="0" w:line="360" w:lineRule="auto"/>
        <w:ind w:firstLine="422" w:firstLineChars="200"/>
        <w:rPr>
          <w:sz w:val="21"/>
          <w:szCs w:val="21"/>
        </w:rPr>
      </w:pPr>
      <w:bookmarkStart w:id="1060" w:name="_Toc532377360"/>
      <w:bookmarkStart w:id="1061" w:name="_Toc532375624"/>
      <w:r>
        <w:rPr>
          <w:rFonts w:hint="eastAsia"/>
          <w:sz w:val="21"/>
          <w:szCs w:val="21"/>
        </w:rPr>
        <w:t>7.9 提前竣工</w:t>
      </w:r>
      <w:bookmarkEnd w:id="1060"/>
      <w:bookmarkEnd w:id="1061"/>
    </w:p>
    <w:p>
      <w:pPr>
        <w:spacing w:line="360" w:lineRule="auto"/>
        <w:ind w:firstLine="420" w:firstLineChars="200"/>
        <w:jc w:val="left"/>
        <w:rPr>
          <w:rFonts w:ascii="宋体" w:hAnsi="宋体"/>
          <w:szCs w:val="21"/>
        </w:rPr>
      </w:pPr>
      <w:r>
        <w:rPr>
          <w:rFonts w:hint="eastAsia" w:ascii="宋体" w:hAnsi="宋体"/>
          <w:szCs w:val="21"/>
        </w:rPr>
        <w:t>7.9.1项细化为：</w:t>
      </w:r>
    </w:p>
    <w:p>
      <w:pPr>
        <w:spacing w:line="360" w:lineRule="auto"/>
        <w:ind w:firstLine="420" w:firstLineChars="200"/>
        <w:jc w:val="left"/>
        <w:rPr>
          <w:rFonts w:ascii="宋体" w:hAnsi="宋体"/>
          <w:szCs w:val="21"/>
        </w:rPr>
      </w:pPr>
      <w:r>
        <w:rPr>
          <w:rFonts w:hint="eastAsia" w:ascii="宋体" w:hAnsi="宋体"/>
          <w:szCs w:val="21"/>
        </w:rPr>
        <w:t>（1）当项目需要提前竣工或项目工期按照第7.5款〔工期延误〕约定顺延后需要提前竣工的，发包人应通过监理人向承包人下达提前竣工指示。承包人同意提前竣工的，应向发包人和监理人提交提前竣工方案，提前竣工方案经监理人和发包人审批后生效。由此增加的费用按照第10.4.1项〔变更估价原则〕约定执行。</w:t>
      </w:r>
    </w:p>
    <w:p>
      <w:pPr>
        <w:spacing w:line="360" w:lineRule="auto"/>
        <w:ind w:firstLine="420" w:firstLineChars="200"/>
        <w:jc w:val="left"/>
        <w:rPr>
          <w:rFonts w:ascii="宋体" w:hAnsi="宋体"/>
          <w:szCs w:val="21"/>
        </w:rPr>
      </w:pPr>
      <w:r>
        <w:rPr>
          <w:rFonts w:hint="eastAsia" w:ascii="宋体" w:hAnsi="宋体"/>
          <w:szCs w:val="21"/>
        </w:rPr>
        <w:t>（2）发包人不得随意要求承包人提前竣工，承包人也不得随意提出提前竣工的建议。如遇特殊情况，确需将工期提前的，发包人和承包人必须采取有效措施，确保工程质量。</w:t>
      </w:r>
    </w:p>
    <w:p>
      <w:pPr>
        <w:spacing w:line="360" w:lineRule="auto"/>
        <w:ind w:firstLine="420" w:firstLineChars="200"/>
        <w:jc w:val="left"/>
        <w:rPr>
          <w:rFonts w:ascii="宋体" w:hAnsi="宋体"/>
          <w:szCs w:val="21"/>
        </w:rPr>
      </w:pPr>
      <w:r>
        <w:rPr>
          <w:rFonts w:hint="eastAsia" w:ascii="宋体" w:hAnsi="宋体"/>
          <w:szCs w:val="21"/>
        </w:rPr>
        <w:t>（3）如果承包人提前竣工，发包人支付奖金的计算方法在合同条款中约定，时间自竣工验收证书中写明的实际竣工日期起至预定的竣工日期止，按天计算。但奖金最高限额不超过项目7.9.2项的限额。</w:t>
      </w:r>
    </w:p>
    <w:p>
      <w:pPr>
        <w:spacing w:line="360" w:lineRule="auto"/>
        <w:ind w:firstLine="420" w:firstLineChars="200"/>
        <w:jc w:val="left"/>
        <w:rPr>
          <w:rFonts w:ascii="宋体" w:hAnsi="宋体"/>
          <w:szCs w:val="21"/>
        </w:rPr>
      </w:pPr>
      <w:r>
        <w:rPr>
          <w:rFonts w:hint="eastAsia" w:ascii="宋体" w:hAnsi="宋体"/>
          <w:szCs w:val="21"/>
        </w:rPr>
        <w:t>7.9.2 提前竣工的奖励：</w:t>
      </w:r>
      <w:r>
        <w:rPr>
          <w:rFonts w:hint="eastAsia" w:ascii="宋体" w:hAnsi="宋体"/>
          <w:szCs w:val="21"/>
          <w:u w:val="single"/>
        </w:rPr>
        <w:t xml:space="preserve">    元/天，不超过签约合同价的  %</w:t>
      </w:r>
      <w:r>
        <w:rPr>
          <w:rFonts w:hint="eastAsia" w:ascii="宋体" w:hAnsi="宋体"/>
          <w:szCs w:val="21"/>
        </w:rPr>
        <w:t>。</w:t>
      </w:r>
    </w:p>
    <w:p>
      <w:pPr>
        <w:pStyle w:val="6"/>
        <w:spacing w:before="156" w:beforeLines="50" w:beforeAutospacing="0" w:after="156" w:afterLines="50" w:afterAutospacing="0" w:line="360" w:lineRule="auto"/>
        <w:jc w:val="both"/>
        <w:rPr>
          <w:bCs w:val="0"/>
          <w:kern w:val="2"/>
          <w:sz w:val="21"/>
          <w:szCs w:val="21"/>
        </w:rPr>
      </w:pPr>
      <w:bookmarkStart w:id="1062" w:name="_Toc532375625"/>
      <w:bookmarkStart w:id="1063" w:name="_Toc351203640"/>
      <w:bookmarkStart w:id="1064" w:name="_Toc532377361"/>
      <w:r>
        <w:rPr>
          <w:rFonts w:hint="eastAsia"/>
          <w:kern w:val="2"/>
          <w:sz w:val="21"/>
          <w:szCs w:val="21"/>
        </w:rPr>
        <w:t>8. 材料与设备</w:t>
      </w:r>
      <w:bookmarkEnd w:id="1062"/>
      <w:bookmarkEnd w:id="1063"/>
      <w:bookmarkEnd w:id="1064"/>
    </w:p>
    <w:p>
      <w:pPr>
        <w:pStyle w:val="7"/>
        <w:spacing w:before="0" w:beforeAutospacing="0" w:after="0" w:afterAutospacing="0" w:line="360" w:lineRule="auto"/>
        <w:ind w:firstLine="422" w:firstLineChars="200"/>
        <w:rPr>
          <w:sz w:val="21"/>
          <w:szCs w:val="21"/>
        </w:rPr>
      </w:pPr>
      <w:bookmarkStart w:id="1065" w:name="_Toc532375626"/>
      <w:bookmarkStart w:id="1066" w:name="_Toc532377362"/>
      <w:r>
        <w:rPr>
          <w:rFonts w:hint="eastAsia"/>
          <w:sz w:val="21"/>
          <w:szCs w:val="21"/>
        </w:rPr>
        <w:t>8.1发包人供应材料与工程设备</w:t>
      </w:r>
      <w:bookmarkEnd w:id="1065"/>
      <w:bookmarkEnd w:id="1066"/>
    </w:p>
    <w:p>
      <w:pPr>
        <w:spacing w:line="360" w:lineRule="auto"/>
        <w:ind w:firstLine="420" w:firstLineChars="200"/>
        <w:jc w:val="left"/>
        <w:rPr>
          <w:rFonts w:ascii="宋体" w:hAnsi="宋体"/>
          <w:szCs w:val="21"/>
        </w:rPr>
      </w:pPr>
      <w:r>
        <w:rPr>
          <w:rFonts w:hint="eastAsia" w:ascii="宋体" w:hAnsi="宋体"/>
          <w:szCs w:val="21"/>
        </w:rPr>
        <w:t>材料的名称、规格、数量和价格：</w:t>
      </w:r>
      <w:r>
        <w:rPr>
          <w:rFonts w:hint="eastAsia" w:ascii="宋体" w:hAnsi="宋体"/>
          <w:szCs w:val="21"/>
          <w:u w:val="single"/>
        </w:rPr>
        <w:t>发包人应提供甲供材料的明细表，结算时按经监理人、承包人共同确认的供应数量乘以招标时甲供材料暂定价格，在支付工程款时扣除</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u w:val="single"/>
        </w:rPr>
        <w:t>发包人按约定的内容提供材料设备并对提供的材料设备质量负责，承包人按施工规范和检测规范对一切进场材料进行质量检验，承包人有权退回检验不合格的材料；承包人对投入使用的材料质量负责</w:t>
      </w:r>
      <w:r>
        <w:rPr>
          <w:rFonts w:hint="eastAsia" w:ascii="宋体" w:hAnsi="宋体"/>
          <w:szCs w:val="21"/>
        </w:rPr>
        <w:t>。</w:t>
      </w:r>
    </w:p>
    <w:p>
      <w:pPr>
        <w:pStyle w:val="7"/>
        <w:spacing w:before="0" w:beforeAutospacing="0" w:after="0" w:afterAutospacing="0" w:line="360" w:lineRule="auto"/>
        <w:ind w:firstLine="422" w:firstLineChars="200"/>
        <w:rPr>
          <w:sz w:val="21"/>
          <w:szCs w:val="21"/>
        </w:rPr>
      </w:pPr>
      <w:bookmarkStart w:id="1067" w:name="_Toc351203554"/>
      <w:bookmarkStart w:id="1068" w:name="_Toc532375627"/>
      <w:bookmarkStart w:id="1069" w:name="_Toc532377363"/>
      <w:r>
        <w:rPr>
          <w:rFonts w:hint="eastAsia"/>
          <w:sz w:val="21"/>
          <w:szCs w:val="21"/>
        </w:rPr>
        <w:t>8</w:t>
      </w:r>
      <w:bookmarkStart w:id="1070" w:name="_Toc296346561"/>
      <w:bookmarkStart w:id="1071" w:name="_Toc337558778"/>
      <w:bookmarkStart w:id="1072" w:name="_Toc296503060"/>
      <w:r>
        <w:rPr>
          <w:rFonts w:hint="eastAsia"/>
          <w:sz w:val="21"/>
          <w:szCs w:val="21"/>
        </w:rPr>
        <w:t>.2 承包人采购材料与工程设备</w:t>
      </w:r>
      <w:bookmarkEnd w:id="1067"/>
      <w:bookmarkEnd w:id="1068"/>
      <w:bookmarkEnd w:id="1069"/>
    </w:p>
    <w:bookmarkEnd w:id="1070"/>
    <w:bookmarkEnd w:id="1071"/>
    <w:bookmarkEnd w:id="1072"/>
    <w:p>
      <w:pPr>
        <w:spacing w:line="360" w:lineRule="auto"/>
        <w:ind w:firstLine="420" w:firstLineChars="200"/>
        <w:jc w:val="left"/>
        <w:rPr>
          <w:rFonts w:ascii="宋体" w:hAnsi="宋体"/>
          <w:szCs w:val="21"/>
        </w:rPr>
      </w:pPr>
      <w:r>
        <w:rPr>
          <w:rFonts w:hint="eastAsia" w:ascii="宋体" w:hAnsi="宋体"/>
          <w:szCs w:val="21"/>
        </w:rPr>
        <w:t>8.2.1承包人负责采购、运输和保管的材料、工程设备：</w:t>
      </w:r>
      <w:r>
        <w:rPr>
          <w:rFonts w:hint="eastAsia" w:ascii="宋体" w:hAnsi="宋体"/>
          <w:szCs w:val="21"/>
          <w:u w:val="single"/>
        </w:rPr>
        <w:t>由承包人自行采购。承包人采购材料设备必须经监理人和发包人批准，结算时由监理人和发包人按招标文件规定审核的数量和合同约定</w:t>
      </w:r>
      <w:r>
        <w:rPr>
          <w:rFonts w:ascii="宋体" w:hAnsi="宋体"/>
          <w:szCs w:val="21"/>
          <w:u w:val="single"/>
        </w:rPr>
        <w:t>价格</w:t>
      </w:r>
      <w:r>
        <w:rPr>
          <w:rFonts w:hint="eastAsia" w:ascii="宋体" w:hAnsi="宋体"/>
          <w:szCs w:val="21"/>
          <w:u w:val="single"/>
        </w:rPr>
        <w:t>计算</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8.2.2承包人报送监理人审批的时间：</w:t>
      </w:r>
      <w:r>
        <w:rPr>
          <w:rFonts w:hint="eastAsia" w:ascii="宋体" w:hAnsi="宋体"/>
          <w:szCs w:val="21"/>
          <w:u w:val="single"/>
        </w:rPr>
        <w:t>按发包人及监理单位的相关规定执行</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8.2.3承包人选择的生产厂家或供应商满足下列条件：</w:t>
      </w:r>
    </w:p>
    <w:p>
      <w:pPr>
        <w:spacing w:line="360" w:lineRule="auto"/>
        <w:ind w:firstLine="420" w:firstLineChars="200"/>
        <w:jc w:val="left"/>
        <w:rPr>
          <w:rFonts w:ascii="宋体" w:hAnsi="宋体"/>
          <w:szCs w:val="21"/>
        </w:rPr>
      </w:pPr>
      <w:r>
        <w:rPr>
          <w:rFonts w:hint="eastAsia" w:ascii="宋体" w:hAnsi="宋体"/>
          <w:szCs w:val="21"/>
        </w:rPr>
        <w:t>A.承包人选择的混凝土供应商应满足下列条件：</w:t>
      </w:r>
      <w:r>
        <w:rPr>
          <w:rFonts w:hint="eastAsia" w:ascii="宋体" w:hAnsi="宋体"/>
          <w:szCs w:val="21"/>
          <w:u w:val="single"/>
        </w:rPr>
        <w:t xml:space="preserve">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B.承包人选择的钢材供应商应满足下列条件：</w:t>
      </w:r>
      <w:r>
        <w:rPr>
          <w:rFonts w:hint="eastAsia" w:ascii="宋体" w:hAnsi="宋体"/>
          <w:szCs w:val="21"/>
          <w:u w:val="single"/>
        </w:rPr>
        <w:t xml:space="preserve">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C.承包人选择的水泥供应商应满足下列条件：</w:t>
      </w:r>
      <w:r>
        <w:rPr>
          <w:rFonts w:hint="eastAsia" w:ascii="宋体" w:hAnsi="宋体"/>
          <w:szCs w:val="21"/>
          <w:u w:val="single"/>
        </w:rPr>
        <w:t xml:space="preserve">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D.承包人采购的材料与设计或标准要求不符时，承包人应按发包人和监理人要求的时间运出施工场地，并重新采购符合要求的产品，并承担由此发生的费用，因此延误的工期不予顺延。</w:t>
      </w:r>
    </w:p>
    <w:p>
      <w:pPr>
        <w:spacing w:line="360" w:lineRule="auto"/>
        <w:ind w:firstLine="420" w:firstLineChars="200"/>
        <w:jc w:val="left"/>
        <w:rPr>
          <w:rFonts w:ascii="宋体" w:hAnsi="宋体"/>
          <w:szCs w:val="21"/>
        </w:rPr>
      </w:pPr>
      <w:r>
        <w:rPr>
          <w:rFonts w:hint="eastAsia" w:ascii="宋体" w:hAnsi="宋体"/>
          <w:szCs w:val="21"/>
        </w:rPr>
        <w:t>E.承包人采购的材料在使用前，应按发包人和监理人的要求进行检验或试验，不合格的不得使用。</w:t>
      </w:r>
    </w:p>
    <w:p>
      <w:pPr>
        <w:spacing w:line="360" w:lineRule="auto"/>
        <w:ind w:firstLine="420" w:firstLineChars="200"/>
        <w:jc w:val="left"/>
        <w:rPr>
          <w:rFonts w:ascii="宋体" w:hAnsi="宋体"/>
          <w:szCs w:val="21"/>
        </w:rPr>
      </w:pPr>
      <w:r>
        <w:rPr>
          <w:rFonts w:hint="eastAsia" w:ascii="宋体" w:hAnsi="宋体"/>
          <w:szCs w:val="21"/>
        </w:rPr>
        <w:t>F.</w:t>
      </w:r>
      <w:r>
        <w:rPr>
          <w:rFonts w:hint="eastAsia" w:ascii="宋体" w:hAnsi="宋体"/>
          <w:szCs w:val="21"/>
          <w:u w:val="single"/>
        </w:rPr>
        <w:t xml:space="preserve">        </w:t>
      </w:r>
      <w:r>
        <w:rPr>
          <w:rFonts w:hint="eastAsia" w:ascii="宋体" w:hAnsi="宋体"/>
          <w:szCs w:val="21"/>
        </w:rPr>
        <w:t>。</w:t>
      </w:r>
    </w:p>
    <w:p>
      <w:pPr>
        <w:pStyle w:val="7"/>
        <w:spacing w:before="0" w:beforeAutospacing="0" w:after="0" w:afterAutospacing="0" w:line="360" w:lineRule="auto"/>
        <w:ind w:firstLine="422" w:firstLineChars="200"/>
        <w:rPr>
          <w:sz w:val="21"/>
          <w:szCs w:val="21"/>
        </w:rPr>
      </w:pPr>
      <w:bookmarkStart w:id="1073" w:name="_Toc532377364"/>
      <w:bookmarkStart w:id="1074" w:name="_Toc532375628"/>
      <w:r>
        <w:rPr>
          <w:rFonts w:hint="eastAsia"/>
          <w:sz w:val="21"/>
          <w:szCs w:val="21"/>
        </w:rPr>
        <w:t>8</w:t>
      </w:r>
      <w:bookmarkStart w:id="1075" w:name="_Toc296346668"/>
      <w:bookmarkStart w:id="1076" w:name="_Toc296503167"/>
      <w:bookmarkStart w:id="1077" w:name="_Toc296890995"/>
      <w:bookmarkStart w:id="1078" w:name="_Toc300934979"/>
      <w:bookmarkStart w:id="1079" w:name="_Toc297120467"/>
      <w:bookmarkStart w:id="1080" w:name="_Toc296347166"/>
      <w:bookmarkStart w:id="1081" w:name="_Toc292559877"/>
      <w:bookmarkStart w:id="1082" w:name="_Toc296944506"/>
      <w:bookmarkStart w:id="1083" w:name="_Toc304295556"/>
      <w:bookmarkStart w:id="1084" w:name="_Toc297123527"/>
      <w:bookmarkStart w:id="1085" w:name="_Toc312677493"/>
      <w:bookmarkStart w:id="1086" w:name="_Toc296891207"/>
      <w:bookmarkStart w:id="1087" w:name="_Toc297048353"/>
      <w:bookmarkStart w:id="1088" w:name="_Toc292559372"/>
      <w:bookmarkStart w:id="1089" w:name="_Toc280868654"/>
      <w:bookmarkStart w:id="1090" w:name="_Toc303539136"/>
      <w:bookmarkStart w:id="1091" w:name="_Toc297216186"/>
      <w:bookmarkStart w:id="1092" w:name="_Toc312678019"/>
      <w:bookmarkStart w:id="1093" w:name="_Toc280868656"/>
      <w:bookmarkStart w:id="1094" w:name="_Toc280868655"/>
      <w:bookmarkStart w:id="1095" w:name="_Toc267251424"/>
      <w:r>
        <w:rPr>
          <w:rFonts w:hint="eastAsia"/>
          <w:sz w:val="21"/>
          <w:szCs w:val="21"/>
        </w:rPr>
        <w:t>.4 材料与工程设备的保管与使用</w:t>
      </w:r>
      <w:bookmarkEnd w:id="1073"/>
      <w:bookmarkEnd w:id="1074"/>
    </w:p>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p>
      <w:pPr>
        <w:spacing w:line="360" w:lineRule="auto"/>
        <w:ind w:firstLine="420" w:firstLineChars="200"/>
        <w:jc w:val="left"/>
        <w:rPr>
          <w:rFonts w:ascii="宋体" w:hAnsi="宋体"/>
          <w:szCs w:val="21"/>
        </w:rPr>
      </w:pPr>
      <w:r>
        <w:rPr>
          <w:rFonts w:hint="eastAsia" w:ascii="宋体" w:hAnsi="宋体"/>
          <w:szCs w:val="21"/>
        </w:rPr>
        <w:t>8</w:t>
      </w:r>
      <w:bookmarkStart w:id="1096" w:name="_Toc292559373"/>
      <w:bookmarkStart w:id="1097" w:name="_Toc292559878"/>
      <w:bookmarkStart w:id="1098" w:name="_Toc318581173"/>
      <w:bookmarkStart w:id="1099" w:name="_Toc296890996"/>
      <w:bookmarkStart w:id="1100" w:name="_Toc300934980"/>
      <w:bookmarkStart w:id="1101" w:name="_Toc297216187"/>
      <w:bookmarkStart w:id="1102" w:name="_Toc303539137"/>
      <w:bookmarkStart w:id="1103" w:name="_Toc312678020"/>
      <w:bookmarkStart w:id="1104" w:name="_Toc304295557"/>
      <w:bookmarkStart w:id="1105" w:name="_Toc312677494"/>
      <w:bookmarkStart w:id="1106" w:name="_Toc296503168"/>
      <w:bookmarkStart w:id="1107" w:name="_Toc296347167"/>
      <w:bookmarkStart w:id="1108" w:name="_Toc296944507"/>
      <w:bookmarkStart w:id="1109" w:name="_Toc297120468"/>
      <w:bookmarkStart w:id="1110" w:name="_Toc296346669"/>
      <w:bookmarkStart w:id="1111" w:name="_Toc297123528"/>
      <w:bookmarkStart w:id="1112" w:name="_Toc297048354"/>
      <w:bookmarkStart w:id="1113" w:name="_Toc296891208"/>
      <w:r>
        <w:rPr>
          <w:rFonts w:hint="eastAsia" w:ascii="宋体" w:hAnsi="宋体"/>
          <w:szCs w:val="21"/>
        </w:rPr>
        <w:t>.4.1 发包人供应的材料设备的保管费用的承担：</w:t>
      </w:r>
      <w:r>
        <w:rPr>
          <w:rFonts w:hint="eastAsia" w:ascii="宋体" w:hAnsi="宋体"/>
          <w:szCs w:val="21"/>
          <w:u w:val="single"/>
        </w:rPr>
        <w:t xml:space="preserve">           </w:t>
      </w:r>
      <w:r>
        <w:rPr>
          <w:rFonts w:hint="eastAsia" w:ascii="宋体" w:hAnsi="宋体"/>
          <w:szCs w:val="21"/>
        </w:rPr>
        <w:t>。</w:t>
      </w:r>
      <w:bookmarkEnd w:id="1096"/>
      <w:bookmarkEnd w:id="1097"/>
    </w:p>
    <w:p>
      <w:pPr>
        <w:pStyle w:val="7"/>
        <w:spacing w:before="0" w:beforeAutospacing="0" w:after="0" w:afterAutospacing="0" w:line="360" w:lineRule="auto"/>
        <w:ind w:firstLine="422" w:firstLineChars="200"/>
        <w:rPr>
          <w:sz w:val="21"/>
          <w:szCs w:val="21"/>
        </w:rPr>
      </w:pPr>
      <w:bookmarkStart w:id="1114" w:name="_Toc532375629"/>
      <w:bookmarkStart w:id="1115" w:name="_Toc532377365"/>
      <w:r>
        <w:rPr>
          <w:rFonts w:hint="eastAsia"/>
          <w:sz w:val="21"/>
          <w:szCs w:val="21"/>
        </w:rPr>
        <w:t>8.6 样品</w:t>
      </w:r>
      <w:bookmarkEnd w:id="1114"/>
      <w:bookmarkEnd w:id="1115"/>
    </w:p>
    <w:p>
      <w:pPr>
        <w:autoSpaceDE w:val="0"/>
        <w:autoSpaceDN w:val="0"/>
        <w:spacing w:line="360" w:lineRule="auto"/>
        <w:ind w:firstLine="420" w:firstLineChars="200"/>
        <w:jc w:val="left"/>
        <w:rPr>
          <w:rFonts w:ascii="宋体" w:hAnsi="宋体"/>
          <w:szCs w:val="21"/>
        </w:rPr>
      </w:pPr>
      <w:r>
        <w:rPr>
          <w:rFonts w:hint="eastAsia" w:ascii="宋体" w:hAnsi="宋体"/>
          <w:szCs w:val="21"/>
        </w:rPr>
        <w:t>8.6.1 样品的报送与封存</w:t>
      </w:r>
    </w:p>
    <w:p>
      <w:pPr>
        <w:autoSpaceDE w:val="0"/>
        <w:autoSpaceDN w:val="0"/>
        <w:spacing w:line="360" w:lineRule="auto"/>
        <w:ind w:firstLine="420" w:firstLineChars="200"/>
        <w:jc w:val="left"/>
        <w:rPr>
          <w:rFonts w:ascii="宋体" w:hAnsi="宋体"/>
          <w:szCs w:val="21"/>
        </w:rPr>
      </w:pPr>
      <w:r>
        <w:rPr>
          <w:rFonts w:hint="eastAsia" w:ascii="宋体" w:hAnsi="宋体"/>
          <w:szCs w:val="21"/>
        </w:rPr>
        <w:t>需要承包人报送样品的材料或工程设备，样品的种类、名称、规格、数量要求：</w:t>
      </w:r>
      <w:r>
        <w:rPr>
          <w:rFonts w:hint="eastAsia" w:ascii="宋体" w:hAnsi="宋体"/>
          <w:szCs w:val="21"/>
          <w:u w:val="single"/>
        </w:rPr>
        <w:t xml:space="preserve">        </w:t>
      </w:r>
      <w:r>
        <w:rPr>
          <w:rFonts w:hint="eastAsia" w:ascii="宋体" w:hAnsi="宋体"/>
          <w:szCs w:val="21"/>
        </w:rPr>
        <w:t>。</w:t>
      </w:r>
    </w:p>
    <w:p>
      <w:pPr>
        <w:pStyle w:val="7"/>
        <w:spacing w:before="0" w:beforeAutospacing="0" w:after="0" w:afterAutospacing="0" w:line="360" w:lineRule="auto"/>
        <w:ind w:firstLine="422" w:firstLineChars="200"/>
        <w:rPr>
          <w:sz w:val="21"/>
          <w:szCs w:val="21"/>
        </w:rPr>
      </w:pPr>
      <w:bookmarkStart w:id="1116" w:name="_Toc532375630"/>
      <w:bookmarkStart w:id="1117" w:name="_Toc532377366"/>
      <w:r>
        <w:rPr>
          <w:rFonts w:hint="eastAsia"/>
          <w:sz w:val="21"/>
          <w:szCs w:val="21"/>
        </w:rPr>
        <w:t>8.8 施工设备和临时设施</w:t>
      </w:r>
      <w:bookmarkEnd w:id="1116"/>
      <w:bookmarkEnd w:id="1117"/>
    </w:p>
    <w:p>
      <w:pPr>
        <w:autoSpaceDE w:val="0"/>
        <w:autoSpaceDN w:val="0"/>
        <w:spacing w:line="360" w:lineRule="auto"/>
        <w:ind w:firstLine="420" w:firstLineChars="200"/>
        <w:jc w:val="left"/>
        <w:rPr>
          <w:rFonts w:ascii="宋体" w:hAnsi="宋体"/>
          <w:szCs w:val="21"/>
        </w:rPr>
      </w:pPr>
      <w:r>
        <w:rPr>
          <w:rFonts w:hint="eastAsia" w:ascii="宋体" w:hAnsi="宋体"/>
          <w:szCs w:val="21"/>
        </w:rPr>
        <w:t>8.8.1 承包人提供的施工设备和临时设施</w:t>
      </w:r>
    </w:p>
    <w:p>
      <w:pPr>
        <w:autoSpaceDE w:val="0"/>
        <w:autoSpaceDN w:val="0"/>
        <w:spacing w:line="360" w:lineRule="auto"/>
        <w:ind w:firstLine="420" w:firstLineChars="200"/>
        <w:jc w:val="left"/>
        <w:rPr>
          <w:rFonts w:ascii="宋体" w:hAnsi="宋体"/>
          <w:szCs w:val="21"/>
        </w:rPr>
      </w:pPr>
      <w:r>
        <w:rPr>
          <w:rFonts w:hint="eastAsia" w:ascii="宋体" w:hAnsi="宋体"/>
          <w:szCs w:val="21"/>
        </w:rPr>
        <w:t>关于修建临时设施费用承担的约定：</w:t>
      </w:r>
      <w:r>
        <w:rPr>
          <w:rFonts w:hint="eastAsia" w:ascii="宋体" w:hAnsi="宋体"/>
          <w:szCs w:val="21"/>
          <w:u w:val="single"/>
        </w:rPr>
        <w:t>由承包人承担</w:t>
      </w:r>
      <w:r>
        <w:rPr>
          <w:rFonts w:hint="eastAsia" w:ascii="宋体" w:hAnsi="宋体"/>
          <w:szCs w:val="21"/>
        </w:rPr>
        <w:t>。</w:t>
      </w:r>
    </w:p>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p>
      <w:pPr>
        <w:pStyle w:val="6"/>
        <w:spacing w:before="156" w:beforeLines="50" w:beforeAutospacing="0" w:after="156" w:afterLines="50" w:afterAutospacing="0" w:line="360" w:lineRule="auto"/>
        <w:jc w:val="both"/>
        <w:rPr>
          <w:bCs w:val="0"/>
          <w:kern w:val="2"/>
          <w:sz w:val="21"/>
          <w:szCs w:val="21"/>
        </w:rPr>
      </w:pPr>
      <w:bookmarkStart w:id="1118" w:name="_Toc532375631"/>
      <w:bookmarkStart w:id="1119" w:name="_Toc351203641"/>
      <w:bookmarkStart w:id="1120" w:name="_Toc532377367"/>
      <w:r>
        <w:rPr>
          <w:rFonts w:hint="eastAsia"/>
          <w:kern w:val="2"/>
          <w:sz w:val="21"/>
          <w:szCs w:val="21"/>
        </w:rPr>
        <w:t>9</w:t>
      </w:r>
      <w:bookmarkEnd w:id="1093"/>
      <w:bookmarkEnd w:id="1094"/>
      <w:bookmarkEnd w:id="1095"/>
      <w:bookmarkStart w:id="1121" w:name="_Toc297216192"/>
      <w:bookmarkStart w:id="1122" w:name="_Toc303539139"/>
      <w:bookmarkStart w:id="1123" w:name="_Toc304295559"/>
      <w:bookmarkStart w:id="1124" w:name="_Toc312677495"/>
      <w:bookmarkStart w:id="1125" w:name="_Toc297123533"/>
      <w:bookmarkStart w:id="1126" w:name="_Toc300934982"/>
      <w:bookmarkStart w:id="1127" w:name="_Toc312678021"/>
      <w:r>
        <w:rPr>
          <w:rFonts w:hint="eastAsia"/>
          <w:kern w:val="2"/>
          <w:sz w:val="21"/>
          <w:szCs w:val="21"/>
        </w:rPr>
        <w:t>. 试验与检验</w:t>
      </w:r>
      <w:bookmarkEnd w:id="1118"/>
      <w:bookmarkEnd w:id="1119"/>
      <w:bookmarkEnd w:id="1120"/>
    </w:p>
    <w:bookmarkEnd w:id="1121"/>
    <w:bookmarkEnd w:id="1122"/>
    <w:bookmarkEnd w:id="1123"/>
    <w:bookmarkEnd w:id="1124"/>
    <w:bookmarkEnd w:id="1125"/>
    <w:bookmarkEnd w:id="1126"/>
    <w:bookmarkEnd w:id="1127"/>
    <w:p>
      <w:pPr>
        <w:pStyle w:val="7"/>
        <w:spacing w:before="0" w:beforeAutospacing="0" w:after="0" w:afterAutospacing="0" w:line="360" w:lineRule="auto"/>
        <w:ind w:firstLine="422" w:firstLineChars="200"/>
        <w:rPr>
          <w:sz w:val="21"/>
          <w:szCs w:val="21"/>
        </w:rPr>
      </w:pPr>
      <w:bookmarkStart w:id="1128" w:name="_Toc532377368"/>
      <w:bookmarkStart w:id="1129" w:name="_Toc532375632"/>
      <w:r>
        <w:rPr>
          <w:rFonts w:hint="eastAsia"/>
          <w:sz w:val="21"/>
          <w:szCs w:val="21"/>
        </w:rPr>
        <w:t>9</w:t>
      </w:r>
      <w:bookmarkStart w:id="1130" w:name="_Toc303539140"/>
      <w:bookmarkStart w:id="1131" w:name="_Toc312677496"/>
      <w:bookmarkStart w:id="1132" w:name="_Toc300934983"/>
      <w:bookmarkStart w:id="1133" w:name="_Toc312678022"/>
      <w:bookmarkStart w:id="1134" w:name="_Toc297216193"/>
      <w:bookmarkStart w:id="1135" w:name="_Toc304295560"/>
      <w:bookmarkStart w:id="1136" w:name="_Toc297123534"/>
      <w:r>
        <w:rPr>
          <w:rFonts w:hint="eastAsia"/>
          <w:sz w:val="21"/>
          <w:szCs w:val="21"/>
        </w:rPr>
        <w:t>.1 试验设备与试验人员</w:t>
      </w:r>
      <w:bookmarkEnd w:id="1128"/>
      <w:bookmarkEnd w:id="1129"/>
    </w:p>
    <w:bookmarkEnd w:id="1130"/>
    <w:bookmarkEnd w:id="1131"/>
    <w:bookmarkEnd w:id="1132"/>
    <w:bookmarkEnd w:id="1133"/>
    <w:bookmarkEnd w:id="1134"/>
    <w:bookmarkEnd w:id="1135"/>
    <w:bookmarkEnd w:id="1136"/>
    <w:p>
      <w:pPr>
        <w:spacing w:line="360" w:lineRule="auto"/>
        <w:ind w:firstLine="420" w:firstLineChars="200"/>
        <w:jc w:val="left"/>
        <w:rPr>
          <w:rFonts w:ascii="宋体" w:hAnsi="宋体"/>
          <w:szCs w:val="21"/>
        </w:rPr>
      </w:pPr>
      <w:r>
        <w:rPr>
          <w:rFonts w:hint="eastAsia" w:ascii="宋体" w:hAnsi="宋体"/>
          <w:szCs w:val="21"/>
        </w:rPr>
        <w:t>9</w:t>
      </w:r>
      <w:bookmarkStart w:id="1137" w:name="_Toc303539141"/>
      <w:bookmarkStart w:id="1138" w:name="_Toc312678023"/>
      <w:bookmarkStart w:id="1139" w:name="_Toc297123535"/>
      <w:bookmarkStart w:id="1140" w:name="_Toc304295561"/>
      <w:bookmarkStart w:id="1141" w:name="_Toc297216194"/>
      <w:bookmarkStart w:id="1142" w:name="_Toc300934984"/>
      <w:bookmarkStart w:id="1143" w:name="_Toc312677497"/>
      <w:bookmarkStart w:id="1144" w:name="_Toc318581174"/>
      <w:r>
        <w:rPr>
          <w:rFonts w:hint="eastAsia" w:ascii="宋体" w:hAnsi="宋体"/>
          <w:szCs w:val="21"/>
        </w:rPr>
        <w:t>.1.2 试验设备</w:t>
      </w:r>
    </w:p>
    <w:p>
      <w:pPr>
        <w:spacing w:line="360" w:lineRule="auto"/>
        <w:ind w:firstLine="420" w:firstLineChars="200"/>
        <w:jc w:val="left"/>
        <w:rPr>
          <w:rFonts w:ascii="宋体" w:hAnsi="宋体"/>
          <w:szCs w:val="21"/>
        </w:rPr>
      </w:pPr>
      <w:r>
        <w:rPr>
          <w:rFonts w:hint="eastAsia" w:ascii="宋体" w:hAnsi="宋体"/>
          <w:szCs w:val="21"/>
        </w:rPr>
        <w:t>施工现场需要配置的试验场所：</w:t>
      </w:r>
      <w:bookmarkEnd w:id="1137"/>
      <w:bookmarkEnd w:id="1138"/>
      <w:bookmarkEnd w:id="1139"/>
      <w:bookmarkEnd w:id="1140"/>
      <w:bookmarkEnd w:id="1141"/>
      <w:bookmarkEnd w:id="1142"/>
      <w:bookmarkEnd w:id="1143"/>
      <w:bookmarkStart w:id="1145" w:name="_Toc312678024"/>
      <w:bookmarkStart w:id="1146" w:name="_Toc312677498"/>
      <w:bookmarkStart w:id="1147" w:name="_Toc297216195"/>
      <w:bookmarkStart w:id="1148" w:name="_Toc303539142"/>
      <w:bookmarkStart w:id="1149" w:name="_Toc304295562"/>
      <w:bookmarkStart w:id="1150" w:name="_Toc297123536"/>
      <w:bookmarkStart w:id="1151" w:name="_Toc300934985"/>
      <w:r>
        <w:rPr>
          <w:rFonts w:hint="eastAsia" w:ascii="宋体" w:hAnsi="宋体"/>
          <w:szCs w:val="21"/>
          <w:u w:val="single"/>
        </w:rPr>
        <w:t>满足工程施工的需要</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施工现场需要配备的试验设备：</w:t>
      </w:r>
      <w:r>
        <w:rPr>
          <w:rFonts w:hint="eastAsia" w:ascii="宋体" w:hAnsi="宋体"/>
          <w:szCs w:val="21"/>
          <w:u w:val="single"/>
        </w:rPr>
        <w:t>满足工程施工的需要</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施工现场需要具备的其他试验条件：</w:t>
      </w:r>
      <w:r>
        <w:rPr>
          <w:rFonts w:hint="eastAsia" w:ascii="宋体" w:hAnsi="宋体"/>
          <w:szCs w:val="21"/>
          <w:u w:val="single"/>
        </w:rPr>
        <w:t xml:space="preserve">        </w:t>
      </w:r>
      <w:r>
        <w:rPr>
          <w:rFonts w:hint="eastAsia" w:ascii="宋体" w:hAnsi="宋体"/>
          <w:szCs w:val="21"/>
        </w:rPr>
        <w:t>。</w:t>
      </w:r>
    </w:p>
    <w:p>
      <w:pPr>
        <w:pStyle w:val="7"/>
        <w:spacing w:before="0" w:beforeAutospacing="0" w:after="0" w:afterAutospacing="0" w:line="360" w:lineRule="auto"/>
        <w:ind w:firstLine="422" w:firstLineChars="200"/>
        <w:rPr>
          <w:sz w:val="21"/>
          <w:szCs w:val="21"/>
        </w:rPr>
      </w:pPr>
      <w:bookmarkStart w:id="1152" w:name="_Toc532375633"/>
      <w:bookmarkStart w:id="1153" w:name="_Toc532377369"/>
      <w:r>
        <w:rPr>
          <w:rFonts w:hint="eastAsia"/>
          <w:sz w:val="21"/>
          <w:szCs w:val="21"/>
        </w:rPr>
        <w:t>9.4 现场工艺试验</w:t>
      </w:r>
      <w:bookmarkEnd w:id="1152"/>
      <w:bookmarkEnd w:id="1153"/>
    </w:p>
    <w:p>
      <w:pPr>
        <w:spacing w:line="360" w:lineRule="auto"/>
        <w:ind w:firstLine="420" w:firstLineChars="200"/>
        <w:jc w:val="left"/>
        <w:rPr>
          <w:rFonts w:ascii="宋体" w:hAnsi="宋体"/>
          <w:szCs w:val="21"/>
        </w:rPr>
      </w:pPr>
      <w:r>
        <w:rPr>
          <w:rFonts w:hint="eastAsia" w:ascii="宋体" w:hAnsi="宋体"/>
          <w:szCs w:val="21"/>
        </w:rPr>
        <w:t>本款补充9.4.1～9.4.5项：</w:t>
      </w:r>
    </w:p>
    <w:bookmarkEnd w:id="1144"/>
    <w:bookmarkEnd w:id="1145"/>
    <w:bookmarkEnd w:id="1146"/>
    <w:bookmarkEnd w:id="1147"/>
    <w:bookmarkEnd w:id="1148"/>
    <w:bookmarkEnd w:id="1149"/>
    <w:bookmarkEnd w:id="1150"/>
    <w:bookmarkEnd w:id="1151"/>
    <w:p>
      <w:pPr>
        <w:spacing w:line="360" w:lineRule="auto"/>
        <w:ind w:firstLine="420" w:firstLineChars="200"/>
        <w:jc w:val="left"/>
        <w:rPr>
          <w:rFonts w:ascii="宋体" w:hAnsi="宋体"/>
          <w:szCs w:val="21"/>
        </w:rPr>
      </w:pPr>
      <w:r>
        <w:rPr>
          <w:rFonts w:hint="eastAsia" w:ascii="宋体" w:hAnsi="宋体"/>
          <w:szCs w:val="21"/>
        </w:rPr>
        <w:t>9.4.1一般检验试验：</w:t>
      </w:r>
    </w:p>
    <w:p>
      <w:pPr>
        <w:tabs>
          <w:tab w:val="left" w:pos="711"/>
          <w:tab w:val="left" w:pos="2580"/>
        </w:tabs>
        <w:spacing w:line="360" w:lineRule="auto"/>
        <w:ind w:firstLine="420" w:firstLineChars="200"/>
        <w:jc w:val="left"/>
        <w:textAlignment w:val="baseline"/>
        <w:rPr>
          <w:rFonts w:ascii="宋体" w:hAnsi="宋体"/>
          <w:szCs w:val="21"/>
        </w:rPr>
      </w:pPr>
      <w:r>
        <w:rPr>
          <w:rFonts w:hint="eastAsia" w:ascii="宋体" w:hAnsi="宋体"/>
          <w:szCs w:val="21"/>
        </w:rPr>
        <w:t>根据《建设工程质量检测管理办法》（建设部令第141号）、关于实施《建设工程质量检测管理办法》有关问题的通知（建质〔2009〕25号）、《重庆市建设工程质量检测管理规定》（渝建发〔2009〕123号）、《关于加强我市建设工程质量检测委托管理的通知》（渝建〔2015〕420号）和有关施工规范、验收标准及施工图的规定或要求，对工程材料、构件、建筑安装物、半成品、成品进行的一般质量鉴定、检测和试验，由发包人委托的第三方检测试验机构实施，所发生的鉴定、检测和试验费用由发包人承担，不包含在合同价格中。</w:t>
      </w:r>
    </w:p>
    <w:p>
      <w:pPr>
        <w:tabs>
          <w:tab w:val="left" w:pos="711"/>
          <w:tab w:val="left" w:pos="2580"/>
        </w:tabs>
        <w:spacing w:line="360" w:lineRule="auto"/>
        <w:ind w:firstLine="420" w:firstLineChars="200"/>
        <w:jc w:val="left"/>
        <w:textAlignment w:val="baseline"/>
        <w:rPr>
          <w:rFonts w:ascii="宋体" w:hAnsi="宋体"/>
          <w:szCs w:val="21"/>
        </w:rPr>
      </w:pPr>
      <w:r>
        <w:rPr>
          <w:rFonts w:hint="eastAsia" w:ascii="宋体" w:hAnsi="宋体"/>
          <w:szCs w:val="21"/>
        </w:rPr>
        <w:t>实施前，由发包人、承包人和第三方检测试验机构签订三方合同，第三方检测试验机构分别向承包人和发包人出具相应的检测试验报告。根据渝建〔2015〕420号文和有关施工规范、验收标准及施工图的规定或要求，所做的上述检测试验所需的试件取样、制作、送检，试件制作需要提供的材料以及检测、试验的配合工作由承包人负责完成并承担由此产生的所有相关费用。</w:t>
      </w:r>
    </w:p>
    <w:p>
      <w:pPr>
        <w:spacing w:line="360" w:lineRule="auto"/>
        <w:ind w:firstLine="420" w:firstLineChars="200"/>
        <w:jc w:val="left"/>
        <w:rPr>
          <w:rFonts w:ascii="宋体" w:hAnsi="宋体"/>
          <w:szCs w:val="21"/>
        </w:rPr>
      </w:pPr>
      <w:r>
        <w:rPr>
          <w:rFonts w:hint="eastAsia" w:ascii="宋体" w:hAnsi="宋体"/>
          <w:szCs w:val="21"/>
        </w:rPr>
        <w:t>9.4.2特殊检验试验：</w:t>
      </w:r>
    </w:p>
    <w:p>
      <w:pPr>
        <w:spacing w:line="360" w:lineRule="auto"/>
        <w:ind w:firstLine="420" w:firstLineChars="200"/>
        <w:jc w:val="left"/>
        <w:rPr>
          <w:rFonts w:ascii="宋体" w:hAnsi="宋体"/>
          <w:szCs w:val="21"/>
        </w:rPr>
      </w:pPr>
      <w:r>
        <w:rPr>
          <w:rFonts w:hint="eastAsia" w:ascii="宋体" w:hAnsi="宋体"/>
          <w:szCs w:val="21"/>
        </w:rPr>
        <w:t>（1）除“施工措施的检测、试验”外，包括但不限于路基弯沉值试验、路面承载力试验、桥梁荷载试验、锚固试验、桩基检测、锚杆抗拔检验、锚索预应力检测、外墙面砖抗粘接试验、室内有害物质检测、门窗 （幕墙）三性检测、石材放射性检测、石膏板阻燃检测、挡土墙抗渗试验、保温层隔热检测等（根据项目实际情况增减）设计施工规范及其他法律法规规范规定的特殊检验试验项目，根据渝建〔2015〕420号文的规定，均由发包人委托相应的第三方检测试验机构进行检测，所发生的特殊检验试验费由发包人承担，不包含在合同价格中。</w:t>
      </w:r>
    </w:p>
    <w:p>
      <w:pPr>
        <w:tabs>
          <w:tab w:val="left" w:pos="711"/>
          <w:tab w:val="left" w:pos="2580"/>
        </w:tabs>
        <w:spacing w:line="360" w:lineRule="auto"/>
        <w:ind w:firstLine="420" w:firstLineChars="200"/>
        <w:jc w:val="left"/>
        <w:textAlignment w:val="baseline"/>
        <w:rPr>
          <w:rFonts w:ascii="宋体" w:hAnsi="宋体"/>
          <w:szCs w:val="21"/>
        </w:rPr>
      </w:pPr>
      <w:r>
        <w:rPr>
          <w:rFonts w:hint="eastAsia" w:ascii="宋体" w:hAnsi="宋体"/>
          <w:szCs w:val="21"/>
        </w:rPr>
        <w:t>发包人委托的第三方检测试验机构检测试验的试件所需的材料、取样、送检及相关配合工作由承包人负责完成并承担由此产生的所有相关费用。</w:t>
      </w:r>
    </w:p>
    <w:p>
      <w:pPr>
        <w:tabs>
          <w:tab w:val="left" w:pos="711"/>
          <w:tab w:val="left" w:pos="2580"/>
        </w:tabs>
        <w:spacing w:line="360" w:lineRule="auto"/>
        <w:ind w:firstLine="420" w:firstLineChars="200"/>
        <w:jc w:val="left"/>
        <w:textAlignment w:val="baseline"/>
        <w:rPr>
          <w:rFonts w:ascii="宋体" w:hAnsi="宋体"/>
          <w:szCs w:val="21"/>
        </w:rPr>
      </w:pPr>
      <w:r>
        <w:rPr>
          <w:rFonts w:hint="eastAsia" w:ascii="宋体" w:hAnsi="宋体"/>
          <w:szCs w:val="21"/>
        </w:rPr>
        <w:t>（2）施工措施的检测、试验：因施工措施需要而做的相关检测、试验由承包人负责实施，其费用由承包人承担。</w:t>
      </w:r>
    </w:p>
    <w:p>
      <w:pPr>
        <w:tabs>
          <w:tab w:val="left" w:pos="711"/>
          <w:tab w:val="left" w:pos="2580"/>
        </w:tabs>
        <w:spacing w:line="360" w:lineRule="auto"/>
        <w:ind w:firstLine="420" w:firstLineChars="200"/>
        <w:jc w:val="left"/>
        <w:textAlignment w:val="baseline"/>
        <w:rPr>
          <w:rFonts w:ascii="宋体" w:hAnsi="宋体"/>
          <w:szCs w:val="21"/>
        </w:rPr>
      </w:pPr>
      <w:r>
        <w:rPr>
          <w:rFonts w:hint="eastAsia" w:ascii="宋体" w:hAnsi="宋体"/>
          <w:szCs w:val="21"/>
        </w:rPr>
        <w:t>9.4.3专项检测：</w:t>
      </w:r>
      <w:r>
        <w:rPr>
          <w:rFonts w:hint="eastAsia" w:ascii="宋体" w:hAnsi="宋体"/>
          <w:szCs w:val="21"/>
          <w:u w:val="single"/>
        </w:rPr>
        <w:t xml:space="preserve">       </w:t>
      </w:r>
      <w:r>
        <w:rPr>
          <w:rFonts w:hint="eastAsia" w:ascii="宋体" w:hAnsi="宋体"/>
          <w:szCs w:val="21"/>
        </w:rPr>
        <w:t>。</w:t>
      </w:r>
    </w:p>
    <w:p>
      <w:pPr>
        <w:tabs>
          <w:tab w:val="left" w:pos="711"/>
          <w:tab w:val="left" w:pos="2580"/>
        </w:tabs>
        <w:spacing w:line="360" w:lineRule="auto"/>
        <w:ind w:firstLine="420" w:firstLineChars="200"/>
        <w:jc w:val="left"/>
        <w:textAlignment w:val="baseline"/>
        <w:rPr>
          <w:rFonts w:ascii="宋体" w:hAnsi="宋体"/>
          <w:szCs w:val="21"/>
        </w:rPr>
      </w:pPr>
      <w:r>
        <w:rPr>
          <w:rFonts w:hint="eastAsia" w:ascii="宋体" w:hAnsi="宋体"/>
          <w:szCs w:val="21"/>
        </w:rPr>
        <w:t>9.4.4若因承包人取样、制样、送检及相关配合不及时而导致工程的工期和费用增加，影响的工期不予延长，增加费用由承包人承担。</w:t>
      </w:r>
    </w:p>
    <w:p>
      <w:pPr>
        <w:tabs>
          <w:tab w:val="left" w:pos="711"/>
          <w:tab w:val="left" w:pos="2580"/>
        </w:tabs>
        <w:spacing w:line="360" w:lineRule="auto"/>
        <w:ind w:firstLine="420" w:firstLineChars="200"/>
        <w:jc w:val="left"/>
        <w:textAlignment w:val="baseline"/>
        <w:rPr>
          <w:rFonts w:ascii="宋体" w:hAnsi="宋体"/>
          <w:szCs w:val="21"/>
          <w:u w:val="single"/>
        </w:rPr>
      </w:pPr>
      <w:r>
        <w:rPr>
          <w:rFonts w:hint="eastAsia" w:ascii="宋体" w:hAnsi="宋体"/>
          <w:szCs w:val="21"/>
        </w:rPr>
        <w:t>9.4.5检测试验不合格的项目，其缺陷处理和复测费用由承包人承担，工期不予延长。</w:t>
      </w:r>
    </w:p>
    <w:bookmarkEnd w:id="990"/>
    <w:bookmarkEnd w:id="991"/>
    <w:bookmarkEnd w:id="992"/>
    <w:bookmarkEnd w:id="993"/>
    <w:bookmarkEnd w:id="994"/>
    <w:bookmarkEnd w:id="995"/>
    <w:bookmarkEnd w:id="996"/>
    <w:bookmarkEnd w:id="997"/>
    <w:bookmarkEnd w:id="998"/>
    <w:bookmarkEnd w:id="999"/>
    <w:bookmarkEnd w:id="1000"/>
    <w:bookmarkEnd w:id="1001"/>
    <w:bookmarkEnd w:id="1002"/>
    <w:p>
      <w:pPr>
        <w:pStyle w:val="6"/>
        <w:spacing w:before="156" w:beforeLines="50" w:beforeAutospacing="0" w:after="156" w:afterLines="50" w:afterAutospacing="0" w:line="360" w:lineRule="auto"/>
        <w:jc w:val="both"/>
        <w:rPr>
          <w:bCs w:val="0"/>
          <w:kern w:val="2"/>
          <w:sz w:val="21"/>
          <w:szCs w:val="21"/>
        </w:rPr>
      </w:pPr>
      <w:bookmarkStart w:id="1154" w:name="_Toc532375634"/>
      <w:bookmarkStart w:id="1155" w:name="_Toc532377370"/>
      <w:bookmarkStart w:id="1156" w:name="_Toc267251490"/>
      <w:bookmarkStart w:id="1157" w:name="_Toc267251484"/>
      <w:bookmarkStart w:id="1158" w:name="_Toc267251485"/>
      <w:bookmarkStart w:id="1159" w:name="_Toc267251488"/>
      <w:bookmarkStart w:id="1160" w:name="_Toc267251489"/>
      <w:bookmarkStart w:id="1161" w:name="_Toc267251486"/>
      <w:bookmarkStart w:id="1162" w:name="_Toc267251482"/>
      <w:bookmarkStart w:id="1163" w:name="_Hlk524298112"/>
      <w:bookmarkStart w:id="1164" w:name="_Toc267251496"/>
      <w:bookmarkStart w:id="1165" w:name="_Toc267251502"/>
      <w:bookmarkStart w:id="1166" w:name="_Toc267251494"/>
      <w:bookmarkStart w:id="1167" w:name="_Toc267251514"/>
      <w:bookmarkStart w:id="1168" w:name="_Toc267251492"/>
      <w:bookmarkStart w:id="1169" w:name="_Toc267251499"/>
      <w:bookmarkStart w:id="1170" w:name="_Toc267251495"/>
      <w:bookmarkStart w:id="1171" w:name="_Toc267251513"/>
      <w:bookmarkStart w:id="1172" w:name="_Toc267251507"/>
      <w:bookmarkStart w:id="1173" w:name="_Toc267251498"/>
      <w:bookmarkStart w:id="1174" w:name="_Toc267251510"/>
      <w:bookmarkStart w:id="1175" w:name="_Toc267251491"/>
      <w:bookmarkStart w:id="1176" w:name="_Toc267251493"/>
      <w:bookmarkStart w:id="1177" w:name="_Toc267251508"/>
      <w:bookmarkStart w:id="1178" w:name="_Toc267251506"/>
      <w:bookmarkStart w:id="1179" w:name="_Toc267251497"/>
      <w:bookmarkStart w:id="1180" w:name="_Toc267251504"/>
      <w:bookmarkStart w:id="1181" w:name="_Toc267251509"/>
      <w:bookmarkStart w:id="1182" w:name="_Toc267251503"/>
      <w:bookmarkStart w:id="1183" w:name="_Toc267251501"/>
      <w:bookmarkStart w:id="1184" w:name="_Toc267251515"/>
      <w:bookmarkStart w:id="1185" w:name="_Toc267251511"/>
      <w:r>
        <w:rPr>
          <w:rFonts w:hint="eastAsia"/>
          <w:kern w:val="2"/>
          <w:sz w:val="21"/>
          <w:szCs w:val="21"/>
        </w:rPr>
        <w:t>1</w:t>
      </w:r>
      <w:bookmarkStart w:id="1186" w:name="_Toc304295566"/>
      <w:bookmarkStart w:id="1187" w:name="_Toc292559398"/>
      <w:bookmarkStart w:id="1188" w:name="_Toc297216199"/>
      <w:bookmarkStart w:id="1189" w:name="_Toc292559903"/>
      <w:bookmarkStart w:id="1190" w:name="_Toc303539146"/>
      <w:bookmarkStart w:id="1191" w:name="_Toc297048379"/>
      <w:bookmarkStart w:id="1192" w:name="_Toc296347192"/>
      <w:bookmarkStart w:id="1193" w:name="_Toc297120493"/>
      <w:bookmarkStart w:id="1194" w:name="_Toc296891021"/>
      <w:bookmarkStart w:id="1195" w:name="_Toc296346694"/>
      <w:bookmarkStart w:id="1196" w:name="_Toc296503193"/>
      <w:bookmarkStart w:id="1197" w:name="_Toc296944532"/>
      <w:bookmarkStart w:id="1198" w:name="_Toc300934989"/>
      <w:bookmarkStart w:id="1199" w:name="_Toc297123540"/>
      <w:bookmarkStart w:id="1200" w:name="_Toc296891233"/>
      <w:bookmarkStart w:id="1201" w:name="_Toc312677499"/>
      <w:bookmarkStart w:id="1202" w:name="_Toc312678025"/>
      <w:bookmarkStart w:id="1203" w:name="_Toc267251437"/>
      <w:bookmarkStart w:id="1204" w:name="_Toc267251439"/>
      <w:bookmarkStart w:id="1205" w:name="_Toc267251435"/>
      <w:bookmarkStart w:id="1206" w:name="_Toc267251441"/>
      <w:bookmarkStart w:id="1207" w:name="_Toc267251433"/>
      <w:bookmarkStart w:id="1208" w:name="_Toc267251440"/>
      <w:r>
        <w:rPr>
          <w:rFonts w:hint="eastAsia"/>
          <w:kern w:val="2"/>
          <w:sz w:val="21"/>
          <w:szCs w:val="21"/>
        </w:rPr>
        <w:t>0. 变更</w:t>
      </w:r>
      <w:bookmarkEnd w:id="1154"/>
      <w:bookmarkEnd w:id="115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p>
    <w:bookmarkEnd w:id="1201"/>
    <w:bookmarkEnd w:id="1202"/>
    <w:p>
      <w:pPr>
        <w:pStyle w:val="7"/>
        <w:spacing w:before="0" w:beforeAutospacing="0" w:after="0" w:afterAutospacing="0" w:line="360" w:lineRule="auto"/>
        <w:ind w:firstLine="422" w:firstLineChars="200"/>
        <w:rPr>
          <w:sz w:val="21"/>
          <w:szCs w:val="21"/>
        </w:rPr>
      </w:pPr>
      <w:bookmarkStart w:id="1209" w:name="_Toc532375635"/>
      <w:bookmarkStart w:id="1210" w:name="_Toc532377371"/>
      <w:r>
        <w:rPr>
          <w:rFonts w:hint="eastAsia"/>
          <w:sz w:val="21"/>
          <w:szCs w:val="21"/>
        </w:rPr>
        <w:t>1</w:t>
      </w:r>
      <w:bookmarkStart w:id="1211" w:name="_Toc296347193"/>
      <w:bookmarkStart w:id="1212" w:name="_Toc296891234"/>
      <w:bookmarkStart w:id="1213" w:name="_Toc296346695"/>
      <w:bookmarkStart w:id="1214" w:name="_Toc296503194"/>
      <w:bookmarkStart w:id="1215" w:name="_Toc292559399"/>
      <w:bookmarkStart w:id="1216" w:name="_Toc296944533"/>
      <w:bookmarkStart w:id="1217" w:name="_Toc300934990"/>
      <w:bookmarkStart w:id="1218" w:name="_Toc312677500"/>
      <w:bookmarkStart w:id="1219" w:name="_Toc297123541"/>
      <w:bookmarkStart w:id="1220" w:name="_Toc312678026"/>
      <w:bookmarkStart w:id="1221" w:name="_Toc304295567"/>
      <w:bookmarkStart w:id="1222" w:name="_Toc303539147"/>
      <w:bookmarkStart w:id="1223" w:name="_Toc297120494"/>
      <w:bookmarkStart w:id="1224" w:name="_Toc292559904"/>
      <w:bookmarkStart w:id="1225" w:name="_Toc296891022"/>
      <w:bookmarkStart w:id="1226" w:name="_Toc297216200"/>
      <w:bookmarkStart w:id="1227" w:name="_Toc297048380"/>
      <w:r>
        <w:rPr>
          <w:rFonts w:hint="eastAsia"/>
          <w:sz w:val="21"/>
          <w:szCs w:val="21"/>
        </w:rPr>
        <w:t>0.1变更的范围</w:t>
      </w:r>
      <w:bookmarkEnd w:id="1209"/>
      <w:bookmarkEnd w:id="1210"/>
    </w:p>
    <w:p>
      <w:pPr>
        <w:spacing w:line="360" w:lineRule="auto"/>
        <w:ind w:firstLine="420" w:firstLineChars="200"/>
        <w:jc w:val="left"/>
        <w:rPr>
          <w:rFonts w:ascii="宋体" w:hAnsi="宋体"/>
          <w:szCs w:val="21"/>
        </w:rPr>
      </w:pPr>
      <w:r>
        <w:rPr>
          <w:rFonts w:hint="eastAsia" w:ascii="宋体" w:hAnsi="宋体"/>
          <w:szCs w:val="21"/>
        </w:rPr>
        <w:t>关于变更范围的约定：</w:t>
      </w:r>
    </w:p>
    <w:p>
      <w:pPr>
        <w:spacing w:line="360" w:lineRule="auto"/>
        <w:ind w:firstLine="420" w:firstLineChars="200"/>
        <w:jc w:val="left"/>
        <w:rPr>
          <w:rFonts w:ascii="宋体" w:hAnsi="宋体"/>
          <w:szCs w:val="21"/>
        </w:rPr>
      </w:pPr>
      <w:r>
        <w:rPr>
          <w:rFonts w:hint="eastAsia" w:ascii="宋体" w:hAnsi="宋体"/>
          <w:szCs w:val="21"/>
        </w:rPr>
        <w:t>（1）增加或减少合同中任何工作，或追加额外的工作；</w:t>
      </w:r>
    </w:p>
    <w:p>
      <w:pPr>
        <w:spacing w:line="360" w:lineRule="auto"/>
        <w:ind w:firstLine="420" w:firstLineChars="200"/>
        <w:jc w:val="left"/>
        <w:rPr>
          <w:rFonts w:ascii="宋体" w:hAnsi="宋体"/>
          <w:szCs w:val="21"/>
        </w:rPr>
      </w:pPr>
      <w:r>
        <w:rPr>
          <w:rFonts w:hint="eastAsia" w:ascii="宋体" w:hAnsi="宋体"/>
          <w:szCs w:val="21"/>
        </w:rPr>
        <w:t>（2）取消合同中任何工作；</w:t>
      </w:r>
    </w:p>
    <w:p>
      <w:pPr>
        <w:spacing w:line="360" w:lineRule="auto"/>
        <w:ind w:firstLine="420" w:firstLineChars="200"/>
        <w:jc w:val="left"/>
        <w:rPr>
          <w:rFonts w:ascii="宋体" w:hAnsi="宋体"/>
          <w:szCs w:val="21"/>
        </w:rPr>
      </w:pPr>
      <w:r>
        <w:rPr>
          <w:rFonts w:hint="eastAsia" w:ascii="宋体" w:hAnsi="宋体"/>
          <w:szCs w:val="21"/>
        </w:rPr>
        <w:t>（3）改变合同中任何工作的质量标准或其他特性；</w:t>
      </w:r>
    </w:p>
    <w:p>
      <w:pPr>
        <w:spacing w:line="360" w:lineRule="auto"/>
        <w:ind w:firstLine="420" w:firstLineChars="200"/>
        <w:jc w:val="left"/>
        <w:rPr>
          <w:rFonts w:ascii="宋体" w:hAnsi="宋体"/>
          <w:szCs w:val="21"/>
        </w:rPr>
      </w:pPr>
      <w:r>
        <w:rPr>
          <w:rFonts w:hint="eastAsia" w:ascii="宋体" w:hAnsi="宋体"/>
          <w:szCs w:val="21"/>
        </w:rPr>
        <w:t>（4）改变工程的基线、标高、位置和尺寸；</w:t>
      </w:r>
    </w:p>
    <w:p>
      <w:pPr>
        <w:spacing w:line="360" w:lineRule="auto"/>
        <w:ind w:firstLine="420" w:firstLineChars="200"/>
        <w:jc w:val="left"/>
        <w:rPr>
          <w:rFonts w:ascii="宋体" w:hAnsi="宋体"/>
          <w:szCs w:val="21"/>
        </w:rPr>
      </w:pPr>
      <w:r>
        <w:rPr>
          <w:rFonts w:hint="eastAsia" w:ascii="宋体" w:hAnsi="宋体"/>
          <w:szCs w:val="21"/>
        </w:rPr>
        <w:t>（5）适用于工程的标准和（或）规范变化导致需要对工程进行改变，且该改变导致工期和（或）费用变化的；</w:t>
      </w:r>
    </w:p>
    <w:p>
      <w:pPr>
        <w:spacing w:line="360" w:lineRule="auto"/>
        <w:ind w:firstLine="420" w:firstLineChars="200"/>
        <w:jc w:val="left"/>
        <w:rPr>
          <w:rFonts w:ascii="宋体" w:hAnsi="宋体"/>
          <w:szCs w:val="21"/>
        </w:rPr>
      </w:pPr>
      <w:r>
        <w:rPr>
          <w:rFonts w:hint="eastAsia" w:ascii="宋体" w:hAnsi="宋体"/>
          <w:szCs w:val="21"/>
        </w:rPr>
        <w:t>（6）勘察设计变更；</w:t>
      </w:r>
    </w:p>
    <w:p>
      <w:pPr>
        <w:spacing w:line="360" w:lineRule="auto"/>
        <w:ind w:firstLine="420" w:firstLineChars="200"/>
        <w:jc w:val="left"/>
        <w:rPr>
          <w:rFonts w:ascii="宋体" w:hAnsi="宋体"/>
          <w:szCs w:val="21"/>
        </w:rPr>
      </w:pPr>
      <w:r>
        <w:rPr>
          <w:rFonts w:hint="eastAsia" w:ascii="宋体" w:hAnsi="宋体"/>
          <w:szCs w:val="21"/>
        </w:rPr>
        <w:t>（7）实施内容变更，包括因设计变更和非设计变更引起的实施地点、投资规模、结构型式、采购数量、服务内容等进行的调整，以及因此导致的合同价格、工期变更；</w:t>
      </w:r>
    </w:p>
    <w:p>
      <w:pPr>
        <w:spacing w:line="360" w:lineRule="auto"/>
        <w:ind w:firstLine="420" w:firstLineChars="200"/>
        <w:jc w:val="left"/>
        <w:rPr>
          <w:rFonts w:ascii="宋体" w:hAnsi="宋体"/>
          <w:szCs w:val="21"/>
        </w:rPr>
      </w:pPr>
      <w:r>
        <w:rPr>
          <w:rFonts w:hint="eastAsia" w:ascii="宋体" w:hAnsi="宋体"/>
          <w:szCs w:val="21"/>
        </w:rPr>
        <w:t>（8）项目管理人员变更；</w:t>
      </w:r>
    </w:p>
    <w:p>
      <w:pPr>
        <w:spacing w:line="360" w:lineRule="auto"/>
        <w:ind w:firstLine="420" w:firstLineChars="200"/>
        <w:jc w:val="left"/>
        <w:rPr>
          <w:rFonts w:ascii="宋体" w:hAnsi="宋体"/>
          <w:szCs w:val="21"/>
        </w:rPr>
      </w:pPr>
      <w:r>
        <w:rPr>
          <w:rFonts w:hint="eastAsia" w:ascii="宋体" w:hAnsi="宋体"/>
          <w:szCs w:val="21"/>
        </w:rPr>
        <w:t>（9）因人工、原材料等价格变化导致的合同总价变更；</w:t>
      </w:r>
    </w:p>
    <w:p>
      <w:pPr>
        <w:spacing w:line="360" w:lineRule="auto"/>
        <w:ind w:firstLine="420" w:firstLineChars="200"/>
        <w:jc w:val="left"/>
        <w:rPr>
          <w:rFonts w:ascii="宋体" w:hAnsi="宋体"/>
          <w:szCs w:val="21"/>
        </w:rPr>
      </w:pPr>
      <w:r>
        <w:rPr>
          <w:rFonts w:hint="eastAsia" w:ascii="宋体" w:hAnsi="宋体"/>
          <w:szCs w:val="21"/>
        </w:rPr>
        <w:t>（10）非实施内容变化导致的工期变更；</w:t>
      </w:r>
    </w:p>
    <w:p>
      <w:pPr>
        <w:spacing w:line="360" w:lineRule="auto"/>
        <w:ind w:firstLine="420" w:firstLineChars="200"/>
        <w:jc w:val="left"/>
        <w:rPr>
          <w:rFonts w:ascii="宋体" w:hAnsi="宋体"/>
          <w:szCs w:val="21"/>
        </w:rPr>
      </w:pPr>
      <w:r>
        <w:rPr>
          <w:rFonts w:hint="eastAsia" w:ascii="宋体" w:hAnsi="宋体"/>
          <w:szCs w:val="21"/>
        </w:rPr>
        <w:t>（11）</w:t>
      </w:r>
      <w:r>
        <w:rPr>
          <w:rFonts w:hint="eastAsia" w:ascii="宋体" w:hAnsi="宋体"/>
          <w:szCs w:val="21"/>
          <w:u w:val="single"/>
        </w:rPr>
        <w:t xml:space="preserve">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合同变更应当符合国家法律法规、强制标准和技术规范的要求，且合同变更后更加有利于工程的建设、运营、安全、节约资金、保护生态环境或者实现功能要求。发包人对项目合同变更承担主体责任。项目合同变更后，发包人应当与承包人签订补充协议。项目合同变更应当按照《重庆市政府投资项目合同变更管理暂行办法》要求进行信息公开。项目合同变更未获得通过的，发包人和承包人均不得擅自变更原合同约定事项，且不得就同一理由同一事项再提出变更。</w:t>
      </w:r>
    </w:p>
    <w:p>
      <w:pPr>
        <w:spacing w:line="360" w:lineRule="auto"/>
        <w:ind w:firstLine="420" w:firstLineChars="200"/>
        <w:jc w:val="left"/>
        <w:rPr>
          <w:rFonts w:ascii="宋体" w:hAnsi="宋体"/>
          <w:szCs w:val="21"/>
          <w:u w:val="single"/>
        </w:rPr>
      </w:pPr>
      <w:r>
        <w:rPr>
          <w:rFonts w:hint="eastAsia" w:ascii="宋体" w:hAnsi="宋体"/>
          <w:szCs w:val="21"/>
        </w:rPr>
        <w:t>承包人对其提供的材料、工程设备、施工、无负荷试车、热负荷试车及图纸参数存在的缺陷，自费修正、调整和完善，不属于变更。</w:t>
      </w:r>
    </w:p>
    <w:p>
      <w:pPr>
        <w:pStyle w:val="7"/>
        <w:spacing w:before="0" w:beforeAutospacing="0" w:after="0" w:afterAutospacing="0" w:line="360" w:lineRule="auto"/>
        <w:ind w:firstLine="422" w:firstLineChars="200"/>
        <w:rPr>
          <w:sz w:val="21"/>
          <w:szCs w:val="21"/>
        </w:rPr>
      </w:pPr>
      <w:bookmarkStart w:id="1228" w:name="_Toc351203569"/>
      <w:bookmarkStart w:id="1229" w:name="_Toc532377372"/>
      <w:bookmarkStart w:id="1230" w:name="_Toc532375636"/>
      <w:r>
        <w:rPr>
          <w:rFonts w:hint="eastAsia"/>
          <w:sz w:val="21"/>
          <w:szCs w:val="21"/>
        </w:rPr>
        <w:t>1</w:t>
      </w:r>
      <w:bookmarkStart w:id="1231" w:name="_Toc337558789"/>
      <w:bookmarkStart w:id="1232" w:name="_Toc296346586"/>
      <w:bookmarkStart w:id="1233" w:name="_Toc296503085"/>
      <w:r>
        <w:rPr>
          <w:rFonts w:hint="eastAsia"/>
          <w:sz w:val="21"/>
          <w:szCs w:val="21"/>
        </w:rPr>
        <w:t>0.2变更权</w:t>
      </w:r>
      <w:bookmarkEnd w:id="1228"/>
      <w:bookmarkEnd w:id="1229"/>
      <w:bookmarkEnd w:id="1230"/>
    </w:p>
    <w:bookmarkEnd w:id="1231"/>
    <w:bookmarkEnd w:id="1232"/>
    <w:bookmarkEnd w:id="1233"/>
    <w:p>
      <w:pPr>
        <w:spacing w:line="360" w:lineRule="auto"/>
        <w:ind w:firstLine="420" w:firstLineChars="200"/>
        <w:jc w:val="left"/>
        <w:rPr>
          <w:rFonts w:ascii="宋体" w:hAnsi="宋体"/>
          <w:szCs w:val="21"/>
        </w:rPr>
      </w:pPr>
      <w:r>
        <w:rPr>
          <w:rFonts w:hint="eastAsia" w:ascii="宋体" w:hAnsi="宋体"/>
          <w:szCs w:val="21"/>
        </w:rPr>
        <w:t>10.2.1发包人和监理人提出变更</w:t>
      </w:r>
    </w:p>
    <w:p>
      <w:pPr>
        <w:spacing w:line="360" w:lineRule="auto"/>
        <w:ind w:firstLine="420" w:firstLineChars="200"/>
        <w:jc w:val="left"/>
        <w:rPr>
          <w:rFonts w:ascii="宋体" w:hAnsi="宋体"/>
          <w:szCs w:val="21"/>
        </w:rPr>
      </w:pPr>
      <w:r>
        <w:rPr>
          <w:rFonts w:hint="eastAsia" w:ascii="宋体" w:hAnsi="宋体"/>
          <w:szCs w:val="21"/>
        </w:rPr>
        <w:t>发包人和监理人均可以提出变更。变更指示均通过监理人以书面形式发出，监理人发出变更指示前应征得发包人同意。承包人收到经发包人签认的变更指示后，方可实施变更。未取得经发包人签认的变更指示，承包人不得实施任何变更。</w:t>
      </w:r>
    </w:p>
    <w:p>
      <w:pPr>
        <w:spacing w:line="360" w:lineRule="auto"/>
        <w:ind w:firstLine="420" w:firstLineChars="200"/>
        <w:jc w:val="left"/>
        <w:rPr>
          <w:rFonts w:ascii="宋体" w:hAnsi="宋体"/>
          <w:szCs w:val="21"/>
          <w:u w:val="single"/>
        </w:rPr>
      </w:pPr>
      <w:r>
        <w:rPr>
          <w:rFonts w:hint="eastAsia" w:ascii="宋体" w:hAnsi="宋体"/>
          <w:szCs w:val="21"/>
        </w:rPr>
        <w:t>涉及设计变更的，应由设计人提供变更后的图纸和说明，交由发包人同意后由监理人以书面形式发出。如变更超过原设计标准或批准的建设规模时，由发包人及时办理规划、设计变更等审批手续。</w:t>
      </w:r>
    </w:p>
    <w:p>
      <w:pPr>
        <w:spacing w:line="360" w:lineRule="auto"/>
        <w:ind w:firstLine="420" w:firstLineChars="200"/>
        <w:jc w:val="left"/>
        <w:rPr>
          <w:rFonts w:ascii="宋体" w:hAnsi="宋体"/>
          <w:szCs w:val="21"/>
        </w:rPr>
      </w:pPr>
      <w:r>
        <w:rPr>
          <w:rFonts w:hint="eastAsia" w:ascii="宋体" w:hAnsi="宋体"/>
          <w:szCs w:val="21"/>
        </w:rPr>
        <w:t>若出现重大设计变更，变更后的内容超出承包人资质或能力范围的，发包人将另行依法招标选择承包单位，无需征得承包人同意。</w:t>
      </w:r>
    </w:p>
    <w:p>
      <w:pPr>
        <w:spacing w:line="360" w:lineRule="auto"/>
        <w:ind w:firstLine="420" w:firstLineChars="200"/>
        <w:jc w:val="left"/>
        <w:rPr>
          <w:rFonts w:ascii="宋体" w:hAnsi="宋体"/>
          <w:szCs w:val="21"/>
        </w:rPr>
      </w:pPr>
      <w:r>
        <w:rPr>
          <w:rFonts w:hint="eastAsia" w:ascii="宋体" w:hAnsi="宋体"/>
          <w:szCs w:val="21"/>
        </w:rPr>
        <w:t>10.2.2 承包人提出变更建议</w:t>
      </w:r>
    </w:p>
    <w:p>
      <w:pPr>
        <w:spacing w:line="360" w:lineRule="auto"/>
        <w:ind w:firstLine="420" w:firstLineChars="200"/>
        <w:jc w:val="left"/>
        <w:rPr>
          <w:rFonts w:ascii="宋体" w:hAnsi="宋体"/>
          <w:szCs w:val="21"/>
        </w:rPr>
      </w:pPr>
      <w:r>
        <w:rPr>
          <w:rFonts w:hint="eastAsia" w:ascii="宋体" w:hAnsi="宋体"/>
          <w:szCs w:val="21"/>
        </w:rPr>
        <w:t>承包人可以向发包人提交书面变更建议，应当以承包人单位名义书面向发包人提出申请，详细说明变更的内容、理由，以及该变更对项目的工期、投资、质量、安全、运营管理、生态环境等的影响，客观反映项目合同变更的必要性和可行性，包括：</w:t>
      </w:r>
      <w:r>
        <w:rPr>
          <w:rFonts w:hint="eastAsia" w:ascii="宋体" w:hAnsi="宋体"/>
          <w:szCs w:val="21"/>
          <w:u w:val="single"/>
        </w:rPr>
        <w:t>缩短工期，降低发包人的工程、施工、维护、营运的费用，提高竣工工程的效率或价值，给发包人带来的长远利益和其他利益。发包人接到此类建议后，可以选择：不采纳/采纳/补充进一步资料的书面通知</w:t>
      </w:r>
      <w:r>
        <w:rPr>
          <w:rFonts w:hint="eastAsia" w:ascii="宋体" w:hAnsi="宋体"/>
          <w:szCs w:val="21"/>
        </w:rPr>
        <w:t>。</w:t>
      </w:r>
    </w:p>
    <w:p>
      <w:pPr>
        <w:autoSpaceDE w:val="0"/>
        <w:autoSpaceDN w:val="0"/>
        <w:spacing w:line="360" w:lineRule="auto"/>
        <w:ind w:firstLine="420" w:firstLineChars="200"/>
        <w:jc w:val="left"/>
        <w:rPr>
          <w:rFonts w:ascii="宋体" w:hAnsi="宋体"/>
          <w:szCs w:val="21"/>
          <w:u w:val="single"/>
        </w:rPr>
      </w:pPr>
      <w:r>
        <w:rPr>
          <w:rFonts w:hint="eastAsia" w:ascii="宋体" w:hAnsi="宋体"/>
          <w:szCs w:val="21"/>
        </w:rPr>
        <w:t>如果发包人对承包人已实施的施工项目在发出重大设计变更之前要求承包人提出一份建议，那么，承包人应尽快提出：</w:t>
      </w:r>
    </w:p>
    <w:p>
      <w:pPr>
        <w:autoSpaceDE w:val="0"/>
        <w:autoSpaceDN w:val="0"/>
        <w:spacing w:line="360" w:lineRule="auto"/>
        <w:ind w:firstLine="420" w:firstLineChars="200"/>
        <w:jc w:val="left"/>
        <w:rPr>
          <w:rFonts w:ascii="宋体" w:hAnsi="宋体"/>
          <w:szCs w:val="21"/>
        </w:rPr>
      </w:pPr>
      <w:r>
        <w:rPr>
          <w:rFonts w:hint="eastAsia" w:ascii="宋体" w:hAnsi="宋体"/>
          <w:szCs w:val="21"/>
          <w:u w:val="single"/>
        </w:rPr>
        <w:t>（1）对所提方案和（或）待做工作及其实施计划的说明</w:t>
      </w:r>
      <w:r>
        <w:rPr>
          <w:rFonts w:hint="eastAsia" w:ascii="宋体" w:hAnsi="宋体"/>
          <w:szCs w:val="21"/>
        </w:rPr>
        <w:t>；</w:t>
      </w:r>
    </w:p>
    <w:p>
      <w:pPr>
        <w:autoSpaceDE w:val="0"/>
        <w:autoSpaceDN w:val="0"/>
        <w:spacing w:line="360" w:lineRule="auto"/>
        <w:ind w:firstLine="420" w:firstLineChars="200"/>
        <w:jc w:val="left"/>
        <w:rPr>
          <w:rFonts w:ascii="宋体" w:hAnsi="宋体"/>
          <w:szCs w:val="21"/>
        </w:rPr>
      </w:pPr>
      <w:r>
        <w:rPr>
          <w:rFonts w:hint="eastAsia" w:ascii="宋体" w:hAnsi="宋体"/>
          <w:szCs w:val="21"/>
          <w:u w:val="single"/>
        </w:rPr>
        <w:t>（2）承包人按照对工程进度计划进行必要修改的建议</w:t>
      </w:r>
      <w:r>
        <w:rPr>
          <w:rFonts w:hint="eastAsia" w:ascii="宋体" w:hAnsi="宋体"/>
          <w:szCs w:val="21"/>
        </w:rPr>
        <w:t>；</w:t>
      </w:r>
    </w:p>
    <w:p>
      <w:pPr>
        <w:autoSpaceDE w:val="0"/>
        <w:autoSpaceDN w:val="0"/>
        <w:spacing w:line="360" w:lineRule="auto"/>
        <w:ind w:firstLine="420" w:firstLineChars="200"/>
        <w:jc w:val="left"/>
        <w:rPr>
          <w:rFonts w:ascii="宋体" w:hAnsi="宋体"/>
          <w:szCs w:val="21"/>
        </w:rPr>
      </w:pPr>
      <w:r>
        <w:rPr>
          <w:rFonts w:hint="eastAsia" w:ascii="宋体" w:hAnsi="宋体"/>
          <w:szCs w:val="21"/>
          <w:u w:val="single"/>
        </w:rPr>
        <w:t>（3）承包人发生较大返工损失增加费用的建议</w:t>
      </w:r>
      <w:r>
        <w:rPr>
          <w:rFonts w:hint="eastAsia" w:ascii="宋体" w:hAnsi="宋体"/>
          <w:szCs w:val="21"/>
        </w:rPr>
        <w:t>。</w:t>
      </w:r>
    </w:p>
    <w:p>
      <w:pPr>
        <w:autoSpaceDE w:val="0"/>
        <w:autoSpaceDN w:val="0"/>
        <w:spacing w:line="360" w:lineRule="auto"/>
        <w:ind w:firstLine="420" w:firstLineChars="200"/>
        <w:jc w:val="left"/>
        <w:rPr>
          <w:rFonts w:ascii="宋体" w:hAnsi="宋体"/>
          <w:szCs w:val="21"/>
          <w:u w:val="single"/>
        </w:rPr>
      </w:pPr>
      <w:r>
        <w:rPr>
          <w:rFonts w:hint="eastAsia" w:ascii="宋体" w:hAnsi="宋体"/>
          <w:szCs w:val="21"/>
          <w:u w:val="single"/>
        </w:rPr>
        <w:t>发包人在收到上述建议书后，应尽快给予批准、否决或提出意见</w:t>
      </w:r>
      <w:r>
        <w:rPr>
          <w:rFonts w:hint="eastAsia" w:ascii="宋体" w:hAnsi="宋体"/>
          <w:szCs w:val="21"/>
        </w:rPr>
        <w:t>。</w:t>
      </w:r>
    </w:p>
    <w:p>
      <w:pPr>
        <w:pStyle w:val="7"/>
        <w:spacing w:before="0" w:beforeAutospacing="0" w:after="0" w:afterAutospacing="0" w:line="360" w:lineRule="auto"/>
        <w:ind w:firstLine="422" w:firstLineChars="200"/>
        <w:rPr>
          <w:sz w:val="21"/>
          <w:szCs w:val="21"/>
        </w:rPr>
      </w:pPr>
      <w:bookmarkStart w:id="1234" w:name="_Toc532375637"/>
      <w:bookmarkStart w:id="1235" w:name="_Toc532377373"/>
      <w:bookmarkStart w:id="1236" w:name="_Toc351203570"/>
      <w:bookmarkStart w:id="1237" w:name="_Hlk528928195"/>
      <w:r>
        <w:rPr>
          <w:rFonts w:hint="eastAsia"/>
          <w:sz w:val="21"/>
          <w:szCs w:val="21"/>
        </w:rPr>
        <w:t>1</w:t>
      </w:r>
      <w:bookmarkStart w:id="1238" w:name="_Toc296346587"/>
      <w:bookmarkStart w:id="1239" w:name="_Toc337558790"/>
      <w:bookmarkStart w:id="1240" w:name="_Toc296503086"/>
      <w:r>
        <w:rPr>
          <w:rFonts w:hint="eastAsia"/>
          <w:sz w:val="21"/>
          <w:szCs w:val="21"/>
        </w:rPr>
        <w:t>0.3变更程序</w:t>
      </w:r>
      <w:bookmarkEnd w:id="1234"/>
      <w:bookmarkEnd w:id="1235"/>
    </w:p>
    <w:bookmarkEnd w:id="1238"/>
    <w:bookmarkEnd w:id="1239"/>
    <w:bookmarkEnd w:id="1240"/>
    <w:p>
      <w:pPr>
        <w:autoSpaceDE w:val="0"/>
        <w:autoSpaceDN w:val="0"/>
        <w:spacing w:line="360" w:lineRule="auto"/>
        <w:ind w:firstLine="420" w:firstLineChars="200"/>
        <w:jc w:val="left"/>
        <w:rPr>
          <w:rFonts w:ascii="宋体" w:hAnsi="宋体"/>
          <w:szCs w:val="21"/>
        </w:rPr>
      </w:pPr>
      <w:bookmarkStart w:id="1241" w:name="_Hlk524353972"/>
      <w:r>
        <w:rPr>
          <w:rFonts w:hint="eastAsia" w:ascii="宋体" w:hAnsi="宋体"/>
          <w:szCs w:val="21"/>
        </w:rPr>
        <w:t>10.3.3 变更执行</w:t>
      </w:r>
    </w:p>
    <w:p>
      <w:pPr>
        <w:autoSpaceDE w:val="0"/>
        <w:autoSpaceDN w:val="0"/>
        <w:spacing w:line="360" w:lineRule="auto"/>
        <w:ind w:firstLine="420" w:firstLineChars="200"/>
        <w:jc w:val="left"/>
        <w:rPr>
          <w:rFonts w:ascii="宋体" w:hAnsi="宋体"/>
          <w:szCs w:val="21"/>
        </w:rPr>
      </w:pPr>
      <w:r>
        <w:rPr>
          <w:rFonts w:hint="eastAsia" w:ascii="宋体" w:hAnsi="宋体"/>
          <w:szCs w:val="21"/>
        </w:rPr>
        <w:t>一般设计变更：承包人收到监理人下达的变更指示后，应按照监理人下达的变更指示执行，并书面说明实施该变更指示对合同价格和工期的影响，按照第10.4.1项〔变更估价原则〕约定执行。</w:t>
      </w:r>
    </w:p>
    <w:p>
      <w:pPr>
        <w:autoSpaceDE w:val="0"/>
        <w:autoSpaceDN w:val="0"/>
        <w:spacing w:line="360" w:lineRule="auto"/>
        <w:ind w:firstLine="420" w:firstLineChars="200"/>
        <w:jc w:val="left"/>
        <w:rPr>
          <w:rFonts w:ascii="宋体" w:hAnsi="宋体"/>
          <w:szCs w:val="21"/>
        </w:rPr>
      </w:pPr>
      <w:r>
        <w:rPr>
          <w:rFonts w:hint="eastAsia" w:ascii="宋体" w:hAnsi="宋体"/>
          <w:szCs w:val="21"/>
        </w:rPr>
        <w:t>重大设计变更：需经设计人、监理人和发包人三方签名认可并报相关行业部门审查同意后实施。</w:t>
      </w:r>
    </w:p>
    <w:p>
      <w:pPr>
        <w:autoSpaceDE w:val="0"/>
        <w:autoSpaceDN w:val="0"/>
        <w:spacing w:line="360" w:lineRule="auto"/>
        <w:ind w:firstLine="420" w:firstLineChars="200"/>
        <w:jc w:val="left"/>
        <w:rPr>
          <w:rFonts w:ascii="宋体" w:hAnsi="宋体"/>
          <w:szCs w:val="21"/>
          <w:u w:val="single"/>
        </w:rPr>
      </w:pPr>
      <w:r>
        <w:rPr>
          <w:rFonts w:hint="eastAsia" w:ascii="宋体" w:hAnsi="宋体"/>
          <w:szCs w:val="21"/>
          <w:u w:val="single"/>
        </w:rPr>
        <w:t>10.3.3 项增加以下内容：</w:t>
      </w:r>
    </w:p>
    <w:p>
      <w:pPr>
        <w:autoSpaceDE w:val="0"/>
        <w:autoSpaceDN w:val="0"/>
        <w:spacing w:line="360" w:lineRule="auto"/>
        <w:ind w:firstLine="420" w:firstLineChars="200"/>
        <w:jc w:val="left"/>
        <w:rPr>
          <w:rFonts w:ascii="宋体" w:hAnsi="宋体"/>
          <w:szCs w:val="21"/>
          <w:u w:val="single"/>
        </w:rPr>
      </w:pPr>
      <w:r>
        <w:rPr>
          <w:rFonts w:hint="eastAsia" w:ascii="宋体" w:hAnsi="宋体"/>
          <w:szCs w:val="21"/>
          <w:u w:val="single"/>
        </w:rPr>
        <w:t>合同变更提出后，应当首先由发包人组织相关单位、专家进行论证。经论证确需变更的，发包人按照《重庆市政府投资项目合同变更管理暂行办法》规定的程序自行决策或者报批；经论证不需要变更的，继续按合同执行。</w:t>
      </w:r>
    </w:p>
    <w:p>
      <w:pPr>
        <w:autoSpaceDE w:val="0"/>
        <w:autoSpaceDN w:val="0"/>
        <w:spacing w:line="360" w:lineRule="auto"/>
        <w:ind w:firstLine="420" w:firstLineChars="200"/>
        <w:jc w:val="left"/>
        <w:rPr>
          <w:rFonts w:ascii="宋体" w:hAnsi="宋体"/>
          <w:szCs w:val="21"/>
          <w:u w:val="single"/>
        </w:rPr>
      </w:pPr>
      <w:r>
        <w:rPr>
          <w:rFonts w:hint="eastAsia" w:ascii="宋体" w:hAnsi="宋体"/>
          <w:szCs w:val="21"/>
          <w:u w:val="single"/>
        </w:rPr>
        <w:t>项目的勘察设计、实施内容等作较大变更的，应当按照规定的程序报原审批部门审批；变更导致总投资超概的，应当报原投资概算核定部门核定。</w:t>
      </w:r>
    </w:p>
    <w:p>
      <w:pPr>
        <w:autoSpaceDE w:val="0"/>
        <w:autoSpaceDN w:val="0"/>
        <w:spacing w:line="360" w:lineRule="auto"/>
        <w:ind w:firstLine="420" w:firstLineChars="200"/>
        <w:jc w:val="left"/>
        <w:rPr>
          <w:rFonts w:ascii="宋体" w:hAnsi="宋体"/>
          <w:szCs w:val="21"/>
          <w:u w:val="single"/>
        </w:rPr>
      </w:pPr>
      <w:r>
        <w:rPr>
          <w:rFonts w:hint="eastAsia" w:ascii="宋体" w:hAnsi="宋体"/>
          <w:szCs w:val="21"/>
          <w:u w:val="single"/>
        </w:rPr>
        <w:t>项目管理人员变更的，应当经发包人领导班子集体决策同意，并将变更信息推送给行业主管部门。变更后的项目管理人员应当符合招标文件和行业主管部门的相关规定。</w:t>
      </w:r>
    </w:p>
    <w:p>
      <w:pPr>
        <w:autoSpaceDE w:val="0"/>
        <w:autoSpaceDN w:val="0"/>
        <w:spacing w:line="360" w:lineRule="auto"/>
        <w:ind w:firstLine="420" w:firstLineChars="200"/>
        <w:jc w:val="left"/>
        <w:rPr>
          <w:rFonts w:ascii="宋体" w:hAnsi="宋体"/>
          <w:szCs w:val="21"/>
          <w:u w:val="single"/>
        </w:rPr>
      </w:pPr>
      <w:r>
        <w:rPr>
          <w:rFonts w:hint="eastAsia" w:ascii="宋体" w:hAnsi="宋体"/>
          <w:szCs w:val="21"/>
          <w:u w:val="single"/>
        </w:rPr>
        <w:t>因人工、原材料市场价格发生大幅度变化导致的合同总价变更，由发包人与承包人按照合同进行变更，并将变更信息推送给行业主管部门。</w:t>
      </w:r>
    </w:p>
    <w:p>
      <w:pPr>
        <w:autoSpaceDE w:val="0"/>
        <w:autoSpaceDN w:val="0"/>
        <w:spacing w:line="360" w:lineRule="auto"/>
        <w:ind w:firstLine="420" w:firstLineChars="200"/>
        <w:jc w:val="left"/>
        <w:rPr>
          <w:rFonts w:ascii="宋体" w:hAnsi="宋体"/>
          <w:szCs w:val="21"/>
          <w:u w:val="single"/>
        </w:rPr>
      </w:pPr>
      <w:r>
        <w:rPr>
          <w:rFonts w:hint="eastAsia" w:ascii="宋体" w:hAnsi="宋体"/>
          <w:szCs w:val="21"/>
          <w:u w:val="single"/>
        </w:rPr>
        <w:t>项目实施内容无变更，因不可抗力导致的工期变更，由发包人领导班子集体决策同意，并将变更信息推送给行业主管部门；因项目实施内容变更导致的工期变更，与项目实施内容变更一并办理。</w:t>
      </w:r>
    </w:p>
    <w:p>
      <w:pPr>
        <w:autoSpaceDE w:val="0"/>
        <w:autoSpaceDN w:val="0"/>
        <w:spacing w:line="360" w:lineRule="auto"/>
        <w:ind w:firstLine="420" w:firstLineChars="200"/>
        <w:jc w:val="left"/>
        <w:rPr>
          <w:rFonts w:ascii="宋体" w:hAnsi="宋体"/>
          <w:szCs w:val="21"/>
          <w:u w:val="single"/>
        </w:rPr>
      </w:pPr>
      <w:r>
        <w:rPr>
          <w:rFonts w:hint="eastAsia" w:ascii="宋体" w:hAnsi="宋体"/>
          <w:szCs w:val="21"/>
          <w:u w:val="single"/>
        </w:rPr>
        <w:t>项目合同变更后，增加的实施内容达到依法必须招标的规模标准的，增加的部分应当依法通过招标选择承包单位。</w:t>
      </w:r>
    </w:p>
    <w:bookmarkEnd w:id="1236"/>
    <w:bookmarkEnd w:id="1237"/>
    <w:bookmarkEnd w:id="1241"/>
    <w:p>
      <w:pPr>
        <w:pStyle w:val="7"/>
        <w:spacing w:before="0" w:beforeAutospacing="0" w:after="0" w:afterAutospacing="0" w:line="360" w:lineRule="auto"/>
        <w:ind w:firstLine="422" w:firstLineChars="200"/>
        <w:rPr>
          <w:sz w:val="21"/>
          <w:szCs w:val="21"/>
        </w:rPr>
      </w:pPr>
      <w:bookmarkStart w:id="1242" w:name="_Toc532375638"/>
      <w:bookmarkStart w:id="1243" w:name="_Toc532377374"/>
      <w:r>
        <w:rPr>
          <w:rFonts w:hint="eastAsia"/>
          <w:sz w:val="21"/>
          <w:szCs w:val="21"/>
        </w:rPr>
        <w:t>10.4 变更估价</w:t>
      </w:r>
      <w:bookmarkEnd w:id="1242"/>
      <w:bookmarkEnd w:id="1243"/>
    </w:p>
    <w:p>
      <w:pPr>
        <w:spacing w:line="360" w:lineRule="auto"/>
        <w:ind w:firstLine="420" w:firstLineChars="200"/>
        <w:jc w:val="left"/>
        <w:rPr>
          <w:rFonts w:ascii="宋体" w:hAnsi="宋体"/>
          <w:szCs w:val="21"/>
        </w:rPr>
      </w:pPr>
      <w:bookmarkStart w:id="1244" w:name="_Hlk524296629"/>
      <w:r>
        <w:rPr>
          <w:rFonts w:hint="eastAsia" w:ascii="宋体" w:hAnsi="宋体"/>
          <w:szCs w:val="21"/>
        </w:rPr>
        <w:t>10.4.1 变更估价原则</w:t>
      </w:r>
    </w:p>
    <w:p>
      <w:pPr>
        <w:pStyle w:val="2"/>
        <w:spacing w:after="0" w:line="360" w:lineRule="auto"/>
        <w:ind w:firstLine="420" w:firstLineChars="200"/>
        <w:jc w:val="left"/>
        <w:rPr>
          <w:rFonts w:ascii="宋体" w:hAnsi="宋体"/>
          <w:szCs w:val="21"/>
          <w:u w:val="single"/>
        </w:rPr>
      </w:pPr>
      <w:r>
        <w:rPr>
          <w:rFonts w:hint="eastAsia" w:ascii="宋体" w:hAnsi="宋体"/>
          <w:szCs w:val="21"/>
        </w:rPr>
        <w:t>当发生工程变更时，工程量按</w:t>
      </w:r>
      <w:r>
        <w:rPr>
          <w:rFonts w:hint="eastAsia" w:ascii="宋体" w:hAnsi="宋体"/>
          <w:szCs w:val="21"/>
          <w:u w:val="single"/>
        </w:rPr>
        <w:t xml:space="preserve">        </w:t>
      </w:r>
      <w:r>
        <w:rPr>
          <w:rFonts w:hint="eastAsia" w:ascii="宋体" w:hAnsi="宋体"/>
          <w:szCs w:val="21"/>
        </w:rPr>
        <w:t>规定的计算规则及已标价工程量清单规定的工程量计算规则计量，按以下办法计价：</w:t>
      </w:r>
      <w:bookmarkStart w:id="1245" w:name="_Hlk524770102"/>
    </w:p>
    <w:bookmarkEnd w:id="1245"/>
    <w:p>
      <w:pPr>
        <w:spacing w:line="360" w:lineRule="auto"/>
        <w:ind w:firstLine="420" w:firstLineChars="200"/>
        <w:jc w:val="left"/>
        <w:rPr>
          <w:rFonts w:ascii="宋体" w:hAnsi="宋体"/>
          <w:szCs w:val="21"/>
        </w:rPr>
      </w:pPr>
      <w:r>
        <w:rPr>
          <w:rFonts w:hint="eastAsia" w:ascii="宋体" w:hAnsi="宋体"/>
          <w:szCs w:val="21"/>
        </w:rPr>
        <w:t>10.4.1.1已标价工程量清单中有相同项目的，按照相同项目单价计算；</w:t>
      </w:r>
    </w:p>
    <w:p>
      <w:pPr>
        <w:spacing w:line="360" w:lineRule="auto"/>
        <w:ind w:firstLine="420" w:firstLineChars="200"/>
        <w:jc w:val="left"/>
        <w:rPr>
          <w:rFonts w:ascii="宋体" w:hAnsi="宋体"/>
          <w:szCs w:val="21"/>
        </w:rPr>
      </w:pPr>
      <w:r>
        <w:rPr>
          <w:rFonts w:hint="eastAsia" w:ascii="宋体" w:hAnsi="宋体"/>
          <w:szCs w:val="21"/>
        </w:rPr>
        <w:t>10.4.1.2已标价工程量清单中有类似项目的，参考类似项目单价计算；</w:t>
      </w:r>
    </w:p>
    <w:p>
      <w:pPr>
        <w:spacing w:line="360" w:lineRule="auto"/>
        <w:ind w:firstLine="420" w:firstLineChars="200"/>
        <w:jc w:val="left"/>
        <w:rPr>
          <w:rFonts w:ascii="宋体" w:hAnsi="宋体"/>
          <w:szCs w:val="21"/>
        </w:rPr>
      </w:pPr>
      <w:r>
        <w:rPr>
          <w:rFonts w:hint="eastAsia" w:ascii="宋体" w:hAnsi="宋体"/>
          <w:szCs w:val="21"/>
        </w:rPr>
        <w:t>10.4.1.3已标价工程量清单中无相同项目亦无类似项目的，按照以下原则执行：</w:t>
      </w:r>
    </w:p>
    <w:p>
      <w:pPr>
        <w:spacing w:line="360" w:lineRule="auto"/>
        <w:ind w:firstLine="420" w:firstLineChars="200"/>
        <w:jc w:val="left"/>
        <w:rPr>
          <w:rFonts w:ascii="宋体" w:hAnsi="宋体"/>
          <w:szCs w:val="21"/>
        </w:rPr>
      </w:pPr>
      <w:r>
        <w:rPr>
          <w:rFonts w:hint="eastAsia" w:ascii="宋体" w:hAnsi="宋体"/>
          <w:szCs w:val="21"/>
          <w:u w:val="single"/>
        </w:rPr>
        <w:t>按《重庆市房屋建筑与装饰工程计价定额》（CQJZZSDE-2018）、《重庆市仿古建筑工程计价定额》（CQFGDE-2018）、《重庆市通用安装工程计价定额》（CQAZDE-2018） 、《重庆市市政工程计价定额》（CQSZDE-2018）、《重庆市园林绿化工程计价定额》（CQYLLHDE-2018）、《重庆市构筑物工程计价定额》（CQGZWDE-2018）、《重庆市城市轨道交通工程计价定额》（CQGDDE-2018）、《重庆市爆破工程计价定额》（CQBPDE-2018）、《重庆市房屋修缮工程计价定额》（CQXSDE-2018）、《重庆市绿色建筑工程计价定额》（CQLSJZDE-2018）、《重庆市建设工程施工机械台班定额》（CQJXDE-2018）、《重庆市建设工程施工仪器仪表台班定额》（CQYQYBDE-2018）、《重庆市建设工程混凝土及砂浆配合比表》（CQPHBB-2018）、《重庆市建设工程费用定额》（CQFYDE-2018）及相关配套文件进行组价并按承包人报价浮动率下浮（认质核价的设备和材料不参与浮动），经监理人、跟审单位、发包人审定后执行</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承包人报价浮动率按下列公式计算：承包人报价浮动率=（1-中标价/最高限价）×100%。</w:t>
      </w:r>
    </w:p>
    <w:p>
      <w:pPr>
        <w:spacing w:line="360" w:lineRule="auto"/>
        <w:ind w:firstLine="420" w:firstLineChars="200"/>
        <w:jc w:val="left"/>
        <w:rPr>
          <w:rFonts w:ascii="宋体" w:hAnsi="宋体"/>
          <w:szCs w:val="21"/>
        </w:rPr>
      </w:pPr>
      <w:r>
        <w:rPr>
          <w:rFonts w:hint="eastAsia" w:ascii="宋体" w:hAnsi="宋体"/>
          <w:szCs w:val="21"/>
        </w:rPr>
        <w:t>（1）人工单价：按开标当期《重庆工程造价信息》发布的项目所在地的人工单价执行。</w:t>
      </w:r>
    </w:p>
    <w:p>
      <w:pPr>
        <w:spacing w:line="360" w:lineRule="auto"/>
        <w:ind w:firstLine="420" w:firstLineChars="200"/>
        <w:jc w:val="left"/>
        <w:rPr>
          <w:rFonts w:ascii="宋体" w:hAnsi="宋体"/>
          <w:szCs w:val="21"/>
        </w:rPr>
      </w:pPr>
      <w:bookmarkStart w:id="1246" w:name="_Hlk529023896"/>
      <w:r>
        <w:rPr>
          <w:rFonts w:hint="eastAsia" w:ascii="宋体" w:hAnsi="宋体"/>
          <w:szCs w:val="21"/>
        </w:rPr>
        <w:t>（2）材料单价：</w:t>
      </w:r>
    </w:p>
    <w:p>
      <w:pPr>
        <w:spacing w:line="360" w:lineRule="auto"/>
        <w:ind w:firstLine="420" w:firstLineChars="200"/>
        <w:jc w:val="left"/>
        <w:rPr>
          <w:rFonts w:ascii="宋体" w:hAnsi="宋体"/>
          <w:szCs w:val="21"/>
        </w:rPr>
      </w:pPr>
      <w:r>
        <w:rPr>
          <w:rFonts w:hint="eastAsia" w:ascii="宋体" w:hAnsi="宋体"/>
          <w:szCs w:val="21"/>
        </w:rPr>
        <w:t>①按</w:t>
      </w:r>
      <w:bookmarkStart w:id="1247" w:name="_Hlk529023354"/>
      <w:r>
        <w:rPr>
          <w:rFonts w:hint="eastAsia" w:ascii="宋体" w:hAnsi="宋体"/>
          <w:szCs w:val="21"/>
        </w:rPr>
        <w:t>开标当期《重庆工程造价信息》发布的项目所在地的信息价</w:t>
      </w:r>
      <w:bookmarkEnd w:id="1247"/>
      <w:r>
        <w:rPr>
          <w:rFonts w:hint="eastAsia" w:ascii="宋体" w:hAnsi="宋体"/>
          <w:szCs w:val="21"/>
        </w:rPr>
        <w:t>执行；</w:t>
      </w:r>
    </w:p>
    <w:p>
      <w:pPr>
        <w:spacing w:line="360" w:lineRule="auto"/>
        <w:ind w:firstLine="420" w:firstLineChars="200"/>
        <w:jc w:val="left"/>
        <w:rPr>
          <w:rFonts w:ascii="宋体" w:hAnsi="宋体"/>
          <w:szCs w:val="21"/>
        </w:rPr>
      </w:pPr>
      <w:r>
        <w:rPr>
          <w:rFonts w:hint="eastAsia" w:ascii="宋体" w:hAnsi="宋体"/>
          <w:szCs w:val="21"/>
        </w:rPr>
        <w:t>②开标当期《重庆工程造价信息》中没有的，承包人</w:t>
      </w:r>
      <w:r>
        <w:rPr>
          <w:rFonts w:hint="eastAsia" w:ascii="宋体" w:hAnsi="宋体"/>
          <w:szCs w:val="21"/>
          <w:lang w:eastAsia="zh-CN"/>
        </w:rPr>
        <w:t>竞标报价</w:t>
      </w:r>
      <w:r>
        <w:rPr>
          <w:rFonts w:hint="eastAsia" w:ascii="宋体" w:hAnsi="宋体"/>
          <w:szCs w:val="21"/>
        </w:rPr>
        <w:t>中有的，按承包人</w:t>
      </w:r>
      <w:r>
        <w:rPr>
          <w:rFonts w:hint="eastAsia" w:ascii="宋体" w:hAnsi="宋体"/>
          <w:szCs w:val="21"/>
          <w:lang w:eastAsia="zh-CN"/>
        </w:rPr>
        <w:t>竞标报价</w:t>
      </w:r>
      <w:r>
        <w:rPr>
          <w:rFonts w:hint="eastAsia" w:ascii="宋体" w:hAnsi="宋体"/>
          <w:szCs w:val="21"/>
        </w:rPr>
        <w:t>中相同材料单价的最低值执行；</w:t>
      </w:r>
    </w:p>
    <w:p>
      <w:pPr>
        <w:spacing w:line="360" w:lineRule="auto"/>
        <w:ind w:firstLine="420" w:firstLineChars="200"/>
        <w:jc w:val="left"/>
        <w:rPr>
          <w:rFonts w:ascii="宋体" w:hAnsi="宋体"/>
          <w:szCs w:val="21"/>
        </w:rPr>
      </w:pPr>
      <w:r>
        <w:rPr>
          <w:rFonts w:hint="eastAsia" w:ascii="宋体" w:hAnsi="宋体"/>
          <w:szCs w:val="21"/>
        </w:rPr>
        <w:t>③开标当期《重庆工程造价信息》和承包人</w:t>
      </w:r>
      <w:r>
        <w:rPr>
          <w:rFonts w:hint="eastAsia" w:ascii="宋体" w:hAnsi="宋体"/>
          <w:szCs w:val="21"/>
          <w:lang w:eastAsia="zh-CN"/>
        </w:rPr>
        <w:t>竞标报价</w:t>
      </w:r>
      <w:r>
        <w:rPr>
          <w:rFonts w:hint="eastAsia" w:ascii="宋体" w:hAnsi="宋体"/>
          <w:szCs w:val="21"/>
        </w:rPr>
        <w:t>没有的，由承包人申报、监理人会同跟审单位、发包人根据市场行情认质核价确定。</w:t>
      </w:r>
    </w:p>
    <w:bookmarkEnd w:id="1246"/>
    <w:p>
      <w:pPr>
        <w:spacing w:line="360" w:lineRule="auto"/>
        <w:ind w:firstLine="420" w:firstLineChars="200"/>
        <w:jc w:val="left"/>
        <w:rPr>
          <w:rFonts w:ascii="宋体" w:hAnsi="宋体"/>
          <w:szCs w:val="21"/>
        </w:rPr>
      </w:pPr>
      <w:r>
        <w:rPr>
          <w:rFonts w:hint="eastAsia" w:ascii="宋体" w:hAnsi="宋体"/>
          <w:szCs w:val="21"/>
        </w:rPr>
        <w:t>（3）企业管理费和利润：按承包人</w:t>
      </w:r>
      <w:r>
        <w:rPr>
          <w:rFonts w:hint="eastAsia" w:ascii="宋体" w:hAnsi="宋体"/>
          <w:szCs w:val="21"/>
          <w:lang w:eastAsia="zh-CN"/>
        </w:rPr>
        <w:t>竞标报价</w:t>
      </w:r>
      <w:r>
        <w:rPr>
          <w:rFonts w:hint="eastAsia" w:ascii="宋体" w:hAnsi="宋体"/>
          <w:szCs w:val="21"/>
        </w:rPr>
        <w:t>中相同工程分类的费用标准执行（</w:t>
      </w:r>
      <w:r>
        <w:rPr>
          <w:rFonts w:hint="eastAsia" w:ascii="宋体" w:hAnsi="宋体"/>
          <w:szCs w:val="21"/>
          <w:lang w:eastAsia="zh-CN"/>
        </w:rPr>
        <w:t>竞标报价</w:t>
      </w:r>
      <w:r>
        <w:rPr>
          <w:rFonts w:hint="eastAsia" w:ascii="宋体" w:hAnsi="宋体"/>
          <w:szCs w:val="21"/>
        </w:rPr>
        <w:t>中费用标准高于《重庆市建设工程费用定额》（CQFYDE-2018）费用标准的，按《重庆市建设工程费用定额》（CQFYDE-2018）费用标准执行）。</w:t>
      </w:r>
    </w:p>
    <w:p>
      <w:pPr>
        <w:spacing w:line="360" w:lineRule="auto"/>
        <w:ind w:firstLine="420" w:firstLineChars="200"/>
        <w:jc w:val="left"/>
        <w:rPr>
          <w:rFonts w:ascii="宋体" w:hAnsi="宋体"/>
          <w:szCs w:val="21"/>
        </w:rPr>
      </w:pPr>
      <w:r>
        <w:rPr>
          <w:rFonts w:hint="eastAsia" w:ascii="宋体" w:hAnsi="宋体"/>
          <w:szCs w:val="21"/>
        </w:rPr>
        <w:t>（4）规费：按《重庆市建设工程费用定额》（CQFYDE-2018）费用标准进行计算。</w:t>
      </w:r>
    </w:p>
    <w:p>
      <w:pPr>
        <w:spacing w:line="360" w:lineRule="auto"/>
        <w:ind w:firstLine="420" w:firstLineChars="200"/>
        <w:jc w:val="left"/>
        <w:rPr>
          <w:rFonts w:ascii="宋体" w:hAnsi="宋体"/>
          <w:szCs w:val="21"/>
        </w:rPr>
      </w:pPr>
      <w:r>
        <w:rPr>
          <w:rFonts w:hint="eastAsia" w:ascii="宋体" w:hAnsi="宋体"/>
          <w:szCs w:val="21"/>
        </w:rPr>
        <w:t>（5）税金：包含增值税、城市维护建设税、教育费附加、地方教育附加以及环境保护税。其中增值税按《重庆市建设工程费用定额》（CQFYDE-2018）规定及配套文件执行。</w:t>
      </w:r>
    </w:p>
    <w:p>
      <w:pPr>
        <w:spacing w:line="360" w:lineRule="auto"/>
        <w:ind w:firstLine="420" w:firstLineChars="200"/>
        <w:jc w:val="left"/>
        <w:rPr>
          <w:rFonts w:ascii="宋体" w:hAnsi="宋体"/>
          <w:szCs w:val="21"/>
          <w:u w:val="single"/>
        </w:rPr>
      </w:pPr>
      <w:r>
        <w:rPr>
          <w:rFonts w:hint="eastAsia" w:ascii="宋体" w:hAnsi="宋体"/>
          <w:szCs w:val="21"/>
        </w:rPr>
        <w:t>10.4.1.4已标价工程量清单中无相同项目亦无类似项目，也无定额可套用的，由承包人会同监理人、跟审单位、发包人按相关原则、编制方法编制补充定额（人工、材料、机械基价执行2018年计价定额的基价，2018年计价定额没有的基价，按市场价计），按照第10.4.1.3目约定执行；或参照重庆市场相同工作的市场价格上报监理人，最终价格按承包人、监理人、跟审单位、发包人共同询价确认的价格执行。</w:t>
      </w:r>
    </w:p>
    <w:p>
      <w:pPr>
        <w:spacing w:line="360" w:lineRule="auto"/>
        <w:ind w:firstLine="420" w:firstLineChars="200"/>
        <w:jc w:val="left"/>
        <w:rPr>
          <w:rFonts w:ascii="宋体" w:hAnsi="宋体"/>
          <w:szCs w:val="21"/>
        </w:rPr>
      </w:pPr>
      <w:r>
        <w:rPr>
          <w:rFonts w:hint="eastAsia" w:ascii="宋体" w:hAnsi="宋体"/>
          <w:szCs w:val="21"/>
        </w:rPr>
        <w:t>本款补充10.4.3项：</w:t>
      </w:r>
    </w:p>
    <w:p>
      <w:pPr>
        <w:spacing w:line="360" w:lineRule="auto"/>
        <w:ind w:firstLine="420" w:firstLineChars="200"/>
        <w:jc w:val="left"/>
        <w:rPr>
          <w:rFonts w:ascii="宋体" w:hAnsi="宋体"/>
          <w:szCs w:val="21"/>
        </w:rPr>
      </w:pPr>
      <w:r>
        <w:rPr>
          <w:rFonts w:hint="eastAsia" w:ascii="宋体" w:hAnsi="宋体"/>
          <w:szCs w:val="21"/>
        </w:rPr>
        <w:t>10.4.3工程变更引起施工方案改变并使措施项目发生变化时，承包人提出调整措施项目费的，应事前将拟实施的方案提交监理人审核报发包人确认，并应详细说明与原方案措施项目相比的变化情况。拟实施的方案经发承包双方确认后执行，并应按照下列规定调整措施项目费：</w:t>
      </w:r>
    </w:p>
    <w:p>
      <w:pPr>
        <w:spacing w:line="360" w:lineRule="auto"/>
        <w:ind w:firstLine="420" w:firstLineChars="200"/>
        <w:jc w:val="left"/>
        <w:rPr>
          <w:rFonts w:ascii="宋体" w:hAnsi="宋体"/>
          <w:szCs w:val="21"/>
        </w:rPr>
      </w:pPr>
      <w:r>
        <w:rPr>
          <w:rFonts w:hint="eastAsia" w:ascii="宋体" w:hAnsi="宋体"/>
          <w:szCs w:val="21"/>
        </w:rPr>
        <w:t>（1）</w:t>
      </w:r>
      <w:r>
        <w:rPr>
          <w:rFonts w:hint="eastAsia" w:ascii="宋体" w:hAnsi="宋体"/>
          <w:szCs w:val="21"/>
          <w:u w:val="single"/>
        </w:rPr>
        <w:t>安全文明施工费应按照实际发生变化的措施项目依据现行安全文明施工费计取及管理政策规定及《重庆市建设工程费用定额》（CQFYDE-2018）规定执行</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（2）</w:t>
      </w:r>
      <w:r>
        <w:rPr>
          <w:rFonts w:hint="eastAsia" w:ascii="宋体" w:hAnsi="宋体"/>
          <w:szCs w:val="21"/>
          <w:u w:val="single"/>
        </w:rPr>
        <w:t>按照单价计算的措施项目费，应按照实际发生变化的措施项目，按照第10.4.1项〔变更估价原则〕约定执行</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（3）</w:t>
      </w:r>
      <w:r>
        <w:rPr>
          <w:rFonts w:hint="eastAsia" w:ascii="宋体" w:hAnsi="宋体"/>
          <w:szCs w:val="21"/>
          <w:u w:val="single"/>
        </w:rPr>
        <w:t>按总价（或系数）计算的措施项目费，应按照实际发生变化的措施项目费按承包人报价浮动率下浮后的金额计算</w:t>
      </w:r>
      <w:r>
        <w:rPr>
          <w:rFonts w:hint="eastAsia" w:ascii="宋体" w:hAnsi="宋体"/>
          <w:szCs w:val="21"/>
        </w:rPr>
        <w:t>；</w:t>
      </w:r>
    </w:p>
    <w:p>
      <w:pPr>
        <w:spacing w:line="360" w:lineRule="auto"/>
        <w:ind w:firstLine="420" w:firstLineChars="200"/>
        <w:jc w:val="left"/>
        <w:rPr>
          <w:rFonts w:ascii="宋体" w:hAnsi="宋体"/>
          <w:szCs w:val="21"/>
          <w:u w:val="single"/>
        </w:rPr>
      </w:pPr>
      <w:r>
        <w:rPr>
          <w:rFonts w:hint="eastAsia" w:ascii="宋体" w:hAnsi="宋体"/>
          <w:szCs w:val="21"/>
        </w:rPr>
        <w:t>（4）</w:t>
      </w:r>
      <w:r>
        <w:rPr>
          <w:rFonts w:hint="eastAsia" w:ascii="宋体" w:hAnsi="宋体"/>
          <w:szCs w:val="21"/>
          <w:u w:val="single"/>
        </w:rPr>
        <w:t>如果承包人未事前将拟实施的方案提交给发包人确认，则应视为工程变更不引起措施项目费的调整或承包人放弃调整措施项目费的权利</w:t>
      </w:r>
      <w:r>
        <w:rPr>
          <w:rFonts w:hint="eastAsia" w:ascii="宋体" w:hAnsi="宋体"/>
          <w:szCs w:val="21"/>
        </w:rPr>
        <w:t>。</w:t>
      </w:r>
    </w:p>
    <w:bookmarkEnd w:id="1244"/>
    <w:p>
      <w:pPr>
        <w:pStyle w:val="7"/>
        <w:spacing w:before="0" w:beforeAutospacing="0" w:after="0" w:afterAutospacing="0" w:line="360" w:lineRule="auto"/>
        <w:ind w:firstLine="422" w:firstLineChars="200"/>
        <w:rPr>
          <w:sz w:val="21"/>
          <w:szCs w:val="21"/>
        </w:rPr>
      </w:pPr>
      <w:bookmarkStart w:id="1248" w:name="_Toc532377375"/>
      <w:bookmarkStart w:id="1249" w:name="_Toc532375639"/>
      <w:r>
        <w:rPr>
          <w:rFonts w:hint="eastAsia"/>
          <w:sz w:val="21"/>
          <w:szCs w:val="21"/>
        </w:rPr>
        <w:t>1</w:t>
      </w:r>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Start w:id="1250" w:name="_Toc292559907"/>
      <w:bookmarkStart w:id="1251" w:name="_Toc303539150"/>
      <w:bookmarkStart w:id="1252" w:name="_Toc296891237"/>
      <w:bookmarkStart w:id="1253" w:name="_Toc300934993"/>
      <w:bookmarkStart w:id="1254" w:name="_Toc296891025"/>
      <w:bookmarkStart w:id="1255" w:name="_Toc297216203"/>
      <w:bookmarkStart w:id="1256" w:name="_Toc296944536"/>
      <w:bookmarkStart w:id="1257" w:name="_Toc292559402"/>
      <w:bookmarkStart w:id="1258" w:name="_Toc296347196"/>
      <w:bookmarkStart w:id="1259" w:name="_Toc297123544"/>
      <w:bookmarkStart w:id="1260" w:name="_Toc296346698"/>
      <w:bookmarkStart w:id="1261" w:name="_Toc297120497"/>
      <w:bookmarkStart w:id="1262" w:name="_Toc296503197"/>
      <w:bookmarkStart w:id="1263" w:name="_Toc297048383"/>
      <w:bookmarkStart w:id="1264" w:name="_Toc304295570"/>
      <w:bookmarkStart w:id="1265" w:name="_Toc312677503"/>
      <w:bookmarkStart w:id="1266" w:name="_Toc312678029"/>
      <w:r>
        <w:rPr>
          <w:rFonts w:hint="eastAsia"/>
          <w:sz w:val="21"/>
          <w:szCs w:val="21"/>
        </w:rPr>
        <w:t>0.5承</w:t>
      </w:r>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Start w:id="1267" w:name="_Toc296503203"/>
      <w:bookmarkStart w:id="1268" w:name="_Toc297216204"/>
      <w:bookmarkStart w:id="1269" w:name="_Toc296891243"/>
      <w:bookmarkStart w:id="1270" w:name="_Toc297123545"/>
      <w:bookmarkStart w:id="1271" w:name="_Toc297048389"/>
      <w:bookmarkStart w:id="1272" w:name="_Toc292559408"/>
      <w:bookmarkStart w:id="1273" w:name="_Toc296347202"/>
      <w:bookmarkStart w:id="1274" w:name="_Toc296944542"/>
      <w:bookmarkStart w:id="1275" w:name="_Toc296346704"/>
      <w:bookmarkStart w:id="1276" w:name="_Toc297120503"/>
      <w:bookmarkStart w:id="1277" w:name="_Toc300934994"/>
      <w:bookmarkStart w:id="1278" w:name="_Toc292559913"/>
      <w:bookmarkStart w:id="1279" w:name="_Toc303539151"/>
      <w:bookmarkStart w:id="1280" w:name="_Toc296891031"/>
      <w:r>
        <w:rPr>
          <w:rFonts w:hint="eastAsia"/>
          <w:sz w:val="21"/>
          <w:szCs w:val="21"/>
        </w:rPr>
        <w:t>包人的合理化建议</w:t>
      </w:r>
      <w:bookmarkEnd w:id="1248"/>
      <w:bookmarkEnd w:id="1249"/>
    </w:p>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p>
      <w:pPr>
        <w:spacing w:line="360" w:lineRule="auto"/>
        <w:ind w:firstLine="420" w:firstLineChars="200"/>
        <w:jc w:val="left"/>
        <w:rPr>
          <w:rFonts w:ascii="宋体" w:hAnsi="宋体"/>
          <w:szCs w:val="21"/>
        </w:rPr>
      </w:pPr>
      <w:r>
        <w:rPr>
          <w:rFonts w:hint="eastAsia" w:ascii="宋体" w:hAnsi="宋体"/>
          <w:szCs w:val="21"/>
        </w:rPr>
        <w:t>承包人提出合理化建议的，应向监理人提交合理化建议说明，说明建议的内容和理由，以及实施该建议对合同价格和（或）工期和（或）工程经济效益的影响。</w:t>
      </w:r>
    </w:p>
    <w:p>
      <w:pPr>
        <w:spacing w:line="360" w:lineRule="auto"/>
        <w:ind w:firstLine="420" w:firstLineChars="200"/>
        <w:jc w:val="left"/>
        <w:rPr>
          <w:rFonts w:ascii="宋体" w:hAnsi="宋体"/>
          <w:szCs w:val="21"/>
        </w:rPr>
      </w:pPr>
      <w:r>
        <w:rPr>
          <w:rFonts w:hint="eastAsia" w:ascii="宋体" w:hAnsi="宋体"/>
          <w:szCs w:val="21"/>
        </w:rPr>
        <w:t>监理人审查承包人合理化建议的期限：</w:t>
      </w:r>
      <w:r>
        <w:rPr>
          <w:rFonts w:hint="eastAsia" w:ascii="宋体" w:hAnsi="宋体"/>
          <w:szCs w:val="21"/>
          <w:u w:val="single"/>
        </w:rPr>
        <w:t>不超过14天</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发包人审批承包人合理化建议的期限：</w:t>
      </w:r>
      <w:r>
        <w:rPr>
          <w:rFonts w:hint="eastAsia" w:ascii="宋体" w:hAnsi="宋体"/>
          <w:szCs w:val="21"/>
          <w:u w:val="single"/>
        </w:rPr>
        <w:t>不超过14天</w:t>
      </w:r>
      <w:r>
        <w:rPr>
          <w:rFonts w:hint="eastAsia" w:ascii="宋体" w:hAnsi="宋体"/>
          <w:szCs w:val="21"/>
        </w:rPr>
        <w:t>。</w:t>
      </w:r>
    </w:p>
    <w:p>
      <w:pPr>
        <w:spacing w:line="360" w:lineRule="auto"/>
        <w:ind w:firstLine="420" w:firstLineChars="200"/>
        <w:jc w:val="left"/>
        <w:rPr>
          <w:rFonts w:ascii="宋体" w:hAnsi="宋体"/>
          <w:szCs w:val="21"/>
          <w:u w:val="single"/>
        </w:rPr>
      </w:pPr>
      <w:r>
        <w:rPr>
          <w:rFonts w:hint="eastAsia" w:ascii="宋体" w:hAnsi="宋体"/>
          <w:szCs w:val="21"/>
        </w:rPr>
        <w:t>承</w:t>
      </w:r>
      <w:bookmarkStart w:id="1281" w:name="_Toc292559409"/>
      <w:bookmarkStart w:id="1282" w:name="_Toc303539152"/>
      <w:bookmarkStart w:id="1283" w:name="_Toc312677504"/>
      <w:bookmarkStart w:id="1284" w:name="_Toc297123546"/>
      <w:bookmarkStart w:id="1285" w:name="_Toc296891244"/>
      <w:bookmarkStart w:id="1286" w:name="_Toc312678030"/>
      <w:bookmarkStart w:id="1287" w:name="_Toc318581175"/>
      <w:bookmarkStart w:id="1288" w:name="_Toc296891032"/>
      <w:bookmarkStart w:id="1289" w:name="_Toc292559914"/>
      <w:bookmarkStart w:id="1290" w:name="_Toc297216205"/>
      <w:bookmarkStart w:id="1291" w:name="_Toc296503204"/>
      <w:bookmarkStart w:id="1292" w:name="_Toc296944543"/>
      <w:bookmarkStart w:id="1293" w:name="_Toc300934995"/>
      <w:bookmarkStart w:id="1294" w:name="_Toc296347203"/>
      <w:bookmarkStart w:id="1295" w:name="_Toc304295571"/>
      <w:bookmarkStart w:id="1296" w:name="_Toc297048390"/>
      <w:bookmarkStart w:id="1297" w:name="_Toc296346705"/>
      <w:bookmarkStart w:id="1298" w:name="_Toc297120504"/>
      <w:r>
        <w:rPr>
          <w:rFonts w:hint="eastAsia" w:ascii="宋体" w:hAnsi="宋体"/>
          <w:szCs w:val="21"/>
        </w:rPr>
        <w:t>包人提出的合理化建议降低了合同价格或缩短了工期或者提高了工程经济效益的奖励的方法和金额为</w:t>
      </w:r>
      <w:r>
        <w:rPr>
          <w:rFonts w:hint="eastAsia" w:ascii="宋体" w:hAnsi="宋体"/>
          <w:szCs w:val="21"/>
          <w:highlight w:val="none"/>
        </w:rPr>
        <w:t>：</w:t>
      </w:r>
      <w:r>
        <w:rPr>
          <w:rFonts w:hint="eastAsia" w:ascii="宋体" w:hAnsi="宋体"/>
          <w:szCs w:val="21"/>
          <w:highlight w:val="none"/>
          <w:u w:val="single"/>
          <w:lang w:val="en-US" w:eastAsia="zh-CN"/>
        </w:rPr>
        <w:t>/</w:t>
      </w:r>
      <w:r>
        <w:rPr>
          <w:rFonts w:hint="eastAsia" w:ascii="宋体" w:hAnsi="宋体"/>
          <w:szCs w:val="21"/>
        </w:rPr>
        <w:t>。</w:t>
      </w:r>
    </w:p>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p>
      <w:pPr>
        <w:pStyle w:val="7"/>
        <w:spacing w:before="0" w:beforeAutospacing="0" w:after="0" w:afterAutospacing="0" w:line="360" w:lineRule="auto"/>
        <w:ind w:firstLine="422" w:firstLineChars="200"/>
        <w:rPr>
          <w:sz w:val="21"/>
          <w:szCs w:val="21"/>
        </w:rPr>
      </w:pPr>
      <w:bookmarkStart w:id="1299" w:name="_Toc532375640"/>
      <w:bookmarkStart w:id="1300" w:name="_Toc532377376"/>
      <w:r>
        <w:rPr>
          <w:rFonts w:hint="eastAsia"/>
          <w:sz w:val="21"/>
          <w:szCs w:val="21"/>
        </w:rPr>
        <w:t>1</w:t>
      </w:r>
      <w:bookmarkStart w:id="1301" w:name="_Toc297216207"/>
      <w:bookmarkStart w:id="1302" w:name="_Toc296891239"/>
      <w:bookmarkStart w:id="1303" w:name="_Toc296347198"/>
      <w:bookmarkStart w:id="1304" w:name="_Toc296891027"/>
      <w:bookmarkStart w:id="1305" w:name="_Toc296346700"/>
      <w:bookmarkStart w:id="1306" w:name="_Toc303539154"/>
      <w:bookmarkStart w:id="1307" w:name="_Toc300934997"/>
      <w:bookmarkStart w:id="1308" w:name="_Toc296503199"/>
      <w:bookmarkStart w:id="1309" w:name="_Toc292559909"/>
      <w:bookmarkStart w:id="1310" w:name="_Toc297123548"/>
      <w:bookmarkStart w:id="1311" w:name="_Toc297048385"/>
      <w:bookmarkStart w:id="1312" w:name="_Toc292559404"/>
      <w:bookmarkStart w:id="1313" w:name="_Toc312677507"/>
      <w:bookmarkStart w:id="1314" w:name="_Toc296944538"/>
      <w:bookmarkStart w:id="1315" w:name="_Toc297120499"/>
      <w:bookmarkStart w:id="1316" w:name="_Toc312678033"/>
      <w:bookmarkStart w:id="1317" w:name="_Toc304295574"/>
      <w:r>
        <w:rPr>
          <w:rFonts w:hint="eastAsia"/>
          <w:sz w:val="21"/>
          <w:szCs w:val="21"/>
        </w:rPr>
        <w:t>0.7 暂估价</w:t>
      </w:r>
      <w:bookmarkEnd w:id="1299"/>
      <w:bookmarkEnd w:id="1300"/>
    </w:p>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p>
      <w:pPr>
        <w:spacing w:line="360" w:lineRule="auto"/>
        <w:ind w:firstLine="420" w:firstLineChars="200"/>
        <w:jc w:val="left"/>
        <w:rPr>
          <w:rFonts w:ascii="宋体" w:hAnsi="宋体"/>
          <w:szCs w:val="21"/>
        </w:rPr>
      </w:pPr>
      <w:r>
        <w:rPr>
          <w:rFonts w:hint="eastAsia" w:ascii="宋体" w:hAnsi="宋体"/>
          <w:szCs w:val="21"/>
        </w:rPr>
        <w:t>专业工程暂估价：</w:t>
      </w:r>
      <w:r>
        <w:rPr>
          <w:rFonts w:hint="eastAsia" w:ascii="宋体" w:hAnsi="宋体"/>
          <w:szCs w:val="21"/>
          <w:u w:val="single"/>
        </w:rPr>
        <w:t xml:space="preserve">        </w:t>
      </w:r>
      <w:r>
        <w:rPr>
          <w:rFonts w:hint="eastAsia" w:ascii="宋体" w:hAnsi="宋体"/>
          <w:szCs w:val="21"/>
        </w:rPr>
        <w:t>万元。</w:t>
      </w:r>
    </w:p>
    <w:p>
      <w:pPr>
        <w:spacing w:line="360" w:lineRule="auto"/>
        <w:ind w:firstLine="420" w:firstLineChars="200"/>
        <w:jc w:val="left"/>
        <w:rPr>
          <w:rFonts w:ascii="宋体" w:hAnsi="宋体"/>
          <w:szCs w:val="21"/>
        </w:rPr>
      </w:pPr>
      <w:r>
        <w:rPr>
          <w:rFonts w:hint="eastAsia" w:ascii="宋体" w:hAnsi="宋体"/>
          <w:szCs w:val="21"/>
        </w:rPr>
        <w:t>单项合同估算价在国家相关法律法规规定必须招标规模以下的，符合可以不招标相关规定的，由承包人采取交钥匙工程模式实施，发包人配合。承包人（需在允许资质范围内）或承包人委托的有资质的专业分包单位实施。费用估价按照第10.4.1项〔变更估价原则〕执行，承包人申报，经监理人、跟审单位、发包人共同审定。审定后根据承包人签订的相关合同（需经监理人、跟审单位、发包人共同确认）约定，由承包人申报，随进度款按与相关单位签订的合同约定一并支付。</w:t>
      </w:r>
    </w:p>
    <w:p>
      <w:pPr>
        <w:spacing w:line="360" w:lineRule="auto"/>
        <w:ind w:firstLine="420" w:firstLineChars="200"/>
        <w:jc w:val="left"/>
        <w:rPr>
          <w:rFonts w:ascii="宋体" w:hAnsi="宋体"/>
          <w:szCs w:val="21"/>
          <w:u w:val="single"/>
        </w:rPr>
      </w:pPr>
      <w:r>
        <w:rPr>
          <w:rFonts w:hint="eastAsia" w:ascii="宋体" w:hAnsi="宋体"/>
          <w:szCs w:val="21"/>
        </w:rPr>
        <w:t>单项合同暂估价在国家相关法律法规规定必须招标规模以上的，需依法必须招标的，由承包人、发包人共同招标确定。</w:t>
      </w:r>
    </w:p>
    <w:p>
      <w:pPr>
        <w:pStyle w:val="7"/>
        <w:spacing w:before="0" w:beforeAutospacing="0" w:after="0" w:afterAutospacing="0" w:line="360" w:lineRule="auto"/>
        <w:ind w:firstLine="422" w:firstLineChars="200"/>
        <w:rPr>
          <w:sz w:val="21"/>
          <w:szCs w:val="21"/>
        </w:rPr>
      </w:pPr>
      <w:bookmarkStart w:id="1318" w:name="_Toc532375641"/>
      <w:bookmarkStart w:id="1319" w:name="_Toc532377377"/>
      <w:r>
        <w:rPr>
          <w:rFonts w:hint="eastAsia"/>
          <w:sz w:val="21"/>
          <w:szCs w:val="21"/>
        </w:rPr>
        <w:t>10.8 暂列金额</w:t>
      </w:r>
      <w:bookmarkEnd w:id="1318"/>
      <w:bookmarkEnd w:id="1319"/>
    </w:p>
    <w:p>
      <w:pPr>
        <w:autoSpaceDE w:val="0"/>
        <w:autoSpaceDN w:val="0"/>
        <w:spacing w:line="360" w:lineRule="auto"/>
        <w:ind w:firstLine="420" w:firstLineChars="200"/>
        <w:jc w:val="left"/>
        <w:rPr>
          <w:rFonts w:ascii="宋体" w:hAnsi="宋体"/>
          <w:szCs w:val="21"/>
        </w:rPr>
      </w:pPr>
      <w:r>
        <w:rPr>
          <w:rFonts w:hint="eastAsia" w:ascii="宋体" w:hAnsi="宋体"/>
          <w:szCs w:val="21"/>
        </w:rPr>
        <w:t>合同当事人关于暂列金额使用的约定：</w:t>
      </w:r>
      <w:r>
        <w:rPr>
          <w:rFonts w:hint="eastAsia" w:ascii="宋体" w:hAnsi="宋体"/>
          <w:szCs w:val="21"/>
          <w:u w:val="single"/>
        </w:rPr>
        <w:t xml:space="preserve">        </w:t>
      </w:r>
      <w:r>
        <w:rPr>
          <w:rFonts w:hint="eastAsia" w:ascii="宋体" w:hAnsi="宋体"/>
          <w:szCs w:val="21"/>
        </w:rPr>
        <w:t>。</w:t>
      </w:r>
    </w:p>
    <w:p>
      <w:pPr>
        <w:pStyle w:val="6"/>
        <w:spacing w:before="156" w:beforeLines="50" w:beforeAutospacing="0" w:after="156" w:afterLines="50" w:afterAutospacing="0" w:line="360" w:lineRule="auto"/>
        <w:jc w:val="both"/>
        <w:rPr>
          <w:bCs w:val="0"/>
          <w:kern w:val="2"/>
          <w:sz w:val="21"/>
          <w:szCs w:val="21"/>
        </w:rPr>
      </w:pPr>
      <w:bookmarkStart w:id="1320" w:name="_Toc351203643"/>
      <w:bookmarkStart w:id="1321" w:name="_Toc532377378"/>
      <w:bookmarkStart w:id="1322" w:name="_Toc532375642"/>
      <w:r>
        <w:rPr>
          <w:rFonts w:hint="eastAsia"/>
          <w:kern w:val="2"/>
          <w:sz w:val="21"/>
          <w:szCs w:val="21"/>
        </w:rPr>
        <w:t>11. 价格调整</w:t>
      </w:r>
      <w:bookmarkEnd w:id="1320"/>
      <w:bookmarkEnd w:id="1321"/>
      <w:bookmarkEnd w:id="1322"/>
    </w:p>
    <w:p>
      <w:pPr>
        <w:pStyle w:val="7"/>
        <w:spacing w:before="0" w:beforeAutospacing="0" w:after="0" w:afterAutospacing="0" w:line="360" w:lineRule="auto"/>
        <w:ind w:firstLine="422" w:firstLineChars="200"/>
        <w:rPr>
          <w:sz w:val="21"/>
          <w:szCs w:val="21"/>
        </w:rPr>
      </w:pPr>
      <w:bookmarkStart w:id="1323" w:name="_Toc532377379"/>
      <w:bookmarkStart w:id="1324" w:name="_Toc532375643"/>
      <w:bookmarkStart w:id="1325" w:name="_Toc300935000"/>
      <w:bookmarkStart w:id="1326" w:name="_Toc292559406"/>
      <w:bookmarkStart w:id="1327" w:name="_Toc312678039"/>
      <w:bookmarkStart w:id="1328" w:name="_Toc297216209"/>
      <w:bookmarkStart w:id="1329" w:name="_Toc296891029"/>
      <w:bookmarkStart w:id="1330" w:name="_Toc296944540"/>
      <w:bookmarkStart w:id="1331" w:name="_Toc297123550"/>
      <w:bookmarkStart w:id="1332" w:name="_Toc296503201"/>
      <w:bookmarkStart w:id="1333" w:name="_Toc297120501"/>
      <w:bookmarkStart w:id="1334" w:name="_Toc296347200"/>
      <w:bookmarkStart w:id="1335" w:name="_Toc296346702"/>
      <w:bookmarkStart w:id="1336" w:name="_Toc297048387"/>
      <w:bookmarkStart w:id="1337" w:name="_Toc303539157"/>
      <w:bookmarkStart w:id="1338" w:name="_Toc304295577"/>
      <w:bookmarkStart w:id="1339" w:name="_Toc296891241"/>
      <w:bookmarkStart w:id="1340" w:name="_Toc292559911"/>
      <w:r>
        <w:rPr>
          <w:rFonts w:hint="eastAsia"/>
          <w:sz w:val="21"/>
          <w:szCs w:val="21"/>
        </w:rPr>
        <w:t>11.1 市场价格波动引起的调整</w:t>
      </w:r>
      <w:bookmarkEnd w:id="1323"/>
      <w:bookmarkEnd w:id="1324"/>
    </w:p>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p>
      <w:pPr>
        <w:spacing w:line="360" w:lineRule="auto"/>
        <w:ind w:firstLine="420" w:firstLineChars="200"/>
        <w:jc w:val="left"/>
        <w:rPr>
          <w:rFonts w:ascii="宋体" w:hAnsi="宋体"/>
          <w:szCs w:val="21"/>
        </w:rPr>
      </w:pPr>
      <w:bookmarkStart w:id="1341" w:name="_Toc466911545"/>
      <w:bookmarkStart w:id="1342" w:name="_Toc466913963"/>
      <w:bookmarkStart w:id="1343" w:name="_Toc467689641"/>
      <w:bookmarkStart w:id="1344" w:name="_Toc466913513"/>
      <w:r>
        <w:rPr>
          <w:rFonts w:hint="eastAsia" w:ascii="宋体" w:hAnsi="宋体"/>
          <w:szCs w:val="21"/>
        </w:rPr>
        <w:t>市场价格波动是否调整合同价格的约定：</w:t>
      </w:r>
      <w:r>
        <w:rPr>
          <w:rFonts w:hint="eastAsia" w:ascii="宋体" w:hAnsi="宋体"/>
          <w:szCs w:val="21"/>
          <w:u w:val="single"/>
        </w:rPr>
        <w:t>合同工期一年以上（含一年），且市场价格波动幅度符合第11.1.1项〔人工费价差调整办法〕和（或）第11.1.2项〔材料费价差调整办法〕约定的，按第11.1.1项〔人工费价差调整办法〕和（或）第11.1.2项〔材料费价差调整办法〕约定调整合同价格；第11.1.1项〔人工费价差调整办法〕和（或）第11.1.2项〔材料费价差调整办法〕约定的调差条件之外的市场价格波动风险不调整合同价格，风险费用由承包人自行考虑后纳入签约合同价格中，包干使用</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因市场价格波动调整合同价格，采用以下</w:t>
      </w:r>
      <w:r>
        <w:rPr>
          <w:rFonts w:hint="eastAsia" w:ascii="宋体" w:hAnsi="宋体"/>
          <w:szCs w:val="21"/>
          <w:u w:val="single"/>
        </w:rPr>
        <w:t>第2种</w:t>
      </w:r>
      <w:r>
        <w:rPr>
          <w:rFonts w:hint="eastAsia" w:ascii="宋体" w:hAnsi="宋体"/>
          <w:szCs w:val="21"/>
        </w:rPr>
        <w:t>方式对合同价格进行调整：</w:t>
      </w:r>
    </w:p>
    <w:p>
      <w:pPr>
        <w:spacing w:line="360" w:lineRule="auto"/>
        <w:ind w:firstLine="420" w:firstLineChars="200"/>
        <w:jc w:val="left"/>
        <w:rPr>
          <w:rFonts w:ascii="宋体" w:hAnsi="宋体"/>
          <w:szCs w:val="21"/>
        </w:rPr>
      </w:pPr>
      <w:r>
        <w:rPr>
          <w:rFonts w:hint="eastAsia" w:ascii="宋体" w:hAnsi="宋体"/>
          <w:szCs w:val="21"/>
        </w:rPr>
        <w:t>第1种方式：采用价格指数进行价格调整。</w:t>
      </w:r>
    </w:p>
    <w:p>
      <w:pPr>
        <w:spacing w:line="360" w:lineRule="auto"/>
        <w:ind w:firstLine="420" w:firstLineChars="200"/>
        <w:jc w:val="left"/>
        <w:rPr>
          <w:rFonts w:ascii="宋体" w:hAnsi="宋体"/>
          <w:szCs w:val="21"/>
        </w:rPr>
      </w:pPr>
      <w:r>
        <w:rPr>
          <w:rFonts w:hint="eastAsia" w:ascii="宋体" w:hAnsi="宋体"/>
          <w:szCs w:val="21"/>
        </w:rPr>
        <w:t>关于各可调因子、定值和变值权重，以及基本价格指数及其来源的约定：</w:t>
      </w:r>
      <w:r>
        <w:rPr>
          <w:rFonts w:hint="eastAsia" w:ascii="宋体" w:hAnsi="宋体"/>
          <w:szCs w:val="21"/>
          <w:u w:val="single"/>
        </w:rPr>
        <w:t xml:space="preserve"> /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第2种方式：采用造价信息进行价格调整，调整方法如下：</w:t>
      </w:r>
    </w:p>
    <w:p>
      <w:pPr>
        <w:spacing w:line="360" w:lineRule="auto"/>
        <w:ind w:firstLine="420" w:firstLineChars="200"/>
        <w:jc w:val="left"/>
        <w:rPr>
          <w:rFonts w:ascii="宋体" w:hAnsi="宋体"/>
          <w:szCs w:val="21"/>
        </w:rPr>
      </w:pPr>
      <w:bookmarkStart w:id="1345" w:name="_Hlk524296901"/>
      <w:r>
        <w:rPr>
          <w:rFonts w:hint="eastAsia" w:ascii="宋体" w:hAnsi="宋体"/>
          <w:szCs w:val="21"/>
        </w:rPr>
        <w:t>11.1.1人工费价差调整办法</w:t>
      </w:r>
      <w:bookmarkEnd w:id="1341"/>
      <w:bookmarkEnd w:id="1342"/>
      <w:bookmarkEnd w:id="1343"/>
      <w:bookmarkEnd w:id="1344"/>
    </w:p>
    <w:p>
      <w:pPr>
        <w:tabs>
          <w:tab w:val="left" w:pos="711"/>
          <w:tab w:val="left" w:pos="2580"/>
        </w:tabs>
        <w:spacing w:line="360" w:lineRule="auto"/>
        <w:ind w:firstLine="420" w:firstLineChars="200"/>
        <w:jc w:val="left"/>
        <w:textAlignment w:val="baseline"/>
        <w:rPr>
          <w:rFonts w:ascii="宋体" w:hAnsi="宋体"/>
          <w:szCs w:val="21"/>
        </w:rPr>
      </w:pPr>
      <w:bookmarkStart w:id="1346" w:name="_Toc466911548"/>
      <w:bookmarkStart w:id="1347" w:name="_Toc466913966"/>
      <w:bookmarkStart w:id="1348" w:name="_Toc467689644"/>
      <w:bookmarkStart w:id="1349" w:name="_Toc466913516"/>
      <w:r>
        <w:rPr>
          <w:rFonts w:hint="eastAsia" w:ascii="宋体" w:hAnsi="宋体"/>
          <w:szCs w:val="21"/>
        </w:rPr>
        <w:t>（1）自实际开工时间起至合同约定的工期结束时间止，期间《重庆工程造价信息》发布人工单价的算术平均值较开标当期《重庆工程造价信息》发布的人工单价变化超过</w:t>
      </w:r>
      <w:r>
        <w:rPr>
          <w:rFonts w:hint="eastAsia" w:ascii="宋体" w:hAnsi="宋体"/>
          <w:szCs w:val="21"/>
          <w:u w:val="single"/>
        </w:rPr>
        <w:t>±</w:t>
      </w:r>
      <w:r>
        <w:rPr>
          <w:rFonts w:hint="eastAsia" w:ascii="宋体" w:hAnsi="宋体"/>
          <w:kern w:val="0"/>
          <w:szCs w:val="21"/>
          <w:u w:val="single"/>
        </w:rPr>
        <w:t>10%</w:t>
      </w:r>
      <w:r>
        <w:rPr>
          <w:rFonts w:hint="eastAsia" w:ascii="宋体" w:hAnsi="宋体"/>
          <w:szCs w:val="21"/>
        </w:rPr>
        <w:t>时，按以下约定调整：</w:t>
      </w:r>
    </w:p>
    <w:p>
      <w:pPr>
        <w:tabs>
          <w:tab w:val="left" w:pos="711"/>
          <w:tab w:val="left" w:pos="2580"/>
        </w:tabs>
        <w:spacing w:line="360" w:lineRule="auto"/>
        <w:ind w:firstLine="420" w:firstLineChars="200"/>
        <w:jc w:val="left"/>
        <w:textAlignment w:val="baseline"/>
        <w:rPr>
          <w:rFonts w:ascii="宋体" w:hAnsi="宋体"/>
          <w:szCs w:val="21"/>
        </w:rPr>
      </w:pPr>
      <w:r>
        <w:rPr>
          <w:rFonts w:hint="eastAsia" w:ascii="宋体" w:hAnsi="宋体"/>
          <w:szCs w:val="21"/>
        </w:rPr>
        <w:t>①已标价工程量清单中载明人工单价不高于开标当期《重庆工程造价信息》发布的人工单价的：按期间《重庆工程造价信息》发布人工单价的算术平均值减去开标当期《重庆工程造价信息》发布的人工单价乘以</w:t>
      </w:r>
      <w:r>
        <w:rPr>
          <w:rFonts w:hint="eastAsia" w:ascii="宋体" w:hAnsi="宋体"/>
          <w:szCs w:val="21"/>
          <w:u w:val="single"/>
        </w:rPr>
        <w:t>（1±10%）</w:t>
      </w:r>
      <w:r>
        <w:rPr>
          <w:rFonts w:hint="eastAsia" w:ascii="宋体" w:hAnsi="宋体"/>
          <w:szCs w:val="21"/>
        </w:rPr>
        <w:t>调差。</w:t>
      </w:r>
    </w:p>
    <w:p>
      <w:pPr>
        <w:tabs>
          <w:tab w:val="left" w:pos="711"/>
          <w:tab w:val="left" w:pos="2580"/>
        </w:tabs>
        <w:spacing w:line="360" w:lineRule="auto"/>
        <w:ind w:firstLine="420" w:firstLineChars="200"/>
        <w:jc w:val="left"/>
        <w:textAlignment w:val="baseline"/>
        <w:rPr>
          <w:rFonts w:ascii="宋体" w:hAnsi="宋体"/>
          <w:szCs w:val="21"/>
        </w:rPr>
      </w:pPr>
      <w:r>
        <w:rPr>
          <w:rFonts w:hint="eastAsia" w:ascii="宋体" w:hAnsi="宋体"/>
          <w:szCs w:val="21"/>
        </w:rPr>
        <w:t>②已标价工程量清单中载明人工单价高于开标当期《重庆工程造价信息》发布的人工单价的，按期间《重庆工程造价信息》发布人工单价的算术平均值减去已标价工程量清单中载明人工单价乘以</w:t>
      </w:r>
      <w:r>
        <w:rPr>
          <w:rFonts w:hint="eastAsia" w:ascii="宋体" w:hAnsi="宋体"/>
          <w:szCs w:val="21"/>
          <w:u w:val="single"/>
        </w:rPr>
        <w:t>（1±10%）</w:t>
      </w:r>
      <w:r>
        <w:rPr>
          <w:rFonts w:hint="eastAsia" w:ascii="宋体" w:hAnsi="宋体"/>
          <w:szCs w:val="21"/>
        </w:rPr>
        <w:t>调差。</w:t>
      </w:r>
    </w:p>
    <w:p>
      <w:pPr>
        <w:tabs>
          <w:tab w:val="left" w:pos="711"/>
          <w:tab w:val="left" w:pos="2580"/>
        </w:tabs>
        <w:spacing w:line="360" w:lineRule="auto"/>
        <w:ind w:firstLine="420" w:firstLineChars="200"/>
        <w:jc w:val="left"/>
        <w:textAlignment w:val="baseline"/>
        <w:rPr>
          <w:rFonts w:ascii="宋体" w:hAnsi="宋体"/>
          <w:szCs w:val="21"/>
        </w:rPr>
      </w:pPr>
      <w:r>
        <w:rPr>
          <w:rFonts w:hint="eastAsia" w:ascii="宋体" w:hAnsi="宋体"/>
          <w:szCs w:val="21"/>
        </w:rPr>
        <w:t>（2）工程量按照第12.3.1项〔计量原则〕约定计算，单位工程的人工消耗量按承包人</w:t>
      </w:r>
      <w:r>
        <w:rPr>
          <w:rFonts w:hint="eastAsia" w:ascii="宋体" w:hAnsi="宋体"/>
          <w:szCs w:val="21"/>
          <w:lang w:eastAsia="zh-CN"/>
        </w:rPr>
        <w:t>竞标报价</w:t>
      </w:r>
      <w:r>
        <w:rPr>
          <w:rFonts w:hint="eastAsia" w:ascii="宋体" w:hAnsi="宋体"/>
          <w:szCs w:val="21"/>
        </w:rPr>
        <w:t>的消耗量执行（承包人</w:t>
      </w:r>
      <w:r>
        <w:rPr>
          <w:rFonts w:hint="eastAsia" w:ascii="宋体" w:hAnsi="宋体"/>
          <w:szCs w:val="21"/>
          <w:lang w:eastAsia="zh-CN"/>
        </w:rPr>
        <w:t>竞标报价</w:t>
      </w:r>
      <w:r>
        <w:rPr>
          <w:rFonts w:hint="eastAsia" w:ascii="宋体" w:hAnsi="宋体"/>
          <w:szCs w:val="21"/>
        </w:rPr>
        <w:t>的单位工程人工消耗量高于定额单位工程人工消耗量的，按定额单位工程的人工消耗量执行）。</w:t>
      </w:r>
    </w:p>
    <w:p>
      <w:pPr>
        <w:tabs>
          <w:tab w:val="left" w:pos="711"/>
          <w:tab w:val="left" w:pos="2580"/>
        </w:tabs>
        <w:spacing w:line="360" w:lineRule="auto"/>
        <w:ind w:firstLine="420" w:firstLineChars="200"/>
        <w:jc w:val="left"/>
        <w:textAlignment w:val="baseline"/>
        <w:rPr>
          <w:rFonts w:ascii="宋体" w:hAnsi="宋体"/>
          <w:szCs w:val="21"/>
        </w:rPr>
      </w:pPr>
      <w:r>
        <w:rPr>
          <w:rFonts w:hint="eastAsia" w:ascii="宋体" w:hAnsi="宋体"/>
          <w:szCs w:val="21"/>
        </w:rPr>
        <w:t>（3）</w:t>
      </w:r>
      <w:r>
        <w:rPr>
          <w:rFonts w:hint="eastAsia" w:ascii="宋体" w:hAnsi="宋体"/>
          <w:szCs w:val="21"/>
          <w:u w:val="single"/>
        </w:rPr>
        <w:t xml:space="preserve">        </w:t>
      </w:r>
      <w:r>
        <w:rPr>
          <w:rFonts w:hint="eastAsia" w:ascii="宋体" w:hAnsi="宋体"/>
          <w:szCs w:val="21"/>
        </w:rPr>
        <w:t>。</w:t>
      </w:r>
    </w:p>
    <w:bookmarkEnd w:id="1345"/>
    <w:p>
      <w:pPr>
        <w:spacing w:line="360" w:lineRule="auto"/>
        <w:ind w:firstLine="420" w:firstLineChars="200"/>
        <w:jc w:val="left"/>
        <w:rPr>
          <w:rFonts w:ascii="宋体" w:hAnsi="宋体"/>
          <w:szCs w:val="21"/>
        </w:rPr>
      </w:pPr>
      <w:bookmarkStart w:id="1350" w:name="_Hlk524297138"/>
      <w:r>
        <w:rPr>
          <w:rFonts w:hint="eastAsia" w:ascii="宋体" w:hAnsi="宋体"/>
          <w:szCs w:val="21"/>
        </w:rPr>
        <w:t>11.1.2 材料费价差调整</w:t>
      </w:r>
      <w:bookmarkEnd w:id="1346"/>
      <w:bookmarkEnd w:id="1347"/>
      <w:bookmarkEnd w:id="1348"/>
      <w:bookmarkEnd w:id="1349"/>
      <w:r>
        <w:rPr>
          <w:rFonts w:hint="eastAsia" w:ascii="宋体" w:hAnsi="宋体"/>
          <w:szCs w:val="21"/>
        </w:rPr>
        <w:t>办法</w:t>
      </w:r>
    </w:p>
    <w:p>
      <w:pPr>
        <w:tabs>
          <w:tab w:val="left" w:pos="711"/>
          <w:tab w:val="left" w:pos="2580"/>
        </w:tabs>
        <w:spacing w:line="360" w:lineRule="auto"/>
        <w:ind w:firstLine="420" w:firstLineChars="200"/>
        <w:jc w:val="left"/>
        <w:textAlignment w:val="baseline"/>
        <w:rPr>
          <w:rFonts w:ascii="宋体" w:hAnsi="宋体"/>
          <w:szCs w:val="21"/>
        </w:rPr>
      </w:pPr>
      <w:r>
        <w:rPr>
          <w:rFonts w:hint="eastAsia" w:ascii="宋体" w:hAnsi="宋体"/>
          <w:szCs w:val="21"/>
        </w:rPr>
        <w:t>可调价差材料：</w:t>
      </w:r>
      <w:r>
        <w:rPr>
          <w:rFonts w:hint="eastAsia" w:ascii="宋体" w:hAnsi="宋体"/>
          <w:szCs w:val="21"/>
          <w:u w:val="single"/>
        </w:rPr>
        <w:t>水泥、商品砼、碎石、砂、钢筋、型钢、条石、片石、预应力钢绞线、沥青混凝土、水泥稳定碎石拌和料、预拌商品砂浆、砌筑材料等主要材料（可按工程使用的具体材料确定）</w:t>
      </w:r>
      <w:r>
        <w:rPr>
          <w:rFonts w:hint="eastAsia" w:ascii="宋体" w:hAnsi="宋体"/>
          <w:szCs w:val="21"/>
        </w:rPr>
        <w:t>。</w:t>
      </w:r>
    </w:p>
    <w:p>
      <w:pPr>
        <w:tabs>
          <w:tab w:val="left" w:pos="711"/>
          <w:tab w:val="left" w:pos="2580"/>
        </w:tabs>
        <w:spacing w:line="360" w:lineRule="auto"/>
        <w:ind w:firstLine="420" w:firstLineChars="200"/>
        <w:jc w:val="left"/>
        <w:textAlignment w:val="baseline"/>
        <w:rPr>
          <w:rFonts w:ascii="宋体" w:hAnsi="宋体"/>
          <w:szCs w:val="21"/>
        </w:rPr>
      </w:pPr>
      <w:r>
        <w:rPr>
          <w:rFonts w:hint="eastAsia" w:ascii="宋体" w:hAnsi="宋体"/>
          <w:szCs w:val="21"/>
        </w:rPr>
        <w:t>可调价差材料的价差调整办法如下：</w:t>
      </w:r>
    </w:p>
    <w:bookmarkEnd w:id="1203"/>
    <w:bookmarkEnd w:id="1204"/>
    <w:bookmarkEnd w:id="1205"/>
    <w:bookmarkEnd w:id="1206"/>
    <w:bookmarkEnd w:id="1207"/>
    <w:bookmarkEnd w:id="1208"/>
    <w:p>
      <w:pPr>
        <w:tabs>
          <w:tab w:val="left" w:pos="711"/>
          <w:tab w:val="left" w:pos="2580"/>
        </w:tabs>
        <w:spacing w:line="360" w:lineRule="auto"/>
        <w:ind w:firstLine="420" w:firstLineChars="200"/>
        <w:jc w:val="left"/>
        <w:textAlignment w:val="baseline"/>
        <w:rPr>
          <w:rFonts w:ascii="宋体" w:hAnsi="宋体"/>
          <w:szCs w:val="21"/>
        </w:rPr>
      </w:pPr>
      <w:bookmarkStart w:id="1351" w:name="_Toc292559410"/>
      <w:bookmarkStart w:id="1352" w:name="_Toc296891245"/>
      <w:bookmarkStart w:id="1353" w:name="_Toc297120505"/>
      <w:bookmarkStart w:id="1354" w:name="_Toc297048391"/>
      <w:bookmarkStart w:id="1355" w:name="_Toc296891033"/>
      <w:bookmarkStart w:id="1356" w:name="_Toc296503205"/>
      <w:bookmarkStart w:id="1357" w:name="_Toc296944544"/>
      <w:bookmarkStart w:id="1358" w:name="_Toc292559915"/>
      <w:bookmarkStart w:id="1359" w:name="_Toc296347204"/>
      <w:bookmarkStart w:id="1360" w:name="_Toc296346706"/>
      <w:bookmarkStart w:id="1361" w:name="_Toc351203644"/>
      <w:bookmarkStart w:id="1362" w:name="_Toc312678040"/>
      <w:bookmarkStart w:id="1363" w:name="_Toc300935002"/>
      <w:bookmarkStart w:id="1364" w:name="_Toc304295579"/>
      <w:bookmarkStart w:id="1365" w:name="_Toc303539159"/>
      <w:bookmarkStart w:id="1366" w:name="_Toc297123552"/>
      <w:bookmarkStart w:id="1367" w:name="_Toc297216211"/>
      <w:r>
        <w:rPr>
          <w:rFonts w:hint="eastAsia" w:ascii="宋体" w:hAnsi="宋体"/>
          <w:szCs w:val="21"/>
        </w:rPr>
        <w:t>（1）自实际开工时间起至合同约定的工期结束时间止，期间《重庆工程造价信息》发布的信息价的算术平均值较开标当期《重庆工程造价信息》发布的信息价变化超过</w:t>
      </w:r>
      <w:r>
        <w:rPr>
          <w:rFonts w:hint="eastAsia" w:ascii="宋体" w:hAnsi="宋体"/>
          <w:szCs w:val="21"/>
          <w:u w:val="single"/>
        </w:rPr>
        <w:t>±10%</w:t>
      </w:r>
      <w:r>
        <w:rPr>
          <w:rFonts w:hint="eastAsia" w:ascii="宋体" w:hAnsi="宋体"/>
          <w:szCs w:val="21"/>
        </w:rPr>
        <w:t>时，按以下约定调整：</w:t>
      </w:r>
    </w:p>
    <w:p>
      <w:pPr>
        <w:tabs>
          <w:tab w:val="left" w:pos="711"/>
          <w:tab w:val="left" w:pos="2580"/>
        </w:tabs>
        <w:spacing w:line="360" w:lineRule="auto"/>
        <w:ind w:firstLine="420" w:firstLineChars="200"/>
        <w:jc w:val="left"/>
        <w:textAlignment w:val="baseline"/>
        <w:rPr>
          <w:rFonts w:ascii="宋体" w:hAnsi="宋体"/>
          <w:szCs w:val="21"/>
        </w:rPr>
      </w:pPr>
      <w:r>
        <w:rPr>
          <w:rFonts w:hint="eastAsia" w:ascii="宋体" w:hAnsi="宋体"/>
          <w:szCs w:val="21"/>
        </w:rPr>
        <w:t>①已标价工程量清单中载明材料单价不高于开标当期《重庆工程造价信息》发布的信息价的按期间《重庆工程造价信息》发布信息价的算术平均值减去开标当期《重庆工程造价信息》发布的信息价乘以</w:t>
      </w:r>
      <w:r>
        <w:rPr>
          <w:rFonts w:hint="eastAsia" w:ascii="宋体" w:hAnsi="宋体"/>
          <w:szCs w:val="21"/>
          <w:u w:val="single"/>
        </w:rPr>
        <w:t>（1±10%）</w:t>
      </w:r>
      <w:r>
        <w:rPr>
          <w:rFonts w:hint="eastAsia" w:ascii="宋体" w:hAnsi="宋体"/>
          <w:szCs w:val="21"/>
        </w:rPr>
        <w:t>调差。</w:t>
      </w:r>
    </w:p>
    <w:p>
      <w:pPr>
        <w:tabs>
          <w:tab w:val="left" w:pos="711"/>
          <w:tab w:val="left" w:pos="2580"/>
        </w:tabs>
        <w:spacing w:line="360" w:lineRule="auto"/>
        <w:ind w:firstLine="420" w:firstLineChars="200"/>
        <w:jc w:val="left"/>
        <w:textAlignment w:val="baseline"/>
        <w:rPr>
          <w:rFonts w:ascii="宋体" w:hAnsi="宋体"/>
          <w:szCs w:val="21"/>
        </w:rPr>
      </w:pPr>
      <w:r>
        <w:rPr>
          <w:rFonts w:hint="eastAsia" w:ascii="宋体" w:hAnsi="宋体"/>
          <w:szCs w:val="21"/>
        </w:rPr>
        <w:t>②已标价工程量清单中载明材料单价高于开标当期《重庆工程造价信息》发布的信息价的，按期间《重庆工程造价信息》发布信息价的算术平均值减去已标价工程量清单中载明材料单价乘以</w:t>
      </w:r>
      <w:r>
        <w:rPr>
          <w:rFonts w:hint="eastAsia" w:ascii="宋体" w:hAnsi="宋体"/>
          <w:szCs w:val="21"/>
          <w:u w:val="single"/>
        </w:rPr>
        <w:t>（1±10%）</w:t>
      </w:r>
      <w:r>
        <w:rPr>
          <w:rFonts w:hint="eastAsia" w:ascii="宋体" w:hAnsi="宋体"/>
          <w:szCs w:val="21"/>
        </w:rPr>
        <w:t>调差。</w:t>
      </w:r>
    </w:p>
    <w:p>
      <w:pPr>
        <w:tabs>
          <w:tab w:val="left" w:pos="711"/>
          <w:tab w:val="left" w:pos="2580"/>
        </w:tabs>
        <w:spacing w:line="360" w:lineRule="auto"/>
        <w:ind w:firstLine="420" w:firstLineChars="200"/>
        <w:jc w:val="left"/>
        <w:textAlignment w:val="baseline"/>
        <w:rPr>
          <w:rFonts w:ascii="宋体" w:hAnsi="宋体"/>
          <w:szCs w:val="21"/>
        </w:rPr>
      </w:pPr>
      <w:r>
        <w:rPr>
          <w:rFonts w:hint="eastAsia" w:ascii="宋体" w:hAnsi="宋体"/>
          <w:szCs w:val="21"/>
        </w:rPr>
        <w:t>（2）工程量按照第12.3.1项〔计量原则〕约定计算，单位工程的材料消耗量按承包人</w:t>
      </w:r>
      <w:r>
        <w:rPr>
          <w:rFonts w:hint="eastAsia" w:ascii="宋体" w:hAnsi="宋体"/>
          <w:szCs w:val="21"/>
          <w:lang w:eastAsia="zh-CN"/>
        </w:rPr>
        <w:t>竞标报价</w:t>
      </w:r>
      <w:r>
        <w:rPr>
          <w:rFonts w:hint="eastAsia" w:ascii="宋体" w:hAnsi="宋体"/>
          <w:szCs w:val="21"/>
        </w:rPr>
        <w:t>的消耗量执行（承包人</w:t>
      </w:r>
      <w:r>
        <w:rPr>
          <w:rFonts w:hint="eastAsia" w:ascii="宋体" w:hAnsi="宋体"/>
          <w:szCs w:val="21"/>
          <w:lang w:eastAsia="zh-CN"/>
        </w:rPr>
        <w:t>竞标报价</w:t>
      </w:r>
      <w:r>
        <w:rPr>
          <w:rFonts w:hint="eastAsia" w:ascii="宋体" w:hAnsi="宋体"/>
          <w:szCs w:val="21"/>
        </w:rPr>
        <w:t>的单位工程材料消耗量高于定额单位工程材料消耗量的，按定额单位工程的材料消耗量执行）。</w:t>
      </w:r>
    </w:p>
    <w:p>
      <w:pPr>
        <w:tabs>
          <w:tab w:val="left" w:pos="711"/>
          <w:tab w:val="left" w:pos="2580"/>
        </w:tabs>
        <w:spacing w:line="360" w:lineRule="auto"/>
        <w:ind w:firstLine="420" w:firstLineChars="200"/>
        <w:jc w:val="left"/>
        <w:textAlignment w:val="baseline"/>
        <w:rPr>
          <w:rFonts w:ascii="宋体" w:hAnsi="宋体"/>
          <w:szCs w:val="21"/>
        </w:rPr>
      </w:pPr>
      <w:r>
        <w:rPr>
          <w:rFonts w:hint="eastAsia" w:ascii="宋体" w:hAnsi="宋体"/>
          <w:szCs w:val="21"/>
        </w:rPr>
        <w:t>（3）</w:t>
      </w:r>
      <w:r>
        <w:rPr>
          <w:rFonts w:hint="eastAsia" w:ascii="宋体" w:hAnsi="宋体"/>
          <w:szCs w:val="21"/>
          <w:u w:val="single"/>
        </w:rPr>
        <w:t xml:space="preserve">        </w:t>
      </w:r>
      <w:r>
        <w:rPr>
          <w:rFonts w:hint="eastAsia" w:ascii="宋体" w:hAnsi="宋体"/>
          <w:szCs w:val="21"/>
        </w:rPr>
        <w:t>。</w:t>
      </w:r>
    </w:p>
    <w:bookmarkEnd w:id="1350"/>
    <w:p>
      <w:pPr>
        <w:spacing w:line="360" w:lineRule="auto"/>
        <w:ind w:firstLine="420" w:firstLineChars="200"/>
        <w:jc w:val="left"/>
        <w:rPr>
          <w:rFonts w:ascii="宋体" w:hAnsi="宋体"/>
          <w:szCs w:val="21"/>
        </w:rPr>
      </w:pPr>
      <w:r>
        <w:rPr>
          <w:rFonts w:hint="eastAsia" w:ascii="宋体" w:hAnsi="宋体"/>
          <w:szCs w:val="21"/>
        </w:rPr>
        <w:t>第3种方式：其他价格调整方式：</w:t>
      </w:r>
      <w:r>
        <w:rPr>
          <w:rFonts w:hint="eastAsia" w:ascii="宋体" w:hAnsi="宋体"/>
          <w:szCs w:val="21"/>
          <w:u w:val="single"/>
        </w:rPr>
        <w:t xml:space="preserve">        </w:t>
      </w:r>
      <w:r>
        <w:rPr>
          <w:rFonts w:hint="eastAsia" w:ascii="宋体" w:hAnsi="宋体"/>
          <w:szCs w:val="21"/>
        </w:rPr>
        <w:t>。</w:t>
      </w:r>
    </w:p>
    <w:p>
      <w:pPr>
        <w:pStyle w:val="7"/>
        <w:spacing w:before="0" w:beforeAutospacing="0" w:after="0" w:afterAutospacing="0" w:line="360" w:lineRule="auto"/>
        <w:ind w:firstLine="422" w:firstLineChars="200"/>
        <w:rPr>
          <w:sz w:val="21"/>
          <w:szCs w:val="21"/>
        </w:rPr>
      </w:pPr>
      <w:bookmarkStart w:id="1368" w:name="_Toc532377380"/>
      <w:bookmarkStart w:id="1369" w:name="_Toc532375644"/>
      <w:bookmarkStart w:id="1370" w:name="_Hlk528928232"/>
      <w:r>
        <w:rPr>
          <w:rFonts w:hint="eastAsia"/>
          <w:sz w:val="21"/>
          <w:szCs w:val="21"/>
        </w:rPr>
        <w:t>11.2 法律变化引起的调整</w:t>
      </w:r>
      <w:bookmarkEnd w:id="1368"/>
      <w:bookmarkEnd w:id="1369"/>
    </w:p>
    <w:p>
      <w:pPr>
        <w:spacing w:line="360" w:lineRule="auto"/>
        <w:ind w:firstLine="420" w:firstLineChars="200"/>
        <w:jc w:val="left"/>
        <w:rPr>
          <w:rFonts w:ascii="宋体" w:hAnsi="宋体"/>
          <w:szCs w:val="21"/>
        </w:rPr>
      </w:pPr>
      <w:r>
        <w:rPr>
          <w:rFonts w:hint="eastAsia" w:ascii="宋体" w:hAnsi="宋体"/>
          <w:szCs w:val="21"/>
        </w:rPr>
        <w:t>项目投标基准日至竣工验收合格之日，国家或相关行政主管部门发布直接影响项目的新法规、新政策、新文件、新标准，属强制执行的，自执行之日执行，由此增减的费用由发包人承担，估价照第10.4.1项〔变更估价原则〕执行；属选择性执行的，发包人与承包人协商解决。</w:t>
      </w:r>
    </w:p>
    <w:p>
      <w:pPr>
        <w:spacing w:line="360" w:lineRule="auto"/>
        <w:ind w:firstLine="420" w:firstLineChars="200"/>
        <w:jc w:val="left"/>
        <w:rPr>
          <w:rFonts w:ascii="宋体" w:hAnsi="宋体"/>
          <w:szCs w:val="21"/>
        </w:rPr>
      </w:pPr>
      <w:r>
        <w:rPr>
          <w:rFonts w:hint="eastAsia" w:ascii="宋体" w:hAnsi="宋体"/>
          <w:szCs w:val="21"/>
        </w:rPr>
        <w:t>本条补充11.3款</w:t>
      </w:r>
    </w:p>
    <w:bookmarkEnd w:id="1370"/>
    <w:p>
      <w:pPr>
        <w:pStyle w:val="7"/>
        <w:spacing w:before="0" w:beforeAutospacing="0" w:after="0" w:afterAutospacing="0" w:line="360" w:lineRule="auto"/>
        <w:ind w:firstLine="422" w:firstLineChars="200"/>
        <w:rPr>
          <w:sz w:val="21"/>
          <w:szCs w:val="21"/>
        </w:rPr>
      </w:pPr>
      <w:bookmarkStart w:id="1371" w:name="_Toc532375645"/>
      <w:bookmarkStart w:id="1372" w:name="_Toc532377381"/>
      <w:r>
        <w:rPr>
          <w:rFonts w:hint="eastAsia"/>
          <w:sz w:val="21"/>
          <w:szCs w:val="21"/>
        </w:rPr>
        <w:t>11.3 严重不平衡报价引起的调整</w:t>
      </w:r>
      <w:bookmarkEnd w:id="1371"/>
      <w:bookmarkEnd w:id="1372"/>
    </w:p>
    <w:p>
      <w:pPr>
        <w:spacing w:line="360" w:lineRule="auto"/>
        <w:ind w:firstLine="420" w:firstLineChars="200"/>
        <w:jc w:val="left"/>
        <w:rPr>
          <w:rFonts w:ascii="宋体" w:hAnsi="宋体"/>
          <w:szCs w:val="21"/>
          <w:u w:val="single"/>
        </w:rPr>
      </w:pPr>
      <w:r>
        <w:rPr>
          <w:rFonts w:hint="eastAsia" w:ascii="宋体" w:hAnsi="宋体"/>
          <w:szCs w:val="21"/>
          <w:u w:val="single"/>
        </w:rPr>
        <w:t>合同履行期间，当按第12.3.1项〔计量原则〕约定确认的完成工程量比已标价工程量清单载明工程量增加超过15%，且发包人发现承包人的已标价工程量清单相关清单子目中有严重不平衡报价的。超过已标价工程量清单载明工程量15%的部分，发包人将对严重不平衡报价的清单子目综合单价进行修正，并按修正综合单价办理竣工结算，修正综合单价按照第10.4.1项〔变更估价原则〕（3）目约定执行</w:t>
      </w:r>
      <w:r>
        <w:rPr>
          <w:rFonts w:hint="eastAsia" w:ascii="宋体" w:hAnsi="宋体"/>
          <w:szCs w:val="21"/>
        </w:rPr>
        <w:t>。</w:t>
      </w:r>
    </w:p>
    <w:p>
      <w:pPr>
        <w:spacing w:line="360" w:lineRule="auto"/>
        <w:ind w:firstLine="420" w:firstLineChars="200"/>
        <w:jc w:val="left"/>
        <w:rPr>
          <w:rFonts w:ascii="宋体" w:hAnsi="宋体"/>
          <w:szCs w:val="21"/>
          <w:u w:val="single"/>
        </w:rPr>
      </w:pPr>
      <w:r>
        <w:rPr>
          <w:rFonts w:hint="eastAsia" w:ascii="宋体" w:hAnsi="宋体"/>
          <w:szCs w:val="21"/>
          <w:u w:val="single"/>
        </w:rPr>
        <w:t>严重不平衡报价是指：清单子目综合单价与发包人按照第10.4.1项〔变更估价原则〕（3）目约定确定的综合单价相比，高于50%（即严重不平衡报价清单子目综合单价 - 按照第10.4.1项〔变更估价原则〕（3）目约定确定的综合单价）/按照第10.4.1项〔变更估价原则〕（3）目约定确定的综合单价×100%</w:t>
      </w:r>
      <w:r>
        <w:rPr>
          <w:rFonts w:hint="eastAsia" w:ascii="宋体" w:hAnsi="宋体"/>
          <w:szCs w:val="21"/>
        </w:rPr>
        <w:t>。</w:t>
      </w:r>
    </w:p>
    <w:p>
      <w:pPr>
        <w:pStyle w:val="6"/>
        <w:spacing w:before="156" w:beforeLines="50" w:beforeAutospacing="0" w:after="156" w:afterLines="50" w:afterAutospacing="0" w:line="360" w:lineRule="auto"/>
        <w:jc w:val="both"/>
        <w:rPr>
          <w:bCs w:val="0"/>
          <w:kern w:val="2"/>
          <w:sz w:val="21"/>
          <w:szCs w:val="21"/>
        </w:rPr>
      </w:pPr>
      <w:bookmarkStart w:id="1373" w:name="_Toc532375646"/>
      <w:bookmarkStart w:id="1374" w:name="_Toc532377382"/>
      <w:r>
        <w:rPr>
          <w:rFonts w:hint="eastAsia"/>
          <w:kern w:val="2"/>
          <w:sz w:val="21"/>
          <w:szCs w:val="21"/>
        </w:rPr>
        <w:t xml:space="preserve">12. </w:t>
      </w:r>
      <w:bookmarkEnd w:id="1351"/>
      <w:bookmarkEnd w:id="1352"/>
      <w:bookmarkEnd w:id="1353"/>
      <w:bookmarkEnd w:id="1354"/>
      <w:bookmarkEnd w:id="1355"/>
      <w:bookmarkEnd w:id="1356"/>
      <w:bookmarkEnd w:id="1357"/>
      <w:bookmarkEnd w:id="1358"/>
      <w:bookmarkEnd w:id="1359"/>
      <w:bookmarkEnd w:id="1360"/>
      <w:r>
        <w:rPr>
          <w:rFonts w:hint="eastAsia"/>
          <w:kern w:val="2"/>
          <w:sz w:val="21"/>
          <w:szCs w:val="21"/>
        </w:rPr>
        <w:t>合同价格、计量与支付</w:t>
      </w:r>
      <w:bookmarkEnd w:id="1361"/>
      <w:bookmarkEnd w:id="1373"/>
      <w:bookmarkEnd w:id="1374"/>
    </w:p>
    <w:bookmarkEnd w:id="1362"/>
    <w:bookmarkEnd w:id="1363"/>
    <w:bookmarkEnd w:id="1364"/>
    <w:bookmarkEnd w:id="1365"/>
    <w:bookmarkEnd w:id="1366"/>
    <w:bookmarkEnd w:id="1367"/>
    <w:p>
      <w:pPr>
        <w:pStyle w:val="7"/>
        <w:spacing w:before="0" w:beforeAutospacing="0" w:after="0" w:afterAutospacing="0" w:line="360" w:lineRule="auto"/>
        <w:ind w:firstLine="422" w:firstLineChars="200"/>
        <w:rPr>
          <w:sz w:val="21"/>
          <w:szCs w:val="21"/>
        </w:rPr>
      </w:pPr>
      <w:bookmarkStart w:id="1375" w:name="_Toc292559411"/>
      <w:bookmarkStart w:id="1376" w:name="_Toc292559916"/>
      <w:bookmarkStart w:id="1377" w:name="_Toc267251461"/>
      <w:bookmarkStart w:id="1378" w:name="_Toc297048392"/>
      <w:bookmarkStart w:id="1379" w:name="_Toc296944545"/>
      <w:bookmarkStart w:id="1380" w:name="_Toc297120506"/>
      <w:bookmarkStart w:id="1381" w:name="_Toc296891246"/>
      <w:bookmarkStart w:id="1382" w:name="_Toc296347205"/>
      <w:bookmarkStart w:id="1383" w:name="_Toc296346707"/>
      <w:bookmarkStart w:id="1384" w:name="_Toc296503206"/>
      <w:bookmarkStart w:id="1385" w:name="_Toc296891034"/>
      <w:bookmarkStart w:id="1386" w:name="_Toc532375647"/>
      <w:bookmarkStart w:id="1387" w:name="_Toc532377383"/>
      <w:bookmarkStart w:id="1388" w:name="_Toc312678041"/>
      <w:bookmarkStart w:id="1389" w:name="_Toc303539160"/>
      <w:bookmarkStart w:id="1390" w:name="_Toc300935003"/>
      <w:bookmarkStart w:id="1391" w:name="_Toc304295580"/>
      <w:bookmarkStart w:id="1392" w:name="_Toc297123553"/>
      <w:bookmarkStart w:id="1393" w:name="_Toc297216212"/>
      <w:r>
        <w:rPr>
          <w:rFonts w:hint="eastAsia"/>
          <w:sz w:val="21"/>
          <w:szCs w:val="21"/>
        </w:rPr>
        <w:t>12.1 合</w:t>
      </w:r>
      <w:bookmarkEnd w:id="1375"/>
      <w:bookmarkEnd w:id="1376"/>
      <w:bookmarkEnd w:id="1377"/>
      <w:r>
        <w:rPr>
          <w:rFonts w:hint="eastAsia"/>
          <w:sz w:val="21"/>
          <w:szCs w:val="21"/>
        </w:rPr>
        <w:t>同价</w:t>
      </w:r>
      <w:bookmarkEnd w:id="1378"/>
      <w:bookmarkEnd w:id="1379"/>
      <w:bookmarkEnd w:id="1380"/>
      <w:bookmarkEnd w:id="1381"/>
      <w:bookmarkEnd w:id="1382"/>
      <w:bookmarkEnd w:id="1383"/>
      <w:bookmarkEnd w:id="1384"/>
      <w:bookmarkEnd w:id="1385"/>
      <w:r>
        <w:rPr>
          <w:rFonts w:hint="eastAsia"/>
          <w:sz w:val="21"/>
          <w:szCs w:val="21"/>
        </w:rPr>
        <w:t>格形式</w:t>
      </w:r>
      <w:bookmarkEnd w:id="1386"/>
      <w:bookmarkEnd w:id="1387"/>
    </w:p>
    <w:bookmarkEnd w:id="1388"/>
    <w:bookmarkEnd w:id="1389"/>
    <w:bookmarkEnd w:id="1390"/>
    <w:bookmarkEnd w:id="1391"/>
    <w:bookmarkEnd w:id="1392"/>
    <w:bookmarkEnd w:id="1393"/>
    <w:p>
      <w:pPr>
        <w:spacing w:line="360" w:lineRule="auto"/>
        <w:ind w:firstLine="420" w:firstLineChars="200"/>
        <w:jc w:val="left"/>
        <w:rPr>
          <w:rFonts w:ascii="宋体" w:hAnsi="宋体"/>
          <w:szCs w:val="21"/>
        </w:rPr>
      </w:pPr>
      <w:r>
        <w:rPr>
          <w:rFonts w:hint="eastAsia" w:ascii="宋体" w:hAnsi="宋体"/>
          <w:szCs w:val="21"/>
        </w:rPr>
        <w:t>1、单价合同。</w:t>
      </w:r>
    </w:p>
    <w:p>
      <w:pPr>
        <w:spacing w:line="360" w:lineRule="auto"/>
        <w:ind w:firstLine="420" w:firstLineChars="200"/>
        <w:jc w:val="left"/>
        <w:rPr>
          <w:rFonts w:ascii="宋体" w:hAnsi="宋体"/>
          <w:szCs w:val="21"/>
          <w:u w:val="single"/>
        </w:rPr>
      </w:pPr>
      <w:r>
        <w:rPr>
          <w:rFonts w:hint="eastAsia" w:ascii="宋体" w:hAnsi="宋体"/>
          <w:szCs w:val="21"/>
        </w:rPr>
        <w:t>综合单价包含的风险范围：</w:t>
      </w:r>
      <w:r>
        <w:rPr>
          <w:rFonts w:hint="eastAsia" w:ascii="宋体" w:hAnsi="宋体"/>
          <w:szCs w:val="21"/>
          <w:u w:val="single"/>
        </w:rPr>
        <w:t>包括但不限于为实施和完成合同工程所需的人工费、材料费、施工机具使用费、企业管理费、利润、风险费、施工技术措施项目费、施工组织措施项目费及缺陷修复等费用，以及</w:t>
      </w:r>
      <w:bookmarkStart w:id="1394" w:name="_Hlk528508096"/>
      <w:r>
        <w:rPr>
          <w:rFonts w:hint="eastAsia" w:ascii="宋体" w:hAnsi="宋体"/>
          <w:szCs w:val="21"/>
          <w:u w:val="single"/>
        </w:rPr>
        <w:t>第11.1款〔市场价格波动引起的调整〕约定范围内的市场价格波动风险、政策性文件规定的各项应有费用、</w:t>
      </w:r>
      <w:bookmarkEnd w:id="1394"/>
      <w:r>
        <w:rPr>
          <w:rFonts w:hint="eastAsia" w:ascii="宋体" w:hAnsi="宋体"/>
          <w:szCs w:val="21"/>
          <w:u w:val="single"/>
        </w:rPr>
        <w:t>招标文件和合同明示或暗示的应由承包人承担的所有责任、义务和风险等所需的费用</w:t>
      </w:r>
      <w:r>
        <w:rPr>
          <w:rFonts w:hint="eastAsia" w:ascii="宋体" w:hAnsi="宋体"/>
          <w:szCs w:val="21"/>
        </w:rPr>
        <w:t>。</w:t>
      </w:r>
    </w:p>
    <w:p>
      <w:pPr>
        <w:spacing w:line="360" w:lineRule="auto"/>
        <w:ind w:firstLine="420" w:firstLineChars="200"/>
        <w:jc w:val="left"/>
        <w:rPr>
          <w:rFonts w:ascii="宋体" w:hAnsi="宋体"/>
          <w:szCs w:val="21"/>
          <w:u w:val="single"/>
        </w:rPr>
      </w:pPr>
      <w:r>
        <w:rPr>
          <w:rFonts w:hint="eastAsia" w:ascii="宋体" w:hAnsi="宋体"/>
          <w:szCs w:val="21"/>
        </w:rPr>
        <w:t>风险费用的计算方法：</w:t>
      </w:r>
      <w:r>
        <w:rPr>
          <w:rFonts w:hint="eastAsia" w:ascii="宋体" w:hAnsi="宋体"/>
          <w:szCs w:val="21"/>
          <w:u w:val="single"/>
        </w:rPr>
        <w:t>由承包人自行考虑并计入签约合同价格中，包干使用</w:t>
      </w:r>
      <w:r>
        <w:rPr>
          <w:rFonts w:hint="eastAsia" w:ascii="宋体" w:hAnsi="宋体"/>
          <w:szCs w:val="21"/>
        </w:rPr>
        <w:t>。</w:t>
      </w:r>
    </w:p>
    <w:p>
      <w:pPr>
        <w:spacing w:line="360" w:lineRule="auto"/>
        <w:ind w:firstLine="420" w:firstLineChars="200"/>
        <w:jc w:val="left"/>
        <w:rPr>
          <w:rFonts w:ascii="宋体" w:hAnsi="宋体"/>
          <w:szCs w:val="21"/>
          <w:u w:val="single"/>
        </w:rPr>
      </w:pPr>
      <w:r>
        <w:rPr>
          <w:rFonts w:hint="eastAsia" w:ascii="宋体" w:hAnsi="宋体"/>
          <w:szCs w:val="21"/>
        </w:rPr>
        <w:t>风险范围以外合同价格的调整方法：</w:t>
      </w:r>
      <w:r>
        <w:rPr>
          <w:rFonts w:hint="eastAsia" w:ascii="宋体" w:hAnsi="宋体"/>
          <w:szCs w:val="21"/>
          <w:u w:val="single"/>
        </w:rPr>
        <w:t>按照合同相关条款约定执行</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2、总价合同。</w:t>
      </w:r>
    </w:p>
    <w:p>
      <w:pPr>
        <w:spacing w:line="360" w:lineRule="auto"/>
        <w:ind w:firstLine="420" w:firstLineChars="200"/>
        <w:jc w:val="left"/>
        <w:rPr>
          <w:rFonts w:ascii="宋体" w:hAnsi="宋体"/>
          <w:szCs w:val="21"/>
          <w:u w:val="single"/>
        </w:rPr>
      </w:pPr>
      <w:r>
        <w:rPr>
          <w:rFonts w:hint="eastAsia" w:ascii="宋体" w:hAnsi="宋体"/>
          <w:szCs w:val="21"/>
        </w:rPr>
        <w:t>总价包含的风险范围：</w:t>
      </w:r>
      <w:r>
        <w:rPr>
          <w:rFonts w:hint="eastAsia" w:ascii="宋体" w:hAnsi="宋体"/>
          <w:szCs w:val="21"/>
          <w:u w:val="single"/>
        </w:rPr>
        <w:t>包括但不限于为实施和完成合同工程所需的人工费、材料费、施工机具使用费、企业管理费、利润、风险费、施工技术措施项目费、施工组织措施项目费、总承包服务费、规费和税金及缺陷修复等费用，以及第11.1款〔市场价格波动引起的调整〕约定范围内的市场价格波动风险、政策性文件规定的各项应有费用、招标文件和合同明示或暗示的应由承包人承担的所有责任、义务和风险等所需的费用</w:t>
      </w:r>
      <w:r>
        <w:rPr>
          <w:rFonts w:hint="eastAsia" w:ascii="宋体" w:hAnsi="宋体"/>
          <w:szCs w:val="21"/>
        </w:rPr>
        <w:t>。</w:t>
      </w:r>
    </w:p>
    <w:p>
      <w:pPr>
        <w:spacing w:line="360" w:lineRule="auto"/>
        <w:ind w:firstLine="420" w:firstLineChars="200"/>
        <w:jc w:val="left"/>
        <w:rPr>
          <w:rFonts w:ascii="宋体" w:hAnsi="宋体"/>
          <w:szCs w:val="21"/>
          <w:u w:val="single"/>
        </w:rPr>
      </w:pPr>
      <w:r>
        <w:rPr>
          <w:rFonts w:hint="eastAsia" w:ascii="宋体" w:hAnsi="宋体"/>
          <w:szCs w:val="21"/>
        </w:rPr>
        <w:t>风险费用的计算方法：</w:t>
      </w:r>
      <w:r>
        <w:rPr>
          <w:rFonts w:hint="eastAsia" w:ascii="宋体" w:hAnsi="宋体"/>
          <w:szCs w:val="21"/>
          <w:u w:val="single"/>
        </w:rPr>
        <w:t>由承包人自行考虑并计入签约合同价格中，包干使用</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风险范围以外合同价格的调整方法：</w:t>
      </w:r>
      <w:r>
        <w:rPr>
          <w:rFonts w:hint="eastAsia" w:ascii="宋体" w:hAnsi="宋体"/>
          <w:szCs w:val="21"/>
          <w:u w:val="single"/>
        </w:rPr>
        <w:t>按照合同相关条款约定执行</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3、其他价格方式：</w:t>
      </w:r>
      <w:r>
        <w:rPr>
          <w:rFonts w:hint="eastAsia" w:ascii="宋体" w:hAnsi="宋体"/>
          <w:szCs w:val="21"/>
          <w:u w:val="single"/>
        </w:rPr>
        <w:t>不采用</w:t>
      </w:r>
      <w:r>
        <w:rPr>
          <w:rFonts w:hint="eastAsia" w:ascii="宋体" w:hAnsi="宋体"/>
          <w:szCs w:val="21"/>
        </w:rPr>
        <w:t>。</w:t>
      </w:r>
    </w:p>
    <w:p>
      <w:pPr>
        <w:pStyle w:val="7"/>
        <w:spacing w:before="0" w:beforeAutospacing="0" w:after="0" w:afterAutospacing="0" w:line="360" w:lineRule="auto"/>
        <w:ind w:firstLine="422" w:firstLineChars="200"/>
        <w:rPr>
          <w:sz w:val="21"/>
          <w:szCs w:val="21"/>
        </w:rPr>
      </w:pPr>
      <w:bookmarkStart w:id="1395" w:name="_Toc532377384"/>
      <w:bookmarkStart w:id="1396" w:name="_Toc532375648"/>
      <w:bookmarkStart w:id="1397" w:name="_Toc296891035"/>
      <w:bookmarkStart w:id="1398" w:name="_Toc296891247"/>
      <w:bookmarkStart w:id="1399" w:name="_Toc303539161"/>
      <w:bookmarkStart w:id="1400" w:name="_Toc297123554"/>
      <w:bookmarkStart w:id="1401" w:name="_Toc292559917"/>
      <w:bookmarkStart w:id="1402" w:name="_Toc312678042"/>
      <w:bookmarkStart w:id="1403" w:name="_Toc296346708"/>
      <w:bookmarkStart w:id="1404" w:name="_Toc304295581"/>
      <w:bookmarkStart w:id="1405" w:name="_Toc296347206"/>
      <w:bookmarkStart w:id="1406" w:name="_Toc296503207"/>
      <w:bookmarkStart w:id="1407" w:name="_Toc297216213"/>
      <w:bookmarkStart w:id="1408" w:name="_Toc297048393"/>
      <w:bookmarkStart w:id="1409" w:name="_Toc296944546"/>
      <w:bookmarkStart w:id="1410" w:name="_Toc300935004"/>
      <w:bookmarkStart w:id="1411" w:name="_Toc297120507"/>
      <w:bookmarkStart w:id="1412" w:name="_Toc292559412"/>
      <w:r>
        <w:rPr>
          <w:rFonts w:hint="eastAsia"/>
          <w:sz w:val="21"/>
          <w:szCs w:val="21"/>
        </w:rPr>
        <w:t>12.2 预付款</w:t>
      </w:r>
      <w:bookmarkEnd w:id="1395"/>
      <w:bookmarkEnd w:id="1396"/>
    </w:p>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p>
      <w:pPr>
        <w:spacing w:line="360" w:lineRule="auto"/>
        <w:ind w:firstLine="420" w:firstLineChars="200"/>
        <w:jc w:val="left"/>
        <w:rPr>
          <w:rFonts w:ascii="宋体" w:hAnsi="宋体"/>
          <w:color w:val="auto"/>
          <w:szCs w:val="21"/>
          <w:highlight w:val="none"/>
        </w:rPr>
      </w:pPr>
      <w:bookmarkStart w:id="1413" w:name="_Toc532377385"/>
      <w:bookmarkStart w:id="1414" w:name="_Toc532375649"/>
      <w:r>
        <w:rPr>
          <w:rFonts w:hint="eastAsia" w:ascii="宋体" w:hAnsi="宋体"/>
          <w:color w:val="auto"/>
          <w:szCs w:val="21"/>
          <w:highlight w:val="none"/>
        </w:rPr>
        <w:t>12.2.1 预付款的支付</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预付款支付比例或金额：</w:t>
      </w:r>
      <w:r>
        <w:rPr>
          <w:rFonts w:hint="eastAsia" w:ascii="宋体" w:hAnsi="宋体"/>
          <w:color w:val="auto"/>
          <w:szCs w:val="21"/>
          <w:highlight w:val="none"/>
          <w:u w:val="single"/>
          <w:lang w:val="en-US" w:eastAsia="zh-CN"/>
        </w:rPr>
        <w:t>/</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预付款支付期限：</w:t>
      </w:r>
      <w:r>
        <w:rPr>
          <w:rFonts w:hint="eastAsia" w:ascii="宋体" w:hAnsi="宋体"/>
          <w:color w:val="auto"/>
          <w:szCs w:val="21"/>
          <w:highlight w:val="none"/>
          <w:u w:val="single"/>
          <w:lang w:val="en-US" w:eastAsia="zh-CN"/>
        </w:rPr>
        <w:t>/</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rPr>
        <w:t>预付款扣回的方式：</w:t>
      </w:r>
      <w:r>
        <w:rPr>
          <w:rFonts w:hint="eastAsia" w:ascii="宋体" w:hAnsi="宋体"/>
          <w:color w:val="auto"/>
          <w:szCs w:val="21"/>
          <w:highlight w:val="none"/>
          <w:u w:val="single"/>
          <w:lang w:val="en-US" w:eastAsia="zh-CN"/>
        </w:rPr>
        <w:t>/</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12.2.2 预付款担保</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承包人提交预付款担保的期限：</w:t>
      </w:r>
      <w:r>
        <w:rPr>
          <w:rFonts w:hint="eastAsia" w:ascii="宋体" w:hAnsi="宋体"/>
          <w:color w:val="auto"/>
          <w:szCs w:val="21"/>
          <w:highlight w:val="none"/>
          <w:u w:val="single"/>
          <w:lang w:val="en-US" w:eastAsia="zh-CN"/>
        </w:rPr>
        <w:t>/</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预付款担保的形式为：</w:t>
      </w:r>
      <w:r>
        <w:rPr>
          <w:rFonts w:hint="eastAsia" w:ascii="宋体" w:hAnsi="宋体"/>
          <w:color w:val="auto"/>
          <w:szCs w:val="21"/>
          <w:highlight w:val="none"/>
          <w:u w:val="single"/>
          <w:lang w:val="en-US" w:eastAsia="zh-CN"/>
        </w:rPr>
        <w:t>/</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预付款担保的金额：</w:t>
      </w:r>
      <w:r>
        <w:rPr>
          <w:rFonts w:hint="eastAsia" w:ascii="宋体" w:hAnsi="宋体"/>
          <w:color w:val="auto"/>
          <w:szCs w:val="21"/>
          <w:highlight w:val="none"/>
          <w:u w:val="single"/>
          <w:lang w:val="en-US" w:eastAsia="zh-CN"/>
        </w:rPr>
        <w:t>/</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预付款担保的时间：</w:t>
      </w:r>
      <w:r>
        <w:rPr>
          <w:rFonts w:hint="eastAsia" w:ascii="宋体" w:hAnsi="宋体"/>
          <w:color w:val="auto"/>
          <w:szCs w:val="21"/>
          <w:highlight w:val="none"/>
          <w:u w:val="single"/>
          <w:lang w:val="en-US" w:eastAsia="zh-CN"/>
        </w:rPr>
        <w:t>/</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预付款担保的期限：</w:t>
      </w:r>
      <w:r>
        <w:rPr>
          <w:rFonts w:hint="eastAsia" w:ascii="宋体" w:hAnsi="宋体"/>
          <w:color w:val="auto"/>
          <w:szCs w:val="21"/>
          <w:highlight w:val="none"/>
          <w:u w:val="single"/>
          <w:lang w:val="en-US" w:eastAsia="zh-CN"/>
        </w:rPr>
        <w:t>/</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预付款担保的退还时间：</w:t>
      </w:r>
      <w:r>
        <w:rPr>
          <w:rFonts w:hint="eastAsia" w:ascii="宋体" w:hAnsi="宋体"/>
          <w:color w:val="auto"/>
          <w:szCs w:val="21"/>
          <w:highlight w:val="none"/>
          <w:u w:val="single"/>
          <w:lang w:val="en-US" w:eastAsia="zh-CN"/>
        </w:rPr>
        <w:t>/</w:t>
      </w:r>
      <w:r>
        <w:rPr>
          <w:rFonts w:hint="eastAsia" w:ascii="宋体" w:hAnsi="宋体"/>
          <w:color w:val="auto"/>
          <w:szCs w:val="21"/>
          <w:highlight w:val="none"/>
        </w:rPr>
        <w:t>。</w:t>
      </w:r>
    </w:p>
    <w:p>
      <w:pPr>
        <w:pStyle w:val="7"/>
        <w:spacing w:before="0" w:beforeAutospacing="0" w:after="0" w:afterAutospacing="0" w:line="360" w:lineRule="auto"/>
        <w:ind w:firstLine="422" w:firstLineChars="200"/>
        <w:rPr>
          <w:sz w:val="21"/>
          <w:szCs w:val="21"/>
        </w:rPr>
      </w:pPr>
      <w:r>
        <w:rPr>
          <w:rFonts w:hint="eastAsia"/>
          <w:sz w:val="21"/>
          <w:szCs w:val="21"/>
        </w:rPr>
        <w:t>12.3 计量</w:t>
      </w:r>
      <w:bookmarkEnd w:id="1413"/>
      <w:bookmarkEnd w:id="1414"/>
    </w:p>
    <w:p>
      <w:pPr>
        <w:spacing w:line="360" w:lineRule="auto"/>
        <w:ind w:firstLine="420" w:firstLineChars="200"/>
        <w:jc w:val="left"/>
        <w:rPr>
          <w:rFonts w:ascii="宋体" w:hAnsi="宋体"/>
          <w:szCs w:val="21"/>
        </w:rPr>
      </w:pPr>
      <w:bookmarkStart w:id="1415" w:name="_Hlk528928260"/>
      <w:r>
        <w:rPr>
          <w:rFonts w:hint="eastAsia" w:ascii="宋体" w:hAnsi="宋体"/>
          <w:szCs w:val="21"/>
        </w:rPr>
        <w:t>12.3.1 计量原则</w:t>
      </w:r>
    </w:p>
    <w:p>
      <w:pPr>
        <w:tabs>
          <w:tab w:val="left" w:pos="1134"/>
        </w:tabs>
        <w:spacing w:line="360" w:lineRule="auto"/>
        <w:ind w:firstLine="420" w:firstLineChars="200"/>
        <w:jc w:val="left"/>
        <w:rPr>
          <w:rFonts w:ascii="宋体" w:hAnsi="宋体"/>
          <w:szCs w:val="21"/>
        </w:rPr>
      </w:pPr>
      <w:r>
        <w:rPr>
          <w:rFonts w:hint="eastAsia" w:ascii="宋体" w:hAnsi="宋体"/>
          <w:szCs w:val="21"/>
        </w:rPr>
        <w:t>工程量按《房屋建筑与装饰工程工程量计算规范》（GB50854-2013）、《仿古建筑工程工程量计算规范》（GB50855-2013）、《通用安装工程工程量计算规范》（GB50856-2013）、《市政工程工程量计算规范》（GB50857-2013）、《园林绿化工程工程量计算规范》（GB50858-2013）、《矿山工程工程量计算规范》（GB50859-2013）、《构筑物工程工程量计算规范》（GB50860-2013）、《城市轨道交通工程工程量计算规范》（GB50861-2013）和《爆破工程工程量计算规范》（GB50862-2013）《重庆市建设工程工程量清单计价规则》（CQJJGZ-2013）、《重庆市建设工程工程量计算规则》（CQJLGZ-2013）等规定的计算规则及已标价工程量清单规定的工程量计算规则计量。</w:t>
      </w:r>
    </w:p>
    <w:bookmarkEnd w:id="1415"/>
    <w:p>
      <w:pPr>
        <w:spacing w:line="360" w:lineRule="auto"/>
        <w:ind w:firstLine="420" w:firstLineChars="200"/>
        <w:jc w:val="left"/>
        <w:rPr>
          <w:rFonts w:ascii="宋体" w:hAnsi="宋体"/>
          <w:szCs w:val="21"/>
        </w:rPr>
      </w:pPr>
      <w:r>
        <w:rPr>
          <w:rFonts w:hint="eastAsia" w:ascii="宋体" w:hAnsi="宋体"/>
          <w:szCs w:val="21"/>
        </w:rPr>
        <w:t>12.3.2 计量周期</w:t>
      </w:r>
    </w:p>
    <w:p>
      <w:pPr>
        <w:spacing w:line="360" w:lineRule="auto"/>
        <w:ind w:firstLine="420" w:firstLineChars="200"/>
        <w:jc w:val="left"/>
        <w:rPr>
          <w:rFonts w:ascii="宋体" w:hAnsi="宋体"/>
          <w:szCs w:val="21"/>
        </w:rPr>
      </w:pPr>
      <w:r>
        <w:rPr>
          <w:rFonts w:hint="eastAsia" w:ascii="宋体" w:hAnsi="宋体"/>
          <w:szCs w:val="21"/>
        </w:rPr>
        <w:t>关于计量周期的约定：</w:t>
      </w:r>
      <w:r>
        <w:rPr>
          <w:rFonts w:hint="eastAsia" w:ascii="宋体" w:hAnsi="宋体"/>
          <w:color w:val="auto"/>
          <w:szCs w:val="21"/>
          <w:highlight w:val="none"/>
          <w:u w:val="single"/>
        </w:rPr>
        <w:t>按月计量，承包人每月25日前向发包人提交经监理人审核了的工程量报表和有关计量资料。</w:t>
      </w:r>
    </w:p>
    <w:p>
      <w:pPr>
        <w:spacing w:line="360" w:lineRule="auto"/>
        <w:ind w:firstLine="420" w:firstLineChars="200"/>
        <w:jc w:val="left"/>
        <w:rPr>
          <w:rFonts w:ascii="宋体" w:hAnsi="宋体"/>
          <w:szCs w:val="21"/>
        </w:rPr>
      </w:pPr>
      <w:r>
        <w:rPr>
          <w:rFonts w:hint="eastAsia" w:ascii="宋体" w:hAnsi="宋体"/>
          <w:szCs w:val="21"/>
        </w:rPr>
        <w:t>12.3.3 单价合同的计量</w:t>
      </w:r>
    </w:p>
    <w:p>
      <w:pPr>
        <w:spacing w:line="360" w:lineRule="auto"/>
        <w:ind w:firstLine="420" w:firstLineChars="200"/>
        <w:jc w:val="left"/>
        <w:rPr>
          <w:rFonts w:ascii="宋体" w:hAnsi="宋体"/>
          <w:szCs w:val="21"/>
        </w:rPr>
      </w:pPr>
      <w:r>
        <w:rPr>
          <w:rFonts w:hint="eastAsia" w:ascii="宋体" w:hAnsi="宋体"/>
          <w:szCs w:val="21"/>
        </w:rPr>
        <w:t>关于单价合同计量的约定：</w:t>
      </w:r>
    </w:p>
    <w:p>
      <w:pPr>
        <w:spacing w:line="360" w:lineRule="auto"/>
        <w:ind w:firstLine="420" w:firstLineChars="200"/>
        <w:jc w:val="left"/>
        <w:rPr>
          <w:rFonts w:ascii="宋体" w:hAnsi="宋体"/>
          <w:color w:val="auto"/>
          <w:szCs w:val="21"/>
          <w:highlight w:val="none"/>
          <w:u w:val="single"/>
        </w:rPr>
      </w:pPr>
      <w:bookmarkStart w:id="1416" w:name="_Hlk528926162"/>
      <w:r>
        <w:rPr>
          <w:rFonts w:hint="eastAsia" w:ascii="宋体" w:hAnsi="宋体"/>
          <w:color w:val="auto"/>
          <w:szCs w:val="21"/>
          <w:highlight w:val="none"/>
          <w:u w:val="single"/>
        </w:rPr>
        <w:t>（1）承包人应于当月</w:t>
      </w:r>
      <w:r>
        <w:rPr>
          <w:rFonts w:hint="eastAsia" w:ascii="宋体" w:hAnsi="宋体"/>
          <w:color w:val="auto"/>
          <w:szCs w:val="21"/>
          <w:highlight w:val="none"/>
          <w:u w:val="single"/>
          <w:lang w:val="en-US" w:eastAsia="zh-CN"/>
        </w:rPr>
        <w:t>25</w:t>
      </w:r>
      <w:r>
        <w:rPr>
          <w:rFonts w:hint="eastAsia" w:ascii="宋体" w:hAnsi="宋体"/>
          <w:color w:val="auto"/>
          <w:szCs w:val="21"/>
          <w:highlight w:val="none"/>
          <w:u w:val="single"/>
        </w:rPr>
        <w:t>日前向监理人报送上月已完成的工程量，并附进度付款申请单、已完成工程量报表和其他有关资料</w:t>
      </w:r>
      <w:r>
        <w:rPr>
          <w:rFonts w:hint="eastAsia" w:ascii="宋体" w:hAnsi="宋体"/>
          <w:color w:val="auto"/>
          <w:szCs w:val="21"/>
          <w:highlight w:val="none"/>
        </w:rPr>
        <w:t>。</w:t>
      </w:r>
    </w:p>
    <w:bookmarkEnd w:id="1416"/>
    <w:p>
      <w:pPr>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u w:val="single"/>
        </w:rPr>
        <w:t>（2）承包人未在已标价的工程量清单中填入单价和（或）总价的子目，视为该子目的费用已包含合同工程的其他子目的单价或总价中，不再另行计量支付</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u w:val="single"/>
        </w:rPr>
        <w:t>（3）监理人应在收到承包人提交的工程量报表后7天内完成对承包人提交的工程量报表的审核并报送发包人；发包人收到监理人报送资料后7天内完成审批，以确定当月实际完成的工程量。监理人、跟审单位、发包人任一方对工程量有异议的，均有权要求承包人进行共同复核或抽样复测。承包人应协助监理人、跟审单位进行复核或抽样复测，并按监理人要求提供补充计量资料。承包人未按监理人要求参加复核或抽样复测的，监理人复核或修正的工程量视为承包人实际完成的工程量</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u w:val="single"/>
        </w:rPr>
        <w:t>（4）工程量的计量仅作为进度付款和工程施工进度控制的依据，不应认为是承包人履行合同义务完成工程的实际和准确的工程量，实际和准确工程量按竣工图和第12.3.1项〔计量原则〕约定确认的工程量为准</w:t>
      </w:r>
      <w:r>
        <w:rPr>
          <w:rFonts w:hint="eastAsia" w:ascii="宋体" w:hAnsi="宋体"/>
          <w:color w:val="auto"/>
          <w:szCs w:val="21"/>
          <w:highlight w:val="none"/>
        </w:rPr>
        <w:t>。</w:t>
      </w:r>
    </w:p>
    <w:p>
      <w:pPr>
        <w:spacing w:line="360" w:lineRule="auto"/>
        <w:ind w:firstLine="420" w:firstLineChars="200"/>
        <w:jc w:val="left"/>
        <w:rPr>
          <w:rFonts w:ascii="宋体" w:hAnsi="宋体"/>
          <w:szCs w:val="21"/>
        </w:rPr>
      </w:pPr>
      <w:r>
        <w:rPr>
          <w:rFonts w:hint="eastAsia" w:ascii="宋体" w:hAnsi="宋体"/>
          <w:szCs w:val="21"/>
        </w:rPr>
        <w:t>12.3.4 总价合同的计量</w:t>
      </w:r>
    </w:p>
    <w:p>
      <w:pPr>
        <w:spacing w:line="360" w:lineRule="auto"/>
        <w:ind w:firstLine="420" w:firstLineChars="200"/>
        <w:jc w:val="left"/>
        <w:rPr>
          <w:rFonts w:ascii="宋体" w:hAnsi="宋体"/>
          <w:szCs w:val="21"/>
        </w:rPr>
      </w:pPr>
      <w:r>
        <w:rPr>
          <w:rFonts w:hint="eastAsia" w:ascii="宋体" w:hAnsi="宋体"/>
          <w:szCs w:val="21"/>
        </w:rPr>
        <w:t>关于总价合同计量的约定：</w:t>
      </w:r>
      <w:r>
        <w:rPr>
          <w:rFonts w:hint="eastAsia" w:ascii="宋体" w:hAnsi="宋体"/>
          <w:szCs w:val="21"/>
          <w:u w:val="single"/>
          <w:lang w:val="en-US" w:eastAsia="zh-CN"/>
        </w:rPr>
        <w:t>/</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12.3.5总价合同采用支付分解表计量支付的，是否适用第12.3.4项〔总价合同的计量〕约定进行计量：</w:t>
      </w:r>
      <w:r>
        <w:rPr>
          <w:rFonts w:hint="eastAsia" w:ascii="宋体" w:hAnsi="宋体"/>
          <w:szCs w:val="21"/>
          <w:u w:val="single"/>
        </w:rPr>
        <w:t>适用</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12.3.6 其他价格形式合同的计量</w:t>
      </w:r>
    </w:p>
    <w:p>
      <w:pPr>
        <w:spacing w:line="360" w:lineRule="auto"/>
        <w:ind w:firstLine="420" w:firstLineChars="200"/>
        <w:jc w:val="left"/>
        <w:rPr>
          <w:rFonts w:ascii="宋体" w:hAnsi="宋体"/>
          <w:szCs w:val="21"/>
        </w:rPr>
      </w:pPr>
      <w:r>
        <w:rPr>
          <w:rFonts w:hint="eastAsia" w:ascii="宋体" w:hAnsi="宋体"/>
          <w:szCs w:val="21"/>
        </w:rPr>
        <w:t>其他价格形式的计量方式和程序：</w:t>
      </w:r>
      <w:r>
        <w:rPr>
          <w:rFonts w:hint="eastAsia" w:ascii="宋体" w:hAnsi="宋体"/>
          <w:szCs w:val="21"/>
          <w:u w:val="single"/>
        </w:rPr>
        <w:t>不采用</w:t>
      </w:r>
      <w:r>
        <w:rPr>
          <w:rFonts w:hint="eastAsia" w:ascii="宋体" w:hAnsi="宋体"/>
          <w:szCs w:val="21"/>
        </w:rPr>
        <w:t>。</w:t>
      </w:r>
    </w:p>
    <w:p>
      <w:pPr>
        <w:pStyle w:val="7"/>
        <w:spacing w:before="0" w:beforeAutospacing="0" w:after="0" w:afterAutospacing="0" w:line="360" w:lineRule="auto"/>
        <w:ind w:firstLine="422" w:firstLineChars="200"/>
        <w:rPr>
          <w:sz w:val="21"/>
          <w:szCs w:val="21"/>
        </w:rPr>
      </w:pPr>
      <w:bookmarkStart w:id="1417" w:name="_Toc532375650"/>
      <w:bookmarkStart w:id="1418" w:name="_Toc532377386"/>
      <w:bookmarkStart w:id="1419" w:name="_Hlk528928289"/>
      <w:r>
        <w:rPr>
          <w:rFonts w:hint="eastAsia"/>
          <w:sz w:val="21"/>
          <w:szCs w:val="21"/>
        </w:rPr>
        <w:t>12.4 工程进度款支付</w:t>
      </w:r>
      <w:bookmarkEnd w:id="1417"/>
      <w:bookmarkEnd w:id="1418"/>
    </w:p>
    <w:bookmarkEnd w:id="1419"/>
    <w:p>
      <w:pPr>
        <w:spacing w:line="360" w:lineRule="auto"/>
        <w:ind w:firstLine="420" w:firstLineChars="200"/>
        <w:jc w:val="left"/>
        <w:rPr>
          <w:rFonts w:ascii="宋体" w:hAnsi="宋体"/>
          <w:szCs w:val="21"/>
        </w:rPr>
      </w:pPr>
      <w:r>
        <w:rPr>
          <w:rFonts w:hint="eastAsia" w:ascii="宋体" w:hAnsi="宋体"/>
          <w:szCs w:val="21"/>
        </w:rPr>
        <w:t>12.4.1 付款周期</w:t>
      </w:r>
    </w:p>
    <w:p>
      <w:pPr>
        <w:spacing w:line="360" w:lineRule="auto"/>
        <w:ind w:firstLine="420" w:firstLineChars="200"/>
        <w:jc w:val="left"/>
        <w:rPr>
          <w:rFonts w:ascii="宋体" w:hAnsi="宋体"/>
          <w:szCs w:val="21"/>
        </w:rPr>
      </w:pPr>
      <w:r>
        <w:rPr>
          <w:rFonts w:hint="eastAsia" w:ascii="宋体" w:hAnsi="宋体"/>
          <w:szCs w:val="21"/>
        </w:rPr>
        <w:t>关于付款周期的约定：</w:t>
      </w:r>
      <w:r>
        <w:rPr>
          <w:rFonts w:hint="eastAsia" w:ascii="宋体" w:hAnsi="宋体"/>
          <w:szCs w:val="21"/>
          <w:u w:val="single"/>
        </w:rPr>
        <w:t>按月计量支付进度款</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12.4.2 进度付款申请单的编制</w:t>
      </w:r>
    </w:p>
    <w:p>
      <w:pPr>
        <w:spacing w:line="360" w:lineRule="auto"/>
        <w:ind w:firstLine="420" w:firstLineChars="200"/>
        <w:jc w:val="left"/>
        <w:rPr>
          <w:rFonts w:ascii="宋体" w:hAnsi="宋体"/>
          <w:szCs w:val="21"/>
        </w:rPr>
      </w:pPr>
      <w:r>
        <w:rPr>
          <w:rFonts w:hint="eastAsia" w:ascii="宋体" w:hAnsi="宋体"/>
          <w:szCs w:val="21"/>
        </w:rPr>
        <w:t>进度付款申请单应包括下列内容：</w:t>
      </w:r>
    </w:p>
    <w:p>
      <w:pPr>
        <w:spacing w:line="360" w:lineRule="auto"/>
        <w:ind w:firstLine="420" w:firstLineChars="200"/>
        <w:jc w:val="left"/>
        <w:rPr>
          <w:rFonts w:ascii="宋体" w:hAnsi="宋体"/>
          <w:szCs w:val="21"/>
        </w:rPr>
      </w:pPr>
      <w:r>
        <w:rPr>
          <w:rFonts w:hint="eastAsia" w:ascii="宋体" w:hAnsi="宋体"/>
          <w:szCs w:val="21"/>
          <w:u w:val="single"/>
        </w:rPr>
        <w:t>（1）截至本次付款周期已完成工作对应的金额</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u w:val="single"/>
        </w:rPr>
        <w:t>（2）根据第10条〔变更〕应增加和扣减的已审定变更金额</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u w:val="single"/>
        </w:rPr>
        <w:t>（3）根据第12.2款〔预付款〕约定应支付的预付款和扣减的返还预付款</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u w:val="single"/>
        </w:rPr>
        <w:t>（4）根据第15.3款〔质量保证金〕约定应扣减的质量保证金</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u w:val="single"/>
        </w:rPr>
        <w:t>（5）根据第19条〔索赔〕应增加和扣减的已审定索赔金额</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u w:val="single"/>
        </w:rPr>
        <w:t>（6）根据第11条〔价格调整〕应增加和扣减的价格调整金额</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u w:val="single"/>
        </w:rPr>
        <w:t>（7）对已签发的进度款支付证书中出现错误的修正，应在本次进度付款中支付或扣除的金额</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u w:val="single"/>
        </w:rPr>
        <w:t>（8）根据合同约定承包人应向发包人支付的违约金</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u w:val="single"/>
        </w:rPr>
        <w:t>（9）根据合同约定发包人应向承包人支付的违约金和（或）奖励</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u w:val="single"/>
        </w:rPr>
        <w:t>（10）根据合同约定应增加和扣减的其他金额</w:t>
      </w:r>
      <w:r>
        <w:rPr>
          <w:rFonts w:hint="eastAsia" w:ascii="宋体" w:hAnsi="宋体"/>
          <w:szCs w:val="21"/>
        </w:rPr>
        <w:t>；</w:t>
      </w:r>
    </w:p>
    <w:p>
      <w:pPr>
        <w:spacing w:line="360" w:lineRule="auto"/>
        <w:ind w:firstLine="420" w:firstLineChars="200"/>
        <w:jc w:val="left"/>
        <w:rPr>
          <w:rFonts w:ascii="宋体" w:hAnsi="宋体"/>
          <w:szCs w:val="21"/>
          <w:u w:val="single"/>
        </w:rPr>
      </w:pPr>
      <w:r>
        <w:rPr>
          <w:rFonts w:hint="eastAsia" w:ascii="宋体" w:hAnsi="宋体"/>
          <w:szCs w:val="21"/>
          <w:u w:val="single"/>
        </w:rPr>
        <w:t>（11）当月应支付的人工费（工资款）金额</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12.4.3 进度付款申请单的提交</w:t>
      </w:r>
    </w:p>
    <w:p>
      <w:pPr>
        <w:spacing w:line="360" w:lineRule="auto"/>
        <w:ind w:firstLine="420" w:firstLineChars="200"/>
        <w:jc w:val="left"/>
        <w:rPr>
          <w:rFonts w:ascii="宋体" w:hAnsi="宋体"/>
          <w:szCs w:val="21"/>
          <w:u w:val="single"/>
        </w:rPr>
      </w:pPr>
      <w:r>
        <w:rPr>
          <w:rFonts w:hint="eastAsia" w:ascii="宋体" w:hAnsi="宋体"/>
          <w:szCs w:val="21"/>
        </w:rPr>
        <w:t>（1）单价合同进度付款申请单提交的约定：</w:t>
      </w:r>
      <w:r>
        <w:rPr>
          <w:rFonts w:hint="eastAsia" w:ascii="宋体" w:hAnsi="宋体"/>
          <w:szCs w:val="21"/>
          <w:u w:val="single"/>
        </w:rPr>
        <w:t>按照第12.3.3项〔单价合同的计量〕约定的时间按月向监理人提交，并附上已完成工程量报表、经审核的农民工工资发放的情况说明及有关资料。单价合同中的总价子目按工程形象进度分月计量后汇总列入当期进度付款申请单</w:t>
      </w:r>
      <w:r>
        <w:rPr>
          <w:rFonts w:hint="eastAsia" w:ascii="宋体" w:hAnsi="宋体"/>
          <w:szCs w:val="21"/>
        </w:rPr>
        <w:t>。</w:t>
      </w:r>
    </w:p>
    <w:p>
      <w:pPr>
        <w:spacing w:line="360" w:lineRule="auto"/>
        <w:ind w:firstLine="420" w:firstLineChars="200"/>
        <w:jc w:val="left"/>
        <w:rPr>
          <w:rFonts w:ascii="宋体" w:hAnsi="宋体"/>
          <w:szCs w:val="21"/>
          <w:u w:val="single"/>
        </w:rPr>
      </w:pPr>
      <w:r>
        <w:rPr>
          <w:rFonts w:hint="eastAsia" w:ascii="宋体" w:hAnsi="宋体"/>
          <w:szCs w:val="21"/>
        </w:rPr>
        <w:t>（2）总价合同进度付款申请单提交的约定：</w:t>
      </w:r>
      <w:r>
        <w:rPr>
          <w:rFonts w:hint="eastAsia" w:ascii="宋体" w:hAnsi="宋体"/>
          <w:szCs w:val="21"/>
          <w:u w:val="single"/>
        </w:rPr>
        <w:t>按照合同约定的形象进度的计量约定的时间向监理人提交，并附上已完成工程量报表、经审核的农民工工资发放的情况说明及有关资料</w:t>
      </w:r>
      <w:r>
        <w:rPr>
          <w:rFonts w:hint="eastAsia" w:ascii="宋体" w:hAnsi="宋体"/>
          <w:szCs w:val="21"/>
        </w:rPr>
        <w:t>。</w:t>
      </w:r>
    </w:p>
    <w:p>
      <w:pPr>
        <w:spacing w:line="360" w:lineRule="auto"/>
        <w:ind w:firstLine="420" w:firstLineChars="200"/>
        <w:jc w:val="left"/>
        <w:rPr>
          <w:rFonts w:ascii="宋体" w:hAnsi="宋体"/>
          <w:szCs w:val="21"/>
          <w:u w:val="single"/>
        </w:rPr>
      </w:pPr>
      <w:r>
        <w:rPr>
          <w:rFonts w:hint="eastAsia" w:ascii="宋体" w:hAnsi="宋体"/>
          <w:szCs w:val="21"/>
        </w:rPr>
        <w:t>（3）其他价格形式合同进度付款申请单提交的约定：</w:t>
      </w:r>
      <w:r>
        <w:rPr>
          <w:rFonts w:hint="eastAsia" w:ascii="宋体" w:hAnsi="宋体"/>
          <w:szCs w:val="21"/>
          <w:u w:val="single"/>
        </w:rPr>
        <w:t>不采用</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12.4.4 进度款审核和支付</w:t>
      </w:r>
    </w:p>
    <w:p>
      <w:pPr>
        <w:spacing w:line="360" w:lineRule="auto"/>
        <w:ind w:firstLine="420" w:firstLineChars="200"/>
        <w:jc w:val="left"/>
        <w:rPr>
          <w:rFonts w:ascii="宋体" w:hAnsi="宋体"/>
          <w:szCs w:val="21"/>
          <w:u w:val="single"/>
        </w:rPr>
      </w:pPr>
      <w:r>
        <w:rPr>
          <w:rFonts w:hint="eastAsia" w:ascii="宋体" w:hAnsi="宋体"/>
          <w:szCs w:val="21"/>
        </w:rPr>
        <w:t>（1）监理人审查并报送发包人的期限：</w:t>
      </w:r>
      <w:r>
        <w:rPr>
          <w:rFonts w:hint="eastAsia" w:ascii="宋体" w:hAnsi="宋体"/>
          <w:szCs w:val="21"/>
          <w:u w:val="single"/>
        </w:rPr>
        <w:t>收到完整资料后7天内</w:t>
      </w:r>
      <w:r>
        <w:rPr>
          <w:rFonts w:hint="eastAsia" w:ascii="宋体" w:hAnsi="宋体"/>
          <w:szCs w:val="21"/>
        </w:rPr>
        <w:t>。</w:t>
      </w:r>
    </w:p>
    <w:p>
      <w:pPr>
        <w:spacing w:line="360" w:lineRule="auto"/>
        <w:ind w:firstLine="420" w:firstLineChars="200"/>
        <w:jc w:val="left"/>
        <w:rPr>
          <w:rFonts w:ascii="宋体" w:hAnsi="宋体"/>
          <w:szCs w:val="21"/>
          <w:u w:val="single"/>
        </w:rPr>
      </w:pPr>
      <w:r>
        <w:rPr>
          <w:rFonts w:hint="eastAsia" w:ascii="宋体" w:hAnsi="宋体"/>
          <w:szCs w:val="21"/>
        </w:rPr>
        <w:t>发包人完成审批并签发进度款支付证书的期限：</w:t>
      </w:r>
      <w:r>
        <w:rPr>
          <w:rFonts w:hint="eastAsia" w:ascii="宋体" w:hAnsi="宋体"/>
          <w:szCs w:val="21"/>
          <w:u w:val="single"/>
        </w:rPr>
        <w:t>发包人收到监理人报送资料后7天内完成审批并签发进度款支付证书</w:t>
      </w:r>
      <w:r>
        <w:rPr>
          <w:rFonts w:hint="eastAsia" w:ascii="宋体" w:hAnsi="宋体"/>
          <w:szCs w:val="21"/>
        </w:rPr>
        <w:t>。</w:t>
      </w:r>
    </w:p>
    <w:p>
      <w:pPr>
        <w:spacing w:line="360" w:lineRule="auto"/>
        <w:ind w:firstLine="420" w:firstLineChars="200"/>
        <w:jc w:val="left"/>
        <w:rPr>
          <w:rFonts w:ascii="宋体" w:hAnsi="宋体"/>
          <w:szCs w:val="21"/>
          <w:u w:val="single"/>
        </w:rPr>
      </w:pPr>
      <w:r>
        <w:rPr>
          <w:rFonts w:hint="eastAsia" w:ascii="宋体" w:hAnsi="宋体"/>
          <w:szCs w:val="21"/>
          <w:u w:val="single"/>
        </w:rPr>
        <w:t>监理人、跟审单位和发包人中任一方对承包人的进度付款申请单有异议的，均有权要求承包人修正和提供补充资料，承包人应提交修正后的进度付款申请单。监理人应在收到承包人修正后的进度付款申请单及相关资料后7天内完成审查并报送发包人，发包人收到监理人报送资料后7天内完成审批并向承包人签发无异议部分的临时进度款支付证书。存在争议的部分，按照合同约定的争议解决的约定处理。</w:t>
      </w:r>
    </w:p>
    <w:p>
      <w:pPr>
        <w:spacing w:line="360" w:lineRule="auto"/>
        <w:ind w:firstLine="420" w:firstLineChars="200"/>
        <w:jc w:val="left"/>
        <w:rPr>
          <w:rFonts w:ascii="宋体" w:hAnsi="宋体"/>
          <w:szCs w:val="21"/>
          <w:u w:val="single"/>
        </w:rPr>
      </w:pPr>
      <w:r>
        <w:rPr>
          <w:rFonts w:hint="eastAsia" w:ascii="宋体" w:hAnsi="宋体"/>
          <w:szCs w:val="21"/>
          <w:u w:val="single"/>
        </w:rPr>
        <w:t>发包人签发进度款支付证书或临时进度款支付证书，不表明发包人已同意、批准或接受了承包人完成的相应部分的工作。</w:t>
      </w:r>
    </w:p>
    <w:p>
      <w:pPr>
        <w:spacing w:line="360" w:lineRule="auto"/>
        <w:ind w:firstLine="420" w:firstLineChars="200"/>
        <w:jc w:val="left"/>
        <w:rPr>
          <w:rFonts w:ascii="宋体" w:hAnsi="宋体"/>
          <w:szCs w:val="21"/>
        </w:rPr>
      </w:pPr>
      <w:r>
        <w:rPr>
          <w:rFonts w:hint="eastAsia" w:ascii="宋体" w:hAnsi="宋体"/>
          <w:szCs w:val="21"/>
        </w:rPr>
        <w:t>（2）进度款支付：</w:t>
      </w:r>
    </w:p>
    <w:p>
      <w:pPr>
        <w:spacing w:line="360" w:lineRule="auto"/>
        <w:ind w:firstLine="420" w:firstLineChars="200"/>
        <w:jc w:val="left"/>
        <w:rPr>
          <w:rFonts w:ascii="宋体" w:hAnsi="宋体"/>
          <w:color w:val="auto"/>
          <w:szCs w:val="21"/>
          <w:highlight w:val="none"/>
          <w:u w:val="single"/>
        </w:rPr>
      </w:pPr>
      <w:bookmarkStart w:id="1420" w:name="_Toc532377387"/>
      <w:bookmarkStart w:id="1421" w:name="_Toc351203585"/>
      <w:r>
        <w:rPr>
          <w:rFonts w:hint="eastAsia" w:ascii="宋体" w:hAnsi="宋体"/>
          <w:color w:val="auto"/>
          <w:szCs w:val="21"/>
          <w:highlight w:val="none"/>
        </w:rPr>
        <w:t>①发包人将上月农民工工资支付凭证作为当月进度款支付的前置条件。</w:t>
      </w:r>
    </w:p>
    <w:p>
      <w:pPr>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rPr>
        <w:t>②安全文明施工费：</w:t>
      </w:r>
      <w:r>
        <w:rPr>
          <w:rFonts w:hint="eastAsia" w:ascii="宋体" w:hAnsi="宋体"/>
          <w:color w:val="auto"/>
          <w:szCs w:val="21"/>
          <w:highlight w:val="none"/>
          <w:u w:val="single"/>
        </w:rPr>
        <w:t>合同签订后，发包人在开工前按签约合同价中安全文明施工费的50％支付承包人，用于现场安全文明施工建设，余下安全文明施工费按施工进度支付</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rPr>
        <w:t>③分部分项工程费：</w:t>
      </w:r>
      <w:r>
        <w:rPr>
          <w:rFonts w:hint="eastAsia" w:ascii="宋体" w:hAnsi="宋体"/>
          <w:color w:val="auto"/>
          <w:szCs w:val="21"/>
          <w:highlight w:val="none"/>
          <w:u w:val="single"/>
        </w:rPr>
        <w:t>按承包人当期完成并经监理人、跟审单位和发包人审定的工程量乘以相应综合单价计算当期完成的分部分项工程费及相应的规费和税金。发包人在签发进度款支付证书或临时进度款支付证书的次月10日前按经监理人、跟审单位和发包人审定的当期完成的分部分项工程费及相应的规费和税金（不含人工费价差和材料费价差）的</w:t>
      </w:r>
      <w:r>
        <w:rPr>
          <w:rFonts w:hint="eastAsia" w:ascii="宋体" w:hAnsi="宋体"/>
          <w:color w:val="auto"/>
          <w:szCs w:val="21"/>
          <w:highlight w:val="none"/>
          <w:u w:val="single"/>
          <w:lang w:val="en-US" w:eastAsia="zh-CN"/>
        </w:rPr>
        <w:t>70</w:t>
      </w:r>
      <w:r>
        <w:rPr>
          <w:rFonts w:hint="eastAsia" w:ascii="宋体" w:hAnsi="宋体"/>
          <w:color w:val="auto"/>
          <w:szCs w:val="21"/>
          <w:highlight w:val="none"/>
          <w:u w:val="single"/>
        </w:rPr>
        <w:t xml:space="preserve"> %支付承包人</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rPr>
        <w:t>④措施项目费：</w:t>
      </w:r>
      <w:r>
        <w:rPr>
          <w:rFonts w:hint="eastAsia" w:ascii="宋体" w:hAnsi="宋体"/>
          <w:color w:val="auto"/>
          <w:szCs w:val="21"/>
          <w:highlight w:val="none"/>
          <w:u w:val="single"/>
        </w:rPr>
        <w:t>按承包人当期完成并经监理人、跟审单位和发包人审定的分部分项工程量，乘以相应综合单价计算所得合计金额占签约合同价格中分部分项工程费合计金额的比例，并以签约合同价格中措施项目费为基数计算当期完成的措施项目费及相应的规费和税金。发包人在签发进度款支付证书或临时进度款支付证书的次月10日前按经监理人、跟审单位和发包人审定的当期完成的措施项目费及相应的规费和税金（不含人工费价差和材料费价差）的</w:t>
      </w:r>
      <w:r>
        <w:rPr>
          <w:rFonts w:hint="eastAsia" w:ascii="宋体" w:hAnsi="宋体"/>
          <w:color w:val="auto"/>
          <w:szCs w:val="21"/>
          <w:highlight w:val="none"/>
          <w:u w:val="single"/>
          <w:lang w:val="en-US" w:eastAsia="zh-CN"/>
        </w:rPr>
        <w:t>70</w:t>
      </w:r>
      <w:r>
        <w:rPr>
          <w:rFonts w:hint="eastAsia" w:ascii="宋体" w:hAnsi="宋体"/>
          <w:color w:val="auto"/>
          <w:szCs w:val="21"/>
          <w:highlight w:val="none"/>
          <w:u w:val="single"/>
        </w:rPr>
        <w:t>%支付承包人</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rPr>
        <w:fldChar w:fldCharType="begin"/>
      </w:r>
      <w:r>
        <w:rPr>
          <w:rFonts w:hint="eastAsia" w:ascii="宋体" w:hAnsi="宋体"/>
          <w:color w:val="auto"/>
          <w:szCs w:val="21"/>
          <w:highlight w:val="none"/>
        </w:rPr>
        <w:instrText xml:space="preserve"> = 5 \* GB3 </w:instrText>
      </w:r>
      <w:r>
        <w:rPr>
          <w:rFonts w:hint="eastAsia" w:ascii="宋体" w:hAnsi="宋体"/>
          <w:color w:val="auto"/>
          <w:szCs w:val="21"/>
          <w:highlight w:val="none"/>
        </w:rPr>
        <w:fldChar w:fldCharType="separate"/>
      </w:r>
      <w:r>
        <w:rPr>
          <w:rFonts w:hint="eastAsia" w:ascii="宋体" w:hAnsi="宋体"/>
          <w:color w:val="auto"/>
          <w:szCs w:val="21"/>
          <w:highlight w:val="none"/>
        </w:rPr>
        <w:t>⑤</w:t>
      </w:r>
      <w:r>
        <w:rPr>
          <w:rFonts w:hint="eastAsia" w:ascii="宋体" w:hAnsi="宋体"/>
          <w:color w:val="auto"/>
          <w:szCs w:val="21"/>
          <w:highlight w:val="none"/>
        </w:rPr>
        <w:fldChar w:fldCharType="end"/>
      </w:r>
      <w:r>
        <w:rPr>
          <w:rFonts w:hint="eastAsia" w:ascii="宋体" w:hAnsi="宋体"/>
          <w:color w:val="auto"/>
          <w:szCs w:val="21"/>
          <w:highlight w:val="none"/>
        </w:rPr>
        <w:t>其他项目费：</w:t>
      </w:r>
      <w:r>
        <w:rPr>
          <w:rFonts w:hint="eastAsia" w:ascii="宋体" w:hAnsi="宋体"/>
          <w:color w:val="auto"/>
          <w:szCs w:val="21"/>
          <w:highlight w:val="none"/>
          <w:u w:val="single"/>
        </w:rPr>
        <w:t>按承包人当期完成并经监理人、跟审单位和发包人审定的工程量乘以相应综合单价计算当期完成的其他项目费及相应的规费和税金。发包人在签发进度款支付证书或临时进度款支付证书的次月10日前按经监理人、跟审单位和发包人审定的当期完成的其他项目费及相应的规费和税金的</w:t>
      </w:r>
      <w:r>
        <w:rPr>
          <w:rFonts w:hint="eastAsia" w:ascii="宋体" w:hAnsi="宋体"/>
          <w:color w:val="auto"/>
          <w:szCs w:val="21"/>
          <w:highlight w:val="none"/>
          <w:u w:val="single"/>
          <w:lang w:val="en-US" w:eastAsia="zh-CN"/>
        </w:rPr>
        <w:t>70</w:t>
      </w:r>
      <w:r>
        <w:rPr>
          <w:rFonts w:hint="eastAsia" w:ascii="宋体" w:hAnsi="宋体"/>
          <w:color w:val="auto"/>
          <w:szCs w:val="21"/>
          <w:highlight w:val="none"/>
          <w:u w:val="single"/>
        </w:rPr>
        <w:t>%支付承包人</w:t>
      </w:r>
      <w:r>
        <w:rPr>
          <w:rFonts w:hint="eastAsia" w:ascii="宋体" w:hAnsi="宋体"/>
          <w:color w:val="auto"/>
          <w:szCs w:val="21"/>
          <w:highlight w:val="none"/>
        </w:rPr>
        <w:t>。</w:t>
      </w:r>
    </w:p>
    <w:p>
      <w:pPr>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u w:val="single"/>
        </w:rPr>
        <w:t>⑥人工费（工资款）：发包人在签发人工费（工资款）支付证书的次月10日前，按经监理人和发包人审定的当月完成的合同价款的   %（人工费数额大于当月完成的合同价款的25%时，按实际人工费数额拨付；若人工费数额小于当月完成的合同价款的25%时，按不小于当月完成的合同价款的25%拨付），支付至承包人。</w:t>
      </w:r>
    </w:p>
    <w:p>
      <w:pPr>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u w:val="single"/>
        </w:rPr>
        <w:t>⑦人工、材料价差</w:t>
      </w:r>
      <w:r>
        <w:rPr>
          <w:rFonts w:hint="eastAsia" w:ascii="宋体" w:hAnsi="宋体"/>
          <w:color w:val="auto"/>
          <w:szCs w:val="21"/>
          <w:highlight w:val="none"/>
          <w:u w:val="single"/>
          <w:lang w:val="en-US" w:eastAsia="zh-CN"/>
        </w:rPr>
        <w:t>不</w:t>
      </w:r>
      <w:r>
        <w:rPr>
          <w:rFonts w:hint="eastAsia" w:ascii="宋体" w:hAnsi="宋体"/>
          <w:color w:val="auto"/>
          <w:szCs w:val="21"/>
          <w:highlight w:val="none"/>
          <w:u w:val="single"/>
        </w:rPr>
        <w:t>执行</w:t>
      </w:r>
      <w:r>
        <w:rPr>
          <w:rFonts w:hint="eastAsia" w:ascii="宋体" w:hAnsi="宋体"/>
          <w:color w:val="auto"/>
          <w:szCs w:val="21"/>
          <w:highlight w:val="none"/>
        </w:rPr>
        <w:t>。</w:t>
      </w:r>
    </w:p>
    <w:p>
      <w:pPr>
        <w:spacing w:before="0" w:beforeAutospacing="0" w:after="0" w:afterAutospacing="0" w:line="360" w:lineRule="auto"/>
        <w:ind w:firstLine="420" w:firstLineChars="200"/>
        <w:rPr>
          <w:rFonts w:hint="eastAsia" w:ascii="宋体" w:hAnsi="宋体"/>
          <w:b w:val="0"/>
          <w:bCs w:val="0"/>
          <w:color w:val="auto"/>
          <w:szCs w:val="21"/>
          <w:highlight w:val="none"/>
        </w:rPr>
      </w:pPr>
      <w:r>
        <w:rPr>
          <w:rFonts w:hint="eastAsia" w:ascii="宋体" w:hAnsi="宋体"/>
          <w:b w:val="0"/>
          <w:bCs w:val="0"/>
          <w:color w:val="auto"/>
          <w:szCs w:val="21"/>
          <w:highlight w:val="none"/>
          <w:u w:val="single"/>
        </w:rPr>
        <w:t>⑧工程竣工验收合格后28天内，发包人向承包人支付至累计进度审定金额的</w:t>
      </w:r>
      <w:r>
        <w:rPr>
          <w:rFonts w:hint="eastAsia" w:ascii="宋体" w:hAnsi="宋体"/>
          <w:b w:val="0"/>
          <w:bCs w:val="0"/>
          <w:color w:val="auto"/>
          <w:szCs w:val="21"/>
          <w:highlight w:val="none"/>
          <w:u w:val="single"/>
          <w:lang w:val="en-US" w:eastAsia="zh-CN"/>
        </w:rPr>
        <w:t>80</w:t>
      </w:r>
      <w:r>
        <w:rPr>
          <w:rFonts w:hint="eastAsia" w:ascii="宋体" w:hAnsi="宋体"/>
          <w:b w:val="0"/>
          <w:bCs w:val="0"/>
          <w:color w:val="auto"/>
          <w:szCs w:val="21"/>
          <w:highlight w:val="none"/>
          <w:u w:val="single"/>
        </w:rPr>
        <w:t>%；移交完整的工程竣工资料后14天内，发包人向承包人支付至累计进度审定金额的</w:t>
      </w:r>
      <w:r>
        <w:rPr>
          <w:rFonts w:hint="eastAsia" w:ascii="宋体" w:hAnsi="宋体"/>
          <w:b w:val="0"/>
          <w:bCs w:val="0"/>
          <w:color w:val="auto"/>
          <w:szCs w:val="21"/>
          <w:highlight w:val="none"/>
          <w:u w:val="single"/>
          <w:lang w:val="en-US" w:eastAsia="zh-CN"/>
        </w:rPr>
        <w:t>85</w:t>
      </w:r>
      <w:r>
        <w:rPr>
          <w:rFonts w:hint="eastAsia" w:ascii="宋体" w:hAnsi="宋体"/>
          <w:b w:val="0"/>
          <w:bCs w:val="0"/>
          <w:color w:val="auto"/>
          <w:szCs w:val="21"/>
          <w:highlight w:val="none"/>
          <w:u w:val="single"/>
        </w:rPr>
        <w:t>%；完成结算审核后28天内，发包人向承包人支付至结算审定金额的97%；缺陷责任期满后28天内发包人向承包人支付剩余工程款</w:t>
      </w:r>
      <w:r>
        <w:rPr>
          <w:rFonts w:hint="eastAsia" w:ascii="宋体" w:hAnsi="宋体"/>
          <w:b w:val="0"/>
          <w:bCs w:val="0"/>
          <w:color w:val="auto"/>
          <w:szCs w:val="21"/>
          <w:highlight w:val="none"/>
        </w:rPr>
        <w:t>。</w:t>
      </w:r>
    </w:p>
    <w:p>
      <w:pPr>
        <w:pStyle w:val="7"/>
        <w:spacing w:before="0" w:beforeAutospacing="0" w:after="0" w:afterAutospacing="0" w:line="360" w:lineRule="auto"/>
        <w:ind w:firstLine="422" w:firstLineChars="200"/>
        <w:rPr>
          <w:sz w:val="21"/>
          <w:szCs w:val="21"/>
        </w:rPr>
      </w:pPr>
      <w:r>
        <w:rPr>
          <w:rFonts w:hint="eastAsia"/>
          <w:sz w:val="21"/>
          <w:szCs w:val="21"/>
        </w:rPr>
        <w:t>12.5支付账户</w:t>
      </w:r>
      <w:bookmarkEnd w:id="1420"/>
      <w:bookmarkEnd w:id="1421"/>
    </w:p>
    <w:p>
      <w:pPr>
        <w:spacing w:line="360" w:lineRule="auto"/>
        <w:ind w:firstLine="420" w:firstLineChars="200"/>
        <w:jc w:val="left"/>
        <w:rPr>
          <w:rFonts w:ascii="宋体" w:hAnsi="宋体"/>
          <w:szCs w:val="21"/>
        </w:rPr>
      </w:pPr>
      <w:r>
        <w:rPr>
          <w:rFonts w:hint="eastAsia" w:ascii="宋体" w:hAnsi="宋体"/>
          <w:szCs w:val="21"/>
        </w:rPr>
        <w:t>发包人应将合同价款支付至如下承包人指定的开户银行及银行账户：</w:t>
      </w:r>
    </w:p>
    <w:p>
      <w:pPr>
        <w:spacing w:line="360" w:lineRule="auto"/>
        <w:ind w:firstLine="420" w:firstLineChars="200"/>
        <w:jc w:val="left"/>
        <w:rPr>
          <w:rFonts w:ascii="宋体" w:hAnsi="宋体"/>
          <w:kern w:val="0"/>
          <w:szCs w:val="21"/>
          <w:u w:val="single"/>
        </w:rPr>
      </w:pPr>
      <w:r>
        <w:rPr>
          <w:rFonts w:hint="eastAsia" w:ascii="宋体" w:hAnsi="宋体"/>
          <w:kern w:val="0"/>
          <w:szCs w:val="21"/>
        </w:rPr>
        <w:t>收款单位名称：</w:t>
      </w:r>
      <w:r>
        <w:rPr>
          <w:rFonts w:ascii="宋体" w:hAnsi="宋体"/>
          <w:kern w:val="0"/>
          <w:szCs w:val="21"/>
          <w:u w:val="single"/>
        </w:rPr>
        <w:t xml:space="preserve">                              </w:t>
      </w:r>
      <w:r>
        <w:rPr>
          <w:rFonts w:hint="eastAsia" w:ascii="宋体" w:hAnsi="宋体"/>
          <w:kern w:val="0"/>
          <w:szCs w:val="21"/>
        </w:rPr>
        <w:t>；</w:t>
      </w:r>
    </w:p>
    <w:p>
      <w:pPr>
        <w:spacing w:line="360" w:lineRule="auto"/>
        <w:ind w:firstLine="420" w:firstLineChars="200"/>
        <w:jc w:val="left"/>
        <w:rPr>
          <w:rFonts w:ascii="宋体" w:hAnsi="宋体"/>
          <w:kern w:val="0"/>
          <w:szCs w:val="21"/>
        </w:rPr>
      </w:pPr>
      <w:r>
        <w:rPr>
          <w:rFonts w:hint="eastAsia" w:ascii="宋体" w:hAnsi="宋体"/>
          <w:kern w:val="0"/>
          <w:szCs w:val="21"/>
        </w:rPr>
        <w:t>收款账号：</w:t>
      </w:r>
      <w:r>
        <w:rPr>
          <w:rFonts w:ascii="宋体" w:hAnsi="宋体"/>
          <w:kern w:val="0"/>
          <w:szCs w:val="21"/>
          <w:u w:val="single"/>
        </w:rPr>
        <w:t xml:space="preserve">                                  </w:t>
      </w:r>
      <w:r>
        <w:rPr>
          <w:rFonts w:hint="eastAsia" w:ascii="宋体" w:hAnsi="宋体"/>
          <w:kern w:val="0"/>
          <w:szCs w:val="21"/>
        </w:rPr>
        <w:t>；</w:t>
      </w:r>
    </w:p>
    <w:p>
      <w:pPr>
        <w:spacing w:line="360" w:lineRule="auto"/>
        <w:ind w:firstLine="420" w:firstLineChars="200"/>
        <w:jc w:val="left"/>
        <w:rPr>
          <w:rFonts w:ascii="宋体" w:hAnsi="宋体"/>
          <w:kern w:val="0"/>
          <w:szCs w:val="21"/>
        </w:rPr>
      </w:pPr>
      <w:r>
        <w:rPr>
          <w:rFonts w:hint="eastAsia" w:ascii="宋体" w:hAnsi="宋体"/>
          <w:kern w:val="0"/>
          <w:szCs w:val="21"/>
        </w:rPr>
        <w:t>收款开户银行：</w:t>
      </w:r>
      <w:r>
        <w:rPr>
          <w:rFonts w:ascii="宋体" w:hAnsi="宋体"/>
          <w:kern w:val="0"/>
          <w:szCs w:val="21"/>
          <w:u w:val="single"/>
        </w:rPr>
        <w:t xml:space="preserve">                              </w:t>
      </w:r>
      <w:r>
        <w:rPr>
          <w:rFonts w:hint="eastAsia" w:ascii="宋体" w:hAnsi="宋体"/>
          <w:kern w:val="0"/>
          <w:szCs w:val="21"/>
        </w:rPr>
        <w:t>。</w:t>
      </w:r>
    </w:p>
    <w:p>
      <w:pPr>
        <w:spacing w:line="360" w:lineRule="auto"/>
        <w:ind w:firstLine="420" w:firstLineChars="200"/>
        <w:jc w:val="left"/>
        <w:rPr>
          <w:rFonts w:ascii="宋体" w:hAnsi="宋体"/>
          <w:kern w:val="0"/>
          <w:szCs w:val="21"/>
        </w:rPr>
      </w:pPr>
      <w:r>
        <w:rPr>
          <w:rFonts w:hint="eastAsia" w:ascii="宋体" w:hAnsi="宋体"/>
          <w:kern w:val="0"/>
          <w:szCs w:val="21"/>
        </w:rPr>
        <w:t>发包人应按行业主管部门的相关规定将人工费（工资款）支付至承包人指定的农民工工资专用账户。</w:t>
      </w:r>
    </w:p>
    <w:p>
      <w:pPr>
        <w:pStyle w:val="6"/>
        <w:spacing w:before="156" w:beforeLines="50" w:beforeAutospacing="0" w:after="156" w:afterLines="50" w:afterAutospacing="0" w:line="360" w:lineRule="auto"/>
        <w:jc w:val="both"/>
        <w:rPr>
          <w:bCs w:val="0"/>
          <w:kern w:val="2"/>
          <w:sz w:val="21"/>
          <w:szCs w:val="21"/>
        </w:rPr>
      </w:pPr>
      <w:bookmarkStart w:id="1422" w:name="_Toc532377388"/>
      <w:bookmarkStart w:id="1423" w:name="_Toc351203645"/>
      <w:bookmarkStart w:id="1424" w:name="_Toc532375651"/>
      <w:bookmarkStart w:id="1425" w:name="_Toc296891259"/>
      <w:bookmarkStart w:id="1426" w:name="_Toc300935015"/>
      <w:bookmarkStart w:id="1427" w:name="_Toc292559424"/>
      <w:bookmarkStart w:id="1428" w:name="_Toc297048405"/>
      <w:bookmarkStart w:id="1429" w:name="_Toc292559929"/>
      <w:bookmarkStart w:id="1430" w:name="_Toc296346720"/>
      <w:bookmarkStart w:id="1431" w:name="_Toc296503219"/>
      <w:bookmarkStart w:id="1432" w:name="_Toc297216223"/>
      <w:bookmarkStart w:id="1433" w:name="_Toc296944558"/>
      <w:bookmarkStart w:id="1434" w:name="_Toc303539172"/>
      <w:bookmarkStart w:id="1435" w:name="_Toc296347218"/>
      <w:bookmarkStart w:id="1436" w:name="_Toc297120519"/>
      <w:bookmarkStart w:id="1437" w:name="_Toc304295593"/>
      <w:bookmarkStart w:id="1438" w:name="_Toc296891047"/>
      <w:bookmarkStart w:id="1439" w:name="_Toc312678053"/>
      <w:bookmarkStart w:id="1440" w:name="_Toc297123564"/>
      <w:r>
        <w:rPr>
          <w:rFonts w:hint="eastAsia"/>
          <w:kern w:val="2"/>
          <w:sz w:val="21"/>
          <w:szCs w:val="21"/>
        </w:rPr>
        <w:t>13. 验收和工程试车</w:t>
      </w:r>
      <w:bookmarkEnd w:id="1422"/>
      <w:bookmarkEnd w:id="1423"/>
      <w:bookmarkEnd w:id="1424"/>
    </w:p>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p>
      <w:pPr>
        <w:pStyle w:val="7"/>
        <w:spacing w:before="0" w:beforeAutospacing="0" w:after="0" w:afterAutospacing="0" w:line="360" w:lineRule="auto"/>
        <w:ind w:firstLine="422" w:firstLineChars="200"/>
        <w:rPr>
          <w:sz w:val="21"/>
          <w:szCs w:val="21"/>
        </w:rPr>
      </w:pPr>
      <w:bookmarkStart w:id="1441" w:name="_Toc532375652"/>
      <w:bookmarkStart w:id="1442" w:name="_Toc532377389"/>
      <w:bookmarkStart w:id="1443" w:name="_Toc280868704"/>
      <w:bookmarkStart w:id="1444" w:name="_Toc280868705"/>
      <w:bookmarkStart w:id="1445" w:name="_Toc280868706"/>
      <w:bookmarkStart w:id="1446" w:name="_Toc280868707"/>
      <w:bookmarkStart w:id="1447" w:name="_Toc280868708"/>
      <w:bookmarkStart w:id="1448" w:name="_Toc267251470"/>
      <w:bookmarkStart w:id="1449" w:name="_Toc267251476"/>
      <w:bookmarkStart w:id="1450" w:name="_Toc267251474"/>
      <w:bookmarkStart w:id="1451" w:name="_Toc280868709"/>
      <w:bookmarkStart w:id="1452" w:name="_Toc267251475"/>
      <w:bookmarkStart w:id="1453" w:name="_Toc267251472"/>
      <w:bookmarkStart w:id="1454" w:name="_Toc267251471"/>
      <w:bookmarkStart w:id="1455" w:name="_Toc267251473"/>
      <w:r>
        <w:rPr>
          <w:rFonts w:hint="eastAsia"/>
          <w:sz w:val="21"/>
          <w:szCs w:val="21"/>
        </w:rPr>
        <w:t>13.1 分部分项工程验收</w:t>
      </w:r>
      <w:bookmarkEnd w:id="1441"/>
      <w:bookmarkEnd w:id="1442"/>
    </w:p>
    <w:p>
      <w:pPr>
        <w:spacing w:line="360" w:lineRule="auto"/>
        <w:ind w:right="105" w:rightChars="50" w:firstLine="420" w:firstLineChars="200"/>
        <w:jc w:val="left"/>
        <w:rPr>
          <w:rFonts w:ascii="宋体" w:hAnsi="宋体"/>
          <w:szCs w:val="21"/>
        </w:rPr>
      </w:pPr>
      <w:r>
        <w:rPr>
          <w:rFonts w:hint="eastAsia" w:ascii="宋体" w:hAnsi="宋体"/>
          <w:szCs w:val="21"/>
        </w:rPr>
        <w:t>13.1.2 监理人不能按时进行验收时，应提前</w:t>
      </w:r>
      <w:r>
        <w:rPr>
          <w:rFonts w:hint="eastAsia" w:ascii="宋体" w:hAnsi="宋体"/>
          <w:szCs w:val="21"/>
          <w:u w:val="single"/>
        </w:rPr>
        <w:t>24</w:t>
      </w:r>
      <w:r>
        <w:rPr>
          <w:rFonts w:hint="eastAsia" w:ascii="宋体" w:hAnsi="宋体"/>
          <w:szCs w:val="21"/>
        </w:rPr>
        <w:t>小时提交书面延期要求。</w:t>
      </w:r>
    </w:p>
    <w:p>
      <w:pPr>
        <w:spacing w:line="360" w:lineRule="auto"/>
        <w:ind w:right="105" w:rightChars="50" w:firstLine="420" w:firstLineChars="200"/>
        <w:jc w:val="left"/>
        <w:rPr>
          <w:rFonts w:ascii="宋体" w:hAnsi="宋体"/>
          <w:szCs w:val="21"/>
        </w:rPr>
      </w:pPr>
      <w:r>
        <w:rPr>
          <w:rFonts w:hint="eastAsia" w:ascii="宋体" w:hAnsi="宋体"/>
          <w:szCs w:val="21"/>
        </w:rPr>
        <w:t>关于延期最长不得超过：</w:t>
      </w:r>
      <w:r>
        <w:rPr>
          <w:rFonts w:hint="eastAsia" w:ascii="宋体" w:hAnsi="宋体"/>
          <w:szCs w:val="21"/>
          <w:u w:val="single"/>
        </w:rPr>
        <w:t>48</w:t>
      </w:r>
      <w:r>
        <w:rPr>
          <w:rFonts w:hint="eastAsia" w:ascii="宋体" w:hAnsi="宋体"/>
          <w:szCs w:val="21"/>
        </w:rPr>
        <w:t>小时。</w:t>
      </w:r>
    </w:p>
    <w:p>
      <w:pPr>
        <w:pStyle w:val="7"/>
        <w:spacing w:before="0" w:beforeAutospacing="0" w:after="0" w:afterAutospacing="0" w:line="360" w:lineRule="auto"/>
        <w:ind w:firstLine="422" w:firstLineChars="200"/>
        <w:rPr>
          <w:sz w:val="21"/>
          <w:szCs w:val="21"/>
        </w:rPr>
      </w:pPr>
      <w:bookmarkStart w:id="1456" w:name="_Toc532375653"/>
      <w:bookmarkStart w:id="1457" w:name="_Toc532377390"/>
      <w:bookmarkStart w:id="1458" w:name="_Toc296503223"/>
      <w:bookmarkStart w:id="1459" w:name="_Toc297216224"/>
      <w:bookmarkStart w:id="1460" w:name="_Toc300935016"/>
      <w:bookmarkStart w:id="1461" w:name="_Toc296944562"/>
      <w:bookmarkStart w:id="1462" w:name="_Toc297120523"/>
      <w:bookmarkStart w:id="1463" w:name="_Toc296891263"/>
      <w:bookmarkStart w:id="1464" w:name="_Toc312678056"/>
      <w:bookmarkStart w:id="1465" w:name="_Toc296891051"/>
      <w:bookmarkStart w:id="1466" w:name="_Toc292559933"/>
      <w:bookmarkStart w:id="1467" w:name="_Toc297123565"/>
      <w:bookmarkStart w:id="1468" w:name="_Toc292559428"/>
      <w:bookmarkStart w:id="1469" w:name="_Toc296347222"/>
      <w:bookmarkStart w:id="1470" w:name="_Toc303539173"/>
      <w:bookmarkStart w:id="1471" w:name="_Toc296346724"/>
      <w:bookmarkStart w:id="1472" w:name="_Toc304295596"/>
      <w:bookmarkStart w:id="1473" w:name="_Toc297048409"/>
      <w:r>
        <w:rPr>
          <w:rFonts w:hint="eastAsia"/>
          <w:sz w:val="21"/>
          <w:szCs w:val="21"/>
        </w:rPr>
        <w:t>13.2 竣工验收</w:t>
      </w:r>
      <w:bookmarkEnd w:id="1456"/>
      <w:bookmarkEnd w:id="1457"/>
    </w:p>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p>
      <w:pPr>
        <w:spacing w:line="360" w:lineRule="auto"/>
        <w:ind w:right="105" w:rightChars="50" w:firstLine="420" w:firstLineChars="200"/>
        <w:jc w:val="left"/>
        <w:rPr>
          <w:rFonts w:ascii="宋体" w:hAnsi="宋体"/>
          <w:szCs w:val="21"/>
        </w:rPr>
      </w:pPr>
      <w:r>
        <w:rPr>
          <w:rFonts w:hint="eastAsia" w:ascii="宋体" w:hAnsi="宋体"/>
          <w:szCs w:val="21"/>
        </w:rPr>
        <w:t>13.2.2竣工验收程序</w:t>
      </w:r>
    </w:p>
    <w:bookmarkEnd w:id="1443"/>
    <w:p>
      <w:pPr>
        <w:spacing w:line="360" w:lineRule="auto"/>
        <w:ind w:right="105" w:rightChars="50" w:firstLine="420" w:firstLineChars="200"/>
        <w:jc w:val="left"/>
        <w:rPr>
          <w:rFonts w:ascii="宋体" w:hAnsi="宋体"/>
          <w:szCs w:val="21"/>
        </w:rPr>
      </w:pPr>
      <w:r>
        <w:rPr>
          <w:rFonts w:hint="eastAsia" w:ascii="宋体" w:hAnsi="宋体"/>
          <w:szCs w:val="21"/>
        </w:rPr>
        <w:t>关于竣工验收程序的约定：工程完工且符合下列条件时，承包人可向发包人提供竣工报告，并要求验收：</w:t>
      </w:r>
    </w:p>
    <w:p>
      <w:pPr>
        <w:spacing w:line="360" w:lineRule="auto"/>
        <w:ind w:right="105" w:rightChars="50" w:firstLine="420" w:firstLineChars="200"/>
        <w:jc w:val="left"/>
        <w:rPr>
          <w:rFonts w:ascii="宋体" w:hAnsi="宋体"/>
          <w:szCs w:val="21"/>
        </w:rPr>
      </w:pPr>
      <w:r>
        <w:rPr>
          <w:rFonts w:hint="eastAsia" w:ascii="宋体" w:hAnsi="宋体"/>
          <w:szCs w:val="21"/>
        </w:rPr>
        <w:t>（1）除发包人同意的甩项工作和缺陷修补工作外，合同范围内的全部工程以及有关工作，包括合同要求的试验、试运行以及检验均已完成，并符合合同要求；</w:t>
      </w:r>
    </w:p>
    <w:p>
      <w:pPr>
        <w:spacing w:line="360" w:lineRule="auto"/>
        <w:ind w:right="105" w:rightChars="50" w:firstLine="420" w:firstLineChars="200"/>
        <w:jc w:val="left"/>
        <w:rPr>
          <w:rFonts w:ascii="宋体" w:hAnsi="宋体"/>
          <w:szCs w:val="21"/>
        </w:rPr>
      </w:pPr>
      <w:r>
        <w:rPr>
          <w:rFonts w:hint="eastAsia" w:ascii="宋体" w:hAnsi="宋体"/>
          <w:szCs w:val="21"/>
        </w:rPr>
        <w:t>（2）已按合同约定编制了甩项工作和缺陷修补工作清单以及相应的施工计划；</w:t>
      </w:r>
    </w:p>
    <w:p>
      <w:pPr>
        <w:spacing w:line="360" w:lineRule="auto"/>
        <w:ind w:right="105" w:rightChars="50" w:firstLine="420" w:firstLineChars="200"/>
        <w:jc w:val="left"/>
        <w:rPr>
          <w:rFonts w:ascii="宋体" w:hAnsi="宋体"/>
          <w:szCs w:val="21"/>
        </w:rPr>
      </w:pPr>
      <w:r>
        <w:rPr>
          <w:rFonts w:hint="eastAsia" w:ascii="宋体" w:hAnsi="宋体"/>
          <w:szCs w:val="21"/>
        </w:rPr>
        <w:t>（3）已按合同约定的内容和份数备齐竣工资料。</w:t>
      </w:r>
    </w:p>
    <w:p>
      <w:pPr>
        <w:spacing w:line="360" w:lineRule="auto"/>
        <w:ind w:right="105" w:rightChars="50" w:firstLine="420" w:firstLineChars="200"/>
        <w:jc w:val="left"/>
        <w:rPr>
          <w:rFonts w:ascii="宋体" w:hAnsi="宋体"/>
          <w:szCs w:val="21"/>
        </w:rPr>
      </w:pPr>
      <w:r>
        <w:rPr>
          <w:rFonts w:hint="eastAsia" w:ascii="宋体" w:hAnsi="宋体"/>
          <w:szCs w:val="21"/>
        </w:rPr>
        <w:t>（4）</w:t>
      </w:r>
      <w:r>
        <w:rPr>
          <w:rFonts w:hint="eastAsia" w:ascii="宋体" w:hAnsi="宋体"/>
          <w:szCs w:val="21"/>
          <w:u w:val="single"/>
        </w:rPr>
        <w:t xml:space="preserve">        </w:t>
      </w:r>
      <w:r>
        <w:rPr>
          <w:rFonts w:hint="eastAsia" w:ascii="宋体" w:hAnsi="宋体"/>
          <w:szCs w:val="21"/>
        </w:rPr>
        <w:t>。</w:t>
      </w:r>
    </w:p>
    <w:p>
      <w:pPr>
        <w:spacing w:line="360" w:lineRule="auto"/>
        <w:ind w:right="105" w:rightChars="50" w:firstLine="420" w:firstLineChars="200"/>
        <w:jc w:val="left"/>
        <w:rPr>
          <w:rFonts w:ascii="宋体" w:hAnsi="宋体"/>
          <w:szCs w:val="21"/>
        </w:rPr>
      </w:pPr>
      <w:r>
        <w:rPr>
          <w:rFonts w:hint="eastAsia" w:ascii="宋体" w:hAnsi="宋体"/>
          <w:szCs w:val="21"/>
        </w:rPr>
        <w:t>工程竣工及竣工资料：</w:t>
      </w:r>
    </w:p>
    <w:p>
      <w:pPr>
        <w:spacing w:line="360" w:lineRule="auto"/>
        <w:ind w:right="105" w:rightChars="50" w:firstLine="420" w:firstLineChars="200"/>
        <w:jc w:val="left"/>
        <w:rPr>
          <w:rFonts w:ascii="宋体" w:hAnsi="宋体"/>
          <w:szCs w:val="21"/>
        </w:rPr>
      </w:pPr>
      <w:r>
        <w:rPr>
          <w:rFonts w:hint="eastAsia" w:ascii="宋体" w:hAnsi="宋体"/>
          <w:szCs w:val="21"/>
          <w:u w:val="single"/>
        </w:rPr>
        <w:t>（1）发包人应在收到承包人竣工报告后14天内组织设计单位、监理单位、质监等其他部门进行验收，竣工日期以最后一次整改后通过竣工验收的时间为准</w:t>
      </w:r>
      <w:r>
        <w:rPr>
          <w:rFonts w:hint="eastAsia" w:ascii="宋体" w:hAnsi="宋体"/>
          <w:szCs w:val="21"/>
        </w:rPr>
        <w:t>。</w:t>
      </w:r>
    </w:p>
    <w:p>
      <w:pPr>
        <w:spacing w:line="360" w:lineRule="auto"/>
        <w:ind w:right="105" w:rightChars="50" w:firstLine="420" w:firstLineChars="200"/>
        <w:jc w:val="left"/>
        <w:rPr>
          <w:rFonts w:ascii="宋体" w:hAnsi="宋体"/>
          <w:szCs w:val="21"/>
        </w:rPr>
      </w:pPr>
      <w:r>
        <w:rPr>
          <w:rFonts w:hint="eastAsia" w:ascii="宋体" w:hAnsi="宋体"/>
          <w:szCs w:val="21"/>
          <w:u w:val="single"/>
        </w:rPr>
        <w:t>（2）当工程具备竣工验收条件时，承包人应及时向发包人提交竣工报告及竣工资料、办理移交手续。否则发包人有权依据监理人出具的鉴定结论书，自行组织有关部门验收，并提出整改意见。承包人必须按要求整改，并承担整改费用；如承包人拒绝按发包人提出的要求整改，发包人有权请第三方整改，由此发生的整改费用从未付工程款中扣除，不足部分发包人有权向承包人追偿。当验收通过后具备交付使用条件时，承包人不得以任何借口拒绝移交工程，否则，发包人有权强行使用，由此发生的一切后果，由承包人负责</w:t>
      </w:r>
      <w:r>
        <w:rPr>
          <w:rFonts w:hint="eastAsia" w:ascii="宋体" w:hAnsi="宋体"/>
          <w:szCs w:val="21"/>
        </w:rPr>
        <w:t>。</w:t>
      </w:r>
    </w:p>
    <w:p>
      <w:pPr>
        <w:spacing w:line="360" w:lineRule="auto"/>
        <w:ind w:right="105" w:rightChars="50" w:firstLine="420" w:firstLineChars="200"/>
        <w:jc w:val="left"/>
        <w:rPr>
          <w:rFonts w:ascii="宋体" w:hAnsi="宋体"/>
          <w:szCs w:val="21"/>
          <w:u w:val="single"/>
        </w:rPr>
      </w:pPr>
      <w:r>
        <w:rPr>
          <w:rFonts w:hint="eastAsia" w:ascii="宋体" w:hAnsi="宋体"/>
          <w:szCs w:val="21"/>
        </w:rPr>
        <w:t>（3）承包人提供竣工资料的约定：</w:t>
      </w:r>
      <w:r>
        <w:rPr>
          <w:rFonts w:hint="eastAsia" w:ascii="宋体" w:hAnsi="宋体"/>
          <w:szCs w:val="21"/>
          <w:u w:val="single"/>
        </w:rPr>
        <w:t>承包人提供纸质版竣工图三套，电子版竣工图二套（刻光盘）</w:t>
      </w:r>
      <w:r>
        <w:rPr>
          <w:rFonts w:hint="eastAsia" w:ascii="宋体" w:hAnsi="宋体"/>
          <w:szCs w:val="21"/>
        </w:rPr>
        <w:t>。</w:t>
      </w:r>
    </w:p>
    <w:bookmarkEnd w:id="1444"/>
    <w:p>
      <w:pPr>
        <w:spacing w:line="360" w:lineRule="auto"/>
        <w:ind w:right="105" w:rightChars="50" w:firstLine="420" w:firstLineChars="200"/>
        <w:jc w:val="left"/>
        <w:rPr>
          <w:rFonts w:ascii="宋体" w:hAnsi="宋体"/>
          <w:szCs w:val="21"/>
        </w:rPr>
      </w:pPr>
      <w:r>
        <w:rPr>
          <w:rFonts w:hint="eastAsia" w:ascii="宋体" w:hAnsi="宋体"/>
          <w:szCs w:val="21"/>
        </w:rPr>
        <w:t>13.2.5 移交、接收全部与部分工程</w:t>
      </w:r>
    </w:p>
    <w:bookmarkEnd w:id="1445"/>
    <w:p>
      <w:pPr>
        <w:spacing w:line="360" w:lineRule="auto"/>
        <w:ind w:right="105" w:rightChars="50" w:firstLine="420" w:firstLineChars="200"/>
        <w:jc w:val="left"/>
        <w:rPr>
          <w:rFonts w:ascii="宋体" w:hAnsi="宋体"/>
          <w:szCs w:val="21"/>
          <w:u w:val="single"/>
        </w:rPr>
      </w:pPr>
      <w:r>
        <w:rPr>
          <w:rFonts w:hint="eastAsia" w:ascii="宋体" w:hAnsi="宋体"/>
          <w:szCs w:val="21"/>
        </w:rPr>
        <w:t>承包人向发包人移交工程的期限：</w:t>
      </w:r>
      <w:r>
        <w:rPr>
          <w:rFonts w:hint="eastAsia" w:ascii="宋体" w:hAnsi="宋体"/>
          <w:szCs w:val="21"/>
          <w:u w:val="single"/>
        </w:rPr>
        <w:t>颁发工程接收证书后7天内完成工程的移交</w:t>
      </w:r>
      <w:r>
        <w:rPr>
          <w:rFonts w:hint="eastAsia" w:ascii="宋体" w:hAnsi="宋体"/>
          <w:szCs w:val="21"/>
        </w:rPr>
        <w:t>。</w:t>
      </w:r>
    </w:p>
    <w:p>
      <w:pPr>
        <w:spacing w:line="360" w:lineRule="auto"/>
        <w:ind w:right="105" w:rightChars="50" w:firstLine="420" w:firstLineChars="200"/>
        <w:jc w:val="left"/>
        <w:rPr>
          <w:rFonts w:ascii="宋体" w:hAnsi="宋体"/>
          <w:szCs w:val="21"/>
          <w:u w:val="single"/>
        </w:rPr>
      </w:pPr>
      <w:r>
        <w:rPr>
          <w:rFonts w:hint="eastAsia" w:ascii="宋体" w:hAnsi="宋体"/>
          <w:szCs w:val="21"/>
          <w:u w:val="single"/>
        </w:rPr>
        <w:t>发包人未按合同约定接收全部或部分工程的，违约金的计算方法为：发包人自应当接收工程之日起承担工程照管、成品保护、保管等与工程有关的各项费用。</w:t>
      </w:r>
    </w:p>
    <w:bookmarkEnd w:id="1446"/>
    <w:p>
      <w:pPr>
        <w:spacing w:line="360" w:lineRule="auto"/>
        <w:ind w:right="105" w:rightChars="50" w:firstLine="420" w:firstLineChars="200"/>
        <w:jc w:val="left"/>
        <w:rPr>
          <w:rFonts w:ascii="宋体" w:hAnsi="宋体"/>
          <w:szCs w:val="21"/>
          <w:u w:val="single"/>
        </w:rPr>
      </w:pPr>
      <w:r>
        <w:rPr>
          <w:rFonts w:hint="eastAsia" w:ascii="宋体" w:hAnsi="宋体"/>
          <w:szCs w:val="21"/>
        </w:rPr>
        <w:t>因承包人自身原因未按时移交工程的，违约金的计算方法为：</w:t>
      </w:r>
      <w:r>
        <w:rPr>
          <w:rFonts w:hint="eastAsia" w:ascii="宋体" w:hAnsi="宋体"/>
          <w:szCs w:val="21"/>
          <w:u w:val="single"/>
        </w:rPr>
        <w:t>承包人应承担工程照管、成品保护、保管等与工程有关的各项费用，并按经审定结算金额的0.5‰/天支付违约金</w:t>
      </w:r>
      <w:r>
        <w:rPr>
          <w:rFonts w:hint="eastAsia" w:ascii="宋体" w:hAnsi="宋体"/>
          <w:szCs w:val="21"/>
        </w:rPr>
        <w:t>。</w:t>
      </w:r>
    </w:p>
    <w:p>
      <w:pPr>
        <w:pStyle w:val="7"/>
        <w:spacing w:before="0" w:beforeAutospacing="0" w:after="0" w:afterAutospacing="0" w:line="360" w:lineRule="auto"/>
        <w:ind w:firstLine="422" w:firstLineChars="200"/>
        <w:rPr>
          <w:sz w:val="21"/>
          <w:szCs w:val="21"/>
        </w:rPr>
      </w:pPr>
      <w:bookmarkStart w:id="1474" w:name="_Toc532375654"/>
      <w:bookmarkStart w:id="1475" w:name="_Toc532377391"/>
      <w:r>
        <w:rPr>
          <w:rFonts w:hint="eastAsia"/>
          <w:sz w:val="21"/>
          <w:szCs w:val="21"/>
        </w:rPr>
        <w:t>13.3 工程试车</w:t>
      </w:r>
      <w:bookmarkEnd w:id="1474"/>
      <w:bookmarkEnd w:id="1475"/>
    </w:p>
    <w:p>
      <w:pPr>
        <w:spacing w:line="360" w:lineRule="auto"/>
        <w:ind w:right="105" w:rightChars="50" w:firstLine="420" w:firstLineChars="200"/>
        <w:jc w:val="left"/>
        <w:rPr>
          <w:rFonts w:ascii="宋体" w:hAnsi="宋体"/>
          <w:szCs w:val="21"/>
        </w:rPr>
      </w:pPr>
      <w:r>
        <w:rPr>
          <w:rFonts w:hint="eastAsia" w:ascii="宋体" w:hAnsi="宋体"/>
          <w:szCs w:val="21"/>
        </w:rPr>
        <w:t>13.3.1 试车程序</w:t>
      </w:r>
    </w:p>
    <w:p>
      <w:pPr>
        <w:spacing w:line="360" w:lineRule="auto"/>
        <w:ind w:right="105" w:rightChars="50" w:firstLine="420" w:firstLineChars="200"/>
        <w:jc w:val="left"/>
        <w:rPr>
          <w:rFonts w:ascii="宋体" w:hAnsi="宋体"/>
          <w:szCs w:val="21"/>
        </w:rPr>
      </w:pPr>
      <w:r>
        <w:rPr>
          <w:rFonts w:hint="eastAsia" w:ascii="宋体" w:hAnsi="宋体"/>
          <w:szCs w:val="21"/>
        </w:rPr>
        <w:t>工程试车内容：</w:t>
      </w:r>
      <w:r>
        <w:rPr>
          <w:rFonts w:hint="eastAsia" w:ascii="宋体" w:hAnsi="宋体"/>
          <w:szCs w:val="21"/>
          <w:u w:val="single"/>
        </w:rPr>
        <w:t>按通用合同条款执行</w:t>
      </w:r>
      <w:r>
        <w:rPr>
          <w:rFonts w:hint="eastAsia" w:ascii="宋体" w:hAnsi="宋体"/>
          <w:szCs w:val="21"/>
        </w:rPr>
        <w:t>。</w:t>
      </w:r>
    </w:p>
    <w:p>
      <w:pPr>
        <w:spacing w:line="360" w:lineRule="auto"/>
        <w:ind w:right="105" w:rightChars="50" w:firstLine="420" w:firstLineChars="200"/>
        <w:jc w:val="left"/>
        <w:rPr>
          <w:rFonts w:ascii="宋体" w:hAnsi="宋体"/>
          <w:szCs w:val="21"/>
        </w:rPr>
      </w:pPr>
      <w:r>
        <w:rPr>
          <w:rFonts w:hint="eastAsia" w:ascii="宋体" w:hAnsi="宋体"/>
          <w:szCs w:val="21"/>
        </w:rPr>
        <w:t>（1）单机无负荷试车费用由</w:t>
      </w:r>
      <w:r>
        <w:rPr>
          <w:rFonts w:hint="eastAsia" w:ascii="宋体" w:hAnsi="宋体"/>
          <w:szCs w:val="21"/>
          <w:u w:val="single"/>
        </w:rPr>
        <w:t>承包人</w:t>
      </w:r>
      <w:r>
        <w:rPr>
          <w:rFonts w:hint="eastAsia" w:ascii="宋体" w:hAnsi="宋体"/>
          <w:szCs w:val="21"/>
        </w:rPr>
        <w:t>承担；</w:t>
      </w:r>
    </w:p>
    <w:p>
      <w:pPr>
        <w:spacing w:line="360" w:lineRule="auto"/>
        <w:ind w:right="105" w:rightChars="50" w:firstLine="420" w:firstLineChars="200"/>
        <w:jc w:val="left"/>
        <w:rPr>
          <w:rFonts w:ascii="宋体" w:hAnsi="宋体"/>
          <w:szCs w:val="21"/>
        </w:rPr>
      </w:pPr>
      <w:r>
        <w:rPr>
          <w:rFonts w:hint="eastAsia" w:ascii="宋体" w:hAnsi="宋体"/>
          <w:szCs w:val="21"/>
        </w:rPr>
        <w:t>（2）无负荷联动试车费用由</w:t>
      </w:r>
      <w:r>
        <w:rPr>
          <w:rFonts w:hint="eastAsia" w:ascii="宋体" w:hAnsi="宋体"/>
          <w:szCs w:val="21"/>
          <w:u w:val="single"/>
        </w:rPr>
        <w:t>承包人</w:t>
      </w:r>
      <w:r>
        <w:rPr>
          <w:rFonts w:hint="eastAsia" w:ascii="宋体" w:hAnsi="宋体"/>
          <w:szCs w:val="21"/>
        </w:rPr>
        <w:t>承担。</w:t>
      </w:r>
    </w:p>
    <w:p>
      <w:pPr>
        <w:pStyle w:val="7"/>
        <w:spacing w:before="0" w:beforeAutospacing="0" w:after="0" w:afterAutospacing="0" w:line="360" w:lineRule="auto"/>
        <w:ind w:firstLine="422" w:firstLineChars="200"/>
        <w:rPr>
          <w:sz w:val="21"/>
          <w:szCs w:val="21"/>
        </w:rPr>
      </w:pPr>
      <w:bookmarkStart w:id="1476" w:name="_Toc532377392"/>
      <w:bookmarkStart w:id="1477" w:name="_Toc532375655"/>
      <w:r>
        <w:rPr>
          <w:rFonts w:hint="eastAsia"/>
          <w:sz w:val="21"/>
          <w:szCs w:val="21"/>
        </w:rPr>
        <w:t>13.6 竣工退场</w:t>
      </w:r>
      <w:bookmarkEnd w:id="1476"/>
      <w:bookmarkEnd w:id="1477"/>
    </w:p>
    <w:p>
      <w:pPr>
        <w:spacing w:line="360" w:lineRule="auto"/>
        <w:ind w:right="105" w:rightChars="50" w:firstLine="420" w:firstLineChars="200"/>
        <w:jc w:val="left"/>
        <w:rPr>
          <w:rFonts w:ascii="宋体" w:hAnsi="宋体"/>
          <w:szCs w:val="21"/>
        </w:rPr>
      </w:pPr>
      <w:r>
        <w:rPr>
          <w:rFonts w:hint="eastAsia" w:ascii="宋体" w:hAnsi="宋体"/>
          <w:szCs w:val="21"/>
        </w:rPr>
        <w:t>13.6.1 竣工退场</w:t>
      </w:r>
    </w:p>
    <w:p>
      <w:pPr>
        <w:spacing w:line="360" w:lineRule="auto"/>
        <w:ind w:right="105" w:rightChars="50" w:firstLine="420" w:firstLineChars="200"/>
        <w:jc w:val="left"/>
        <w:rPr>
          <w:rFonts w:ascii="宋体" w:hAnsi="宋体"/>
          <w:szCs w:val="21"/>
          <w:u w:val="single"/>
        </w:rPr>
      </w:pPr>
      <w:r>
        <w:rPr>
          <w:rFonts w:hint="eastAsia" w:ascii="宋体" w:hAnsi="宋体"/>
          <w:szCs w:val="21"/>
        </w:rPr>
        <w:t>承包人完成竣工退场的期限：</w:t>
      </w:r>
      <w:r>
        <w:rPr>
          <w:rFonts w:hint="eastAsia" w:ascii="宋体" w:hAnsi="宋体"/>
          <w:szCs w:val="21"/>
          <w:u w:val="single"/>
        </w:rPr>
        <w:t>工程接收证书颁发后28天内，承包人的施工人员、剩余材料、施工设备和临时工程应完全撤离施工场地并对施工场地进行清理、平整、复原，直至监理人检验合格为止，由此发生的费用已包含在签约合同价内。承包人未在限期内拆除的，发包人可委托其他单位代为拆除，由此发生的费用（发包人可从应付承包人的款项中扣除）由承包人承担，承包人还应按审定结算金额的0.5‰/天的标准向发包人支付违约金。因工程维修需要部分人员必须留在施工现场的，需征得发包人同意</w:t>
      </w:r>
      <w:r>
        <w:rPr>
          <w:rFonts w:hint="eastAsia" w:ascii="宋体" w:hAnsi="宋体"/>
          <w:szCs w:val="21"/>
        </w:rPr>
        <w:t>。</w:t>
      </w:r>
    </w:p>
    <w:bookmarkEnd w:id="1447"/>
    <w:p>
      <w:pPr>
        <w:pStyle w:val="6"/>
        <w:spacing w:before="156" w:beforeLines="50" w:beforeAutospacing="0" w:after="156" w:afterLines="50" w:afterAutospacing="0" w:line="360" w:lineRule="auto"/>
        <w:jc w:val="both"/>
        <w:rPr>
          <w:bCs w:val="0"/>
          <w:kern w:val="2"/>
          <w:sz w:val="21"/>
          <w:szCs w:val="21"/>
        </w:rPr>
      </w:pPr>
      <w:bookmarkStart w:id="1478" w:name="_Toc532377393"/>
      <w:bookmarkStart w:id="1479" w:name="_Toc351203646"/>
      <w:bookmarkStart w:id="1480" w:name="_Toc532375656"/>
      <w:r>
        <w:rPr>
          <w:rFonts w:hint="eastAsia"/>
          <w:kern w:val="2"/>
          <w:sz w:val="21"/>
          <w:szCs w:val="21"/>
        </w:rPr>
        <w:t>14. 竣工结算</w:t>
      </w:r>
      <w:bookmarkEnd w:id="1478"/>
      <w:bookmarkEnd w:id="1479"/>
      <w:bookmarkEnd w:id="1480"/>
    </w:p>
    <w:p>
      <w:pPr>
        <w:pStyle w:val="7"/>
        <w:spacing w:before="0" w:beforeAutospacing="0" w:after="0" w:afterAutospacing="0" w:line="360" w:lineRule="auto"/>
        <w:ind w:firstLine="422" w:firstLineChars="200"/>
        <w:rPr>
          <w:sz w:val="21"/>
          <w:szCs w:val="21"/>
        </w:rPr>
      </w:pPr>
      <w:bookmarkStart w:id="1481" w:name="_Toc532377394"/>
      <w:bookmarkStart w:id="1482" w:name="_Toc532375657"/>
      <w:r>
        <w:rPr>
          <w:rFonts w:hint="eastAsia"/>
          <w:sz w:val="21"/>
          <w:szCs w:val="21"/>
        </w:rPr>
        <w:t>14.1 竣工结算申请</w:t>
      </w:r>
      <w:bookmarkEnd w:id="1481"/>
      <w:bookmarkEnd w:id="1482"/>
    </w:p>
    <w:p>
      <w:pPr>
        <w:spacing w:line="360" w:lineRule="auto"/>
        <w:ind w:right="105" w:rightChars="50" w:firstLine="420" w:firstLineChars="200"/>
        <w:jc w:val="left"/>
        <w:rPr>
          <w:rFonts w:ascii="宋体" w:hAnsi="宋体"/>
          <w:szCs w:val="21"/>
          <w:u w:val="single"/>
        </w:rPr>
      </w:pPr>
      <w:r>
        <w:rPr>
          <w:rFonts w:hint="eastAsia" w:ascii="宋体" w:hAnsi="宋体"/>
          <w:szCs w:val="21"/>
        </w:rPr>
        <w:t>承包人提交竣工结算申请单的期限：</w:t>
      </w:r>
      <w:r>
        <w:rPr>
          <w:rFonts w:hint="eastAsia" w:ascii="宋体" w:hAnsi="宋体"/>
          <w:szCs w:val="21"/>
          <w:u w:val="single"/>
        </w:rPr>
        <w:t>承包人应在工程竣工验收合格且报送</w:t>
      </w:r>
      <w:r>
        <w:rPr>
          <w:rFonts w:ascii="宋体" w:hAnsi="宋体"/>
          <w:szCs w:val="21"/>
          <w:u w:val="single"/>
        </w:rPr>
        <w:t>完整工程竣工资料</w:t>
      </w:r>
      <w:r>
        <w:rPr>
          <w:rFonts w:hint="eastAsia" w:ascii="宋体" w:hAnsi="宋体"/>
          <w:szCs w:val="21"/>
          <w:u w:val="single"/>
        </w:rPr>
        <w:t>之日起28天内向监理人、发包人提交竣工结算申请单，并向发包人报送完整的工程竣工资料及经监理人初审确认的完整的竣工结算资料</w:t>
      </w:r>
      <w:bookmarkStart w:id="1483" w:name="_Hlk524297994"/>
      <w:r>
        <w:rPr>
          <w:rFonts w:hint="eastAsia" w:ascii="宋体" w:hAnsi="宋体"/>
          <w:szCs w:val="21"/>
          <w:u w:val="single"/>
        </w:rPr>
        <w:t>。监理人或发包人对竣工结算申请单有异议的，应在接到竣工结算申请单后14天内要求承包人进行修正和提供补充资料，承包人在接到监理人或发包人提出的审核意见后，应在28天内按监理人或发包人提出的合理要求补充资料、修改竣工结算资料，并再次提交监理人或发包人审核。承包人未在规定时间内报送竣工结算资料给发包人造成经济损失的，承包人应承担赔偿责任。</w:t>
      </w:r>
    </w:p>
    <w:p>
      <w:pPr>
        <w:spacing w:line="360" w:lineRule="auto"/>
        <w:ind w:right="105" w:rightChars="50" w:firstLine="420" w:firstLineChars="200"/>
        <w:jc w:val="left"/>
        <w:rPr>
          <w:rFonts w:ascii="宋体" w:hAnsi="宋体"/>
          <w:szCs w:val="21"/>
        </w:rPr>
      </w:pPr>
      <w:r>
        <w:rPr>
          <w:rFonts w:hint="eastAsia" w:ascii="宋体" w:hAnsi="宋体"/>
          <w:szCs w:val="21"/>
        </w:rPr>
        <w:t>竣工结算申请单包括但不限于以下内容：</w:t>
      </w:r>
    </w:p>
    <w:p>
      <w:pPr>
        <w:spacing w:line="360" w:lineRule="auto"/>
        <w:ind w:right="105" w:rightChars="50" w:firstLine="420" w:firstLineChars="200"/>
        <w:jc w:val="left"/>
        <w:rPr>
          <w:rFonts w:ascii="宋体" w:hAnsi="宋体"/>
          <w:szCs w:val="21"/>
        </w:rPr>
      </w:pPr>
      <w:r>
        <w:rPr>
          <w:rFonts w:hint="eastAsia" w:ascii="宋体" w:hAnsi="宋体"/>
          <w:szCs w:val="21"/>
        </w:rPr>
        <w:t>（1）竣工结算合同价格；</w:t>
      </w:r>
    </w:p>
    <w:p>
      <w:pPr>
        <w:spacing w:line="360" w:lineRule="auto"/>
        <w:ind w:right="105" w:rightChars="50" w:firstLine="420" w:firstLineChars="200"/>
        <w:jc w:val="left"/>
        <w:rPr>
          <w:rFonts w:ascii="宋体" w:hAnsi="宋体"/>
          <w:szCs w:val="21"/>
        </w:rPr>
      </w:pPr>
      <w:r>
        <w:rPr>
          <w:rFonts w:hint="eastAsia" w:ascii="宋体" w:hAnsi="宋体"/>
          <w:szCs w:val="21"/>
        </w:rPr>
        <w:t>（2）变更增减金额；</w:t>
      </w:r>
    </w:p>
    <w:p>
      <w:pPr>
        <w:spacing w:line="360" w:lineRule="auto"/>
        <w:ind w:right="105" w:rightChars="50" w:firstLine="420" w:firstLineChars="200"/>
        <w:jc w:val="left"/>
        <w:rPr>
          <w:rFonts w:ascii="宋体" w:hAnsi="宋体"/>
          <w:szCs w:val="21"/>
        </w:rPr>
      </w:pPr>
      <w:r>
        <w:rPr>
          <w:rFonts w:hint="eastAsia" w:ascii="宋体" w:hAnsi="宋体"/>
          <w:szCs w:val="21"/>
        </w:rPr>
        <w:t>（3）现场签证增减金额；</w:t>
      </w:r>
    </w:p>
    <w:p>
      <w:pPr>
        <w:spacing w:line="360" w:lineRule="auto"/>
        <w:ind w:right="105" w:rightChars="50" w:firstLine="420" w:firstLineChars="200"/>
        <w:jc w:val="left"/>
        <w:rPr>
          <w:rFonts w:ascii="宋体" w:hAnsi="宋体"/>
          <w:szCs w:val="21"/>
        </w:rPr>
      </w:pPr>
      <w:r>
        <w:rPr>
          <w:rFonts w:hint="eastAsia" w:ascii="宋体" w:hAnsi="宋体"/>
          <w:szCs w:val="21"/>
        </w:rPr>
        <w:t>（4）索赔增减金额；</w:t>
      </w:r>
    </w:p>
    <w:p>
      <w:pPr>
        <w:spacing w:line="360" w:lineRule="auto"/>
        <w:ind w:right="105" w:rightChars="50" w:firstLine="420" w:firstLineChars="200"/>
        <w:jc w:val="left"/>
        <w:rPr>
          <w:rFonts w:ascii="宋体" w:hAnsi="宋体"/>
          <w:szCs w:val="21"/>
        </w:rPr>
      </w:pPr>
      <w:r>
        <w:rPr>
          <w:rFonts w:hint="eastAsia" w:ascii="宋体" w:hAnsi="宋体"/>
          <w:szCs w:val="21"/>
        </w:rPr>
        <w:t>（5）奖励、罚金及违约金；</w:t>
      </w:r>
    </w:p>
    <w:p>
      <w:pPr>
        <w:spacing w:line="360" w:lineRule="auto"/>
        <w:ind w:right="105" w:rightChars="50" w:firstLine="420" w:firstLineChars="200"/>
        <w:jc w:val="left"/>
        <w:rPr>
          <w:rFonts w:ascii="宋体" w:hAnsi="宋体"/>
          <w:szCs w:val="21"/>
        </w:rPr>
      </w:pPr>
      <w:r>
        <w:rPr>
          <w:rFonts w:hint="eastAsia" w:ascii="宋体" w:hAnsi="宋体"/>
          <w:szCs w:val="21"/>
        </w:rPr>
        <w:t>（6）发包人已支付承包人的款项；</w:t>
      </w:r>
    </w:p>
    <w:p>
      <w:pPr>
        <w:spacing w:line="360" w:lineRule="auto"/>
        <w:ind w:right="105" w:rightChars="50" w:firstLine="420" w:firstLineChars="200"/>
        <w:jc w:val="left"/>
        <w:rPr>
          <w:rFonts w:ascii="宋体" w:hAnsi="宋体"/>
          <w:szCs w:val="21"/>
        </w:rPr>
      </w:pPr>
      <w:r>
        <w:rPr>
          <w:rFonts w:hint="eastAsia" w:ascii="宋体" w:hAnsi="宋体"/>
          <w:szCs w:val="21"/>
        </w:rPr>
        <w:t>（7）应扣留的质量保证金；</w:t>
      </w:r>
    </w:p>
    <w:p>
      <w:pPr>
        <w:spacing w:line="360" w:lineRule="auto"/>
        <w:ind w:right="105" w:rightChars="50" w:firstLine="420" w:firstLineChars="200"/>
        <w:jc w:val="left"/>
        <w:rPr>
          <w:rFonts w:ascii="宋体" w:hAnsi="宋体"/>
          <w:szCs w:val="21"/>
        </w:rPr>
      </w:pPr>
      <w:r>
        <w:rPr>
          <w:rFonts w:hint="eastAsia" w:ascii="宋体" w:hAnsi="宋体"/>
          <w:szCs w:val="21"/>
        </w:rPr>
        <w:t>（8）发包人应支付承包人的合同价款。</w:t>
      </w:r>
      <w:bookmarkEnd w:id="1483"/>
    </w:p>
    <w:p>
      <w:pPr>
        <w:spacing w:line="360" w:lineRule="auto"/>
        <w:ind w:right="105" w:rightChars="50" w:firstLine="420" w:firstLineChars="200"/>
        <w:jc w:val="left"/>
        <w:rPr>
          <w:rFonts w:ascii="宋体" w:hAnsi="宋体"/>
          <w:szCs w:val="21"/>
        </w:rPr>
      </w:pPr>
      <w:r>
        <w:rPr>
          <w:rFonts w:hint="eastAsia" w:ascii="宋体" w:hAnsi="宋体"/>
          <w:szCs w:val="21"/>
        </w:rPr>
        <w:t>（9）</w:t>
      </w:r>
      <w:r>
        <w:rPr>
          <w:rFonts w:hint="eastAsia" w:ascii="宋体" w:hAnsi="宋体"/>
          <w:szCs w:val="21"/>
          <w:u w:val="single"/>
        </w:rPr>
        <w:t xml:space="preserve">        </w:t>
      </w:r>
      <w:r>
        <w:rPr>
          <w:rFonts w:hint="eastAsia" w:ascii="宋体" w:hAnsi="宋体"/>
          <w:szCs w:val="21"/>
        </w:rPr>
        <w:t>。</w:t>
      </w:r>
    </w:p>
    <w:p>
      <w:pPr>
        <w:pStyle w:val="7"/>
        <w:spacing w:before="0" w:beforeAutospacing="0" w:after="0" w:afterAutospacing="0" w:line="360" w:lineRule="auto"/>
        <w:ind w:firstLine="422" w:firstLineChars="200"/>
        <w:rPr>
          <w:sz w:val="21"/>
          <w:szCs w:val="21"/>
        </w:rPr>
      </w:pPr>
      <w:bookmarkStart w:id="1484" w:name="_Toc532375658"/>
      <w:bookmarkStart w:id="1485" w:name="_Toc532377395"/>
      <w:r>
        <w:rPr>
          <w:rFonts w:hint="eastAsia"/>
          <w:sz w:val="21"/>
          <w:szCs w:val="21"/>
        </w:rPr>
        <w:t>14.2 竣工结算审核</w:t>
      </w:r>
      <w:bookmarkEnd w:id="1484"/>
      <w:bookmarkEnd w:id="1485"/>
    </w:p>
    <w:p>
      <w:pPr>
        <w:spacing w:line="360" w:lineRule="auto"/>
        <w:ind w:right="105" w:rightChars="50" w:firstLine="420" w:firstLineChars="200"/>
        <w:jc w:val="left"/>
        <w:rPr>
          <w:rFonts w:ascii="宋体" w:hAnsi="宋体"/>
          <w:szCs w:val="21"/>
        </w:rPr>
      </w:pPr>
      <w:r>
        <w:rPr>
          <w:rFonts w:hint="eastAsia" w:ascii="宋体" w:hAnsi="宋体"/>
          <w:szCs w:val="21"/>
        </w:rPr>
        <w:t>14.2.1 竣工结算办法</w:t>
      </w:r>
    </w:p>
    <w:p>
      <w:pPr>
        <w:spacing w:line="360" w:lineRule="auto"/>
        <w:ind w:right="105" w:rightChars="50" w:firstLine="420" w:firstLineChars="200"/>
        <w:jc w:val="left"/>
        <w:rPr>
          <w:rFonts w:ascii="宋体" w:hAnsi="宋体"/>
          <w:szCs w:val="21"/>
        </w:rPr>
      </w:pPr>
      <w:r>
        <w:rPr>
          <w:rFonts w:hint="eastAsia" w:ascii="宋体" w:hAnsi="宋体"/>
          <w:szCs w:val="21"/>
        </w:rPr>
        <w:t>14.2.1.1计量原则</w:t>
      </w:r>
    </w:p>
    <w:p>
      <w:pPr>
        <w:spacing w:line="360" w:lineRule="auto"/>
        <w:ind w:right="105" w:rightChars="50" w:firstLine="420" w:firstLineChars="200"/>
        <w:jc w:val="left"/>
        <w:rPr>
          <w:rFonts w:ascii="宋体" w:hAnsi="宋体"/>
          <w:szCs w:val="21"/>
          <w:u w:val="single"/>
        </w:rPr>
      </w:pPr>
      <w:r>
        <w:rPr>
          <w:rFonts w:hint="eastAsia" w:ascii="宋体" w:hAnsi="宋体"/>
          <w:szCs w:val="21"/>
        </w:rPr>
        <w:t>按照第12.3.1项〔计量原则〕约定执行。</w:t>
      </w:r>
    </w:p>
    <w:p>
      <w:pPr>
        <w:spacing w:line="360" w:lineRule="auto"/>
        <w:ind w:right="105" w:rightChars="50" w:firstLine="420" w:firstLineChars="200"/>
        <w:jc w:val="left"/>
        <w:rPr>
          <w:rFonts w:ascii="宋体" w:hAnsi="宋体"/>
          <w:szCs w:val="21"/>
        </w:rPr>
      </w:pPr>
      <w:r>
        <w:rPr>
          <w:rFonts w:hint="eastAsia" w:ascii="宋体" w:hAnsi="宋体"/>
          <w:szCs w:val="21"/>
        </w:rPr>
        <w:t>14.2.1.2计价原则</w:t>
      </w:r>
    </w:p>
    <w:p>
      <w:pPr>
        <w:spacing w:line="360" w:lineRule="auto"/>
        <w:ind w:right="105" w:rightChars="50" w:firstLine="420" w:firstLineChars="200"/>
        <w:jc w:val="left"/>
        <w:rPr>
          <w:rFonts w:ascii="宋体" w:hAnsi="宋体"/>
          <w:szCs w:val="21"/>
          <w:u w:val="single"/>
        </w:rPr>
      </w:pPr>
      <w:r>
        <w:rPr>
          <w:rFonts w:hint="eastAsia" w:ascii="宋体" w:hAnsi="宋体"/>
          <w:szCs w:val="21"/>
          <w:u w:val="single"/>
        </w:rPr>
        <w:t>合同竣工结算价=Σ分部分项工程结算价+Σ措施项目结算价+Σ其他项目结算价±Σ价格调整（如有）±Σ变更、索赔与现场签证结算价±Σ奖励、罚金、违约金及其他费用+Σ规费+Σ税金</w:t>
      </w:r>
      <w:r>
        <w:rPr>
          <w:rFonts w:hint="eastAsia" w:ascii="宋体" w:hAnsi="宋体"/>
          <w:szCs w:val="21"/>
        </w:rPr>
        <w:t>。</w:t>
      </w:r>
    </w:p>
    <w:p>
      <w:pPr>
        <w:spacing w:line="360" w:lineRule="auto"/>
        <w:ind w:right="105" w:rightChars="50" w:firstLine="420" w:firstLineChars="200"/>
        <w:jc w:val="left"/>
        <w:rPr>
          <w:rFonts w:ascii="宋体" w:hAnsi="宋体"/>
          <w:szCs w:val="21"/>
        </w:rPr>
      </w:pPr>
      <w:r>
        <w:rPr>
          <w:rFonts w:hint="eastAsia" w:ascii="宋体" w:hAnsi="宋体"/>
          <w:szCs w:val="21"/>
        </w:rPr>
        <w:t>具体结算办法如下：</w:t>
      </w:r>
    </w:p>
    <w:p>
      <w:pPr>
        <w:tabs>
          <w:tab w:val="left" w:pos="711"/>
          <w:tab w:val="left" w:pos="2580"/>
        </w:tabs>
        <w:spacing w:line="360" w:lineRule="auto"/>
        <w:ind w:right="105" w:rightChars="50" w:firstLine="420" w:firstLineChars="200"/>
        <w:jc w:val="left"/>
        <w:textAlignment w:val="baseline"/>
        <w:rPr>
          <w:rFonts w:ascii="宋体" w:hAnsi="宋体"/>
          <w:szCs w:val="21"/>
        </w:rPr>
      </w:pPr>
      <w:r>
        <w:rPr>
          <w:rFonts w:hint="eastAsia" w:ascii="宋体" w:hAnsi="宋体"/>
          <w:szCs w:val="21"/>
        </w:rPr>
        <w:t>（1）分部分项工程：</w:t>
      </w:r>
    </w:p>
    <w:p>
      <w:pPr>
        <w:tabs>
          <w:tab w:val="left" w:pos="711"/>
          <w:tab w:val="left" w:pos="2580"/>
        </w:tabs>
        <w:spacing w:line="360" w:lineRule="auto"/>
        <w:ind w:right="105" w:rightChars="50" w:firstLine="420" w:firstLineChars="200"/>
        <w:jc w:val="left"/>
        <w:textAlignment w:val="baseline"/>
        <w:rPr>
          <w:rFonts w:ascii="宋体" w:hAnsi="宋体"/>
          <w:szCs w:val="21"/>
          <w:u w:val="single"/>
        </w:rPr>
      </w:pPr>
      <w:r>
        <w:rPr>
          <w:rFonts w:hint="eastAsia" w:ascii="宋体" w:hAnsi="宋体"/>
          <w:szCs w:val="21"/>
          <w:u w:val="single"/>
        </w:rPr>
        <w:t>①已标价工程量清单子目综合单价按合同约定无需调整的，以按照竣工图和第12.3.1项〔计量原则〕约定确定的工程量乘以相应的已标价工程量清单子目综合单价确定该部分分部分项工程结算价</w:t>
      </w:r>
      <w:r>
        <w:rPr>
          <w:rFonts w:hint="eastAsia" w:ascii="宋体" w:hAnsi="宋体"/>
          <w:szCs w:val="21"/>
        </w:rPr>
        <w:t>；</w:t>
      </w:r>
    </w:p>
    <w:p>
      <w:pPr>
        <w:tabs>
          <w:tab w:val="left" w:pos="711"/>
          <w:tab w:val="left" w:pos="2580"/>
        </w:tabs>
        <w:spacing w:line="360" w:lineRule="auto"/>
        <w:ind w:right="105" w:rightChars="50" w:firstLine="420" w:firstLineChars="200"/>
        <w:jc w:val="left"/>
        <w:textAlignment w:val="baseline"/>
        <w:rPr>
          <w:rFonts w:ascii="宋体" w:hAnsi="宋体"/>
          <w:szCs w:val="21"/>
          <w:u w:val="single"/>
        </w:rPr>
      </w:pPr>
      <w:r>
        <w:rPr>
          <w:rFonts w:hint="eastAsia" w:ascii="宋体" w:hAnsi="宋体"/>
          <w:szCs w:val="21"/>
          <w:u w:val="single"/>
        </w:rPr>
        <w:t>②已标价工程量清单子目综合单价按第11.3款〔严重不平衡报价引起的调整〕约定需要修正综合单价的，结算工程量超过已标价工程量15%的，超出部分工程量乘以按第11.3款〔严重不平衡报价引起的调整〕约定修正综合单价确定该部分分部分项工程结算价</w:t>
      </w:r>
      <w:r>
        <w:rPr>
          <w:rFonts w:hint="eastAsia" w:ascii="宋体" w:hAnsi="宋体"/>
          <w:szCs w:val="21"/>
        </w:rPr>
        <w:t>；</w:t>
      </w:r>
    </w:p>
    <w:p>
      <w:pPr>
        <w:tabs>
          <w:tab w:val="left" w:pos="711"/>
          <w:tab w:val="left" w:pos="2580"/>
        </w:tabs>
        <w:spacing w:line="360" w:lineRule="auto"/>
        <w:ind w:right="105" w:rightChars="50" w:firstLine="420" w:firstLineChars="200"/>
        <w:jc w:val="left"/>
        <w:textAlignment w:val="baseline"/>
        <w:rPr>
          <w:rFonts w:ascii="宋体" w:hAnsi="宋体"/>
          <w:szCs w:val="21"/>
          <w:u w:val="single"/>
        </w:rPr>
      </w:pPr>
      <w:r>
        <w:rPr>
          <w:rFonts w:hint="eastAsia" w:ascii="宋体" w:hAnsi="宋体"/>
          <w:szCs w:val="21"/>
          <w:u w:val="single"/>
        </w:rPr>
        <w:t>③需要对没有填入综合单价或总额价的子目项目进行扣减的，第12.3.1项〔计量原则〕约定确定的工程量乘以按照10.4.1〔变更估价原则〕（3）目约定的综合单价进行扣减</w:t>
      </w:r>
      <w:r>
        <w:rPr>
          <w:rFonts w:hint="eastAsia" w:ascii="宋体" w:hAnsi="宋体"/>
          <w:szCs w:val="21"/>
        </w:rPr>
        <w:t>；</w:t>
      </w:r>
    </w:p>
    <w:p>
      <w:pPr>
        <w:tabs>
          <w:tab w:val="left" w:pos="711"/>
          <w:tab w:val="left" w:pos="2580"/>
        </w:tabs>
        <w:spacing w:line="360" w:lineRule="auto"/>
        <w:ind w:right="105" w:rightChars="50" w:firstLine="420" w:firstLineChars="200"/>
        <w:jc w:val="left"/>
        <w:textAlignment w:val="baseline"/>
        <w:rPr>
          <w:rFonts w:ascii="宋体" w:hAnsi="宋体"/>
          <w:szCs w:val="21"/>
          <w:u w:val="single"/>
        </w:rPr>
      </w:pPr>
      <w:r>
        <w:rPr>
          <w:rFonts w:hint="eastAsia" w:ascii="宋体" w:hAnsi="宋体"/>
          <w:szCs w:val="21"/>
          <w:u w:val="single"/>
        </w:rPr>
        <w:t>④合同、已标价工程量清单和招标文件另有约定的，按照其约定执行</w:t>
      </w:r>
      <w:r>
        <w:rPr>
          <w:rFonts w:hint="eastAsia" w:ascii="宋体" w:hAnsi="宋体"/>
          <w:szCs w:val="21"/>
        </w:rPr>
        <w:t>。</w:t>
      </w:r>
    </w:p>
    <w:p>
      <w:pPr>
        <w:tabs>
          <w:tab w:val="left" w:pos="711"/>
          <w:tab w:val="left" w:pos="2580"/>
        </w:tabs>
        <w:spacing w:line="360" w:lineRule="auto"/>
        <w:ind w:right="105" w:rightChars="50" w:firstLine="420" w:firstLineChars="200"/>
        <w:jc w:val="left"/>
        <w:textAlignment w:val="baseline"/>
        <w:rPr>
          <w:rFonts w:ascii="宋体" w:hAnsi="宋体"/>
          <w:szCs w:val="21"/>
        </w:rPr>
      </w:pPr>
      <w:r>
        <w:rPr>
          <w:rFonts w:hint="eastAsia" w:ascii="宋体" w:hAnsi="宋体"/>
          <w:szCs w:val="21"/>
        </w:rPr>
        <w:t>（2）措施项目：</w:t>
      </w:r>
    </w:p>
    <w:p>
      <w:pPr>
        <w:tabs>
          <w:tab w:val="left" w:pos="711"/>
          <w:tab w:val="left" w:pos="2580"/>
        </w:tabs>
        <w:spacing w:line="360" w:lineRule="auto"/>
        <w:ind w:right="105" w:rightChars="50" w:firstLine="420" w:firstLineChars="200"/>
        <w:jc w:val="left"/>
        <w:textAlignment w:val="baseline"/>
        <w:rPr>
          <w:rFonts w:ascii="宋体" w:hAnsi="宋体"/>
          <w:szCs w:val="21"/>
          <w:u w:val="single"/>
        </w:rPr>
      </w:pPr>
      <w:r>
        <w:rPr>
          <w:rFonts w:hint="eastAsia" w:ascii="宋体" w:hAnsi="宋体"/>
          <w:szCs w:val="21"/>
          <w:u w:val="single"/>
        </w:rPr>
        <w:t>①已标价工程量清单范围内以项为计量单位的措施项目费（安全文明施工费除外）包干使用；不以项为计量单位的措施项目费按第14.2.1项〔竣工结算办理办法〕分部分项约定执行</w:t>
      </w:r>
      <w:r>
        <w:rPr>
          <w:rFonts w:hint="eastAsia" w:ascii="宋体" w:hAnsi="宋体"/>
          <w:szCs w:val="21"/>
        </w:rPr>
        <w:t>。</w:t>
      </w:r>
    </w:p>
    <w:p>
      <w:pPr>
        <w:tabs>
          <w:tab w:val="left" w:pos="711"/>
          <w:tab w:val="left" w:pos="2580"/>
        </w:tabs>
        <w:spacing w:line="360" w:lineRule="auto"/>
        <w:ind w:right="105" w:rightChars="50" w:firstLine="420" w:firstLineChars="200"/>
        <w:jc w:val="left"/>
        <w:textAlignment w:val="baseline"/>
        <w:rPr>
          <w:rFonts w:ascii="宋体" w:hAnsi="宋体"/>
          <w:szCs w:val="21"/>
          <w:u w:val="single"/>
        </w:rPr>
      </w:pPr>
      <w:r>
        <w:rPr>
          <w:rFonts w:hint="eastAsia" w:ascii="宋体" w:hAnsi="宋体"/>
          <w:szCs w:val="21"/>
          <w:u w:val="single"/>
        </w:rPr>
        <w:t>②工程变更引起施工方案改变使措施项目发生变化的，经监理人、发包人确定后可对按第10.4.3项约定执行</w:t>
      </w:r>
      <w:r>
        <w:rPr>
          <w:rFonts w:hint="eastAsia" w:ascii="宋体" w:hAnsi="宋体"/>
          <w:szCs w:val="21"/>
        </w:rPr>
        <w:t>。</w:t>
      </w:r>
    </w:p>
    <w:p>
      <w:pPr>
        <w:tabs>
          <w:tab w:val="left" w:pos="711"/>
          <w:tab w:val="left" w:pos="2580"/>
        </w:tabs>
        <w:spacing w:line="360" w:lineRule="auto"/>
        <w:ind w:right="105" w:rightChars="50" w:firstLine="420" w:firstLineChars="200"/>
        <w:jc w:val="left"/>
        <w:textAlignment w:val="baseline"/>
        <w:rPr>
          <w:rFonts w:ascii="宋体" w:hAnsi="宋体"/>
          <w:szCs w:val="21"/>
          <w:u w:val="single"/>
        </w:rPr>
      </w:pPr>
      <w:r>
        <w:rPr>
          <w:rFonts w:hint="eastAsia" w:ascii="宋体" w:hAnsi="宋体"/>
          <w:szCs w:val="21"/>
          <w:u w:val="single"/>
        </w:rPr>
        <w:t>③安全文明施工费按照《重庆市建设工程安全文明施工费计取及使用管理规定》（渝建发〔2014〕25号）、《重庆市住房和城乡建设委员会关于调整建设施工现场形象品质提升安全文明施工费计取的通知》（渝建管〔2020〕97号）、《重庆市建设工程费用定额》（CQFYDE-2018）、《重庆市城乡建设委员会关于适用增值税新税率调整建设工程计价依据的通知》（渝建〔2019〕143号）的规定进行结算</w:t>
      </w:r>
      <w:r>
        <w:rPr>
          <w:rFonts w:hint="eastAsia" w:ascii="宋体" w:hAnsi="宋体"/>
          <w:szCs w:val="21"/>
        </w:rPr>
        <w:t>。</w:t>
      </w:r>
    </w:p>
    <w:p>
      <w:pPr>
        <w:tabs>
          <w:tab w:val="left" w:pos="711"/>
          <w:tab w:val="left" w:pos="2580"/>
        </w:tabs>
        <w:spacing w:line="360" w:lineRule="auto"/>
        <w:ind w:right="105" w:rightChars="50" w:firstLine="420" w:firstLineChars="200"/>
        <w:jc w:val="left"/>
        <w:textAlignment w:val="baseline"/>
        <w:rPr>
          <w:rFonts w:ascii="宋体" w:hAnsi="宋体"/>
          <w:szCs w:val="21"/>
        </w:rPr>
      </w:pPr>
      <w:r>
        <w:rPr>
          <w:rFonts w:hint="eastAsia" w:ascii="宋体" w:hAnsi="宋体"/>
          <w:szCs w:val="21"/>
        </w:rPr>
        <w:t>（3）其他项目：</w:t>
      </w:r>
    </w:p>
    <w:p>
      <w:pPr>
        <w:spacing w:line="360" w:lineRule="auto"/>
        <w:ind w:right="105" w:rightChars="50" w:firstLine="420" w:firstLineChars="200"/>
        <w:jc w:val="left"/>
        <w:rPr>
          <w:rFonts w:ascii="宋体" w:hAnsi="宋体"/>
          <w:szCs w:val="21"/>
        </w:rPr>
      </w:pPr>
      <w:r>
        <w:rPr>
          <w:rFonts w:hint="eastAsia" w:ascii="宋体" w:hAnsi="宋体"/>
          <w:szCs w:val="21"/>
        </w:rPr>
        <w:t>①材料（工程设备）暂估价：</w:t>
      </w:r>
      <w:r>
        <w:rPr>
          <w:rFonts w:hint="eastAsia" w:ascii="宋体" w:hAnsi="宋体"/>
          <w:szCs w:val="21"/>
          <w:u w:val="single"/>
        </w:rPr>
        <w:t>按照第12.3.1项〔计量原则〕约定及对应定额消耗量确定的数量乘以监理人、跟审单位、发包人根据市场行情认质核价确定的价格进行结算</w:t>
      </w:r>
      <w:r>
        <w:rPr>
          <w:rFonts w:hint="eastAsia" w:ascii="宋体" w:hAnsi="宋体"/>
          <w:szCs w:val="21"/>
        </w:rPr>
        <w:t>。</w:t>
      </w:r>
    </w:p>
    <w:p>
      <w:pPr>
        <w:spacing w:line="360" w:lineRule="auto"/>
        <w:ind w:right="105" w:rightChars="50" w:firstLine="420" w:firstLineChars="200"/>
        <w:jc w:val="left"/>
        <w:rPr>
          <w:rFonts w:ascii="宋体" w:hAnsi="宋体"/>
          <w:szCs w:val="21"/>
        </w:rPr>
      </w:pPr>
      <w:r>
        <w:rPr>
          <w:rFonts w:hint="eastAsia" w:ascii="宋体" w:hAnsi="宋体"/>
          <w:szCs w:val="21"/>
        </w:rPr>
        <w:t>②专业工程暂估价：</w:t>
      </w:r>
    </w:p>
    <w:p>
      <w:pPr>
        <w:spacing w:line="360" w:lineRule="auto"/>
        <w:ind w:right="105" w:rightChars="50" w:firstLine="420" w:firstLineChars="200"/>
        <w:jc w:val="left"/>
        <w:rPr>
          <w:rFonts w:ascii="宋体" w:hAnsi="宋体"/>
          <w:szCs w:val="21"/>
        </w:rPr>
      </w:pPr>
      <w:r>
        <w:rPr>
          <w:rFonts w:hint="eastAsia" w:ascii="宋体" w:hAnsi="宋体"/>
          <w:szCs w:val="21"/>
          <w:u w:val="single"/>
        </w:rPr>
        <w:t>1）对于不属于依法必须招标的暂估价项目：按发包人审定的价格进行结算</w:t>
      </w:r>
      <w:r>
        <w:rPr>
          <w:rFonts w:hint="eastAsia" w:ascii="宋体" w:hAnsi="宋体"/>
          <w:szCs w:val="21"/>
        </w:rPr>
        <w:t>。</w:t>
      </w:r>
    </w:p>
    <w:p>
      <w:pPr>
        <w:spacing w:line="360" w:lineRule="auto"/>
        <w:ind w:right="105" w:rightChars="50" w:firstLine="420" w:firstLineChars="200"/>
        <w:jc w:val="left"/>
        <w:rPr>
          <w:rFonts w:ascii="宋体" w:hAnsi="宋体"/>
          <w:szCs w:val="21"/>
        </w:rPr>
      </w:pPr>
      <w:r>
        <w:rPr>
          <w:rFonts w:hint="eastAsia" w:ascii="宋体" w:hAnsi="宋体"/>
          <w:szCs w:val="21"/>
          <w:u w:val="single"/>
        </w:rPr>
        <w:t>2）对于依法必须招标的暂估价项目：达到招标规模标准的暂估价内容，包括专业工程暂估价和材料设备暂估价均应招标确定，并按暂估价招标文件约定结算</w:t>
      </w:r>
      <w:r>
        <w:rPr>
          <w:rFonts w:hint="eastAsia" w:ascii="宋体" w:hAnsi="宋体"/>
          <w:szCs w:val="21"/>
        </w:rPr>
        <w:t>。</w:t>
      </w:r>
    </w:p>
    <w:p>
      <w:pPr>
        <w:spacing w:line="360" w:lineRule="auto"/>
        <w:ind w:right="105" w:rightChars="50" w:firstLine="420" w:firstLineChars="200"/>
        <w:jc w:val="left"/>
        <w:rPr>
          <w:rFonts w:ascii="宋体" w:hAnsi="宋体"/>
          <w:szCs w:val="21"/>
        </w:rPr>
      </w:pPr>
      <w:r>
        <w:rPr>
          <w:rFonts w:hint="eastAsia" w:ascii="宋体" w:hAnsi="宋体"/>
          <w:szCs w:val="21"/>
          <w:u w:val="single"/>
        </w:rPr>
        <w:t>3）总承包服务费：总承包服务费包干使用，结算时不作调整</w:t>
      </w:r>
      <w:r>
        <w:rPr>
          <w:rFonts w:hint="eastAsia" w:ascii="宋体" w:hAnsi="宋体"/>
          <w:szCs w:val="21"/>
        </w:rPr>
        <w:t>。</w:t>
      </w:r>
    </w:p>
    <w:p>
      <w:pPr>
        <w:tabs>
          <w:tab w:val="left" w:pos="711"/>
          <w:tab w:val="left" w:pos="2580"/>
        </w:tabs>
        <w:spacing w:line="360" w:lineRule="auto"/>
        <w:ind w:right="105" w:rightChars="50" w:firstLine="420" w:firstLineChars="200"/>
        <w:jc w:val="left"/>
        <w:textAlignment w:val="baseline"/>
        <w:rPr>
          <w:rFonts w:ascii="宋体" w:hAnsi="宋体"/>
          <w:szCs w:val="21"/>
        </w:rPr>
      </w:pPr>
      <w:r>
        <w:rPr>
          <w:rFonts w:hint="eastAsia" w:ascii="宋体" w:hAnsi="宋体"/>
          <w:szCs w:val="21"/>
        </w:rPr>
        <w:t>（4）价格调整：</w:t>
      </w:r>
      <w:r>
        <w:rPr>
          <w:rFonts w:hint="eastAsia" w:ascii="宋体" w:hAnsi="宋体"/>
          <w:szCs w:val="21"/>
          <w:u w:val="single"/>
        </w:rPr>
        <w:t>按照第11条〔价格调整〕约定约定执行</w:t>
      </w:r>
      <w:r>
        <w:rPr>
          <w:rFonts w:hint="eastAsia" w:ascii="宋体" w:hAnsi="宋体"/>
          <w:szCs w:val="21"/>
        </w:rPr>
        <w:t>。</w:t>
      </w:r>
    </w:p>
    <w:p>
      <w:pPr>
        <w:tabs>
          <w:tab w:val="left" w:pos="711"/>
          <w:tab w:val="left" w:pos="2580"/>
        </w:tabs>
        <w:spacing w:line="360" w:lineRule="auto"/>
        <w:ind w:right="105" w:rightChars="50" w:firstLine="420" w:firstLineChars="200"/>
        <w:jc w:val="left"/>
        <w:textAlignment w:val="baseline"/>
        <w:rPr>
          <w:rFonts w:ascii="宋体" w:hAnsi="宋体"/>
          <w:szCs w:val="21"/>
          <w:u w:val="single"/>
        </w:rPr>
      </w:pPr>
      <w:r>
        <w:rPr>
          <w:rFonts w:hint="eastAsia" w:ascii="宋体" w:hAnsi="宋体"/>
          <w:szCs w:val="21"/>
        </w:rPr>
        <w:t>（5）工程变更、索赔与现场签证：</w:t>
      </w:r>
    </w:p>
    <w:p>
      <w:pPr>
        <w:tabs>
          <w:tab w:val="left" w:pos="711"/>
          <w:tab w:val="left" w:pos="2580"/>
        </w:tabs>
        <w:spacing w:line="360" w:lineRule="auto"/>
        <w:ind w:right="105" w:rightChars="50" w:firstLine="420" w:firstLineChars="200"/>
        <w:jc w:val="left"/>
        <w:textAlignment w:val="baseline"/>
        <w:rPr>
          <w:rFonts w:ascii="宋体" w:hAnsi="宋体"/>
          <w:szCs w:val="21"/>
          <w:u w:val="single"/>
        </w:rPr>
      </w:pPr>
      <w:r>
        <w:rPr>
          <w:rFonts w:hint="eastAsia" w:ascii="宋体" w:hAnsi="宋体"/>
          <w:szCs w:val="21"/>
        </w:rPr>
        <w:t>1）工程变更：按照第10.4.1项〔变更估价原则〕约定确定为总价包干的，按审定包干总价计入结算；其余项目按照有效的竣工结算资料和第12.3.1项〔计量原则〕约定确定的工程量乘以相应的按照第10.4.1项〔变更估价原则〕约定确定综合单价来确定该部分结算价。</w:t>
      </w:r>
    </w:p>
    <w:p>
      <w:pPr>
        <w:tabs>
          <w:tab w:val="left" w:pos="711"/>
          <w:tab w:val="left" w:pos="2580"/>
        </w:tabs>
        <w:spacing w:line="360" w:lineRule="auto"/>
        <w:ind w:right="105" w:rightChars="50" w:firstLine="420" w:firstLineChars="200"/>
        <w:jc w:val="left"/>
        <w:textAlignment w:val="baseline"/>
        <w:rPr>
          <w:rFonts w:ascii="宋体" w:hAnsi="宋体"/>
          <w:szCs w:val="21"/>
          <w:u w:val="single"/>
        </w:rPr>
      </w:pPr>
      <w:r>
        <w:rPr>
          <w:rFonts w:hint="eastAsia" w:ascii="宋体" w:hAnsi="宋体"/>
          <w:szCs w:val="21"/>
        </w:rPr>
        <w:t>2）索赔：按照第10.4.1项〔变更估价原则〕和第14.2.1项〔竣工结算办法〕约定执行。</w:t>
      </w:r>
    </w:p>
    <w:p>
      <w:pPr>
        <w:tabs>
          <w:tab w:val="left" w:pos="711"/>
          <w:tab w:val="left" w:pos="2580"/>
        </w:tabs>
        <w:spacing w:line="360" w:lineRule="auto"/>
        <w:ind w:right="105" w:rightChars="50" w:firstLine="420" w:firstLineChars="200"/>
        <w:jc w:val="left"/>
        <w:textAlignment w:val="baseline"/>
        <w:rPr>
          <w:rFonts w:ascii="宋体" w:hAnsi="宋体"/>
          <w:szCs w:val="21"/>
          <w:u w:val="single"/>
        </w:rPr>
      </w:pPr>
      <w:r>
        <w:rPr>
          <w:rFonts w:hint="eastAsia" w:ascii="宋体" w:hAnsi="宋体"/>
          <w:szCs w:val="21"/>
        </w:rPr>
        <w:t>3）现场签证：按照第10.4.1项〔变更估价原则〕和第14.2.1项〔竣工结算办法〕约定执行。</w:t>
      </w:r>
    </w:p>
    <w:p>
      <w:pPr>
        <w:tabs>
          <w:tab w:val="left" w:pos="711"/>
          <w:tab w:val="left" w:pos="2580"/>
        </w:tabs>
        <w:spacing w:line="360" w:lineRule="auto"/>
        <w:ind w:right="105" w:rightChars="50" w:firstLine="420" w:firstLineChars="200"/>
        <w:jc w:val="left"/>
        <w:textAlignment w:val="baseline"/>
        <w:rPr>
          <w:rFonts w:ascii="宋体" w:hAnsi="宋体"/>
          <w:szCs w:val="21"/>
          <w:u w:val="single"/>
        </w:rPr>
      </w:pPr>
      <w:r>
        <w:rPr>
          <w:rFonts w:hint="eastAsia" w:ascii="宋体" w:hAnsi="宋体"/>
          <w:szCs w:val="21"/>
        </w:rPr>
        <w:t>（6）奖励、罚金、违约金及其他费用：</w:t>
      </w:r>
      <w:r>
        <w:rPr>
          <w:rFonts w:hint="eastAsia" w:ascii="宋体" w:hAnsi="宋体"/>
          <w:szCs w:val="21"/>
          <w:u w:val="single"/>
        </w:rPr>
        <w:t>按实进行结算</w:t>
      </w:r>
      <w:r>
        <w:rPr>
          <w:rFonts w:hint="eastAsia" w:ascii="宋体" w:hAnsi="宋体"/>
          <w:szCs w:val="21"/>
        </w:rPr>
        <w:t>。</w:t>
      </w:r>
    </w:p>
    <w:p>
      <w:pPr>
        <w:tabs>
          <w:tab w:val="left" w:pos="711"/>
          <w:tab w:val="left" w:pos="2580"/>
        </w:tabs>
        <w:spacing w:line="360" w:lineRule="auto"/>
        <w:ind w:right="105" w:rightChars="50" w:firstLine="420" w:firstLineChars="200"/>
        <w:jc w:val="left"/>
        <w:textAlignment w:val="baseline"/>
        <w:rPr>
          <w:rFonts w:ascii="宋体" w:hAnsi="宋体"/>
          <w:szCs w:val="21"/>
          <w:u w:val="single"/>
        </w:rPr>
      </w:pPr>
      <w:r>
        <w:rPr>
          <w:rFonts w:hint="eastAsia" w:ascii="宋体" w:hAnsi="宋体"/>
          <w:szCs w:val="21"/>
        </w:rPr>
        <w:t>（7）规费：已标价工程量清单中规费费用按《重庆市建设工程费用定额》（CQFYDE-2018）执行。</w:t>
      </w:r>
    </w:p>
    <w:p>
      <w:pPr>
        <w:tabs>
          <w:tab w:val="left" w:pos="711"/>
          <w:tab w:val="left" w:pos="2580"/>
        </w:tabs>
        <w:spacing w:line="360" w:lineRule="auto"/>
        <w:ind w:right="105" w:rightChars="50" w:firstLine="420" w:firstLineChars="200"/>
        <w:jc w:val="left"/>
        <w:textAlignment w:val="baseline"/>
        <w:rPr>
          <w:rFonts w:ascii="宋体" w:hAnsi="宋体"/>
          <w:szCs w:val="21"/>
          <w:u w:val="single"/>
        </w:rPr>
      </w:pPr>
      <w:r>
        <w:rPr>
          <w:rFonts w:hint="eastAsia" w:ascii="宋体" w:hAnsi="宋体"/>
          <w:szCs w:val="21"/>
        </w:rPr>
        <w:t>（8）税金：包含增值税、城市维护建设税、教育费附加、地方教育附加以及环境保护税。其中增值税按《重庆市建设工程费用定额》（CQFYDE-2018）、《重庆市城乡建设委员会关于适用增值税新税率调整建设工程计价依据的通知》（渝建〔2019〕143号）规定执行，环境保护税按实结算。</w:t>
      </w:r>
    </w:p>
    <w:p>
      <w:pPr>
        <w:spacing w:line="360" w:lineRule="auto"/>
        <w:ind w:right="105" w:rightChars="50" w:firstLine="420" w:firstLineChars="200"/>
        <w:jc w:val="left"/>
        <w:rPr>
          <w:rFonts w:ascii="宋体" w:hAnsi="宋体"/>
          <w:szCs w:val="21"/>
        </w:rPr>
      </w:pPr>
      <w:r>
        <w:rPr>
          <w:rFonts w:hint="eastAsia" w:ascii="宋体" w:hAnsi="宋体"/>
          <w:szCs w:val="21"/>
        </w:rPr>
        <w:t>14.2.1.3竣工结算价</w:t>
      </w:r>
    </w:p>
    <w:p>
      <w:pPr>
        <w:tabs>
          <w:tab w:val="left" w:pos="711"/>
          <w:tab w:val="left" w:pos="2580"/>
        </w:tabs>
        <w:spacing w:line="360" w:lineRule="auto"/>
        <w:ind w:right="105" w:rightChars="50" w:firstLine="420" w:firstLineChars="200"/>
        <w:jc w:val="left"/>
        <w:textAlignment w:val="baseline"/>
        <w:rPr>
          <w:rFonts w:ascii="宋体" w:hAnsi="宋体"/>
          <w:szCs w:val="21"/>
          <w:u w:val="single"/>
        </w:rPr>
      </w:pPr>
      <w:bookmarkStart w:id="1486" w:name="_Hlk528660512"/>
      <w:r>
        <w:rPr>
          <w:rFonts w:hint="eastAsia" w:ascii="宋体" w:hAnsi="宋体"/>
          <w:szCs w:val="21"/>
          <w:u w:val="single"/>
        </w:rPr>
        <w:t>以发包人会同跟审单位、监理人、承包人根据有效资料共同确定竣工结算金额作为合同竣工结算价</w:t>
      </w:r>
      <w:r>
        <w:rPr>
          <w:rFonts w:hint="eastAsia" w:ascii="宋体" w:hAnsi="宋体"/>
          <w:szCs w:val="21"/>
        </w:rPr>
        <w:t>。</w:t>
      </w:r>
    </w:p>
    <w:bookmarkEnd w:id="1486"/>
    <w:p>
      <w:pPr>
        <w:spacing w:line="360" w:lineRule="auto"/>
        <w:ind w:right="105" w:rightChars="50" w:firstLine="420" w:firstLineChars="200"/>
        <w:jc w:val="left"/>
        <w:rPr>
          <w:rFonts w:ascii="宋体" w:hAnsi="宋体"/>
          <w:szCs w:val="21"/>
        </w:rPr>
      </w:pPr>
      <w:r>
        <w:rPr>
          <w:rFonts w:hint="eastAsia" w:ascii="宋体" w:hAnsi="宋体"/>
          <w:szCs w:val="21"/>
        </w:rPr>
        <w:t>14.2.2 竣工结算审核期限</w:t>
      </w:r>
    </w:p>
    <w:p>
      <w:pPr>
        <w:spacing w:line="360" w:lineRule="auto"/>
        <w:ind w:right="105" w:rightChars="50" w:firstLine="420" w:firstLineChars="200"/>
        <w:jc w:val="left"/>
        <w:rPr>
          <w:rFonts w:ascii="宋体" w:hAnsi="宋体"/>
          <w:szCs w:val="21"/>
        </w:rPr>
      </w:pPr>
      <w:r>
        <w:rPr>
          <w:rFonts w:hint="eastAsia" w:ascii="宋体" w:hAnsi="宋体"/>
          <w:szCs w:val="21"/>
        </w:rPr>
        <w:t>监理人审核竣工付款申请单的期限：</w:t>
      </w:r>
      <w:r>
        <w:rPr>
          <w:rFonts w:hint="eastAsia" w:ascii="宋体" w:hAnsi="宋体"/>
          <w:szCs w:val="21"/>
          <w:u w:val="single"/>
        </w:rPr>
        <w:t>不超过  日</w:t>
      </w:r>
      <w:r>
        <w:rPr>
          <w:rFonts w:hint="eastAsia" w:ascii="宋体" w:hAnsi="宋体"/>
          <w:szCs w:val="21"/>
        </w:rPr>
        <w:t>。</w:t>
      </w:r>
    </w:p>
    <w:p>
      <w:pPr>
        <w:spacing w:line="360" w:lineRule="auto"/>
        <w:ind w:right="105" w:rightChars="50" w:firstLine="420" w:firstLineChars="200"/>
        <w:jc w:val="left"/>
        <w:rPr>
          <w:rFonts w:ascii="宋体" w:hAnsi="宋体"/>
          <w:szCs w:val="21"/>
        </w:rPr>
      </w:pPr>
      <w:r>
        <w:rPr>
          <w:rFonts w:hint="eastAsia" w:ascii="宋体" w:hAnsi="宋体"/>
          <w:szCs w:val="21"/>
        </w:rPr>
        <w:t>发包人审核竣工付款申请单的期限：</w:t>
      </w:r>
      <w:r>
        <w:rPr>
          <w:rFonts w:hint="eastAsia" w:ascii="宋体" w:hAnsi="宋体"/>
          <w:szCs w:val="21"/>
          <w:u w:val="single"/>
        </w:rPr>
        <w:t>不超过  日</w:t>
      </w:r>
      <w:r>
        <w:rPr>
          <w:rFonts w:hint="eastAsia" w:ascii="宋体" w:hAnsi="宋体"/>
          <w:szCs w:val="21"/>
        </w:rPr>
        <w:t>。</w:t>
      </w:r>
    </w:p>
    <w:p>
      <w:pPr>
        <w:spacing w:line="360" w:lineRule="auto"/>
        <w:ind w:right="105" w:rightChars="50" w:firstLine="420" w:firstLineChars="200"/>
        <w:jc w:val="left"/>
        <w:rPr>
          <w:rFonts w:ascii="宋体" w:hAnsi="宋体"/>
          <w:szCs w:val="21"/>
        </w:rPr>
      </w:pPr>
      <w:r>
        <w:rPr>
          <w:rFonts w:hint="eastAsia" w:ascii="宋体" w:hAnsi="宋体"/>
          <w:szCs w:val="21"/>
        </w:rPr>
        <w:t>发包人完成竣工付款的期限：</w:t>
      </w:r>
      <w:r>
        <w:rPr>
          <w:rFonts w:hint="eastAsia" w:ascii="宋体" w:hAnsi="宋体"/>
          <w:szCs w:val="21"/>
          <w:u w:val="single"/>
        </w:rPr>
        <w:t>完成竣工付款申请单审核后  天内</w:t>
      </w:r>
      <w:r>
        <w:rPr>
          <w:rFonts w:hint="eastAsia" w:ascii="宋体" w:hAnsi="宋体"/>
          <w:szCs w:val="21"/>
        </w:rPr>
        <w:t>。</w:t>
      </w:r>
    </w:p>
    <w:p>
      <w:pPr>
        <w:spacing w:line="360" w:lineRule="auto"/>
        <w:ind w:right="105" w:rightChars="50" w:firstLine="420" w:firstLineChars="200"/>
        <w:jc w:val="left"/>
        <w:rPr>
          <w:rFonts w:ascii="宋体" w:hAnsi="宋体"/>
          <w:szCs w:val="21"/>
        </w:rPr>
      </w:pPr>
      <w:r>
        <w:rPr>
          <w:rFonts w:hint="eastAsia" w:ascii="宋体" w:hAnsi="宋体"/>
          <w:szCs w:val="21"/>
        </w:rPr>
        <w:t>关于竣工付款证书异议部分复核的方式和程序： 按照第20条〔争议解决〕约定处理。</w:t>
      </w:r>
    </w:p>
    <w:p>
      <w:pPr>
        <w:pStyle w:val="7"/>
        <w:spacing w:before="0" w:beforeAutospacing="0" w:after="0" w:afterAutospacing="0" w:line="360" w:lineRule="auto"/>
        <w:ind w:firstLine="422" w:firstLineChars="200"/>
        <w:rPr>
          <w:sz w:val="21"/>
          <w:szCs w:val="21"/>
        </w:rPr>
      </w:pPr>
      <w:bookmarkStart w:id="1487" w:name="_Toc532375659"/>
      <w:bookmarkStart w:id="1488" w:name="_Toc532377396"/>
      <w:r>
        <w:rPr>
          <w:rFonts w:hint="eastAsia"/>
          <w:sz w:val="21"/>
          <w:szCs w:val="21"/>
        </w:rPr>
        <w:t>14.4 最终结清</w:t>
      </w:r>
      <w:bookmarkEnd w:id="1487"/>
      <w:bookmarkEnd w:id="1488"/>
    </w:p>
    <w:p>
      <w:pPr>
        <w:spacing w:line="360" w:lineRule="auto"/>
        <w:ind w:right="105" w:rightChars="50" w:firstLine="420" w:firstLineChars="200"/>
        <w:jc w:val="left"/>
        <w:rPr>
          <w:rFonts w:ascii="宋体" w:hAnsi="宋体"/>
          <w:szCs w:val="21"/>
        </w:rPr>
      </w:pPr>
      <w:r>
        <w:rPr>
          <w:rFonts w:hint="eastAsia" w:ascii="宋体" w:hAnsi="宋体"/>
          <w:szCs w:val="21"/>
        </w:rPr>
        <w:t>14.4.1 最终结清申请单</w:t>
      </w:r>
    </w:p>
    <w:p>
      <w:pPr>
        <w:spacing w:line="360" w:lineRule="auto"/>
        <w:ind w:right="105" w:rightChars="50" w:firstLine="420" w:firstLineChars="200"/>
        <w:jc w:val="left"/>
        <w:rPr>
          <w:rFonts w:ascii="宋体" w:hAnsi="宋体"/>
          <w:szCs w:val="21"/>
        </w:rPr>
      </w:pPr>
      <w:r>
        <w:rPr>
          <w:rFonts w:hint="eastAsia" w:ascii="宋体" w:hAnsi="宋体"/>
          <w:szCs w:val="21"/>
        </w:rPr>
        <w:t>承包人提交最终结清申请单的份数：</w:t>
      </w:r>
      <w:r>
        <w:rPr>
          <w:rFonts w:hint="eastAsia" w:ascii="宋体" w:hAnsi="宋体"/>
          <w:szCs w:val="21"/>
          <w:u w:val="single"/>
        </w:rPr>
        <w:t>3份</w:t>
      </w:r>
      <w:r>
        <w:rPr>
          <w:rFonts w:hint="eastAsia" w:ascii="宋体" w:hAnsi="宋体"/>
          <w:szCs w:val="21"/>
        </w:rPr>
        <w:t>。</w:t>
      </w:r>
    </w:p>
    <w:p>
      <w:pPr>
        <w:spacing w:line="360" w:lineRule="auto"/>
        <w:ind w:right="105" w:rightChars="50" w:firstLine="420" w:firstLineChars="200"/>
        <w:jc w:val="left"/>
        <w:rPr>
          <w:rFonts w:ascii="宋体" w:hAnsi="宋体"/>
          <w:szCs w:val="21"/>
        </w:rPr>
      </w:pPr>
      <w:r>
        <w:rPr>
          <w:rFonts w:hint="eastAsia" w:ascii="宋体" w:hAnsi="宋体"/>
          <w:szCs w:val="21"/>
        </w:rPr>
        <w:t>承包人提交最终结算申请单的期限：</w:t>
      </w:r>
      <w:r>
        <w:rPr>
          <w:rFonts w:hint="eastAsia" w:ascii="宋体" w:hAnsi="宋体"/>
          <w:szCs w:val="21"/>
          <w:u w:val="single"/>
        </w:rPr>
        <w:t>缺陷责任期终止证书颁发后14天内</w:t>
      </w:r>
      <w:r>
        <w:rPr>
          <w:rFonts w:hint="eastAsia" w:ascii="宋体" w:hAnsi="宋体"/>
          <w:szCs w:val="21"/>
        </w:rPr>
        <w:t>。</w:t>
      </w:r>
    </w:p>
    <w:p>
      <w:pPr>
        <w:spacing w:line="360" w:lineRule="auto"/>
        <w:ind w:right="105" w:rightChars="50" w:firstLine="420" w:firstLineChars="200"/>
        <w:jc w:val="left"/>
        <w:rPr>
          <w:rFonts w:ascii="宋体" w:hAnsi="宋体"/>
          <w:szCs w:val="21"/>
        </w:rPr>
      </w:pPr>
      <w:r>
        <w:rPr>
          <w:rFonts w:hint="eastAsia" w:ascii="宋体" w:hAnsi="宋体"/>
          <w:szCs w:val="21"/>
        </w:rPr>
        <w:t>14.4.2 最终结清证书和支付</w:t>
      </w:r>
    </w:p>
    <w:p>
      <w:pPr>
        <w:spacing w:line="360" w:lineRule="auto"/>
        <w:ind w:right="105" w:rightChars="50" w:firstLine="420" w:firstLineChars="200"/>
        <w:jc w:val="left"/>
        <w:rPr>
          <w:rFonts w:ascii="宋体" w:hAnsi="宋体"/>
          <w:szCs w:val="21"/>
        </w:rPr>
      </w:pPr>
      <w:r>
        <w:rPr>
          <w:rFonts w:hint="eastAsia" w:ascii="宋体" w:hAnsi="宋体"/>
          <w:szCs w:val="21"/>
        </w:rPr>
        <w:t>（1）发包人完成最终结清申请单的审批并颁发最终结清证书的期限：</w:t>
      </w:r>
      <w:r>
        <w:rPr>
          <w:rFonts w:hint="eastAsia" w:ascii="宋体" w:hAnsi="宋体"/>
          <w:szCs w:val="21"/>
          <w:u w:val="single"/>
        </w:rPr>
        <w:t>发包人收到完整资料后14天内完成审批并颁发最终结清证书</w:t>
      </w:r>
      <w:r>
        <w:rPr>
          <w:rFonts w:hint="eastAsia" w:ascii="宋体" w:hAnsi="宋体"/>
          <w:szCs w:val="21"/>
        </w:rPr>
        <w:t>。</w:t>
      </w:r>
    </w:p>
    <w:p>
      <w:pPr>
        <w:spacing w:line="360" w:lineRule="auto"/>
        <w:ind w:right="105" w:rightChars="50" w:firstLine="420" w:firstLineChars="200"/>
        <w:jc w:val="left"/>
        <w:rPr>
          <w:rFonts w:ascii="宋体" w:hAnsi="宋体"/>
          <w:szCs w:val="21"/>
        </w:rPr>
      </w:pPr>
      <w:r>
        <w:rPr>
          <w:rFonts w:hint="eastAsia" w:ascii="宋体" w:hAnsi="宋体"/>
          <w:szCs w:val="21"/>
        </w:rPr>
        <w:t>（2）发包人完成支付的期限：</w:t>
      </w:r>
      <w:r>
        <w:rPr>
          <w:rFonts w:hint="eastAsia" w:ascii="宋体" w:hAnsi="宋体"/>
          <w:szCs w:val="21"/>
          <w:u w:val="single"/>
        </w:rPr>
        <w:t>颁发最终结清证书的14天内</w:t>
      </w:r>
      <w:r>
        <w:rPr>
          <w:rFonts w:hint="eastAsia" w:ascii="宋体" w:hAnsi="宋体"/>
          <w:szCs w:val="21"/>
        </w:rPr>
        <w:t>。</w:t>
      </w:r>
    </w:p>
    <w:p>
      <w:pPr>
        <w:spacing w:line="360" w:lineRule="auto"/>
        <w:ind w:right="105" w:rightChars="50" w:firstLine="420" w:firstLineChars="200"/>
        <w:jc w:val="left"/>
        <w:rPr>
          <w:rFonts w:ascii="宋体" w:hAnsi="宋体"/>
          <w:szCs w:val="21"/>
        </w:rPr>
      </w:pPr>
      <w:r>
        <w:rPr>
          <w:rFonts w:hint="eastAsia" w:ascii="宋体" w:hAnsi="宋体"/>
          <w:szCs w:val="21"/>
        </w:rPr>
        <w:t>本条补充14.5款：</w:t>
      </w:r>
    </w:p>
    <w:bookmarkEnd w:id="1448"/>
    <w:bookmarkEnd w:id="1449"/>
    <w:bookmarkEnd w:id="1450"/>
    <w:bookmarkEnd w:id="1451"/>
    <w:bookmarkEnd w:id="1452"/>
    <w:bookmarkEnd w:id="1453"/>
    <w:bookmarkEnd w:id="1454"/>
    <w:bookmarkEnd w:id="1455"/>
    <w:p>
      <w:pPr>
        <w:pStyle w:val="7"/>
        <w:spacing w:before="0" w:beforeAutospacing="0" w:after="0" w:afterAutospacing="0" w:line="360" w:lineRule="auto"/>
        <w:ind w:firstLine="422" w:firstLineChars="200"/>
        <w:rPr>
          <w:sz w:val="21"/>
          <w:szCs w:val="21"/>
        </w:rPr>
      </w:pPr>
      <w:bookmarkStart w:id="1489" w:name="_Toc532375660"/>
      <w:bookmarkStart w:id="1490" w:name="_Toc532377397"/>
      <w:r>
        <w:rPr>
          <w:rFonts w:hint="eastAsia"/>
          <w:sz w:val="21"/>
          <w:szCs w:val="21"/>
        </w:rPr>
        <w:t>14.5 逾期办理或不配合办理竣工结算的处理</w:t>
      </w:r>
      <w:bookmarkEnd w:id="1489"/>
      <w:bookmarkEnd w:id="1490"/>
    </w:p>
    <w:p>
      <w:pPr>
        <w:spacing w:line="360" w:lineRule="auto"/>
        <w:ind w:right="105" w:rightChars="50" w:firstLine="420" w:firstLineChars="200"/>
        <w:jc w:val="left"/>
        <w:rPr>
          <w:rFonts w:ascii="宋体" w:hAnsi="宋体"/>
          <w:szCs w:val="21"/>
        </w:rPr>
      </w:pPr>
      <w:r>
        <w:rPr>
          <w:rFonts w:hint="eastAsia" w:ascii="宋体" w:hAnsi="宋体"/>
          <w:szCs w:val="21"/>
        </w:rPr>
        <w:t>有下列情形之一的，视为承包人放弃与发包人共同办理竣工结算的权利，发包人有权会同跟审单位、监理人根据有效资料共同确定竣工结算金额。</w:t>
      </w:r>
    </w:p>
    <w:p>
      <w:pPr>
        <w:spacing w:line="360" w:lineRule="auto"/>
        <w:ind w:right="105" w:rightChars="50" w:firstLine="420" w:firstLineChars="200"/>
        <w:jc w:val="left"/>
        <w:rPr>
          <w:rFonts w:ascii="宋体" w:hAnsi="宋体"/>
          <w:szCs w:val="21"/>
        </w:rPr>
      </w:pPr>
      <w:r>
        <w:rPr>
          <w:rFonts w:hint="eastAsia" w:ascii="宋体" w:hAnsi="宋体"/>
          <w:szCs w:val="21"/>
        </w:rPr>
        <w:t>（1）承包人逾期未报送竣工结算资料，亦未获得发包人批准延期报送，经发包人两</w:t>
      </w:r>
      <w:bookmarkStart w:id="1491" w:name="_Hlk529133622"/>
      <w:r>
        <w:rPr>
          <w:rFonts w:hint="eastAsia" w:ascii="宋体" w:hAnsi="宋体"/>
          <w:szCs w:val="21"/>
        </w:rPr>
        <w:t>次书面催告仍未在限期内报送的</w:t>
      </w:r>
      <w:bookmarkEnd w:id="1491"/>
      <w:r>
        <w:rPr>
          <w:rFonts w:hint="eastAsia" w:ascii="宋体" w:hAnsi="宋体"/>
          <w:szCs w:val="21"/>
        </w:rPr>
        <w:t>；</w:t>
      </w:r>
    </w:p>
    <w:p>
      <w:pPr>
        <w:spacing w:line="360" w:lineRule="auto"/>
        <w:ind w:right="105" w:rightChars="50" w:firstLine="420" w:firstLineChars="200"/>
        <w:jc w:val="left"/>
        <w:rPr>
          <w:rFonts w:ascii="宋体" w:hAnsi="宋体"/>
          <w:szCs w:val="21"/>
        </w:rPr>
      </w:pPr>
      <w:r>
        <w:rPr>
          <w:rFonts w:hint="eastAsia" w:ascii="宋体" w:hAnsi="宋体"/>
          <w:szCs w:val="21"/>
        </w:rPr>
        <w:t>（2）承包人在接到监理人或发包人对竣工结算申请单提出的审核意见后，未在限期内按监理人或发包人提出的合理要求补充资料和（或）修改竣工结算资料，亦未获得发包人批准延期报送，经发包人两次书面催告仍未在限期内报送的；</w:t>
      </w:r>
    </w:p>
    <w:p>
      <w:pPr>
        <w:spacing w:line="360" w:lineRule="auto"/>
        <w:ind w:right="105" w:rightChars="50" w:firstLine="420" w:firstLineChars="200"/>
        <w:jc w:val="left"/>
        <w:rPr>
          <w:rFonts w:ascii="宋体" w:hAnsi="宋体"/>
          <w:szCs w:val="21"/>
        </w:rPr>
      </w:pPr>
      <w:r>
        <w:rPr>
          <w:rFonts w:hint="eastAsia" w:ascii="宋体" w:hAnsi="宋体"/>
          <w:szCs w:val="21"/>
        </w:rPr>
        <w:t>（3）承包人不配合发包人、跟审单位、监理人、发包人委托的工程造价咨询服务单位办理竣工结算的，经发包人两次书面函告仍未改正的。</w:t>
      </w:r>
    </w:p>
    <w:p>
      <w:pPr>
        <w:spacing w:line="360" w:lineRule="auto"/>
        <w:ind w:right="105" w:rightChars="50" w:firstLine="420" w:firstLineChars="200"/>
        <w:jc w:val="left"/>
        <w:rPr>
          <w:rFonts w:ascii="宋体" w:hAnsi="宋体"/>
          <w:szCs w:val="21"/>
        </w:rPr>
      </w:pPr>
      <w:r>
        <w:rPr>
          <w:rFonts w:hint="eastAsia" w:ascii="宋体" w:hAnsi="宋体"/>
          <w:szCs w:val="21"/>
        </w:rPr>
        <w:t>（4）</w:t>
      </w:r>
      <w:r>
        <w:rPr>
          <w:rFonts w:hint="eastAsia" w:ascii="宋体" w:hAnsi="宋体"/>
          <w:szCs w:val="21"/>
          <w:u w:val="single"/>
        </w:rPr>
        <w:t xml:space="preserve">        </w:t>
      </w:r>
      <w:r>
        <w:rPr>
          <w:rFonts w:hint="eastAsia" w:ascii="宋体" w:hAnsi="宋体"/>
          <w:szCs w:val="21"/>
        </w:rPr>
        <w:t>。</w:t>
      </w:r>
    </w:p>
    <w:p>
      <w:pPr>
        <w:spacing w:line="360" w:lineRule="auto"/>
        <w:ind w:right="105" w:rightChars="50" w:firstLine="420" w:firstLineChars="200"/>
        <w:jc w:val="left"/>
        <w:rPr>
          <w:rFonts w:ascii="宋体" w:hAnsi="宋体"/>
          <w:szCs w:val="21"/>
          <w:u w:val="single"/>
        </w:rPr>
      </w:pPr>
      <w:r>
        <w:rPr>
          <w:rFonts w:hint="eastAsia" w:ascii="宋体" w:hAnsi="宋体"/>
          <w:szCs w:val="21"/>
          <w:u w:val="single"/>
        </w:rPr>
        <w:t>发包人应在竣工结算定案表确定后28天内，以书面函件形式将竣工结算定案表函告承包人，该定案表自送达之日起生效。该书面函件应采用直接送达方式送达，双方应办理书面签收手续，承包人实际签收日期为送达之日；若承包人拒绝签收的，视为已经送达，以该书面函件载明的签发日期为送达之日</w:t>
      </w:r>
      <w:r>
        <w:rPr>
          <w:rFonts w:hint="eastAsia" w:ascii="宋体" w:hAnsi="宋体"/>
          <w:szCs w:val="21"/>
        </w:rPr>
        <w:t>。</w:t>
      </w:r>
    </w:p>
    <w:bookmarkEnd w:id="1156"/>
    <w:bookmarkEnd w:id="1157"/>
    <w:bookmarkEnd w:id="1158"/>
    <w:bookmarkEnd w:id="1159"/>
    <w:bookmarkEnd w:id="1160"/>
    <w:bookmarkEnd w:id="1161"/>
    <w:bookmarkEnd w:id="1162"/>
    <w:bookmarkEnd w:id="1163"/>
    <w:p>
      <w:pPr>
        <w:pStyle w:val="6"/>
        <w:spacing w:before="156" w:beforeLines="50" w:beforeAutospacing="0" w:after="156" w:afterLines="50" w:afterAutospacing="0" w:line="360" w:lineRule="auto"/>
        <w:jc w:val="both"/>
        <w:rPr>
          <w:bCs w:val="0"/>
          <w:kern w:val="2"/>
          <w:sz w:val="21"/>
          <w:szCs w:val="21"/>
        </w:rPr>
      </w:pPr>
      <w:bookmarkStart w:id="1492" w:name="_Toc532377398"/>
      <w:bookmarkStart w:id="1493" w:name="_Toc351203647"/>
      <w:bookmarkStart w:id="1494" w:name="_Toc532375661"/>
      <w:bookmarkStart w:id="1495" w:name="_Toc267251483"/>
      <w:bookmarkStart w:id="1496" w:name="_Toc280868717"/>
      <w:bookmarkStart w:id="1497" w:name="_Toc280868718"/>
      <w:r>
        <w:rPr>
          <w:rFonts w:hint="eastAsia"/>
          <w:kern w:val="2"/>
          <w:sz w:val="21"/>
          <w:szCs w:val="21"/>
        </w:rPr>
        <w:t>15. 缺陷责任期与保修</w:t>
      </w:r>
      <w:bookmarkEnd w:id="1492"/>
      <w:bookmarkEnd w:id="1493"/>
      <w:bookmarkEnd w:id="1494"/>
    </w:p>
    <w:bookmarkEnd w:id="1495"/>
    <w:p>
      <w:pPr>
        <w:pStyle w:val="7"/>
        <w:spacing w:before="0" w:beforeAutospacing="0" w:after="0" w:afterAutospacing="0" w:line="360" w:lineRule="auto"/>
        <w:ind w:firstLine="422" w:firstLineChars="200"/>
        <w:rPr>
          <w:sz w:val="21"/>
          <w:szCs w:val="21"/>
        </w:rPr>
      </w:pPr>
      <w:bookmarkStart w:id="1498" w:name="_Toc532375662"/>
      <w:bookmarkStart w:id="1499" w:name="_Toc532377399"/>
      <w:r>
        <w:rPr>
          <w:rFonts w:hint="eastAsia"/>
          <w:sz w:val="21"/>
          <w:szCs w:val="21"/>
        </w:rPr>
        <w:t>15.3 质量保证金</w:t>
      </w:r>
      <w:bookmarkEnd w:id="1498"/>
      <w:bookmarkEnd w:id="1499"/>
    </w:p>
    <w:p>
      <w:pPr>
        <w:spacing w:line="360" w:lineRule="auto"/>
        <w:ind w:right="105" w:rightChars="50" w:firstLine="420" w:firstLineChars="200"/>
        <w:jc w:val="left"/>
        <w:rPr>
          <w:rFonts w:ascii="宋体" w:hAnsi="宋体"/>
          <w:szCs w:val="21"/>
        </w:rPr>
      </w:pPr>
      <w:r>
        <w:rPr>
          <w:rFonts w:hint="eastAsia" w:ascii="宋体" w:hAnsi="宋体"/>
          <w:szCs w:val="21"/>
        </w:rPr>
        <w:t>15.3.1 承包人提供质量保证金的方式</w:t>
      </w:r>
    </w:p>
    <w:p>
      <w:pPr>
        <w:spacing w:line="360" w:lineRule="auto"/>
        <w:ind w:right="105" w:rightChars="50" w:firstLine="420" w:firstLineChars="200"/>
        <w:jc w:val="left"/>
        <w:rPr>
          <w:rFonts w:ascii="宋体" w:hAnsi="宋体"/>
          <w:szCs w:val="21"/>
        </w:rPr>
      </w:pPr>
      <w:r>
        <w:rPr>
          <w:rFonts w:hint="eastAsia" w:ascii="宋体" w:hAnsi="宋体"/>
          <w:szCs w:val="21"/>
        </w:rPr>
        <w:t>质量保证金采用以下第</w:t>
      </w:r>
      <w:r>
        <w:rPr>
          <w:rFonts w:hint="eastAsia" w:ascii="宋体" w:hAnsi="宋体"/>
          <w:szCs w:val="21"/>
          <w:u w:val="single"/>
        </w:rPr>
        <w:t xml:space="preserve">    </w:t>
      </w:r>
      <w:r>
        <w:rPr>
          <w:rFonts w:hint="eastAsia" w:ascii="宋体" w:hAnsi="宋体"/>
          <w:szCs w:val="21"/>
        </w:rPr>
        <w:t>种方式：</w:t>
      </w:r>
    </w:p>
    <w:p>
      <w:pPr>
        <w:spacing w:line="360" w:lineRule="auto"/>
        <w:ind w:right="105" w:rightChars="50" w:firstLine="420" w:firstLineChars="200"/>
        <w:jc w:val="left"/>
        <w:rPr>
          <w:rFonts w:ascii="宋体" w:hAnsi="宋体"/>
          <w:szCs w:val="21"/>
        </w:rPr>
      </w:pPr>
      <w:r>
        <w:rPr>
          <w:rFonts w:hint="eastAsia" w:ascii="宋体" w:hAnsi="宋体"/>
          <w:szCs w:val="21"/>
        </w:rPr>
        <w:t>（1）质量保证金保函</w:t>
      </w:r>
    </w:p>
    <w:p>
      <w:pPr>
        <w:spacing w:line="360" w:lineRule="auto"/>
        <w:ind w:right="105" w:rightChars="50" w:firstLine="420" w:firstLineChars="200"/>
        <w:jc w:val="left"/>
        <w:rPr>
          <w:rFonts w:ascii="宋体" w:hAnsi="宋体"/>
          <w:szCs w:val="21"/>
        </w:rPr>
      </w:pPr>
      <w:r>
        <w:rPr>
          <w:rFonts w:hint="eastAsia" w:ascii="宋体" w:hAnsi="宋体"/>
          <w:szCs w:val="21"/>
          <w:u w:val="single"/>
        </w:rPr>
        <w:t>1）按招标文件载明的格式或发包人认可的格式向发包人提交不可撤销的见索即付银行保函</w:t>
      </w:r>
      <w:r>
        <w:rPr>
          <w:rFonts w:hint="eastAsia" w:ascii="宋体" w:hAnsi="宋体"/>
          <w:szCs w:val="21"/>
        </w:rPr>
        <w:t>；</w:t>
      </w:r>
    </w:p>
    <w:p>
      <w:pPr>
        <w:spacing w:line="360" w:lineRule="auto"/>
        <w:ind w:right="105" w:rightChars="50" w:firstLine="420" w:firstLineChars="200"/>
        <w:jc w:val="left"/>
        <w:rPr>
          <w:rFonts w:ascii="宋体" w:hAnsi="宋体"/>
          <w:szCs w:val="21"/>
        </w:rPr>
      </w:pPr>
      <w:r>
        <w:rPr>
          <w:rFonts w:hint="eastAsia" w:ascii="宋体" w:hAnsi="宋体"/>
          <w:szCs w:val="21"/>
        </w:rPr>
        <w:t>2）出具保函的银行级别：    ；</w:t>
      </w:r>
    </w:p>
    <w:p>
      <w:pPr>
        <w:spacing w:line="360" w:lineRule="auto"/>
        <w:ind w:right="105" w:rightChars="50" w:firstLine="420" w:firstLineChars="200"/>
        <w:jc w:val="left"/>
        <w:rPr>
          <w:rFonts w:ascii="宋体" w:hAnsi="宋体"/>
          <w:szCs w:val="21"/>
        </w:rPr>
      </w:pPr>
      <w:r>
        <w:rPr>
          <w:rFonts w:hint="eastAsia" w:ascii="宋体" w:hAnsi="宋体"/>
          <w:szCs w:val="21"/>
        </w:rPr>
        <w:t>3）保函金额为：</w:t>
      </w:r>
      <w:r>
        <w:rPr>
          <w:rFonts w:hint="eastAsia" w:ascii="宋体" w:hAnsi="宋体"/>
          <w:szCs w:val="21"/>
          <w:u w:val="single"/>
        </w:rPr>
        <w:t xml:space="preserve">    </w:t>
      </w:r>
      <w:r>
        <w:rPr>
          <w:rFonts w:hint="eastAsia" w:ascii="宋体" w:hAnsi="宋体"/>
          <w:szCs w:val="21"/>
        </w:rPr>
        <w:t>。</w:t>
      </w:r>
    </w:p>
    <w:p>
      <w:pPr>
        <w:spacing w:line="360" w:lineRule="auto"/>
        <w:ind w:right="105" w:rightChars="50" w:firstLine="420" w:firstLineChars="200"/>
        <w:jc w:val="left"/>
        <w:rPr>
          <w:rFonts w:ascii="宋体" w:hAnsi="宋体"/>
          <w:szCs w:val="21"/>
        </w:rPr>
      </w:pPr>
      <w:r>
        <w:rPr>
          <w:rFonts w:hint="eastAsia" w:ascii="宋体" w:hAnsi="宋体"/>
          <w:szCs w:val="21"/>
        </w:rPr>
        <w:t>4）提交时间：</w:t>
      </w:r>
      <w:r>
        <w:rPr>
          <w:rFonts w:hint="eastAsia" w:ascii="宋体" w:hAnsi="宋体"/>
          <w:szCs w:val="21"/>
          <w:u w:val="single"/>
        </w:rPr>
        <w:t>工程竣工验收合格后14天内</w:t>
      </w:r>
      <w:r>
        <w:rPr>
          <w:rFonts w:hint="eastAsia" w:ascii="宋体" w:hAnsi="宋体"/>
          <w:szCs w:val="21"/>
        </w:rPr>
        <w:t>。</w:t>
      </w:r>
    </w:p>
    <w:p>
      <w:pPr>
        <w:spacing w:line="360" w:lineRule="auto"/>
        <w:ind w:right="105" w:rightChars="50" w:firstLine="420" w:firstLineChars="200"/>
        <w:jc w:val="left"/>
        <w:rPr>
          <w:rFonts w:ascii="宋体" w:hAnsi="宋体"/>
          <w:szCs w:val="21"/>
        </w:rPr>
      </w:pPr>
      <w:r>
        <w:rPr>
          <w:rFonts w:hint="eastAsia" w:ascii="宋体" w:hAnsi="宋体"/>
          <w:szCs w:val="21"/>
          <w:u w:val="single"/>
        </w:rPr>
        <w:t>承包人提交质量保证金保函的，发包人应同时退还（若有）扣留的作为质量保证金的工程价款、履约担保、低价风险担保；保函金额不得超过工程价款结算总额的3%</w:t>
      </w:r>
      <w:r>
        <w:rPr>
          <w:rFonts w:hint="eastAsia" w:ascii="宋体" w:hAnsi="宋体"/>
          <w:szCs w:val="21"/>
        </w:rPr>
        <w:t>。</w:t>
      </w:r>
    </w:p>
    <w:p>
      <w:pPr>
        <w:spacing w:line="360" w:lineRule="auto"/>
        <w:ind w:right="105" w:rightChars="50" w:firstLine="420" w:firstLineChars="200"/>
        <w:jc w:val="left"/>
        <w:rPr>
          <w:rFonts w:ascii="宋体" w:hAnsi="宋体"/>
          <w:szCs w:val="21"/>
        </w:rPr>
      </w:pPr>
      <w:r>
        <w:rPr>
          <w:rFonts w:hint="eastAsia" w:ascii="宋体" w:hAnsi="宋体"/>
          <w:szCs w:val="21"/>
        </w:rPr>
        <w:t>（2）竣工结算价的</w:t>
      </w:r>
      <w:r>
        <w:rPr>
          <w:rFonts w:hint="eastAsia" w:ascii="宋体" w:hAnsi="宋体"/>
          <w:szCs w:val="21"/>
          <w:u w:val="single"/>
        </w:rPr>
        <w:t xml:space="preserve"> 3% </w:t>
      </w:r>
      <w:r>
        <w:rPr>
          <w:rFonts w:hint="eastAsia" w:ascii="宋体" w:hAnsi="宋体"/>
          <w:szCs w:val="21"/>
        </w:rPr>
        <w:t>；</w:t>
      </w:r>
    </w:p>
    <w:p>
      <w:pPr>
        <w:spacing w:line="360" w:lineRule="auto"/>
        <w:ind w:right="105" w:rightChars="50" w:firstLine="420" w:firstLineChars="200"/>
        <w:jc w:val="left"/>
        <w:rPr>
          <w:rFonts w:ascii="宋体" w:hAnsi="宋体"/>
          <w:szCs w:val="21"/>
        </w:rPr>
      </w:pPr>
      <w:r>
        <w:rPr>
          <w:rFonts w:hint="eastAsia" w:ascii="宋体" w:hAnsi="宋体"/>
          <w:szCs w:val="21"/>
        </w:rPr>
        <w:t>（3）其他方式：</w:t>
      </w:r>
      <w:r>
        <w:rPr>
          <w:rFonts w:hint="eastAsia" w:ascii="宋体" w:hAnsi="宋体"/>
          <w:szCs w:val="21"/>
          <w:u w:val="single"/>
        </w:rPr>
        <w:t xml:space="preserve"> / </w:t>
      </w:r>
      <w:r>
        <w:rPr>
          <w:rFonts w:hint="eastAsia" w:ascii="宋体" w:hAnsi="宋体"/>
          <w:szCs w:val="21"/>
        </w:rPr>
        <w:t>。</w:t>
      </w:r>
    </w:p>
    <w:p>
      <w:pPr>
        <w:spacing w:line="360" w:lineRule="auto"/>
        <w:ind w:right="105" w:rightChars="50" w:firstLine="420" w:firstLineChars="200"/>
        <w:jc w:val="left"/>
        <w:rPr>
          <w:rFonts w:ascii="宋体" w:hAnsi="宋体"/>
          <w:szCs w:val="21"/>
        </w:rPr>
      </w:pPr>
      <w:r>
        <w:rPr>
          <w:rFonts w:hint="eastAsia" w:ascii="宋体" w:hAnsi="宋体"/>
          <w:szCs w:val="21"/>
        </w:rPr>
        <w:t>15.3.2 质量保证金的扣留</w:t>
      </w:r>
    </w:p>
    <w:p>
      <w:pPr>
        <w:spacing w:line="360" w:lineRule="auto"/>
        <w:ind w:right="105" w:rightChars="50" w:firstLine="420" w:firstLineChars="200"/>
        <w:jc w:val="left"/>
        <w:rPr>
          <w:rFonts w:ascii="宋体" w:hAnsi="宋体"/>
          <w:szCs w:val="21"/>
        </w:rPr>
      </w:pPr>
      <w:r>
        <w:rPr>
          <w:rFonts w:hint="eastAsia" w:ascii="宋体" w:hAnsi="宋体"/>
          <w:szCs w:val="21"/>
        </w:rPr>
        <w:t>质量保证金的扣留采取以下第</w:t>
      </w:r>
      <w:r>
        <w:rPr>
          <w:rFonts w:hint="eastAsia" w:ascii="宋体" w:hAnsi="宋体"/>
          <w:szCs w:val="21"/>
          <w:u w:val="single"/>
        </w:rPr>
        <w:t xml:space="preserve">    </w:t>
      </w:r>
      <w:r>
        <w:rPr>
          <w:rFonts w:hint="eastAsia" w:ascii="宋体" w:hAnsi="宋体"/>
          <w:szCs w:val="21"/>
        </w:rPr>
        <w:t>种方式：</w:t>
      </w:r>
    </w:p>
    <w:p>
      <w:pPr>
        <w:spacing w:line="360" w:lineRule="auto"/>
        <w:ind w:right="105" w:rightChars="50" w:firstLine="420" w:firstLineChars="200"/>
        <w:jc w:val="left"/>
        <w:rPr>
          <w:rFonts w:ascii="宋体" w:hAnsi="宋体"/>
          <w:szCs w:val="21"/>
        </w:rPr>
      </w:pPr>
      <w:r>
        <w:rPr>
          <w:rFonts w:hint="eastAsia" w:ascii="宋体" w:hAnsi="宋体"/>
          <w:szCs w:val="21"/>
        </w:rPr>
        <w:t>（1）在支付工程进度款时逐次扣留，在此情形下，质量保证金的计算基数不包括预付款的支付、扣回以及价格调整的金额；</w:t>
      </w:r>
    </w:p>
    <w:p>
      <w:pPr>
        <w:spacing w:line="360" w:lineRule="auto"/>
        <w:ind w:right="105" w:rightChars="50" w:firstLine="420" w:firstLineChars="200"/>
        <w:jc w:val="left"/>
        <w:rPr>
          <w:rFonts w:ascii="宋体" w:hAnsi="宋体"/>
          <w:szCs w:val="21"/>
        </w:rPr>
      </w:pPr>
      <w:r>
        <w:rPr>
          <w:rFonts w:hint="eastAsia" w:ascii="宋体" w:hAnsi="宋体"/>
          <w:szCs w:val="21"/>
        </w:rPr>
        <w:t>（2）工程竣工结算时一次性扣留质量保证金；</w:t>
      </w:r>
    </w:p>
    <w:p>
      <w:pPr>
        <w:autoSpaceDE w:val="0"/>
        <w:autoSpaceDN w:val="0"/>
        <w:spacing w:line="360" w:lineRule="auto"/>
        <w:ind w:right="105" w:rightChars="50" w:firstLine="420" w:firstLineChars="200"/>
        <w:jc w:val="left"/>
        <w:rPr>
          <w:rFonts w:ascii="宋体" w:hAnsi="宋体"/>
          <w:szCs w:val="21"/>
          <w:u w:val="single"/>
        </w:rPr>
      </w:pPr>
      <w:r>
        <w:rPr>
          <w:rFonts w:hint="eastAsia" w:ascii="宋体" w:hAnsi="宋体"/>
          <w:szCs w:val="21"/>
        </w:rPr>
        <w:t>（3）</w:t>
      </w:r>
      <w:r>
        <w:rPr>
          <w:rFonts w:hint="eastAsia" w:ascii="宋体" w:hAnsi="宋体"/>
          <w:szCs w:val="21"/>
          <w:u w:val="single"/>
        </w:rPr>
        <w:t xml:space="preserve">其他扣留方式：        </w:t>
      </w:r>
      <w:r>
        <w:rPr>
          <w:rFonts w:hint="eastAsia" w:ascii="宋体" w:hAnsi="宋体"/>
          <w:szCs w:val="21"/>
        </w:rPr>
        <w:t>。</w:t>
      </w:r>
    </w:p>
    <w:p>
      <w:pPr>
        <w:spacing w:line="360" w:lineRule="auto"/>
        <w:ind w:right="105" w:rightChars="50" w:firstLine="420" w:firstLineChars="200"/>
        <w:jc w:val="left"/>
        <w:rPr>
          <w:rFonts w:ascii="宋体" w:hAnsi="宋体"/>
          <w:szCs w:val="21"/>
        </w:rPr>
      </w:pPr>
      <w:r>
        <w:rPr>
          <w:rFonts w:hint="eastAsia" w:ascii="宋体" w:hAnsi="宋体"/>
          <w:szCs w:val="21"/>
        </w:rPr>
        <w:t>15.3.3质量保证金的退还</w:t>
      </w:r>
    </w:p>
    <w:p>
      <w:pPr>
        <w:spacing w:line="360" w:lineRule="auto"/>
        <w:ind w:right="105" w:rightChars="50" w:firstLine="420" w:firstLineChars="200"/>
        <w:jc w:val="left"/>
        <w:rPr>
          <w:rFonts w:ascii="宋体" w:hAnsi="宋体"/>
          <w:szCs w:val="21"/>
        </w:rPr>
      </w:pPr>
      <w:r>
        <w:rPr>
          <w:rFonts w:hint="eastAsia" w:ascii="宋体" w:hAnsi="宋体"/>
          <w:szCs w:val="21"/>
        </w:rPr>
        <w:t>（1）在发包人颁发缺陷责任期终止证书之日起14天内退还。</w:t>
      </w:r>
    </w:p>
    <w:p>
      <w:pPr>
        <w:spacing w:line="360" w:lineRule="auto"/>
        <w:ind w:right="105" w:rightChars="50" w:firstLine="420" w:firstLineChars="200"/>
        <w:jc w:val="left"/>
        <w:rPr>
          <w:rFonts w:ascii="宋体" w:hAnsi="宋体"/>
          <w:szCs w:val="21"/>
        </w:rPr>
      </w:pPr>
      <w:r>
        <w:rPr>
          <w:rFonts w:hint="eastAsia" w:ascii="宋体" w:hAnsi="宋体"/>
          <w:szCs w:val="21"/>
        </w:rPr>
        <w:t>（2）缺陷责任期内，承包人认真履行合同约定的责任，到期后，承包人可向发包人申请返还质量保证金。</w:t>
      </w:r>
    </w:p>
    <w:p>
      <w:pPr>
        <w:spacing w:line="360" w:lineRule="auto"/>
        <w:ind w:right="105" w:rightChars="50" w:firstLine="420" w:firstLineChars="200"/>
        <w:jc w:val="left"/>
        <w:rPr>
          <w:rFonts w:ascii="宋体" w:hAnsi="宋体"/>
          <w:szCs w:val="21"/>
        </w:rPr>
      </w:pPr>
      <w:r>
        <w:rPr>
          <w:rFonts w:hint="eastAsia" w:ascii="宋体" w:hAnsi="宋体"/>
          <w:szCs w:val="21"/>
        </w:rPr>
        <w:t>（3）质量保证金是否支付利息采取以下</w:t>
      </w:r>
      <w:r>
        <w:rPr>
          <w:rFonts w:hint="eastAsia" w:ascii="宋体" w:hAnsi="宋体"/>
          <w:szCs w:val="21"/>
          <w:u w:val="single"/>
        </w:rPr>
        <w:t>第②种</w:t>
      </w:r>
      <w:r>
        <w:rPr>
          <w:rFonts w:hint="eastAsia" w:ascii="宋体" w:hAnsi="宋体"/>
          <w:szCs w:val="21"/>
        </w:rPr>
        <w:t>方式：</w:t>
      </w:r>
    </w:p>
    <w:p>
      <w:pPr>
        <w:spacing w:line="360" w:lineRule="auto"/>
        <w:ind w:right="105" w:rightChars="50" w:firstLine="420" w:firstLineChars="200"/>
        <w:jc w:val="left"/>
        <w:rPr>
          <w:rFonts w:ascii="宋体" w:hAnsi="宋体"/>
          <w:szCs w:val="21"/>
        </w:rPr>
      </w:pPr>
      <w:r>
        <w:rPr>
          <w:rFonts w:hint="eastAsia" w:ascii="宋体" w:hAnsi="宋体"/>
          <w:szCs w:val="21"/>
          <w:u w:val="single"/>
        </w:rPr>
        <w:t>①按照中国人民银行  年  月公布的5年期贷款市场报价利率支付利息</w:t>
      </w:r>
      <w:r>
        <w:rPr>
          <w:rFonts w:hint="eastAsia" w:ascii="宋体" w:hAnsi="宋体"/>
          <w:szCs w:val="21"/>
        </w:rPr>
        <w:t>。</w:t>
      </w:r>
    </w:p>
    <w:p>
      <w:pPr>
        <w:spacing w:line="360" w:lineRule="auto"/>
        <w:ind w:right="105" w:rightChars="50" w:firstLine="420" w:firstLineChars="200"/>
        <w:jc w:val="left"/>
        <w:rPr>
          <w:rFonts w:ascii="宋体" w:hAnsi="宋体"/>
          <w:szCs w:val="21"/>
        </w:rPr>
      </w:pPr>
      <w:r>
        <w:rPr>
          <w:rFonts w:hint="eastAsia" w:ascii="宋体" w:hAnsi="宋体"/>
          <w:szCs w:val="21"/>
          <w:u w:val="single"/>
        </w:rPr>
        <w:t>②不采用</w:t>
      </w:r>
      <w:r>
        <w:rPr>
          <w:rFonts w:hint="eastAsia" w:ascii="宋体" w:hAnsi="宋体"/>
          <w:szCs w:val="21"/>
        </w:rPr>
        <w:t>。</w:t>
      </w:r>
    </w:p>
    <w:p>
      <w:pPr>
        <w:pStyle w:val="7"/>
        <w:spacing w:before="0" w:beforeAutospacing="0" w:after="0" w:afterAutospacing="0" w:line="360" w:lineRule="auto"/>
        <w:ind w:firstLine="422" w:firstLineChars="200"/>
        <w:rPr>
          <w:sz w:val="21"/>
          <w:szCs w:val="21"/>
        </w:rPr>
      </w:pPr>
      <w:bookmarkStart w:id="1500" w:name="_Toc532377400"/>
      <w:bookmarkStart w:id="1501" w:name="_Toc532375663"/>
      <w:r>
        <w:rPr>
          <w:rFonts w:hint="eastAsia"/>
          <w:sz w:val="21"/>
          <w:szCs w:val="21"/>
        </w:rPr>
        <w:t>15.4 保修</w:t>
      </w:r>
      <w:bookmarkEnd w:id="1500"/>
      <w:bookmarkEnd w:id="1501"/>
    </w:p>
    <w:p>
      <w:pPr>
        <w:spacing w:line="360" w:lineRule="auto"/>
        <w:ind w:right="105" w:rightChars="50" w:firstLine="420" w:firstLineChars="200"/>
        <w:jc w:val="left"/>
        <w:rPr>
          <w:rFonts w:ascii="宋体" w:hAnsi="宋体"/>
          <w:szCs w:val="21"/>
        </w:rPr>
      </w:pPr>
      <w:r>
        <w:rPr>
          <w:rFonts w:hint="eastAsia" w:ascii="宋体" w:hAnsi="宋体"/>
          <w:szCs w:val="21"/>
        </w:rPr>
        <w:t>15.4.1 保修责任</w:t>
      </w:r>
    </w:p>
    <w:p>
      <w:pPr>
        <w:spacing w:line="360" w:lineRule="auto"/>
        <w:ind w:right="105" w:rightChars="50" w:firstLine="420" w:firstLineChars="200"/>
        <w:jc w:val="left"/>
        <w:rPr>
          <w:rFonts w:ascii="宋体" w:hAnsi="宋体"/>
          <w:szCs w:val="21"/>
        </w:rPr>
      </w:pPr>
      <w:r>
        <w:rPr>
          <w:rFonts w:hint="eastAsia" w:ascii="宋体" w:hAnsi="宋体"/>
          <w:szCs w:val="21"/>
        </w:rPr>
        <w:t>工程保修期为：</w:t>
      </w:r>
      <w:bookmarkStart w:id="1502" w:name="_Hlk524381274"/>
      <w:r>
        <w:rPr>
          <w:rFonts w:hint="eastAsia" w:ascii="宋体" w:hAnsi="宋体"/>
          <w:szCs w:val="21"/>
        </w:rPr>
        <w:t>按照附件1《工程质量保修书》的规定执行。</w:t>
      </w:r>
      <w:bookmarkEnd w:id="1502"/>
    </w:p>
    <w:p>
      <w:pPr>
        <w:spacing w:line="360" w:lineRule="auto"/>
        <w:ind w:right="105" w:rightChars="50" w:firstLine="420" w:firstLineChars="200"/>
        <w:jc w:val="left"/>
        <w:rPr>
          <w:rFonts w:ascii="宋体" w:hAnsi="宋体"/>
          <w:szCs w:val="21"/>
        </w:rPr>
      </w:pPr>
      <w:r>
        <w:rPr>
          <w:rFonts w:hint="eastAsia" w:ascii="宋体" w:hAnsi="宋体"/>
          <w:szCs w:val="21"/>
        </w:rPr>
        <w:t>15.4.3 修复通知</w:t>
      </w:r>
    </w:p>
    <w:p>
      <w:pPr>
        <w:spacing w:line="360" w:lineRule="auto"/>
        <w:ind w:right="105" w:rightChars="50" w:firstLine="420" w:firstLineChars="200"/>
        <w:jc w:val="left"/>
        <w:rPr>
          <w:rFonts w:ascii="宋体" w:hAnsi="宋体"/>
          <w:szCs w:val="21"/>
        </w:rPr>
      </w:pPr>
      <w:r>
        <w:rPr>
          <w:rFonts w:hint="eastAsia" w:ascii="宋体" w:hAnsi="宋体"/>
          <w:szCs w:val="21"/>
        </w:rPr>
        <w:t>承包人收到保修通知并到达工程现场的合理时间：</w:t>
      </w:r>
      <w:r>
        <w:rPr>
          <w:rFonts w:hint="eastAsia" w:ascii="宋体" w:hAnsi="宋体"/>
          <w:szCs w:val="21"/>
          <w:u w:val="single"/>
        </w:rPr>
        <w:t xml:space="preserve">  小时内，最长不能超过  小时</w:t>
      </w:r>
      <w:r>
        <w:rPr>
          <w:rFonts w:hint="eastAsia" w:ascii="宋体" w:hAnsi="宋体"/>
          <w:szCs w:val="21"/>
        </w:rPr>
        <w:t>。</w:t>
      </w:r>
    </w:p>
    <w:p>
      <w:pPr>
        <w:pStyle w:val="6"/>
        <w:spacing w:before="156" w:beforeLines="50" w:beforeAutospacing="0" w:after="156" w:afterLines="50" w:afterAutospacing="0" w:line="360" w:lineRule="auto"/>
        <w:jc w:val="both"/>
        <w:rPr>
          <w:bCs w:val="0"/>
          <w:kern w:val="2"/>
          <w:sz w:val="21"/>
          <w:szCs w:val="21"/>
        </w:rPr>
      </w:pPr>
      <w:bookmarkStart w:id="1503" w:name="_Toc532375664"/>
      <w:bookmarkStart w:id="1504" w:name="_Toc532377401"/>
      <w:bookmarkStart w:id="1505" w:name="_Toc351203648"/>
      <w:r>
        <w:rPr>
          <w:rFonts w:hint="eastAsia"/>
          <w:kern w:val="2"/>
          <w:sz w:val="21"/>
          <w:szCs w:val="21"/>
        </w:rPr>
        <w:t>16. 违约</w:t>
      </w:r>
      <w:bookmarkEnd w:id="1503"/>
      <w:bookmarkEnd w:id="1504"/>
      <w:bookmarkEnd w:id="1505"/>
    </w:p>
    <w:p>
      <w:pPr>
        <w:pStyle w:val="7"/>
        <w:spacing w:before="0" w:beforeAutospacing="0" w:after="0" w:afterAutospacing="0" w:line="360" w:lineRule="auto"/>
        <w:ind w:firstLine="422" w:firstLineChars="200"/>
        <w:rPr>
          <w:sz w:val="21"/>
          <w:szCs w:val="21"/>
        </w:rPr>
      </w:pPr>
      <w:bookmarkStart w:id="1506" w:name="_Toc532377402"/>
      <w:r>
        <w:rPr>
          <w:rFonts w:hint="eastAsia"/>
          <w:sz w:val="21"/>
          <w:szCs w:val="21"/>
        </w:rPr>
        <w:t>16.1 发包人违约</w:t>
      </w:r>
      <w:bookmarkEnd w:id="1506"/>
    </w:p>
    <w:p>
      <w:pPr>
        <w:spacing w:line="360" w:lineRule="auto"/>
        <w:ind w:firstLine="420" w:firstLineChars="200"/>
        <w:rPr>
          <w:rFonts w:ascii="宋体" w:hAnsi="宋体"/>
          <w:szCs w:val="21"/>
        </w:rPr>
      </w:pPr>
      <w:r>
        <w:rPr>
          <w:rFonts w:hint="eastAsia" w:ascii="宋体" w:hAnsi="宋体"/>
          <w:szCs w:val="21"/>
        </w:rPr>
        <w:t>16.1.1 发包人违约的情形</w:t>
      </w:r>
    </w:p>
    <w:p>
      <w:pPr>
        <w:spacing w:line="360" w:lineRule="auto"/>
        <w:ind w:firstLine="420" w:firstLineChars="200"/>
        <w:rPr>
          <w:rFonts w:ascii="宋体" w:hAnsi="宋体"/>
          <w:szCs w:val="21"/>
        </w:rPr>
      </w:pPr>
      <w:r>
        <w:rPr>
          <w:rFonts w:hint="eastAsia" w:ascii="宋体" w:hAnsi="宋体" w:cs="Microsoft Sans Serif"/>
          <w:kern w:val="0"/>
          <w:szCs w:val="21"/>
        </w:rPr>
        <w:t>除通用合同条款约定外，发包人违约的其他情形：</w:t>
      </w:r>
    </w:p>
    <w:p>
      <w:pPr>
        <w:spacing w:line="360" w:lineRule="auto"/>
        <w:ind w:firstLine="420" w:firstLineChars="200"/>
        <w:rPr>
          <w:rFonts w:ascii="宋体" w:hAnsi="宋体"/>
          <w:szCs w:val="21"/>
        </w:rPr>
      </w:pPr>
      <w:r>
        <w:rPr>
          <w:rFonts w:hint="eastAsia" w:ascii="宋体" w:hAnsi="宋体" w:cs="Microsoft Sans Serif"/>
          <w:kern w:val="0"/>
          <w:szCs w:val="21"/>
        </w:rPr>
        <w:t>（1）根据专用合同条款7.5.1项因发包人原因导致工期延误的；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（2）因发包人原因未能及时办理完毕合同约定的许可、批准或备案的；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（3）因监理人未能按合同约定发出指示、指示延误或发出了错误指示而导致承包人费用增加和（或）工期延误的；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（4）根据5.3.3发包人或监理人要求重新检查的，经检查证明工程质量符合合同要求的，并由此产生增加的费用和（或）延误的工期的；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（5）因发包人原因造成工程质量未达到合同约定标准的；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（6）由于发包人原因对承包人造成的人员人身伤亡和财产损失的；</w:t>
      </w:r>
    </w:p>
    <w:p>
      <w:pPr>
        <w:pStyle w:val="107"/>
        <w:spacing w:line="360" w:lineRule="auto"/>
        <w:jc w:val="left"/>
        <w:rPr>
          <w:rFonts w:ascii="宋体" w:hAnsi="宋体" w:cs="Microsoft Sans Serif"/>
          <w:kern w:val="0"/>
          <w:sz w:val="21"/>
          <w:szCs w:val="21"/>
        </w:rPr>
      </w:pPr>
      <w:r>
        <w:rPr>
          <w:rFonts w:hint="eastAsia" w:ascii="宋体" w:hAnsi="宋体" w:cs="Microsoft Sans Serif"/>
          <w:kern w:val="0"/>
          <w:sz w:val="21"/>
          <w:szCs w:val="21"/>
        </w:rPr>
        <w:t>（7）因发包人原因导致工程无法按期办理竣工验收或竣工结算的；</w:t>
      </w:r>
    </w:p>
    <w:p>
      <w:pPr>
        <w:pStyle w:val="107"/>
        <w:spacing w:line="360" w:lineRule="auto"/>
        <w:jc w:val="left"/>
        <w:rPr>
          <w:rFonts w:ascii="宋体" w:hAnsi="宋体" w:cs="Microsoft Sans Serif"/>
          <w:kern w:val="0"/>
          <w:sz w:val="21"/>
          <w:szCs w:val="21"/>
        </w:rPr>
      </w:pPr>
      <w:r>
        <w:rPr>
          <w:rFonts w:hint="eastAsia" w:ascii="宋体" w:hAnsi="宋体" w:cs="Microsoft Sans Serif"/>
          <w:kern w:val="0"/>
          <w:sz w:val="21"/>
          <w:szCs w:val="21"/>
        </w:rPr>
        <w:t>（8）发包人无正当理由未按约定退还履约担保、低价风险担保、预付款担保或质量保证金的；</w:t>
      </w:r>
    </w:p>
    <w:p>
      <w:pPr>
        <w:pStyle w:val="107"/>
        <w:spacing w:line="360" w:lineRule="auto"/>
        <w:jc w:val="left"/>
        <w:rPr>
          <w:rFonts w:ascii="宋体" w:hAnsi="宋体" w:cs="Microsoft Sans Serif"/>
          <w:kern w:val="0"/>
          <w:sz w:val="21"/>
          <w:szCs w:val="21"/>
        </w:rPr>
      </w:pPr>
      <w:r>
        <w:rPr>
          <w:rFonts w:hint="eastAsia" w:ascii="宋体" w:hAnsi="宋体" w:cs="Microsoft Sans Serif"/>
          <w:kern w:val="0"/>
          <w:sz w:val="21"/>
          <w:szCs w:val="21"/>
        </w:rPr>
        <w:t>（9）发包人不当提取履约担保、低价风险担保或质量保证金的；</w:t>
      </w:r>
    </w:p>
    <w:p>
      <w:pPr>
        <w:pStyle w:val="107"/>
        <w:spacing w:line="360" w:lineRule="auto"/>
        <w:jc w:val="left"/>
        <w:rPr>
          <w:rFonts w:ascii="宋体" w:hAnsi="宋体" w:cs="Microsoft Sans Serif"/>
          <w:kern w:val="0"/>
          <w:sz w:val="21"/>
          <w:szCs w:val="21"/>
        </w:rPr>
      </w:pPr>
      <w:r>
        <w:rPr>
          <w:rFonts w:hint="eastAsia" w:ascii="宋体" w:hAnsi="宋体" w:cs="Microsoft Sans Serif"/>
          <w:kern w:val="0"/>
          <w:sz w:val="21"/>
          <w:szCs w:val="21"/>
        </w:rPr>
        <w:t>（10）发包人未按合同约定接收全部或部分工作的；</w:t>
      </w:r>
    </w:p>
    <w:p>
      <w:pPr>
        <w:pStyle w:val="107"/>
        <w:spacing w:line="360" w:lineRule="auto"/>
        <w:jc w:val="left"/>
        <w:rPr>
          <w:rFonts w:ascii="宋体" w:hAnsi="宋体" w:cs="Microsoft Sans Serif"/>
          <w:kern w:val="0"/>
          <w:sz w:val="21"/>
          <w:szCs w:val="21"/>
          <w:u w:val="single"/>
        </w:rPr>
      </w:pPr>
      <w:r>
        <w:rPr>
          <w:rFonts w:hint="eastAsia" w:ascii="宋体" w:hAnsi="宋体" w:cs="Microsoft Sans Serif"/>
          <w:kern w:val="0"/>
          <w:sz w:val="21"/>
          <w:szCs w:val="21"/>
        </w:rPr>
        <w:t>（11）发包人未按合同约定办理保险的；</w:t>
      </w:r>
    </w:p>
    <w:p>
      <w:pPr>
        <w:snapToGrid w:val="0"/>
        <w:spacing w:line="360" w:lineRule="auto"/>
        <w:ind w:firstLine="420" w:firstLineChars="200"/>
        <w:jc w:val="left"/>
        <w:rPr>
          <w:rFonts w:ascii="宋体" w:hAnsi="宋体" w:cs="Microsoft Sans Serif"/>
          <w:kern w:val="0"/>
          <w:szCs w:val="21"/>
          <w:u w:val="single"/>
        </w:rPr>
      </w:pPr>
      <w:r>
        <w:rPr>
          <w:rFonts w:hint="eastAsia" w:ascii="宋体" w:hAnsi="宋体" w:cs="Microsoft Sans Serif"/>
          <w:kern w:val="0"/>
          <w:szCs w:val="21"/>
          <w:u w:val="single"/>
        </w:rPr>
        <w:t xml:space="preserve">（12）其他：        </w:t>
      </w:r>
      <w:r>
        <w:rPr>
          <w:rFonts w:hint="eastAsia" w:ascii="宋体" w:hAnsi="宋体" w:cs="Microsoft Sans Serif"/>
          <w:kern w:val="0"/>
          <w:szCs w:val="21"/>
        </w:rPr>
        <w:t>。</w:t>
      </w:r>
    </w:p>
    <w:p>
      <w:pPr>
        <w:pStyle w:val="107"/>
        <w:spacing w:line="360" w:lineRule="auto"/>
        <w:rPr>
          <w:rFonts w:ascii="宋体" w:hAnsi="宋体"/>
          <w:sz w:val="21"/>
          <w:szCs w:val="21"/>
        </w:rPr>
      </w:pPr>
      <w:r>
        <w:rPr>
          <w:rFonts w:hint="eastAsia" w:ascii="宋体" w:hAnsi="宋体"/>
          <w:sz w:val="21"/>
          <w:szCs w:val="21"/>
        </w:rPr>
        <w:t>16.1.2发包人违约的责任</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（1）因发包人原因未能及时办理完毕前述许可、批准或备案的违约责任：由发包人承担由此增加的费用和（或）顺延工期，并支付合理利润，具体索赔程序按照第19条〔索赔〕约定执行。</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2）因监理人未能按合同约定发出指示、指示延误或发出了错误指示而导致承包人费用增加和（或）工期延误的，由发包人承担由此增加的费用和（或）顺延工期，并支付合理利润，具体索赔程序按照第19条〔索赔〕约定执行。</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（3）因发包人原因导致工期延误的违约责任：由发包人承担由此增加的费用和（或）顺延工期，并支付合理利润，具体索赔程序按照第19条〔索赔〕约定执行。</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（4）因发包人原因未能在计划开工日期前7天内下达开工通知的违约责任：由发包人承担由此增加的费用和（或）顺延工期，并支付合理利润，具体索赔程序按照第19条〔索赔〕约定执行。</w:t>
      </w:r>
    </w:p>
    <w:p>
      <w:pPr>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（5）根据5.3.3项发包人或监理人要求重新检查的，经检查证明工程质量符合合同要求的，由发包人承担由此增加的费用和（或）顺延工期，并支付合理利润，具体索赔程序按照第19条〔索赔〕约定执行。</w:t>
      </w:r>
    </w:p>
    <w:p>
      <w:pPr>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（6）因发包人原因未按合同约定支付合同价款的违约责任：发包人应向承包人支付违约金，自应当支付之日起28天后开始计算违约金，计算公式：</w:t>
      </w:r>
      <w:r>
        <w:rPr>
          <w:rFonts w:hint="eastAsia" w:ascii="宋体" w:hAnsi="宋体" w:cs="Microsoft Sans Serif"/>
          <w:kern w:val="0"/>
          <w:szCs w:val="21"/>
          <w:u w:val="single"/>
        </w:rPr>
        <w:t>违约金=应付未付金额×中国人民银行  年  月公布的5年期贷款市场报价利率/360天×逾期天数</w:t>
      </w:r>
      <w:r>
        <w:rPr>
          <w:rFonts w:hint="eastAsia" w:ascii="宋体" w:hAnsi="宋体"/>
          <w:szCs w:val="21"/>
          <w:u w:val="single"/>
        </w:rPr>
        <w:t>（自第29天起计算）</w:t>
      </w:r>
      <w:r>
        <w:rPr>
          <w:rFonts w:hint="eastAsia" w:ascii="宋体" w:hAnsi="宋体" w:cs="Microsoft Sans Serif"/>
          <w:kern w:val="0"/>
          <w:szCs w:val="21"/>
          <w:u w:val="single"/>
        </w:rPr>
        <w:t>；逾期天数超过56天的，超过部分天数按上述利率的两倍计算并支付违约金</w:t>
      </w:r>
      <w:r>
        <w:rPr>
          <w:rFonts w:hint="eastAsia" w:ascii="宋体" w:hAnsi="宋体" w:cs="Microsoft Sans Serif"/>
          <w:kern w:val="0"/>
          <w:szCs w:val="21"/>
        </w:rPr>
        <w:t>。</w:t>
      </w:r>
    </w:p>
    <w:p>
      <w:pPr>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（7）发包人违反合同约定，自行实施或转由他人实施被取消的合同工作内容的违约责任：由发包人承担由此给承包人造成的实际损失并支付合理利润。</w:t>
      </w:r>
    </w:p>
    <w:p>
      <w:pPr>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8）发包人提供的基准资料错误并导致承包人测量放线工作返工或造成工程损失的，以及发包人提供的材料、工程设备的规格、数量或质量不符合合同约定，或因发包人原因导致交货日期延误或交货地点变更等情况的违约责任：由发包人承担由此增加的费用和（或）顺延工期，并支付合理利润，具体索赔程序按照第19条〔索赔〕约定执行。</w:t>
      </w:r>
    </w:p>
    <w:p>
      <w:pPr>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（9）因发包人原因造成工程质量未达到合同约定标准的，由发包人承担由此增加的费用和（或）延误的工期，并支付合理利润。</w:t>
      </w:r>
    </w:p>
    <w:p>
      <w:pPr>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（10）因发包人违反合同约定造成暂停施工的违约责任：由发包人承担由此增加的费用和（或）顺延工期，并支付合理利润，具体索赔程序按照第19条〔索赔〕约定执行。</w:t>
      </w:r>
    </w:p>
    <w:p>
      <w:pPr>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（11）发包人无正当理由没有在约定期限内发出复工指示，导致承包人无法复工的违约责任：由发包人承担由此增加的费用和（或）顺延工期，并支付合理利润，具体索赔程序按照第19条〔索赔〕约定执行。</w:t>
      </w:r>
    </w:p>
    <w:p>
      <w:pPr>
        <w:spacing w:line="360" w:lineRule="auto"/>
        <w:ind w:firstLine="420" w:firstLineChars="200"/>
        <w:jc w:val="left"/>
        <w:rPr>
          <w:rFonts w:ascii="宋体" w:hAnsi="宋体" w:cs="Microsoft Sans Serif"/>
          <w:kern w:val="0"/>
          <w:szCs w:val="21"/>
          <w:u w:val="single"/>
        </w:rPr>
      </w:pPr>
      <w:r>
        <w:rPr>
          <w:rFonts w:hint="eastAsia" w:ascii="宋体" w:hAnsi="宋体" w:cs="Microsoft Sans Serif"/>
          <w:kern w:val="0"/>
          <w:szCs w:val="21"/>
        </w:rPr>
        <w:t>（12）因发包人原因导致工程无法按期办理竣工验收或竣工结算的违约责任：由发包人承担由此增加的费用和（或）顺延工期，并支付合理利润，具体索赔程序按照第19条〔索赔〕约定执行。</w:t>
      </w:r>
    </w:p>
    <w:p>
      <w:pPr>
        <w:spacing w:line="360" w:lineRule="auto"/>
        <w:ind w:firstLine="420" w:firstLineChars="200"/>
        <w:jc w:val="left"/>
        <w:rPr>
          <w:rFonts w:ascii="宋体" w:hAnsi="宋体" w:cs="Microsoft Sans Serif"/>
          <w:kern w:val="0"/>
          <w:szCs w:val="21"/>
          <w:u w:val="single"/>
        </w:rPr>
      </w:pPr>
      <w:r>
        <w:rPr>
          <w:rFonts w:hint="eastAsia" w:ascii="宋体" w:hAnsi="宋体"/>
          <w:szCs w:val="21"/>
        </w:rPr>
        <w:t>（13）</w:t>
      </w:r>
      <w:r>
        <w:rPr>
          <w:rFonts w:hint="eastAsia" w:ascii="宋体" w:hAnsi="宋体" w:cs="Microsoft Sans Serif"/>
          <w:kern w:val="0"/>
          <w:szCs w:val="21"/>
        </w:rPr>
        <w:t>发包人无正当理由未按约定退还履约担保、低价风险担保、预付款担保或质量保证金的违约责任：发包人应向承包人支付违约金，自应当退还之日起28天后开始计算违约金，</w:t>
      </w:r>
      <w:r>
        <w:rPr>
          <w:rFonts w:hint="eastAsia" w:ascii="宋体" w:hAnsi="宋体" w:cs="Microsoft Sans Serif"/>
          <w:kern w:val="0"/>
          <w:szCs w:val="21"/>
          <w:u w:val="single"/>
        </w:rPr>
        <w:t>计算公式：违约金=应退未退担保金额×中国人民银行  年  月公布的5年期贷款市场报价利率/360天×逾期天数</w:t>
      </w:r>
      <w:r>
        <w:rPr>
          <w:rFonts w:hint="eastAsia" w:ascii="宋体" w:hAnsi="宋体"/>
          <w:szCs w:val="21"/>
          <w:u w:val="single"/>
        </w:rPr>
        <w:t>（自第29天起计算）</w:t>
      </w:r>
      <w:r>
        <w:rPr>
          <w:rFonts w:hint="eastAsia" w:ascii="宋体" w:hAnsi="宋体" w:cs="Microsoft Sans Serif"/>
          <w:kern w:val="0"/>
          <w:szCs w:val="21"/>
        </w:rPr>
        <w:t>。</w:t>
      </w:r>
    </w:p>
    <w:p>
      <w:pPr>
        <w:pStyle w:val="2"/>
        <w:spacing w:after="0" w:line="360" w:lineRule="auto"/>
        <w:ind w:firstLine="420" w:firstLineChars="200"/>
        <w:rPr>
          <w:rFonts w:ascii="宋体" w:hAnsi="宋体" w:cs="Microsoft Sans Serif"/>
          <w:kern w:val="0"/>
          <w:szCs w:val="21"/>
        </w:rPr>
      </w:pPr>
      <w:r>
        <w:rPr>
          <w:rFonts w:hint="eastAsia" w:ascii="宋体" w:hAnsi="宋体" w:cs="Microsoft Sans Serif"/>
          <w:kern w:val="0"/>
          <w:szCs w:val="21"/>
        </w:rPr>
        <w:t>（14）</w:t>
      </w:r>
      <w:r>
        <w:rPr>
          <w:rFonts w:hint="eastAsia" w:ascii="宋体" w:hAnsi="宋体"/>
          <w:szCs w:val="21"/>
        </w:rPr>
        <w:t>发包人不当提取履约担保、低价风险担保、预付款担保或质量保证金的，应及时予以退还，若不当提取超过28天的，应承担违约责任：发包人应向承包人支付违约金，</w:t>
      </w:r>
      <w:r>
        <w:rPr>
          <w:rFonts w:hint="eastAsia" w:ascii="宋体" w:hAnsi="宋体"/>
          <w:szCs w:val="21"/>
          <w:u w:val="single"/>
        </w:rPr>
        <w:t>计算公式：违约金=不当提取的担保金额×中国人民银行  年  月公布的5年期贷款市场报价利率/360天×逾期天数（自第29天起计算）</w:t>
      </w:r>
      <w:r>
        <w:rPr>
          <w:rFonts w:hint="eastAsia" w:ascii="宋体" w:hAnsi="宋体"/>
          <w:szCs w:val="21"/>
        </w:rPr>
        <w:t>。</w:t>
      </w:r>
    </w:p>
    <w:p>
      <w:pPr>
        <w:pStyle w:val="2"/>
        <w:spacing w:after="0" w:line="360" w:lineRule="auto"/>
        <w:ind w:firstLine="420" w:firstLineChars="200"/>
        <w:rPr>
          <w:rFonts w:ascii="宋体" w:hAnsi="宋体"/>
          <w:szCs w:val="21"/>
        </w:rPr>
      </w:pPr>
      <w:r>
        <w:rPr>
          <w:rFonts w:hint="eastAsia" w:ascii="宋体" w:hAnsi="宋体" w:cs="Microsoft Sans Serif"/>
          <w:kern w:val="0"/>
          <w:szCs w:val="21"/>
        </w:rPr>
        <w:t>（15）发包人未按合同约定接收全部或部分工作的违约责任：由发包人承担自应当接收工程之日起的工程照管、成品保护、保管等与工程有关的各项费用。</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（16）由于发包人原因对承包人造成的人员人身伤亡和财产损失的，由发包人负责赔偿，并承担由此增加的费用和（或）延误的工期，并支付合理利润。</w:t>
      </w:r>
    </w:p>
    <w:p>
      <w:pPr>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（17）发包人未按合同约定办理保险的违约责任：除按18.6.1项约定执行外，每延迟1天，按</w:t>
      </w:r>
      <w:r>
        <w:rPr>
          <w:rFonts w:hint="eastAsia" w:ascii="宋体" w:hAnsi="宋体" w:cs="Microsoft Sans Serif"/>
          <w:kern w:val="0"/>
          <w:szCs w:val="21"/>
          <w:u w:val="single"/>
        </w:rPr>
        <w:t>500元/天</w:t>
      </w:r>
      <w:r>
        <w:rPr>
          <w:rFonts w:hint="eastAsia" w:ascii="宋体" w:hAnsi="宋体" w:cs="Microsoft Sans Serif"/>
          <w:kern w:val="0"/>
          <w:szCs w:val="21"/>
        </w:rPr>
        <w:t>支付违约金。</w:t>
      </w:r>
    </w:p>
    <w:p>
      <w:pPr>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（18）其他：</w:t>
      </w:r>
      <w:r>
        <w:rPr>
          <w:rFonts w:hint="eastAsia" w:ascii="宋体" w:hAnsi="宋体" w:cs="Microsoft Sans Serif"/>
          <w:kern w:val="0"/>
          <w:szCs w:val="21"/>
          <w:u w:val="single"/>
        </w:rPr>
        <w:t xml:space="preserve">        </w:t>
      </w:r>
      <w:r>
        <w:rPr>
          <w:rFonts w:hint="eastAsia" w:ascii="宋体" w:hAnsi="宋体" w:cs="Microsoft Sans Serif"/>
          <w:kern w:val="0"/>
          <w:szCs w:val="21"/>
        </w:rPr>
        <w:t>。</w:t>
      </w:r>
    </w:p>
    <w:p>
      <w:pPr>
        <w:autoSpaceDE w:val="0"/>
        <w:autoSpaceDN w:val="0"/>
        <w:adjustRightIn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发包人发生除通用条款第16.1.1项第（7）目以外的违约情况时，承包人可向发包人发出通知，要求发包人采取有效措施纠正违约行为。发包人收到承包人通知后的28天内仍不履行合同义务，承包人有权暂停施工，并通知监理人。</w:t>
      </w:r>
    </w:p>
    <w:p>
      <w:pPr>
        <w:spacing w:line="360" w:lineRule="auto"/>
        <w:ind w:firstLine="420" w:firstLineChars="200"/>
        <w:rPr>
          <w:rFonts w:ascii="宋体" w:hAnsi="宋体"/>
          <w:szCs w:val="21"/>
        </w:rPr>
      </w:pPr>
      <w:r>
        <w:rPr>
          <w:rFonts w:hint="eastAsia" w:ascii="宋体" w:hAnsi="宋体"/>
          <w:szCs w:val="21"/>
        </w:rPr>
        <w:t>16.1.3 因发包人违约解除合同</w:t>
      </w:r>
    </w:p>
    <w:p>
      <w:pPr>
        <w:autoSpaceDE w:val="0"/>
        <w:autoSpaceDN w:val="0"/>
        <w:adjustRightIn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因发包人违约并致使合同目的不能实现的，承包人有权解除合同：</w:t>
      </w:r>
    </w:p>
    <w:p>
      <w:pPr>
        <w:autoSpaceDE w:val="0"/>
        <w:autoSpaceDN w:val="0"/>
        <w:adjustRightIn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（1）因发包人原因延迟支付合同价款超过180天的；</w:t>
      </w:r>
    </w:p>
    <w:p>
      <w:pPr>
        <w:autoSpaceDE w:val="0"/>
        <w:autoSpaceDN w:val="0"/>
        <w:adjustRightIn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（2）因发包人原因导致工期延误超过90天的；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（3）因发包人第16.1.2（5）违约情形导致暂停施工满56天，且发包人仍未纠正其违约行为的；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（4）其他未履行合同项下的义务构成对合同的实质性违约，并且在收到承包人要求说明其违约并予以补救的通知后56天内仍未补救该实质性违约的；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（5）</w:t>
      </w:r>
      <w:r>
        <w:rPr>
          <w:rFonts w:hint="eastAsia" w:ascii="宋体" w:hAnsi="宋体" w:cs="Microsoft Sans Serif"/>
          <w:kern w:val="0"/>
          <w:szCs w:val="21"/>
          <w:u w:val="single"/>
        </w:rPr>
        <w:t>合同约定的承包人有权解除合同的其他情形</w:t>
      </w:r>
      <w:r>
        <w:rPr>
          <w:rFonts w:hint="eastAsia" w:ascii="宋体" w:hAnsi="宋体" w:cs="Microsoft Sans Serif"/>
          <w:kern w:val="0"/>
          <w:szCs w:val="21"/>
        </w:rPr>
        <w:t>。</w:t>
      </w:r>
    </w:p>
    <w:p>
      <w:pPr>
        <w:spacing w:line="360" w:lineRule="auto"/>
        <w:ind w:firstLine="420" w:firstLineChars="200"/>
        <w:rPr>
          <w:rFonts w:ascii="宋体" w:hAnsi="宋体"/>
          <w:szCs w:val="21"/>
        </w:rPr>
      </w:pPr>
      <w:r>
        <w:rPr>
          <w:rFonts w:hint="eastAsia" w:ascii="宋体" w:hAnsi="宋体"/>
          <w:szCs w:val="21"/>
        </w:rPr>
        <w:t>16.1.4 因发包人违约解除合同后的付款</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承包人按照本款约定解除合同的，发包人应在解除合同后28天内支付下列款项，并解除履约担保、低价风险担保、预付款担保：</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（1）合同解除前所完成工作的价款；</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（2）承包人为工程施工订购并已付款的材料、工程设备和其他物品的价款；</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（3）承包人撤离施工现场以及遣散承包人人员的款项；</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（4）按照合同约定在合同解除前应支付的违约金；</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（5）按照合同约定应当支付给承包人的其他款项；</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（6）按照合同约定应退还的质量保证金；</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（7）因解除合同给承包人造成的损失；</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（8）</w:t>
      </w:r>
      <w:r>
        <w:rPr>
          <w:rFonts w:hint="eastAsia" w:ascii="宋体" w:hAnsi="宋体" w:cs="Microsoft Sans Serif"/>
          <w:kern w:val="0"/>
          <w:szCs w:val="21"/>
          <w:u w:val="single"/>
        </w:rPr>
        <w:t xml:space="preserve">        。</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合同当事人未能就解除合同后的结清达成一致的，按照第20条〔争议解决〕的约定处理。</w:t>
      </w:r>
    </w:p>
    <w:p>
      <w:pPr>
        <w:snapToGrid w:val="0"/>
        <w:spacing w:line="360" w:lineRule="auto"/>
        <w:ind w:firstLine="420" w:firstLineChars="200"/>
        <w:jc w:val="left"/>
        <w:rPr>
          <w:rFonts w:ascii="宋体" w:hAnsi="宋体" w:cs="Microsoft Sans Serif"/>
          <w:kern w:val="0"/>
          <w:szCs w:val="21"/>
          <w:u w:val="single"/>
        </w:rPr>
      </w:pPr>
      <w:r>
        <w:rPr>
          <w:rFonts w:hint="eastAsia" w:ascii="宋体" w:hAnsi="宋体" w:cs="Microsoft Sans Serif"/>
          <w:kern w:val="0"/>
          <w:szCs w:val="21"/>
        </w:rPr>
        <w:t>承包人应妥善做好已完工程和与工程有关的已购材料、工程设备的保护和移交工作，并将施工设备和人员撤出施工现场，发包人应为承包人撤出提供必要条件。</w:t>
      </w:r>
    </w:p>
    <w:p>
      <w:pPr>
        <w:pStyle w:val="7"/>
        <w:spacing w:before="0" w:beforeAutospacing="0" w:after="0" w:afterAutospacing="0" w:line="360" w:lineRule="auto"/>
        <w:ind w:firstLine="422" w:firstLineChars="200"/>
        <w:rPr>
          <w:sz w:val="21"/>
          <w:szCs w:val="21"/>
        </w:rPr>
      </w:pPr>
      <w:bookmarkStart w:id="1507" w:name="_Toc532377403"/>
      <w:r>
        <w:rPr>
          <w:rFonts w:hint="eastAsia"/>
          <w:sz w:val="21"/>
          <w:szCs w:val="21"/>
        </w:rPr>
        <w:t>16.2 承包人违约</w:t>
      </w:r>
      <w:bookmarkEnd w:id="1507"/>
    </w:p>
    <w:p>
      <w:pPr>
        <w:snapToGrid w:val="0"/>
        <w:spacing w:line="360" w:lineRule="auto"/>
        <w:ind w:firstLine="420" w:firstLineChars="200"/>
        <w:jc w:val="left"/>
        <w:rPr>
          <w:rFonts w:ascii="宋体" w:hAnsi="宋体" w:cs="Microsoft Sans Serif"/>
          <w:kern w:val="0"/>
          <w:szCs w:val="21"/>
        </w:rPr>
      </w:pPr>
      <w:bookmarkStart w:id="1508" w:name="_Hlk524380579"/>
      <w:r>
        <w:rPr>
          <w:rFonts w:hint="eastAsia" w:ascii="宋体" w:hAnsi="宋体" w:cs="Microsoft Sans Serif"/>
          <w:kern w:val="0"/>
          <w:szCs w:val="21"/>
        </w:rPr>
        <w:t>16.2.1 承包人违约的情形</w:t>
      </w:r>
    </w:p>
    <w:p>
      <w:pPr>
        <w:snapToGrid w:val="0"/>
        <w:spacing w:line="360" w:lineRule="auto"/>
        <w:ind w:firstLine="420" w:firstLineChars="200"/>
        <w:jc w:val="left"/>
        <w:rPr>
          <w:rFonts w:ascii="宋体" w:hAnsi="宋体" w:cs="Microsoft Sans Serif"/>
          <w:kern w:val="0"/>
          <w:szCs w:val="21"/>
          <w:u w:val="single"/>
        </w:rPr>
      </w:pPr>
      <w:r>
        <w:rPr>
          <w:rFonts w:hint="eastAsia" w:ascii="宋体" w:hAnsi="宋体" w:cs="Microsoft Sans Serif"/>
          <w:kern w:val="0"/>
          <w:szCs w:val="21"/>
        </w:rPr>
        <w:t>除通用合同条款约定外，承包人违约的其他情形：</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（1）承包人未按合同约定提交履约担保或质量保证金的；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（2）承包人未能按期开工的；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（3）承包人未按投标文件或监理人的要求及时配备称职的主要管理人员，或承包人未按经审定的施工组织设计配备或更换关键施工设备的；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（4）承包人有安全问题或有违反安全管理规章制度情况的；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（5）承包人在缺陷责任期及保修期内，未能在合理期限对工程缺陷进行修复，或拒绝按发包人要求进行修复的；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（6）承包人拖欠其工人或所雇人员工资或报酬，导致其工人或所雇人员向有关部门投诉、控告、检举或以聚集等方式讨要工资或报酬的；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（7）承包人不配合发包人、监理人及发包人委托的工程造价咨询服务单位结算审核或承包人其他原因导致未按期完成工程竣工结算的；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（8）承包人违反合同约定进行转包或违法分包的；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（9）承包人未按合同约定移交全部或部分工作的；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（10）承包人未按合同约定购买保险的；</w:t>
      </w:r>
    </w:p>
    <w:p>
      <w:pPr>
        <w:snapToGrid w:val="0"/>
        <w:spacing w:line="360" w:lineRule="auto"/>
        <w:ind w:firstLine="420" w:firstLineChars="200"/>
        <w:jc w:val="left"/>
        <w:rPr>
          <w:rFonts w:ascii="宋体" w:hAnsi="宋体"/>
          <w:szCs w:val="21"/>
        </w:rPr>
      </w:pPr>
      <w:r>
        <w:rPr>
          <w:rFonts w:hint="eastAsia" w:ascii="宋体" w:hAnsi="宋体" w:cs="Microsoft Sans Serif"/>
          <w:kern w:val="0"/>
          <w:szCs w:val="21"/>
        </w:rPr>
        <w:t>（11）项目经理若有以下情形，属于承包人违约：</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1）项目经理不按承诺到岗的；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2）每月在施工现场的天数少于约定天数的；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3）承包人未提交项目经理劳动合同和社会保险证明的；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4）未经批准，擅自离开施工现场（超过约定时间）的；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5）未经批准，擅自变更项目经理的；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6）按照渝建发〔2015〕35号文的要求，施工期间，项目经理因在一个记分周期内累计记分达到12分，被建设行政主管部门依法责令停止执业的；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7）发包人有正当理由认为项目经理不称职/不履职，且承包人在约定时间内不予更换的；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8）其他双方约定的情形：</w:t>
      </w:r>
      <w:r>
        <w:rPr>
          <w:rFonts w:hint="eastAsia" w:ascii="宋体" w:hAnsi="宋体" w:cs="Microsoft Sans Serif"/>
          <w:kern w:val="0"/>
          <w:szCs w:val="21"/>
          <w:u w:val="single"/>
        </w:rPr>
        <w:t xml:space="preserve">        </w:t>
      </w:r>
      <w:r>
        <w:rPr>
          <w:rFonts w:hint="eastAsia" w:ascii="宋体" w:hAnsi="宋体" w:cs="Microsoft Sans Serif"/>
          <w:kern w:val="0"/>
          <w:szCs w:val="21"/>
        </w:rPr>
        <w:t>。</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（12）技术负责人若有以下情形，属于承包人违约：</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1）每月在施工现场的天数少于约定天数的；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2）承包人未提交技术负责人劳动合同和社会保险证明的；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3）未经批准，擅自离开施工现场（超过约定时间）的；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4）未经批准，擅自变更技术负责人的；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5）发包人有正当理由认为技术负责人不称职/不履职，且承包人在约定时间内不予更换的；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6）其他双方约定的情形：</w:t>
      </w:r>
      <w:r>
        <w:rPr>
          <w:rFonts w:hint="eastAsia" w:ascii="宋体" w:hAnsi="宋体" w:cs="Microsoft Sans Serif"/>
          <w:kern w:val="0"/>
          <w:szCs w:val="21"/>
          <w:u w:val="single"/>
        </w:rPr>
        <w:t xml:space="preserve">        </w:t>
      </w:r>
      <w:r>
        <w:rPr>
          <w:rFonts w:hint="eastAsia" w:ascii="宋体" w:hAnsi="宋体" w:cs="Microsoft Sans Serif"/>
          <w:kern w:val="0"/>
          <w:szCs w:val="21"/>
        </w:rPr>
        <w:t>。</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（13）主要施工管理人员若有以下情形，属于承包人违约：</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1）承包人未提交主要管理人员劳动合同和社会保险证明的；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2）未经批准，擅自离开施工现场（超过约定时间）的；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3）未经批准，擅自变更主要施工管理人员的；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4）发包人有正当理由认为主要施工管理人员不称职/不履职，且承包人在约定时间内不予更换的；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5）其他双方约定的情形：</w:t>
      </w:r>
      <w:r>
        <w:rPr>
          <w:rFonts w:hint="eastAsia" w:ascii="宋体" w:hAnsi="宋体" w:cs="Microsoft Sans Serif"/>
          <w:kern w:val="0"/>
          <w:szCs w:val="21"/>
          <w:u w:val="single"/>
        </w:rPr>
        <w:t xml:space="preserve">        </w:t>
      </w:r>
      <w:r>
        <w:rPr>
          <w:rFonts w:hint="eastAsia" w:ascii="宋体" w:hAnsi="宋体" w:cs="Microsoft Sans Serif"/>
          <w:kern w:val="0"/>
          <w:szCs w:val="21"/>
        </w:rPr>
        <w:t>。</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（14）</w:t>
      </w:r>
      <w:r>
        <w:rPr>
          <w:rFonts w:hint="eastAsia" w:ascii="宋体" w:hAnsi="宋体" w:cs="Microsoft Sans Serif"/>
          <w:kern w:val="0"/>
          <w:szCs w:val="21"/>
          <w:u w:val="single"/>
        </w:rPr>
        <w:t xml:space="preserve">        。</w:t>
      </w:r>
    </w:p>
    <w:bookmarkEnd w:id="1508"/>
    <w:p>
      <w:pPr>
        <w:adjustRightInd w:val="0"/>
        <w:snapToGrid w:val="0"/>
        <w:spacing w:line="360" w:lineRule="auto"/>
        <w:ind w:firstLine="420" w:firstLineChars="200"/>
        <w:rPr>
          <w:rFonts w:ascii="宋体" w:hAnsi="宋体" w:cs="Microsoft Sans Serif"/>
          <w:kern w:val="0"/>
          <w:szCs w:val="21"/>
        </w:rPr>
      </w:pPr>
      <w:r>
        <w:rPr>
          <w:rFonts w:hint="eastAsia" w:ascii="宋体" w:hAnsi="宋体" w:cs="Microsoft Sans Serif"/>
          <w:kern w:val="0"/>
          <w:szCs w:val="21"/>
        </w:rPr>
        <w:t>16.2.2 承包人违约的责任</w:t>
      </w:r>
    </w:p>
    <w:p>
      <w:pPr>
        <w:adjustRightInd w:val="0"/>
        <w:snapToGrid w:val="0"/>
        <w:spacing w:line="360" w:lineRule="auto"/>
        <w:ind w:firstLine="420" w:firstLineChars="200"/>
        <w:rPr>
          <w:rFonts w:ascii="宋体" w:hAnsi="宋体" w:cs="Microsoft Sans Serif"/>
          <w:kern w:val="0"/>
          <w:szCs w:val="21"/>
        </w:rPr>
      </w:pPr>
      <w:r>
        <w:rPr>
          <w:rFonts w:hint="eastAsia" w:ascii="宋体" w:hAnsi="宋体" w:cs="Microsoft Sans Serif"/>
          <w:kern w:val="0"/>
          <w:szCs w:val="21"/>
        </w:rPr>
        <w:t>承包人违约责任的承担方式和计算方法：</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（1）承包人未按合同约定提交履约担保、质量保证金的违约责任：承包人应支付违约金，</w:t>
      </w:r>
      <w:r>
        <w:rPr>
          <w:rFonts w:hint="eastAsia" w:ascii="宋体" w:hAnsi="宋体" w:cs="Microsoft Sans Serif"/>
          <w:szCs w:val="21"/>
        </w:rPr>
        <w:t>违约金的计算方法：</w:t>
      </w:r>
      <w:r>
        <w:rPr>
          <w:rFonts w:hint="eastAsia" w:ascii="宋体" w:hAnsi="宋体" w:cs="Microsoft Sans Serif"/>
          <w:kern w:val="0"/>
          <w:szCs w:val="21"/>
        </w:rPr>
        <w:t>每延误1天，承包人按</w:t>
      </w:r>
      <w:r>
        <w:rPr>
          <w:rFonts w:hint="eastAsia" w:ascii="宋体" w:hAnsi="宋体" w:cs="Microsoft Sans Serif"/>
          <w:kern w:val="0"/>
          <w:szCs w:val="21"/>
          <w:u w:val="single"/>
        </w:rPr>
        <w:t xml:space="preserve">  （5000～50000）元/天</w:t>
      </w:r>
      <w:r>
        <w:rPr>
          <w:rFonts w:hint="eastAsia" w:ascii="宋体" w:hAnsi="宋体" w:cs="Microsoft Sans Serif"/>
          <w:kern w:val="0"/>
          <w:szCs w:val="21"/>
        </w:rPr>
        <w:t>计算违约金，累计违约金上限：</w:t>
      </w:r>
      <w:r>
        <w:rPr>
          <w:rFonts w:hint="eastAsia" w:ascii="宋体" w:hAnsi="宋体" w:cs="Microsoft Sans Serif"/>
          <w:kern w:val="0"/>
          <w:szCs w:val="21"/>
          <w:u w:val="single"/>
        </w:rPr>
        <w:t xml:space="preserve">  万元（不超过签约合同价的3%）</w:t>
      </w:r>
      <w:r>
        <w:rPr>
          <w:rFonts w:hint="eastAsia" w:ascii="宋体" w:hAnsi="宋体" w:cs="Microsoft Sans Serif"/>
          <w:kern w:val="0"/>
          <w:szCs w:val="21"/>
          <w:lang w:val="zh-CN"/>
        </w:rPr>
        <w:t>。</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（2）承包人违反合同约定进行转包或违法分包的违约责任：按照违反合同约定进行转包和（或）违法分包相应转包和（或）分包合同的合同金额的</w:t>
      </w:r>
      <w:r>
        <w:rPr>
          <w:rFonts w:hint="eastAsia" w:ascii="宋体" w:hAnsi="宋体" w:cs="Microsoft Sans Serif"/>
          <w:kern w:val="0"/>
          <w:szCs w:val="21"/>
          <w:u w:val="single"/>
        </w:rPr>
        <w:t xml:space="preserve">  （5～10）%</w:t>
      </w:r>
      <w:r>
        <w:rPr>
          <w:rFonts w:hint="eastAsia" w:ascii="宋体" w:hAnsi="宋体" w:cs="Microsoft Sans Serif"/>
          <w:kern w:val="0"/>
          <w:szCs w:val="21"/>
        </w:rPr>
        <w:t>支付违约金，违法转/分包商应在7天内撤离出场。</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（3）承包人违反合同约定采购和使用不合格的材料和工程设备的违约责任：按照违反合同约定采购和使用不合格的材料和（或）工程设备相应合同金额的</w:t>
      </w:r>
      <w:r>
        <w:rPr>
          <w:rFonts w:hint="eastAsia" w:ascii="宋体" w:hAnsi="宋体" w:cs="Microsoft Sans Serif"/>
          <w:kern w:val="0"/>
          <w:szCs w:val="21"/>
          <w:u w:val="single"/>
        </w:rPr>
        <w:t xml:space="preserve">  （5～10）%</w:t>
      </w:r>
      <w:r>
        <w:rPr>
          <w:rFonts w:hint="eastAsia" w:ascii="宋体" w:hAnsi="宋体" w:cs="Microsoft Sans Serif"/>
          <w:kern w:val="0"/>
          <w:szCs w:val="21"/>
        </w:rPr>
        <w:t>支付违约金。</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（4）因承包人原因导致工程质量不符合规定或合同要求的违约责任：承包人退还已支付工程质量不符合合同要求工程的工程款，并按照工程质量不符合合同要求工程相应合同金额的</w:t>
      </w:r>
      <w:r>
        <w:rPr>
          <w:rFonts w:hint="eastAsia" w:ascii="宋体" w:hAnsi="宋体" w:cs="Microsoft Sans Serif"/>
          <w:kern w:val="0"/>
          <w:szCs w:val="21"/>
          <w:u w:val="single"/>
        </w:rPr>
        <w:t xml:space="preserve">  （5～10）%</w:t>
      </w:r>
      <w:r>
        <w:rPr>
          <w:rFonts w:hint="eastAsia" w:ascii="宋体" w:hAnsi="宋体" w:cs="Microsoft Sans Serif"/>
          <w:kern w:val="0"/>
          <w:szCs w:val="21"/>
        </w:rPr>
        <w:t>支付违约金。</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（5）承包人违反材料与设备的约定，未经批准，擅自将已按照合同约定进入施工现场的材料或设备撤离施工现场的违约责任：按照承包人擅自撤离施工现场材料和（或）设备相应合同金额的</w:t>
      </w:r>
      <w:r>
        <w:rPr>
          <w:rFonts w:hint="eastAsia" w:ascii="宋体" w:hAnsi="宋体" w:cs="Microsoft Sans Serif"/>
          <w:kern w:val="0"/>
          <w:szCs w:val="21"/>
          <w:u w:val="single"/>
        </w:rPr>
        <w:t xml:space="preserve">  （1～5）%</w:t>
      </w:r>
      <w:r>
        <w:rPr>
          <w:rFonts w:hint="eastAsia" w:ascii="宋体" w:hAnsi="宋体" w:cs="Microsoft Sans Serif"/>
          <w:kern w:val="0"/>
          <w:szCs w:val="21"/>
        </w:rPr>
        <w:t>支付违约金。</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（6）因承包人原因造成工期延误的违约承担方式和计算方法：由承包人承担由此增加的费用，</w:t>
      </w:r>
      <w:r>
        <w:rPr>
          <w:rFonts w:hint="eastAsia" w:ascii="宋体" w:hAnsi="宋体" w:cs="Microsoft Sans Serif"/>
          <w:szCs w:val="21"/>
        </w:rPr>
        <w:t>由此导致工期延误的，工期不予顺延；逾期竣工违约金的计算方法：</w:t>
      </w:r>
      <w:r>
        <w:rPr>
          <w:rFonts w:hint="eastAsia" w:ascii="宋体" w:hAnsi="宋体" w:cs="Microsoft Sans Serif"/>
          <w:kern w:val="0"/>
          <w:szCs w:val="21"/>
        </w:rPr>
        <w:t>每延误1天，承包人按</w:t>
      </w:r>
      <w:r>
        <w:rPr>
          <w:rFonts w:hint="eastAsia" w:ascii="宋体" w:hAnsi="宋体" w:cs="Microsoft Sans Serif"/>
          <w:kern w:val="0"/>
          <w:szCs w:val="21"/>
          <w:u w:val="single"/>
        </w:rPr>
        <w:t xml:space="preserve">  （5000～50000）元/天</w:t>
      </w:r>
      <w:r>
        <w:rPr>
          <w:rFonts w:hint="eastAsia" w:ascii="宋体" w:hAnsi="宋体" w:cs="Microsoft Sans Serif"/>
          <w:kern w:val="0"/>
          <w:szCs w:val="21"/>
        </w:rPr>
        <w:t>计算逾期竣工违约金，累计违约金上限：</w:t>
      </w:r>
      <w:r>
        <w:rPr>
          <w:rFonts w:hint="eastAsia" w:ascii="宋体" w:hAnsi="宋体" w:cs="Microsoft Sans Serif"/>
          <w:kern w:val="0"/>
          <w:szCs w:val="21"/>
          <w:u w:val="single"/>
        </w:rPr>
        <w:t xml:space="preserve">  </w:t>
      </w:r>
      <w:r>
        <w:rPr>
          <w:rFonts w:hint="eastAsia" w:ascii="宋体" w:hAnsi="宋体" w:cs="Microsoft Sans Serif"/>
          <w:kern w:val="0"/>
          <w:szCs w:val="21"/>
        </w:rPr>
        <w:t>万元（不超过签约合同价的3%）</w:t>
      </w:r>
      <w:r>
        <w:rPr>
          <w:rFonts w:hint="eastAsia" w:ascii="宋体" w:hAnsi="宋体" w:cs="Microsoft Sans Serif"/>
          <w:kern w:val="0"/>
          <w:szCs w:val="21"/>
          <w:lang w:val="zh-CN"/>
        </w:rPr>
        <w:t>；</w:t>
      </w:r>
      <w:r>
        <w:rPr>
          <w:rFonts w:hint="eastAsia" w:ascii="宋体" w:hAnsi="宋体" w:cs="Microsoft Sans Serif"/>
          <w:kern w:val="0"/>
          <w:szCs w:val="21"/>
        </w:rPr>
        <w:t>承包人支付逾期竣工违约金后，不免除承包人继续完成工程及修补缺陷的义务。</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（7）承包人在缺陷责任期及保修期内，未能在合理期限对工程缺陷进行修复，或拒绝按发包人要求进行修复的违约责任：按照发包人修复缺陷费用的</w:t>
      </w:r>
      <w:r>
        <w:rPr>
          <w:rFonts w:hint="eastAsia" w:ascii="宋体" w:hAnsi="宋体" w:cs="Microsoft Sans Serif"/>
          <w:kern w:val="0"/>
          <w:szCs w:val="21"/>
          <w:u w:val="single"/>
        </w:rPr>
        <w:t xml:space="preserve">  （0.5～2）%</w:t>
      </w:r>
      <w:r>
        <w:rPr>
          <w:rFonts w:hint="eastAsia" w:ascii="宋体" w:hAnsi="宋体" w:cs="Microsoft Sans Serif"/>
          <w:kern w:val="0"/>
          <w:szCs w:val="21"/>
        </w:rPr>
        <w:t>支付违约金。</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（8）承包人明确表示或者以其行为表明不履行合同主要义务的违约责任：按签约合同价的</w:t>
      </w:r>
      <w:r>
        <w:rPr>
          <w:rFonts w:hint="eastAsia" w:ascii="宋体" w:hAnsi="宋体" w:cs="Microsoft Sans Serif"/>
          <w:kern w:val="0"/>
          <w:szCs w:val="21"/>
          <w:u w:val="single"/>
        </w:rPr>
        <w:t xml:space="preserve">  （5～10）%</w:t>
      </w:r>
      <w:r>
        <w:rPr>
          <w:rFonts w:hint="eastAsia" w:ascii="宋体" w:hAnsi="宋体" w:cs="Microsoft Sans Serif"/>
          <w:kern w:val="0"/>
          <w:szCs w:val="21"/>
        </w:rPr>
        <w:t>支付违约金。</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（9）承包人未能按照合同约定履行其他义务的违约责任：按</w:t>
      </w:r>
      <w:r>
        <w:rPr>
          <w:rFonts w:hint="eastAsia" w:ascii="宋体" w:hAnsi="宋体" w:cs="Microsoft Sans Serif"/>
          <w:kern w:val="0"/>
          <w:szCs w:val="21"/>
          <w:u w:val="single"/>
        </w:rPr>
        <w:t>（500～5000）元/次</w:t>
      </w:r>
      <w:r>
        <w:rPr>
          <w:rFonts w:hint="eastAsia" w:ascii="宋体" w:hAnsi="宋体" w:cs="Microsoft Sans Serif"/>
          <w:kern w:val="0"/>
          <w:szCs w:val="21"/>
        </w:rPr>
        <w:t>支付违约金。</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（10）承包人未能按期开工的违约责任：按合同价</w:t>
      </w:r>
      <w:r>
        <w:rPr>
          <w:rFonts w:hint="eastAsia" w:ascii="宋体" w:hAnsi="宋体" w:cs="Microsoft Sans Serif"/>
          <w:kern w:val="0"/>
          <w:szCs w:val="21"/>
          <w:u w:val="single"/>
        </w:rPr>
        <w:t>0.2‰/天</w:t>
      </w:r>
      <w:r>
        <w:rPr>
          <w:rFonts w:hint="eastAsia" w:ascii="宋体" w:hAnsi="宋体" w:cs="Microsoft Sans Serif"/>
          <w:kern w:val="0"/>
          <w:szCs w:val="21"/>
        </w:rPr>
        <w:t>支付违约金，本项违约金累计限额为签约合同价的</w:t>
      </w:r>
      <w:r>
        <w:rPr>
          <w:rFonts w:hint="eastAsia" w:ascii="宋体" w:hAnsi="宋体" w:cs="Microsoft Sans Serif"/>
          <w:kern w:val="0"/>
          <w:szCs w:val="21"/>
          <w:u w:val="single"/>
        </w:rPr>
        <w:t xml:space="preserve"> 1 %</w:t>
      </w:r>
      <w:r>
        <w:rPr>
          <w:rFonts w:hint="eastAsia" w:ascii="宋体" w:hAnsi="宋体" w:cs="Microsoft Sans Serif"/>
          <w:kern w:val="0"/>
          <w:szCs w:val="21"/>
        </w:rPr>
        <w:t>。</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（11）承包人未按经审定的施工组织设计配备或更换关键施工设备的违约责任：按</w:t>
      </w:r>
      <w:r>
        <w:rPr>
          <w:rFonts w:hint="eastAsia" w:ascii="宋体" w:hAnsi="宋体" w:cs="Microsoft Sans Serif"/>
          <w:kern w:val="0"/>
          <w:szCs w:val="21"/>
          <w:u w:val="single"/>
        </w:rPr>
        <w:t xml:space="preserve">  （5000～50000）元/台·次</w:t>
      </w:r>
      <w:r>
        <w:rPr>
          <w:rFonts w:hint="eastAsia" w:ascii="宋体" w:hAnsi="宋体" w:cs="Microsoft Sans Serif"/>
          <w:kern w:val="0"/>
          <w:szCs w:val="21"/>
        </w:rPr>
        <w:t>支付违约金。</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（12）承包人有安全问题或有违反安全管理规章制度情况的违约责任：根据具体情节，按签约合同价的</w:t>
      </w:r>
      <w:r>
        <w:rPr>
          <w:rFonts w:hint="eastAsia" w:ascii="宋体" w:hAnsi="宋体" w:cs="Microsoft Sans Serif"/>
          <w:kern w:val="0"/>
          <w:szCs w:val="21"/>
          <w:u w:val="single"/>
        </w:rPr>
        <w:t>0.5‰～4‰/次</w:t>
      </w:r>
      <w:r>
        <w:rPr>
          <w:rFonts w:hint="eastAsia" w:ascii="宋体" w:hAnsi="宋体" w:cs="Microsoft Sans Serif"/>
          <w:kern w:val="0"/>
          <w:szCs w:val="21"/>
        </w:rPr>
        <w:t>支付违约金（累计不超过签约合同价的1%，详见附件9安全管理协议）。</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（13）承包人拖欠其工人或所雇人员工资或报酬，导致其工人或所雇人员向有关部门投诉、控告、检举或以聚集等方式讨要工资或报酬的违约责任：根据具体情节，按违约金额</w:t>
      </w:r>
      <w:r>
        <w:rPr>
          <w:rFonts w:hint="eastAsia" w:ascii="宋体" w:hAnsi="宋体" w:cs="Microsoft Sans Serif"/>
          <w:kern w:val="0"/>
          <w:szCs w:val="21"/>
          <w:u w:val="single"/>
        </w:rPr>
        <w:t xml:space="preserve">  （50000～200000）元/次</w:t>
      </w:r>
      <w:r>
        <w:rPr>
          <w:rFonts w:hint="eastAsia" w:ascii="宋体" w:hAnsi="宋体" w:cs="Microsoft Sans Serif"/>
          <w:kern w:val="0"/>
          <w:szCs w:val="21"/>
        </w:rPr>
        <w:t>支付违约金。</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（14）承包人不配合发包人、监理人及发包人委托的工程造价咨询服务单位结算审核的违约责任：根据具体情节，按</w:t>
      </w:r>
      <w:r>
        <w:rPr>
          <w:rFonts w:hint="eastAsia" w:ascii="宋体" w:hAnsi="宋体" w:cs="Microsoft Sans Serif"/>
          <w:kern w:val="0"/>
          <w:szCs w:val="21"/>
          <w:u w:val="single"/>
        </w:rPr>
        <w:t xml:space="preserve">  （10000～100000）元/次</w:t>
      </w:r>
      <w:r>
        <w:rPr>
          <w:rFonts w:hint="eastAsia" w:ascii="宋体" w:hAnsi="宋体" w:cs="Microsoft Sans Serif"/>
          <w:kern w:val="0"/>
          <w:szCs w:val="21"/>
        </w:rPr>
        <w:t>支付违约金。</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（15）承包人未按合同约定移交全部和部分工程的违约责任：由承包人承担工程照管、成品保护、保管等与工程有关的各种费用，并按结算金额或违约部分结算金额的</w:t>
      </w:r>
      <w:r>
        <w:rPr>
          <w:rFonts w:hint="eastAsia" w:ascii="宋体" w:hAnsi="宋体" w:cs="Microsoft Sans Serif"/>
          <w:kern w:val="0"/>
          <w:szCs w:val="21"/>
          <w:u w:val="single"/>
        </w:rPr>
        <w:t>0.5～1‰</w:t>
      </w:r>
      <w:r>
        <w:rPr>
          <w:rFonts w:hint="eastAsia" w:ascii="宋体" w:hAnsi="宋体" w:cs="Microsoft Sans Serif"/>
          <w:kern w:val="0"/>
          <w:szCs w:val="21"/>
        </w:rPr>
        <w:t>支付违约金。</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szCs w:val="21"/>
        </w:rPr>
        <w:t>（16）承包人未按合同约定购买保险的违约责任：除按18.6.2项约定执行外，每延迟1天，按</w:t>
      </w:r>
      <w:r>
        <w:rPr>
          <w:rFonts w:hint="eastAsia" w:ascii="宋体" w:hAnsi="宋体" w:cs="Microsoft Sans Serif"/>
          <w:szCs w:val="21"/>
          <w:u w:val="single"/>
        </w:rPr>
        <w:t>500元/天</w:t>
      </w:r>
      <w:r>
        <w:rPr>
          <w:rFonts w:hint="eastAsia" w:ascii="宋体" w:hAnsi="宋体" w:cs="Microsoft Sans Serif"/>
          <w:szCs w:val="21"/>
        </w:rPr>
        <w:t>支付违约金。</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（17）发生第16.2.1项（11）目、16.2.1项（12）目、16.2.1项（13）目违约情形的违约责任：除承担由此增加的费用和工期延误的责任，承包人应向发包人支付违约金：</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1）项目经理违约承担方式和计算方法：对于第16.2.1项（11）目的情形，每发现一次，根据具体情节，按</w:t>
      </w:r>
      <w:r>
        <w:rPr>
          <w:rFonts w:hint="eastAsia" w:ascii="宋体" w:hAnsi="宋体" w:cs="Microsoft Sans Serif"/>
          <w:kern w:val="0"/>
          <w:szCs w:val="21"/>
          <w:u w:val="single"/>
        </w:rPr>
        <w:t>1000～30000元/天·次</w:t>
      </w:r>
      <w:r>
        <w:rPr>
          <w:rFonts w:hint="eastAsia" w:ascii="宋体" w:hAnsi="宋体" w:cs="Microsoft Sans Serif"/>
          <w:kern w:val="0"/>
          <w:szCs w:val="21"/>
        </w:rPr>
        <w:t>计算违约金；项目经理不按承诺到岗的（</w:t>
      </w:r>
      <w:r>
        <w:rPr>
          <w:rFonts w:ascii="宋体" w:hAnsi="宋体" w:cs="Microsoft Sans Serif"/>
          <w:kern w:val="0"/>
          <w:szCs w:val="21"/>
        </w:rPr>
        <w:t>3.2.3项约定的情形除外</w:t>
      </w:r>
      <w:r>
        <w:rPr>
          <w:rFonts w:hint="eastAsia" w:ascii="宋体" w:hAnsi="宋体" w:cs="Microsoft Sans Serif"/>
          <w:kern w:val="0"/>
          <w:szCs w:val="21"/>
        </w:rPr>
        <w:t>），按履约保证金的</w:t>
      </w:r>
      <w:r>
        <w:rPr>
          <w:rFonts w:hint="eastAsia" w:ascii="宋体" w:hAnsi="宋体" w:cs="Microsoft Sans Serif"/>
          <w:kern w:val="0"/>
          <w:szCs w:val="21"/>
          <w:u w:val="single"/>
        </w:rPr>
        <w:t>（50～100）%</w:t>
      </w:r>
      <w:r>
        <w:rPr>
          <w:rFonts w:hint="eastAsia" w:ascii="宋体" w:hAnsi="宋体" w:cs="Microsoft Sans Serif"/>
          <w:kern w:val="0"/>
          <w:szCs w:val="21"/>
        </w:rPr>
        <w:t>支付违约金，并解除合同；擅自更换项目经理的，按签约合同价的</w:t>
      </w:r>
      <w:r>
        <w:rPr>
          <w:rFonts w:hint="eastAsia" w:ascii="宋体" w:hAnsi="宋体" w:cs="Microsoft Sans Serif"/>
          <w:kern w:val="0"/>
          <w:szCs w:val="21"/>
          <w:u w:val="single"/>
        </w:rPr>
        <w:t>（0.5～3）%/人·次</w:t>
      </w:r>
      <w:r>
        <w:rPr>
          <w:rFonts w:hint="eastAsia" w:ascii="宋体" w:hAnsi="宋体" w:cs="Microsoft Sans Serif"/>
          <w:kern w:val="0"/>
          <w:szCs w:val="21"/>
        </w:rPr>
        <w:t>支付违约金，每次不低于</w:t>
      </w:r>
      <w:r>
        <w:rPr>
          <w:rFonts w:hint="eastAsia" w:ascii="宋体" w:hAnsi="宋体" w:cs="Microsoft Sans Serif"/>
          <w:kern w:val="0"/>
          <w:szCs w:val="21"/>
          <w:u w:val="single"/>
        </w:rPr>
        <w:t>20万</w:t>
      </w:r>
      <w:r>
        <w:rPr>
          <w:rFonts w:hint="eastAsia" w:ascii="宋体" w:hAnsi="宋体" w:cs="Microsoft Sans Serif"/>
          <w:kern w:val="0"/>
          <w:szCs w:val="21"/>
        </w:rPr>
        <w:t>，累计不超过</w:t>
      </w:r>
      <w:r>
        <w:rPr>
          <w:rFonts w:hint="eastAsia" w:ascii="宋体" w:hAnsi="宋体" w:cs="Microsoft Sans Serif"/>
          <w:kern w:val="0"/>
          <w:szCs w:val="21"/>
          <w:u w:val="single"/>
        </w:rPr>
        <w:t>200万</w:t>
      </w:r>
      <w:r>
        <w:rPr>
          <w:rFonts w:hint="eastAsia" w:ascii="宋体" w:hAnsi="宋体" w:cs="Microsoft Sans Serif"/>
          <w:kern w:val="0"/>
          <w:szCs w:val="21"/>
        </w:rPr>
        <w:t>；项目经理被责令停止执业的，按签约合同价的</w:t>
      </w:r>
      <w:r>
        <w:rPr>
          <w:rFonts w:hint="eastAsia" w:ascii="宋体" w:hAnsi="宋体" w:cs="Microsoft Sans Serif"/>
          <w:kern w:val="0"/>
          <w:szCs w:val="21"/>
          <w:u w:val="single"/>
        </w:rPr>
        <w:t>（0.5～3）%/人·次</w:t>
      </w:r>
      <w:r>
        <w:rPr>
          <w:rFonts w:hint="eastAsia" w:ascii="宋体" w:hAnsi="宋体" w:cs="Microsoft Sans Serif"/>
          <w:kern w:val="0"/>
          <w:szCs w:val="21"/>
        </w:rPr>
        <w:t>支付违约金，每次不低于</w:t>
      </w:r>
      <w:r>
        <w:rPr>
          <w:rFonts w:hint="eastAsia" w:ascii="宋体" w:hAnsi="宋体" w:cs="Microsoft Sans Serif"/>
          <w:kern w:val="0"/>
          <w:szCs w:val="21"/>
          <w:u w:val="single"/>
        </w:rPr>
        <w:t>20万</w:t>
      </w:r>
      <w:r>
        <w:rPr>
          <w:rFonts w:hint="eastAsia" w:ascii="宋体" w:hAnsi="宋体" w:cs="Microsoft Sans Serif"/>
          <w:kern w:val="0"/>
          <w:szCs w:val="21"/>
        </w:rPr>
        <w:t>，累计不超过</w:t>
      </w:r>
      <w:r>
        <w:rPr>
          <w:rFonts w:hint="eastAsia" w:ascii="宋体" w:hAnsi="宋体" w:cs="Microsoft Sans Serif"/>
          <w:kern w:val="0"/>
          <w:szCs w:val="21"/>
          <w:u w:val="single"/>
        </w:rPr>
        <w:t>200万</w:t>
      </w:r>
      <w:r>
        <w:rPr>
          <w:rFonts w:hint="eastAsia" w:ascii="宋体" w:hAnsi="宋体" w:cs="Microsoft Sans Serif"/>
          <w:kern w:val="0"/>
          <w:szCs w:val="21"/>
        </w:rPr>
        <w:t>；项目经理被责令停止执业的，按签约合同价的</w:t>
      </w:r>
      <w:r>
        <w:rPr>
          <w:rFonts w:hint="eastAsia" w:ascii="宋体" w:hAnsi="宋体" w:cs="Microsoft Sans Serif"/>
          <w:kern w:val="0"/>
          <w:szCs w:val="21"/>
          <w:u w:val="single"/>
        </w:rPr>
        <w:t>（0.5～3）%/人•次</w:t>
      </w:r>
      <w:r>
        <w:rPr>
          <w:rFonts w:hint="eastAsia" w:ascii="宋体" w:hAnsi="宋体" w:cs="Microsoft Sans Serif"/>
          <w:kern w:val="0"/>
          <w:szCs w:val="21"/>
        </w:rPr>
        <w:t>支付违约金，每次不低于</w:t>
      </w:r>
      <w:r>
        <w:rPr>
          <w:rFonts w:hint="eastAsia" w:ascii="宋体" w:hAnsi="宋体" w:cs="Microsoft Sans Serif"/>
          <w:kern w:val="0"/>
          <w:szCs w:val="21"/>
          <w:u w:val="single"/>
        </w:rPr>
        <w:t>20</w:t>
      </w:r>
      <w:r>
        <w:rPr>
          <w:rFonts w:hint="eastAsia" w:ascii="宋体" w:hAnsi="宋体" w:cs="Microsoft Sans Serif"/>
          <w:kern w:val="0"/>
          <w:szCs w:val="21"/>
        </w:rPr>
        <w:t>万，累计不超过</w:t>
      </w:r>
      <w:r>
        <w:rPr>
          <w:rFonts w:hint="eastAsia" w:ascii="宋体" w:hAnsi="宋体" w:cs="Microsoft Sans Serif"/>
          <w:kern w:val="0"/>
          <w:szCs w:val="21"/>
          <w:u w:val="single"/>
        </w:rPr>
        <w:t>200</w:t>
      </w:r>
      <w:r>
        <w:rPr>
          <w:rFonts w:hint="eastAsia" w:ascii="宋体" w:hAnsi="宋体" w:cs="Microsoft Sans Serif"/>
          <w:kern w:val="0"/>
          <w:szCs w:val="21"/>
        </w:rPr>
        <w:t>万。</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2）主要技术负责人违约承担方式和计算方法：对于第16.2.1项（12）目的六种情形，每发现一次，根据具体情节，按</w:t>
      </w:r>
      <w:r>
        <w:rPr>
          <w:rFonts w:hint="eastAsia" w:ascii="宋体" w:hAnsi="宋体" w:cs="Microsoft Sans Serif"/>
          <w:kern w:val="0"/>
          <w:szCs w:val="21"/>
          <w:u w:val="single"/>
        </w:rPr>
        <w:t>1000～30000元/天·次</w:t>
      </w:r>
      <w:r>
        <w:rPr>
          <w:rFonts w:hint="eastAsia" w:ascii="宋体" w:hAnsi="宋体" w:cs="Microsoft Sans Serif"/>
          <w:kern w:val="0"/>
          <w:szCs w:val="21"/>
        </w:rPr>
        <w:t>计算违约金；擅自更换主要技术负责人的，按签约合同价的</w:t>
      </w:r>
      <w:r>
        <w:rPr>
          <w:rFonts w:hint="eastAsia" w:ascii="宋体" w:hAnsi="宋体" w:cs="Microsoft Sans Serif"/>
          <w:kern w:val="0"/>
          <w:szCs w:val="21"/>
          <w:u w:val="single"/>
        </w:rPr>
        <w:t>（0.5～2）%/人·次</w:t>
      </w:r>
      <w:r>
        <w:rPr>
          <w:rFonts w:hint="eastAsia" w:ascii="宋体" w:hAnsi="宋体" w:cs="Microsoft Sans Serif"/>
          <w:kern w:val="0"/>
          <w:szCs w:val="21"/>
        </w:rPr>
        <w:t>支付违约金，每次不低于</w:t>
      </w:r>
      <w:r>
        <w:rPr>
          <w:rFonts w:hint="eastAsia" w:ascii="宋体" w:hAnsi="宋体" w:cs="Microsoft Sans Serif"/>
          <w:kern w:val="0"/>
          <w:szCs w:val="21"/>
          <w:u w:val="single"/>
        </w:rPr>
        <w:t>10万</w:t>
      </w:r>
      <w:r>
        <w:rPr>
          <w:rFonts w:hint="eastAsia" w:ascii="宋体" w:hAnsi="宋体" w:cs="Microsoft Sans Serif"/>
          <w:kern w:val="0"/>
          <w:szCs w:val="21"/>
        </w:rPr>
        <w:t>，累计不超过</w:t>
      </w:r>
      <w:r>
        <w:rPr>
          <w:rFonts w:hint="eastAsia" w:ascii="宋体" w:hAnsi="宋体" w:cs="Microsoft Sans Serif"/>
          <w:kern w:val="0"/>
          <w:szCs w:val="21"/>
          <w:u w:val="single"/>
        </w:rPr>
        <w:t>100万</w:t>
      </w:r>
      <w:r>
        <w:rPr>
          <w:rFonts w:hint="eastAsia" w:ascii="宋体" w:hAnsi="宋体" w:cs="Microsoft Sans Serif"/>
          <w:kern w:val="0"/>
          <w:szCs w:val="21"/>
        </w:rPr>
        <w:t>。</w:t>
      </w:r>
    </w:p>
    <w:p>
      <w:pPr>
        <w:snapToGrid w:val="0"/>
        <w:spacing w:line="360" w:lineRule="auto"/>
        <w:ind w:firstLine="420" w:firstLineChars="200"/>
        <w:jc w:val="left"/>
        <w:rPr>
          <w:rFonts w:ascii="宋体" w:hAnsi="宋体"/>
          <w:szCs w:val="21"/>
        </w:rPr>
      </w:pPr>
      <w:r>
        <w:rPr>
          <w:rFonts w:hint="eastAsia" w:ascii="宋体" w:hAnsi="宋体" w:cs="Microsoft Sans Serif"/>
          <w:kern w:val="0"/>
          <w:szCs w:val="21"/>
        </w:rPr>
        <w:t>3）主要施工管理人员违约承担方式和计算方法：对于第16.2.1项（13）目的五种情形，每发现一次，根据具体情节，按</w:t>
      </w:r>
      <w:r>
        <w:rPr>
          <w:rFonts w:hint="eastAsia" w:ascii="宋体" w:hAnsi="宋体" w:cs="Microsoft Sans Serif"/>
          <w:kern w:val="0"/>
          <w:szCs w:val="21"/>
          <w:u w:val="single"/>
        </w:rPr>
        <w:t>500～10000元/天·次</w:t>
      </w:r>
      <w:r>
        <w:rPr>
          <w:rFonts w:hint="eastAsia" w:ascii="宋体" w:hAnsi="宋体" w:cs="Microsoft Sans Serif"/>
          <w:kern w:val="0"/>
          <w:szCs w:val="21"/>
        </w:rPr>
        <w:t>计算违约金。</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（18）</w:t>
      </w:r>
      <w:r>
        <w:rPr>
          <w:rFonts w:hint="eastAsia" w:ascii="宋体" w:hAnsi="宋体" w:cs="Microsoft Sans Serif"/>
          <w:kern w:val="0"/>
          <w:szCs w:val="21"/>
          <w:u w:val="single"/>
        </w:rPr>
        <w:t xml:space="preserve">        </w:t>
      </w:r>
      <w:r>
        <w:rPr>
          <w:rFonts w:hint="eastAsia" w:ascii="宋体" w:hAnsi="宋体" w:cs="Microsoft Sans Serif"/>
          <w:kern w:val="0"/>
          <w:szCs w:val="21"/>
        </w:rPr>
        <w:t>。</w:t>
      </w:r>
      <w:bookmarkStart w:id="1509" w:name="_Hlk524380347"/>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szCs w:val="21"/>
        </w:rPr>
        <w:t>应当由承包人向发包人支付的违约金，发包人可直接提取届时有效的履约担保相应金额，不足部分由承包人支付；若发包人提取履约担保相应金额，则承包人应在提取后7日内补足或提交合同约定的履约担保的金额，否则按专用合同第</w:t>
      </w:r>
      <w:r>
        <w:rPr>
          <w:rFonts w:hint="eastAsia" w:ascii="宋体" w:hAnsi="宋体" w:cs="Microsoft Sans Serif"/>
          <w:kern w:val="0"/>
          <w:szCs w:val="21"/>
        </w:rPr>
        <w:t>16.2.2项第（1）目承担违约责任</w:t>
      </w:r>
      <w:r>
        <w:rPr>
          <w:rFonts w:hint="eastAsia" w:ascii="宋体" w:hAnsi="宋体" w:cs="Microsoft Sans Serif"/>
          <w:szCs w:val="21"/>
        </w:rPr>
        <w:t>，并从应付或到期应付给承包人的任何款项中或采用其他方法，扣除该违约金。</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szCs w:val="21"/>
        </w:rPr>
        <w:t>承包人必须及时纠正违约行为并采取积极措施，满足合同要求，自行承担与纠正违约行为有关的人身伤亡、罚款、索赔、损失补偿、诉讼费用及其他一切责任，工期不予顺延</w:t>
      </w:r>
      <w:r>
        <w:rPr>
          <w:rFonts w:hint="eastAsia" w:ascii="宋体" w:hAnsi="宋体" w:cs="Microsoft Sans Serif"/>
          <w:kern w:val="0"/>
          <w:szCs w:val="21"/>
        </w:rPr>
        <w:t>，承担由此给</w:t>
      </w:r>
      <w:r>
        <w:rPr>
          <w:rFonts w:hint="eastAsia" w:ascii="宋体" w:hAnsi="宋体" w:cs="Microsoft Sans Serif"/>
          <w:szCs w:val="21"/>
        </w:rPr>
        <w:t>发包人造成的经济损失。</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szCs w:val="21"/>
        </w:rPr>
        <w:t>承包人承担承包范围的工程质量、安全、环保责任，因承包人原因引起的质量、安全、环保等事故由承包人承担相应的法律后果。</w:t>
      </w:r>
    </w:p>
    <w:bookmarkEnd w:id="1509"/>
    <w:p>
      <w:pPr>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16.2.3 因承包人违约解除合同</w:t>
      </w:r>
    </w:p>
    <w:p>
      <w:pPr>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因承包人违约并致使合同目的不能实现的，发包人有权解除合同：</w:t>
      </w:r>
    </w:p>
    <w:p>
      <w:pPr>
        <w:pStyle w:val="107"/>
        <w:spacing w:line="360" w:lineRule="auto"/>
        <w:jc w:val="left"/>
        <w:rPr>
          <w:rFonts w:ascii="宋体" w:hAnsi="宋体" w:cs="Microsoft Sans Serif"/>
          <w:kern w:val="0"/>
          <w:sz w:val="21"/>
          <w:szCs w:val="21"/>
        </w:rPr>
      </w:pPr>
      <w:r>
        <w:rPr>
          <w:rFonts w:hint="eastAsia" w:ascii="宋体" w:hAnsi="宋体" w:cs="Microsoft Sans Serif"/>
          <w:kern w:val="0"/>
          <w:sz w:val="21"/>
          <w:szCs w:val="21"/>
        </w:rPr>
        <w:t>（1）未按合同约定在期限内购买保险的；</w:t>
      </w:r>
    </w:p>
    <w:p>
      <w:pPr>
        <w:pStyle w:val="107"/>
        <w:spacing w:line="360" w:lineRule="auto"/>
        <w:jc w:val="left"/>
        <w:rPr>
          <w:rFonts w:ascii="宋体" w:hAnsi="宋体" w:cs="Microsoft Sans Serif"/>
          <w:kern w:val="0"/>
          <w:sz w:val="21"/>
          <w:szCs w:val="21"/>
        </w:rPr>
      </w:pPr>
      <w:r>
        <w:rPr>
          <w:rFonts w:hint="eastAsia" w:ascii="宋体" w:hAnsi="宋体" w:cs="Microsoft Sans Serif"/>
          <w:kern w:val="0"/>
          <w:sz w:val="21"/>
          <w:szCs w:val="21"/>
        </w:rPr>
        <w:t>（2）因承包人原因导致未按时开工的；</w:t>
      </w:r>
    </w:p>
    <w:p>
      <w:pPr>
        <w:pStyle w:val="107"/>
        <w:spacing w:line="360" w:lineRule="auto"/>
        <w:jc w:val="left"/>
        <w:rPr>
          <w:rFonts w:ascii="宋体" w:hAnsi="宋体" w:cs="Microsoft Sans Serif"/>
          <w:kern w:val="0"/>
          <w:sz w:val="21"/>
          <w:szCs w:val="21"/>
        </w:rPr>
      </w:pPr>
      <w:r>
        <w:rPr>
          <w:rFonts w:hint="eastAsia" w:ascii="宋体" w:hAnsi="宋体" w:cs="Microsoft Sans Serif"/>
          <w:kern w:val="0"/>
          <w:sz w:val="21"/>
          <w:szCs w:val="21"/>
        </w:rPr>
        <w:t>（3）因承包人原因导致施工节点进度延误超过30天的；</w:t>
      </w:r>
    </w:p>
    <w:p>
      <w:pPr>
        <w:autoSpaceDE w:val="0"/>
        <w:autoSpaceDN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（4）发生第21.1款〔退出机制〕约定的情形的；</w:t>
      </w:r>
    </w:p>
    <w:p>
      <w:pPr>
        <w:pStyle w:val="107"/>
        <w:spacing w:line="360" w:lineRule="auto"/>
        <w:jc w:val="left"/>
        <w:rPr>
          <w:rFonts w:ascii="宋体" w:hAnsi="宋体" w:cs="Microsoft Sans Serif"/>
          <w:kern w:val="0"/>
          <w:sz w:val="21"/>
          <w:szCs w:val="21"/>
        </w:rPr>
      </w:pPr>
      <w:r>
        <w:rPr>
          <w:rFonts w:hint="eastAsia" w:ascii="宋体" w:hAnsi="宋体" w:cs="Microsoft Sans Serif"/>
          <w:kern w:val="0"/>
          <w:sz w:val="21"/>
          <w:szCs w:val="21"/>
        </w:rPr>
        <w:t>（5）监理人发出整改通知后，承包人在监理人限定的期限内仍不纠正违约行为的；</w:t>
      </w:r>
    </w:p>
    <w:p>
      <w:pPr>
        <w:pStyle w:val="107"/>
        <w:spacing w:line="360" w:lineRule="auto"/>
        <w:jc w:val="left"/>
        <w:rPr>
          <w:rFonts w:ascii="宋体" w:hAnsi="宋体" w:cs="Microsoft Sans Serif"/>
          <w:kern w:val="0"/>
          <w:sz w:val="21"/>
          <w:szCs w:val="21"/>
        </w:rPr>
      </w:pPr>
      <w:r>
        <w:rPr>
          <w:rFonts w:hint="eastAsia" w:ascii="宋体" w:hAnsi="宋体" w:cs="Microsoft Sans Serif"/>
          <w:kern w:val="0"/>
          <w:sz w:val="21"/>
          <w:szCs w:val="21"/>
        </w:rPr>
        <w:t>（6）承包人进入清算或者严重资不抵债且无法履行合同的；</w:t>
      </w:r>
    </w:p>
    <w:p>
      <w:pPr>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（7）违反相关法律而被相关政府部门依法吊销营业执照、责令停业、清算或宣布破产、责令关闭的；</w:t>
      </w:r>
    </w:p>
    <w:p>
      <w:pPr>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（8）承包人未履行合同项下的义务构成对合同的实质性违约，并且在收到发包人要求说明其违约并予以补救的通知后56天内仍未能补救该实质性违约的；</w:t>
      </w:r>
    </w:p>
    <w:p>
      <w:pPr>
        <w:pStyle w:val="107"/>
        <w:spacing w:line="360" w:lineRule="auto"/>
        <w:jc w:val="left"/>
        <w:rPr>
          <w:rFonts w:ascii="宋体" w:hAnsi="宋体" w:cs="Microsoft Sans Serif"/>
          <w:kern w:val="0"/>
          <w:sz w:val="21"/>
          <w:szCs w:val="21"/>
        </w:rPr>
      </w:pPr>
      <w:r>
        <w:rPr>
          <w:rFonts w:hint="eastAsia" w:ascii="宋体" w:hAnsi="宋体" w:cs="Microsoft Sans Serif"/>
          <w:kern w:val="0"/>
          <w:sz w:val="21"/>
          <w:szCs w:val="21"/>
        </w:rPr>
        <w:t>（9）</w:t>
      </w:r>
      <w:r>
        <w:rPr>
          <w:rFonts w:hint="eastAsia" w:ascii="宋体" w:hAnsi="宋体" w:cs="Microsoft Sans Serif"/>
          <w:kern w:val="0"/>
          <w:sz w:val="21"/>
          <w:szCs w:val="21"/>
          <w:u w:val="single"/>
        </w:rPr>
        <w:t>合同约定的发包人有权解除合同的其他情形</w:t>
      </w:r>
      <w:r>
        <w:rPr>
          <w:rFonts w:hint="eastAsia" w:ascii="宋体" w:hAnsi="宋体" w:cs="Microsoft Sans Serif"/>
          <w:kern w:val="0"/>
          <w:sz w:val="21"/>
          <w:szCs w:val="21"/>
        </w:rPr>
        <w:t>。</w:t>
      </w:r>
    </w:p>
    <w:p>
      <w:pPr>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16.2.4因承包人违约解除合同后的处理</w:t>
      </w:r>
    </w:p>
    <w:p>
      <w:pPr>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因承包人违约导致合同解除的，合同当事人应在合同解除后56天内完成估价、付款和清算，并按以下约定执行：</w:t>
      </w:r>
    </w:p>
    <w:p>
      <w:pPr>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（1）合同解除后，按第14.2款结算审定方式确定承包人实际完成工作对应的合同价款，以及承包人已提供的材料、工程设备、施工设备和临时工程等的价值；</w:t>
      </w:r>
    </w:p>
    <w:p>
      <w:pPr>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（2）合同解除后，承包人应支付违约金；</w:t>
      </w:r>
    </w:p>
    <w:p>
      <w:pPr>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（3）合同解除后，赔偿因解除合同给发包人造成的损失；</w:t>
      </w:r>
    </w:p>
    <w:p>
      <w:pPr>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（4）合同解除后，承包人应按照发包人要求和监理人的指示完成现场的清理和撤离。</w:t>
      </w:r>
    </w:p>
    <w:p>
      <w:pPr>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因承包人违约导致解除合同的，发包人有权暂停对承包人的付款，查清各项付款和已扣款项。发包人和承包人未能就合同解除后的清算和款项支付达成一致的，按照第20条〔争议解决〕的约定处理。</w:t>
      </w:r>
    </w:p>
    <w:p>
      <w:pPr>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合同解除后，发包人可派员进驻施工现场，另行组织人员或委托其他承包人继续完成合同工程；因继续完成工程的需要，发包人有权使用承包人在施工现场的材料、设备、临时工程、承包人文件和由承包人或以其名义编制的其他文件；发包人继续使用承包人在施工现场的材料、设备、临时工程、承包人文件和由承包人或以其名义编制的其他文件的费用承担方式由双方协商确定；发包人继续使用的行为不免除或减轻承包人应承担的违约责任，也不影响发包人根据合同享有的索赔等权利。</w:t>
      </w:r>
    </w:p>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496"/>
    <w:bookmarkEnd w:id="1497"/>
    <w:p>
      <w:pPr>
        <w:pStyle w:val="6"/>
        <w:spacing w:before="156" w:beforeLines="50" w:beforeAutospacing="0" w:after="156" w:afterLines="50" w:afterAutospacing="0" w:line="360" w:lineRule="auto"/>
        <w:jc w:val="both"/>
        <w:rPr>
          <w:bCs w:val="0"/>
          <w:kern w:val="2"/>
          <w:sz w:val="21"/>
          <w:szCs w:val="21"/>
        </w:rPr>
      </w:pPr>
      <w:bookmarkStart w:id="1510" w:name="_Toc532375665"/>
      <w:bookmarkStart w:id="1511" w:name="_Toc532377404"/>
      <w:bookmarkStart w:id="1512" w:name="_Toc351203649"/>
      <w:bookmarkStart w:id="1513" w:name="_Hlk528928440"/>
      <w:r>
        <w:rPr>
          <w:rFonts w:hint="eastAsia"/>
          <w:kern w:val="2"/>
          <w:sz w:val="21"/>
          <w:szCs w:val="21"/>
        </w:rPr>
        <w:t>17. 不可抗力</w:t>
      </w:r>
      <w:bookmarkEnd w:id="1510"/>
      <w:bookmarkEnd w:id="1511"/>
      <w:bookmarkEnd w:id="1512"/>
    </w:p>
    <w:p>
      <w:pPr>
        <w:pStyle w:val="7"/>
        <w:spacing w:before="0" w:beforeAutospacing="0" w:after="0" w:afterAutospacing="0" w:line="360" w:lineRule="auto"/>
        <w:ind w:firstLine="422" w:firstLineChars="200"/>
        <w:rPr>
          <w:sz w:val="21"/>
          <w:szCs w:val="21"/>
        </w:rPr>
      </w:pPr>
      <w:bookmarkStart w:id="1514" w:name="_Toc532375666"/>
      <w:bookmarkStart w:id="1515" w:name="_Toc532377405"/>
      <w:r>
        <w:rPr>
          <w:rFonts w:hint="eastAsia"/>
          <w:sz w:val="21"/>
          <w:szCs w:val="21"/>
        </w:rPr>
        <w:t>17.1 不可抗力的确认</w:t>
      </w:r>
      <w:bookmarkEnd w:id="1514"/>
      <w:bookmarkEnd w:id="1515"/>
    </w:p>
    <w:p>
      <w:pPr>
        <w:spacing w:line="360" w:lineRule="auto"/>
        <w:ind w:right="105" w:rightChars="50" w:firstLine="420" w:firstLineChars="200"/>
        <w:jc w:val="left"/>
        <w:rPr>
          <w:rFonts w:ascii="宋体" w:hAnsi="宋体"/>
          <w:szCs w:val="21"/>
        </w:rPr>
      </w:pPr>
      <w:r>
        <w:rPr>
          <w:rFonts w:hint="eastAsia" w:ascii="宋体" w:hAnsi="宋体"/>
          <w:szCs w:val="21"/>
        </w:rPr>
        <w:t>除通用合同条款约定的不可抗力事件之外，视为不可抗力的其他情形：</w:t>
      </w:r>
      <w:bookmarkStart w:id="1516" w:name="_Hlk524379638"/>
    </w:p>
    <w:p>
      <w:pPr>
        <w:spacing w:line="360" w:lineRule="auto"/>
        <w:ind w:right="105" w:rightChars="50" w:firstLine="420" w:firstLineChars="200"/>
        <w:jc w:val="left"/>
        <w:rPr>
          <w:rFonts w:ascii="宋体" w:hAnsi="宋体"/>
          <w:szCs w:val="21"/>
        </w:rPr>
      </w:pPr>
      <w:r>
        <w:rPr>
          <w:rFonts w:hint="eastAsia" w:ascii="宋体" w:hAnsi="宋体"/>
          <w:szCs w:val="21"/>
        </w:rPr>
        <w:t>（1）洪水、火山爆发、山崩、山体滑坡、泥石流、龙卷风、隧道内不可预测的突发性地质灾害等自然灾害；</w:t>
      </w:r>
    </w:p>
    <w:p>
      <w:pPr>
        <w:spacing w:line="360" w:lineRule="auto"/>
        <w:ind w:right="105" w:rightChars="50" w:firstLine="420" w:firstLineChars="200"/>
        <w:jc w:val="left"/>
        <w:rPr>
          <w:rFonts w:ascii="宋体" w:hAnsi="宋体"/>
          <w:szCs w:val="21"/>
        </w:rPr>
      </w:pPr>
      <w:r>
        <w:rPr>
          <w:rFonts w:hint="eastAsia" w:ascii="宋体" w:hAnsi="宋体"/>
          <w:szCs w:val="21"/>
        </w:rPr>
        <w:t>（2）骚乱、戒严、封锁、禁运、恐怖行为、等社会行为，但承包人或其分包人派遣与雇佣的人员由于合同工程施工原因引起的除外；</w:t>
      </w:r>
    </w:p>
    <w:p>
      <w:pPr>
        <w:spacing w:line="360" w:lineRule="auto"/>
        <w:ind w:right="105" w:rightChars="50" w:firstLine="420" w:firstLineChars="200"/>
        <w:jc w:val="left"/>
        <w:rPr>
          <w:rFonts w:ascii="宋体" w:hAnsi="宋体"/>
          <w:szCs w:val="21"/>
        </w:rPr>
      </w:pPr>
      <w:r>
        <w:rPr>
          <w:rFonts w:hint="eastAsia" w:ascii="宋体" w:hAnsi="宋体"/>
          <w:szCs w:val="21"/>
        </w:rPr>
        <w:t>（3）不能合理预见的重大交通阻滞、停运、交通事故，非双方责任引起的火灾、爆炸、船舶撞击等情形；</w:t>
      </w:r>
    </w:p>
    <w:p>
      <w:pPr>
        <w:spacing w:line="360" w:lineRule="auto"/>
        <w:ind w:right="105" w:rightChars="50" w:firstLine="420" w:firstLineChars="200"/>
        <w:jc w:val="left"/>
        <w:rPr>
          <w:rFonts w:ascii="宋体" w:hAnsi="宋体"/>
          <w:szCs w:val="21"/>
        </w:rPr>
      </w:pPr>
      <w:r>
        <w:rPr>
          <w:rFonts w:hint="eastAsia" w:ascii="宋体" w:hAnsi="宋体"/>
          <w:szCs w:val="21"/>
        </w:rPr>
        <w:t>（4）化学或放射性污染或核辐射；</w:t>
      </w:r>
    </w:p>
    <w:p>
      <w:pPr>
        <w:spacing w:line="360" w:lineRule="auto"/>
        <w:ind w:right="105" w:rightChars="50" w:firstLine="420" w:firstLineChars="200"/>
        <w:jc w:val="left"/>
        <w:rPr>
          <w:rFonts w:ascii="宋体" w:hAnsi="宋体"/>
          <w:szCs w:val="21"/>
        </w:rPr>
      </w:pPr>
      <w:r>
        <w:rPr>
          <w:rFonts w:hint="eastAsia" w:ascii="宋体" w:hAnsi="宋体"/>
          <w:szCs w:val="21"/>
        </w:rPr>
        <w:t>（5）环保治理等政府行为导致项目停工的。</w:t>
      </w:r>
      <w:bookmarkEnd w:id="1516"/>
    </w:p>
    <w:p>
      <w:pPr>
        <w:spacing w:line="360" w:lineRule="auto"/>
        <w:ind w:right="105" w:rightChars="50" w:firstLine="420" w:firstLineChars="200"/>
        <w:jc w:val="left"/>
        <w:rPr>
          <w:rFonts w:ascii="宋体" w:hAnsi="宋体"/>
          <w:szCs w:val="21"/>
        </w:rPr>
      </w:pPr>
      <w:r>
        <w:rPr>
          <w:rFonts w:hint="eastAsia" w:ascii="宋体" w:hAnsi="宋体"/>
          <w:szCs w:val="21"/>
        </w:rPr>
        <w:t>（6）</w:t>
      </w:r>
      <w:r>
        <w:rPr>
          <w:rFonts w:hint="eastAsia" w:ascii="宋体" w:hAnsi="宋体"/>
          <w:szCs w:val="21"/>
          <w:u w:val="single"/>
        </w:rPr>
        <w:t xml:space="preserve">        </w:t>
      </w:r>
      <w:r>
        <w:rPr>
          <w:rFonts w:hint="eastAsia" w:ascii="宋体" w:hAnsi="宋体"/>
          <w:szCs w:val="21"/>
        </w:rPr>
        <w:t>。</w:t>
      </w:r>
    </w:p>
    <w:p>
      <w:pPr>
        <w:pStyle w:val="7"/>
        <w:spacing w:before="0" w:beforeAutospacing="0" w:after="0" w:afterAutospacing="0" w:line="360" w:lineRule="auto"/>
        <w:ind w:firstLine="422" w:firstLineChars="200"/>
        <w:rPr>
          <w:sz w:val="21"/>
          <w:szCs w:val="21"/>
        </w:rPr>
      </w:pPr>
      <w:bookmarkStart w:id="1517" w:name="_Toc532377406"/>
      <w:bookmarkStart w:id="1518" w:name="_Toc532375667"/>
      <w:bookmarkStart w:id="1519" w:name="_Toc351203610"/>
      <w:bookmarkStart w:id="1520" w:name="_Toc296346620"/>
      <w:bookmarkStart w:id="1521" w:name="_Toc296503119"/>
      <w:bookmarkStart w:id="1522" w:name="_Toc337558826"/>
      <w:r>
        <w:rPr>
          <w:rFonts w:hint="eastAsia"/>
          <w:sz w:val="21"/>
          <w:szCs w:val="21"/>
        </w:rPr>
        <w:t>17.3 不可抗力后果的承担</w:t>
      </w:r>
      <w:bookmarkEnd w:id="1517"/>
      <w:bookmarkEnd w:id="1518"/>
      <w:bookmarkEnd w:id="1519"/>
    </w:p>
    <w:bookmarkEnd w:id="1520"/>
    <w:bookmarkEnd w:id="1521"/>
    <w:bookmarkEnd w:id="1522"/>
    <w:p>
      <w:pPr>
        <w:spacing w:line="360" w:lineRule="auto"/>
        <w:ind w:right="105" w:rightChars="50" w:firstLine="420" w:firstLineChars="200"/>
        <w:jc w:val="left"/>
        <w:rPr>
          <w:rFonts w:ascii="宋体" w:hAnsi="宋体"/>
          <w:szCs w:val="21"/>
        </w:rPr>
      </w:pPr>
      <w:r>
        <w:rPr>
          <w:rFonts w:hint="eastAsia" w:ascii="宋体" w:hAnsi="宋体"/>
          <w:szCs w:val="21"/>
        </w:rPr>
        <w:t>17.3.1 不可抗力引起的后果及造成的损失由合同当事人按照法律规定及合同约定各自承担。不可抗力发生前已完成的工程应当按照合同约定进行计量支付。</w:t>
      </w:r>
    </w:p>
    <w:p>
      <w:pPr>
        <w:spacing w:line="360" w:lineRule="auto"/>
        <w:ind w:right="105" w:rightChars="50" w:firstLine="420" w:firstLineChars="200"/>
        <w:jc w:val="left"/>
        <w:rPr>
          <w:rFonts w:ascii="宋体" w:hAnsi="宋体"/>
          <w:szCs w:val="21"/>
        </w:rPr>
      </w:pPr>
      <w:r>
        <w:rPr>
          <w:rFonts w:hint="eastAsia" w:ascii="宋体" w:hAnsi="宋体"/>
          <w:szCs w:val="21"/>
        </w:rPr>
        <w:t>17.3.2 不可抗力导致的人员伤亡、财产损失、费用增加和（或）工期延误等后果，由合同当事人按以下原则承担：</w:t>
      </w:r>
    </w:p>
    <w:p>
      <w:pPr>
        <w:spacing w:line="360" w:lineRule="auto"/>
        <w:ind w:right="105" w:rightChars="50" w:firstLine="420" w:firstLineChars="200"/>
        <w:jc w:val="left"/>
        <w:rPr>
          <w:rFonts w:ascii="宋体" w:hAnsi="宋体"/>
          <w:szCs w:val="21"/>
        </w:rPr>
      </w:pPr>
      <w:r>
        <w:rPr>
          <w:rFonts w:hint="eastAsia" w:ascii="宋体" w:hAnsi="宋体"/>
          <w:szCs w:val="21"/>
        </w:rPr>
        <w:t>（1）永久工程、已运至施工现场的施工材料和工程设备的损坏，以及因工程损坏造成的第三方人员伤亡和财产损失由发包人承担；</w:t>
      </w:r>
    </w:p>
    <w:p>
      <w:pPr>
        <w:spacing w:line="360" w:lineRule="auto"/>
        <w:ind w:right="105" w:rightChars="50" w:firstLine="420" w:firstLineChars="200"/>
        <w:jc w:val="left"/>
        <w:rPr>
          <w:rFonts w:ascii="宋体" w:hAnsi="宋体"/>
          <w:szCs w:val="21"/>
        </w:rPr>
      </w:pPr>
      <w:r>
        <w:rPr>
          <w:rFonts w:hint="eastAsia" w:ascii="宋体" w:hAnsi="宋体"/>
          <w:szCs w:val="21"/>
        </w:rPr>
        <w:t>（2）承包人施工设备的损坏由承包人承担；</w:t>
      </w:r>
    </w:p>
    <w:p>
      <w:pPr>
        <w:spacing w:line="360" w:lineRule="auto"/>
        <w:ind w:right="105" w:rightChars="50" w:firstLine="420" w:firstLineChars="200"/>
        <w:jc w:val="left"/>
        <w:rPr>
          <w:rFonts w:ascii="宋体" w:hAnsi="宋体"/>
          <w:szCs w:val="21"/>
        </w:rPr>
      </w:pPr>
      <w:r>
        <w:rPr>
          <w:rFonts w:hint="eastAsia" w:ascii="宋体" w:hAnsi="宋体"/>
          <w:szCs w:val="21"/>
        </w:rPr>
        <w:t>（3）发包人和承包人承担各自人员伤亡和财产的损失；</w:t>
      </w:r>
    </w:p>
    <w:p>
      <w:pPr>
        <w:spacing w:line="360" w:lineRule="auto"/>
        <w:ind w:right="105" w:rightChars="50" w:firstLine="420" w:firstLineChars="200"/>
        <w:jc w:val="left"/>
        <w:rPr>
          <w:rFonts w:ascii="宋体" w:hAnsi="宋体"/>
          <w:szCs w:val="21"/>
        </w:rPr>
      </w:pPr>
      <w:r>
        <w:rPr>
          <w:rFonts w:hint="eastAsia" w:ascii="宋体" w:hAnsi="宋体"/>
          <w:szCs w:val="21"/>
        </w:rPr>
        <w:t>（4）因不可抗力影响承包人履行合同约定的义务，已经引起或将引起工期延误的，应当顺延工期，由此导致承包人停工的费用损失由发包人和承包人合理共担；</w:t>
      </w:r>
    </w:p>
    <w:p>
      <w:pPr>
        <w:spacing w:line="360" w:lineRule="auto"/>
        <w:ind w:right="105" w:rightChars="50" w:firstLine="420" w:firstLineChars="200"/>
        <w:jc w:val="left"/>
        <w:rPr>
          <w:rFonts w:ascii="宋体" w:hAnsi="宋体"/>
          <w:szCs w:val="21"/>
        </w:rPr>
      </w:pPr>
      <w:r>
        <w:rPr>
          <w:rFonts w:hint="eastAsia" w:ascii="宋体" w:hAnsi="宋体"/>
          <w:szCs w:val="21"/>
        </w:rPr>
        <w:t>（5）因不可抗力引起或将引起工期延误，发包人要求赶工的，由此增加的赶工费用由发包人承担；</w:t>
      </w:r>
    </w:p>
    <w:p>
      <w:pPr>
        <w:spacing w:line="360" w:lineRule="auto"/>
        <w:ind w:right="105" w:rightChars="50" w:firstLine="420" w:firstLineChars="200"/>
        <w:jc w:val="left"/>
        <w:rPr>
          <w:rFonts w:ascii="宋体" w:hAnsi="宋体"/>
          <w:szCs w:val="21"/>
        </w:rPr>
      </w:pPr>
      <w:r>
        <w:rPr>
          <w:rFonts w:hint="eastAsia" w:ascii="宋体" w:hAnsi="宋体"/>
          <w:szCs w:val="21"/>
        </w:rPr>
        <w:t>（6）承包人在停工期间按照发包人要求照管、清理和修复工程的费用由发包人承担；</w:t>
      </w:r>
    </w:p>
    <w:p>
      <w:pPr>
        <w:spacing w:line="360" w:lineRule="auto"/>
        <w:ind w:right="105" w:rightChars="50" w:firstLine="420" w:firstLineChars="200"/>
        <w:jc w:val="left"/>
        <w:rPr>
          <w:rFonts w:ascii="宋体" w:hAnsi="宋体"/>
          <w:szCs w:val="21"/>
        </w:rPr>
      </w:pPr>
      <w:r>
        <w:rPr>
          <w:rFonts w:hint="eastAsia" w:ascii="宋体" w:hAnsi="宋体"/>
          <w:szCs w:val="21"/>
        </w:rPr>
        <w:t>（7）不可抗力事件发生后，合同当事人均应采取措施尽量避免和减少损失的扩大，任何一方当事人没有采取有效措施导致损失扩大的，应对扩大的损失承担责任。</w:t>
      </w:r>
    </w:p>
    <w:p>
      <w:pPr>
        <w:spacing w:line="360" w:lineRule="auto"/>
        <w:ind w:right="105" w:rightChars="50" w:firstLine="420" w:firstLineChars="200"/>
        <w:jc w:val="left"/>
        <w:rPr>
          <w:rFonts w:ascii="宋体" w:hAnsi="宋体"/>
          <w:szCs w:val="21"/>
        </w:rPr>
      </w:pPr>
      <w:r>
        <w:rPr>
          <w:rFonts w:hint="eastAsia" w:ascii="宋体" w:hAnsi="宋体"/>
          <w:szCs w:val="21"/>
        </w:rPr>
        <w:t>（8）</w:t>
      </w:r>
      <w:r>
        <w:rPr>
          <w:rFonts w:hint="eastAsia" w:ascii="宋体" w:hAnsi="宋体"/>
          <w:szCs w:val="21"/>
          <w:u w:val="single"/>
        </w:rPr>
        <w:t xml:space="preserve">        </w:t>
      </w:r>
      <w:r>
        <w:rPr>
          <w:rFonts w:hint="eastAsia" w:ascii="宋体" w:hAnsi="宋体"/>
          <w:szCs w:val="21"/>
        </w:rPr>
        <w:t>。</w:t>
      </w:r>
    </w:p>
    <w:p>
      <w:pPr>
        <w:pStyle w:val="7"/>
        <w:spacing w:before="0" w:beforeAutospacing="0" w:after="0" w:afterAutospacing="0" w:line="360" w:lineRule="auto"/>
        <w:ind w:firstLine="422" w:firstLineChars="200"/>
        <w:rPr>
          <w:sz w:val="21"/>
          <w:szCs w:val="21"/>
        </w:rPr>
      </w:pPr>
      <w:bookmarkStart w:id="1523" w:name="_Toc532377407"/>
      <w:bookmarkStart w:id="1524" w:name="_Toc532375668"/>
      <w:r>
        <w:rPr>
          <w:rFonts w:hint="eastAsia"/>
          <w:sz w:val="21"/>
          <w:szCs w:val="21"/>
        </w:rPr>
        <w:t>17.4 因不可抗力解除合同</w:t>
      </w:r>
      <w:bookmarkEnd w:id="1523"/>
      <w:bookmarkEnd w:id="1524"/>
    </w:p>
    <w:p>
      <w:pPr>
        <w:spacing w:line="360" w:lineRule="auto"/>
        <w:ind w:right="105" w:rightChars="50" w:firstLine="420" w:firstLineChars="200"/>
        <w:jc w:val="left"/>
        <w:rPr>
          <w:rFonts w:ascii="宋体" w:hAnsi="宋体"/>
          <w:szCs w:val="21"/>
        </w:rPr>
      </w:pPr>
      <w:r>
        <w:rPr>
          <w:rFonts w:hint="eastAsia" w:ascii="宋体" w:hAnsi="宋体"/>
          <w:szCs w:val="21"/>
        </w:rPr>
        <w:t>合同解除后，发包人应在商定或确定发包人应支付款项后</w:t>
      </w:r>
      <w:r>
        <w:rPr>
          <w:rFonts w:hint="eastAsia" w:ascii="宋体" w:hAnsi="宋体"/>
          <w:szCs w:val="21"/>
          <w:u w:val="single"/>
        </w:rPr>
        <w:t>28</w:t>
      </w:r>
      <w:r>
        <w:rPr>
          <w:rFonts w:hint="eastAsia" w:ascii="宋体" w:hAnsi="宋体"/>
          <w:szCs w:val="21"/>
        </w:rPr>
        <w:t>天内完成款项的支付。</w:t>
      </w:r>
    </w:p>
    <w:p>
      <w:pPr>
        <w:pStyle w:val="6"/>
        <w:spacing w:before="156" w:beforeLines="50" w:beforeAutospacing="0" w:after="156" w:afterLines="50" w:afterAutospacing="0" w:line="360" w:lineRule="auto"/>
        <w:jc w:val="both"/>
        <w:rPr>
          <w:bCs w:val="0"/>
          <w:kern w:val="2"/>
          <w:sz w:val="21"/>
          <w:szCs w:val="21"/>
        </w:rPr>
      </w:pPr>
      <w:bookmarkStart w:id="1525" w:name="_Toc532377408"/>
      <w:bookmarkStart w:id="1526" w:name="_Toc532375669"/>
      <w:bookmarkStart w:id="1527" w:name="_Toc351203650"/>
      <w:r>
        <w:rPr>
          <w:rFonts w:hint="eastAsia"/>
          <w:kern w:val="2"/>
          <w:sz w:val="21"/>
          <w:szCs w:val="21"/>
        </w:rPr>
        <w:t>18. 保险</w:t>
      </w:r>
      <w:bookmarkEnd w:id="1525"/>
      <w:bookmarkEnd w:id="1526"/>
      <w:bookmarkEnd w:id="1527"/>
    </w:p>
    <w:p>
      <w:pPr>
        <w:pStyle w:val="7"/>
        <w:spacing w:before="0" w:beforeAutospacing="0" w:after="0" w:afterAutospacing="0" w:line="360" w:lineRule="auto"/>
        <w:ind w:firstLine="422" w:firstLineChars="200"/>
        <w:rPr>
          <w:sz w:val="21"/>
          <w:szCs w:val="21"/>
        </w:rPr>
      </w:pPr>
      <w:bookmarkStart w:id="1528" w:name="_Toc532375670"/>
      <w:bookmarkStart w:id="1529" w:name="_Toc532377409"/>
      <w:r>
        <w:rPr>
          <w:rFonts w:hint="eastAsia"/>
          <w:sz w:val="21"/>
          <w:szCs w:val="21"/>
        </w:rPr>
        <w:t>18.1 工程保险</w:t>
      </w:r>
      <w:bookmarkEnd w:id="1528"/>
      <w:bookmarkEnd w:id="1529"/>
    </w:p>
    <w:p>
      <w:pPr>
        <w:spacing w:line="360" w:lineRule="auto"/>
        <w:ind w:right="105" w:rightChars="50" w:firstLine="420" w:firstLineChars="200"/>
        <w:jc w:val="left"/>
        <w:rPr>
          <w:rFonts w:ascii="宋体" w:hAnsi="宋体"/>
          <w:szCs w:val="21"/>
        </w:rPr>
      </w:pPr>
      <w:r>
        <w:rPr>
          <w:rFonts w:hint="eastAsia" w:ascii="宋体" w:hAnsi="宋体"/>
          <w:szCs w:val="21"/>
        </w:rPr>
        <w:t>关于工程保险的特别约定：发包人应投保</w:t>
      </w:r>
      <w:r>
        <w:rPr>
          <w:rFonts w:hint="eastAsia" w:ascii="宋体" w:hAnsi="宋体"/>
          <w:szCs w:val="21"/>
          <w:u w:val="single"/>
        </w:rPr>
        <w:t>建筑工程一切险或安装工程一切险</w:t>
      </w:r>
      <w:r>
        <w:rPr>
          <w:rFonts w:hint="eastAsia" w:ascii="宋体" w:hAnsi="宋体"/>
          <w:szCs w:val="21"/>
        </w:rPr>
        <w:t>；发包人委托承包人投保的，因投保产生的保险费和其他相关费用由发包人承担。</w:t>
      </w:r>
    </w:p>
    <w:p>
      <w:pPr>
        <w:pStyle w:val="7"/>
        <w:spacing w:before="0" w:beforeAutospacing="0" w:after="0" w:afterAutospacing="0" w:line="360" w:lineRule="auto"/>
        <w:ind w:firstLine="422" w:firstLineChars="200"/>
        <w:rPr>
          <w:sz w:val="21"/>
          <w:szCs w:val="21"/>
        </w:rPr>
      </w:pPr>
      <w:bookmarkStart w:id="1530" w:name="_Toc532375671"/>
      <w:bookmarkStart w:id="1531" w:name="_Toc532377410"/>
      <w:r>
        <w:rPr>
          <w:rFonts w:hint="eastAsia"/>
          <w:sz w:val="21"/>
          <w:szCs w:val="21"/>
        </w:rPr>
        <w:t>18.3 其他保险</w:t>
      </w:r>
      <w:bookmarkEnd w:id="1530"/>
      <w:bookmarkEnd w:id="1531"/>
    </w:p>
    <w:p>
      <w:pPr>
        <w:spacing w:line="360" w:lineRule="auto"/>
        <w:ind w:right="105" w:rightChars="50" w:firstLine="420" w:firstLineChars="200"/>
        <w:jc w:val="left"/>
        <w:rPr>
          <w:rFonts w:ascii="宋体" w:hAnsi="宋体"/>
          <w:szCs w:val="21"/>
        </w:rPr>
      </w:pPr>
      <w:r>
        <w:rPr>
          <w:rFonts w:hint="eastAsia" w:ascii="宋体" w:hAnsi="宋体"/>
          <w:szCs w:val="21"/>
        </w:rPr>
        <w:t>关于其他保险的约定：</w:t>
      </w:r>
      <w:r>
        <w:rPr>
          <w:rFonts w:hint="eastAsia" w:ascii="宋体" w:hAnsi="宋体"/>
          <w:szCs w:val="21"/>
          <w:u w:val="single"/>
        </w:rPr>
        <w:t xml:space="preserve">    /    </w:t>
      </w:r>
      <w:r>
        <w:rPr>
          <w:rFonts w:hint="eastAsia" w:ascii="宋体" w:hAnsi="宋体"/>
          <w:szCs w:val="21"/>
        </w:rPr>
        <w:t>。</w:t>
      </w:r>
    </w:p>
    <w:p>
      <w:pPr>
        <w:spacing w:line="360" w:lineRule="auto"/>
        <w:ind w:right="105" w:rightChars="50" w:firstLine="420" w:firstLineChars="200"/>
        <w:jc w:val="left"/>
        <w:rPr>
          <w:rFonts w:ascii="宋体" w:hAnsi="宋体"/>
          <w:szCs w:val="21"/>
        </w:rPr>
      </w:pPr>
      <w:r>
        <w:rPr>
          <w:rFonts w:hint="eastAsia" w:ascii="宋体" w:hAnsi="宋体"/>
          <w:szCs w:val="21"/>
        </w:rPr>
        <w:t>承包人是否应为其施工设备等办理财产保险：</w:t>
      </w:r>
      <w:r>
        <w:rPr>
          <w:rFonts w:hint="eastAsia" w:ascii="宋体" w:hAnsi="宋体"/>
          <w:szCs w:val="21"/>
          <w:u w:val="single"/>
        </w:rPr>
        <w:t xml:space="preserve">    /    </w:t>
      </w:r>
      <w:r>
        <w:rPr>
          <w:rFonts w:hint="eastAsia" w:ascii="宋体" w:hAnsi="宋体"/>
          <w:szCs w:val="21"/>
        </w:rPr>
        <w:t>。</w:t>
      </w:r>
    </w:p>
    <w:p>
      <w:pPr>
        <w:spacing w:line="360" w:lineRule="auto"/>
        <w:ind w:right="105" w:rightChars="50" w:firstLine="420" w:firstLineChars="200"/>
        <w:jc w:val="left"/>
        <w:rPr>
          <w:rFonts w:ascii="宋体" w:hAnsi="宋体"/>
          <w:szCs w:val="21"/>
        </w:rPr>
      </w:pPr>
      <w:r>
        <w:rPr>
          <w:rFonts w:hint="eastAsia" w:ascii="宋体" w:hAnsi="宋体"/>
          <w:szCs w:val="21"/>
        </w:rPr>
        <w:t>安全生产责任险：</w:t>
      </w:r>
      <w:r>
        <w:rPr>
          <w:rFonts w:hint="eastAsia" w:ascii="宋体" w:hAnsi="宋体"/>
          <w:szCs w:val="21"/>
          <w:u w:val="single"/>
        </w:rPr>
        <w:t>承包人应按《重庆市人民政府办公厅关于在高危行业领域强制推行安全生产责任保险的实施意见》（渝府办法〔2017〕182号）的要求办理安全生产责任保险</w:t>
      </w:r>
      <w:r>
        <w:rPr>
          <w:rFonts w:hint="eastAsia" w:ascii="宋体" w:hAnsi="宋体"/>
          <w:szCs w:val="21"/>
        </w:rPr>
        <w:t>。</w:t>
      </w:r>
    </w:p>
    <w:p>
      <w:pPr>
        <w:pStyle w:val="7"/>
        <w:spacing w:before="0" w:beforeAutospacing="0" w:after="0" w:afterAutospacing="0" w:line="360" w:lineRule="auto"/>
        <w:ind w:firstLine="422" w:firstLineChars="200"/>
        <w:rPr>
          <w:sz w:val="21"/>
          <w:szCs w:val="21"/>
        </w:rPr>
      </w:pPr>
      <w:bookmarkStart w:id="1532" w:name="_Toc532377411"/>
      <w:bookmarkStart w:id="1533" w:name="_Toc532375672"/>
      <w:r>
        <w:rPr>
          <w:rFonts w:hint="eastAsia"/>
          <w:sz w:val="21"/>
          <w:szCs w:val="21"/>
        </w:rPr>
        <w:t>18.7 通知义务</w:t>
      </w:r>
      <w:bookmarkEnd w:id="1532"/>
      <w:bookmarkEnd w:id="1533"/>
    </w:p>
    <w:p>
      <w:pPr>
        <w:spacing w:line="360" w:lineRule="auto"/>
        <w:ind w:right="105" w:rightChars="50" w:firstLine="420" w:firstLineChars="200"/>
        <w:jc w:val="left"/>
        <w:rPr>
          <w:rFonts w:ascii="宋体" w:hAnsi="宋体"/>
          <w:szCs w:val="21"/>
        </w:rPr>
      </w:pPr>
      <w:r>
        <w:rPr>
          <w:rFonts w:hint="eastAsia" w:ascii="宋体" w:hAnsi="宋体"/>
          <w:szCs w:val="21"/>
        </w:rPr>
        <w:t>关于变更保险合同时的通知义务的约定：</w:t>
      </w:r>
      <w:r>
        <w:rPr>
          <w:rFonts w:hint="eastAsia" w:ascii="宋体" w:hAnsi="宋体"/>
          <w:szCs w:val="21"/>
          <w:u w:val="single"/>
        </w:rPr>
        <w:t>按通用合同条款执行</w:t>
      </w:r>
      <w:r>
        <w:rPr>
          <w:rFonts w:hint="eastAsia" w:ascii="宋体" w:hAnsi="宋体"/>
          <w:szCs w:val="21"/>
        </w:rPr>
        <w:t>。</w:t>
      </w:r>
    </w:p>
    <w:p>
      <w:pPr>
        <w:pStyle w:val="7"/>
        <w:spacing w:before="0" w:beforeAutospacing="0" w:after="0" w:afterAutospacing="0" w:line="360" w:lineRule="auto"/>
        <w:ind w:firstLine="422" w:firstLineChars="200"/>
        <w:rPr>
          <w:sz w:val="21"/>
          <w:szCs w:val="21"/>
        </w:rPr>
      </w:pPr>
      <w:bookmarkStart w:id="1534" w:name="_Toc532377412"/>
      <w:bookmarkStart w:id="1535" w:name="_Toc532375673"/>
      <w:r>
        <w:rPr>
          <w:rFonts w:hint="eastAsia"/>
          <w:sz w:val="21"/>
          <w:szCs w:val="21"/>
        </w:rPr>
        <w:t>18.8 其他</w:t>
      </w:r>
      <w:bookmarkEnd w:id="1534"/>
      <w:bookmarkEnd w:id="1535"/>
    </w:p>
    <w:p>
      <w:pPr>
        <w:spacing w:line="360" w:lineRule="auto"/>
        <w:ind w:right="105" w:rightChars="50" w:firstLine="420" w:firstLineChars="200"/>
        <w:jc w:val="left"/>
        <w:rPr>
          <w:rFonts w:ascii="宋体" w:hAnsi="宋体"/>
          <w:szCs w:val="21"/>
        </w:rPr>
      </w:pPr>
      <w:r>
        <w:rPr>
          <w:rFonts w:hint="eastAsia" w:ascii="宋体" w:hAnsi="宋体"/>
          <w:szCs w:val="21"/>
        </w:rPr>
        <w:t>18.8.1 工程开工日前，承包人向发包人提交各项生效的保险证据和保险单副本。未按本项约定提交的，每延后1天，承包人按500元/天支付违约金。</w:t>
      </w:r>
    </w:p>
    <w:p>
      <w:pPr>
        <w:spacing w:line="360" w:lineRule="auto"/>
        <w:ind w:right="105" w:rightChars="50" w:firstLine="420" w:firstLineChars="200"/>
        <w:jc w:val="left"/>
        <w:rPr>
          <w:rFonts w:ascii="宋体" w:hAnsi="宋体"/>
          <w:szCs w:val="21"/>
        </w:rPr>
      </w:pPr>
      <w:r>
        <w:rPr>
          <w:rFonts w:hint="eastAsia" w:ascii="宋体" w:hAnsi="宋体"/>
          <w:szCs w:val="21"/>
        </w:rPr>
        <w:t>18.8.2 承包人保险赔偿金不足以补偿发包人损失时，</w:t>
      </w:r>
      <w:bookmarkStart w:id="1536" w:name="_Hlk524378346"/>
      <w:r>
        <w:rPr>
          <w:rFonts w:hint="eastAsia" w:ascii="宋体" w:hAnsi="宋体"/>
          <w:szCs w:val="21"/>
        </w:rPr>
        <w:t>差额由承包人负责补足</w:t>
      </w:r>
      <w:bookmarkEnd w:id="1536"/>
      <w:r>
        <w:rPr>
          <w:rFonts w:hint="eastAsia" w:ascii="宋体" w:hAnsi="宋体"/>
          <w:szCs w:val="21"/>
        </w:rPr>
        <w:t>。</w:t>
      </w:r>
    </w:p>
    <w:p>
      <w:pPr>
        <w:pStyle w:val="6"/>
        <w:spacing w:before="156" w:beforeLines="50" w:beforeAutospacing="0" w:after="156" w:afterLines="50" w:afterAutospacing="0" w:line="360" w:lineRule="auto"/>
        <w:jc w:val="both"/>
        <w:rPr>
          <w:bCs w:val="0"/>
          <w:kern w:val="2"/>
          <w:sz w:val="21"/>
          <w:szCs w:val="21"/>
        </w:rPr>
      </w:pPr>
      <w:bookmarkStart w:id="1537" w:name="_Toc532377413"/>
      <w:bookmarkStart w:id="1538" w:name="_Toc351203620"/>
      <w:bookmarkStart w:id="1539" w:name="_Toc532375674"/>
      <w:bookmarkStart w:id="1540" w:name="_Toc337558835"/>
      <w:bookmarkStart w:id="1541" w:name="_Toc296346641"/>
      <w:bookmarkStart w:id="1542" w:name="_Toc296503140"/>
      <w:r>
        <w:rPr>
          <w:rFonts w:hint="eastAsia"/>
          <w:kern w:val="2"/>
          <w:sz w:val="21"/>
          <w:szCs w:val="21"/>
        </w:rPr>
        <w:t>19. 索赔</w:t>
      </w:r>
      <w:bookmarkEnd w:id="1537"/>
      <w:bookmarkEnd w:id="1538"/>
      <w:bookmarkEnd w:id="1539"/>
    </w:p>
    <w:bookmarkEnd w:id="1540"/>
    <w:bookmarkEnd w:id="1541"/>
    <w:bookmarkEnd w:id="1542"/>
    <w:p>
      <w:pPr>
        <w:pStyle w:val="7"/>
        <w:spacing w:before="0" w:beforeAutospacing="0" w:after="0" w:afterAutospacing="0" w:line="360" w:lineRule="auto"/>
        <w:ind w:firstLine="422" w:firstLineChars="200"/>
        <w:rPr>
          <w:sz w:val="21"/>
          <w:szCs w:val="21"/>
        </w:rPr>
      </w:pPr>
      <w:bookmarkStart w:id="1543" w:name="_Toc532375675"/>
      <w:bookmarkStart w:id="1544" w:name="_Toc532377414"/>
      <w:bookmarkStart w:id="1545" w:name="_Toc296346642"/>
      <w:bookmarkStart w:id="1546" w:name="_Toc296503141"/>
      <w:bookmarkStart w:id="1547" w:name="_Toc351203621"/>
      <w:bookmarkStart w:id="1548" w:name="_Toc337558836"/>
      <w:r>
        <w:rPr>
          <w:rFonts w:hint="eastAsia"/>
          <w:sz w:val="21"/>
          <w:szCs w:val="21"/>
        </w:rPr>
        <w:t>19.1 承包人的索赔</w:t>
      </w:r>
      <w:bookmarkEnd w:id="1543"/>
      <w:bookmarkEnd w:id="1544"/>
    </w:p>
    <w:p>
      <w:pPr>
        <w:autoSpaceDE w:val="0"/>
        <w:autoSpaceDN w:val="0"/>
        <w:spacing w:line="360" w:lineRule="auto"/>
        <w:ind w:right="105" w:rightChars="50" w:firstLine="420" w:firstLineChars="200"/>
        <w:jc w:val="left"/>
        <w:rPr>
          <w:rFonts w:ascii="宋体" w:hAnsi="宋体"/>
          <w:szCs w:val="21"/>
        </w:rPr>
      </w:pPr>
      <w:r>
        <w:rPr>
          <w:rFonts w:hint="eastAsia" w:ascii="宋体" w:hAnsi="宋体"/>
          <w:szCs w:val="21"/>
        </w:rPr>
        <w:t>根据合同约定，承包人认为有权得到追加付款和（或）延长工期的，应按以下程序向发包人提出索赔：</w:t>
      </w:r>
    </w:p>
    <w:p>
      <w:pPr>
        <w:autoSpaceDE w:val="0"/>
        <w:autoSpaceDN w:val="0"/>
        <w:spacing w:line="360" w:lineRule="auto"/>
        <w:ind w:right="105" w:rightChars="50" w:firstLine="420" w:firstLineChars="200"/>
        <w:jc w:val="left"/>
        <w:rPr>
          <w:rFonts w:ascii="宋体" w:hAnsi="宋体"/>
          <w:szCs w:val="21"/>
        </w:rPr>
      </w:pPr>
      <w:r>
        <w:rPr>
          <w:rFonts w:hint="eastAsia" w:ascii="宋体" w:hAnsi="宋体"/>
          <w:szCs w:val="21"/>
        </w:rPr>
        <w:t>（1）承包人应在索赔事件发生后28天内，向监理人递交索赔意向通知书，并说明发生索赔事件的事由；承包人未在前述28天内发出索赔意向通知书的，丧失要求追加付款和（或）延长工期的权利；</w:t>
      </w:r>
    </w:p>
    <w:p>
      <w:pPr>
        <w:autoSpaceDE w:val="0"/>
        <w:autoSpaceDN w:val="0"/>
        <w:spacing w:line="360" w:lineRule="auto"/>
        <w:ind w:right="105" w:rightChars="50" w:firstLine="420" w:firstLineChars="200"/>
        <w:jc w:val="left"/>
        <w:rPr>
          <w:rFonts w:ascii="宋体" w:hAnsi="宋体"/>
          <w:szCs w:val="21"/>
        </w:rPr>
      </w:pPr>
      <w:r>
        <w:rPr>
          <w:rFonts w:hint="eastAsia" w:ascii="宋体" w:hAnsi="宋体"/>
          <w:szCs w:val="21"/>
        </w:rPr>
        <w:t>（2）承包人应在发出索赔意向通知书后28天内，向监理人正式递交索赔报告；索赔报告应详细说明索赔理由以及要求追加的付款金额和（或）延长的工期，并附必要的记录和证明材料；</w:t>
      </w:r>
    </w:p>
    <w:p>
      <w:pPr>
        <w:autoSpaceDE w:val="0"/>
        <w:autoSpaceDN w:val="0"/>
        <w:spacing w:line="360" w:lineRule="auto"/>
        <w:ind w:right="105" w:rightChars="50" w:firstLine="420" w:firstLineChars="200"/>
        <w:jc w:val="left"/>
        <w:rPr>
          <w:rFonts w:ascii="宋体" w:hAnsi="宋体"/>
          <w:szCs w:val="21"/>
        </w:rPr>
      </w:pPr>
      <w:r>
        <w:rPr>
          <w:rFonts w:hint="eastAsia" w:ascii="宋体" w:hAnsi="宋体"/>
          <w:szCs w:val="21"/>
        </w:rPr>
        <w:t>（3）索赔事件具有持续影响的，承包人应按监理人要求的合理时间间隔继续递交延续索赔通知，说明持续影响的实际情况和记录，列出累计的追加付款金额和（或）工期延长天数；</w:t>
      </w:r>
    </w:p>
    <w:p>
      <w:pPr>
        <w:autoSpaceDE w:val="0"/>
        <w:autoSpaceDN w:val="0"/>
        <w:spacing w:line="360" w:lineRule="auto"/>
        <w:ind w:right="105" w:rightChars="50" w:firstLine="420" w:firstLineChars="200"/>
        <w:jc w:val="left"/>
        <w:rPr>
          <w:rFonts w:ascii="宋体" w:hAnsi="宋体"/>
          <w:szCs w:val="21"/>
        </w:rPr>
      </w:pPr>
      <w:r>
        <w:rPr>
          <w:rFonts w:hint="eastAsia" w:ascii="宋体" w:hAnsi="宋体"/>
          <w:szCs w:val="21"/>
        </w:rPr>
        <w:t>（4）在索赔事件影响结束后28天内，承包人应向监理人递交最终索赔报告，说明最终要求索赔的追加付款金额和（或）延长的工期，并附必要的记录和证明材料。</w:t>
      </w:r>
    </w:p>
    <w:p>
      <w:pPr>
        <w:autoSpaceDE w:val="0"/>
        <w:autoSpaceDN w:val="0"/>
        <w:spacing w:line="360" w:lineRule="auto"/>
        <w:ind w:right="105" w:rightChars="50" w:firstLine="420" w:firstLineChars="200"/>
        <w:jc w:val="left"/>
        <w:rPr>
          <w:rFonts w:ascii="宋体" w:hAnsi="宋体"/>
          <w:szCs w:val="21"/>
        </w:rPr>
      </w:pPr>
      <w:r>
        <w:rPr>
          <w:rFonts w:hint="eastAsia" w:ascii="宋体" w:hAnsi="宋体"/>
          <w:szCs w:val="21"/>
        </w:rPr>
        <w:t>（5）</w:t>
      </w:r>
      <w:r>
        <w:rPr>
          <w:rFonts w:hint="eastAsia" w:ascii="宋体" w:hAnsi="宋体"/>
          <w:szCs w:val="21"/>
          <w:u w:val="single"/>
        </w:rPr>
        <w:t xml:space="preserve">        </w:t>
      </w:r>
      <w:r>
        <w:rPr>
          <w:rFonts w:hint="eastAsia" w:ascii="宋体" w:hAnsi="宋体"/>
          <w:szCs w:val="21"/>
        </w:rPr>
        <w:t>。</w:t>
      </w:r>
    </w:p>
    <w:p>
      <w:pPr>
        <w:pStyle w:val="7"/>
        <w:spacing w:before="0" w:beforeAutospacing="0" w:after="0" w:afterAutospacing="0" w:line="360" w:lineRule="auto"/>
        <w:ind w:firstLine="422" w:firstLineChars="200"/>
        <w:rPr>
          <w:sz w:val="21"/>
          <w:szCs w:val="21"/>
        </w:rPr>
      </w:pPr>
      <w:bookmarkStart w:id="1549" w:name="_Toc532375676"/>
      <w:bookmarkStart w:id="1550" w:name="_Toc532377415"/>
      <w:r>
        <w:rPr>
          <w:rFonts w:hint="eastAsia"/>
          <w:sz w:val="21"/>
          <w:szCs w:val="21"/>
        </w:rPr>
        <w:t>19.2 对承包人索赔的处理</w:t>
      </w:r>
      <w:bookmarkEnd w:id="1549"/>
      <w:bookmarkEnd w:id="1550"/>
    </w:p>
    <w:p>
      <w:pPr>
        <w:autoSpaceDE w:val="0"/>
        <w:autoSpaceDN w:val="0"/>
        <w:spacing w:line="360" w:lineRule="auto"/>
        <w:ind w:right="105" w:rightChars="50" w:firstLine="420" w:firstLineChars="200"/>
        <w:jc w:val="left"/>
        <w:rPr>
          <w:rFonts w:ascii="宋体" w:hAnsi="宋体"/>
          <w:szCs w:val="21"/>
        </w:rPr>
      </w:pPr>
      <w:r>
        <w:rPr>
          <w:rFonts w:hint="eastAsia" w:ascii="宋体" w:hAnsi="宋体"/>
          <w:szCs w:val="21"/>
        </w:rPr>
        <w:t>对承包人索赔的处理如下：</w:t>
      </w:r>
    </w:p>
    <w:p>
      <w:pPr>
        <w:autoSpaceDE w:val="0"/>
        <w:autoSpaceDN w:val="0"/>
        <w:spacing w:line="360" w:lineRule="auto"/>
        <w:ind w:right="105" w:rightChars="50" w:firstLine="420" w:firstLineChars="200"/>
        <w:jc w:val="left"/>
        <w:rPr>
          <w:rFonts w:ascii="宋体" w:hAnsi="宋体"/>
          <w:szCs w:val="21"/>
          <w:u w:val="single"/>
        </w:rPr>
      </w:pPr>
      <w:r>
        <w:rPr>
          <w:rFonts w:hint="eastAsia" w:ascii="宋体" w:hAnsi="宋体"/>
          <w:szCs w:val="21"/>
          <w:u w:val="single"/>
        </w:rPr>
        <w:t>（1）监理人应在收到索赔报告后14天内完成审查并报送发包人。监理人对索赔报告存在异议的，有权要求承包人提交全部原始记录副本</w:t>
      </w:r>
      <w:r>
        <w:rPr>
          <w:rFonts w:hint="eastAsia" w:ascii="宋体" w:hAnsi="宋体"/>
          <w:szCs w:val="21"/>
        </w:rPr>
        <w:t>；</w:t>
      </w:r>
    </w:p>
    <w:p>
      <w:pPr>
        <w:autoSpaceDE w:val="0"/>
        <w:autoSpaceDN w:val="0"/>
        <w:spacing w:line="360" w:lineRule="auto"/>
        <w:ind w:right="105" w:rightChars="50" w:firstLine="420" w:firstLineChars="200"/>
        <w:jc w:val="left"/>
        <w:rPr>
          <w:rFonts w:ascii="宋体" w:hAnsi="宋体"/>
          <w:szCs w:val="21"/>
          <w:u w:val="single"/>
        </w:rPr>
      </w:pPr>
      <w:r>
        <w:rPr>
          <w:rFonts w:hint="eastAsia" w:ascii="宋体" w:hAnsi="宋体"/>
          <w:szCs w:val="21"/>
          <w:u w:val="single"/>
        </w:rPr>
        <w:t>（2）发包人应在监理人收到索赔报告或有关索赔的进一步证明材料后的28天内，由监理人向承包人出具经发包人签认的索赔处理结果。发包人逾期未答复的，承包人应以书面形式催告发包人，经承包人三次（每次间隔不少于3天）书面催告后，发包人仍未按期限答复的，则视为认可承包人的索赔要求</w:t>
      </w:r>
      <w:r>
        <w:rPr>
          <w:rFonts w:hint="eastAsia" w:ascii="宋体" w:hAnsi="宋体"/>
          <w:szCs w:val="21"/>
        </w:rPr>
        <w:t>；</w:t>
      </w:r>
    </w:p>
    <w:p>
      <w:pPr>
        <w:autoSpaceDE w:val="0"/>
        <w:autoSpaceDN w:val="0"/>
        <w:spacing w:line="360" w:lineRule="auto"/>
        <w:ind w:right="105" w:rightChars="50" w:firstLine="420" w:firstLineChars="200"/>
        <w:jc w:val="left"/>
        <w:rPr>
          <w:rFonts w:ascii="宋体" w:hAnsi="宋体"/>
          <w:szCs w:val="21"/>
          <w:u w:val="single"/>
        </w:rPr>
      </w:pPr>
      <w:r>
        <w:rPr>
          <w:rFonts w:hint="eastAsia" w:ascii="宋体" w:hAnsi="宋体"/>
          <w:szCs w:val="21"/>
          <w:u w:val="single"/>
        </w:rPr>
        <w:t>（3）承包人接受索赔处理结果的，索赔款项在当期进度款中进行支付；承包人不接受索赔处理结果的，按照第20条〔争议解决〕约定处理</w:t>
      </w:r>
      <w:r>
        <w:rPr>
          <w:rFonts w:hint="eastAsia" w:ascii="宋体" w:hAnsi="宋体"/>
          <w:szCs w:val="21"/>
        </w:rPr>
        <w:t>；</w:t>
      </w:r>
    </w:p>
    <w:p>
      <w:pPr>
        <w:autoSpaceDE w:val="0"/>
        <w:autoSpaceDN w:val="0"/>
        <w:spacing w:line="360" w:lineRule="auto"/>
        <w:ind w:right="105" w:rightChars="50" w:firstLine="420" w:firstLineChars="200"/>
        <w:jc w:val="left"/>
        <w:rPr>
          <w:rFonts w:ascii="宋体" w:hAnsi="宋体"/>
          <w:szCs w:val="21"/>
          <w:u w:val="single"/>
        </w:rPr>
      </w:pPr>
      <w:r>
        <w:rPr>
          <w:rFonts w:hint="eastAsia" w:ascii="宋体" w:hAnsi="宋体"/>
          <w:szCs w:val="21"/>
          <w:u w:val="single"/>
        </w:rPr>
        <w:t>（4）工期延误的关键线路按照经监理人、发包人审批同意的施工组织设计计算</w:t>
      </w:r>
      <w:r>
        <w:rPr>
          <w:rFonts w:hint="eastAsia" w:ascii="宋体" w:hAnsi="宋体"/>
          <w:szCs w:val="21"/>
        </w:rPr>
        <w:t>。</w:t>
      </w:r>
    </w:p>
    <w:p>
      <w:pPr>
        <w:pStyle w:val="7"/>
        <w:spacing w:before="0" w:beforeAutospacing="0" w:after="0" w:afterAutospacing="0" w:line="360" w:lineRule="auto"/>
        <w:ind w:firstLine="422" w:firstLineChars="200"/>
        <w:rPr>
          <w:sz w:val="21"/>
          <w:szCs w:val="21"/>
        </w:rPr>
      </w:pPr>
      <w:bookmarkStart w:id="1551" w:name="_Toc532377416"/>
      <w:bookmarkStart w:id="1552" w:name="_Toc532375677"/>
      <w:r>
        <w:rPr>
          <w:rFonts w:hint="eastAsia"/>
          <w:sz w:val="21"/>
          <w:szCs w:val="21"/>
        </w:rPr>
        <w:t>19.3发包人的索赔</w:t>
      </w:r>
      <w:bookmarkEnd w:id="1551"/>
      <w:bookmarkEnd w:id="1552"/>
    </w:p>
    <w:p>
      <w:pPr>
        <w:autoSpaceDE w:val="0"/>
        <w:autoSpaceDN w:val="0"/>
        <w:spacing w:line="360" w:lineRule="auto"/>
        <w:ind w:right="105" w:rightChars="50" w:firstLine="420" w:firstLineChars="200"/>
        <w:jc w:val="left"/>
        <w:rPr>
          <w:rFonts w:ascii="宋体" w:hAnsi="宋体"/>
          <w:szCs w:val="21"/>
        </w:rPr>
      </w:pPr>
      <w:r>
        <w:rPr>
          <w:rFonts w:hint="eastAsia" w:ascii="宋体" w:hAnsi="宋体"/>
          <w:szCs w:val="21"/>
        </w:rPr>
        <w:t>根据合同约定，发包人认为有权得到赔付金额和（或）延长缺陷责任期的，监理人应向承包人发出通知并附有详细的证明。</w:t>
      </w:r>
    </w:p>
    <w:p>
      <w:pPr>
        <w:autoSpaceDE w:val="0"/>
        <w:autoSpaceDN w:val="0"/>
        <w:spacing w:line="360" w:lineRule="auto"/>
        <w:ind w:right="105" w:rightChars="50" w:firstLine="420" w:firstLineChars="200"/>
        <w:jc w:val="left"/>
        <w:rPr>
          <w:rFonts w:ascii="宋体" w:hAnsi="宋体"/>
          <w:szCs w:val="21"/>
          <w:u w:val="single"/>
        </w:rPr>
      </w:pPr>
      <w:r>
        <w:rPr>
          <w:rFonts w:hint="eastAsia" w:ascii="宋体" w:hAnsi="宋体"/>
          <w:szCs w:val="21"/>
        </w:rPr>
        <w:t>发包人应在索赔事件发生后28天内通过监理人向承包人提出索赔意向通知书，发包人未在前述28天内发出索赔意向通知书的，丧失要求赔付金额和（或）延长缺陷责任期的权利。发包人应在发出索赔意向通知书后28天内，通过监理人向承包人正式递交索赔报告；索赔事件具有持续影响的，发包人应在索赔事件影响结束后28天内，</w:t>
      </w:r>
      <w:bookmarkStart w:id="1553" w:name="_Hlk528652769"/>
      <w:r>
        <w:rPr>
          <w:rFonts w:hint="eastAsia" w:ascii="宋体" w:hAnsi="宋体"/>
          <w:szCs w:val="21"/>
        </w:rPr>
        <w:t>通过监理人向承包人正式递交最终索赔报告</w:t>
      </w:r>
      <w:bookmarkEnd w:id="1553"/>
      <w:r>
        <w:rPr>
          <w:rFonts w:hint="eastAsia" w:ascii="宋体" w:hAnsi="宋体"/>
          <w:szCs w:val="21"/>
        </w:rPr>
        <w:t>。</w:t>
      </w:r>
    </w:p>
    <w:p>
      <w:pPr>
        <w:pStyle w:val="7"/>
        <w:spacing w:before="0" w:beforeAutospacing="0" w:after="0" w:afterAutospacing="0" w:line="360" w:lineRule="auto"/>
        <w:ind w:firstLine="422" w:firstLineChars="200"/>
        <w:rPr>
          <w:sz w:val="21"/>
          <w:szCs w:val="21"/>
        </w:rPr>
      </w:pPr>
      <w:bookmarkStart w:id="1554" w:name="_Toc532375678"/>
      <w:bookmarkStart w:id="1555" w:name="_Toc532377417"/>
      <w:r>
        <w:rPr>
          <w:rFonts w:hint="eastAsia"/>
          <w:sz w:val="21"/>
          <w:szCs w:val="21"/>
        </w:rPr>
        <w:t>19.4 对发包人索赔的处理</w:t>
      </w:r>
      <w:bookmarkEnd w:id="1554"/>
      <w:bookmarkEnd w:id="1555"/>
    </w:p>
    <w:p>
      <w:pPr>
        <w:autoSpaceDE w:val="0"/>
        <w:autoSpaceDN w:val="0"/>
        <w:spacing w:line="360" w:lineRule="auto"/>
        <w:ind w:right="105" w:rightChars="50" w:firstLine="420" w:firstLineChars="200"/>
        <w:jc w:val="left"/>
        <w:rPr>
          <w:rFonts w:ascii="宋体" w:hAnsi="宋体"/>
          <w:kern w:val="0"/>
          <w:szCs w:val="21"/>
        </w:rPr>
      </w:pPr>
      <w:r>
        <w:rPr>
          <w:rFonts w:hint="eastAsia" w:ascii="宋体" w:hAnsi="宋体"/>
          <w:kern w:val="0"/>
          <w:szCs w:val="21"/>
        </w:rPr>
        <w:t>对发包人索赔的处理如下：</w:t>
      </w:r>
    </w:p>
    <w:p>
      <w:pPr>
        <w:autoSpaceDE w:val="0"/>
        <w:autoSpaceDN w:val="0"/>
        <w:spacing w:line="360" w:lineRule="auto"/>
        <w:ind w:right="105" w:rightChars="50" w:firstLine="420" w:firstLineChars="200"/>
        <w:jc w:val="left"/>
        <w:rPr>
          <w:rFonts w:ascii="宋体" w:hAnsi="宋体"/>
          <w:szCs w:val="21"/>
        </w:rPr>
      </w:pPr>
      <w:r>
        <w:rPr>
          <w:rFonts w:hint="eastAsia" w:ascii="宋体" w:hAnsi="宋体"/>
          <w:szCs w:val="21"/>
        </w:rPr>
        <w:t>（1）承包人收到发包人提交的索赔报告后，应及时审查索赔报告的内容、查验发包人证明材料；</w:t>
      </w:r>
    </w:p>
    <w:p>
      <w:pPr>
        <w:autoSpaceDE w:val="0"/>
        <w:autoSpaceDN w:val="0"/>
        <w:spacing w:line="360" w:lineRule="auto"/>
        <w:ind w:right="105" w:rightChars="50" w:firstLine="420" w:firstLineChars="200"/>
        <w:jc w:val="left"/>
        <w:rPr>
          <w:rFonts w:ascii="宋体" w:hAnsi="宋体"/>
          <w:szCs w:val="21"/>
        </w:rPr>
      </w:pPr>
      <w:r>
        <w:rPr>
          <w:rFonts w:hint="eastAsia" w:ascii="宋体" w:hAnsi="宋体"/>
          <w:szCs w:val="21"/>
        </w:rPr>
        <w:t>（2）承包人应在收到索赔报告或有关索赔的进一步证明材料后28天内，将索赔处理结果答复发包人。如果承包人未在上述期限内作出答复的，监理人应以书面形式催告承包人，经监理人三次书面催告后，承包人仍未按期限答复的，则视为对发包人索赔要求的认可；</w:t>
      </w:r>
    </w:p>
    <w:p>
      <w:pPr>
        <w:autoSpaceDE w:val="0"/>
        <w:autoSpaceDN w:val="0"/>
        <w:spacing w:line="360" w:lineRule="auto"/>
        <w:ind w:right="105" w:rightChars="50" w:firstLine="420" w:firstLineChars="200"/>
        <w:jc w:val="left"/>
        <w:rPr>
          <w:rFonts w:ascii="宋体" w:hAnsi="宋体"/>
          <w:szCs w:val="21"/>
          <w:u w:val="single"/>
        </w:rPr>
      </w:pPr>
      <w:r>
        <w:rPr>
          <w:rFonts w:hint="eastAsia" w:ascii="宋体" w:hAnsi="宋体"/>
          <w:szCs w:val="21"/>
        </w:rPr>
        <w:t>（3）承包人接受索赔处理结果的，发包人可从应支付给承包人的合同价款中扣除赔付的金额或延长缺陷责任期；发包人不接受索赔处理结果的，按第20条〔争议解决〕约定处理。</w:t>
      </w:r>
    </w:p>
    <w:p>
      <w:pPr>
        <w:pStyle w:val="7"/>
        <w:spacing w:before="0" w:beforeAutospacing="0" w:after="0" w:afterAutospacing="0" w:line="360" w:lineRule="auto"/>
        <w:ind w:firstLine="422" w:firstLineChars="200"/>
        <w:rPr>
          <w:sz w:val="21"/>
          <w:szCs w:val="21"/>
        </w:rPr>
      </w:pPr>
      <w:bookmarkStart w:id="1556" w:name="_Toc532377418"/>
      <w:bookmarkStart w:id="1557" w:name="_Toc532375679"/>
      <w:bookmarkStart w:id="1558" w:name="_Hlk528928420"/>
      <w:r>
        <w:rPr>
          <w:rFonts w:hint="eastAsia"/>
          <w:sz w:val="21"/>
          <w:szCs w:val="21"/>
        </w:rPr>
        <w:t>19.5 提出索赔的期限</w:t>
      </w:r>
      <w:bookmarkEnd w:id="1556"/>
      <w:bookmarkEnd w:id="1557"/>
    </w:p>
    <w:p>
      <w:pPr>
        <w:autoSpaceDE w:val="0"/>
        <w:autoSpaceDN w:val="0"/>
        <w:spacing w:line="360" w:lineRule="auto"/>
        <w:ind w:right="105" w:rightChars="50" w:firstLine="420" w:firstLineChars="200"/>
        <w:jc w:val="left"/>
        <w:rPr>
          <w:rFonts w:ascii="宋体" w:hAnsi="宋体"/>
          <w:szCs w:val="21"/>
        </w:rPr>
      </w:pPr>
      <w:bookmarkStart w:id="1559" w:name="_Hlk524298376"/>
      <w:r>
        <w:rPr>
          <w:rFonts w:hint="eastAsia" w:ascii="宋体" w:hAnsi="宋体"/>
          <w:szCs w:val="21"/>
        </w:rPr>
        <w:t>任一索赔事件发生后28天内，承包人/发包人未向对方发出索赔意向通知书的，视为其已放弃索赔权，无权再就该索赔事项提出任何索赔。</w:t>
      </w:r>
    </w:p>
    <w:bookmarkEnd w:id="1545"/>
    <w:bookmarkEnd w:id="1546"/>
    <w:bookmarkEnd w:id="1547"/>
    <w:bookmarkEnd w:id="1548"/>
    <w:bookmarkEnd w:id="1558"/>
    <w:bookmarkEnd w:id="1559"/>
    <w:p>
      <w:pPr>
        <w:pStyle w:val="6"/>
        <w:spacing w:before="156" w:beforeLines="50" w:beforeAutospacing="0" w:after="156" w:afterLines="50" w:afterAutospacing="0" w:line="360" w:lineRule="auto"/>
        <w:jc w:val="both"/>
        <w:rPr>
          <w:bCs w:val="0"/>
          <w:kern w:val="2"/>
          <w:sz w:val="21"/>
          <w:szCs w:val="21"/>
        </w:rPr>
      </w:pPr>
      <w:bookmarkStart w:id="1560" w:name="_Toc351203651"/>
      <w:bookmarkStart w:id="1561" w:name="_Toc532375680"/>
      <w:bookmarkStart w:id="1562" w:name="_Toc532377419"/>
      <w:r>
        <w:rPr>
          <w:rFonts w:hint="eastAsia"/>
          <w:kern w:val="2"/>
          <w:sz w:val="21"/>
          <w:szCs w:val="21"/>
        </w:rPr>
        <w:t>20. 争议解决</w:t>
      </w:r>
      <w:bookmarkEnd w:id="1560"/>
      <w:bookmarkEnd w:id="1561"/>
      <w:bookmarkEnd w:id="1562"/>
    </w:p>
    <w:p>
      <w:pPr>
        <w:pStyle w:val="7"/>
        <w:spacing w:before="0" w:beforeAutospacing="0" w:after="0" w:afterAutospacing="0" w:line="360" w:lineRule="auto"/>
        <w:ind w:firstLine="422" w:firstLineChars="200"/>
        <w:rPr>
          <w:sz w:val="21"/>
          <w:szCs w:val="21"/>
        </w:rPr>
      </w:pPr>
      <w:bookmarkStart w:id="1563" w:name="_Toc532377420"/>
      <w:bookmarkStart w:id="1564" w:name="_Toc532375681"/>
      <w:r>
        <w:rPr>
          <w:rFonts w:hint="eastAsia"/>
          <w:sz w:val="21"/>
          <w:szCs w:val="21"/>
        </w:rPr>
        <w:t>20.3 争议评审</w:t>
      </w:r>
      <w:bookmarkEnd w:id="1563"/>
      <w:bookmarkEnd w:id="1564"/>
    </w:p>
    <w:p>
      <w:pPr>
        <w:spacing w:line="360" w:lineRule="auto"/>
        <w:ind w:right="105" w:rightChars="50" w:firstLine="420" w:firstLineChars="200"/>
        <w:jc w:val="left"/>
        <w:rPr>
          <w:rFonts w:ascii="宋体" w:hAnsi="宋体"/>
          <w:szCs w:val="21"/>
        </w:rPr>
      </w:pPr>
      <w:r>
        <w:rPr>
          <w:rFonts w:hint="eastAsia" w:ascii="宋体" w:hAnsi="宋体"/>
          <w:szCs w:val="21"/>
        </w:rPr>
        <w:t>合同当事人是否同意将工程争议提交争议评审小组决定：</w:t>
      </w:r>
      <w:r>
        <w:rPr>
          <w:rFonts w:hint="eastAsia" w:ascii="宋体" w:hAnsi="宋体"/>
          <w:szCs w:val="21"/>
          <w:u w:val="single"/>
        </w:rPr>
        <w:t xml:space="preserve">        </w:t>
      </w:r>
      <w:r>
        <w:rPr>
          <w:rFonts w:hint="eastAsia" w:ascii="宋体" w:hAnsi="宋体"/>
          <w:szCs w:val="21"/>
        </w:rPr>
        <w:t>。</w:t>
      </w:r>
    </w:p>
    <w:p>
      <w:pPr>
        <w:pStyle w:val="7"/>
        <w:spacing w:before="0" w:beforeAutospacing="0" w:after="0" w:afterAutospacing="0" w:line="360" w:lineRule="auto"/>
        <w:ind w:firstLine="422" w:firstLineChars="200"/>
        <w:rPr>
          <w:sz w:val="21"/>
          <w:szCs w:val="21"/>
        </w:rPr>
      </w:pPr>
      <w:bookmarkStart w:id="1565" w:name="_Toc532375682"/>
      <w:bookmarkStart w:id="1566" w:name="_Toc532377421"/>
      <w:r>
        <w:rPr>
          <w:rFonts w:hint="eastAsia"/>
          <w:sz w:val="21"/>
          <w:szCs w:val="21"/>
        </w:rPr>
        <w:t>20.4 仲裁或诉讼</w:t>
      </w:r>
      <w:bookmarkEnd w:id="1565"/>
      <w:bookmarkEnd w:id="1566"/>
    </w:p>
    <w:p>
      <w:pPr>
        <w:spacing w:line="360" w:lineRule="auto"/>
        <w:ind w:right="105" w:rightChars="50" w:firstLine="420" w:firstLineChars="200"/>
        <w:jc w:val="left"/>
        <w:rPr>
          <w:rFonts w:ascii="宋体" w:hAnsi="宋体"/>
          <w:szCs w:val="21"/>
        </w:rPr>
      </w:pPr>
      <w:r>
        <w:rPr>
          <w:rFonts w:hint="eastAsia" w:ascii="宋体" w:hAnsi="宋体"/>
          <w:szCs w:val="21"/>
        </w:rPr>
        <w:t>因合同及合同有关事项发生的争议，按下列第</w:t>
      </w:r>
      <w:r>
        <w:rPr>
          <w:rFonts w:hint="eastAsia" w:ascii="宋体" w:hAnsi="宋体"/>
          <w:szCs w:val="21"/>
          <w:u w:val="single"/>
        </w:rPr>
        <w:t xml:space="preserve">    </w:t>
      </w:r>
      <w:r>
        <w:rPr>
          <w:rFonts w:hint="eastAsia" w:ascii="宋体" w:hAnsi="宋体"/>
          <w:szCs w:val="21"/>
        </w:rPr>
        <w:t>种方式解决：</w:t>
      </w:r>
    </w:p>
    <w:p>
      <w:pPr>
        <w:spacing w:line="360" w:lineRule="auto"/>
        <w:ind w:right="105" w:rightChars="50" w:firstLine="420" w:firstLineChars="200"/>
        <w:jc w:val="left"/>
        <w:rPr>
          <w:rFonts w:ascii="宋体" w:hAnsi="宋体"/>
          <w:szCs w:val="21"/>
        </w:rPr>
      </w:pPr>
      <w:r>
        <w:rPr>
          <w:rFonts w:ascii="宋体" w:hAnsi="宋体"/>
          <w:szCs w:val="21"/>
        </w:rPr>
        <w:t>（1）向</w:t>
      </w:r>
      <w:r>
        <w:rPr>
          <w:rFonts w:ascii="宋体" w:hAnsi="宋体"/>
          <w:szCs w:val="21"/>
          <w:u w:val="single"/>
        </w:rPr>
        <w:t xml:space="preserve">                     </w:t>
      </w:r>
      <w:r>
        <w:rPr>
          <w:rFonts w:ascii="宋体" w:hAnsi="宋体"/>
          <w:szCs w:val="21"/>
        </w:rPr>
        <w:t>仲裁委员会申请仲裁；</w:t>
      </w:r>
    </w:p>
    <w:p>
      <w:pPr>
        <w:spacing w:line="360" w:lineRule="auto"/>
        <w:ind w:right="105" w:rightChars="50" w:firstLine="420" w:firstLineChars="200"/>
        <w:jc w:val="left"/>
        <w:rPr>
          <w:rFonts w:ascii="宋体" w:hAnsi="宋体"/>
          <w:szCs w:val="21"/>
        </w:rPr>
      </w:pPr>
      <w:r>
        <w:rPr>
          <w:rFonts w:ascii="宋体" w:hAnsi="宋体"/>
          <w:szCs w:val="21"/>
        </w:rPr>
        <w:t>（2）向</w:t>
      </w:r>
      <w:r>
        <w:rPr>
          <w:rFonts w:ascii="宋体" w:hAnsi="宋体"/>
          <w:szCs w:val="21"/>
          <w:u w:val="single"/>
        </w:rPr>
        <w:t xml:space="preserve">                     </w:t>
      </w:r>
      <w:r>
        <w:rPr>
          <w:rFonts w:ascii="宋体" w:hAnsi="宋体"/>
          <w:szCs w:val="21"/>
        </w:rPr>
        <w:t>人民法院起诉。</w:t>
      </w:r>
    </w:p>
    <w:p>
      <w:pPr>
        <w:pStyle w:val="6"/>
        <w:spacing w:before="156" w:beforeLines="50" w:beforeAutospacing="0" w:after="156" w:afterLines="50" w:afterAutospacing="0" w:line="360" w:lineRule="auto"/>
        <w:jc w:val="both"/>
        <w:rPr>
          <w:bCs w:val="0"/>
          <w:kern w:val="2"/>
          <w:sz w:val="21"/>
          <w:szCs w:val="21"/>
        </w:rPr>
      </w:pPr>
      <w:bookmarkStart w:id="1567" w:name="_Toc532375683"/>
      <w:bookmarkStart w:id="1568" w:name="_Toc532377422"/>
      <w:r>
        <w:rPr>
          <w:rFonts w:hint="eastAsia"/>
          <w:kern w:val="2"/>
          <w:sz w:val="21"/>
          <w:szCs w:val="21"/>
        </w:rPr>
        <w:t>21. 补充条款</w:t>
      </w:r>
      <w:bookmarkEnd w:id="1567"/>
      <w:bookmarkEnd w:id="1568"/>
    </w:p>
    <w:p>
      <w:pPr>
        <w:pStyle w:val="7"/>
        <w:spacing w:before="0" w:beforeAutospacing="0" w:after="0" w:afterAutospacing="0" w:line="360" w:lineRule="auto"/>
        <w:ind w:firstLine="422" w:firstLineChars="200"/>
        <w:rPr>
          <w:sz w:val="21"/>
          <w:szCs w:val="21"/>
        </w:rPr>
      </w:pPr>
      <w:bookmarkStart w:id="1569" w:name="_Toc532377423"/>
      <w:bookmarkStart w:id="1570" w:name="_Toc532375684"/>
      <w:r>
        <w:rPr>
          <w:rFonts w:hint="eastAsia"/>
          <w:sz w:val="21"/>
          <w:szCs w:val="21"/>
        </w:rPr>
        <w:t>21.1 退出机制</w:t>
      </w:r>
      <w:bookmarkEnd w:id="1569"/>
      <w:bookmarkEnd w:id="1570"/>
    </w:p>
    <w:p>
      <w:pPr>
        <w:spacing w:line="360" w:lineRule="auto"/>
        <w:ind w:right="105" w:rightChars="50" w:firstLine="420" w:firstLineChars="200"/>
        <w:jc w:val="left"/>
        <w:rPr>
          <w:rFonts w:ascii="宋体" w:hAnsi="宋体"/>
          <w:szCs w:val="21"/>
        </w:rPr>
      </w:pPr>
      <w:r>
        <w:rPr>
          <w:rFonts w:hint="eastAsia" w:ascii="宋体" w:hAnsi="宋体"/>
          <w:szCs w:val="21"/>
        </w:rPr>
        <w:t>21.1.1有下列情形之一的，发包人有权解除合同，亦有权兑付履约担保，并对承包人做清退出场处理</w:t>
      </w:r>
      <w:r>
        <w:rPr>
          <w:rFonts w:hint="eastAsia" w:ascii="宋体" w:hAnsi="宋体"/>
          <w:kern w:val="0"/>
          <w:szCs w:val="21"/>
        </w:rPr>
        <w:t>：</w:t>
      </w:r>
    </w:p>
    <w:p>
      <w:pPr>
        <w:spacing w:line="360" w:lineRule="auto"/>
        <w:ind w:right="105" w:rightChars="50" w:firstLine="420" w:firstLineChars="200"/>
        <w:jc w:val="left"/>
        <w:rPr>
          <w:rFonts w:ascii="宋体" w:hAnsi="宋体"/>
          <w:szCs w:val="21"/>
        </w:rPr>
      </w:pPr>
      <w:r>
        <w:rPr>
          <w:rFonts w:hint="eastAsia" w:ascii="宋体" w:hAnsi="宋体"/>
          <w:szCs w:val="21"/>
        </w:rPr>
        <w:t>（1）因承包人原因造成较大及以上等级生产安全事故或工程质量事故的；</w:t>
      </w:r>
    </w:p>
    <w:p>
      <w:pPr>
        <w:spacing w:line="360" w:lineRule="auto"/>
        <w:ind w:right="105" w:rightChars="50" w:firstLine="420" w:firstLineChars="200"/>
        <w:jc w:val="left"/>
        <w:rPr>
          <w:rFonts w:ascii="宋体" w:hAnsi="宋体"/>
          <w:kern w:val="0"/>
          <w:szCs w:val="21"/>
        </w:rPr>
      </w:pPr>
      <w:r>
        <w:rPr>
          <w:rFonts w:hint="eastAsia" w:ascii="宋体" w:hAnsi="宋体"/>
          <w:kern w:val="0"/>
          <w:szCs w:val="21"/>
        </w:rPr>
        <w:t>（2）因承包人债权债务纠纷或其他纠纷导致工程无法正常施工的。</w:t>
      </w:r>
    </w:p>
    <w:p>
      <w:pPr>
        <w:spacing w:line="360" w:lineRule="auto"/>
        <w:ind w:right="105" w:rightChars="50" w:firstLine="420" w:firstLineChars="200"/>
        <w:jc w:val="left"/>
        <w:rPr>
          <w:rFonts w:ascii="宋体" w:hAnsi="宋体"/>
          <w:szCs w:val="21"/>
        </w:rPr>
      </w:pPr>
      <w:r>
        <w:rPr>
          <w:rFonts w:hint="eastAsia" w:ascii="宋体" w:hAnsi="宋体"/>
          <w:kern w:val="0"/>
          <w:szCs w:val="21"/>
        </w:rPr>
        <w:t>（3）</w:t>
      </w:r>
      <w:r>
        <w:rPr>
          <w:rFonts w:hint="eastAsia" w:ascii="宋体" w:hAnsi="宋体"/>
          <w:kern w:val="0"/>
          <w:szCs w:val="21"/>
          <w:u w:val="single"/>
        </w:rPr>
        <w:t xml:space="preserve">        </w:t>
      </w:r>
      <w:r>
        <w:rPr>
          <w:rFonts w:hint="eastAsia" w:ascii="宋体" w:hAnsi="宋体"/>
          <w:kern w:val="0"/>
          <w:szCs w:val="21"/>
        </w:rPr>
        <w:t>。</w:t>
      </w:r>
    </w:p>
    <w:p>
      <w:pPr>
        <w:pStyle w:val="2"/>
        <w:spacing w:after="0" w:line="360" w:lineRule="auto"/>
        <w:ind w:firstLine="420" w:firstLineChars="200"/>
        <w:rPr>
          <w:rFonts w:ascii="宋体" w:hAnsi="宋体"/>
          <w:szCs w:val="21"/>
        </w:rPr>
      </w:pPr>
      <w:r>
        <w:rPr>
          <w:rFonts w:hint="eastAsia" w:ascii="宋体" w:hAnsi="宋体"/>
          <w:szCs w:val="21"/>
        </w:rPr>
        <w:t>21.1.2有下列情形之一的，承包人有权解除合同，并按16.1.4约定执行：</w:t>
      </w:r>
    </w:p>
    <w:p>
      <w:pPr>
        <w:pStyle w:val="2"/>
        <w:spacing w:after="0" w:line="360" w:lineRule="auto"/>
        <w:ind w:right="105" w:rightChars="50" w:firstLine="420" w:firstLineChars="200"/>
        <w:jc w:val="left"/>
        <w:rPr>
          <w:rFonts w:ascii="宋体" w:hAnsi="宋体"/>
          <w:szCs w:val="21"/>
        </w:rPr>
      </w:pPr>
      <w:r>
        <w:rPr>
          <w:rFonts w:hint="eastAsia" w:ascii="宋体" w:hAnsi="宋体"/>
          <w:szCs w:val="21"/>
        </w:rPr>
        <w:t>（1）因发包人征地、拆迁、补偿、审批手续等原因致使本工程延期开工超过90天的。</w:t>
      </w:r>
    </w:p>
    <w:p>
      <w:pPr>
        <w:spacing w:line="360" w:lineRule="auto"/>
        <w:ind w:right="105" w:rightChars="50" w:firstLine="420" w:firstLineChars="200"/>
        <w:jc w:val="left"/>
        <w:rPr>
          <w:rFonts w:ascii="宋体" w:hAnsi="宋体"/>
          <w:szCs w:val="21"/>
        </w:rPr>
      </w:pPr>
      <w:r>
        <w:rPr>
          <w:rFonts w:hint="eastAsia" w:ascii="宋体" w:hAnsi="宋体"/>
          <w:kern w:val="0"/>
          <w:szCs w:val="21"/>
        </w:rPr>
        <w:t>（2）</w:t>
      </w:r>
      <w:r>
        <w:rPr>
          <w:rFonts w:hint="eastAsia" w:ascii="宋体" w:hAnsi="宋体"/>
          <w:kern w:val="0"/>
          <w:szCs w:val="21"/>
          <w:u w:val="single"/>
        </w:rPr>
        <w:t xml:space="preserve">        </w:t>
      </w:r>
      <w:r>
        <w:rPr>
          <w:rFonts w:hint="eastAsia" w:ascii="宋体" w:hAnsi="宋体"/>
          <w:kern w:val="0"/>
          <w:szCs w:val="21"/>
        </w:rPr>
        <w:t>。</w:t>
      </w:r>
    </w:p>
    <w:p>
      <w:pPr>
        <w:pStyle w:val="7"/>
        <w:spacing w:before="0" w:beforeAutospacing="0" w:after="0" w:afterAutospacing="0" w:line="360" w:lineRule="auto"/>
        <w:ind w:firstLine="422" w:firstLineChars="200"/>
        <w:rPr>
          <w:sz w:val="21"/>
          <w:szCs w:val="21"/>
        </w:rPr>
      </w:pPr>
      <w:bookmarkStart w:id="1571" w:name="_Toc532377424"/>
      <w:bookmarkStart w:id="1572" w:name="_Toc532375685"/>
      <w:r>
        <w:rPr>
          <w:rFonts w:hint="eastAsia"/>
          <w:sz w:val="21"/>
          <w:szCs w:val="21"/>
        </w:rPr>
        <w:t>21.2智慧工地</w:t>
      </w:r>
      <w:bookmarkEnd w:id="1571"/>
      <w:bookmarkEnd w:id="1572"/>
    </w:p>
    <w:p>
      <w:pPr>
        <w:spacing w:line="360" w:lineRule="auto"/>
        <w:ind w:right="105" w:rightChars="50" w:firstLine="420" w:firstLineChars="200"/>
        <w:jc w:val="left"/>
        <w:rPr>
          <w:rFonts w:ascii="宋体" w:hAnsi="宋体"/>
          <w:szCs w:val="21"/>
        </w:rPr>
      </w:pPr>
      <w:r>
        <w:rPr>
          <w:rFonts w:hint="eastAsia" w:ascii="宋体" w:hAnsi="宋体"/>
          <w:szCs w:val="21"/>
        </w:rPr>
        <w:t>工地建设可参照重庆市城乡建设委员会《关于印发“智慧工地”建设工作方案的通知》（渝建〔2017〕414号）的相关要求建设。</w:t>
      </w:r>
      <w:bookmarkEnd w:id="1513"/>
    </w:p>
    <w:p>
      <w:pPr>
        <w:pStyle w:val="7"/>
        <w:spacing w:before="0" w:beforeAutospacing="0" w:after="0" w:afterAutospacing="0" w:line="360" w:lineRule="auto"/>
        <w:ind w:firstLine="422" w:firstLineChars="200"/>
        <w:rPr>
          <w:sz w:val="21"/>
          <w:szCs w:val="21"/>
          <w:u w:val="single"/>
        </w:rPr>
      </w:pPr>
      <w:r>
        <w:rPr>
          <w:rFonts w:hint="eastAsia"/>
          <w:sz w:val="21"/>
          <w:szCs w:val="21"/>
        </w:rPr>
        <w:t>21.3低价风险担保</w:t>
      </w:r>
    </w:p>
    <w:p>
      <w:pPr>
        <w:spacing w:line="360" w:lineRule="auto"/>
        <w:ind w:firstLine="420" w:firstLineChars="200"/>
        <w:jc w:val="left"/>
        <w:rPr>
          <w:rFonts w:ascii="宋体" w:hAnsi="宋体"/>
          <w:szCs w:val="21"/>
        </w:rPr>
      </w:pPr>
      <w:r>
        <w:rPr>
          <w:rFonts w:hint="eastAsia" w:ascii="宋体" w:hAnsi="宋体"/>
          <w:szCs w:val="21"/>
        </w:rPr>
        <w:t>承包人提供低价风险担保的情形：采用经评审的最低投标价法的项目</w:t>
      </w:r>
      <w:r>
        <w:rPr>
          <w:rFonts w:hint="eastAsia" w:ascii="宋体" w:hAnsi="宋体"/>
          <w:szCs w:val="21"/>
          <w:lang w:eastAsia="zh-CN"/>
        </w:rPr>
        <w:t>竞标报价</w:t>
      </w:r>
      <w:r>
        <w:rPr>
          <w:rFonts w:hint="eastAsia" w:ascii="宋体" w:hAnsi="宋体"/>
          <w:szCs w:val="21"/>
        </w:rPr>
        <w:t>低于最高限价85%时。</w:t>
      </w:r>
    </w:p>
    <w:p>
      <w:pPr>
        <w:spacing w:line="360" w:lineRule="auto"/>
        <w:ind w:firstLine="420" w:firstLineChars="200"/>
        <w:jc w:val="left"/>
        <w:rPr>
          <w:rFonts w:ascii="宋体" w:hAnsi="宋体"/>
          <w:szCs w:val="21"/>
        </w:rPr>
      </w:pPr>
      <w:r>
        <w:rPr>
          <w:rFonts w:hint="eastAsia" w:ascii="宋体" w:hAnsi="宋体"/>
          <w:szCs w:val="21"/>
        </w:rPr>
        <w:t>承包人提供低价风险担保的形式、金额及期限：</w:t>
      </w:r>
    </w:p>
    <w:p>
      <w:pPr>
        <w:spacing w:line="360" w:lineRule="auto"/>
        <w:ind w:firstLine="420" w:firstLineChars="200"/>
        <w:jc w:val="left"/>
        <w:rPr>
          <w:rFonts w:ascii="宋体" w:hAnsi="宋体"/>
          <w:szCs w:val="21"/>
        </w:rPr>
      </w:pPr>
      <w:r>
        <w:rPr>
          <w:rFonts w:hint="eastAsia" w:ascii="宋体" w:hAnsi="宋体"/>
          <w:szCs w:val="21"/>
        </w:rPr>
        <w:t>（1）低价风险担保的形式：现金或银行保函或现金+银行保函的组合；采用保函形式的，保函必须为不可撤销、不可转让且见索即付的独立保函；</w:t>
      </w:r>
    </w:p>
    <w:p>
      <w:pPr>
        <w:spacing w:line="360" w:lineRule="auto"/>
        <w:ind w:firstLine="420" w:firstLineChars="200"/>
        <w:jc w:val="left"/>
        <w:rPr>
          <w:rFonts w:ascii="宋体" w:hAnsi="宋体"/>
          <w:szCs w:val="21"/>
        </w:rPr>
      </w:pPr>
      <w:r>
        <w:rPr>
          <w:rFonts w:hint="eastAsia" w:ascii="宋体" w:hAnsi="宋体"/>
          <w:szCs w:val="21"/>
        </w:rPr>
        <w:t>（2）低价风险担保的金额：</w:t>
      </w:r>
      <w:r>
        <w:rPr>
          <w:rFonts w:hint="eastAsia" w:ascii="仿宋_GB2312" w:hAnsi="宋体" w:eastAsia="仿宋_GB2312" w:cs="宋体"/>
          <w:kern w:val="0"/>
          <w:szCs w:val="21"/>
          <w:u w:val="single"/>
        </w:rPr>
        <w:t xml:space="preserve">            </w:t>
      </w:r>
      <w:r>
        <w:rPr>
          <w:rFonts w:hint="eastAsia" w:ascii="宋体" w:hAnsi="宋体"/>
          <w:szCs w:val="21"/>
        </w:rPr>
        <w:t>；</w:t>
      </w:r>
    </w:p>
    <w:p>
      <w:pPr>
        <w:tabs>
          <w:tab w:val="left" w:pos="1134"/>
        </w:tabs>
        <w:spacing w:line="360" w:lineRule="auto"/>
        <w:ind w:firstLine="420" w:firstLineChars="200"/>
        <w:jc w:val="left"/>
        <w:rPr>
          <w:rFonts w:ascii="宋体" w:hAnsi="宋体"/>
          <w:szCs w:val="21"/>
        </w:rPr>
      </w:pPr>
      <w:r>
        <w:rPr>
          <w:rFonts w:hint="eastAsia" w:ascii="宋体" w:hAnsi="宋体"/>
          <w:szCs w:val="21"/>
        </w:rPr>
        <w:t>（3）低价风险担保的提交时间：</w:t>
      </w:r>
      <w:r>
        <w:rPr>
          <w:rFonts w:hint="eastAsia"/>
          <w:szCs w:val="21"/>
          <w:u w:val="single"/>
        </w:rPr>
        <w:t>从招标人中标通知书送达拟中标人之日起10个工作日内</w:t>
      </w:r>
      <w:r>
        <w:rPr>
          <w:rFonts w:hint="eastAsia" w:ascii="宋体" w:hAnsi="宋体"/>
          <w:szCs w:val="21"/>
          <w:u w:val="single"/>
        </w:rPr>
        <w:t>；</w:t>
      </w:r>
    </w:p>
    <w:p>
      <w:pPr>
        <w:tabs>
          <w:tab w:val="left" w:pos="1134"/>
        </w:tabs>
        <w:spacing w:line="360" w:lineRule="auto"/>
        <w:ind w:firstLine="420" w:firstLineChars="200"/>
        <w:jc w:val="left"/>
        <w:rPr>
          <w:rFonts w:ascii="宋体" w:hAnsi="宋体"/>
          <w:szCs w:val="21"/>
        </w:rPr>
      </w:pPr>
      <w:r>
        <w:rPr>
          <w:rFonts w:hint="eastAsia" w:ascii="宋体" w:hAnsi="宋体"/>
          <w:szCs w:val="21"/>
        </w:rPr>
        <w:t>（4）低价风险担保的期限：</w:t>
      </w:r>
      <w:r>
        <w:rPr>
          <w:rFonts w:hint="eastAsia"/>
          <w:szCs w:val="21"/>
          <w:u w:val="single"/>
        </w:rPr>
        <w:t>自低价风险担保生效之日起至竣工验收合格之日止</w:t>
      </w:r>
      <w:r>
        <w:rPr>
          <w:rFonts w:hint="eastAsia" w:ascii="宋体" w:hAnsi="宋体"/>
          <w:szCs w:val="21"/>
        </w:rPr>
        <w:t>。</w:t>
      </w:r>
    </w:p>
    <w:p>
      <w:pPr>
        <w:pStyle w:val="2"/>
        <w:spacing w:after="0" w:line="360" w:lineRule="auto"/>
        <w:ind w:firstLine="420" w:firstLineChars="200"/>
        <w:jc w:val="left"/>
        <w:rPr>
          <w:rFonts w:ascii="宋体" w:hAnsi="宋体"/>
          <w:szCs w:val="21"/>
        </w:rPr>
      </w:pPr>
      <w:r>
        <w:rPr>
          <w:rFonts w:hint="eastAsia" w:ascii="宋体" w:hAnsi="宋体"/>
          <w:szCs w:val="21"/>
        </w:rPr>
        <w:t>低价风险担保的退还时间：</w:t>
      </w:r>
      <w:r>
        <w:rPr>
          <w:rFonts w:hint="eastAsia" w:ascii="宋体" w:hAnsi="宋体"/>
          <w:szCs w:val="21"/>
          <w:u w:val="single"/>
        </w:rPr>
        <w:t xml:space="preserve">采用现金担保的，工程竣工验收合格后14天内退还，合同履行期间允许承包人用符合要求的银行保函进行置换；采用银行保函的，工程竣工验收合格后14天内退还。采用分段退还的，低价风险担保的退还时间及方式为：        </w:t>
      </w:r>
      <w:r>
        <w:rPr>
          <w:rFonts w:hint="eastAsia" w:ascii="宋体" w:hAnsi="宋体"/>
          <w:szCs w:val="21"/>
        </w:rPr>
        <w:t>。</w:t>
      </w:r>
    </w:p>
    <w:p>
      <w:pPr>
        <w:pStyle w:val="2"/>
        <w:spacing w:after="0" w:line="360" w:lineRule="auto"/>
        <w:ind w:firstLine="420" w:firstLineChars="200"/>
        <w:jc w:val="left"/>
        <w:rPr>
          <w:rFonts w:ascii="宋体" w:hAnsi="宋体"/>
          <w:szCs w:val="21"/>
        </w:rPr>
      </w:pPr>
      <w:r>
        <w:rPr>
          <w:rFonts w:hint="eastAsia" w:ascii="宋体" w:hAnsi="宋体"/>
          <w:szCs w:val="21"/>
        </w:rPr>
        <w:t>（5）低价风险担保的扣减：</w:t>
      </w:r>
    </w:p>
    <w:p>
      <w:pPr>
        <w:pStyle w:val="2"/>
        <w:spacing w:after="0" w:line="360" w:lineRule="auto"/>
        <w:ind w:firstLine="420" w:firstLineChars="200"/>
        <w:jc w:val="left"/>
        <w:rPr>
          <w:rFonts w:ascii="宋体" w:hAnsi="宋体"/>
          <w:szCs w:val="21"/>
        </w:rPr>
      </w:pPr>
      <w:r>
        <w:rPr>
          <w:rFonts w:hint="eastAsia" w:ascii="宋体" w:hAnsi="宋体"/>
          <w:szCs w:val="21"/>
        </w:rPr>
        <w:t>①承包人在工程施工期间，以其</w:t>
      </w:r>
      <w:r>
        <w:rPr>
          <w:rFonts w:hint="eastAsia" w:ascii="宋体" w:hAnsi="宋体"/>
          <w:szCs w:val="21"/>
          <w:lang w:eastAsia="zh-CN"/>
        </w:rPr>
        <w:t>竞标</w:t>
      </w:r>
      <w:r>
        <w:rPr>
          <w:rFonts w:hint="eastAsia" w:ascii="宋体" w:hAnsi="宋体"/>
          <w:szCs w:val="21"/>
        </w:rPr>
        <w:t>时填报的工程主要材料价格低于同期工程造价管理机构发布的信息价格为由拒绝材料采购；或因其自身其他原因导致工程窝工或停工等，给发包人造成直接经济损失且拒绝承担的，按低价风险担保金额的</w:t>
      </w:r>
      <w:r>
        <w:rPr>
          <w:rFonts w:hint="eastAsia" w:ascii="宋体" w:hAnsi="宋体"/>
          <w:szCs w:val="21"/>
          <w:u w:val="single"/>
        </w:rPr>
        <w:t>50～100%</w:t>
      </w:r>
      <w:r>
        <w:rPr>
          <w:rFonts w:hint="eastAsia" w:ascii="宋体" w:hAnsi="宋体"/>
          <w:szCs w:val="21"/>
        </w:rPr>
        <w:t>扣减，直至解除合同；</w:t>
      </w:r>
    </w:p>
    <w:p>
      <w:pPr>
        <w:pStyle w:val="2"/>
        <w:spacing w:after="0" w:line="360" w:lineRule="auto"/>
        <w:ind w:firstLine="420" w:firstLineChars="200"/>
        <w:jc w:val="left"/>
        <w:rPr>
          <w:rFonts w:ascii="宋体" w:hAnsi="宋体"/>
          <w:szCs w:val="21"/>
        </w:rPr>
      </w:pPr>
      <w:r>
        <w:rPr>
          <w:rFonts w:hint="eastAsia" w:ascii="宋体" w:hAnsi="宋体"/>
          <w:szCs w:val="21"/>
        </w:rPr>
        <w:t>②承包人在工程施工期间或竣工验收时，工程质量不符合国家现行有关施工质量验收规范要求的，按低价风险担保金额的</w:t>
      </w:r>
      <w:r>
        <w:rPr>
          <w:rFonts w:hint="eastAsia" w:ascii="宋体" w:hAnsi="宋体"/>
          <w:szCs w:val="21"/>
          <w:u w:val="single"/>
        </w:rPr>
        <w:t>50～100%</w:t>
      </w:r>
      <w:r>
        <w:rPr>
          <w:rFonts w:hint="eastAsia" w:ascii="宋体" w:hAnsi="宋体"/>
          <w:szCs w:val="21"/>
        </w:rPr>
        <w:t>扣减，直至解除合同；</w:t>
      </w:r>
    </w:p>
    <w:p>
      <w:pPr>
        <w:pStyle w:val="2"/>
        <w:spacing w:after="0" w:line="360" w:lineRule="auto"/>
        <w:ind w:firstLine="420" w:firstLineChars="200"/>
        <w:jc w:val="left"/>
        <w:rPr>
          <w:rFonts w:ascii="宋体" w:hAnsi="宋体"/>
          <w:szCs w:val="21"/>
        </w:rPr>
      </w:pPr>
      <w:r>
        <w:rPr>
          <w:rFonts w:hint="eastAsia" w:ascii="宋体" w:hAnsi="宋体"/>
          <w:szCs w:val="21"/>
        </w:rPr>
        <w:t>③承包人因16.2.3项原因被解除合同的，低价风险担保将全额扣除；</w:t>
      </w:r>
    </w:p>
    <w:p>
      <w:pPr>
        <w:pStyle w:val="7"/>
        <w:spacing w:before="0" w:beforeAutospacing="0" w:after="0" w:afterAutospacing="0" w:line="360" w:lineRule="auto"/>
        <w:ind w:firstLine="400" w:firstLineChars="200"/>
        <w:rPr>
          <w:sz w:val="21"/>
          <w:szCs w:val="21"/>
        </w:rPr>
      </w:pPr>
      <w:r>
        <w:rPr>
          <w:rFonts w:hint="eastAsia"/>
          <w:b w:val="0"/>
          <w:bCs w:val="0"/>
          <w:szCs w:val="21"/>
        </w:rPr>
        <w:t>④因承包人过错导致的其他情形：</w:t>
      </w:r>
      <w:r>
        <w:rPr>
          <w:rFonts w:hint="eastAsia"/>
          <w:b w:val="0"/>
          <w:bCs w:val="0"/>
          <w:szCs w:val="21"/>
          <w:u w:val="single"/>
        </w:rPr>
        <w:t xml:space="preserve">        </w:t>
      </w:r>
      <w:r>
        <w:rPr>
          <w:rFonts w:hint="eastAsia"/>
          <w:b w:val="0"/>
          <w:bCs w:val="0"/>
          <w:szCs w:val="21"/>
        </w:rPr>
        <w:t>。</w:t>
      </w:r>
    </w:p>
    <w:p>
      <w:pPr>
        <w:pStyle w:val="7"/>
        <w:spacing w:before="0" w:beforeAutospacing="0" w:after="0" w:afterAutospacing="0" w:line="360" w:lineRule="auto"/>
        <w:ind w:firstLine="422" w:firstLineChars="200"/>
        <w:rPr>
          <w:sz w:val="21"/>
          <w:szCs w:val="21"/>
        </w:rPr>
      </w:pPr>
      <w:r>
        <w:rPr>
          <w:rFonts w:hint="eastAsia"/>
          <w:sz w:val="21"/>
          <w:szCs w:val="21"/>
        </w:rPr>
        <w:t>21.4 关于不平衡报价的约定：</w:t>
      </w:r>
      <w:r>
        <w:rPr>
          <w:rFonts w:hint="eastAsia"/>
          <w:b w:val="0"/>
          <w:bCs w:val="0"/>
          <w:szCs w:val="21"/>
          <w:u w:val="single"/>
        </w:rPr>
        <w:t xml:space="preserve">        </w:t>
      </w:r>
      <w:r>
        <w:rPr>
          <w:rFonts w:hint="eastAsia"/>
          <w:sz w:val="21"/>
          <w:szCs w:val="21"/>
        </w:rPr>
        <w:t xml:space="preserve">       </w:t>
      </w:r>
    </w:p>
    <w:p>
      <w:pPr>
        <w:pStyle w:val="7"/>
        <w:spacing w:before="0" w:beforeAutospacing="0" w:after="0" w:afterAutospacing="0" w:line="360" w:lineRule="auto"/>
        <w:ind w:firstLine="422" w:firstLineChars="200"/>
        <w:rPr>
          <w:sz w:val="21"/>
          <w:szCs w:val="21"/>
        </w:rPr>
      </w:pPr>
      <w:r>
        <w:rPr>
          <w:rFonts w:hint="eastAsia"/>
          <w:sz w:val="21"/>
          <w:szCs w:val="21"/>
        </w:rPr>
        <w:t xml:space="preserve">21.5 </w:t>
      </w:r>
      <w:r>
        <w:rPr>
          <w:rFonts w:hint="eastAsia"/>
          <w:b w:val="0"/>
          <w:bCs w:val="0"/>
          <w:szCs w:val="21"/>
          <w:u w:val="single"/>
        </w:rPr>
        <w:t xml:space="preserve">        </w:t>
      </w:r>
      <w:r>
        <w:rPr>
          <w:rFonts w:hint="eastAsia"/>
          <w:sz w:val="21"/>
          <w:szCs w:val="21"/>
        </w:rPr>
        <w:t xml:space="preserve">       </w:t>
      </w:r>
    </w:p>
    <w:p>
      <w:pPr>
        <w:pStyle w:val="6"/>
        <w:spacing w:before="156" w:beforeLines="50" w:beforeAutospacing="0" w:after="156" w:afterLines="50" w:afterAutospacing="0" w:line="360" w:lineRule="auto"/>
        <w:jc w:val="both"/>
        <w:rPr>
          <w:bCs w:val="0"/>
          <w:kern w:val="2"/>
          <w:sz w:val="21"/>
          <w:szCs w:val="21"/>
        </w:rPr>
      </w:pPr>
      <w:bookmarkStart w:id="1573" w:name="_Toc532375686"/>
      <w:bookmarkStart w:id="1574" w:name="_Toc532377425"/>
      <w:bookmarkStart w:id="1575" w:name="_Toc351203652"/>
      <w:r>
        <w:rPr>
          <w:rFonts w:hint="eastAsia"/>
          <w:kern w:val="2"/>
          <w:sz w:val="21"/>
          <w:szCs w:val="21"/>
        </w:rPr>
        <w:t>22. 合同附件</w:t>
      </w:r>
      <w:bookmarkEnd w:id="1573"/>
      <w:bookmarkEnd w:id="1574"/>
    </w:p>
    <w:p>
      <w:pPr>
        <w:spacing w:line="360" w:lineRule="auto"/>
        <w:ind w:right="105" w:rightChars="50" w:firstLine="420" w:firstLineChars="200"/>
        <w:jc w:val="left"/>
        <w:rPr>
          <w:rFonts w:ascii="宋体" w:hAnsi="宋体"/>
        </w:rPr>
      </w:pPr>
      <w:r>
        <w:rPr>
          <w:rFonts w:hint="eastAsia" w:ascii="宋体" w:hAnsi="宋体"/>
        </w:rPr>
        <w:t>以下十一个附件是本合同的有效组成部分：</w:t>
      </w:r>
    </w:p>
    <w:p>
      <w:pPr>
        <w:spacing w:line="360" w:lineRule="auto"/>
        <w:ind w:right="105" w:rightChars="50" w:firstLine="420" w:firstLineChars="200"/>
        <w:jc w:val="left"/>
        <w:rPr>
          <w:rFonts w:ascii="宋体" w:hAnsi="宋体"/>
          <w:szCs w:val="21"/>
        </w:rPr>
      </w:pPr>
      <w:r>
        <w:rPr>
          <w:rFonts w:hint="eastAsia" w:ascii="宋体" w:hAnsi="宋体"/>
          <w:szCs w:val="21"/>
        </w:rPr>
        <w:t>附件1：工程质量保修书</w:t>
      </w:r>
    </w:p>
    <w:p>
      <w:pPr>
        <w:spacing w:line="360" w:lineRule="auto"/>
        <w:ind w:right="105" w:rightChars="50" w:firstLine="420" w:firstLineChars="200"/>
        <w:jc w:val="left"/>
        <w:rPr>
          <w:rFonts w:ascii="宋体" w:hAnsi="宋体"/>
          <w:szCs w:val="21"/>
        </w:rPr>
      </w:pPr>
      <w:r>
        <w:rPr>
          <w:rFonts w:hint="eastAsia" w:ascii="宋体" w:hAnsi="宋体"/>
          <w:szCs w:val="21"/>
        </w:rPr>
        <w:t>附件2：主要建设工程文件目录</w:t>
      </w:r>
    </w:p>
    <w:p>
      <w:pPr>
        <w:spacing w:line="360" w:lineRule="auto"/>
        <w:ind w:right="105" w:rightChars="50" w:firstLine="420" w:firstLineChars="200"/>
        <w:jc w:val="left"/>
        <w:rPr>
          <w:rFonts w:ascii="宋体" w:hAnsi="宋体"/>
          <w:szCs w:val="21"/>
        </w:rPr>
      </w:pPr>
      <w:r>
        <w:rPr>
          <w:rFonts w:hint="eastAsia" w:ascii="宋体" w:hAnsi="宋体"/>
          <w:szCs w:val="21"/>
        </w:rPr>
        <w:t>附件3：承包人项目管理机构组成表</w:t>
      </w:r>
    </w:p>
    <w:p>
      <w:pPr>
        <w:spacing w:line="360" w:lineRule="auto"/>
        <w:ind w:right="105" w:rightChars="50" w:firstLine="420" w:firstLineChars="200"/>
        <w:jc w:val="left"/>
        <w:rPr>
          <w:rFonts w:ascii="宋体" w:hAnsi="宋体"/>
          <w:szCs w:val="21"/>
        </w:rPr>
      </w:pPr>
      <w:r>
        <w:rPr>
          <w:rFonts w:hint="eastAsia" w:ascii="宋体" w:hAnsi="宋体"/>
          <w:szCs w:val="21"/>
        </w:rPr>
        <w:t>附件4：履约</w:t>
      </w:r>
      <w:r>
        <w:rPr>
          <w:rFonts w:ascii="宋体" w:hAnsi="宋体"/>
          <w:szCs w:val="21"/>
        </w:rPr>
        <w:t>担保</w:t>
      </w:r>
      <w:r>
        <w:rPr>
          <w:rFonts w:hint="eastAsia" w:ascii="宋体" w:hAnsi="宋体"/>
          <w:szCs w:val="21"/>
        </w:rPr>
        <w:t>（如有）</w:t>
      </w:r>
    </w:p>
    <w:p>
      <w:pPr>
        <w:spacing w:line="360" w:lineRule="auto"/>
        <w:ind w:right="105" w:rightChars="50" w:firstLine="420" w:firstLineChars="200"/>
        <w:jc w:val="left"/>
        <w:rPr>
          <w:rFonts w:ascii="宋体" w:hAnsi="宋体"/>
          <w:szCs w:val="21"/>
        </w:rPr>
      </w:pPr>
      <w:r>
        <w:rPr>
          <w:rFonts w:hint="eastAsia" w:ascii="宋体" w:hAnsi="宋体"/>
          <w:szCs w:val="21"/>
        </w:rPr>
        <w:t>附件</w:t>
      </w:r>
      <w:r>
        <w:rPr>
          <w:rFonts w:ascii="宋体" w:hAnsi="宋体"/>
          <w:szCs w:val="21"/>
        </w:rPr>
        <w:t>5</w:t>
      </w:r>
      <w:r>
        <w:rPr>
          <w:rFonts w:hint="eastAsia" w:ascii="宋体" w:hAnsi="宋体"/>
          <w:szCs w:val="21"/>
        </w:rPr>
        <w:t>：预付款担保（如有）</w:t>
      </w:r>
    </w:p>
    <w:p>
      <w:pPr>
        <w:spacing w:line="360" w:lineRule="auto"/>
        <w:ind w:right="105" w:rightChars="50" w:firstLine="420" w:firstLineChars="200"/>
        <w:jc w:val="left"/>
        <w:rPr>
          <w:rFonts w:ascii="宋体" w:hAnsi="宋体"/>
          <w:szCs w:val="21"/>
        </w:rPr>
      </w:pPr>
      <w:r>
        <w:rPr>
          <w:rFonts w:hint="eastAsia" w:ascii="宋体" w:hAnsi="宋体"/>
          <w:szCs w:val="21"/>
        </w:rPr>
        <w:t>附件</w:t>
      </w:r>
      <w:r>
        <w:rPr>
          <w:rFonts w:ascii="宋体" w:hAnsi="宋体"/>
          <w:szCs w:val="21"/>
        </w:rPr>
        <w:t>6</w:t>
      </w:r>
      <w:r>
        <w:rPr>
          <w:rFonts w:hint="eastAsia" w:ascii="宋体" w:hAnsi="宋体"/>
          <w:szCs w:val="21"/>
        </w:rPr>
        <w:t>：支付担保（如有）</w:t>
      </w:r>
    </w:p>
    <w:p>
      <w:pPr>
        <w:spacing w:line="360" w:lineRule="auto"/>
        <w:ind w:right="105" w:rightChars="50" w:firstLine="420" w:firstLineChars="200"/>
        <w:jc w:val="left"/>
        <w:rPr>
          <w:rFonts w:ascii="宋体" w:hAnsi="宋体"/>
          <w:szCs w:val="21"/>
        </w:rPr>
      </w:pPr>
      <w:r>
        <w:rPr>
          <w:rFonts w:hint="eastAsia" w:ascii="宋体" w:hAnsi="宋体"/>
          <w:szCs w:val="21"/>
        </w:rPr>
        <w:t>附件</w:t>
      </w:r>
      <w:r>
        <w:rPr>
          <w:rFonts w:ascii="宋体" w:hAnsi="宋体"/>
          <w:szCs w:val="21"/>
        </w:rPr>
        <w:t>7</w:t>
      </w:r>
      <w:r>
        <w:rPr>
          <w:rFonts w:hint="eastAsia" w:ascii="宋体" w:hAnsi="宋体"/>
          <w:szCs w:val="21"/>
        </w:rPr>
        <w:t>：专业工程暂估价表</w:t>
      </w:r>
    </w:p>
    <w:p>
      <w:pPr>
        <w:spacing w:line="360" w:lineRule="auto"/>
        <w:ind w:right="105" w:rightChars="50" w:firstLine="420" w:firstLineChars="200"/>
        <w:jc w:val="left"/>
        <w:rPr>
          <w:rFonts w:ascii="宋体" w:hAnsi="宋体"/>
          <w:szCs w:val="21"/>
        </w:rPr>
      </w:pPr>
      <w:r>
        <w:rPr>
          <w:rFonts w:hint="eastAsia" w:ascii="宋体" w:hAnsi="宋体"/>
          <w:szCs w:val="21"/>
        </w:rPr>
        <w:t>附件</w:t>
      </w:r>
      <w:r>
        <w:rPr>
          <w:rFonts w:ascii="宋体" w:hAnsi="宋体"/>
          <w:szCs w:val="21"/>
        </w:rPr>
        <w:t>8</w:t>
      </w:r>
      <w:r>
        <w:rPr>
          <w:rFonts w:hint="eastAsia" w:ascii="宋体" w:hAnsi="宋体"/>
          <w:szCs w:val="21"/>
        </w:rPr>
        <w:t>：廉洁从业协议</w:t>
      </w:r>
    </w:p>
    <w:p>
      <w:pPr>
        <w:spacing w:line="360" w:lineRule="auto"/>
        <w:ind w:right="105" w:rightChars="50" w:firstLine="420" w:firstLineChars="200"/>
        <w:jc w:val="left"/>
        <w:rPr>
          <w:rFonts w:ascii="宋体" w:hAnsi="宋体"/>
          <w:szCs w:val="21"/>
        </w:rPr>
      </w:pPr>
      <w:r>
        <w:rPr>
          <w:rFonts w:hint="eastAsia" w:ascii="宋体" w:hAnsi="宋体"/>
          <w:szCs w:val="21"/>
        </w:rPr>
        <w:t>附件</w:t>
      </w:r>
      <w:r>
        <w:rPr>
          <w:rFonts w:ascii="宋体" w:hAnsi="宋体"/>
          <w:szCs w:val="21"/>
        </w:rPr>
        <w:t>9</w:t>
      </w:r>
      <w:r>
        <w:rPr>
          <w:rFonts w:hint="eastAsia" w:ascii="宋体" w:hAnsi="宋体"/>
          <w:szCs w:val="21"/>
        </w:rPr>
        <w:t>：安全管理协议</w:t>
      </w:r>
    </w:p>
    <w:p>
      <w:pPr>
        <w:spacing w:line="360" w:lineRule="auto"/>
        <w:ind w:right="105" w:rightChars="50" w:firstLine="420" w:firstLineChars="200"/>
        <w:jc w:val="left"/>
        <w:rPr>
          <w:rFonts w:ascii="宋体" w:hAnsi="宋体"/>
          <w:szCs w:val="21"/>
        </w:rPr>
      </w:pPr>
      <w:r>
        <w:rPr>
          <w:rFonts w:hint="eastAsia" w:ascii="宋体" w:hAnsi="宋体"/>
          <w:szCs w:val="21"/>
        </w:rPr>
        <w:t>附件</w:t>
      </w:r>
      <w:r>
        <w:rPr>
          <w:rFonts w:ascii="宋体" w:hAnsi="宋体"/>
          <w:szCs w:val="21"/>
        </w:rPr>
        <w:t>10</w:t>
      </w:r>
      <w:r>
        <w:rPr>
          <w:rFonts w:hint="eastAsia" w:ascii="宋体" w:hAnsi="宋体"/>
          <w:szCs w:val="21"/>
        </w:rPr>
        <w:t>：保障农民工工资支付协议</w:t>
      </w:r>
    </w:p>
    <w:p>
      <w:pPr>
        <w:spacing w:line="360" w:lineRule="auto"/>
        <w:ind w:right="105" w:rightChars="50" w:firstLine="420" w:firstLineChars="200"/>
        <w:jc w:val="left"/>
        <w:rPr>
          <w:rFonts w:ascii="宋体" w:hAnsi="宋体"/>
          <w:szCs w:val="21"/>
        </w:rPr>
      </w:pPr>
      <w:r>
        <w:rPr>
          <w:rFonts w:hint="eastAsia" w:ascii="宋体" w:hAnsi="宋体"/>
          <w:szCs w:val="21"/>
        </w:rPr>
        <w:t>附件11：低价风险担保保函示范文本（独立保函）（如有）</w:t>
      </w:r>
    </w:p>
    <w:p>
      <w:pPr>
        <w:rPr>
          <w:rFonts w:ascii="宋体" w:hAnsi="宋体"/>
          <w:b/>
        </w:rPr>
      </w:pPr>
      <w:r>
        <w:rPr>
          <w:rFonts w:hint="eastAsia" w:ascii="宋体" w:hAnsi="宋体"/>
          <w:szCs w:val="21"/>
        </w:rPr>
        <w:br w:type="page"/>
      </w:r>
      <w:bookmarkEnd w:id="1575"/>
    </w:p>
    <w:p>
      <w:pPr>
        <w:pStyle w:val="3"/>
        <w:spacing w:before="0" w:after="0" w:line="360" w:lineRule="auto"/>
        <w:jc w:val="center"/>
        <w:rPr>
          <w:rFonts w:ascii="宋体" w:hAnsi="宋体"/>
        </w:rPr>
      </w:pPr>
      <w:bookmarkStart w:id="1576" w:name="baidusnap7"/>
      <w:bookmarkEnd w:id="1576"/>
      <w:bookmarkStart w:id="1577" w:name="baidusnap3"/>
      <w:bookmarkEnd w:id="1577"/>
      <w:bookmarkStart w:id="1578" w:name="_Toc29696"/>
      <w:bookmarkStart w:id="1579" w:name="_Toc3748"/>
      <w:bookmarkStart w:id="1580" w:name="_Toc14868"/>
      <w:bookmarkStart w:id="1581" w:name="_Toc534185822"/>
      <w:bookmarkStart w:id="1582" w:name="_Toc430530513"/>
      <w:bookmarkStart w:id="1583" w:name="_Toc31047"/>
      <w:bookmarkStart w:id="1584" w:name="_Toc287620797"/>
      <w:bookmarkStart w:id="1585" w:name="_Toc13890"/>
      <w:bookmarkStart w:id="1586" w:name="_Toc509218843"/>
      <w:bookmarkStart w:id="1587" w:name="_Toc287607855"/>
      <w:r>
        <w:rPr>
          <w:rFonts w:hint="eastAsia" w:ascii="宋体" w:hAnsi="宋体"/>
        </w:rPr>
        <w:t>第五章  工程量清单</w:t>
      </w:r>
      <w:bookmarkEnd w:id="1578"/>
      <w:bookmarkEnd w:id="1579"/>
      <w:bookmarkEnd w:id="1580"/>
      <w:bookmarkEnd w:id="1581"/>
      <w:bookmarkEnd w:id="1582"/>
      <w:bookmarkEnd w:id="1583"/>
      <w:bookmarkEnd w:id="1584"/>
      <w:bookmarkEnd w:id="1585"/>
      <w:bookmarkEnd w:id="1586"/>
      <w:bookmarkEnd w:id="1587"/>
      <w:bookmarkStart w:id="1588" w:name="招标文件05章工程量清单01"/>
      <w:bookmarkEnd w:id="1588"/>
      <w:bookmarkStart w:id="1589" w:name="_Toc224103477"/>
      <w:bookmarkStart w:id="1590" w:name="_Toc287620798"/>
      <w:bookmarkStart w:id="1591" w:name="_Toc287607856"/>
      <w:bookmarkStart w:id="1592" w:name="_Toc277082638"/>
      <w:bookmarkStart w:id="1593" w:name="_Toc430530514"/>
    </w:p>
    <w:bookmarkEnd w:id="1589"/>
    <w:bookmarkEnd w:id="1590"/>
    <w:bookmarkEnd w:id="1591"/>
    <w:bookmarkEnd w:id="1592"/>
    <w:bookmarkEnd w:id="1593"/>
    <w:p>
      <w:pPr>
        <w:snapToGrid w:val="0"/>
        <w:spacing w:line="360" w:lineRule="auto"/>
        <w:jc w:val="center"/>
        <w:rPr>
          <w:rFonts w:ascii="宋体" w:hAnsi="宋体"/>
          <w:sz w:val="24"/>
        </w:rPr>
      </w:pPr>
    </w:p>
    <w:p>
      <w:pPr>
        <w:snapToGrid w:val="0"/>
        <w:spacing w:line="360" w:lineRule="auto"/>
        <w:jc w:val="center"/>
        <w:rPr>
          <w:rFonts w:ascii="宋体" w:hAnsi="宋体"/>
          <w:szCs w:val="21"/>
        </w:rPr>
      </w:pPr>
      <w:r>
        <w:rPr>
          <w:rFonts w:hint="eastAsia" w:ascii="宋体" w:hAnsi="宋体"/>
          <w:szCs w:val="20"/>
        </w:rPr>
        <w:t>在</w:t>
      </w:r>
      <w:r>
        <w:rPr>
          <w:rFonts w:hint="eastAsia" w:ascii="宋体" w:hAnsi="宋体"/>
          <w:szCs w:val="20"/>
          <w:u w:val="single"/>
          <w:lang w:eastAsia="zh-CN"/>
        </w:rPr>
        <w:t>重庆市公共资源交易网（渝中区）（www.cqggzy.com/yuzhongweb）</w:t>
      </w:r>
      <w:r>
        <w:rPr>
          <w:rFonts w:hint="eastAsia" w:ascii="宋体" w:hAnsi="宋体"/>
          <w:szCs w:val="20"/>
        </w:rPr>
        <w:t>下载。</w:t>
      </w:r>
    </w:p>
    <w:p>
      <w:pPr>
        <w:ind w:right="561"/>
        <w:rPr>
          <w:rFonts w:ascii="宋体" w:hAnsi="宋体"/>
          <w:szCs w:val="21"/>
        </w:rPr>
      </w:pPr>
      <w:r>
        <w:rPr>
          <w:rFonts w:ascii="宋体" w:hAnsi="宋体"/>
          <w:sz w:val="24"/>
        </w:rPr>
        <w:br w:type="page"/>
      </w:r>
    </w:p>
    <w:p>
      <w:pPr>
        <w:pStyle w:val="3"/>
        <w:spacing w:before="0" w:after="0" w:line="360" w:lineRule="auto"/>
        <w:jc w:val="center"/>
        <w:rPr>
          <w:rFonts w:ascii="宋体" w:hAnsi="宋体"/>
          <w:sz w:val="52"/>
          <w:szCs w:val="52"/>
        </w:rPr>
      </w:pPr>
      <w:bookmarkStart w:id="1594" w:name="_Toc12759"/>
      <w:bookmarkStart w:id="1595" w:name="_Toc388"/>
      <w:bookmarkStart w:id="1596" w:name="_Toc509218844"/>
      <w:bookmarkStart w:id="1597" w:name="_Toc21288"/>
      <w:bookmarkStart w:id="1598" w:name="_Toc8273"/>
      <w:bookmarkStart w:id="1599" w:name="_Toc7145"/>
      <w:bookmarkStart w:id="1600" w:name="_Toc534185823"/>
      <w:r>
        <w:rPr>
          <w:rFonts w:ascii="宋体" w:hAnsi="宋体"/>
          <w:sz w:val="52"/>
          <w:szCs w:val="52"/>
        </w:rPr>
        <w:t>第 二 卷</w:t>
      </w:r>
      <w:bookmarkEnd w:id="1594"/>
      <w:bookmarkEnd w:id="1595"/>
      <w:bookmarkEnd w:id="1596"/>
      <w:bookmarkEnd w:id="1597"/>
      <w:bookmarkEnd w:id="1598"/>
      <w:bookmarkEnd w:id="1599"/>
      <w:bookmarkEnd w:id="1600"/>
    </w:p>
    <w:p>
      <w:pPr>
        <w:spacing w:line="360" w:lineRule="auto"/>
        <w:rPr>
          <w:rFonts w:ascii="宋体" w:hAnsi="宋体"/>
          <w:szCs w:val="20"/>
        </w:rPr>
      </w:pPr>
      <w:r>
        <w:rPr>
          <w:rFonts w:ascii="宋体" w:hAnsi="宋体"/>
          <w:szCs w:val="20"/>
        </w:rPr>
        <w:br w:type="page"/>
      </w:r>
    </w:p>
    <w:p>
      <w:pPr>
        <w:pStyle w:val="3"/>
        <w:spacing w:line="360" w:lineRule="auto"/>
        <w:jc w:val="center"/>
        <w:rPr>
          <w:rFonts w:ascii="宋体" w:hAnsi="宋体"/>
        </w:rPr>
      </w:pPr>
      <w:bookmarkStart w:id="1601" w:name="招标文件06章图纸"/>
      <w:bookmarkEnd w:id="1601"/>
      <w:bookmarkStart w:id="1602" w:name="_Toc28862"/>
      <w:bookmarkStart w:id="1603" w:name="_Toc287607861"/>
      <w:bookmarkStart w:id="1604" w:name="_Toc18178"/>
      <w:bookmarkStart w:id="1605" w:name="_Toc26598"/>
      <w:bookmarkStart w:id="1606" w:name="_Toc534185825"/>
      <w:bookmarkStart w:id="1607" w:name="_Toc3311"/>
      <w:bookmarkStart w:id="1608" w:name="_Toc4205"/>
      <w:bookmarkStart w:id="1609" w:name="_Toc509218846"/>
      <w:bookmarkStart w:id="1610" w:name="_Toc287620803"/>
      <w:bookmarkStart w:id="1611" w:name="_Toc430530519"/>
      <w:r>
        <w:rPr>
          <w:rFonts w:hint="eastAsia" w:ascii="宋体" w:hAnsi="宋体"/>
        </w:rPr>
        <w:t>第六章  图纸</w:t>
      </w:r>
      <w:bookmarkEnd w:id="1602"/>
      <w:bookmarkEnd w:id="1603"/>
      <w:bookmarkEnd w:id="1604"/>
      <w:bookmarkEnd w:id="1605"/>
      <w:bookmarkEnd w:id="1606"/>
      <w:bookmarkEnd w:id="1607"/>
      <w:bookmarkEnd w:id="1608"/>
      <w:bookmarkEnd w:id="1609"/>
      <w:bookmarkEnd w:id="1610"/>
      <w:bookmarkEnd w:id="1611"/>
    </w:p>
    <w:p>
      <w:pPr>
        <w:spacing w:line="360" w:lineRule="auto"/>
        <w:jc w:val="center"/>
        <w:rPr>
          <w:rFonts w:ascii="宋体" w:hAnsi="宋体"/>
          <w:szCs w:val="20"/>
        </w:rPr>
      </w:pPr>
      <w:r>
        <w:rPr>
          <w:rFonts w:hint="eastAsia" w:ascii="宋体" w:hAnsi="宋体"/>
          <w:szCs w:val="20"/>
        </w:rPr>
        <w:t>在</w:t>
      </w:r>
      <w:r>
        <w:rPr>
          <w:rFonts w:hint="eastAsia" w:ascii="宋体" w:hAnsi="宋体"/>
          <w:szCs w:val="20"/>
          <w:u w:val="single"/>
          <w:lang w:eastAsia="zh-CN"/>
        </w:rPr>
        <w:t>重庆市公共资源交易网（渝中区）（www.cqggzy.com/yuzhongweb）</w:t>
      </w:r>
      <w:r>
        <w:rPr>
          <w:rFonts w:hint="eastAsia" w:ascii="宋体" w:hAnsi="宋体"/>
          <w:szCs w:val="20"/>
        </w:rPr>
        <w:t>下载。</w:t>
      </w:r>
    </w:p>
    <w:p>
      <w:pPr>
        <w:spacing w:line="360" w:lineRule="auto"/>
        <w:rPr>
          <w:rFonts w:ascii="宋体" w:hAnsi="宋体"/>
          <w:szCs w:val="20"/>
        </w:rPr>
      </w:pPr>
      <w:bookmarkStart w:id="1612" w:name="招标文件06章图纸01"/>
      <w:bookmarkEnd w:id="1612"/>
      <w:bookmarkStart w:id="1613" w:name="_Toc287620804"/>
      <w:bookmarkStart w:id="1614" w:name="_Toc430530520"/>
    </w:p>
    <w:bookmarkEnd w:id="1613"/>
    <w:bookmarkEnd w:id="1614"/>
    <w:p>
      <w:pPr>
        <w:spacing w:line="360" w:lineRule="auto"/>
        <w:rPr>
          <w:rFonts w:ascii="宋体" w:hAnsi="宋体"/>
        </w:rPr>
      </w:pPr>
      <w:r>
        <w:rPr>
          <w:rFonts w:ascii="宋体" w:hAnsi="宋体"/>
          <w:szCs w:val="20"/>
        </w:rPr>
        <w:br w:type="page"/>
      </w:r>
    </w:p>
    <w:p>
      <w:pPr>
        <w:pStyle w:val="3"/>
        <w:spacing w:before="0" w:after="0" w:line="360" w:lineRule="auto"/>
        <w:jc w:val="center"/>
        <w:rPr>
          <w:rFonts w:ascii="宋体" w:hAnsi="宋体"/>
          <w:sz w:val="52"/>
          <w:szCs w:val="52"/>
        </w:rPr>
      </w:pPr>
      <w:bookmarkStart w:id="1615" w:name="_Toc15890"/>
      <w:bookmarkStart w:id="1616" w:name="_Toc13273"/>
      <w:bookmarkStart w:id="1617" w:name="_Toc4438"/>
      <w:bookmarkStart w:id="1618" w:name="_Toc23906"/>
      <w:bookmarkStart w:id="1619" w:name="_Toc17678"/>
      <w:r>
        <w:rPr>
          <w:rFonts w:hint="eastAsia" w:ascii="宋体" w:hAnsi="宋体"/>
          <w:sz w:val="52"/>
          <w:szCs w:val="52"/>
        </w:rPr>
        <w:t>第 三 卷</w:t>
      </w:r>
      <w:bookmarkEnd w:id="1615"/>
      <w:bookmarkEnd w:id="1616"/>
      <w:bookmarkEnd w:id="1617"/>
      <w:bookmarkEnd w:id="1618"/>
      <w:bookmarkEnd w:id="1619"/>
      <w:bookmarkStart w:id="1620" w:name="_Toc509218847"/>
      <w:bookmarkStart w:id="1621" w:name="_Toc534185826"/>
      <w:bookmarkStart w:id="1622" w:name="_Toc13211764"/>
      <w:bookmarkStart w:id="1623" w:name="_Toc536628344"/>
      <w:bookmarkStart w:id="1624" w:name="_Toc536796986"/>
      <w:bookmarkStart w:id="1625" w:name="_Toc536619968"/>
      <w:bookmarkStart w:id="1626" w:name="_Toc13210772"/>
      <w:bookmarkStart w:id="1627" w:name="_Toc536797255"/>
      <w:bookmarkStart w:id="1628" w:name="_Toc536796850"/>
      <w:bookmarkStart w:id="1629" w:name="_Toc536620100"/>
      <w:bookmarkStart w:id="1630" w:name="_Toc13211206"/>
      <w:bookmarkStart w:id="1631" w:name="_Toc536621880"/>
      <w:bookmarkStart w:id="1632" w:name="_Toc536797121"/>
      <w:bookmarkStart w:id="1633" w:name="_Toc536797390"/>
    </w:p>
    <w:bookmarkEnd w:id="1620"/>
    <w:p>
      <w:r>
        <w:br w:type="page"/>
      </w:r>
      <w:bookmarkEnd w:id="1621"/>
      <w:bookmarkEnd w:id="1622"/>
      <w:bookmarkEnd w:id="1623"/>
      <w:bookmarkEnd w:id="1624"/>
      <w:bookmarkEnd w:id="1625"/>
      <w:bookmarkEnd w:id="1626"/>
      <w:bookmarkEnd w:id="1627"/>
      <w:bookmarkEnd w:id="1628"/>
      <w:bookmarkEnd w:id="1629"/>
      <w:bookmarkEnd w:id="1630"/>
      <w:bookmarkEnd w:id="1631"/>
      <w:bookmarkEnd w:id="1632"/>
      <w:bookmarkEnd w:id="1633"/>
    </w:p>
    <w:p>
      <w:pPr>
        <w:pStyle w:val="3"/>
        <w:spacing w:line="360" w:lineRule="auto"/>
        <w:jc w:val="center"/>
        <w:rPr>
          <w:rFonts w:ascii="宋体" w:hAnsi="宋体"/>
        </w:rPr>
      </w:pPr>
      <w:bookmarkStart w:id="1634" w:name="招标文件07章技术标准和要求"/>
      <w:bookmarkEnd w:id="1634"/>
      <w:bookmarkStart w:id="1635" w:name="_Toc18852"/>
      <w:bookmarkStart w:id="1636" w:name="_Toc25380"/>
      <w:bookmarkStart w:id="1637" w:name="_Toc9959"/>
      <w:bookmarkStart w:id="1638" w:name="_Toc29154"/>
      <w:bookmarkStart w:id="1639" w:name="_Toc28050"/>
      <w:r>
        <w:rPr>
          <w:rFonts w:ascii="宋体" w:hAnsi="宋体"/>
        </w:rPr>
        <w:t>第七章</w:t>
      </w:r>
      <w:r>
        <w:rPr>
          <w:rFonts w:hint="eastAsia" w:ascii="宋体" w:hAnsi="宋体"/>
        </w:rPr>
        <w:t xml:space="preserve">  </w:t>
      </w:r>
      <w:r>
        <w:rPr>
          <w:rFonts w:ascii="宋体" w:hAnsi="宋体"/>
        </w:rPr>
        <w:t>技术标准和要求</w:t>
      </w:r>
      <w:bookmarkEnd w:id="1635"/>
      <w:bookmarkEnd w:id="1636"/>
      <w:bookmarkEnd w:id="1637"/>
      <w:bookmarkEnd w:id="1638"/>
      <w:bookmarkEnd w:id="1639"/>
      <w:bookmarkStart w:id="1640" w:name="招标文件07章技术标准和要求01"/>
      <w:bookmarkEnd w:id="1640"/>
      <w:bookmarkStart w:id="1641" w:name="_Toc430530524"/>
      <w:bookmarkStart w:id="1642" w:name="_Toc287620808"/>
    </w:p>
    <w:bookmarkEnd w:id="1641"/>
    <w:bookmarkEnd w:id="1642"/>
    <w:p>
      <w:pPr>
        <w:spacing w:line="360" w:lineRule="auto"/>
        <w:rPr>
          <w:rFonts w:ascii="宋体" w:hAnsi="宋体"/>
        </w:rPr>
      </w:pPr>
      <w:r>
        <w:rPr>
          <w:rFonts w:ascii="宋体" w:hAnsi="宋体"/>
        </w:rPr>
        <w:br w:type="page"/>
      </w:r>
    </w:p>
    <w:p>
      <w:pPr>
        <w:pStyle w:val="3"/>
        <w:spacing w:before="0" w:after="0" w:line="360" w:lineRule="auto"/>
        <w:jc w:val="center"/>
        <w:rPr>
          <w:rFonts w:ascii="宋体" w:hAnsi="宋体"/>
          <w:sz w:val="52"/>
          <w:szCs w:val="52"/>
        </w:rPr>
      </w:pPr>
      <w:bookmarkStart w:id="1643" w:name="_Toc15744"/>
      <w:bookmarkStart w:id="1644" w:name="_Toc22298"/>
      <w:bookmarkStart w:id="1645" w:name="_Toc534185827"/>
      <w:bookmarkStart w:id="1646" w:name="_Toc14748"/>
      <w:bookmarkStart w:id="1647" w:name="_Toc14"/>
      <w:bookmarkStart w:id="1648" w:name="_Toc15419"/>
      <w:bookmarkStart w:id="1649" w:name="_Toc509218849"/>
      <w:r>
        <w:rPr>
          <w:rFonts w:ascii="宋体" w:hAnsi="宋体"/>
          <w:sz w:val="52"/>
          <w:szCs w:val="52"/>
        </w:rPr>
        <w:t>第 四 卷</w:t>
      </w:r>
      <w:bookmarkEnd w:id="1643"/>
      <w:bookmarkEnd w:id="1644"/>
      <w:bookmarkEnd w:id="1645"/>
      <w:bookmarkEnd w:id="1646"/>
      <w:bookmarkEnd w:id="1647"/>
      <w:bookmarkEnd w:id="1648"/>
      <w:bookmarkEnd w:id="1649"/>
      <w:bookmarkStart w:id="1650" w:name="_Toc536797258"/>
      <w:bookmarkStart w:id="1651" w:name="_Toc536797124"/>
      <w:bookmarkStart w:id="1652" w:name="_Toc13210775"/>
      <w:bookmarkStart w:id="1653" w:name="_Toc536620102"/>
      <w:bookmarkStart w:id="1654" w:name="_Toc509218850"/>
      <w:bookmarkStart w:id="1655" w:name="_Toc536619970"/>
      <w:bookmarkStart w:id="1656" w:name="_Toc13211767"/>
      <w:bookmarkStart w:id="1657" w:name="_Toc13211209"/>
      <w:bookmarkStart w:id="1658" w:name="_Toc536796989"/>
      <w:bookmarkStart w:id="1659" w:name="_Toc534185828"/>
      <w:bookmarkStart w:id="1660" w:name="_Toc536797393"/>
      <w:bookmarkStart w:id="1661" w:name="_Toc536621883"/>
      <w:bookmarkStart w:id="1662" w:name="_Toc536796853"/>
      <w:bookmarkStart w:id="1663" w:name="_Toc536628347"/>
    </w:p>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p>
      <w:r>
        <w:br w:type="page"/>
      </w:r>
      <w:bookmarkStart w:id="1664" w:name="招标文件08章投标文件格式"/>
      <w:bookmarkEnd w:id="1664"/>
      <w:bookmarkStart w:id="1665" w:name="_Toc287607865"/>
      <w:bookmarkStart w:id="1666" w:name="_Toc287620812"/>
    </w:p>
    <w:p>
      <w:pPr>
        <w:pStyle w:val="3"/>
        <w:spacing w:line="360" w:lineRule="auto"/>
        <w:jc w:val="center"/>
        <w:rPr>
          <w:rFonts w:ascii="宋体" w:hAnsi="宋体"/>
        </w:rPr>
      </w:pPr>
      <w:bookmarkStart w:id="1667" w:name="_Toc509218852"/>
      <w:bookmarkStart w:id="1668" w:name="_Toc20506"/>
      <w:bookmarkStart w:id="1669" w:name="_Toc16255"/>
      <w:bookmarkStart w:id="1670" w:name="_Toc11299"/>
      <w:bookmarkStart w:id="1671" w:name="_Toc14729"/>
      <w:bookmarkStart w:id="1672" w:name="_Toc19844"/>
      <w:bookmarkStart w:id="1673" w:name="_Toc430530528"/>
      <w:bookmarkStart w:id="1674" w:name="_Toc534185829"/>
      <w:r>
        <w:rPr>
          <w:rFonts w:hint="eastAsia" w:ascii="宋体" w:hAnsi="宋体"/>
        </w:rPr>
        <w:t xml:space="preserve">第八章  </w:t>
      </w:r>
      <w:r>
        <w:rPr>
          <w:rFonts w:hint="eastAsia" w:ascii="宋体" w:hAnsi="宋体"/>
          <w:lang w:eastAsia="zh-CN"/>
        </w:rPr>
        <w:t>竞标</w:t>
      </w:r>
      <w:r>
        <w:rPr>
          <w:rFonts w:hint="eastAsia" w:ascii="宋体" w:hAnsi="宋体"/>
        </w:rPr>
        <w:t>文件格式</w:t>
      </w:r>
      <w:bookmarkEnd w:id="1665"/>
      <w:bookmarkEnd w:id="1666"/>
      <w:bookmarkEnd w:id="1667"/>
      <w:bookmarkEnd w:id="1668"/>
      <w:bookmarkEnd w:id="1669"/>
      <w:bookmarkEnd w:id="1670"/>
      <w:bookmarkEnd w:id="1671"/>
      <w:bookmarkEnd w:id="1672"/>
      <w:bookmarkEnd w:id="1673"/>
      <w:bookmarkEnd w:id="1674"/>
    </w:p>
    <w:p>
      <w:pPr>
        <w:spacing w:line="360" w:lineRule="auto"/>
        <w:rPr>
          <w:rFonts w:ascii="宋体" w:hAnsi="宋体"/>
          <w:sz w:val="32"/>
          <w:szCs w:val="32"/>
        </w:rPr>
      </w:pPr>
    </w:p>
    <w:p>
      <w:pPr>
        <w:spacing w:line="360" w:lineRule="auto"/>
        <w:jc w:val="center"/>
        <w:rPr>
          <w:rFonts w:ascii="宋体" w:hAnsi="宋体"/>
          <w:sz w:val="36"/>
          <w:szCs w:val="36"/>
        </w:rPr>
      </w:pPr>
      <w:r>
        <w:rPr>
          <w:rFonts w:ascii="宋体" w:hAnsi="宋体"/>
          <w:szCs w:val="20"/>
        </w:rPr>
        <w:br w:type="page"/>
      </w:r>
      <w:bookmarkStart w:id="1675" w:name="_Toc224103493"/>
      <w:r>
        <w:rPr>
          <w:rFonts w:hint="eastAsia" w:ascii="宋体" w:hAnsi="宋体"/>
          <w:sz w:val="36"/>
          <w:szCs w:val="36"/>
        </w:rPr>
        <w:t>目  录</w:t>
      </w:r>
      <w:bookmarkEnd w:id="1675"/>
    </w:p>
    <w:p>
      <w:pPr>
        <w:spacing w:line="360" w:lineRule="auto"/>
        <w:jc w:val="center"/>
        <w:rPr>
          <w:rFonts w:ascii="宋体" w:hAnsi="宋体"/>
          <w:szCs w:val="20"/>
        </w:rPr>
      </w:pPr>
    </w:p>
    <w:p>
      <w:pPr>
        <w:spacing w:line="360" w:lineRule="auto"/>
        <w:rPr>
          <w:rFonts w:ascii="宋体" w:hAnsi="宋体"/>
          <w:b/>
        </w:rPr>
      </w:pPr>
      <w:r>
        <w:rPr>
          <w:rFonts w:hint="eastAsia" w:ascii="宋体" w:hAnsi="宋体"/>
          <w:b/>
        </w:rPr>
        <w:t>一</w:t>
      </w:r>
      <w:r>
        <w:rPr>
          <w:rFonts w:ascii="宋体" w:hAnsi="宋体"/>
          <w:b/>
        </w:rPr>
        <w:t>、</w:t>
      </w:r>
      <w:r>
        <w:rPr>
          <w:rFonts w:hint="eastAsia" w:ascii="宋体" w:hAnsi="宋体"/>
          <w:b/>
          <w:lang w:eastAsia="zh-CN"/>
        </w:rPr>
        <w:t>竞标</w:t>
      </w:r>
      <w:r>
        <w:rPr>
          <w:rFonts w:ascii="宋体" w:hAnsi="宋体"/>
          <w:b/>
        </w:rPr>
        <w:t>函部分</w:t>
      </w:r>
    </w:p>
    <w:p>
      <w:pPr>
        <w:spacing w:line="360" w:lineRule="auto"/>
        <w:ind w:firstLine="420" w:firstLineChars="200"/>
        <w:rPr>
          <w:rFonts w:ascii="宋体" w:hAnsi="宋体"/>
        </w:rPr>
      </w:pPr>
      <w:r>
        <w:rPr>
          <w:rFonts w:ascii="宋体" w:hAnsi="宋体"/>
        </w:rPr>
        <w:t>（一）</w:t>
      </w:r>
      <w:r>
        <w:rPr>
          <w:rFonts w:hint="eastAsia" w:ascii="宋体" w:hAnsi="宋体"/>
          <w:lang w:eastAsia="zh-CN"/>
        </w:rPr>
        <w:t>竞标</w:t>
      </w:r>
      <w:r>
        <w:rPr>
          <w:rFonts w:ascii="宋体" w:hAnsi="宋体"/>
        </w:rPr>
        <w:t>函</w:t>
      </w:r>
    </w:p>
    <w:p>
      <w:pPr>
        <w:spacing w:line="360" w:lineRule="auto"/>
        <w:ind w:firstLine="420" w:firstLineChars="200"/>
        <w:rPr>
          <w:rFonts w:ascii="宋体" w:hAnsi="宋体"/>
        </w:rPr>
      </w:pPr>
      <w:r>
        <w:rPr>
          <w:rFonts w:ascii="宋体" w:hAnsi="宋体"/>
        </w:rPr>
        <w:t>（二）</w:t>
      </w:r>
      <w:r>
        <w:rPr>
          <w:rFonts w:hint="eastAsia" w:ascii="宋体" w:hAnsi="宋体"/>
          <w:lang w:eastAsia="zh-CN"/>
        </w:rPr>
        <w:t>竞标</w:t>
      </w:r>
      <w:r>
        <w:rPr>
          <w:rFonts w:ascii="宋体" w:hAnsi="宋体"/>
        </w:rPr>
        <w:t>函附录</w:t>
      </w:r>
    </w:p>
    <w:p>
      <w:pPr>
        <w:spacing w:line="360" w:lineRule="auto"/>
        <w:ind w:firstLine="420" w:firstLineChars="200"/>
        <w:rPr>
          <w:rFonts w:ascii="宋体" w:hAnsi="宋体"/>
        </w:rPr>
      </w:pPr>
      <w:r>
        <w:rPr>
          <w:rFonts w:ascii="宋体" w:hAnsi="宋体"/>
        </w:rPr>
        <w:t>（三）</w:t>
      </w:r>
      <w:r>
        <w:rPr>
          <w:rFonts w:hint="eastAsia" w:ascii="宋体" w:hAnsi="宋体"/>
        </w:rPr>
        <w:t>法定代表人身份证明或附有法定代表人身份证明的授权委托书</w:t>
      </w:r>
    </w:p>
    <w:p>
      <w:pPr>
        <w:spacing w:line="360" w:lineRule="auto"/>
        <w:rPr>
          <w:rFonts w:ascii="宋体" w:hAnsi="宋体"/>
          <w:b/>
        </w:rPr>
      </w:pPr>
      <w:r>
        <w:rPr>
          <w:rFonts w:hint="eastAsia" w:ascii="宋体" w:hAnsi="宋体"/>
          <w:b/>
        </w:rPr>
        <w:t>二</w:t>
      </w:r>
      <w:r>
        <w:rPr>
          <w:rFonts w:ascii="宋体" w:hAnsi="宋体"/>
          <w:b/>
        </w:rPr>
        <w:t>、</w:t>
      </w:r>
      <w:r>
        <w:rPr>
          <w:rFonts w:hint="eastAsia" w:ascii="宋体" w:hAnsi="宋体"/>
          <w:b/>
        </w:rPr>
        <w:t>经济</w:t>
      </w:r>
      <w:r>
        <w:rPr>
          <w:rFonts w:ascii="宋体" w:hAnsi="宋体"/>
          <w:b/>
        </w:rPr>
        <w:t>部分</w:t>
      </w:r>
    </w:p>
    <w:p>
      <w:pPr>
        <w:spacing w:line="360" w:lineRule="auto"/>
        <w:ind w:firstLine="420" w:firstLineChars="200"/>
        <w:rPr>
          <w:rFonts w:ascii="宋体" w:hAnsi="宋体"/>
        </w:rPr>
      </w:pPr>
      <w:r>
        <w:rPr>
          <w:rFonts w:ascii="宋体" w:hAnsi="宋体"/>
        </w:rPr>
        <w:t>已标价工程量清单</w:t>
      </w:r>
    </w:p>
    <w:p>
      <w:pPr>
        <w:numPr>
          <w:ilvl w:val="255"/>
          <w:numId w:val="0"/>
        </w:numPr>
        <w:spacing w:line="360" w:lineRule="auto"/>
        <w:rPr>
          <w:rFonts w:ascii="宋体" w:hAnsi="宋体"/>
          <w:b/>
          <w:bCs/>
        </w:rPr>
      </w:pPr>
      <w:r>
        <w:rPr>
          <w:rFonts w:hint="eastAsia" w:ascii="宋体" w:hAnsi="宋体"/>
          <w:b/>
          <w:bCs/>
        </w:rPr>
        <w:t>三、商务部分</w:t>
      </w:r>
    </w:p>
    <w:p>
      <w:pPr>
        <w:numPr>
          <w:ilvl w:val="255"/>
          <w:numId w:val="0"/>
        </w:numPr>
        <w:spacing w:line="360" w:lineRule="auto"/>
        <w:rPr>
          <w:b/>
          <w:bCs/>
        </w:rPr>
      </w:pPr>
      <w:r>
        <w:rPr>
          <w:rFonts w:hint="eastAsia" w:ascii="宋体" w:hAnsi="宋体"/>
          <w:b/>
          <w:bCs/>
        </w:rPr>
        <w:t>四、技术部分</w:t>
      </w:r>
    </w:p>
    <w:p>
      <w:pPr>
        <w:spacing w:line="360" w:lineRule="auto"/>
        <w:rPr>
          <w:rFonts w:ascii="宋体" w:hAnsi="宋体"/>
          <w:b/>
        </w:rPr>
      </w:pPr>
      <w:r>
        <w:rPr>
          <w:rFonts w:hint="eastAsia" w:ascii="宋体" w:hAnsi="宋体"/>
          <w:b/>
        </w:rPr>
        <w:t>五</w:t>
      </w:r>
      <w:r>
        <w:rPr>
          <w:rFonts w:ascii="宋体" w:hAnsi="宋体"/>
          <w:b/>
        </w:rPr>
        <w:t>、</w:t>
      </w:r>
      <w:r>
        <w:rPr>
          <w:rFonts w:hint="eastAsia" w:ascii="宋体" w:hAnsi="宋体"/>
          <w:b/>
        </w:rPr>
        <w:t>资格审查部分</w:t>
      </w:r>
    </w:p>
    <w:p>
      <w:pPr>
        <w:spacing w:line="360" w:lineRule="auto"/>
        <w:ind w:firstLine="420" w:firstLineChars="200"/>
        <w:rPr>
          <w:rFonts w:ascii="宋体" w:hAnsi="宋体"/>
        </w:rPr>
      </w:pPr>
      <w:r>
        <w:rPr>
          <w:rFonts w:ascii="宋体" w:hAnsi="宋体"/>
        </w:rPr>
        <w:t>（一）</w:t>
      </w:r>
      <w:r>
        <w:rPr>
          <w:rFonts w:hint="eastAsia" w:ascii="宋体" w:hAnsi="宋体"/>
        </w:rPr>
        <w:t>法定代表人身份证明或附有法定代表人身份证明的授权委托书</w:t>
      </w:r>
    </w:p>
    <w:p>
      <w:pPr>
        <w:spacing w:line="360" w:lineRule="auto"/>
        <w:ind w:firstLine="420" w:firstLineChars="200"/>
        <w:rPr>
          <w:rFonts w:ascii="宋体" w:hAnsi="宋体"/>
        </w:rPr>
      </w:pPr>
      <w:r>
        <w:rPr>
          <w:rFonts w:ascii="宋体" w:hAnsi="宋体"/>
        </w:rPr>
        <w:t>（</w:t>
      </w:r>
      <w:r>
        <w:rPr>
          <w:rFonts w:hint="eastAsia" w:ascii="宋体" w:hAnsi="宋体"/>
        </w:rPr>
        <w:t>二</w:t>
      </w:r>
      <w:r>
        <w:rPr>
          <w:rFonts w:ascii="宋体" w:hAnsi="宋体"/>
        </w:rPr>
        <w:t>）</w:t>
      </w:r>
      <w:r>
        <w:rPr>
          <w:rFonts w:hint="eastAsia" w:ascii="宋体" w:hAnsi="宋体"/>
          <w:lang w:eastAsia="zh-CN"/>
        </w:rPr>
        <w:t>竞标</w:t>
      </w:r>
      <w:r>
        <w:rPr>
          <w:rFonts w:ascii="宋体" w:hAnsi="宋体"/>
        </w:rPr>
        <w:t>人基本情况表</w:t>
      </w:r>
    </w:p>
    <w:p>
      <w:pPr>
        <w:spacing w:line="360" w:lineRule="auto"/>
        <w:ind w:firstLine="420" w:firstLineChars="200"/>
        <w:rPr>
          <w:rFonts w:ascii="宋体" w:hAnsi="宋体"/>
        </w:rPr>
      </w:pPr>
      <w:r>
        <w:rPr>
          <w:rFonts w:ascii="宋体" w:hAnsi="宋体"/>
        </w:rPr>
        <w:t>（</w:t>
      </w:r>
      <w:r>
        <w:rPr>
          <w:rFonts w:hint="eastAsia" w:ascii="宋体" w:hAnsi="宋体"/>
        </w:rPr>
        <w:t>三</w:t>
      </w:r>
      <w:r>
        <w:rPr>
          <w:rFonts w:ascii="宋体" w:hAnsi="宋体"/>
        </w:rPr>
        <w:t>）项目管理机构</w:t>
      </w:r>
    </w:p>
    <w:p>
      <w:pPr>
        <w:spacing w:line="360" w:lineRule="auto"/>
        <w:ind w:firstLine="420" w:firstLineChars="200"/>
        <w:rPr>
          <w:rFonts w:ascii="宋体" w:hAnsi="宋体"/>
        </w:rPr>
      </w:pPr>
      <w:r>
        <w:rPr>
          <w:rFonts w:ascii="宋体" w:hAnsi="宋体"/>
        </w:rPr>
        <w:t>（</w:t>
      </w:r>
      <w:r>
        <w:rPr>
          <w:rFonts w:hint="eastAsia" w:ascii="宋体" w:hAnsi="宋体"/>
        </w:rPr>
        <w:t>四</w:t>
      </w:r>
      <w:r>
        <w:rPr>
          <w:rFonts w:ascii="宋体" w:hAnsi="宋体"/>
        </w:rPr>
        <w:t>）近年财务状况表</w:t>
      </w:r>
    </w:p>
    <w:p>
      <w:pPr>
        <w:spacing w:line="360" w:lineRule="auto"/>
        <w:ind w:firstLine="420" w:firstLineChars="200"/>
        <w:rPr>
          <w:rFonts w:ascii="宋体" w:hAnsi="宋体"/>
        </w:rPr>
      </w:pPr>
      <w:r>
        <w:rPr>
          <w:rFonts w:ascii="宋体" w:hAnsi="宋体"/>
        </w:rPr>
        <w:t>（</w:t>
      </w:r>
      <w:r>
        <w:rPr>
          <w:rFonts w:hint="eastAsia" w:ascii="宋体" w:hAnsi="宋体"/>
        </w:rPr>
        <w:t>五</w:t>
      </w:r>
      <w:r>
        <w:rPr>
          <w:rFonts w:ascii="宋体" w:hAnsi="宋体"/>
        </w:rPr>
        <w:t>）类似项目情况表</w:t>
      </w:r>
    </w:p>
    <w:p>
      <w:pPr>
        <w:spacing w:line="360" w:lineRule="auto"/>
        <w:ind w:firstLine="420" w:firstLineChars="200"/>
        <w:rPr>
          <w:rFonts w:ascii="宋体" w:hAnsi="宋体"/>
        </w:rPr>
      </w:pPr>
      <w:r>
        <w:rPr>
          <w:rFonts w:ascii="宋体" w:hAnsi="宋体"/>
        </w:rPr>
        <w:t>（</w:t>
      </w:r>
      <w:r>
        <w:rPr>
          <w:rFonts w:hint="eastAsia" w:ascii="宋体" w:hAnsi="宋体"/>
        </w:rPr>
        <w:t>六</w:t>
      </w:r>
      <w:r>
        <w:rPr>
          <w:rFonts w:ascii="宋体" w:hAnsi="宋体"/>
        </w:rPr>
        <w:t>）</w:t>
      </w:r>
      <w:r>
        <w:rPr>
          <w:rFonts w:hint="eastAsia" w:ascii="宋体" w:hAnsi="宋体"/>
        </w:rPr>
        <w:t>承诺</w:t>
      </w:r>
    </w:p>
    <w:p>
      <w:pPr>
        <w:spacing w:line="360" w:lineRule="auto"/>
        <w:ind w:firstLine="420" w:firstLineChars="200"/>
        <w:rPr>
          <w:rFonts w:ascii="宋体" w:hAnsi="宋体"/>
        </w:rPr>
      </w:pPr>
      <w:r>
        <w:rPr>
          <w:rFonts w:ascii="宋体" w:hAnsi="宋体"/>
        </w:rPr>
        <w:t>（</w:t>
      </w:r>
      <w:r>
        <w:rPr>
          <w:rFonts w:hint="eastAsia" w:ascii="宋体" w:hAnsi="宋体"/>
        </w:rPr>
        <w:t>七</w:t>
      </w:r>
      <w:r>
        <w:rPr>
          <w:rFonts w:ascii="宋体" w:hAnsi="宋体"/>
        </w:rPr>
        <w:t>）其他资料</w:t>
      </w:r>
    </w:p>
    <w:p>
      <w:pPr>
        <w:autoSpaceDE w:val="0"/>
        <w:autoSpaceDN w:val="0"/>
        <w:adjustRightInd w:val="0"/>
        <w:spacing w:line="276" w:lineRule="auto"/>
        <w:ind w:right="-23"/>
        <w:jc w:val="left"/>
        <w:rPr>
          <w:rFonts w:ascii="宋体" w:hAnsi="宋体"/>
          <w:kern w:val="0"/>
          <w:szCs w:val="21"/>
          <w:u w:val="single"/>
        </w:rPr>
      </w:pPr>
      <w:r>
        <w:rPr>
          <w:rFonts w:ascii="宋体" w:hAnsi="宋体"/>
          <w:b/>
          <w:kern w:val="0"/>
          <w:sz w:val="24"/>
        </w:rPr>
        <w:br w:type="page"/>
      </w:r>
      <w:bookmarkStart w:id="1676" w:name="_Toc277082642"/>
      <w:bookmarkStart w:id="1677" w:name="_Toc224103494"/>
      <w:bookmarkStart w:id="1678" w:name="_Toc430530529"/>
      <w:bookmarkStart w:id="1679" w:name="_Toc287607866"/>
      <w:bookmarkStart w:id="1680" w:name="_Toc287620813"/>
    </w:p>
    <w:p>
      <w:pPr>
        <w:pStyle w:val="4"/>
        <w:spacing w:line="360" w:lineRule="auto"/>
        <w:jc w:val="center"/>
        <w:rPr>
          <w:rFonts w:ascii="宋体" w:hAnsi="宋体"/>
          <w:b w:val="0"/>
          <w:bCs w:val="0"/>
          <w:sz w:val="44"/>
          <w:szCs w:val="44"/>
        </w:rPr>
      </w:pPr>
      <w:bookmarkStart w:id="1681" w:name="_Toc9971"/>
      <w:bookmarkStart w:id="1682" w:name="_Toc17283"/>
      <w:bookmarkStart w:id="1683" w:name="_Toc14714"/>
      <w:bookmarkStart w:id="1684" w:name="_Toc11082"/>
      <w:bookmarkStart w:id="1685" w:name="_Toc5955"/>
      <w:r>
        <w:rPr>
          <w:rFonts w:hint="eastAsia" w:ascii="宋体" w:hAnsi="宋体"/>
          <w:b w:val="0"/>
          <w:bCs w:val="0"/>
          <w:sz w:val="44"/>
          <w:szCs w:val="44"/>
        </w:rPr>
        <w:t>一、</w:t>
      </w:r>
      <w:r>
        <w:rPr>
          <w:rFonts w:hint="eastAsia" w:ascii="宋体" w:hAnsi="宋体"/>
          <w:b w:val="0"/>
          <w:bCs w:val="0"/>
          <w:sz w:val="44"/>
          <w:szCs w:val="44"/>
          <w:lang w:eastAsia="zh-CN"/>
        </w:rPr>
        <w:t>竞标</w:t>
      </w:r>
      <w:r>
        <w:rPr>
          <w:rFonts w:hint="eastAsia" w:ascii="宋体" w:hAnsi="宋体"/>
          <w:b w:val="0"/>
          <w:bCs w:val="0"/>
          <w:sz w:val="44"/>
          <w:szCs w:val="44"/>
        </w:rPr>
        <w:t>函部分</w:t>
      </w:r>
      <w:bookmarkEnd w:id="1676"/>
      <w:bookmarkEnd w:id="1677"/>
      <w:bookmarkEnd w:id="1678"/>
      <w:bookmarkEnd w:id="1679"/>
      <w:bookmarkEnd w:id="1680"/>
      <w:bookmarkEnd w:id="1681"/>
      <w:bookmarkEnd w:id="1682"/>
      <w:bookmarkEnd w:id="1683"/>
      <w:bookmarkEnd w:id="1684"/>
      <w:bookmarkEnd w:id="1685"/>
    </w:p>
    <w:p>
      <w:pPr>
        <w:tabs>
          <w:tab w:val="left" w:pos="2580"/>
          <w:tab w:val="left" w:pos="5940"/>
        </w:tabs>
        <w:autoSpaceDE w:val="0"/>
        <w:autoSpaceDN w:val="0"/>
        <w:adjustRightInd w:val="0"/>
        <w:snapToGrid w:val="0"/>
        <w:spacing w:line="360" w:lineRule="auto"/>
        <w:jc w:val="left"/>
        <w:rPr>
          <w:rFonts w:ascii="宋体" w:hAnsi="宋体"/>
          <w:kern w:val="0"/>
          <w:sz w:val="28"/>
          <w:szCs w:val="28"/>
          <w:u w:val="single"/>
        </w:rPr>
      </w:pPr>
      <w:r>
        <w:rPr>
          <w:rFonts w:ascii="宋体" w:hAnsi="宋体"/>
          <w:kern w:val="0"/>
          <w:sz w:val="28"/>
          <w:szCs w:val="28"/>
          <w:u w:val="single"/>
        </w:rPr>
        <w:br w:type="page"/>
      </w:r>
    </w:p>
    <w:p>
      <w:pPr>
        <w:spacing w:line="360" w:lineRule="auto"/>
        <w:jc w:val="center"/>
        <w:rPr>
          <w:rFonts w:ascii="宋体" w:hAnsi="宋体"/>
          <w:kern w:val="0"/>
          <w:sz w:val="32"/>
          <w:szCs w:val="32"/>
        </w:rPr>
      </w:pPr>
      <w:r>
        <w:rPr>
          <w:rFonts w:hint="eastAsia" w:ascii="宋体" w:hAnsi="宋体"/>
          <w:kern w:val="0"/>
          <w:sz w:val="32"/>
          <w:szCs w:val="32"/>
          <w:u w:val="single"/>
        </w:rPr>
        <w:t xml:space="preserve">                   （项目名称）</w:t>
      </w:r>
    </w:p>
    <w:p>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pPr>
        <w:tabs>
          <w:tab w:val="left" w:pos="3600"/>
          <w:tab w:val="left" w:pos="4480"/>
          <w:tab w:val="left" w:pos="5360"/>
        </w:tabs>
        <w:autoSpaceDE w:val="0"/>
        <w:autoSpaceDN w:val="0"/>
        <w:adjustRightInd w:val="0"/>
        <w:snapToGrid w:val="0"/>
        <w:spacing w:line="360" w:lineRule="auto"/>
        <w:jc w:val="center"/>
        <w:rPr>
          <w:rFonts w:ascii="宋体" w:hAnsi="宋体"/>
          <w:kern w:val="0"/>
          <w:sz w:val="72"/>
          <w:szCs w:val="72"/>
        </w:rPr>
      </w:pPr>
      <w:r>
        <w:rPr>
          <w:rFonts w:hint="eastAsia" w:ascii="宋体" w:hAnsi="宋体"/>
          <w:kern w:val="0"/>
          <w:sz w:val="72"/>
          <w:szCs w:val="72"/>
        </w:rPr>
        <w:t>比 选 申 请 文 件</w:t>
      </w:r>
    </w:p>
    <w:p>
      <w:pPr>
        <w:autoSpaceDE w:val="0"/>
        <w:autoSpaceDN w:val="0"/>
        <w:adjustRightInd w:val="0"/>
        <w:snapToGrid w:val="0"/>
        <w:spacing w:line="360" w:lineRule="auto"/>
        <w:jc w:val="left"/>
        <w:rPr>
          <w:rFonts w:ascii="宋体" w:hAnsi="宋体"/>
          <w:kern w:val="0"/>
          <w:sz w:val="16"/>
          <w:szCs w:val="16"/>
        </w:rPr>
      </w:pPr>
    </w:p>
    <w:p>
      <w:pPr>
        <w:autoSpaceDE w:val="0"/>
        <w:autoSpaceDN w:val="0"/>
        <w:adjustRightInd w:val="0"/>
        <w:snapToGrid w:val="0"/>
        <w:spacing w:line="360" w:lineRule="auto"/>
        <w:jc w:val="center"/>
        <w:rPr>
          <w:rFonts w:ascii="宋体" w:hAnsi="宋体"/>
          <w:kern w:val="0"/>
          <w:sz w:val="36"/>
          <w:szCs w:val="36"/>
        </w:rPr>
      </w:pPr>
      <w:r>
        <w:rPr>
          <w:rFonts w:hint="eastAsia" w:ascii="宋体" w:hAnsi="宋体"/>
          <w:kern w:val="0"/>
          <w:sz w:val="36"/>
          <w:szCs w:val="36"/>
          <w:lang w:eastAsia="zh-CN"/>
        </w:rPr>
        <w:t>竞标</w:t>
      </w:r>
      <w:r>
        <w:rPr>
          <w:rFonts w:hint="eastAsia" w:ascii="宋体" w:hAnsi="宋体"/>
          <w:kern w:val="0"/>
          <w:sz w:val="36"/>
          <w:szCs w:val="36"/>
        </w:rPr>
        <w:t>函部分</w:t>
      </w:r>
    </w:p>
    <w:p>
      <w:pPr>
        <w:autoSpaceDE w:val="0"/>
        <w:autoSpaceDN w:val="0"/>
        <w:adjustRightInd w:val="0"/>
        <w:snapToGrid w:val="0"/>
        <w:spacing w:line="360" w:lineRule="auto"/>
        <w:jc w:val="left"/>
        <w:rPr>
          <w:rFonts w:ascii="宋体" w:hAnsi="宋体"/>
          <w:b/>
          <w:kern w:val="0"/>
          <w:sz w:val="20"/>
          <w:szCs w:val="20"/>
        </w:rPr>
      </w:pPr>
    </w:p>
    <w:p>
      <w:pPr>
        <w:autoSpaceDE w:val="0"/>
        <w:autoSpaceDN w:val="0"/>
        <w:adjustRightInd w:val="0"/>
        <w:snapToGrid w:val="0"/>
        <w:spacing w:line="360" w:lineRule="auto"/>
        <w:jc w:val="left"/>
        <w:rPr>
          <w:rFonts w:ascii="宋体" w:hAnsi="宋体"/>
          <w:b/>
          <w:kern w:val="0"/>
          <w:sz w:val="20"/>
          <w:szCs w:val="20"/>
        </w:rPr>
      </w:pPr>
    </w:p>
    <w:p>
      <w:pPr>
        <w:autoSpaceDE w:val="0"/>
        <w:autoSpaceDN w:val="0"/>
        <w:adjustRightInd w:val="0"/>
        <w:snapToGrid w:val="0"/>
        <w:spacing w:line="360" w:lineRule="auto"/>
        <w:jc w:val="left"/>
        <w:rPr>
          <w:rFonts w:ascii="宋体" w:hAnsi="宋体"/>
          <w:b/>
          <w:kern w:val="0"/>
          <w:sz w:val="20"/>
          <w:szCs w:val="20"/>
        </w:rPr>
      </w:pPr>
    </w:p>
    <w:p>
      <w:pPr>
        <w:autoSpaceDE w:val="0"/>
        <w:autoSpaceDN w:val="0"/>
        <w:adjustRightInd w:val="0"/>
        <w:snapToGrid w:val="0"/>
        <w:spacing w:line="360" w:lineRule="auto"/>
        <w:jc w:val="left"/>
        <w:rPr>
          <w:rFonts w:ascii="宋体" w:hAnsi="宋体"/>
          <w:b/>
          <w:kern w:val="0"/>
          <w:sz w:val="20"/>
          <w:szCs w:val="20"/>
        </w:rPr>
      </w:pPr>
    </w:p>
    <w:p>
      <w:pPr>
        <w:autoSpaceDE w:val="0"/>
        <w:autoSpaceDN w:val="0"/>
        <w:adjustRightInd w:val="0"/>
        <w:snapToGrid w:val="0"/>
        <w:spacing w:line="360" w:lineRule="auto"/>
        <w:jc w:val="left"/>
        <w:rPr>
          <w:rFonts w:ascii="宋体" w:hAnsi="宋体"/>
          <w:b/>
          <w:kern w:val="0"/>
          <w:sz w:val="20"/>
          <w:szCs w:val="20"/>
        </w:rPr>
      </w:pPr>
    </w:p>
    <w:p>
      <w:pPr>
        <w:autoSpaceDE w:val="0"/>
        <w:autoSpaceDN w:val="0"/>
        <w:adjustRightInd w:val="0"/>
        <w:snapToGrid w:val="0"/>
        <w:spacing w:line="360" w:lineRule="auto"/>
        <w:jc w:val="left"/>
        <w:rPr>
          <w:rFonts w:ascii="宋体" w:hAnsi="宋体"/>
          <w:b/>
          <w:kern w:val="0"/>
          <w:sz w:val="20"/>
          <w:szCs w:val="20"/>
        </w:rPr>
      </w:pPr>
    </w:p>
    <w:p>
      <w:pPr>
        <w:autoSpaceDE w:val="0"/>
        <w:autoSpaceDN w:val="0"/>
        <w:adjustRightInd w:val="0"/>
        <w:snapToGrid w:val="0"/>
        <w:spacing w:line="360" w:lineRule="auto"/>
        <w:jc w:val="left"/>
        <w:rPr>
          <w:rFonts w:ascii="宋体" w:hAnsi="宋体"/>
          <w:b/>
          <w:kern w:val="0"/>
          <w:sz w:val="20"/>
          <w:szCs w:val="20"/>
        </w:rPr>
      </w:pPr>
    </w:p>
    <w:p>
      <w:pPr>
        <w:autoSpaceDE w:val="0"/>
        <w:autoSpaceDN w:val="0"/>
        <w:adjustRightInd w:val="0"/>
        <w:snapToGrid w:val="0"/>
        <w:spacing w:line="360" w:lineRule="auto"/>
        <w:jc w:val="left"/>
        <w:rPr>
          <w:rFonts w:ascii="宋体" w:hAnsi="宋体"/>
          <w:b/>
          <w:kern w:val="0"/>
          <w:sz w:val="20"/>
          <w:szCs w:val="20"/>
        </w:rPr>
      </w:pPr>
    </w:p>
    <w:p>
      <w:pPr>
        <w:autoSpaceDE w:val="0"/>
        <w:autoSpaceDN w:val="0"/>
        <w:adjustRightInd w:val="0"/>
        <w:snapToGrid w:val="0"/>
        <w:spacing w:line="360" w:lineRule="auto"/>
        <w:jc w:val="left"/>
        <w:rPr>
          <w:rFonts w:ascii="宋体" w:hAnsi="宋体"/>
          <w:b/>
          <w:kern w:val="0"/>
          <w:sz w:val="20"/>
          <w:szCs w:val="20"/>
        </w:rPr>
      </w:pPr>
    </w:p>
    <w:p>
      <w:pPr>
        <w:autoSpaceDE w:val="0"/>
        <w:autoSpaceDN w:val="0"/>
        <w:adjustRightInd w:val="0"/>
        <w:snapToGrid w:val="0"/>
        <w:spacing w:line="360" w:lineRule="auto"/>
        <w:jc w:val="left"/>
        <w:rPr>
          <w:rFonts w:ascii="宋体" w:hAnsi="宋体"/>
          <w:b/>
          <w:kern w:val="0"/>
          <w:sz w:val="20"/>
          <w:szCs w:val="20"/>
        </w:rPr>
      </w:pPr>
    </w:p>
    <w:p>
      <w:pPr>
        <w:autoSpaceDE w:val="0"/>
        <w:autoSpaceDN w:val="0"/>
        <w:adjustRightInd w:val="0"/>
        <w:snapToGrid w:val="0"/>
        <w:spacing w:line="360" w:lineRule="auto"/>
        <w:jc w:val="left"/>
        <w:rPr>
          <w:rFonts w:ascii="宋体" w:hAnsi="宋体"/>
          <w:b/>
          <w:kern w:val="0"/>
          <w:sz w:val="20"/>
          <w:szCs w:val="20"/>
        </w:rPr>
      </w:pPr>
    </w:p>
    <w:p>
      <w:pPr>
        <w:tabs>
          <w:tab w:val="left" w:pos="6080"/>
          <w:tab w:val="left" w:pos="6640"/>
        </w:tabs>
        <w:autoSpaceDE w:val="0"/>
        <w:autoSpaceDN w:val="0"/>
        <w:adjustRightInd w:val="0"/>
        <w:snapToGrid w:val="0"/>
        <w:spacing w:after="156" w:afterLines="50" w:line="360" w:lineRule="auto"/>
        <w:jc w:val="center"/>
        <w:rPr>
          <w:rFonts w:ascii="宋体" w:hAnsi="宋体"/>
          <w:w w:val="99"/>
          <w:kern w:val="0"/>
          <w:sz w:val="28"/>
          <w:szCs w:val="28"/>
        </w:rPr>
      </w:pPr>
      <w:r>
        <w:rPr>
          <w:rFonts w:hint="eastAsia" w:ascii="宋体" w:hAnsi="宋体"/>
          <w:w w:val="99"/>
          <w:kern w:val="0"/>
          <w:sz w:val="28"/>
          <w:szCs w:val="28"/>
          <w:lang w:eastAsia="zh-CN"/>
        </w:rPr>
        <w:t>竞标</w:t>
      </w:r>
      <w:r>
        <w:rPr>
          <w:rFonts w:ascii="宋体" w:hAnsi="宋体"/>
          <w:w w:val="99"/>
          <w:kern w:val="0"/>
          <w:sz w:val="28"/>
          <w:szCs w:val="28"/>
        </w:rPr>
        <w:t>人</w:t>
      </w:r>
      <w:r>
        <w:rPr>
          <w:rFonts w:ascii="宋体" w:hAnsi="宋体"/>
          <w:spacing w:val="1"/>
          <w:w w:val="99"/>
          <w:kern w:val="0"/>
          <w:sz w:val="28"/>
          <w:szCs w:val="28"/>
        </w:rPr>
        <w:t>：</w:t>
      </w:r>
      <w:r>
        <w:rPr>
          <w:rFonts w:ascii="宋体" w:hAnsi="宋体"/>
          <w:w w:val="198"/>
          <w:kern w:val="0"/>
          <w:sz w:val="28"/>
          <w:szCs w:val="28"/>
          <w:u w:val="single"/>
        </w:rPr>
        <w:t xml:space="preserve"> 　　　　 　　</w:t>
      </w:r>
      <w:r>
        <w:rPr>
          <w:rFonts w:ascii="宋体" w:hAnsi="宋体"/>
          <w:w w:val="99"/>
          <w:kern w:val="0"/>
          <w:sz w:val="28"/>
          <w:szCs w:val="28"/>
        </w:rPr>
        <w:t>（盖单位法人章）</w:t>
      </w:r>
    </w:p>
    <w:p>
      <w:pPr>
        <w:tabs>
          <w:tab w:val="left" w:pos="6080"/>
          <w:tab w:val="left" w:pos="6640"/>
        </w:tabs>
        <w:autoSpaceDE w:val="0"/>
        <w:autoSpaceDN w:val="0"/>
        <w:adjustRightInd w:val="0"/>
        <w:snapToGrid w:val="0"/>
        <w:spacing w:after="156" w:afterLines="50" w:line="360" w:lineRule="auto"/>
        <w:jc w:val="center"/>
        <w:rPr>
          <w:rFonts w:ascii="宋体" w:hAnsi="宋体"/>
          <w:kern w:val="0"/>
          <w:sz w:val="28"/>
          <w:szCs w:val="28"/>
        </w:rPr>
      </w:pPr>
      <w:r>
        <w:rPr>
          <w:rFonts w:ascii="宋体" w:hAnsi="宋体"/>
          <w:w w:val="99"/>
          <w:kern w:val="0"/>
          <w:sz w:val="28"/>
          <w:szCs w:val="28"/>
        </w:rPr>
        <w:t>法定代表人或其委托代理人：</w:t>
      </w:r>
      <w:r>
        <w:rPr>
          <w:rFonts w:ascii="宋体" w:hAnsi="宋体"/>
          <w:w w:val="198"/>
          <w:kern w:val="0"/>
          <w:sz w:val="28"/>
          <w:szCs w:val="28"/>
          <w:u w:val="single"/>
        </w:rPr>
        <w:t xml:space="preserve"> 　　 </w:t>
      </w:r>
      <w:r>
        <w:rPr>
          <w:rFonts w:ascii="宋体" w:hAnsi="宋体"/>
          <w:w w:val="99"/>
          <w:kern w:val="0"/>
          <w:sz w:val="28"/>
          <w:szCs w:val="28"/>
        </w:rPr>
        <w:t>（</w:t>
      </w:r>
      <w:r>
        <w:rPr>
          <w:rFonts w:hint="eastAsia" w:ascii="宋体" w:hAnsi="宋体"/>
          <w:w w:val="99"/>
          <w:kern w:val="0"/>
          <w:sz w:val="28"/>
          <w:szCs w:val="28"/>
        </w:rPr>
        <w:t>签名</w:t>
      </w:r>
      <w:r>
        <w:rPr>
          <w:rFonts w:ascii="宋体" w:hAnsi="宋体"/>
          <w:w w:val="99"/>
          <w:kern w:val="0"/>
          <w:sz w:val="28"/>
          <w:szCs w:val="28"/>
        </w:rPr>
        <w:t>或盖章）</w:t>
      </w:r>
    </w:p>
    <w:p>
      <w:pPr>
        <w:autoSpaceDE w:val="0"/>
        <w:autoSpaceDN w:val="0"/>
        <w:adjustRightInd w:val="0"/>
        <w:snapToGrid w:val="0"/>
        <w:spacing w:line="360" w:lineRule="auto"/>
        <w:jc w:val="center"/>
        <w:rPr>
          <w:rFonts w:ascii="宋体" w:hAnsi="宋体"/>
          <w:kern w:val="0"/>
          <w:sz w:val="24"/>
          <w:szCs w:val="21"/>
        </w:rPr>
      </w:pPr>
      <w:r>
        <w:rPr>
          <w:rFonts w:hint="eastAsia" w:ascii="宋体" w:hAnsi="宋体"/>
          <w:w w:val="99"/>
          <w:kern w:val="0"/>
          <w:sz w:val="28"/>
          <w:szCs w:val="28"/>
          <w:u w:val="single"/>
        </w:rPr>
        <w:t xml:space="preserve">    </w:t>
      </w:r>
      <w:r>
        <w:rPr>
          <w:rFonts w:hint="eastAsia" w:ascii="宋体" w:hAnsi="宋体"/>
          <w:w w:val="99"/>
          <w:kern w:val="0"/>
          <w:sz w:val="28"/>
          <w:szCs w:val="28"/>
        </w:rPr>
        <w:t>年</w:t>
      </w:r>
      <w:r>
        <w:rPr>
          <w:rFonts w:hint="eastAsia" w:ascii="宋体" w:hAnsi="宋体"/>
          <w:w w:val="99"/>
          <w:kern w:val="0"/>
          <w:sz w:val="28"/>
          <w:szCs w:val="28"/>
          <w:u w:val="single"/>
        </w:rPr>
        <w:t xml:space="preserve">    </w:t>
      </w:r>
      <w:r>
        <w:rPr>
          <w:rFonts w:hint="eastAsia" w:ascii="宋体" w:hAnsi="宋体"/>
          <w:w w:val="99"/>
          <w:kern w:val="0"/>
          <w:sz w:val="28"/>
          <w:szCs w:val="28"/>
        </w:rPr>
        <w:t>月</w:t>
      </w:r>
      <w:r>
        <w:rPr>
          <w:rFonts w:hint="eastAsia" w:ascii="宋体" w:hAnsi="宋体"/>
          <w:w w:val="99"/>
          <w:kern w:val="0"/>
          <w:sz w:val="28"/>
          <w:szCs w:val="28"/>
          <w:u w:val="single"/>
        </w:rPr>
        <w:t xml:space="preserve">    </w:t>
      </w:r>
      <w:r>
        <w:rPr>
          <w:rFonts w:hint="eastAsia" w:ascii="宋体" w:hAnsi="宋体"/>
          <w:w w:val="99"/>
          <w:kern w:val="0"/>
          <w:sz w:val="28"/>
          <w:szCs w:val="28"/>
        </w:rPr>
        <w:t>日</w:t>
      </w:r>
      <w:r>
        <w:rPr>
          <w:rFonts w:ascii="宋体" w:hAnsi="宋体"/>
          <w:kern w:val="0"/>
          <w:sz w:val="24"/>
          <w:szCs w:val="21"/>
        </w:rPr>
        <w:br w:type="page"/>
      </w:r>
    </w:p>
    <w:p>
      <w:pPr>
        <w:autoSpaceDE w:val="0"/>
        <w:autoSpaceDN w:val="0"/>
        <w:adjustRightInd w:val="0"/>
        <w:snapToGrid w:val="0"/>
        <w:spacing w:line="360" w:lineRule="auto"/>
        <w:jc w:val="center"/>
        <w:rPr>
          <w:rFonts w:ascii="宋体" w:hAnsi="宋体"/>
          <w:kern w:val="0"/>
          <w:sz w:val="36"/>
          <w:szCs w:val="36"/>
        </w:rPr>
      </w:pPr>
      <w:r>
        <w:rPr>
          <w:rFonts w:hint="eastAsia" w:ascii="宋体" w:hAnsi="宋体"/>
          <w:kern w:val="0"/>
          <w:sz w:val="36"/>
          <w:szCs w:val="36"/>
        </w:rPr>
        <w:t>目  录</w:t>
      </w:r>
    </w:p>
    <w:p>
      <w:pPr>
        <w:autoSpaceDE w:val="0"/>
        <w:autoSpaceDN w:val="0"/>
        <w:adjustRightInd w:val="0"/>
        <w:snapToGrid w:val="0"/>
        <w:spacing w:line="360" w:lineRule="auto"/>
        <w:jc w:val="left"/>
        <w:rPr>
          <w:rFonts w:ascii="宋体" w:hAnsi="宋体"/>
          <w:kern w:val="0"/>
          <w:sz w:val="24"/>
          <w:szCs w:val="21"/>
        </w:rPr>
      </w:pPr>
    </w:p>
    <w:p>
      <w:pPr>
        <w:autoSpaceDE w:val="0"/>
        <w:autoSpaceDN w:val="0"/>
        <w:adjustRightInd w:val="0"/>
        <w:spacing w:line="360" w:lineRule="auto"/>
        <w:ind w:firstLine="480" w:firstLineChars="200"/>
        <w:jc w:val="left"/>
        <w:rPr>
          <w:rFonts w:ascii="宋体" w:hAnsi="宋体"/>
          <w:kern w:val="0"/>
          <w:sz w:val="24"/>
        </w:rPr>
      </w:pPr>
      <w:r>
        <w:rPr>
          <w:rFonts w:ascii="宋体" w:hAnsi="宋体"/>
          <w:kern w:val="0"/>
          <w:sz w:val="24"/>
        </w:rPr>
        <w:t>（一）</w:t>
      </w:r>
      <w:r>
        <w:rPr>
          <w:rFonts w:hint="eastAsia" w:ascii="宋体" w:hAnsi="宋体"/>
          <w:kern w:val="0"/>
          <w:sz w:val="24"/>
          <w:lang w:eastAsia="zh-CN"/>
        </w:rPr>
        <w:t>竞标</w:t>
      </w:r>
      <w:r>
        <w:rPr>
          <w:rFonts w:ascii="宋体" w:hAnsi="宋体"/>
          <w:kern w:val="0"/>
          <w:sz w:val="24"/>
        </w:rPr>
        <w:t>函</w:t>
      </w:r>
    </w:p>
    <w:p>
      <w:pPr>
        <w:autoSpaceDE w:val="0"/>
        <w:autoSpaceDN w:val="0"/>
        <w:adjustRightInd w:val="0"/>
        <w:spacing w:line="360" w:lineRule="auto"/>
        <w:ind w:firstLine="480" w:firstLineChars="200"/>
        <w:jc w:val="left"/>
        <w:rPr>
          <w:rFonts w:ascii="宋体" w:hAnsi="宋体"/>
          <w:kern w:val="0"/>
          <w:sz w:val="24"/>
        </w:rPr>
      </w:pPr>
      <w:r>
        <w:rPr>
          <w:rFonts w:ascii="宋体" w:hAnsi="宋体"/>
          <w:kern w:val="0"/>
          <w:sz w:val="24"/>
        </w:rPr>
        <w:t>（二）</w:t>
      </w:r>
      <w:r>
        <w:rPr>
          <w:rFonts w:hint="eastAsia" w:ascii="宋体" w:hAnsi="宋体"/>
          <w:kern w:val="0"/>
          <w:sz w:val="24"/>
          <w:lang w:eastAsia="zh-CN"/>
        </w:rPr>
        <w:t>竞标</w:t>
      </w:r>
      <w:r>
        <w:rPr>
          <w:rFonts w:ascii="宋体" w:hAnsi="宋体"/>
          <w:kern w:val="0"/>
          <w:sz w:val="24"/>
        </w:rPr>
        <w:t>函附录</w:t>
      </w:r>
    </w:p>
    <w:p>
      <w:pPr>
        <w:autoSpaceDE w:val="0"/>
        <w:autoSpaceDN w:val="0"/>
        <w:adjustRightInd w:val="0"/>
        <w:spacing w:line="360" w:lineRule="auto"/>
        <w:ind w:firstLine="480" w:firstLineChars="200"/>
        <w:jc w:val="left"/>
        <w:rPr>
          <w:rFonts w:ascii="宋体" w:hAnsi="宋体"/>
          <w:kern w:val="0"/>
          <w:sz w:val="24"/>
        </w:rPr>
      </w:pPr>
      <w:r>
        <w:rPr>
          <w:rFonts w:ascii="宋体" w:hAnsi="宋体"/>
          <w:kern w:val="0"/>
          <w:sz w:val="24"/>
        </w:rPr>
        <w:t>（三）</w:t>
      </w:r>
      <w:r>
        <w:rPr>
          <w:rFonts w:hint="eastAsia" w:ascii="宋体" w:hAnsi="宋体"/>
          <w:kern w:val="0"/>
          <w:sz w:val="24"/>
        </w:rPr>
        <w:t>法定代表人身份证明或附有法定代表人身份证明的授权委托书</w:t>
      </w:r>
    </w:p>
    <w:p>
      <w:pPr>
        <w:pStyle w:val="5"/>
        <w:spacing w:before="0" w:after="0" w:line="240" w:lineRule="auto"/>
        <w:jc w:val="center"/>
        <w:rPr>
          <w:rFonts w:ascii="宋体" w:hAnsi="宋体"/>
          <w:b w:val="0"/>
        </w:rPr>
      </w:pPr>
      <w:bookmarkStart w:id="1686" w:name="_Toc430530530"/>
      <w:bookmarkStart w:id="1687" w:name="_Toc287607867"/>
      <w:bookmarkStart w:id="1688" w:name="_Toc534185831"/>
      <w:bookmarkStart w:id="1689" w:name="_Toc224103495"/>
      <w:bookmarkStart w:id="1690" w:name="_Toc277082643"/>
      <w:bookmarkStart w:id="1691" w:name="_Toc509218854"/>
      <w:bookmarkStart w:id="1692" w:name="_Toc287620814"/>
      <w:r>
        <w:rPr>
          <w:rFonts w:ascii="宋体" w:hAnsi="宋体"/>
        </w:rPr>
        <w:br w:type="page"/>
      </w:r>
      <w:bookmarkStart w:id="1693" w:name="_Toc25995"/>
      <w:bookmarkStart w:id="1694" w:name="_Toc22877"/>
      <w:bookmarkStart w:id="1695" w:name="_Toc6933"/>
      <w:bookmarkStart w:id="1696" w:name="_Toc29310"/>
      <w:bookmarkStart w:id="1697" w:name="_Toc29203"/>
      <w:r>
        <w:rPr>
          <w:rFonts w:hint="eastAsia" w:ascii="宋体" w:hAnsi="宋体"/>
          <w:b w:val="0"/>
          <w:bCs w:val="0"/>
        </w:rPr>
        <w:t>（一）</w:t>
      </w:r>
      <w:r>
        <w:rPr>
          <w:rFonts w:hint="eastAsia" w:ascii="宋体" w:hAnsi="宋体"/>
          <w:b w:val="0"/>
          <w:bCs w:val="0"/>
          <w:lang w:eastAsia="zh-CN"/>
        </w:rPr>
        <w:t>竞标</w:t>
      </w:r>
      <w:r>
        <w:rPr>
          <w:rFonts w:hint="eastAsia" w:ascii="宋体" w:hAnsi="宋体"/>
          <w:b w:val="0"/>
          <w:bCs w:val="0"/>
        </w:rPr>
        <w:t>函</w:t>
      </w:r>
      <w:bookmarkEnd w:id="1686"/>
      <w:bookmarkEnd w:id="1687"/>
      <w:bookmarkEnd w:id="1688"/>
      <w:bookmarkEnd w:id="1689"/>
      <w:bookmarkEnd w:id="1690"/>
      <w:bookmarkEnd w:id="1691"/>
      <w:bookmarkEnd w:id="1692"/>
      <w:bookmarkEnd w:id="1693"/>
      <w:bookmarkEnd w:id="1694"/>
      <w:bookmarkEnd w:id="1695"/>
      <w:bookmarkEnd w:id="1696"/>
      <w:bookmarkEnd w:id="1697"/>
    </w:p>
    <w:p>
      <w:pPr>
        <w:tabs>
          <w:tab w:val="left" w:pos="2640"/>
        </w:tabs>
        <w:autoSpaceDE w:val="0"/>
        <w:autoSpaceDN w:val="0"/>
        <w:adjustRightInd w:val="0"/>
        <w:spacing w:line="400" w:lineRule="exact"/>
        <w:rPr>
          <w:rFonts w:ascii="宋体" w:hAnsi="宋体"/>
          <w:snapToGrid w:val="0"/>
          <w:kern w:val="0"/>
          <w:szCs w:val="21"/>
        </w:rPr>
      </w:pPr>
      <w:r>
        <w:rPr>
          <w:rFonts w:ascii="宋体" w:hAnsi="宋体"/>
          <w:snapToGrid w:val="0"/>
          <w:kern w:val="0"/>
          <w:szCs w:val="21"/>
          <w:u w:val="single"/>
        </w:rPr>
        <w:tab/>
      </w:r>
      <w:r>
        <w:rPr>
          <w:rFonts w:ascii="宋体" w:hAnsi="宋体"/>
          <w:snapToGrid w:val="0"/>
          <w:kern w:val="0"/>
          <w:szCs w:val="21"/>
          <w:u w:val="single"/>
        </w:rPr>
        <w:t>（</w:t>
      </w:r>
      <w:r>
        <w:rPr>
          <w:rFonts w:hint="eastAsia" w:ascii="宋体" w:hAnsi="宋体"/>
          <w:snapToGrid w:val="0"/>
          <w:kern w:val="0"/>
          <w:szCs w:val="21"/>
          <w:u w:val="single"/>
        </w:rPr>
        <w:t>比选</w:t>
      </w:r>
      <w:r>
        <w:rPr>
          <w:rFonts w:ascii="宋体" w:hAnsi="宋体"/>
          <w:snapToGrid w:val="0"/>
          <w:kern w:val="0"/>
          <w:szCs w:val="21"/>
          <w:u w:val="single"/>
        </w:rPr>
        <w:t>人名称）</w:t>
      </w:r>
      <w:r>
        <w:rPr>
          <w:rFonts w:ascii="宋体" w:hAnsi="宋体"/>
          <w:snapToGrid w:val="0"/>
          <w:kern w:val="0"/>
          <w:szCs w:val="21"/>
        </w:rPr>
        <w:t>：</w:t>
      </w:r>
    </w:p>
    <w:p>
      <w:pPr>
        <w:tabs>
          <w:tab w:val="left" w:pos="2655"/>
          <w:tab w:val="left" w:pos="3520"/>
          <w:tab w:val="left" w:pos="4920"/>
          <w:tab w:val="left" w:pos="5715"/>
          <w:tab w:val="left" w:pos="6945"/>
          <w:tab w:val="left" w:pos="7980"/>
        </w:tabs>
        <w:autoSpaceDE w:val="0"/>
        <w:autoSpaceDN w:val="0"/>
        <w:adjustRightInd w:val="0"/>
        <w:spacing w:line="400" w:lineRule="exact"/>
        <w:ind w:firstLine="420" w:firstLineChars="200"/>
        <w:rPr>
          <w:rFonts w:ascii="宋体" w:hAnsi="宋体"/>
          <w:snapToGrid w:val="0"/>
          <w:kern w:val="0"/>
          <w:szCs w:val="21"/>
        </w:rPr>
      </w:pPr>
      <w:r>
        <w:rPr>
          <w:rFonts w:ascii="宋体" w:hAnsi="宋体"/>
          <w:snapToGrid w:val="0"/>
          <w:kern w:val="0"/>
          <w:szCs w:val="21"/>
        </w:rPr>
        <w:t>1</w:t>
      </w:r>
      <w:r>
        <w:rPr>
          <w:rFonts w:hint="eastAsia" w:ascii="宋体" w:hAnsi="宋体"/>
          <w:snapToGrid w:val="0"/>
          <w:kern w:val="0"/>
          <w:szCs w:val="21"/>
        </w:rPr>
        <w:t xml:space="preserve">. </w:t>
      </w:r>
      <w:r>
        <w:rPr>
          <w:rFonts w:ascii="宋体" w:hAnsi="宋体"/>
          <w:snapToGrid w:val="0"/>
          <w:kern w:val="0"/>
          <w:szCs w:val="21"/>
        </w:rPr>
        <w:t>我方已仔细研究了</w:t>
      </w:r>
      <w:r>
        <w:rPr>
          <w:rFonts w:ascii="宋体" w:hAnsi="宋体"/>
          <w:snapToGrid w:val="0"/>
          <w:kern w:val="0"/>
          <w:szCs w:val="21"/>
          <w:u w:val="single"/>
        </w:rPr>
        <w:tab/>
      </w:r>
      <w:r>
        <w:rPr>
          <w:rFonts w:ascii="宋体" w:hAnsi="宋体"/>
          <w:snapToGrid w:val="0"/>
          <w:kern w:val="0"/>
          <w:szCs w:val="21"/>
          <w:u w:val="single"/>
        </w:rPr>
        <w:tab/>
      </w:r>
      <w:r>
        <w:rPr>
          <w:rFonts w:ascii="宋体" w:hAnsi="宋体"/>
          <w:snapToGrid w:val="0"/>
          <w:kern w:val="0"/>
          <w:szCs w:val="21"/>
          <w:u w:val="single"/>
        </w:rPr>
        <w:t>（项目名称）</w:t>
      </w:r>
      <w:r>
        <w:rPr>
          <w:rFonts w:hint="eastAsia" w:ascii="宋体" w:hAnsi="宋体"/>
          <w:snapToGrid w:val="0"/>
          <w:kern w:val="0"/>
          <w:szCs w:val="21"/>
        </w:rPr>
        <w:t>比选</w:t>
      </w:r>
      <w:r>
        <w:rPr>
          <w:rFonts w:ascii="宋体" w:hAnsi="宋体"/>
          <w:snapToGrid w:val="0"/>
          <w:kern w:val="0"/>
          <w:szCs w:val="21"/>
        </w:rPr>
        <w:t>文件的全部内容，愿意以人民币（大写）</w:t>
      </w:r>
      <w:r>
        <w:rPr>
          <w:rFonts w:ascii="宋体" w:hAnsi="宋体"/>
          <w:snapToGrid w:val="0"/>
          <w:kern w:val="0"/>
          <w:szCs w:val="21"/>
          <w:u w:val="single"/>
        </w:rPr>
        <w:tab/>
      </w:r>
      <w:r>
        <w:rPr>
          <w:rFonts w:ascii="宋体" w:hAnsi="宋体"/>
          <w:snapToGrid w:val="0"/>
          <w:kern w:val="0"/>
          <w:szCs w:val="21"/>
        </w:rPr>
        <w:t>（¥</w:t>
      </w:r>
      <w:r>
        <w:rPr>
          <w:rFonts w:hint="eastAsia" w:ascii="宋体" w:hAnsi="宋体"/>
          <w:snapToGrid w:val="0"/>
          <w:kern w:val="0"/>
          <w:szCs w:val="21"/>
          <w:u w:val="single"/>
        </w:rPr>
        <w:t xml:space="preserve">    </w:t>
      </w:r>
      <w:r>
        <w:rPr>
          <w:rFonts w:ascii="宋体" w:hAnsi="宋体"/>
          <w:snapToGrid w:val="0"/>
          <w:kern w:val="0"/>
          <w:szCs w:val="21"/>
        </w:rPr>
        <w:t>）的</w:t>
      </w:r>
      <w:r>
        <w:rPr>
          <w:rFonts w:hint="eastAsia" w:ascii="宋体" w:hAnsi="宋体"/>
          <w:snapToGrid w:val="0"/>
          <w:kern w:val="0"/>
          <w:szCs w:val="21"/>
        </w:rPr>
        <w:t>竞标</w:t>
      </w:r>
      <w:r>
        <w:rPr>
          <w:rFonts w:ascii="宋体" w:hAnsi="宋体"/>
          <w:snapToGrid w:val="0"/>
          <w:kern w:val="0"/>
          <w:szCs w:val="21"/>
        </w:rPr>
        <w:t>总报价进行报价，</w:t>
      </w:r>
      <w:r>
        <w:rPr>
          <w:rFonts w:ascii="宋体" w:hAnsi="宋体"/>
          <w:snapToGrid w:val="0"/>
          <w:kern w:val="0"/>
        </w:rPr>
        <w:t>安全文明施工费暂定金额为人民币</w:t>
      </w:r>
      <w:r>
        <w:rPr>
          <w:rFonts w:ascii="宋体" w:hAnsi="宋体"/>
          <w:snapToGrid w:val="0"/>
          <w:kern w:val="0"/>
          <w:szCs w:val="21"/>
        </w:rPr>
        <w:t>（大写）</w:t>
      </w:r>
      <w:r>
        <w:rPr>
          <w:rFonts w:ascii="宋体" w:hAnsi="宋体"/>
          <w:snapToGrid w:val="0"/>
          <w:kern w:val="0"/>
          <w:szCs w:val="21"/>
          <w:u w:val="single"/>
        </w:rPr>
        <w:tab/>
      </w:r>
      <w:r>
        <w:rPr>
          <w:rFonts w:ascii="宋体" w:hAnsi="宋体"/>
          <w:snapToGrid w:val="0"/>
          <w:kern w:val="0"/>
          <w:szCs w:val="21"/>
          <w:highlight w:val="none"/>
        </w:rPr>
        <w:t>（¥</w:t>
      </w:r>
      <w:r>
        <w:rPr>
          <w:rFonts w:hint="eastAsia" w:ascii="宋体" w:hAnsi="宋体"/>
          <w:snapToGrid w:val="0"/>
          <w:kern w:val="0"/>
          <w:szCs w:val="21"/>
          <w:highlight w:val="none"/>
          <w:u w:val="single"/>
        </w:rPr>
        <w:t xml:space="preserve">    </w:t>
      </w:r>
      <w:r>
        <w:rPr>
          <w:rFonts w:ascii="宋体" w:hAnsi="宋体"/>
          <w:snapToGrid w:val="0"/>
          <w:kern w:val="0"/>
          <w:szCs w:val="21"/>
          <w:highlight w:val="none"/>
        </w:rPr>
        <w:t>）</w:t>
      </w:r>
      <w:r>
        <w:rPr>
          <w:rFonts w:hint="eastAsia" w:ascii="宋体" w:hAnsi="宋体"/>
          <w:snapToGrid w:val="0"/>
          <w:kern w:val="0"/>
          <w:szCs w:val="21"/>
          <w:highlight w:val="none"/>
          <w:lang w:eastAsia="zh-CN"/>
        </w:rPr>
        <w:t>【</w:t>
      </w:r>
      <w:r>
        <w:rPr>
          <w:rFonts w:hint="eastAsia" w:ascii="宋体" w:hAnsi="宋体"/>
          <w:snapToGrid w:val="0"/>
          <w:kern w:val="0"/>
          <w:szCs w:val="21"/>
          <w:highlight w:val="none"/>
          <w:lang w:val="en-US" w:eastAsia="zh-CN"/>
        </w:rPr>
        <w:t>其中：</w:t>
      </w:r>
      <w:r>
        <w:rPr>
          <w:rFonts w:hint="eastAsia" w:ascii="宋体" w:hAnsi="宋体" w:cs="宋体"/>
          <w:highlight w:val="none"/>
          <w:lang w:val="en-US" w:eastAsia="zh-CN"/>
        </w:rPr>
        <w:t>（1）</w:t>
      </w:r>
      <w:r>
        <w:rPr>
          <w:rFonts w:hint="eastAsia" w:ascii="宋体" w:hAnsi="宋体" w:cs="宋体"/>
          <w:snapToGrid w:val="0"/>
          <w:kern w:val="0"/>
          <w:szCs w:val="21"/>
          <w:highlight w:val="none"/>
          <w:u w:val="single"/>
          <w:lang w:eastAsia="zh-CN"/>
        </w:rPr>
        <w:t>区属文物保养维护工程（6个文物点）</w:t>
      </w:r>
      <w:r>
        <w:rPr>
          <w:rFonts w:hint="eastAsia" w:ascii="宋体" w:hAnsi="宋体"/>
          <w:bCs/>
          <w:kern w:val="0"/>
          <w:szCs w:val="21"/>
          <w:highlight w:val="none"/>
          <w:u w:val="single"/>
          <w:lang w:eastAsia="zh-CN"/>
        </w:rPr>
        <w:t>（</w:t>
      </w:r>
      <w:r>
        <w:rPr>
          <w:rFonts w:hint="eastAsia" w:ascii="宋体" w:hAnsi="宋体"/>
          <w:bCs/>
          <w:kern w:val="0"/>
          <w:szCs w:val="21"/>
          <w:highlight w:val="none"/>
          <w:u w:val="single"/>
          <w:lang w:val="en-US" w:eastAsia="zh-CN"/>
        </w:rPr>
        <w:t>第二次</w:t>
      </w:r>
      <w:r>
        <w:rPr>
          <w:rFonts w:hint="eastAsia" w:ascii="宋体" w:hAnsi="宋体"/>
          <w:bCs/>
          <w:kern w:val="0"/>
          <w:szCs w:val="21"/>
          <w:highlight w:val="none"/>
          <w:u w:val="single"/>
          <w:lang w:eastAsia="zh-CN"/>
        </w:rPr>
        <w:t>）</w:t>
      </w:r>
      <w:r>
        <w:rPr>
          <w:rFonts w:hint="eastAsia" w:ascii="宋体" w:hAnsi="宋体" w:eastAsia="宋体" w:cs="宋体"/>
          <w:highlight w:val="none"/>
        </w:rPr>
        <w:t>竞标报价为人民币：</w:t>
      </w:r>
      <w:r>
        <w:rPr>
          <w:rFonts w:hint="eastAsia" w:ascii="宋体" w:hAnsi="宋体" w:eastAsia="宋体" w:cs="宋体"/>
          <w:highlight w:val="none"/>
          <w:u w:val="single"/>
          <w:lang w:val="en-US" w:eastAsia="zh-CN"/>
        </w:rPr>
        <w:t xml:space="preserve">        </w:t>
      </w:r>
      <w:r>
        <w:rPr>
          <w:rFonts w:hint="eastAsia" w:ascii="宋体" w:hAnsi="宋体" w:eastAsia="宋体" w:cs="宋体"/>
          <w:highlight w:val="none"/>
        </w:rPr>
        <w:t>元（大写：</w:t>
      </w:r>
      <w:r>
        <w:rPr>
          <w:rFonts w:hint="eastAsia" w:ascii="宋体" w:hAnsi="宋体" w:eastAsia="宋体" w:cs="宋体"/>
          <w:highlight w:val="none"/>
          <w:lang w:val="en-US" w:eastAsia="zh-CN"/>
        </w:rPr>
        <w:t xml:space="preserve">   </w:t>
      </w:r>
      <w:r>
        <w:rPr>
          <w:rFonts w:hint="eastAsia" w:ascii="宋体" w:hAnsi="宋体" w:eastAsia="宋体" w:cs="宋体"/>
          <w:highlight w:val="none"/>
        </w:rPr>
        <w:t>）</w:t>
      </w:r>
      <w:r>
        <w:rPr>
          <w:rFonts w:hint="eastAsia" w:ascii="宋体" w:hAnsi="宋体" w:cs="宋体"/>
          <w:highlight w:val="none"/>
          <w:lang w:eastAsia="zh-CN"/>
        </w:rPr>
        <w:t>，</w:t>
      </w:r>
      <w:r>
        <w:rPr>
          <w:rFonts w:hint="eastAsia" w:ascii="宋体" w:hAnsi="宋体" w:eastAsia="宋体" w:cs="宋体"/>
          <w:highlight w:val="none"/>
        </w:rPr>
        <w:t>安全文明施工费暂定金额为人民币：</w:t>
      </w:r>
      <w:r>
        <w:rPr>
          <w:rFonts w:hint="eastAsia" w:ascii="宋体" w:hAnsi="宋体" w:eastAsia="宋体" w:cs="宋体"/>
          <w:highlight w:val="none"/>
          <w:u w:val="single"/>
          <w:lang w:val="en-US" w:eastAsia="zh-CN"/>
        </w:rPr>
        <w:t xml:space="preserve">     </w:t>
      </w:r>
      <w:r>
        <w:rPr>
          <w:rFonts w:hint="eastAsia" w:ascii="宋体" w:hAnsi="宋体" w:eastAsia="宋体" w:cs="宋体"/>
          <w:highlight w:val="none"/>
        </w:rPr>
        <w:t>元</w:t>
      </w:r>
      <w:r>
        <w:rPr>
          <w:rFonts w:hint="eastAsia" w:ascii="宋体" w:hAnsi="宋体" w:cs="宋体"/>
          <w:highlight w:val="none"/>
          <w:lang w:eastAsia="zh-CN"/>
        </w:rPr>
        <w:t>；（</w:t>
      </w:r>
      <w:r>
        <w:rPr>
          <w:rFonts w:hint="eastAsia" w:ascii="宋体" w:hAnsi="宋体" w:cs="宋体"/>
          <w:highlight w:val="none"/>
          <w:lang w:val="en-US" w:eastAsia="zh-CN"/>
        </w:rPr>
        <w:t>2</w:t>
      </w:r>
      <w:r>
        <w:rPr>
          <w:rFonts w:hint="eastAsia" w:ascii="宋体" w:hAnsi="宋体" w:cs="宋体"/>
          <w:highlight w:val="none"/>
          <w:lang w:eastAsia="zh-CN"/>
        </w:rPr>
        <w:t>）</w:t>
      </w:r>
      <w:r>
        <w:rPr>
          <w:rFonts w:hint="eastAsia" w:ascii="宋体" w:hAnsi="宋体" w:cs="宋体"/>
          <w:snapToGrid w:val="0"/>
          <w:kern w:val="0"/>
          <w:szCs w:val="21"/>
          <w:highlight w:val="none"/>
          <w:u w:val="single"/>
          <w:lang w:eastAsia="zh-CN"/>
        </w:rPr>
        <w:t>区属文物保养维护工程（湖广会馆白蚁防治及保养维护）</w:t>
      </w:r>
      <w:r>
        <w:rPr>
          <w:rFonts w:hint="eastAsia" w:ascii="宋体" w:hAnsi="宋体"/>
          <w:bCs/>
          <w:kern w:val="0"/>
          <w:szCs w:val="21"/>
          <w:highlight w:val="none"/>
          <w:u w:val="single"/>
          <w:lang w:eastAsia="zh-CN"/>
        </w:rPr>
        <w:t>（</w:t>
      </w:r>
      <w:r>
        <w:rPr>
          <w:rFonts w:hint="eastAsia" w:ascii="宋体" w:hAnsi="宋体"/>
          <w:bCs/>
          <w:kern w:val="0"/>
          <w:szCs w:val="21"/>
          <w:highlight w:val="none"/>
          <w:u w:val="single"/>
          <w:lang w:val="en-US" w:eastAsia="zh-CN"/>
        </w:rPr>
        <w:t>第二次</w:t>
      </w:r>
      <w:r>
        <w:rPr>
          <w:rFonts w:hint="eastAsia" w:ascii="宋体" w:hAnsi="宋体"/>
          <w:bCs/>
          <w:kern w:val="0"/>
          <w:szCs w:val="21"/>
          <w:highlight w:val="none"/>
          <w:u w:val="single"/>
          <w:lang w:eastAsia="zh-CN"/>
        </w:rPr>
        <w:t>）</w:t>
      </w:r>
      <w:r>
        <w:rPr>
          <w:rFonts w:hint="eastAsia" w:ascii="宋体" w:hAnsi="宋体" w:eastAsia="宋体" w:cs="宋体"/>
          <w:highlight w:val="none"/>
        </w:rPr>
        <w:t>竞标报价为人民币：</w:t>
      </w:r>
      <w:r>
        <w:rPr>
          <w:rFonts w:hint="eastAsia" w:ascii="宋体" w:hAnsi="宋体" w:eastAsia="宋体" w:cs="宋体"/>
          <w:highlight w:val="none"/>
          <w:u w:val="single"/>
          <w:lang w:val="en-US" w:eastAsia="zh-CN"/>
        </w:rPr>
        <w:t xml:space="preserve">        </w:t>
      </w:r>
      <w:r>
        <w:rPr>
          <w:rFonts w:hint="eastAsia" w:ascii="宋体" w:hAnsi="宋体" w:eastAsia="宋体" w:cs="宋体"/>
          <w:highlight w:val="none"/>
        </w:rPr>
        <w:t>元（大写：</w:t>
      </w:r>
      <w:r>
        <w:rPr>
          <w:rFonts w:hint="eastAsia" w:ascii="宋体" w:hAnsi="宋体" w:eastAsia="宋体" w:cs="宋体"/>
          <w:highlight w:val="none"/>
          <w:lang w:val="en-US" w:eastAsia="zh-CN"/>
        </w:rPr>
        <w:t xml:space="preserve">   </w:t>
      </w:r>
      <w:r>
        <w:rPr>
          <w:rFonts w:hint="eastAsia" w:ascii="宋体" w:hAnsi="宋体" w:eastAsia="宋体" w:cs="宋体"/>
          <w:highlight w:val="none"/>
        </w:rPr>
        <w:t>）安全文明施工费暂定金额为人民币：</w:t>
      </w:r>
      <w:r>
        <w:rPr>
          <w:rFonts w:hint="eastAsia" w:ascii="宋体" w:hAnsi="宋体" w:eastAsia="宋体" w:cs="宋体"/>
          <w:highlight w:val="none"/>
          <w:u w:val="single"/>
          <w:lang w:val="en-US" w:eastAsia="zh-CN"/>
        </w:rPr>
        <w:t xml:space="preserve">     </w:t>
      </w:r>
      <w:r>
        <w:rPr>
          <w:rFonts w:hint="eastAsia" w:ascii="宋体" w:hAnsi="宋体" w:eastAsia="宋体" w:cs="宋体"/>
          <w:highlight w:val="none"/>
        </w:rPr>
        <w:t>元</w:t>
      </w:r>
      <w:r>
        <w:rPr>
          <w:rFonts w:hint="eastAsia" w:ascii="宋体" w:hAnsi="宋体"/>
          <w:snapToGrid w:val="0"/>
          <w:kern w:val="0"/>
          <w:szCs w:val="21"/>
          <w:highlight w:val="none"/>
          <w:lang w:eastAsia="zh-CN"/>
        </w:rPr>
        <w:t>】。</w:t>
      </w:r>
      <w:r>
        <w:rPr>
          <w:rFonts w:ascii="宋体" w:hAnsi="宋体"/>
          <w:snapToGrid w:val="0"/>
          <w:kern w:val="0"/>
          <w:szCs w:val="21"/>
          <w:highlight w:val="none"/>
        </w:rPr>
        <w:t>该工程</w:t>
      </w:r>
      <w:r>
        <w:rPr>
          <w:rFonts w:ascii="宋体" w:hAnsi="宋体"/>
          <w:snapToGrid w:val="0"/>
          <w:kern w:val="0"/>
          <w:highlight w:val="none"/>
        </w:rPr>
        <w:t>项目经理为</w:t>
      </w:r>
      <w:r>
        <w:rPr>
          <w:rFonts w:hint="eastAsia" w:ascii="宋体" w:hAnsi="宋体"/>
          <w:snapToGrid w:val="0"/>
          <w:kern w:val="0"/>
          <w:highlight w:val="none"/>
          <w:u w:val="single"/>
        </w:rPr>
        <w:t xml:space="preserve">        </w:t>
      </w:r>
      <w:r>
        <w:rPr>
          <w:rFonts w:hint="eastAsia" w:ascii="宋体" w:hAnsi="宋体"/>
          <w:snapToGrid w:val="0"/>
          <w:kern w:val="0"/>
          <w:szCs w:val="21"/>
          <w:highlight w:val="none"/>
        </w:rPr>
        <w:t>，身份证号码为</w:t>
      </w:r>
      <w:r>
        <w:rPr>
          <w:rFonts w:hint="eastAsia" w:ascii="宋体" w:hAnsi="宋体"/>
          <w:snapToGrid w:val="0"/>
          <w:kern w:val="0"/>
          <w:szCs w:val="21"/>
          <w:highlight w:val="none"/>
          <w:u w:val="single"/>
        </w:rPr>
        <w:t xml:space="preserve">        </w:t>
      </w:r>
      <w:r>
        <w:rPr>
          <w:rFonts w:hint="eastAsia" w:ascii="宋体" w:hAnsi="宋体"/>
          <w:snapToGrid w:val="0"/>
          <w:kern w:val="0"/>
          <w:szCs w:val="21"/>
          <w:highlight w:val="none"/>
        </w:rPr>
        <w:t>；委托代理人为：</w:t>
      </w:r>
      <w:r>
        <w:rPr>
          <w:rFonts w:hint="eastAsia" w:ascii="宋体" w:hAnsi="宋体"/>
          <w:snapToGrid w:val="0"/>
          <w:kern w:val="0"/>
          <w:szCs w:val="21"/>
          <w:highlight w:val="none"/>
          <w:u w:val="single"/>
        </w:rPr>
        <w:t xml:space="preserve">        </w:t>
      </w:r>
      <w:r>
        <w:rPr>
          <w:rFonts w:hint="eastAsia" w:ascii="宋体" w:hAnsi="宋体"/>
          <w:snapToGrid w:val="0"/>
          <w:kern w:val="0"/>
          <w:szCs w:val="21"/>
          <w:highlight w:val="none"/>
        </w:rPr>
        <w:t>，身份证号码为</w:t>
      </w:r>
      <w:r>
        <w:rPr>
          <w:rFonts w:hint="eastAsia" w:ascii="宋体" w:hAnsi="宋体"/>
          <w:snapToGrid w:val="0"/>
          <w:kern w:val="0"/>
          <w:szCs w:val="21"/>
          <w:highlight w:val="none"/>
          <w:u w:val="single"/>
        </w:rPr>
        <w:t xml:space="preserve">        </w:t>
      </w:r>
      <w:r>
        <w:rPr>
          <w:rFonts w:ascii="宋体" w:hAnsi="宋体"/>
          <w:snapToGrid w:val="0"/>
          <w:kern w:val="0"/>
          <w:szCs w:val="21"/>
          <w:highlight w:val="none"/>
        </w:rPr>
        <w:t>。</w:t>
      </w:r>
      <w:r>
        <w:rPr>
          <w:rFonts w:ascii="宋体" w:hAnsi="宋体"/>
          <w:snapToGrid w:val="0"/>
          <w:kern w:val="0"/>
          <w:szCs w:val="21"/>
        </w:rPr>
        <w:t>工期</w:t>
      </w:r>
      <w:r>
        <w:rPr>
          <w:rFonts w:hint="eastAsia" w:ascii="宋体" w:hAnsi="宋体"/>
          <w:snapToGrid w:val="0"/>
          <w:kern w:val="0"/>
          <w:szCs w:val="21"/>
          <w:u w:val="single"/>
        </w:rPr>
        <w:t>达到比选文件的要求</w:t>
      </w:r>
      <w:r>
        <w:rPr>
          <w:rFonts w:ascii="宋体" w:hAnsi="宋体"/>
          <w:snapToGrid w:val="0"/>
          <w:kern w:val="0"/>
          <w:szCs w:val="21"/>
        </w:rPr>
        <w:t>，</w:t>
      </w:r>
      <w:r>
        <w:rPr>
          <w:rFonts w:hint="eastAsia" w:ascii="宋体" w:hAnsi="宋体"/>
          <w:snapToGrid w:val="0"/>
          <w:kern w:val="0"/>
          <w:szCs w:val="21"/>
        </w:rPr>
        <w:t>缺陷责任期</w:t>
      </w:r>
      <w:r>
        <w:rPr>
          <w:rFonts w:hint="eastAsia" w:ascii="宋体" w:hAnsi="宋体"/>
          <w:snapToGrid w:val="0"/>
          <w:kern w:val="0"/>
          <w:szCs w:val="21"/>
          <w:u w:val="single"/>
        </w:rPr>
        <w:t xml:space="preserve">        </w:t>
      </w:r>
      <w:r>
        <w:rPr>
          <w:rFonts w:hint="eastAsia" w:ascii="宋体" w:hAnsi="宋体"/>
          <w:snapToGrid w:val="0"/>
          <w:kern w:val="0"/>
          <w:szCs w:val="21"/>
        </w:rPr>
        <w:t>，</w:t>
      </w:r>
      <w:r>
        <w:rPr>
          <w:rFonts w:ascii="宋体" w:hAnsi="宋体"/>
          <w:snapToGrid w:val="0"/>
          <w:kern w:val="0"/>
          <w:szCs w:val="21"/>
        </w:rPr>
        <w:t xml:space="preserve"> 按合同约定实施和完成承包工程，修补工程中的任何缺陷，工程质量</w:t>
      </w:r>
      <w:r>
        <w:rPr>
          <w:rFonts w:hint="eastAsia" w:ascii="宋体" w:hAnsi="宋体"/>
          <w:snapToGrid w:val="0"/>
          <w:kern w:val="0"/>
          <w:szCs w:val="21"/>
          <w:u w:val="single"/>
        </w:rPr>
        <w:t>达到比选文件的要求</w:t>
      </w:r>
      <w:r>
        <w:rPr>
          <w:rFonts w:ascii="宋体" w:hAnsi="宋体"/>
          <w:snapToGrid w:val="0"/>
          <w:kern w:val="0"/>
          <w:szCs w:val="21"/>
        </w:rPr>
        <w:t>。</w:t>
      </w:r>
    </w:p>
    <w:p>
      <w:pPr>
        <w:autoSpaceDE w:val="0"/>
        <w:autoSpaceDN w:val="0"/>
        <w:adjustRightInd w:val="0"/>
        <w:spacing w:line="400" w:lineRule="exact"/>
        <w:ind w:firstLine="420" w:firstLineChars="200"/>
        <w:rPr>
          <w:rFonts w:ascii="宋体" w:hAnsi="宋体"/>
          <w:snapToGrid w:val="0"/>
          <w:kern w:val="0"/>
          <w:sz w:val="10"/>
          <w:szCs w:val="10"/>
        </w:rPr>
      </w:pPr>
      <w:r>
        <w:rPr>
          <w:rFonts w:ascii="宋体" w:hAnsi="宋体"/>
          <w:snapToGrid w:val="0"/>
          <w:kern w:val="0"/>
          <w:szCs w:val="21"/>
        </w:rPr>
        <w:t>2</w:t>
      </w:r>
      <w:r>
        <w:rPr>
          <w:rFonts w:hint="eastAsia" w:ascii="宋体" w:hAnsi="宋体"/>
          <w:snapToGrid w:val="0"/>
          <w:kern w:val="0"/>
          <w:szCs w:val="21"/>
        </w:rPr>
        <w:t xml:space="preserve">. </w:t>
      </w:r>
      <w:r>
        <w:rPr>
          <w:rFonts w:ascii="宋体" w:hAnsi="宋体"/>
          <w:snapToGrid w:val="0"/>
          <w:kern w:val="0"/>
          <w:szCs w:val="21"/>
        </w:rPr>
        <w:t>我方承诺</w:t>
      </w:r>
      <w:r>
        <w:rPr>
          <w:rFonts w:hint="eastAsia" w:ascii="宋体" w:hAnsi="宋体"/>
          <w:snapToGrid w:val="0"/>
          <w:kern w:val="0"/>
          <w:szCs w:val="21"/>
        </w:rPr>
        <w:t>响应比选文件规定的竞标有效期，</w:t>
      </w:r>
      <w:r>
        <w:rPr>
          <w:rFonts w:ascii="宋体" w:hAnsi="宋体"/>
          <w:snapToGrid w:val="0"/>
          <w:kern w:val="0"/>
          <w:szCs w:val="21"/>
        </w:rPr>
        <w:t>在</w:t>
      </w:r>
      <w:r>
        <w:rPr>
          <w:rFonts w:hint="eastAsia" w:ascii="宋体" w:hAnsi="宋体"/>
          <w:snapToGrid w:val="0"/>
          <w:kern w:val="0"/>
          <w:szCs w:val="21"/>
        </w:rPr>
        <w:t>竞标</w:t>
      </w:r>
      <w:r>
        <w:rPr>
          <w:rFonts w:ascii="宋体" w:hAnsi="宋体"/>
          <w:snapToGrid w:val="0"/>
          <w:kern w:val="0"/>
          <w:szCs w:val="21"/>
        </w:rPr>
        <w:t>有效期内不修改、撤销</w:t>
      </w:r>
      <w:r>
        <w:rPr>
          <w:rFonts w:hint="eastAsia" w:ascii="宋体" w:hAnsi="宋体"/>
          <w:snapToGrid w:val="0"/>
          <w:kern w:val="0"/>
          <w:szCs w:val="21"/>
          <w:lang w:eastAsia="zh-CN"/>
        </w:rPr>
        <w:t>竞标</w:t>
      </w:r>
      <w:r>
        <w:rPr>
          <w:rFonts w:ascii="宋体" w:hAnsi="宋体"/>
          <w:snapToGrid w:val="0"/>
          <w:kern w:val="0"/>
          <w:szCs w:val="21"/>
        </w:rPr>
        <w:t>文件。</w:t>
      </w:r>
    </w:p>
    <w:p>
      <w:pPr>
        <w:tabs>
          <w:tab w:val="left" w:pos="2730"/>
          <w:tab w:val="left" w:pos="7980"/>
        </w:tabs>
        <w:autoSpaceDE w:val="0"/>
        <w:autoSpaceDN w:val="0"/>
        <w:adjustRightInd w:val="0"/>
        <w:spacing w:line="400" w:lineRule="exact"/>
        <w:ind w:firstLine="420" w:firstLineChars="200"/>
        <w:rPr>
          <w:rFonts w:ascii="宋体" w:hAnsi="宋体"/>
          <w:snapToGrid w:val="0"/>
          <w:kern w:val="0"/>
          <w:sz w:val="10"/>
          <w:szCs w:val="10"/>
        </w:rPr>
      </w:pPr>
      <w:r>
        <w:rPr>
          <w:rFonts w:ascii="宋体" w:hAnsi="宋体"/>
          <w:snapToGrid w:val="0"/>
          <w:kern w:val="0"/>
          <w:szCs w:val="21"/>
        </w:rPr>
        <w:t>3</w:t>
      </w:r>
      <w:r>
        <w:rPr>
          <w:rFonts w:hint="eastAsia" w:ascii="宋体" w:hAnsi="宋体"/>
          <w:snapToGrid w:val="0"/>
          <w:kern w:val="0"/>
          <w:szCs w:val="21"/>
        </w:rPr>
        <w:t xml:space="preserve">. </w:t>
      </w:r>
      <w:r>
        <w:rPr>
          <w:rFonts w:ascii="宋体" w:hAnsi="宋体"/>
          <w:snapToGrid w:val="0"/>
          <w:kern w:val="0"/>
          <w:szCs w:val="21"/>
        </w:rPr>
        <w:t>随同本</w:t>
      </w:r>
      <w:r>
        <w:rPr>
          <w:rFonts w:hint="eastAsia" w:ascii="宋体" w:hAnsi="宋体"/>
          <w:snapToGrid w:val="0"/>
          <w:kern w:val="0"/>
          <w:szCs w:val="21"/>
          <w:lang w:eastAsia="zh-CN"/>
        </w:rPr>
        <w:t>竞标</w:t>
      </w:r>
      <w:r>
        <w:rPr>
          <w:rFonts w:ascii="宋体" w:hAnsi="宋体"/>
          <w:snapToGrid w:val="0"/>
          <w:kern w:val="0"/>
          <w:szCs w:val="21"/>
        </w:rPr>
        <w:t>函提交</w:t>
      </w:r>
      <w:r>
        <w:rPr>
          <w:rFonts w:hint="eastAsia" w:ascii="宋体" w:hAnsi="宋体"/>
          <w:snapToGrid w:val="0"/>
          <w:kern w:val="0"/>
          <w:szCs w:val="21"/>
          <w:lang w:eastAsia="zh-CN"/>
        </w:rPr>
        <w:t>竞标</w:t>
      </w:r>
      <w:r>
        <w:rPr>
          <w:rFonts w:ascii="宋体" w:hAnsi="宋体"/>
          <w:snapToGrid w:val="0"/>
          <w:kern w:val="0"/>
          <w:szCs w:val="21"/>
        </w:rPr>
        <w:t>保证金一份，金额为人民币（大写）</w:t>
      </w:r>
      <w:r>
        <w:rPr>
          <w:rFonts w:ascii="宋体" w:hAnsi="宋体"/>
          <w:snapToGrid w:val="0"/>
          <w:kern w:val="0"/>
          <w:szCs w:val="21"/>
          <w:u w:val="single"/>
        </w:rPr>
        <w:tab/>
      </w:r>
      <w:r>
        <w:rPr>
          <w:rFonts w:ascii="宋体" w:hAnsi="宋体"/>
          <w:snapToGrid w:val="0"/>
          <w:kern w:val="0"/>
          <w:szCs w:val="21"/>
        </w:rPr>
        <w:t>（¥</w:t>
      </w:r>
      <w:r>
        <w:rPr>
          <w:rFonts w:ascii="宋体" w:hAnsi="宋体"/>
          <w:snapToGrid w:val="0"/>
          <w:kern w:val="0"/>
          <w:szCs w:val="21"/>
          <w:u w:val="single"/>
        </w:rPr>
        <w:tab/>
      </w:r>
      <w:r>
        <w:rPr>
          <w:rFonts w:hint="eastAsia" w:ascii="宋体" w:hAnsi="宋体"/>
          <w:snapToGrid w:val="0"/>
          <w:kern w:val="0"/>
          <w:szCs w:val="21"/>
          <w:u w:val="single"/>
        </w:rPr>
        <w:t xml:space="preserve">   </w:t>
      </w:r>
      <w:r>
        <w:rPr>
          <w:rFonts w:ascii="宋体" w:hAnsi="宋体"/>
          <w:snapToGrid w:val="0"/>
          <w:kern w:val="0"/>
          <w:szCs w:val="21"/>
        </w:rPr>
        <w:t>）。</w:t>
      </w:r>
      <w:r>
        <w:rPr>
          <w:rFonts w:hint="eastAsia" w:ascii="宋体" w:hAnsi="宋体"/>
          <w:snapToGrid w:val="0"/>
          <w:kern w:val="0"/>
          <w:szCs w:val="21"/>
          <w:lang w:eastAsia="zh-CN"/>
        </w:rPr>
        <w:t>竞标</w:t>
      </w:r>
      <w:r>
        <w:rPr>
          <w:rFonts w:hint="eastAsia" w:ascii="宋体" w:hAnsi="宋体"/>
          <w:snapToGrid w:val="0"/>
          <w:kern w:val="0"/>
          <w:szCs w:val="21"/>
        </w:rPr>
        <w:t>保证金有效期</w:t>
      </w:r>
      <w:r>
        <w:rPr>
          <w:rFonts w:ascii="宋体" w:hAnsi="宋体"/>
          <w:snapToGrid w:val="0"/>
          <w:kern w:val="0"/>
          <w:szCs w:val="21"/>
        </w:rPr>
        <w:t>与</w:t>
      </w:r>
      <w:r>
        <w:rPr>
          <w:rFonts w:hint="eastAsia" w:ascii="宋体" w:hAnsi="宋体"/>
          <w:snapToGrid w:val="0"/>
          <w:kern w:val="0"/>
          <w:szCs w:val="21"/>
        </w:rPr>
        <w:t>竞标有效期</w:t>
      </w:r>
      <w:r>
        <w:rPr>
          <w:rFonts w:ascii="宋体" w:hAnsi="宋体"/>
          <w:snapToGrid w:val="0"/>
          <w:kern w:val="0"/>
          <w:szCs w:val="21"/>
        </w:rPr>
        <w:t>一致，在此期间，若我方违反招标</w:t>
      </w:r>
      <w:r>
        <w:rPr>
          <w:rFonts w:hint="eastAsia" w:ascii="宋体" w:hAnsi="宋体"/>
          <w:snapToGrid w:val="0"/>
          <w:kern w:val="0"/>
          <w:szCs w:val="21"/>
        </w:rPr>
        <w:t>比选</w:t>
      </w:r>
      <w:r>
        <w:rPr>
          <w:rFonts w:ascii="宋体" w:hAnsi="宋体"/>
          <w:snapToGrid w:val="0"/>
          <w:kern w:val="0"/>
          <w:szCs w:val="21"/>
        </w:rPr>
        <w:t>有关法律、法规及本</w:t>
      </w:r>
      <w:r>
        <w:rPr>
          <w:rFonts w:hint="eastAsia" w:ascii="宋体" w:hAnsi="宋体"/>
          <w:snapToGrid w:val="0"/>
          <w:kern w:val="0"/>
          <w:szCs w:val="21"/>
        </w:rPr>
        <w:t>比选</w:t>
      </w:r>
      <w:r>
        <w:rPr>
          <w:rFonts w:ascii="宋体" w:hAnsi="宋体"/>
          <w:snapToGrid w:val="0"/>
          <w:kern w:val="0"/>
          <w:szCs w:val="21"/>
        </w:rPr>
        <w:t>文件的相关规定，</w:t>
      </w:r>
      <w:r>
        <w:rPr>
          <w:rFonts w:hint="eastAsia" w:ascii="宋体" w:hAnsi="宋体"/>
          <w:snapToGrid w:val="0"/>
          <w:kern w:val="0"/>
          <w:szCs w:val="21"/>
          <w:lang w:eastAsia="zh-CN"/>
        </w:rPr>
        <w:t>竞标</w:t>
      </w:r>
      <w:r>
        <w:rPr>
          <w:rFonts w:ascii="宋体" w:hAnsi="宋体"/>
          <w:snapToGrid w:val="0"/>
          <w:kern w:val="0"/>
          <w:szCs w:val="21"/>
        </w:rPr>
        <w:t>保证金的受益人为</w:t>
      </w:r>
      <w:r>
        <w:rPr>
          <w:rFonts w:hint="eastAsia" w:ascii="宋体" w:hAnsi="宋体"/>
          <w:snapToGrid w:val="0"/>
          <w:kern w:val="0"/>
          <w:szCs w:val="21"/>
        </w:rPr>
        <w:t>比选</w:t>
      </w:r>
      <w:r>
        <w:rPr>
          <w:rFonts w:ascii="宋体" w:hAnsi="宋体"/>
          <w:snapToGrid w:val="0"/>
          <w:kern w:val="0"/>
          <w:szCs w:val="21"/>
        </w:rPr>
        <w:t>人。</w:t>
      </w:r>
    </w:p>
    <w:p>
      <w:pPr>
        <w:autoSpaceDE w:val="0"/>
        <w:autoSpaceDN w:val="0"/>
        <w:adjustRightInd w:val="0"/>
        <w:spacing w:line="400" w:lineRule="exact"/>
        <w:ind w:firstLine="420" w:firstLineChars="200"/>
        <w:rPr>
          <w:rFonts w:ascii="宋体" w:hAnsi="宋体"/>
          <w:snapToGrid w:val="0"/>
          <w:kern w:val="0"/>
          <w:szCs w:val="21"/>
        </w:rPr>
      </w:pPr>
      <w:r>
        <w:rPr>
          <w:rFonts w:ascii="宋体" w:hAnsi="宋体"/>
          <w:snapToGrid w:val="0"/>
          <w:kern w:val="0"/>
          <w:szCs w:val="21"/>
        </w:rPr>
        <w:t>4</w:t>
      </w:r>
      <w:r>
        <w:rPr>
          <w:rFonts w:hint="eastAsia" w:ascii="宋体" w:hAnsi="宋体"/>
          <w:snapToGrid w:val="0"/>
          <w:kern w:val="0"/>
          <w:szCs w:val="21"/>
        </w:rPr>
        <w:t xml:space="preserve">. </w:t>
      </w:r>
      <w:r>
        <w:rPr>
          <w:rFonts w:ascii="宋体" w:hAnsi="宋体"/>
          <w:snapToGrid w:val="0"/>
          <w:kern w:val="0"/>
          <w:szCs w:val="21"/>
        </w:rPr>
        <w:t>如我方中标：</w:t>
      </w:r>
    </w:p>
    <w:p>
      <w:pPr>
        <w:autoSpaceDE w:val="0"/>
        <w:autoSpaceDN w:val="0"/>
        <w:adjustRightInd w:val="0"/>
        <w:spacing w:line="400" w:lineRule="exact"/>
        <w:ind w:firstLine="420" w:firstLineChars="200"/>
        <w:rPr>
          <w:rFonts w:ascii="宋体" w:hAnsi="宋体"/>
          <w:snapToGrid w:val="0"/>
          <w:kern w:val="0"/>
          <w:sz w:val="10"/>
          <w:szCs w:val="10"/>
        </w:rPr>
      </w:pPr>
      <w:r>
        <w:rPr>
          <w:rFonts w:ascii="宋体" w:hAnsi="宋体"/>
          <w:snapToGrid w:val="0"/>
          <w:kern w:val="0"/>
          <w:szCs w:val="21"/>
        </w:rPr>
        <w:t>（1）我方承诺在收到中标通知书后，在中标通知书规定的期限内与你方签订合同。</w:t>
      </w:r>
    </w:p>
    <w:p>
      <w:pPr>
        <w:autoSpaceDE w:val="0"/>
        <w:autoSpaceDN w:val="0"/>
        <w:adjustRightInd w:val="0"/>
        <w:spacing w:line="400" w:lineRule="exact"/>
        <w:ind w:firstLine="420" w:firstLineChars="200"/>
        <w:rPr>
          <w:rFonts w:ascii="宋体" w:hAnsi="宋体"/>
          <w:snapToGrid w:val="0"/>
          <w:kern w:val="0"/>
          <w:sz w:val="10"/>
          <w:szCs w:val="10"/>
        </w:rPr>
      </w:pPr>
      <w:r>
        <w:rPr>
          <w:rFonts w:ascii="宋体" w:hAnsi="宋体"/>
          <w:snapToGrid w:val="0"/>
          <w:kern w:val="0"/>
          <w:szCs w:val="21"/>
        </w:rPr>
        <w:t>（2）随同本</w:t>
      </w:r>
      <w:r>
        <w:rPr>
          <w:rFonts w:hint="eastAsia" w:ascii="宋体" w:hAnsi="宋体"/>
          <w:snapToGrid w:val="0"/>
          <w:kern w:val="0"/>
          <w:szCs w:val="21"/>
          <w:lang w:eastAsia="zh-CN"/>
        </w:rPr>
        <w:t>竞标</w:t>
      </w:r>
      <w:r>
        <w:rPr>
          <w:rFonts w:ascii="宋体" w:hAnsi="宋体"/>
          <w:snapToGrid w:val="0"/>
          <w:kern w:val="0"/>
          <w:szCs w:val="21"/>
        </w:rPr>
        <w:t>函递交的</w:t>
      </w:r>
      <w:r>
        <w:rPr>
          <w:rFonts w:hint="eastAsia" w:ascii="宋体" w:hAnsi="宋体"/>
          <w:snapToGrid w:val="0"/>
          <w:kern w:val="0"/>
          <w:szCs w:val="21"/>
          <w:lang w:eastAsia="zh-CN"/>
        </w:rPr>
        <w:t>竞标</w:t>
      </w:r>
      <w:r>
        <w:rPr>
          <w:rFonts w:ascii="宋体" w:hAnsi="宋体"/>
          <w:snapToGrid w:val="0"/>
          <w:kern w:val="0"/>
          <w:szCs w:val="21"/>
        </w:rPr>
        <w:t>函附录属于合同文件的组成部分。</w:t>
      </w:r>
    </w:p>
    <w:p>
      <w:pPr>
        <w:autoSpaceDE w:val="0"/>
        <w:autoSpaceDN w:val="0"/>
        <w:adjustRightInd w:val="0"/>
        <w:spacing w:line="400" w:lineRule="exact"/>
        <w:ind w:firstLine="420" w:firstLineChars="200"/>
        <w:rPr>
          <w:rFonts w:ascii="宋体" w:hAnsi="宋体"/>
          <w:snapToGrid w:val="0"/>
          <w:kern w:val="0"/>
          <w:sz w:val="10"/>
          <w:szCs w:val="10"/>
        </w:rPr>
      </w:pPr>
      <w:r>
        <w:rPr>
          <w:rFonts w:ascii="宋体" w:hAnsi="宋体"/>
          <w:snapToGrid w:val="0"/>
          <w:kern w:val="0"/>
          <w:szCs w:val="21"/>
        </w:rPr>
        <w:t>（3）我方承诺按照</w:t>
      </w:r>
      <w:r>
        <w:rPr>
          <w:rFonts w:hint="eastAsia" w:ascii="宋体" w:hAnsi="宋体"/>
          <w:snapToGrid w:val="0"/>
          <w:kern w:val="0"/>
          <w:szCs w:val="21"/>
        </w:rPr>
        <w:t>比选</w:t>
      </w:r>
      <w:r>
        <w:rPr>
          <w:rFonts w:ascii="宋体" w:hAnsi="宋体"/>
          <w:snapToGrid w:val="0"/>
          <w:kern w:val="0"/>
          <w:szCs w:val="21"/>
        </w:rPr>
        <w:t>文件规定向你方递交履约担保。</w:t>
      </w:r>
    </w:p>
    <w:p>
      <w:pPr>
        <w:autoSpaceDE w:val="0"/>
        <w:autoSpaceDN w:val="0"/>
        <w:adjustRightInd w:val="0"/>
        <w:spacing w:line="400" w:lineRule="exact"/>
        <w:ind w:firstLine="420" w:firstLineChars="200"/>
        <w:rPr>
          <w:rFonts w:ascii="宋体" w:hAnsi="宋体"/>
          <w:snapToGrid w:val="0"/>
          <w:kern w:val="0"/>
          <w:szCs w:val="21"/>
        </w:rPr>
      </w:pPr>
      <w:r>
        <w:rPr>
          <w:rFonts w:ascii="宋体" w:hAnsi="宋体"/>
          <w:snapToGrid w:val="0"/>
          <w:kern w:val="0"/>
          <w:szCs w:val="21"/>
        </w:rPr>
        <w:t>（4）我方承诺在合同约定的期限内完成并移交全部合同工程。</w:t>
      </w:r>
    </w:p>
    <w:p>
      <w:pPr>
        <w:autoSpaceDE w:val="0"/>
        <w:autoSpaceDN w:val="0"/>
        <w:adjustRightInd w:val="0"/>
        <w:spacing w:line="400" w:lineRule="exact"/>
        <w:ind w:firstLine="420" w:firstLineChars="200"/>
        <w:rPr>
          <w:rFonts w:ascii="宋体" w:hAnsi="宋体"/>
          <w:snapToGrid w:val="0"/>
          <w:kern w:val="0"/>
          <w:sz w:val="10"/>
          <w:szCs w:val="10"/>
        </w:rPr>
      </w:pPr>
      <w:r>
        <w:rPr>
          <w:rFonts w:hint="eastAsia" w:ascii="宋体" w:hAnsi="宋体"/>
          <w:snapToGrid w:val="0"/>
          <w:kern w:val="0"/>
          <w:szCs w:val="21"/>
        </w:rPr>
        <w:t>（5）我方承诺以不低于比选文件第七章 技术标准和要求中所列的技术指标和参数要求完成全部合同工程。</w:t>
      </w:r>
    </w:p>
    <w:p>
      <w:pPr>
        <w:autoSpaceDE w:val="0"/>
        <w:autoSpaceDN w:val="0"/>
        <w:adjustRightInd w:val="0"/>
        <w:spacing w:line="400" w:lineRule="exact"/>
        <w:ind w:firstLine="420" w:firstLineChars="200"/>
        <w:rPr>
          <w:rFonts w:ascii="宋体" w:hAnsi="宋体"/>
          <w:snapToGrid w:val="0"/>
          <w:kern w:val="0"/>
          <w:szCs w:val="21"/>
        </w:rPr>
      </w:pPr>
      <w:r>
        <w:rPr>
          <w:rFonts w:ascii="宋体" w:hAnsi="宋体"/>
          <w:snapToGrid w:val="0"/>
          <w:kern w:val="0"/>
          <w:szCs w:val="21"/>
        </w:rPr>
        <w:t>5</w:t>
      </w:r>
      <w:r>
        <w:rPr>
          <w:rFonts w:hint="eastAsia" w:ascii="宋体" w:hAnsi="宋体"/>
          <w:snapToGrid w:val="0"/>
          <w:kern w:val="0"/>
          <w:szCs w:val="21"/>
        </w:rPr>
        <w:t xml:space="preserve">. </w:t>
      </w:r>
      <w:r>
        <w:rPr>
          <w:rFonts w:ascii="宋体" w:hAnsi="宋体"/>
          <w:snapToGrid w:val="0"/>
          <w:kern w:val="0"/>
          <w:szCs w:val="21"/>
        </w:rPr>
        <w:t>我方</w:t>
      </w:r>
      <w:r>
        <w:rPr>
          <w:rFonts w:ascii="宋体" w:hAnsi="宋体"/>
          <w:snapToGrid w:val="0"/>
          <w:spacing w:val="-2"/>
          <w:kern w:val="0"/>
          <w:szCs w:val="21"/>
        </w:rPr>
        <w:t>在此声明，所递交的</w:t>
      </w:r>
      <w:r>
        <w:rPr>
          <w:rFonts w:hint="eastAsia" w:ascii="宋体" w:hAnsi="宋体"/>
          <w:snapToGrid w:val="0"/>
          <w:spacing w:val="-2"/>
          <w:kern w:val="0"/>
          <w:szCs w:val="21"/>
          <w:lang w:eastAsia="zh-CN"/>
        </w:rPr>
        <w:t>竞标</w:t>
      </w:r>
      <w:r>
        <w:rPr>
          <w:rFonts w:ascii="宋体" w:hAnsi="宋体"/>
          <w:snapToGrid w:val="0"/>
          <w:spacing w:val="-2"/>
          <w:kern w:val="0"/>
          <w:szCs w:val="21"/>
        </w:rPr>
        <w:t>文件及有关资料内容完整、真实和准确，且不存在第二章“</w:t>
      </w:r>
      <w:r>
        <w:rPr>
          <w:rFonts w:hint="eastAsia" w:ascii="宋体" w:hAnsi="宋体"/>
          <w:snapToGrid w:val="0"/>
          <w:spacing w:val="-2"/>
          <w:kern w:val="0"/>
          <w:szCs w:val="21"/>
          <w:lang w:eastAsia="zh-CN"/>
        </w:rPr>
        <w:t>竞标</w:t>
      </w:r>
      <w:r>
        <w:rPr>
          <w:rFonts w:ascii="宋体" w:hAnsi="宋体"/>
          <w:snapToGrid w:val="0"/>
          <w:spacing w:val="-2"/>
          <w:kern w:val="0"/>
          <w:szCs w:val="21"/>
        </w:rPr>
        <w:t>人</w:t>
      </w:r>
      <w:r>
        <w:rPr>
          <w:rFonts w:ascii="宋体" w:hAnsi="宋体"/>
          <w:snapToGrid w:val="0"/>
          <w:kern w:val="0"/>
          <w:szCs w:val="21"/>
        </w:rPr>
        <w:t>须知”第 1.4.3 项规定的任何一种情形。同时我方承诺接受</w:t>
      </w:r>
      <w:r>
        <w:rPr>
          <w:rFonts w:hint="eastAsia" w:ascii="宋体" w:hAnsi="宋体"/>
          <w:snapToGrid w:val="0"/>
          <w:kern w:val="0"/>
          <w:szCs w:val="21"/>
        </w:rPr>
        <w:t>比选</w:t>
      </w:r>
      <w:r>
        <w:rPr>
          <w:rFonts w:ascii="宋体" w:hAnsi="宋体"/>
          <w:snapToGrid w:val="0"/>
          <w:kern w:val="0"/>
          <w:szCs w:val="21"/>
        </w:rPr>
        <w:t>文件及附件、</w:t>
      </w:r>
      <w:r>
        <w:rPr>
          <w:rFonts w:hint="eastAsia" w:ascii="宋体" w:hAnsi="宋体"/>
          <w:snapToGrid w:val="0"/>
          <w:kern w:val="0"/>
          <w:szCs w:val="21"/>
        </w:rPr>
        <w:t>澄清</w:t>
      </w:r>
      <w:r>
        <w:rPr>
          <w:rFonts w:ascii="宋体" w:hAnsi="宋体"/>
          <w:snapToGrid w:val="0"/>
          <w:kern w:val="0"/>
          <w:szCs w:val="21"/>
        </w:rPr>
        <w:t>及</w:t>
      </w:r>
      <w:r>
        <w:rPr>
          <w:rFonts w:hint="eastAsia" w:ascii="宋体" w:hAnsi="宋体"/>
          <w:snapToGrid w:val="0"/>
          <w:kern w:val="0"/>
          <w:szCs w:val="21"/>
        </w:rPr>
        <w:t>修改</w:t>
      </w:r>
      <w:r>
        <w:rPr>
          <w:rFonts w:ascii="宋体" w:hAnsi="宋体"/>
          <w:snapToGrid w:val="0"/>
          <w:kern w:val="0"/>
          <w:szCs w:val="21"/>
        </w:rPr>
        <w:t>通知中所有的内容。</w:t>
      </w:r>
    </w:p>
    <w:p>
      <w:pPr>
        <w:tabs>
          <w:tab w:val="left" w:pos="5985"/>
        </w:tabs>
        <w:autoSpaceDE w:val="0"/>
        <w:autoSpaceDN w:val="0"/>
        <w:adjustRightInd w:val="0"/>
        <w:spacing w:line="400" w:lineRule="exact"/>
        <w:ind w:firstLine="420" w:firstLineChars="200"/>
        <w:rPr>
          <w:rFonts w:ascii="宋体" w:hAnsi="宋体"/>
          <w:snapToGrid w:val="0"/>
          <w:kern w:val="0"/>
          <w:szCs w:val="21"/>
        </w:rPr>
      </w:pPr>
      <w:r>
        <w:rPr>
          <w:rFonts w:ascii="宋体" w:hAnsi="宋体"/>
          <w:snapToGrid w:val="0"/>
          <w:kern w:val="0"/>
          <w:szCs w:val="21"/>
        </w:rPr>
        <w:t>6</w:t>
      </w:r>
      <w:r>
        <w:rPr>
          <w:rFonts w:hint="eastAsia" w:ascii="宋体" w:hAnsi="宋体"/>
          <w:snapToGrid w:val="0"/>
          <w:kern w:val="0"/>
          <w:szCs w:val="21"/>
        </w:rPr>
        <w:t xml:space="preserve">. </w:t>
      </w:r>
      <w:r>
        <w:rPr>
          <w:rFonts w:ascii="宋体" w:hAnsi="宋体"/>
          <w:snapToGrid w:val="0"/>
          <w:w w:val="200"/>
          <w:kern w:val="0"/>
          <w:szCs w:val="21"/>
          <w:u w:val="single"/>
        </w:rPr>
        <w:t xml:space="preserve"> </w:t>
      </w:r>
      <w:r>
        <w:rPr>
          <w:rFonts w:ascii="宋体" w:hAnsi="宋体"/>
          <w:snapToGrid w:val="0"/>
          <w:kern w:val="0"/>
          <w:szCs w:val="21"/>
          <w:u w:val="single"/>
        </w:rPr>
        <w:tab/>
      </w:r>
      <w:r>
        <w:rPr>
          <w:rFonts w:ascii="宋体" w:hAnsi="宋体"/>
          <w:snapToGrid w:val="0"/>
          <w:kern w:val="0"/>
          <w:szCs w:val="21"/>
          <w:u w:val="single"/>
        </w:rPr>
        <w:t>（其他补充说明）</w:t>
      </w:r>
      <w:r>
        <w:rPr>
          <w:rFonts w:ascii="宋体" w:hAnsi="宋体"/>
          <w:snapToGrid w:val="0"/>
          <w:kern w:val="0"/>
          <w:szCs w:val="21"/>
        </w:rPr>
        <w:t>。</w:t>
      </w:r>
    </w:p>
    <w:p>
      <w:pPr>
        <w:tabs>
          <w:tab w:val="left" w:pos="7140"/>
          <w:tab w:val="left" w:pos="7560"/>
          <w:tab w:val="left" w:pos="8300"/>
        </w:tabs>
        <w:autoSpaceDE w:val="0"/>
        <w:autoSpaceDN w:val="0"/>
        <w:adjustRightInd w:val="0"/>
        <w:spacing w:line="400" w:lineRule="exact"/>
        <w:ind w:firstLine="420" w:firstLineChars="200"/>
        <w:rPr>
          <w:rFonts w:hint="eastAsia" w:ascii="宋体" w:hAnsi="宋体"/>
          <w:snapToGrid w:val="0"/>
          <w:kern w:val="0"/>
          <w:szCs w:val="21"/>
        </w:rPr>
      </w:pPr>
    </w:p>
    <w:p>
      <w:pPr>
        <w:tabs>
          <w:tab w:val="left" w:pos="7140"/>
          <w:tab w:val="left" w:pos="7560"/>
          <w:tab w:val="left" w:pos="8300"/>
        </w:tabs>
        <w:autoSpaceDE w:val="0"/>
        <w:autoSpaceDN w:val="0"/>
        <w:adjustRightInd w:val="0"/>
        <w:spacing w:line="400" w:lineRule="exact"/>
        <w:ind w:firstLine="420" w:firstLineChars="200"/>
        <w:rPr>
          <w:rFonts w:ascii="宋体" w:hAnsi="宋体"/>
          <w:snapToGrid w:val="0"/>
          <w:kern w:val="0"/>
          <w:szCs w:val="21"/>
        </w:rPr>
      </w:pPr>
      <w:r>
        <w:rPr>
          <w:rFonts w:hint="eastAsia" w:ascii="宋体" w:hAnsi="宋体"/>
          <w:snapToGrid w:val="0"/>
          <w:kern w:val="0"/>
          <w:szCs w:val="21"/>
          <w:lang w:eastAsia="zh-CN"/>
        </w:rPr>
        <w:t>竞标</w:t>
      </w:r>
      <w:r>
        <w:rPr>
          <w:rFonts w:ascii="宋体" w:hAnsi="宋体"/>
          <w:snapToGrid w:val="0"/>
          <w:kern w:val="0"/>
          <w:szCs w:val="21"/>
        </w:rPr>
        <w:t>人：</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r>
        <w:rPr>
          <w:rFonts w:ascii="宋体" w:hAnsi="宋体"/>
          <w:snapToGrid w:val="0"/>
          <w:kern w:val="0"/>
          <w:szCs w:val="21"/>
          <w:u w:val="single"/>
        </w:rPr>
        <w:t xml:space="preserve">    </w:t>
      </w:r>
      <w:r>
        <w:rPr>
          <w:rFonts w:ascii="宋体" w:hAnsi="宋体"/>
          <w:snapToGrid w:val="0"/>
          <w:kern w:val="0"/>
          <w:szCs w:val="21"/>
        </w:rPr>
        <w:t xml:space="preserve">（盖单位法人章） </w:t>
      </w:r>
    </w:p>
    <w:p>
      <w:pPr>
        <w:tabs>
          <w:tab w:val="left" w:pos="7140"/>
          <w:tab w:val="left" w:pos="7560"/>
          <w:tab w:val="left" w:pos="8300"/>
        </w:tabs>
        <w:autoSpaceDE w:val="0"/>
        <w:autoSpaceDN w:val="0"/>
        <w:adjustRightInd w:val="0"/>
        <w:spacing w:line="400" w:lineRule="exact"/>
        <w:ind w:firstLine="420" w:firstLineChars="200"/>
        <w:rPr>
          <w:rFonts w:ascii="宋体" w:hAnsi="宋体"/>
          <w:snapToGrid w:val="0"/>
          <w:kern w:val="0"/>
          <w:szCs w:val="21"/>
        </w:rPr>
      </w:pPr>
      <w:r>
        <w:rPr>
          <w:rFonts w:ascii="宋体" w:hAnsi="宋体"/>
          <w:snapToGrid w:val="0"/>
          <w:kern w:val="0"/>
          <w:szCs w:val="21"/>
        </w:rPr>
        <w:t>法定代表人</w:t>
      </w:r>
      <w:r>
        <w:rPr>
          <w:rFonts w:hint="eastAsia" w:ascii="宋体" w:hAnsi="宋体"/>
          <w:snapToGrid w:val="0"/>
          <w:kern w:val="0"/>
          <w:szCs w:val="21"/>
        </w:rPr>
        <w:t>或其委托代理人</w:t>
      </w:r>
      <w:r>
        <w:rPr>
          <w:rFonts w:ascii="宋体" w:hAnsi="宋体"/>
          <w:snapToGrid w:val="0"/>
          <w:kern w:val="0"/>
          <w:szCs w:val="21"/>
        </w:rPr>
        <w:t>：</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r>
        <w:rPr>
          <w:rFonts w:ascii="宋体" w:hAnsi="宋体"/>
          <w:snapToGrid w:val="0"/>
          <w:kern w:val="0"/>
          <w:szCs w:val="21"/>
        </w:rPr>
        <w:t>（</w:t>
      </w:r>
      <w:r>
        <w:rPr>
          <w:rFonts w:hint="eastAsia" w:ascii="宋体" w:hAnsi="宋体"/>
          <w:snapToGrid w:val="0"/>
          <w:kern w:val="0"/>
          <w:szCs w:val="21"/>
        </w:rPr>
        <w:t>签名</w:t>
      </w:r>
      <w:r>
        <w:rPr>
          <w:rFonts w:ascii="宋体" w:hAnsi="宋体"/>
          <w:snapToGrid w:val="0"/>
          <w:kern w:val="0"/>
          <w:szCs w:val="21"/>
        </w:rPr>
        <w:t>或盖章）</w:t>
      </w:r>
    </w:p>
    <w:p>
      <w:pPr>
        <w:tabs>
          <w:tab w:val="left" w:pos="7035"/>
          <w:tab w:val="left" w:pos="7560"/>
          <w:tab w:val="left" w:pos="8300"/>
        </w:tabs>
        <w:autoSpaceDE w:val="0"/>
        <w:autoSpaceDN w:val="0"/>
        <w:adjustRightInd w:val="0"/>
        <w:spacing w:line="400" w:lineRule="exact"/>
        <w:ind w:firstLine="420" w:firstLineChars="200"/>
        <w:rPr>
          <w:rFonts w:ascii="宋体" w:hAnsi="宋体"/>
          <w:snapToGrid w:val="0"/>
          <w:kern w:val="0"/>
          <w:szCs w:val="21"/>
        </w:rPr>
      </w:pPr>
      <w:r>
        <w:rPr>
          <w:rFonts w:ascii="宋体" w:hAnsi="宋体"/>
          <w:snapToGrid w:val="0"/>
          <w:kern w:val="0"/>
          <w:szCs w:val="21"/>
        </w:rPr>
        <w:t>地</w:t>
      </w:r>
      <w:r>
        <w:rPr>
          <w:rFonts w:hint="eastAsia" w:ascii="宋体" w:hAnsi="宋体"/>
          <w:snapToGrid w:val="0"/>
          <w:kern w:val="0"/>
          <w:szCs w:val="21"/>
        </w:rPr>
        <w:t xml:space="preserve">    </w:t>
      </w:r>
      <w:r>
        <w:rPr>
          <w:rFonts w:ascii="宋体" w:hAnsi="宋体"/>
          <w:snapToGrid w:val="0"/>
          <w:kern w:val="0"/>
          <w:szCs w:val="21"/>
        </w:rPr>
        <w:t>址：</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r>
        <w:rPr>
          <w:rFonts w:ascii="宋体" w:hAnsi="宋体"/>
          <w:snapToGrid w:val="0"/>
          <w:kern w:val="0"/>
          <w:szCs w:val="21"/>
          <w:u w:val="single"/>
        </w:rPr>
        <w:t xml:space="preserve">      </w:t>
      </w:r>
    </w:p>
    <w:p>
      <w:pPr>
        <w:tabs>
          <w:tab w:val="left" w:pos="8300"/>
        </w:tabs>
        <w:autoSpaceDE w:val="0"/>
        <w:autoSpaceDN w:val="0"/>
        <w:adjustRightInd w:val="0"/>
        <w:spacing w:line="400" w:lineRule="exact"/>
        <w:ind w:firstLine="420" w:firstLineChars="200"/>
        <w:rPr>
          <w:rFonts w:ascii="宋体" w:hAnsi="宋体"/>
          <w:snapToGrid w:val="0"/>
          <w:kern w:val="0"/>
          <w:szCs w:val="21"/>
        </w:rPr>
      </w:pPr>
      <w:r>
        <w:rPr>
          <w:rFonts w:ascii="宋体" w:hAnsi="宋体"/>
          <w:snapToGrid w:val="0"/>
          <w:kern w:val="0"/>
          <w:szCs w:val="21"/>
        </w:rPr>
        <w:t>网</w:t>
      </w:r>
      <w:r>
        <w:rPr>
          <w:rFonts w:hint="eastAsia" w:ascii="宋体" w:hAnsi="宋体"/>
          <w:snapToGrid w:val="0"/>
          <w:kern w:val="0"/>
          <w:szCs w:val="21"/>
        </w:rPr>
        <w:t xml:space="preserve">    </w:t>
      </w:r>
      <w:r>
        <w:rPr>
          <w:rFonts w:ascii="宋体" w:hAnsi="宋体"/>
          <w:snapToGrid w:val="0"/>
          <w:kern w:val="0"/>
          <w:szCs w:val="21"/>
        </w:rPr>
        <w:t>址：</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r>
        <w:rPr>
          <w:rFonts w:ascii="宋体" w:hAnsi="宋体"/>
          <w:snapToGrid w:val="0"/>
          <w:kern w:val="0"/>
          <w:szCs w:val="21"/>
          <w:u w:val="single"/>
        </w:rPr>
        <w:t xml:space="preserve">      </w:t>
      </w:r>
    </w:p>
    <w:p>
      <w:pPr>
        <w:tabs>
          <w:tab w:val="left" w:pos="8300"/>
        </w:tabs>
        <w:autoSpaceDE w:val="0"/>
        <w:autoSpaceDN w:val="0"/>
        <w:adjustRightInd w:val="0"/>
        <w:spacing w:line="400" w:lineRule="exact"/>
        <w:ind w:firstLine="420" w:firstLineChars="200"/>
        <w:rPr>
          <w:rFonts w:ascii="宋体" w:hAnsi="宋体"/>
          <w:snapToGrid w:val="0"/>
          <w:kern w:val="0"/>
          <w:szCs w:val="21"/>
        </w:rPr>
      </w:pPr>
      <w:r>
        <w:rPr>
          <w:rFonts w:hint="eastAsia" w:ascii="宋体" w:hAnsi="宋体"/>
          <w:snapToGrid w:val="0"/>
          <w:kern w:val="0"/>
          <w:szCs w:val="21"/>
        </w:rPr>
        <w:t>单位电话（座机）：</w:t>
      </w:r>
      <w:r>
        <w:rPr>
          <w:rFonts w:hint="eastAsia" w:ascii="宋体" w:hAnsi="宋体"/>
          <w:snapToGrid w:val="0"/>
          <w:kern w:val="0"/>
          <w:szCs w:val="21"/>
          <w:u w:val="single"/>
        </w:rPr>
        <w:t xml:space="preserve">                      </w:t>
      </w:r>
      <w:r>
        <w:rPr>
          <w:rFonts w:hint="eastAsia" w:ascii="宋体" w:hAnsi="宋体"/>
          <w:snapToGrid w:val="0"/>
          <w:kern w:val="0"/>
          <w:szCs w:val="21"/>
        </w:rPr>
        <w:t>委托代理人电话（手机）：</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p>
    <w:p>
      <w:pPr>
        <w:tabs>
          <w:tab w:val="left" w:pos="8300"/>
        </w:tabs>
        <w:autoSpaceDE w:val="0"/>
        <w:autoSpaceDN w:val="0"/>
        <w:adjustRightInd w:val="0"/>
        <w:spacing w:line="400" w:lineRule="exact"/>
        <w:ind w:firstLine="420" w:firstLineChars="200"/>
        <w:rPr>
          <w:rFonts w:ascii="宋体" w:hAnsi="宋体"/>
          <w:snapToGrid w:val="0"/>
          <w:kern w:val="0"/>
          <w:szCs w:val="21"/>
        </w:rPr>
      </w:pPr>
      <w:r>
        <w:rPr>
          <w:rFonts w:ascii="宋体" w:hAnsi="宋体"/>
          <w:snapToGrid w:val="0"/>
          <w:kern w:val="0"/>
          <w:szCs w:val="21"/>
        </w:rPr>
        <w:t>传</w:t>
      </w:r>
      <w:r>
        <w:rPr>
          <w:rFonts w:hint="eastAsia" w:ascii="宋体" w:hAnsi="宋体"/>
          <w:snapToGrid w:val="0"/>
          <w:kern w:val="0"/>
          <w:szCs w:val="21"/>
        </w:rPr>
        <w:t xml:space="preserve">    </w:t>
      </w:r>
      <w:r>
        <w:rPr>
          <w:rFonts w:ascii="宋体" w:hAnsi="宋体"/>
          <w:snapToGrid w:val="0"/>
          <w:kern w:val="0"/>
          <w:szCs w:val="21"/>
        </w:rPr>
        <w:t>真：</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r>
        <w:rPr>
          <w:rFonts w:ascii="宋体" w:hAnsi="宋体"/>
          <w:snapToGrid w:val="0"/>
          <w:kern w:val="0"/>
          <w:szCs w:val="21"/>
          <w:u w:val="single"/>
        </w:rPr>
        <w:t xml:space="preserve">      </w:t>
      </w:r>
    </w:p>
    <w:p>
      <w:pPr>
        <w:tabs>
          <w:tab w:val="left" w:pos="8300"/>
        </w:tabs>
        <w:autoSpaceDE w:val="0"/>
        <w:autoSpaceDN w:val="0"/>
        <w:adjustRightInd w:val="0"/>
        <w:spacing w:line="400" w:lineRule="exact"/>
        <w:ind w:firstLine="420" w:firstLineChars="200"/>
        <w:rPr>
          <w:rFonts w:ascii="宋体" w:hAnsi="宋体"/>
          <w:snapToGrid w:val="0"/>
          <w:kern w:val="0"/>
          <w:szCs w:val="21"/>
          <w:u w:val="single"/>
        </w:rPr>
      </w:pPr>
      <w:r>
        <w:rPr>
          <w:rFonts w:ascii="宋体" w:hAnsi="宋体"/>
          <w:snapToGrid w:val="0"/>
          <w:kern w:val="0"/>
          <w:szCs w:val="21"/>
        </w:rPr>
        <w:t>邮政编码：</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r>
        <w:rPr>
          <w:rFonts w:ascii="宋体" w:hAnsi="宋体"/>
          <w:snapToGrid w:val="0"/>
          <w:kern w:val="0"/>
          <w:szCs w:val="21"/>
          <w:u w:val="single"/>
        </w:rPr>
        <w:t xml:space="preserve">      </w:t>
      </w:r>
    </w:p>
    <w:p>
      <w:pPr>
        <w:tabs>
          <w:tab w:val="left" w:pos="8300"/>
        </w:tabs>
        <w:autoSpaceDE w:val="0"/>
        <w:autoSpaceDN w:val="0"/>
        <w:adjustRightInd w:val="0"/>
        <w:spacing w:line="400" w:lineRule="exact"/>
        <w:ind w:firstLine="400" w:firstLineChars="200"/>
        <w:rPr>
          <w:rFonts w:ascii="宋体" w:hAnsi="宋体"/>
          <w:snapToGrid w:val="0"/>
          <w:kern w:val="0"/>
          <w:sz w:val="20"/>
          <w:szCs w:val="20"/>
        </w:rPr>
      </w:pPr>
    </w:p>
    <w:p>
      <w:pPr>
        <w:tabs>
          <w:tab w:val="left" w:pos="8300"/>
        </w:tabs>
        <w:autoSpaceDE w:val="0"/>
        <w:autoSpaceDN w:val="0"/>
        <w:adjustRightInd w:val="0"/>
        <w:spacing w:line="400" w:lineRule="exact"/>
        <w:ind w:firstLine="420" w:firstLineChars="200"/>
        <w:jc w:val="right"/>
        <w:rPr>
          <w:rFonts w:ascii="宋体" w:hAnsi="宋体"/>
          <w:kern w:val="0"/>
          <w:szCs w:val="21"/>
        </w:rPr>
      </w:pPr>
      <w:r>
        <w:rPr>
          <w:rFonts w:hint="eastAsia" w:ascii="宋体" w:hAnsi="宋体"/>
          <w:kern w:val="0"/>
          <w:szCs w:val="21"/>
          <w:u w:val="single"/>
        </w:rPr>
        <w:t xml:space="preserve">    </w:t>
      </w:r>
      <w:r>
        <w:rPr>
          <w:rFonts w:ascii="宋体" w:hAnsi="宋体"/>
          <w:kern w:val="0"/>
          <w:szCs w:val="21"/>
        </w:rPr>
        <w:t>年</w:t>
      </w:r>
      <w:r>
        <w:rPr>
          <w:rFonts w:hint="eastAsia" w:ascii="宋体" w:hAnsi="宋体"/>
          <w:kern w:val="0"/>
          <w:szCs w:val="21"/>
          <w:u w:val="single"/>
        </w:rPr>
        <w:t xml:space="preserve">    </w:t>
      </w:r>
      <w:r>
        <w:rPr>
          <w:rFonts w:ascii="宋体" w:hAnsi="宋体"/>
          <w:kern w:val="0"/>
          <w:szCs w:val="21"/>
        </w:rPr>
        <w:t>月</w:t>
      </w:r>
      <w:r>
        <w:rPr>
          <w:rFonts w:hint="eastAsia" w:ascii="宋体" w:hAnsi="宋体"/>
          <w:kern w:val="0"/>
          <w:szCs w:val="21"/>
          <w:u w:val="single"/>
        </w:rPr>
        <w:t xml:space="preserve">    </w:t>
      </w:r>
      <w:r>
        <w:rPr>
          <w:rFonts w:ascii="宋体" w:hAnsi="宋体"/>
          <w:kern w:val="0"/>
          <w:szCs w:val="21"/>
        </w:rPr>
        <w:t>日</w:t>
      </w:r>
    </w:p>
    <w:p>
      <w:pPr>
        <w:pStyle w:val="5"/>
        <w:spacing w:before="0" w:after="0" w:line="240" w:lineRule="auto"/>
        <w:jc w:val="center"/>
        <w:rPr>
          <w:rFonts w:ascii="宋体" w:hAnsi="宋体"/>
          <w:snapToGrid w:val="0"/>
          <w:kern w:val="0"/>
          <w:szCs w:val="21"/>
        </w:rPr>
      </w:pPr>
      <w:bookmarkStart w:id="1698" w:name="_Toc287607868"/>
      <w:bookmarkStart w:id="1699" w:name="_Toc277082644"/>
      <w:bookmarkStart w:id="1700" w:name="_Toc224103496"/>
      <w:bookmarkStart w:id="1701" w:name="_Toc430530531"/>
      <w:bookmarkStart w:id="1702" w:name="_Toc287620815"/>
      <w:r>
        <w:rPr>
          <w:rFonts w:ascii="宋体" w:hAnsi="宋体"/>
          <w:sz w:val="28"/>
        </w:rPr>
        <w:br w:type="page"/>
      </w:r>
      <w:bookmarkStart w:id="1703" w:name="_Toc509218855"/>
      <w:bookmarkStart w:id="1704" w:name="_Toc534185832"/>
      <w:bookmarkStart w:id="1705" w:name="_Toc8534"/>
      <w:bookmarkStart w:id="1706" w:name="_Toc589"/>
      <w:bookmarkStart w:id="1707" w:name="_Toc14700"/>
      <w:bookmarkStart w:id="1708" w:name="_Toc7130"/>
      <w:bookmarkStart w:id="1709" w:name="_Toc14614"/>
      <w:r>
        <w:rPr>
          <w:rFonts w:ascii="宋体" w:hAnsi="宋体"/>
          <w:b w:val="0"/>
          <w:bCs w:val="0"/>
        </w:rPr>
        <w:t>（二）</w:t>
      </w:r>
      <w:r>
        <w:rPr>
          <w:rFonts w:hint="eastAsia" w:ascii="宋体" w:hAnsi="宋体"/>
          <w:b w:val="0"/>
          <w:bCs w:val="0"/>
          <w:lang w:eastAsia="zh-CN"/>
        </w:rPr>
        <w:t>竞标</w:t>
      </w:r>
      <w:r>
        <w:rPr>
          <w:rFonts w:ascii="宋体" w:hAnsi="宋体"/>
          <w:b w:val="0"/>
          <w:bCs w:val="0"/>
        </w:rPr>
        <w:t>函附录</w:t>
      </w:r>
      <w:bookmarkEnd w:id="1698"/>
      <w:bookmarkEnd w:id="1699"/>
      <w:bookmarkEnd w:id="1700"/>
      <w:bookmarkEnd w:id="1701"/>
      <w:bookmarkEnd w:id="1702"/>
      <w:bookmarkEnd w:id="1703"/>
      <w:bookmarkEnd w:id="1704"/>
      <w:bookmarkEnd w:id="1705"/>
      <w:bookmarkEnd w:id="1706"/>
      <w:bookmarkEnd w:id="1707"/>
      <w:bookmarkEnd w:id="1708"/>
      <w:bookmarkEnd w:id="1709"/>
    </w:p>
    <w:tbl>
      <w:tblPr>
        <w:tblStyle w:val="45"/>
        <w:tblW w:w="9469" w:type="dxa"/>
        <w:tblInd w:w="-1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720"/>
        <w:gridCol w:w="2582"/>
        <w:gridCol w:w="2388"/>
        <w:gridCol w:w="2987"/>
        <w:gridCol w:w="792"/>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720" w:type="dxa"/>
            <w:vAlign w:val="center"/>
          </w:tcPr>
          <w:p>
            <w:pPr>
              <w:autoSpaceDE w:val="0"/>
              <w:autoSpaceDN w:val="0"/>
              <w:adjustRightInd w:val="0"/>
              <w:jc w:val="center"/>
              <w:rPr>
                <w:rFonts w:ascii="宋体" w:hAnsi="宋体"/>
                <w:snapToGrid w:val="0"/>
                <w:kern w:val="0"/>
                <w:szCs w:val="21"/>
              </w:rPr>
            </w:pPr>
            <w:r>
              <w:rPr>
                <w:rFonts w:ascii="宋体" w:hAnsi="宋体"/>
                <w:snapToGrid w:val="0"/>
                <w:kern w:val="0"/>
                <w:szCs w:val="21"/>
              </w:rPr>
              <w:t>序号</w:t>
            </w:r>
          </w:p>
        </w:tc>
        <w:tc>
          <w:tcPr>
            <w:tcW w:w="2582" w:type="dxa"/>
            <w:vAlign w:val="center"/>
          </w:tcPr>
          <w:p>
            <w:pPr>
              <w:autoSpaceDE w:val="0"/>
              <w:autoSpaceDN w:val="0"/>
              <w:adjustRightInd w:val="0"/>
              <w:jc w:val="center"/>
              <w:rPr>
                <w:rFonts w:ascii="宋体" w:hAnsi="宋体"/>
                <w:snapToGrid w:val="0"/>
                <w:kern w:val="0"/>
                <w:szCs w:val="21"/>
              </w:rPr>
            </w:pPr>
            <w:r>
              <w:rPr>
                <w:rFonts w:ascii="宋体" w:hAnsi="宋体"/>
                <w:snapToGrid w:val="0"/>
                <w:kern w:val="0"/>
                <w:szCs w:val="21"/>
              </w:rPr>
              <w:t>条款名称</w:t>
            </w:r>
          </w:p>
        </w:tc>
        <w:tc>
          <w:tcPr>
            <w:tcW w:w="2388" w:type="dxa"/>
            <w:vAlign w:val="center"/>
          </w:tcPr>
          <w:p>
            <w:pPr>
              <w:autoSpaceDE w:val="0"/>
              <w:autoSpaceDN w:val="0"/>
              <w:adjustRightInd w:val="0"/>
              <w:jc w:val="center"/>
              <w:rPr>
                <w:rFonts w:ascii="宋体" w:hAnsi="宋体"/>
                <w:snapToGrid w:val="0"/>
                <w:kern w:val="0"/>
                <w:szCs w:val="21"/>
              </w:rPr>
            </w:pPr>
            <w:r>
              <w:rPr>
                <w:rFonts w:ascii="宋体" w:hAnsi="宋体"/>
                <w:snapToGrid w:val="0"/>
                <w:kern w:val="0"/>
                <w:szCs w:val="21"/>
              </w:rPr>
              <w:t>合同条款号</w:t>
            </w:r>
          </w:p>
        </w:tc>
        <w:tc>
          <w:tcPr>
            <w:tcW w:w="2987" w:type="dxa"/>
            <w:vAlign w:val="center"/>
          </w:tcPr>
          <w:p>
            <w:pPr>
              <w:autoSpaceDE w:val="0"/>
              <w:autoSpaceDN w:val="0"/>
              <w:adjustRightInd w:val="0"/>
              <w:jc w:val="center"/>
              <w:rPr>
                <w:rFonts w:ascii="宋体" w:hAnsi="宋体"/>
                <w:snapToGrid w:val="0"/>
                <w:kern w:val="0"/>
                <w:szCs w:val="21"/>
              </w:rPr>
            </w:pPr>
            <w:r>
              <w:rPr>
                <w:rFonts w:ascii="宋体" w:hAnsi="宋体"/>
                <w:snapToGrid w:val="0"/>
                <w:kern w:val="0"/>
                <w:szCs w:val="21"/>
              </w:rPr>
              <w:t>约定内容</w:t>
            </w:r>
          </w:p>
        </w:tc>
        <w:tc>
          <w:tcPr>
            <w:tcW w:w="792" w:type="dxa"/>
            <w:vAlign w:val="center"/>
          </w:tcPr>
          <w:p>
            <w:pPr>
              <w:autoSpaceDE w:val="0"/>
              <w:autoSpaceDN w:val="0"/>
              <w:adjustRightInd w:val="0"/>
              <w:jc w:val="center"/>
              <w:rPr>
                <w:rFonts w:ascii="宋体" w:hAnsi="宋体"/>
                <w:snapToGrid w:val="0"/>
                <w:kern w:val="0"/>
                <w:szCs w:val="21"/>
              </w:rPr>
            </w:pPr>
            <w:r>
              <w:rPr>
                <w:rFonts w:ascii="宋体" w:hAnsi="宋体"/>
                <w:snapToGrid w:val="0"/>
                <w:kern w:val="0"/>
                <w:szCs w:val="21"/>
              </w:rPr>
              <w:t>备注</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720" w:type="dxa"/>
            <w:vAlign w:val="center"/>
          </w:tcPr>
          <w:p>
            <w:pPr>
              <w:autoSpaceDE w:val="0"/>
              <w:autoSpaceDN w:val="0"/>
              <w:adjustRightInd w:val="0"/>
              <w:jc w:val="center"/>
              <w:rPr>
                <w:rFonts w:ascii="宋体" w:hAnsi="宋体"/>
                <w:snapToGrid w:val="0"/>
                <w:kern w:val="0"/>
                <w:szCs w:val="21"/>
              </w:rPr>
            </w:pPr>
            <w:r>
              <w:rPr>
                <w:rFonts w:hint="eastAsia" w:ascii="宋体" w:hAnsi="宋体"/>
                <w:snapToGrid w:val="0"/>
                <w:kern w:val="0"/>
                <w:szCs w:val="21"/>
              </w:rPr>
              <w:t>1</w:t>
            </w:r>
          </w:p>
        </w:tc>
        <w:tc>
          <w:tcPr>
            <w:tcW w:w="2582" w:type="dxa"/>
            <w:vAlign w:val="center"/>
          </w:tcPr>
          <w:p>
            <w:pPr>
              <w:autoSpaceDE w:val="0"/>
              <w:autoSpaceDN w:val="0"/>
              <w:adjustRightInd w:val="0"/>
              <w:jc w:val="center"/>
              <w:rPr>
                <w:rFonts w:ascii="宋体" w:hAnsi="宋体"/>
                <w:snapToGrid w:val="0"/>
                <w:kern w:val="0"/>
                <w:szCs w:val="21"/>
              </w:rPr>
            </w:pPr>
            <w:r>
              <w:rPr>
                <w:rFonts w:ascii="宋体" w:hAnsi="宋体"/>
                <w:snapToGrid w:val="0"/>
                <w:kern w:val="0"/>
                <w:szCs w:val="21"/>
              </w:rPr>
              <w:t>工期</w:t>
            </w:r>
          </w:p>
        </w:tc>
        <w:tc>
          <w:tcPr>
            <w:tcW w:w="2388" w:type="dxa"/>
            <w:vAlign w:val="center"/>
          </w:tcPr>
          <w:p>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1.1.4.3</w:t>
            </w:r>
          </w:p>
        </w:tc>
        <w:tc>
          <w:tcPr>
            <w:tcW w:w="2987" w:type="dxa"/>
            <w:vAlign w:val="center"/>
          </w:tcPr>
          <w:p>
            <w:pPr>
              <w:tabs>
                <w:tab w:val="left" w:pos="1560"/>
              </w:tabs>
              <w:autoSpaceDE w:val="0"/>
              <w:autoSpaceDN w:val="0"/>
              <w:adjustRightInd w:val="0"/>
              <w:jc w:val="center"/>
              <w:rPr>
                <w:rFonts w:ascii="宋体" w:hAnsi="宋体"/>
                <w:snapToGrid w:val="0"/>
                <w:kern w:val="0"/>
                <w:szCs w:val="21"/>
              </w:rPr>
            </w:pPr>
          </w:p>
        </w:tc>
        <w:tc>
          <w:tcPr>
            <w:tcW w:w="792" w:type="dxa"/>
            <w:vAlign w:val="center"/>
          </w:tcPr>
          <w:p>
            <w:pPr>
              <w:autoSpaceDE w:val="0"/>
              <w:autoSpaceDN w:val="0"/>
              <w:adjustRightInd w:val="0"/>
              <w:jc w:val="center"/>
              <w:rPr>
                <w:rFonts w:ascii="宋体" w:hAnsi="宋体"/>
                <w:snapToGrid w:val="0"/>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720" w:type="dxa"/>
            <w:vAlign w:val="center"/>
          </w:tcPr>
          <w:p>
            <w:pPr>
              <w:autoSpaceDE w:val="0"/>
              <w:autoSpaceDN w:val="0"/>
              <w:adjustRightInd w:val="0"/>
              <w:jc w:val="center"/>
              <w:rPr>
                <w:rFonts w:ascii="宋体" w:hAnsi="宋体"/>
                <w:snapToGrid w:val="0"/>
                <w:kern w:val="0"/>
                <w:szCs w:val="21"/>
              </w:rPr>
            </w:pPr>
            <w:r>
              <w:rPr>
                <w:rFonts w:hint="eastAsia" w:ascii="宋体" w:hAnsi="宋体"/>
                <w:snapToGrid w:val="0"/>
                <w:kern w:val="0"/>
                <w:szCs w:val="21"/>
              </w:rPr>
              <w:t>2</w:t>
            </w:r>
          </w:p>
        </w:tc>
        <w:tc>
          <w:tcPr>
            <w:tcW w:w="2582" w:type="dxa"/>
            <w:vAlign w:val="center"/>
          </w:tcPr>
          <w:p>
            <w:pPr>
              <w:autoSpaceDE w:val="0"/>
              <w:autoSpaceDN w:val="0"/>
              <w:adjustRightInd w:val="0"/>
              <w:jc w:val="center"/>
              <w:rPr>
                <w:rFonts w:ascii="宋体" w:hAnsi="宋体"/>
                <w:snapToGrid w:val="0"/>
                <w:kern w:val="0"/>
                <w:szCs w:val="21"/>
              </w:rPr>
            </w:pPr>
            <w:r>
              <w:rPr>
                <w:rFonts w:ascii="宋体" w:hAnsi="宋体"/>
                <w:snapToGrid w:val="0"/>
                <w:kern w:val="0"/>
                <w:szCs w:val="21"/>
              </w:rPr>
              <w:t>分包</w:t>
            </w:r>
          </w:p>
        </w:tc>
        <w:tc>
          <w:tcPr>
            <w:tcW w:w="2388" w:type="dxa"/>
            <w:vAlign w:val="center"/>
          </w:tcPr>
          <w:p>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3.5</w:t>
            </w:r>
          </w:p>
        </w:tc>
        <w:tc>
          <w:tcPr>
            <w:tcW w:w="2987" w:type="dxa"/>
            <w:vAlign w:val="center"/>
          </w:tcPr>
          <w:p>
            <w:pPr>
              <w:autoSpaceDE w:val="0"/>
              <w:autoSpaceDN w:val="0"/>
              <w:adjustRightInd w:val="0"/>
              <w:jc w:val="center"/>
              <w:rPr>
                <w:rFonts w:ascii="宋体" w:hAnsi="宋体"/>
                <w:snapToGrid w:val="0"/>
                <w:kern w:val="0"/>
                <w:szCs w:val="21"/>
              </w:rPr>
            </w:pPr>
          </w:p>
        </w:tc>
        <w:tc>
          <w:tcPr>
            <w:tcW w:w="792" w:type="dxa"/>
            <w:vAlign w:val="center"/>
          </w:tcPr>
          <w:p>
            <w:pPr>
              <w:autoSpaceDE w:val="0"/>
              <w:autoSpaceDN w:val="0"/>
              <w:adjustRightInd w:val="0"/>
              <w:jc w:val="center"/>
              <w:rPr>
                <w:rFonts w:ascii="宋体" w:hAnsi="宋体"/>
                <w:snapToGrid w:val="0"/>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720" w:type="dxa"/>
            <w:vAlign w:val="center"/>
          </w:tcPr>
          <w:p>
            <w:pPr>
              <w:autoSpaceDE w:val="0"/>
              <w:autoSpaceDN w:val="0"/>
              <w:adjustRightInd w:val="0"/>
              <w:jc w:val="center"/>
              <w:rPr>
                <w:rFonts w:ascii="宋体" w:hAnsi="宋体"/>
                <w:snapToGrid w:val="0"/>
                <w:kern w:val="0"/>
                <w:szCs w:val="21"/>
              </w:rPr>
            </w:pPr>
            <w:r>
              <w:rPr>
                <w:rFonts w:hint="eastAsia" w:ascii="宋体" w:hAnsi="宋体"/>
                <w:snapToGrid w:val="0"/>
                <w:kern w:val="0"/>
                <w:szCs w:val="21"/>
              </w:rPr>
              <w:t>3</w:t>
            </w:r>
          </w:p>
        </w:tc>
        <w:tc>
          <w:tcPr>
            <w:tcW w:w="2582" w:type="dxa"/>
            <w:vAlign w:val="center"/>
          </w:tcPr>
          <w:p>
            <w:pPr>
              <w:autoSpaceDE w:val="0"/>
              <w:autoSpaceDN w:val="0"/>
              <w:adjustRightInd w:val="0"/>
              <w:jc w:val="center"/>
              <w:rPr>
                <w:rFonts w:ascii="宋体" w:hAnsi="宋体"/>
                <w:snapToGrid w:val="0"/>
                <w:kern w:val="0"/>
                <w:szCs w:val="21"/>
              </w:rPr>
            </w:pPr>
            <w:r>
              <w:rPr>
                <w:rFonts w:hint="eastAsia" w:ascii="宋体" w:hAnsi="宋体"/>
                <w:snapToGrid w:val="0"/>
                <w:kern w:val="0"/>
                <w:szCs w:val="21"/>
              </w:rPr>
              <w:t>工程质量</w:t>
            </w:r>
          </w:p>
        </w:tc>
        <w:tc>
          <w:tcPr>
            <w:tcW w:w="2388" w:type="dxa"/>
            <w:vAlign w:val="center"/>
          </w:tcPr>
          <w:p>
            <w:pPr>
              <w:tabs>
                <w:tab w:val="left" w:pos="2051"/>
              </w:tabs>
              <w:autoSpaceDE w:val="0"/>
              <w:autoSpaceDN w:val="0"/>
              <w:adjustRightInd w:val="0"/>
              <w:jc w:val="center"/>
              <w:rPr>
                <w:rFonts w:ascii="宋体" w:hAnsi="宋体"/>
                <w:snapToGrid w:val="0"/>
                <w:kern w:val="0"/>
                <w:szCs w:val="21"/>
              </w:rPr>
            </w:pPr>
            <w:r>
              <w:rPr>
                <w:rFonts w:hint="eastAsia" w:ascii="宋体" w:hAnsi="宋体"/>
                <w:snapToGrid w:val="0"/>
                <w:kern w:val="0"/>
                <w:szCs w:val="21"/>
              </w:rPr>
              <w:t>5.1</w:t>
            </w:r>
          </w:p>
        </w:tc>
        <w:tc>
          <w:tcPr>
            <w:tcW w:w="2987" w:type="dxa"/>
            <w:vAlign w:val="center"/>
          </w:tcPr>
          <w:p>
            <w:pPr>
              <w:autoSpaceDE w:val="0"/>
              <w:autoSpaceDN w:val="0"/>
              <w:adjustRightInd w:val="0"/>
              <w:jc w:val="center"/>
              <w:rPr>
                <w:rFonts w:ascii="宋体" w:hAnsi="宋体"/>
                <w:snapToGrid w:val="0"/>
                <w:kern w:val="0"/>
                <w:szCs w:val="21"/>
              </w:rPr>
            </w:pPr>
          </w:p>
        </w:tc>
        <w:tc>
          <w:tcPr>
            <w:tcW w:w="792" w:type="dxa"/>
            <w:vAlign w:val="center"/>
          </w:tcPr>
          <w:p>
            <w:pPr>
              <w:autoSpaceDE w:val="0"/>
              <w:autoSpaceDN w:val="0"/>
              <w:adjustRightInd w:val="0"/>
              <w:jc w:val="center"/>
              <w:rPr>
                <w:rFonts w:ascii="宋体" w:hAnsi="宋体"/>
                <w:snapToGrid w:val="0"/>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720" w:type="dxa"/>
            <w:vAlign w:val="center"/>
          </w:tcPr>
          <w:p>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2582" w:type="dxa"/>
            <w:vAlign w:val="center"/>
          </w:tcPr>
          <w:p>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2388" w:type="dxa"/>
            <w:vAlign w:val="center"/>
          </w:tcPr>
          <w:p>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2987" w:type="dxa"/>
            <w:vAlign w:val="center"/>
          </w:tcPr>
          <w:p>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792" w:type="dxa"/>
            <w:vAlign w:val="center"/>
          </w:tcPr>
          <w:p>
            <w:pPr>
              <w:autoSpaceDE w:val="0"/>
              <w:autoSpaceDN w:val="0"/>
              <w:adjustRightInd w:val="0"/>
              <w:jc w:val="center"/>
              <w:rPr>
                <w:rFonts w:ascii="宋体" w:hAnsi="宋体"/>
                <w:snapToGrid w:val="0"/>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720" w:type="dxa"/>
            <w:vAlign w:val="center"/>
          </w:tcPr>
          <w:p>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2582" w:type="dxa"/>
            <w:vAlign w:val="center"/>
          </w:tcPr>
          <w:p>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2388" w:type="dxa"/>
            <w:vAlign w:val="center"/>
          </w:tcPr>
          <w:p>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2987" w:type="dxa"/>
            <w:vAlign w:val="center"/>
          </w:tcPr>
          <w:p>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792" w:type="dxa"/>
            <w:vAlign w:val="center"/>
          </w:tcPr>
          <w:p>
            <w:pPr>
              <w:autoSpaceDE w:val="0"/>
              <w:autoSpaceDN w:val="0"/>
              <w:adjustRightInd w:val="0"/>
              <w:jc w:val="center"/>
              <w:rPr>
                <w:rFonts w:ascii="宋体" w:hAnsi="宋体"/>
                <w:snapToGrid w:val="0"/>
                <w:kern w:val="0"/>
                <w:szCs w:val="21"/>
              </w:rPr>
            </w:pPr>
          </w:p>
        </w:tc>
      </w:tr>
    </w:tbl>
    <w:p>
      <w:pPr>
        <w:spacing w:line="360" w:lineRule="auto"/>
        <w:rPr>
          <w:rFonts w:ascii="宋体" w:hAnsi="宋体"/>
          <w:snapToGrid w:val="0"/>
          <w:w w:val="99"/>
        </w:rPr>
      </w:pPr>
    </w:p>
    <w:p>
      <w:pPr>
        <w:spacing w:line="360" w:lineRule="auto"/>
        <w:rPr>
          <w:rFonts w:ascii="宋体" w:hAnsi="宋体"/>
          <w:snapToGrid w:val="0"/>
          <w:kern w:val="0"/>
          <w:sz w:val="32"/>
          <w:szCs w:val="32"/>
        </w:rPr>
      </w:pPr>
    </w:p>
    <w:p>
      <w:pPr>
        <w:spacing w:line="360" w:lineRule="auto"/>
        <w:rPr>
          <w:rFonts w:ascii="宋体" w:hAnsi="宋体"/>
          <w:snapToGrid w:val="0"/>
        </w:rPr>
      </w:pPr>
    </w:p>
    <w:p>
      <w:pPr>
        <w:tabs>
          <w:tab w:val="left" w:pos="7140"/>
          <w:tab w:val="left" w:pos="7560"/>
          <w:tab w:val="left" w:pos="8300"/>
        </w:tabs>
        <w:autoSpaceDE w:val="0"/>
        <w:autoSpaceDN w:val="0"/>
        <w:adjustRightInd w:val="0"/>
        <w:spacing w:line="360" w:lineRule="auto"/>
        <w:ind w:right="210" w:firstLine="2396" w:firstLineChars="1141"/>
        <w:rPr>
          <w:rFonts w:ascii="宋体" w:hAnsi="宋体"/>
          <w:snapToGrid w:val="0"/>
          <w:kern w:val="0"/>
          <w:szCs w:val="21"/>
        </w:rPr>
      </w:pPr>
      <w:r>
        <w:rPr>
          <w:rFonts w:hint="eastAsia" w:ascii="宋体" w:hAnsi="宋体"/>
          <w:snapToGrid w:val="0"/>
          <w:kern w:val="0"/>
          <w:szCs w:val="21"/>
          <w:lang w:eastAsia="zh-CN"/>
        </w:rPr>
        <w:t>竞标</w:t>
      </w:r>
      <w:r>
        <w:rPr>
          <w:rFonts w:ascii="宋体" w:hAnsi="宋体"/>
          <w:snapToGrid w:val="0"/>
          <w:kern w:val="0"/>
          <w:szCs w:val="21"/>
        </w:rPr>
        <w:t>人：</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r>
        <w:rPr>
          <w:rFonts w:ascii="宋体" w:hAnsi="宋体"/>
          <w:snapToGrid w:val="0"/>
          <w:kern w:val="0"/>
          <w:szCs w:val="21"/>
          <w:u w:val="single"/>
        </w:rPr>
        <w:t xml:space="preserve">  </w:t>
      </w:r>
      <w:r>
        <w:rPr>
          <w:rFonts w:ascii="宋体" w:hAnsi="宋体"/>
          <w:snapToGrid w:val="0"/>
          <w:kern w:val="0"/>
          <w:szCs w:val="21"/>
        </w:rPr>
        <w:t xml:space="preserve">（盖单位法人章） </w:t>
      </w:r>
    </w:p>
    <w:p>
      <w:pPr>
        <w:tabs>
          <w:tab w:val="left" w:pos="7140"/>
          <w:tab w:val="left" w:pos="7560"/>
          <w:tab w:val="left" w:pos="8300"/>
        </w:tabs>
        <w:autoSpaceDE w:val="0"/>
        <w:autoSpaceDN w:val="0"/>
        <w:adjustRightInd w:val="0"/>
        <w:spacing w:line="360" w:lineRule="auto"/>
        <w:ind w:right="210" w:firstLine="1984" w:firstLineChars="945"/>
        <w:rPr>
          <w:rFonts w:ascii="宋体" w:hAnsi="宋体"/>
          <w:snapToGrid w:val="0"/>
          <w:kern w:val="0"/>
          <w:szCs w:val="21"/>
        </w:rPr>
      </w:pPr>
      <w:r>
        <w:rPr>
          <w:rFonts w:hint="eastAsia" w:ascii="宋体" w:hAnsi="宋体"/>
          <w:snapToGrid w:val="0"/>
          <w:kern w:val="0"/>
          <w:szCs w:val="21"/>
        </w:rPr>
        <w:t xml:space="preserve">   </w:t>
      </w:r>
    </w:p>
    <w:p>
      <w:pPr>
        <w:tabs>
          <w:tab w:val="left" w:pos="7140"/>
          <w:tab w:val="left" w:pos="7560"/>
          <w:tab w:val="left" w:pos="8300"/>
        </w:tabs>
        <w:autoSpaceDE w:val="0"/>
        <w:autoSpaceDN w:val="0"/>
        <w:adjustRightInd w:val="0"/>
        <w:spacing w:line="360" w:lineRule="auto"/>
        <w:ind w:right="210" w:firstLine="2415" w:firstLineChars="1150"/>
        <w:rPr>
          <w:rFonts w:ascii="宋体" w:hAnsi="宋体"/>
          <w:snapToGrid w:val="0"/>
          <w:kern w:val="0"/>
          <w:szCs w:val="21"/>
        </w:rPr>
      </w:pPr>
      <w:r>
        <w:rPr>
          <w:rFonts w:ascii="宋体" w:hAnsi="宋体"/>
          <w:snapToGrid w:val="0"/>
          <w:kern w:val="0"/>
          <w:szCs w:val="21"/>
        </w:rPr>
        <w:t>法定代表人或其委托代理人：</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r>
        <w:rPr>
          <w:rFonts w:ascii="宋体" w:hAnsi="宋体"/>
          <w:snapToGrid w:val="0"/>
          <w:kern w:val="0"/>
          <w:szCs w:val="21"/>
        </w:rPr>
        <w:t>（</w:t>
      </w:r>
      <w:r>
        <w:rPr>
          <w:rFonts w:hint="eastAsia" w:ascii="宋体" w:hAnsi="宋体"/>
          <w:snapToGrid w:val="0"/>
          <w:kern w:val="0"/>
          <w:szCs w:val="21"/>
        </w:rPr>
        <w:t>签名</w:t>
      </w:r>
      <w:r>
        <w:rPr>
          <w:rFonts w:ascii="宋体" w:hAnsi="宋体"/>
          <w:snapToGrid w:val="0"/>
          <w:kern w:val="0"/>
          <w:szCs w:val="21"/>
        </w:rPr>
        <w:t xml:space="preserve">或盖章） </w:t>
      </w:r>
    </w:p>
    <w:p>
      <w:pPr>
        <w:tabs>
          <w:tab w:val="left" w:pos="7140"/>
          <w:tab w:val="left" w:pos="7560"/>
          <w:tab w:val="left" w:pos="8300"/>
        </w:tabs>
        <w:autoSpaceDE w:val="0"/>
        <w:autoSpaceDN w:val="0"/>
        <w:adjustRightInd w:val="0"/>
        <w:spacing w:line="360" w:lineRule="auto"/>
        <w:ind w:right="210" w:firstLine="1995" w:firstLineChars="950"/>
        <w:rPr>
          <w:rFonts w:ascii="宋体" w:hAnsi="宋体"/>
          <w:snapToGrid w:val="0"/>
          <w:kern w:val="0"/>
          <w:szCs w:val="21"/>
        </w:rPr>
      </w:pPr>
    </w:p>
    <w:p>
      <w:pPr>
        <w:pStyle w:val="5"/>
        <w:spacing w:before="0" w:after="0" w:line="240" w:lineRule="auto"/>
        <w:jc w:val="center"/>
        <w:rPr>
          <w:rFonts w:ascii="宋体" w:hAnsi="宋体"/>
          <w:snapToGrid w:val="0"/>
          <w:kern w:val="0"/>
          <w:szCs w:val="21"/>
        </w:rPr>
      </w:pPr>
      <w:r>
        <w:rPr>
          <w:rFonts w:ascii="宋体" w:hAnsi="宋体"/>
          <w:snapToGrid w:val="0"/>
        </w:rPr>
        <w:br w:type="page"/>
      </w:r>
      <w:bookmarkStart w:id="1710" w:name="_Toc287620816"/>
      <w:bookmarkStart w:id="1711" w:name="_Toc25173"/>
      <w:bookmarkStart w:id="1712" w:name="_Toc224103497"/>
      <w:bookmarkStart w:id="1713" w:name="_Toc22790"/>
      <w:bookmarkStart w:id="1714" w:name="_Toc287607869"/>
      <w:bookmarkStart w:id="1715" w:name="_Toc430530532"/>
      <w:bookmarkStart w:id="1716" w:name="_Toc25901"/>
      <w:bookmarkStart w:id="1717" w:name="_Toc22413"/>
      <w:bookmarkStart w:id="1718" w:name="_Toc23844"/>
      <w:bookmarkStart w:id="1719" w:name="_Toc277082645"/>
      <w:r>
        <w:rPr>
          <w:rFonts w:ascii="宋体" w:hAnsi="宋体"/>
          <w:b w:val="0"/>
          <w:bCs w:val="0"/>
        </w:rPr>
        <w:t>（三）</w:t>
      </w:r>
      <w:r>
        <w:rPr>
          <w:rFonts w:hint="eastAsia" w:ascii="宋体" w:hAnsi="宋体"/>
          <w:b w:val="0"/>
          <w:bCs w:val="0"/>
        </w:rPr>
        <w:t>法定代表人身份证明或附有法定代表人身份证明的授权委托书</w:t>
      </w:r>
      <w:bookmarkEnd w:id="1710"/>
      <w:bookmarkEnd w:id="1711"/>
      <w:bookmarkEnd w:id="1712"/>
      <w:bookmarkEnd w:id="1713"/>
      <w:bookmarkEnd w:id="1714"/>
      <w:bookmarkEnd w:id="1715"/>
      <w:bookmarkEnd w:id="1716"/>
      <w:bookmarkEnd w:id="1717"/>
      <w:bookmarkEnd w:id="1718"/>
      <w:bookmarkEnd w:id="1719"/>
    </w:p>
    <w:p>
      <w:pPr>
        <w:spacing w:line="480" w:lineRule="auto"/>
        <w:jc w:val="center"/>
        <w:rPr>
          <w:rFonts w:ascii="宋体" w:hAnsi="宋体"/>
          <w:sz w:val="28"/>
        </w:rPr>
      </w:pPr>
      <w:r>
        <w:rPr>
          <w:rFonts w:hint="eastAsia" w:ascii="宋体" w:hAnsi="宋体"/>
          <w:sz w:val="28"/>
        </w:rPr>
        <w:t>法定代表人身份证明</w:t>
      </w:r>
    </w:p>
    <w:p>
      <w:pPr>
        <w:spacing w:line="480" w:lineRule="auto"/>
        <w:jc w:val="center"/>
        <w:rPr>
          <w:rFonts w:ascii="宋体" w:hAnsi="宋体"/>
        </w:rPr>
      </w:pPr>
    </w:p>
    <w:p>
      <w:pPr>
        <w:tabs>
          <w:tab w:val="left" w:pos="5565"/>
        </w:tabs>
        <w:autoSpaceDE w:val="0"/>
        <w:autoSpaceDN w:val="0"/>
        <w:adjustRightInd w:val="0"/>
        <w:snapToGrid w:val="0"/>
        <w:spacing w:line="480" w:lineRule="auto"/>
        <w:ind w:firstLine="390" w:firstLineChars="186"/>
        <w:jc w:val="left"/>
        <w:rPr>
          <w:rFonts w:ascii="宋体" w:hAnsi="宋体"/>
          <w:kern w:val="0"/>
          <w:szCs w:val="21"/>
        </w:rPr>
      </w:pPr>
      <w:r>
        <w:rPr>
          <w:rFonts w:hint="eastAsia" w:ascii="宋体" w:hAnsi="宋体"/>
          <w:kern w:val="0"/>
          <w:szCs w:val="21"/>
          <w:lang w:eastAsia="zh-CN"/>
        </w:rPr>
        <w:t>竞标</w:t>
      </w:r>
      <w:r>
        <w:rPr>
          <w:rFonts w:hint="eastAsia" w:ascii="宋体" w:hAnsi="宋体"/>
          <w:kern w:val="0"/>
          <w:szCs w:val="21"/>
        </w:rPr>
        <w:t>人</w:t>
      </w:r>
      <w:r>
        <w:rPr>
          <w:rFonts w:ascii="宋体" w:hAnsi="宋体"/>
          <w:kern w:val="0"/>
          <w:szCs w:val="21"/>
        </w:rPr>
        <w:t>名称：</w:t>
      </w:r>
      <w:r>
        <w:rPr>
          <w:rFonts w:ascii="宋体" w:hAnsi="宋体"/>
          <w:w w:val="200"/>
          <w:kern w:val="0"/>
          <w:szCs w:val="21"/>
          <w:u w:val="single"/>
        </w:rPr>
        <w:t xml:space="preserve"> </w:t>
      </w:r>
      <w:r>
        <w:rPr>
          <w:rFonts w:hint="eastAsia" w:ascii="宋体" w:hAnsi="宋体"/>
          <w:w w:val="200"/>
          <w:kern w:val="0"/>
          <w:szCs w:val="21"/>
          <w:u w:val="single"/>
        </w:rPr>
        <w:t xml:space="preserve">                                 </w:t>
      </w:r>
    </w:p>
    <w:p>
      <w:pPr>
        <w:tabs>
          <w:tab w:val="left" w:pos="5475"/>
        </w:tabs>
        <w:autoSpaceDE w:val="0"/>
        <w:autoSpaceDN w:val="0"/>
        <w:adjustRightInd w:val="0"/>
        <w:snapToGrid w:val="0"/>
        <w:spacing w:line="480" w:lineRule="auto"/>
        <w:ind w:firstLine="390" w:firstLineChars="186"/>
        <w:jc w:val="left"/>
        <w:rPr>
          <w:rFonts w:ascii="宋体" w:hAnsi="宋体"/>
          <w:kern w:val="0"/>
          <w:szCs w:val="21"/>
        </w:rPr>
      </w:pPr>
      <w:r>
        <w:rPr>
          <w:rFonts w:ascii="宋体" w:hAnsi="宋体"/>
          <w:kern w:val="0"/>
          <w:szCs w:val="21"/>
        </w:rPr>
        <w:t>单位性质：</w:t>
      </w:r>
      <w:r>
        <w:rPr>
          <w:rFonts w:ascii="宋体" w:hAnsi="宋体"/>
          <w:w w:val="200"/>
          <w:kern w:val="0"/>
          <w:szCs w:val="21"/>
          <w:u w:val="single"/>
        </w:rPr>
        <w:t xml:space="preserve"> </w:t>
      </w:r>
      <w:r>
        <w:rPr>
          <w:rFonts w:hint="eastAsia" w:ascii="宋体" w:hAnsi="宋体"/>
          <w:w w:val="200"/>
          <w:kern w:val="0"/>
          <w:szCs w:val="21"/>
          <w:u w:val="single"/>
        </w:rPr>
        <w:t xml:space="preserve">                                    </w:t>
      </w:r>
    </w:p>
    <w:p>
      <w:pPr>
        <w:tabs>
          <w:tab w:val="left" w:pos="5475"/>
        </w:tabs>
        <w:autoSpaceDE w:val="0"/>
        <w:autoSpaceDN w:val="0"/>
        <w:adjustRightInd w:val="0"/>
        <w:snapToGrid w:val="0"/>
        <w:spacing w:line="480" w:lineRule="auto"/>
        <w:ind w:firstLine="390" w:firstLineChars="186"/>
        <w:jc w:val="left"/>
        <w:rPr>
          <w:rFonts w:ascii="宋体" w:hAnsi="宋体"/>
          <w:kern w:val="0"/>
          <w:szCs w:val="21"/>
        </w:rPr>
      </w:pPr>
      <w:r>
        <w:rPr>
          <w:rFonts w:ascii="宋体" w:hAnsi="宋体"/>
          <w:kern w:val="0"/>
          <w:szCs w:val="21"/>
        </w:rPr>
        <w:t>地</w:t>
      </w:r>
      <w:r>
        <w:rPr>
          <w:rFonts w:hint="eastAsia" w:ascii="宋体" w:hAnsi="宋体"/>
          <w:kern w:val="0"/>
          <w:szCs w:val="21"/>
        </w:rPr>
        <w:t xml:space="preserve">    </w:t>
      </w:r>
      <w:r>
        <w:rPr>
          <w:rFonts w:ascii="宋体" w:hAnsi="宋体"/>
          <w:kern w:val="0"/>
          <w:szCs w:val="21"/>
        </w:rPr>
        <w:t>址：</w:t>
      </w:r>
      <w:r>
        <w:rPr>
          <w:rFonts w:ascii="宋体" w:hAnsi="宋体"/>
          <w:w w:val="200"/>
          <w:kern w:val="0"/>
          <w:szCs w:val="21"/>
          <w:u w:val="single"/>
        </w:rPr>
        <w:t xml:space="preserve"> </w:t>
      </w:r>
      <w:r>
        <w:rPr>
          <w:rFonts w:hint="eastAsia" w:ascii="宋体" w:hAnsi="宋体"/>
          <w:w w:val="200"/>
          <w:kern w:val="0"/>
          <w:szCs w:val="21"/>
          <w:u w:val="single"/>
        </w:rPr>
        <w:t xml:space="preserve">                                    </w:t>
      </w:r>
    </w:p>
    <w:p>
      <w:pPr>
        <w:tabs>
          <w:tab w:val="left" w:pos="2520"/>
          <w:tab w:val="left" w:pos="3836"/>
        </w:tabs>
        <w:autoSpaceDE w:val="0"/>
        <w:autoSpaceDN w:val="0"/>
        <w:adjustRightInd w:val="0"/>
        <w:snapToGrid w:val="0"/>
        <w:spacing w:line="480" w:lineRule="auto"/>
        <w:ind w:firstLine="390" w:firstLineChars="186"/>
        <w:jc w:val="left"/>
        <w:rPr>
          <w:rFonts w:ascii="宋体" w:hAnsi="宋体"/>
          <w:kern w:val="0"/>
          <w:sz w:val="10"/>
          <w:szCs w:val="10"/>
        </w:rPr>
      </w:pPr>
      <w:r>
        <w:rPr>
          <w:rFonts w:ascii="宋体" w:hAnsi="宋体"/>
          <w:kern w:val="0"/>
          <w:szCs w:val="21"/>
        </w:rPr>
        <w:t>成立时间：</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kern w:val="0"/>
          <w:szCs w:val="21"/>
        </w:rPr>
        <w:t>年</w:t>
      </w:r>
      <w:r>
        <w:rPr>
          <w:rFonts w:ascii="宋体" w:hAnsi="宋体"/>
          <w:w w:val="200"/>
          <w:kern w:val="0"/>
          <w:szCs w:val="21"/>
          <w:u w:val="single"/>
        </w:rPr>
        <w:t xml:space="preserve"> </w:t>
      </w:r>
      <w:r>
        <w:rPr>
          <w:rFonts w:hint="eastAsia" w:ascii="宋体" w:hAnsi="宋体"/>
          <w:kern w:val="0"/>
          <w:szCs w:val="21"/>
          <w:u w:val="single"/>
        </w:rPr>
        <w:t xml:space="preserve">      </w:t>
      </w:r>
      <w:r>
        <w:rPr>
          <w:rFonts w:ascii="宋体" w:hAnsi="宋体"/>
          <w:kern w:val="0"/>
          <w:szCs w:val="21"/>
          <w:u w:val="single"/>
        </w:rPr>
        <w:t xml:space="preserve"> </w:t>
      </w:r>
      <w:r>
        <w:rPr>
          <w:rFonts w:ascii="宋体" w:hAnsi="宋体"/>
          <w:kern w:val="0"/>
          <w:szCs w:val="21"/>
        </w:rPr>
        <w:t>月</w:t>
      </w:r>
      <w:r>
        <w:rPr>
          <w:rFonts w:ascii="宋体" w:hAnsi="宋体"/>
          <w:w w:val="200"/>
          <w:kern w:val="0"/>
          <w:szCs w:val="21"/>
          <w:u w:val="single"/>
        </w:rPr>
        <w:t xml:space="preserve"> </w:t>
      </w:r>
      <w:r>
        <w:rPr>
          <w:rFonts w:ascii="宋体" w:hAnsi="宋体"/>
          <w:kern w:val="0"/>
          <w:szCs w:val="21"/>
          <w:u w:val="single"/>
        </w:rPr>
        <w:t xml:space="preserve">       </w:t>
      </w:r>
      <w:r>
        <w:rPr>
          <w:rFonts w:ascii="宋体" w:hAnsi="宋体"/>
          <w:kern w:val="0"/>
          <w:szCs w:val="21"/>
        </w:rPr>
        <w:t>日</w:t>
      </w:r>
    </w:p>
    <w:p>
      <w:pPr>
        <w:tabs>
          <w:tab w:val="left" w:pos="5475"/>
        </w:tabs>
        <w:autoSpaceDE w:val="0"/>
        <w:autoSpaceDN w:val="0"/>
        <w:adjustRightInd w:val="0"/>
        <w:snapToGrid w:val="0"/>
        <w:spacing w:line="480" w:lineRule="auto"/>
        <w:ind w:firstLine="390" w:firstLineChars="186"/>
        <w:jc w:val="left"/>
        <w:rPr>
          <w:rFonts w:ascii="宋体" w:hAnsi="宋体"/>
          <w:kern w:val="0"/>
          <w:szCs w:val="21"/>
        </w:rPr>
      </w:pPr>
      <w:r>
        <w:rPr>
          <w:rFonts w:ascii="宋体" w:hAnsi="宋体"/>
          <w:kern w:val="0"/>
          <w:szCs w:val="21"/>
        </w:rPr>
        <w:t>经营期限：</w:t>
      </w:r>
      <w:r>
        <w:rPr>
          <w:rFonts w:ascii="宋体" w:hAnsi="宋体"/>
          <w:w w:val="200"/>
          <w:kern w:val="0"/>
          <w:szCs w:val="21"/>
          <w:u w:val="single"/>
        </w:rPr>
        <w:t xml:space="preserve"> </w:t>
      </w:r>
      <w:r>
        <w:rPr>
          <w:rFonts w:hint="eastAsia" w:ascii="宋体" w:hAnsi="宋体"/>
          <w:w w:val="200"/>
          <w:kern w:val="0"/>
          <w:szCs w:val="21"/>
          <w:u w:val="single"/>
        </w:rPr>
        <w:t xml:space="preserve">                                    </w:t>
      </w:r>
    </w:p>
    <w:p>
      <w:pPr>
        <w:tabs>
          <w:tab w:val="left" w:pos="1580"/>
          <w:tab w:val="left" w:pos="3260"/>
          <w:tab w:val="left" w:pos="4840"/>
          <w:tab w:val="left" w:pos="6300"/>
        </w:tabs>
        <w:autoSpaceDE w:val="0"/>
        <w:autoSpaceDN w:val="0"/>
        <w:adjustRightInd w:val="0"/>
        <w:snapToGrid w:val="0"/>
        <w:spacing w:line="480" w:lineRule="auto"/>
        <w:ind w:firstLine="390" w:firstLineChars="186"/>
        <w:jc w:val="left"/>
        <w:rPr>
          <w:rFonts w:ascii="宋体" w:hAnsi="宋体"/>
          <w:kern w:val="0"/>
          <w:szCs w:val="21"/>
        </w:rPr>
      </w:pPr>
      <w:r>
        <w:rPr>
          <w:rFonts w:ascii="宋体" w:hAnsi="宋体"/>
          <w:kern w:val="0"/>
          <w:szCs w:val="21"/>
        </w:rPr>
        <w:t>姓名：</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kern w:val="0"/>
          <w:szCs w:val="21"/>
        </w:rPr>
        <w:t>性别</w:t>
      </w:r>
      <w:r>
        <w:rPr>
          <w:rFonts w:ascii="宋体" w:hAnsi="宋体"/>
          <w:spacing w:val="-1"/>
          <w:kern w:val="0"/>
          <w:szCs w:val="21"/>
        </w:rPr>
        <w:t>：</w:t>
      </w:r>
      <w:r>
        <w:rPr>
          <w:rFonts w:hint="eastAsia" w:ascii="宋体" w:hAnsi="宋体"/>
          <w:kern w:val="0"/>
          <w:szCs w:val="21"/>
          <w:u w:val="single"/>
        </w:rPr>
        <w:t xml:space="preserve">      </w:t>
      </w:r>
      <w:r>
        <w:rPr>
          <w:rFonts w:ascii="宋体" w:hAnsi="宋体"/>
          <w:kern w:val="0"/>
          <w:szCs w:val="21"/>
          <w:u w:val="single"/>
        </w:rPr>
        <w:t xml:space="preserve"> </w:t>
      </w:r>
      <w:r>
        <w:rPr>
          <w:rFonts w:ascii="宋体" w:hAnsi="宋体"/>
          <w:spacing w:val="-1"/>
          <w:kern w:val="0"/>
          <w:szCs w:val="21"/>
        </w:rPr>
        <w:t>年</w:t>
      </w:r>
      <w:r>
        <w:rPr>
          <w:rFonts w:ascii="宋体" w:hAnsi="宋体"/>
          <w:kern w:val="0"/>
          <w:szCs w:val="21"/>
        </w:rPr>
        <w:t>龄：</w:t>
      </w:r>
      <w:r>
        <w:rPr>
          <w:rFonts w:hint="eastAsia" w:ascii="宋体" w:hAnsi="宋体"/>
          <w:kern w:val="0"/>
          <w:szCs w:val="21"/>
          <w:u w:val="single"/>
        </w:rPr>
        <w:t xml:space="preserve">      </w:t>
      </w:r>
      <w:r>
        <w:rPr>
          <w:rFonts w:ascii="宋体" w:hAnsi="宋体"/>
          <w:kern w:val="0"/>
          <w:szCs w:val="21"/>
          <w:u w:val="single"/>
        </w:rPr>
        <w:t xml:space="preserve"> </w:t>
      </w:r>
      <w:r>
        <w:rPr>
          <w:rFonts w:ascii="宋体" w:hAnsi="宋体"/>
          <w:kern w:val="0"/>
          <w:szCs w:val="21"/>
        </w:rPr>
        <w:t>职务：</w:t>
      </w:r>
      <w:r>
        <w:rPr>
          <w:rFonts w:hint="eastAsia" w:ascii="宋体" w:hAnsi="宋体"/>
          <w:kern w:val="0"/>
          <w:szCs w:val="21"/>
          <w:u w:val="single"/>
        </w:rPr>
        <w:t xml:space="preserve">              </w:t>
      </w:r>
      <w:r>
        <w:rPr>
          <w:rFonts w:ascii="宋体" w:hAnsi="宋体"/>
          <w:kern w:val="0"/>
          <w:szCs w:val="21"/>
          <w:u w:val="single"/>
        </w:rPr>
        <w:t xml:space="preserve"> </w:t>
      </w:r>
    </w:p>
    <w:p>
      <w:pPr>
        <w:tabs>
          <w:tab w:val="left" w:pos="3360"/>
        </w:tabs>
        <w:autoSpaceDE w:val="0"/>
        <w:autoSpaceDN w:val="0"/>
        <w:adjustRightInd w:val="0"/>
        <w:snapToGrid w:val="0"/>
        <w:spacing w:line="480" w:lineRule="auto"/>
        <w:ind w:firstLine="390" w:firstLineChars="186"/>
        <w:jc w:val="left"/>
        <w:rPr>
          <w:rFonts w:ascii="宋体" w:hAnsi="宋体"/>
          <w:kern w:val="0"/>
          <w:szCs w:val="21"/>
        </w:rPr>
      </w:pPr>
      <w:r>
        <w:rPr>
          <w:rFonts w:ascii="宋体" w:hAnsi="宋体"/>
          <w:kern w:val="0"/>
          <w:szCs w:val="21"/>
        </w:rPr>
        <w:t>系</w:t>
      </w:r>
      <w:r>
        <w:rPr>
          <w:rFonts w:hint="eastAsia" w:ascii="宋体" w:hAnsi="宋体"/>
          <w:kern w:val="0"/>
          <w:szCs w:val="21"/>
          <w:u w:val="single"/>
        </w:rPr>
        <w:t xml:space="preserve">                                                       </w:t>
      </w:r>
      <w:r>
        <w:rPr>
          <w:rFonts w:ascii="宋体" w:hAnsi="宋体"/>
          <w:kern w:val="0"/>
          <w:szCs w:val="21"/>
          <w:u w:val="single"/>
        </w:rPr>
        <w:t>（</w:t>
      </w:r>
      <w:r>
        <w:rPr>
          <w:rFonts w:hint="eastAsia" w:ascii="宋体" w:hAnsi="宋体"/>
          <w:kern w:val="0"/>
          <w:szCs w:val="21"/>
          <w:u w:val="single"/>
          <w:lang w:eastAsia="zh-CN"/>
        </w:rPr>
        <w:t>竞标</w:t>
      </w:r>
      <w:r>
        <w:rPr>
          <w:rFonts w:hint="eastAsia" w:ascii="宋体" w:hAnsi="宋体"/>
          <w:kern w:val="0"/>
          <w:szCs w:val="21"/>
          <w:u w:val="single"/>
        </w:rPr>
        <w:t>人</w:t>
      </w:r>
      <w:r>
        <w:rPr>
          <w:rFonts w:ascii="宋体" w:hAnsi="宋体"/>
          <w:kern w:val="0"/>
          <w:szCs w:val="21"/>
          <w:u w:val="single"/>
        </w:rPr>
        <w:t>名称）</w:t>
      </w:r>
      <w:r>
        <w:rPr>
          <w:rFonts w:ascii="宋体" w:hAnsi="宋体"/>
          <w:kern w:val="0"/>
          <w:szCs w:val="21"/>
        </w:rPr>
        <w:t>的法定代表人。</w:t>
      </w:r>
    </w:p>
    <w:p>
      <w:pPr>
        <w:tabs>
          <w:tab w:val="left" w:pos="3360"/>
        </w:tabs>
        <w:autoSpaceDE w:val="0"/>
        <w:autoSpaceDN w:val="0"/>
        <w:adjustRightInd w:val="0"/>
        <w:snapToGrid w:val="0"/>
        <w:spacing w:line="480" w:lineRule="auto"/>
        <w:ind w:firstLine="390" w:firstLineChars="186"/>
        <w:jc w:val="left"/>
        <w:rPr>
          <w:rFonts w:ascii="宋体" w:hAnsi="宋体"/>
          <w:kern w:val="0"/>
          <w:szCs w:val="21"/>
        </w:rPr>
      </w:pPr>
      <w:r>
        <w:rPr>
          <w:rFonts w:ascii="宋体" w:hAnsi="宋体"/>
          <w:kern w:val="0"/>
          <w:szCs w:val="21"/>
        </w:rPr>
        <w:t>特此证明。</w:t>
      </w:r>
    </w:p>
    <w:p>
      <w:pPr>
        <w:autoSpaceDE w:val="0"/>
        <w:autoSpaceDN w:val="0"/>
        <w:adjustRightInd w:val="0"/>
        <w:snapToGrid w:val="0"/>
        <w:spacing w:line="480" w:lineRule="auto"/>
        <w:ind w:firstLine="810" w:firstLineChars="386"/>
        <w:jc w:val="left"/>
        <w:rPr>
          <w:rFonts w:ascii="宋体" w:hAnsi="宋体"/>
          <w:kern w:val="0"/>
          <w:szCs w:val="21"/>
        </w:rPr>
      </w:pPr>
      <w:r>
        <w:rPr>
          <w:rFonts w:hint="eastAsia" w:ascii="宋体" w:hAnsi="宋体"/>
          <w:kern w:val="0"/>
          <w:szCs w:val="21"/>
        </w:rPr>
        <w:t>附：法定代表人身份证明</w:t>
      </w:r>
      <w:r>
        <w:rPr>
          <w:rFonts w:hint="eastAsia" w:ascii="宋体" w:hAnsi="宋体"/>
          <w:kern w:val="0"/>
          <w:szCs w:val="21"/>
          <w:lang w:eastAsia="zh-CN"/>
        </w:rPr>
        <w:t>复印件</w:t>
      </w:r>
      <w:r>
        <w:rPr>
          <w:rFonts w:hint="eastAsia" w:ascii="宋体" w:hAnsi="宋体"/>
          <w:kern w:val="0"/>
          <w:szCs w:val="21"/>
        </w:rPr>
        <w:t>（双面）</w:t>
      </w:r>
    </w:p>
    <w:p>
      <w:pPr>
        <w:autoSpaceDE w:val="0"/>
        <w:autoSpaceDN w:val="0"/>
        <w:adjustRightInd w:val="0"/>
        <w:snapToGrid w:val="0"/>
        <w:spacing w:line="360" w:lineRule="auto"/>
        <w:jc w:val="left"/>
        <w:rPr>
          <w:rFonts w:ascii="宋体" w:hAnsi="宋体"/>
          <w:szCs w:val="21"/>
        </w:rPr>
      </w:pPr>
    </w:p>
    <w:p>
      <w:pPr>
        <w:pStyle w:val="2"/>
        <w:spacing w:after="0" w:line="360" w:lineRule="auto"/>
        <w:rPr>
          <w:rFonts w:ascii="宋体" w:hAnsi="宋体"/>
          <w:szCs w:val="21"/>
        </w:rPr>
      </w:pPr>
    </w:p>
    <w:p>
      <w:pPr>
        <w:pStyle w:val="2"/>
        <w:spacing w:after="0" w:line="360" w:lineRule="auto"/>
        <w:rPr>
          <w:rFonts w:ascii="宋体" w:hAnsi="宋体"/>
          <w:szCs w:val="21"/>
        </w:rPr>
      </w:pPr>
    </w:p>
    <w:p>
      <w:pPr>
        <w:pStyle w:val="2"/>
        <w:spacing w:after="0" w:line="360" w:lineRule="auto"/>
        <w:rPr>
          <w:rFonts w:ascii="宋体" w:hAnsi="宋体"/>
          <w:szCs w:val="21"/>
        </w:rPr>
      </w:pPr>
    </w:p>
    <w:p>
      <w:pPr>
        <w:pStyle w:val="2"/>
        <w:spacing w:after="0" w:line="360" w:lineRule="auto"/>
        <w:rPr>
          <w:rFonts w:ascii="宋体" w:hAnsi="宋体"/>
          <w:szCs w:val="21"/>
        </w:rPr>
      </w:pPr>
    </w:p>
    <w:p>
      <w:pPr>
        <w:pStyle w:val="2"/>
        <w:spacing w:after="0" w:line="360" w:lineRule="auto"/>
        <w:rPr>
          <w:rFonts w:ascii="宋体" w:hAnsi="宋体"/>
          <w:szCs w:val="21"/>
        </w:rPr>
      </w:pPr>
    </w:p>
    <w:p>
      <w:pPr>
        <w:tabs>
          <w:tab w:val="left" w:pos="5475"/>
        </w:tabs>
        <w:autoSpaceDE w:val="0"/>
        <w:autoSpaceDN w:val="0"/>
        <w:adjustRightInd w:val="0"/>
        <w:snapToGrid w:val="0"/>
        <w:spacing w:line="480" w:lineRule="auto"/>
        <w:ind w:firstLine="372" w:firstLineChars="186"/>
        <w:jc w:val="left"/>
        <w:rPr>
          <w:rFonts w:ascii="宋体" w:hAnsi="宋体"/>
          <w:kern w:val="0"/>
          <w:sz w:val="20"/>
          <w:szCs w:val="20"/>
        </w:rPr>
      </w:pPr>
    </w:p>
    <w:p>
      <w:pPr>
        <w:tabs>
          <w:tab w:val="left" w:pos="5460"/>
        </w:tabs>
        <w:autoSpaceDE w:val="0"/>
        <w:autoSpaceDN w:val="0"/>
        <w:adjustRightInd w:val="0"/>
        <w:snapToGrid w:val="0"/>
        <w:spacing w:line="480" w:lineRule="auto"/>
        <w:ind w:firstLine="2100"/>
        <w:jc w:val="right"/>
        <w:rPr>
          <w:rFonts w:ascii="宋体" w:hAnsi="宋体"/>
          <w:kern w:val="0"/>
          <w:szCs w:val="21"/>
        </w:rPr>
      </w:pPr>
      <w:r>
        <w:rPr>
          <w:rFonts w:hint="eastAsia" w:ascii="宋体" w:hAnsi="宋体"/>
          <w:kern w:val="0"/>
          <w:szCs w:val="21"/>
          <w:lang w:eastAsia="zh-CN"/>
        </w:rPr>
        <w:t>竞标</w:t>
      </w:r>
      <w:r>
        <w:rPr>
          <w:rFonts w:hint="eastAsia" w:ascii="宋体" w:hAnsi="宋体"/>
          <w:kern w:val="0"/>
          <w:szCs w:val="21"/>
        </w:rPr>
        <w:t>人</w:t>
      </w:r>
      <w:r>
        <w:rPr>
          <w:rFonts w:ascii="宋体" w:hAnsi="宋体"/>
          <w:kern w:val="0"/>
          <w:szCs w:val="21"/>
        </w:rPr>
        <w:t>：</w:t>
      </w:r>
      <w:r>
        <w:rPr>
          <w:rFonts w:ascii="宋体" w:hAnsi="宋体"/>
          <w:w w:val="200"/>
          <w:kern w:val="0"/>
          <w:szCs w:val="21"/>
          <w:u w:val="single"/>
        </w:rPr>
        <w:t xml:space="preserve">              </w:t>
      </w:r>
      <w:r>
        <w:rPr>
          <w:rFonts w:ascii="宋体" w:hAnsi="宋体"/>
          <w:kern w:val="0"/>
          <w:szCs w:val="21"/>
          <w:u w:val="single"/>
        </w:rPr>
        <w:tab/>
      </w:r>
      <w:r>
        <w:rPr>
          <w:rFonts w:ascii="宋体" w:hAnsi="宋体"/>
          <w:spacing w:val="-1"/>
          <w:kern w:val="0"/>
          <w:szCs w:val="21"/>
        </w:rPr>
        <w:t>（</w:t>
      </w:r>
      <w:r>
        <w:rPr>
          <w:rFonts w:ascii="宋体" w:hAnsi="宋体"/>
          <w:kern w:val="0"/>
          <w:szCs w:val="21"/>
        </w:rPr>
        <w:t>盖单位法人章）</w:t>
      </w:r>
    </w:p>
    <w:p>
      <w:pPr>
        <w:autoSpaceDE w:val="0"/>
        <w:autoSpaceDN w:val="0"/>
        <w:adjustRightInd w:val="0"/>
        <w:snapToGrid w:val="0"/>
        <w:spacing w:line="480" w:lineRule="auto"/>
        <w:jc w:val="left"/>
        <w:rPr>
          <w:rFonts w:ascii="宋体" w:hAnsi="宋体"/>
          <w:kern w:val="0"/>
          <w:sz w:val="20"/>
          <w:szCs w:val="20"/>
        </w:rPr>
      </w:pPr>
    </w:p>
    <w:p>
      <w:pPr>
        <w:tabs>
          <w:tab w:val="left" w:pos="4935"/>
          <w:tab w:val="left" w:pos="5460"/>
          <w:tab w:val="left" w:pos="6400"/>
        </w:tabs>
        <w:wordWrap w:val="0"/>
        <w:autoSpaceDE w:val="0"/>
        <w:autoSpaceDN w:val="0"/>
        <w:adjustRightInd w:val="0"/>
        <w:snapToGrid w:val="0"/>
        <w:spacing w:line="480" w:lineRule="auto"/>
        <w:ind w:firstLine="3780"/>
        <w:jc w:val="right"/>
        <w:rPr>
          <w:rFonts w:ascii="宋体" w:hAnsi="宋体"/>
          <w:kern w:val="0"/>
          <w:szCs w:val="21"/>
        </w:rPr>
      </w:pPr>
      <w:r>
        <w:rPr>
          <w:rFonts w:hint="eastAsia" w:ascii="宋体" w:hAnsi="宋体"/>
          <w:w w:val="200"/>
          <w:kern w:val="0"/>
          <w:szCs w:val="21"/>
          <w:u w:val="single"/>
        </w:rPr>
        <w:t xml:space="preserve">      </w:t>
      </w:r>
      <w:r>
        <w:rPr>
          <w:rFonts w:ascii="宋体" w:hAnsi="宋体"/>
          <w:kern w:val="0"/>
          <w:szCs w:val="21"/>
        </w:rPr>
        <w:t>年</w:t>
      </w:r>
      <w:r>
        <w:rPr>
          <w:rFonts w:ascii="宋体" w:hAnsi="宋体"/>
          <w:w w:val="200"/>
          <w:kern w:val="0"/>
          <w:szCs w:val="21"/>
          <w:u w:val="single"/>
        </w:rPr>
        <w:t xml:space="preserve"> </w:t>
      </w:r>
      <w:r>
        <w:rPr>
          <w:rFonts w:hint="eastAsia" w:ascii="宋体" w:hAnsi="宋体"/>
          <w:kern w:val="0"/>
          <w:szCs w:val="21"/>
          <w:u w:val="single"/>
        </w:rPr>
        <w:t xml:space="preserve">    </w:t>
      </w:r>
      <w:r>
        <w:rPr>
          <w:rFonts w:ascii="宋体" w:hAnsi="宋体"/>
          <w:kern w:val="0"/>
          <w:szCs w:val="21"/>
          <w:u w:val="single"/>
        </w:rPr>
        <w:t xml:space="preserve"> </w:t>
      </w:r>
      <w:r>
        <w:rPr>
          <w:rFonts w:ascii="宋体" w:hAnsi="宋体"/>
          <w:kern w:val="0"/>
          <w:szCs w:val="21"/>
        </w:rPr>
        <w:t>月</w:t>
      </w:r>
      <w:r>
        <w:rPr>
          <w:rFonts w:ascii="宋体" w:hAnsi="宋体"/>
          <w:w w:val="200"/>
          <w:kern w:val="0"/>
          <w:szCs w:val="21"/>
          <w:u w:val="single"/>
        </w:rPr>
        <w:t xml:space="preserve"> </w:t>
      </w:r>
      <w:r>
        <w:rPr>
          <w:rFonts w:ascii="宋体" w:hAnsi="宋体"/>
          <w:kern w:val="0"/>
          <w:szCs w:val="21"/>
          <w:u w:val="single"/>
        </w:rPr>
        <w:t xml:space="preserve">     </w:t>
      </w:r>
      <w:r>
        <w:rPr>
          <w:rFonts w:ascii="宋体" w:hAnsi="宋体"/>
          <w:kern w:val="0"/>
          <w:szCs w:val="21"/>
        </w:rPr>
        <w:t>日</w:t>
      </w:r>
      <w:r>
        <w:rPr>
          <w:rFonts w:hint="eastAsia" w:ascii="宋体" w:hAnsi="宋体"/>
          <w:kern w:val="0"/>
          <w:szCs w:val="21"/>
        </w:rPr>
        <w:t xml:space="preserve">  </w:t>
      </w:r>
    </w:p>
    <w:p>
      <w:pPr>
        <w:autoSpaceDE w:val="0"/>
        <w:autoSpaceDN w:val="0"/>
        <w:adjustRightInd w:val="0"/>
        <w:snapToGrid w:val="0"/>
        <w:spacing w:line="360" w:lineRule="auto"/>
        <w:jc w:val="left"/>
        <w:rPr>
          <w:rFonts w:ascii="宋体" w:hAnsi="宋体"/>
          <w:kern w:val="0"/>
        </w:rPr>
      </w:pPr>
    </w:p>
    <w:p>
      <w:pPr>
        <w:autoSpaceDE w:val="0"/>
        <w:autoSpaceDN w:val="0"/>
        <w:adjustRightInd w:val="0"/>
        <w:snapToGrid w:val="0"/>
        <w:spacing w:line="360" w:lineRule="auto"/>
        <w:jc w:val="left"/>
        <w:rPr>
          <w:rFonts w:ascii="宋体" w:hAnsi="宋体"/>
          <w:kern w:val="0"/>
        </w:rPr>
      </w:pPr>
    </w:p>
    <w:p>
      <w:pPr>
        <w:spacing w:line="360" w:lineRule="auto"/>
        <w:ind w:firstLine="420" w:firstLineChars="200"/>
        <w:rPr>
          <w:rFonts w:ascii="宋体" w:hAnsi="宋体"/>
        </w:rPr>
      </w:pPr>
      <w:r>
        <w:rPr>
          <w:rFonts w:ascii="宋体" w:hAnsi="宋体"/>
        </w:rPr>
        <w:t>注：法定代表人身份证明需按上述格式填写完整，不可缺少内容。在此基础上增加内容的不影响其有效性。</w:t>
      </w:r>
    </w:p>
    <w:p>
      <w:pPr>
        <w:spacing w:line="360" w:lineRule="auto"/>
        <w:ind w:firstLine="420" w:firstLineChars="200"/>
        <w:rPr>
          <w:rFonts w:ascii="宋体" w:hAnsi="宋体"/>
        </w:rPr>
      </w:pPr>
    </w:p>
    <w:p>
      <w:pPr>
        <w:tabs>
          <w:tab w:val="left" w:pos="1680"/>
          <w:tab w:val="left" w:pos="4215"/>
          <w:tab w:val="left" w:pos="4305"/>
          <w:tab w:val="left" w:pos="8000"/>
        </w:tabs>
        <w:autoSpaceDE w:val="0"/>
        <w:autoSpaceDN w:val="0"/>
        <w:adjustRightInd w:val="0"/>
        <w:snapToGrid w:val="0"/>
        <w:spacing w:line="360" w:lineRule="auto"/>
        <w:jc w:val="center"/>
        <w:rPr>
          <w:rFonts w:ascii="宋体" w:hAnsi="宋体"/>
          <w:kern w:val="0"/>
          <w:sz w:val="28"/>
          <w:szCs w:val="28"/>
        </w:rPr>
      </w:pPr>
      <w:r>
        <w:rPr>
          <w:rFonts w:ascii="宋体" w:hAnsi="宋体"/>
          <w:kern w:val="0"/>
        </w:rPr>
        <w:br w:type="page"/>
      </w:r>
      <w:r>
        <w:rPr>
          <w:rFonts w:ascii="宋体" w:hAnsi="宋体"/>
          <w:snapToGrid w:val="0"/>
          <w:kern w:val="0"/>
          <w:sz w:val="32"/>
          <w:szCs w:val="32"/>
        </w:rPr>
        <w:t>授权委托书</w:t>
      </w:r>
    </w:p>
    <w:p>
      <w:pPr>
        <w:tabs>
          <w:tab w:val="left" w:pos="1680"/>
          <w:tab w:val="left" w:pos="4215"/>
          <w:tab w:val="left" w:pos="4305"/>
          <w:tab w:val="left" w:pos="8000"/>
        </w:tabs>
        <w:autoSpaceDE w:val="0"/>
        <w:autoSpaceDN w:val="0"/>
        <w:adjustRightInd w:val="0"/>
        <w:snapToGrid w:val="0"/>
        <w:spacing w:line="480" w:lineRule="auto"/>
        <w:ind w:firstLine="420"/>
        <w:jc w:val="left"/>
        <w:rPr>
          <w:rFonts w:ascii="宋体" w:hAnsi="宋体"/>
          <w:kern w:val="0"/>
          <w:szCs w:val="21"/>
        </w:rPr>
      </w:pPr>
      <w:r>
        <w:rPr>
          <w:rFonts w:ascii="宋体" w:hAnsi="宋体"/>
          <w:kern w:val="0"/>
          <w:szCs w:val="21"/>
        </w:rPr>
        <w:t>本人</w:t>
      </w:r>
      <w:r>
        <w:rPr>
          <w:rFonts w:hint="eastAsia" w:ascii="宋体" w:hAnsi="宋体"/>
          <w:w w:val="200"/>
          <w:kern w:val="0"/>
          <w:szCs w:val="21"/>
          <w:u w:val="single"/>
        </w:rPr>
        <w:t xml:space="preserve">    </w:t>
      </w:r>
      <w:r>
        <w:rPr>
          <w:rFonts w:ascii="宋体" w:hAnsi="宋体"/>
          <w:kern w:val="0"/>
          <w:szCs w:val="21"/>
          <w:u w:val="single"/>
        </w:rPr>
        <w:t>（姓名）</w:t>
      </w:r>
      <w:r>
        <w:rPr>
          <w:rFonts w:ascii="宋体" w:hAnsi="宋体"/>
          <w:kern w:val="0"/>
          <w:szCs w:val="21"/>
        </w:rPr>
        <w:t>系</w:t>
      </w:r>
      <w:r>
        <w:rPr>
          <w:rFonts w:hint="eastAsia" w:ascii="宋体" w:hAnsi="宋体"/>
          <w:w w:val="200"/>
          <w:kern w:val="0"/>
          <w:szCs w:val="21"/>
          <w:u w:val="single"/>
        </w:rPr>
        <w:t xml:space="preserve">        </w:t>
      </w:r>
      <w:r>
        <w:rPr>
          <w:rFonts w:ascii="宋体" w:hAnsi="宋体"/>
          <w:kern w:val="0"/>
          <w:szCs w:val="21"/>
          <w:u w:val="single"/>
        </w:rPr>
        <w:t>（</w:t>
      </w:r>
      <w:r>
        <w:rPr>
          <w:rFonts w:hint="eastAsia" w:ascii="宋体" w:hAnsi="宋体"/>
          <w:kern w:val="0"/>
          <w:szCs w:val="21"/>
          <w:u w:val="single"/>
          <w:lang w:eastAsia="zh-CN"/>
        </w:rPr>
        <w:t>竞标</w:t>
      </w:r>
      <w:r>
        <w:rPr>
          <w:rFonts w:hint="eastAsia" w:ascii="宋体" w:hAnsi="宋体"/>
          <w:kern w:val="0"/>
          <w:szCs w:val="21"/>
          <w:u w:val="single"/>
        </w:rPr>
        <w:t>人</w:t>
      </w:r>
      <w:r>
        <w:rPr>
          <w:rFonts w:ascii="宋体" w:hAnsi="宋体"/>
          <w:kern w:val="0"/>
          <w:szCs w:val="21"/>
          <w:u w:val="single"/>
        </w:rPr>
        <w:t>名称</w:t>
      </w:r>
      <w:r>
        <w:rPr>
          <w:rFonts w:ascii="宋体" w:hAnsi="宋体"/>
          <w:spacing w:val="1"/>
          <w:kern w:val="0"/>
          <w:szCs w:val="21"/>
          <w:u w:val="single"/>
        </w:rPr>
        <w:t>）</w:t>
      </w:r>
      <w:r>
        <w:rPr>
          <w:rFonts w:ascii="宋体" w:hAnsi="宋体"/>
          <w:kern w:val="0"/>
          <w:szCs w:val="21"/>
        </w:rPr>
        <w:t>的法定代</w:t>
      </w:r>
      <w:r>
        <w:rPr>
          <w:rFonts w:ascii="宋体" w:hAnsi="宋体"/>
          <w:spacing w:val="1"/>
          <w:kern w:val="0"/>
          <w:szCs w:val="21"/>
        </w:rPr>
        <w:t>表</w:t>
      </w:r>
      <w:r>
        <w:rPr>
          <w:rFonts w:ascii="宋体" w:hAnsi="宋体"/>
          <w:kern w:val="0"/>
          <w:szCs w:val="21"/>
        </w:rPr>
        <w:t>人，现委托</w:t>
      </w:r>
      <w:r>
        <w:rPr>
          <w:rFonts w:hint="eastAsia" w:ascii="宋体" w:hAnsi="宋体"/>
          <w:w w:val="200"/>
          <w:kern w:val="0"/>
          <w:szCs w:val="21"/>
          <w:u w:val="single"/>
        </w:rPr>
        <w:t xml:space="preserve">    </w:t>
      </w:r>
      <w:r>
        <w:rPr>
          <w:rFonts w:ascii="宋体" w:hAnsi="宋体"/>
          <w:kern w:val="0"/>
          <w:szCs w:val="21"/>
          <w:u w:val="single"/>
        </w:rPr>
        <w:t>（姓名）</w:t>
      </w:r>
      <w:r>
        <w:rPr>
          <w:rFonts w:ascii="宋体" w:hAnsi="宋体"/>
          <w:kern w:val="0"/>
          <w:szCs w:val="21"/>
        </w:rPr>
        <w:t>为我方代理人。代理人根据授权，以我方名义签署、澄清、说明、补正、递交、撤回、 修改</w:t>
      </w:r>
      <w:r>
        <w:rPr>
          <w:rFonts w:hint="eastAsia" w:ascii="宋体" w:hAnsi="宋体"/>
          <w:w w:val="200"/>
          <w:kern w:val="0"/>
          <w:szCs w:val="21"/>
          <w:u w:val="single"/>
        </w:rPr>
        <w:t xml:space="preserve">        </w:t>
      </w:r>
      <w:r>
        <w:rPr>
          <w:rFonts w:ascii="宋体" w:hAnsi="宋体"/>
          <w:kern w:val="0"/>
          <w:szCs w:val="21"/>
          <w:u w:val="single"/>
        </w:rPr>
        <w:t>（项</w:t>
      </w:r>
      <w:r>
        <w:rPr>
          <w:rFonts w:ascii="宋体" w:hAnsi="宋体"/>
          <w:spacing w:val="-1"/>
          <w:kern w:val="0"/>
          <w:szCs w:val="21"/>
          <w:u w:val="single"/>
        </w:rPr>
        <w:t>目</w:t>
      </w:r>
      <w:r>
        <w:rPr>
          <w:rFonts w:ascii="宋体" w:hAnsi="宋体"/>
          <w:kern w:val="0"/>
          <w:szCs w:val="21"/>
          <w:u w:val="single"/>
        </w:rPr>
        <w:t>名称）</w:t>
      </w:r>
      <w:r>
        <w:rPr>
          <w:rFonts w:hint="eastAsia" w:ascii="宋体" w:hAnsi="宋体"/>
          <w:kern w:val="0"/>
          <w:szCs w:val="21"/>
          <w:lang w:eastAsia="zh-CN"/>
        </w:rPr>
        <w:t>竞标</w:t>
      </w:r>
      <w:r>
        <w:rPr>
          <w:rFonts w:ascii="宋体" w:hAnsi="宋体"/>
          <w:kern w:val="0"/>
          <w:szCs w:val="21"/>
        </w:rPr>
        <w:t>文件、签订合同和处理有关事宜， 其法律后果由我方承担。</w:t>
      </w:r>
    </w:p>
    <w:p>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rPr>
      </w:pPr>
      <w:r>
        <w:rPr>
          <w:rFonts w:ascii="宋体" w:hAnsi="宋体"/>
          <w:kern w:val="0"/>
          <w:szCs w:val="21"/>
        </w:rPr>
        <w:t>委托</w:t>
      </w:r>
      <w:r>
        <w:rPr>
          <w:rFonts w:ascii="宋体" w:hAnsi="宋体"/>
          <w:spacing w:val="-1"/>
          <w:kern w:val="0"/>
          <w:szCs w:val="21"/>
        </w:rPr>
        <w:t>期</w:t>
      </w:r>
      <w:r>
        <w:rPr>
          <w:rFonts w:ascii="宋体" w:hAnsi="宋体"/>
          <w:kern w:val="0"/>
          <w:szCs w:val="21"/>
        </w:rPr>
        <w:t>限：</w:t>
      </w:r>
      <w:r>
        <w:rPr>
          <w:rFonts w:hint="eastAsia" w:ascii="宋体" w:hAnsi="宋体"/>
          <w:w w:val="200"/>
          <w:kern w:val="0"/>
          <w:szCs w:val="21"/>
          <w:u w:val="single"/>
        </w:rPr>
        <w:t xml:space="preserve">        </w:t>
      </w:r>
      <w:r>
        <w:rPr>
          <w:rFonts w:ascii="宋体" w:hAnsi="宋体"/>
          <w:kern w:val="0"/>
          <w:szCs w:val="21"/>
        </w:rPr>
        <w:t xml:space="preserve">。 </w:t>
      </w:r>
    </w:p>
    <w:p>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rPr>
      </w:pPr>
      <w:r>
        <w:rPr>
          <w:rFonts w:ascii="宋体" w:hAnsi="宋体"/>
          <w:kern w:val="0"/>
          <w:szCs w:val="21"/>
        </w:rPr>
        <w:t>代理人无转委托权。</w:t>
      </w:r>
    </w:p>
    <w:p>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rPr>
      </w:pPr>
    </w:p>
    <w:p>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rPr>
      </w:pPr>
      <w:r>
        <w:rPr>
          <w:rFonts w:hint="eastAsia" w:ascii="宋体" w:hAnsi="宋体"/>
          <w:kern w:val="0"/>
          <w:szCs w:val="21"/>
          <w:lang w:eastAsia="zh-CN"/>
        </w:rPr>
        <w:t>竞标</w:t>
      </w:r>
      <w:r>
        <w:rPr>
          <w:rFonts w:ascii="宋体" w:hAnsi="宋体"/>
          <w:kern w:val="0"/>
          <w:szCs w:val="21"/>
        </w:rPr>
        <w:t>人：</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ascii="宋体" w:hAnsi="宋体"/>
          <w:kern w:val="0"/>
          <w:szCs w:val="21"/>
        </w:rPr>
        <w:t>（</w:t>
      </w:r>
      <w:r>
        <w:rPr>
          <w:rFonts w:ascii="宋体" w:hAnsi="宋体"/>
          <w:spacing w:val="-1"/>
          <w:kern w:val="0"/>
          <w:szCs w:val="21"/>
        </w:rPr>
        <w:t>盖单位法人章</w:t>
      </w:r>
      <w:r>
        <w:rPr>
          <w:rFonts w:ascii="宋体" w:hAnsi="宋体"/>
          <w:kern w:val="0"/>
          <w:szCs w:val="21"/>
        </w:rPr>
        <w:t>）</w:t>
      </w:r>
    </w:p>
    <w:p>
      <w:pPr>
        <w:tabs>
          <w:tab w:val="left" w:pos="6300"/>
        </w:tabs>
        <w:autoSpaceDE w:val="0"/>
        <w:autoSpaceDN w:val="0"/>
        <w:adjustRightInd w:val="0"/>
        <w:snapToGrid w:val="0"/>
        <w:spacing w:line="480" w:lineRule="auto"/>
        <w:ind w:firstLine="420" w:firstLineChars="200"/>
        <w:jc w:val="left"/>
        <w:rPr>
          <w:rFonts w:ascii="宋体" w:hAnsi="宋体"/>
          <w:kern w:val="0"/>
          <w:szCs w:val="21"/>
        </w:rPr>
      </w:pPr>
      <w:r>
        <w:rPr>
          <w:rFonts w:ascii="宋体" w:hAnsi="宋体"/>
          <w:kern w:val="0"/>
          <w:szCs w:val="21"/>
        </w:rPr>
        <w:t>法定代表人：</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kern w:val="0"/>
          <w:szCs w:val="21"/>
        </w:rPr>
        <w:t>（</w:t>
      </w:r>
      <w:r>
        <w:rPr>
          <w:rFonts w:hint="eastAsia" w:ascii="宋体" w:hAnsi="宋体"/>
          <w:kern w:val="0"/>
          <w:szCs w:val="21"/>
        </w:rPr>
        <w:t>签名</w:t>
      </w:r>
      <w:r>
        <w:rPr>
          <w:rFonts w:ascii="宋体" w:hAnsi="宋体"/>
          <w:kern w:val="0"/>
          <w:szCs w:val="21"/>
        </w:rPr>
        <w:t>或盖章）</w:t>
      </w:r>
    </w:p>
    <w:p>
      <w:pPr>
        <w:tabs>
          <w:tab w:val="left" w:pos="5260"/>
        </w:tabs>
        <w:autoSpaceDE w:val="0"/>
        <w:autoSpaceDN w:val="0"/>
        <w:adjustRightInd w:val="0"/>
        <w:snapToGrid w:val="0"/>
        <w:spacing w:line="480" w:lineRule="auto"/>
        <w:ind w:firstLine="420" w:firstLineChars="200"/>
        <w:jc w:val="left"/>
        <w:rPr>
          <w:rFonts w:ascii="宋体" w:hAnsi="宋体"/>
          <w:kern w:val="0"/>
          <w:szCs w:val="21"/>
          <w:u w:val="single"/>
        </w:rPr>
      </w:pPr>
      <w:r>
        <w:rPr>
          <w:rFonts w:ascii="宋体" w:hAnsi="宋体"/>
          <w:kern w:val="0"/>
          <w:szCs w:val="21"/>
        </w:rPr>
        <w:t>身份证号码：</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p>
    <w:p>
      <w:pPr>
        <w:tabs>
          <w:tab w:val="left" w:pos="5260"/>
        </w:tabs>
        <w:autoSpaceDE w:val="0"/>
        <w:autoSpaceDN w:val="0"/>
        <w:adjustRightInd w:val="0"/>
        <w:snapToGrid w:val="0"/>
        <w:spacing w:line="480" w:lineRule="auto"/>
        <w:ind w:firstLine="420" w:firstLineChars="200"/>
        <w:jc w:val="left"/>
        <w:rPr>
          <w:rFonts w:ascii="宋体" w:hAnsi="宋体"/>
          <w:kern w:val="0"/>
          <w:szCs w:val="21"/>
        </w:rPr>
      </w:pPr>
      <w:r>
        <w:rPr>
          <w:rFonts w:ascii="宋体" w:hAnsi="宋体"/>
          <w:kern w:val="0"/>
          <w:szCs w:val="21"/>
        </w:rPr>
        <w:t>委托代理人：</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ascii="宋体" w:hAnsi="宋体"/>
          <w:kern w:val="0"/>
          <w:szCs w:val="21"/>
        </w:rPr>
        <w:t>（</w:t>
      </w:r>
      <w:r>
        <w:rPr>
          <w:rFonts w:hint="eastAsia" w:ascii="宋体" w:hAnsi="宋体"/>
          <w:kern w:val="0"/>
          <w:szCs w:val="21"/>
        </w:rPr>
        <w:t>签名</w:t>
      </w:r>
      <w:r>
        <w:rPr>
          <w:rFonts w:ascii="宋体" w:hAnsi="宋体"/>
          <w:kern w:val="0"/>
          <w:szCs w:val="21"/>
        </w:rPr>
        <w:t>）</w:t>
      </w:r>
    </w:p>
    <w:p>
      <w:pPr>
        <w:tabs>
          <w:tab w:val="left" w:pos="6825"/>
        </w:tabs>
        <w:autoSpaceDE w:val="0"/>
        <w:autoSpaceDN w:val="0"/>
        <w:adjustRightInd w:val="0"/>
        <w:snapToGrid w:val="0"/>
        <w:spacing w:line="480" w:lineRule="auto"/>
        <w:ind w:firstLine="420" w:firstLineChars="200"/>
        <w:jc w:val="left"/>
        <w:rPr>
          <w:rFonts w:ascii="宋体" w:hAnsi="宋体"/>
          <w:w w:val="200"/>
          <w:kern w:val="0"/>
          <w:szCs w:val="21"/>
          <w:u w:val="single"/>
        </w:rPr>
      </w:pPr>
      <w:r>
        <w:rPr>
          <w:rFonts w:ascii="宋体" w:hAnsi="宋体"/>
          <w:kern w:val="0"/>
          <w:szCs w:val="21"/>
        </w:rPr>
        <w:t>身份证号码：</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p>
    <w:p>
      <w:pPr>
        <w:tabs>
          <w:tab w:val="left" w:pos="6825"/>
        </w:tabs>
        <w:autoSpaceDE w:val="0"/>
        <w:autoSpaceDN w:val="0"/>
        <w:adjustRightInd w:val="0"/>
        <w:snapToGrid w:val="0"/>
        <w:spacing w:line="480" w:lineRule="auto"/>
        <w:ind w:firstLine="420" w:firstLineChars="200"/>
        <w:jc w:val="left"/>
        <w:rPr>
          <w:rFonts w:ascii="宋体" w:hAnsi="宋体"/>
          <w:kern w:val="0"/>
          <w:szCs w:val="21"/>
          <w:u w:val="single"/>
        </w:rPr>
      </w:pPr>
      <w:r>
        <w:rPr>
          <w:rFonts w:hint="eastAsia" w:ascii="宋体" w:hAnsi="宋体"/>
          <w:kern w:val="0"/>
          <w:szCs w:val="21"/>
        </w:rPr>
        <w:t>单位电话（座机）：</w:t>
      </w:r>
      <w:r>
        <w:rPr>
          <w:rFonts w:hint="eastAsia" w:ascii="宋体" w:hAnsi="宋体"/>
          <w:kern w:val="0"/>
          <w:szCs w:val="21"/>
          <w:u w:val="single"/>
        </w:rPr>
        <w:t xml:space="preserve">                              </w:t>
      </w:r>
    </w:p>
    <w:p>
      <w:pPr>
        <w:tabs>
          <w:tab w:val="left" w:pos="5260"/>
        </w:tabs>
        <w:autoSpaceDE w:val="0"/>
        <w:autoSpaceDN w:val="0"/>
        <w:adjustRightInd w:val="0"/>
        <w:snapToGrid w:val="0"/>
        <w:spacing w:line="480" w:lineRule="auto"/>
        <w:ind w:firstLine="420" w:firstLineChars="200"/>
        <w:jc w:val="left"/>
        <w:rPr>
          <w:rFonts w:ascii="宋体" w:hAnsi="宋体"/>
          <w:kern w:val="0"/>
          <w:szCs w:val="21"/>
        </w:rPr>
      </w:pPr>
      <w:r>
        <w:rPr>
          <w:rFonts w:hint="eastAsia" w:ascii="宋体" w:hAnsi="宋体"/>
          <w:kern w:val="0"/>
          <w:szCs w:val="21"/>
        </w:rPr>
        <w:t xml:space="preserve">委托代理人电话（手机）： </w:t>
      </w:r>
      <w:r>
        <w:rPr>
          <w:rFonts w:hint="eastAsia" w:ascii="宋体" w:hAnsi="宋体"/>
          <w:kern w:val="0"/>
          <w:szCs w:val="21"/>
          <w:u w:val="single"/>
        </w:rPr>
        <w:t xml:space="preserve">                                         </w:t>
      </w:r>
    </w:p>
    <w:p>
      <w:pPr>
        <w:autoSpaceDE w:val="0"/>
        <w:autoSpaceDN w:val="0"/>
        <w:adjustRightInd w:val="0"/>
        <w:snapToGrid w:val="0"/>
        <w:spacing w:line="480" w:lineRule="auto"/>
        <w:ind w:firstLine="810" w:firstLineChars="386"/>
        <w:jc w:val="left"/>
        <w:rPr>
          <w:rFonts w:ascii="宋体" w:hAnsi="宋体"/>
          <w:kern w:val="0"/>
          <w:szCs w:val="21"/>
        </w:rPr>
      </w:pPr>
      <w:r>
        <w:rPr>
          <w:rFonts w:hint="eastAsia" w:ascii="宋体" w:hAnsi="宋体"/>
          <w:kern w:val="0"/>
          <w:szCs w:val="21"/>
        </w:rPr>
        <w:t>附：法定代表人和委托代理人身份证明</w:t>
      </w:r>
      <w:r>
        <w:rPr>
          <w:rFonts w:hint="eastAsia" w:ascii="宋体" w:hAnsi="宋体"/>
          <w:kern w:val="0"/>
          <w:szCs w:val="21"/>
          <w:lang w:eastAsia="zh-CN"/>
        </w:rPr>
        <w:t>复印件</w:t>
      </w:r>
      <w:r>
        <w:rPr>
          <w:rFonts w:hint="eastAsia" w:ascii="宋体" w:hAnsi="宋体"/>
          <w:kern w:val="0"/>
          <w:szCs w:val="21"/>
        </w:rPr>
        <w:t>（双面）</w:t>
      </w:r>
    </w:p>
    <w:p>
      <w:pPr>
        <w:tabs>
          <w:tab w:val="left" w:pos="4005"/>
          <w:tab w:val="left" w:pos="4100"/>
          <w:tab w:val="left" w:pos="5040"/>
        </w:tabs>
        <w:wordWrap w:val="0"/>
        <w:autoSpaceDE w:val="0"/>
        <w:autoSpaceDN w:val="0"/>
        <w:adjustRightInd w:val="0"/>
        <w:snapToGrid w:val="0"/>
        <w:spacing w:line="360" w:lineRule="auto"/>
        <w:ind w:firstLine="3780"/>
        <w:jc w:val="right"/>
        <w:rPr>
          <w:rFonts w:ascii="宋体" w:hAnsi="宋体"/>
          <w:w w:val="200"/>
          <w:kern w:val="0"/>
          <w:szCs w:val="21"/>
          <w:u w:val="single"/>
        </w:rPr>
      </w:pPr>
    </w:p>
    <w:p>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u w:val="single"/>
        </w:rPr>
      </w:pPr>
    </w:p>
    <w:p>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u w:val="single"/>
        </w:rPr>
      </w:pPr>
    </w:p>
    <w:p>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u w:val="single"/>
        </w:rPr>
      </w:pPr>
    </w:p>
    <w:p>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u w:val="single"/>
        </w:rPr>
      </w:pPr>
    </w:p>
    <w:p>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u w:val="single"/>
        </w:rPr>
      </w:pPr>
    </w:p>
    <w:p>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u w:val="single"/>
        </w:rPr>
      </w:pPr>
    </w:p>
    <w:p>
      <w:pPr>
        <w:tabs>
          <w:tab w:val="left" w:pos="6825"/>
        </w:tabs>
        <w:autoSpaceDE w:val="0"/>
        <w:autoSpaceDN w:val="0"/>
        <w:adjustRightInd w:val="0"/>
        <w:snapToGrid w:val="0"/>
        <w:spacing w:line="480" w:lineRule="auto"/>
        <w:ind w:firstLine="420" w:firstLineChars="200"/>
        <w:jc w:val="left"/>
        <w:rPr>
          <w:rFonts w:ascii="宋体" w:hAnsi="宋体"/>
          <w:kern w:val="0"/>
          <w:szCs w:val="21"/>
        </w:rPr>
      </w:pPr>
    </w:p>
    <w:p>
      <w:pPr>
        <w:tabs>
          <w:tab w:val="left" w:pos="4005"/>
          <w:tab w:val="left" w:pos="4100"/>
          <w:tab w:val="left" w:pos="5040"/>
        </w:tabs>
        <w:wordWrap w:val="0"/>
        <w:autoSpaceDE w:val="0"/>
        <w:autoSpaceDN w:val="0"/>
        <w:adjustRightInd w:val="0"/>
        <w:snapToGrid w:val="0"/>
        <w:spacing w:line="360" w:lineRule="auto"/>
        <w:ind w:firstLine="3780"/>
        <w:jc w:val="right"/>
        <w:rPr>
          <w:rFonts w:ascii="宋体" w:hAnsi="宋体"/>
          <w:kern w:val="0"/>
          <w:szCs w:val="21"/>
        </w:rPr>
      </w:pPr>
      <w:r>
        <w:rPr>
          <w:rFonts w:hint="eastAsia" w:ascii="宋体" w:hAnsi="宋体"/>
          <w:w w:val="200"/>
          <w:kern w:val="0"/>
          <w:szCs w:val="21"/>
          <w:u w:val="single"/>
        </w:rPr>
        <w:t xml:space="preserve">  </w:t>
      </w:r>
      <w:r>
        <w:rPr>
          <w:rFonts w:ascii="宋体" w:hAnsi="宋体"/>
          <w:kern w:val="0"/>
          <w:szCs w:val="21"/>
        </w:rPr>
        <w:t>年</w:t>
      </w:r>
      <w:r>
        <w:rPr>
          <w:rFonts w:hint="eastAsia" w:ascii="宋体" w:hAnsi="宋体"/>
          <w:w w:val="200"/>
          <w:kern w:val="0"/>
          <w:szCs w:val="21"/>
          <w:u w:val="single"/>
        </w:rPr>
        <w:t xml:space="preserve">  </w:t>
      </w:r>
      <w:r>
        <w:rPr>
          <w:rFonts w:ascii="宋体" w:hAnsi="宋体"/>
          <w:kern w:val="0"/>
          <w:szCs w:val="21"/>
        </w:rPr>
        <w:t>月</w:t>
      </w:r>
      <w:r>
        <w:rPr>
          <w:rFonts w:hint="eastAsia" w:ascii="宋体" w:hAnsi="宋体"/>
          <w:w w:val="200"/>
          <w:kern w:val="0"/>
          <w:szCs w:val="21"/>
          <w:u w:val="single"/>
        </w:rPr>
        <w:t xml:space="preserve">  </w:t>
      </w:r>
      <w:r>
        <w:rPr>
          <w:rFonts w:ascii="宋体" w:hAnsi="宋体"/>
          <w:kern w:val="0"/>
          <w:szCs w:val="21"/>
        </w:rPr>
        <w:t>日</w:t>
      </w:r>
      <w:r>
        <w:rPr>
          <w:rFonts w:hint="eastAsia" w:ascii="宋体" w:hAnsi="宋体"/>
          <w:kern w:val="0"/>
          <w:szCs w:val="21"/>
        </w:rPr>
        <w:t xml:space="preserve"> </w:t>
      </w:r>
    </w:p>
    <w:p>
      <w:pPr>
        <w:tabs>
          <w:tab w:val="left" w:pos="4005"/>
          <w:tab w:val="left" w:pos="4100"/>
          <w:tab w:val="left" w:pos="5040"/>
        </w:tabs>
        <w:autoSpaceDE w:val="0"/>
        <w:autoSpaceDN w:val="0"/>
        <w:adjustRightInd w:val="0"/>
        <w:snapToGrid w:val="0"/>
        <w:spacing w:line="360" w:lineRule="auto"/>
        <w:ind w:firstLine="3780"/>
        <w:jc w:val="right"/>
        <w:rPr>
          <w:rFonts w:ascii="宋体" w:hAnsi="宋体"/>
          <w:kern w:val="0"/>
          <w:szCs w:val="21"/>
        </w:rPr>
      </w:pPr>
    </w:p>
    <w:p>
      <w:pPr>
        <w:tabs>
          <w:tab w:val="left" w:pos="5760"/>
        </w:tabs>
        <w:autoSpaceDE w:val="0"/>
        <w:autoSpaceDN w:val="0"/>
        <w:adjustRightInd w:val="0"/>
        <w:spacing w:line="360" w:lineRule="auto"/>
        <w:ind w:firstLine="420" w:firstLineChars="200"/>
        <w:rPr>
          <w:rFonts w:ascii="宋体" w:hAnsi="宋体"/>
          <w:kern w:val="0"/>
        </w:rPr>
      </w:pPr>
    </w:p>
    <w:p>
      <w:pPr>
        <w:tabs>
          <w:tab w:val="left" w:pos="1680"/>
          <w:tab w:val="left" w:pos="4215"/>
          <w:tab w:val="left" w:pos="4305"/>
          <w:tab w:val="left" w:pos="8000"/>
        </w:tabs>
        <w:autoSpaceDE w:val="0"/>
        <w:autoSpaceDN w:val="0"/>
        <w:adjustRightInd w:val="0"/>
        <w:snapToGrid w:val="0"/>
        <w:spacing w:line="360" w:lineRule="auto"/>
        <w:ind w:firstLine="420" w:firstLineChars="200"/>
        <w:rPr>
          <w:rFonts w:ascii="宋体" w:hAnsi="宋体"/>
          <w:kern w:val="0"/>
          <w:szCs w:val="21"/>
        </w:rPr>
      </w:pPr>
      <w:r>
        <w:rPr>
          <w:rFonts w:ascii="宋体" w:hAnsi="宋体"/>
          <w:kern w:val="0"/>
          <w:szCs w:val="21"/>
        </w:rPr>
        <w:t>注：1、法定代表人参加</w:t>
      </w:r>
      <w:r>
        <w:rPr>
          <w:rFonts w:hint="eastAsia" w:ascii="宋体" w:hAnsi="宋体"/>
          <w:kern w:val="0"/>
          <w:szCs w:val="21"/>
          <w:lang w:eastAsia="zh-CN"/>
        </w:rPr>
        <w:t>竞标</w:t>
      </w:r>
      <w:r>
        <w:rPr>
          <w:rFonts w:ascii="宋体" w:hAnsi="宋体"/>
          <w:kern w:val="0"/>
          <w:szCs w:val="21"/>
        </w:rPr>
        <w:t>活动并签署文件的不需要授权委托书，只需提供法定代表人身份证明；非法定代表人参加</w:t>
      </w:r>
      <w:r>
        <w:rPr>
          <w:rFonts w:hint="eastAsia" w:ascii="宋体" w:hAnsi="宋体"/>
          <w:kern w:val="0"/>
          <w:szCs w:val="21"/>
          <w:lang w:eastAsia="zh-CN"/>
        </w:rPr>
        <w:t>竞标</w:t>
      </w:r>
      <w:r>
        <w:rPr>
          <w:rFonts w:ascii="宋体" w:hAnsi="宋体"/>
          <w:kern w:val="0"/>
          <w:szCs w:val="21"/>
        </w:rPr>
        <w:t>活动及签署文件的除提供法定代表人身份证明外还须提供授权委托书。</w:t>
      </w:r>
    </w:p>
    <w:p>
      <w:pPr>
        <w:tabs>
          <w:tab w:val="left" w:pos="1680"/>
          <w:tab w:val="left" w:pos="4215"/>
          <w:tab w:val="left" w:pos="4305"/>
          <w:tab w:val="left" w:pos="8000"/>
        </w:tabs>
        <w:autoSpaceDE w:val="0"/>
        <w:autoSpaceDN w:val="0"/>
        <w:adjustRightInd w:val="0"/>
        <w:snapToGrid w:val="0"/>
        <w:spacing w:line="360" w:lineRule="auto"/>
        <w:ind w:firstLine="420" w:firstLineChars="200"/>
        <w:rPr>
          <w:rFonts w:ascii="宋体" w:hAnsi="宋体"/>
        </w:rPr>
      </w:pPr>
      <w:r>
        <w:rPr>
          <w:rFonts w:hint="eastAsia" w:ascii="宋体" w:hAnsi="宋体"/>
          <w:kern w:val="0"/>
          <w:szCs w:val="21"/>
        </w:rPr>
        <w:t>2.</w:t>
      </w:r>
      <w:r>
        <w:rPr>
          <w:rFonts w:hint="eastAsia" w:ascii="宋体" w:hAnsi="宋体"/>
        </w:rPr>
        <w:t>授权委托书</w:t>
      </w:r>
      <w:r>
        <w:rPr>
          <w:rFonts w:ascii="宋体" w:hAnsi="宋体"/>
        </w:rPr>
        <w:t>需按上述格式填写完整，不可缺少内容。在此基础上增加内容的不影响其有效性。</w:t>
      </w:r>
    </w:p>
    <w:p>
      <w:pPr>
        <w:pStyle w:val="2"/>
        <w:rPr>
          <w:rFonts w:ascii="宋体" w:hAnsi="宋体"/>
          <w:snapToGrid w:val="0"/>
          <w:kern w:val="0"/>
          <w:sz w:val="32"/>
          <w:szCs w:val="32"/>
        </w:rPr>
      </w:pPr>
      <w:r>
        <w:rPr>
          <w:rFonts w:ascii="宋体" w:hAnsi="宋体"/>
        </w:rPr>
        <w:br w:type="page"/>
      </w:r>
      <w:bookmarkStart w:id="1720" w:name="_Toc224103499"/>
      <w:bookmarkStart w:id="1721" w:name="_Toc287607871"/>
      <w:bookmarkStart w:id="1722" w:name="_Toc277082647"/>
      <w:bookmarkStart w:id="1723" w:name="_Toc430530533"/>
      <w:bookmarkStart w:id="1724" w:name="_Toc287620818"/>
    </w:p>
    <w:bookmarkEnd w:id="1720"/>
    <w:bookmarkEnd w:id="1721"/>
    <w:bookmarkEnd w:id="1722"/>
    <w:bookmarkEnd w:id="1723"/>
    <w:bookmarkEnd w:id="1724"/>
    <w:p>
      <w:pPr>
        <w:pStyle w:val="4"/>
        <w:spacing w:line="360" w:lineRule="auto"/>
        <w:jc w:val="center"/>
        <w:rPr>
          <w:rFonts w:ascii="宋体" w:hAnsi="宋体"/>
          <w:b w:val="0"/>
          <w:bCs w:val="0"/>
          <w:sz w:val="44"/>
          <w:szCs w:val="44"/>
        </w:rPr>
      </w:pPr>
      <w:bookmarkStart w:id="1725" w:name="_Toc18267"/>
      <w:bookmarkStart w:id="1726" w:name="_Toc7116"/>
      <w:bookmarkStart w:id="1727" w:name="_Toc11044"/>
      <w:bookmarkStart w:id="1728" w:name="_Toc430530534"/>
      <w:bookmarkStart w:id="1729" w:name="_Toc25907"/>
      <w:bookmarkStart w:id="1730" w:name="_Toc287607872"/>
      <w:bookmarkStart w:id="1731" w:name="_Toc287620819"/>
      <w:bookmarkStart w:id="1732" w:name="_Toc224103500"/>
      <w:bookmarkStart w:id="1733" w:name="_Toc2959"/>
      <w:r>
        <w:rPr>
          <w:rFonts w:hint="eastAsia" w:ascii="宋体" w:hAnsi="宋体"/>
          <w:b w:val="0"/>
          <w:bCs w:val="0"/>
          <w:sz w:val="44"/>
          <w:szCs w:val="44"/>
        </w:rPr>
        <w:t>二、经济部分</w:t>
      </w:r>
      <w:bookmarkEnd w:id="1725"/>
      <w:bookmarkEnd w:id="1726"/>
      <w:bookmarkEnd w:id="1727"/>
      <w:bookmarkEnd w:id="1728"/>
      <w:bookmarkEnd w:id="1729"/>
      <w:bookmarkEnd w:id="1730"/>
      <w:bookmarkEnd w:id="1731"/>
      <w:bookmarkEnd w:id="1732"/>
      <w:bookmarkEnd w:id="1733"/>
    </w:p>
    <w:p>
      <w:pPr>
        <w:spacing w:line="360" w:lineRule="auto"/>
        <w:jc w:val="center"/>
        <w:rPr>
          <w:rFonts w:ascii="宋体" w:hAnsi="宋体"/>
          <w:kern w:val="0"/>
          <w:sz w:val="32"/>
          <w:szCs w:val="32"/>
        </w:rPr>
      </w:pPr>
      <w:r>
        <w:rPr>
          <w:rFonts w:ascii="宋体" w:hAnsi="宋体"/>
          <w:kern w:val="0"/>
          <w:sz w:val="28"/>
          <w:szCs w:val="28"/>
        </w:rPr>
        <w:br w:type="page"/>
      </w:r>
      <w:r>
        <w:rPr>
          <w:rFonts w:hint="eastAsia" w:ascii="宋体" w:hAnsi="宋体"/>
          <w:kern w:val="0"/>
          <w:sz w:val="32"/>
          <w:szCs w:val="32"/>
          <w:u w:val="single"/>
        </w:rPr>
        <w:t xml:space="preserve">                   （项目名称）</w:t>
      </w:r>
    </w:p>
    <w:p>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pPr>
        <w:tabs>
          <w:tab w:val="left" w:pos="3600"/>
          <w:tab w:val="left" w:pos="4480"/>
          <w:tab w:val="left" w:pos="5360"/>
        </w:tabs>
        <w:autoSpaceDE w:val="0"/>
        <w:autoSpaceDN w:val="0"/>
        <w:adjustRightInd w:val="0"/>
        <w:snapToGrid w:val="0"/>
        <w:spacing w:line="360" w:lineRule="auto"/>
        <w:jc w:val="center"/>
        <w:rPr>
          <w:rFonts w:ascii="宋体" w:hAnsi="宋体"/>
          <w:kern w:val="0"/>
          <w:sz w:val="72"/>
          <w:szCs w:val="72"/>
        </w:rPr>
      </w:pPr>
      <w:r>
        <w:rPr>
          <w:rFonts w:hint="eastAsia" w:ascii="宋体" w:hAnsi="宋体"/>
          <w:kern w:val="0"/>
          <w:sz w:val="72"/>
          <w:szCs w:val="72"/>
        </w:rPr>
        <w:t>比 选 申 请文 件</w:t>
      </w:r>
    </w:p>
    <w:p>
      <w:pPr>
        <w:autoSpaceDE w:val="0"/>
        <w:autoSpaceDN w:val="0"/>
        <w:adjustRightInd w:val="0"/>
        <w:snapToGrid w:val="0"/>
        <w:spacing w:line="360" w:lineRule="auto"/>
        <w:jc w:val="left"/>
        <w:rPr>
          <w:rFonts w:ascii="宋体" w:hAnsi="宋体"/>
          <w:kern w:val="0"/>
          <w:sz w:val="16"/>
          <w:szCs w:val="16"/>
        </w:rPr>
      </w:pPr>
    </w:p>
    <w:p>
      <w:pPr>
        <w:autoSpaceDE w:val="0"/>
        <w:autoSpaceDN w:val="0"/>
        <w:adjustRightInd w:val="0"/>
        <w:snapToGrid w:val="0"/>
        <w:spacing w:line="360" w:lineRule="auto"/>
        <w:jc w:val="center"/>
        <w:rPr>
          <w:rFonts w:ascii="宋体" w:hAnsi="宋体"/>
          <w:kern w:val="0"/>
          <w:sz w:val="36"/>
          <w:szCs w:val="36"/>
        </w:rPr>
      </w:pPr>
      <w:r>
        <w:rPr>
          <w:rFonts w:hint="eastAsia" w:ascii="宋体" w:hAnsi="宋体"/>
          <w:kern w:val="0"/>
          <w:sz w:val="36"/>
          <w:szCs w:val="36"/>
        </w:rPr>
        <w:t>经济部分</w:t>
      </w:r>
    </w:p>
    <w:p>
      <w:pPr>
        <w:autoSpaceDE w:val="0"/>
        <w:autoSpaceDN w:val="0"/>
        <w:adjustRightInd w:val="0"/>
        <w:snapToGrid w:val="0"/>
        <w:spacing w:line="360" w:lineRule="auto"/>
        <w:jc w:val="left"/>
        <w:rPr>
          <w:rFonts w:ascii="宋体" w:hAnsi="宋体"/>
          <w:b/>
          <w:kern w:val="0"/>
          <w:sz w:val="20"/>
          <w:szCs w:val="20"/>
        </w:rPr>
      </w:pPr>
    </w:p>
    <w:p>
      <w:pPr>
        <w:autoSpaceDE w:val="0"/>
        <w:autoSpaceDN w:val="0"/>
        <w:adjustRightInd w:val="0"/>
        <w:snapToGrid w:val="0"/>
        <w:spacing w:line="360" w:lineRule="auto"/>
        <w:jc w:val="left"/>
        <w:rPr>
          <w:rFonts w:ascii="宋体" w:hAnsi="宋体"/>
          <w:b/>
          <w:kern w:val="0"/>
          <w:sz w:val="20"/>
          <w:szCs w:val="20"/>
        </w:rPr>
      </w:pPr>
    </w:p>
    <w:p>
      <w:pPr>
        <w:autoSpaceDE w:val="0"/>
        <w:autoSpaceDN w:val="0"/>
        <w:adjustRightInd w:val="0"/>
        <w:snapToGrid w:val="0"/>
        <w:spacing w:line="360" w:lineRule="auto"/>
        <w:jc w:val="left"/>
        <w:rPr>
          <w:rFonts w:ascii="宋体" w:hAnsi="宋体"/>
          <w:b/>
          <w:kern w:val="0"/>
          <w:sz w:val="20"/>
          <w:szCs w:val="20"/>
        </w:rPr>
      </w:pPr>
    </w:p>
    <w:p>
      <w:pPr>
        <w:autoSpaceDE w:val="0"/>
        <w:autoSpaceDN w:val="0"/>
        <w:adjustRightInd w:val="0"/>
        <w:snapToGrid w:val="0"/>
        <w:spacing w:line="360" w:lineRule="auto"/>
        <w:jc w:val="left"/>
        <w:rPr>
          <w:rFonts w:ascii="宋体" w:hAnsi="宋体"/>
          <w:b/>
          <w:kern w:val="0"/>
          <w:sz w:val="20"/>
          <w:szCs w:val="20"/>
        </w:rPr>
      </w:pPr>
    </w:p>
    <w:p>
      <w:pPr>
        <w:autoSpaceDE w:val="0"/>
        <w:autoSpaceDN w:val="0"/>
        <w:adjustRightInd w:val="0"/>
        <w:snapToGrid w:val="0"/>
        <w:spacing w:line="360" w:lineRule="auto"/>
        <w:jc w:val="left"/>
        <w:rPr>
          <w:rFonts w:ascii="宋体" w:hAnsi="宋体"/>
          <w:b/>
          <w:kern w:val="0"/>
          <w:sz w:val="20"/>
          <w:szCs w:val="20"/>
        </w:rPr>
      </w:pPr>
    </w:p>
    <w:p>
      <w:pPr>
        <w:autoSpaceDE w:val="0"/>
        <w:autoSpaceDN w:val="0"/>
        <w:adjustRightInd w:val="0"/>
        <w:snapToGrid w:val="0"/>
        <w:spacing w:line="360" w:lineRule="auto"/>
        <w:jc w:val="left"/>
        <w:rPr>
          <w:rFonts w:ascii="宋体" w:hAnsi="宋体"/>
          <w:b/>
          <w:kern w:val="0"/>
          <w:sz w:val="20"/>
          <w:szCs w:val="20"/>
        </w:rPr>
      </w:pPr>
    </w:p>
    <w:p>
      <w:pPr>
        <w:autoSpaceDE w:val="0"/>
        <w:autoSpaceDN w:val="0"/>
        <w:adjustRightInd w:val="0"/>
        <w:snapToGrid w:val="0"/>
        <w:spacing w:line="360" w:lineRule="auto"/>
        <w:jc w:val="left"/>
        <w:rPr>
          <w:rFonts w:ascii="宋体" w:hAnsi="宋体"/>
          <w:b/>
          <w:kern w:val="0"/>
          <w:sz w:val="20"/>
          <w:szCs w:val="20"/>
        </w:rPr>
      </w:pPr>
    </w:p>
    <w:p>
      <w:pPr>
        <w:autoSpaceDE w:val="0"/>
        <w:autoSpaceDN w:val="0"/>
        <w:adjustRightInd w:val="0"/>
        <w:snapToGrid w:val="0"/>
        <w:spacing w:line="360" w:lineRule="auto"/>
        <w:jc w:val="left"/>
        <w:rPr>
          <w:rFonts w:ascii="宋体" w:hAnsi="宋体"/>
          <w:b/>
          <w:kern w:val="0"/>
          <w:sz w:val="20"/>
          <w:szCs w:val="20"/>
        </w:rPr>
      </w:pPr>
    </w:p>
    <w:p>
      <w:pPr>
        <w:autoSpaceDE w:val="0"/>
        <w:autoSpaceDN w:val="0"/>
        <w:adjustRightInd w:val="0"/>
        <w:snapToGrid w:val="0"/>
        <w:spacing w:line="360" w:lineRule="auto"/>
        <w:jc w:val="left"/>
        <w:rPr>
          <w:rFonts w:ascii="宋体" w:hAnsi="宋体"/>
          <w:b/>
          <w:kern w:val="0"/>
          <w:sz w:val="20"/>
          <w:szCs w:val="20"/>
        </w:rPr>
      </w:pPr>
    </w:p>
    <w:p>
      <w:pPr>
        <w:autoSpaceDE w:val="0"/>
        <w:autoSpaceDN w:val="0"/>
        <w:adjustRightInd w:val="0"/>
        <w:snapToGrid w:val="0"/>
        <w:spacing w:line="360" w:lineRule="auto"/>
        <w:jc w:val="left"/>
        <w:rPr>
          <w:rFonts w:ascii="宋体" w:hAnsi="宋体"/>
          <w:b/>
          <w:kern w:val="0"/>
          <w:sz w:val="20"/>
          <w:szCs w:val="20"/>
        </w:rPr>
      </w:pPr>
    </w:p>
    <w:p>
      <w:pPr>
        <w:autoSpaceDE w:val="0"/>
        <w:autoSpaceDN w:val="0"/>
        <w:adjustRightInd w:val="0"/>
        <w:snapToGrid w:val="0"/>
        <w:spacing w:line="360" w:lineRule="auto"/>
        <w:jc w:val="left"/>
        <w:rPr>
          <w:rFonts w:ascii="宋体" w:hAnsi="宋体"/>
          <w:b/>
          <w:kern w:val="0"/>
          <w:sz w:val="20"/>
          <w:szCs w:val="20"/>
        </w:rPr>
      </w:pPr>
    </w:p>
    <w:p>
      <w:pPr>
        <w:autoSpaceDE w:val="0"/>
        <w:autoSpaceDN w:val="0"/>
        <w:adjustRightInd w:val="0"/>
        <w:snapToGrid w:val="0"/>
        <w:spacing w:line="360" w:lineRule="auto"/>
        <w:jc w:val="left"/>
        <w:rPr>
          <w:rFonts w:ascii="宋体" w:hAnsi="宋体"/>
          <w:b/>
          <w:kern w:val="0"/>
          <w:sz w:val="20"/>
          <w:szCs w:val="20"/>
        </w:rPr>
      </w:pPr>
    </w:p>
    <w:p>
      <w:pPr>
        <w:autoSpaceDE w:val="0"/>
        <w:autoSpaceDN w:val="0"/>
        <w:adjustRightInd w:val="0"/>
        <w:snapToGrid w:val="0"/>
        <w:spacing w:line="360" w:lineRule="auto"/>
        <w:jc w:val="left"/>
        <w:rPr>
          <w:rFonts w:ascii="宋体" w:hAnsi="宋体"/>
          <w:b/>
          <w:kern w:val="0"/>
          <w:sz w:val="20"/>
          <w:szCs w:val="20"/>
        </w:rPr>
      </w:pPr>
    </w:p>
    <w:p>
      <w:pPr>
        <w:tabs>
          <w:tab w:val="left" w:pos="6080"/>
          <w:tab w:val="left" w:pos="6640"/>
        </w:tabs>
        <w:autoSpaceDE w:val="0"/>
        <w:autoSpaceDN w:val="0"/>
        <w:adjustRightInd w:val="0"/>
        <w:snapToGrid w:val="0"/>
        <w:spacing w:after="156" w:afterLines="50" w:line="360" w:lineRule="auto"/>
        <w:jc w:val="center"/>
        <w:rPr>
          <w:rFonts w:ascii="宋体" w:hAnsi="宋体"/>
          <w:w w:val="99"/>
          <w:kern w:val="0"/>
          <w:sz w:val="28"/>
          <w:szCs w:val="28"/>
        </w:rPr>
      </w:pPr>
      <w:r>
        <w:rPr>
          <w:rFonts w:hint="eastAsia" w:ascii="宋体" w:hAnsi="宋体"/>
          <w:w w:val="99"/>
          <w:kern w:val="0"/>
          <w:sz w:val="28"/>
          <w:szCs w:val="28"/>
          <w:lang w:val="en-US" w:eastAsia="zh-CN"/>
        </w:rPr>
        <w:t xml:space="preserve">  </w:t>
      </w:r>
      <w:r>
        <w:rPr>
          <w:rFonts w:hint="eastAsia" w:ascii="宋体" w:hAnsi="宋体"/>
          <w:w w:val="99"/>
          <w:kern w:val="0"/>
          <w:sz w:val="28"/>
          <w:szCs w:val="28"/>
          <w:lang w:eastAsia="zh-CN"/>
        </w:rPr>
        <w:t>竞标</w:t>
      </w:r>
      <w:r>
        <w:rPr>
          <w:rFonts w:ascii="宋体" w:hAnsi="宋体"/>
          <w:w w:val="99"/>
          <w:kern w:val="0"/>
          <w:sz w:val="28"/>
          <w:szCs w:val="28"/>
        </w:rPr>
        <w:t>人</w:t>
      </w:r>
      <w:r>
        <w:rPr>
          <w:rFonts w:ascii="宋体" w:hAnsi="宋体"/>
          <w:spacing w:val="1"/>
          <w:w w:val="99"/>
          <w:kern w:val="0"/>
          <w:sz w:val="28"/>
          <w:szCs w:val="28"/>
        </w:rPr>
        <w:t>：</w:t>
      </w:r>
      <w:r>
        <w:rPr>
          <w:rFonts w:ascii="宋体" w:hAnsi="宋体"/>
          <w:w w:val="198"/>
          <w:kern w:val="0"/>
          <w:sz w:val="28"/>
          <w:szCs w:val="28"/>
          <w:u w:val="single"/>
        </w:rPr>
        <w:t xml:space="preserve"> 　　　　 　</w:t>
      </w:r>
      <w:r>
        <w:rPr>
          <w:rFonts w:hint="eastAsia" w:ascii="宋体" w:hAnsi="宋体"/>
          <w:w w:val="198"/>
          <w:kern w:val="0"/>
          <w:sz w:val="28"/>
          <w:szCs w:val="28"/>
          <w:u w:val="single"/>
          <w:lang w:val="en-US" w:eastAsia="zh-CN"/>
        </w:rPr>
        <w:t xml:space="preserve"> </w:t>
      </w:r>
      <w:r>
        <w:rPr>
          <w:rFonts w:ascii="宋体" w:hAnsi="宋体"/>
          <w:w w:val="198"/>
          <w:kern w:val="0"/>
          <w:sz w:val="28"/>
          <w:szCs w:val="28"/>
          <w:u w:val="single"/>
        </w:rPr>
        <w:t>　</w:t>
      </w:r>
      <w:r>
        <w:rPr>
          <w:rFonts w:ascii="宋体" w:hAnsi="宋体"/>
          <w:w w:val="99"/>
          <w:kern w:val="0"/>
          <w:sz w:val="28"/>
          <w:szCs w:val="28"/>
        </w:rPr>
        <w:t>（盖单位法人章）</w:t>
      </w:r>
    </w:p>
    <w:p>
      <w:pPr>
        <w:tabs>
          <w:tab w:val="left" w:pos="6080"/>
          <w:tab w:val="left" w:pos="6640"/>
        </w:tabs>
        <w:autoSpaceDE w:val="0"/>
        <w:autoSpaceDN w:val="0"/>
        <w:adjustRightInd w:val="0"/>
        <w:snapToGrid w:val="0"/>
        <w:spacing w:after="156" w:afterLines="50" w:line="360" w:lineRule="auto"/>
        <w:jc w:val="center"/>
        <w:rPr>
          <w:rFonts w:ascii="宋体" w:hAnsi="宋体"/>
          <w:b/>
          <w:kern w:val="0"/>
          <w:sz w:val="28"/>
          <w:szCs w:val="28"/>
        </w:rPr>
      </w:pPr>
      <w:r>
        <w:rPr>
          <w:rFonts w:ascii="宋体" w:hAnsi="宋体"/>
          <w:w w:val="99"/>
          <w:kern w:val="0"/>
          <w:sz w:val="28"/>
          <w:szCs w:val="28"/>
        </w:rPr>
        <w:t>法定代表人或其委托代理人：</w:t>
      </w:r>
      <w:r>
        <w:rPr>
          <w:rFonts w:ascii="宋体" w:hAnsi="宋体"/>
          <w:w w:val="198"/>
          <w:kern w:val="0"/>
          <w:sz w:val="28"/>
          <w:szCs w:val="28"/>
          <w:u w:val="single"/>
        </w:rPr>
        <w:t xml:space="preserve">  　　</w:t>
      </w:r>
      <w:r>
        <w:rPr>
          <w:rFonts w:ascii="宋体" w:hAnsi="宋体"/>
          <w:w w:val="99"/>
          <w:kern w:val="0"/>
          <w:sz w:val="28"/>
          <w:szCs w:val="28"/>
        </w:rPr>
        <w:t>（</w:t>
      </w:r>
      <w:r>
        <w:rPr>
          <w:rFonts w:hint="eastAsia" w:ascii="宋体" w:hAnsi="宋体"/>
          <w:w w:val="99"/>
          <w:kern w:val="0"/>
          <w:sz w:val="28"/>
          <w:szCs w:val="28"/>
        </w:rPr>
        <w:t>签名</w:t>
      </w:r>
      <w:r>
        <w:rPr>
          <w:rFonts w:ascii="宋体" w:hAnsi="宋体"/>
          <w:w w:val="99"/>
          <w:kern w:val="0"/>
          <w:sz w:val="28"/>
          <w:szCs w:val="28"/>
        </w:rPr>
        <w:t>或盖章）</w:t>
      </w:r>
    </w:p>
    <w:p>
      <w:pPr>
        <w:tabs>
          <w:tab w:val="left" w:pos="3280"/>
          <w:tab w:val="left" w:pos="4680"/>
          <w:tab w:val="left" w:pos="6080"/>
        </w:tabs>
        <w:autoSpaceDE w:val="0"/>
        <w:autoSpaceDN w:val="0"/>
        <w:adjustRightInd w:val="0"/>
        <w:snapToGrid w:val="0"/>
        <w:spacing w:after="156" w:afterLines="50" w:line="360" w:lineRule="auto"/>
        <w:jc w:val="center"/>
        <w:rPr>
          <w:rFonts w:ascii="宋体" w:hAnsi="宋体"/>
          <w:kern w:val="0"/>
          <w:sz w:val="28"/>
          <w:szCs w:val="28"/>
        </w:rPr>
      </w:pPr>
      <w:r>
        <w:rPr>
          <w:rFonts w:ascii="宋体" w:hAnsi="宋体"/>
          <w:w w:val="198"/>
          <w:kern w:val="0"/>
          <w:sz w:val="28"/>
          <w:szCs w:val="28"/>
          <w:u w:val="single"/>
        </w:rPr>
        <w:t xml:space="preserve"> </w:t>
      </w:r>
      <w:r>
        <w:rPr>
          <w:rFonts w:hint="eastAsia" w:ascii="宋体" w:hAnsi="宋体"/>
          <w:w w:val="198"/>
          <w:kern w:val="0"/>
          <w:sz w:val="28"/>
          <w:szCs w:val="28"/>
          <w:u w:val="single"/>
        </w:rPr>
        <w:t xml:space="preserve">  </w:t>
      </w:r>
      <w:r>
        <w:rPr>
          <w:rFonts w:ascii="宋体" w:hAnsi="宋体"/>
          <w:w w:val="198"/>
          <w:kern w:val="0"/>
          <w:sz w:val="28"/>
          <w:szCs w:val="28"/>
          <w:u w:val="single"/>
        </w:rPr>
        <w:t xml:space="preserve"> </w:t>
      </w:r>
      <w:r>
        <w:rPr>
          <w:rFonts w:ascii="宋体" w:hAnsi="宋体"/>
          <w:w w:val="99"/>
          <w:kern w:val="0"/>
          <w:sz w:val="28"/>
          <w:szCs w:val="28"/>
        </w:rPr>
        <w:t>年</w:t>
      </w:r>
      <w:r>
        <w:rPr>
          <w:rFonts w:ascii="宋体" w:hAnsi="宋体"/>
          <w:w w:val="198"/>
          <w:kern w:val="0"/>
          <w:sz w:val="28"/>
          <w:szCs w:val="28"/>
          <w:u w:val="single"/>
        </w:rPr>
        <w:t xml:space="preserve"> </w:t>
      </w:r>
      <w:r>
        <w:rPr>
          <w:rFonts w:hint="eastAsia" w:ascii="宋体" w:hAnsi="宋体"/>
          <w:w w:val="198"/>
          <w:kern w:val="0"/>
          <w:sz w:val="28"/>
          <w:szCs w:val="28"/>
          <w:u w:val="single"/>
        </w:rPr>
        <w:t xml:space="preserve">  </w:t>
      </w:r>
      <w:r>
        <w:rPr>
          <w:rFonts w:ascii="宋体" w:hAnsi="宋体"/>
          <w:w w:val="198"/>
          <w:kern w:val="0"/>
          <w:sz w:val="28"/>
          <w:szCs w:val="28"/>
          <w:u w:val="single"/>
        </w:rPr>
        <w:t xml:space="preserve"> </w:t>
      </w:r>
      <w:r>
        <w:rPr>
          <w:rFonts w:ascii="宋体" w:hAnsi="宋体"/>
          <w:w w:val="99"/>
          <w:kern w:val="0"/>
          <w:sz w:val="28"/>
          <w:szCs w:val="28"/>
        </w:rPr>
        <w:t>月</w:t>
      </w:r>
      <w:r>
        <w:rPr>
          <w:rFonts w:ascii="宋体" w:hAnsi="宋体"/>
          <w:w w:val="198"/>
          <w:kern w:val="0"/>
          <w:sz w:val="28"/>
          <w:szCs w:val="28"/>
          <w:u w:val="single"/>
        </w:rPr>
        <w:t xml:space="preserve"> </w:t>
      </w:r>
      <w:r>
        <w:rPr>
          <w:rFonts w:hint="eastAsia" w:ascii="宋体" w:hAnsi="宋体"/>
          <w:w w:val="198"/>
          <w:kern w:val="0"/>
          <w:sz w:val="28"/>
          <w:szCs w:val="28"/>
          <w:u w:val="single"/>
        </w:rPr>
        <w:t xml:space="preserve">  </w:t>
      </w:r>
      <w:r>
        <w:rPr>
          <w:rFonts w:ascii="宋体" w:hAnsi="宋体"/>
          <w:w w:val="198"/>
          <w:kern w:val="0"/>
          <w:sz w:val="28"/>
          <w:szCs w:val="28"/>
          <w:u w:val="single"/>
        </w:rPr>
        <w:t xml:space="preserve"> </w:t>
      </w:r>
      <w:r>
        <w:rPr>
          <w:rFonts w:ascii="宋体" w:hAnsi="宋体"/>
          <w:w w:val="99"/>
          <w:kern w:val="0"/>
          <w:sz w:val="28"/>
          <w:szCs w:val="28"/>
        </w:rPr>
        <w:t>日</w:t>
      </w:r>
    </w:p>
    <w:p>
      <w:pPr>
        <w:autoSpaceDE w:val="0"/>
        <w:autoSpaceDN w:val="0"/>
        <w:adjustRightInd w:val="0"/>
        <w:snapToGrid w:val="0"/>
        <w:spacing w:line="360" w:lineRule="auto"/>
        <w:jc w:val="left"/>
        <w:rPr>
          <w:rFonts w:ascii="宋体" w:hAnsi="宋体"/>
          <w:kern w:val="0"/>
          <w:sz w:val="24"/>
          <w:szCs w:val="21"/>
        </w:rPr>
      </w:pPr>
      <w:r>
        <w:rPr>
          <w:rFonts w:ascii="宋体" w:hAnsi="宋体"/>
          <w:kern w:val="0"/>
          <w:sz w:val="24"/>
          <w:szCs w:val="21"/>
        </w:rPr>
        <w:br w:type="page"/>
      </w:r>
    </w:p>
    <w:p>
      <w:pPr>
        <w:autoSpaceDE w:val="0"/>
        <w:autoSpaceDN w:val="0"/>
        <w:adjustRightInd w:val="0"/>
        <w:snapToGrid w:val="0"/>
        <w:spacing w:line="360" w:lineRule="auto"/>
        <w:jc w:val="center"/>
        <w:rPr>
          <w:rFonts w:ascii="宋体" w:hAnsi="宋体"/>
          <w:kern w:val="0"/>
          <w:szCs w:val="21"/>
        </w:rPr>
      </w:pPr>
      <w:r>
        <w:rPr>
          <w:rFonts w:hint="eastAsia" w:ascii="宋体" w:hAnsi="宋体"/>
          <w:kern w:val="0"/>
          <w:sz w:val="36"/>
          <w:szCs w:val="36"/>
        </w:rPr>
        <w:t>目  录</w:t>
      </w:r>
    </w:p>
    <w:p>
      <w:pPr>
        <w:autoSpaceDE w:val="0"/>
        <w:autoSpaceDN w:val="0"/>
        <w:adjustRightInd w:val="0"/>
        <w:snapToGrid w:val="0"/>
        <w:spacing w:line="360" w:lineRule="auto"/>
        <w:jc w:val="left"/>
        <w:rPr>
          <w:rFonts w:ascii="宋体" w:hAnsi="宋体"/>
          <w:kern w:val="0"/>
          <w:szCs w:val="21"/>
        </w:rPr>
      </w:pPr>
    </w:p>
    <w:p>
      <w:pPr>
        <w:autoSpaceDE w:val="0"/>
        <w:autoSpaceDN w:val="0"/>
        <w:adjustRightInd w:val="0"/>
        <w:snapToGrid w:val="0"/>
        <w:spacing w:line="360" w:lineRule="auto"/>
        <w:jc w:val="center"/>
        <w:rPr>
          <w:rFonts w:ascii="宋体" w:hAnsi="宋体"/>
          <w:i/>
          <w:iCs/>
          <w:kern w:val="0"/>
          <w:szCs w:val="21"/>
        </w:rPr>
      </w:pPr>
      <w:r>
        <w:rPr>
          <w:rFonts w:ascii="宋体" w:hAnsi="宋体"/>
          <w:i/>
          <w:iCs/>
          <w:kern w:val="0"/>
          <w:szCs w:val="21"/>
        </w:rPr>
        <w:t>[</w:t>
      </w:r>
      <w:r>
        <w:rPr>
          <w:rFonts w:hint="eastAsia" w:ascii="宋体" w:hAnsi="宋体"/>
          <w:i/>
          <w:iCs/>
          <w:kern w:val="0"/>
          <w:szCs w:val="21"/>
        </w:rPr>
        <w:t>提示：</w:t>
      </w:r>
      <w:r>
        <w:rPr>
          <w:rFonts w:ascii="宋体" w:hAnsi="宋体"/>
          <w:i/>
          <w:iCs/>
          <w:kern w:val="0"/>
          <w:szCs w:val="21"/>
        </w:rPr>
        <w:t>目录由</w:t>
      </w:r>
      <w:r>
        <w:rPr>
          <w:rFonts w:hint="eastAsia" w:ascii="宋体" w:hAnsi="宋体"/>
          <w:i/>
          <w:iCs/>
          <w:kern w:val="0"/>
          <w:szCs w:val="21"/>
          <w:lang w:eastAsia="zh-CN"/>
        </w:rPr>
        <w:t>竞标</w:t>
      </w:r>
      <w:r>
        <w:rPr>
          <w:rFonts w:ascii="宋体" w:hAnsi="宋体"/>
          <w:i/>
          <w:iCs/>
          <w:kern w:val="0"/>
          <w:szCs w:val="21"/>
        </w:rPr>
        <w:t>人自行编制]</w:t>
      </w:r>
    </w:p>
    <w:p>
      <w:pPr>
        <w:pStyle w:val="5"/>
        <w:spacing w:before="0" w:after="0" w:line="240" w:lineRule="auto"/>
        <w:jc w:val="center"/>
        <w:rPr>
          <w:rFonts w:ascii="宋体" w:hAnsi="宋体"/>
          <w:b w:val="0"/>
          <w:bCs w:val="0"/>
        </w:rPr>
      </w:pPr>
      <w:bookmarkStart w:id="1734" w:name="_Toc287620820"/>
      <w:bookmarkStart w:id="1735" w:name="_Toc277082648"/>
      <w:bookmarkStart w:id="1736" w:name="_Toc224103501"/>
      <w:bookmarkStart w:id="1737" w:name="_Toc430530535"/>
      <w:bookmarkStart w:id="1738" w:name="_Toc287607873"/>
      <w:r>
        <w:rPr>
          <w:rFonts w:ascii="宋体" w:hAnsi="宋体"/>
          <w:b w:val="0"/>
          <w:bCs w:val="0"/>
          <w:kern w:val="0"/>
          <w:sz w:val="21"/>
          <w:szCs w:val="21"/>
        </w:rPr>
        <w:br w:type="page"/>
      </w:r>
      <w:bookmarkStart w:id="1739" w:name="_Toc8868"/>
      <w:bookmarkStart w:id="1740" w:name="_Toc13430"/>
      <w:bookmarkStart w:id="1741" w:name="_Toc16179"/>
      <w:bookmarkStart w:id="1742" w:name="_Toc25534"/>
      <w:bookmarkStart w:id="1743" w:name="_Toc28303"/>
      <w:r>
        <w:rPr>
          <w:rFonts w:hint="eastAsia" w:ascii="宋体" w:hAnsi="宋体"/>
          <w:b w:val="0"/>
          <w:bCs w:val="0"/>
        </w:rPr>
        <w:t>（一）已标价工程量清单</w:t>
      </w:r>
      <w:bookmarkEnd w:id="1734"/>
      <w:bookmarkEnd w:id="1735"/>
      <w:bookmarkEnd w:id="1736"/>
      <w:bookmarkEnd w:id="1737"/>
      <w:bookmarkEnd w:id="1738"/>
      <w:bookmarkEnd w:id="1739"/>
      <w:bookmarkEnd w:id="1740"/>
      <w:bookmarkEnd w:id="1741"/>
      <w:bookmarkEnd w:id="1742"/>
      <w:bookmarkEnd w:id="1743"/>
    </w:p>
    <w:p>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pPr>
        <w:pStyle w:val="4"/>
        <w:spacing w:line="360" w:lineRule="auto"/>
        <w:rPr>
          <w:rFonts w:ascii="宋体" w:hAnsi="宋体"/>
          <w:sz w:val="36"/>
          <w:szCs w:val="36"/>
        </w:rPr>
      </w:pPr>
      <w:bookmarkStart w:id="1744" w:name="_Toc430530536"/>
      <w:bookmarkStart w:id="1745" w:name="_Toc224103502"/>
      <w:bookmarkStart w:id="1746" w:name="_Toc287607874"/>
      <w:bookmarkStart w:id="1747" w:name="_Toc287620821"/>
      <w:r>
        <w:rPr>
          <w:rFonts w:ascii="宋体" w:hAnsi="宋体"/>
        </w:rPr>
        <w:br w:type="page"/>
      </w:r>
      <w:bookmarkEnd w:id="1744"/>
      <w:bookmarkEnd w:id="1745"/>
      <w:bookmarkEnd w:id="1746"/>
      <w:bookmarkEnd w:id="1747"/>
    </w:p>
    <w:p>
      <w:pPr>
        <w:spacing w:line="360" w:lineRule="auto"/>
        <w:jc w:val="center"/>
        <w:rPr>
          <w:rFonts w:ascii="宋体" w:hAnsi="宋体"/>
          <w:sz w:val="44"/>
          <w:szCs w:val="44"/>
        </w:rPr>
      </w:pPr>
      <w:bookmarkStart w:id="1748" w:name="_Toc287620829"/>
      <w:bookmarkStart w:id="1749" w:name="_Toc277082656"/>
      <w:bookmarkStart w:id="1750" w:name="_Toc430530545"/>
      <w:bookmarkStart w:id="1751" w:name="_Toc287607882"/>
      <w:bookmarkStart w:id="1752" w:name="_Toc224103510"/>
      <w:bookmarkStart w:id="1753" w:name="_Toc13748"/>
      <w:bookmarkStart w:id="1754" w:name="_Toc29399"/>
      <w:bookmarkStart w:id="1755" w:name="_Toc24119"/>
      <w:bookmarkStart w:id="1756" w:name="_Toc9441"/>
      <w:r>
        <w:rPr>
          <w:rFonts w:hint="eastAsia" w:ascii="宋体" w:hAnsi="宋体"/>
          <w:sz w:val="44"/>
          <w:szCs w:val="44"/>
        </w:rPr>
        <w:t>三、商务部分</w:t>
      </w:r>
    </w:p>
    <w:p>
      <w:pPr>
        <w:jc w:val="left"/>
        <w:rPr>
          <w:rFonts w:ascii="宋体" w:hAnsi="宋体"/>
          <w:sz w:val="44"/>
          <w:szCs w:val="44"/>
        </w:rPr>
      </w:pPr>
      <w:r>
        <w:rPr>
          <w:rFonts w:hint="eastAsia" w:ascii="宋体" w:hAnsi="宋体"/>
          <w:sz w:val="44"/>
          <w:szCs w:val="44"/>
        </w:rPr>
        <w:br w:type="page"/>
      </w:r>
    </w:p>
    <w:p>
      <w:pPr>
        <w:spacing w:line="360" w:lineRule="auto"/>
        <w:jc w:val="center"/>
        <w:rPr>
          <w:rFonts w:ascii="宋体" w:hAnsi="宋体"/>
          <w:kern w:val="0"/>
          <w:sz w:val="32"/>
          <w:szCs w:val="32"/>
        </w:rPr>
      </w:pPr>
      <w:r>
        <w:rPr>
          <w:rFonts w:hint="eastAsia" w:ascii="宋体" w:hAnsi="宋体"/>
          <w:kern w:val="0"/>
          <w:sz w:val="32"/>
          <w:szCs w:val="32"/>
          <w:u w:val="single"/>
        </w:rPr>
        <w:t xml:space="preserve">                   （项目名称）</w:t>
      </w:r>
    </w:p>
    <w:p>
      <w:pPr>
        <w:tabs>
          <w:tab w:val="left" w:pos="3600"/>
          <w:tab w:val="left" w:pos="4480"/>
          <w:tab w:val="left" w:pos="5360"/>
        </w:tabs>
        <w:autoSpaceDE w:val="0"/>
        <w:autoSpaceDN w:val="0"/>
        <w:adjustRightInd w:val="0"/>
        <w:snapToGrid w:val="0"/>
        <w:spacing w:line="360" w:lineRule="auto"/>
        <w:jc w:val="left"/>
        <w:rPr>
          <w:rFonts w:ascii="宋体" w:hAnsi="宋体" w:cs="MingLiU"/>
          <w:kern w:val="0"/>
          <w:sz w:val="44"/>
          <w:szCs w:val="44"/>
        </w:rPr>
      </w:pPr>
    </w:p>
    <w:p>
      <w:pPr>
        <w:tabs>
          <w:tab w:val="left" w:pos="3600"/>
          <w:tab w:val="left" w:pos="4480"/>
          <w:tab w:val="left" w:pos="5360"/>
        </w:tabs>
        <w:autoSpaceDE w:val="0"/>
        <w:autoSpaceDN w:val="0"/>
        <w:adjustRightInd w:val="0"/>
        <w:snapToGrid w:val="0"/>
        <w:spacing w:line="360" w:lineRule="auto"/>
        <w:jc w:val="left"/>
        <w:rPr>
          <w:rFonts w:ascii="宋体" w:hAnsi="宋体" w:cs="MingLiU"/>
          <w:kern w:val="0"/>
          <w:sz w:val="44"/>
          <w:szCs w:val="44"/>
        </w:rPr>
      </w:pPr>
    </w:p>
    <w:p>
      <w:pPr>
        <w:tabs>
          <w:tab w:val="left" w:pos="3600"/>
          <w:tab w:val="left" w:pos="4480"/>
          <w:tab w:val="left" w:pos="5360"/>
        </w:tabs>
        <w:autoSpaceDE w:val="0"/>
        <w:autoSpaceDN w:val="0"/>
        <w:adjustRightInd w:val="0"/>
        <w:snapToGrid w:val="0"/>
        <w:spacing w:line="360" w:lineRule="auto"/>
        <w:jc w:val="left"/>
        <w:rPr>
          <w:rFonts w:ascii="宋体" w:hAnsi="宋体" w:cs="MingLiU"/>
          <w:kern w:val="0"/>
          <w:sz w:val="44"/>
          <w:szCs w:val="44"/>
        </w:rPr>
      </w:pPr>
    </w:p>
    <w:p>
      <w:pPr>
        <w:tabs>
          <w:tab w:val="left" w:pos="3600"/>
          <w:tab w:val="left" w:pos="4480"/>
          <w:tab w:val="left" w:pos="5360"/>
        </w:tabs>
        <w:autoSpaceDE w:val="0"/>
        <w:autoSpaceDN w:val="0"/>
        <w:adjustRightInd w:val="0"/>
        <w:snapToGrid w:val="0"/>
        <w:spacing w:line="360" w:lineRule="auto"/>
        <w:jc w:val="center"/>
        <w:rPr>
          <w:rFonts w:ascii="宋体" w:hAnsi="宋体"/>
          <w:kern w:val="0"/>
          <w:sz w:val="72"/>
          <w:szCs w:val="72"/>
        </w:rPr>
      </w:pPr>
    </w:p>
    <w:p>
      <w:pPr>
        <w:tabs>
          <w:tab w:val="left" w:pos="3600"/>
          <w:tab w:val="left" w:pos="4480"/>
          <w:tab w:val="left" w:pos="5360"/>
        </w:tabs>
        <w:autoSpaceDE w:val="0"/>
        <w:autoSpaceDN w:val="0"/>
        <w:adjustRightInd w:val="0"/>
        <w:snapToGrid w:val="0"/>
        <w:spacing w:line="360" w:lineRule="auto"/>
        <w:jc w:val="center"/>
        <w:rPr>
          <w:rFonts w:ascii="宋体" w:hAnsi="宋体"/>
          <w:kern w:val="0"/>
          <w:sz w:val="72"/>
          <w:szCs w:val="72"/>
        </w:rPr>
      </w:pPr>
      <w:r>
        <w:rPr>
          <w:rFonts w:hint="eastAsia" w:ascii="宋体" w:hAnsi="宋体"/>
          <w:kern w:val="0"/>
          <w:sz w:val="72"/>
          <w:szCs w:val="72"/>
        </w:rPr>
        <w:t>比 选 申 请 文 件</w:t>
      </w:r>
    </w:p>
    <w:p>
      <w:pPr>
        <w:autoSpaceDE w:val="0"/>
        <w:autoSpaceDN w:val="0"/>
        <w:adjustRightInd w:val="0"/>
        <w:snapToGrid w:val="0"/>
        <w:spacing w:line="360" w:lineRule="auto"/>
        <w:jc w:val="center"/>
        <w:rPr>
          <w:rFonts w:ascii="宋体" w:hAnsi="宋体"/>
          <w:kern w:val="0"/>
          <w:sz w:val="36"/>
          <w:szCs w:val="36"/>
        </w:rPr>
      </w:pPr>
      <w:r>
        <w:rPr>
          <w:rFonts w:hint="eastAsia" w:ascii="宋体" w:hAnsi="宋体"/>
          <w:kern w:val="0"/>
          <w:sz w:val="36"/>
          <w:szCs w:val="36"/>
        </w:rPr>
        <w:t>商务部分</w:t>
      </w:r>
    </w:p>
    <w:p>
      <w:pPr>
        <w:autoSpaceDE w:val="0"/>
        <w:autoSpaceDN w:val="0"/>
        <w:adjustRightInd w:val="0"/>
        <w:snapToGrid w:val="0"/>
        <w:spacing w:line="360" w:lineRule="auto"/>
        <w:jc w:val="left"/>
        <w:rPr>
          <w:rFonts w:ascii="宋体" w:hAnsi="宋体" w:cs="MingLiU"/>
          <w:kern w:val="0"/>
          <w:sz w:val="20"/>
          <w:szCs w:val="20"/>
        </w:rPr>
      </w:pPr>
    </w:p>
    <w:p>
      <w:pPr>
        <w:adjustRightInd w:val="0"/>
        <w:snapToGrid w:val="0"/>
        <w:spacing w:line="264" w:lineRule="auto"/>
        <w:rPr>
          <w:rFonts w:ascii="宋体" w:hAnsi="宋体"/>
          <w:szCs w:val="21"/>
        </w:rPr>
      </w:pPr>
    </w:p>
    <w:p>
      <w:pPr>
        <w:autoSpaceDE w:val="0"/>
        <w:autoSpaceDN w:val="0"/>
        <w:adjustRightInd w:val="0"/>
        <w:snapToGrid w:val="0"/>
        <w:spacing w:line="360" w:lineRule="auto"/>
        <w:jc w:val="left"/>
        <w:rPr>
          <w:rFonts w:ascii="宋体" w:hAnsi="宋体" w:cs="MingLiU"/>
          <w:kern w:val="0"/>
          <w:sz w:val="20"/>
          <w:szCs w:val="20"/>
        </w:rPr>
      </w:pPr>
    </w:p>
    <w:p>
      <w:pPr>
        <w:autoSpaceDE w:val="0"/>
        <w:autoSpaceDN w:val="0"/>
        <w:adjustRightInd w:val="0"/>
        <w:snapToGrid w:val="0"/>
        <w:spacing w:line="360" w:lineRule="auto"/>
        <w:jc w:val="left"/>
        <w:rPr>
          <w:rFonts w:ascii="宋体" w:hAnsi="宋体" w:cs="MingLiU"/>
          <w:kern w:val="0"/>
          <w:sz w:val="20"/>
          <w:szCs w:val="20"/>
        </w:rPr>
      </w:pPr>
    </w:p>
    <w:p>
      <w:pPr>
        <w:autoSpaceDE w:val="0"/>
        <w:autoSpaceDN w:val="0"/>
        <w:adjustRightInd w:val="0"/>
        <w:snapToGrid w:val="0"/>
        <w:spacing w:line="360" w:lineRule="auto"/>
        <w:jc w:val="left"/>
        <w:rPr>
          <w:rFonts w:ascii="宋体" w:hAnsi="宋体" w:cs="MingLiU"/>
          <w:kern w:val="0"/>
          <w:sz w:val="20"/>
          <w:szCs w:val="20"/>
        </w:rPr>
      </w:pPr>
    </w:p>
    <w:p>
      <w:pPr>
        <w:autoSpaceDE w:val="0"/>
        <w:autoSpaceDN w:val="0"/>
        <w:adjustRightInd w:val="0"/>
        <w:snapToGrid w:val="0"/>
        <w:spacing w:line="360" w:lineRule="auto"/>
        <w:jc w:val="left"/>
        <w:rPr>
          <w:rFonts w:ascii="宋体" w:hAnsi="宋体" w:cs="MingLiU"/>
          <w:kern w:val="0"/>
          <w:sz w:val="20"/>
          <w:szCs w:val="20"/>
        </w:rPr>
      </w:pPr>
    </w:p>
    <w:p>
      <w:pPr>
        <w:autoSpaceDE w:val="0"/>
        <w:autoSpaceDN w:val="0"/>
        <w:adjustRightInd w:val="0"/>
        <w:snapToGrid w:val="0"/>
        <w:spacing w:line="360" w:lineRule="auto"/>
        <w:jc w:val="left"/>
        <w:rPr>
          <w:rFonts w:ascii="宋体" w:hAnsi="宋体" w:cs="MingLiU"/>
          <w:kern w:val="0"/>
          <w:sz w:val="20"/>
          <w:szCs w:val="20"/>
        </w:rPr>
      </w:pPr>
    </w:p>
    <w:p>
      <w:pPr>
        <w:autoSpaceDE w:val="0"/>
        <w:autoSpaceDN w:val="0"/>
        <w:adjustRightInd w:val="0"/>
        <w:snapToGrid w:val="0"/>
        <w:spacing w:line="360" w:lineRule="auto"/>
        <w:jc w:val="left"/>
        <w:rPr>
          <w:rFonts w:ascii="宋体" w:hAnsi="宋体" w:cs="MingLiU"/>
          <w:kern w:val="0"/>
          <w:sz w:val="20"/>
          <w:szCs w:val="20"/>
        </w:rPr>
      </w:pPr>
    </w:p>
    <w:p>
      <w:pPr>
        <w:autoSpaceDE w:val="0"/>
        <w:autoSpaceDN w:val="0"/>
        <w:adjustRightInd w:val="0"/>
        <w:snapToGrid w:val="0"/>
        <w:spacing w:line="360" w:lineRule="auto"/>
        <w:jc w:val="left"/>
        <w:rPr>
          <w:rFonts w:ascii="宋体" w:hAnsi="宋体" w:cs="MingLiU"/>
          <w:kern w:val="0"/>
          <w:sz w:val="20"/>
          <w:szCs w:val="20"/>
        </w:rPr>
      </w:pPr>
    </w:p>
    <w:p>
      <w:pPr>
        <w:autoSpaceDE w:val="0"/>
        <w:autoSpaceDN w:val="0"/>
        <w:adjustRightInd w:val="0"/>
        <w:snapToGrid w:val="0"/>
        <w:spacing w:line="360" w:lineRule="auto"/>
        <w:jc w:val="left"/>
        <w:rPr>
          <w:rFonts w:ascii="宋体" w:hAnsi="宋体" w:cs="MingLiU"/>
          <w:kern w:val="0"/>
          <w:sz w:val="20"/>
          <w:szCs w:val="20"/>
        </w:rPr>
      </w:pPr>
    </w:p>
    <w:p>
      <w:pPr>
        <w:autoSpaceDE w:val="0"/>
        <w:autoSpaceDN w:val="0"/>
        <w:adjustRightInd w:val="0"/>
        <w:snapToGrid w:val="0"/>
        <w:spacing w:line="360" w:lineRule="auto"/>
        <w:jc w:val="left"/>
        <w:rPr>
          <w:rFonts w:ascii="宋体" w:hAnsi="宋体" w:cs="MingLiU"/>
          <w:kern w:val="0"/>
          <w:sz w:val="20"/>
          <w:szCs w:val="20"/>
        </w:rPr>
      </w:pPr>
    </w:p>
    <w:p>
      <w:pPr>
        <w:autoSpaceDE w:val="0"/>
        <w:autoSpaceDN w:val="0"/>
        <w:adjustRightInd w:val="0"/>
        <w:snapToGrid w:val="0"/>
        <w:spacing w:line="360" w:lineRule="auto"/>
        <w:jc w:val="left"/>
        <w:rPr>
          <w:rFonts w:ascii="宋体" w:hAnsi="宋体" w:cs="MingLiU"/>
          <w:kern w:val="0"/>
          <w:sz w:val="20"/>
          <w:szCs w:val="20"/>
        </w:rPr>
      </w:pPr>
    </w:p>
    <w:p>
      <w:pPr>
        <w:autoSpaceDE w:val="0"/>
        <w:autoSpaceDN w:val="0"/>
        <w:adjustRightInd w:val="0"/>
        <w:snapToGrid w:val="0"/>
        <w:spacing w:line="360" w:lineRule="auto"/>
        <w:jc w:val="left"/>
        <w:rPr>
          <w:rFonts w:ascii="宋体" w:hAnsi="宋体" w:cs="MingLiU"/>
          <w:kern w:val="0"/>
          <w:sz w:val="20"/>
          <w:szCs w:val="20"/>
        </w:rPr>
      </w:pPr>
    </w:p>
    <w:p>
      <w:pPr>
        <w:tabs>
          <w:tab w:val="left" w:pos="6080"/>
          <w:tab w:val="left" w:pos="6640"/>
        </w:tabs>
        <w:autoSpaceDE w:val="0"/>
        <w:autoSpaceDN w:val="0"/>
        <w:adjustRightInd w:val="0"/>
        <w:snapToGrid w:val="0"/>
        <w:spacing w:line="480" w:lineRule="auto"/>
        <w:jc w:val="center"/>
        <w:rPr>
          <w:rFonts w:ascii="宋体" w:hAnsi="宋体"/>
          <w:w w:val="99"/>
          <w:kern w:val="0"/>
          <w:sz w:val="28"/>
          <w:szCs w:val="28"/>
        </w:rPr>
      </w:pPr>
      <w:r>
        <w:rPr>
          <w:rFonts w:hint="eastAsia" w:ascii="宋体" w:hAnsi="宋体"/>
          <w:w w:val="99"/>
          <w:kern w:val="0"/>
          <w:sz w:val="28"/>
          <w:szCs w:val="28"/>
          <w:lang w:eastAsia="zh-CN"/>
        </w:rPr>
        <w:t>竞标</w:t>
      </w:r>
      <w:r>
        <w:rPr>
          <w:rFonts w:ascii="宋体" w:hAnsi="宋体"/>
          <w:w w:val="99"/>
          <w:kern w:val="0"/>
          <w:sz w:val="28"/>
          <w:szCs w:val="28"/>
        </w:rPr>
        <w:t>人</w:t>
      </w:r>
      <w:r>
        <w:rPr>
          <w:rFonts w:ascii="宋体" w:hAnsi="宋体"/>
          <w:spacing w:val="1"/>
          <w:w w:val="99"/>
          <w:kern w:val="0"/>
          <w:sz w:val="28"/>
          <w:szCs w:val="28"/>
        </w:rPr>
        <w:t>：</w:t>
      </w:r>
      <w:r>
        <w:rPr>
          <w:rFonts w:ascii="宋体" w:hAnsi="宋体"/>
          <w:w w:val="198"/>
          <w:kern w:val="0"/>
          <w:sz w:val="28"/>
          <w:szCs w:val="28"/>
          <w:u w:val="single"/>
        </w:rPr>
        <w:t xml:space="preserve"> 　　 　　 　　</w:t>
      </w:r>
      <w:r>
        <w:rPr>
          <w:rFonts w:ascii="宋体" w:hAnsi="宋体"/>
          <w:w w:val="99"/>
          <w:kern w:val="0"/>
          <w:sz w:val="28"/>
          <w:szCs w:val="28"/>
        </w:rPr>
        <w:t>（盖单位法人章）</w:t>
      </w:r>
    </w:p>
    <w:p>
      <w:pPr>
        <w:tabs>
          <w:tab w:val="left" w:pos="6080"/>
          <w:tab w:val="left" w:pos="6640"/>
        </w:tabs>
        <w:autoSpaceDE w:val="0"/>
        <w:autoSpaceDN w:val="0"/>
        <w:adjustRightInd w:val="0"/>
        <w:snapToGrid w:val="0"/>
        <w:spacing w:line="480" w:lineRule="auto"/>
        <w:jc w:val="center"/>
        <w:rPr>
          <w:rFonts w:ascii="宋体" w:hAnsi="宋体"/>
          <w:kern w:val="0"/>
          <w:sz w:val="28"/>
          <w:szCs w:val="28"/>
        </w:rPr>
      </w:pPr>
      <w:r>
        <w:rPr>
          <w:rFonts w:ascii="宋体" w:hAnsi="宋体"/>
          <w:w w:val="99"/>
          <w:kern w:val="0"/>
          <w:sz w:val="28"/>
          <w:szCs w:val="28"/>
        </w:rPr>
        <w:t>法定代表人或其委托代理人：</w:t>
      </w:r>
      <w:r>
        <w:rPr>
          <w:rFonts w:ascii="宋体" w:hAnsi="宋体"/>
          <w:w w:val="198"/>
          <w:kern w:val="0"/>
          <w:sz w:val="28"/>
          <w:szCs w:val="28"/>
          <w:u w:val="single"/>
        </w:rPr>
        <w:t xml:space="preserve"> 　 　</w:t>
      </w:r>
      <w:r>
        <w:rPr>
          <w:rFonts w:ascii="宋体" w:hAnsi="宋体"/>
          <w:w w:val="99"/>
          <w:kern w:val="0"/>
          <w:sz w:val="28"/>
          <w:szCs w:val="28"/>
        </w:rPr>
        <w:t>（</w:t>
      </w:r>
      <w:r>
        <w:rPr>
          <w:rFonts w:hint="eastAsia" w:ascii="宋体" w:hAnsi="宋体"/>
          <w:w w:val="99"/>
          <w:kern w:val="0"/>
          <w:sz w:val="28"/>
          <w:szCs w:val="28"/>
        </w:rPr>
        <w:t>签名</w:t>
      </w:r>
      <w:r>
        <w:rPr>
          <w:rFonts w:ascii="宋体" w:hAnsi="宋体"/>
          <w:w w:val="99"/>
          <w:kern w:val="0"/>
          <w:sz w:val="28"/>
          <w:szCs w:val="28"/>
        </w:rPr>
        <w:t>或盖章）</w:t>
      </w:r>
    </w:p>
    <w:p>
      <w:pPr>
        <w:tabs>
          <w:tab w:val="left" w:pos="3280"/>
          <w:tab w:val="left" w:pos="4680"/>
          <w:tab w:val="left" w:pos="6080"/>
        </w:tabs>
        <w:autoSpaceDE w:val="0"/>
        <w:autoSpaceDN w:val="0"/>
        <w:adjustRightInd w:val="0"/>
        <w:snapToGrid w:val="0"/>
        <w:spacing w:line="480" w:lineRule="auto"/>
        <w:jc w:val="center"/>
        <w:rPr>
          <w:rFonts w:ascii="宋体" w:hAnsi="宋体"/>
          <w:w w:val="99"/>
          <w:kern w:val="0"/>
          <w:sz w:val="28"/>
          <w:szCs w:val="28"/>
        </w:rPr>
      </w:pPr>
      <w:r>
        <w:rPr>
          <w:rFonts w:ascii="宋体" w:hAnsi="宋体"/>
          <w:w w:val="198"/>
          <w:kern w:val="0"/>
          <w:sz w:val="28"/>
          <w:szCs w:val="28"/>
          <w:u w:val="single"/>
        </w:rPr>
        <w:t xml:space="preserve"> </w:t>
      </w:r>
      <w:r>
        <w:rPr>
          <w:rFonts w:hint="eastAsia" w:ascii="宋体" w:hAnsi="宋体"/>
          <w:w w:val="198"/>
          <w:kern w:val="0"/>
          <w:sz w:val="28"/>
          <w:szCs w:val="28"/>
          <w:u w:val="single"/>
        </w:rPr>
        <w:t xml:space="preserve"> </w:t>
      </w:r>
      <w:r>
        <w:rPr>
          <w:rFonts w:ascii="宋体" w:hAnsi="宋体"/>
          <w:w w:val="198"/>
          <w:kern w:val="0"/>
          <w:sz w:val="28"/>
          <w:szCs w:val="28"/>
          <w:u w:val="single"/>
        </w:rPr>
        <w:t xml:space="preserve"> </w:t>
      </w:r>
      <w:r>
        <w:rPr>
          <w:rFonts w:hint="eastAsia" w:ascii="宋体" w:hAnsi="宋体"/>
          <w:w w:val="198"/>
          <w:kern w:val="0"/>
          <w:sz w:val="28"/>
          <w:szCs w:val="28"/>
          <w:u w:val="single"/>
        </w:rPr>
        <w:t xml:space="preserve"> </w:t>
      </w:r>
      <w:r>
        <w:rPr>
          <w:rFonts w:ascii="宋体" w:hAnsi="宋体"/>
          <w:w w:val="99"/>
          <w:kern w:val="0"/>
          <w:sz w:val="28"/>
          <w:szCs w:val="28"/>
        </w:rPr>
        <w:t>年</w:t>
      </w:r>
      <w:r>
        <w:rPr>
          <w:rFonts w:ascii="宋体" w:hAnsi="宋体"/>
          <w:w w:val="198"/>
          <w:kern w:val="0"/>
          <w:sz w:val="28"/>
          <w:szCs w:val="28"/>
          <w:u w:val="single"/>
        </w:rPr>
        <w:t xml:space="preserve"> </w:t>
      </w:r>
      <w:r>
        <w:rPr>
          <w:rFonts w:hint="eastAsia" w:ascii="宋体" w:hAnsi="宋体"/>
          <w:w w:val="198"/>
          <w:kern w:val="0"/>
          <w:sz w:val="28"/>
          <w:szCs w:val="28"/>
          <w:u w:val="single"/>
        </w:rPr>
        <w:t xml:space="preserve"> </w:t>
      </w:r>
      <w:r>
        <w:rPr>
          <w:rFonts w:ascii="宋体" w:hAnsi="宋体"/>
          <w:w w:val="198"/>
          <w:kern w:val="0"/>
          <w:sz w:val="28"/>
          <w:szCs w:val="28"/>
          <w:u w:val="single"/>
        </w:rPr>
        <w:t xml:space="preserve"> </w:t>
      </w:r>
      <w:r>
        <w:rPr>
          <w:rFonts w:hint="eastAsia" w:ascii="宋体" w:hAnsi="宋体"/>
          <w:w w:val="198"/>
          <w:kern w:val="0"/>
          <w:sz w:val="28"/>
          <w:szCs w:val="28"/>
          <w:u w:val="single"/>
        </w:rPr>
        <w:t xml:space="preserve"> </w:t>
      </w:r>
      <w:r>
        <w:rPr>
          <w:rFonts w:ascii="宋体" w:hAnsi="宋体"/>
          <w:w w:val="99"/>
          <w:kern w:val="0"/>
          <w:sz w:val="28"/>
          <w:szCs w:val="28"/>
        </w:rPr>
        <w:t>月</w:t>
      </w:r>
      <w:r>
        <w:rPr>
          <w:rFonts w:ascii="宋体" w:hAnsi="宋体"/>
          <w:w w:val="198"/>
          <w:kern w:val="0"/>
          <w:sz w:val="28"/>
          <w:szCs w:val="28"/>
          <w:u w:val="single"/>
        </w:rPr>
        <w:t xml:space="preserve"> </w:t>
      </w:r>
      <w:r>
        <w:rPr>
          <w:rFonts w:hint="eastAsia" w:ascii="宋体" w:hAnsi="宋体"/>
          <w:w w:val="198"/>
          <w:kern w:val="0"/>
          <w:sz w:val="28"/>
          <w:szCs w:val="28"/>
          <w:u w:val="single"/>
        </w:rPr>
        <w:t xml:space="preserve"> </w:t>
      </w:r>
      <w:r>
        <w:rPr>
          <w:rFonts w:ascii="宋体" w:hAnsi="宋体"/>
          <w:w w:val="198"/>
          <w:kern w:val="0"/>
          <w:sz w:val="28"/>
          <w:szCs w:val="28"/>
          <w:u w:val="single"/>
        </w:rPr>
        <w:t xml:space="preserve"> </w:t>
      </w:r>
      <w:r>
        <w:rPr>
          <w:rFonts w:hint="eastAsia" w:ascii="宋体" w:hAnsi="宋体"/>
          <w:w w:val="198"/>
          <w:kern w:val="0"/>
          <w:sz w:val="28"/>
          <w:szCs w:val="28"/>
          <w:u w:val="single"/>
        </w:rPr>
        <w:t xml:space="preserve"> </w:t>
      </w:r>
      <w:r>
        <w:rPr>
          <w:rFonts w:ascii="宋体" w:hAnsi="宋体"/>
          <w:w w:val="99"/>
          <w:kern w:val="0"/>
          <w:sz w:val="28"/>
          <w:szCs w:val="28"/>
        </w:rPr>
        <w:t>日</w:t>
      </w:r>
    </w:p>
    <w:p>
      <w:pPr>
        <w:jc w:val="left"/>
        <w:rPr>
          <w:rFonts w:ascii="宋体" w:hAnsi="宋体"/>
          <w:w w:val="99"/>
          <w:kern w:val="0"/>
          <w:sz w:val="28"/>
          <w:szCs w:val="28"/>
        </w:rPr>
      </w:pPr>
      <w:r>
        <w:rPr>
          <w:rFonts w:ascii="宋体" w:hAnsi="宋体"/>
          <w:w w:val="99"/>
          <w:kern w:val="0"/>
          <w:sz w:val="28"/>
          <w:szCs w:val="28"/>
        </w:rPr>
        <w:br w:type="page"/>
      </w:r>
    </w:p>
    <w:p>
      <w:pPr>
        <w:autoSpaceDE w:val="0"/>
        <w:autoSpaceDN w:val="0"/>
        <w:adjustRightInd w:val="0"/>
        <w:snapToGrid w:val="0"/>
        <w:spacing w:line="360" w:lineRule="auto"/>
        <w:jc w:val="center"/>
        <w:rPr>
          <w:rFonts w:ascii="宋体" w:hAnsi="宋体"/>
          <w:kern w:val="0"/>
          <w:szCs w:val="21"/>
        </w:rPr>
      </w:pPr>
      <w:r>
        <w:rPr>
          <w:rFonts w:hint="eastAsia" w:ascii="宋体" w:hAnsi="宋体"/>
          <w:kern w:val="0"/>
          <w:sz w:val="36"/>
          <w:szCs w:val="36"/>
        </w:rPr>
        <w:t>目  录</w:t>
      </w:r>
    </w:p>
    <w:p>
      <w:pPr>
        <w:autoSpaceDE w:val="0"/>
        <w:autoSpaceDN w:val="0"/>
        <w:adjustRightInd w:val="0"/>
        <w:snapToGrid w:val="0"/>
        <w:spacing w:line="360" w:lineRule="auto"/>
        <w:jc w:val="left"/>
        <w:rPr>
          <w:rFonts w:ascii="宋体" w:hAnsi="宋体"/>
          <w:kern w:val="0"/>
          <w:szCs w:val="21"/>
        </w:rPr>
      </w:pPr>
    </w:p>
    <w:p>
      <w:pPr>
        <w:autoSpaceDE w:val="0"/>
        <w:autoSpaceDN w:val="0"/>
        <w:adjustRightInd w:val="0"/>
        <w:snapToGrid w:val="0"/>
        <w:spacing w:line="360" w:lineRule="auto"/>
        <w:jc w:val="center"/>
        <w:rPr>
          <w:rFonts w:ascii="宋体" w:hAnsi="宋体"/>
          <w:i/>
          <w:iCs/>
          <w:kern w:val="0"/>
          <w:szCs w:val="21"/>
        </w:rPr>
      </w:pPr>
      <w:r>
        <w:rPr>
          <w:rFonts w:ascii="宋体" w:hAnsi="宋体"/>
          <w:i/>
          <w:iCs/>
          <w:kern w:val="0"/>
          <w:szCs w:val="21"/>
        </w:rPr>
        <w:t>[</w:t>
      </w:r>
      <w:r>
        <w:rPr>
          <w:rFonts w:hint="eastAsia" w:ascii="宋体" w:hAnsi="宋体"/>
          <w:i/>
          <w:iCs/>
          <w:kern w:val="0"/>
          <w:szCs w:val="21"/>
        </w:rPr>
        <w:t>提示：</w:t>
      </w:r>
      <w:r>
        <w:rPr>
          <w:rFonts w:ascii="宋体" w:hAnsi="宋体"/>
          <w:i/>
          <w:iCs/>
          <w:kern w:val="0"/>
          <w:szCs w:val="21"/>
        </w:rPr>
        <w:t>目录由</w:t>
      </w:r>
      <w:r>
        <w:rPr>
          <w:rFonts w:hint="eastAsia" w:ascii="宋体" w:hAnsi="宋体"/>
          <w:i/>
          <w:iCs/>
          <w:kern w:val="0"/>
          <w:szCs w:val="21"/>
          <w:lang w:eastAsia="zh-CN"/>
        </w:rPr>
        <w:t>竞标</w:t>
      </w:r>
      <w:r>
        <w:rPr>
          <w:rFonts w:ascii="宋体" w:hAnsi="宋体"/>
          <w:i/>
          <w:iCs/>
          <w:kern w:val="0"/>
          <w:szCs w:val="21"/>
        </w:rPr>
        <w:t>人自行编制]</w:t>
      </w:r>
    </w:p>
    <w:p>
      <w:r>
        <w:br w:type="page"/>
      </w:r>
    </w:p>
    <w:p>
      <w:pPr>
        <w:pStyle w:val="4"/>
        <w:spacing w:line="360" w:lineRule="auto"/>
        <w:jc w:val="center"/>
        <w:rPr>
          <w:rFonts w:ascii="宋体" w:hAnsi="宋体"/>
          <w:b w:val="0"/>
          <w:bCs w:val="0"/>
          <w:sz w:val="44"/>
          <w:szCs w:val="44"/>
        </w:rPr>
      </w:pPr>
      <w:bookmarkStart w:id="1757" w:name="_Toc710"/>
      <w:r>
        <w:rPr>
          <w:rFonts w:hint="eastAsia" w:ascii="宋体" w:hAnsi="宋体"/>
          <w:b w:val="0"/>
          <w:bCs w:val="0"/>
          <w:sz w:val="44"/>
          <w:szCs w:val="44"/>
        </w:rPr>
        <w:t>四、技术部分</w:t>
      </w:r>
      <w:bookmarkEnd w:id="1757"/>
    </w:p>
    <w:p>
      <w:pPr>
        <w:spacing w:line="360" w:lineRule="auto"/>
        <w:jc w:val="center"/>
        <w:rPr>
          <w:rFonts w:ascii="宋体" w:hAnsi="宋体"/>
          <w:kern w:val="0"/>
          <w:sz w:val="32"/>
          <w:szCs w:val="32"/>
        </w:rPr>
      </w:pPr>
      <w:r>
        <w:rPr>
          <w:rFonts w:hint="eastAsia" w:ascii="宋体" w:hAnsi="宋体"/>
          <w:sz w:val="44"/>
          <w:szCs w:val="44"/>
        </w:rPr>
        <w:br w:type="page"/>
      </w:r>
      <w:r>
        <w:rPr>
          <w:rFonts w:hint="eastAsia" w:ascii="宋体" w:hAnsi="宋体"/>
          <w:kern w:val="0"/>
          <w:sz w:val="32"/>
          <w:szCs w:val="32"/>
          <w:u w:val="single"/>
        </w:rPr>
        <w:t xml:space="preserve">                   （项目名称）</w:t>
      </w:r>
    </w:p>
    <w:p>
      <w:pPr>
        <w:tabs>
          <w:tab w:val="left" w:pos="3600"/>
          <w:tab w:val="left" w:pos="4480"/>
          <w:tab w:val="left" w:pos="5360"/>
        </w:tabs>
        <w:autoSpaceDE w:val="0"/>
        <w:autoSpaceDN w:val="0"/>
        <w:adjustRightInd w:val="0"/>
        <w:snapToGrid w:val="0"/>
        <w:spacing w:line="360" w:lineRule="auto"/>
        <w:jc w:val="left"/>
        <w:rPr>
          <w:rFonts w:ascii="宋体" w:hAnsi="宋体" w:cs="MingLiU"/>
          <w:kern w:val="0"/>
          <w:sz w:val="44"/>
          <w:szCs w:val="44"/>
        </w:rPr>
      </w:pPr>
    </w:p>
    <w:p>
      <w:pPr>
        <w:tabs>
          <w:tab w:val="left" w:pos="3600"/>
          <w:tab w:val="left" w:pos="4480"/>
          <w:tab w:val="left" w:pos="5360"/>
        </w:tabs>
        <w:autoSpaceDE w:val="0"/>
        <w:autoSpaceDN w:val="0"/>
        <w:adjustRightInd w:val="0"/>
        <w:snapToGrid w:val="0"/>
        <w:spacing w:line="360" w:lineRule="auto"/>
        <w:jc w:val="left"/>
        <w:rPr>
          <w:rFonts w:ascii="宋体" w:hAnsi="宋体" w:cs="MingLiU"/>
          <w:kern w:val="0"/>
          <w:sz w:val="44"/>
          <w:szCs w:val="44"/>
        </w:rPr>
      </w:pPr>
    </w:p>
    <w:p>
      <w:pPr>
        <w:tabs>
          <w:tab w:val="left" w:pos="3600"/>
          <w:tab w:val="left" w:pos="4480"/>
          <w:tab w:val="left" w:pos="5360"/>
        </w:tabs>
        <w:autoSpaceDE w:val="0"/>
        <w:autoSpaceDN w:val="0"/>
        <w:adjustRightInd w:val="0"/>
        <w:snapToGrid w:val="0"/>
        <w:spacing w:line="360" w:lineRule="auto"/>
        <w:jc w:val="left"/>
        <w:rPr>
          <w:rFonts w:ascii="宋体" w:hAnsi="宋体" w:cs="MingLiU"/>
          <w:kern w:val="0"/>
          <w:sz w:val="44"/>
          <w:szCs w:val="44"/>
        </w:rPr>
      </w:pPr>
    </w:p>
    <w:p>
      <w:pPr>
        <w:tabs>
          <w:tab w:val="left" w:pos="3600"/>
          <w:tab w:val="left" w:pos="4480"/>
          <w:tab w:val="left" w:pos="5360"/>
        </w:tabs>
        <w:autoSpaceDE w:val="0"/>
        <w:autoSpaceDN w:val="0"/>
        <w:adjustRightInd w:val="0"/>
        <w:snapToGrid w:val="0"/>
        <w:spacing w:line="360" w:lineRule="auto"/>
        <w:jc w:val="center"/>
        <w:rPr>
          <w:rFonts w:ascii="宋体" w:hAnsi="宋体"/>
          <w:kern w:val="0"/>
          <w:sz w:val="72"/>
          <w:szCs w:val="72"/>
        </w:rPr>
      </w:pPr>
      <w:r>
        <w:rPr>
          <w:rFonts w:hint="eastAsia" w:ascii="宋体" w:hAnsi="宋体"/>
          <w:kern w:val="0"/>
          <w:sz w:val="72"/>
          <w:szCs w:val="72"/>
        </w:rPr>
        <w:t>比 选 申 请 文 件</w:t>
      </w:r>
    </w:p>
    <w:p>
      <w:pPr>
        <w:autoSpaceDE w:val="0"/>
        <w:autoSpaceDN w:val="0"/>
        <w:adjustRightInd w:val="0"/>
        <w:snapToGrid w:val="0"/>
        <w:spacing w:line="360" w:lineRule="auto"/>
        <w:jc w:val="left"/>
        <w:rPr>
          <w:rFonts w:ascii="宋体" w:hAnsi="宋体"/>
          <w:kern w:val="0"/>
          <w:sz w:val="16"/>
          <w:szCs w:val="16"/>
        </w:rPr>
      </w:pPr>
    </w:p>
    <w:p>
      <w:pPr>
        <w:autoSpaceDE w:val="0"/>
        <w:autoSpaceDN w:val="0"/>
        <w:adjustRightInd w:val="0"/>
        <w:snapToGrid w:val="0"/>
        <w:spacing w:line="360" w:lineRule="auto"/>
        <w:jc w:val="center"/>
        <w:rPr>
          <w:rFonts w:ascii="宋体" w:hAnsi="宋体"/>
          <w:kern w:val="0"/>
          <w:sz w:val="36"/>
          <w:szCs w:val="36"/>
        </w:rPr>
      </w:pPr>
      <w:r>
        <w:rPr>
          <w:rFonts w:hint="eastAsia" w:ascii="宋体" w:hAnsi="宋体"/>
          <w:kern w:val="0"/>
          <w:sz w:val="36"/>
          <w:szCs w:val="36"/>
        </w:rPr>
        <w:t>技术部分</w:t>
      </w:r>
    </w:p>
    <w:p>
      <w:pPr>
        <w:autoSpaceDE w:val="0"/>
        <w:autoSpaceDN w:val="0"/>
        <w:adjustRightInd w:val="0"/>
        <w:snapToGrid w:val="0"/>
        <w:spacing w:line="360" w:lineRule="auto"/>
        <w:jc w:val="left"/>
        <w:rPr>
          <w:rFonts w:ascii="宋体" w:hAnsi="宋体" w:cs="MingLiU"/>
          <w:kern w:val="0"/>
          <w:sz w:val="20"/>
          <w:szCs w:val="20"/>
        </w:rPr>
      </w:pPr>
    </w:p>
    <w:p>
      <w:pPr>
        <w:adjustRightInd w:val="0"/>
        <w:snapToGrid w:val="0"/>
        <w:spacing w:line="264" w:lineRule="auto"/>
        <w:rPr>
          <w:rFonts w:ascii="宋体" w:hAnsi="宋体"/>
          <w:szCs w:val="21"/>
        </w:rPr>
      </w:pPr>
    </w:p>
    <w:p>
      <w:pPr>
        <w:autoSpaceDE w:val="0"/>
        <w:autoSpaceDN w:val="0"/>
        <w:adjustRightInd w:val="0"/>
        <w:snapToGrid w:val="0"/>
        <w:spacing w:line="360" w:lineRule="auto"/>
        <w:jc w:val="left"/>
        <w:rPr>
          <w:rFonts w:ascii="宋体" w:hAnsi="宋体" w:cs="MingLiU"/>
          <w:kern w:val="0"/>
          <w:sz w:val="20"/>
          <w:szCs w:val="20"/>
        </w:rPr>
      </w:pPr>
    </w:p>
    <w:p>
      <w:pPr>
        <w:autoSpaceDE w:val="0"/>
        <w:autoSpaceDN w:val="0"/>
        <w:adjustRightInd w:val="0"/>
        <w:snapToGrid w:val="0"/>
        <w:spacing w:line="360" w:lineRule="auto"/>
        <w:jc w:val="left"/>
        <w:rPr>
          <w:rFonts w:ascii="宋体" w:hAnsi="宋体" w:cs="MingLiU"/>
          <w:kern w:val="0"/>
          <w:sz w:val="20"/>
          <w:szCs w:val="20"/>
        </w:rPr>
      </w:pPr>
    </w:p>
    <w:p>
      <w:pPr>
        <w:autoSpaceDE w:val="0"/>
        <w:autoSpaceDN w:val="0"/>
        <w:adjustRightInd w:val="0"/>
        <w:snapToGrid w:val="0"/>
        <w:spacing w:line="360" w:lineRule="auto"/>
        <w:jc w:val="left"/>
        <w:rPr>
          <w:rFonts w:ascii="宋体" w:hAnsi="宋体" w:cs="MingLiU"/>
          <w:kern w:val="0"/>
          <w:sz w:val="20"/>
          <w:szCs w:val="20"/>
        </w:rPr>
      </w:pPr>
    </w:p>
    <w:p>
      <w:pPr>
        <w:autoSpaceDE w:val="0"/>
        <w:autoSpaceDN w:val="0"/>
        <w:adjustRightInd w:val="0"/>
        <w:snapToGrid w:val="0"/>
        <w:spacing w:line="360" w:lineRule="auto"/>
        <w:jc w:val="left"/>
        <w:rPr>
          <w:rFonts w:ascii="宋体" w:hAnsi="宋体" w:cs="MingLiU"/>
          <w:kern w:val="0"/>
          <w:sz w:val="20"/>
          <w:szCs w:val="20"/>
        </w:rPr>
      </w:pPr>
    </w:p>
    <w:p>
      <w:pPr>
        <w:autoSpaceDE w:val="0"/>
        <w:autoSpaceDN w:val="0"/>
        <w:adjustRightInd w:val="0"/>
        <w:snapToGrid w:val="0"/>
        <w:spacing w:line="360" w:lineRule="auto"/>
        <w:jc w:val="left"/>
        <w:rPr>
          <w:rFonts w:ascii="宋体" w:hAnsi="宋体" w:cs="MingLiU"/>
          <w:kern w:val="0"/>
          <w:sz w:val="20"/>
          <w:szCs w:val="20"/>
        </w:rPr>
      </w:pPr>
    </w:p>
    <w:p>
      <w:pPr>
        <w:autoSpaceDE w:val="0"/>
        <w:autoSpaceDN w:val="0"/>
        <w:adjustRightInd w:val="0"/>
        <w:snapToGrid w:val="0"/>
        <w:spacing w:line="360" w:lineRule="auto"/>
        <w:jc w:val="left"/>
        <w:rPr>
          <w:rFonts w:ascii="宋体" w:hAnsi="宋体" w:cs="MingLiU"/>
          <w:kern w:val="0"/>
          <w:sz w:val="20"/>
          <w:szCs w:val="20"/>
        </w:rPr>
      </w:pPr>
    </w:p>
    <w:p>
      <w:pPr>
        <w:autoSpaceDE w:val="0"/>
        <w:autoSpaceDN w:val="0"/>
        <w:adjustRightInd w:val="0"/>
        <w:snapToGrid w:val="0"/>
        <w:spacing w:line="360" w:lineRule="auto"/>
        <w:jc w:val="left"/>
        <w:rPr>
          <w:rFonts w:ascii="宋体" w:hAnsi="宋体" w:cs="MingLiU"/>
          <w:kern w:val="0"/>
          <w:sz w:val="20"/>
          <w:szCs w:val="20"/>
        </w:rPr>
      </w:pPr>
    </w:p>
    <w:p>
      <w:pPr>
        <w:autoSpaceDE w:val="0"/>
        <w:autoSpaceDN w:val="0"/>
        <w:adjustRightInd w:val="0"/>
        <w:snapToGrid w:val="0"/>
        <w:spacing w:line="360" w:lineRule="auto"/>
        <w:jc w:val="left"/>
        <w:rPr>
          <w:rFonts w:ascii="宋体" w:hAnsi="宋体" w:cs="MingLiU"/>
          <w:kern w:val="0"/>
          <w:sz w:val="20"/>
          <w:szCs w:val="20"/>
        </w:rPr>
      </w:pPr>
    </w:p>
    <w:p>
      <w:pPr>
        <w:autoSpaceDE w:val="0"/>
        <w:autoSpaceDN w:val="0"/>
        <w:adjustRightInd w:val="0"/>
        <w:snapToGrid w:val="0"/>
        <w:spacing w:line="360" w:lineRule="auto"/>
        <w:jc w:val="left"/>
        <w:rPr>
          <w:rFonts w:ascii="宋体" w:hAnsi="宋体" w:cs="MingLiU"/>
          <w:kern w:val="0"/>
          <w:sz w:val="20"/>
          <w:szCs w:val="20"/>
        </w:rPr>
      </w:pPr>
    </w:p>
    <w:p>
      <w:pPr>
        <w:autoSpaceDE w:val="0"/>
        <w:autoSpaceDN w:val="0"/>
        <w:adjustRightInd w:val="0"/>
        <w:snapToGrid w:val="0"/>
        <w:spacing w:line="360" w:lineRule="auto"/>
        <w:jc w:val="left"/>
        <w:rPr>
          <w:rFonts w:ascii="宋体" w:hAnsi="宋体" w:cs="MingLiU"/>
          <w:kern w:val="0"/>
          <w:sz w:val="20"/>
          <w:szCs w:val="20"/>
        </w:rPr>
      </w:pPr>
    </w:p>
    <w:p>
      <w:pPr>
        <w:autoSpaceDE w:val="0"/>
        <w:autoSpaceDN w:val="0"/>
        <w:adjustRightInd w:val="0"/>
        <w:snapToGrid w:val="0"/>
        <w:spacing w:line="360" w:lineRule="auto"/>
        <w:jc w:val="left"/>
        <w:rPr>
          <w:rFonts w:ascii="宋体" w:hAnsi="宋体" w:cs="MingLiU"/>
          <w:kern w:val="0"/>
          <w:sz w:val="20"/>
          <w:szCs w:val="20"/>
        </w:rPr>
      </w:pPr>
    </w:p>
    <w:p>
      <w:pPr>
        <w:autoSpaceDE w:val="0"/>
        <w:autoSpaceDN w:val="0"/>
        <w:adjustRightInd w:val="0"/>
        <w:snapToGrid w:val="0"/>
        <w:spacing w:line="360" w:lineRule="auto"/>
        <w:jc w:val="left"/>
        <w:rPr>
          <w:rFonts w:ascii="宋体" w:hAnsi="宋体" w:cs="MingLiU"/>
          <w:kern w:val="0"/>
          <w:sz w:val="20"/>
          <w:szCs w:val="20"/>
        </w:rPr>
      </w:pPr>
    </w:p>
    <w:p>
      <w:pPr>
        <w:autoSpaceDE w:val="0"/>
        <w:autoSpaceDN w:val="0"/>
        <w:adjustRightInd w:val="0"/>
        <w:snapToGrid w:val="0"/>
        <w:spacing w:line="360" w:lineRule="auto"/>
        <w:jc w:val="left"/>
        <w:rPr>
          <w:rFonts w:ascii="宋体" w:hAnsi="宋体" w:cs="MingLiU"/>
          <w:kern w:val="0"/>
          <w:sz w:val="20"/>
          <w:szCs w:val="20"/>
        </w:rPr>
      </w:pPr>
    </w:p>
    <w:p>
      <w:pPr>
        <w:tabs>
          <w:tab w:val="left" w:pos="6080"/>
          <w:tab w:val="left" w:pos="6640"/>
        </w:tabs>
        <w:autoSpaceDE w:val="0"/>
        <w:autoSpaceDN w:val="0"/>
        <w:adjustRightInd w:val="0"/>
        <w:snapToGrid w:val="0"/>
        <w:spacing w:line="480" w:lineRule="auto"/>
        <w:jc w:val="center"/>
        <w:rPr>
          <w:rFonts w:ascii="宋体" w:hAnsi="宋体"/>
          <w:w w:val="99"/>
          <w:kern w:val="0"/>
          <w:sz w:val="28"/>
          <w:szCs w:val="28"/>
        </w:rPr>
      </w:pPr>
      <w:r>
        <w:rPr>
          <w:rFonts w:hint="eastAsia" w:ascii="宋体" w:hAnsi="宋体"/>
          <w:w w:val="99"/>
          <w:kern w:val="0"/>
          <w:sz w:val="28"/>
          <w:szCs w:val="28"/>
          <w:lang w:eastAsia="zh-CN"/>
        </w:rPr>
        <w:t>竞标</w:t>
      </w:r>
      <w:r>
        <w:rPr>
          <w:rFonts w:ascii="宋体" w:hAnsi="宋体"/>
          <w:w w:val="99"/>
          <w:kern w:val="0"/>
          <w:sz w:val="28"/>
          <w:szCs w:val="28"/>
        </w:rPr>
        <w:t>人</w:t>
      </w:r>
      <w:r>
        <w:rPr>
          <w:rFonts w:ascii="宋体" w:hAnsi="宋体"/>
          <w:spacing w:val="1"/>
          <w:w w:val="99"/>
          <w:kern w:val="0"/>
          <w:sz w:val="28"/>
          <w:szCs w:val="28"/>
        </w:rPr>
        <w:t>：</w:t>
      </w:r>
      <w:r>
        <w:rPr>
          <w:rFonts w:ascii="宋体" w:hAnsi="宋体"/>
          <w:w w:val="198"/>
          <w:kern w:val="0"/>
          <w:sz w:val="28"/>
          <w:szCs w:val="28"/>
          <w:u w:val="single"/>
        </w:rPr>
        <w:t xml:space="preserve"> 　　 　　 　　</w:t>
      </w:r>
      <w:r>
        <w:rPr>
          <w:rFonts w:ascii="宋体" w:hAnsi="宋体"/>
          <w:w w:val="99"/>
          <w:kern w:val="0"/>
          <w:sz w:val="28"/>
          <w:szCs w:val="28"/>
        </w:rPr>
        <w:t>（盖单位法人章）</w:t>
      </w:r>
    </w:p>
    <w:p>
      <w:pPr>
        <w:tabs>
          <w:tab w:val="left" w:pos="6080"/>
          <w:tab w:val="left" w:pos="6640"/>
        </w:tabs>
        <w:autoSpaceDE w:val="0"/>
        <w:autoSpaceDN w:val="0"/>
        <w:adjustRightInd w:val="0"/>
        <w:snapToGrid w:val="0"/>
        <w:spacing w:line="480" w:lineRule="auto"/>
        <w:jc w:val="center"/>
        <w:rPr>
          <w:rFonts w:ascii="宋体" w:hAnsi="宋体"/>
          <w:kern w:val="0"/>
          <w:sz w:val="28"/>
          <w:szCs w:val="28"/>
        </w:rPr>
      </w:pPr>
      <w:r>
        <w:rPr>
          <w:rFonts w:ascii="宋体" w:hAnsi="宋体"/>
          <w:w w:val="99"/>
          <w:kern w:val="0"/>
          <w:sz w:val="28"/>
          <w:szCs w:val="28"/>
        </w:rPr>
        <w:t>法定代表人或其委托代理人：</w:t>
      </w:r>
      <w:r>
        <w:rPr>
          <w:rFonts w:ascii="宋体" w:hAnsi="宋体"/>
          <w:w w:val="198"/>
          <w:kern w:val="0"/>
          <w:sz w:val="28"/>
          <w:szCs w:val="28"/>
          <w:u w:val="single"/>
        </w:rPr>
        <w:t xml:space="preserve"> 　 　</w:t>
      </w:r>
      <w:r>
        <w:rPr>
          <w:rFonts w:ascii="宋体" w:hAnsi="宋体"/>
          <w:w w:val="99"/>
          <w:kern w:val="0"/>
          <w:sz w:val="28"/>
          <w:szCs w:val="28"/>
        </w:rPr>
        <w:t>（</w:t>
      </w:r>
      <w:r>
        <w:rPr>
          <w:rFonts w:hint="eastAsia" w:ascii="宋体" w:hAnsi="宋体"/>
          <w:w w:val="99"/>
          <w:kern w:val="0"/>
          <w:sz w:val="28"/>
          <w:szCs w:val="28"/>
        </w:rPr>
        <w:t>签名</w:t>
      </w:r>
      <w:r>
        <w:rPr>
          <w:rFonts w:ascii="宋体" w:hAnsi="宋体"/>
          <w:w w:val="99"/>
          <w:kern w:val="0"/>
          <w:sz w:val="28"/>
          <w:szCs w:val="28"/>
        </w:rPr>
        <w:t>或盖章）</w:t>
      </w:r>
    </w:p>
    <w:p>
      <w:pPr>
        <w:tabs>
          <w:tab w:val="left" w:pos="3280"/>
          <w:tab w:val="left" w:pos="4680"/>
          <w:tab w:val="left" w:pos="6080"/>
        </w:tabs>
        <w:autoSpaceDE w:val="0"/>
        <w:autoSpaceDN w:val="0"/>
        <w:adjustRightInd w:val="0"/>
        <w:snapToGrid w:val="0"/>
        <w:spacing w:line="480" w:lineRule="auto"/>
        <w:jc w:val="center"/>
        <w:rPr>
          <w:rFonts w:ascii="宋体" w:hAnsi="宋体"/>
          <w:w w:val="99"/>
          <w:kern w:val="0"/>
          <w:sz w:val="28"/>
          <w:szCs w:val="28"/>
        </w:rPr>
      </w:pPr>
      <w:r>
        <w:rPr>
          <w:rFonts w:ascii="宋体" w:hAnsi="宋体"/>
          <w:w w:val="198"/>
          <w:kern w:val="0"/>
          <w:sz w:val="28"/>
          <w:szCs w:val="28"/>
          <w:u w:val="single"/>
        </w:rPr>
        <w:t xml:space="preserve"> </w:t>
      </w:r>
      <w:r>
        <w:rPr>
          <w:rFonts w:hint="eastAsia" w:ascii="宋体" w:hAnsi="宋体"/>
          <w:w w:val="198"/>
          <w:kern w:val="0"/>
          <w:sz w:val="28"/>
          <w:szCs w:val="28"/>
          <w:u w:val="single"/>
        </w:rPr>
        <w:t xml:space="preserve"> </w:t>
      </w:r>
      <w:r>
        <w:rPr>
          <w:rFonts w:ascii="宋体" w:hAnsi="宋体"/>
          <w:w w:val="198"/>
          <w:kern w:val="0"/>
          <w:sz w:val="28"/>
          <w:szCs w:val="28"/>
          <w:u w:val="single"/>
        </w:rPr>
        <w:t xml:space="preserve"> </w:t>
      </w:r>
      <w:r>
        <w:rPr>
          <w:rFonts w:hint="eastAsia" w:ascii="宋体" w:hAnsi="宋体"/>
          <w:w w:val="198"/>
          <w:kern w:val="0"/>
          <w:sz w:val="28"/>
          <w:szCs w:val="28"/>
          <w:u w:val="single"/>
        </w:rPr>
        <w:t xml:space="preserve"> </w:t>
      </w:r>
      <w:r>
        <w:rPr>
          <w:rFonts w:ascii="宋体" w:hAnsi="宋体"/>
          <w:w w:val="99"/>
          <w:kern w:val="0"/>
          <w:sz w:val="28"/>
          <w:szCs w:val="28"/>
        </w:rPr>
        <w:t>年</w:t>
      </w:r>
      <w:r>
        <w:rPr>
          <w:rFonts w:ascii="宋体" w:hAnsi="宋体"/>
          <w:w w:val="198"/>
          <w:kern w:val="0"/>
          <w:sz w:val="28"/>
          <w:szCs w:val="28"/>
          <w:u w:val="single"/>
        </w:rPr>
        <w:t xml:space="preserve"> </w:t>
      </w:r>
      <w:r>
        <w:rPr>
          <w:rFonts w:hint="eastAsia" w:ascii="宋体" w:hAnsi="宋体"/>
          <w:w w:val="198"/>
          <w:kern w:val="0"/>
          <w:sz w:val="28"/>
          <w:szCs w:val="28"/>
          <w:u w:val="single"/>
        </w:rPr>
        <w:t xml:space="preserve"> </w:t>
      </w:r>
      <w:r>
        <w:rPr>
          <w:rFonts w:ascii="宋体" w:hAnsi="宋体"/>
          <w:w w:val="198"/>
          <w:kern w:val="0"/>
          <w:sz w:val="28"/>
          <w:szCs w:val="28"/>
          <w:u w:val="single"/>
        </w:rPr>
        <w:t xml:space="preserve"> </w:t>
      </w:r>
      <w:r>
        <w:rPr>
          <w:rFonts w:hint="eastAsia" w:ascii="宋体" w:hAnsi="宋体"/>
          <w:w w:val="198"/>
          <w:kern w:val="0"/>
          <w:sz w:val="28"/>
          <w:szCs w:val="28"/>
          <w:u w:val="single"/>
        </w:rPr>
        <w:t xml:space="preserve"> </w:t>
      </w:r>
      <w:r>
        <w:rPr>
          <w:rFonts w:ascii="宋体" w:hAnsi="宋体"/>
          <w:w w:val="99"/>
          <w:kern w:val="0"/>
          <w:sz w:val="28"/>
          <w:szCs w:val="28"/>
        </w:rPr>
        <w:t>月</w:t>
      </w:r>
      <w:r>
        <w:rPr>
          <w:rFonts w:ascii="宋体" w:hAnsi="宋体"/>
          <w:w w:val="198"/>
          <w:kern w:val="0"/>
          <w:sz w:val="28"/>
          <w:szCs w:val="28"/>
          <w:u w:val="single"/>
        </w:rPr>
        <w:t xml:space="preserve"> </w:t>
      </w:r>
      <w:r>
        <w:rPr>
          <w:rFonts w:hint="eastAsia" w:ascii="宋体" w:hAnsi="宋体"/>
          <w:w w:val="198"/>
          <w:kern w:val="0"/>
          <w:sz w:val="28"/>
          <w:szCs w:val="28"/>
          <w:u w:val="single"/>
        </w:rPr>
        <w:t xml:space="preserve"> </w:t>
      </w:r>
      <w:r>
        <w:rPr>
          <w:rFonts w:ascii="宋体" w:hAnsi="宋体"/>
          <w:w w:val="198"/>
          <w:kern w:val="0"/>
          <w:sz w:val="28"/>
          <w:szCs w:val="28"/>
          <w:u w:val="single"/>
        </w:rPr>
        <w:t xml:space="preserve"> </w:t>
      </w:r>
      <w:r>
        <w:rPr>
          <w:rFonts w:hint="eastAsia" w:ascii="宋体" w:hAnsi="宋体"/>
          <w:w w:val="198"/>
          <w:kern w:val="0"/>
          <w:sz w:val="28"/>
          <w:szCs w:val="28"/>
          <w:u w:val="single"/>
        </w:rPr>
        <w:t xml:space="preserve"> </w:t>
      </w:r>
      <w:r>
        <w:rPr>
          <w:rFonts w:ascii="宋体" w:hAnsi="宋体"/>
          <w:w w:val="99"/>
          <w:kern w:val="0"/>
          <w:sz w:val="28"/>
          <w:szCs w:val="28"/>
        </w:rPr>
        <w:t>日</w:t>
      </w:r>
    </w:p>
    <w:p>
      <w:pPr>
        <w:spacing w:line="360" w:lineRule="auto"/>
        <w:jc w:val="center"/>
        <w:rPr>
          <w:rFonts w:ascii="宋体" w:hAnsi="宋体"/>
          <w:sz w:val="44"/>
          <w:szCs w:val="44"/>
        </w:rPr>
      </w:pPr>
    </w:p>
    <w:p>
      <w:pPr>
        <w:autoSpaceDE w:val="0"/>
        <w:autoSpaceDN w:val="0"/>
        <w:adjustRightInd w:val="0"/>
        <w:snapToGrid w:val="0"/>
        <w:spacing w:line="360" w:lineRule="auto"/>
        <w:jc w:val="center"/>
        <w:rPr>
          <w:rFonts w:ascii="宋体" w:hAnsi="宋体"/>
          <w:kern w:val="0"/>
          <w:szCs w:val="21"/>
        </w:rPr>
      </w:pPr>
      <w:r>
        <w:rPr>
          <w:rFonts w:hint="eastAsia" w:ascii="宋体" w:hAnsi="宋体"/>
          <w:kern w:val="0"/>
          <w:sz w:val="36"/>
          <w:szCs w:val="36"/>
        </w:rPr>
        <w:t>目  录</w:t>
      </w:r>
    </w:p>
    <w:p>
      <w:pPr>
        <w:autoSpaceDE w:val="0"/>
        <w:autoSpaceDN w:val="0"/>
        <w:adjustRightInd w:val="0"/>
        <w:snapToGrid w:val="0"/>
        <w:spacing w:line="360" w:lineRule="auto"/>
        <w:jc w:val="left"/>
        <w:rPr>
          <w:rFonts w:ascii="宋体" w:hAnsi="宋体"/>
          <w:kern w:val="0"/>
          <w:szCs w:val="21"/>
        </w:rPr>
      </w:pPr>
    </w:p>
    <w:p>
      <w:pPr>
        <w:autoSpaceDE w:val="0"/>
        <w:autoSpaceDN w:val="0"/>
        <w:adjustRightInd w:val="0"/>
        <w:snapToGrid w:val="0"/>
        <w:spacing w:line="360" w:lineRule="auto"/>
        <w:jc w:val="center"/>
        <w:rPr>
          <w:rFonts w:ascii="宋体" w:hAnsi="宋体"/>
          <w:i/>
          <w:iCs/>
          <w:kern w:val="0"/>
          <w:szCs w:val="21"/>
        </w:rPr>
      </w:pPr>
      <w:r>
        <w:rPr>
          <w:rFonts w:ascii="宋体" w:hAnsi="宋体"/>
          <w:i/>
          <w:iCs/>
          <w:kern w:val="0"/>
          <w:szCs w:val="21"/>
        </w:rPr>
        <w:t>[</w:t>
      </w:r>
      <w:r>
        <w:rPr>
          <w:rFonts w:hint="eastAsia" w:ascii="宋体" w:hAnsi="宋体"/>
          <w:i/>
          <w:iCs/>
          <w:kern w:val="0"/>
          <w:szCs w:val="21"/>
        </w:rPr>
        <w:t>提示：</w:t>
      </w:r>
      <w:r>
        <w:rPr>
          <w:rFonts w:ascii="宋体" w:hAnsi="宋体"/>
          <w:i/>
          <w:iCs/>
          <w:kern w:val="0"/>
          <w:szCs w:val="21"/>
        </w:rPr>
        <w:t>目录由</w:t>
      </w:r>
      <w:r>
        <w:rPr>
          <w:rFonts w:hint="eastAsia" w:ascii="宋体" w:hAnsi="宋体"/>
          <w:i/>
          <w:iCs/>
          <w:kern w:val="0"/>
          <w:szCs w:val="21"/>
          <w:lang w:eastAsia="zh-CN"/>
        </w:rPr>
        <w:t>竞标</w:t>
      </w:r>
      <w:r>
        <w:rPr>
          <w:rFonts w:ascii="宋体" w:hAnsi="宋体"/>
          <w:i/>
          <w:iCs/>
          <w:kern w:val="0"/>
          <w:szCs w:val="21"/>
        </w:rPr>
        <w:t>人自行编制]</w:t>
      </w:r>
    </w:p>
    <w:p>
      <w:r>
        <w:br w:type="page"/>
      </w:r>
    </w:p>
    <w:p>
      <w:pPr>
        <w:pStyle w:val="4"/>
        <w:spacing w:line="360" w:lineRule="auto"/>
        <w:jc w:val="center"/>
        <w:rPr>
          <w:rFonts w:ascii="宋体" w:hAnsi="宋体"/>
          <w:b w:val="0"/>
          <w:bCs w:val="0"/>
          <w:sz w:val="44"/>
          <w:szCs w:val="44"/>
        </w:rPr>
      </w:pPr>
      <w:bookmarkStart w:id="1758" w:name="_Toc22653"/>
      <w:r>
        <w:rPr>
          <w:rFonts w:hint="eastAsia" w:ascii="宋体" w:hAnsi="宋体"/>
          <w:b w:val="0"/>
          <w:bCs w:val="0"/>
          <w:sz w:val="44"/>
          <w:szCs w:val="44"/>
        </w:rPr>
        <w:t>五、</w:t>
      </w:r>
      <w:bookmarkEnd w:id="1748"/>
      <w:bookmarkEnd w:id="1749"/>
      <w:bookmarkEnd w:id="1750"/>
      <w:bookmarkEnd w:id="1751"/>
      <w:bookmarkEnd w:id="1752"/>
      <w:r>
        <w:rPr>
          <w:rFonts w:hint="eastAsia" w:ascii="宋体" w:hAnsi="宋体"/>
          <w:b w:val="0"/>
          <w:bCs w:val="0"/>
          <w:sz w:val="44"/>
          <w:szCs w:val="44"/>
        </w:rPr>
        <w:t>资格审查部分</w:t>
      </w:r>
      <w:bookmarkEnd w:id="1753"/>
      <w:bookmarkEnd w:id="1754"/>
      <w:bookmarkEnd w:id="1755"/>
      <w:bookmarkEnd w:id="1756"/>
      <w:bookmarkEnd w:id="1758"/>
    </w:p>
    <w:p>
      <w:pPr>
        <w:spacing w:line="360" w:lineRule="auto"/>
        <w:jc w:val="center"/>
        <w:rPr>
          <w:rFonts w:ascii="宋体" w:hAnsi="宋体"/>
          <w:kern w:val="0"/>
          <w:sz w:val="32"/>
          <w:szCs w:val="32"/>
        </w:rPr>
      </w:pPr>
      <w:r>
        <w:rPr>
          <w:rFonts w:ascii="宋体" w:hAnsi="宋体"/>
          <w:sz w:val="32"/>
          <w:szCs w:val="32"/>
        </w:rPr>
        <w:br w:type="page"/>
      </w:r>
      <w:r>
        <w:rPr>
          <w:rFonts w:hint="eastAsia" w:ascii="宋体" w:hAnsi="宋体"/>
          <w:kern w:val="0"/>
          <w:sz w:val="32"/>
          <w:szCs w:val="32"/>
          <w:u w:val="single"/>
        </w:rPr>
        <w:t xml:space="preserve">                   （项目名称）</w:t>
      </w:r>
    </w:p>
    <w:p>
      <w:pPr>
        <w:tabs>
          <w:tab w:val="left" w:pos="3600"/>
          <w:tab w:val="left" w:pos="4480"/>
          <w:tab w:val="left" w:pos="5360"/>
        </w:tabs>
        <w:autoSpaceDE w:val="0"/>
        <w:autoSpaceDN w:val="0"/>
        <w:adjustRightInd w:val="0"/>
        <w:snapToGrid w:val="0"/>
        <w:spacing w:line="360" w:lineRule="auto"/>
        <w:jc w:val="left"/>
        <w:rPr>
          <w:rFonts w:ascii="宋体" w:hAnsi="宋体" w:cs="MingLiU"/>
          <w:kern w:val="0"/>
          <w:sz w:val="44"/>
          <w:szCs w:val="44"/>
        </w:rPr>
      </w:pPr>
    </w:p>
    <w:p>
      <w:pPr>
        <w:tabs>
          <w:tab w:val="left" w:pos="3600"/>
          <w:tab w:val="left" w:pos="4480"/>
          <w:tab w:val="left" w:pos="5360"/>
        </w:tabs>
        <w:autoSpaceDE w:val="0"/>
        <w:autoSpaceDN w:val="0"/>
        <w:adjustRightInd w:val="0"/>
        <w:snapToGrid w:val="0"/>
        <w:spacing w:line="360" w:lineRule="auto"/>
        <w:jc w:val="left"/>
        <w:rPr>
          <w:rFonts w:ascii="宋体" w:hAnsi="宋体" w:cs="MingLiU"/>
          <w:kern w:val="0"/>
          <w:sz w:val="44"/>
          <w:szCs w:val="44"/>
        </w:rPr>
      </w:pPr>
    </w:p>
    <w:p>
      <w:pPr>
        <w:tabs>
          <w:tab w:val="left" w:pos="3600"/>
          <w:tab w:val="left" w:pos="4480"/>
          <w:tab w:val="left" w:pos="5360"/>
        </w:tabs>
        <w:autoSpaceDE w:val="0"/>
        <w:autoSpaceDN w:val="0"/>
        <w:adjustRightInd w:val="0"/>
        <w:snapToGrid w:val="0"/>
        <w:spacing w:line="360" w:lineRule="auto"/>
        <w:jc w:val="left"/>
        <w:rPr>
          <w:rFonts w:ascii="宋体" w:hAnsi="宋体" w:cs="MingLiU"/>
          <w:kern w:val="0"/>
          <w:sz w:val="44"/>
          <w:szCs w:val="44"/>
        </w:rPr>
      </w:pPr>
    </w:p>
    <w:p>
      <w:pPr>
        <w:tabs>
          <w:tab w:val="left" w:pos="3600"/>
          <w:tab w:val="left" w:pos="4480"/>
          <w:tab w:val="left" w:pos="5360"/>
        </w:tabs>
        <w:autoSpaceDE w:val="0"/>
        <w:autoSpaceDN w:val="0"/>
        <w:adjustRightInd w:val="0"/>
        <w:snapToGrid w:val="0"/>
        <w:spacing w:line="360" w:lineRule="auto"/>
        <w:jc w:val="center"/>
        <w:rPr>
          <w:rFonts w:ascii="宋体" w:hAnsi="宋体"/>
          <w:kern w:val="0"/>
          <w:sz w:val="72"/>
          <w:szCs w:val="72"/>
        </w:rPr>
      </w:pPr>
      <w:r>
        <w:rPr>
          <w:rFonts w:hint="eastAsia" w:ascii="宋体" w:hAnsi="宋体"/>
          <w:kern w:val="0"/>
          <w:sz w:val="72"/>
          <w:szCs w:val="72"/>
        </w:rPr>
        <w:t>比 选 申 请 文 件</w:t>
      </w:r>
    </w:p>
    <w:p>
      <w:pPr>
        <w:autoSpaceDE w:val="0"/>
        <w:autoSpaceDN w:val="0"/>
        <w:adjustRightInd w:val="0"/>
        <w:snapToGrid w:val="0"/>
        <w:spacing w:line="360" w:lineRule="auto"/>
        <w:jc w:val="left"/>
        <w:rPr>
          <w:rFonts w:ascii="宋体" w:hAnsi="宋体"/>
          <w:kern w:val="0"/>
          <w:sz w:val="16"/>
          <w:szCs w:val="16"/>
        </w:rPr>
      </w:pPr>
    </w:p>
    <w:p>
      <w:pPr>
        <w:autoSpaceDE w:val="0"/>
        <w:autoSpaceDN w:val="0"/>
        <w:adjustRightInd w:val="0"/>
        <w:snapToGrid w:val="0"/>
        <w:spacing w:line="360" w:lineRule="auto"/>
        <w:jc w:val="center"/>
        <w:rPr>
          <w:rFonts w:ascii="宋体" w:hAnsi="宋体"/>
          <w:kern w:val="0"/>
          <w:sz w:val="36"/>
          <w:szCs w:val="36"/>
        </w:rPr>
      </w:pPr>
      <w:r>
        <w:rPr>
          <w:rFonts w:hint="eastAsia" w:ascii="宋体" w:hAnsi="宋体"/>
          <w:kern w:val="0"/>
          <w:sz w:val="36"/>
          <w:szCs w:val="36"/>
        </w:rPr>
        <w:t>资格审查部分</w:t>
      </w:r>
    </w:p>
    <w:p>
      <w:pPr>
        <w:autoSpaceDE w:val="0"/>
        <w:autoSpaceDN w:val="0"/>
        <w:adjustRightInd w:val="0"/>
        <w:snapToGrid w:val="0"/>
        <w:spacing w:line="360" w:lineRule="auto"/>
        <w:jc w:val="left"/>
        <w:rPr>
          <w:rFonts w:ascii="宋体" w:hAnsi="宋体" w:cs="MingLiU"/>
          <w:kern w:val="0"/>
          <w:sz w:val="20"/>
          <w:szCs w:val="20"/>
        </w:rPr>
      </w:pPr>
    </w:p>
    <w:p>
      <w:pPr>
        <w:adjustRightInd w:val="0"/>
        <w:snapToGrid w:val="0"/>
        <w:spacing w:line="264" w:lineRule="auto"/>
        <w:rPr>
          <w:rFonts w:ascii="宋体" w:hAnsi="宋体"/>
          <w:szCs w:val="21"/>
        </w:rPr>
      </w:pPr>
    </w:p>
    <w:p>
      <w:pPr>
        <w:autoSpaceDE w:val="0"/>
        <w:autoSpaceDN w:val="0"/>
        <w:adjustRightInd w:val="0"/>
        <w:snapToGrid w:val="0"/>
        <w:spacing w:line="360" w:lineRule="auto"/>
        <w:jc w:val="left"/>
        <w:rPr>
          <w:rFonts w:ascii="宋体" w:hAnsi="宋体" w:cs="MingLiU"/>
          <w:kern w:val="0"/>
          <w:sz w:val="20"/>
          <w:szCs w:val="20"/>
        </w:rPr>
      </w:pPr>
    </w:p>
    <w:p>
      <w:pPr>
        <w:autoSpaceDE w:val="0"/>
        <w:autoSpaceDN w:val="0"/>
        <w:adjustRightInd w:val="0"/>
        <w:snapToGrid w:val="0"/>
        <w:spacing w:line="360" w:lineRule="auto"/>
        <w:jc w:val="left"/>
        <w:rPr>
          <w:rFonts w:ascii="宋体" w:hAnsi="宋体" w:cs="MingLiU"/>
          <w:kern w:val="0"/>
          <w:sz w:val="20"/>
          <w:szCs w:val="20"/>
        </w:rPr>
      </w:pPr>
    </w:p>
    <w:p>
      <w:pPr>
        <w:autoSpaceDE w:val="0"/>
        <w:autoSpaceDN w:val="0"/>
        <w:adjustRightInd w:val="0"/>
        <w:snapToGrid w:val="0"/>
        <w:spacing w:line="360" w:lineRule="auto"/>
        <w:jc w:val="left"/>
        <w:rPr>
          <w:rFonts w:ascii="宋体" w:hAnsi="宋体" w:cs="MingLiU"/>
          <w:kern w:val="0"/>
          <w:sz w:val="20"/>
          <w:szCs w:val="20"/>
        </w:rPr>
      </w:pPr>
    </w:p>
    <w:p>
      <w:pPr>
        <w:autoSpaceDE w:val="0"/>
        <w:autoSpaceDN w:val="0"/>
        <w:adjustRightInd w:val="0"/>
        <w:snapToGrid w:val="0"/>
        <w:spacing w:line="360" w:lineRule="auto"/>
        <w:jc w:val="left"/>
        <w:rPr>
          <w:rFonts w:ascii="宋体" w:hAnsi="宋体" w:cs="MingLiU"/>
          <w:kern w:val="0"/>
          <w:sz w:val="20"/>
          <w:szCs w:val="20"/>
        </w:rPr>
      </w:pPr>
    </w:p>
    <w:p>
      <w:pPr>
        <w:autoSpaceDE w:val="0"/>
        <w:autoSpaceDN w:val="0"/>
        <w:adjustRightInd w:val="0"/>
        <w:snapToGrid w:val="0"/>
        <w:spacing w:line="360" w:lineRule="auto"/>
        <w:jc w:val="left"/>
        <w:rPr>
          <w:rFonts w:ascii="宋体" w:hAnsi="宋体" w:cs="MingLiU"/>
          <w:kern w:val="0"/>
          <w:sz w:val="20"/>
          <w:szCs w:val="20"/>
        </w:rPr>
      </w:pPr>
    </w:p>
    <w:p>
      <w:pPr>
        <w:autoSpaceDE w:val="0"/>
        <w:autoSpaceDN w:val="0"/>
        <w:adjustRightInd w:val="0"/>
        <w:snapToGrid w:val="0"/>
        <w:spacing w:line="360" w:lineRule="auto"/>
        <w:jc w:val="left"/>
        <w:rPr>
          <w:rFonts w:ascii="宋体" w:hAnsi="宋体" w:cs="MingLiU"/>
          <w:kern w:val="0"/>
          <w:sz w:val="20"/>
          <w:szCs w:val="20"/>
        </w:rPr>
      </w:pPr>
    </w:p>
    <w:p>
      <w:pPr>
        <w:autoSpaceDE w:val="0"/>
        <w:autoSpaceDN w:val="0"/>
        <w:adjustRightInd w:val="0"/>
        <w:snapToGrid w:val="0"/>
        <w:spacing w:line="360" w:lineRule="auto"/>
        <w:jc w:val="left"/>
        <w:rPr>
          <w:rFonts w:ascii="宋体" w:hAnsi="宋体" w:cs="MingLiU"/>
          <w:kern w:val="0"/>
          <w:sz w:val="20"/>
          <w:szCs w:val="20"/>
        </w:rPr>
      </w:pPr>
    </w:p>
    <w:p>
      <w:pPr>
        <w:autoSpaceDE w:val="0"/>
        <w:autoSpaceDN w:val="0"/>
        <w:adjustRightInd w:val="0"/>
        <w:snapToGrid w:val="0"/>
        <w:spacing w:line="360" w:lineRule="auto"/>
        <w:jc w:val="left"/>
        <w:rPr>
          <w:rFonts w:ascii="宋体" w:hAnsi="宋体" w:cs="MingLiU"/>
          <w:kern w:val="0"/>
          <w:sz w:val="20"/>
          <w:szCs w:val="20"/>
        </w:rPr>
      </w:pPr>
    </w:p>
    <w:p>
      <w:pPr>
        <w:autoSpaceDE w:val="0"/>
        <w:autoSpaceDN w:val="0"/>
        <w:adjustRightInd w:val="0"/>
        <w:snapToGrid w:val="0"/>
        <w:spacing w:line="360" w:lineRule="auto"/>
        <w:jc w:val="left"/>
        <w:rPr>
          <w:rFonts w:ascii="宋体" w:hAnsi="宋体" w:cs="MingLiU"/>
          <w:kern w:val="0"/>
          <w:sz w:val="20"/>
          <w:szCs w:val="20"/>
        </w:rPr>
      </w:pPr>
    </w:p>
    <w:p>
      <w:pPr>
        <w:autoSpaceDE w:val="0"/>
        <w:autoSpaceDN w:val="0"/>
        <w:adjustRightInd w:val="0"/>
        <w:snapToGrid w:val="0"/>
        <w:spacing w:line="360" w:lineRule="auto"/>
        <w:jc w:val="left"/>
        <w:rPr>
          <w:rFonts w:ascii="宋体" w:hAnsi="宋体" w:cs="MingLiU"/>
          <w:kern w:val="0"/>
          <w:sz w:val="20"/>
          <w:szCs w:val="20"/>
        </w:rPr>
      </w:pPr>
    </w:p>
    <w:p>
      <w:pPr>
        <w:autoSpaceDE w:val="0"/>
        <w:autoSpaceDN w:val="0"/>
        <w:adjustRightInd w:val="0"/>
        <w:snapToGrid w:val="0"/>
        <w:spacing w:line="360" w:lineRule="auto"/>
        <w:jc w:val="left"/>
        <w:rPr>
          <w:rFonts w:ascii="宋体" w:hAnsi="宋体" w:cs="MingLiU"/>
          <w:kern w:val="0"/>
          <w:sz w:val="20"/>
          <w:szCs w:val="20"/>
        </w:rPr>
      </w:pPr>
    </w:p>
    <w:p>
      <w:pPr>
        <w:autoSpaceDE w:val="0"/>
        <w:autoSpaceDN w:val="0"/>
        <w:adjustRightInd w:val="0"/>
        <w:snapToGrid w:val="0"/>
        <w:spacing w:line="360" w:lineRule="auto"/>
        <w:jc w:val="left"/>
        <w:rPr>
          <w:rFonts w:ascii="宋体" w:hAnsi="宋体" w:cs="MingLiU"/>
          <w:kern w:val="0"/>
          <w:sz w:val="20"/>
          <w:szCs w:val="20"/>
        </w:rPr>
      </w:pPr>
    </w:p>
    <w:p>
      <w:pPr>
        <w:autoSpaceDE w:val="0"/>
        <w:autoSpaceDN w:val="0"/>
        <w:adjustRightInd w:val="0"/>
        <w:snapToGrid w:val="0"/>
        <w:spacing w:line="360" w:lineRule="auto"/>
        <w:jc w:val="left"/>
        <w:rPr>
          <w:rFonts w:ascii="宋体" w:hAnsi="宋体" w:cs="MingLiU"/>
          <w:kern w:val="0"/>
          <w:sz w:val="20"/>
          <w:szCs w:val="20"/>
        </w:rPr>
      </w:pPr>
    </w:p>
    <w:p>
      <w:pPr>
        <w:tabs>
          <w:tab w:val="left" w:pos="6080"/>
          <w:tab w:val="left" w:pos="6640"/>
        </w:tabs>
        <w:autoSpaceDE w:val="0"/>
        <w:autoSpaceDN w:val="0"/>
        <w:adjustRightInd w:val="0"/>
        <w:snapToGrid w:val="0"/>
        <w:spacing w:line="480" w:lineRule="auto"/>
        <w:jc w:val="center"/>
        <w:rPr>
          <w:rFonts w:ascii="宋体" w:hAnsi="宋体"/>
          <w:w w:val="99"/>
          <w:kern w:val="0"/>
          <w:sz w:val="28"/>
          <w:szCs w:val="28"/>
        </w:rPr>
      </w:pPr>
      <w:r>
        <w:rPr>
          <w:rFonts w:hint="eastAsia" w:ascii="宋体" w:hAnsi="宋体"/>
          <w:w w:val="99"/>
          <w:kern w:val="0"/>
          <w:sz w:val="28"/>
          <w:szCs w:val="28"/>
          <w:lang w:eastAsia="zh-CN"/>
        </w:rPr>
        <w:t>竞标</w:t>
      </w:r>
      <w:r>
        <w:rPr>
          <w:rFonts w:ascii="宋体" w:hAnsi="宋体"/>
          <w:w w:val="99"/>
          <w:kern w:val="0"/>
          <w:sz w:val="28"/>
          <w:szCs w:val="28"/>
        </w:rPr>
        <w:t>人</w:t>
      </w:r>
      <w:r>
        <w:rPr>
          <w:rFonts w:ascii="宋体" w:hAnsi="宋体"/>
          <w:spacing w:val="1"/>
          <w:w w:val="99"/>
          <w:kern w:val="0"/>
          <w:sz w:val="28"/>
          <w:szCs w:val="28"/>
        </w:rPr>
        <w:t>：</w:t>
      </w:r>
      <w:r>
        <w:rPr>
          <w:rFonts w:ascii="宋体" w:hAnsi="宋体"/>
          <w:w w:val="198"/>
          <w:kern w:val="0"/>
          <w:sz w:val="28"/>
          <w:szCs w:val="28"/>
          <w:u w:val="single"/>
        </w:rPr>
        <w:t xml:space="preserve"> 　　 　　 　　</w:t>
      </w:r>
      <w:r>
        <w:rPr>
          <w:rFonts w:ascii="宋体" w:hAnsi="宋体"/>
          <w:w w:val="99"/>
          <w:kern w:val="0"/>
          <w:sz w:val="28"/>
          <w:szCs w:val="28"/>
        </w:rPr>
        <w:t>（盖单位法人章）</w:t>
      </w:r>
    </w:p>
    <w:p>
      <w:pPr>
        <w:tabs>
          <w:tab w:val="left" w:pos="6080"/>
          <w:tab w:val="left" w:pos="6640"/>
        </w:tabs>
        <w:autoSpaceDE w:val="0"/>
        <w:autoSpaceDN w:val="0"/>
        <w:adjustRightInd w:val="0"/>
        <w:snapToGrid w:val="0"/>
        <w:spacing w:line="480" w:lineRule="auto"/>
        <w:jc w:val="center"/>
        <w:rPr>
          <w:rFonts w:ascii="宋体" w:hAnsi="宋体"/>
          <w:kern w:val="0"/>
          <w:sz w:val="28"/>
          <w:szCs w:val="28"/>
        </w:rPr>
      </w:pPr>
      <w:r>
        <w:rPr>
          <w:rFonts w:ascii="宋体" w:hAnsi="宋体"/>
          <w:w w:val="99"/>
          <w:kern w:val="0"/>
          <w:sz w:val="28"/>
          <w:szCs w:val="28"/>
        </w:rPr>
        <w:t>法定代表人或其委托代理人：</w:t>
      </w:r>
      <w:r>
        <w:rPr>
          <w:rFonts w:ascii="宋体" w:hAnsi="宋体"/>
          <w:w w:val="198"/>
          <w:kern w:val="0"/>
          <w:sz w:val="28"/>
          <w:szCs w:val="28"/>
          <w:u w:val="single"/>
        </w:rPr>
        <w:t xml:space="preserve"> 　 　</w:t>
      </w:r>
      <w:r>
        <w:rPr>
          <w:rFonts w:ascii="宋体" w:hAnsi="宋体"/>
          <w:w w:val="99"/>
          <w:kern w:val="0"/>
          <w:sz w:val="28"/>
          <w:szCs w:val="28"/>
        </w:rPr>
        <w:t>（</w:t>
      </w:r>
      <w:r>
        <w:rPr>
          <w:rFonts w:hint="eastAsia" w:ascii="宋体" w:hAnsi="宋体"/>
          <w:w w:val="99"/>
          <w:kern w:val="0"/>
          <w:sz w:val="28"/>
          <w:szCs w:val="28"/>
        </w:rPr>
        <w:t>签名</w:t>
      </w:r>
      <w:r>
        <w:rPr>
          <w:rFonts w:ascii="宋体" w:hAnsi="宋体"/>
          <w:w w:val="99"/>
          <w:kern w:val="0"/>
          <w:sz w:val="28"/>
          <w:szCs w:val="28"/>
        </w:rPr>
        <w:t>或盖章）</w:t>
      </w:r>
    </w:p>
    <w:p>
      <w:pPr>
        <w:tabs>
          <w:tab w:val="left" w:pos="3280"/>
          <w:tab w:val="left" w:pos="4680"/>
          <w:tab w:val="left" w:pos="6080"/>
        </w:tabs>
        <w:autoSpaceDE w:val="0"/>
        <w:autoSpaceDN w:val="0"/>
        <w:adjustRightInd w:val="0"/>
        <w:snapToGrid w:val="0"/>
        <w:spacing w:line="480" w:lineRule="auto"/>
        <w:jc w:val="center"/>
        <w:rPr>
          <w:rFonts w:ascii="宋体" w:hAnsi="宋体"/>
          <w:w w:val="99"/>
          <w:kern w:val="0"/>
          <w:sz w:val="28"/>
          <w:szCs w:val="28"/>
        </w:rPr>
      </w:pPr>
      <w:r>
        <w:rPr>
          <w:rFonts w:ascii="宋体" w:hAnsi="宋体"/>
          <w:w w:val="198"/>
          <w:kern w:val="0"/>
          <w:sz w:val="28"/>
          <w:szCs w:val="28"/>
          <w:u w:val="single"/>
        </w:rPr>
        <w:t xml:space="preserve"> </w:t>
      </w:r>
      <w:r>
        <w:rPr>
          <w:rFonts w:hint="eastAsia" w:ascii="宋体" w:hAnsi="宋体"/>
          <w:w w:val="198"/>
          <w:kern w:val="0"/>
          <w:sz w:val="28"/>
          <w:szCs w:val="28"/>
          <w:u w:val="single"/>
        </w:rPr>
        <w:t xml:space="preserve"> </w:t>
      </w:r>
      <w:r>
        <w:rPr>
          <w:rFonts w:ascii="宋体" w:hAnsi="宋体"/>
          <w:w w:val="198"/>
          <w:kern w:val="0"/>
          <w:sz w:val="28"/>
          <w:szCs w:val="28"/>
          <w:u w:val="single"/>
        </w:rPr>
        <w:t xml:space="preserve"> </w:t>
      </w:r>
      <w:r>
        <w:rPr>
          <w:rFonts w:hint="eastAsia" w:ascii="宋体" w:hAnsi="宋体"/>
          <w:w w:val="198"/>
          <w:kern w:val="0"/>
          <w:sz w:val="28"/>
          <w:szCs w:val="28"/>
          <w:u w:val="single"/>
        </w:rPr>
        <w:t xml:space="preserve"> </w:t>
      </w:r>
      <w:r>
        <w:rPr>
          <w:rFonts w:ascii="宋体" w:hAnsi="宋体"/>
          <w:w w:val="99"/>
          <w:kern w:val="0"/>
          <w:sz w:val="28"/>
          <w:szCs w:val="28"/>
        </w:rPr>
        <w:t>年</w:t>
      </w:r>
      <w:r>
        <w:rPr>
          <w:rFonts w:ascii="宋体" w:hAnsi="宋体"/>
          <w:w w:val="198"/>
          <w:kern w:val="0"/>
          <w:sz w:val="28"/>
          <w:szCs w:val="28"/>
          <w:u w:val="single"/>
        </w:rPr>
        <w:t xml:space="preserve"> </w:t>
      </w:r>
      <w:r>
        <w:rPr>
          <w:rFonts w:hint="eastAsia" w:ascii="宋体" w:hAnsi="宋体"/>
          <w:w w:val="198"/>
          <w:kern w:val="0"/>
          <w:sz w:val="28"/>
          <w:szCs w:val="28"/>
          <w:u w:val="single"/>
        </w:rPr>
        <w:t xml:space="preserve"> </w:t>
      </w:r>
      <w:r>
        <w:rPr>
          <w:rFonts w:ascii="宋体" w:hAnsi="宋体"/>
          <w:w w:val="198"/>
          <w:kern w:val="0"/>
          <w:sz w:val="28"/>
          <w:szCs w:val="28"/>
          <w:u w:val="single"/>
        </w:rPr>
        <w:t xml:space="preserve"> </w:t>
      </w:r>
      <w:r>
        <w:rPr>
          <w:rFonts w:hint="eastAsia" w:ascii="宋体" w:hAnsi="宋体"/>
          <w:w w:val="198"/>
          <w:kern w:val="0"/>
          <w:sz w:val="28"/>
          <w:szCs w:val="28"/>
          <w:u w:val="single"/>
        </w:rPr>
        <w:t xml:space="preserve"> </w:t>
      </w:r>
      <w:r>
        <w:rPr>
          <w:rFonts w:ascii="宋体" w:hAnsi="宋体"/>
          <w:w w:val="99"/>
          <w:kern w:val="0"/>
          <w:sz w:val="28"/>
          <w:szCs w:val="28"/>
        </w:rPr>
        <w:t>月</w:t>
      </w:r>
      <w:r>
        <w:rPr>
          <w:rFonts w:ascii="宋体" w:hAnsi="宋体"/>
          <w:w w:val="198"/>
          <w:kern w:val="0"/>
          <w:sz w:val="28"/>
          <w:szCs w:val="28"/>
          <w:u w:val="single"/>
        </w:rPr>
        <w:t xml:space="preserve"> </w:t>
      </w:r>
      <w:r>
        <w:rPr>
          <w:rFonts w:hint="eastAsia" w:ascii="宋体" w:hAnsi="宋体"/>
          <w:w w:val="198"/>
          <w:kern w:val="0"/>
          <w:sz w:val="28"/>
          <w:szCs w:val="28"/>
          <w:u w:val="single"/>
        </w:rPr>
        <w:t xml:space="preserve"> </w:t>
      </w:r>
      <w:r>
        <w:rPr>
          <w:rFonts w:ascii="宋体" w:hAnsi="宋体"/>
          <w:w w:val="198"/>
          <w:kern w:val="0"/>
          <w:sz w:val="28"/>
          <w:szCs w:val="28"/>
          <w:u w:val="single"/>
        </w:rPr>
        <w:t xml:space="preserve"> </w:t>
      </w:r>
      <w:r>
        <w:rPr>
          <w:rFonts w:hint="eastAsia" w:ascii="宋体" w:hAnsi="宋体"/>
          <w:w w:val="198"/>
          <w:kern w:val="0"/>
          <w:sz w:val="28"/>
          <w:szCs w:val="28"/>
          <w:u w:val="single"/>
        </w:rPr>
        <w:t xml:space="preserve"> </w:t>
      </w:r>
      <w:r>
        <w:rPr>
          <w:rFonts w:ascii="宋体" w:hAnsi="宋体"/>
          <w:w w:val="99"/>
          <w:kern w:val="0"/>
          <w:sz w:val="28"/>
          <w:szCs w:val="28"/>
        </w:rPr>
        <w:t>日</w:t>
      </w:r>
    </w:p>
    <w:p>
      <w:pPr>
        <w:tabs>
          <w:tab w:val="left" w:pos="3280"/>
          <w:tab w:val="left" w:pos="4680"/>
          <w:tab w:val="left" w:pos="6080"/>
        </w:tabs>
        <w:autoSpaceDE w:val="0"/>
        <w:autoSpaceDN w:val="0"/>
        <w:adjustRightInd w:val="0"/>
        <w:snapToGrid w:val="0"/>
        <w:spacing w:line="480" w:lineRule="auto"/>
        <w:jc w:val="center"/>
        <w:rPr>
          <w:rFonts w:ascii="宋体" w:hAnsi="宋体"/>
          <w:b/>
          <w:kern w:val="0"/>
          <w:sz w:val="28"/>
          <w:szCs w:val="28"/>
        </w:rPr>
      </w:pPr>
      <w:r>
        <w:rPr>
          <w:rFonts w:ascii="宋体" w:hAnsi="宋体"/>
          <w:w w:val="99"/>
          <w:kern w:val="0"/>
          <w:sz w:val="28"/>
          <w:szCs w:val="28"/>
        </w:rPr>
        <w:br w:type="page"/>
      </w:r>
    </w:p>
    <w:p>
      <w:pPr>
        <w:autoSpaceDE w:val="0"/>
        <w:autoSpaceDN w:val="0"/>
        <w:adjustRightInd w:val="0"/>
        <w:snapToGrid w:val="0"/>
        <w:jc w:val="center"/>
        <w:rPr>
          <w:rFonts w:ascii="宋体" w:hAnsi="宋体"/>
          <w:kern w:val="0"/>
          <w:sz w:val="36"/>
          <w:szCs w:val="36"/>
        </w:rPr>
      </w:pPr>
      <w:r>
        <w:rPr>
          <w:rFonts w:hint="eastAsia" w:ascii="宋体" w:hAnsi="宋体"/>
          <w:kern w:val="0"/>
          <w:sz w:val="36"/>
          <w:szCs w:val="36"/>
        </w:rPr>
        <w:t>目  录</w:t>
      </w:r>
    </w:p>
    <w:p>
      <w:pPr>
        <w:spacing w:line="360" w:lineRule="auto"/>
        <w:jc w:val="center"/>
        <w:rPr>
          <w:rFonts w:ascii="宋体" w:hAnsi="宋体"/>
          <w:b/>
          <w:kern w:val="0"/>
          <w:sz w:val="32"/>
          <w:szCs w:val="32"/>
        </w:rPr>
      </w:pPr>
    </w:p>
    <w:p>
      <w:pPr>
        <w:spacing w:line="360" w:lineRule="auto"/>
        <w:ind w:firstLine="420" w:firstLineChars="200"/>
        <w:rPr>
          <w:rFonts w:ascii="宋体" w:hAnsi="宋体"/>
          <w:szCs w:val="21"/>
        </w:rPr>
      </w:pPr>
      <w:r>
        <w:rPr>
          <w:rFonts w:ascii="宋体" w:hAnsi="宋体"/>
          <w:szCs w:val="21"/>
        </w:rPr>
        <w:t>（一）</w:t>
      </w:r>
      <w:r>
        <w:rPr>
          <w:rFonts w:hint="eastAsia" w:ascii="宋体" w:hAnsi="宋体"/>
          <w:szCs w:val="21"/>
        </w:rPr>
        <w:t>法定代表人身份证明或附有法定代表人身份证明的授权委托书</w:t>
      </w:r>
    </w:p>
    <w:p>
      <w:pPr>
        <w:spacing w:line="360" w:lineRule="auto"/>
        <w:ind w:firstLine="420" w:firstLineChars="200"/>
        <w:rPr>
          <w:rFonts w:ascii="宋体" w:hAnsi="宋体"/>
          <w:szCs w:val="21"/>
        </w:rPr>
      </w:pPr>
      <w:r>
        <w:rPr>
          <w:rFonts w:ascii="宋体" w:hAnsi="宋体"/>
          <w:szCs w:val="21"/>
        </w:rPr>
        <w:t>（</w:t>
      </w:r>
      <w:r>
        <w:rPr>
          <w:rFonts w:hint="eastAsia" w:ascii="宋体" w:hAnsi="宋体"/>
          <w:szCs w:val="21"/>
        </w:rPr>
        <w:t>二</w:t>
      </w:r>
      <w:r>
        <w:rPr>
          <w:rFonts w:ascii="宋体" w:hAnsi="宋体"/>
          <w:szCs w:val="21"/>
        </w:rPr>
        <w:t>）</w:t>
      </w:r>
      <w:r>
        <w:rPr>
          <w:rFonts w:hint="eastAsia" w:ascii="宋体" w:hAnsi="宋体"/>
          <w:szCs w:val="21"/>
          <w:lang w:eastAsia="zh-CN"/>
        </w:rPr>
        <w:t>竞标</w:t>
      </w:r>
      <w:r>
        <w:rPr>
          <w:rFonts w:ascii="宋体" w:hAnsi="宋体"/>
          <w:szCs w:val="21"/>
        </w:rPr>
        <w:t>人基本情况表</w:t>
      </w:r>
    </w:p>
    <w:p>
      <w:pPr>
        <w:spacing w:line="360" w:lineRule="auto"/>
        <w:ind w:firstLine="420" w:firstLineChars="200"/>
        <w:rPr>
          <w:rFonts w:ascii="宋体" w:hAnsi="宋体"/>
          <w:szCs w:val="21"/>
        </w:rPr>
      </w:pPr>
      <w:r>
        <w:rPr>
          <w:rFonts w:ascii="宋体" w:hAnsi="宋体"/>
          <w:szCs w:val="21"/>
        </w:rPr>
        <w:t>（</w:t>
      </w:r>
      <w:r>
        <w:rPr>
          <w:rFonts w:hint="eastAsia" w:ascii="宋体" w:hAnsi="宋体"/>
          <w:szCs w:val="21"/>
        </w:rPr>
        <w:t>三</w:t>
      </w:r>
      <w:r>
        <w:rPr>
          <w:rFonts w:ascii="宋体" w:hAnsi="宋体"/>
          <w:szCs w:val="21"/>
        </w:rPr>
        <w:t>）项目管理机构</w:t>
      </w:r>
    </w:p>
    <w:p>
      <w:pPr>
        <w:spacing w:line="360" w:lineRule="auto"/>
        <w:ind w:firstLine="420" w:firstLineChars="200"/>
        <w:rPr>
          <w:rFonts w:ascii="宋体" w:hAnsi="宋体"/>
          <w:szCs w:val="21"/>
        </w:rPr>
      </w:pPr>
      <w:r>
        <w:rPr>
          <w:rFonts w:ascii="宋体" w:hAnsi="宋体"/>
          <w:szCs w:val="21"/>
        </w:rPr>
        <w:t>（</w:t>
      </w:r>
      <w:r>
        <w:rPr>
          <w:rFonts w:hint="eastAsia" w:ascii="宋体" w:hAnsi="宋体"/>
          <w:szCs w:val="21"/>
        </w:rPr>
        <w:t>四</w:t>
      </w:r>
      <w:r>
        <w:rPr>
          <w:rFonts w:ascii="宋体" w:hAnsi="宋体"/>
          <w:szCs w:val="21"/>
        </w:rPr>
        <w:t>）近年财务状况表</w:t>
      </w:r>
    </w:p>
    <w:p>
      <w:pPr>
        <w:spacing w:line="360" w:lineRule="auto"/>
        <w:ind w:firstLine="420" w:firstLineChars="200"/>
        <w:rPr>
          <w:rFonts w:ascii="宋体" w:hAnsi="宋体"/>
          <w:szCs w:val="21"/>
        </w:rPr>
      </w:pPr>
      <w:r>
        <w:rPr>
          <w:rFonts w:ascii="宋体" w:hAnsi="宋体"/>
          <w:szCs w:val="21"/>
        </w:rPr>
        <w:t>（</w:t>
      </w:r>
      <w:r>
        <w:rPr>
          <w:rFonts w:hint="eastAsia" w:ascii="宋体" w:hAnsi="宋体"/>
          <w:szCs w:val="21"/>
        </w:rPr>
        <w:t>五</w:t>
      </w:r>
      <w:r>
        <w:rPr>
          <w:rFonts w:ascii="宋体" w:hAnsi="宋体"/>
          <w:szCs w:val="21"/>
        </w:rPr>
        <w:t>）类似项目情况表</w:t>
      </w:r>
    </w:p>
    <w:p>
      <w:pPr>
        <w:spacing w:line="360" w:lineRule="auto"/>
        <w:ind w:firstLine="420" w:firstLineChars="200"/>
        <w:rPr>
          <w:rFonts w:ascii="宋体" w:hAnsi="宋体"/>
          <w:szCs w:val="21"/>
        </w:rPr>
      </w:pPr>
      <w:r>
        <w:rPr>
          <w:rFonts w:ascii="宋体" w:hAnsi="宋体"/>
          <w:szCs w:val="21"/>
        </w:rPr>
        <w:t>（</w:t>
      </w:r>
      <w:r>
        <w:rPr>
          <w:rFonts w:hint="eastAsia" w:ascii="宋体" w:hAnsi="宋体"/>
          <w:szCs w:val="21"/>
        </w:rPr>
        <w:t>六</w:t>
      </w:r>
      <w:r>
        <w:rPr>
          <w:rFonts w:ascii="宋体" w:hAnsi="宋体"/>
          <w:szCs w:val="21"/>
        </w:rPr>
        <w:t>）</w:t>
      </w:r>
      <w:r>
        <w:rPr>
          <w:rFonts w:hint="eastAsia" w:ascii="宋体" w:hAnsi="宋体"/>
          <w:szCs w:val="21"/>
        </w:rPr>
        <w:t>承诺</w:t>
      </w:r>
    </w:p>
    <w:p>
      <w:pPr>
        <w:spacing w:line="360" w:lineRule="auto"/>
        <w:ind w:firstLine="420" w:firstLineChars="200"/>
        <w:rPr>
          <w:rFonts w:ascii="宋体" w:hAnsi="宋体"/>
          <w:szCs w:val="21"/>
        </w:rPr>
      </w:pPr>
      <w:r>
        <w:rPr>
          <w:rFonts w:ascii="宋体" w:hAnsi="宋体"/>
          <w:szCs w:val="21"/>
        </w:rPr>
        <w:t>（</w:t>
      </w:r>
      <w:r>
        <w:rPr>
          <w:rFonts w:hint="eastAsia" w:ascii="宋体" w:hAnsi="宋体"/>
          <w:szCs w:val="21"/>
        </w:rPr>
        <w:t>七</w:t>
      </w:r>
      <w:r>
        <w:rPr>
          <w:rFonts w:ascii="宋体" w:hAnsi="宋体"/>
          <w:szCs w:val="21"/>
        </w:rPr>
        <w:t>）其他资料</w:t>
      </w:r>
    </w:p>
    <w:p>
      <w:pPr>
        <w:spacing w:line="360" w:lineRule="auto"/>
        <w:jc w:val="center"/>
        <w:rPr>
          <w:rFonts w:ascii="宋体" w:hAnsi="宋体"/>
          <w:b/>
          <w:kern w:val="0"/>
          <w:sz w:val="32"/>
          <w:szCs w:val="32"/>
        </w:rPr>
      </w:pPr>
    </w:p>
    <w:p>
      <w:pPr>
        <w:spacing w:line="360" w:lineRule="auto"/>
        <w:jc w:val="center"/>
        <w:rPr>
          <w:rFonts w:ascii="宋体" w:hAnsi="宋体"/>
          <w:b/>
          <w:kern w:val="0"/>
          <w:sz w:val="32"/>
          <w:szCs w:val="32"/>
        </w:rPr>
      </w:pPr>
    </w:p>
    <w:p>
      <w:pPr>
        <w:pStyle w:val="5"/>
        <w:spacing w:before="0" w:after="0" w:line="240" w:lineRule="auto"/>
        <w:jc w:val="center"/>
        <w:rPr>
          <w:rFonts w:ascii="宋体" w:hAnsi="宋体"/>
          <w:sz w:val="36"/>
          <w:szCs w:val="36"/>
        </w:rPr>
      </w:pPr>
      <w:r>
        <w:rPr>
          <w:rFonts w:ascii="宋体" w:hAnsi="宋体"/>
        </w:rPr>
        <w:br w:type="page"/>
      </w:r>
      <w:bookmarkStart w:id="1759" w:name="_Toc277082657"/>
      <w:bookmarkStart w:id="1760" w:name="_Toc11519"/>
      <w:bookmarkStart w:id="1761" w:name="_Toc10752"/>
      <w:bookmarkStart w:id="1762" w:name="_Toc8760"/>
      <w:bookmarkStart w:id="1763" w:name="_Toc287620830"/>
      <w:bookmarkStart w:id="1764" w:name="_Toc287607883"/>
      <w:bookmarkStart w:id="1765" w:name="_Toc430530546"/>
      <w:bookmarkStart w:id="1766" w:name="_Toc30357"/>
      <w:bookmarkStart w:id="1767" w:name="_Toc224103511"/>
      <w:bookmarkStart w:id="1768" w:name="_Toc7507"/>
      <w:r>
        <w:rPr>
          <w:rFonts w:hint="eastAsia" w:ascii="宋体" w:hAnsi="宋体"/>
          <w:b w:val="0"/>
          <w:bCs w:val="0"/>
        </w:rPr>
        <w:t>（一）法定代表人身份证明或附有法定代表人身份证明的授权委托书</w:t>
      </w:r>
      <w:bookmarkEnd w:id="1759"/>
      <w:bookmarkEnd w:id="1760"/>
      <w:bookmarkEnd w:id="1761"/>
      <w:bookmarkEnd w:id="1762"/>
      <w:bookmarkEnd w:id="1763"/>
      <w:bookmarkEnd w:id="1764"/>
      <w:bookmarkEnd w:id="1765"/>
      <w:bookmarkEnd w:id="1766"/>
      <w:bookmarkEnd w:id="1767"/>
      <w:bookmarkEnd w:id="1768"/>
    </w:p>
    <w:p>
      <w:pPr>
        <w:spacing w:line="480" w:lineRule="auto"/>
        <w:jc w:val="center"/>
        <w:rPr>
          <w:rFonts w:ascii="宋体" w:hAnsi="宋体"/>
          <w:sz w:val="28"/>
        </w:rPr>
      </w:pPr>
      <w:r>
        <w:rPr>
          <w:rFonts w:hint="eastAsia" w:ascii="宋体" w:hAnsi="宋体"/>
          <w:sz w:val="28"/>
        </w:rPr>
        <w:t>法定代表人身份证明</w:t>
      </w:r>
    </w:p>
    <w:p>
      <w:pPr>
        <w:spacing w:line="480" w:lineRule="auto"/>
        <w:jc w:val="center"/>
        <w:rPr>
          <w:rFonts w:ascii="宋体" w:hAnsi="宋体"/>
        </w:rPr>
      </w:pPr>
    </w:p>
    <w:p>
      <w:pPr>
        <w:tabs>
          <w:tab w:val="left" w:pos="5565"/>
        </w:tabs>
        <w:autoSpaceDE w:val="0"/>
        <w:autoSpaceDN w:val="0"/>
        <w:adjustRightInd w:val="0"/>
        <w:snapToGrid w:val="0"/>
        <w:spacing w:line="480" w:lineRule="auto"/>
        <w:ind w:firstLine="390" w:firstLineChars="186"/>
        <w:jc w:val="left"/>
        <w:rPr>
          <w:rFonts w:ascii="宋体" w:hAnsi="宋体"/>
          <w:kern w:val="0"/>
          <w:szCs w:val="21"/>
        </w:rPr>
      </w:pPr>
      <w:r>
        <w:rPr>
          <w:rFonts w:hint="eastAsia" w:ascii="宋体" w:hAnsi="宋体"/>
          <w:kern w:val="0"/>
          <w:szCs w:val="21"/>
          <w:lang w:eastAsia="zh-CN"/>
        </w:rPr>
        <w:t>竞标</w:t>
      </w:r>
      <w:r>
        <w:rPr>
          <w:rFonts w:hint="eastAsia" w:ascii="宋体" w:hAnsi="宋体"/>
          <w:kern w:val="0"/>
          <w:szCs w:val="21"/>
        </w:rPr>
        <w:t>人</w:t>
      </w:r>
      <w:r>
        <w:rPr>
          <w:rFonts w:ascii="宋体" w:hAnsi="宋体"/>
          <w:kern w:val="0"/>
          <w:szCs w:val="21"/>
        </w:rPr>
        <w:t>名称：</w:t>
      </w:r>
      <w:r>
        <w:rPr>
          <w:rFonts w:ascii="宋体" w:hAnsi="宋体"/>
          <w:w w:val="200"/>
          <w:kern w:val="0"/>
          <w:szCs w:val="21"/>
          <w:u w:val="single"/>
        </w:rPr>
        <w:t xml:space="preserve"> </w:t>
      </w:r>
      <w:r>
        <w:rPr>
          <w:rFonts w:hint="eastAsia" w:ascii="宋体" w:hAnsi="宋体"/>
          <w:w w:val="200"/>
          <w:kern w:val="0"/>
          <w:szCs w:val="21"/>
          <w:u w:val="single"/>
        </w:rPr>
        <w:t xml:space="preserve">                                    </w:t>
      </w:r>
    </w:p>
    <w:p>
      <w:pPr>
        <w:tabs>
          <w:tab w:val="left" w:pos="5475"/>
        </w:tabs>
        <w:autoSpaceDE w:val="0"/>
        <w:autoSpaceDN w:val="0"/>
        <w:adjustRightInd w:val="0"/>
        <w:snapToGrid w:val="0"/>
        <w:spacing w:line="480" w:lineRule="auto"/>
        <w:ind w:firstLine="390" w:firstLineChars="186"/>
        <w:jc w:val="left"/>
        <w:rPr>
          <w:rFonts w:ascii="宋体" w:hAnsi="宋体"/>
          <w:kern w:val="0"/>
          <w:szCs w:val="21"/>
        </w:rPr>
      </w:pPr>
      <w:r>
        <w:rPr>
          <w:rFonts w:ascii="宋体" w:hAnsi="宋体"/>
          <w:kern w:val="0"/>
          <w:szCs w:val="21"/>
        </w:rPr>
        <w:t>单位性质：</w:t>
      </w:r>
      <w:r>
        <w:rPr>
          <w:rFonts w:ascii="宋体" w:hAnsi="宋体"/>
          <w:w w:val="200"/>
          <w:kern w:val="0"/>
          <w:szCs w:val="21"/>
          <w:u w:val="single"/>
        </w:rPr>
        <w:t xml:space="preserve"> </w:t>
      </w:r>
      <w:r>
        <w:rPr>
          <w:rFonts w:hint="eastAsia" w:ascii="宋体" w:hAnsi="宋体"/>
          <w:w w:val="200"/>
          <w:kern w:val="0"/>
          <w:szCs w:val="21"/>
          <w:u w:val="single"/>
        </w:rPr>
        <w:t xml:space="preserve">                                    </w:t>
      </w:r>
    </w:p>
    <w:p>
      <w:pPr>
        <w:tabs>
          <w:tab w:val="left" w:pos="5475"/>
        </w:tabs>
        <w:autoSpaceDE w:val="0"/>
        <w:autoSpaceDN w:val="0"/>
        <w:adjustRightInd w:val="0"/>
        <w:snapToGrid w:val="0"/>
        <w:spacing w:line="480" w:lineRule="auto"/>
        <w:ind w:firstLine="390" w:firstLineChars="186"/>
        <w:jc w:val="left"/>
        <w:rPr>
          <w:rFonts w:ascii="宋体" w:hAnsi="宋体"/>
          <w:kern w:val="0"/>
          <w:szCs w:val="21"/>
        </w:rPr>
      </w:pPr>
      <w:r>
        <w:rPr>
          <w:rFonts w:ascii="宋体" w:hAnsi="宋体"/>
          <w:kern w:val="0"/>
          <w:szCs w:val="21"/>
        </w:rPr>
        <w:t>地</w:t>
      </w:r>
      <w:r>
        <w:rPr>
          <w:rFonts w:hint="eastAsia" w:ascii="宋体" w:hAnsi="宋体"/>
          <w:kern w:val="0"/>
          <w:szCs w:val="21"/>
        </w:rPr>
        <w:t xml:space="preserve">    </w:t>
      </w:r>
      <w:r>
        <w:rPr>
          <w:rFonts w:ascii="宋体" w:hAnsi="宋体"/>
          <w:kern w:val="0"/>
          <w:szCs w:val="21"/>
        </w:rPr>
        <w:t>址：</w:t>
      </w:r>
      <w:r>
        <w:rPr>
          <w:rFonts w:ascii="宋体" w:hAnsi="宋体"/>
          <w:w w:val="200"/>
          <w:kern w:val="0"/>
          <w:szCs w:val="21"/>
          <w:u w:val="single"/>
        </w:rPr>
        <w:t xml:space="preserve"> </w:t>
      </w:r>
      <w:r>
        <w:rPr>
          <w:rFonts w:hint="eastAsia" w:ascii="宋体" w:hAnsi="宋体"/>
          <w:w w:val="200"/>
          <w:kern w:val="0"/>
          <w:szCs w:val="21"/>
          <w:u w:val="single"/>
        </w:rPr>
        <w:t xml:space="preserve">                                    </w:t>
      </w:r>
    </w:p>
    <w:p>
      <w:pPr>
        <w:tabs>
          <w:tab w:val="left" w:pos="2520"/>
          <w:tab w:val="left" w:pos="3836"/>
        </w:tabs>
        <w:autoSpaceDE w:val="0"/>
        <w:autoSpaceDN w:val="0"/>
        <w:adjustRightInd w:val="0"/>
        <w:snapToGrid w:val="0"/>
        <w:spacing w:line="480" w:lineRule="auto"/>
        <w:ind w:firstLine="390" w:firstLineChars="186"/>
        <w:jc w:val="left"/>
        <w:rPr>
          <w:rFonts w:ascii="宋体" w:hAnsi="宋体"/>
          <w:kern w:val="0"/>
          <w:sz w:val="10"/>
          <w:szCs w:val="10"/>
        </w:rPr>
      </w:pPr>
      <w:r>
        <w:rPr>
          <w:rFonts w:ascii="宋体" w:hAnsi="宋体"/>
          <w:kern w:val="0"/>
          <w:szCs w:val="21"/>
        </w:rPr>
        <w:t>成立时间：</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kern w:val="0"/>
          <w:szCs w:val="21"/>
        </w:rPr>
        <w:t>年</w:t>
      </w:r>
      <w:r>
        <w:rPr>
          <w:rFonts w:ascii="宋体" w:hAnsi="宋体"/>
          <w:w w:val="200"/>
          <w:kern w:val="0"/>
          <w:szCs w:val="21"/>
          <w:u w:val="single"/>
        </w:rPr>
        <w:t xml:space="preserve"> </w:t>
      </w:r>
      <w:r>
        <w:rPr>
          <w:rFonts w:hint="eastAsia" w:ascii="宋体" w:hAnsi="宋体"/>
          <w:kern w:val="0"/>
          <w:szCs w:val="21"/>
          <w:u w:val="single"/>
        </w:rPr>
        <w:t xml:space="preserve">      </w:t>
      </w:r>
      <w:r>
        <w:rPr>
          <w:rFonts w:ascii="宋体" w:hAnsi="宋体"/>
          <w:kern w:val="0"/>
          <w:szCs w:val="21"/>
          <w:u w:val="single"/>
        </w:rPr>
        <w:t xml:space="preserve"> </w:t>
      </w:r>
      <w:r>
        <w:rPr>
          <w:rFonts w:ascii="宋体" w:hAnsi="宋体"/>
          <w:kern w:val="0"/>
          <w:szCs w:val="21"/>
        </w:rPr>
        <w:t>月</w:t>
      </w:r>
      <w:r>
        <w:rPr>
          <w:rFonts w:ascii="宋体" w:hAnsi="宋体"/>
          <w:w w:val="200"/>
          <w:kern w:val="0"/>
          <w:szCs w:val="21"/>
          <w:u w:val="single"/>
        </w:rPr>
        <w:t xml:space="preserve"> </w:t>
      </w:r>
      <w:r>
        <w:rPr>
          <w:rFonts w:ascii="宋体" w:hAnsi="宋体"/>
          <w:kern w:val="0"/>
          <w:szCs w:val="21"/>
          <w:u w:val="single"/>
        </w:rPr>
        <w:t xml:space="preserve">       </w:t>
      </w:r>
      <w:r>
        <w:rPr>
          <w:rFonts w:ascii="宋体" w:hAnsi="宋体"/>
          <w:kern w:val="0"/>
          <w:szCs w:val="21"/>
        </w:rPr>
        <w:t>日</w:t>
      </w:r>
    </w:p>
    <w:p>
      <w:pPr>
        <w:tabs>
          <w:tab w:val="left" w:pos="5475"/>
        </w:tabs>
        <w:autoSpaceDE w:val="0"/>
        <w:autoSpaceDN w:val="0"/>
        <w:adjustRightInd w:val="0"/>
        <w:snapToGrid w:val="0"/>
        <w:spacing w:line="480" w:lineRule="auto"/>
        <w:ind w:firstLine="390" w:firstLineChars="186"/>
        <w:jc w:val="left"/>
        <w:rPr>
          <w:rFonts w:ascii="宋体" w:hAnsi="宋体"/>
          <w:kern w:val="0"/>
          <w:szCs w:val="21"/>
        </w:rPr>
      </w:pPr>
      <w:r>
        <w:rPr>
          <w:rFonts w:ascii="宋体" w:hAnsi="宋体"/>
          <w:kern w:val="0"/>
          <w:szCs w:val="21"/>
        </w:rPr>
        <w:t>经营期限：</w:t>
      </w:r>
      <w:r>
        <w:rPr>
          <w:rFonts w:ascii="宋体" w:hAnsi="宋体"/>
          <w:w w:val="200"/>
          <w:kern w:val="0"/>
          <w:szCs w:val="21"/>
          <w:u w:val="single"/>
        </w:rPr>
        <w:t xml:space="preserve"> </w:t>
      </w:r>
      <w:r>
        <w:rPr>
          <w:rFonts w:hint="eastAsia" w:ascii="宋体" w:hAnsi="宋体"/>
          <w:w w:val="200"/>
          <w:kern w:val="0"/>
          <w:szCs w:val="21"/>
          <w:u w:val="single"/>
        </w:rPr>
        <w:t xml:space="preserve">                                    </w:t>
      </w:r>
    </w:p>
    <w:p>
      <w:pPr>
        <w:tabs>
          <w:tab w:val="left" w:pos="1580"/>
          <w:tab w:val="left" w:pos="3260"/>
          <w:tab w:val="left" w:pos="4840"/>
          <w:tab w:val="left" w:pos="6300"/>
        </w:tabs>
        <w:autoSpaceDE w:val="0"/>
        <w:autoSpaceDN w:val="0"/>
        <w:adjustRightInd w:val="0"/>
        <w:snapToGrid w:val="0"/>
        <w:spacing w:line="480" w:lineRule="auto"/>
        <w:ind w:firstLine="390" w:firstLineChars="186"/>
        <w:jc w:val="left"/>
        <w:rPr>
          <w:rFonts w:ascii="宋体" w:hAnsi="宋体"/>
          <w:kern w:val="0"/>
          <w:szCs w:val="21"/>
        </w:rPr>
      </w:pPr>
      <w:r>
        <w:rPr>
          <w:rFonts w:ascii="宋体" w:hAnsi="宋体"/>
          <w:kern w:val="0"/>
          <w:szCs w:val="21"/>
        </w:rPr>
        <w:t>姓名：</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kern w:val="0"/>
          <w:szCs w:val="21"/>
        </w:rPr>
        <w:t>性别</w:t>
      </w:r>
      <w:r>
        <w:rPr>
          <w:rFonts w:ascii="宋体" w:hAnsi="宋体"/>
          <w:spacing w:val="-1"/>
          <w:kern w:val="0"/>
          <w:szCs w:val="21"/>
        </w:rPr>
        <w:t>：</w:t>
      </w:r>
      <w:r>
        <w:rPr>
          <w:rFonts w:hint="eastAsia" w:ascii="宋体" w:hAnsi="宋体"/>
          <w:kern w:val="0"/>
          <w:szCs w:val="21"/>
          <w:u w:val="single"/>
        </w:rPr>
        <w:t xml:space="preserve">      </w:t>
      </w:r>
      <w:r>
        <w:rPr>
          <w:rFonts w:ascii="宋体" w:hAnsi="宋体"/>
          <w:kern w:val="0"/>
          <w:szCs w:val="21"/>
          <w:u w:val="single"/>
        </w:rPr>
        <w:t xml:space="preserve"> </w:t>
      </w:r>
      <w:r>
        <w:rPr>
          <w:rFonts w:ascii="宋体" w:hAnsi="宋体"/>
          <w:spacing w:val="-1"/>
          <w:kern w:val="0"/>
          <w:szCs w:val="21"/>
        </w:rPr>
        <w:t>年</w:t>
      </w:r>
      <w:r>
        <w:rPr>
          <w:rFonts w:ascii="宋体" w:hAnsi="宋体"/>
          <w:kern w:val="0"/>
          <w:szCs w:val="21"/>
        </w:rPr>
        <w:t>龄：</w:t>
      </w:r>
      <w:r>
        <w:rPr>
          <w:rFonts w:hint="eastAsia" w:ascii="宋体" w:hAnsi="宋体"/>
          <w:kern w:val="0"/>
          <w:szCs w:val="21"/>
          <w:u w:val="single"/>
        </w:rPr>
        <w:t xml:space="preserve">      </w:t>
      </w:r>
      <w:r>
        <w:rPr>
          <w:rFonts w:ascii="宋体" w:hAnsi="宋体"/>
          <w:kern w:val="0"/>
          <w:szCs w:val="21"/>
          <w:u w:val="single"/>
        </w:rPr>
        <w:t xml:space="preserve"> </w:t>
      </w:r>
      <w:r>
        <w:rPr>
          <w:rFonts w:ascii="宋体" w:hAnsi="宋体"/>
          <w:kern w:val="0"/>
          <w:szCs w:val="21"/>
        </w:rPr>
        <w:t>职务：</w:t>
      </w:r>
      <w:r>
        <w:rPr>
          <w:rFonts w:hint="eastAsia" w:ascii="宋体" w:hAnsi="宋体"/>
          <w:kern w:val="0"/>
          <w:szCs w:val="21"/>
          <w:u w:val="single"/>
        </w:rPr>
        <w:t xml:space="preserve">              </w:t>
      </w:r>
      <w:r>
        <w:rPr>
          <w:rFonts w:ascii="宋体" w:hAnsi="宋体"/>
          <w:kern w:val="0"/>
          <w:szCs w:val="21"/>
          <w:u w:val="single"/>
        </w:rPr>
        <w:t xml:space="preserve"> </w:t>
      </w:r>
    </w:p>
    <w:p>
      <w:pPr>
        <w:tabs>
          <w:tab w:val="left" w:pos="3360"/>
        </w:tabs>
        <w:autoSpaceDE w:val="0"/>
        <w:autoSpaceDN w:val="0"/>
        <w:adjustRightInd w:val="0"/>
        <w:snapToGrid w:val="0"/>
        <w:spacing w:line="480" w:lineRule="auto"/>
        <w:ind w:firstLine="390" w:firstLineChars="186"/>
        <w:jc w:val="left"/>
        <w:rPr>
          <w:rFonts w:ascii="宋体" w:hAnsi="宋体"/>
          <w:kern w:val="0"/>
          <w:szCs w:val="21"/>
        </w:rPr>
      </w:pPr>
      <w:r>
        <w:rPr>
          <w:rFonts w:ascii="宋体" w:hAnsi="宋体"/>
          <w:kern w:val="0"/>
          <w:szCs w:val="21"/>
        </w:rPr>
        <w:t>系</w:t>
      </w:r>
      <w:r>
        <w:rPr>
          <w:rFonts w:hint="eastAsia" w:ascii="宋体" w:hAnsi="宋体"/>
          <w:kern w:val="0"/>
          <w:szCs w:val="21"/>
          <w:u w:val="single"/>
        </w:rPr>
        <w:t xml:space="preserve">                                                       </w:t>
      </w:r>
      <w:r>
        <w:rPr>
          <w:rFonts w:ascii="宋体" w:hAnsi="宋体"/>
          <w:kern w:val="0"/>
          <w:szCs w:val="21"/>
          <w:u w:val="single"/>
        </w:rPr>
        <w:t>（</w:t>
      </w:r>
      <w:r>
        <w:rPr>
          <w:rFonts w:hint="eastAsia" w:ascii="宋体" w:hAnsi="宋体"/>
          <w:kern w:val="0"/>
          <w:szCs w:val="21"/>
          <w:u w:val="single"/>
          <w:lang w:eastAsia="zh-CN"/>
        </w:rPr>
        <w:t>竞标</w:t>
      </w:r>
      <w:r>
        <w:rPr>
          <w:rFonts w:hint="eastAsia" w:ascii="宋体" w:hAnsi="宋体"/>
          <w:kern w:val="0"/>
          <w:szCs w:val="21"/>
          <w:u w:val="single"/>
        </w:rPr>
        <w:t>人</w:t>
      </w:r>
      <w:r>
        <w:rPr>
          <w:rFonts w:ascii="宋体" w:hAnsi="宋体"/>
          <w:kern w:val="0"/>
          <w:szCs w:val="21"/>
          <w:u w:val="single"/>
        </w:rPr>
        <w:t>名称）</w:t>
      </w:r>
      <w:r>
        <w:rPr>
          <w:rFonts w:ascii="宋体" w:hAnsi="宋体"/>
          <w:kern w:val="0"/>
          <w:szCs w:val="21"/>
        </w:rPr>
        <w:t>的法定代表人。</w:t>
      </w:r>
    </w:p>
    <w:p>
      <w:pPr>
        <w:tabs>
          <w:tab w:val="left" w:pos="3360"/>
        </w:tabs>
        <w:autoSpaceDE w:val="0"/>
        <w:autoSpaceDN w:val="0"/>
        <w:adjustRightInd w:val="0"/>
        <w:snapToGrid w:val="0"/>
        <w:spacing w:line="480" w:lineRule="auto"/>
        <w:ind w:firstLine="390" w:firstLineChars="186"/>
        <w:jc w:val="left"/>
        <w:rPr>
          <w:rFonts w:ascii="宋体" w:hAnsi="宋体"/>
          <w:kern w:val="0"/>
          <w:szCs w:val="21"/>
        </w:rPr>
      </w:pPr>
      <w:r>
        <w:rPr>
          <w:rFonts w:ascii="宋体" w:hAnsi="宋体"/>
          <w:kern w:val="0"/>
          <w:szCs w:val="21"/>
        </w:rPr>
        <w:t>特此证明。</w:t>
      </w:r>
    </w:p>
    <w:p>
      <w:pPr>
        <w:autoSpaceDE w:val="0"/>
        <w:autoSpaceDN w:val="0"/>
        <w:adjustRightInd w:val="0"/>
        <w:snapToGrid w:val="0"/>
        <w:spacing w:line="480" w:lineRule="auto"/>
        <w:ind w:firstLine="810" w:firstLineChars="386"/>
        <w:jc w:val="left"/>
        <w:rPr>
          <w:rFonts w:ascii="宋体" w:hAnsi="宋体"/>
          <w:kern w:val="0"/>
          <w:szCs w:val="21"/>
        </w:rPr>
      </w:pPr>
      <w:r>
        <w:rPr>
          <w:rFonts w:hint="eastAsia" w:ascii="宋体" w:hAnsi="宋体"/>
          <w:kern w:val="0"/>
          <w:szCs w:val="21"/>
        </w:rPr>
        <w:t>附：法定代表人身份证明</w:t>
      </w:r>
      <w:r>
        <w:rPr>
          <w:rFonts w:hint="eastAsia" w:ascii="宋体" w:hAnsi="宋体"/>
          <w:kern w:val="0"/>
          <w:szCs w:val="21"/>
          <w:lang w:eastAsia="zh-CN"/>
        </w:rPr>
        <w:t>复印件</w:t>
      </w:r>
      <w:r>
        <w:rPr>
          <w:rFonts w:hint="eastAsia" w:ascii="宋体" w:hAnsi="宋体"/>
          <w:kern w:val="0"/>
          <w:szCs w:val="21"/>
        </w:rPr>
        <w:t>（双面）</w:t>
      </w:r>
    </w:p>
    <w:p>
      <w:pPr>
        <w:autoSpaceDE w:val="0"/>
        <w:autoSpaceDN w:val="0"/>
        <w:adjustRightInd w:val="0"/>
        <w:snapToGrid w:val="0"/>
        <w:spacing w:line="360" w:lineRule="auto"/>
        <w:jc w:val="left"/>
        <w:rPr>
          <w:rFonts w:ascii="宋体" w:hAnsi="宋体"/>
          <w:szCs w:val="21"/>
        </w:rPr>
      </w:pPr>
    </w:p>
    <w:p>
      <w:pPr>
        <w:pStyle w:val="2"/>
        <w:spacing w:after="0" w:line="360" w:lineRule="auto"/>
        <w:rPr>
          <w:rFonts w:ascii="宋体" w:hAnsi="宋体"/>
          <w:szCs w:val="21"/>
        </w:rPr>
      </w:pPr>
    </w:p>
    <w:p>
      <w:pPr>
        <w:pStyle w:val="2"/>
        <w:spacing w:after="0" w:line="360" w:lineRule="auto"/>
        <w:rPr>
          <w:rFonts w:ascii="宋体" w:hAnsi="宋体"/>
          <w:szCs w:val="21"/>
        </w:rPr>
      </w:pPr>
    </w:p>
    <w:p>
      <w:pPr>
        <w:pStyle w:val="2"/>
        <w:spacing w:after="0" w:line="360" w:lineRule="auto"/>
        <w:rPr>
          <w:rFonts w:ascii="宋体" w:hAnsi="宋体"/>
          <w:szCs w:val="21"/>
        </w:rPr>
      </w:pPr>
    </w:p>
    <w:p>
      <w:pPr>
        <w:pStyle w:val="2"/>
        <w:spacing w:after="0" w:line="360" w:lineRule="auto"/>
        <w:rPr>
          <w:rFonts w:ascii="宋体" w:hAnsi="宋体"/>
          <w:szCs w:val="21"/>
        </w:rPr>
      </w:pPr>
    </w:p>
    <w:p>
      <w:pPr>
        <w:pStyle w:val="2"/>
        <w:spacing w:after="0" w:line="360" w:lineRule="auto"/>
        <w:rPr>
          <w:rFonts w:ascii="宋体" w:hAnsi="宋体"/>
          <w:szCs w:val="21"/>
        </w:rPr>
      </w:pPr>
    </w:p>
    <w:p>
      <w:pPr>
        <w:autoSpaceDE w:val="0"/>
        <w:autoSpaceDN w:val="0"/>
        <w:adjustRightInd w:val="0"/>
        <w:snapToGrid w:val="0"/>
        <w:spacing w:line="480" w:lineRule="auto"/>
        <w:ind w:firstLine="420" w:firstLineChars="200"/>
        <w:jc w:val="right"/>
        <w:rPr>
          <w:rFonts w:ascii="宋体" w:hAnsi="宋体"/>
          <w:kern w:val="0"/>
          <w:szCs w:val="21"/>
        </w:rPr>
      </w:pPr>
      <w:r>
        <w:rPr>
          <w:rFonts w:hint="eastAsia" w:ascii="宋体" w:hAnsi="宋体"/>
          <w:kern w:val="0"/>
          <w:szCs w:val="21"/>
          <w:lang w:eastAsia="zh-CN"/>
        </w:rPr>
        <w:t>竞标</w:t>
      </w:r>
      <w:r>
        <w:rPr>
          <w:rFonts w:ascii="宋体" w:hAnsi="宋体"/>
          <w:spacing w:val="-1"/>
          <w:kern w:val="0"/>
          <w:szCs w:val="21"/>
        </w:rPr>
        <w:t>人</w:t>
      </w:r>
      <w:r>
        <w:rPr>
          <w:rFonts w:ascii="宋体" w:hAnsi="宋体"/>
          <w:kern w:val="0"/>
          <w:szCs w:val="21"/>
        </w:rPr>
        <w:t>：</w:t>
      </w:r>
      <w:r>
        <w:rPr>
          <w:rFonts w:ascii="宋体" w:hAnsi="宋体"/>
          <w:w w:val="200"/>
          <w:kern w:val="0"/>
          <w:szCs w:val="21"/>
          <w:u w:val="single"/>
        </w:rPr>
        <w:t xml:space="preserve">              </w:t>
      </w:r>
      <w:r>
        <w:rPr>
          <w:rFonts w:ascii="宋体" w:hAnsi="宋体"/>
          <w:kern w:val="0"/>
          <w:szCs w:val="21"/>
          <w:u w:val="single"/>
        </w:rPr>
        <w:tab/>
      </w:r>
      <w:r>
        <w:rPr>
          <w:rFonts w:ascii="宋体" w:hAnsi="宋体"/>
          <w:spacing w:val="-1"/>
          <w:kern w:val="0"/>
          <w:szCs w:val="21"/>
        </w:rPr>
        <w:t>（</w:t>
      </w:r>
      <w:r>
        <w:rPr>
          <w:rFonts w:ascii="宋体" w:hAnsi="宋体"/>
          <w:kern w:val="0"/>
          <w:szCs w:val="21"/>
        </w:rPr>
        <w:t>盖单位法人章）</w:t>
      </w:r>
    </w:p>
    <w:p>
      <w:pPr>
        <w:autoSpaceDE w:val="0"/>
        <w:autoSpaceDN w:val="0"/>
        <w:adjustRightInd w:val="0"/>
        <w:snapToGrid w:val="0"/>
        <w:spacing w:line="480" w:lineRule="auto"/>
        <w:jc w:val="left"/>
        <w:rPr>
          <w:rFonts w:ascii="宋体" w:hAnsi="宋体"/>
          <w:kern w:val="0"/>
          <w:sz w:val="20"/>
          <w:szCs w:val="20"/>
        </w:rPr>
      </w:pPr>
    </w:p>
    <w:p>
      <w:pPr>
        <w:tabs>
          <w:tab w:val="left" w:pos="4935"/>
          <w:tab w:val="left" w:pos="5460"/>
          <w:tab w:val="left" w:pos="6400"/>
        </w:tabs>
        <w:wordWrap w:val="0"/>
        <w:autoSpaceDE w:val="0"/>
        <w:autoSpaceDN w:val="0"/>
        <w:adjustRightInd w:val="0"/>
        <w:snapToGrid w:val="0"/>
        <w:spacing w:line="480" w:lineRule="auto"/>
        <w:ind w:firstLine="3780"/>
        <w:jc w:val="right"/>
        <w:rPr>
          <w:rFonts w:ascii="宋体" w:hAnsi="宋体"/>
          <w:kern w:val="0"/>
          <w:szCs w:val="21"/>
        </w:rPr>
      </w:pPr>
      <w:r>
        <w:rPr>
          <w:rFonts w:hint="eastAsia" w:ascii="宋体" w:hAnsi="宋体"/>
          <w:w w:val="200"/>
          <w:kern w:val="0"/>
          <w:szCs w:val="21"/>
          <w:u w:val="single"/>
        </w:rPr>
        <w:t xml:space="preserve">      </w:t>
      </w:r>
      <w:r>
        <w:rPr>
          <w:rFonts w:ascii="宋体" w:hAnsi="宋体"/>
          <w:kern w:val="0"/>
          <w:szCs w:val="21"/>
        </w:rPr>
        <w:t>年</w:t>
      </w:r>
      <w:r>
        <w:rPr>
          <w:rFonts w:ascii="宋体" w:hAnsi="宋体"/>
          <w:w w:val="200"/>
          <w:kern w:val="0"/>
          <w:szCs w:val="21"/>
          <w:u w:val="single"/>
        </w:rPr>
        <w:t xml:space="preserve"> </w:t>
      </w:r>
      <w:r>
        <w:rPr>
          <w:rFonts w:hint="eastAsia" w:ascii="宋体" w:hAnsi="宋体"/>
          <w:kern w:val="0"/>
          <w:szCs w:val="21"/>
          <w:u w:val="single"/>
        </w:rPr>
        <w:t xml:space="preserve">    </w:t>
      </w:r>
      <w:r>
        <w:rPr>
          <w:rFonts w:ascii="宋体" w:hAnsi="宋体"/>
          <w:kern w:val="0"/>
          <w:szCs w:val="21"/>
          <w:u w:val="single"/>
        </w:rPr>
        <w:t xml:space="preserve"> </w:t>
      </w:r>
      <w:r>
        <w:rPr>
          <w:rFonts w:ascii="宋体" w:hAnsi="宋体"/>
          <w:kern w:val="0"/>
          <w:szCs w:val="21"/>
        </w:rPr>
        <w:t>月</w:t>
      </w:r>
      <w:r>
        <w:rPr>
          <w:rFonts w:ascii="宋体" w:hAnsi="宋体"/>
          <w:w w:val="200"/>
          <w:kern w:val="0"/>
          <w:szCs w:val="21"/>
          <w:u w:val="single"/>
        </w:rPr>
        <w:t xml:space="preserve"> </w:t>
      </w:r>
      <w:r>
        <w:rPr>
          <w:rFonts w:ascii="宋体" w:hAnsi="宋体"/>
          <w:kern w:val="0"/>
          <w:szCs w:val="21"/>
          <w:u w:val="single"/>
        </w:rPr>
        <w:t xml:space="preserve">     </w:t>
      </w:r>
      <w:r>
        <w:rPr>
          <w:rFonts w:ascii="宋体" w:hAnsi="宋体"/>
          <w:kern w:val="0"/>
          <w:szCs w:val="21"/>
        </w:rPr>
        <w:t>日</w:t>
      </w:r>
      <w:r>
        <w:rPr>
          <w:rFonts w:hint="eastAsia" w:ascii="宋体" w:hAnsi="宋体"/>
          <w:kern w:val="0"/>
          <w:szCs w:val="21"/>
        </w:rPr>
        <w:t xml:space="preserve">  </w:t>
      </w:r>
    </w:p>
    <w:p>
      <w:pPr>
        <w:autoSpaceDE w:val="0"/>
        <w:autoSpaceDN w:val="0"/>
        <w:adjustRightInd w:val="0"/>
        <w:snapToGrid w:val="0"/>
        <w:spacing w:line="360" w:lineRule="auto"/>
        <w:jc w:val="left"/>
        <w:rPr>
          <w:rFonts w:ascii="宋体" w:hAnsi="宋体"/>
          <w:kern w:val="0"/>
        </w:rPr>
      </w:pPr>
    </w:p>
    <w:p>
      <w:pPr>
        <w:autoSpaceDE w:val="0"/>
        <w:autoSpaceDN w:val="0"/>
        <w:adjustRightInd w:val="0"/>
        <w:snapToGrid w:val="0"/>
        <w:spacing w:line="360" w:lineRule="auto"/>
        <w:jc w:val="left"/>
        <w:rPr>
          <w:rFonts w:ascii="宋体" w:hAnsi="宋体"/>
          <w:kern w:val="0"/>
        </w:rPr>
      </w:pPr>
    </w:p>
    <w:p>
      <w:pPr>
        <w:tabs>
          <w:tab w:val="left" w:pos="1680"/>
          <w:tab w:val="left" w:pos="4215"/>
          <w:tab w:val="left" w:pos="4305"/>
          <w:tab w:val="left" w:pos="8000"/>
        </w:tabs>
        <w:autoSpaceDE w:val="0"/>
        <w:autoSpaceDN w:val="0"/>
        <w:adjustRightInd w:val="0"/>
        <w:snapToGrid w:val="0"/>
        <w:spacing w:line="360" w:lineRule="auto"/>
        <w:ind w:firstLine="411" w:firstLineChars="196"/>
        <w:jc w:val="left"/>
        <w:rPr>
          <w:rFonts w:ascii="宋体" w:hAnsi="宋体"/>
          <w:kern w:val="0"/>
          <w:szCs w:val="21"/>
        </w:rPr>
      </w:pPr>
      <w:r>
        <w:rPr>
          <w:rFonts w:ascii="宋体" w:hAnsi="宋体"/>
        </w:rPr>
        <w:t>注：法定代表人身份证明需按上述格式填写完整，不可缺少内容。在此基础上增加内容的不影响其有效性</w:t>
      </w:r>
      <w:r>
        <w:rPr>
          <w:rFonts w:hint="eastAsia" w:ascii="宋体" w:hAnsi="宋体"/>
          <w:kern w:val="0"/>
          <w:szCs w:val="21"/>
        </w:rPr>
        <w:t>。</w:t>
      </w:r>
    </w:p>
    <w:p>
      <w:pPr>
        <w:tabs>
          <w:tab w:val="left" w:pos="1680"/>
          <w:tab w:val="left" w:pos="4215"/>
          <w:tab w:val="left" w:pos="4305"/>
          <w:tab w:val="left" w:pos="8000"/>
        </w:tabs>
        <w:autoSpaceDE w:val="0"/>
        <w:autoSpaceDN w:val="0"/>
        <w:adjustRightInd w:val="0"/>
        <w:snapToGrid w:val="0"/>
        <w:spacing w:line="360" w:lineRule="auto"/>
        <w:ind w:firstLine="411" w:firstLineChars="196"/>
        <w:jc w:val="left"/>
        <w:rPr>
          <w:rFonts w:ascii="宋体" w:hAnsi="宋体"/>
          <w:kern w:val="0"/>
          <w:szCs w:val="21"/>
        </w:rPr>
      </w:pPr>
    </w:p>
    <w:p>
      <w:pPr>
        <w:tabs>
          <w:tab w:val="left" w:pos="1680"/>
          <w:tab w:val="left" w:pos="4215"/>
          <w:tab w:val="left" w:pos="4305"/>
          <w:tab w:val="left" w:pos="8000"/>
        </w:tabs>
        <w:autoSpaceDE w:val="0"/>
        <w:autoSpaceDN w:val="0"/>
        <w:adjustRightInd w:val="0"/>
        <w:snapToGrid w:val="0"/>
        <w:spacing w:line="360" w:lineRule="auto"/>
        <w:jc w:val="center"/>
        <w:rPr>
          <w:rFonts w:ascii="宋体" w:hAnsi="宋体"/>
          <w:kern w:val="0"/>
          <w:sz w:val="28"/>
          <w:szCs w:val="28"/>
        </w:rPr>
      </w:pPr>
      <w:r>
        <w:rPr>
          <w:rFonts w:ascii="宋体" w:hAnsi="宋体"/>
          <w:b/>
          <w:kern w:val="0"/>
          <w:sz w:val="28"/>
          <w:szCs w:val="28"/>
        </w:rPr>
        <w:br w:type="page"/>
      </w:r>
      <w:r>
        <w:rPr>
          <w:rFonts w:ascii="宋体" w:hAnsi="宋体"/>
          <w:snapToGrid w:val="0"/>
          <w:kern w:val="0"/>
          <w:sz w:val="32"/>
          <w:szCs w:val="32"/>
        </w:rPr>
        <w:t>授权委托书</w:t>
      </w:r>
    </w:p>
    <w:p>
      <w:pPr>
        <w:tabs>
          <w:tab w:val="left" w:pos="1680"/>
          <w:tab w:val="left" w:pos="4215"/>
          <w:tab w:val="left" w:pos="4305"/>
          <w:tab w:val="left" w:pos="8000"/>
        </w:tabs>
        <w:autoSpaceDE w:val="0"/>
        <w:autoSpaceDN w:val="0"/>
        <w:adjustRightInd w:val="0"/>
        <w:snapToGrid w:val="0"/>
        <w:spacing w:line="480" w:lineRule="auto"/>
        <w:ind w:firstLine="420"/>
        <w:jc w:val="left"/>
        <w:rPr>
          <w:rFonts w:ascii="宋体" w:hAnsi="宋体"/>
          <w:kern w:val="0"/>
          <w:szCs w:val="21"/>
        </w:rPr>
      </w:pPr>
      <w:r>
        <w:rPr>
          <w:rFonts w:ascii="宋体" w:hAnsi="宋体"/>
          <w:kern w:val="0"/>
          <w:szCs w:val="21"/>
        </w:rPr>
        <w:t>本人</w:t>
      </w:r>
      <w:r>
        <w:rPr>
          <w:rFonts w:hint="eastAsia" w:ascii="宋体" w:hAnsi="宋体"/>
          <w:w w:val="200"/>
          <w:kern w:val="0"/>
          <w:szCs w:val="21"/>
          <w:u w:val="single"/>
        </w:rPr>
        <w:t xml:space="preserve">    </w:t>
      </w:r>
      <w:r>
        <w:rPr>
          <w:rFonts w:ascii="宋体" w:hAnsi="宋体"/>
          <w:kern w:val="0"/>
          <w:szCs w:val="21"/>
          <w:u w:val="single"/>
        </w:rPr>
        <w:t>（姓名）</w:t>
      </w:r>
      <w:r>
        <w:rPr>
          <w:rFonts w:ascii="宋体" w:hAnsi="宋体"/>
          <w:kern w:val="0"/>
          <w:szCs w:val="21"/>
        </w:rPr>
        <w:t>系</w:t>
      </w:r>
      <w:r>
        <w:rPr>
          <w:rFonts w:hint="eastAsia" w:ascii="宋体" w:hAnsi="宋体"/>
          <w:w w:val="200"/>
          <w:kern w:val="0"/>
          <w:szCs w:val="21"/>
          <w:u w:val="single"/>
        </w:rPr>
        <w:t xml:space="preserve">        </w:t>
      </w:r>
      <w:r>
        <w:rPr>
          <w:rFonts w:ascii="宋体" w:hAnsi="宋体"/>
          <w:kern w:val="0"/>
          <w:szCs w:val="21"/>
          <w:u w:val="single"/>
        </w:rPr>
        <w:t>（</w:t>
      </w:r>
      <w:r>
        <w:rPr>
          <w:rFonts w:hint="eastAsia" w:ascii="宋体" w:hAnsi="宋体"/>
          <w:spacing w:val="-1"/>
          <w:kern w:val="0"/>
          <w:szCs w:val="21"/>
          <w:u w:val="single"/>
          <w:lang w:eastAsia="zh-CN"/>
        </w:rPr>
        <w:t>竞标</w:t>
      </w:r>
      <w:r>
        <w:rPr>
          <w:rFonts w:hint="eastAsia" w:ascii="宋体" w:hAnsi="宋体"/>
          <w:spacing w:val="-1"/>
          <w:kern w:val="0"/>
          <w:szCs w:val="21"/>
          <w:u w:val="single"/>
        </w:rPr>
        <w:t>人</w:t>
      </w:r>
      <w:r>
        <w:rPr>
          <w:rFonts w:ascii="宋体" w:hAnsi="宋体"/>
          <w:kern w:val="0"/>
          <w:szCs w:val="21"/>
          <w:u w:val="single"/>
        </w:rPr>
        <w:t>名称</w:t>
      </w:r>
      <w:r>
        <w:rPr>
          <w:rFonts w:ascii="宋体" w:hAnsi="宋体"/>
          <w:spacing w:val="1"/>
          <w:kern w:val="0"/>
          <w:szCs w:val="21"/>
          <w:u w:val="single"/>
        </w:rPr>
        <w:t>）</w:t>
      </w:r>
      <w:r>
        <w:rPr>
          <w:rFonts w:ascii="宋体" w:hAnsi="宋体"/>
          <w:kern w:val="0"/>
          <w:szCs w:val="21"/>
        </w:rPr>
        <w:t>的法定代</w:t>
      </w:r>
      <w:r>
        <w:rPr>
          <w:rFonts w:ascii="宋体" w:hAnsi="宋体"/>
          <w:spacing w:val="1"/>
          <w:kern w:val="0"/>
          <w:szCs w:val="21"/>
        </w:rPr>
        <w:t>表</w:t>
      </w:r>
      <w:r>
        <w:rPr>
          <w:rFonts w:ascii="宋体" w:hAnsi="宋体"/>
          <w:kern w:val="0"/>
          <w:szCs w:val="21"/>
        </w:rPr>
        <w:t>人，现委托</w:t>
      </w:r>
      <w:r>
        <w:rPr>
          <w:rFonts w:hint="eastAsia" w:ascii="宋体" w:hAnsi="宋体"/>
          <w:w w:val="200"/>
          <w:kern w:val="0"/>
          <w:szCs w:val="21"/>
          <w:u w:val="single"/>
        </w:rPr>
        <w:t xml:space="preserve">    </w:t>
      </w:r>
      <w:r>
        <w:rPr>
          <w:rFonts w:ascii="宋体" w:hAnsi="宋体"/>
          <w:kern w:val="0"/>
          <w:szCs w:val="21"/>
          <w:u w:val="single"/>
        </w:rPr>
        <w:t>（姓名）</w:t>
      </w:r>
      <w:r>
        <w:rPr>
          <w:rFonts w:ascii="宋体" w:hAnsi="宋体"/>
          <w:kern w:val="0"/>
          <w:szCs w:val="21"/>
        </w:rPr>
        <w:t>为我方代理人。代理人根据授权，以我方名义签署、澄清、说明、补正、递交、撤回、 修改</w:t>
      </w:r>
      <w:r>
        <w:rPr>
          <w:rFonts w:hint="eastAsia" w:ascii="宋体" w:hAnsi="宋体"/>
          <w:w w:val="200"/>
          <w:kern w:val="0"/>
          <w:szCs w:val="21"/>
          <w:u w:val="single"/>
        </w:rPr>
        <w:t xml:space="preserve">        </w:t>
      </w:r>
      <w:r>
        <w:rPr>
          <w:rFonts w:ascii="宋体" w:hAnsi="宋体"/>
          <w:kern w:val="0"/>
          <w:szCs w:val="21"/>
          <w:u w:val="single"/>
        </w:rPr>
        <w:t>（项</w:t>
      </w:r>
      <w:r>
        <w:rPr>
          <w:rFonts w:ascii="宋体" w:hAnsi="宋体"/>
          <w:spacing w:val="-1"/>
          <w:kern w:val="0"/>
          <w:szCs w:val="21"/>
          <w:u w:val="single"/>
        </w:rPr>
        <w:t>目</w:t>
      </w:r>
      <w:r>
        <w:rPr>
          <w:rFonts w:ascii="宋体" w:hAnsi="宋体"/>
          <w:kern w:val="0"/>
          <w:szCs w:val="21"/>
          <w:u w:val="single"/>
        </w:rPr>
        <w:t>名称）</w:t>
      </w:r>
      <w:r>
        <w:rPr>
          <w:rFonts w:hint="eastAsia" w:ascii="宋体" w:hAnsi="宋体"/>
          <w:kern w:val="0"/>
          <w:szCs w:val="21"/>
          <w:lang w:eastAsia="zh-CN"/>
        </w:rPr>
        <w:t>竞标</w:t>
      </w:r>
      <w:r>
        <w:rPr>
          <w:rFonts w:ascii="宋体" w:hAnsi="宋体"/>
          <w:kern w:val="0"/>
          <w:szCs w:val="21"/>
        </w:rPr>
        <w:t>文件、签订合同和处理有关事宜， 其法律后果由我方承担。</w:t>
      </w:r>
    </w:p>
    <w:p>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rPr>
      </w:pPr>
      <w:r>
        <w:rPr>
          <w:rFonts w:ascii="宋体" w:hAnsi="宋体"/>
          <w:kern w:val="0"/>
          <w:szCs w:val="21"/>
        </w:rPr>
        <w:t>委托</w:t>
      </w:r>
      <w:r>
        <w:rPr>
          <w:rFonts w:ascii="宋体" w:hAnsi="宋体"/>
          <w:spacing w:val="-1"/>
          <w:kern w:val="0"/>
          <w:szCs w:val="21"/>
        </w:rPr>
        <w:t>期</w:t>
      </w:r>
      <w:r>
        <w:rPr>
          <w:rFonts w:ascii="宋体" w:hAnsi="宋体"/>
          <w:kern w:val="0"/>
          <w:szCs w:val="21"/>
        </w:rPr>
        <w:t>限：</w:t>
      </w:r>
      <w:r>
        <w:rPr>
          <w:rFonts w:hint="eastAsia" w:ascii="宋体" w:hAnsi="宋体"/>
          <w:w w:val="200"/>
          <w:kern w:val="0"/>
          <w:szCs w:val="21"/>
          <w:u w:val="single"/>
        </w:rPr>
        <w:t xml:space="preserve">        </w:t>
      </w:r>
      <w:r>
        <w:rPr>
          <w:rFonts w:ascii="宋体" w:hAnsi="宋体"/>
          <w:kern w:val="0"/>
          <w:szCs w:val="21"/>
        </w:rPr>
        <w:t xml:space="preserve">。 </w:t>
      </w:r>
    </w:p>
    <w:p>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rPr>
      </w:pPr>
      <w:r>
        <w:rPr>
          <w:rFonts w:ascii="宋体" w:hAnsi="宋体"/>
          <w:kern w:val="0"/>
          <w:szCs w:val="21"/>
        </w:rPr>
        <w:t>代理人无转委托权。</w:t>
      </w:r>
    </w:p>
    <w:p>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rPr>
      </w:pPr>
    </w:p>
    <w:p>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rPr>
      </w:pPr>
      <w:r>
        <w:rPr>
          <w:rFonts w:hint="eastAsia" w:ascii="宋体" w:hAnsi="宋体"/>
          <w:kern w:val="0"/>
          <w:szCs w:val="21"/>
          <w:lang w:eastAsia="zh-CN"/>
        </w:rPr>
        <w:t>竞标</w:t>
      </w:r>
      <w:r>
        <w:rPr>
          <w:rFonts w:ascii="宋体" w:hAnsi="宋体"/>
          <w:kern w:val="0"/>
          <w:szCs w:val="21"/>
        </w:rPr>
        <w:t>人：</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ascii="宋体" w:hAnsi="宋体"/>
          <w:kern w:val="0"/>
          <w:szCs w:val="21"/>
        </w:rPr>
        <w:t>（</w:t>
      </w:r>
      <w:r>
        <w:rPr>
          <w:rFonts w:ascii="宋体" w:hAnsi="宋体"/>
          <w:spacing w:val="-1"/>
          <w:kern w:val="0"/>
          <w:szCs w:val="21"/>
        </w:rPr>
        <w:t>盖单位法人章</w:t>
      </w:r>
      <w:r>
        <w:rPr>
          <w:rFonts w:ascii="宋体" w:hAnsi="宋体"/>
          <w:kern w:val="0"/>
          <w:szCs w:val="21"/>
        </w:rPr>
        <w:t>）</w:t>
      </w:r>
    </w:p>
    <w:p>
      <w:pPr>
        <w:tabs>
          <w:tab w:val="left" w:pos="6300"/>
        </w:tabs>
        <w:autoSpaceDE w:val="0"/>
        <w:autoSpaceDN w:val="0"/>
        <w:adjustRightInd w:val="0"/>
        <w:snapToGrid w:val="0"/>
        <w:spacing w:line="480" w:lineRule="auto"/>
        <w:ind w:firstLine="420" w:firstLineChars="200"/>
        <w:jc w:val="left"/>
        <w:rPr>
          <w:rFonts w:ascii="宋体" w:hAnsi="宋体"/>
          <w:kern w:val="0"/>
          <w:szCs w:val="21"/>
        </w:rPr>
      </w:pPr>
      <w:r>
        <w:rPr>
          <w:rFonts w:ascii="宋体" w:hAnsi="宋体"/>
          <w:kern w:val="0"/>
          <w:szCs w:val="21"/>
        </w:rPr>
        <w:t>法定代表人：</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kern w:val="0"/>
          <w:szCs w:val="21"/>
        </w:rPr>
        <w:t>（</w:t>
      </w:r>
      <w:r>
        <w:rPr>
          <w:rFonts w:hint="eastAsia" w:ascii="宋体" w:hAnsi="宋体"/>
          <w:kern w:val="0"/>
          <w:szCs w:val="21"/>
        </w:rPr>
        <w:t>签名</w:t>
      </w:r>
      <w:r>
        <w:rPr>
          <w:rFonts w:ascii="宋体" w:hAnsi="宋体"/>
          <w:kern w:val="0"/>
          <w:szCs w:val="21"/>
        </w:rPr>
        <w:t>或盖章）</w:t>
      </w:r>
    </w:p>
    <w:p>
      <w:pPr>
        <w:tabs>
          <w:tab w:val="left" w:pos="5260"/>
        </w:tabs>
        <w:autoSpaceDE w:val="0"/>
        <w:autoSpaceDN w:val="0"/>
        <w:adjustRightInd w:val="0"/>
        <w:snapToGrid w:val="0"/>
        <w:spacing w:line="480" w:lineRule="auto"/>
        <w:ind w:firstLine="420" w:firstLineChars="200"/>
        <w:jc w:val="left"/>
        <w:rPr>
          <w:rFonts w:ascii="宋体" w:hAnsi="宋体"/>
          <w:kern w:val="0"/>
          <w:szCs w:val="21"/>
          <w:u w:val="single"/>
        </w:rPr>
      </w:pPr>
      <w:r>
        <w:rPr>
          <w:rFonts w:ascii="宋体" w:hAnsi="宋体"/>
          <w:kern w:val="0"/>
          <w:szCs w:val="21"/>
        </w:rPr>
        <w:t>身份证号码：</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p>
    <w:p>
      <w:pPr>
        <w:tabs>
          <w:tab w:val="left" w:pos="5260"/>
        </w:tabs>
        <w:autoSpaceDE w:val="0"/>
        <w:autoSpaceDN w:val="0"/>
        <w:adjustRightInd w:val="0"/>
        <w:snapToGrid w:val="0"/>
        <w:spacing w:line="480" w:lineRule="auto"/>
        <w:ind w:firstLine="420" w:firstLineChars="200"/>
        <w:jc w:val="left"/>
        <w:rPr>
          <w:rFonts w:ascii="宋体" w:hAnsi="宋体"/>
          <w:kern w:val="0"/>
          <w:szCs w:val="21"/>
        </w:rPr>
      </w:pPr>
      <w:r>
        <w:rPr>
          <w:rFonts w:ascii="宋体" w:hAnsi="宋体"/>
          <w:kern w:val="0"/>
          <w:szCs w:val="21"/>
        </w:rPr>
        <w:t>委托代理人：</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ascii="宋体" w:hAnsi="宋体"/>
          <w:kern w:val="0"/>
          <w:szCs w:val="21"/>
        </w:rPr>
        <w:t>（</w:t>
      </w:r>
      <w:r>
        <w:rPr>
          <w:rFonts w:hint="eastAsia" w:ascii="宋体" w:hAnsi="宋体"/>
          <w:kern w:val="0"/>
          <w:szCs w:val="21"/>
        </w:rPr>
        <w:t>签名</w:t>
      </w:r>
      <w:r>
        <w:rPr>
          <w:rFonts w:hint="eastAsia" w:ascii="宋体" w:hAnsi="宋体"/>
          <w:spacing w:val="-1"/>
          <w:kern w:val="0"/>
          <w:szCs w:val="21"/>
        </w:rPr>
        <w:t>）</w:t>
      </w:r>
    </w:p>
    <w:p>
      <w:pPr>
        <w:tabs>
          <w:tab w:val="left" w:pos="6825"/>
        </w:tabs>
        <w:autoSpaceDE w:val="0"/>
        <w:autoSpaceDN w:val="0"/>
        <w:adjustRightInd w:val="0"/>
        <w:snapToGrid w:val="0"/>
        <w:spacing w:line="480" w:lineRule="auto"/>
        <w:ind w:firstLine="420" w:firstLineChars="200"/>
        <w:jc w:val="left"/>
        <w:rPr>
          <w:rFonts w:ascii="宋体" w:hAnsi="宋体"/>
          <w:w w:val="200"/>
          <w:kern w:val="0"/>
          <w:szCs w:val="21"/>
          <w:u w:val="single"/>
        </w:rPr>
      </w:pPr>
      <w:r>
        <w:rPr>
          <w:rFonts w:ascii="宋体" w:hAnsi="宋体"/>
          <w:kern w:val="0"/>
          <w:szCs w:val="21"/>
        </w:rPr>
        <w:t>身份证号码：</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p>
    <w:p>
      <w:pPr>
        <w:tabs>
          <w:tab w:val="left" w:pos="6825"/>
        </w:tabs>
        <w:autoSpaceDE w:val="0"/>
        <w:autoSpaceDN w:val="0"/>
        <w:adjustRightInd w:val="0"/>
        <w:snapToGrid w:val="0"/>
        <w:spacing w:line="480" w:lineRule="auto"/>
        <w:ind w:firstLine="420" w:firstLineChars="200"/>
        <w:jc w:val="left"/>
        <w:rPr>
          <w:rFonts w:ascii="宋体" w:hAnsi="宋体"/>
          <w:kern w:val="0"/>
          <w:szCs w:val="21"/>
          <w:u w:val="single"/>
        </w:rPr>
      </w:pPr>
      <w:r>
        <w:rPr>
          <w:rFonts w:hint="eastAsia" w:ascii="宋体" w:hAnsi="宋体"/>
          <w:kern w:val="0"/>
          <w:szCs w:val="21"/>
        </w:rPr>
        <w:t>单位电话（座机）：</w:t>
      </w:r>
      <w:r>
        <w:rPr>
          <w:rFonts w:hint="eastAsia" w:ascii="宋体" w:hAnsi="宋体"/>
          <w:kern w:val="0"/>
          <w:szCs w:val="21"/>
          <w:u w:val="single"/>
        </w:rPr>
        <w:t xml:space="preserve">                              </w:t>
      </w:r>
    </w:p>
    <w:p>
      <w:pPr>
        <w:tabs>
          <w:tab w:val="left" w:pos="5260"/>
        </w:tabs>
        <w:autoSpaceDE w:val="0"/>
        <w:autoSpaceDN w:val="0"/>
        <w:adjustRightInd w:val="0"/>
        <w:snapToGrid w:val="0"/>
        <w:spacing w:line="480" w:lineRule="auto"/>
        <w:ind w:firstLine="420" w:firstLineChars="200"/>
        <w:jc w:val="left"/>
        <w:rPr>
          <w:rFonts w:ascii="宋体" w:hAnsi="宋体"/>
          <w:kern w:val="0"/>
          <w:szCs w:val="21"/>
        </w:rPr>
      </w:pPr>
      <w:r>
        <w:rPr>
          <w:rFonts w:hint="eastAsia" w:ascii="宋体" w:hAnsi="宋体"/>
          <w:kern w:val="0"/>
          <w:szCs w:val="21"/>
        </w:rPr>
        <w:t xml:space="preserve">委托代理人电话（手机）：                                          </w:t>
      </w:r>
    </w:p>
    <w:p>
      <w:pPr>
        <w:autoSpaceDE w:val="0"/>
        <w:autoSpaceDN w:val="0"/>
        <w:adjustRightInd w:val="0"/>
        <w:snapToGrid w:val="0"/>
        <w:spacing w:line="480" w:lineRule="auto"/>
        <w:ind w:firstLine="810" w:firstLineChars="386"/>
        <w:jc w:val="left"/>
        <w:rPr>
          <w:rFonts w:ascii="宋体" w:hAnsi="宋体"/>
          <w:kern w:val="0"/>
          <w:szCs w:val="21"/>
        </w:rPr>
      </w:pPr>
      <w:r>
        <w:rPr>
          <w:rFonts w:hint="eastAsia" w:ascii="宋体" w:hAnsi="宋体"/>
          <w:kern w:val="0"/>
          <w:szCs w:val="21"/>
        </w:rPr>
        <w:t>附：法定代表人和委托代理人身份证明</w:t>
      </w:r>
      <w:r>
        <w:rPr>
          <w:rFonts w:hint="eastAsia" w:ascii="宋体" w:hAnsi="宋体"/>
          <w:kern w:val="0"/>
          <w:szCs w:val="21"/>
          <w:lang w:eastAsia="zh-CN"/>
        </w:rPr>
        <w:t>复印件</w:t>
      </w:r>
      <w:bookmarkStart w:id="1824" w:name="_GoBack"/>
      <w:bookmarkEnd w:id="1824"/>
      <w:r>
        <w:rPr>
          <w:rFonts w:hint="eastAsia" w:ascii="宋体" w:hAnsi="宋体"/>
          <w:kern w:val="0"/>
          <w:szCs w:val="21"/>
        </w:rPr>
        <w:t>（双面）</w:t>
      </w:r>
    </w:p>
    <w:p>
      <w:pPr>
        <w:tabs>
          <w:tab w:val="left" w:pos="4005"/>
          <w:tab w:val="left" w:pos="4100"/>
          <w:tab w:val="left" w:pos="5040"/>
        </w:tabs>
        <w:wordWrap w:val="0"/>
        <w:autoSpaceDE w:val="0"/>
        <w:autoSpaceDN w:val="0"/>
        <w:adjustRightInd w:val="0"/>
        <w:snapToGrid w:val="0"/>
        <w:spacing w:line="360" w:lineRule="auto"/>
        <w:ind w:firstLine="3780"/>
        <w:jc w:val="right"/>
        <w:rPr>
          <w:rFonts w:ascii="宋体" w:hAnsi="宋体"/>
          <w:w w:val="200"/>
          <w:kern w:val="0"/>
          <w:szCs w:val="21"/>
          <w:u w:val="single"/>
        </w:rPr>
      </w:pPr>
    </w:p>
    <w:p>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u w:val="single"/>
        </w:rPr>
      </w:pPr>
    </w:p>
    <w:p>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u w:val="single"/>
        </w:rPr>
      </w:pPr>
    </w:p>
    <w:p>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u w:val="single"/>
        </w:rPr>
      </w:pPr>
    </w:p>
    <w:p>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u w:val="single"/>
        </w:rPr>
      </w:pPr>
    </w:p>
    <w:p>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u w:val="single"/>
        </w:rPr>
      </w:pPr>
    </w:p>
    <w:p>
      <w:pPr>
        <w:tabs>
          <w:tab w:val="left" w:pos="6825"/>
        </w:tabs>
        <w:autoSpaceDE w:val="0"/>
        <w:autoSpaceDN w:val="0"/>
        <w:adjustRightInd w:val="0"/>
        <w:snapToGrid w:val="0"/>
        <w:spacing w:line="480" w:lineRule="auto"/>
        <w:ind w:firstLine="420" w:firstLineChars="200"/>
        <w:jc w:val="left"/>
        <w:rPr>
          <w:rFonts w:ascii="宋体" w:hAnsi="宋体"/>
          <w:kern w:val="0"/>
          <w:szCs w:val="21"/>
        </w:rPr>
      </w:pPr>
    </w:p>
    <w:p>
      <w:pPr>
        <w:tabs>
          <w:tab w:val="left" w:pos="4005"/>
          <w:tab w:val="left" w:pos="4100"/>
          <w:tab w:val="left" w:pos="5040"/>
        </w:tabs>
        <w:wordWrap w:val="0"/>
        <w:autoSpaceDE w:val="0"/>
        <w:autoSpaceDN w:val="0"/>
        <w:adjustRightInd w:val="0"/>
        <w:snapToGrid w:val="0"/>
        <w:spacing w:line="360" w:lineRule="auto"/>
        <w:ind w:firstLine="3780"/>
        <w:jc w:val="right"/>
        <w:rPr>
          <w:rFonts w:ascii="宋体" w:hAnsi="宋体"/>
          <w:kern w:val="0"/>
          <w:szCs w:val="21"/>
        </w:rPr>
      </w:pPr>
      <w:r>
        <w:rPr>
          <w:rFonts w:hint="eastAsia" w:ascii="宋体" w:hAnsi="宋体"/>
          <w:w w:val="200"/>
          <w:kern w:val="0"/>
          <w:szCs w:val="21"/>
          <w:u w:val="single"/>
        </w:rPr>
        <w:t xml:space="preserve">  </w:t>
      </w:r>
      <w:r>
        <w:rPr>
          <w:rFonts w:ascii="宋体" w:hAnsi="宋体"/>
          <w:kern w:val="0"/>
          <w:szCs w:val="21"/>
        </w:rPr>
        <w:t>年</w:t>
      </w:r>
      <w:r>
        <w:rPr>
          <w:rFonts w:hint="eastAsia" w:ascii="宋体" w:hAnsi="宋体"/>
          <w:w w:val="200"/>
          <w:kern w:val="0"/>
          <w:szCs w:val="21"/>
          <w:u w:val="single"/>
        </w:rPr>
        <w:t xml:space="preserve">  </w:t>
      </w:r>
      <w:r>
        <w:rPr>
          <w:rFonts w:ascii="宋体" w:hAnsi="宋体"/>
          <w:kern w:val="0"/>
          <w:szCs w:val="21"/>
        </w:rPr>
        <w:t>月</w:t>
      </w:r>
      <w:r>
        <w:rPr>
          <w:rFonts w:hint="eastAsia" w:ascii="宋体" w:hAnsi="宋体"/>
          <w:w w:val="200"/>
          <w:kern w:val="0"/>
          <w:szCs w:val="21"/>
          <w:u w:val="single"/>
        </w:rPr>
        <w:t xml:space="preserve">  </w:t>
      </w:r>
      <w:r>
        <w:rPr>
          <w:rFonts w:ascii="宋体" w:hAnsi="宋体"/>
          <w:kern w:val="0"/>
          <w:szCs w:val="21"/>
        </w:rPr>
        <w:t>日</w:t>
      </w:r>
      <w:r>
        <w:rPr>
          <w:rFonts w:hint="eastAsia" w:ascii="宋体" w:hAnsi="宋体"/>
          <w:kern w:val="0"/>
          <w:szCs w:val="21"/>
        </w:rPr>
        <w:t xml:space="preserve"> </w:t>
      </w:r>
    </w:p>
    <w:p>
      <w:pPr>
        <w:tabs>
          <w:tab w:val="left" w:pos="4005"/>
          <w:tab w:val="left" w:pos="4100"/>
          <w:tab w:val="left" w:pos="5040"/>
        </w:tabs>
        <w:autoSpaceDE w:val="0"/>
        <w:autoSpaceDN w:val="0"/>
        <w:adjustRightInd w:val="0"/>
        <w:snapToGrid w:val="0"/>
        <w:spacing w:line="360" w:lineRule="auto"/>
        <w:ind w:firstLine="3780"/>
        <w:jc w:val="right"/>
        <w:rPr>
          <w:rFonts w:ascii="宋体" w:hAnsi="宋体"/>
          <w:kern w:val="0"/>
          <w:szCs w:val="21"/>
        </w:rPr>
      </w:pPr>
    </w:p>
    <w:p>
      <w:pPr>
        <w:tabs>
          <w:tab w:val="left" w:pos="5760"/>
        </w:tabs>
        <w:autoSpaceDE w:val="0"/>
        <w:autoSpaceDN w:val="0"/>
        <w:adjustRightInd w:val="0"/>
        <w:spacing w:line="360" w:lineRule="auto"/>
        <w:ind w:firstLine="420" w:firstLineChars="200"/>
        <w:rPr>
          <w:rFonts w:ascii="宋体" w:hAnsi="宋体"/>
          <w:kern w:val="0"/>
        </w:rPr>
      </w:pPr>
    </w:p>
    <w:p>
      <w:pPr>
        <w:tabs>
          <w:tab w:val="left" w:pos="1680"/>
          <w:tab w:val="left" w:pos="4215"/>
          <w:tab w:val="left" w:pos="4305"/>
          <w:tab w:val="left" w:pos="8000"/>
        </w:tabs>
        <w:autoSpaceDE w:val="0"/>
        <w:autoSpaceDN w:val="0"/>
        <w:adjustRightInd w:val="0"/>
        <w:snapToGrid w:val="0"/>
        <w:spacing w:line="360" w:lineRule="auto"/>
        <w:ind w:firstLine="420" w:firstLineChars="200"/>
        <w:rPr>
          <w:rFonts w:ascii="宋体" w:hAnsi="宋体"/>
          <w:kern w:val="0"/>
          <w:szCs w:val="21"/>
        </w:rPr>
      </w:pPr>
      <w:r>
        <w:rPr>
          <w:rFonts w:ascii="宋体" w:hAnsi="宋体"/>
          <w:kern w:val="0"/>
          <w:szCs w:val="21"/>
        </w:rPr>
        <w:t>注：1、法定代表人参加</w:t>
      </w:r>
      <w:r>
        <w:rPr>
          <w:rFonts w:hint="eastAsia" w:ascii="宋体" w:hAnsi="宋体"/>
          <w:kern w:val="0"/>
          <w:szCs w:val="21"/>
          <w:lang w:eastAsia="zh-CN"/>
        </w:rPr>
        <w:t>竞标</w:t>
      </w:r>
      <w:r>
        <w:rPr>
          <w:rFonts w:ascii="宋体" w:hAnsi="宋体"/>
          <w:kern w:val="0"/>
          <w:szCs w:val="21"/>
        </w:rPr>
        <w:t>活动并签署文件的不需要授权委托书，只需提供法定代表人身份证明；非法定代表人参加</w:t>
      </w:r>
      <w:r>
        <w:rPr>
          <w:rFonts w:hint="eastAsia" w:ascii="宋体" w:hAnsi="宋体"/>
          <w:kern w:val="0"/>
          <w:szCs w:val="21"/>
          <w:lang w:eastAsia="zh-CN"/>
        </w:rPr>
        <w:t>竞标</w:t>
      </w:r>
      <w:r>
        <w:rPr>
          <w:rFonts w:ascii="宋体" w:hAnsi="宋体"/>
          <w:kern w:val="0"/>
          <w:szCs w:val="21"/>
        </w:rPr>
        <w:t>活动及签署文件的除提供法定代表人身份证明外还须提供授权委托书。</w:t>
      </w:r>
    </w:p>
    <w:p>
      <w:pPr>
        <w:autoSpaceDE w:val="0"/>
        <w:autoSpaceDN w:val="0"/>
        <w:adjustRightInd w:val="0"/>
        <w:snapToGrid w:val="0"/>
        <w:spacing w:line="360" w:lineRule="auto"/>
        <w:ind w:firstLine="420" w:firstLineChars="200"/>
        <w:rPr>
          <w:rFonts w:ascii="宋体" w:hAnsi="宋体"/>
        </w:rPr>
      </w:pPr>
      <w:r>
        <w:rPr>
          <w:rFonts w:hint="eastAsia" w:ascii="宋体" w:hAnsi="宋体"/>
          <w:kern w:val="0"/>
          <w:szCs w:val="21"/>
        </w:rPr>
        <w:t>2.</w:t>
      </w:r>
      <w:r>
        <w:rPr>
          <w:rFonts w:hint="eastAsia" w:ascii="宋体" w:hAnsi="宋体"/>
        </w:rPr>
        <w:t>授权委托书</w:t>
      </w:r>
      <w:r>
        <w:rPr>
          <w:rFonts w:ascii="宋体" w:hAnsi="宋体"/>
        </w:rPr>
        <w:t>需按上述格式填写完整，不可缺少内容。在此基础上增加内容的不影响其有效性。</w:t>
      </w:r>
    </w:p>
    <w:p>
      <w:pPr>
        <w:autoSpaceDE w:val="0"/>
        <w:autoSpaceDN w:val="0"/>
        <w:adjustRightInd w:val="0"/>
        <w:snapToGrid w:val="0"/>
        <w:jc w:val="center"/>
        <w:rPr>
          <w:rFonts w:ascii="宋体" w:hAnsi="宋体"/>
        </w:rPr>
      </w:pPr>
      <w:r>
        <w:rPr>
          <w:rFonts w:ascii="宋体" w:hAnsi="宋体"/>
        </w:rPr>
        <w:br w:type="page"/>
      </w:r>
    </w:p>
    <w:p>
      <w:pPr>
        <w:spacing w:line="20" w:lineRule="exact"/>
        <w:rPr>
          <w:rFonts w:ascii="宋体" w:hAnsi="宋体"/>
          <w:szCs w:val="21"/>
        </w:rPr>
      </w:pPr>
      <w:bookmarkStart w:id="1769" w:name="_Toc277082659"/>
      <w:bookmarkStart w:id="1770" w:name="_Toc287607887"/>
    </w:p>
    <w:p>
      <w:pPr>
        <w:pStyle w:val="5"/>
        <w:spacing w:before="0" w:after="0" w:line="240" w:lineRule="auto"/>
        <w:rPr>
          <w:rFonts w:ascii="宋体" w:hAnsi="宋体"/>
        </w:rPr>
      </w:pPr>
      <w:bookmarkStart w:id="1771" w:name="_Toc6113"/>
      <w:bookmarkStart w:id="1772" w:name="_Toc19320"/>
      <w:bookmarkStart w:id="1773" w:name="_Toc23302"/>
      <w:bookmarkStart w:id="1774" w:name="_Toc6970"/>
      <w:bookmarkStart w:id="1775" w:name="_Toc30107"/>
      <w:r>
        <w:rPr>
          <w:rFonts w:hint="eastAsia" w:ascii="宋体" w:hAnsi="宋体"/>
          <w:b w:val="0"/>
          <w:bCs w:val="0"/>
        </w:rPr>
        <w:t>（二）</w:t>
      </w:r>
      <w:r>
        <w:rPr>
          <w:rFonts w:hint="eastAsia" w:ascii="宋体" w:hAnsi="宋体"/>
          <w:b w:val="0"/>
          <w:bCs w:val="0"/>
          <w:lang w:eastAsia="zh-CN"/>
        </w:rPr>
        <w:t>竞标</w:t>
      </w:r>
      <w:r>
        <w:rPr>
          <w:rFonts w:hint="eastAsia" w:ascii="宋体" w:hAnsi="宋体"/>
          <w:b w:val="0"/>
          <w:bCs w:val="0"/>
        </w:rPr>
        <w:t>人基本情况表</w:t>
      </w:r>
      <w:bookmarkEnd w:id="1771"/>
      <w:bookmarkEnd w:id="1772"/>
      <w:bookmarkEnd w:id="1773"/>
      <w:bookmarkEnd w:id="1774"/>
      <w:bookmarkEnd w:id="1775"/>
    </w:p>
    <w:tbl>
      <w:tblPr>
        <w:tblStyle w:val="45"/>
        <w:tblW w:w="9469" w:type="dxa"/>
        <w:tblInd w:w="-1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1862"/>
        <w:gridCol w:w="967"/>
        <w:gridCol w:w="1024"/>
        <w:gridCol w:w="904"/>
        <w:gridCol w:w="452"/>
        <w:gridCol w:w="103"/>
        <w:gridCol w:w="1392"/>
        <w:gridCol w:w="529"/>
        <w:gridCol w:w="925"/>
        <w:gridCol w:w="1311"/>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lang w:eastAsia="zh-CN"/>
              </w:rPr>
              <w:t>竞标</w:t>
            </w:r>
            <w:r>
              <w:rPr>
                <w:rFonts w:hint="eastAsia" w:ascii="宋体" w:hAnsi="宋体" w:cs="MingLiU"/>
                <w:kern w:val="0"/>
                <w:szCs w:val="21"/>
              </w:rPr>
              <w:t>人名称</w:t>
            </w:r>
          </w:p>
        </w:tc>
        <w:tc>
          <w:tcPr>
            <w:tcW w:w="7607" w:type="dxa"/>
            <w:gridSpan w:val="9"/>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注册地址</w:t>
            </w:r>
          </w:p>
        </w:tc>
        <w:tc>
          <w:tcPr>
            <w:tcW w:w="3450" w:type="dxa"/>
            <w:gridSpan w:val="5"/>
            <w:vAlign w:val="center"/>
          </w:tcPr>
          <w:p>
            <w:pPr>
              <w:autoSpaceDE w:val="0"/>
              <w:autoSpaceDN w:val="0"/>
              <w:adjustRightInd w:val="0"/>
              <w:snapToGrid w:val="0"/>
              <w:jc w:val="center"/>
              <w:rPr>
                <w:rFonts w:ascii="宋体" w:hAnsi="宋体"/>
                <w:kern w:val="0"/>
                <w:szCs w:val="21"/>
              </w:rPr>
            </w:pPr>
          </w:p>
        </w:tc>
        <w:tc>
          <w:tcPr>
            <w:tcW w:w="139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邮政编码</w:t>
            </w:r>
          </w:p>
        </w:tc>
        <w:tc>
          <w:tcPr>
            <w:tcW w:w="2765" w:type="dxa"/>
            <w:gridSpan w:val="3"/>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Merge w:val="restart"/>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联系方式</w:t>
            </w:r>
          </w:p>
        </w:tc>
        <w:tc>
          <w:tcPr>
            <w:tcW w:w="967"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联系人</w:t>
            </w:r>
          </w:p>
        </w:tc>
        <w:tc>
          <w:tcPr>
            <w:tcW w:w="2483" w:type="dxa"/>
            <w:gridSpan w:val="4"/>
            <w:vAlign w:val="center"/>
          </w:tcPr>
          <w:p>
            <w:pPr>
              <w:autoSpaceDE w:val="0"/>
              <w:autoSpaceDN w:val="0"/>
              <w:adjustRightInd w:val="0"/>
              <w:snapToGrid w:val="0"/>
              <w:jc w:val="center"/>
              <w:rPr>
                <w:rFonts w:ascii="宋体" w:hAnsi="宋体"/>
                <w:kern w:val="0"/>
                <w:szCs w:val="21"/>
              </w:rPr>
            </w:pPr>
          </w:p>
        </w:tc>
        <w:tc>
          <w:tcPr>
            <w:tcW w:w="139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电话</w:t>
            </w:r>
          </w:p>
        </w:tc>
        <w:tc>
          <w:tcPr>
            <w:tcW w:w="2765" w:type="dxa"/>
            <w:gridSpan w:val="3"/>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Merge w:val="continue"/>
            <w:vAlign w:val="center"/>
          </w:tcPr>
          <w:p>
            <w:pPr>
              <w:autoSpaceDE w:val="0"/>
              <w:autoSpaceDN w:val="0"/>
              <w:adjustRightInd w:val="0"/>
              <w:snapToGrid w:val="0"/>
              <w:jc w:val="center"/>
              <w:rPr>
                <w:rFonts w:ascii="宋体" w:hAnsi="宋体"/>
                <w:kern w:val="0"/>
                <w:szCs w:val="21"/>
              </w:rPr>
            </w:pPr>
          </w:p>
        </w:tc>
        <w:tc>
          <w:tcPr>
            <w:tcW w:w="967" w:type="dxa"/>
            <w:vAlign w:val="center"/>
          </w:tcPr>
          <w:p>
            <w:pPr>
              <w:tabs>
                <w:tab w:val="left" w:pos="540"/>
              </w:tabs>
              <w:autoSpaceDE w:val="0"/>
              <w:autoSpaceDN w:val="0"/>
              <w:adjustRightInd w:val="0"/>
              <w:snapToGrid w:val="0"/>
              <w:jc w:val="center"/>
              <w:rPr>
                <w:rFonts w:ascii="宋体" w:hAnsi="宋体"/>
                <w:kern w:val="0"/>
                <w:szCs w:val="21"/>
              </w:rPr>
            </w:pPr>
            <w:r>
              <w:rPr>
                <w:rFonts w:hint="eastAsia" w:ascii="宋体" w:hAnsi="宋体" w:cs="MingLiU"/>
                <w:kern w:val="0"/>
                <w:szCs w:val="21"/>
              </w:rPr>
              <w:t>传  真</w:t>
            </w:r>
          </w:p>
        </w:tc>
        <w:tc>
          <w:tcPr>
            <w:tcW w:w="2483" w:type="dxa"/>
            <w:gridSpan w:val="4"/>
            <w:vAlign w:val="center"/>
          </w:tcPr>
          <w:p>
            <w:pPr>
              <w:autoSpaceDE w:val="0"/>
              <w:autoSpaceDN w:val="0"/>
              <w:adjustRightInd w:val="0"/>
              <w:snapToGrid w:val="0"/>
              <w:jc w:val="center"/>
              <w:rPr>
                <w:rFonts w:ascii="宋体" w:hAnsi="宋体"/>
                <w:kern w:val="0"/>
                <w:szCs w:val="21"/>
              </w:rPr>
            </w:pPr>
          </w:p>
        </w:tc>
        <w:tc>
          <w:tcPr>
            <w:tcW w:w="139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网址</w:t>
            </w:r>
          </w:p>
        </w:tc>
        <w:tc>
          <w:tcPr>
            <w:tcW w:w="2765" w:type="dxa"/>
            <w:gridSpan w:val="3"/>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组织结构</w:t>
            </w:r>
          </w:p>
        </w:tc>
        <w:tc>
          <w:tcPr>
            <w:tcW w:w="7607" w:type="dxa"/>
            <w:gridSpan w:val="9"/>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法定代表人</w:t>
            </w:r>
          </w:p>
        </w:tc>
        <w:tc>
          <w:tcPr>
            <w:tcW w:w="967"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姓  名</w:t>
            </w:r>
          </w:p>
        </w:tc>
        <w:tc>
          <w:tcPr>
            <w:tcW w:w="1024" w:type="dxa"/>
            <w:vAlign w:val="center"/>
          </w:tcPr>
          <w:p>
            <w:pPr>
              <w:autoSpaceDE w:val="0"/>
              <w:autoSpaceDN w:val="0"/>
              <w:adjustRightInd w:val="0"/>
              <w:snapToGrid w:val="0"/>
              <w:jc w:val="center"/>
              <w:rPr>
                <w:rFonts w:ascii="宋体" w:hAnsi="宋体"/>
                <w:kern w:val="0"/>
                <w:szCs w:val="21"/>
              </w:rPr>
            </w:pPr>
          </w:p>
        </w:tc>
        <w:tc>
          <w:tcPr>
            <w:tcW w:w="1356" w:type="dxa"/>
            <w:gridSpan w:val="2"/>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技术职称</w:t>
            </w:r>
          </w:p>
        </w:tc>
        <w:tc>
          <w:tcPr>
            <w:tcW w:w="2024" w:type="dxa"/>
            <w:gridSpan w:val="3"/>
            <w:vAlign w:val="center"/>
          </w:tcPr>
          <w:p>
            <w:pPr>
              <w:autoSpaceDE w:val="0"/>
              <w:autoSpaceDN w:val="0"/>
              <w:adjustRightInd w:val="0"/>
              <w:snapToGrid w:val="0"/>
              <w:jc w:val="center"/>
              <w:rPr>
                <w:rFonts w:ascii="宋体" w:hAnsi="宋体"/>
                <w:kern w:val="0"/>
                <w:szCs w:val="21"/>
              </w:rPr>
            </w:pPr>
          </w:p>
        </w:tc>
        <w:tc>
          <w:tcPr>
            <w:tcW w:w="925"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电  话</w:t>
            </w:r>
          </w:p>
        </w:tc>
        <w:tc>
          <w:tcPr>
            <w:tcW w:w="1311" w:type="dxa"/>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技术负责人</w:t>
            </w:r>
          </w:p>
        </w:tc>
        <w:tc>
          <w:tcPr>
            <w:tcW w:w="967"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姓  名</w:t>
            </w:r>
          </w:p>
        </w:tc>
        <w:tc>
          <w:tcPr>
            <w:tcW w:w="1024" w:type="dxa"/>
            <w:vAlign w:val="center"/>
          </w:tcPr>
          <w:p>
            <w:pPr>
              <w:autoSpaceDE w:val="0"/>
              <w:autoSpaceDN w:val="0"/>
              <w:adjustRightInd w:val="0"/>
              <w:snapToGrid w:val="0"/>
              <w:jc w:val="center"/>
              <w:rPr>
                <w:rFonts w:ascii="宋体" w:hAnsi="宋体"/>
                <w:kern w:val="0"/>
                <w:szCs w:val="21"/>
              </w:rPr>
            </w:pPr>
          </w:p>
        </w:tc>
        <w:tc>
          <w:tcPr>
            <w:tcW w:w="1356" w:type="dxa"/>
            <w:gridSpan w:val="2"/>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技术职称</w:t>
            </w:r>
          </w:p>
        </w:tc>
        <w:tc>
          <w:tcPr>
            <w:tcW w:w="2024" w:type="dxa"/>
            <w:gridSpan w:val="3"/>
            <w:vAlign w:val="center"/>
          </w:tcPr>
          <w:p>
            <w:pPr>
              <w:autoSpaceDE w:val="0"/>
              <w:autoSpaceDN w:val="0"/>
              <w:adjustRightInd w:val="0"/>
              <w:snapToGrid w:val="0"/>
              <w:jc w:val="center"/>
              <w:rPr>
                <w:rFonts w:ascii="宋体" w:hAnsi="宋体"/>
                <w:kern w:val="0"/>
                <w:szCs w:val="21"/>
              </w:rPr>
            </w:pPr>
          </w:p>
        </w:tc>
        <w:tc>
          <w:tcPr>
            <w:tcW w:w="925"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电  话</w:t>
            </w:r>
          </w:p>
        </w:tc>
        <w:tc>
          <w:tcPr>
            <w:tcW w:w="1311" w:type="dxa"/>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成立时间</w:t>
            </w:r>
          </w:p>
        </w:tc>
        <w:tc>
          <w:tcPr>
            <w:tcW w:w="1991" w:type="dxa"/>
            <w:gridSpan w:val="2"/>
            <w:vAlign w:val="center"/>
          </w:tcPr>
          <w:p>
            <w:pPr>
              <w:autoSpaceDE w:val="0"/>
              <w:autoSpaceDN w:val="0"/>
              <w:adjustRightInd w:val="0"/>
              <w:snapToGrid w:val="0"/>
              <w:jc w:val="center"/>
              <w:rPr>
                <w:rFonts w:ascii="宋体" w:hAnsi="宋体"/>
                <w:kern w:val="0"/>
                <w:szCs w:val="21"/>
              </w:rPr>
            </w:pPr>
          </w:p>
        </w:tc>
        <w:tc>
          <w:tcPr>
            <w:tcW w:w="5616" w:type="dxa"/>
            <w:gridSpan w:val="7"/>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员工总人数：</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企业资质等级</w:t>
            </w:r>
          </w:p>
        </w:tc>
        <w:tc>
          <w:tcPr>
            <w:tcW w:w="1991" w:type="dxa"/>
            <w:gridSpan w:val="2"/>
            <w:vAlign w:val="center"/>
          </w:tcPr>
          <w:p>
            <w:pPr>
              <w:autoSpaceDE w:val="0"/>
              <w:autoSpaceDN w:val="0"/>
              <w:adjustRightInd w:val="0"/>
              <w:snapToGrid w:val="0"/>
              <w:jc w:val="center"/>
              <w:rPr>
                <w:rFonts w:ascii="宋体" w:hAnsi="宋体"/>
                <w:kern w:val="0"/>
                <w:szCs w:val="21"/>
              </w:rPr>
            </w:pPr>
          </w:p>
        </w:tc>
        <w:tc>
          <w:tcPr>
            <w:tcW w:w="904" w:type="dxa"/>
            <w:vMerge w:val="restart"/>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其中</w:t>
            </w:r>
          </w:p>
        </w:tc>
        <w:tc>
          <w:tcPr>
            <w:tcW w:w="2476" w:type="dxa"/>
            <w:gridSpan w:val="4"/>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项目经理</w:t>
            </w:r>
          </w:p>
        </w:tc>
        <w:tc>
          <w:tcPr>
            <w:tcW w:w="223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营业执照号</w:t>
            </w:r>
          </w:p>
        </w:tc>
        <w:tc>
          <w:tcPr>
            <w:tcW w:w="1991" w:type="dxa"/>
            <w:gridSpan w:val="2"/>
            <w:vAlign w:val="center"/>
          </w:tcPr>
          <w:p>
            <w:pPr>
              <w:autoSpaceDE w:val="0"/>
              <w:autoSpaceDN w:val="0"/>
              <w:adjustRightInd w:val="0"/>
              <w:snapToGrid w:val="0"/>
              <w:jc w:val="center"/>
              <w:rPr>
                <w:rFonts w:ascii="宋体" w:hAnsi="宋体"/>
                <w:kern w:val="0"/>
                <w:szCs w:val="21"/>
              </w:rPr>
            </w:pPr>
          </w:p>
        </w:tc>
        <w:tc>
          <w:tcPr>
            <w:tcW w:w="904" w:type="dxa"/>
            <w:vMerge w:val="continue"/>
            <w:vAlign w:val="center"/>
          </w:tcPr>
          <w:p>
            <w:pPr>
              <w:autoSpaceDE w:val="0"/>
              <w:autoSpaceDN w:val="0"/>
              <w:adjustRightInd w:val="0"/>
              <w:snapToGrid w:val="0"/>
              <w:jc w:val="center"/>
              <w:rPr>
                <w:rFonts w:ascii="宋体" w:hAnsi="宋体"/>
                <w:kern w:val="0"/>
                <w:szCs w:val="21"/>
              </w:rPr>
            </w:pPr>
          </w:p>
        </w:tc>
        <w:tc>
          <w:tcPr>
            <w:tcW w:w="2476" w:type="dxa"/>
            <w:gridSpan w:val="4"/>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高级职称人员</w:t>
            </w:r>
          </w:p>
        </w:tc>
        <w:tc>
          <w:tcPr>
            <w:tcW w:w="223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注册资金</w:t>
            </w:r>
          </w:p>
        </w:tc>
        <w:tc>
          <w:tcPr>
            <w:tcW w:w="1991" w:type="dxa"/>
            <w:gridSpan w:val="2"/>
            <w:vAlign w:val="center"/>
          </w:tcPr>
          <w:p>
            <w:pPr>
              <w:autoSpaceDE w:val="0"/>
              <w:autoSpaceDN w:val="0"/>
              <w:adjustRightInd w:val="0"/>
              <w:snapToGrid w:val="0"/>
              <w:jc w:val="center"/>
              <w:rPr>
                <w:rFonts w:ascii="宋体" w:hAnsi="宋体"/>
                <w:kern w:val="0"/>
                <w:szCs w:val="21"/>
              </w:rPr>
            </w:pPr>
          </w:p>
        </w:tc>
        <w:tc>
          <w:tcPr>
            <w:tcW w:w="904" w:type="dxa"/>
            <w:vMerge w:val="continue"/>
            <w:vAlign w:val="center"/>
          </w:tcPr>
          <w:p>
            <w:pPr>
              <w:autoSpaceDE w:val="0"/>
              <w:autoSpaceDN w:val="0"/>
              <w:adjustRightInd w:val="0"/>
              <w:snapToGrid w:val="0"/>
              <w:jc w:val="center"/>
              <w:rPr>
                <w:rFonts w:ascii="宋体" w:hAnsi="宋体"/>
                <w:kern w:val="0"/>
                <w:szCs w:val="21"/>
              </w:rPr>
            </w:pPr>
          </w:p>
        </w:tc>
        <w:tc>
          <w:tcPr>
            <w:tcW w:w="2476" w:type="dxa"/>
            <w:gridSpan w:val="4"/>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中级职称人员</w:t>
            </w:r>
          </w:p>
        </w:tc>
        <w:tc>
          <w:tcPr>
            <w:tcW w:w="223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开户银行</w:t>
            </w:r>
          </w:p>
        </w:tc>
        <w:tc>
          <w:tcPr>
            <w:tcW w:w="1991" w:type="dxa"/>
            <w:gridSpan w:val="2"/>
            <w:vAlign w:val="center"/>
          </w:tcPr>
          <w:p>
            <w:pPr>
              <w:autoSpaceDE w:val="0"/>
              <w:autoSpaceDN w:val="0"/>
              <w:adjustRightInd w:val="0"/>
              <w:snapToGrid w:val="0"/>
              <w:jc w:val="center"/>
              <w:rPr>
                <w:rFonts w:ascii="宋体" w:hAnsi="宋体"/>
                <w:kern w:val="0"/>
                <w:szCs w:val="21"/>
              </w:rPr>
            </w:pPr>
          </w:p>
        </w:tc>
        <w:tc>
          <w:tcPr>
            <w:tcW w:w="904" w:type="dxa"/>
            <w:vMerge w:val="continue"/>
            <w:vAlign w:val="center"/>
          </w:tcPr>
          <w:p>
            <w:pPr>
              <w:autoSpaceDE w:val="0"/>
              <w:autoSpaceDN w:val="0"/>
              <w:adjustRightInd w:val="0"/>
              <w:snapToGrid w:val="0"/>
              <w:jc w:val="center"/>
              <w:rPr>
                <w:rFonts w:ascii="宋体" w:hAnsi="宋体"/>
                <w:kern w:val="0"/>
                <w:szCs w:val="21"/>
              </w:rPr>
            </w:pPr>
          </w:p>
        </w:tc>
        <w:tc>
          <w:tcPr>
            <w:tcW w:w="2476" w:type="dxa"/>
            <w:gridSpan w:val="4"/>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初级职称人员</w:t>
            </w:r>
          </w:p>
        </w:tc>
        <w:tc>
          <w:tcPr>
            <w:tcW w:w="223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kern w:val="0"/>
                <w:szCs w:val="21"/>
              </w:rPr>
            </w:pPr>
            <w:r>
              <w:rPr>
                <w:rFonts w:hint="eastAsia" w:ascii="宋体" w:hAnsi="宋体"/>
                <w:kern w:val="0"/>
                <w:szCs w:val="21"/>
              </w:rPr>
              <w:t>账号</w:t>
            </w:r>
          </w:p>
        </w:tc>
        <w:tc>
          <w:tcPr>
            <w:tcW w:w="1991" w:type="dxa"/>
            <w:gridSpan w:val="2"/>
            <w:vAlign w:val="center"/>
          </w:tcPr>
          <w:p>
            <w:pPr>
              <w:autoSpaceDE w:val="0"/>
              <w:autoSpaceDN w:val="0"/>
              <w:adjustRightInd w:val="0"/>
              <w:snapToGrid w:val="0"/>
              <w:jc w:val="center"/>
              <w:rPr>
                <w:rFonts w:ascii="宋体" w:hAnsi="宋体"/>
                <w:kern w:val="0"/>
                <w:szCs w:val="21"/>
              </w:rPr>
            </w:pPr>
          </w:p>
        </w:tc>
        <w:tc>
          <w:tcPr>
            <w:tcW w:w="904" w:type="dxa"/>
            <w:vMerge w:val="continue"/>
            <w:vAlign w:val="center"/>
          </w:tcPr>
          <w:p>
            <w:pPr>
              <w:autoSpaceDE w:val="0"/>
              <w:autoSpaceDN w:val="0"/>
              <w:adjustRightInd w:val="0"/>
              <w:snapToGrid w:val="0"/>
              <w:jc w:val="center"/>
              <w:rPr>
                <w:rFonts w:ascii="宋体" w:hAnsi="宋体"/>
                <w:kern w:val="0"/>
                <w:szCs w:val="21"/>
              </w:rPr>
            </w:pPr>
          </w:p>
        </w:tc>
        <w:tc>
          <w:tcPr>
            <w:tcW w:w="2476" w:type="dxa"/>
            <w:gridSpan w:val="4"/>
            <w:vAlign w:val="center"/>
          </w:tcPr>
          <w:p>
            <w:pPr>
              <w:tabs>
                <w:tab w:val="left" w:pos="1240"/>
              </w:tabs>
              <w:autoSpaceDE w:val="0"/>
              <w:autoSpaceDN w:val="0"/>
              <w:adjustRightInd w:val="0"/>
              <w:snapToGrid w:val="0"/>
              <w:jc w:val="center"/>
              <w:rPr>
                <w:rFonts w:ascii="宋体" w:hAnsi="宋体"/>
                <w:kern w:val="0"/>
                <w:szCs w:val="21"/>
              </w:rPr>
            </w:pPr>
            <w:r>
              <w:rPr>
                <w:rFonts w:hint="eastAsia" w:ascii="宋体" w:hAnsi="宋体" w:cs="MingLiU"/>
                <w:kern w:val="0"/>
                <w:szCs w:val="21"/>
              </w:rPr>
              <w:t>技</w:t>
            </w:r>
            <w:r>
              <w:rPr>
                <w:rFonts w:ascii="宋体" w:hAnsi="宋体"/>
                <w:kern w:val="0"/>
                <w:szCs w:val="21"/>
              </w:rPr>
              <w:tab/>
            </w:r>
            <w:r>
              <w:rPr>
                <w:rFonts w:hint="eastAsia" w:ascii="宋体" w:hAnsi="宋体" w:cs="MingLiU"/>
                <w:kern w:val="0"/>
                <w:szCs w:val="21"/>
              </w:rPr>
              <w:t>工</w:t>
            </w:r>
          </w:p>
        </w:tc>
        <w:tc>
          <w:tcPr>
            <w:tcW w:w="223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经营范围</w:t>
            </w:r>
          </w:p>
        </w:tc>
        <w:tc>
          <w:tcPr>
            <w:tcW w:w="7607" w:type="dxa"/>
            <w:gridSpan w:val="9"/>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备注</w:t>
            </w:r>
          </w:p>
        </w:tc>
        <w:tc>
          <w:tcPr>
            <w:tcW w:w="7607" w:type="dxa"/>
            <w:gridSpan w:val="9"/>
            <w:vAlign w:val="center"/>
          </w:tcPr>
          <w:p>
            <w:pPr>
              <w:autoSpaceDE w:val="0"/>
              <w:autoSpaceDN w:val="0"/>
              <w:adjustRightInd w:val="0"/>
              <w:snapToGrid w:val="0"/>
              <w:jc w:val="center"/>
              <w:rPr>
                <w:rFonts w:ascii="宋体" w:hAnsi="宋体"/>
                <w:kern w:val="0"/>
                <w:szCs w:val="21"/>
              </w:rPr>
            </w:pPr>
          </w:p>
        </w:tc>
      </w:tr>
    </w:tbl>
    <w:p>
      <w:pPr>
        <w:spacing w:line="360" w:lineRule="auto"/>
        <w:jc w:val="center"/>
        <w:rPr>
          <w:rFonts w:ascii="宋体" w:hAnsi="宋体"/>
          <w:szCs w:val="21"/>
        </w:rPr>
      </w:pPr>
    </w:p>
    <w:p>
      <w:pPr>
        <w:pStyle w:val="5"/>
        <w:spacing w:before="0" w:after="0" w:line="240" w:lineRule="auto"/>
        <w:jc w:val="center"/>
        <w:rPr>
          <w:rFonts w:ascii="宋体" w:hAnsi="宋体"/>
          <w:b w:val="0"/>
          <w:bCs w:val="0"/>
        </w:rPr>
      </w:pPr>
      <w:r>
        <w:rPr>
          <w:rFonts w:ascii="宋体" w:hAnsi="宋体"/>
          <w:szCs w:val="21"/>
        </w:rPr>
        <w:br w:type="page"/>
      </w:r>
      <w:bookmarkStart w:id="1776" w:name="_Toc534185840"/>
      <w:bookmarkStart w:id="1777" w:name="_Toc14177"/>
      <w:bookmarkStart w:id="1778" w:name="_Toc23603"/>
      <w:bookmarkStart w:id="1779" w:name="_Toc25452"/>
      <w:bookmarkStart w:id="1780" w:name="_Toc2138"/>
      <w:bookmarkStart w:id="1781" w:name="_Toc9617"/>
      <w:bookmarkStart w:id="1782" w:name="_Toc509218863"/>
      <w:r>
        <w:rPr>
          <w:rFonts w:hint="eastAsia" w:ascii="宋体" w:hAnsi="宋体"/>
          <w:b w:val="0"/>
          <w:bCs w:val="0"/>
        </w:rPr>
        <w:t>（三）项目管理机构</w:t>
      </w:r>
      <w:bookmarkEnd w:id="1776"/>
      <w:bookmarkEnd w:id="1777"/>
      <w:bookmarkEnd w:id="1778"/>
      <w:bookmarkEnd w:id="1779"/>
      <w:bookmarkEnd w:id="1780"/>
      <w:bookmarkEnd w:id="1781"/>
      <w:bookmarkEnd w:id="1782"/>
    </w:p>
    <w:p>
      <w:pPr>
        <w:spacing w:line="360" w:lineRule="auto"/>
        <w:rPr>
          <w:rFonts w:ascii="宋体" w:hAnsi="宋体"/>
        </w:rPr>
      </w:pPr>
    </w:p>
    <w:p>
      <w:pPr>
        <w:autoSpaceDE w:val="0"/>
        <w:autoSpaceDN w:val="0"/>
        <w:adjustRightInd w:val="0"/>
        <w:snapToGrid w:val="0"/>
        <w:spacing w:line="360" w:lineRule="auto"/>
        <w:jc w:val="center"/>
        <w:rPr>
          <w:rFonts w:ascii="宋体" w:hAnsi="宋体" w:cs="MingLiU"/>
          <w:kern w:val="0"/>
          <w:sz w:val="28"/>
          <w:szCs w:val="28"/>
        </w:rPr>
      </w:pPr>
      <w:r>
        <w:rPr>
          <w:rFonts w:hint="eastAsia" w:ascii="宋体" w:hAnsi="宋体" w:cs="MingLiU"/>
          <w:kern w:val="0"/>
          <w:sz w:val="28"/>
          <w:szCs w:val="28"/>
        </w:rPr>
        <w:t>项目管理机构组成表</w:t>
      </w:r>
    </w:p>
    <w:tbl>
      <w:tblPr>
        <w:tblStyle w:val="45"/>
        <w:tblW w:w="9482" w:type="dxa"/>
        <w:tblInd w:w="-5"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856"/>
        <w:gridCol w:w="734"/>
        <w:gridCol w:w="776"/>
        <w:gridCol w:w="1167"/>
        <w:gridCol w:w="776"/>
        <w:gridCol w:w="778"/>
        <w:gridCol w:w="776"/>
        <w:gridCol w:w="2723"/>
        <w:gridCol w:w="896"/>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vMerge w:val="restart"/>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职务</w:t>
            </w:r>
          </w:p>
        </w:tc>
        <w:tc>
          <w:tcPr>
            <w:tcW w:w="734" w:type="dxa"/>
            <w:vMerge w:val="restart"/>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姓名</w:t>
            </w:r>
          </w:p>
        </w:tc>
        <w:tc>
          <w:tcPr>
            <w:tcW w:w="776" w:type="dxa"/>
            <w:vMerge w:val="restart"/>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职称</w:t>
            </w:r>
          </w:p>
        </w:tc>
        <w:tc>
          <w:tcPr>
            <w:tcW w:w="6220" w:type="dxa"/>
            <w:gridSpan w:val="5"/>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执业或职业资格证明</w:t>
            </w:r>
          </w:p>
        </w:tc>
        <w:tc>
          <w:tcPr>
            <w:tcW w:w="896"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备注</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vMerge w:val="continue"/>
          </w:tcPr>
          <w:p>
            <w:pPr>
              <w:autoSpaceDE w:val="0"/>
              <w:autoSpaceDN w:val="0"/>
              <w:adjustRightInd w:val="0"/>
              <w:snapToGrid w:val="0"/>
              <w:jc w:val="left"/>
              <w:rPr>
                <w:rFonts w:ascii="宋体" w:hAnsi="宋体"/>
                <w:kern w:val="0"/>
                <w:szCs w:val="21"/>
              </w:rPr>
            </w:pPr>
          </w:p>
        </w:tc>
        <w:tc>
          <w:tcPr>
            <w:tcW w:w="734" w:type="dxa"/>
            <w:vMerge w:val="continue"/>
          </w:tcPr>
          <w:p>
            <w:pPr>
              <w:autoSpaceDE w:val="0"/>
              <w:autoSpaceDN w:val="0"/>
              <w:adjustRightInd w:val="0"/>
              <w:snapToGrid w:val="0"/>
              <w:jc w:val="left"/>
              <w:rPr>
                <w:rFonts w:ascii="宋体" w:hAnsi="宋体"/>
                <w:kern w:val="0"/>
                <w:szCs w:val="21"/>
              </w:rPr>
            </w:pPr>
          </w:p>
        </w:tc>
        <w:tc>
          <w:tcPr>
            <w:tcW w:w="776" w:type="dxa"/>
            <w:vMerge w:val="continue"/>
          </w:tcPr>
          <w:p>
            <w:pPr>
              <w:autoSpaceDE w:val="0"/>
              <w:autoSpaceDN w:val="0"/>
              <w:adjustRightInd w:val="0"/>
              <w:snapToGrid w:val="0"/>
              <w:jc w:val="left"/>
              <w:rPr>
                <w:rFonts w:ascii="宋体" w:hAnsi="宋体"/>
                <w:kern w:val="0"/>
                <w:szCs w:val="21"/>
              </w:rPr>
            </w:pPr>
          </w:p>
        </w:tc>
        <w:tc>
          <w:tcPr>
            <w:tcW w:w="1167"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证书名称</w:t>
            </w:r>
          </w:p>
        </w:tc>
        <w:tc>
          <w:tcPr>
            <w:tcW w:w="776"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级别</w:t>
            </w:r>
          </w:p>
        </w:tc>
        <w:tc>
          <w:tcPr>
            <w:tcW w:w="778"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证号</w:t>
            </w:r>
          </w:p>
        </w:tc>
        <w:tc>
          <w:tcPr>
            <w:tcW w:w="776"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专业</w:t>
            </w:r>
          </w:p>
        </w:tc>
        <w:tc>
          <w:tcPr>
            <w:tcW w:w="2723"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养老保险</w:t>
            </w:r>
          </w:p>
        </w:tc>
        <w:tc>
          <w:tcPr>
            <w:tcW w:w="896"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vAlign w:val="center"/>
          </w:tcPr>
          <w:p>
            <w:pPr>
              <w:autoSpaceDE w:val="0"/>
              <w:autoSpaceDN w:val="0"/>
              <w:adjustRightInd w:val="0"/>
              <w:snapToGrid w:val="0"/>
              <w:jc w:val="center"/>
              <w:rPr>
                <w:rFonts w:ascii="宋体" w:hAnsi="宋体"/>
                <w:kern w:val="0"/>
                <w:szCs w:val="21"/>
              </w:rPr>
            </w:pPr>
            <w:r>
              <w:rPr>
                <w:rFonts w:hint="eastAsia" w:ascii="宋体" w:hAnsi="宋体"/>
                <w:kern w:val="0"/>
                <w:szCs w:val="21"/>
              </w:rPr>
              <w:t>项目经理</w:t>
            </w:r>
          </w:p>
        </w:tc>
        <w:tc>
          <w:tcPr>
            <w:tcW w:w="734"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1167"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778"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2723" w:type="dxa"/>
          </w:tcPr>
          <w:p>
            <w:pPr>
              <w:autoSpaceDE w:val="0"/>
              <w:autoSpaceDN w:val="0"/>
              <w:adjustRightInd w:val="0"/>
              <w:snapToGrid w:val="0"/>
              <w:jc w:val="left"/>
              <w:rPr>
                <w:rFonts w:ascii="宋体" w:hAnsi="宋体"/>
                <w:kern w:val="0"/>
                <w:szCs w:val="21"/>
              </w:rPr>
            </w:pPr>
          </w:p>
        </w:tc>
        <w:tc>
          <w:tcPr>
            <w:tcW w:w="896"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03" w:hRule="exact"/>
        </w:trPr>
        <w:tc>
          <w:tcPr>
            <w:tcW w:w="856" w:type="dxa"/>
            <w:vAlign w:val="center"/>
          </w:tcPr>
          <w:p>
            <w:pPr>
              <w:autoSpaceDE w:val="0"/>
              <w:autoSpaceDN w:val="0"/>
              <w:adjustRightInd w:val="0"/>
              <w:snapToGrid w:val="0"/>
              <w:jc w:val="center"/>
              <w:rPr>
                <w:rFonts w:ascii="宋体" w:hAnsi="宋体"/>
                <w:kern w:val="0"/>
                <w:szCs w:val="21"/>
              </w:rPr>
            </w:pPr>
            <w:r>
              <w:rPr>
                <w:rFonts w:hint="eastAsia" w:ascii="宋体" w:hAnsi="宋体"/>
                <w:kern w:val="0"/>
                <w:szCs w:val="21"/>
              </w:rPr>
              <w:t>项目技术负责人</w:t>
            </w:r>
          </w:p>
        </w:tc>
        <w:tc>
          <w:tcPr>
            <w:tcW w:w="734"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1167"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778"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2723" w:type="dxa"/>
          </w:tcPr>
          <w:p>
            <w:pPr>
              <w:autoSpaceDE w:val="0"/>
              <w:autoSpaceDN w:val="0"/>
              <w:adjustRightInd w:val="0"/>
              <w:snapToGrid w:val="0"/>
              <w:jc w:val="left"/>
              <w:rPr>
                <w:rFonts w:ascii="宋体" w:hAnsi="宋体"/>
                <w:kern w:val="0"/>
                <w:szCs w:val="21"/>
              </w:rPr>
            </w:pPr>
          </w:p>
        </w:tc>
        <w:tc>
          <w:tcPr>
            <w:tcW w:w="896"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kern w:val="0"/>
                <w:szCs w:val="21"/>
              </w:rPr>
            </w:pPr>
          </w:p>
        </w:tc>
        <w:tc>
          <w:tcPr>
            <w:tcW w:w="734"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1167"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778"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2723" w:type="dxa"/>
          </w:tcPr>
          <w:p>
            <w:pPr>
              <w:autoSpaceDE w:val="0"/>
              <w:autoSpaceDN w:val="0"/>
              <w:adjustRightInd w:val="0"/>
              <w:snapToGrid w:val="0"/>
              <w:jc w:val="left"/>
              <w:rPr>
                <w:rFonts w:ascii="宋体" w:hAnsi="宋体"/>
                <w:kern w:val="0"/>
                <w:szCs w:val="21"/>
              </w:rPr>
            </w:pPr>
          </w:p>
        </w:tc>
        <w:tc>
          <w:tcPr>
            <w:tcW w:w="896"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kern w:val="0"/>
                <w:szCs w:val="21"/>
              </w:rPr>
            </w:pPr>
          </w:p>
        </w:tc>
        <w:tc>
          <w:tcPr>
            <w:tcW w:w="734"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1167"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778"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2723" w:type="dxa"/>
          </w:tcPr>
          <w:p>
            <w:pPr>
              <w:autoSpaceDE w:val="0"/>
              <w:autoSpaceDN w:val="0"/>
              <w:adjustRightInd w:val="0"/>
              <w:snapToGrid w:val="0"/>
              <w:jc w:val="left"/>
              <w:rPr>
                <w:rFonts w:ascii="宋体" w:hAnsi="宋体"/>
                <w:kern w:val="0"/>
                <w:szCs w:val="21"/>
              </w:rPr>
            </w:pPr>
          </w:p>
        </w:tc>
        <w:tc>
          <w:tcPr>
            <w:tcW w:w="896"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kern w:val="0"/>
                <w:szCs w:val="21"/>
              </w:rPr>
            </w:pPr>
          </w:p>
        </w:tc>
        <w:tc>
          <w:tcPr>
            <w:tcW w:w="734"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1167"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778"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2723" w:type="dxa"/>
          </w:tcPr>
          <w:p>
            <w:pPr>
              <w:autoSpaceDE w:val="0"/>
              <w:autoSpaceDN w:val="0"/>
              <w:adjustRightInd w:val="0"/>
              <w:snapToGrid w:val="0"/>
              <w:jc w:val="left"/>
              <w:rPr>
                <w:rFonts w:ascii="宋体" w:hAnsi="宋体"/>
                <w:kern w:val="0"/>
                <w:szCs w:val="21"/>
              </w:rPr>
            </w:pPr>
          </w:p>
        </w:tc>
        <w:tc>
          <w:tcPr>
            <w:tcW w:w="896"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kern w:val="0"/>
                <w:szCs w:val="21"/>
              </w:rPr>
            </w:pPr>
          </w:p>
        </w:tc>
        <w:tc>
          <w:tcPr>
            <w:tcW w:w="734"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1167"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778"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2723" w:type="dxa"/>
          </w:tcPr>
          <w:p>
            <w:pPr>
              <w:autoSpaceDE w:val="0"/>
              <w:autoSpaceDN w:val="0"/>
              <w:adjustRightInd w:val="0"/>
              <w:snapToGrid w:val="0"/>
              <w:jc w:val="left"/>
              <w:rPr>
                <w:rFonts w:ascii="宋体" w:hAnsi="宋体"/>
                <w:kern w:val="0"/>
                <w:szCs w:val="21"/>
              </w:rPr>
            </w:pPr>
          </w:p>
        </w:tc>
        <w:tc>
          <w:tcPr>
            <w:tcW w:w="896"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kern w:val="0"/>
                <w:szCs w:val="21"/>
              </w:rPr>
            </w:pPr>
          </w:p>
        </w:tc>
        <w:tc>
          <w:tcPr>
            <w:tcW w:w="734"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1167"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778"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2723" w:type="dxa"/>
          </w:tcPr>
          <w:p>
            <w:pPr>
              <w:autoSpaceDE w:val="0"/>
              <w:autoSpaceDN w:val="0"/>
              <w:adjustRightInd w:val="0"/>
              <w:snapToGrid w:val="0"/>
              <w:jc w:val="left"/>
              <w:rPr>
                <w:rFonts w:ascii="宋体" w:hAnsi="宋体"/>
                <w:kern w:val="0"/>
                <w:szCs w:val="21"/>
              </w:rPr>
            </w:pPr>
          </w:p>
        </w:tc>
        <w:tc>
          <w:tcPr>
            <w:tcW w:w="896"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kern w:val="0"/>
                <w:szCs w:val="21"/>
              </w:rPr>
            </w:pPr>
          </w:p>
        </w:tc>
        <w:tc>
          <w:tcPr>
            <w:tcW w:w="734"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1167"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778"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2723" w:type="dxa"/>
          </w:tcPr>
          <w:p>
            <w:pPr>
              <w:autoSpaceDE w:val="0"/>
              <w:autoSpaceDN w:val="0"/>
              <w:adjustRightInd w:val="0"/>
              <w:snapToGrid w:val="0"/>
              <w:jc w:val="left"/>
              <w:rPr>
                <w:rFonts w:ascii="宋体" w:hAnsi="宋体"/>
                <w:kern w:val="0"/>
                <w:szCs w:val="21"/>
              </w:rPr>
            </w:pPr>
          </w:p>
        </w:tc>
        <w:tc>
          <w:tcPr>
            <w:tcW w:w="896"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kern w:val="0"/>
                <w:szCs w:val="21"/>
              </w:rPr>
            </w:pPr>
          </w:p>
        </w:tc>
        <w:tc>
          <w:tcPr>
            <w:tcW w:w="734"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1167"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778"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2723" w:type="dxa"/>
          </w:tcPr>
          <w:p>
            <w:pPr>
              <w:autoSpaceDE w:val="0"/>
              <w:autoSpaceDN w:val="0"/>
              <w:adjustRightInd w:val="0"/>
              <w:snapToGrid w:val="0"/>
              <w:jc w:val="left"/>
              <w:rPr>
                <w:rFonts w:ascii="宋体" w:hAnsi="宋体"/>
                <w:kern w:val="0"/>
                <w:szCs w:val="21"/>
              </w:rPr>
            </w:pPr>
          </w:p>
        </w:tc>
        <w:tc>
          <w:tcPr>
            <w:tcW w:w="896"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kern w:val="0"/>
                <w:szCs w:val="21"/>
              </w:rPr>
            </w:pPr>
          </w:p>
        </w:tc>
        <w:tc>
          <w:tcPr>
            <w:tcW w:w="734"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1167"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778"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2723" w:type="dxa"/>
          </w:tcPr>
          <w:p>
            <w:pPr>
              <w:autoSpaceDE w:val="0"/>
              <w:autoSpaceDN w:val="0"/>
              <w:adjustRightInd w:val="0"/>
              <w:snapToGrid w:val="0"/>
              <w:jc w:val="left"/>
              <w:rPr>
                <w:rFonts w:ascii="宋体" w:hAnsi="宋体"/>
                <w:kern w:val="0"/>
                <w:szCs w:val="21"/>
              </w:rPr>
            </w:pPr>
          </w:p>
        </w:tc>
        <w:tc>
          <w:tcPr>
            <w:tcW w:w="896"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kern w:val="0"/>
                <w:szCs w:val="21"/>
              </w:rPr>
            </w:pPr>
          </w:p>
        </w:tc>
        <w:tc>
          <w:tcPr>
            <w:tcW w:w="734"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1167"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778"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2723" w:type="dxa"/>
          </w:tcPr>
          <w:p>
            <w:pPr>
              <w:autoSpaceDE w:val="0"/>
              <w:autoSpaceDN w:val="0"/>
              <w:adjustRightInd w:val="0"/>
              <w:snapToGrid w:val="0"/>
              <w:jc w:val="left"/>
              <w:rPr>
                <w:rFonts w:ascii="宋体" w:hAnsi="宋体"/>
                <w:kern w:val="0"/>
                <w:szCs w:val="21"/>
              </w:rPr>
            </w:pPr>
          </w:p>
        </w:tc>
        <w:tc>
          <w:tcPr>
            <w:tcW w:w="896"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kern w:val="0"/>
                <w:szCs w:val="21"/>
              </w:rPr>
            </w:pPr>
          </w:p>
        </w:tc>
        <w:tc>
          <w:tcPr>
            <w:tcW w:w="734"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1167"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778"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2723" w:type="dxa"/>
          </w:tcPr>
          <w:p>
            <w:pPr>
              <w:autoSpaceDE w:val="0"/>
              <w:autoSpaceDN w:val="0"/>
              <w:adjustRightInd w:val="0"/>
              <w:snapToGrid w:val="0"/>
              <w:jc w:val="left"/>
              <w:rPr>
                <w:rFonts w:ascii="宋体" w:hAnsi="宋体"/>
                <w:kern w:val="0"/>
                <w:szCs w:val="21"/>
              </w:rPr>
            </w:pPr>
          </w:p>
        </w:tc>
        <w:tc>
          <w:tcPr>
            <w:tcW w:w="896"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kern w:val="0"/>
                <w:szCs w:val="21"/>
              </w:rPr>
            </w:pPr>
          </w:p>
        </w:tc>
        <w:tc>
          <w:tcPr>
            <w:tcW w:w="734"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1167"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778"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2723" w:type="dxa"/>
          </w:tcPr>
          <w:p>
            <w:pPr>
              <w:autoSpaceDE w:val="0"/>
              <w:autoSpaceDN w:val="0"/>
              <w:adjustRightInd w:val="0"/>
              <w:snapToGrid w:val="0"/>
              <w:jc w:val="left"/>
              <w:rPr>
                <w:rFonts w:ascii="宋体" w:hAnsi="宋体"/>
                <w:kern w:val="0"/>
                <w:szCs w:val="21"/>
              </w:rPr>
            </w:pPr>
          </w:p>
        </w:tc>
        <w:tc>
          <w:tcPr>
            <w:tcW w:w="896"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kern w:val="0"/>
                <w:szCs w:val="21"/>
              </w:rPr>
            </w:pPr>
          </w:p>
        </w:tc>
        <w:tc>
          <w:tcPr>
            <w:tcW w:w="734"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1167"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778"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2723" w:type="dxa"/>
          </w:tcPr>
          <w:p>
            <w:pPr>
              <w:autoSpaceDE w:val="0"/>
              <w:autoSpaceDN w:val="0"/>
              <w:adjustRightInd w:val="0"/>
              <w:snapToGrid w:val="0"/>
              <w:jc w:val="left"/>
              <w:rPr>
                <w:rFonts w:ascii="宋体" w:hAnsi="宋体"/>
                <w:kern w:val="0"/>
                <w:szCs w:val="21"/>
              </w:rPr>
            </w:pPr>
          </w:p>
        </w:tc>
        <w:tc>
          <w:tcPr>
            <w:tcW w:w="896"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kern w:val="0"/>
                <w:szCs w:val="21"/>
              </w:rPr>
            </w:pPr>
          </w:p>
        </w:tc>
        <w:tc>
          <w:tcPr>
            <w:tcW w:w="734"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1167"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778"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2723" w:type="dxa"/>
          </w:tcPr>
          <w:p>
            <w:pPr>
              <w:autoSpaceDE w:val="0"/>
              <w:autoSpaceDN w:val="0"/>
              <w:adjustRightInd w:val="0"/>
              <w:snapToGrid w:val="0"/>
              <w:jc w:val="left"/>
              <w:rPr>
                <w:rFonts w:ascii="宋体" w:hAnsi="宋体"/>
                <w:kern w:val="0"/>
                <w:szCs w:val="21"/>
              </w:rPr>
            </w:pPr>
          </w:p>
        </w:tc>
        <w:tc>
          <w:tcPr>
            <w:tcW w:w="896"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kern w:val="0"/>
                <w:szCs w:val="21"/>
              </w:rPr>
            </w:pPr>
          </w:p>
        </w:tc>
        <w:tc>
          <w:tcPr>
            <w:tcW w:w="734"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1167"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778"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2723" w:type="dxa"/>
          </w:tcPr>
          <w:p>
            <w:pPr>
              <w:autoSpaceDE w:val="0"/>
              <w:autoSpaceDN w:val="0"/>
              <w:adjustRightInd w:val="0"/>
              <w:snapToGrid w:val="0"/>
              <w:jc w:val="left"/>
              <w:rPr>
                <w:rFonts w:ascii="宋体" w:hAnsi="宋体"/>
                <w:kern w:val="0"/>
                <w:szCs w:val="21"/>
              </w:rPr>
            </w:pPr>
          </w:p>
        </w:tc>
        <w:tc>
          <w:tcPr>
            <w:tcW w:w="896"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kern w:val="0"/>
                <w:szCs w:val="21"/>
              </w:rPr>
            </w:pPr>
          </w:p>
        </w:tc>
        <w:tc>
          <w:tcPr>
            <w:tcW w:w="734"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1167"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778"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2723" w:type="dxa"/>
          </w:tcPr>
          <w:p>
            <w:pPr>
              <w:autoSpaceDE w:val="0"/>
              <w:autoSpaceDN w:val="0"/>
              <w:adjustRightInd w:val="0"/>
              <w:snapToGrid w:val="0"/>
              <w:jc w:val="left"/>
              <w:rPr>
                <w:rFonts w:ascii="宋体" w:hAnsi="宋体"/>
                <w:kern w:val="0"/>
                <w:szCs w:val="21"/>
              </w:rPr>
            </w:pPr>
          </w:p>
        </w:tc>
        <w:tc>
          <w:tcPr>
            <w:tcW w:w="896"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tcPr>
          <w:p>
            <w:pPr>
              <w:autoSpaceDE w:val="0"/>
              <w:autoSpaceDN w:val="0"/>
              <w:adjustRightInd w:val="0"/>
              <w:snapToGrid w:val="0"/>
              <w:jc w:val="left"/>
              <w:rPr>
                <w:rFonts w:ascii="宋体" w:hAnsi="宋体"/>
                <w:kern w:val="0"/>
                <w:szCs w:val="21"/>
              </w:rPr>
            </w:pPr>
          </w:p>
        </w:tc>
        <w:tc>
          <w:tcPr>
            <w:tcW w:w="734"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1167"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778" w:type="dxa"/>
          </w:tcPr>
          <w:p>
            <w:pPr>
              <w:autoSpaceDE w:val="0"/>
              <w:autoSpaceDN w:val="0"/>
              <w:adjustRightInd w:val="0"/>
              <w:snapToGrid w:val="0"/>
              <w:jc w:val="left"/>
              <w:rPr>
                <w:rFonts w:ascii="宋体" w:hAnsi="宋体"/>
                <w:kern w:val="0"/>
                <w:szCs w:val="21"/>
              </w:rPr>
            </w:pPr>
          </w:p>
        </w:tc>
        <w:tc>
          <w:tcPr>
            <w:tcW w:w="776" w:type="dxa"/>
          </w:tcPr>
          <w:p>
            <w:pPr>
              <w:autoSpaceDE w:val="0"/>
              <w:autoSpaceDN w:val="0"/>
              <w:adjustRightInd w:val="0"/>
              <w:snapToGrid w:val="0"/>
              <w:jc w:val="left"/>
              <w:rPr>
                <w:rFonts w:ascii="宋体" w:hAnsi="宋体"/>
                <w:kern w:val="0"/>
                <w:szCs w:val="21"/>
              </w:rPr>
            </w:pPr>
          </w:p>
        </w:tc>
        <w:tc>
          <w:tcPr>
            <w:tcW w:w="2723" w:type="dxa"/>
          </w:tcPr>
          <w:p>
            <w:pPr>
              <w:autoSpaceDE w:val="0"/>
              <w:autoSpaceDN w:val="0"/>
              <w:adjustRightInd w:val="0"/>
              <w:snapToGrid w:val="0"/>
              <w:jc w:val="left"/>
              <w:rPr>
                <w:rFonts w:ascii="宋体" w:hAnsi="宋体"/>
                <w:kern w:val="0"/>
                <w:szCs w:val="21"/>
              </w:rPr>
            </w:pPr>
          </w:p>
        </w:tc>
        <w:tc>
          <w:tcPr>
            <w:tcW w:w="896" w:type="dxa"/>
          </w:tcPr>
          <w:p>
            <w:pPr>
              <w:autoSpaceDE w:val="0"/>
              <w:autoSpaceDN w:val="0"/>
              <w:adjustRightInd w:val="0"/>
              <w:snapToGrid w:val="0"/>
              <w:jc w:val="left"/>
              <w:rPr>
                <w:rFonts w:ascii="宋体" w:hAnsi="宋体"/>
                <w:kern w:val="0"/>
                <w:szCs w:val="21"/>
              </w:rPr>
            </w:pPr>
          </w:p>
        </w:tc>
      </w:tr>
    </w:tbl>
    <w:p>
      <w:pPr>
        <w:spacing w:line="20" w:lineRule="exact"/>
        <w:jc w:val="center"/>
        <w:rPr>
          <w:rFonts w:ascii="宋体" w:hAnsi="宋体"/>
          <w:szCs w:val="21"/>
        </w:rPr>
      </w:pPr>
    </w:p>
    <w:p>
      <w:pPr>
        <w:spacing w:line="360" w:lineRule="auto"/>
        <w:ind w:firstLine="420" w:firstLineChars="200"/>
        <w:jc w:val="left"/>
        <w:rPr>
          <w:rFonts w:ascii="宋体" w:hAnsi="宋体"/>
          <w:szCs w:val="21"/>
        </w:rPr>
      </w:pPr>
      <w:r>
        <w:rPr>
          <w:rFonts w:hint="eastAsia" w:ascii="宋体" w:hAnsi="宋体"/>
          <w:szCs w:val="21"/>
        </w:rPr>
        <w:t>备注：本表仅填项目经理、项目技术负责人相关信息</w:t>
      </w:r>
    </w:p>
    <w:p>
      <w:pPr>
        <w:spacing w:line="360" w:lineRule="auto"/>
        <w:ind w:firstLine="640"/>
        <w:jc w:val="center"/>
        <w:rPr>
          <w:rFonts w:ascii="宋体" w:hAnsi="宋体"/>
          <w:sz w:val="32"/>
          <w:szCs w:val="32"/>
        </w:rPr>
      </w:pPr>
      <w:r>
        <w:rPr>
          <w:rFonts w:ascii="宋体" w:hAnsi="宋体"/>
          <w:sz w:val="32"/>
          <w:szCs w:val="32"/>
        </w:rPr>
        <w:br w:type="page"/>
      </w:r>
      <w:r>
        <w:rPr>
          <w:rFonts w:hint="eastAsia" w:ascii="宋体" w:hAnsi="宋体"/>
          <w:sz w:val="32"/>
          <w:szCs w:val="32"/>
        </w:rPr>
        <w:t>项目经理及项目技术负责人简历表</w:t>
      </w:r>
      <w:bookmarkEnd w:id="1769"/>
      <w:bookmarkEnd w:id="1770"/>
    </w:p>
    <w:tbl>
      <w:tblPr>
        <w:tblStyle w:val="45"/>
        <w:tblW w:w="9565" w:type="dxa"/>
        <w:tblInd w:w="-1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1306"/>
        <w:gridCol w:w="397"/>
        <w:gridCol w:w="793"/>
        <w:gridCol w:w="1020"/>
        <w:gridCol w:w="1175"/>
        <w:gridCol w:w="780"/>
        <w:gridCol w:w="1388"/>
        <w:gridCol w:w="178"/>
        <w:gridCol w:w="2528"/>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306" w:type="dxa"/>
            <w:vAlign w:val="center"/>
          </w:tcPr>
          <w:p>
            <w:pPr>
              <w:tabs>
                <w:tab w:val="left" w:pos="520"/>
              </w:tabs>
              <w:autoSpaceDE w:val="0"/>
              <w:autoSpaceDN w:val="0"/>
              <w:adjustRightInd w:val="0"/>
              <w:snapToGrid w:val="0"/>
              <w:jc w:val="center"/>
              <w:rPr>
                <w:rFonts w:ascii="宋体" w:hAnsi="宋体"/>
                <w:kern w:val="0"/>
                <w:szCs w:val="21"/>
              </w:rPr>
            </w:pPr>
            <w:r>
              <w:rPr>
                <w:rFonts w:ascii="宋体" w:hAnsi="宋体"/>
                <w:kern w:val="0"/>
                <w:szCs w:val="21"/>
              </w:rPr>
              <w:t>姓名</w:t>
            </w:r>
          </w:p>
        </w:tc>
        <w:tc>
          <w:tcPr>
            <w:tcW w:w="1190" w:type="dxa"/>
            <w:gridSpan w:val="2"/>
            <w:vAlign w:val="center"/>
          </w:tcPr>
          <w:p>
            <w:pPr>
              <w:autoSpaceDE w:val="0"/>
              <w:autoSpaceDN w:val="0"/>
              <w:adjustRightInd w:val="0"/>
              <w:snapToGrid w:val="0"/>
              <w:jc w:val="center"/>
              <w:rPr>
                <w:rFonts w:ascii="宋体" w:hAnsi="宋体"/>
                <w:kern w:val="0"/>
                <w:szCs w:val="21"/>
              </w:rPr>
            </w:pPr>
          </w:p>
        </w:tc>
        <w:tc>
          <w:tcPr>
            <w:tcW w:w="1020"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年龄</w:t>
            </w:r>
          </w:p>
        </w:tc>
        <w:tc>
          <w:tcPr>
            <w:tcW w:w="1175" w:type="dxa"/>
            <w:vAlign w:val="center"/>
          </w:tcPr>
          <w:p>
            <w:pPr>
              <w:autoSpaceDE w:val="0"/>
              <w:autoSpaceDN w:val="0"/>
              <w:adjustRightInd w:val="0"/>
              <w:snapToGrid w:val="0"/>
              <w:jc w:val="center"/>
              <w:rPr>
                <w:rFonts w:ascii="宋体" w:hAnsi="宋体"/>
                <w:kern w:val="0"/>
                <w:szCs w:val="21"/>
              </w:rPr>
            </w:pPr>
          </w:p>
        </w:tc>
        <w:tc>
          <w:tcPr>
            <w:tcW w:w="2346" w:type="dxa"/>
            <w:gridSpan w:val="3"/>
            <w:vAlign w:val="center"/>
          </w:tcPr>
          <w:p>
            <w:pPr>
              <w:autoSpaceDE w:val="0"/>
              <w:autoSpaceDN w:val="0"/>
              <w:adjustRightInd w:val="0"/>
              <w:snapToGrid w:val="0"/>
              <w:jc w:val="center"/>
              <w:rPr>
                <w:rFonts w:ascii="宋体" w:hAnsi="宋体"/>
                <w:kern w:val="0"/>
                <w:szCs w:val="21"/>
              </w:rPr>
            </w:pPr>
            <w:r>
              <w:rPr>
                <w:rFonts w:ascii="宋体" w:hAnsi="宋体"/>
                <w:kern w:val="0"/>
                <w:szCs w:val="21"/>
              </w:rPr>
              <w:t>学历</w:t>
            </w:r>
          </w:p>
        </w:tc>
        <w:tc>
          <w:tcPr>
            <w:tcW w:w="2528" w:type="dxa"/>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306" w:type="dxa"/>
            <w:vAlign w:val="center"/>
          </w:tcPr>
          <w:p>
            <w:pPr>
              <w:tabs>
                <w:tab w:val="left" w:pos="520"/>
              </w:tabs>
              <w:autoSpaceDE w:val="0"/>
              <w:autoSpaceDN w:val="0"/>
              <w:adjustRightInd w:val="0"/>
              <w:snapToGrid w:val="0"/>
              <w:jc w:val="center"/>
              <w:rPr>
                <w:rFonts w:ascii="宋体" w:hAnsi="宋体"/>
                <w:kern w:val="0"/>
                <w:szCs w:val="21"/>
              </w:rPr>
            </w:pPr>
            <w:r>
              <w:rPr>
                <w:rFonts w:ascii="宋体" w:hAnsi="宋体"/>
                <w:kern w:val="0"/>
                <w:szCs w:val="21"/>
              </w:rPr>
              <w:t>职称</w:t>
            </w:r>
          </w:p>
        </w:tc>
        <w:tc>
          <w:tcPr>
            <w:tcW w:w="1190" w:type="dxa"/>
            <w:gridSpan w:val="2"/>
            <w:vAlign w:val="center"/>
          </w:tcPr>
          <w:p>
            <w:pPr>
              <w:autoSpaceDE w:val="0"/>
              <w:autoSpaceDN w:val="0"/>
              <w:adjustRightInd w:val="0"/>
              <w:snapToGrid w:val="0"/>
              <w:jc w:val="center"/>
              <w:rPr>
                <w:rFonts w:ascii="宋体" w:hAnsi="宋体"/>
                <w:kern w:val="0"/>
                <w:szCs w:val="21"/>
              </w:rPr>
            </w:pPr>
          </w:p>
        </w:tc>
        <w:tc>
          <w:tcPr>
            <w:tcW w:w="1020"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职务</w:t>
            </w:r>
          </w:p>
        </w:tc>
        <w:tc>
          <w:tcPr>
            <w:tcW w:w="1175" w:type="dxa"/>
            <w:vAlign w:val="center"/>
          </w:tcPr>
          <w:p>
            <w:pPr>
              <w:autoSpaceDE w:val="0"/>
              <w:autoSpaceDN w:val="0"/>
              <w:adjustRightInd w:val="0"/>
              <w:snapToGrid w:val="0"/>
              <w:jc w:val="center"/>
              <w:rPr>
                <w:rFonts w:ascii="宋体" w:hAnsi="宋体"/>
                <w:kern w:val="0"/>
                <w:szCs w:val="21"/>
              </w:rPr>
            </w:pPr>
          </w:p>
        </w:tc>
        <w:tc>
          <w:tcPr>
            <w:tcW w:w="2346" w:type="dxa"/>
            <w:gridSpan w:val="3"/>
            <w:vAlign w:val="center"/>
          </w:tcPr>
          <w:p>
            <w:pPr>
              <w:autoSpaceDE w:val="0"/>
              <w:autoSpaceDN w:val="0"/>
              <w:adjustRightInd w:val="0"/>
              <w:snapToGrid w:val="0"/>
              <w:jc w:val="center"/>
              <w:rPr>
                <w:rFonts w:ascii="宋体" w:hAnsi="宋体"/>
                <w:kern w:val="0"/>
                <w:szCs w:val="21"/>
              </w:rPr>
            </w:pPr>
            <w:r>
              <w:rPr>
                <w:rFonts w:ascii="宋体" w:hAnsi="宋体"/>
                <w:kern w:val="0"/>
                <w:szCs w:val="21"/>
              </w:rPr>
              <w:t>拟在本合同任职</w:t>
            </w:r>
          </w:p>
        </w:tc>
        <w:tc>
          <w:tcPr>
            <w:tcW w:w="2528" w:type="dxa"/>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306"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毕业学校</w:t>
            </w:r>
          </w:p>
        </w:tc>
        <w:tc>
          <w:tcPr>
            <w:tcW w:w="8259" w:type="dxa"/>
            <w:gridSpan w:val="8"/>
            <w:vAlign w:val="center"/>
          </w:tcPr>
          <w:p>
            <w:pPr>
              <w:tabs>
                <w:tab w:val="left" w:pos="2820"/>
                <w:tab w:val="left" w:pos="4080"/>
              </w:tabs>
              <w:autoSpaceDE w:val="0"/>
              <w:autoSpaceDN w:val="0"/>
              <w:adjustRightInd w:val="0"/>
              <w:snapToGrid w:val="0"/>
              <w:jc w:val="center"/>
              <w:rPr>
                <w:rFonts w:ascii="宋体" w:hAnsi="宋体"/>
                <w:kern w:val="0"/>
                <w:szCs w:val="21"/>
              </w:rPr>
            </w:pPr>
            <w:r>
              <w:rPr>
                <w:rFonts w:ascii="宋体" w:hAnsi="宋体"/>
                <w:kern w:val="0"/>
                <w:szCs w:val="21"/>
              </w:rPr>
              <w:t>年</w:t>
            </w:r>
            <w:r>
              <w:rPr>
                <w:rFonts w:ascii="宋体" w:hAnsi="宋体"/>
                <w:spacing w:val="-1"/>
                <w:kern w:val="0"/>
                <w:szCs w:val="21"/>
              </w:rPr>
              <w:t>毕</w:t>
            </w:r>
            <w:r>
              <w:rPr>
                <w:rFonts w:ascii="宋体" w:hAnsi="宋体"/>
                <w:kern w:val="0"/>
                <w:szCs w:val="21"/>
              </w:rPr>
              <w:t>业于</w:t>
            </w:r>
            <w:r>
              <w:rPr>
                <w:rFonts w:ascii="宋体" w:hAnsi="宋体"/>
                <w:kern w:val="0"/>
                <w:szCs w:val="21"/>
              </w:rPr>
              <w:tab/>
            </w:r>
            <w:r>
              <w:rPr>
                <w:rFonts w:ascii="宋体" w:hAnsi="宋体"/>
                <w:kern w:val="0"/>
                <w:szCs w:val="21"/>
              </w:rPr>
              <w:t>学校</w:t>
            </w:r>
            <w:r>
              <w:rPr>
                <w:rFonts w:ascii="宋体" w:hAnsi="宋体"/>
                <w:kern w:val="0"/>
                <w:szCs w:val="21"/>
              </w:rPr>
              <w:tab/>
            </w:r>
            <w:r>
              <w:rPr>
                <w:rFonts w:ascii="宋体" w:hAnsi="宋体"/>
                <w:kern w:val="0"/>
                <w:szCs w:val="21"/>
              </w:rPr>
              <w:t>专业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9565" w:type="dxa"/>
            <w:gridSpan w:val="9"/>
            <w:vAlign w:val="center"/>
          </w:tcPr>
          <w:p>
            <w:pPr>
              <w:autoSpaceDE w:val="0"/>
              <w:autoSpaceDN w:val="0"/>
              <w:adjustRightInd w:val="0"/>
              <w:snapToGrid w:val="0"/>
              <w:jc w:val="center"/>
              <w:rPr>
                <w:rFonts w:ascii="宋体" w:hAnsi="宋体"/>
                <w:kern w:val="0"/>
                <w:szCs w:val="21"/>
              </w:rPr>
            </w:pPr>
            <w:r>
              <w:rPr>
                <w:rFonts w:ascii="宋体" w:hAnsi="宋体"/>
                <w:kern w:val="0"/>
                <w:szCs w:val="21"/>
              </w:rPr>
              <w:t>主要工作经历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tabs>
                <w:tab w:val="left" w:pos="520"/>
              </w:tabs>
              <w:autoSpaceDE w:val="0"/>
              <w:autoSpaceDN w:val="0"/>
              <w:adjustRightInd w:val="0"/>
              <w:snapToGrid w:val="0"/>
              <w:jc w:val="center"/>
              <w:rPr>
                <w:rFonts w:ascii="宋体" w:hAnsi="宋体"/>
                <w:kern w:val="0"/>
                <w:szCs w:val="21"/>
              </w:rPr>
            </w:pPr>
            <w:r>
              <w:rPr>
                <w:rFonts w:ascii="宋体" w:hAnsi="宋体"/>
                <w:kern w:val="0"/>
                <w:szCs w:val="21"/>
              </w:rPr>
              <w:t>时间</w:t>
            </w:r>
          </w:p>
        </w:tc>
        <w:tc>
          <w:tcPr>
            <w:tcW w:w="3768" w:type="dxa"/>
            <w:gridSpan w:val="4"/>
            <w:vAlign w:val="center"/>
          </w:tcPr>
          <w:p>
            <w:pPr>
              <w:autoSpaceDE w:val="0"/>
              <w:autoSpaceDN w:val="0"/>
              <w:adjustRightInd w:val="0"/>
              <w:snapToGrid w:val="0"/>
              <w:jc w:val="center"/>
              <w:rPr>
                <w:rFonts w:ascii="宋体" w:hAnsi="宋体"/>
                <w:kern w:val="0"/>
                <w:szCs w:val="21"/>
              </w:rPr>
            </w:pPr>
            <w:r>
              <w:rPr>
                <w:rFonts w:ascii="宋体" w:hAnsi="宋体"/>
                <w:kern w:val="0"/>
                <w:szCs w:val="21"/>
              </w:rPr>
              <w:t>参加过的类似项目</w:t>
            </w:r>
          </w:p>
        </w:tc>
        <w:tc>
          <w:tcPr>
            <w:tcW w:w="1388"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担任职务</w:t>
            </w:r>
          </w:p>
        </w:tc>
        <w:tc>
          <w:tcPr>
            <w:tcW w:w="2706" w:type="dxa"/>
            <w:gridSpan w:val="2"/>
            <w:vAlign w:val="center"/>
          </w:tcPr>
          <w:p>
            <w:pPr>
              <w:autoSpaceDE w:val="0"/>
              <w:autoSpaceDN w:val="0"/>
              <w:adjustRightInd w:val="0"/>
              <w:snapToGrid w:val="0"/>
              <w:jc w:val="center"/>
              <w:rPr>
                <w:rFonts w:ascii="宋体" w:hAnsi="宋体"/>
                <w:kern w:val="0"/>
                <w:szCs w:val="21"/>
              </w:rPr>
            </w:pPr>
            <w:r>
              <w:rPr>
                <w:rFonts w:ascii="宋体" w:hAnsi="宋体"/>
                <w:kern w:val="0"/>
                <w:szCs w:val="21"/>
              </w:rPr>
              <w:t>发包人及联系电话</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kern w:val="0"/>
                <w:szCs w:val="21"/>
              </w:rPr>
            </w:pPr>
          </w:p>
        </w:tc>
        <w:tc>
          <w:tcPr>
            <w:tcW w:w="3768" w:type="dxa"/>
            <w:gridSpan w:val="4"/>
            <w:vAlign w:val="center"/>
          </w:tcPr>
          <w:p>
            <w:pPr>
              <w:autoSpaceDE w:val="0"/>
              <w:autoSpaceDN w:val="0"/>
              <w:adjustRightInd w:val="0"/>
              <w:snapToGrid w:val="0"/>
              <w:jc w:val="center"/>
              <w:rPr>
                <w:rFonts w:ascii="宋体" w:hAnsi="宋体"/>
                <w:kern w:val="0"/>
                <w:szCs w:val="21"/>
              </w:rPr>
            </w:pPr>
          </w:p>
        </w:tc>
        <w:tc>
          <w:tcPr>
            <w:tcW w:w="1388" w:type="dxa"/>
            <w:vAlign w:val="center"/>
          </w:tcPr>
          <w:p>
            <w:pPr>
              <w:autoSpaceDE w:val="0"/>
              <w:autoSpaceDN w:val="0"/>
              <w:adjustRightInd w:val="0"/>
              <w:snapToGrid w:val="0"/>
              <w:jc w:val="center"/>
              <w:rPr>
                <w:rFonts w:ascii="宋体" w:hAnsi="宋体"/>
                <w:kern w:val="0"/>
                <w:szCs w:val="21"/>
              </w:rPr>
            </w:pPr>
          </w:p>
        </w:tc>
        <w:tc>
          <w:tcPr>
            <w:tcW w:w="270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kern w:val="0"/>
                <w:szCs w:val="21"/>
              </w:rPr>
            </w:pPr>
          </w:p>
        </w:tc>
        <w:tc>
          <w:tcPr>
            <w:tcW w:w="3768" w:type="dxa"/>
            <w:gridSpan w:val="4"/>
            <w:vAlign w:val="center"/>
          </w:tcPr>
          <w:p>
            <w:pPr>
              <w:autoSpaceDE w:val="0"/>
              <w:autoSpaceDN w:val="0"/>
              <w:adjustRightInd w:val="0"/>
              <w:snapToGrid w:val="0"/>
              <w:jc w:val="center"/>
              <w:rPr>
                <w:rFonts w:ascii="宋体" w:hAnsi="宋体"/>
                <w:kern w:val="0"/>
                <w:szCs w:val="21"/>
              </w:rPr>
            </w:pPr>
          </w:p>
        </w:tc>
        <w:tc>
          <w:tcPr>
            <w:tcW w:w="1388" w:type="dxa"/>
            <w:vAlign w:val="center"/>
          </w:tcPr>
          <w:p>
            <w:pPr>
              <w:autoSpaceDE w:val="0"/>
              <w:autoSpaceDN w:val="0"/>
              <w:adjustRightInd w:val="0"/>
              <w:snapToGrid w:val="0"/>
              <w:jc w:val="center"/>
              <w:rPr>
                <w:rFonts w:ascii="宋体" w:hAnsi="宋体"/>
                <w:kern w:val="0"/>
                <w:szCs w:val="21"/>
              </w:rPr>
            </w:pPr>
          </w:p>
        </w:tc>
        <w:tc>
          <w:tcPr>
            <w:tcW w:w="270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kern w:val="0"/>
                <w:szCs w:val="21"/>
              </w:rPr>
            </w:pPr>
          </w:p>
        </w:tc>
        <w:tc>
          <w:tcPr>
            <w:tcW w:w="3768" w:type="dxa"/>
            <w:gridSpan w:val="4"/>
            <w:vAlign w:val="center"/>
          </w:tcPr>
          <w:p>
            <w:pPr>
              <w:autoSpaceDE w:val="0"/>
              <w:autoSpaceDN w:val="0"/>
              <w:adjustRightInd w:val="0"/>
              <w:snapToGrid w:val="0"/>
              <w:jc w:val="center"/>
              <w:rPr>
                <w:rFonts w:ascii="宋体" w:hAnsi="宋体"/>
                <w:kern w:val="0"/>
                <w:szCs w:val="21"/>
              </w:rPr>
            </w:pPr>
          </w:p>
        </w:tc>
        <w:tc>
          <w:tcPr>
            <w:tcW w:w="1388" w:type="dxa"/>
            <w:vAlign w:val="center"/>
          </w:tcPr>
          <w:p>
            <w:pPr>
              <w:autoSpaceDE w:val="0"/>
              <w:autoSpaceDN w:val="0"/>
              <w:adjustRightInd w:val="0"/>
              <w:snapToGrid w:val="0"/>
              <w:jc w:val="center"/>
              <w:rPr>
                <w:rFonts w:ascii="宋体" w:hAnsi="宋体"/>
                <w:kern w:val="0"/>
                <w:szCs w:val="21"/>
              </w:rPr>
            </w:pPr>
          </w:p>
        </w:tc>
        <w:tc>
          <w:tcPr>
            <w:tcW w:w="270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kern w:val="0"/>
                <w:szCs w:val="21"/>
              </w:rPr>
            </w:pPr>
          </w:p>
        </w:tc>
        <w:tc>
          <w:tcPr>
            <w:tcW w:w="3768" w:type="dxa"/>
            <w:gridSpan w:val="4"/>
            <w:vAlign w:val="center"/>
          </w:tcPr>
          <w:p>
            <w:pPr>
              <w:autoSpaceDE w:val="0"/>
              <w:autoSpaceDN w:val="0"/>
              <w:adjustRightInd w:val="0"/>
              <w:snapToGrid w:val="0"/>
              <w:jc w:val="center"/>
              <w:rPr>
                <w:rFonts w:ascii="宋体" w:hAnsi="宋体"/>
                <w:kern w:val="0"/>
                <w:szCs w:val="21"/>
              </w:rPr>
            </w:pPr>
          </w:p>
        </w:tc>
        <w:tc>
          <w:tcPr>
            <w:tcW w:w="1388" w:type="dxa"/>
            <w:vAlign w:val="center"/>
          </w:tcPr>
          <w:p>
            <w:pPr>
              <w:autoSpaceDE w:val="0"/>
              <w:autoSpaceDN w:val="0"/>
              <w:adjustRightInd w:val="0"/>
              <w:snapToGrid w:val="0"/>
              <w:jc w:val="center"/>
              <w:rPr>
                <w:rFonts w:ascii="宋体" w:hAnsi="宋体"/>
                <w:kern w:val="0"/>
                <w:szCs w:val="21"/>
              </w:rPr>
            </w:pPr>
          </w:p>
        </w:tc>
        <w:tc>
          <w:tcPr>
            <w:tcW w:w="270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kern w:val="0"/>
                <w:szCs w:val="21"/>
              </w:rPr>
            </w:pPr>
          </w:p>
        </w:tc>
        <w:tc>
          <w:tcPr>
            <w:tcW w:w="3768" w:type="dxa"/>
            <w:gridSpan w:val="4"/>
            <w:vAlign w:val="center"/>
          </w:tcPr>
          <w:p>
            <w:pPr>
              <w:autoSpaceDE w:val="0"/>
              <w:autoSpaceDN w:val="0"/>
              <w:adjustRightInd w:val="0"/>
              <w:snapToGrid w:val="0"/>
              <w:jc w:val="center"/>
              <w:rPr>
                <w:rFonts w:ascii="宋体" w:hAnsi="宋体"/>
                <w:kern w:val="0"/>
                <w:szCs w:val="21"/>
              </w:rPr>
            </w:pPr>
          </w:p>
        </w:tc>
        <w:tc>
          <w:tcPr>
            <w:tcW w:w="1388" w:type="dxa"/>
            <w:vAlign w:val="center"/>
          </w:tcPr>
          <w:p>
            <w:pPr>
              <w:autoSpaceDE w:val="0"/>
              <w:autoSpaceDN w:val="0"/>
              <w:adjustRightInd w:val="0"/>
              <w:snapToGrid w:val="0"/>
              <w:jc w:val="center"/>
              <w:rPr>
                <w:rFonts w:ascii="宋体" w:hAnsi="宋体"/>
                <w:kern w:val="0"/>
                <w:szCs w:val="21"/>
              </w:rPr>
            </w:pPr>
          </w:p>
        </w:tc>
        <w:tc>
          <w:tcPr>
            <w:tcW w:w="270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kern w:val="0"/>
                <w:szCs w:val="21"/>
              </w:rPr>
            </w:pPr>
          </w:p>
        </w:tc>
        <w:tc>
          <w:tcPr>
            <w:tcW w:w="3768" w:type="dxa"/>
            <w:gridSpan w:val="4"/>
            <w:vAlign w:val="center"/>
          </w:tcPr>
          <w:p>
            <w:pPr>
              <w:autoSpaceDE w:val="0"/>
              <w:autoSpaceDN w:val="0"/>
              <w:adjustRightInd w:val="0"/>
              <w:snapToGrid w:val="0"/>
              <w:jc w:val="center"/>
              <w:rPr>
                <w:rFonts w:ascii="宋体" w:hAnsi="宋体"/>
                <w:kern w:val="0"/>
                <w:szCs w:val="21"/>
              </w:rPr>
            </w:pPr>
          </w:p>
        </w:tc>
        <w:tc>
          <w:tcPr>
            <w:tcW w:w="1388" w:type="dxa"/>
            <w:vAlign w:val="center"/>
          </w:tcPr>
          <w:p>
            <w:pPr>
              <w:autoSpaceDE w:val="0"/>
              <w:autoSpaceDN w:val="0"/>
              <w:adjustRightInd w:val="0"/>
              <w:snapToGrid w:val="0"/>
              <w:jc w:val="center"/>
              <w:rPr>
                <w:rFonts w:ascii="宋体" w:hAnsi="宋体"/>
                <w:kern w:val="0"/>
                <w:szCs w:val="21"/>
              </w:rPr>
            </w:pPr>
          </w:p>
        </w:tc>
        <w:tc>
          <w:tcPr>
            <w:tcW w:w="270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kern w:val="0"/>
                <w:szCs w:val="21"/>
              </w:rPr>
            </w:pPr>
          </w:p>
        </w:tc>
        <w:tc>
          <w:tcPr>
            <w:tcW w:w="3768" w:type="dxa"/>
            <w:gridSpan w:val="4"/>
            <w:vAlign w:val="center"/>
          </w:tcPr>
          <w:p>
            <w:pPr>
              <w:autoSpaceDE w:val="0"/>
              <w:autoSpaceDN w:val="0"/>
              <w:adjustRightInd w:val="0"/>
              <w:snapToGrid w:val="0"/>
              <w:jc w:val="center"/>
              <w:rPr>
                <w:rFonts w:ascii="宋体" w:hAnsi="宋体"/>
                <w:kern w:val="0"/>
                <w:szCs w:val="21"/>
              </w:rPr>
            </w:pPr>
          </w:p>
        </w:tc>
        <w:tc>
          <w:tcPr>
            <w:tcW w:w="1388" w:type="dxa"/>
            <w:vAlign w:val="center"/>
          </w:tcPr>
          <w:p>
            <w:pPr>
              <w:autoSpaceDE w:val="0"/>
              <w:autoSpaceDN w:val="0"/>
              <w:adjustRightInd w:val="0"/>
              <w:snapToGrid w:val="0"/>
              <w:jc w:val="center"/>
              <w:rPr>
                <w:rFonts w:ascii="宋体" w:hAnsi="宋体"/>
                <w:kern w:val="0"/>
                <w:szCs w:val="21"/>
              </w:rPr>
            </w:pPr>
          </w:p>
        </w:tc>
        <w:tc>
          <w:tcPr>
            <w:tcW w:w="270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kern w:val="0"/>
                <w:szCs w:val="21"/>
              </w:rPr>
            </w:pPr>
          </w:p>
        </w:tc>
        <w:tc>
          <w:tcPr>
            <w:tcW w:w="3768" w:type="dxa"/>
            <w:gridSpan w:val="4"/>
            <w:vAlign w:val="center"/>
          </w:tcPr>
          <w:p>
            <w:pPr>
              <w:autoSpaceDE w:val="0"/>
              <w:autoSpaceDN w:val="0"/>
              <w:adjustRightInd w:val="0"/>
              <w:snapToGrid w:val="0"/>
              <w:jc w:val="center"/>
              <w:rPr>
                <w:rFonts w:ascii="宋体" w:hAnsi="宋体"/>
                <w:kern w:val="0"/>
                <w:szCs w:val="21"/>
              </w:rPr>
            </w:pPr>
          </w:p>
        </w:tc>
        <w:tc>
          <w:tcPr>
            <w:tcW w:w="1388" w:type="dxa"/>
            <w:vAlign w:val="center"/>
          </w:tcPr>
          <w:p>
            <w:pPr>
              <w:autoSpaceDE w:val="0"/>
              <w:autoSpaceDN w:val="0"/>
              <w:adjustRightInd w:val="0"/>
              <w:snapToGrid w:val="0"/>
              <w:jc w:val="center"/>
              <w:rPr>
                <w:rFonts w:ascii="宋体" w:hAnsi="宋体"/>
                <w:kern w:val="0"/>
                <w:szCs w:val="21"/>
              </w:rPr>
            </w:pPr>
          </w:p>
        </w:tc>
        <w:tc>
          <w:tcPr>
            <w:tcW w:w="270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kern w:val="0"/>
                <w:szCs w:val="21"/>
              </w:rPr>
            </w:pPr>
          </w:p>
        </w:tc>
        <w:tc>
          <w:tcPr>
            <w:tcW w:w="3768" w:type="dxa"/>
            <w:gridSpan w:val="4"/>
            <w:vAlign w:val="center"/>
          </w:tcPr>
          <w:p>
            <w:pPr>
              <w:autoSpaceDE w:val="0"/>
              <w:autoSpaceDN w:val="0"/>
              <w:adjustRightInd w:val="0"/>
              <w:snapToGrid w:val="0"/>
              <w:jc w:val="center"/>
              <w:rPr>
                <w:rFonts w:ascii="宋体" w:hAnsi="宋体"/>
                <w:kern w:val="0"/>
                <w:szCs w:val="21"/>
              </w:rPr>
            </w:pPr>
          </w:p>
        </w:tc>
        <w:tc>
          <w:tcPr>
            <w:tcW w:w="1388" w:type="dxa"/>
            <w:vAlign w:val="center"/>
          </w:tcPr>
          <w:p>
            <w:pPr>
              <w:autoSpaceDE w:val="0"/>
              <w:autoSpaceDN w:val="0"/>
              <w:adjustRightInd w:val="0"/>
              <w:snapToGrid w:val="0"/>
              <w:jc w:val="center"/>
              <w:rPr>
                <w:rFonts w:ascii="宋体" w:hAnsi="宋体"/>
                <w:kern w:val="0"/>
                <w:szCs w:val="21"/>
              </w:rPr>
            </w:pPr>
          </w:p>
        </w:tc>
        <w:tc>
          <w:tcPr>
            <w:tcW w:w="270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kern w:val="0"/>
                <w:szCs w:val="21"/>
              </w:rPr>
            </w:pPr>
          </w:p>
        </w:tc>
        <w:tc>
          <w:tcPr>
            <w:tcW w:w="3768" w:type="dxa"/>
            <w:gridSpan w:val="4"/>
            <w:vAlign w:val="center"/>
          </w:tcPr>
          <w:p>
            <w:pPr>
              <w:autoSpaceDE w:val="0"/>
              <w:autoSpaceDN w:val="0"/>
              <w:adjustRightInd w:val="0"/>
              <w:snapToGrid w:val="0"/>
              <w:jc w:val="center"/>
              <w:rPr>
                <w:rFonts w:ascii="宋体" w:hAnsi="宋体"/>
                <w:kern w:val="0"/>
                <w:szCs w:val="21"/>
              </w:rPr>
            </w:pPr>
          </w:p>
        </w:tc>
        <w:tc>
          <w:tcPr>
            <w:tcW w:w="1388" w:type="dxa"/>
            <w:vAlign w:val="center"/>
          </w:tcPr>
          <w:p>
            <w:pPr>
              <w:autoSpaceDE w:val="0"/>
              <w:autoSpaceDN w:val="0"/>
              <w:adjustRightInd w:val="0"/>
              <w:snapToGrid w:val="0"/>
              <w:jc w:val="center"/>
              <w:rPr>
                <w:rFonts w:ascii="宋体" w:hAnsi="宋体"/>
                <w:kern w:val="0"/>
                <w:szCs w:val="21"/>
              </w:rPr>
            </w:pPr>
          </w:p>
        </w:tc>
        <w:tc>
          <w:tcPr>
            <w:tcW w:w="270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kern w:val="0"/>
                <w:szCs w:val="21"/>
              </w:rPr>
            </w:pPr>
          </w:p>
        </w:tc>
        <w:tc>
          <w:tcPr>
            <w:tcW w:w="3768" w:type="dxa"/>
            <w:gridSpan w:val="4"/>
            <w:vAlign w:val="center"/>
          </w:tcPr>
          <w:p>
            <w:pPr>
              <w:autoSpaceDE w:val="0"/>
              <w:autoSpaceDN w:val="0"/>
              <w:adjustRightInd w:val="0"/>
              <w:snapToGrid w:val="0"/>
              <w:jc w:val="center"/>
              <w:rPr>
                <w:rFonts w:ascii="宋体" w:hAnsi="宋体"/>
                <w:kern w:val="0"/>
                <w:szCs w:val="21"/>
              </w:rPr>
            </w:pPr>
          </w:p>
        </w:tc>
        <w:tc>
          <w:tcPr>
            <w:tcW w:w="1388" w:type="dxa"/>
            <w:vAlign w:val="center"/>
          </w:tcPr>
          <w:p>
            <w:pPr>
              <w:autoSpaceDE w:val="0"/>
              <w:autoSpaceDN w:val="0"/>
              <w:adjustRightInd w:val="0"/>
              <w:snapToGrid w:val="0"/>
              <w:jc w:val="center"/>
              <w:rPr>
                <w:rFonts w:ascii="宋体" w:hAnsi="宋体"/>
                <w:kern w:val="0"/>
                <w:szCs w:val="21"/>
              </w:rPr>
            </w:pPr>
          </w:p>
        </w:tc>
        <w:tc>
          <w:tcPr>
            <w:tcW w:w="270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kern w:val="0"/>
                <w:szCs w:val="21"/>
              </w:rPr>
            </w:pPr>
          </w:p>
        </w:tc>
        <w:tc>
          <w:tcPr>
            <w:tcW w:w="3768" w:type="dxa"/>
            <w:gridSpan w:val="4"/>
            <w:vAlign w:val="center"/>
          </w:tcPr>
          <w:p>
            <w:pPr>
              <w:autoSpaceDE w:val="0"/>
              <w:autoSpaceDN w:val="0"/>
              <w:adjustRightInd w:val="0"/>
              <w:snapToGrid w:val="0"/>
              <w:jc w:val="center"/>
              <w:rPr>
                <w:rFonts w:ascii="宋体" w:hAnsi="宋体"/>
                <w:kern w:val="0"/>
                <w:szCs w:val="21"/>
              </w:rPr>
            </w:pPr>
          </w:p>
        </w:tc>
        <w:tc>
          <w:tcPr>
            <w:tcW w:w="1388" w:type="dxa"/>
            <w:vAlign w:val="center"/>
          </w:tcPr>
          <w:p>
            <w:pPr>
              <w:autoSpaceDE w:val="0"/>
              <w:autoSpaceDN w:val="0"/>
              <w:adjustRightInd w:val="0"/>
              <w:snapToGrid w:val="0"/>
              <w:jc w:val="center"/>
              <w:rPr>
                <w:rFonts w:ascii="宋体" w:hAnsi="宋体"/>
                <w:kern w:val="0"/>
                <w:szCs w:val="21"/>
              </w:rPr>
            </w:pPr>
          </w:p>
        </w:tc>
        <w:tc>
          <w:tcPr>
            <w:tcW w:w="270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kern w:val="0"/>
                <w:szCs w:val="21"/>
              </w:rPr>
            </w:pPr>
          </w:p>
        </w:tc>
        <w:tc>
          <w:tcPr>
            <w:tcW w:w="3768" w:type="dxa"/>
            <w:gridSpan w:val="4"/>
            <w:vAlign w:val="center"/>
          </w:tcPr>
          <w:p>
            <w:pPr>
              <w:autoSpaceDE w:val="0"/>
              <w:autoSpaceDN w:val="0"/>
              <w:adjustRightInd w:val="0"/>
              <w:snapToGrid w:val="0"/>
              <w:jc w:val="center"/>
              <w:rPr>
                <w:rFonts w:ascii="宋体" w:hAnsi="宋体"/>
                <w:kern w:val="0"/>
                <w:szCs w:val="21"/>
              </w:rPr>
            </w:pPr>
          </w:p>
        </w:tc>
        <w:tc>
          <w:tcPr>
            <w:tcW w:w="1388" w:type="dxa"/>
            <w:vAlign w:val="center"/>
          </w:tcPr>
          <w:p>
            <w:pPr>
              <w:autoSpaceDE w:val="0"/>
              <w:autoSpaceDN w:val="0"/>
              <w:adjustRightInd w:val="0"/>
              <w:snapToGrid w:val="0"/>
              <w:jc w:val="center"/>
              <w:rPr>
                <w:rFonts w:ascii="宋体" w:hAnsi="宋体"/>
                <w:kern w:val="0"/>
                <w:szCs w:val="21"/>
              </w:rPr>
            </w:pPr>
          </w:p>
        </w:tc>
        <w:tc>
          <w:tcPr>
            <w:tcW w:w="2706" w:type="dxa"/>
            <w:gridSpan w:val="2"/>
            <w:vAlign w:val="center"/>
          </w:tcPr>
          <w:p>
            <w:pPr>
              <w:autoSpaceDE w:val="0"/>
              <w:autoSpaceDN w:val="0"/>
              <w:adjustRightInd w:val="0"/>
              <w:snapToGrid w:val="0"/>
              <w:jc w:val="center"/>
              <w:rPr>
                <w:rFonts w:ascii="宋体" w:hAnsi="宋体"/>
                <w:kern w:val="0"/>
                <w:szCs w:val="21"/>
              </w:rPr>
            </w:pPr>
          </w:p>
        </w:tc>
      </w:tr>
    </w:tbl>
    <w:p>
      <w:pPr>
        <w:spacing w:line="360" w:lineRule="auto"/>
        <w:rPr>
          <w:rFonts w:ascii="宋体" w:hAnsi="宋体"/>
        </w:rPr>
      </w:pPr>
      <w:bookmarkStart w:id="1783" w:name="_Toc224103515"/>
    </w:p>
    <w:p>
      <w:pPr>
        <w:pStyle w:val="5"/>
        <w:spacing w:before="0" w:line="240" w:lineRule="auto"/>
        <w:jc w:val="center"/>
        <w:rPr>
          <w:rFonts w:ascii="宋体" w:hAnsi="宋体"/>
          <w:b w:val="0"/>
        </w:rPr>
      </w:pPr>
      <w:bookmarkStart w:id="1784" w:name="_Toc509218864"/>
      <w:bookmarkStart w:id="1785" w:name="_Toc290"/>
      <w:bookmarkStart w:id="1786" w:name="_Toc277082660"/>
      <w:bookmarkStart w:id="1787" w:name="_Toc19742"/>
      <w:bookmarkStart w:id="1788" w:name="_Toc6437"/>
      <w:bookmarkStart w:id="1789" w:name="_Toc7173"/>
      <w:bookmarkStart w:id="1790" w:name="_Toc287620834"/>
      <w:bookmarkStart w:id="1791" w:name="_Toc534185841"/>
      <w:bookmarkStart w:id="1792" w:name="_Toc29416"/>
      <w:bookmarkStart w:id="1793" w:name="_Toc287607888"/>
      <w:bookmarkStart w:id="1794" w:name="_Toc430530550"/>
      <w:r>
        <w:rPr>
          <w:rFonts w:hint="eastAsia" w:ascii="宋体" w:hAnsi="宋体"/>
          <w:b w:val="0"/>
        </w:rPr>
        <w:t>（四）近年财务状况表</w:t>
      </w:r>
      <w:bookmarkEnd w:id="1783"/>
      <w:bookmarkEnd w:id="1784"/>
      <w:bookmarkEnd w:id="1785"/>
      <w:bookmarkEnd w:id="1786"/>
      <w:bookmarkEnd w:id="1787"/>
      <w:bookmarkEnd w:id="1788"/>
      <w:bookmarkEnd w:id="1789"/>
      <w:bookmarkEnd w:id="1790"/>
      <w:bookmarkEnd w:id="1791"/>
      <w:bookmarkEnd w:id="1792"/>
      <w:bookmarkEnd w:id="1793"/>
      <w:bookmarkEnd w:id="1794"/>
    </w:p>
    <w:p>
      <w:pPr>
        <w:adjustRightInd w:val="0"/>
        <w:snapToGrid w:val="0"/>
        <w:spacing w:line="360" w:lineRule="auto"/>
        <w:rPr>
          <w:rFonts w:ascii="宋体" w:hAnsi="宋体"/>
        </w:rPr>
      </w:pPr>
      <w:r>
        <w:rPr>
          <w:rFonts w:ascii="宋体" w:hAnsi="宋体"/>
        </w:rPr>
        <w:br w:type="page"/>
      </w:r>
    </w:p>
    <w:p>
      <w:pPr>
        <w:pStyle w:val="5"/>
        <w:spacing w:before="0" w:line="240" w:lineRule="auto"/>
        <w:jc w:val="center"/>
        <w:rPr>
          <w:rFonts w:ascii="宋体" w:hAnsi="宋体"/>
          <w:b w:val="0"/>
        </w:rPr>
      </w:pPr>
      <w:bookmarkStart w:id="1795" w:name="_Toc23862"/>
      <w:bookmarkStart w:id="1796" w:name="_Toc534185842"/>
      <w:bookmarkStart w:id="1797" w:name="_Toc509218865"/>
      <w:bookmarkStart w:id="1798" w:name="_Toc287620835"/>
      <w:bookmarkStart w:id="1799" w:name="_Toc16397"/>
      <w:bookmarkStart w:id="1800" w:name="_Toc287607889"/>
      <w:bookmarkStart w:id="1801" w:name="_Toc224103516"/>
      <w:bookmarkStart w:id="1802" w:name="_Toc28301"/>
      <w:bookmarkStart w:id="1803" w:name="_Toc24891"/>
      <w:bookmarkStart w:id="1804" w:name="_Toc27166"/>
      <w:bookmarkStart w:id="1805" w:name="_Toc277082661"/>
      <w:bookmarkStart w:id="1806" w:name="_Toc430530551"/>
      <w:r>
        <w:rPr>
          <w:rFonts w:ascii="宋体" w:hAnsi="宋体"/>
          <w:b w:val="0"/>
        </w:rPr>
        <w:t>（</w:t>
      </w:r>
      <w:r>
        <w:rPr>
          <w:rFonts w:hint="eastAsia" w:ascii="宋体" w:hAnsi="宋体"/>
          <w:b w:val="0"/>
        </w:rPr>
        <w:t>五</w:t>
      </w:r>
      <w:r>
        <w:rPr>
          <w:rFonts w:ascii="宋体" w:hAnsi="宋体"/>
          <w:b w:val="0"/>
        </w:rPr>
        <w:t>）类似项目情况表</w:t>
      </w:r>
      <w:bookmarkEnd w:id="1795"/>
      <w:bookmarkEnd w:id="1796"/>
      <w:bookmarkEnd w:id="1797"/>
      <w:bookmarkEnd w:id="1798"/>
      <w:bookmarkEnd w:id="1799"/>
      <w:bookmarkEnd w:id="1800"/>
      <w:bookmarkEnd w:id="1801"/>
      <w:bookmarkEnd w:id="1802"/>
      <w:bookmarkEnd w:id="1803"/>
      <w:bookmarkEnd w:id="1804"/>
      <w:bookmarkEnd w:id="1805"/>
      <w:bookmarkEnd w:id="1806"/>
    </w:p>
    <w:tbl>
      <w:tblPr>
        <w:tblStyle w:val="45"/>
        <w:tblW w:w="9483"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1456"/>
        <w:gridCol w:w="8027"/>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43" w:hRule="exact"/>
          <w:jc w:val="center"/>
        </w:trPr>
        <w:tc>
          <w:tcPr>
            <w:tcW w:w="1456"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项目名称</w:t>
            </w:r>
          </w:p>
        </w:tc>
        <w:tc>
          <w:tcPr>
            <w:tcW w:w="8027" w:type="dxa"/>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58" w:hRule="exact"/>
          <w:jc w:val="center"/>
        </w:trPr>
        <w:tc>
          <w:tcPr>
            <w:tcW w:w="1456"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项目所在地</w:t>
            </w:r>
          </w:p>
        </w:tc>
        <w:tc>
          <w:tcPr>
            <w:tcW w:w="8027" w:type="dxa"/>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66" w:hRule="exact"/>
          <w:jc w:val="center"/>
        </w:trPr>
        <w:tc>
          <w:tcPr>
            <w:tcW w:w="1456"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发包人名称</w:t>
            </w:r>
          </w:p>
        </w:tc>
        <w:tc>
          <w:tcPr>
            <w:tcW w:w="8027" w:type="dxa"/>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59" w:hRule="exact"/>
          <w:jc w:val="center"/>
        </w:trPr>
        <w:tc>
          <w:tcPr>
            <w:tcW w:w="1456"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发包人地址</w:t>
            </w:r>
          </w:p>
        </w:tc>
        <w:tc>
          <w:tcPr>
            <w:tcW w:w="8027" w:type="dxa"/>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67" w:hRule="exact"/>
          <w:jc w:val="center"/>
        </w:trPr>
        <w:tc>
          <w:tcPr>
            <w:tcW w:w="1456"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发包人电话</w:t>
            </w:r>
          </w:p>
        </w:tc>
        <w:tc>
          <w:tcPr>
            <w:tcW w:w="8027" w:type="dxa"/>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61" w:hRule="exact"/>
          <w:jc w:val="center"/>
        </w:trPr>
        <w:tc>
          <w:tcPr>
            <w:tcW w:w="1456"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合同价格</w:t>
            </w:r>
          </w:p>
        </w:tc>
        <w:tc>
          <w:tcPr>
            <w:tcW w:w="8027" w:type="dxa"/>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55" w:hRule="exact"/>
          <w:jc w:val="center"/>
        </w:trPr>
        <w:tc>
          <w:tcPr>
            <w:tcW w:w="1456"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开工日期</w:t>
            </w:r>
          </w:p>
        </w:tc>
        <w:tc>
          <w:tcPr>
            <w:tcW w:w="8027" w:type="dxa"/>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79" w:hRule="exact"/>
          <w:jc w:val="center"/>
        </w:trPr>
        <w:tc>
          <w:tcPr>
            <w:tcW w:w="1456"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竣工日期</w:t>
            </w:r>
          </w:p>
        </w:tc>
        <w:tc>
          <w:tcPr>
            <w:tcW w:w="8027" w:type="dxa"/>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58" w:hRule="exact"/>
          <w:jc w:val="center"/>
        </w:trPr>
        <w:tc>
          <w:tcPr>
            <w:tcW w:w="1456"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承担的工作</w:t>
            </w:r>
          </w:p>
        </w:tc>
        <w:tc>
          <w:tcPr>
            <w:tcW w:w="8027" w:type="dxa"/>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67" w:hRule="exact"/>
          <w:jc w:val="center"/>
        </w:trPr>
        <w:tc>
          <w:tcPr>
            <w:tcW w:w="1456"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工程质量</w:t>
            </w:r>
          </w:p>
        </w:tc>
        <w:tc>
          <w:tcPr>
            <w:tcW w:w="8027" w:type="dxa"/>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59" w:hRule="exact"/>
          <w:jc w:val="center"/>
        </w:trPr>
        <w:tc>
          <w:tcPr>
            <w:tcW w:w="1456"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项目经理</w:t>
            </w:r>
          </w:p>
        </w:tc>
        <w:tc>
          <w:tcPr>
            <w:tcW w:w="8027" w:type="dxa"/>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70" w:hRule="exact"/>
          <w:jc w:val="center"/>
        </w:trPr>
        <w:tc>
          <w:tcPr>
            <w:tcW w:w="1456"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技术负责人</w:t>
            </w:r>
          </w:p>
        </w:tc>
        <w:tc>
          <w:tcPr>
            <w:tcW w:w="8027" w:type="dxa"/>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63" w:hRule="exact"/>
          <w:jc w:val="center"/>
        </w:trPr>
        <w:tc>
          <w:tcPr>
            <w:tcW w:w="1456"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总监理工程师及电话</w:t>
            </w:r>
          </w:p>
        </w:tc>
        <w:tc>
          <w:tcPr>
            <w:tcW w:w="8027" w:type="dxa"/>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2367" w:hRule="exact"/>
          <w:jc w:val="center"/>
        </w:trPr>
        <w:tc>
          <w:tcPr>
            <w:tcW w:w="1456"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项目描述</w:t>
            </w:r>
          </w:p>
        </w:tc>
        <w:tc>
          <w:tcPr>
            <w:tcW w:w="8027" w:type="dxa"/>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1048" w:hRule="exact"/>
          <w:jc w:val="center"/>
        </w:trPr>
        <w:tc>
          <w:tcPr>
            <w:tcW w:w="1456"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备注</w:t>
            </w:r>
          </w:p>
        </w:tc>
        <w:tc>
          <w:tcPr>
            <w:tcW w:w="8027" w:type="dxa"/>
            <w:vAlign w:val="center"/>
          </w:tcPr>
          <w:p>
            <w:pPr>
              <w:autoSpaceDE w:val="0"/>
              <w:autoSpaceDN w:val="0"/>
              <w:adjustRightInd w:val="0"/>
              <w:snapToGrid w:val="0"/>
              <w:jc w:val="center"/>
              <w:rPr>
                <w:rFonts w:ascii="宋体" w:hAnsi="宋体"/>
                <w:kern w:val="0"/>
                <w:szCs w:val="21"/>
              </w:rPr>
            </w:pPr>
          </w:p>
        </w:tc>
      </w:tr>
    </w:tbl>
    <w:p>
      <w:pPr>
        <w:pStyle w:val="5"/>
        <w:spacing w:before="0" w:line="360" w:lineRule="auto"/>
        <w:jc w:val="center"/>
        <w:rPr>
          <w:rFonts w:ascii="宋体" w:hAnsi="宋体"/>
          <w:b w:val="0"/>
        </w:rPr>
      </w:pPr>
      <w:bookmarkStart w:id="1807" w:name="_Toc277082663"/>
      <w:bookmarkStart w:id="1808" w:name="_Toc224103520"/>
      <w:bookmarkStart w:id="1809" w:name="_Toc534185843"/>
      <w:bookmarkStart w:id="1810" w:name="_Toc287620839"/>
      <w:bookmarkStart w:id="1811" w:name="_Toc509218866"/>
      <w:bookmarkStart w:id="1812" w:name="_Toc430530552"/>
      <w:bookmarkStart w:id="1813" w:name="_Toc287607893"/>
      <w:bookmarkStart w:id="1814" w:name="_Toc26138"/>
      <w:bookmarkStart w:id="1815" w:name="_Toc12273"/>
      <w:bookmarkStart w:id="1816" w:name="_Toc981"/>
      <w:bookmarkStart w:id="1817" w:name="_Toc9508"/>
      <w:bookmarkStart w:id="1818" w:name="_Toc20588"/>
      <w:r>
        <w:rPr>
          <w:rFonts w:ascii="宋体" w:hAnsi="宋体"/>
          <w:b w:val="0"/>
        </w:rPr>
        <w:t>（</w:t>
      </w:r>
      <w:r>
        <w:rPr>
          <w:rFonts w:hint="eastAsia" w:ascii="宋体" w:hAnsi="宋体"/>
          <w:b w:val="0"/>
        </w:rPr>
        <w:t>六</w:t>
      </w:r>
      <w:r>
        <w:rPr>
          <w:rFonts w:ascii="宋体" w:hAnsi="宋体"/>
          <w:b w:val="0"/>
        </w:rPr>
        <w:t>）</w:t>
      </w:r>
      <w:bookmarkEnd w:id="1807"/>
      <w:bookmarkEnd w:id="1808"/>
      <w:bookmarkEnd w:id="1809"/>
      <w:bookmarkEnd w:id="1810"/>
      <w:bookmarkEnd w:id="1811"/>
      <w:bookmarkEnd w:id="1812"/>
      <w:bookmarkEnd w:id="1813"/>
      <w:r>
        <w:rPr>
          <w:rFonts w:hint="eastAsia" w:ascii="宋体" w:hAnsi="宋体"/>
          <w:b w:val="0"/>
        </w:rPr>
        <w:t>承诺</w:t>
      </w:r>
      <w:bookmarkEnd w:id="1814"/>
      <w:bookmarkEnd w:id="1815"/>
      <w:bookmarkEnd w:id="1816"/>
      <w:bookmarkEnd w:id="1817"/>
      <w:bookmarkEnd w:id="1818"/>
    </w:p>
    <w:p>
      <w:pPr>
        <w:snapToGrid w:val="0"/>
        <w:spacing w:line="380" w:lineRule="exact"/>
        <w:ind w:firstLine="420" w:firstLineChars="200"/>
        <w:jc w:val="center"/>
        <w:rPr>
          <w:rFonts w:ascii="宋体" w:hAnsi="宋体"/>
          <w:i/>
          <w:iCs/>
          <w:szCs w:val="21"/>
        </w:rPr>
      </w:pPr>
      <w:r>
        <w:rPr>
          <w:rFonts w:hint="eastAsia" w:ascii="宋体" w:hAnsi="宋体"/>
          <w:i/>
          <w:iCs/>
          <w:szCs w:val="21"/>
        </w:rPr>
        <w:t>[格式自理]</w:t>
      </w:r>
    </w:p>
    <w:p/>
    <w:p>
      <w:r>
        <w:br w:type="page"/>
      </w:r>
    </w:p>
    <w:p>
      <w:pPr>
        <w:pStyle w:val="5"/>
        <w:spacing w:before="0" w:line="360" w:lineRule="auto"/>
        <w:jc w:val="center"/>
        <w:rPr>
          <w:rFonts w:ascii="宋体" w:hAnsi="宋体"/>
        </w:rPr>
      </w:pPr>
      <w:bookmarkStart w:id="1819" w:name="_Toc16282"/>
      <w:bookmarkStart w:id="1820" w:name="_Toc5832"/>
      <w:bookmarkStart w:id="1821" w:name="_Toc17121"/>
      <w:bookmarkStart w:id="1822" w:name="_Toc19706"/>
      <w:bookmarkStart w:id="1823" w:name="_Toc8763"/>
      <w:r>
        <w:rPr>
          <w:rFonts w:hint="eastAsia" w:ascii="宋体" w:hAnsi="宋体"/>
          <w:b w:val="0"/>
        </w:rPr>
        <w:t>（七）其他资料</w:t>
      </w:r>
      <w:bookmarkEnd w:id="1819"/>
      <w:bookmarkEnd w:id="1820"/>
      <w:bookmarkEnd w:id="1821"/>
      <w:bookmarkEnd w:id="1822"/>
      <w:bookmarkEnd w:id="1823"/>
    </w:p>
    <w:bookmarkEnd w:id="212"/>
    <w:bookmarkEnd w:id="213"/>
    <w:bookmarkEnd w:id="214"/>
    <w:p>
      <w:pPr>
        <w:spacing w:line="360" w:lineRule="auto"/>
        <w:ind w:firstLine="420" w:firstLineChars="200"/>
        <w:rPr>
          <w:rFonts w:ascii="宋体" w:hAnsi="宋体"/>
          <w:szCs w:val="21"/>
        </w:rPr>
      </w:pPr>
      <w:r>
        <w:rPr>
          <w:rFonts w:hint="eastAsia" w:ascii="宋体" w:hAnsi="宋体"/>
          <w:szCs w:val="21"/>
        </w:rPr>
        <w:t xml:space="preserve">1. </w:t>
      </w:r>
      <w:r>
        <w:rPr>
          <w:rFonts w:hint="eastAsia" w:ascii="宋体" w:hAnsi="宋体"/>
          <w:szCs w:val="21"/>
          <w:lang w:eastAsia="zh-CN"/>
        </w:rPr>
        <w:t>竞标</w:t>
      </w:r>
      <w:r>
        <w:rPr>
          <w:rFonts w:hint="eastAsia" w:ascii="宋体" w:hAnsi="宋体"/>
          <w:szCs w:val="21"/>
        </w:rPr>
        <w:t>保证金</w:t>
      </w:r>
    </w:p>
    <w:p>
      <w:pPr>
        <w:spacing w:line="360" w:lineRule="auto"/>
        <w:ind w:firstLine="420" w:firstLineChars="200"/>
        <w:rPr>
          <w:rFonts w:ascii="宋体" w:hAnsi="宋体"/>
          <w:i/>
          <w:szCs w:val="21"/>
        </w:rPr>
      </w:pPr>
      <w:r>
        <w:rPr>
          <w:rFonts w:hint="eastAsia" w:ascii="宋体" w:hAnsi="宋体"/>
          <w:i/>
          <w:szCs w:val="21"/>
        </w:rPr>
        <w:t>[提示：以转账支票或电汇形式交纳</w:t>
      </w:r>
      <w:r>
        <w:rPr>
          <w:rFonts w:hint="eastAsia" w:ascii="宋体" w:hAnsi="宋体"/>
          <w:i/>
          <w:szCs w:val="21"/>
          <w:lang w:eastAsia="zh-CN"/>
        </w:rPr>
        <w:t>竞标</w:t>
      </w:r>
      <w:r>
        <w:rPr>
          <w:rFonts w:hint="eastAsia" w:ascii="宋体" w:hAnsi="宋体"/>
          <w:i/>
          <w:szCs w:val="21"/>
        </w:rPr>
        <w:t>保证金的提供以下资料]</w:t>
      </w:r>
    </w:p>
    <w:p>
      <w:pPr>
        <w:spacing w:line="360" w:lineRule="auto"/>
        <w:ind w:firstLine="420" w:firstLineChars="200"/>
        <w:rPr>
          <w:rFonts w:ascii="宋体" w:hAnsi="宋体"/>
          <w:szCs w:val="21"/>
        </w:rPr>
      </w:pPr>
      <w:r>
        <w:rPr>
          <w:rFonts w:hint="eastAsia" w:ascii="宋体" w:hAnsi="宋体"/>
          <w:szCs w:val="21"/>
        </w:rPr>
        <w:t>（1）企业基本账户开户证明文件。</w:t>
      </w:r>
    </w:p>
    <w:p>
      <w:pPr>
        <w:rPr>
          <w:rFonts w:ascii="宋体" w:hAnsi="宋体"/>
          <w:i/>
          <w:szCs w:val="21"/>
        </w:rPr>
      </w:pPr>
      <w:r>
        <w:rPr>
          <w:rFonts w:hint="eastAsia" w:ascii="宋体" w:hAnsi="宋体"/>
          <w:i/>
          <w:szCs w:val="21"/>
        </w:rPr>
        <w:br w:type="page"/>
      </w:r>
    </w:p>
    <w:p>
      <w:pPr>
        <w:spacing w:line="360" w:lineRule="auto"/>
        <w:ind w:firstLine="420" w:firstLineChars="200"/>
        <w:rPr>
          <w:rFonts w:ascii="宋体" w:hAnsi="宋体"/>
          <w:i/>
          <w:szCs w:val="21"/>
        </w:rPr>
      </w:pPr>
      <w:r>
        <w:rPr>
          <w:rFonts w:hint="eastAsia" w:ascii="宋体" w:hAnsi="宋体"/>
          <w:i/>
          <w:szCs w:val="21"/>
        </w:rPr>
        <w:t>[提示：以纸质</w:t>
      </w:r>
      <w:r>
        <w:rPr>
          <w:rFonts w:hint="eastAsia" w:ascii="宋体" w:hAnsi="宋体"/>
          <w:i/>
          <w:szCs w:val="21"/>
          <w:lang w:eastAsia="zh-CN"/>
        </w:rPr>
        <w:t>竞标</w:t>
      </w:r>
      <w:r>
        <w:rPr>
          <w:rFonts w:hint="eastAsia" w:ascii="宋体" w:hAnsi="宋体"/>
          <w:i/>
          <w:szCs w:val="21"/>
        </w:rPr>
        <w:t>保函形式交纳</w:t>
      </w:r>
      <w:r>
        <w:rPr>
          <w:rFonts w:hint="eastAsia" w:ascii="宋体" w:hAnsi="宋体"/>
          <w:i/>
          <w:szCs w:val="21"/>
          <w:lang w:eastAsia="zh-CN"/>
        </w:rPr>
        <w:t>竞标</w:t>
      </w:r>
      <w:r>
        <w:rPr>
          <w:rFonts w:hint="eastAsia" w:ascii="宋体" w:hAnsi="宋体"/>
          <w:i/>
          <w:szCs w:val="21"/>
        </w:rPr>
        <w:t>保证金的提供以下资料]</w:t>
      </w:r>
    </w:p>
    <w:p>
      <w:pPr>
        <w:spacing w:line="360" w:lineRule="auto"/>
        <w:ind w:firstLine="420" w:firstLineChars="200"/>
        <w:rPr>
          <w:rFonts w:ascii="宋体" w:hAnsi="宋体"/>
          <w:szCs w:val="21"/>
        </w:rPr>
      </w:pPr>
      <w:r>
        <w:rPr>
          <w:rFonts w:hint="eastAsia" w:ascii="宋体" w:hAnsi="宋体"/>
          <w:szCs w:val="21"/>
        </w:rPr>
        <w:t>（1）纸质保函正本；</w:t>
      </w:r>
    </w:p>
    <w:p>
      <w:pPr>
        <w:spacing w:line="360" w:lineRule="auto"/>
        <w:ind w:firstLine="420" w:firstLineChars="200"/>
        <w:rPr>
          <w:rFonts w:ascii="宋体" w:hAnsi="宋体"/>
          <w:szCs w:val="21"/>
        </w:rPr>
      </w:pPr>
      <w:r>
        <w:rPr>
          <w:rFonts w:hint="eastAsia" w:ascii="宋体" w:hAnsi="宋体"/>
          <w:szCs w:val="21"/>
        </w:rPr>
        <w:t>（2）纸质</w:t>
      </w:r>
      <w:r>
        <w:rPr>
          <w:rFonts w:hint="eastAsia" w:ascii="宋体" w:hAnsi="宋体"/>
          <w:szCs w:val="21"/>
          <w:lang w:eastAsia="zh-CN"/>
        </w:rPr>
        <w:t>竞标</w:t>
      </w:r>
      <w:r>
        <w:rPr>
          <w:rFonts w:hint="eastAsia" w:ascii="宋体" w:hAnsi="宋体"/>
          <w:szCs w:val="21"/>
        </w:rPr>
        <w:t>保函的核验地点、方式和联系人。</w:t>
      </w:r>
    </w:p>
    <w:p>
      <w:pPr>
        <w:spacing w:line="360" w:lineRule="auto"/>
        <w:ind w:firstLine="420" w:firstLineChars="200"/>
        <w:rPr>
          <w:rFonts w:ascii="宋体" w:hAnsi="宋体"/>
          <w:szCs w:val="21"/>
        </w:rPr>
      </w:pPr>
      <w:r>
        <w:rPr>
          <w:rFonts w:hint="eastAsia" w:ascii="宋体" w:hAnsi="宋体"/>
          <w:szCs w:val="21"/>
        </w:rPr>
        <w:t xml:space="preserve">2. </w:t>
      </w:r>
    </w:p>
    <w:p>
      <w:pPr>
        <w:spacing w:line="360" w:lineRule="auto"/>
        <w:ind w:firstLine="420" w:firstLineChars="200"/>
        <w:rPr>
          <w:rFonts w:ascii="宋体" w:hAnsi="宋体"/>
          <w:szCs w:val="21"/>
        </w:rPr>
      </w:pPr>
      <w:r>
        <w:rPr>
          <w:rFonts w:ascii="宋体" w:hAnsi="宋体"/>
          <w:szCs w:val="21"/>
        </w:rPr>
        <w:t>……</w:t>
      </w:r>
    </w:p>
    <w:sectPr>
      <w:pgSz w:w="11906" w:h="16838"/>
      <w:pgMar w:top="1304" w:right="1134" w:bottom="1304" w:left="130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书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altName w:val="方正舒体"/>
    <w:panose1 w:val="00000000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 w:name="方正仿宋简体">
    <w:altName w:val="微软雅黑"/>
    <w:panose1 w:val="00000000000000000000"/>
    <w:charset w:val="86"/>
    <w:family w:val="auto"/>
    <w:pitch w:val="default"/>
    <w:sig w:usb0="00000000" w:usb1="00000000" w:usb2="00000012" w:usb3="00000000" w:csb0="00040001" w:csb1="00000000"/>
  </w:font>
  <w:font w:name="华文细黑">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MingLiU">
    <w:altName w:val="PMingLiU-ExtB"/>
    <w:panose1 w:val="02020509000000000000"/>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Wingdings 2">
    <w:panose1 w:val="05020102010507070707"/>
    <w:charset w:val="02"/>
    <w:family w:val="roman"/>
    <w:pitch w:val="default"/>
    <w:sig w:usb0="00000000" w:usb1="00000000" w:usb2="00000000" w:usb3="00000000" w:csb0="80000000" w:csb1="00000000"/>
  </w:font>
  <w:font w:name="Microsoft Sans Serif">
    <w:panose1 w:val="020B0604020202020204"/>
    <w:charset w:val="00"/>
    <w:family w:val="swiss"/>
    <w:pitch w:val="default"/>
    <w:sig w:usb0="E5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50"/>
      </w:rPr>
    </w:pPr>
    <w:r>
      <w:fldChar w:fldCharType="begin"/>
    </w:r>
    <w:r>
      <w:rPr>
        <w:rStyle w:val="50"/>
      </w:rPr>
      <w:instrText xml:space="preserve">PAGE  </w:instrText>
    </w:r>
    <w:r>
      <w:fldChar w:fldCharType="separate"/>
    </w:r>
    <w:r>
      <w:rPr>
        <w:rStyle w:val="50"/>
      </w:rPr>
      <w:t>- 1 -</w:t>
    </w:r>
    <w:r>
      <w:fldChar w:fldCharType="end"/>
    </w:r>
  </w:p>
  <w:p>
    <w:pPr>
      <w:pStyle w:val="2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t xml:space="preserve">- </w:t>
    </w:r>
    <w:r>
      <w:fldChar w:fldCharType="begin"/>
    </w:r>
    <w:r>
      <w:instrText xml:space="preserve"> PAGE </w:instrText>
    </w:r>
    <w:r>
      <w:fldChar w:fldCharType="separate"/>
    </w:r>
    <w:r>
      <w:t>164</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50"/>
      </w:rPr>
    </w:pPr>
    <w:r>
      <w:fldChar w:fldCharType="begin"/>
    </w:r>
    <w:r>
      <w:rPr>
        <w:rStyle w:val="50"/>
      </w:rPr>
      <w:instrText xml:space="preserve">PAGE  </w:instrText>
    </w:r>
    <w:r>
      <w:fldChar w:fldCharType="separate"/>
    </w:r>
    <w:r>
      <w:rPr>
        <w:rStyle w:val="50"/>
      </w:rPr>
      <w:t>264</w:t>
    </w:r>
    <w:r>
      <w:fldChar w:fldCharType="end"/>
    </w:r>
  </w:p>
  <w:p>
    <w:pPr>
      <w:pStyle w:val="2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8D5789"/>
    <w:multiLevelType w:val="singleLevel"/>
    <w:tmpl w:val="E48D5789"/>
    <w:lvl w:ilvl="0" w:tentative="0">
      <w:start w:val="3"/>
      <w:numFmt w:val="decimal"/>
      <w:suff w:val="nothing"/>
      <w:lvlText w:val="（%1）"/>
      <w:lvlJc w:val="left"/>
    </w:lvl>
  </w:abstractNum>
  <w:abstractNum w:abstractNumId="1">
    <w:nsid w:val="00000006"/>
    <w:multiLevelType w:val="singleLevel"/>
    <w:tmpl w:val="00000006"/>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mirrorMargin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kMTVlY2Q2ODlhNmRjYzNhMGMzZDBkMmViNjY2MzcifQ=="/>
  </w:docVars>
  <w:rsids>
    <w:rsidRoot w:val="00172A27"/>
    <w:rsid w:val="00001345"/>
    <w:rsid w:val="00001A09"/>
    <w:rsid w:val="00001B1E"/>
    <w:rsid w:val="000027C8"/>
    <w:rsid w:val="0000285A"/>
    <w:rsid w:val="00002D86"/>
    <w:rsid w:val="00003A3F"/>
    <w:rsid w:val="00005443"/>
    <w:rsid w:val="00005E79"/>
    <w:rsid w:val="000067A3"/>
    <w:rsid w:val="00014531"/>
    <w:rsid w:val="00014DF1"/>
    <w:rsid w:val="00015333"/>
    <w:rsid w:val="00015C9C"/>
    <w:rsid w:val="0001647D"/>
    <w:rsid w:val="0001650A"/>
    <w:rsid w:val="000165A8"/>
    <w:rsid w:val="0001665A"/>
    <w:rsid w:val="00017F2D"/>
    <w:rsid w:val="00020EB1"/>
    <w:rsid w:val="00021228"/>
    <w:rsid w:val="000215EB"/>
    <w:rsid w:val="00022747"/>
    <w:rsid w:val="00022F4C"/>
    <w:rsid w:val="00023AD6"/>
    <w:rsid w:val="00023B7F"/>
    <w:rsid w:val="00024492"/>
    <w:rsid w:val="00025644"/>
    <w:rsid w:val="00025750"/>
    <w:rsid w:val="0002592F"/>
    <w:rsid w:val="00025DD0"/>
    <w:rsid w:val="0002735F"/>
    <w:rsid w:val="000301A4"/>
    <w:rsid w:val="000316FE"/>
    <w:rsid w:val="00031F42"/>
    <w:rsid w:val="00032255"/>
    <w:rsid w:val="0003256A"/>
    <w:rsid w:val="00032B15"/>
    <w:rsid w:val="00033076"/>
    <w:rsid w:val="00033847"/>
    <w:rsid w:val="000347EB"/>
    <w:rsid w:val="00034B81"/>
    <w:rsid w:val="00035320"/>
    <w:rsid w:val="0003558C"/>
    <w:rsid w:val="000355D8"/>
    <w:rsid w:val="00035E2F"/>
    <w:rsid w:val="000365B0"/>
    <w:rsid w:val="0003673D"/>
    <w:rsid w:val="00037549"/>
    <w:rsid w:val="00037672"/>
    <w:rsid w:val="000407E9"/>
    <w:rsid w:val="000415C5"/>
    <w:rsid w:val="000418B4"/>
    <w:rsid w:val="000426A8"/>
    <w:rsid w:val="000426EA"/>
    <w:rsid w:val="000434B1"/>
    <w:rsid w:val="000437CD"/>
    <w:rsid w:val="00044029"/>
    <w:rsid w:val="00046EAC"/>
    <w:rsid w:val="000477EA"/>
    <w:rsid w:val="00050329"/>
    <w:rsid w:val="00050A2B"/>
    <w:rsid w:val="00050F21"/>
    <w:rsid w:val="00053B37"/>
    <w:rsid w:val="00053DC4"/>
    <w:rsid w:val="00054784"/>
    <w:rsid w:val="00054C30"/>
    <w:rsid w:val="00054D78"/>
    <w:rsid w:val="00054F64"/>
    <w:rsid w:val="0005572F"/>
    <w:rsid w:val="00057103"/>
    <w:rsid w:val="000578DC"/>
    <w:rsid w:val="00057D13"/>
    <w:rsid w:val="00061927"/>
    <w:rsid w:val="00061B42"/>
    <w:rsid w:val="0006245E"/>
    <w:rsid w:val="00062D58"/>
    <w:rsid w:val="00063C01"/>
    <w:rsid w:val="000640B5"/>
    <w:rsid w:val="000654D9"/>
    <w:rsid w:val="00065C93"/>
    <w:rsid w:val="00065F0A"/>
    <w:rsid w:val="000677BF"/>
    <w:rsid w:val="00067885"/>
    <w:rsid w:val="00067E50"/>
    <w:rsid w:val="0007009B"/>
    <w:rsid w:val="000703E1"/>
    <w:rsid w:val="00070444"/>
    <w:rsid w:val="0007082A"/>
    <w:rsid w:val="00070DB4"/>
    <w:rsid w:val="00072AEF"/>
    <w:rsid w:val="00072C40"/>
    <w:rsid w:val="0007377C"/>
    <w:rsid w:val="00073E89"/>
    <w:rsid w:val="00074445"/>
    <w:rsid w:val="00074926"/>
    <w:rsid w:val="000753AE"/>
    <w:rsid w:val="0007662F"/>
    <w:rsid w:val="00077788"/>
    <w:rsid w:val="000777DB"/>
    <w:rsid w:val="00080479"/>
    <w:rsid w:val="00080C91"/>
    <w:rsid w:val="00081E58"/>
    <w:rsid w:val="00084056"/>
    <w:rsid w:val="00084085"/>
    <w:rsid w:val="000843AE"/>
    <w:rsid w:val="00084AD3"/>
    <w:rsid w:val="00085720"/>
    <w:rsid w:val="00085DDD"/>
    <w:rsid w:val="00086F23"/>
    <w:rsid w:val="000874F6"/>
    <w:rsid w:val="00090828"/>
    <w:rsid w:val="0009083C"/>
    <w:rsid w:val="00090A07"/>
    <w:rsid w:val="00090FA6"/>
    <w:rsid w:val="00090FD7"/>
    <w:rsid w:val="000925AC"/>
    <w:rsid w:val="000927A3"/>
    <w:rsid w:val="00092F8F"/>
    <w:rsid w:val="0009358F"/>
    <w:rsid w:val="00094007"/>
    <w:rsid w:val="00095189"/>
    <w:rsid w:val="0009559A"/>
    <w:rsid w:val="00095DEF"/>
    <w:rsid w:val="000967E2"/>
    <w:rsid w:val="00096C42"/>
    <w:rsid w:val="00097C86"/>
    <w:rsid w:val="000A0398"/>
    <w:rsid w:val="000A0D3C"/>
    <w:rsid w:val="000A2AF4"/>
    <w:rsid w:val="000A2CA5"/>
    <w:rsid w:val="000A3817"/>
    <w:rsid w:val="000A41FD"/>
    <w:rsid w:val="000A4A55"/>
    <w:rsid w:val="000A569B"/>
    <w:rsid w:val="000A7403"/>
    <w:rsid w:val="000A7D07"/>
    <w:rsid w:val="000B0A2E"/>
    <w:rsid w:val="000B0F51"/>
    <w:rsid w:val="000B1596"/>
    <w:rsid w:val="000B1B81"/>
    <w:rsid w:val="000B1DE8"/>
    <w:rsid w:val="000B283B"/>
    <w:rsid w:val="000B3303"/>
    <w:rsid w:val="000B3431"/>
    <w:rsid w:val="000B489F"/>
    <w:rsid w:val="000B4C5B"/>
    <w:rsid w:val="000B5039"/>
    <w:rsid w:val="000B55BE"/>
    <w:rsid w:val="000B5C3A"/>
    <w:rsid w:val="000B5E88"/>
    <w:rsid w:val="000B6027"/>
    <w:rsid w:val="000B6648"/>
    <w:rsid w:val="000B786B"/>
    <w:rsid w:val="000C079C"/>
    <w:rsid w:val="000C0EE5"/>
    <w:rsid w:val="000C13A1"/>
    <w:rsid w:val="000C260D"/>
    <w:rsid w:val="000C30AC"/>
    <w:rsid w:val="000C4579"/>
    <w:rsid w:val="000C463E"/>
    <w:rsid w:val="000C4E06"/>
    <w:rsid w:val="000C5056"/>
    <w:rsid w:val="000C52AB"/>
    <w:rsid w:val="000C5AA2"/>
    <w:rsid w:val="000C5C93"/>
    <w:rsid w:val="000C5D12"/>
    <w:rsid w:val="000C6F15"/>
    <w:rsid w:val="000C6F2A"/>
    <w:rsid w:val="000D1F8D"/>
    <w:rsid w:val="000D21F1"/>
    <w:rsid w:val="000D252E"/>
    <w:rsid w:val="000D2ED1"/>
    <w:rsid w:val="000D3548"/>
    <w:rsid w:val="000D3551"/>
    <w:rsid w:val="000D35B5"/>
    <w:rsid w:val="000D42D0"/>
    <w:rsid w:val="000D5211"/>
    <w:rsid w:val="000D5B51"/>
    <w:rsid w:val="000D65FC"/>
    <w:rsid w:val="000D6B45"/>
    <w:rsid w:val="000D6FB3"/>
    <w:rsid w:val="000D7254"/>
    <w:rsid w:val="000D753D"/>
    <w:rsid w:val="000D76E1"/>
    <w:rsid w:val="000D7823"/>
    <w:rsid w:val="000E0DB3"/>
    <w:rsid w:val="000E10A5"/>
    <w:rsid w:val="000E1407"/>
    <w:rsid w:val="000E1A63"/>
    <w:rsid w:val="000E33CF"/>
    <w:rsid w:val="000E4C3D"/>
    <w:rsid w:val="000E6849"/>
    <w:rsid w:val="000E72B9"/>
    <w:rsid w:val="000F05AB"/>
    <w:rsid w:val="000F091D"/>
    <w:rsid w:val="000F1B68"/>
    <w:rsid w:val="000F2179"/>
    <w:rsid w:val="000F278B"/>
    <w:rsid w:val="000F2955"/>
    <w:rsid w:val="000F2C67"/>
    <w:rsid w:val="000F40C0"/>
    <w:rsid w:val="000F45C8"/>
    <w:rsid w:val="000F4BBE"/>
    <w:rsid w:val="000F50C6"/>
    <w:rsid w:val="000F51EA"/>
    <w:rsid w:val="000F5AD4"/>
    <w:rsid w:val="000F7BB7"/>
    <w:rsid w:val="000F7CF5"/>
    <w:rsid w:val="00100471"/>
    <w:rsid w:val="001019D6"/>
    <w:rsid w:val="00101E5F"/>
    <w:rsid w:val="001025D9"/>
    <w:rsid w:val="00102EBB"/>
    <w:rsid w:val="00104353"/>
    <w:rsid w:val="00105F22"/>
    <w:rsid w:val="001062D4"/>
    <w:rsid w:val="00106436"/>
    <w:rsid w:val="001066B1"/>
    <w:rsid w:val="00107DA6"/>
    <w:rsid w:val="001108D6"/>
    <w:rsid w:val="001109ED"/>
    <w:rsid w:val="00111268"/>
    <w:rsid w:val="00111C02"/>
    <w:rsid w:val="00111FF3"/>
    <w:rsid w:val="001128C3"/>
    <w:rsid w:val="00112A83"/>
    <w:rsid w:val="00113E49"/>
    <w:rsid w:val="00113E95"/>
    <w:rsid w:val="00114A01"/>
    <w:rsid w:val="00114CF3"/>
    <w:rsid w:val="00115CA3"/>
    <w:rsid w:val="00116F55"/>
    <w:rsid w:val="00116F93"/>
    <w:rsid w:val="00117445"/>
    <w:rsid w:val="00117B2C"/>
    <w:rsid w:val="0012046B"/>
    <w:rsid w:val="001209B5"/>
    <w:rsid w:val="00120E02"/>
    <w:rsid w:val="001214C7"/>
    <w:rsid w:val="00121F6B"/>
    <w:rsid w:val="00122362"/>
    <w:rsid w:val="0012259E"/>
    <w:rsid w:val="001228C8"/>
    <w:rsid w:val="00122C0D"/>
    <w:rsid w:val="00122D4D"/>
    <w:rsid w:val="0012481C"/>
    <w:rsid w:val="001269FF"/>
    <w:rsid w:val="001303A1"/>
    <w:rsid w:val="001303B7"/>
    <w:rsid w:val="00131D1B"/>
    <w:rsid w:val="00132B99"/>
    <w:rsid w:val="00132BF1"/>
    <w:rsid w:val="001330BB"/>
    <w:rsid w:val="001339C6"/>
    <w:rsid w:val="00134327"/>
    <w:rsid w:val="001347A9"/>
    <w:rsid w:val="00135872"/>
    <w:rsid w:val="00136173"/>
    <w:rsid w:val="00136D1E"/>
    <w:rsid w:val="001377F8"/>
    <w:rsid w:val="00137F99"/>
    <w:rsid w:val="0014084B"/>
    <w:rsid w:val="001440F2"/>
    <w:rsid w:val="00145318"/>
    <w:rsid w:val="001455A1"/>
    <w:rsid w:val="00145AE6"/>
    <w:rsid w:val="00145F46"/>
    <w:rsid w:val="001460D9"/>
    <w:rsid w:val="001466BF"/>
    <w:rsid w:val="00146976"/>
    <w:rsid w:val="00146C44"/>
    <w:rsid w:val="001477E7"/>
    <w:rsid w:val="00147FD9"/>
    <w:rsid w:val="00150025"/>
    <w:rsid w:val="00150964"/>
    <w:rsid w:val="00150A27"/>
    <w:rsid w:val="00150F2A"/>
    <w:rsid w:val="00152078"/>
    <w:rsid w:val="00154963"/>
    <w:rsid w:val="0015596B"/>
    <w:rsid w:val="00155D1F"/>
    <w:rsid w:val="001561B1"/>
    <w:rsid w:val="00157A5C"/>
    <w:rsid w:val="001600A3"/>
    <w:rsid w:val="0016132F"/>
    <w:rsid w:val="0016174D"/>
    <w:rsid w:val="00162B36"/>
    <w:rsid w:val="0016317C"/>
    <w:rsid w:val="00164DCB"/>
    <w:rsid w:val="00165642"/>
    <w:rsid w:val="00165B64"/>
    <w:rsid w:val="00165D82"/>
    <w:rsid w:val="00166C40"/>
    <w:rsid w:val="00166F24"/>
    <w:rsid w:val="00167BBE"/>
    <w:rsid w:val="00171489"/>
    <w:rsid w:val="001721A5"/>
    <w:rsid w:val="0017293A"/>
    <w:rsid w:val="00172A27"/>
    <w:rsid w:val="00172DEA"/>
    <w:rsid w:val="00172F37"/>
    <w:rsid w:val="00174134"/>
    <w:rsid w:val="001745A8"/>
    <w:rsid w:val="00175461"/>
    <w:rsid w:val="00176A64"/>
    <w:rsid w:val="00176B11"/>
    <w:rsid w:val="00176C6C"/>
    <w:rsid w:val="00177E29"/>
    <w:rsid w:val="00177F0D"/>
    <w:rsid w:val="00177F8E"/>
    <w:rsid w:val="001806AD"/>
    <w:rsid w:val="00181796"/>
    <w:rsid w:val="001818BD"/>
    <w:rsid w:val="0018204B"/>
    <w:rsid w:val="00182F9F"/>
    <w:rsid w:val="00184528"/>
    <w:rsid w:val="00184AF6"/>
    <w:rsid w:val="001862DC"/>
    <w:rsid w:val="00186401"/>
    <w:rsid w:val="00186442"/>
    <w:rsid w:val="001866A1"/>
    <w:rsid w:val="001923EA"/>
    <w:rsid w:val="00192735"/>
    <w:rsid w:val="00192FBA"/>
    <w:rsid w:val="00193696"/>
    <w:rsid w:val="00193EC6"/>
    <w:rsid w:val="0019411E"/>
    <w:rsid w:val="001947FB"/>
    <w:rsid w:val="00195720"/>
    <w:rsid w:val="001958B9"/>
    <w:rsid w:val="00196CDD"/>
    <w:rsid w:val="001975C9"/>
    <w:rsid w:val="001A065E"/>
    <w:rsid w:val="001A189F"/>
    <w:rsid w:val="001A293D"/>
    <w:rsid w:val="001A2A77"/>
    <w:rsid w:val="001A3908"/>
    <w:rsid w:val="001A3A5A"/>
    <w:rsid w:val="001A4457"/>
    <w:rsid w:val="001A5133"/>
    <w:rsid w:val="001A6DCB"/>
    <w:rsid w:val="001A773A"/>
    <w:rsid w:val="001A77C4"/>
    <w:rsid w:val="001A7BE0"/>
    <w:rsid w:val="001B15C6"/>
    <w:rsid w:val="001B17D1"/>
    <w:rsid w:val="001B229E"/>
    <w:rsid w:val="001B2B2F"/>
    <w:rsid w:val="001B2DEF"/>
    <w:rsid w:val="001B412E"/>
    <w:rsid w:val="001B4136"/>
    <w:rsid w:val="001B45EF"/>
    <w:rsid w:val="001B48E0"/>
    <w:rsid w:val="001B4D7D"/>
    <w:rsid w:val="001B5125"/>
    <w:rsid w:val="001B5B97"/>
    <w:rsid w:val="001B6AA4"/>
    <w:rsid w:val="001C023F"/>
    <w:rsid w:val="001C02D5"/>
    <w:rsid w:val="001C0500"/>
    <w:rsid w:val="001C059B"/>
    <w:rsid w:val="001C0B84"/>
    <w:rsid w:val="001C1192"/>
    <w:rsid w:val="001C1E56"/>
    <w:rsid w:val="001C28B3"/>
    <w:rsid w:val="001C2CF6"/>
    <w:rsid w:val="001C4064"/>
    <w:rsid w:val="001C49F4"/>
    <w:rsid w:val="001C71D7"/>
    <w:rsid w:val="001D0F66"/>
    <w:rsid w:val="001D125F"/>
    <w:rsid w:val="001D16DA"/>
    <w:rsid w:val="001D17FB"/>
    <w:rsid w:val="001D2271"/>
    <w:rsid w:val="001D23D8"/>
    <w:rsid w:val="001D251C"/>
    <w:rsid w:val="001D3B3D"/>
    <w:rsid w:val="001D42FF"/>
    <w:rsid w:val="001D4381"/>
    <w:rsid w:val="001D47CF"/>
    <w:rsid w:val="001D4A3E"/>
    <w:rsid w:val="001D4B38"/>
    <w:rsid w:val="001D6225"/>
    <w:rsid w:val="001D6439"/>
    <w:rsid w:val="001D6D8C"/>
    <w:rsid w:val="001D7E9C"/>
    <w:rsid w:val="001E054D"/>
    <w:rsid w:val="001E0FAD"/>
    <w:rsid w:val="001E1308"/>
    <w:rsid w:val="001E1520"/>
    <w:rsid w:val="001E19DD"/>
    <w:rsid w:val="001E19F9"/>
    <w:rsid w:val="001E2C16"/>
    <w:rsid w:val="001E394D"/>
    <w:rsid w:val="001E39AA"/>
    <w:rsid w:val="001E3AAF"/>
    <w:rsid w:val="001E3D84"/>
    <w:rsid w:val="001E4F0E"/>
    <w:rsid w:val="001E594C"/>
    <w:rsid w:val="001E5A36"/>
    <w:rsid w:val="001E6BFA"/>
    <w:rsid w:val="001E6F59"/>
    <w:rsid w:val="001F07E9"/>
    <w:rsid w:val="001F09F3"/>
    <w:rsid w:val="001F0D0C"/>
    <w:rsid w:val="001F11F5"/>
    <w:rsid w:val="001F12EE"/>
    <w:rsid w:val="001F24B9"/>
    <w:rsid w:val="001F31AC"/>
    <w:rsid w:val="001F3815"/>
    <w:rsid w:val="001F3DB0"/>
    <w:rsid w:val="001F3E77"/>
    <w:rsid w:val="001F57A7"/>
    <w:rsid w:val="001F5A67"/>
    <w:rsid w:val="001F6B1B"/>
    <w:rsid w:val="001F7FF6"/>
    <w:rsid w:val="00200EBF"/>
    <w:rsid w:val="00204651"/>
    <w:rsid w:val="00204D75"/>
    <w:rsid w:val="002050D7"/>
    <w:rsid w:val="002051B0"/>
    <w:rsid w:val="00205225"/>
    <w:rsid w:val="00205413"/>
    <w:rsid w:val="00205AEF"/>
    <w:rsid w:val="00205D72"/>
    <w:rsid w:val="0020686F"/>
    <w:rsid w:val="002076AA"/>
    <w:rsid w:val="00207D17"/>
    <w:rsid w:val="0021027A"/>
    <w:rsid w:val="00212A14"/>
    <w:rsid w:val="00214D7A"/>
    <w:rsid w:val="00214D88"/>
    <w:rsid w:val="00215286"/>
    <w:rsid w:val="00215906"/>
    <w:rsid w:val="002159C6"/>
    <w:rsid w:val="00215A2A"/>
    <w:rsid w:val="00215CE0"/>
    <w:rsid w:val="00215DA1"/>
    <w:rsid w:val="00216156"/>
    <w:rsid w:val="0021687E"/>
    <w:rsid w:val="002168E9"/>
    <w:rsid w:val="0021733C"/>
    <w:rsid w:val="002207FA"/>
    <w:rsid w:val="00221627"/>
    <w:rsid w:val="00221E51"/>
    <w:rsid w:val="00221F8E"/>
    <w:rsid w:val="00221FE1"/>
    <w:rsid w:val="002220C5"/>
    <w:rsid w:val="00222689"/>
    <w:rsid w:val="00223852"/>
    <w:rsid w:val="00223ADA"/>
    <w:rsid w:val="002245B9"/>
    <w:rsid w:val="00224A21"/>
    <w:rsid w:val="00225099"/>
    <w:rsid w:val="002250CA"/>
    <w:rsid w:val="0022607A"/>
    <w:rsid w:val="00226152"/>
    <w:rsid w:val="00226456"/>
    <w:rsid w:val="002264D0"/>
    <w:rsid w:val="002270BE"/>
    <w:rsid w:val="00232211"/>
    <w:rsid w:val="002329B7"/>
    <w:rsid w:val="00232AD2"/>
    <w:rsid w:val="002330FC"/>
    <w:rsid w:val="002343A7"/>
    <w:rsid w:val="0023462F"/>
    <w:rsid w:val="00234BF0"/>
    <w:rsid w:val="00235CE8"/>
    <w:rsid w:val="002369E6"/>
    <w:rsid w:val="00237DCC"/>
    <w:rsid w:val="00237DD3"/>
    <w:rsid w:val="00237F17"/>
    <w:rsid w:val="0024052C"/>
    <w:rsid w:val="002410BB"/>
    <w:rsid w:val="0024122A"/>
    <w:rsid w:val="00241889"/>
    <w:rsid w:val="00243253"/>
    <w:rsid w:val="002432CD"/>
    <w:rsid w:val="002476F0"/>
    <w:rsid w:val="00247DA6"/>
    <w:rsid w:val="00251F81"/>
    <w:rsid w:val="0025253B"/>
    <w:rsid w:val="002526AC"/>
    <w:rsid w:val="00252997"/>
    <w:rsid w:val="002534E3"/>
    <w:rsid w:val="00253DE9"/>
    <w:rsid w:val="00254512"/>
    <w:rsid w:val="00254725"/>
    <w:rsid w:val="002555DD"/>
    <w:rsid w:val="002555E1"/>
    <w:rsid w:val="00255C94"/>
    <w:rsid w:val="00257031"/>
    <w:rsid w:val="00257CB4"/>
    <w:rsid w:val="002603C8"/>
    <w:rsid w:val="0026138C"/>
    <w:rsid w:val="00262012"/>
    <w:rsid w:val="00263DE8"/>
    <w:rsid w:val="0026466E"/>
    <w:rsid w:val="00264D7B"/>
    <w:rsid w:val="00264EBF"/>
    <w:rsid w:val="00265DD9"/>
    <w:rsid w:val="002667EA"/>
    <w:rsid w:val="00266C56"/>
    <w:rsid w:val="00267A99"/>
    <w:rsid w:val="002702C1"/>
    <w:rsid w:val="0027264B"/>
    <w:rsid w:val="002736CE"/>
    <w:rsid w:val="002742E2"/>
    <w:rsid w:val="00274CFD"/>
    <w:rsid w:val="00274ED6"/>
    <w:rsid w:val="002752C6"/>
    <w:rsid w:val="002755EF"/>
    <w:rsid w:val="0027586B"/>
    <w:rsid w:val="002766E7"/>
    <w:rsid w:val="00276BC6"/>
    <w:rsid w:val="00276C59"/>
    <w:rsid w:val="0027792D"/>
    <w:rsid w:val="00281357"/>
    <w:rsid w:val="00282A25"/>
    <w:rsid w:val="00282F72"/>
    <w:rsid w:val="002830A8"/>
    <w:rsid w:val="00283515"/>
    <w:rsid w:val="00283721"/>
    <w:rsid w:val="00283BAD"/>
    <w:rsid w:val="0028466A"/>
    <w:rsid w:val="002846E8"/>
    <w:rsid w:val="002849BD"/>
    <w:rsid w:val="00284F98"/>
    <w:rsid w:val="0028561D"/>
    <w:rsid w:val="00285FF7"/>
    <w:rsid w:val="002860F1"/>
    <w:rsid w:val="002907E7"/>
    <w:rsid w:val="00291148"/>
    <w:rsid w:val="00292278"/>
    <w:rsid w:val="00295263"/>
    <w:rsid w:val="0029555F"/>
    <w:rsid w:val="00295590"/>
    <w:rsid w:val="0029631A"/>
    <w:rsid w:val="00297BEE"/>
    <w:rsid w:val="002A05DC"/>
    <w:rsid w:val="002A0F20"/>
    <w:rsid w:val="002A104F"/>
    <w:rsid w:val="002A13A2"/>
    <w:rsid w:val="002A3274"/>
    <w:rsid w:val="002A32D9"/>
    <w:rsid w:val="002A3CF1"/>
    <w:rsid w:val="002A59B9"/>
    <w:rsid w:val="002A5E8D"/>
    <w:rsid w:val="002A68CD"/>
    <w:rsid w:val="002B13CB"/>
    <w:rsid w:val="002B14EA"/>
    <w:rsid w:val="002B1854"/>
    <w:rsid w:val="002B1A51"/>
    <w:rsid w:val="002B2AE1"/>
    <w:rsid w:val="002B3159"/>
    <w:rsid w:val="002B3A8F"/>
    <w:rsid w:val="002B3E1F"/>
    <w:rsid w:val="002B4646"/>
    <w:rsid w:val="002B5324"/>
    <w:rsid w:val="002B5C76"/>
    <w:rsid w:val="002B5C91"/>
    <w:rsid w:val="002B5F4B"/>
    <w:rsid w:val="002B6603"/>
    <w:rsid w:val="002B6F5F"/>
    <w:rsid w:val="002C0828"/>
    <w:rsid w:val="002C124B"/>
    <w:rsid w:val="002C1A0B"/>
    <w:rsid w:val="002C33AF"/>
    <w:rsid w:val="002C370D"/>
    <w:rsid w:val="002C3B75"/>
    <w:rsid w:val="002C450A"/>
    <w:rsid w:val="002C47E9"/>
    <w:rsid w:val="002C4E26"/>
    <w:rsid w:val="002C4E6C"/>
    <w:rsid w:val="002C5092"/>
    <w:rsid w:val="002C54BF"/>
    <w:rsid w:val="002C5519"/>
    <w:rsid w:val="002C59CD"/>
    <w:rsid w:val="002C67E5"/>
    <w:rsid w:val="002C6D0D"/>
    <w:rsid w:val="002C6F5D"/>
    <w:rsid w:val="002D0639"/>
    <w:rsid w:val="002D08F4"/>
    <w:rsid w:val="002D097F"/>
    <w:rsid w:val="002D0D0C"/>
    <w:rsid w:val="002D1258"/>
    <w:rsid w:val="002D13E8"/>
    <w:rsid w:val="002D2807"/>
    <w:rsid w:val="002D2D97"/>
    <w:rsid w:val="002D3BDF"/>
    <w:rsid w:val="002D426C"/>
    <w:rsid w:val="002D4721"/>
    <w:rsid w:val="002D472F"/>
    <w:rsid w:val="002D4803"/>
    <w:rsid w:val="002D6CDA"/>
    <w:rsid w:val="002D6EFD"/>
    <w:rsid w:val="002E0D86"/>
    <w:rsid w:val="002E16AE"/>
    <w:rsid w:val="002E1795"/>
    <w:rsid w:val="002E1871"/>
    <w:rsid w:val="002E1A25"/>
    <w:rsid w:val="002E1C38"/>
    <w:rsid w:val="002E3521"/>
    <w:rsid w:val="002E37F4"/>
    <w:rsid w:val="002E43A5"/>
    <w:rsid w:val="002E5665"/>
    <w:rsid w:val="002E7318"/>
    <w:rsid w:val="002E7617"/>
    <w:rsid w:val="002E7C56"/>
    <w:rsid w:val="002E7D8E"/>
    <w:rsid w:val="002F0408"/>
    <w:rsid w:val="002F06FF"/>
    <w:rsid w:val="002F210E"/>
    <w:rsid w:val="002F27B6"/>
    <w:rsid w:val="002F2B50"/>
    <w:rsid w:val="002F3CDE"/>
    <w:rsid w:val="002F405F"/>
    <w:rsid w:val="002F491B"/>
    <w:rsid w:val="002F4953"/>
    <w:rsid w:val="002F4ACB"/>
    <w:rsid w:val="002F7430"/>
    <w:rsid w:val="002F777B"/>
    <w:rsid w:val="00300191"/>
    <w:rsid w:val="00300414"/>
    <w:rsid w:val="00300578"/>
    <w:rsid w:val="00300AAF"/>
    <w:rsid w:val="00300F8D"/>
    <w:rsid w:val="00304FC4"/>
    <w:rsid w:val="003059F4"/>
    <w:rsid w:val="0030689E"/>
    <w:rsid w:val="003068D7"/>
    <w:rsid w:val="003071B2"/>
    <w:rsid w:val="00307599"/>
    <w:rsid w:val="003075B8"/>
    <w:rsid w:val="00310399"/>
    <w:rsid w:val="00310D8D"/>
    <w:rsid w:val="0031445A"/>
    <w:rsid w:val="003149F6"/>
    <w:rsid w:val="00315977"/>
    <w:rsid w:val="00316368"/>
    <w:rsid w:val="003174B4"/>
    <w:rsid w:val="0032047A"/>
    <w:rsid w:val="00320939"/>
    <w:rsid w:val="00320F9D"/>
    <w:rsid w:val="00321B76"/>
    <w:rsid w:val="00321BBE"/>
    <w:rsid w:val="00323813"/>
    <w:rsid w:val="00325077"/>
    <w:rsid w:val="0032515F"/>
    <w:rsid w:val="003253BE"/>
    <w:rsid w:val="00325C89"/>
    <w:rsid w:val="0032679D"/>
    <w:rsid w:val="00326D1D"/>
    <w:rsid w:val="00327D78"/>
    <w:rsid w:val="00327D80"/>
    <w:rsid w:val="00327DF9"/>
    <w:rsid w:val="00327E48"/>
    <w:rsid w:val="003302F7"/>
    <w:rsid w:val="00332437"/>
    <w:rsid w:val="00332A1C"/>
    <w:rsid w:val="00332A90"/>
    <w:rsid w:val="00332AB7"/>
    <w:rsid w:val="00332B68"/>
    <w:rsid w:val="00333E90"/>
    <w:rsid w:val="00334C69"/>
    <w:rsid w:val="00334E81"/>
    <w:rsid w:val="00335E6A"/>
    <w:rsid w:val="00337322"/>
    <w:rsid w:val="00340CDE"/>
    <w:rsid w:val="0034133E"/>
    <w:rsid w:val="003415A1"/>
    <w:rsid w:val="00342048"/>
    <w:rsid w:val="00342994"/>
    <w:rsid w:val="00342F54"/>
    <w:rsid w:val="00343735"/>
    <w:rsid w:val="00343F87"/>
    <w:rsid w:val="00345DCC"/>
    <w:rsid w:val="00346101"/>
    <w:rsid w:val="00346CAB"/>
    <w:rsid w:val="00347C24"/>
    <w:rsid w:val="00347EB1"/>
    <w:rsid w:val="003508F6"/>
    <w:rsid w:val="00351DDB"/>
    <w:rsid w:val="00351FF3"/>
    <w:rsid w:val="00352B90"/>
    <w:rsid w:val="00353231"/>
    <w:rsid w:val="00353F39"/>
    <w:rsid w:val="00354D6E"/>
    <w:rsid w:val="0035514C"/>
    <w:rsid w:val="00356084"/>
    <w:rsid w:val="003568C0"/>
    <w:rsid w:val="00356E07"/>
    <w:rsid w:val="00357E3B"/>
    <w:rsid w:val="0036056A"/>
    <w:rsid w:val="003639E8"/>
    <w:rsid w:val="003642D2"/>
    <w:rsid w:val="0036450C"/>
    <w:rsid w:val="00364574"/>
    <w:rsid w:val="0036468B"/>
    <w:rsid w:val="0036546D"/>
    <w:rsid w:val="003664C3"/>
    <w:rsid w:val="003675A1"/>
    <w:rsid w:val="0036773D"/>
    <w:rsid w:val="00367FEB"/>
    <w:rsid w:val="003711C1"/>
    <w:rsid w:val="00371BC3"/>
    <w:rsid w:val="00371CBE"/>
    <w:rsid w:val="00372C24"/>
    <w:rsid w:val="00372C38"/>
    <w:rsid w:val="00372C9E"/>
    <w:rsid w:val="0037332F"/>
    <w:rsid w:val="00373AD4"/>
    <w:rsid w:val="0037428F"/>
    <w:rsid w:val="00374539"/>
    <w:rsid w:val="003747BD"/>
    <w:rsid w:val="00374DD5"/>
    <w:rsid w:val="0037591D"/>
    <w:rsid w:val="00376E05"/>
    <w:rsid w:val="0037720A"/>
    <w:rsid w:val="003774FC"/>
    <w:rsid w:val="00377F5B"/>
    <w:rsid w:val="0038006D"/>
    <w:rsid w:val="00381EB9"/>
    <w:rsid w:val="0038206D"/>
    <w:rsid w:val="00383A81"/>
    <w:rsid w:val="00383D6A"/>
    <w:rsid w:val="00384693"/>
    <w:rsid w:val="00385DC1"/>
    <w:rsid w:val="00385F02"/>
    <w:rsid w:val="0038641A"/>
    <w:rsid w:val="00386DED"/>
    <w:rsid w:val="0038719C"/>
    <w:rsid w:val="00390E97"/>
    <w:rsid w:val="003924AE"/>
    <w:rsid w:val="00392E76"/>
    <w:rsid w:val="00393BF6"/>
    <w:rsid w:val="00393F1C"/>
    <w:rsid w:val="00393F6E"/>
    <w:rsid w:val="00394276"/>
    <w:rsid w:val="00394BA4"/>
    <w:rsid w:val="0039597A"/>
    <w:rsid w:val="0039697D"/>
    <w:rsid w:val="00396DAE"/>
    <w:rsid w:val="0039750E"/>
    <w:rsid w:val="00397618"/>
    <w:rsid w:val="00397731"/>
    <w:rsid w:val="00397EA7"/>
    <w:rsid w:val="003A1350"/>
    <w:rsid w:val="003A17CE"/>
    <w:rsid w:val="003A1920"/>
    <w:rsid w:val="003A1A61"/>
    <w:rsid w:val="003A2C3E"/>
    <w:rsid w:val="003A2D49"/>
    <w:rsid w:val="003A3487"/>
    <w:rsid w:val="003A5228"/>
    <w:rsid w:val="003A583A"/>
    <w:rsid w:val="003A591A"/>
    <w:rsid w:val="003A5F2B"/>
    <w:rsid w:val="003A722D"/>
    <w:rsid w:val="003B01FB"/>
    <w:rsid w:val="003B0557"/>
    <w:rsid w:val="003B0E02"/>
    <w:rsid w:val="003B0FDA"/>
    <w:rsid w:val="003B1656"/>
    <w:rsid w:val="003B231B"/>
    <w:rsid w:val="003B3157"/>
    <w:rsid w:val="003B3FC0"/>
    <w:rsid w:val="003B4786"/>
    <w:rsid w:val="003B56E2"/>
    <w:rsid w:val="003B5926"/>
    <w:rsid w:val="003B602A"/>
    <w:rsid w:val="003B71D0"/>
    <w:rsid w:val="003B7450"/>
    <w:rsid w:val="003C2C74"/>
    <w:rsid w:val="003C3055"/>
    <w:rsid w:val="003C3EAC"/>
    <w:rsid w:val="003C4015"/>
    <w:rsid w:val="003C45E6"/>
    <w:rsid w:val="003C4A67"/>
    <w:rsid w:val="003C568C"/>
    <w:rsid w:val="003C56E9"/>
    <w:rsid w:val="003C63A8"/>
    <w:rsid w:val="003C6725"/>
    <w:rsid w:val="003C6F78"/>
    <w:rsid w:val="003C703E"/>
    <w:rsid w:val="003C7107"/>
    <w:rsid w:val="003D0D2D"/>
    <w:rsid w:val="003D16A1"/>
    <w:rsid w:val="003D16F1"/>
    <w:rsid w:val="003D1778"/>
    <w:rsid w:val="003D1B5E"/>
    <w:rsid w:val="003D28A5"/>
    <w:rsid w:val="003D30C9"/>
    <w:rsid w:val="003D472B"/>
    <w:rsid w:val="003D4F91"/>
    <w:rsid w:val="003D5092"/>
    <w:rsid w:val="003D6240"/>
    <w:rsid w:val="003D7A99"/>
    <w:rsid w:val="003D7D65"/>
    <w:rsid w:val="003E007A"/>
    <w:rsid w:val="003E09C9"/>
    <w:rsid w:val="003E0CFA"/>
    <w:rsid w:val="003E0D77"/>
    <w:rsid w:val="003E0DA2"/>
    <w:rsid w:val="003E11B1"/>
    <w:rsid w:val="003E11D8"/>
    <w:rsid w:val="003E1873"/>
    <w:rsid w:val="003E25CD"/>
    <w:rsid w:val="003E25DA"/>
    <w:rsid w:val="003E2BDE"/>
    <w:rsid w:val="003E2F13"/>
    <w:rsid w:val="003E3005"/>
    <w:rsid w:val="003E3092"/>
    <w:rsid w:val="003E386C"/>
    <w:rsid w:val="003E44BC"/>
    <w:rsid w:val="003E509B"/>
    <w:rsid w:val="003E60A8"/>
    <w:rsid w:val="003E6141"/>
    <w:rsid w:val="003E620D"/>
    <w:rsid w:val="003E6F86"/>
    <w:rsid w:val="003F111F"/>
    <w:rsid w:val="003F1441"/>
    <w:rsid w:val="003F1A7F"/>
    <w:rsid w:val="003F330F"/>
    <w:rsid w:val="003F36C9"/>
    <w:rsid w:val="003F4322"/>
    <w:rsid w:val="003F43BB"/>
    <w:rsid w:val="003F441E"/>
    <w:rsid w:val="003F4A7C"/>
    <w:rsid w:val="003F5144"/>
    <w:rsid w:val="003F584D"/>
    <w:rsid w:val="003F5DC0"/>
    <w:rsid w:val="003F73B2"/>
    <w:rsid w:val="00400538"/>
    <w:rsid w:val="0040067C"/>
    <w:rsid w:val="004012CF"/>
    <w:rsid w:val="0040177F"/>
    <w:rsid w:val="00401801"/>
    <w:rsid w:val="00402034"/>
    <w:rsid w:val="00402AC1"/>
    <w:rsid w:val="00402FB4"/>
    <w:rsid w:val="004032FE"/>
    <w:rsid w:val="00403576"/>
    <w:rsid w:val="00403A5F"/>
    <w:rsid w:val="00404A4F"/>
    <w:rsid w:val="00405414"/>
    <w:rsid w:val="004058F1"/>
    <w:rsid w:val="00405B47"/>
    <w:rsid w:val="00406172"/>
    <w:rsid w:val="004061C3"/>
    <w:rsid w:val="0040716B"/>
    <w:rsid w:val="00407301"/>
    <w:rsid w:val="00407985"/>
    <w:rsid w:val="00410BE9"/>
    <w:rsid w:val="004117D4"/>
    <w:rsid w:val="00411C6C"/>
    <w:rsid w:val="004133BA"/>
    <w:rsid w:val="00413638"/>
    <w:rsid w:val="00413B4D"/>
    <w:rsid w:val="00413ED4"/>
    <w:rsid w:val="00414B0A"/>
    <w:rsid w:val="00414B6F"/>
    <w:rsid w:val="00414DD6"/>
    <w:rsid w:val="004159EE"/>
    <w:rsid w:val="0041663C"/>
    <w:rsid w:val="00417D6B"/>
    <w:rsid w:val="00422EB1"/>
    <w:rsid w:val="00422F2E"/>
    <w:rsid w:val="0042336B"/>
    <w:rsid w:val="004237E6"/>
    <w:rsid w:val="00424573"/>
    <w:rsid w:val="00425258"/>
    <w:rsid w:val="0042547A"/>
    <w:rsid w:val="0042551A"/>
    <w:rsid w:val="00425FAD"/>
    <w:rsid w:val="00426C16"/>
    <w:rsid w:val="00426CCD"/>
    <w:rsid w:val="00426F2C"/>
    <w:rsid w:val="00426F58"/>
    <w:rsid w:val="0042720C"/>
    <w:rsid w:val="004307C5"/>
    <w:rsid w:val="00430AD8"/>
    <w:rsid w:val="00430E04"/>
    <w:rsid w:val="00433728"/>
    <w:rsid w:val="004338FB"/>
    <w:rsid w:val="00433CB6"/>
    <w:rsid w:val="00434569"/>
    <w:rsid w:val="00434775"/>
    <w:rsid w:val="00436264"/>
    <w:rsid w:val="0043688D"/>
    <w:rsid w:val="0044016F"/>
    <w:rsid w:val="004403BC"/>
    <w:rsid w:val="00440C8E"/>
    <w:rsid w:val="004411B0"/>
    <w:rsid w:val="0044183D"/>
    <w:rsid w:val="00441862"/>
    <w:rsid w:val="004422F3"/>
    <w:rsid w:val="004424D6"/>
    <w:rsid w:val="004426D5"/>
    <w:rsid w:val="00442B64"/>
    <w:rsid w:val="004437A8"/>
    <w:rsid w:val="00443AA8"/>
    <w:rsid w:val="00444AFB"/>
    <w:rsid w:val="00444F38"/>
    <w:rsid w:val="00445781"/>
    <w:rsid w:val="004468EF"/>
    <w:rsid w:val="00446F78"/>
    <w:rsid w:val="00450535"/>
    <w:rsid w:val="00450551"/>
    <w:rsid w:val="00450E73"/>
    <w:rsid w:val="00451333"/>
    <w:rsid w:val="00451AD8"/>
    <w:rsid w:val="00452BA8"/>
    <w:rsid w:val="00452C04"/>
    <w:rsid w:val="00452C3B"/>
    <w:rsid w:val="00453AEE"/>
    <w:rsid w:val="0045516B"/>
    <w:rsid w:val="00455783"/>
    <w:rsid w:val="00455C4E"/>
    <w:rsid w:val="00456C7D"/>
    <w:rsid w:val="00457C26"/>
    <w:rsid w:val="004607DA"/>
    <w:rsid w:val="00460A63"/>
    <w:rsid w:val="004611AB"/>
    <w:rsid w:val="00461886"/>
    <w:rsid w:val="004628A4"/>
    <w:rsid w:val="00462A0F"/>
    <w:rsid w:val="004645C9"/>
    <w:rsid w:val="00464BDB"/>
    <w:rsid w:val="00464FEE"/>
    <w:rsid w:val="004657E9"/>
    <w:rsid w:val="00465B8F"/>
    <w:rsid w:val="00465BC5"/>
    <w:rsid w:val="00467813"/>
    <w:rsid w:val="004704EB"/>
    <w:rsid w:val="00470B02"/>
    <w:rsid w:val="00470D29"/>
    <w:rsid w:val="004738CC"/>
    <w:rsid w:val="00473922"/>
    <w:rsid w:val="00473BE0"/>
    <w:rsid w:val="004742F2"/>
    <w:rsid w:val="004749A9"/>
    <w:rsid w:val="00474B56"/>
    <w:rsid w:val="00474B70"/>
    <w:rsid w:val="004750DD"/>
    <w:rsid w:val="0047645E"/>
    <w:rsid w:val="004779E1"/>
    <w:rsid w:val="00477CA6"/>
    <w:rsid w:val="00477F89"/>
    <w:rsid w:val="0048030D"/>
    <w:rsid w:val="004806FB"/>
    <w:rsid w:val="004807F6"/>
    <w:rsid w:val="00480C5C"/>
    <w:rsid w:val="00480F9B"/>
    <w:rsid w:val="004815B3"/>
    <w:rsid w:val="004815E1"/>
    <w:rsid w:val="004824CC"/>
    <w:rsid w:val="00482F64"/>
    <w:rsid w:val="00482FF5"/>
    <w:rsid w:val="0048533A"/>
    <w:rsid w:val="004861E3"/>
    <w:rsid w:val="004864EC"/>
    <w:rsid w:val="00486E1F"/>
    <w:rsid w:val="00487255"/>
    <w:rsid w:val="004877A9"/>
    <w:rsid w:val="00491E53"/>
    <w:rsid w:val="0049221E"/>
    <w:rsid w:val="0049286D"/>
    <w:rsid w:val="00492C5B"/>
    <w:rsid w:val="0049312E"/>
    <w:rsid w:val="004933BA"/>
    <w:rsid w:val="00493CD1"/>
    <w:rsid w:val="00494084"/>
    <w:rsid w:val="004944CE"/>
    <w:rsid w:val="00494BCE"/>
    <w:rsid w:val="0049512D"/>
    <w:rsid w:val="0049547D"/>
    <w:rsid w:val="004956F3"/>
    <w:rsid w:val="00496A42"/>
    <w:rsid w:val="00497B07"/>
    <w:rsid w:val="00497F32"/>
    <w:rsid w:val="004A0046"/>
    <w:rsid w:val="004A14A9"/>
    <w:rsid w:val="004A195A"/>
    <w:rsid w:val="004A2078"/>
    <w:rsid w:val="004A2959"/>
    <w:rsid w:val="004A3BE1"/>
    <w:rsid w:val="004A45C0"/>
    <w:rsid w:val="004A46D2"/>
    <w:rsid w:val="004A4B79"/>
    <w:rsid w:val="004A5051"/>
    <w:rsid w:val="004A7153"/>
    <w:rsid w:val="004A7948"/>
    <w:rsid w:val="004A7ADA"/>
    <w:rsid w:val="004B04F6"/>
    <w:rsid w:val="004B0657"/>
    <w:rsid w:val="004B134A"/>
    <w:rsid w:val="004B147C"/>
    <w:rsid w:val="004B256E"/>
    <w:rsid w:val="004B2D58"/>
    <w:rsid w:val="004B53F7"/>
    <w:rsid w:val="004B709E"/>
    <w:rsid w:val="004C0B6B"/>
    <w:rsid w:val="004C0FA9"/>
    <w:rsid w:val="004C1884"/>
    <w:rsid w:val="004C1AFC"/>
    <w:rsid w:val="004C3A86"/>
    <w:rsid w:val="004C52F8"/>
    <w:rsid w:val="004C552D"/>
    <w:rsid w:val="004C5E6B"/>
    <w:rsid w:val="004C6663"/>
    <w:rsid w:val="004C70BF"/>
    <w:rsid w:val="004D011B"/>
    <w:rsid w:val="004D0B12"/>
    <w:rsid w:val="004D0F84"/>
    <w:rsid w:val="004D1CA0"/>
    <w:rsid w:val="004D23CC"/>
    <w:rsid w:val="004D2C26"/>
    <w:rsid w:val="004D3D5B"/>
    <w:rsid w:val="004D51D6"/>
    <w:rsid w:val="004D62A4"/>
    <w:rsid w:val="004D646A"/>
    <w:rsid w:val="004D6CB7"/>
    <w:rsid w:val="004D7170"/>
    <w:rsid w:val="004D786D"/>
    <w:rsid w:val="004D79D7"/>
    <w:rsid w:val="004E104C"/>
    <w:rsid w:val="004E20A4"/>
    <w:rsid w:val="004E25EB"/>
    <w:rsid w:val="004E2FF4"/>
    <w:rsid w:val="004E37B5"/>
    <w:rsid w:val="004E3C1F"/>
    <w:rsid w:val="004E42F1"/>
    <w:rsid w:val="004E4817"/>
    <w:rsid w:val="004E5189"/>
    <w:rsid w:val="004E5C08"/>
    <w:rsid w:val="004E61F6"/>
    <w:rsid w:val="004E6478"/>
    <w:rsid w:val="004E670B"/>
    <w:rsid w:val="004E6B0B"/>
    <w:rsid w:val="004E755F"/>
    <w:rsid w:val="004E79D0"/>
    <w:rsid w:val="004F18EA"/>
    <w:rsid w:val="004F210D"/>
    <w:rsid w:val="004F22A2"/>
    <w:rsid w:val="004F2678"/>
    <w:rsid w:val="004F2D46"/>
    <w:rsid w:val="004F2DD9"/>
    <w:rsid w:val="004F4D07"/>
    <w:rsid w:val="004F58BD"/>
    <w:rsid w:val="004F6936"/>
    <w:rsid w:val="004F6BD5"/>
    <w:rsid w:val="004F74C3"/>
    <w:rsid w:val="004F7829"/>
    <w:rsid w:val="004F7B94"/>
    <w:rsid w:val="00500041"/>
    <w:rsid w:val="00500514"/>
    <w:rsid w:val="005005B7"/>
    <w:rsid w:val="0050073E"/>
    <w:rsid w:val="0050188D"/>
    <w:rsid w:val="0050241E"/>
    <w:rsid w:val="0050246E"/>
    <w:rsid w:val="005024B2"/>
    <w:rsid w:val="005041DF"/>
    <w:rsid w:val="00504207"/>
    <w:rsid w:val="005049DE"/>
    <w:rsid w:val="00504DDF"/>
    <w:rsid w:val="0050543E"/>
    <w:rsid w:val="00505AFF"/>
    <w:rsid w:val="00505C40"/>
    <w:rsid w:val="00506BCC"/>
    <w:rsid w:val="00506D93"/>
    <w:rsid w:val="0050725D"/>
    <w:rsid w:val="00507D2E"/>
    <w:rsid w:val="005105D0"/>
    <w:rsid w:val="00510C3C"/>
    <w:rsid w:val="00510F3D"/>
    <w:rsid w:val="0051174F"/>
    <w:rsid w:val="00511B7C"/>
    <w:rsid w:val="005121F6"/>
    <w:rsid w:val="005124E1"/>
    <w:rsid w:val="005126A3"/>
    <w:rsid w:val="00512791"/>
    <w:rsid w:val="00512A0B"/>
    <w:rsid w:val="00513FA7"/>
    <w:rsid w:val="00513FCB"/>
    <w:rsid w:val="005145EB"/>
    <w:rsid w:val="005149CC"/>
    <w:rsid w:val="00514D8B"/>
    <w:rsid w:val="00515025"/>
    <w:rsid w:val="00515A9C"/>
    <w:rsid w:val="00516A7C"/>
    <w:rsid w:val="00516B9F"/>
    <w:rsid w:val="00517675"/>
    <w:rsid w:val="0052022B"/>
    <w:rsid w:val="005202FC"/>
    <w:rsid w:val="0052138F"/>
    <w:rsid w:val="0052139B"/>
    <w:rsid w:val="00522BC7"/>
    <w:rsid w:val="00523E65"/>
    <w:rsid w:val="00523F75"/>
    <w:rsid w:val="00524397"/>
    <w:rsid w:val="00524716"/>
    <w:rsid w:val="0052524B"/>
    <w:rsid w:val="00525557"/>
    <w:rsid w:val="00525833"/>
    <w:rsid w:val="00526131"/>
    <w:rsid w:val="00526E2B"/>
    <w:rsid w:val="00527756"/>
    <w:rsid w:val="00527C26"/>
    <w:rsid w:val="0053229A"/>
    <w:rsid w:val="0053293B"/>
    <w:rsid w:val="005333D5"/>
    <w:rsid w:val="00533882"/>
    <w:rsid w:val="00533A0E"/>
    <w:rsid w:val="005341E3"/>
    <w:rsid w:val="0053428F"/>
    <w:rsid w:val="005348C6"/>
    <w:rsid w:val="00536682"/>
    <w:rsid w:val="005369A9"/>
    <w:rsid w:val="005374EA"/>
    <w:rsid w:val="00537BE1"/>
    <w:rsid w:val="005405A8"/>
    <w:rsid w:val="00540675"/>
    <w:rsid w:val="005413F9"/>
    <w:rsid w:val="005417DF"/>
    <w:rsid w:val="00541A86"/>
    <w:rsid w:val="0054235C"/>
    <w:rsid w:val="0054329C"/>
    <w:rsid w:val="00543AC4"/>
    <w:rsid w:val="00545811"/>
    <w:rsid w:val="00545BF2"/>
    <w:rsid w:val="0054791B"/>
    <w:rsid w:val="00550520"/>
    <w:rsid w:val="00551A81"/>
    <w:rsid w:val="0055250D"/>
    <w:rsid w:val="00552BFC"/>
    <w:rsid w:val="00554298"/>
    <w:rsid w:val="00555BE1"/>
    <w:rsid w:val="0055676A"/>
    <w:rsid w:val="005567C4"/>
    <w:rsid w:val="00557913"/>
    <w:rsid w:val="00560AC2"/>
    <w:rsid w:val="00560BB3"/>
    <w:rsid w:val="00561FA5"/>
    <w:rsid w:val="00562C60"/>
    <w:rsid w:val="00563644"/>
    <w:rsid w:val="00563773"/>
    <w:rsid w:val="00563AEA"/>
    <w:rsid w:val="00564141"/>
    <w:rsid w:val="005644A8"/>
    <w:rsid w:val="00564947"/>
    <w:rsid w:val="00564E1B"/>
    <w:rsid w:val="00564F4F"/>
    <w:rsid w:val="005652C8"/>
    <w:rsid w:val="0056698E"/>
    <w:rsid w:val="005676F1"/>
    <w:rsid w:val="00567723"/>
    <w:rsid w:val="00571233"/>
    <w:rsid w:val="0057130A"/>
    <w:rsid w:val="00571907"/>
    <w:rsid w:val="0057274D"/>
    <w:rsid w:val="00572924"/>
    <w:rsid w:val="00573BDF"/>
    <w:rsid w:val="00573CC6"/>
    <w:rsid w:val="00573E1E"/>
    <w:rsid w:val="005744A4"/>
    <w:rsid w:val="0057597C"/>
    <w:rsid w:val="0057633C"/>
    <w:rsid w:val="005766A1"/>
    <w:rsid w:val="0057676F"/>
    <w:rsid w:val="005769A2"/>
    <w:rsid w:val="00576C7A"/>
    <w:rsid w:val="005815B7"/>
    <w:rsid w:val="00581682"/>
    <w:rsid w:val="00581B14"/>
    <w:rsid w:val="00582382"/>
    <w:rsid w:val="00582527"/>
    <w:rsid w:val="00582D77"/>
    <w:rsid w:val="00582DFB"/>
    <w:rsid w:val="00583203"/>
    <w:rsid w:val="0058364F"/>
    <w:rsid w:val="005842AD"/>
    <w:rsid w:val="005849EA"/>
    <w:rsid w:val="00585B55"/>
    <w:rsid w:val="00586CF4"/>
    <w:rsid w:val="005877E5"/>
    <w:rsid w:val="0058790A"/>
    <w:rsid w:val="00590842"/>
    <w:rsid w:val="00590CDB"/>
    <w:rsid w:val="00591928"/>
    <w:rsid w:val="00591A75"/>
    <w:rsid w:val="00591D65"/>
    <w:rsid w:val="00592A43"/>
    <w:rsid w:val="00592E82"/>
    <w:rsid w:val="00593DC3"/>
    <w:rsid w:val="00593E6C"/>
    <w:rsid w:val="0059433A"/>
    <w:rsid w:val="00594ADE"/>
    <w:rsid w:val="00594ECA"/>
    <w:rsid w:val="00595505"/>
    <w:rsid w:val="005964EC"/>
    <w:rsid w:val="00596AB7"/>
    <w:rsid w:val="00596D1F"/>
    <w:rsid w:val="00597CA5"/>
    <w:rsid w:val="005A1261"/>
    <w:rsid w:val="005A1DB5"/>
    <w:rsid w:val="005A4C07"/>
    <w:rsid w:val="005A5DA5"/>
    <w:rsid w:val="005A5F3A"/>
    <w:rsid w:val="005A7422"/>
    <w:rsid w:val="005A76AD"/>
    <w:rsid w:val="005A79D6"/>
    <w:rsid w:val="005A7A28"/>
    <w:rsid w:val="005B1893"/>
    <w:rsid w:val="005B1C4C"/>
    <w:rsid w:val="005B1ECD"/>
    <w:rsid w:val="005B1FEB"/>
    <w:rsid w:val="005B32A0"/>
    <w:rsid w:val="005B3807"/>
    <w:rsid w:val="005B43D5"/>
    <w:rsid w:val="005B4F87"/>
    <w:rsid w:val="005B542D"/>
    <w:rsid w:val="005B5D9A"/>
    <w:rsid w:val="005B677B"/>
    <w:rsid w:val="005B7D9A"/>
    <w:rsid w:val="005C1A57"/>
    <w:rsid w:val="005C1C8B"/>
    <w:rsid w:val="005C2504"/>
    <w:rsid w:val="005C41C5"/>
    <w:rsid w:val="005C5B5C"/>
    <w:rsid w:val="005D1036"/>
    <w:rsid w:val="005D1A4D"/>
    <w:rsid w:val="005D213D"/>
    <w:rsid w:val="005D22BA"/>
    <w:rsid w:val="005D2E9B"/>
    <w:rsid w:val="005D35F9"/>
    <w:rsid w:val="005D4D8B"/>
    <w:rsid w:val="005D5BBA"/>
    <w:rsid w:val="005D629A"/>
    <w:rsid w:val="005D7183"/>
    <w:rsid w:val="005E0730"/>
    <w:rsid w:val="005E0759"/>
    <w:rsid w:val="005E0A8E"/>
    <w:rsid w:val="005E124F"/>
    <w:rsid w:val="005E16C5"/>
    <w:rsid w:val="005E1D48"/>
    <w:rsid w:val="005E1FF0"/>
    <w:rsid w:val="005E26FB"/>
    <w:rsid w:val="005E2B27"/>
    <w:rsid w:val="005E2F31"/>
    <w:rsid w:val="005E4400"/>
    <w:rsid w:val="005E46B3"/>
    <w:rsid w:val="005E5BDB"/>
    <w:rsid w:val="005E681E"/>
    <w:rsid w:val="005E776F"/>
    <w:rsid w:val="005F023F"/>
    <w:rsid w:val="005F089F"/>
    <w:rsid w:val="005F0A40"/>
    <w:rsid w:val="005F0A77"/>
    <w:rsid w:val="005F0C3A"/>
    <w:rsid w:val="005F133C"/>
    <w:rsid w:val="005F1E3B"/>
    <w:rsid w:val="005F2C7A"/>
    <w:rsid w:val="005F30C1"/>
    <w:rsid w:val="005F3260"/>
    <w:rsid w:val="005F4B8E"/>
    <w:rsid w:val="005F5DE4"/>
    <w:rsid w:val="006002F0"/>
    <w:rsid w:val="0060077C"/>
    <w:rsid w:val="00600CD2"/>
    <w:rsid w:val="00600F4E"/>
    <w:rsid w:val="00601949"/>
    <w:rsid w:val="00602468"/>
    <w:rsid w:val="006028D2"/>
    <w:rsid w:val="006042C2"/>
    <w:rsid w:val="00605D03"/>
    <w:rsid w:val="00605DDB"/>
    <w:rsid w:val="006061FB"/>
    <w:rsid w:val="00606EC0"/>
    <w:rsid w:val="00607AE9"/>
    <w:rsid w:val="00607B18"/>
    <w:rsid w:val="00610ED1"/>
    <w:rsid w:val="006112E4"/>
    <w:rsid w:val="006132AB"/>
    <w:rsid w:val="00613EE3"/>
    <w:rsid w:val="00613FE1"/>
    <w:rsid w:val="006140DF"/>
    <w:rsid w:val="00614799"/>
    <w:rsid w:val="00615DDA"/>
    <w:rsid w:val="006167A3"/>
    <w:rsid w:val="00616DC1"/>
    <w:rsid w:val="00616DC5"/>
    <w:rsid w:val="006176A7"/>
    <w:rsid w:val="00621192"/>
    <w:rsid w:val="0062208C"/>
    <w:rsid w:val="0062287B"/>
    <w:rsid w:val="00623C2F"/>
    <w:rsid w:val="006242A7"/>
    <w:rsid w:val="0062464B"/>
    <w:rsid w:val="00624C04"/>
    <w:rsid w:val="00625243"/>
    <w:rsid w:val="00626A94"/>
    <w:rsid w:val="0062773D"/>
    <w:rsid w:val="0062794E"/>
    <w:rsid w:val="00627EF5"/>
    <w:rsid w:val="006303C8"/>
    <w:rsid w:val="0063110A"/>
    <w:rsid w:val="006313F2"/>
    <w:rsid w:val="006317AC"/>
    <w:rsid w:val="0063297F"/>
    <w:rsid w:val="0063688A"/>
    <w:rsid w:val="00637C91"/>
    <w:rsid w:val="00640A23"/>
    <w:rsid w:val="00641343"/>
    <w:rsid w:val="0064225F"/>
    <w:rsid w:val="00642829"/>
    <w:rsid w:val="00643351"/>
    <w:rsid w:val="0064392A"/>
    <w:rsid w:val="00643B9A"/>
    <w:rsid w:val="006443D9"/>
    <w:rsid w:val="00645167"/>
    <w:rsid w:val="0064565A"/>
    <w:rsid w:val="0064598C"/>
    <w:rsid w:val="00645DD1"/>
    <w:rsid w:val="006467D5"/>
    <w:rsid w:val="00646A04"/>
    <w:rsid w:val="00646E99"/>
    <w:rsid w:val="0064702D"/>
    <w:rsid w:val="006474D1"/>
    <w:rsid w:val="0065141B"/>
    <w:rsid w:val="00651C3D"/>
    <w:rsid w:val="00651CC5"/>
    <w:rsid w:val="00651DFD"/>
    <w:rsid w:val="00652286"/>
    <w:rsid w:val="006527CC"/>
    <w:rsid w:val="00652B48"/>
    <w:rsid w:val="00653B6F"/>
    <w:rsid w:val="006549EA"/>
    <w:rsid w:val="00654A45"/>
    <w:rsid w:val="00654D9A"/>
    <w:rsid w:val="0065537B"/>
    <w:rsid w:val="006555FB"/>
    <w:rsid w:val="0065672C"/>
    <w:rsid w:val="0065683F"/>
    <w:rsid w:val="00656D03"/>
    <w:rsid w:val="0066042B"/>
    <w:rsid w:val="00660879"/>
    <w:rsid w:val="00661519"/>
    <w:rsid w:val="0066358C"/>
    <w:rsid w:val="006650EA"/>
    <w:rsid w:val="0066562C"/>
    <w:rsid w:val="00666821"/>
    <w:rsid w:val="00670350"/>
    <w:rsid w:val="00670441"/>
    <w:rsid w:val="006718E5"/>
    <w:rsid w:val="00671A10"/>
    <w:rsid w:val="00672CE5"/>
    <w:rsid w:val="00673818"/>
    <w:rsid w:val="00674103"/>
    <w:rsid w:val="00674F36"/>
    <w:rsid w:val="00674FDB"/>
    <w:rsid w:val="006753A4"/>
    <w:rsid w:val="00675DD9"/>
    <w:rsid w:val="006760D5"/>
    <w:rsid w:val="0067643C"/>
    <w:rsid w:val="00676C1D"/>
    <w:rsid w:val="00677D27"/>
    <w:rsid w:val="006800ED"/>
    <w:rsid w:val="0068077A"/>
    <w:rsid w:val="006809F0"/>
    <w:rsid w:val="006811ED"/>
    <w:rsid w:val="00682E75"/>
    <w:rsid w:val="006839A4"/>
    <w:rsid w:val="00683D0B"/>
    <w:rsid w:val="00683F5A"/>
    <w:rsid w:val="00685501"/>
    <w:rsid w:val="0068641B"/>
    <w:rsid w:val="006869E5"/>
    <w:rsid w:val="0068752F"/>
    <w:rsid w:val="00691169"/>
    <w:rsid w:val="00691E55"/>
    <w:rsid w:val="006926BE"/>
    <w:rsid w:val="006940C2"/>
    <w:rsid w:val="00694876"/>
    <w:rsid w:val="00694A8B"/>
    <w:rsid w:val="00695AB4"/>
    <w:rsid w:val="00696FBE"/>
    <w:rsid w:val="00697459"/>
    <w:rsid w:val="006A00F4"/>
    <w:rsid w:val="006A06AA"/>
    <w:rsid w:val="006A096B"/>
    <w:rsid w:val="006A0E29"/>
    <w:rsid w:val="006A17EA"/>
    <w:rsid w:val="006A1A5D"/>
    <w:rsid w:val="006A2A92"/>
    <w:rsid w:val="006A3519"/>
    <w:rsid w:val="006A3DB7"/>
    <w:rsid w:val="006A47CB"/>
    <w:rsid w:val="006A4B16"/>
    <w:rsid w:val="006A6079"/>
    <w:rsid w:val="006A635E"/>
    <w:rsid w:val="006A731A"/>
    <w:rsid w:val="006A7A44"/>
    <w:rsid w:val="006B01AE"/>
    <w:rsid w:val="006B03ED"/>
    <w:rsid w:val="006B0C7E"/>
    <w:rsid w:val="006B107F"/>
    <w:rsid w:val="006B1EE4"/>
    <w:rsid w:val="006B21C1"/>
    <w:rsid w:val="006B228B"/>
    <w:rsid w:val="006B33D4"/>
    <w:rsid w:val="006B348A"/>
    <w:rsid w:val="006B3D38"/>
    <w:rsid w:val="006B4003"/>
    <w:rsid w:val="006B4F96"/>
    <w:rsid w:val="006B5455"/>
    <w:rsid w:val="006B5BD6"/>
    <w:rsid w:val="006B5EB2"/>
    <w:rsid w:val="006B6FB8"/>
    <w:rsid w:val="006C19F2"/>
    <w:rsid w:val="006C358C"/>
    <w:rsid w:val="006C67A1"/>
    <w:rsid w:val="006C6A2A"/>
    <w:rsid w:val="006C7369"/>
    <w:rsid w:val="006C7791"/>
    <w:rsid w:val="006D09F4"/>
    <w:rsid w:val="006D0F43"/>
    <w:rsid w:val="006D1589"/>
    <w:rsid w:val="006D1920"/>
    <w:rsid w:val="006D1D2D"/>
    <w:rsid w:val="006D1E11"/>
    <w:rsid w:val="006D28F9"/>
    <w:rsid w:val="006D397D"/>
    <w:rsid w:val="006D4276"/>
    <w:rsid w:val="006D56C0"/>
    <w:rsid w:val="006D5950"/>
    <w:rsid w:val="006D59D2"/>
    <w:rsid w:val="006D5B0B"/>
    <w:rsid w:val="006D60CB"/>
    <w:rsid w:val="006D63F3"/>
    <w:rsid w:val="006D65DB"/>
    <w:rsid w:val="006D660E"/>
    <w:rsid w:val="006D6652"/>
    <w:rsid w:val="006D69E1"/>
    <w:rsid w:val="006E11DD"/>
    <w:rsid w:val="006E247D"/>
    <w:rsid w:val="006E3AB9"/>
    <w:rsid w:val="006E4199"/>
    <w:rsid w:val="006E437C"/>
    <w:rsid w:val="006E471D"/>
    <w:rsid w:val="006E4760"/>
    <w:rsid w:val="006E4B23"/>
    <w:rsid w:val="006E5E47"/>
    <w:rsid w:val="006E6CD5"/>
    <w:rsid w:val="006E736B"/>
    <w:rsid w:val="006E7915"/>
    <w:rsid w:val="006F1775"/>
    <w:rsid w:val="006F21DF"/>
    <w:rsid w:val="006F22B4"/>
    <w:rsid w:val="006F37F6"/>
    <w:rsid w:val="006F453E"/>
    <w:rsid w:val="006F5759"/>
    <w:rsid w:val="006F5A07"/>
    <w:rsid w:val="006F5B3E"/>
    <w:rsid w:val="006F6BA4"/>
    <w:rsid w:val="006F7FC3"/>
    <w:rsid w:val="0070125B"/>
    <w:rsid w:val="0070154F"/>
    <w:rsid w:val="007017D0"/>
    <w:rsid w:val="00701BA5"/>
    <w:rsid w:val="00704820"/>
    <w:rsid w:val="00705B58"/>
    <w:rsid w:val="00705FD1"/>
    <w:rsid w:val="0071018D"/>
    <w:rsid w:val="00710221"/>
    <w:rsid w:val="007115CF"/>
    <w:rsid w:val="00711643"/>
    <w:rsid w:val="00713B15"/>
    <w:rsid w:val="00713B1F"/>
    <w:rsid w:val="007141D0"/>
    <w:rsid w:val="0071475A"/>
    <w:rsid w:val="007148D1"/>
    <w:rsid w:val="00714A05"/>
    <w:rsid w:val="00715E70"/>
    <w:rsid w:val="0071655A"/>
    <w:rsid w:val="0071695D"/>
    <w:rsid w:val="00716CC1"/>
    <w:rsid w:val="00720F38"/>
    <w:rsid w:val="00721ECB"/>
    <w:rsid w:val="007229DE"/>
    <w:rsid w:val="00722B44"/>
    <w:rsid w:val="00722C6D"/>
    <w:rsid w:val="00722D39"/>
    <w:rsid w:val="00723857"/>
    <w:rsid w:val="00723AA7"/>
    <w:rsid w:val="00724BD6"/>
    <w:rsid w:val="007251B2"/>
    <w:rsid w:val="0072575D"/>
    <w:rsid w:val="007273C5"/>
    <w:rsid w:val="00727695"/>
    <w:rsid w:val="00727D4F"/>
    <w:rsid w:val="00730C6C"/>
    <w:rsid w:val="007323BE"/>
    <w:rsid w:val="0073255F"/>
    <w:rsid w:val="0073274E"/>
    <w:rsid w:val="007335DB"/>
    <w:rsid w:val="0073384E"/>
    <w:rsid w:val="0073499B"/>
    <w:rsid w:val="007355ED"/>
    <w:rsid w:val="007365F0"/>
    <w:rsid w:val="00736977"/>
    <w:rsid w:val="00737307"/>
    <w:rsid w:val="00737C7A"/>
    <w:rsid w:val="00740015"/>
    <w:rsid w:val="0074049E"/>
    <w:rsid w:val="00740B05"/>
    <w:rsid w:val="00741AF0"/>
    <w:rsid w:val="00742860"/>
    <w:rsid w:val="0074408D"/>
    <w:rsid w:val="007447A5"/>
    <w:rsid w:val="007455C8"/>
    <w:rsid w:val="00745C76"/>
    <w:rsid w:val="00745DEE"/>
    <w:rsid w:val="0074667D"/>
    <w:rsid w:val="0074697F"/>
    <w:rsid w:val="007469D3"/>
    <w:rsid w:val="00747DC1"/>
    <w:rsid w:val="00747E7D"/>
    <w:rsid w:val="007507CF"/>
    <w:rsid w:val="00751DDE"/>
    <w:rsid w:val="007523B9"/>
    <w:rsid w:val="00752749"/>
    <w:rsid w:val="00753B60"/>
    <w:rsid w:val="007542C5"/>
    <w:rsid w:val="0075437C"/>
    <w:rsid w:val="00754686"/>
    <w:rsid w:val="007546CD"/>
    <w:rsid w:val="00754F5E"/>
    <w:rsid w:val="007550FE"/>
    <w:rsid w:val="00755721"/>
    <w:rsid w:val="00755CE8"/>
    <w:rsid w:val="00756C7E"/>
    <w:rsid w:val="00757755"/>
    <w:rsid w:val="007604FB"/>
    <w:rsid w:val="007615EF"/>
    <w:rsid w:val="00761B67"/>
    <w:rsid w:val="00763440"/>
    <w:rsid w:val="0076352C"/>
    <w:rsid w:val="00763A24"/>
    <w:rsid w:val="00763A72"/>
    <w:rsid w:val="00764005"/>
    <w:rsid w:val="00764085"/>
    <w:rsid w:val="0076426C"/>
    <w:rsid w:val="00767B35"/>
    <w:rsid w:val="00767DCD"/>
    <w:rsid w:val="007709C0"/>
    <w:rsid w:val="00770D17"/>
    <w:rsid w:val="00771293"/>
    <w:rsid w:val="00771628"/>
    <w:rsid w:val="00771A5F"/>
    <w:rsid w:val="00771BA2"/>
    <w:rsid w:val="00771DA3"/>
    <w:rsid w:val="00771EA2"/>
    <w:rsid w:val="00772D14"/>
    <w:rsid w:val="0077354E"/>
    <w:rsid w:val="00773F60"/>
    <w:rsid w:val="007741CD"/>
    <w:rsid w:val="0077429A"/>
    <w:rsid w:val="0077524C"/>
    <w:rsid w:val="00776715"/>
    <w:rsid w:val="007769F4"/>
    <w:rsid w:val="0077768C"/>
    <w:rsid w:val="0078006D"/>
    <w:rsid w:val="0078014D"/>
    <w:rsid w:val="00780869"/>
    <w:rsid w:val="00780CCE"/>
    <w:rsid w:val="00781B0F"/>
    <w:rsid w:val="00781EF3"/>
    <w:rsid w:val="00781F85"/>
    <w:rsid w:val="007838FC"/>
    <w:rsid w:val="00784124"/>
    <w:rsid w:val="00784656"/>
    <w:rsid w:val="00785BF3"/>
    <w:rsid w:val="0078684A"/>
    <w:rsid w:val="007900FE"/>
    <w:rsid w:val="00792302"/>
    <w:rsid w:val="007927E7"/>
    <w:rsid w:val="00792AA5"/>
    <w:rsid w:val="0079367B"/>
    <w:rsid w:val="00793EF6"/>
    <w:rsid w:val="00794924"/>
    <w:rsid w:val="00794CA6"/>
    <w:rsid w:val="00794E88"/>
    <w:rsid w:val="00795DD9"/>
    <w:rsid w:val="007971B7"/>
    <w:rsid w:val="007976FB"/>
    <w:rsid w:val="007A0946"/>
    <w:rsid w:val="007A127B"/>
    <w:rsid w:val="007A1D72"/>
    <w:rsid w:val="007A26FC"/>
    <w:rsid w:val="007A27C0"/>
    <w:rsid w:val="007A4182"/>
    <w:rsid w:val="007A41E1"/>
    <w:rsid w:val="007A5158"/>
    <w:rsid w:val="007A5201"/>
    <w:rsid w:val="007A5774"/>
    <w:rsid w:val="007A6735"/>
    <w:rsid w:val="007A68F1"/>
    <w:rsid w:val="007A7185"/>
    <w:rsid w:val="007A7788"/>
    <w:rsid w:val="007A7C4D"/>
    <w:rsid w:val="007B0214"/>
    <w:rsid w:val="007B130C"/>
    <w:rsid w:val="007B1B5B"/>
    <w:rsid w:val="007B1BAB"/>
    <w:rsid w:val="007B1CD2"/>
    <w:rsid w:val="007B2DB4"/>
    <w:rsid w:val="007B2F45"/>
    <w:rsid w:val="007B361F"/>
    <w:rsid w:val="007B4EDE"/>
    <w:rsid w:val="007B70C3"/>
    <w:rsid w:val="007B75D5"/>
    <w:rsid w:val="007B773F"/>
    <w:rsid w:val="007B7D6F"/>
    <w:rsid w:val="007C0323"/>
    <w:rsid w:val="007C0459"/>
    <w:rsid w:val="007C04BC"/>
    <w:rsid w:val="007C285A"/>
    <w:rsid w:val="007C3562"/>
    <w:rsid w:val="007C359F"/>
    <w:rsid w:val="007C3F2A"/>
    <w:rsid w:val="007C3F4B"/>
    <w:rsid w:val="007C4164"/>
    <w:rsid w:val="007C4426"/>
    <w:rsid w:val="007C4F86"/>
    <w:rsid w:val="007C52EA"/>
    <w:rsid w:val="007C5BDF"/>
    <w:rsid w:val="007C6F61"/>
    <w:rsid w:val="007C798B"/>
    <w:rsid w:val="007D05E5"/>
    <w:rsid w:val="007D0FAC"/>
    <w:rsid w:val="007D1168"/>
    <w:rsid w:val="007D1CD7"/>
    <w:rsid w:val="007D1DF1"/>
    <w:rsid w:val="007D1FEE"/>
    <w:rsid w:val="007D20DA"/>
    <w:rsid w:val="007D2FD3"/>
    <w:rsid w:val="007D3E26"/>
    <w:rsid w:val="007D4408"/>
    <w:rsid w:val="007D4C7D"/>
    <w:rsid w:val="007D642C"/>
    <w:rsid w:val="007D7C6D"/>
    <w:rsid w:val="007E05AE"/>
    <w:rsid w:val="007E0641"/>
    <w:rsid w:val="007E06CE"/>
    <w:rsid w:val="007E07F2"/>
    <w:rsid w:val="007E167D"/>
    <w:rsid w:val="007E1889"/>
    <w:rsid w:val="007E1E2C"/>
    <w:rsid w:val="007E39CD"/>
    <w:rsid w:val="007E4F78"/>
    <w:rsid w:val="007E543C"/>
    <w:rsid w:val="007E5C7A"/>
    <w:rsid w:val="007E5E39"/>
    <w:rsid w:val="007E5E79"/>
    <w:rsid w:val="007E5F69"/>
    <w:rsid w:val="007E62E4"/>
    <w:rsid w:val="007E6EA8"/>
    <w:rsid w:val="007F0040"/>
    <w:rsid w:val="007F03F4"/>
    <w:rsid w:val="007F0C1B"/>
    <w:rsid w:val="007F2B15"/>
    <w:rsid w:val="007F2E3D"/>
    <w:rsid w:val="007F40B6"/>
    <w:rsid w:val="007F452E"/>
    <w:rsid w:val="007F4693"/>
    <w:rsid w:val="007F4D6C"/>
    <w:rsid w:val="007F4DE0"/>
    <w:rsid w:val="007F5766"/>
    <w:rsid w:val="007F5E0C"/>
    <w:rsid w:val="007F6734"/>
    <w:rsid w:val="007F67A4"/>
    <w:rsid w:val="007F6A71"/>
    <w:rsid w:val="007F7A1B"/>
    <w:rsid w:val="007F7F4F"/>
    <w:rsid w:val="008002AC"/>
    <w:rsid w:val="00801475"/>
    <w:rsid w:val="00802911"/>
    <w:rsid w:val="00802A8E"/>
    <w:rsid w:val="00804EE8"/>
    <w:rsid w:val="008051E8"/>
    <w:rsid w:val="00805A06"/>
    <w:rsid w:val="00805FEB"/>
    <w:rsid w:val="00806091"/>
    <w:rsid w:val="008063C5"/>
    <w:rsid w:val="00806654"/>
    <w:rsid w:val="008066D8"/>
    <w:rsid w:val="00806F52"/>
    <w:rsid w:val="008073AD"/>
    <w:rsid w:val="00807A31"/>
    <w:rsid w:val="00807F1F"/>
    <w:rsid w:val="0081099F"/>
    <w:rsid w:val="008115E4"/>
    <w:rsid w:val="008118B2"/>
    <w:rsid w:val="00812040"/>
    <w:rsid w:val="008124E6"/>
    <w:rsid w:val="00812E21"/>
    <w:rsid w:val="00813374"/>
    <w:rsid w:val="008136A3"/>
    <w:rsid w:val="008140D1"/>
    <w:rsid w:val="00814A2E"/>
    <w:rsid w:val="00814AD7"/>
    <w:rsid w:val="00814B26"/>
    <w:rsid w:val="00815897"/>
    <w:rsid w:val="00815F0A"/>
    <w:rsid w:val="00816752"/>
    <w:rsid w:val="00817191"/>
    <w:rsid w:val="00817CC9"/>
    <w:rsid w:val="00817D58"/>
    <w:rsid w:val="008201A2"/>
    <w:rsid w:val="008204D1"/>
    <w:rsid w:val="0082072D"/>
    <w:rsid w:val="0082081D"/>
    <w:rsid w:val="00820F5A"/>
    <w:rsid w:val="008217AF"/>
    <w:rsid w:val="008228F2"/>
    <w:rsid w:val="00822D67"/>
    <w:rsid w:val="00824092"/>
    <w:rsid w:val="00824CA2"/>
    <w:rsid w:val="008254D6"/>
    <w:rsid w:val="008258BF"/>
    <w:rsid w:val="00826C9F"/>
    <w:rsid w:val="008275BB"/>
    <w:rsid w:val="00827796"/>
    <w:rsid w:val="00827CA0"/>
    <w:rsid w:val="00827EE3"/>
    <w:rsid w:val="00830143"/>
    <w:rsid w:val="00830720"/>
    <w:rsid w:val="00830881"/>
    <w:rsid w:val="0083108D"/>
    <w:rsid w:val="008311E8"/>
    <w:rsid w:val="008314F9"/>
    <w:rsid w:val="0083198D"/>
    <w:rsid w:val="00833CAA"/>
    <w:rsid w:val="0083432A"/>
    <w:rsid w:val="00835326"/>
    <w:rsid w:val="008353C5"/>
    <w:rsid w:val="008367B9"/>
    <w:rsid w:val="00836AC6"/>
    <w:rsid w:val="00836E15"/>
    <w:rsid w:val="00842F85"/>
    <w:rsid w:val="008431C6"/>
    <w:rsid w:val="008433BB"/>
    <w:rsid w:val="0084589D"/>
    <w:rsid w:val="00845BB4"/>
    <w:rsid w:val="008462EA"/>
    <w:rsid w:val="00846FD1"/>
    <w:rsid w:val="00847C0F"/>
    <w:rsid w:val="00847F2D"/>
    <w:rsid w:val="008508B0"/>
    <w:rsid w:val="00850CDE"/>
    <w:rsid w:val="008512D0"/>
    <w:rsid w:val="00851DA3"/>
    <w:rsid w:val="00851EC3"/>
    <w:rsid w:val="00851EFD"/>
    <w:rsid w:val="00852749"/>
    <w:rsid w:val="00854127"/>
    <w:rsid w:val="008541BD"/>
    <w:rsid w:val="008545CF"/>
    <w:rsid w:val="00854CE0"/>
    <w:rsid w:val="00855467"/>
    <w:rsid w:val="008558F4"/>
    <w:rsid w:val="00855C82"/>
    <w:rsid w:val="008569D1"/>
    <w:rsid w:val="00857C40"/>
    <w:rsid w:val="00857D66"/>
    <w:rsid w:val="008604B3"/>
    <w:rsid w:val="0086065E"/>
    <w:rsid w:val="00860D44"/>
    <w:rsid w:val="00861777"/>
    <w:rsid w:val="008618BC"/>
    <w:rsid w:val="008625CF"/>
    <w:rsid w:val="008631A9"/>
    <w:rsid w:val="00863B1E"/>
    <w:rsid w:val="008644AA"/>
    <w:rsid w:val="00870412"/>
    <w:rsid w:val="00870EBE"/>
    <w:rsid w:val="00871286"/>
    <w:rsid w:val="0087150C"/>
    <w:rsid w:val="008726C1"/>
    <w:rsid w:val="0087317F"/>
    <w:rsid w:val="00873244"/>
    <w:rsid w:val="00873488"/>
    <w:rsid w:val="00873586"/>
    <w:rsid w:val="00873B3D"/>
    <w:rsid w:val="008746CF"/>
    <w:rsid w:val="008747AD"/>
    <w:rsid w:val="00874831"/>
    <w:rsid w:val="00874861"/>
    <w:rsid w:val="00874E4B"/>
    <w:rsid w:val="00876C60"/>
    <w:rsid w:val="008771F7"/>
    <w:rsid w:val="00877736"/>
    <w:rsid w:val="00880506"/>
    <w:rsid w:val="0088114A"/>
    <w:rsid w:val="00881758"/>
    <w:rsid w:val="0088237B"/>
    <w:rsid w:val="00882739"/>
    <w:rsid w:val="00882863"/>
    <w:rsid w:val="00882DFA"/>
    <w:rsid w:val="0088455D"/>
    <w:rsid w:val="008854F6"/>
    <w:rsid w:val="0088566E"/>
    <w:rsid w:val="00887615"/>
    <w:rsid w:val="00890576"/>
    <w:rsid w:val="00890A11"/>
    <w:rsid w:val="008917C1"/>
    <w:rsid w:val="008919D8"/>
    <w:rsid w:val="00891C32"/>
    <w:rsid w:val="00891D81"/>
    <w:rsid w:val="00892F7A"/>
    <w:rsid w:val="0089332E"/>
    <w:rsid w:val="00893463"/>
    <w:rsid w:val="00893902"/>
    <w:rsid w:val="0089431F"/>
    <w:rsid w:val="00894DCB"/>
    <w:rsid w:val="00894FBE"/>
    <w:rsid w:val="00895B32"/>
    <w:rsid w:val="00896169"/>
    <w:rsid w:val="00896671"/>
    <w:rsid w:val="00897794"/>
    <w:rsid w:val="008A01F2"/>
    <w:rsid w:val="008A040A"/>
    <w:rsid w:val="008A059F"/>
    <w:rsid w:val="008A08FF"/>
    <w:rsid w:val="008A0B95"/>
    <w:rsid w:val="008A1712"/>
    <w:rsid w:val="008A1CF2"/>
    <w:rsid w:val="008A2622"/>
    <w:rsid w:val="008A2CAD"/>
    <w:rsid w:val="008A3788"/>
    <w:rsid w:val="008A4912"/>
    <w:rsid w:val="008A5076"/>
    <w:rsid w:val="008A5662"/>
    <w:rsid w:val="008A599D"/>
    <w:rsid w:val="008A5FF2"/>
    <w:rsid w:val="008A6976"/>
    <w:rsid w:val="008A6CBE"/>
    <w:rsid w:val="008A7EE8"/>
    <w:rsid w:val="008B0DE7"/>
    <w:rsid w:val="008B1D38"/>
    <w:rsid w:val="008B280C"/>
    <w:rsid w:val="008B304A"/>
    <w:rsid w:val="008B32A3"/>
    <w:rsid w:val="008B3F1E"/>
    <w:rsid w:val="008B3FF9"/>
    <w:rsid w:val="008B4641"/>
    <w:rsid w:val="008B5D25"/>
    <w:rsid w:val="008B6294"/>
    <w:rsid w:val="008B66EC"/>
    <w:rsid w:val="008B6D7A"/>
    <w:rsid w:val="008C0197"/>
    <w:rsid w:val="008C07D0"/>
    <w:rsid w:val="008C0B7B"/>
    <w:rsid w:val="008C0BCA"/>
    <w:rsid w:val="008C1FAE"/>
    <w:rsid w:val="008C2336"/>
    <w:rsid w:val="008C26A4"/>
    <w:rsid w:val="008C29B2"/>
    <w:rsid w:val="008C34A9"/>
    <w:rsid w:val="008C466B"/>
    <w:rsid w:val="008C5F6D"/>
    <w:rsid w:val="008C6044"/>
    <w:rsid w:val="008C69AD"/>
    <w:rsid w:val="008C69BC"/>
    <w:rsid w:val="008C741E"/>
    <w:rsid w:val="008D081C"/>
    <w:rsid w:val="008D08A4"/>
    <w:rsid w:val="008D0F5E"/>
    <w:rsid w:val="008D17DD"/>
    <w:rsid w:val="008D1D11"/>
    <w:rsid w:val="008D5278"/>
    <w:rsid w:val="008D556A"/>
    <w:rsid w:val="008D5696"/>
    <w:rsid w:val="008D619E"/>
    <w:rsid w:val="008D6BAE"/>
    <w:rsid w:val="008E0D8F"/>
    <w:rsid w:val="008E128C"/>
    <w:rsid w:val="008E1C9B"/>
    <w:rsid w:val="008E3B40"/>
    <w:rsid w:val="008E55CE"/>
    <w:rsid w:val="008E582E"/>
    <w:rsid w:val="008E5B5E"/>
    <w:rsid w:val="008E5CC0"/>
    <w:rsid w:val="008E601C"/>
    <w:rsid w:val="008E626D"/>
    <w:rsid w:val="008E7CA7"/>
    <w:rsid w:val="008F156B"/>
    <w:rsid w:val="008F191F"/>
    <w:rsid w:val="008F2F0A"/>
    <w:rsid w:val="008F55C0"/>
    <w:rsid w:val="008F5751"/>
    <w:rsid w:val="008F5B0A"/>
    <w:rsid w:val="008F5EA9"/>
    <w:rsid w:val="008F7C2F"/>
    <w:rsid w:val="00900130"/>
    <w:rsid w:val="00901034"/>
    <w:rsid w:val="00901911"/>
    <w:rsid w:val="009024D7"/>
    <w:rsid w:val="00902520"/>
    <w:rsid w:val="0090254C"/>
    <w:rsid w:val="00902D20"/>
    <w:rsid w:val="0090353E"/>
    <w:rsid w:val="0090392D"/>
    <w:rsid w:val="00904D25"/>
    <w:rsid w:val="00904E04"/>
    <w:rsid w:val="00906450"/>
    <w:rsid w:val="009067E6"/>
    <w:rsid w:val="0090683B"/>
    <w:rsid w:val="009076C9"/>
    <w:rsid w:val="00907B80"/>
    <w:rsid w:val="00910CA5"/>
    <w:rsid w:val="00911600"/>
    <w:rsid w:val="00912854"/>
    <w:rsid w:val="0091461A"/>
    <w:rsid w:val="00915CE8"/>
    <w:rsid w:val="00916EA1"/>
    <w:rsid w:val="00916F91"/>
    <w:rsid w:val="00917CA5"/>
    <w:rsid w:val="00920A83"/>
    <w:rsid w:val="009211E9"/>
    <w:rsid w:val="00922085"/>
    <w:rsid w:val="0092319C"/>
    <w:rsid w:val="00923573"/>
    <w:rsid w:val="00923DBC"/>
    <w:rsid w:val="00924D5F"/>
    <w:rsid w:val="00925380"/>
    <w:rsid w:val="0092582C"/>
    <w:rsid w:val="00925B41"/>
    <w:rsid w:val="00925F6E"/>
    <w:rsid w:val="00926535"/>
    <w:rsid w:val="00926FCA"/>
    <w:rsid w:val="00927160"/>
    <w:rsid w:val="00927A54"/>
    <w:rsid w:val="00930568"/>
    <w:rsid w:val="0093094E"/>
    <w:rsid w:val="00931BB4"/>
    <w:rsid w:val="00932284"/>
    <w:rsid w:val="00933AF5"/>
    <w:rsid w:val="009340F4"/>
    <w:rsid w:val="00934291"/>
    <w:rsid w:val="00935AF5"/>
    <w:rsid w:val="00935B3A"/>
    <w:rsid w:val="00935EDE"/>
    <w:rsid w:val="00940C05"/>
    <w:rsid w:val="00943C7C"/>
    <w:rsid w:val="00944CB1"/>
    <w:rsid w:val="00944D93"/>
    <w:rsid w:val="00945B2A"/>
    <w:rsid w:val="00945B4F"/>
    <w:rsid w:val="00945CD7"/>
    <w:rsid w:val="00947CCD"/>
    <w:rsid w:val="00951737"/>
    <w:rsid w:val="009518B9"/>
    <w:rsid w:val="00952047"/>
    <w:rsid w:val="0095238C"/>
    <w:rsid w:val="00953021"/>
    <w:rsid w:val="009539D5"/>
    <w:rsid w:val="00954802"/>
    <w:rsid w:val="00954D23"/>
    <w:rsid w:val="00954E10"/>
    <w:rsid w:val="00955131"/>
    <w:rsid w:val="0095513A"/>
    <w:rsid w:val="00955DC9"/>
    <w:rsid w:val="00956987"/>
    <w:rsid w:val="00956C0F"/>
    <w:rsid w:val="00957CE3"/>
    <w:rsid w:val="009615C0"/>
    <w:rsid w:val="009619FB"/>
    <w:rsid w:val="00961F6F"/>
    <w:rsid w:val="00963200"/>
    <w:rsid w:val="009634A8"/>
    <w:rsid w:val="00963865"/>
    <w:rsid w:val="009647DE"/>
    <w:rsid w:val="00965BE5"/>
    <w:rsid w:val="00965D6D"/>
    <w:rsid w:val="0096721E"/>
    <w:rsid w:val="00967499"/>
    <w:rsid w:val="009678C6"/>
    <w:rsid w:val="009678CB"/>
    <w:rsid w:val="00967A83"/>
    <w:rsid w:val="009700F7"/>
    <w:rsid w:val="00970D15"/>
    <w:rsid w:val="009717E4"/>
    <w:rsid w:val="00971861"/>
    <w:rsid w:val="00972C4F"/>
    <w:rsid w:val="00972FF8"/>
    <w:rsid w:val="00973B22"/>
    <w:rsid w:val="00974B5C"/>
    <w:rsid w:val="009763A2"/>
    <w:rsid w:val="009768B0"/>
    <w:rsid w:val="00980C1A"/>
    <w:rsid w:val="0098119B"/>
    <w:rsid w:val="009817C2"/>
    <w:rsid w:val="0098352A"/>
    <w:rsid w:val="00983D97"/>
    <w:rsid w:val="0098535F"/>
    <w:rsid w:val="00985785"/>
    <w:rsid w:val="0098653C"/>
    <w:rsid w:val="009865D9"/>
    <w:rsid w:val="00986D20"/>
    <w:rsid w:val="00986D76"/>
    <w:rsid w:val="00987FCC"/>
    <w:rsid w:val="0099002E"/>
    <w:rsid w:val="00990FCB"/>
    <w:rsid w:val="00992ADB"/>
    <w:rsid w:val="009937FC"/>
    <w:rsid w:val="00995784"/>
    <w:rsid w:val="009957F2"/>
    <w:rsid w:val="0099634D"/>
    <w:rsid w:val="00997714"/>
    <w:rsid w:val="009A0F2E"/>
    <w:rsid w:val="009A23D1"/>
    <w:rsid w:val="009A2623"/>
    <w:rsid w:val="009A26B4"/>
    <w:rsid w:val="009A2CA5"/>
    <w:rsid w:val="009A36C9"/>
    <w:rsid w:val="009A3F4F"/>
    <w:rsid w:val="009A41E9"/>
    <w:rsid w:val="009A4CB1"/>
    <w:rsid w:val="009A5014"/>
    <w:rsid w:val="009A58D9"/>
    <w:rsid w:val="009A66B4"/>
    <w:rsid w:val="009A6F18"/>
    <w:rsid w:val="009B0EBD"/>
    <w:rsid w:val="009B1893"/>
    <w:rsid w:val="009B24A4"/>
    <w:rsid w:val="009B2621"/>
    <w:rsid w:val="009B34E3"/>
    <w:rsid w:val="009B38A3"/>
    <w:rsid w:val="009B44FE"/>
    <w:rsid w:val="009B50F1"/>
    <w:rsid w:val="009B5107"/>
    <w:rsid w:val="009B6D2B"/>
    <w:rsid w:val="009C0007"/>
    <w:rsid w:val="009C0924"/>
    <w:rsid w:val="009C2A4C"/>
    <w:rsid w:val="009C2CB0"/>
    <w:rsid w:val="009C3B75"/>
    <w:rsid w:val="009C3E28"/>
    <w:rsid w:val="009C4064"/>
    <w:rsid w:val="009C434F"/>
    <w:rsid w:val="009C43F3"/>
    <w:rsid w:val="009C4AC7"/>
    <w:rsid w:val="009C4CE2"/>
    <w:rsid w:val="009C4FC4"/>
    <w:rsid w:val="009C6373"/>
    <w:rsid w:val="009C7251"/>
    <w:rsid w:val="009C7D4B"/>
    <w:rsid w:val="009D037F"/>
    <w:rsid w:val="009D076A"/>
    <w:rsid w:val="009D108B"/>
    <w:rsid w:val="009D194F"/>
    <w:rsid w:val="009D1F58"/>
    <w:rsid w:val="009D24BE"/>
    <w:rsid w:val="009D2930"/>
    <w:rsid w:val="009D2AE5"/>
    <w:rsid w:val="009D2CF3"/>
    <w:rsid w:val="009D37F9"/>
    <w:rsid w:val="009D3921"/>
    <w:rsid w:val="009D3AE8"/>
    <w:rsid w:val="009D3CBC"/>
    <w:rsid w:val="009D4148"/>
    <w:rsid w:val="009D47EF"/>
    <w:rsid w:val="009D4AD8"/>
    <w:rsid w:val="009D4B56"/>
    <w:rsid w:val="009D4C64"/>
    <w:rsid w:val="009D5C59"/>
    <w:rsid w:val="009D6C33"/>
    <w:rsid w:val="009D7108"/>
    <w:rsid w:val="009D7273"/>
    <w:rsid w:val="009D773E"/>
    <w:rsid w:val="009D7C39"/>
    <w:rsid w:val="009E0981"/>
    <w:rsid w:val="009E0D44"/>
    <w:rsid w:val="009E114C"/>
    <w:rsid w:val="009E230A"/>
    <w:rsid w:val="009E30CC"/>
    <w:rsid w:val="009E3C16"/>
    <w:rsid w:val="009E4D7C"/>
    <w:rsid w:val="009E4DD0"/>
    <w:rsid w:val="009E5F04"/>
    <w:rsid w:val="009E7B97"/>
    <w:rsid w:val="009F00F6"/>
    <w:rsid w:val="009F09F3"/>
    <w:rsid w:val="009F0E84"/>
    <w:rsid w:val="009F130C"/>
    <w:rsid w:val="009F2D54"/>
    <w:rsid w:val="009F2F92"/>
    <w:rsid w:val="009F3395"/>
    <w:rsid w:val="009F4163"/>
    <w:rsid w:val="009F50DD"/>
    <w:rsid w:val="009F6DDF"/>
    <w:rsid w:val="009F70B8"/>
    <w:rsid w:val="00A009B3"/>
    <w:rsid w:val="00A00C92"/>
    <w:rsid w:val="00A02691"/>
    <w:rsid w:val="00A03272"/>
    <w:rsid w:val="00A06AAB"/>
    <w:rsid w:val="00A0758E"/>
    <w:rsid w:val="00A0783C"/>
    <w:rsid w:val="00A078F5"/>
    <w:rsid w:val="00A07E1C"/>
    <w:rsid w:val="00A11238"/>
    <w:rsid w:val="00A11F67"/>
    <w:rsid w:val="00A11FCC"/>
    <w:rsid w:val="00A12825"/>
    <w:rsid w:val="00A12B21"/>
    <w:rsid w:val="00A12E36"/>
    <w:rsid w:val="00A13146"/>
    <w:rsid w:val="00A132BF"/>
    <w:rsid w:val="00A1481C"/>
    <w:rsid w:val="00A14FA1"/>
    <w:rsid w:val="00A15384"/>
    <w:rsid w:val="00A157A3"/>
    <w:rsid w:val="00A16207"/>
    <w:rsid w:val="00A163EA"/>
    <w:rsid w:val="00A1667D"/>
    <w:rsid w:val="00A16E2A"/>
    <w:rsid w:val="00A16F5C"/>
    <w:rsid w:val="00A174BA"/>
    <w:rsid w:val="00A174EE"/>
    <w:rsid w:val="00A17AD1"/>
    <w:rsid w:val="00A17E5E"/>
    <w:rsid w:val="00A200BF"/>
    <w:rsid w:val="00A202E6"/>
    <w:rsid w:val="00A2039D"/>
    <w:rsid w:val="00A20D9D"/>
    <w:rsid w:val="00A20EE7"/>
    <w:rsid w:val="00A2144C"/>
    <w:rsid w:val="00A21F65"/>
    <w:rsid w:val="00A2227D"/>
    <w:rsid w:val="00A2279E"/>
    <w:rsid w:val="00A23769"/>
    <w:rsid w:val="00A24EAE"/>
    <w:rsid w:val="00A25699"/>
    <w:rsid w:val="00A25723"/>
    <w:rsid w:val="00A25A39"/>
    <w:rsid w:val="00A25A8C"/>
    <w:rsid w:val="00A27BCB"/>
    <w:rsid w:val="00A304D0"/>
    <w:rsid w:val="00A30D97"/>
    <w:rsid w:val="00A30ED2"/>
    <w:rsid w:val="00A333A6"/>
    <w:rsid w:val="00A33719"/>
    <w:rsid w:val="00A345A7"/>
    <w:rsid w:val="00A34D0F"/>
    <w:rsid w:val="00A35B59"/>
    <w:rsid w:val="00A368B3"/>
    <w:rsid w:val="00A371EB"/>
    <w:rsid w:val="00A37219"/>
    <w:rsid w:val="00A37D42"/>
    <w:rsid w:val="00A40544"/>
    <w:rsid w:val="00A4170D"/>
    <w:rsid w:val="00A41E6F"/>
    <w:rsid w:val="00A425C1"/>
    <w:rsid w:val="00A431C0"/>
    <w:rsid w:val="00A43902"/>
    <w:rsid w:val="00A4422F"/>
    <w:rsid w:val="00A4426D"/>
    <w:rsid w:val="00A44B7E"/>
    <w:rsid w:val="00A44FDF"/>
    <w:rsid w:val="00A450A8"/>
    <w:rsid w:val="00A479D5"/>
    <w:rsid w:val="00A51227"/>
    <w:rsid w:val="00A517BD"/>
    <w:rsid w:val="00A52410"/>
    <w:rsid w:val="00A5330A"/>
    <w:rsid w:val="00A533C0"/>
    <w:rsid w:val="00A53BE0"/>
    <w:rsid w:val="00A55075"/>
    <w:rsid w:val="00A55120"/>
    <w:rsid w:val="00A55398"/>
    <w:rsid w:val="00A553A4"/>
    <w:rsid w:val="00A56520"/>
    <w:rsid w:val="00A567CB"/>
    <w:rsid w:val="00A6117A"/>
    <w:rsid w:val="00A6177D"/>
    <w:rsid w:val="00A61C04"/>
    <w:rsid w:val="00A6310C"/>
    <w:rsid w:val="00A63A13"/>
    <w:rsid w:val="00A643F8"/>
    <w:rsid w:val="00A65DD1"/>
    <w:rsid w:val="00A663EC"/>
    <w:rsid w:val="00A66E0B"/>
    <w:rsid w:val="00A6760C"/>
    <w:rsid w:val="00A70557"/>
    <w:rsid w:val="00A70C31"/>
    <w:rsid w:val="00A7104B"/>
    <w:rsid w:val="00A712CE"/>
    <w:rsid w:val="00A71DB5"/>
    <w:rsid w:val="00A729A6"/>
    <w:rsid w:val="00A7346F"/>
    <w:rsid w:val="00A74A86"/>
    <w:rsid w:val="00A74C39"/>
    <w:rsid w:val="00A75C0F"/>
    <w:rsid w:val="00A760F3"/>
    <w:rsid w:val="00A7624A"/>
    <w:rsid w:val="00A776C2"/>
    <w:rsid w:val="00A776D1"/>
    <w:rsid w:val="00A77E09"/>
    <w:rsid w:val="00A816AF"/>
    <w:rsid w:val="00A81720"/>
    <w:rsid w:val="00A818E4"/>
    <w:rsid w:val="00A82B19"/>
    <w:rsid w:val="00A83C04"/>
    <w:rsid w:val="00A83ED1"/>
    <w:rsid w:val="00A84DE6"/>
    <w:rsid w:val="00A85C63"/>
    <w:rsid w:val="00A87111"/>
    <w:rsid w:val="00A87CA6"/>
    <w:rsid w:val="00A9066E"/>
    <w:rsid w:val="00A90D15"/>
    <w:rsid w:val="00A90F3D"/>
    <w:rsid w:val="00A920A7"/>
    <w:rsid w:val="00A92878"/>
    <w:rsid w:val="00A929A2"/>
    <w:rsid w:val="00A92FE9"/>
    <w:rsid w:val="00A93DF7"/>
    <w:rsid w:val="00A94383"/>
    <w:rsid w:val="00A9448C"/>
    <w:rsid w:val="00A94545"/>
    <w:rsid w:val="00A95A20"/>
    <w:rsid w:val="00A96F32"/>
    <w:rsid w:val="00A9721B"/>
    <w:rsid w:val="00AA0635"/>
    <w:rsid w:val="00AA068C"/>
    <w:rsid w:val="00AA1412"/>
    <w:rsid w:val="00AA162D"/>
    <w:rsid w:val="00AA21C4"/>
    <w:rsid w:val="00AA2A40"/>
    <w:rsid w:val="00AA36ED"/>
    <w:rsid w:val="00AA37B5"/>
    <w:rsid w:val="00AA4737"/>
    <w:rsid w:val="00AA4899"/>
    <w:rsid w:val="00AA48B5"/>
    <w:rsid w:val="00AA5262"/>
    <w:rsid w:val="00AA5AB7"/>
    <w:rsid w:val="00AA5BE3"/>
    <w:rsid w:val="00AA77EF"/>
    <w:rsid w:val="00AB019A"/>
    <w:rsid w:val="00AB22B2"/>
    <w:rsid w:val="00AB2877"/>
    <w:rsid w:val="00AB2F06"/>
    <w:rsid w:val="00AB315D"/>
    <w:rsid w:val="00AB3E95"/>
    <w:rsid w:val="00AB54CB"/>
    <w:rsid w:val="00AB661C"/>
    <w:rsid w:val="00AB689D"/>
    <w:rsid w:val="00AB7491"/>
    <w:rsid w:val="00AB7519"/>
    <w:rsid w:val="00AB79CA"/>
    <w:rsid w:val="00AB7A7D"/>
    <w:rsid w:val="00AC0487"/>
    <w:rsid w:val="00AC1797"/>
    <w:rsid w:val="00AC1E7A"/>
    <w:rsid w:val="00AC2E6C"/>
    <w:rsid w:val="00AC4151"/>
    <w:rsid w:val="00AC5372"/>
    <w:rsid w:val="00AC656E"/>
    <w:rsid w:val="00AC6B32"/>
    <w:rsid w:val="00AC6CEC"/>
    <w:rsid w:val="00AC6EAD"/>
    <w:rsid w:val="00AC7C73"/>
    <w:rsid w:val="00AD0375"/>
    <w:rsid w:val="00AD26BD"/>
    <w:rsid w:val="00AD3A05"/>
    <w:rsid w:val="00AD3AEF"/>
    <w:rsid w:val="00AD3E0E"/>
    <w:rsid w:val="00AD50F5"/>
    <w:rsid w:val="00AD554D"/>
    <w:rsid w:val="00AD59DD"/>
    <w:rsid w:val="00AD6676"/>
    <w:rsid w:val="00AD67B3"/>
    <w:rsid w:val="00AD68C8"/>
    <w:rsid w:val="00AD6C4D"/>
    <w:rsid w:val="00AE0021"/>
    <w:rsid w:val="00AE0E2E"/>
    <w:rsid w:val="00AE1841"/>
    <w:rsid w:val="00AE2231"/>
    <w:rsid w:val="00AE2348"/>
    <w:rsid w:val="00AE24DA"/>
    <w:rsid w:val="00AE25A2"/>
    <w:rsid w:val="00AE283B"/>
    <w:rsid w:val="00AE3E0B"/>
    <w:rsid w:val="00AE4C8C"/>
    <w:rsid w:val="00AE5231"/>
    <w:rsid w:val="00AE588D"/>
    <w:rsid w:val="00AE5D50"/>
    <w:rsid w:val="00AE624F"/>
    <w:rsid w:val="00AE63E4"/>
    <w:rsid w:val="00AE7A44"/>
    <w:rsid w:val="00AE7B48"/>
    <w:rsid w:val="00AF007F"/>
    <w:rsid w:val="00AF1536"/>
    <w:rsid w:val="00AF1A4C"/>
    <w:rsid w:val="00AF2B90"/>
    <w:rsid w:val="00AF4A9F"/>
    <w:rsid w:val="00AF4BC0"/>
    <w:rsid w:val="00AF4CF2"/>
    <w:rsid w:val="00AF4F99"/>
    <w:rsid w:val="00AF501B"/>
    <w:rsid w:val="00AF56ED"/>
    <w:rsid w:val="00AF62F4"/>
    <w:rsid w:val="00AF6473"/>
    <w:rsid w:val="00AF7CBB"/>
    <w:rsid w:val="00AF7F4D"/>
    <w:rsid w:val="00B00065"/>
    <w:rsid w:val="00B01DF9"/>
    <w:rsid w:val="00B01EDB"/>
    <w:rsid w:val="00B028FA"/>
    <w:rsid w:val="00B03C25"/>
    <w:rsid w:val="00B04490"/>
    <w:rsid w:val="00B0491A"/>
    <w:rsid w:val="00B05ECB"/>
    <w:rsid w:val="00B067AF"/>
    <w:rsid w:val="00B10129"/>
    <w:rsid w:val="00B1026B"/>
    <w:rsid w:val="00B10F2A"/>
    <w:rsid w:val="00B11B90"/>
    <w:rsid w:val="00B11D89"/>
    <w:rsid w:val="00B121C0"/>
    <w:rsid w:val="00B1252E"/>
    <w:rsid w:val="00B12FBB"/>
    <w:rsid w:val="00B13044"/>
    <w:rsid w:val="00B14455"/>
    <w:rsid w:val="00B14699"/>
    <w:rsid w:val="00B14D9F"/>
    <w:rsid w:val="00B14DB1"/>
    <w:rsid w:val="00B156B7"/>
    <w:rsid w:val="00B1585A"/>
    <w:rsid w:val="00B15F1B"/>
    <w:rsid w:val="00B16181"/>
    <w:rsid w:val="00B16D73"/>
    <w:rsid w:val="00B17BE7"/>
    <w:rsid w:val="00B204F6"/>
    <w:rsid w:val="00B21A74"/>
    <w:rsid w:val="00B21F71"/>
    <w:rsid w:val="00B22797"/>
    <w:rsid w:val="00B22D45"/>
    <w:rsid w:val="00B232E1"/>
    <w:rsid w:val="00B238C9"/>
    <w:rsid w:val="00B248C2"/>
    <w:rsid w:val="00B27178"/>
    <w:rsid w:val="00B2717C"/>
    <w:rsid w:val="00B27414"/>
    <w:rsid w:val="00B3092D"/>
    <w:rsid w:val="00B30A4B"/>
    <w:rsid w:val="00B30B15"/>
    <w:rsid w:val="00B31853"/>
    <w:rsid w:val="00B3191E"/>
    <w:rsid w:val="00B31E1E"/>
    <w:rsid w:val="00B32204"/>
    <w:rsid w:val="00B330B8"/>
    <w:rsid w:val="00B333E1"/>
    <w:rsid w:val="00B33DB2"/>
    <w:rsid w:val="00B33F8E"/>
    <w:rsid w:val="00B3407F"/>
    <w:rsid w:val="00B345D2"/>
    <w:rsid w:val="00B35148"/>
    <w:rsid w:val="00B3569F"/>
    <w:rsid w:val="00B364AD"/>
    <w:rsid w:val="00B36740"/>
    <w:rsid w:val="00B3716B"/>
    <w:rsid w:val="00B37DE4"/>
    <w:rsid w:val="00B40765"/>
    <w:rsid w:val="00B40FE7"/>
    <w:rsid w:val="00B41E4B"/>
    <w:rsid w:val="00B4365F"/>
    <w:rsid w:val="00B44A73"/>
    <w:rsid w:val="00B4597E"/>
    <w:rsid w:val="00B46EFE"/>
    <w:rsid w:val="00B473B8"/>
    <w:rsid w:val="00B5187F"/>
    <w:rsid w:val="00B52206"/>
    <w:rsid w:val="00B53D03"/>
    <w:rsid w:val="00B55359"/>
    <w:rsid w:val="00B557E1"/>
    <w:rsid w:val="00B558D1"/>
    <w:rsid w:val="00B56207"/>
    <w:rsid w:val="00B56D7A"/>
    <w:rsid w:val="00B61369"/>
    <w:rsid w:val="00B61AF5"/>
    <w:rsid w:val="00B64716"/>
    <w:rsid w:val="00B649ED"/>
    <w:rsid w:val="00B64E56"/>
    <w:rsid w:val="00B64FA6"/>
    <w:rsid w:val="00B66C2B"/>
    <w:rsid w:val="00B70A6C"/>
    <w:rsid w:val="00B712BB"/>
    <w:rsid w:val="00B7175B"/>
    <w:rsid w:val="00B718C5"/>
    <w:rsid w:val="00B71ECC"/>
    <w:rsid w:val="00B72CBC"/>
    <w:rsid w:val="00B730D5"/>
    <w:rsid w:val="00B73D09"/>
    <w:rsid w:val="00B7416C"/>
    <w:rsid w:val="00B74604"/>
    <w:rsid w:val="00B757BB"/>
    <w:rsid w:val="00B75904"/>
    <w:rsid w:val="00B760E3"/>
    <w:rsid w:val="00B76FFC"/>
    <w:rsid w:val="00B7782C"/>
    <w:rsid w:val="00B80280"/>
    <w:rsid w:val="00B80B44"/>
    <w:rsid w:val="00B81F41"/>
    <w:rsid w:val="00B81FED"/>
    <w:rsid w:val="00B82263"/>
    <w:rsid w:val="00B829A2"/>
    <w:rsid w:val="00B82BD0"/>
    <w:rsid w:val="00B82C93"/>
    <w:rsid w:val="00B82F8E"/>
    <w:rsid w:val="00B84396"/>
    <w:rsid w:val="00B845A2"/>
    <w:rsid w:val="00B84611"/>
    <w:rsid w:val="00B84E0E"/>
    <w:rsid w:val="00B84FB9"/>
    <w:rsid w:val="00B85493"/>
    <w:rsid w:val="00B85D6B"/>
    <w:rsid w:val="00B8726C"/>
    <w:rsid w:val="00B87793"/>
    <w:rsid w:val="00B879AD"/>
    <w:rsid w:val="00B91324"/>
    <w:rsid w:val="00B915B7"/>
    <w:rsid w:val="00B91C34"/>
    <w:rsid w:val="00B9224A"/>
    <w:rsid w:val="00B9228D"/>
    <w:rsid w:val="00B9249D"/>
    <w:rsid w:val="00B928A6"/>
    <w:rsid w:val="00B92B28"/>
    <w:rsid w:val="00B9378D"/>
    <w:rsid w:val="00B937CE"/>
    <w:rsid w:val="00B94C5B"/>
    <w:rsid w:val="00B94C69"/>
    <w:rsid w:val="00B966D0"/>
    <w:rsid w:val="00B97E0C"/>
    <w:rsid w:val="00BA03D4"/>
    <w:rsid w:val="00BA0EF1"/>
    <w:rsid w:val="00BA29C7"/>
    <w:rsid w:val="00BA2CE6"/>
    <w:rsid w:val="00BA3BF9"/>
    <w:rsid w:val="00BA3F9C"/>
    <w:rsid w:val="00BA5C2F"/>
    <w:rsid w:val="00BA6488"/>
    <w:rsid w:val="00BA6830"/>
    <w:rsid w:val="00BA6CA3"/>
    <w:rsid w:val="00BA6E26"/>
    <w:rsid w:val="00BA74AB"/>
    <w:rsid w:val="00BA789B"/>
    <w:rsid w:val="00BA7F0D"/>
    <w:rsid w:val="00BB0786"/>
    <w:rsid w:val="00BB0EB1"/>
    <w:rsid w:val="00BB101A"/>
    <w:rsid w:val="00BB2296"/>
    <w:rsid w:val="00BB3443"/>
    <w:rsid w:val="00BB43C3"/>
    <w:rsid w:val="00BB45B4"/>
    <w:rsid w:val="00BB53C1"/>
    <w:rsid w:val="00BB639A"/>
    <w:rsid w:val="00BB6CDC"/>
    <w:rsid w:val="00BB713F"/>
    <w:rsid w:val="00BC03DE"/>
    <w:rsid w:val="00BC2790"/>
    <w:rsid w:val="00BC3892"/>
    <w:rsid w:val="00BC4BD9"/>
    <w:rsid w:val="00BC4E9C"/>
    <w:rsid w:val="00BC58C9"/>
    <w:rsid w:val="00BC5BCB"/>
    <w:rsid w:val="00BC5F7D"/>
    <w:rsid w:val="00BC746F"/>
    <w:rsid w:val="00BD0221"/>
    <w:rsid w:val="00BD0B37"/>
    <w:rsid w:val="00BD0E48"/>
    <w:rsid w:val="00BD1225"/>
    <w:rsid w:val="00BD1CD8"/>
    <w:rsid w:val="00BD2F8E"/>
    <w:rsid w:val="00BD30D5"/>
    <w:rsid w:val="00BD3281"/>
    <w:rsid w:val="00BD538C"/>
    <w:rsid w:val="00BD59D4"/>
    <w:rsid w:val="00BD6083"/>
    <w:rsid w:val="00BD608A"/>
    <w:rsid w:val="00BD60D9"/>
    <w:rsid w:val="00BD68E0"/>
    <w:rsid w:val="00BD79ED"/>
    <w:rsid w:val="00BE04D0"/>
    <w:rsid w:val="00BE0DE5"/>
    <w:rsid w:val="00BE0F85"/>
    <w:rsid w:val="00BE16CE"/>
    <w:rsid w:val="00BE1D2C"/>
    <w:rsid w:val="00BE1F84"/>
    <w:rsid w:val="00BE270B"/>
    <w:rsid w:val="00BE4A5B"/>
    <w:rsid w:val="00BE5B39"/>
    <w:rsid w:val="00BE6456"/>
    <w:rsid w:val="00BE6784"/>
    <w:rsid w:val="00BE7CF6"/>
    <w:rsid w:val="00BF26D7"/>
    <w:rsid w:val="00BF3228"/>
    <w:rsid w:val="00BF3260"/>
    <w:rsid w:val="00BF3B1C"/>
    <w:rsid w:val="00BF4BDF"/>
    <w:rsid w:val="00BF7B0F"/>
    <w:rsid w:val="00C00816"/>
    <w:rsid w:val="00C014BE"/>
    <w:rsid w:val="00C014D1"/>
    <w:rsid w:val="00C01702"/>
    <w:rsid w:val="00C0174D"/>
    <w:rsid w:val="00C0190A"/>
    <w:rsid w:val="00C01ABD"/>
    <w:rsid w:val="00C021A4"/>
    <w:rsid w:val="00C0335F"/>
    <w:rsid w:val="00C03999"/>
    <w:rsid w:val="00C04E1F"/>
    <w:rsid w:val="00C05505"/>
    <w:rsid w:val="00C05E35"/>
    <w:rsid w:val="00C06A89"/>
    <w:rsid w:val="00C06CFB"/>
    <w:rsid w:val="00C07044"/>
    <w:rsid w:val="00C112EE"/>
    <w:rsid w:val="00C11313"/>
    <w:rsid w:val="00C11FA6"/>
    <w:rsid w:val="00C121EC"/>
    <w:rsid w:val="00C126AC"/>
    <w:rsid w:val="00C129A2"/>
    <w:rsid w:val="00C12D8D"/>
    <w:rsid w:val="00C14070"/>
    <w:rsid w:val="00C147DD"/>
    <w:rsid w:val="00C149B9"/>
    <w:rsid w:val="00C1548D"/>
    <w:rsid w:val="00C166FB"/>
    <w:rsid w:val="00C167EF"/>
    <w:rsid w:val="00C16869"/>
    <w:rsid w:val="00C16F23"/>
    <w:rsid w:val="00C17337"/>
    <w:rsid w:val="00C20444"/>
    <w:rsid w:val="00C20EBB"/>
    <w:rsid w:val="00C21065"/>
    <w:rsid w:val="00C21185"/>
    <w:rsid w:val="00C21EBC"/>
    <w:rsid w:val="00C2206E"/>
    <w:rsid w:val="00C22477"/>
    <w:rsid w:val="00C22C1A"/>
    <w:rsid w:val="00C22C27"/>
    <w:rsid w:val="00C234D3"/>
    <w:rsid w:val="00C23C53"/>
    <w:rsid w:val="00C24157"/>
    <w:rsid w:val="00C241C7"/>
    <w:rsid w:val="00C2526D"/>
    <w:rsid w:val="00C25332"/>
    <w:rsid w:val="00C2543D"/>
    <w:rsid w:val="00C26316"/>
    <w:rsid w:val="00C266D1"/>
    <w:rsid w:val="00C26F54"/>
    <w:rsid w:val="00C31B96"/>
    <w:rsid w:val="00C32BB7"/>
    <w:rsid w:val="00C33E4C"/>
    <w:rsid w:val="00C3487F"/>
    <w:rsid w:val="00C34FAA"/>
    <w:rsid w:val="00C35245"/>
    <w:rsid w:val="00C35655"/>
    <w:rsid w:val="00C357DB"/>
    <w:rsid w:val="00C37A26"/>
    <w:rsid w:val="00C41C76"/>
    <w:rsid w:val="00C41D75"/>
    <w:rsid w:val="00C4221D"/>
    <w:rsid w:val="00C426EF"/>
    <w:rsid w:val="00C427EA"/>
    <w:rsid w:val="00C4297A"/>
    <w:rsid w:val="00C432D2"/>
    <w:rsid w:val="00C43980"/>
    <w:rsid w:val="00C43A62"/>
    <w:rsid w:val="00C44A54"/>
    <w:rsid w:val="00C44B2A"/>
    <w:rsid w:val="00C44EDC"/>
    <w:rsid w:val="00C4526C"/>
    <w:rsid w:val="00C46FB0"/>
    <w:rsid w:val="00C47DE7"/>
    <w:rsid w:val="00C5095B"/>
    <w:rsid w:val="00C50AF2"/>
    <w:rsid w:val="00C51006"/>
    <w:rsid w:val="00C51B9A"/>
    <w:rsid w:val="00C520E6"/>
    <w:rsid w:val="00C521ED"/>
    <w:rsid w:val="00C522F3"/>
    <w:rsid w:val="00C536ED"/>
    <w:rsid w:val="00C539DD"/>
    <w:rsid w:val="00C53B06"/>
    <w:rsid w:val="00C541F9"/>
    <w:rsid w:val="00C543EE"/>
    <w:rsid w:val="00C543F3"/>
    <w:rsid w:val="00C55D19"/>
    <w:rsid w:val="00C56429"/>
    <w:rsid w:val="00C5693C"/>
    <w:rsid w:val="00C5783C"/>
    <w:rsid w:val="00C602AF"/>
    <w:rsid w:val="00C63703"/>
    <w:rsid w:val="00C647A6"/>
    <w:rsid w:val="00C64C37"/>
    <w:rsid w:val="00C655BE"/>
    <w:rsid w:val="00C65D0E"/>
    <w:rsid w:val="00C65F42"/>
    <w:rsid w:val="00C66156"/>
    <w:rsid w:val="00C666CD"/>
    <w:rsid w:val="00C67684"/>
    <w:rsid w:val="00C679A1"/>
    <w:rsid w:val="00C67F18"/>
    <w:rsid w:val="00C7080B"/>
    <w:rsid w:val="00C70F8D"/>
    <w:rsid w:val="00C72031"/>
    <w:rsid w:val="00C725A3"/>
    <w:rsid w:val="00C7270D"/>
    <w:rsid w:val="00C72C20"/>
    <w:rsid w:val="00C730F9"/>
    <w:rsid w:val="00C74557"/>
    <w:rsid w:val="00C75B0A"/>
    <w:rsid w:val="00C75D10"/>
    <w:rsid w:val="00C76834"/>
    <w:rsid w:val="00C76FEB"/>
    <w:rsid w:val="00C8000E"/>
    <w:rsid w:val="00C8093C"/>
    <w:rsid w:val="00C80A8B"/>
    <w:rsid w:val="00C8118D"/>
    <w:rsid w:val="00C82108"/>
    <w:rsid w:val="00C8314F"/>
    <w:rsid w:val="00C8376F"/>
    <w:rsid w:val="00C83C87"/>
    <w:rsid w:val="00C8449B"/>
    <w:rsid w:val="00C8642F"/>
    <w:rsid w:val="00C86596"/>
    <w:rsid w:val="00C876E4"/>
    <w:rsid w:val="00C87CDF"/>
    <w:rsid w:val="00C90B07"/>
    <w:rsid w:val="00C9124D"/>
    <w:rsid w:val="00C9228D"/>
    <w:rsid w:val="00C92A40"/>
    <w:rsid w:val="00C92A53"/>
    <w:rsid w:val="00C92B48"/>
    <w:rsid w:val="00C960EB"/>
    <w:rsid w:val="00C964D5"/>
    <w:rsid w:val="00CA213B"/>
    <w:rsid w:val="00CA2D27"/>
    <w:rsid w:val="00CA42C9"/>
    <w:rsid w:val="00CA4458"/>
    <w:rsid w:val="00CA4800"/>
    <w:rsid w:val="00CA48E7"/>
    <w:rsid w:val="00CA4EF5"/>
    <w:rsid w:val="00CA51B9"/>
    <w:rsid w:val="00CA5B37"/>
    <w:rsid w:val="00CA5B85"/>
    <w:rsid w:val="00CB0BC4"/>
    <w:rsid w:val="00CB1407"/>
    <w:rsid w:val="00CB2195"/>
    <w:rsid w:val="00CB2EAC"/>
    <w:rsid w:val="00CB3118"/>
    <w:rsid w:val="00CB3617"/>
    <w:rsid w:val="00CB3A12"/>
    <w:rsid w:val="00CB44DA"/>
    <w:rsid w:val="00CB495D"/>
    <w:rsid w:val="00CB5035"/>
    <w:rsid w:val="00CB512B"/>
    <w:rsid w:val="00CB52B2"/>
    <w:rsid w:val="00CB5359"/>
    <w:rsid w:val="00CB55F0"/>
    <w:rsid w:val="00CB68D8"/>
    <w:rsid w:val="00CB7DD3"/>
    <w:rsid w:val="00CC0967"/>
    <w:rsid w:val="00CC0ACB"/>
    <w:rsid w:val="00CC0CDD"/>
    <w:rsid w:val="00CC1FF4"/>
    <w:rsid w:val="00CC2777"/>
    <w:rsid w:val="00CC30B6"/>
    <w:rsid w:val="00CC4280"/>
    <w:rsid w:val="00CC552B"/>
    <w:rsid w:val="00CC642C"/>
    <w:rsid w:val="00CC65DB"/>
    <w:rsid w:val="00CC6931"/>
    <w:rsid w:val="00CC6AD5"/>
    <w:rsid w:val="00CC71B4"/>
    <w:rsid w:val="00CD00A5"/>
    <w:rsid w:val="00CD00EF"/>
    <w:rsid w:val="00CD1331"/>
    <w:rsid w:val="00CD16A3"/>
    <w:rsid w:val="00CD2D67"/>
    <w:rsid w:val="00CD31D8"/>
    <w:rsid w:val="00CD3DBB"/>
    <w:rsid w:val="00CD455C"/>
    <w:rsid w:val="00CD4E3E"/>
    <w:rsid w:val="00CD5373"/>
    <w:rsid w:val="00CD57CE"/>
    <w:rsid w:val="00CD5C53"/>
    <w:rsid w:val="00CD6005"/>
    <w:rsid w:val="00CD603B"/>
    <w:rsid w:val="00CD6131"/>
    <w:rsid w:val="00CD65CC"/>
    <w:rsid w:val="00CD686F"/>
    <w:rsid w:val="00CD6B27"/>
    <w:rsid w:val="00CD6B44"/>
    <w:rsid w:val="00CD6C7A"/>
    <w:rsid w:val="00CD728A"/>
    <w:rsid w:val="00CD75FB"/>
    <w:rsid w:val="00CE02DE"/>
    <w:rsid w:val="00CE1295"/>
    <w:rsid w:val="00CE1838"/>
    <w:rsid w:val="00CE1A55"/>
    <w:rsid w:val="00CE33C6"/>
    <w:rsid w:val="00CE3862"/>
    <w:rsid w:val="00CE393F"/>
    <w:rsid w:val="00CE41E1"/>
    <w:rsid w:val="00CE47CA"/>
    <w:rsid w:val="00CE5294"/>
    <w:rsid w:val="00CE5E7A"/>
    <w:rsid w:val="00CE6071"/>
    <w:rsid w:val="00CE7253"/>
    <w:rsid w:val="00CE7D13"/>
    <w:rsid w:val="00CF0B5D"/>
    <w:rsid w:val="00CF2621"/>
    <w:rsid w:val="00CF2EA3"/>
    <w:rsid w:val="00CF2ED6"/>
    <w:rsid w:val="00CF31D7"/>
    <w:rsid w:val="00CF3926"/>
    <w:rsid w:val="00CF3DF7"/>
    <w:rsid w:val="00CF5476"/>
    <w:rsid w:val="00CF5A08"/>
    <w:rsid w:val="00CF5FCD"/>
    <w:rsid w:val="00CF6C04"/>
    <w:rsid w:val="00CF7883"/>
    <w:rsid w:val="00CF7F9F"/>
    <w:rsid w:val="00D0085C"/>
    <w:rsid w:val="00D00BA8"/>
    <w:rsid w:val="00D00DCF"/>
    <w:rsid w:val="00D0139A"/>
    <w:rsid w:val="00D01AB1"/>
    <w:rsid w:val="00D02201"/>
    <w:rsid w:val="00D02643"/>
    <w:rsid w:val="00D03E5E"/>
    <w:rsid w:val="00D04DA6"/>
    <w:rsid w:val="00D05B8C"/>
    <w:rsid w:val="00D06725"/>
    <w:rsid w:val="00D071F2"/>
    <w:rsid w:val="00D073F9"/>
    <w:rsid w:val="00D10337"/>
    <w:rsid w:val="00D10859"/>
    <w:rsid w:val="00D10EC5"/>
    <w:rsid w:val="00D11784"/>
    <w:rsid w:val="00D1221F"/>
    <w:rsid w:val="00D126B1"/>
    <w:rsid w:val="00D13B4B"/>
    <w:rsid w:val="00D160D4"/>
    <w:rsid w:val="00D161D3"/>
    <w:rsid w:val="00D1654C"/>
    <w:rsid w:val="00D1657E"/>
    <w:rsid w:val="00D16E24"/>
    <w:rsid w:val="00D2013B"/>
    <w:rsid w:val="00D207F5"/>
    <w:rsid w:val="00D20DE3"/>
    <w:rsid w:val="00D21072"/>
    <w:rsid w:val="00D21526"/>
    <w:rsid w:val="00D2153B"/>
    <w:rsid w:val="00D21691"/>
    <w:rsid w:val="00D2187E"/>
    <w:rsid w:val="00D21F51"/>
    <w:rsid w:val="00D226A5"/>
    <w:rsid w:val="00D22BCC"/>
    <w:rsid w:val="00D25868"/>
    <w:rsid w:val="00D25AD0"/>
    <w:rsid w:val="00D25B75"/>
    <w:rsid w:val="00D25EBB"/>
    <w:rsid w:val="00D26B05"/>
    <w:rsid w:val="00D26BE3"/>
    <w:rsid w:val="00D26FC1"/>
    <w:rsid w:val="00D27A2D"/>
    <w:rsid w:val="00D31956"/>
    <w:rsid w:val="00D31B91"/>
    <w:rsid w:val="00D32B06"/>
    <w:rsid w:val="00D32D41"/>
    <w:rsid w:val="00D335DA"/>
    <w:rsid w:val="00D33766"/>
    <w:rsid w:val="00D33996"/>
    <w:rsid w:val="00D34711"/>
    <w:rsid w:val="00D34779"/>
    <w:rsid w:val="00D35050"/>
    <w:rsid w:val="00D352DB"/>
    <w:rsid w:val="00D3534A"/>
    <w:rsid w:val="00D35B32"/>
    <w:rsid w:val="00D36556"/>
    <w:rsid w:val="00D36B7F"/>
    <w:rsid w:val="00D36C82"/>
    <w:rsid w:val="00D372E1"/>
    <w:rsid w:val="00D40100"/>
    <w:rsid w:val="00D40C39"/>
    <w:rsid w:val="00D41F92"/>
    <w:rsid w:val="00D429F0"/>
    <w:rsid w:val="00D42C8C"/>
    <w:rsid w:val="00D45057"/>
    <w:rsid w:val="00D45EFC"/>
    <w:rsid w:val="00D4654F"/>
    <w:rsid w:val="00D467EF"/>
    <w:rsid w:val="00D51B97"/>
    <w:rsid w:val="00D523B3"/>
    <w:rsid w:val="00D52DA8"/>
    <w:rsid w:val="00D54942"/>
    <w:rsid w:val="00D54F7E"/>
    <w:rsid w:val="00D55E24"/>
    <w:rsid w:val="00D56336"/>
    <w:rsid w:val="00D56FAE"/>
    <w:rsid w:val="00D5718E"/>
    <w:rsid w:val="00D5771F"/>
    <w:rsid w:val="00D577B2"/>
    <w:rsid w:val="00D604ED"/>
    <w:rsid w:val="00D60F10"/>
    <w:rsid w:val="00D62BF4"/>
    <w:rsid w:val="00D634FD"/>
    <w:rsid w:val="00D64314"/>
    <w:rsid w:val="00D64567"/>
    <w:rsid w:val="00D646D8"/>
    <w:rsid w:val="00D659FA"/>
    <w:rsid w:val="00D65D3B"/>
    <w:rsid w:val="00D665F6"/>
    <w:rsid w:val="00D67EBE"/>
    <w:rsid w:val="00D7039D"/>
    <w:rsid w:val="00D704B0"/>
    <w:rsid w:val="00D7100F"/>
    <w:rsid w:val="00D7161A"/>
    <w:rsid w:val="00D72EF0"/>
    <w:rsid w:val="00D73215"/>
    <w:rsid w:val="00D744BC"/>
    <w:rsid w:val="00D74D73"/>
    <w:rsid w:val="00D75C55"/>
    <w:rsid w:val="00D76B29"/>
    <w:rsid w:val="00D76D98"/>
    <w:rsid w:val="00D77AFA"/>
    <w:rsid w:val="00D77FB1"/>
    <w:rsid w:val="00D8046D"/>
    <w:rsid w:val="00D80A35"/>
    <w:rsid w:val="00D81ADE"/>
    <w:rsid w:val="00D81D7C"/>
    <w:rsid w:val="00D821D2"/>
    <w:rsid w:val="00D83CCD"/>
    <w:rsid w:val="00D83D28"/>
    <w:rsid w:val="00D83E8F"/>
    <w:rsid w:val="00D83FF1"/>
    <w:rsid w:val="00D84F9E"/>
    <w:rsid w:val="00D870A5"/>
    <w:rsid w:val="00D87136"/>
    <w:rsid w:val="00D907F5"/>
    <w:rsid w:val="00D917FD"/>
    <w:rsid w:val="00D9264F"/>
    <w:rsid w:val="00D92F8A"/>
    <w:rsid w:val="00D93379"/>
    <w:rsid w:val="00D969D1"/>
    <w:rsid w:val="00DA0302"/>
    <w:rsid w:val="00DA0369"/>
    <w:rsid w:val="00DA0496"/>
    <w:rsid w:val="00DA07DE"/>
    <w:rsid w:val="00DA0BED"/>
    <w:rsid w:val="00DA1E08"/>
    <w:rsid w:val="00DA2047"/>
    <w:rsid w:val="00DA26AA"/>
    <w:rsid w:val="00DA326C"/>
    <w:rsid w:val="00DA36FD"/>
    <w:rsid w:val="00DA3EC7"/>
    <w:rsid w:val="00DA5430"/>
    <w:rsid w:val="00DA5854"/>
    <w:rsid w:val="00DA62D6"/>
    <w:rsid w:val="00DA64AB"/>
    <w:rsid w:val="00DA675A"/>
    <w:rsid w:val="00DA6C90"/>
    <w:rsid w:val="00DA73A2"/>
    <w:rsid w:val="00DB0865"/>
    <w:rsid w:val="00DB119D"/>
    <w:rsid w:val="00DB1B65"/>
    <w:rsid w:val="00DB1CDB"/>
    <w:rsid w:val="00DB2DF4"/>
    <w:rsid w:val="00DB4D7C"/>
    <w:rsid w:val="00DB5213"/>
    <w:rsid w:val="00DB5749"/>
    <w:rsid w:val="00DB5BB9"/>
    <w:rsid w:val="00DB6038"/>
    <w:rsid w:val="00DB60AF"/>
    <w:rsid w:val="00DB64AD"/>
    <w:rsid w:val="00DB6BD9"/>
    <w:rsid w:val="00DB6C95"/>
    <w:rsid w:val="00DB6C9F"/>
    <w:rsid w:val="00DB7AD6"/>
    <w:rsid w:val="00DB7B8B"/>
    <w:rsid w:val="00DC157B"/>
    <w:rsid w:val="00DC287C"/>
    <w:rsid w:val="00DC2B68"/>
    <w:rsid w:val="00DC34D4"/>
    <w:rsid w:val="00DC3674"/>
    <w:rsid w:val="00DC5581"/>
    <w:rsid w:val="00DC674C"/>
    <w:rsid w:val="00DC7452"/>
    <w:rsid w:val="00DD05FF"/>
    <w:rsid w:val="00DD06EF"/>
    <w:rsid w:val="00DD0B9D"/>
    <w:rsid w:val="00DD0D00"/>
    <w:rsid w:val="00DD0DCA"/>
    <w:rsid w:val="00DD2CAD"/>
    <w:rsid w:val="00DD2CE7"/>
    <w:rsid w:val="00DD3370"/>
    <w:rsid w:val="00DD376D"/>
    <w:rsid w:val="00DD4286"/>
    <w:rsid w:val="00DD4383"/>
    <w:rsid w:val="00DD43B9"/>
    <w:rsid w:val="00DD4F6F"/>
    <w:rsid w:val="00DD7853"/>
    <w:rsid w:val="00DE1399"/>
    <w:rsid w:val="00DE1CDF"/>
    <w:rsid w:val="00DE1EBB"/>
    <w:rsid w:val="00DE2F78"/>
    <w:rsid w:val="00DE2FA9"/>
    <w:rsid w:val="00DE35EE"/>
    <w:rsid w:val="00DE39C4"/>
    <w:rsid w:val="00DE3C25"/>
    <w:rsid w:val="00DE3CF2"/>
    <w:rsid w:val="00DE419F"/>
    <w:rsid w:val="00DE44F7"/>
    <w:rsid w:val="00DE462E"/>
    <w:rsid w:val="00DE5652"/>
    <w:rsid w:val="00DE66F2"/>
    <w:rsid w:val="00DF0D48"/>
    <w:rsid w:val="00DF1FD2"/>
    <w:rsid w:val="00DF2C55"/>
    <w:rsid w:val="00DF3D68"/>
    <w:rsid w:val="00DF4C1E"/>
    <w:rsid w:val="00DF5151"/>
    <w:rsid w:val="00DF5373"/>
    <w:rsid w:val="00DF5BE1"/>
    <w:rsid w:val="00DF64FF"/>
    <w:rsid w:val="00E00F29"/>
    <w:rsid w:val="00E01129"/>
    <w:rsid w:val="00E01201"/>
    <w:rsid w:val="00E01C52"/>
    <w:rsid w:val="00E024A7"/>
    <w:rsid w:val="00E02E63"/>
    <w:rsid w:val="00E05F28"/>
    <w:rsid w:val="00E06D35"/>
    <w:rsid w:val="00E07F5E"/>
    <w:rsid w:val="00E1018C"/>
    <w:rsid w:val="00E118CC"/>
    <w:rsid w:val="00E12149"/>
    <w:rsid w:val="00E132AD"/>
    <w:rsid w:val="00E13809"/>
    <w:rsid w:val="00E1431C"/>
    <w:rsid w:val="00E14521"/>
    <w:rsid w:val="00E14850"/>
    <w:rsid w:val="00E171E9"/>
    <w:rsid w:val="00E171F6"/>
    <w:rsid w:val="00E20BCE"/>
    <w:rsid w:val="00E20F38"/>
    <w:rsid w:val="00E2104A"/>
    <w:rsid w:val="00E22CE6"/>
    <w:rsid w:val="00E233DE"/>
    <w:rsid w:val="00E2443B"/>
    <w:rsid w:val="00E2487A"/>
    <w:rsid w:val="00E25255"/>
    <w:rsid w:val="00E252B2"/>
    <w:rsid w:val="00E25481"/>
    <w:rsid w:val="00E25483"/>
    <w:rsid w:val="00E256F5"/>
    <w:rsid w:val="00E259B8"/>
    <w:rsid w:val="00E261EE"/>
    <w:rsid w:val="00E27141"/>
    <w:rsid w:val="00E27F67"/>
    <w:rsid w:val="00E316DD"/>
    <w:rsid w:val="00E318EE"/>
    <w:rsid w:val="00E3316D"/>
    <w:rsid w:val="00E36A5F"/>
    <w:rsid w:val="00E404D3"/>
    <w:rsid w:val="00E410BA"/>
    <w:rsid w:val="00E4118B"/>
    <w:rsid w:val="00E41762"/>
    <w:rsid w:val="00E41A8B"/>
    <w:rsid w:val="00E42601"/>
    <w:rsid w:val="00E45359"/>
    <w:rsid w:val="00E45626"/>
    <w:rsid w:val="00E45EEA"/>
    <w:rsid w:val="00E4631A"/>
    <w:rsid w:val="00E46AEE"/>
    <w:rsid w:val="00E46C04"/>
    <w:rsid w:val="00E4769F"/>
    <w:rsid w:val="00E47A93"/>
    <w:rsid w:val="00E50C5D"/>
    <w:rsid w:val="00E50EBA"/>
    <w:rsid w:val="00E51114"/>
    <w:rsid w:val="00E512ED"/>
    <w:rsid w:val="00E51558"/>
    <w:rsid w:val="00E51595"/>
    <w:rsid w:val="00E534C8"/>
    <w:rsid w:val="00E541A0"/>
    <w:rsid w:val="00E56602"/>
    <w:rsid w:val="00E56D48"/>
    <w:rsid w:val="00E5799C"/>
    <w:rsid w:val="00E60F41"/>
    <w:rsid w:val="00E61F35"/>
    <w:rsid w:val="00E61FB6"/>
    <w:rsid w:val="00E62B88"/>
    <w:rsid w:val="00E6329E"/>
    <w:rsid w:val="00E63861"/>
    <w:rsid w:val="00E63881"/>
    <w:rsid w:val="00E6464E"/>
    <w:rsid w:val="00E6512C"/>
    <w:rsid w:val="00E663B5"/>
    <w:rsid w:val="00E66EE1"/>
    <w:rsid w:val="00E675A2"/>
    <w:rsid w:val="00E67E41"/>
    <w:rsid w:val="00E70007"/>
    <w:rsid w:val="00E70552"/>
    <w:rsid w:val="00E70838"/>
    <w:rsid w:val="00E7161A"/>
    <w:rsid w:val="00E71681"/>
    <w:rsid w:val="00E71AE5"/>
    <w:rsid w:val="00E72586"/>
    <w:rsid w:val="00E72682"/>
    <w:rsid w:val="00E734C9"/>
    <w:rsid w:val="00E73D82"/>
    <w:rsid w:val="00E73FD9"/>
    <w:rsid w:val="00E801B6"/>
    <w:rsid w:val="00E80CF8"/>
    <w:rsid w:val="00E816C9"/>
    <w:rsid w:val="00E817DA"/>
    <w:rsid w:val="00E81D4B"/>
    <w:rsid w:val="00E83271"/>
    <w:rsid w:val="00E83AEE"/>
    <w:rsid w:val="00E84406"/>
    <w:rsid w:val="00E8473D"/>
    <w:rsid w:val="00E8484E"/>
    <w:rsid w:val="00E849E3"/>
    <w:rsid w:val="00E84A78"/>
    <w:rsid w:val="00E86053"/>
    <w:rsid w:val="00E86097"/>
    <w:rsid w:val="00E86566"/>
    <w:rsid w:val="00E867CC"/>
    <w:rsid w:val="00E86987"/>
    <w:rsid w:val="00E86E65"/>
    <w:rsid w:val="00E87129"/>
    <w:rsid w:val="00E87130"/>
    <w:rsid w:val="00E91EBC"/>
    <w:rsid w:val="00E92D94"/>
    <w:rsid w:val="00E9398B"/>
    <w:rsid w:val="00E93AA4"/>
    <w:rsid w:val="00E942B7"/>
    <w:rsid w:val="00E94F81"/>
    <w:rsid w:val="00E952F3"/>
    <w:rsid w:val="00E95A72"/>
    <w:rsid w:val="00E95A93"/>
    <w:rsid w:val="00E965B8"/>
    <w:rsid w:val="00E96746"/>
    <w:rsid w:val="00E975FC"/>
    <w:rsid w:val="00EA02C5"/>
    <w:rsid w:val="00EA06C2"/>
    <w:rsid w:val="00EA0800"/>
    <w:rsid w:val="00EA0B57"/>
    <w:rsid w:val="00EA1072"/>
    <w:rsid w:val="00EA2AE8"/>
    <w:rsid w:val="00EA415F"/>
    <w:rsid w:val="00EA46E3"/>
    <w:rsid w:val="00EA4999"/>
    <w:rsid w:val="00EA513C"/>
    <w:rsid w:val="00EA576B"/>
    <w:rsid w:val="00EA5D05"/>
    <w:rsid w:val="00EA7670"/>
    <w:rsid w:val="00EB083C"/>
    <w:rsid w:val="00EB20D2"/>
    <w:rsid w:val="00EB2305"/>
    <w:rsid w:val="00EB3DE4"/>
    <w:rsid w:val="00EB4580"/>
    <w:rsid w:val="00EB4DDB"/>
    <w:rsid w:val="00EB6C2E"/>
    <w:rsid w:val="00EB79C7"/>
    <w:rsid w:val="00EB7E92"/>
    <w:rsid w:val="00EC09D7"/>
    <w:rsid w:val="00EC0A46"/>
    <w:rsid w:val="00EC1EEF"/>
    <w:rsid w:val="00EC220B"/>
    <w:rsid w:val="00EC27C1"/>
    <w:rsid w:val="00EC287D"/>
    <w:rsid w:val="00EC36C5"/>
    <w:rsid w:val="00EC3BF9"/>
    <w:rsid w:val="00EC433E"/>
    <w:rsid w:val="00EC4755"/>
    <w:rsid w:val="00EC5363"/>
    <w:rsid w:val="00EC5D20"/>
    <w:rsid w:val="00EC5DFE"/>
    <w:rsid w:val="00EC63A1"/>
    <w:rsid w:val="00EC66C4"/>
    <w:rsid w:val="00EC72AE"/>
    <w:rsid w:val="00EC7BA5"/>
    <w:rsid w:val="00EC7EB4"/>
    <w:rsid w:val="00ED0C88"/>
    <w:rsid w:val="00ED11CC"/>
    <w:rsid w:val="00ED1414"/>
    <w:rsid w:val="00ED19AB"/>
    <w:rsid w:val="00ED1EB8"/>
    <w:rsid w:val="00ED2D76"/>
    <w:rsid w:val="00ED3919"/>
    <w:rsid w:val="00ED438A"/>
    <w:rsid w:val="00ED43AC"/>
    <w:rsid w:val="00ED4DFA"/>
    <w:rsid w:val="00ED54F5"/>
    <w:rsid w:val="00ED5C9D"/>
    <w:rsid w:val="00ED78C1"/>
    <w:rsid w:val="00ED7A70"/>
    <w:rsid w:val="00ED7DA5"/>
    <w:rsid w:val="00EE0A05"/>
    <w:rsid w:val="00EE0E28"/>
    <w:rsid w:val="00EE145D"/>
    <w:rsid w:val="00EE5BEF"/>
    <w:rsid w:val="00EE646B"/>
    <w:rsid w:val="00EE6962"/>
    <w:rsid w:val="00EE6D18"/>
    <w:rsid w:val="00EE7234"/>
    <w:rsid w:val="00EE78F6"/>
    <w:rsid w:val="00EE7A29"/>
    <w:rsid w:val="00EF0D9F"/>
    <w:rsid w:val="00EF1ECC"/>
    <w:rsid w:val="00EF2B3F"/>
    <w:rsid w:val="00EF30BD"/>
    <w:rsid w:val="00EF3E73"/>
    <w:rsid w:val="00EF4F08"/>
    <w:rsid w:val="00EF5801"/>
    <w:rsid w:val="00EF63A9"/>
    <w:rsid w:val="00EF657C"/>
    <w:rsid w:val="00EF6DB2"/>
    <w:rsid w:val="00EF6F37"/>
    <w:rsid w:val="00F003BF"/>
    <w:rsid w:val="00F02DBA"/>
    <w:rsid w:val="00F0315C"/>
    <w:rsid w:val="00F0389C"/>
    <w:rsid w:val="00F04313"/>
    <w:rsid w:val="00F06086"/>
    <w:rsid w:val="00F0726F"/>
    <w:rsid w:val="00F07B12"/>
    <w:rsid w:val="00F07D69"/>
    <w:rsid w:val="00F1034D"/>
    <w:rsid w:val="00F1079F"/>
    <w:rsid w:val="00F117ED"/>
    <w:rsid w:val="00F11876"/>
    <w:rsid w:val="00F1193D"/>
    <w:rsid w:val="00F12A31"/>
    <w:rsid w:val="00F132B1"/>
    <w:rsid w:val="00F148C3"/>
    <w:rsid w:val="00F15A83"/>
    <w:rsid w:val="00F15D66"/>
    <w:rsid w:val="00F15DEB"/>
    <w:rsid w:val="00F21D22"/>
    <w:rsid w:val="00F223DB"/>
    <w:rsid w:val="00F229E1"/>
    <w:rsid w:val="00F23AB2"/>
    <w:rsid w:val="00F24BC9"/>
    <w:rsid w:val="00F25A5C"/>
    <w:rsid w:val="00F27375"/>
    <w:rsid w:val="00F27CDB"/>
    <w:rsid w:val="00F30B77"/>
    <w:rsid w:val="00F31036"/>
    <w:rsid w:val="00F311E3"/>
    <w:rsid w:val="00F33F9D"/>
    <w:rsid w:val="00F34B11"/>
    <w:rsid w:val="00F35399"/>
    <w:rsid w:val="00F37298"/>
    <w:rsid w:val="00F373EB"/>
    <w:rsid w:val="00F37861"/>
    <w:rsid w:val="00F37BD3"/>
    <w:rsid w:val="00F4040B"/>
    <w:rsid w:val="00F420A1"/>
    <w:rsid w:val="00F4354F"/>
    <w:rsid w:val="00F43732"/>
    <w:rsid w:val="00F4397B"/>
    <w:rsid w:val="00F439B0"/>
    <w:rsid w:val="00F43E2A"/>
    <w:rsid w:val="00F45152"/>
    <w:rsid w:val="00F45668"/>
    <w:rsid w:val="00F45BAE"/>
    <w:rsid w:val="00F460E0"/>
    <w:rsid w:val="00F46E79"/>
    <w:rsid w:val="00F47254"/>
    <w:rsid w:val="00F47378"/>
    <w:rsid w:val="00F47678"/>
    <w:rsid w:val="00F50CDA"/>
    <w:rsid w:val="00F50D4E"/>
    <w:rsid w:val="00F50E87"/>
    <w:rsid w:val="00F52610"/>
    <w:rsid w:val="00F52876"/>
    <w:rsid w:val="00F52B6A"/>
    <w:rsid w:val="00F52CA0"/>
    <w:rsid w:val="00F52FA7"/>
    <w:rsid w:val="00F5316C"/>
    <w:rsid w:val="00F53389"/>
    <w:rsid w:val="00F542C1"/>
    <w:rsid w:val="00F5457A"/>
    <w:rsid w:val="00F547D0"/>
    <w:rsid w:val="00F557D6"/>
    <w:rsid w:val="00F558AF"/>
    <w:rsid w:val="00F558F7"/>
    <w:rsid w:val="00F559D8"/>
    <w:rsid w:val="00F55A60"/>
    <w:rsid w:val="00F56354"/>
    <w:rsid w:val="00F57267"/>
    <w:rsid w:val="00F57E43"/>
    <w:rsid w:val="00F610F8"/>
    <w:rsid w:val="00F61966"/>
    <w:rsid w:val="00F621E0"/>
    <w:rsid w:val="00F623EA"/>
    <w:rsid w:val="00F628A5"/>
    <w:rsid w:val="00F62992"/>
    <w:rsid w:val="00F63194"/>
    <w:rsid w:val="00F636F2"/>
    <w:rsid w:val="00F6382A"/>
    <w:rsid w:val="00F6395E"/>
    <w:rsid w:val="00F640AA"/>
    <w:rsid w:val="00F64BD2"/>
    <w:rsid w:val="00F64DCE"/>
    <w:rsid w:val="00F6516C"/>
    <w:rsid w:val="00F654ED"/>
    <w:rsid w:val="00F65F9E"/>
    <w:rsid w:val="00F6618C"/>
    <w:rsid w:val="00F66653"/>
    <w:rsid w:val="00F6725A"/>
    <w:rsid w:val="00F67A29"/>
    <w:rsid w:val="00F67DA6"/>
    <w:rsid w:val="00F702EB"/>
    <w:rsid w:val="00F70380"/>
    <w:rsid w:val="00F708ED"/>
    <w:rsid w:val="00F710D6"/>
    <w:rsid w:val="00F717E1"/>
    <w:rsid w:val="00F71D7D"/>
    <w:rsid w:val="00F72BDF"/>
    <w:rsid w:val="00F72EB3"/>
    <w:rsid w:val="00F73321"/>
    <w:rsid w:val="00F735A7"/>
    <w:rsid w:val="00F74441"/>
    <w:rsid w:val="00F745D9"/>
    <w:rsid w:val="00F75D17"/>
    <w:rsid w:val="00F76BB3"/>
    <w:rsid w:val="00F76D4E"/>
    <w:rsid w:val="00F772DA"/>
    <w:rsid w:val="00F7781E"/>
    <w:rsid w:val="00F81708"/>
    <w:rsid w:val="00F81F1D"/>
    <w:rsid w:val="00F82D68"/>
    <w:rsid w:val="00F8304F"/>
    <w:rsid w:val="00F847B5"/>
    <w:rsid w:val="00F85DFD"/>
    <w:rsid w:val="00F868BC"/>
    <w:rsid w:val="00F871F5"/>
    <w:rsid w:val="00F875DE"/>
    <w:rsid w:val="00F879B1"/>
    <w:rsid w:val="00F90D95"/>
    <w:rsid w:val="00F90F9D"/>
    <w:rsid w:val="00F91054"/>
    <w:rsid w:val="00F92653"/>
    <w:rsid w:val="00F92C69"/>
    <w:rsid w:val="00F9332E"/>
    <w:rsid w:val="00F94962"/>
    <w:rsid w:val="00F9521E"/>
    <w:rsid w:val="00F95E15"/>
    <w:rsid w:val="00F961DD"/>
    <w:rsid w:val="00F97015"/>
    <w:rsid w:val="00F9746E"/>
    <w:rsid w:val="00F974A9"/>
    <w:rsid w:val="00FA03B6"/>
    <w:rsid w:val="00FA1144"/>
    <w:rsid w:val="00FA1629"/>
    <w:rsid w:val="00FA226B"/>
    <w:rsid w:val="00FA2DC5"/>
    <w:rsid w:val="00FA33D9"/>
    <w:rsid w:val="00FA3486"/>
    <w:rsid w:val="00FA36DB"/>
    <w:rsid w:val="00FA429A"/>
    <w:rsid w:val="00FA4D82"/>
    <w:rsid w:val="00FA528E"/>
    <w:rsid w:val="00FA52E7"/>
    <w:rsid w:val="00FA5DD2"/>
    <w:rsid w:val="00FA63FC"/>
    <w:rsid w:val="00FA70D4"/>
    <w:rsid w:val="00FB092A"/>
    <w:rsid w:val="00FB0BC2"/>
    <w:rsid w:val="00FB2F90"/>
    <w:rsid w:val="00FB308E"/>
    <w:rsid w:val="00FB32D4"/>
    <w:rsid w:val="00FB3461"/>
    <w:rsid w:val="00FB48FD"/>
    <w:rsid w:val="00FB5CA3"/>
    <w:rsid w:val="00FC006A"/>
    <w:rsid w:val="00FC12B5"/>
    <w:rsid w:val="00FC13FA"/>
    <w:rsid w:val="00FC1882"/>
    <w:rsid w:val="00FC1AD6"/>
    <w:rsid w:val="00FC1C2D"/>
    <w:rsid w:val="00FC27E6"/>
    <w:rsid w:val="00FC2803"/>
    <w:rsid w:val="00FC2B2D"/>
    <w:rsid w:val="00FC2CDB"/>
    <w:rsid w:val="00FC3263"/>
    <w:rsid w:val="00FC3633"/>
    <w:rsid w:val="00FC3A48"/>
    <w:rsid w:val="00FC49C1"/>
    <w:rsid w:val="00FC5058"/>
    <w:rsid w:val="00FC54B8"/>
    <w:rsid w:val="00FC735E"/>
    <w:rsid w:val="00FC7F42"/>
    <w:rsid w:val="00FD0883"/>
    <w:rsid w:val="00FD0CEF"/>
    <w:rsid w:val="00FD1263"/>
    <w:rsid w:val="00FD1EA4"/>
    <w:rsid w:val="00FD273B"/>
    <w:rsid w:val="00FD2B18"/>
    <w:rsid w:val="00FD34B2"/>
    <w:rsid w:val="00FD350C"/>
    <w:rsid w:val="00FD4A4B"/>
    <w:rsid w:val="00FD4B1F"/>
    <w:rsid w:val="00FD4ED0"/>
    <w:rsid w:val="00FD5D94"/>
    <w:rsid w:val="00FD65DE"/>
    <w:rsid w:val="00FD6DF2"/>
    <w:rsid w:val="00FE0D70"/>
    <w:rsid w:val="00FE1A06"/>
    <w:rsid w:val="00FE2E8D"/>
    <w:rsid w:val="00FE3738"/>
    <w:rsid w:val="00FE3ACE"/>
    <w:rsid w:val="00FE3DF9"/>
    <w:rsid w:val="00FE4F1F"/>
    <w:rsid w:val="00FE513E"/>
    <w:rsid w:val="00FE531F"/>
    <w:rsid w:val="00FE5F67"/>
    <w:rsid w:val="00FE65F9"/>
    <w:rsid w:val="00FE7764"/>
    <w:rsid w:val="00FF047B"/>
    <w:rsid w:val="00FF0F14"/>
    <w:rsid w:val="00FF177B"/>
    <w:rsid w:val="00FF249C"/>
    <w:rsid w:val="00FF2551"/>
    <w:rsid w:val="00FF2EA1"/>
    <w:rsid w:val="00FF35F6"/>
    <w:rsid w:val="00FF5C39"/>
    <w:rsid w:val="00FF5D67"/>
    <w:rsid w:val="00FF6321"/>
    <w:rsid w:val="00FF7622"/>
    <w:rsid w:val="0112617E"/>
    <w:rsid w:val="01486BDD"/>
    <w:rsid w:val="015861FA"/>
    <w:rsid w:val="018F2C08"/>
    <w:rsid w:val="01B25E24"/>
    <w:rsid w:val="01B32DDA"/>
    <w:rsid w:val="01D110A2"/>
    <w:rsid w:val="01E22EEF"/>
    <w:rsid w:val="02094019"/>
    <w:rsid w:val="022C0359"/>
    <w:rsid w:val="02451C81"/>
    <w:rsid w:val="024876E8"/>
    <w:rsid w:val="025A3D10"/>
    <w:rsid w:val="026E021D"/>
    <w:rsid w:val="02937B18"/>
    <w:rsid w:val="02B03812"/>
    <w:rsid w:val="02E0504F"/>
    <w:rsid w:val="02E97045"/>
    <w:rsid w:val="02FB6E41"/>
    <w:rsid w:val="03313777"/>
    <w:rsid w:val="034A0365"/>
    <w:rsid w:val="03D26842"/>
    <w:rsid w:val="03FB06D5"/>
    <w:rsid w:val="04053764"/>
    <w:rsid w:val="047A1299"/>
    <w:rsid w:val="048B07CE"/>
    <w:rsid w:val="04A87B08"/>
    <w:rsid w:val="04D12E16"/>
    <w:rsid w:val="04D81322"/>
    <w:rsid w:val="04EE0135"/>
    <w:rsid w:val="04FD01C0"/>
    <w:rsid w:val="05173A76"/>
    <w:rsid w:val="051F160B"/>
    <w:rsid w:val="055E0BF4"/>
    <w:rsid w:val="0590572D"/>
    <w:rsid w:val="05923617"/>
    <w:rsid w:val="05C91EC6"/>
    <w:rsid w:val="05CA7529"/>
    <w:rsid w:val="05E860FD"/>
    <w:rsid w:val="061C4D1A"/>
    <w:rsid w:val="062F73DB"/>
    <w:rsid w:val="06AB62C8"/>
    <w:rsid w:val="06DB6AD7"/>
    <w:rsid w:val="07267181"/>
    <w:rsid w:val="07396F70"/>
    <w:rsid w:val="073A04FC"/>
    <w:rsid w:val="0772543B"/>
    <w:rsid w:val="077305E3"/>
    <w:rsid w:val="07825B2F"/>
    <w:rsid w:val="079F4F94"/>
    <w:rsid w:val="07C55136"/>
    <w:rsid w:val="07CD0531"/>
    <w:rsid w:val="084A4BE2"/>
    <w:rsid w:val="085738C5"/>
    <w:rsid w:val="08CF3B9E"/>
    <w:rsid w:val="08D11764"/>
    <w:rsid w:val="08FA0F77"/>
    <w:rsid w:val="090023B9"/>
    <w:rsid w:val="09625505"/>
    <w:rsid w:val="096E10A3"/>
    <w:rsid w:val="0971750D"/>
    <w:rsid w:val="098073A3"/>
    <w:rsid w:val="09B133F7"/>
    <w:rsid w:val="09C44266"/>
    <w:rsid w:val="09EC3A2A"/>
    <w:rsid w:val="0A056642"/>
    <w:rsid w:val="0A28089C"/>
    <w:rsid w:val="0A2D21AE"/>
    <w:rsid w:val="0A3B17C0"/>
    <w:rsid w:val="0A462625"/>
    <w:rsid w:val="0A530C57"/>
    <w:rsid w:val="0A75298B"/>
    <w:rsid w:val="0AD065EE"/>
    <w:rsid w:val="0AF12732"/>
    <w:rsid w:val="0B242CDB"/>
    <w:rsid w:val="0B2D534F"/>
    <w:rsid w:val="0BBF6BB4"/>
    <w:rsid w:val="0BF12592"/>
    <w:rsid w:val="0C556F6C"/>
    <w:rsid w:val="0C7809C1"/>
    <w:rsid w:val="0C966308"/>
    <w:rsid w:val="0CA2715E"/>
    <w:rsid w:val="0CAA512D"/>
    <w:rsid w:val="0CB525EC"/>
    <w:rsid w:val="0D132894"/>
    <w:rsid w:val="0D3428FE"/>
    <w:rsid w:val="0D635EB2"/>
    <w:rsid w:val="0D7A34FD"/>
    <w:rsid w:val="0D7D2F98"/>
    <w:rsid w:val="0D9B63F5"/>
    <w:rsid w:val="0DAA7A4D"/>
    <w:rsid w:val="0E015FE8"/>
    <w:rsid w:val="0E0B3EC4"/>
    <w:rsid w:val="0E276253"/>
    <w:rsid w:val="0E5B584F"/>
    <w:rsid w:val="0E7C2C2B"/>
    <w:rsid w:val="0EC71EA2"/>
    <w:rsid w:val="0F433513"/>
    <w:rsid w:val="0F563202"/>
    <w:rsid w:val="0F683645"/>
    <w:rsid w:val="0F9D149D"/>
    <w:rsid w:val="0FAE1D0B"/>
    <w:rsid w:val="102D414D"/>
    <w:rsid w:val="109347EF"/>
    <w:rsid w:val="109639D8"/>
    <w:rsid w:val="109D2FCF"/>
    <w:rsid w:val="10D4508F"/>
    <w:rsid w:val="10E20F38"/>
    <w:rsid w:val="11402131"/>
    <w:rsid w:val="1163339B"/>
    <w:rsid w:val="117A3A30"/>
    <w:rsid w:val="12144A4C"/>
    <w:rsid w:val="12274323"/>
    <w:rsid w:val="12444065"/>
    <w:rsid w:val="12792853"/>
    <w:rsid w:val="12944FFA"/>
    <w:rsid w:val="12A5119B"/>
    <w:rsid w:val="12F3608D"/>
    <w:rsid w:val="12FC443F"/>
    <w:rsid w:val="131979D7"/>
    <w:rsid w:val="13226F50"/>
    <w:rsid w:val="136937B1"/>
    <w:rsid w:val="13753309"/>
    <w:rsid w:val="13973FA1"/>
    <w:rsid w:val="13A254A4"/>
    <w:rsid w:val="13AC1664"/>
    <w:rsid w:val="13B45CEF"/>
    <w:rsid w:val="14640566"/>
    <w:rsid w:val="14743C81"/>
    <w:rsid w:val="14DA1951"/>
    <w:rsid w:val="1517452C"/>
    <w:rsid w:val="15371EEC"/>
    <w:rsid w:val="153D308F"/>
    <w:rsid w:val="153E6831"/>
    <w:rsid w:val="156C4FA6"/>
    <w:rsid w:val="15800100"/>
    <w:rsid w:val="158C6FA7"/>
    <w:rsid w:val="15A8778B"/>
    <w:rsid w:val="15D96070"/>
    <w:rsid w:val="15DE0529"/>
    <w:rsid w:val="15F202E1"/>
    <w:rsid w:val="160216D0"/>
    <w:rsid w:val="1641787C"/>
    <w:rsid w:val="1649653A"/>
    <w:rsid w:val="16696CE9"/>
    <w:rsid w:val="16753D23"/>
    <w:rsid w:val="167B083F"/>
    <w:rsid w:val="16860739"/>
    <w:rsid w:val="16AB203A"/>
    <w:rsid w:val="1705389A"/>
    <w:rsid w:val="174940E7"/>
    <w:rsid w:val="17656506"/>
    <w:rsid w:val="17A66650"/>
    <w:rsid w:val="17CA2A17"/>
    <w:rsid w:val="17EA48C1"/>
    <w:rsid w:val="182B0490"/>
    <w:rsid w:val="183B3FD7"/>
    <w:rsid w:val="183E69BC"/>
    <w:rsid w:val="18490331"/>
    <w:rsid w:val="18563C5E"/>
    <w:rsid w:val="18597D82"/>
    <w:rsid w:val="18701E4F"/>
    <w:rsid w:val="18822460"/>
    <w:rsid w:val="188F2709"/>
    <w:rsid w:val="18A0023E"/>
    <w:rsid w:val="18A349BF"/>
    <w:rsid w:val="18AA1C40"/>
    <w:rsid w:val="18DE5562"/>
    <w:rsid w:val="19023C09"/>
    <w:rsid w:val="1936150D"/>
    <w:rsid w:val="19870B76"/>
    <w:rsid w:val="19935E0F"/>
    <w:rsid w:val="19AC2D28"/>
    <w:rsid w:val="19AC60E3"/>
    <w:rsid w:val="19D67B1E"/>
    <w:rsid w:val="1A1F3324"/>
    <w:rsid w:val="1A2D640C"/>
    <w:rsid w:val="1A4E2EB4"/>
    <w:rsid w:val="1A634925"/>
    <w:rsid w:val="1A805FD8"/>
    <w:rsid w:val="1AB43FEA"/>
    <w:rsid w:val="1AC55489"/>
    <w:rsid w:val="1AD12150"/>
    <w:rsid w:val="1B426E29"/>
    <w:rsid w:val="1B592FF6"/>
    <w:rsid w:val="1B5E62E3"/>
    <w:rsid w:val="1B8A18C6"/>
    <w:rsid w:val="1B8C1271"/>
    <w:rsid w:val="1BB040C5"/>
    <w:rsid w:val="1BCA4315"/>
    <w:rsid w:val="1BEC33C3"/>
    <w:rsid w:val="1C4B20C5"/>
    <w:rsid w:val="1C527F31"/>
    <w:rsid w:val="1C620459"/>
    <w:rsid w:val="1C7366B7"/>
    <w:rsid w:val="1C9B1BC8"/>
    <w:rsid w:val="1CC0209F"/>
    <w:rsid w:val="1D5B688A"/>
    <w:rsid w:val="1D5F73EA"/>
    <w:rsid w:val="1D7E4261"/>
    <w:rsid w:val="1D814A92"/>
    <w:rsid w:val="1DBA42CB"/>
    <w:rsid w:val="1DC00253"/>
    <w:rsid w:val="1DCB087D"/>
    <w:rsid w:val="1E2F0F8F"/>
    <w:rsid w:val="1E8E78CB"/>
    <w:rsid w:val="1EAB63BB"/>
    <w:rsid w:val="1F2B52A8"/>
    <w:rsid w:val="1F362CA2"/>
    <w:rsid w:val="1F4D283F"/>
    <w:rsid w:val="2003114B"/>
    <w:rsid w:val="205763FD"/>
    <w:rsid w:val="205B4625"/>
    <w:rsid w:val="2068183A"/>
    <w:rsid w:val="20904538"/>
    <w:rsid w:val="209E5422"/>
    <w:rsid w:val="20EA79C6"/>
    <w:rsid w:val="20EE6112"/>
    <w:rsid w:val="211451E0"/>
    <w:rsid w:val="212C0179"/>
    <w:rsid w:val="21633E6C"/>
    <w:rsid w:val="21D05464"/>
    <w:rsid w:val="22385B62"/>
    <w:rsid w:val="22851E27"/>
    <w:rsid w:val="229C217E"/>
    <w:rsid w:val="22BF43A4"/>
    <w:rsid w:val="230536D4"/>
    <w:rsid w:val="232B3A85"/>
    <w:rsid w:val="23880336"/>
    <w:rsid w:val="23BB3852"/>
    <w:rsid w:val="23BD4D8F"/>
    <w:rsid w:val="23C95BA9"/>
    <w:rsid w:val="23D94B9F"/>
    <w:rsid w:val="23E110E1"/>
    <w:rsid w:val="23E62F23"/>
    <w:rsid w:val="23E67023"/>
    <w:rsid w:val="24320ACA"/>
    <w:rsid w:val="245C6B98"/>
    <w:rsid w:val="24EF1A3B"/>
    <w:rsid w:val="24F42289"/>
    <w:rsid w:val="25012852"/>
    <w:rsid w:val="250C2861"/>
    <w:rsid w:val="25456079"/>
    <w:rsid w:val="2554214D"/>
    <w:rsid w:val="256B6B4D"/>
    <w:rsid w:val="257148C9"/>
    <w:rsid w:val="25F00525"/>
    <w:rsid w:val="260236E8"/>
    <w:rsid w:val="261F0915"/>
    <w:rsid w:val="26D24959"/>
    <w:rsid w:val="26ED1A0D"/>
    <w:rsid w:val="27016E6F"/>
    <w:rsid w:val="271C0015"/>
    <w:rsid w:val="272B2C33"/>
    <w:rsid w:val="2739469F"/>
    <w:rsid w:val="273D7894"/>
    <w:rsid w:val="27820BC2"/>
    <w:rsid w:val="27866CBC"/>
    <w:rsid w:val="278E1A78"/>
    <w:rsid w:val="27D36BA7"/>
    <w:rsid w:val="27F56E5B"/>
    <w:rsid w:val="28816E71"/>
    <w:rsid w:val="28BB59B1"/>
    <w:rsid w:val="28BB7381"/>
    <w:rsid w:val="28CE1560"/>
    <w:rsid w:val="291A6927"/>
    <w:rsid w:val="29AC3D11"/>
    <w:rsid w:val="29BC3A9C"/>
    <w:rsid w:val="29C8765C"/>
    <w:rsid w:val="29FF6F1E"/>
    <w:rsid w:val="2A092AB2"/>
    <w:rsid w:val="2A7E2845"/>
    <w:rsid w:val="2A9673FD"/>
    <w:rsid w:val="2A991300"/>
    <w:rsid w:val="2AE0034D"/>
    <w:rsid w:val="2B797FF1"/>
    <w:rsid w:val="2C081D75"/>
    <w:rsid w:val="2C2679A8"/>
    <w:rsid w:val="2C2E07FB"/>
    <w:rsid w:val="2C37731C"/>
    <w:rsid w:val="2C6823E9"/>
    <w:rsid w:val="2C8319D4"/>
    <w:rsid w:val="2C982A9C"/>
    <w:rsid w:val="2CAA5E30"/>
    <w:rsid w:val="2CE87253"/>
    <w:rsid w:val="2CEC10E5"/>
    <w:rsid w:val="2CF162E8"/>
    <w:rsid w:val="2CFB7ADE"/>
    <w:rsid w:val="2D152FB5"/>
    <w:rsid w:val="2D38094E"/>
    <w:rsid w:val="2D53612F"/>
    <w:rsid w:val="2D94409C"/>
    <w:rsid w:val="2DF94778"/>
    <w:rsid w:val="2E2547BF"/>
    <w:rsid w:val="2E4F55BB"/>
    <w:rsid w:val="2EE400F9"/>
    <w:rsid w:val="2EE870A3"/>
    <w:rsid w:val="2F37683A"/>
    <w:rsid w:val="2F714C54"/>
    <w:rsid w:val="2FB5191E"/>
    <w:rsid w:val="300F4A85"/>
    <w:rsid w:val="303F2150"/>
    <w:rsid w:val="30B10A1B"/>
    <w:rsid w:val="31537586"/>
    <w:rsid w:val="31A34D6B"/>
    <w:rsid w:val="31BD3CD9"/>
    <w:rsid w:val="31C16B67"/>
    <w:rsid w:val="31DC154F"/>
    <w:rsid w:val="31EE26C8"/>
    <w:rsid w:val="31FB698F"/>
    <w:rsid w:val="325B0307"/>
    <w:rsid w:val="327955CA"/>
    <w:rsid w:val="32C7765E"/>
    <w:rsid w:val="32CA2532"/>
    <w:rsid w:val="331864B2"/>
    <w:rsid w:val="33900378"/>
    <w:rsid w:val="33B53AA2"/>
    <w:rsid w:val="33EB3CEE"/>
    <w:rsid w:val="341412C2"/>
    <w:rsid w:val="34186C65"/>
    <w:rsid w:val="342C6814"/>
    <w:rsid w:val="34AB4DE7"/>
    <w:rsid w:val="34B0337D"/>
    <w:rsid w:val="34B83953"/>
    <w:rsid w:val="34C342D1"/>
    <w:rsid w:val="34C41174"/>
    <w:rsid w:val="34C9605D"/>
    <w:rsid w:val="34E72C04"/>
    <w:rsid w:val="34E76882"/>
    <w:rsid w:val="35071527"/>
    <w:rsid w:val="35092973"/>
    <w:rsid w:val="350F5F0C"/>
    <w:rsid w:val="357E52B6"/>
    <w:rsid w:val="3607373D"/>
    <w:rsid w:val="36746E1E"/>
    <w:rsid w:val="36F529A6"/>
    <w:rsid w:val="372018FC"/>
    <w:rsid w:val="374A6702"/>
    <w:rsid w:val="37830B20"/>
    <w:rsid w:val="3784417F"/>
    <w:rsid w:val="37F073E0"/>
    <w:rsid w:val="380074C1"/>
    <w:rsid w:val="38431C78"/>
    <w:rsid w:val="387E353F"/>
    <w:rsid w:val="388977F5"/>
    <w:rsid w:val="388E2CE6"/>
    <w:rsid w:val="3894255F"/>
    <w:rsid w:val="38986107"/>
    <w:rsid w:val="38C5121D"/>
    <w:rsid w:val="38C57353"/>
    <w:rsid w:val="38E41EF5"/>
    <w:rsid w:val="390E1445"/>
    <w:rsid w:val="39167BA1"/>
    <w:rsid w:val="393557E4"/>
    <w:rsid w:val="39517ED7"/>
    <w:rsid w:val="3957141D"/>
    <w:rsid w:val="39644871"/>
    <w:rsid w:val="397E2CB8"/>
    <w:rsid w:val="39866115"/>
    <w:rsid w:val="398B2FF5"/>
    <w:rsid w:val="39D76AC2"/>
    <w:rsid w:val="39ED33FA"/>
    <w:rsid w:val="39F96B77"/>
    <w:rsid w:val="3A200E16"/>
    <w:rsid w:val="3A7077AA"/>
    <w:rsid w:val="3A7F2387"/>
    <w:rsid w:val="3AB66A58"/>
    <w:rsid w:val="3AB73588"/>
    <w:rsid w:val="3ABF338F"/>
    <w:rsid w:val="3ADF6E50"/>
    <w:rsid w:val="3AE414BC"/>
    <w:rsid w:val="3B11419E"/>
    <w:rsid w:val="3B222B91"/>
    <w:rsid w:val="3B73311B"/>
    <w:rsid w:val="3B7D00E1"/>
    <w:rsid w:val="3C1C4C0D"/>
    <w:rsid w:val="3CCC7938"/>
    <w:rsid w:val="3CD54B38"/>
    <w:rsid w:val="3CDA0302"/>
    <w:rsid w:val="3CDB61C5"/>
    <w:rsid w:val="3D5D2570"/>
    <w:rsid w:val="3D613EBC"/>
    <w:rsid w:val="3D7924A0"/>
    <w:rsid w:val="3D8429D8"/>
    <w:rsid w:val="3DF924BA"/>
    <w:rsid w:val="3E237E74"/>
    <w:rsid w:val="3E4C7E5B"/>
    <w:rsid w:val="3E4E2CD4"/>
    <w:rsid w:val="3EA13DFE"/>
    <w:rsid w:val="3ED10815"/>
    <w:rsid w:val="3EEB31F8"/>
    <w:rsid w:val="3EF767D3"/>
    <w:rsid w:val="3EFC0D98"/>
    <w:rsid w:val="3F565D83"/>
    <w:rsid w:val="3F644550"/>
    <w:rsid w:val="3FBE515E"/>
    <w:rsid w:val="401B42B1"/>
    <w:rsid w:val="401D42A1"/>
    <w:rsid w:val="40225A45"/>
    <w:rsid w:val="40277DEF"/>
    <w:rsid w:val="403861BE"/>
    <w:rsid w:val="403A18E9"/>
    <w:rsid w:val="40565757"/>
    <w:rsid w:val="405A0945"/>
    <w:rsid w:val="4096525D"/>
    <w:rsid w:val="409B65A8"/>
    <w:rsid w:val="409C1408"/>
    <w:rsid w:val="40BA4BA9"/>
    <w:rsid w:val="40C27D0E"/>
    <w:rsid w:val="40DD7C7A"/>
    <w:rsid w:val="412665EC"/>
    <w:rsid w:val="41650F9C"/>
    <w:rsid w:val="416857E7"/>
    <w:rsid w:val="42004864"/>
    <w:rsid w:val="42481C52"/>
    <w:rsid w:val="424A5077"/>
    <w:rsid w:val="426C0506"/>
    <w:rsid w:val="42AC773B"/>
    <w:rsid w:val="43232629"/>
    <w:rsid w:val="43607ED0"/>
    <w:rsid w:val="43863141"/>
    <w:rsid w:val="43952A84"/>
    <w:rsid w:val="43B73360"/>
    <w:rsid w:val="43EC26B5"/>
    <w:rsid w:val="445115D2"/>
    <w:rsid w:val="446342B5"/>
    <w:rsid w:val="44654EE8"/>
    <w:rsid w:val="447065EA"/>
    <w:rsid w:val="447173A4"/>
    <w:rsid w:val="44996148"/>
    <w:rsid w:val="44AB1F75"/>
    <w:rsid w:val="44DC4A47"/>
    <w:rsid w:val="44E04FE8"/>
    <w:rsid w:val="4550029A"/>
    <w:rsid w:val="45803C11"/>
    <w:rsid w:val="45A602A1"/>
    <w:rsid w:val="45D17A1D"/>
    <w:rsid w:val="45DB392E"/>
    <w:rsid w:val="45E41F9C"/>
    <w:rsid w:val="45EB7757"/>
    <w:rsid w:val="46064ACA"/>
    <w:rsid w:val="46634DA9"/>
    <w:rsid w:val="46750FB0"/>
    <w:rsid w:val="469979BE"/>
    <w:rsid w:val="46EB00DE"/>
    <w:rsid w:val="46F07999"/>
    <w:rsid w:val="470E4738"/>
    <w:rsid w:val="472E42B8"/>
    <w:rsid w:val="473B0685"/>
    <w:rsid w:val="47411156"/>
    <w:rsid w:val="47733101"/>
    <w:rsid w:val="478F1D61"/>
    <w:rsid w:val="47AF75A2"/>
    <w:rsid w:val="47B343B5"/>
    <w:rsid w:val="47D24F79"/>
    <w:rsid w:val="47FF3645"/>
    <w:rsid w:val="480C5B3E"/>
    <w:rsid w:val="48134C93"/>
    <w:rsid w:val="48420E39"/>
    <w:rsid w:val="484C656D"/>
    <w:rsid w:val="486C66A8"/>
    <w:rsid w:val="48BE3D77"/>
    <w:rsid w:val="48FA64DA"/>
    <w:rsid w:val="49166CB5"/>
    <w:rsid w:val="492F1990"/>
    <w:rsid w:val="494850B5"/>
    <w:rsid w:val="497273C6"/>
    <w:rsid w:val="498C7B1E"/>
    <w:rsid w:val="49A75ED8"/>
    <w:rsid w:val="49BF6617"/>
    <w:rsid w:val="4A3E1A31"/>
    <w:rsid w:val="4A621E0C"/>
    <w:rsid w:val="4A8D09D5"/>
    <w:rsid w:val="4ABC3C22"/>
    <w:rsid w:val="4AE6590A"/>
    <w:rsid w:val="4B5769E6"/>
    <w:rsid w:val="4BBA2F6E"/>
    <w:rsid w:val="4BD40621"/>
    <w:rsid w:val="4BDD36E4"/>
    <w:rsid w:val="4C051C9C"/>
    <w:rsid w:val="4C0650FC"/>
    <w:rsid w:val="4C2029CC"/>
    <w:rsid w:val="4C2F48E8"/>
    <w:rsid w:val="4CB41258"/>
    <w:rsid w:val="4CB4708F"/>
    <w:rsid w:val="4D1A11D0"/>
    <w:rsid w:val="4D3B0C52"/>
    <w:rsid w:val="4D92455A"/>
    <w:rsid w:val="4DB92B07"/>
    <w:rsid w:val="4DD44696"/>
    <w:rsid w:val="4E8712B6"/>
    <w:rsid w:val="4EA973E8"/>
    <w:rsid w:val="4EAC070E"/>
    <w:rsid w:val="4EEF3E14"/>
    <w:rsid w:val="4EFF0E96"/>
    <w:rsid w:val="4F2A7B16"/>
    <w:rsid w:val="4F837F80"/>
    <w:rsid w:val="4FAE1EB1"/>
    <w:rsid w:val="4FE56D34"/>
    <w:rsid w:val="50092009"/>
    <w:rsid w:val="50612405"/>
    <w:rsid w:val="506C0CEF"/>
    <w:rsid w:val="509A61FE"/>
    <w:rsid w:val="50AE5B33"/>
    <w:rsid w:val="50C529B2"/>
    <w:rsid w:val="51043B58"/>
    <w:rsid w:val="51185ECD"/>
    <w:rsid w:val="511E40BF"/>
    <w:rsid w:val="5148153D"/>
    <w:rsid w:val="514D16F8"/>
    <w:rsid w:val="519F6881"/>
    <w:rsid w:val="51AE5717"/>
    <w:rsid w:val="51D732C3"/>
    <w:rsid w:val="51F9569B"/>
    <w:rsid w:val="51FF184A"/>
    <w:rsid w:val="52124463"/>
    <w:rsid w:val="523D7E3B"/>
    <w:rsid w:val="52627DAB"/>
    <w:rsid w:val="52823BC6"/>
    <w:rsid w:val="53287732"/>
    <w:rsid w:val="53C96F93"/>
    <w:rsid w:val="53D03627"/>
    <w:rsid w:val="53D97663"/>
    <w:rsid w:val="540E33C8"/>
    <w:rsid w:val="542B43F1"/>
    <w:rsid w:val="547406A5"/>
    <w:rsid w:val="547C5840"/>
    <w:rsid w:val="54CA0AEC"/>
    <w:rsid w:val="54E149C6"/>
    <w:rsid w:val="54EE6725"/>
    <w:rsid w:val="54F63AD2"/>
    <w:rsid w:val="5501504B"/>
    <w:rsid w:val="550B4DE5"/>
    <w:rsid w:val="552A7598"/>
    <w:rsid w:val="553D3588"/>
    <w:rsid w:val="554B14F7"/>
    <w:rsid w:val="55512FE3"/>
    <w:rsid w:val="559209AF"/>
    <w:rsid w:val="55A71912"/>
    <w:rsid w:val="563F275A"/>
    <w:rsid w:val="566A4EB9"/>
    <w:rsid w:val="567320A8"/>
    <w:rsid w:val="56B2378D"/>
    <w:rsid w:val="56F53944"/>
    <w:rsid w:val="570E1B7D"/>
    <w:rsid w:val="570F1830"/>
    <w:rsid w:val="575E648B"/>
    <w:rsid w:val="57DD277B"/>
    <w:rsid w:val="580501AF"/>
    <w:rsid w:val="587D13BE"/>
    <w:rsid w:val="58941823"/>
    <w:rsid w:val="589658F5"/>
    <w:rsid w:val="589B5CE6"/>
    <w:rsid w:val="58E8732D"/>
    <w:rsid w:val="58F94E1F"/>
    <w:rsid w:val="591612EA"/>
    <w:rsid w:val="591B4708"/>
    <w:rsid w:val="593A101A"/>
    <w:rsid w:val="594F2A8B"/>
    <w:rsid w:val="59B718EE"/>
    <w:rsid w:val="59CF7181"/>
    <w:rsid w:val="59D3048F"/>
    <w:rsid w:val="59DD2FE2"/>
    <w:rsid w:val="59E74950"/>
    <w:rsid w:val="5A0F6842"/>
    <w:rsid w:val="5A7D1893"/>
    <w:rsid w:val="5AD9194A"/>
    <w:rsid w:val="5AF65560"/>
    <w:rsid w:val="5AFA1183"/>
    <w:rsid w:val="5B3A424E"/>
    <w:rsid w:val="5B4E5095"/>
    <w:rsid w:val="5BAE468B"/>
    <w:rsid w:val="5BC33079"/>
    <w:rsid w:val="5BDF5E0D"/>
    <w:rsid w:val="5BF44FAD"/>
    <w:rsid w:val="5BFF2ABF"/>
    <w:rsid w:val="5C0C2E89"/>
    <w:rsid w:val="5C79447C"/>
    <w:rsid w:val="5CD478FD"/>
    <w:rsid w:val="5D431218"/>
    <w:rsid w:val="5D4361AE"/>
    <w:rsid w:val="5DB8520C"/>
    <w:rsid w:val="5DBD299A"/>
    <w:rsid w:val="5DCA64E8"/>
    <w:rsid w:val="5DDE476E"/>
    <w:rsid w:val="5DEB3B5A"/>
    <w:rsid w:val="5E1D0CD6"/>
    <w:rsid w:val="5E520791"/>
    <w:rsid w:val="5E535EE5"/>
    <w:rsid w:val="5E983238"/>
    <w:rsid w:val="5EC6593C"/>
    <w:rsid w:val="5EED6B11"/>
    <w:rsid w:val="5F072F45"/>
    <w:rsid w:val="5F5C7FD4"/>
    <w:rsid w:val="5F762CE0"/>
    <w:rsid w:val="5F9102EB"/>
    <w:rsid w:val="5FAA1071"/>
    <w:rsid w:val="5FC30B89"/>
    <w:rsid w:val="5FC9271B"/>
    <w:rsid w:val="5FF655F4"/>
    <w:rsid w:val="602E7E79"/>
    <w:rsid w:val="603551EA"/>
    <w:rsid w:val="608E6E56"/>
    <w:rsid w:val="60FC5FB2"/>
    <w:rsid w:val="60FD050B"/>
    <w:rsid w:val="6105188D"/>
    <w:rsid w:val="61533A4A"/>
    <w:rsid w:val="61863AE5"/>
    <w:rsid w:val="61DF2C4E"/>
    <w:rsid w:val="62132D9F"/>
    <w:rsid w:val="62183CDA"/>
    <w:rsid w:val="621F4EBE"/>
    <w:rsid w:val="62251304"/>
    <w:rsid w:val="624A3929"/>
    <w:rsid w:val="62A24C31"/>
    <w:rsid w:val="62CC41BB"/>
    <w:rsid w:val="62E538FE"/>
    <w:rsid w:val="62E62DCA"/>
    <w:rsid w:val="63066B23"/>
    <w:rsid w:val="631F5860"/>
    <w:rsid w:val="63767625"/>
    <w:rsid w:val="637F236A"/>
    <w:rsid w:val="63AE6BA7"/>
    <w:rsid w:val="63FA4E50"/>
    <w:rsid w:val="64201FF5"/>
    <w:rsid w:val="64471DA2"/>
    <w:rsid w:val="64664C51"/>
    <w:rsid w:val="64812496"/>
    <w:rsid w:val="64AA535B"/>
    <w:rsid w:val="654939E3"/>
    <w:rsid w:val="65632BDF"/>
    <w:rsid w:val="65A82464"/>
    <w:rsid w:val="65C160D0"/>
    <w:rsid w:val="65CC201A"/>
    <w:rsid w:val="65D01B96"/>
    <w:rsid w:val="65DF4F3E"/>
    <w:rsid w:val="66110EB7"/>
    <w:rsid w:val="669F6E4B"/>
    <w:rsid w:val="670648FC"/>
    <w:rsid w:val="671430E5"/>
    <w:rsid w:val="672E7C19"/>
    <w:rsid w:val="674F3811"/>
    <w:rsid w:val="68814B19"/>
    <w:rsid w:val="68A77392"/>
    <w:rsid w:val="68A91ABB"/>
    <w:rsid w:val="68A9366A"/>
    <w:rsid w:val="68D83414"/>
    <w:rsid w:val="690857DA"/>
    <w:rsid w:val="691F5485"/>
    <w:rsid w:val="69490586"/>
    <w:rsid w:val="69BC5B90"/>
    <w:rsid w:val="6A0E015C"/>
    <w:rsid w:val="6A106757"/>
    <w:rsid w:val="6A564A5E"/>
    <w:rsid w:val="6A5944D3"/>
    <w:rsid w:val="6A6A6FEF"/>
    <w:rsid w:val="6A792CB5"/>
    <w:rsid w:val="6A974540"/>
    <w:rsid w:val="6ADD5130"/>
    <w:rsid w:val="6B51490D"/>
    <w:rsid w:val="6B5F47B0"/>
    <w:rsid w:val="6BA40806"/>
    <w:rsid w:val="6BD67FE2"/>
    <w:rsid w:val="6C4E13C2"/>
    <w:rsid w:val="6C4E49EF"/>
    <w:rsid w:val="6C9C3E78"/>
    <w:rsid w:val="6CB27F97"/>
    <w:rsid w:val="6CBA4581"/>
    <w:rsid w:val="6CBC06FA"/>
    <w:rsid w:val="6CCA7A3D"/>
    <w:rsid w:val="6CF50CA9"/>
    <w:rsid w:val="6D3214C6"/>
    <w:rsid w:val="6D532409"/>
    <w:rsid w:val="6D580F18"/>
    <w:rsid w:val="6DCD15C0"/>
    <w:rsid w:val="6E1546CB"/>
    <w:rsid w:val="6E2E04FD"/>
    <w:rsid w:val="6E480A63"/>
    <w:rsid w:val="6EA02F2B"/>
    <w:rsid w:val="6EB428FB"/>
    <w:rsid w:val="6ED827E7"/>
    <w:rsid w:val="6EFC09F4"/>
    <w:rsid w:val="6F040B0C"/>
    <w:rsid w:val="6F074403"/>
    <w:rsid w:val="6F0C4B01"/>
    <w:rsid w:val="6F0C6AFB"/>
    <w:rsid w:val="6FA678F9"/>
    <w:rsid w:val="6FAA5DC3"/>
    <w:rsid w:val="6FF6523E"/>
    <w:rsid w:val="6FF758AD"/>
    <w:rsid w:val="70485436"/>
    <w:rsid w:val="706C13ED"/>
    <w:rsid w:val="70BE6CE0"/>
    <w:rsid w:val="7108028B"/>
    <w:rsid w:val="71201719"/>
    <w:rsid w:val="71430A8B"/>
    <w:rsid w:val="715F4A78"/>
    <w:rsid w:val="71682B74"/>
    <w:rsid w:val="720B5551"/>
    <w:rsid w:val="72950CCE"/>
    <w:rsid w:val="72C917FF"/>
    <w:rsid w:val="72DB02EA"/>
    <w:rsid w:val="72DF0017"/>
    <w:rsid w:val="72F7715A"/>
    <w:rsid w:val="7347634B"/>
    <w:rsid w:val="737E75A7"/>
    <w:rsid w:val="73E2490F"/>
    <w:rsid w:val="741305BB"/>
    <w:rsid w:val="747F1B0A"/>
    <w:rsid w:val="74BC37F4"/>
    <w:rsid w:val="74CB7A6F"/>
    <w:rsid w:val="74FE30DA"/>
    <w:rsid w:val="750022C5"/>
    <w:rsid w:val="75285436"/>
    <w:rsid w:val="754C63D7"/>
    <w:rsid w:val="75540E3A"/>
    <w:rsid w:val="75561EF6"/>
    <w:rsid w:val="757035C8"/>
    <w:rsid w:val="75832F96"/>
    <w:rsid w:val="759D68D9"/>
    <w:rsid w:val="75BA290D"/>
    <w:rsid w:val="75CB444F"/>
    <w:rsid w:val="75F84292"/>
    <w:rsid w:val="76182503"/>
    <w:rsid w:val="76473790"/>
    <w:rsid w:val="76614C90"/>
    <w:rsid w:val="766A6AAB"/>
    <w:rsid w:val="769E3C27"/>
    <w:rsid w:val="76A836FA"/>
    <w:rsid w:val="76AC6E36"/>
    <w:rsid w:val="775D401B"/>
    <w:rsid w:val="777800C8"/>
    <w:rsid w:val="77835045"/>
    <w:rsid w:val="77A071CF"/>
    <w:rsid w:val="77BF1D15"/>
    <w:rsid w:val="782177E9"/>
    <w:rsid w:val="78225A6C"/>
    <w:rsid w:val="78281E7E"/>
    <w:rsid w:val="782F3CFB"/>
    <w:rsid w:val="78414C30"/>
    <w:rsid w:val="785F20E8"/>
    <w:rsid w:val="7863710C"/>
    <w:rsid w:val="79072C58"/>
    <w:rsid w:val="79170F02"/>
    <w:rsid w:val="79330F08"/>
    <w:rsid w:val="7959743D"/>
    <w:rsid w:val="7977507F"/>
    <w:rsid w:val="79945C4F"/>
    <w:rsid w:val="79A66E17"/>
    <w:rsid w:val="79CB6D00"/>
    <w:rsid w:val="7A1B40E7"/>
    <w:rsid w:val="7A313ED0"/>
    <w:rsid w:val="7A5450DE"/>
    <w:rsid w:val="7A9D0F2F"/>
    <w:rsid w:val="7AA90F93"/>
    <w:rsid w:val="7ABF47DA"/>
    <w:rsid w:val="7AE867C3"/>
    <w:rsid w:val="7B343DB9"/>
    <w:rsid w:val="7B3F716E"/>
    <w:rsid w:val="7B4B7E81"/>
    <w:rsid w:val="7B707DB5"/>
    <w:rsid w:val="7B765EF3"/>
    <w:rsid w:val="7B895EAA"/>
    <w:rsid w:val="7BEC055C"/>
    <w:rsid w:val="7BFD69B1"/>
    <w:rsid w:val="7C4F33DB"/>
    <w:rsid w:val="7CCE5140"/>
    <w:rsid w:val="7D351A13"/>
    <w:rsid w:val="7D797F87"/>
    <w:rsid w:val="7DE66F15"/>
    <w:rsid w:val="7DF524CB"/>
    <w:rsid w:val="7E116F41"/>
    <w:rsid w:val="7E5D172F"/>
    <w:rsid w:val="7E6047A2"/>
    <w:rsid w:val="7E736E2A"/>
    <w:rsid w:val="7EC1343B"/>
    <w:rsid w:val="7EC53492"/>
    <w:rsid w:val="7F817BBA"/>
    <w:rsid w:val="7FCE61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85"/>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190"/>
    <w:qFormat/>
    <w:uiPriority w:val="0"/>
    <w:pPr>
      <w:keepNext/>
      <w:keepLines/>
      <w:spacing w:before="260" w:after="260" w:line="416" w:lineRule="auto"/>
      <w:outlineLvl w:val="1"/>
    </w:pPr>
    <w:rPr>
      <w:rFonts w:ascii="Cambria" w:hAnsi="Cambria"/>
      <w:b/>
      <w:bCs/>
      <w:sz w:val="32"/>
      <w:szCs w:val="32"/>
    </w:rPr>
  </w:style>
  <w:style w:type="paragraph" w:styleId="5">
    <w:name w:val="heading 3"/>
    <w:basedOn w:val="1"/>
    <w:next w:val="1"/>
    <w:link w:val="299"/>
    <w:qFormat/>
    <w:uiPriority w:val="0"/>
    <w:pPr>
      <w:keepNext/>
      <w:keepLines/>
      <w:spacing w:before="260" w:after="260" w:line="416" w:lineRule="auto"/>
      <w:outlineLvl w:val="2"/>
    </w:pPr>
    <w:rPr>
      <w:b/>
      <w:bCs/>
      <w:sz w:val="32"/>
      <w:szCs w:val="32"/>
    </w:rPr>
  </w:style>
  <w:style w:type="paragraph" w:styleId="6">
    <w:name w:val="heading 4"/>
    <w:basedOn w:val="4"/>
    <w:next w:val="1"/>
    <w:link w:val="158"/>
    <w:qFormat/>
    <w:uiPriority w:val="0"/>
    <w:pPr>
      <w:widowControl/>
      <w:spacing w:before="100" w:beforeAutospacing="1" w:after="100" w:afterAutospacing="1"/>
      <w:jc w:val="left"/>
      <w:outlineLvl w:val="3"/>
    </w:pPr>
    <w:rPr>
      <w:rFonts w:ascii="宋体" w:hAnsi="宋体" w:cs="宋体"/>
      <w:kern w:val="0"/>
      <w:sz w:val="24"/>
    </w:rPr>
  </w:style>
  <w:style w:type="paragraph" w:styleId="7">
    <w:name w:val="heading 5"/>
    <w:basedOn w:val="1"/>
    <w:next w:val="1"/>
    <w:link w:val="272"/>
    <w:qFormat/>
    <w:uiPriority w:val="0"/>
    <w:pPr>
      <w:widowControl/>
      <w:spacing w:before="100" w:beforeAutospacing="1" w:after="100" w:afterAutospacing="1"/>
      <w:jc w:val="left"/>
      <w:outlineLvl w:val="4"/>
    </w:pPr>
    <w:rPr>
      <w:rFonts w:ascii="宋体" w:hAnsi="宋体" w:cs="宋体"/>
      <w:b/>
      <w:bCs/>
      <w:kern w:val="0"/>
      <w:sz w:val="20"/>
      <w:szCs w:val="20"/>
    </w:rPr>
  </w:style>
  <w:style w:type="paragraph" w:styleId="8">
    <w:name w:val="heading 6"/>
    <w:basedOn w:val="9"/>
    <w:next w:val="1"/>
    <w:link w:val="228"/>
    <w:qFormat/>
    <w:uiPriority w:val="0"/>
    <w:pPr>
      <w:keepNext/>
      <w:keepLines/>
      <w:ind w:firstLine="200" w:firstLineChars="200"/>
      <w:outlineLvl w:val="5"/>
    </w:pPr>
    <w:rPr>
      <w:rFonts w:hAnsi="Arial"/>
    </w:rPr>
  </w:style>
  <w:style w:type="paragraph" w:styleId="10">
    <w:name w:val="heading 7"/>
    <w:basedOn w:val="1"/>
    <w:next w:val="1"/>
    <w:link w:val="283"/>
    <w:qFormat/>
    <w:uiPriority w:val="0"/>
    <w:pPr>
      <w:keepNext/>
      <w:keepLines/>
      <w:adjustRightInd w:val="0"/>
      <w:spacing w:line="480" w:lineRule="atLeast"/>
      <w:ind w:left="1425" w:leftChars="175" w:hanging="900" w:hangingChars="300"/>
      <w:textAlignment w:val="baseline"/>
      <w:outlineLvl w:val="6"/>
    </w:pPr>
    <w:rPr>
      <w:rFonts w:eastAsia="仿宋_GB2312"/>
      <w:kern w:val="0"/>
      <w:sz w:val="30"/>
      <w:szCs w:val="20"/>
    </w:rPr>
  </w:style>
  <w:style w:type="paragraph" w:styleId="11">
    <w:name w:val="heading 8"/>
    <w:basedOn w:val="1"/>
    <w:next w:val="1"/>
    <w:link w:val="242"/>
    <w:qFormat/>
    <w:uiPriority w:val="0"/>
    <w:pPr>
      <w:adjustRightInd w:val="0"/>
      <w:spacing w:line="480" w:lineRule="atLeast"/>
      <w:ind w:left="2232" w:leftChars="450" w:hanging="882" w:hangingChars="294"/>
      <w:textAlignment w:val="baseline"/>
      <w:outlineLvl w:val="7"/>
    </w:pPr>
    <w:rPr>
      <w:rFonts w:hAnsi="Arial" w:eastAsia="仿宋_GB2312"/>
      <w:kern w:val="0"/>
      <w:sz w:val="30"/>
      <w:szCs w:val="20"/>
    </w:rPr>
  </w:style>
  <w:style w:type="paragraph" w:styleId="12">
    <w:name w:val="heading 9"/>
    <w:basedOn w:val="1"/>
    <w:next w:val="1"/>
    <w:link w:val="241"/>
    <w:qFormat/>
    <w:uiPriority w:val="0"/>
    <w:pPr>
      <w:keepNext/>
      <w:keepLines/>
      <w:adjustRightInd w:val="0"/>
      <w:spacing w:line="480" w:lineRule="atLeast"/>
      <w:ind w:left="2979" w:leftChars="715" w:hanging="834" w:hangingChars="278"/>
      <w:textAlignment w:val="baseline"/>
      <w:outlineLvl w:val="8"/>
    </w:pPr>
    <w:rPr>
      <w:rFonts w:eastAsia="仿宋_GB2312"/>
      <w:kern w:val="0"/>
      <w:sz w:val="30"/>
      <w:szCs w:val="20"/>
    </w:rPr>
  </w:style>
  <w:style w:type="character" w:default="1" w:styleId="47">
    <w:name w:val="Default Paragraph Font"/>
    <w:semiHidden/>
    <w:unhideWhenUsed/>
    <w:qFormat/>
    <w:uiPriority w:val="1"/>
  </w:style>
  <w:style w:type="table" w:default="1" w:styleId="4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225"/>
    <w:qFormat/>
    <w:uiPriority w:val="0"/>
    <w:pPr>
      <w:spacing w:after="120"/>
    </w:pPr>
  </w:style>
  <w:style w:type="paragraph" w:styleId="9">
    <w:name w:val="Normal Indent"/>
    <w:basedOn w:val="1"/>
    <w:qFormat/>
    <w:uiPriority w:val="0"/>
    <w:pPr>
      <w:adjustRightInd w:val="0"/>
      <w:spacing w:line="480" w:lineRule="atLeast"/>
      <w:ind w:firstLine="600"/>
      <w:textAlignment w:val="baseline"/>
    </w:pPr>
    <w:rPr>
      <w:rFonts w:eastAsia="仿宋_GB2312"/>
      <w:kern w:val="0"/>
      <w:sz w:val="30"/>
      <w:szCs w:val="20"/>
    </w:rPr>
  </w:style>
  <w:style w:type="paragraph" w:styleId="13">
    <w:name w:val="toc 7"/>
    <w:basedOn w:val="1"/>
    <w:next w:val="1"/>
    <w:qFormat/>
    <w:uiPriority w:val="39"/>
    <w:pPr>
      <w:ind w:left="1260"/>
      <w:jc w:val="left"/>
    </w:pPr>
    <w:rPr>
      <w:sz w:val="18"/>
      <w:szCs w:val="18"/>
    </w:rPr>
  </w:style>
  <w:style w:type="paragraph" w:styleId="14">
    <w:name w:val="caption"/>
    <w:basedOn w:val="1"/>
    <w:next w:val="1"/>
    <w:qFormat/>
    <w:uiPriority w:val="0"/>
    <w:rPr>
      <w:rFonts w:ascii="Cambria" w:hAnsi="Cambria" w:eastAsia="黑体"/>
      <w:sz w:val="20"/>
      <w:szCs w:val="20"/>
    </w:rPr>
  </w:style>
  <w:style w:type="paragraph" w:styleId="15">
    <w:name w:val="Document Map"/>
    <w:basedOn w:val="1"/>
    <w:link w:val="162"/>
    <w:qFormat/>
    <w:uiPriority w:val="0"/>
    <w:pPr>
      <w:shd w:val="clear" w:color="auto" w:fill="000080"/>
    </w:pPr>
  </w:style>
  <w:style w:type="paragraph" w:styleId="16">
    <w:name w:val="annotation text"/>
    <w:basedOn w:val="1"/>
    <w:link w:val="305"/>
    <w:qFormat/>
    <w:uiPriority w:val="99"/>
    <w:pPr>
      <w:jc w:val="left"/>
    </w:pPr>
  </w:style>
  <w:style w:type="paragraph" w:styleId="17">
    <w:name w:val="Body Text 3"/>
    <w:basedOn w:val="1"/>
    <w:link w:val="257"/>
    <w:qFormat/>
    <w:uiPriority w:val="0"/>
    <w:pPr>
      <w:spacing w:after="120"/>
    </w:pPr>
    <w:rPr>
      <w:sz w:val="16"/>
      <w:szCs w:val="16"/>
    </w:rPr>
  </w:style>
  <w:style w:type="paragraph" w:styleId="18">
    <w:name w:val="Body Text Indent"/>
    <w:basedOn w:val="1"/>
    <w:link w:val="240"/>
    <w:qFormat/>
    <w:uiPriority w:val="0"/>
    <w:pPr>
      <w:ind w:firstLine="407" w:firstLineChars="200"/>
    </w:pPr>
  </w:style>
  <w:style w:type="paragraph" w:styleId="19">
    <w:name w:val="Block Text"/>
    <w:basedOn w:val="1"/>
    <w:qFormat/>
    <w:uiPriority w:val="0"/>
    <w:pPr>
      <w:autoSpaceDE w:val="0"/>
      <w:autoSpaceDN w:val="0"/>
      <w:adjustRightInd w:val="0"/>
      <w:spacing w:line="1270" w:lineRule="exact"/>
      <w:ind w:left="2160" w:right="-20" w:hanging="2160" w:hangingChars="300"/>
      <w:jc w:val="left"/>
    </w:pPr>
    <w:rPr>
      <w:rFonts w:eastAsia="仿宋_GB2312"/>
      <w:sz w:val="72"/>
    </w:rPr>
  </w:style>
  <w:style w:type="paragraph" w:styleId="20">
    <w:name w:val="index 4"/>
    <w:basedOn w:val="1"/>
    <w:next w:val="1"/>
    <w:qFormat/>
    <w:uiPriority w:val="0"/>
    <w:pPr>
      <w:ind w:left="600" w:leftChars="600"/>
    </w:pPr>
  </w:style>
  <w:style w:type="paragraph" w:styleId="21">
    <w:name w:val="toc 5"/>
    <w:basedOn w:val="1"/>
    <w:next w:val="1"/>
    <w:qFormat/>
    <w:uiPriority w:val="39"/>
    <w:pPr>
      <w:ind w:left="840"/>
      <w:jc w:val="left"/>
    </w:pPr>
    <w:rPr>
      <w:sz w:val="18"/>
      <w:szCs w:val="18"/>
    </w:rPr>
  </w:style>
  <w:style w:type="paragraph" w:styleId="22">
    <w:name w:val="toc 3"/>
    <w:basedOn w:val="5"/>
    <w:next w:val="1"/>
    <w:qFormat/>
    <w:uiPriority w:val="39"/>
    <w:pPr>
      <w:keepNext w:val="0"/>
      <w:keepLines w:val="0"/>
      <w:spacing w:before="0" w:after="0" w:line="240" w:lineRule="auto"/>
      <w:ind w:left="420"/>
      <w:jc w:val="left"/>
      <w:outlineLvl w:val="9"/>
    </w:pPr>
    <w:rPr>
      <w:b w:val="0"/>
      <w:bCs w:val="0"/>
      <w:i/>
      <w:iCs/>
      <w:sz w:val="20"/>
      <w:szCs w:val="20"/>
    </w:rPr>
  </w:style>
  <w:style w:type="paragraph" w:styleId="23">
    <w:name w:val="Plain Text"/>
    <w:basedOn w:val="1"/>
    <w:link w:val="202"/>
    <w:qFormat/>
    <w:uiPriority w:val="0"/>
    <w:rPr>
      <w:rFonts w:ascii="宋体" w:hAnsi="Courier New" w:cs="Courier New"/>
      <w:szCs w:val="21"/>
    </w:rPr>
  </w:style>
  <w:style w:type="paragraph" w:styleId="24">
    <w:name w:val="toc 8"/>
    <w:basedOn w:val="1"/>
    <w:next w:val="1"/>
    <w:qFormat/>
    <w:uiPriority w:val="39"/>
    <w:pPr>
      <w:ind w:left="1470"/>
      <w:jc w:val="left"/>
    </w:pPr>
    <w:rPr>
      <w:sz w:val="18"/>
      <w:szCs w:val="18"/>
    </w:rPr>
  </w:style>
  <w:style w:type="paragraph" w:styleId="25">
    <w:name w:val="Date"/>
    <w:basedOn w:val="1"/>
    <w:next w:val="1"/>
    <w:link w:val="166"/>
    <w:qFormat/>
    <w:uiPriority w:val="0"/>
    <w:pPr>
      <w:ind w:left="100" w:leftChars="2500"/>
    </w:pPr>
  </w:style>
  <w:style w:type="paragraph" w:styleId="26">
    <w:name w:val="Body Text Indent 2"/>
    <w:basedOn w:val="1"/>
    <w:link w:val="237"/>
    <w:qFormat/>
    <w:uiPriority w:val="0"/>
    <w:pPr>
      <w:widowControl/>
      <w:spacing w:line="480" w:lineRule="auto"/>
      <w:ind w:firstLine="560"/>
      <w:jc w:val="left"/>
    </w:pPr>
    <w:rPr>
      <w:kern w:val="0"/>
      <w:sz w:val="28"/>
    </w:rPr>
  </w:style>
  <w:style w:type="paragraph" w:styleId="27">
    <w:name w:val="endnote text"/>
    <w:basedOn w:val="1"/>
    <w:link w:val="210"/>
    <w:qFormat/>
    <w:uiPriority w:val="0"/>
    <w:pPr>
      <w:widowControl/>
      <w:snapToGrid w:val="0"/>
      <w:jc w:val="left"/>
    </w:pPr>
    <w:rPr>
      <w:rFonts w:ascii="Arial" w:hAnsi="Arial" w:cs="Arial"/>
      <w:kern w:val="0"/>
      <w:sz w:val="20"/>
      <w:lang w:eastAsia="en-US"/>
    </w:rPr>
  </w:style>
  <w:style w:type="paragraph" w:styleId="28">
    <w:name w:val="Balloon Text"/>
    <w:basedOn w:val="1"/>
    <w:link w:val="205"/>
    <w:qFormat/>
    <w:uiPriority w:val="0"/>
    <w:rPr>
      <w:sz w:val="18"/>
      <w:szCs w:val="18"/>
    </w:rPr>
  </w:style>
  <w:style w:type="paragraph" w:styleId="29">
    <w:name w:val="footer"/>
    <w:basedOn w:val="1"/>
    <w:link w:val="197"/>
    <w:qFormat/>
    <w:uiPriority w:val="0"/>
    <w:pPr>
      <w:tabs>
        <w:tab w:val="center" w:pos="4153"/>
        <w:tab w:val="right" w:pos="8306"/>
      </w:tabs>
      <w:snapToGrid w:val="0"/>
      <w:jc w:val="left"/>
    </w:pPr>
    <w:rPr>
      <w:sz w:val="18"/>
      <w:szCs w:val="18"/>
    </w:rPr>
  </w:style>
  <w:style w:type="paragraph" w:styleId="30">
    <w:name w:val="header"/>
    <w:basedOn w:val="1"/>
    <w:link w:val="291"/>
    <w:qFormat/>
    <w:uiPriority w:val="0"/>
    <w:pPr>
      <w:pBdr>
        <w:bottom w:val="single" w:color="auto" w:sz="6" w:space="1"/>
      </w:pBdr>
      <w:tabs>
        <w:tab w:val="center" w:pos="4153"/>
        <w:tab w:val="right" w:pos="8306"/>
      </w:tabs>
      <w:snapToGrid w:val="0"/>
      <w:jc w:val="center"/>
    </w:pPr>
    <w:rPr>
      <w:sz w:val="18"/>
      <w:szCs w:val="18"/>
    </w:rPr>
  </w:style>
  <w:style w:type="paragraph" w:styleId="31">
    <w:name w:val="toc 1"/>
    <w:basedOn w:val="3"/>
    <w:next w:val="1"/>
    <w:qFormat/>
    <w:uiPriority w:val="39"/>
    <w:pPr>
      <w:keepNext w:val="0"/>
      <w:keepLines w:val="0"/>
      <w:spacing w:before="120" w:after="120" w:line="240" w:lineRule="auto"/>
      <w:jc w:val="left"/>
      <w:outlineLvl w:val="9"/>
    </w:pPr>
    <w:rPr>
      <w:caps/>
      <w:kern w:val="2"/>
      <w:sz w:val="20"/>
      <w:szCs w:val="20"/>
    </w:rPr>
  </w:style>
  <w:style w:type="paragraph" w:styleId="32">
    <w:name w:val="toc 4"/>
    <w:basedOn w:val="6"/>
    <w:next w:val="1"/>
    <w:qFormat/>
    <w:uiPriority w:val="39"/>
    <w:pPr>
      <w:widowControl w:val="0"/>
      <w:spacing w:before="0" w:beforeAutospacing="0" w:after="0" w:afterAutospacing="0"/>
      <w:ind w:left="630"/>
      <w:outlineLvl w:val="9"/>
    </w:pPr>
    <w:rPr>
      <w:rFonts w:ascii="Times New Roman" w:hAnsi="Times New Roman" w:cs="Times New Roman"/>
      <w:b w:val="0"/>
      <w:bCs w:val="0"/>
      <w:kern w:val="2"/>
      <w:sz w:val="18"/>
      <w:szCs w:val="18"/>
    </w:rPr>
  </w:style>
  <w:style w:type="paragraph" w:styleId="33">
    <w:name w:val="Subtitle"/>
    <w:basedOn w:val="1"/>
    <w:link w:val="307"/>
    <w:qFormat/>
    <w:uiPriority w:val="0"/>
    <w:pPr>
      <w:widowControl/>
      <w:jc w:val="center"/>
    </w:pPr>
    <w:rPr>
      <w:kern w:val="0"/>
      <w:sz w:val="20"/>
      <w:u w:val="single"/>
      <w:lang w:eastAsia="en-US"/>
    </w:rPr>
  </w:style>
  <w:style w:type="paragraph" w:styleId="34">
    <w:name w:val="footnote text"/>
    <w:basedOn w:val="1"/>
    <w:link w:val="285"/>
    <w:qFormat/>
    <w:uiPriority w:val="0"/>
    <w:pPr>
      <w:widowControl/>
      <w:snapToGrid w:val="0"/>
      <w:jc w:val="left"/>
    </w:pPr>
    <w:rPr>
      <w:rFonts w:ascii="Arial" w:hAnsi="Arial" w:cs="Arial"/>
      <w:kern w:val="0"/>
      <w:sz w:val="18"/>
      <w:szCs w:val="18"/>
      <w:lang w:eastAsia="en-US"/>
    </w:rPr>
  </w:style>
  <w:style w:type="paragraph" w:styleId="35">
    <w:name w:val="toc 6"/>
    <w:basedOn w:val="1"/>
    <w:next w:val="1"/>
    <w:qFormat/>
    <w:uiPriority w:val="39"/>
    <w:pPr>
      <w:ind w:left="1050"/>
      <w:jc w:val="left"/>
    </w:pPr>
    <w:rPr>
      <w:sz w:val="18"/>
      <w:szCs w:val="18"/>
    </w:rPr>
  </w:style>
  <w:style w:type="paragraph" w:styleId="36">
    <w:name w:val="Body Text Indent 3"/>
    <w:basedOn w:val="1"/>
    <w:link w:val="244"/>
    <w:qFormat/>
    <w:uiPriority w:val="0"/>
    <w:pPr>
      <w:spacing w:line="360" w:lineRule="auto"/>
      <w:ind w:firstLine="280" w:firstLineChars="100"/>
    </w:pPr>
    <w:rPr>
      <w:rFonts w:ascii="宋体" w:hAnsi="宋体"/>
      <w:sz w:val="28"/>
      <w:szCs w:val="28"/>
    </w:rPr>
  </w:style>
  <w:style w:type="paragraph" w:styleId="37">
    <w:name w:val="toc 2"/>
    <w:basedOn w:val="4"/>
    <w:next w:val="1"/>
    <w:qFormat/>
    <w:uiPriority w:val="39"/>
    <w:pPr>
      <w:keepNext w:val="0"/>
      <w:keepLines w:val="0"/>
      <w:spacing w:before="0" w:after="0" w:line="240" w:lineRule="auto"/>
      <w:ind w:left="210"/>
      <w:jc w:val="left"/>
      <w:outlineLvl w:val="9"/>
    </w:pPr>
    <w:rPr>
      <w:rFonts w:ascii="Times New Roman" w:hAnsi="Times New Roman"/>
      <w:b w:val="0"/>
      <w:bCs w:val="0"/>
      <w:smallCaps/>
      <w:sz w:val="20"/>
      <w:szCs w:val="20"/>
    </w:rPr>
  </w:style>
  <w:style w:type="paragraph" w:styleId="38">
    <w:name w:val="toc 9"/>
    <w:basedOn w:val="1"/>
    <w:next w:val="1"/>
    <w:qFormat/>
    <w:uiPriority w:val="39"/>
    <w:pPr>
      <w:ind w:left="1680"/>
      <w:jc w:val="left"/>
    </w:pPr>
    <w:rPr>
      <w:sz w:val="18"/>
      <w:szCs w:val="18"/>
    </w:rPr>
  </w:style>
  <w:style w:type="paragraph" w:styleId="39">
    <w:name w:val="Body Text 2"/>
    <w:basedOn w:val="1"/>
    <w:link w:val="231"/>
    <w:qFormat/>
    <w:uiPriority w:val="0"/>
    <w:rPr>
      <w:i/>
      <w:iCs/>
      <w:sz w:val="26"/>
    </w:rPr>
  </w:style>
  <w:style w:type="paragraph" w:styleId="40">
    <w:name w:val="HTML Preformatted"/>
    <w:basedOn w:val="1"/>
    <w:link w:val="161"/>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rPr>
  </w:style>
  <w:style w:type="paragraph" w:styleId="41">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paragraph" w:styleId="42">
    <w:name w:val="index 1"/>
    <w:basedOn w:val="1"/>
    <w:next w:val="1"/>
    <w:qFormat/>
    <w:uiPriority w:val="0"/>
    <w:pPr>
      <w:spacing w:line="220" w:lineRule="exact"/>
      <w:jc w:val="center"/>
    </w:pPr>
    <w:rPr>
      <w:rFonts w:ascii="仿宋_GB2312" w:eastAsia="仿宋_GB2312"/>
      <w:szCs w:val="21"/>
    </w:rPr>
  </w:style>
  <w:style w:type="paragraph" w:styleId="43">
    <w:name w:val="Title"/>
    <w:basedOn w:val="1"/>
    <w:link w:val="236"/>
    <w:qFormat/>
    <w:uiPriority w:val="0"/>
    <w:pPr>
      <w:widowControl/>
      <w:jc w:val="center"/>
    </w:pPr>
    <w:rPr>
      <w:kern w:val="0"/>
      <w:sz w:val="20"/>
      <w:u w:val="single"/>
      <w:lang w:eastAsia="en-US"/>
    </w:rPr>
  </w:style>
  <w:style w:type="paragraph" w:styleId="44">
    <w:name w:val="annotation subject"/>
    <w:basedOn w:val="16"/>
    <w:next w:val="16"/>
    <w:link w:val="280"/>
    <w:qFormat/>
    <w:uiPriority w:val="0"/>
    <w:rPr>
      <w:b/>
      <w:bCs/>
    </w:rPr>
  </w:style>
  <w:style w:type="table" w:styleId="46">
    <w:name w:val="Table Grid"/>
    <w:basedOn w:val="45"/>
    <w:qFormat/>
    <w:uiPriority w:val="59"/>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48">
    <w:name w:val="Strong"/>
    <w:qFormat/>
    <w:uiPriority w:val="0"/>
    <w:rPr>
      <w:b/>
      <w:bCs/>
    </w:rPr>
  </w:style>
  <w:style w:type="character" w:styleId="49">
    <w:name w:val="endnote reference"/>
    <w:qFormat/>
    <w:uiPriority w:val="0"/>
    <w:rPr>
      <w:vertAlign w:val="superscript"/>
    </w:rPr>
  </w:style>
  <w:style w:type="character" w:styleId="50">
    <w:name w:val="page number"/>
    <w:basedOn w:val="47"/>
    <w:qFormat/>
    <w:uiPriority w:val="0"/>
  </w:style>
  <w:style w:type="character" w:styleId="51">
    <w:name w:val="FollowedHyperlink"/>
    <w:qFormat/>
    <w:uiPriority w:val="0"/>
    <w:rPr>
      <w:color w:val="800080"/>
      <w:u w:val="single"/>
    </w:rPr>
  </w:style>
  <w:style w:type="character" w:styleId="52">
    <w:name w:val="Emphasis"/>
    <w:qFormat/>
    <w:uiPriority w:val="0"/>
    <w:rPr>
      <w:i/>
      <w:iCs/>
    </w:rPr>
  </w:style>
  <w:style w:type="character" w:styleId="53">
    <w:name w:val="Hyperlink"/>
    <w:qFormat/>
    <w:uiPriority w:val="99"/>
    <w:rPr>
      <w:color w:val="0000FF"/>
      <w:u w:val="single"/>
    </w:rPr>
  </w:style>
  <w:style w:type="character" w:styleId="54">
    <w:name w:val="annotation reference"/>
    <w:qFormat/>
    <w:uiPriority w:val="0"/>
    <w:rPr>
      <w:sz w:val="21"/>
      <w:szCs w:val="21"/>
    </w:rPr>
  </w:style>
  <w:style w:type="character" w:styleId="55">
    <w:name w:val="footnote reference"/>
    <w:qFormat/>
    <w:uiPriority w:val="0"/>
    <w:rPr>
      <w:vertAlign w:val="superscript"/>
    </w:rPr>
  </w:style>
  <w:style w:type="paragraph" w:customStyle="1" w:styleId="56">
    <w:name w:val="列出段落1"/>
    <w:basedOn w:val="1"/>
    <w:qFormat/>
    <w:uiPriority w:val="99"/>
    <w:pPr>
      <w:ind w:firstLine="420" w:firstLineChars="200"/>
    </w:pPr>
    <w:rPr>
      <w:sz w:val="28"/>
      <w:szCs w:val="28"/>
    </w:rPr>
  </w:style>
  <w:style w:type="paragraph" w:customStyle="1" w:styleId="57">
    <w:name w:val="_Style 56"/>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58">
    <w:name w:val="zz"/>
    <w:basedOn w:val="1"/>
    <w:qFormat/>
    <w:uiPriority w:val="0"/>
    <w:pPr>
      <w:widowControl/>
      <w:spacing w:before="30"/>
      <w:jc w:val="right"/>
    </w:pPr>
    <w:rPr>
      <w:rFonts w:ascii="方正书宋简体" w:hAnsi="宋体" w:eastAsia="方正书宋简体"/>
      <w:color w:val="000000"/>
      <w:kern w:val="0"/>
      <w:szCs w:val="21"/>
    </w:rPr>
  </w:style>
  <w:style w:type="paragraph" w:customStyle="1" w:styleId="59">
    <w:name w:val="Char Char Char Char Char Char Char Char Char Char Char Char Char Char Char Char"/>
    <w:basedOn w:val="15"/>
    <w:qFormat/>
    <w:uiPriority w:val="0"/>
    <w:pPr>
      <w:spacing w:line="360" w:lineRule="auto"/>
      <w:ind w:firstLine="200" w:firstLineChars="200"/>
    </w:pPr>
    <w:rPr>
      <w:rFonts w:ascii="Tahoma" w:hAnsi="Tahoma"/>
      <w:sz w:val="24"/>
    </w:rPr>
  </w:style>
  <w:style w:type="paragraph" w:customStyle="1" w:styleId="60">
    <w:name w:val="mtitle"/>
    <w:basedOn w:val="1"/>
    <w:qFormat/>
    <w:uiPriority w:val="0"/>
    <w:pPr>
      <w:widowControl/>
      <w:spacing w:before="30"/>
      <w:jc w:val="center"/>
    </w:pPr>
    <w:rPr>
      <w:rFonts w:ascii="方正小标宋简体" w:hAnsi="宋体" w:eastAsia="方正小标宋简体"/>
      <w:color w:val="000000"/>
      <w:kern w:val="0"/>
      <w:sz w:val="44"/>
      <w:szCs w:val="44"/>
    </w:rPr>
  </w:style>
  <w:style w:type="paragraph" w:customStyle="1" w:styleId="61">
    <w:name w:val="zw"/>
    <w:basedOn w:val="1"/>
    <w:qFormat/>
    <w:uiPriority w:val="0"/>
    <w:pPr>
      <w:widowControl/>
      <w:spacing w:before="30"/>
      <w:ind w:left="100" w:right="100"/>
    </w:pPr>
    <w:rPr>
      <w:rFonts w:ascii="方正书宋简体" w:hAnsi="宋体" w:eastAsia="方正书宋简体"/>
      <w:color w:val="000000"/>
      <w:kern w:val="0"/>
      <w:szCs w:val="21"/>
    </w:rPr>
  </w:style>
  <w:style w:type="paragraph" w:customStyle="1" w:styleId="62">
    <w:name w:val="1 Char"/>
    <w:basedOn w:val="1"/>
    <w:qFormat/>
    <w:uiPriority w:val="0"/>
    <w:pPr>
      <w:widowControl/>
      <w:spacing w:after="160" w:line="240" w:lineRule="exact"/>
      <w:jc w:val="left"/>
    </w:pPr>
    <w:rPr>
      <w:rFonts w:ascii="Calibri" w:hAnsi="Calibri"/>
      <w:szCs w:val="20"/>
    </w:rPr>
  </w:style>
  <w:style w:type="paragraph" w:customStyle="1" w:styleId="63">
    <w:name w:val="列表段落1"/>
    <w:basedOn w:val="1"/>
    <w:qFormat/>
    <w:uiPriority w:val="34"/>
    <w:pPr>
      <w:ind w:firstLine="420" w:firstLineChars="200"/>
    </w:pPr>
    <w:rPr>
      <w:rFonts w:ascii="Calibri" w:hAnsi="Calibri"/>
    </w:rPr>
  </w:style>
  <w:style w:type="paragraph" w:customStyle="1" w:styleId="64">
    <w:name w:val="Char Char Char Char Char Char Char Char Char Char"/>
    <w:basedOn w:val="15"/>
    <w:qFormat/>
    <w:uiPriority w:val="0"/>
    <w:pPr>
      <w:spacing w:line="360" w:lineRule="auto"/>
      <w:ind w:firstLine="200" w:firstLineChars="200"/>
    </w:pPr>
    <w:rPr>
      <w:rFonts w:ascii="Tahoma" w:hAnsi="Tahoma"/>
      <w:sz w:val="24"/>
    </w:rPr>
  </w:style>
  <w:style w:type="paragraph" w:customStyle="1" w:styleId="65">
    <w:name w:val="样式 标题 3 + (中文) 黑体 小四 非加粗 段前: 7.8 磅 段后: 0 磅 行距: 固定值 20 磅"/>
    <w:basedOn w:val="5"/>
    <w:next w:val="1"/>
    <w:qFormat/>
    <w:uiPriority w:val="0"/>
    <w:pPr>
      <w:spacing w:before="0" w:after="0" w:line="400" w:lineRule="exact"/>
    </w:pPr>
    <w:rPr>
      <w:rFonts w:eastAsia="黑体" w:cs="宋体"/>
      <w:b w:val="0"/>
      <w:bCs w:val="0"/>
      <w:sz w:val="24"/>
      <w:szCs w:val="20"/>
    </w:rPr>
  </w:style>
  <w:style w:type="paragraph" w:customStyle="1" w:styleId="66">
    <w:name w:val="正文 New New New New New New New New New New New New New New New"/>
    <w:qFormat/>
    <w:uiPriority w:val="0"/>
    <w:pPr>
      <w:widowControl w:val="0"/>
      <w:jc w:val="both"/>
    </w:pPr>
    <w:rPr>
      <w:rFonts w:ascii="Calibri" w:hAnsi="Calibri" w:eastAsia="宋体" w:cs="Times New Roman"/>
      <w:kern w:val="2"/>
      <w:sz w:val="21"/>
      <w:lang w:val="en-US" w:eastAsia="zh-CN" w:bidi="ar-SA"/>
    </w:rPr>
  </w:style>
  <w:style w:type="paragraph" w:customStyle="1" w:styleId="67">
    <w:name w:val="TOC 标题2"/>
    <w:basedOn w:val="3"/>
    <w:next w:val="1"/>
    <w:unhideWhenUsed/>
    <w:qFormat/>
    <w:uiPriority w:val="0"/>
    <w:pPr>
      <w:outlineLvl w:val="9"/>
    </w:pPr>
    <w:rPr>
      <w:rFonts w:ascii="Calibri" w:hAnsi="Calibri"/>
    </w:rPr>
  </w:style>
  <w:style w:type="paragraph" w:customStyle="1" w:styleId="68">
    <w:name w:val="样式1"/>
    <w:basedOn w:val="1"/>
    <w:next w:val="6"/>
    <w:qFormat/>
    <w:uiPriority w:val="0"/>
    <w:pPr>
      <w:spacing w:line="360" w:lineRule="auto"/>
      <w:ind w:firstLine="420" w:firstLineChars="200"/>
    </w:pPr>
    <w:rPr>
      <w:rFonts w:ascii="宋体" w:hAnsi="宋体"/>
      <w:szCs w:val="21"/>
    </w:rPr>
  </w:style>
  <w:style w:type="paragraph" w:customStyle="1" w:styleId="69">
    <w:name w:val="列出段落111"/>
    <w:basedOn w:val="1"/>
    <w:qFormat/>
    <w:uiPriority w:val="0"/>
    <w:pPr>
      <w:ind w:firstLine="420" w:firstLineChars="200"/>
    </w:pPr>
    <w:rPr>
      <w:sz w:val="28"/>
      <w:szCs w:val="28"/>
    </w:rPr>
  </w:style>
  <w:style w:type="paragraph" w:customStyle="1" w:styleId="70">
    <w:name w:val="g2"/>
    <w:basedOn w:val="1"/>
    <w:qFormat/>
    <w:uiPriority w:val="0"/>
    <w:pPr>
      <w:widowControl/>
      <w:spacing w:before="100" w:beforeAutospacing="1" w:after="100" w:afterAutospacing="1"/>
      <w:jc w:val="left"/>
    </w:pPr>
    <w:rPr>
      <w:rFonts w:ascii="仿宋_GB2312" w:hAnsi="宋体" w:eastAsia="仿宋_GB2312" w:cs="宋体"/>
      <w:kern w:val="0"/>
      <w:sz w:val="17"/>
      <w:szCs w:val="17"/>
    </w:rPr>
  </w:style>
  <w:style w:type="paragraph" w:customStyle="1" w:styleId="71">
    <w:name w:val="pa-27"/>
    <w:basedOn w:val="1"/>
    <w:qFormat/>
    <w:uiPriority w:val="0"/>
    <w:pPr>
      <w:widowControl/>
      <w:spacing w:line="360" w:lineRule="atLeast"/>
      <w:ind w:firstLine="420"/>
    </w:pPr>
    <w:rPr>
      <w:rFonts w:ascii="宋体" w:hAnsi="宋体" w:cs="宋体"/>
      <w:kern w:val="0"/>
      <w:sz w:val="24"/>
    </w:rPr>
  </w:style>
  <w:style w:type="paragraph" w:customStyle="1" w:styleId="72">
    <w:name w:val="标题1"/>
    <w:basedOn w:val="1"/>
    <w:qFormat/>
    <w:uiPriority w:val="0"/>
    <w:pPr>
      <w:widowControl/>
      <w:spacing w:before="100" w:beforeAutospacing="1" w:after="100" w:afterAutospacing="1"/>
      <w:jc w:val="left"/>
    </w:pPr>
    <w:rPr>
      <w:rFonts w:ascii="宋体" w:hAnsi="宋体" w:cs="宋体"/>
      <w:kern w:val="0"/>
      <w:sz w:val="24"/>
    </w:rPr>
  </w:style>
  <w:style w:type="paragraph" w:customStyle="1" w:styleId="73">
    <w:name w:val="_Style 72"/>
    <w:qFormat/>
    <w:uiPriority w:val="0"/>
    <w:rPr>
      <w:rFonts w:ascii="Times New Roman" w:hAnsi="Times New Roman" w:eastAsia="宋体" w:cs="Times New Roman"/>
      <w:kern w:val="2"/>
      <w:sz w:val="21"/>
      <w:szCs w:val="24"/>
      <w:lang w:val="en-US" w:eastAsia="zh-CN" w:bidi="ar-SA"/>
    </w:rPr>
  </w:style>
  <w:style w:type="paragraph" w:customStyle="1" w:styleId="74">
    <w:name w:val="Char Char1 Char Char Char Char Char Char Char Char Char Char"/>
    <w:basedOn w:val="1"/>
    <w:qFormat/>
    <w:uiPriority w:val="0"/>
    <w:pPr>
      <w:autoSpaceDE w:val="0"/>
      <w:autoSpaceDN w:val="0"/>
      <w:adjustRightInd w:val="0"/>
      <w:ind w:firstLine="482"/>
    </w:pPr>
    <w:rPr>
      <w:rFonts w:ascii="Calibri" w:hAnsi="Calibri"/>
      <w:szCs w:val="20"/>
    </w:rPr>
  </w:style>
  <w:style w:type="paragraph" w:customStyle="1" w:styleId="75">
    <w:name w:val="_Style 3"/>
    <w:qFormat/>
    <w:uiPriority w:val="0"/>
    <w:pPr>
      <w:widowControl w:val="0"/>
      <w:snapToGrid w:val="0"/>
      <w:spacing w:line="360" w:lineRule="auto"/>
    </w:pPr>
    <w:rPr>
      <w:rFonts w:ascii="Calibri" w:hAnsi="Calibri" w:eastAsia="宋体" w:cs="Times New Roman"/>
      <w:snapToGrid w:val="0"/>
      <w:sz w:val="21"/>
      <w:szCs w:val="24"/>
      <w:lang w:val="en-US" w:eastAsia="zh-CN" w:bidi="ar-SA"/>
    </w:rPr>
  </w:style>
  <w:style w:type="paragraph" w:customStyle="1" w:styleId="76">
    <w:name w:val="Char Char Char Char"/>
    <w:basedOn w:val="15"/>
    <w:qFormat/>
    <w:uiPriority w:val="0"/>
    <w:pPr>
      <w:spacing w:line="360" w:lineRule="auto"/>
      <w:ind w:firstLine="200" w:firstLineChars="200"/>
    </w:pPr>
    <w:rPr>
      <w:rFonts w:ascii="Tahoma" w:hAnsi="Tahoma"/>
      <w:sz w:val="24"/>
    </w:rPr>
  </w:style>
  <w:style w:type="paragraph" w:customStyle="1" w:styleId="77">
    <w:name w:val="表格内容"/>
    <w:basedOn w:val="1"/>
    <w:qFormat/>
    <w:uiPriority w:val="0"/>
    <w:pPr>
      <w:suppressLineNumbers/>
      <w:suppressAutoHyphens/>
    </w:pPr>
  </w:style>
  <w:style w:type="paragraph" w:customStyle="1" w:styleId="78">
    <w:name w:val="_Style 90"/>
    <w:next w:val="1"/>
    <w:qFormat/>
    <w:uiPriority w:val="0"/>
    <w:pPr>
      <w:widowControl w:val="0"/>
      <w:jc w:val="both"/>
    </w:pPr>
    <w:rPr>
      <w:rFonts w:ascii="Calibri" w:hAnsi="Calibri" w:eastAsia="宋体" w:cs="Times New Roman"/>
      <w:kern w:val="2"/>
      <w:sz w:val="21"/>
      <w:szCs w:val="24"/>
      <w:lang w:val="en-US" w:eastAsia="zh-CN" w:bidi="ar-SA"/>
    </w:rPr>
  </w:style>
  <w:style w:type="paragraph" w:customStyle="1" w:styleId="79">
    <w:name w:val="标准样式（文件）"/>
    <w:qFormat/>
    <w:uiPriority w:val="0"/>
    <w:pPr>
      <w:widowControl w:val="0"/>
      <w:spacing w:line="600" w:lineRule="exact"/>
      <w:ind w:firstLine="567"/>
    </w:pPr>
    <w:rPr>
      <w:rFonts w:ascii="Calibri" w:hAnsi="Calibri" w:eastAsia="宋体" w:cs="Times New Roman"/>
      <w:sz w:val="28"/>
      <w:lang w:val="en-US" w:eastAsia="zh-CN" w:bidi="ar-SA"/>
    </w:rPr>
  </w:style>
  <w:style w:type="paragraph" w:customStyle="1" w:styleId="80">
    <w:name w:val="_Style 105"/>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81">
    <w:name w:val="明显引用1"/>
    <w:basedOn w:val="1"/>
    <w:next w:val="1"/>
    <w:link w:val="275"/>
    <w:qFormat/>
    <w:uiPriority w:val="0"/>
    <w:pPr>
      <w:pBdr>
        <w:bottom w:val="single" w:color="4F81BD" w:sz="4" w:space="4"/>
      </w:pBdr>
      <w:spacing w:before="200" w:after="280"/>
      <w:ind w:left="936" w:right="936"/>
    </w:pPr>
    <w:rPr>
      <w:b/>
      <w:bCs/>
      <w:i/>
      <w:iCs/>
      <w:color w:val="4F81BD"/>
      <w:szCs w:val="22"/>
    </w:rPr>
  </w:style>
  <w:style w:type="paragraph" w:customStyle="1" w:styleId="82">
    <w:name w:val="表体"/>
    <w:basedOn w:val="1"/>
    <w:next w:val="1"/>
    <w:qFormat/>
    <w:uiPriority w:val="0"/>
    <w:pPr>
      <w:spacing w:line="0" w:lineRule="atLeast"/>
    </w:pPr>
    <w:rPr>
      <w:rFonts w:ascii="Calibri" w:hAnsi="Calibri"/>
      <w:b/>
      <w:snapToGrid w:val="0"/>
      <w:szCs w:val="20"/>
    </w:rPr>
  </w:style>
  <w:style w:type="paragraph" w:customStyle="1" w:styleId="83">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Calibri" w:hAnsi="Calibri" w:eastAsia="宋体" w:cs="Times New Roman"/>
      <w:kern w:val="2"/>
      <w:sz w:val="21"/>
      <w:lang w:val="en-US" w:eastAsia="zh-CN" w:bidi="ar-SA"/>
    </w:rPr>
  </w:style>
  <w:style w:type="paragraph" w:customStyle="1" w:styleId="84">
    <w:name w:val="pa-34"/>
    <w:basedOn w:val="1"/>
    <w:qFormat/>
    <w:uiPriority w:val="0"/>
    <w:pPr>
      <w:widowControl/>
      <w:spacing w:line="360" w:lineRule="atLeast"/>
      <w:ind w:firstLine="420"/>
      <w:jc w:val="left"/>
    </w:pPr>
    <w:rPr>
      <w:rFonts w:ascii="宋体" w:hAnsi="宋体" w:cs="宋体"/>
      <w:kern w:val="0"/>
      <w:sz w:val="24"/>
    </w:rPr>
  </w:style>
  <w:style w:type="paragraph" w:customStyle="1" w:styleId="85">
    <w:name w:val="g3"/>
    <w:basedOn w:val="1"/>
    <w:qFormat/>
    <w:uiPriority w:val="0"/>
    <w:pPr>
      <w:widowControl/>
      <w:spacing w:before="100" w:beforeAutospacing="1" w:after="100" w:afterAutospacing="1"/>
      <w:jc w:val="left"/>
    </w:pPr>
    <w:rPr>
      <w:rFonts w:ascii="宋体" w:hAnsi="宋体" w:cs="宋体"/>
      <w:kern w:val="0"/>
      <w:sz w:val="24"/>
    </w:rPr>
  </w:style>
  <w:style w:type="paragraph" w:customStyle="1" w:styleId="86">
    <w:name w:val="1"/>
    <w:basedOn w:val="1"/>
    <w:qFormat/>
    <w:uiPriority w:val="0"/>
    <w:pPr>
      <w:widowControl/>
      <w:spacing w:before="100" w:beforeAutospacing="1" w:after="100" w:afterAutospacing="1"/>
      <w:jc w:val="left"/>
    </w:pPr>
    <w:rPr>
      <w:rFonts w:ascii="ˎ̥" w:hAnsi="ˎ̥" w:cs="宋体"/>
      <w:kern w:val="0"/>
      <w:sz w:val="24"/>
    </w:rPr>
  </w:style>
  <w:style w:type="paragraph" w:customStyle="1" w:styleId="87">
    <w:name w:val="p16"/>
    <w:basedOn w:val="1"/>
    <w:qFormat/>
    <w:uiPriority w:val="0"/>
    <w:pPr>
      <w:widowControl/>
    </w:pPr>
    <w:rPr>
      <w:rFonts w:ascii="Calibri" w:hAnsi="Calibri" w:cs="宋体"/>
      <w:kern w:val="0"/>
      <w:szCs w:val="21"/>
    </w:rPr>
  </w:style>
  <w:style w:type="paragraph" w:customStyle="1" w:styleId="88">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89">
    <w:name w:val="l-2"/>
    <w:basedOn w:val="1"/>
    <w:qFormat/>
    <w:uiPriority w:val="0"/>
    <w:pPr>
      <w:widowControl/>
      <w:spacing w:before="100" w:beforeAutospacing="1" w:after="100" w:afterAutospacing="1"/>
      <w:jc w:val="left"/>
    </w:pPr>
    <w:rPr>
      <w:rFonts w:ascii="宋体" w:hAnsi="宋体" w:cs="宋体"/>
      <w:b/>
      <w:bCs/>
      <w:color w:val="000000"/>
      <w:kern w:val="0"/>
      <w:sz w:val="13"/>
      <w:szCs w:val="13"/>
    </w:rPr>
  </w:style>
  <w:style w:type="paragraph" w:customStyle="1" w:styleId="90">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91">
    <w:name w:val="标题4"/>
    <w:basedOn w:val="4"/>
    <w:next w:val="20"/>
    <w:link w:val="286"/>
    <w:qFormat/>
    <w:uiPriority w:val="0"/>
    <w:pPr>
      <w:spacing w:line="413" w:lineRule="auto"/>
    </w:pPr>
    <w:rPr>
      <w:rFonts w:ascii="Arial" w:hAnsi="Arial"/>
      <w:kern w:val="0"/>
      <w:sz w:val="24"/>
    </w:rPr>
  </w:style>
  <w:style w:type="paragraph" w:customStyle="1" w:styleId="92">
    <w:name w:val="Char Char"/>
    <w:basedOn w:val="1"/>
    <w:qFormat/>
    <w:uiPriority w:val="0"/>
    <w:pPr>
      <w:widowControl/>
      <w:jc w:val="left"/>
    </w:pPr>
    <w:rPr>
      <w:rFonts w:ascii="Verdana" w:hAnsi="Verdana" w:eastAsia="Times New Roman"/>
      <w:kern w:val="0"/>
      <w:sz w:val="16"/>
      <w:szCs w:val="20"/>
      <w:lang w:eastAsia="en-US"/>
    </w:rPr>
  </w:style>
  <w:style w:type="paragraph" w:customStyle="1" w:styleId="93">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94">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95">
    <w:name w:val="WW-表格内容"/>
    <w:basedOn w:val="1"/>
    <w:qFormat/>
    <w:uiPriority w:val="0"/>
    <w:pPr>
      <w:suppressLineNumbers/>
      <w:suppressAutoHyphens/>
    </w:pPr>
  </w:style>
  <w:style w:type="paragraph" w:customStyle="1" w:styleId="96">
    <w:name w:val="Char"/>
    <w:basedOn w:val="1"/>
    <w:qFormat/>
    <w:uiPriority w:val="0"/>
  </w:style>
  <w:style w:type="paragraph" w:customStyle="1" w:styleId="97">
    <w:name w:val="明显引用11"/>
    <w:basedOn w:val="1"/>
    <w:next w:val="1"/>
    <w:qFormat/>
    <w:uiPriority w:val="30"/>
    <w:pPr>
      <w:pBdr>
        <w:bottom w:val="single" w:color="4F81BD" w:sz="4" w:space="4"/>
      </w:pBdr>
      <w:spacing w:before="200" w:after="280"/>
      <w:ind w:left="936" w:right="936"/>
    </w:pPr>
    <w:rPr>
      <w:rFonts w:ascii="Calibri" w:hAnsi="Calibri"/>
      <w:b/>
      <w:bCs/>
      <w:i/>
      <w:iCs/>
      <w:color w:val="4F81BD"/>
      <w:szCs w:val="22"/>
    </w:rPr>
  </w:style>
  <w:style w:type="paragraph" w:customStyle="1" w:styleId="98">
    <w:name w:val="Normal_47"/>
    <w:qFormat/>
    <w:uiPriority w:val="0"/>
    <w:pPr>
      <w:spacing w:before="120" w:after="240"/>
      <w:jc w:val="both"/>
    </w:pPr>
    <w:rPr>
      <w:rFonts w:ascii="Calibri" w:hAnsi="Calibri" w:eastAsia="Calibri" w:cs="Times New Roman"/>
      <w:sz w:val="22"/>
      <w:szCs w:val="22"/>
      <w:lang w:val="ru-RU" w:eastAsia="en-US" w:bidi="ar-SA"/>
    </w:rPr>
  </w:style>
  <w:style w:type="paragraph" w:customStyle="1" w:styleId="99">
    <w:name w:val="样式15"/>
    <w:basedOn w:val="5"/>
    <w:qFormat/>
    <w:uiPriority w:val="0"/>
    <w:pPr>
      <w:keepNext w:val="0"/>
      <w:keepLines w:val="0"/>
      <w:tabs>
        <w:tab w:val="left" w:pos="0"/>
        <w:tab w:val="left" w:pos="210"/>
        <w:tab w:val="left" w:pos="420"/>
        <w:tab w:val="left" w:pos="1260"/>
      </w:tabs>
      <w:adjustRightInd w:val="0"/>
      <w:spacing w:before="0" w:after="0" w:line="240" w:lineRule="auto"/>
      <w:jc w:val="left"/>
    </w:pPr>
    <w:rPr>
      <w:rFonts w:ascii="仿宋_GB2312" w:hAnsi="Calibri" w:eastAsia="仿宋_GB2312"/>
      <w:bCs w:val="0"/>
      <w:szCs w:val="24"/>
    </w:rPr>
  </w:style>
  <w:style w:type="paragraph" w:customStyle="1" w:styleId="100">
    <w:name w:val="rr"/>
    <w:basedOn w:val="1"/>
    <w:qFormat/>
    <w:uiPriority w:val="0"/>
    <w:pPr>
      <w:widowControl/>
      <w:spacing w:before="100" w:beforeAutospacing="1" w:after="100" w:afterAutospacing="1"/>
      <w:jc w:val="left"/>
    </w:pPr>
    <w:rPr>
      <w:rFonts w:hint="eastAsia" w:ascii="宋体" w:hAnsi="宋体"/>
      <w:kern w:val="0"/>
      <w:szCs w:val="21"/>
    </w:rPr>
  </w:style>
  <w:style w:type="paragraph" w:customStyle="1" w:styleId="101">
    <w:name w:val="Char9 Char Char Char Char Char Char"/>
    <w:basedOn w:val="15"/>
    <w:qFormat/>
    <w:uiPriority w:val="0"/>
    <w:pPr>
      <w:spacing w:line="360" w:lineRule="auto"/>
      <w:ind w:firstLine="200" w:firstLineChars="200"/>
    </w:pPr>
    <w:rPr>
      <w:rFonts w:ascii="Tahoma" w:hAnsi="Tahoma"/>
      <w:sz w:val="24"/>
    </w:rPr>
  </w:style>
  <w:style w:type="paragraph" w:customStyle="1" w:styleId="102">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103">
    <w:name w:val="Default"/>
    <w:qFormat/>
    <w:uiPriority w:val="99"/>
    <w:pPr>
      <w:widowControl w:val="0"/>
      <w:autoSpaceDE w:val="0"/>
      <w:autoSpaceDN w:val="0"/>
      <w:adjustRightInd w:val="0"/>
    </w:pPr>
    <w:rPr>
      <w:rFonts w:ascii="仿宋" w:hAnsi="仿宋" w:eastAsia="宋体" w:cs="仿宋"/>
      <w:color w:val="000000"/>
      <w:sz w:val="24"/>
      <w:szCs w:val="24"/>
      <w:lang w:val="en-US" w:eastAsia="zh-CN" w:bidi="ar-SA"/>
    </w:rPr>
  </w:style>
  <w:style w:type="paragraph" w:customStyle="1" w:styleId="104">
    <w:name w:val="p15"/>
    <w:basedOn w:val="1"/>
    <w:qFormat/>
    <w:uiPriority w:val="0"/>
    <w:pPr>
      <w:widowControl/>
      <w:spacing w:after="120"/>
    </w:pPr>
    <w:rPr>
      <w:kern w:val="0"/>
      <w:szCs w:val="21"/>
    </w:rPr>
  </w:style>
  <w:style w:type="paragraph" w:customStyle="1" w:styleId="105">
    <w:name w:val="rw"/>
    <w:basedOn w:val="1"/>
    <w:qFormat/>
    <w:uiPriority w:val="0"/>
    <w:pPr>
      <w:widowControl/>
      <w:spacing w:before="30"/>
      <w:ind w:left="100" w:right="100"/>
      <w:jc w:val="right"/>
    </w:pPr>
    <w:rPr>
      <w:rFonts w:ascii="方正仿宋简体" w:hAnsi="宋体" w:eastAsia="方正仿宋简体"/>
      <w:color w:val="000000"/>
      <w:kern w:val="0"/>
      <w:szCs w:val="21"/>
    </w:rPr>
  </w:style>
  <w:style w:type="paragraph" w:customStyle="1" w:styleId="106">
    <w:name w:val="正  文"/>
    <w:basedOn w:val="1"/>
    <w:qFormat/>
    <w:uiPriority w:val="0"/>
    <w:pPr>
      <w:spacing w:line="360" w:lineRule="auto"/>
      <w:ind w:firstLine="200" w:firstLineChars="200"/>
    </w:pPr>
    <w:rPr>
      <w:rFonts w:ascii="宋体" w:hAnsi="Calibri"/>
      <w:sz w:val="24"/>
    </w:rPr>
  </w:style>
  <w:style w:type="paragraph" w:customStyle="1" w:styleId="107">
    <w:name w:val="列出段落11"/>
    <w:basedOn w:val="1"/>
    <w:qFormat/>
    <w:uiPriority w:val="0"/>
    <w:pPr>
      <w:ind w:firstLine="420" w:firstLineChars="200"/>
    </w:pPr>
    <w:rPr>
      <w:sz w:val="28"/>
      <w:szCs w:val="28"/>
    </w:rPr>
  </w:style>
  <w:style w:type="paragraph" w:customStyle="1" w:styleId="108">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109">
    <w:name w:val="样式 标题 1 + 黑体 三号 非加粗 居中 段前: 6 磅 段后: 6 磅 行距: 固定值 20 磅"/>
    <w:basedOn w:val="3"/>
    <w:qFormat/>
    <w:uiPriority w:val="0"/>
    <w:pPr>
      <w:spacing w:before="120" w:after="120" w:line="400" w:lineRule="exact"/>
      <w:jc w:val="center"/>
    </w:pPr>
    <w:rPr>
      <w:rFonts w:ascii="黑体" w:hAnsi="黑体" w:eastAsia="黑体" w:cs="宋体"/>
      <w:b w:val="0"/>
      <w:bCs w:val="0"/>
      <w:sz w:val="32"/>
      <w:szCs w:val="20"/>
    </w:rPr>
  </w:style>
  <w:style w:type="paragraph" w:customStyle="1" w:styleId="110">
    <w:name w:val="_Style 96"/>
    <w:semiHidden/>
    <w:qFormat/>
    <w:uiPriority w:val="99"/>
    <w:rPr>
      <w:rFonts w:ascii="Calibri" w:hAnsi="Calibri" w:eastAsia="宋体" w:cs="Times New Roman"/>
      <w:kern w:val="2"/>
      <w:sz w:val="21"/>
      <w:szCs w:val="24"/>
      <w:lang w:val="en-US" w:eastAsia="zh-CN" w:bidi="ar-SA"/>
    </w:rPr>
  </w:style>
  <w:style w:type="paragraph" w:customStyle="1" w:styleId="111">
    <w:name w:val="表格文字"/>
    <w:basedOn w:val="1"/>
    <w:qFormat/>
    <w:uiPriority w:val="0"/>
    <w:pPr>
      <w:adjustRightInd w:val="0"/>
      <w:spacing w:line="420" w:lineRule="atLeast"/>
      <w:jc w:val="left"/>
      <w:textAlignment w:val="baseline"/>
    </w:pPr>
    <w:rPr>
      <w:kern w:val="0"/>
      <w:szCs w:val="20"/>
    </w:rPr>
  </w:style>
  <w:style w:type="paragraph" w:customStyle="1" w:styleId="112">
    <w:name w:val="表格"/>
    <w:basedOn w:val="1"/>
    <w:qFormat/>
    <w:uiPriority w:val="0"/>
    <w:pPr>
      <w:jc w:val="center"/>
      <w:textAlignment w:val="center"/>
    </w:pPr>
    <w:rPr>
      <w:rFonts w:ascii="华文细黑" w:hAnsi="华文细黑"/>
      <w:kern w:val="0"/>
      <w:szCs w:val="20"/>
    </w:rPr>
  </w:style>
  <w:style w:type="paragraph" w:customStyle="1" w:styleId="113">
    <w:name w:val="Char1"/>
    <w:basedOn w:val="1"/>
    <w:qFormat/>
    <w:uiPriority w:val="0"/>
  </w:style>
  <w:style w:type="paragraph" w:customStyle="1" w:styleId="114">
    <w:name w:val="TOC 标题11"/>
    <w:basedOn w:val="3"/>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115">
    <w:name w:val="引用2"/>
    <w:basedOn w:val="1"/>
    <w:next w:val="1"/>
    <w:link w:val="238"/>
    <w:qFormat/>
    <w:uiPriority w:val="0"/>
    <w:rPr>
      <w:i/>
      <w:iCs/>
      <w:color w:val="000000"/>
    </w:rPr>
  </w:style>
  <w:style w:type="paragraph" w:customStyle="1" w:styleId="116">
    <w:name w:val="链接"/>
    <w:qFormat/>
    <w:uiPriority w:val="0"/>
    <w:pPr>
      <w:widowControl w:val="0"/>
      <w:autoSpaceDE w:val="0"/>
      <w:autoSpaceDN w:val="0"/>
      <w:adjustRightInd w:val="0"/>
      <w:ind w:left="720"/>
    </w:pPr>
    <w:rPr>
      <w:rFonts w:ascii="Calibri" w:hAnsi="Calibri" w:eastAsia="宋体" w:cs="Times New Roman"/>
      <w:color w:val="0000FF"/>
      <w:sz w:val="21"/>
      <w:szCs w:val="21"/>
      <w:u w:val="single"/>
      <w:lang w:val="en-US" w:eastAsia="zh-CN" w:bidi="ar-SA"/>
    </w:rPr>
  </w:style>
  <w:style w:type="paragraph" w:customStyle="1" w:styleId="117">
    <w:name w:val="引用1"/>
    <w:basedOn w:val="1"/>
    <w:next w:val="1"/>
    <w:link w:val="188"/>
    <w:qFormat/>
    <w:uiPriority w:val="0"/>
    <w:rPr>
      <w:i/>
      <w:iCs/>
      <w:color w:val="000000"/>
      <w:szCs w:val="22"/>
    </w:rPr>
  </w:style>
  <w:style w:type="paragraph" w:customStyle="1" w:styleId="118">
    <w:name w:val="修订1"/>
    <w:qFormat/>
    <w:uiPriority w:val="0"/>
    <w:rPr>
      <w:rFonts w:ascii="Times New Roman" w:hAnsi="Times New Roman" w:eastAsia="宋体" w:cs="Times New Roman"/>
      <w:kern w:val="2"/>
      <w:sz w:val="21"/>
      <w:szCs w:val="24"/>
      <w:lang w:val="en-US" w:eastAsia="zh-CN" w:bidi="ar-SA"/>
    </w:rPr>
  </w:style>
  <w:style w:type="paragraph" w:customStyle="1" w:styleId="119">
    <w:name w:val="xl65"/>
    <w:basedOn w:val="1"/>
    <w:qFormat/>
    <w:uiPriority w:val="0"/>
    <w:pPr>
      <w:widowControl/>
      <w:spacing w:before="100" w:beforeAutospacing="1" w:after="100" w:afterAutospacing="1"/>
      <w:jc w:val="center"/>
    </w:pPr>
    <w:rPr>
      <w:rFonts w:ascii="黑体" w:hAnsi="宋体" w:eastAsia="黑体"/>
      <w:b/>
      <w:kern w:val="0"/>
      <w:sz w:val="36"/>
      <w:szCs w:val="20"/>
    </w:rPr>
  </w:style>
  <w:style w:type="paragraph" w:customStyle="1" w:styleId="120">
    <w:name w:val="Char2"/>
    <w:basedOn w:val="1"/>
    <w:qFormat/>
    <w:uiPriority w:val="0"/>
    <w:rPr>
      <w:rFonts w:ascii="Calibri" w:hAnsi="Calibri"/>
    </w:rPr>
  </w:style>
  <w:style w:type="paragraph" w:customStyle="1" w:styleId="121">
    <w:name w:val="标题5"/>
    <w:basedOn w:val="5"/>
    <w:link w:val="284"/>
    <w:qFormat/>
    <w:uiPriority w:val="0"/>
    <w:pPr>
      <w:spacing w:line="413" w:lineRule="auto"/>
    </w:pPr>
    <w:rPr>
      <w:rFonts w:ascii="Arial" w:hAnsi="Arial"/>
      <w:kern w:val="0"/>
      <w:sz w:val="24"/>
    </w:rPr>
  </w:style>
  <w:style w:type="paragraph" w:customStyle="1" w:styleId="122">
    <w:name w:val="无间隔2"/>
    <w:qFormat/>
    <w:uiPriority w:val="0"/>
    <w:pPr>
      <w:widowControl w:val="0"/>
      <w:jc w:val="both"/>
    </w:pPr>
    <w:rPr>
      <w:rFonts w:ascii="Calibri" w:hAnsi="Calibri" w:eastAsia="宋体" w:cs="Times New Roman"/>
      <w:kern w:val="2"/>
      <w:sz w:val="21"/>
      <w:szCs w:val="22"/>
      <w:lang w:val="en-US" w:eastAsia="zh-CN" w:bidi="ar-SA"/>
    </w:rPr>
  </w:style>
  <w:style w:type="paragraph" w:customStyle="1" w:styleId="123">
    <w:name w:val="TOC 标题1"/>
    <w:basedOn w:val="3"/>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124">
    <w:name w:val="表格标题"/>
    <w:basedOn w:val="77"/>
    <w:qFormat/>
    <w:uiPriority w:val="0"/>
  </w:style>
  <w:style w:type="paragraph" w:customStyle="1" w:styleId="125">
    <w:name w:val="g11"/>
    <w:basedOn w:val="1"/>
    <w:qFormat/>
    <w:uiPriority w:val="0"/>
    <w:pPr>
      <w:widowControl/>
      <w:spacing w:before="100" w:beforeAutospacing="1" w:after="100" w:afterAutospacing="1" w:line="465" w:lineRule="atLeast"/>
      <w:jc w:val="left"/>
    </w:pPr>
    <w:rPr>
      <w:rFonts w:ascii="华文中宋" w:hAnsi="华文中宋" w:eastAsia="华文中宋" w:cs="宋体"/>
      <w:b/>
      <w:bCs/>
      <w:color w:val="FF0000"/>
      <w:kern w:val="0"/>
      <w:sz w:val="31"/>
      <w:szCs w:val="31"/>
    </w:rPr>
  </w:style>
  <w:style w:type="paragraph" w:customStyle="1" w:styleId="126">
    <w:name w:val="2"/>
    <w:next w:val="1"/>
    <w:qFormat/>
    <w:uiPriority w:val="99"/>
    <w:pPr>
      <w:widowControl w:val="0"/>
      <w:jc w:val="both"/>
    </w:pPr>
    <w:rPr>
      <w:rFonts w:ascii="Calibri" w:hAnsi="Calibri" w:eastAsia="宋体" w:cs="Times New Roman"/>
      <w:kern w:val="2"/>
      <w:sz w:val="21"/>
      <w:szCs w:val="24"/>
      <w:lang w:val="en-US" w:eastAsia="zh-CN" w:bidi="ar-SA"/>
    </w:rPr>
  </w:style>
  <w:style w:type="paragraph" w:customStyle="1" w:styleId="127">
    <w:name w:val="intel1"/>
    <w:basedOn w:val="1"/>
    <w:qFormat/>
    <w:uiPriority w:val="0"/>
    <w:pPr>
      <w:widowControl/>
      <w:spacing w:before="100" w:beforeAutospacing="1" w:after="100" w:afterAutospacing="1"/>
      <w:jc w:val="left"/>
    </w:pPr>
    <w:rPr>
      <w:rFonts w:ascii="宋体" w:hAnsi="宋体" w:cs="宋体"/>
      <w:kern w:val="0"/>
      <w:sz w:val="24"/>
    </w:rPr>
  </w:style>
  <w:style w:type="paragraph" w:customStyle="1" w:styleId="128">
    <w:name w:val="style12"/>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29">
    <w:name w:val="标题2"/>
    <w:basedOn w:val="1"/>
    <w:qFormat/>
    <w:uiPriority w:val="0"/>
    <w:pPr>
      <w:widowControl/>
      <w:spacing w:before="100" w:beforeAutospacing="1" w:after="100" w:afterAutospacing="1"/>
      <w:jc w:val="left"/>
    </w:pPr>
    <w:rPr>
      <w:rFonts w:ascii="宋体" w:hAnsi="宋体" w:cs="宋体"/>
      <w:kern w:val="0"/>
      <w:sz w:val="24"/>
    </w:rPr>
  </w:style>
  <w:style w:type="paragraph" w:customStyle="1" w:styleId="130">
    <w:name w:val="WW-表格标题"/>
    <w:basedOn w:val="95"/>
    <w:qFormat/>
    <w:uiPriority w:val="0"/>
  </w:style>
  <w:style w:type="paragraph" w:customStyle="1" w:styleId="131">
    <w:name w:val="ly"/>
    <w:basedOn w:val="1"/>
    <w:qFormat/>
    <w:uiPriority w:val="0"/>
    <w:pPr>
      <w:widowControl/>
      <w:spacing w:before="30"/>
      <w:jc w:val="right"/>
    </w:pPr>
    <w:rPr>
      <w:rFonts w:ascii="方正书宋简体" w:hAnsi="宋体" w:eastAsia="方正书宋简体"/>
      <w:color w:val="000000"/>
      <w:kern w:val="0"/>
      <w:szCs w:val="21"/>
    </w:rPr>
  </w:style>
  <w:style w:type="paragraph" w:customStyle="1" w:styleId="132">
    <w:name w:val="明显引用12"/>
    <w:basedOn w:val="1"/>
    <w:next w:val="1"/>
    <w:link w:val="248"/>
    <w:qFormat/>
    <w:uiPriority w:val="30"/>
    <w:pPr>
      <w:pBdr>
        <w:bottom w:val="single" w:color="4F81BD" w:sz="4" w:space="4"/>
      </w:pBdr>
      <w:spacing w:before="200" w:after="280"/>
      <w:ind w:left="936" w:right="936"/>
    </w:pPr>
    <w:rPr>
      <w:b/>
      <w:bCs/>
      <w:i/>
      <w:iCs/>
      <w:color w:val="4F81BD"/>
      <w:szCs w:val="20"/>
    </w:rPr>
  </w:style>
  <w:style w:type="paragraph" w:customStyle="1" w:styleId="133">
    <w:name w:val="标准样式1"/>
    <w:basedOn w:val="1"/>
    <w:qFormat/>
    <w:uiPriority w:val="0"/>
    <w:pPr>
      <w:spacing w:line="600" w:lineRule="exact"/>
      <w:ind w:firstLine="567"/>
    </w:pPr>
    <w:rPr>
      <w:rFonts w:ascii="Calibri" w:hAnsi="Calibri"/>
      <w:sz w:val="28"/>
    </w:rPr>
  </w:style>
  <w:style w:type="paragraph" w:customStyle="1" w:styleId="134">
    <w:name w:val="Char3"/>
    <w:basedOn w:val="1"/>
    <w:qFormat/>
    <w:uiPriority w:val="0"/>
  </w:style>
  <w:style w:type="paragraph" w:customStyle="1" w:styleId="135">
    <w:name w:val="p17"/>
    <w:basedOn w:val="1"/>
    <w:qFormat/>
    <w:uiPriority w:val="0"/>
    <w:pPr>
      <w:widowControl/>
      <w:spacing w:before="120" w:after="120"/>
      <w:jc w:val="left"/>
    </w:pPr>
    <w:rPr>
      <w:rFonts w:ascii="Calibri" w:hAnsi="Calibri" w:cs="宋体"/>
      <w:b/>
      <w:bCs/>
      <w:caps/>
      <w:kern w:val="0"/>
      <w:sz w:val="28"/>
      <w:szCs w:val="28"/>
    </w:rPr>
  </w:style>
  <w:style w:type="paragraph" w:customStyle="1" w:styleId="136">
    <w:name w:val="Char Char1 Char Char"/>
    <w:basedOn w:val="15"/>
    <w:qFormat/>
    <w:uiPriority w:val="0"/>
    <w:pPr>
      <w:shd w:val="clear" w:color="auto" w:fill="auto"/>
      <w:tabs>
        <w:tab w:val="left" w:pos="630"/>
      </w:tabs>
      <w:adjustRightInd w:val="0"/>
      <w:spacing w:line="436" w:lineRule="exact"/>
      <w:ind w:left="357"/>
      <w:jc w:val="left"/>
      <w:outlineLvl w:val="3"/>
    </w:pPr>
    <w:rPr>
      <w:rFonts w:ascii="Calibri" w:hAnsi="Calibri" w:eastAsia="Times New Roman"/>
      <w:sz w:val="18"/>
      <w:szCs w:val="20"/>
    </w:rPr>
  </w:style>
  <w:style w:type="paragraph" w:customStyle="1" w:styleId="137">
    <w:name w:val="引用11"/>
    <w:basedOn w:val="1"/>
    <w:next w:val="1"/>
    <w:link w:val="262"/>
    <w:qFormat/>
    <w:uiPriority w:val="29"/>
    <w:rPr>
      <w:i/>
      <w:iCs/>
      <w:color w:val="000000"/>
      <w:szCs w:val="20"/>
    </w:rPr>
  </w:style>
  <w:style w:type="paragraph" w:customStyle="1" w:styleId="138">
    <w:name w:val="_Style 87"/>
    <w:basedOn w:val="1"/>
    <w:qFormat/>
    <w:uiPriority w:val="99"/>
    <w:pPr>
      <w:ind w:firstLine="420" w:firstLineChars="200"/>
    </w:pPr>
    <w:rPr>
      <w:rFonts w:ascii="Calibri" w:hAnsi="Calibri"/>
      <w:sz w:val="28"/>
      <w:szCs w:val="28"/>
    </w:rPr>
  </w:style>
  <w:style w:type="paragraph" w:customStyle="1" w:styleId="139">
    <w:name w:val="自定样式1"/>
    <w:basedOn w:val="1"/>
    <w:qFormat/>
    <w:uiPriority w:val="0"/>
    <w:pPr>
      <w:suppressAutoHyphens/>
      <w:jc w:val="center"/>
    </w:pPr>
    <w:rPr>
      <w:rFonts w:ascii="宋体" w:hAnsi="宋体"/>
      <w:color w:val="000000"/>
      <w:sz w:val="18"/>
    </w:rPr>
  </w:style>
  <w:style w:type="paragraph" w:customStyle="1" w:styleId="140">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141">
    <w:name w:val="样式 标题 2 + Times New Roman 四号 非加粗 段前: 5 磅 段后: 0 磅 行距: 固定值 20..."/>
    <w:basedOn w:val="4"/>
    <w:qFormat/>
    <w:uiPriority w:val="0"/>
    <w:pPr>
      <w:spacing w:before="100" w:after="0" w:line="400" w:lineRule="exact"/>
    </w:pPr>
    <w:rPr>
      <w:rFonts w:ascii="Times New Roman" w:hAnsi="Times New Roman" w:eastAsia="黑体" w:cs="宋体"/>
      <w:b w:val="0"/>
      <w:bCs w:val="0"/>
      <w:sz w:val="28"/>
      <w:szCs w:val="20"/>
    </w:rPr>
  </w:style>
  <w:style w:type="character" w:customStyle="1" w:styleId="142">
    <w:name w:val="未处理的提及1"/>
    <w:unhideWhenUsed/>
    <w:qFormat/>
    <w:uiPriority w:val="99"/>
    <w:rPr>
      <w:color w:val="808080"/>
      <w:shd w:val="clear" w:color="auto" w:fill="E6E6E6"/>
    </w:rPr>
  </w:style>
  <w:style w:type="character" w:customStyle="1" w:styleId="143">
    <w:name w:val="正文文本 3 Char"/>
    <w:qFormat/>
    <w:uiPriority w:val="0"/>
    <w:rPr>
      <w:kern w:val="2"/>
      <w:sz w:val="16"/>
      <w:szCs w:val="16"/>
    </w:rPr>
  </w:style>
  <w:style w:type="character" w:customStyle="1" w:styleId="144">
    <w:name w:val="正文文本缩进 Char2"/>
    <w:semiHidden/>
    <w:qFormat/>
    <w:uiPriority w:val="99"/>
    <w:rPr>
      <w:rFonts w:ascii="Calibri" w:hAnsi="Calibri" w:eastAsia="宋体" w:cs="Times New Roman"/>
      <w:szCs w:val="24"/>
    </w:rPr>
  </w:style>
  <w:style w:type="character" w:customStyle="1" w:styleId="145">
    <w:name w:val="标题 3 Char"/>
    <w:qFormat/>
    <w:uiPriority w:val="0"/>
    <w:rPr>
      <w:rFonts w:ascii="仿宋_GB2312" w:hAnsi="Calibri" w:eastAsia="仿宋_GB2312" w:cs="Times New Roman"/>
      <w:b/>
      <w:kern w:val="0"/>
      <w:sz w:val="24"/>
      <w:szCs w:val="28"/>
    </w:rPr>
  </w:style>
  <w:style w:type="character" w:customStyle="1" w:styleId="146">
    <w:name w:val="批注框文本 Char2"/>
    <w:qFormat/>
    <w:uiPriority w:val="99"/>
    <w:rPr>
      <w:kern w:val="2"/>
      <w:sz w:val="18"/>
      <w:szCs w:val="18"/>
    </w:rPr>
  </w:style>
  <w:style w:type="character" w:customStyle="1" w:styleId="147">
    <w:name w:val="textcontents"/>
    <w:qFormat/>
    <w:uiPriority w:val="0"/>
    <w:rPr>
      <w:rFonts w:cs="Times New Roman"/>
    </w:rPr>
  </w:style>
  <w:style w:type="character" w:customStyle="1" w:styleId="148">
    <w:name w:val="ht1"/>
    <w:qFormat/>
    <w:uiPriority w:val="0"/>
    <w:rPr>
      <w:rFonts w:ascii="黑体" w:eastAsia="黑体"/>
      <w:b/>
      <w:bCs/>
    </w:rPr>
  </w:style>
  <w:style w:type="character" w:customStyle="1" w:styleId="149">
    <w:name w:val="标题 Char"/>
    <w:qFormat/>
    <w:uiPriority w:val="0"/>
    <w:rPr>
      <w:rFonts w:ascii="Cambria" w:hAnsi="Cambria" w:eastAsia="宋体" w:cs="Times New Roman"/>
      <w:b/>
      <w:bCs/>
      <w:kern w:val="2"/>
      <w:sz w:val="32"/>
      <w:szCs w:val="32"/>
    </w:rPr>
  </w:style>
  <w:style w:type="character" w:customStyle="1" w:styleId="150">
    <w:name w:val="14t1"/>
    <w:qFormat/>
    <w:uiPriority w:val="0"/>
    <w:rPr>
      <w:rFonts w:hint="eastAsia" w:ascii="宋体" w:hAnsi="宋体" w:eastAsia="宋体"/>
      <w:sz w:val="11"/>
      <w:szCs w:val="11"/>
    </w:rPr>
  </w:style>
  <w:style w:type="character" w:customStyle="1" w:styleId="151">
    <w:name w:val="Char Char36"/>
    <w:qFormat/>
    <w:uiPriority w:val="0"/>
    <w:rPr>
      <w:rFonts w:ascii="仿宋_GB2312" w:eastAsia="仿宋_GB2312" w:cs="MingLiU"/>
      <w:b/>
      <w:sz w:val="24"/>
      <w:szCs w:val="28"/>
    </w:rPr>
  </w:style>
  <w:style w:type="character" w:customStyle="1" w:styleId="152">
    <w:name w:val="文档结构图 Char"/>
    <w:qFormat/>
    <w:uiPriority w:val="0"/>
    <w:rPr>
      <w:rFonts w:ascii="宋体"/>
      <w:kern w:val="2"/>
      <w:sz w:val="18"/>
      <w:szCs w:val="18"/>
    </w:rPr>
  </w:style>
  <w:style w:type="character" w:customStyle="1" w:styleId="153">
    <w:name w:val="普通文字 Char Char2"/>
    <w:qFormat/>
    <w:uiPriority w:val="0"/>
    <w:rPr>
      <w:rFonts w:ascii="宋体" w:hAnsi="Courier New"/>
      <w:kern w:val="2"/>
      <w:sz w:val="28"/>
      <w:szCs w:val="28"/>
    </w:rPr>
  </w:style>
  <w:style w:type="character" w:customStyle="1" w:styleId="154">
    <w:name w:val="HTML 预设格式 Char"/>
    <w:qFormat/>
    <w:uiPriority w:val="0"/>
    <w:rPr>
      <w:rFonts w:ascii="宋体" w:hAnsi="宋体" w:eastAsia="宋体" w:cs="宋体"/>
      <w:color w:val="000000"/>
      <w:sz w:val="24"/>
      <w:szCs w:val="24"/>
    </w:rPr>
  </w:style>
  <w:style w:type="character" w:customStyle="1" w:styleId="155">
    <w:name w:val="纯文本 Char"/>
    <w:qFormat/>
    <w:uiPriority w:val="0"/>
    <w:rPr>
      <w:rFonts w:ascii="宋体" w:hAnsi="Courier New"/>
      <w:sz w:val="28"/>
      <w:szCs w:val="28"/>
    </w:rPr>
  </w:style>
  <w:style w:type="character" w:customStyle="1" w:styleId="156">
    <w:name w:val="批注框文本 Char"/>
    <w:qFormat/>
    <w:uiPriority w:val="0"/>
    <w:rPr>
      <w:sz w:val="18"/>
      <w:szCs w:val="18"/>
    </w:rPr>
  </w:style>
  <w:style w:type="character" w:customStyle="1" w:styleId="157">
    <w:name w:val="页脚 Char"/>
    <w:qFormat/>
    <w:uiPriority w:val="0"/>
    <w:rPr>
      <w:sz w:val="18"/>
      <w:szCs w:val="18"/>
    </w:rPr>
  </w:style>
  <w:style w:type="character" w:customStyle="1" w:styleId="158">
    <w:name w:val="标题 4 Char2"/>
    <w:link w:val="6"/>
    <w:qFormat/>
    <w:uiPriority w:val="0"/>
    <w:rPr>
      <w:rFonts w:ascii="宋体" w:hAnsi="宋体" w:eastAsia="宋体" w:cs="宋体"/>
      <w:b/>
      <w:bCs/>
      <w:sz w:val="24"/>
      <w:szCs w:val="24"/>
      <w:lang w:val="en-US" w:eastAsia="zh-CN" w:bidi="ar-SA"/>
    </w:rPr>
  </w:style>
  <w:style w:type="character" w:customStyle="1" w:styleId="159">
    <w:name w:val="正文文本缩进 3 Char"/>
    <w:qFormat/>
    <w:uiPriority w:val="0"/>
    <w:rPr>
      <w:kern w:val="2"/>
      <w:sz w:val="16"/>
      <w:szCs w:val="16"/>
    </w:rPr>
  </w:style>
  <w:style w:type="character" w:customStyle="1" w:styleId="160">
    <w:name w:val="标题 8 Char"/>
    <w:qFormat/>
    <w:uiPriority w:val="0"/>
    <w:rPr>
      <w:rFonts w:ascii="Arial" w:hAnsi="Arial" w:eastAsia="黑体" w:cs="Times New Roman"/>
      <w:sz w:val="24"/>
      <w:szCs w:val="24"/>
    </w:rPr>
  </w:style>
  <w:style w:type="character" w:customStyle="1" w:styleId="161">
    <w:name w:val="HTML 预设格式 Char3"/>
    <w:link w:val="40"/>
    <w:qFormat/>
    <w:uiPriority w:val="0"/>
    <w:rPr>
      <w:rFonts w:ascii="宋体" w:hAnsi="宋体" w:eastAsia="宋体" w:cs="宋体"/>
      <w:color w:val="000000"/>
      <w:sz w:val="24"/>
      <w:szCs w:val="24"/>
      <w:lang w:val="en-US" w:eastAsia="zh-CN" w:bidi="ar-SA"/>
    </w:rPr>
  </w:style>
  <w:style w:type="character" w:customStyle="1" w:styleId="162">
    <w:name w:val="文档结构图 Char4"/>
    <w:link w:val="15"/>
    <w:qFormat/>
    <w:uiPriority w:val="0"/>
    <w:rPr>
      <w:rFonts w:eastAsia="宋体"/>
      <w:kern w:val="2"/>
      <w:sz w:val="21"/>
      <w:szCs w:val="24"/>
      <w:lang w:val="en-US" w:eastAsia="zh-CN" w:bidi="ar-SA"/>
    </w:rPr>
  </w:style>
  <w:style w:type="character" w:customStyle="1" w:styleId="163">
    <w:name w:val="正文文本缩进 2 Char1"/>
    <w:qFormat/>
    <w:uiPriority w:val="0"/>
    <w:rPr>
      <w:sz w:val="28"/>
      <w:szCs w:val="24"/>
    </w:rPr>
  </w:style>
  <w:style w:type="character" w:customStyle="1" w:styleId="164">
    <w:name w:val="标题 5 Char1"/>
    <w:qFormat/>
    <w:uiPriority w:val="0"/>
    <w:rPr>
      <w:rFonts w:ascii="宋体" w:hAnsi="宋体" w:eastAsia="宋体" w:cs="宋体"/>
      <w:b/>
      <w:bCs/>
      <w:sz w:val="20"/>
      <w:szCs w:val="20"/>
    </w:rPr>
  </w:style>
  <w:style w:type="character" w:customStyle="1" w:styleId="165">
    <w:name w:val="批注文字 Char"/>
    <w:qFormat/>
    <w:uiPriority w:val="0"/>
    <w:rPr>
      <w:rFonts w:ascii="Times New Roman" w:hAnsi="Times New Roman" w:eastAsia="宋体" w:cs="Times New Roman"/>
      <w:kern w:val="2"/>
      <w:sz w:val="21"/>
      <w:szCs w:val="24"/>
    </w:rPr>
  </w:style>
  <w:style w:type="character" w:customStyle="1" w:styleId="166">
    <w:name w:val="日期 Char4"/>
    <w:link w:val="25"/>
    <w:qFormat/>
    <w:uiPriority w:val="0"/>
    <w:rPr>
      <w:rFonts w:eastAsia="宋体"/>
      <w:kern w:val="2"/>
      <w:sz w:val="21"/>
      <w:szCs w:val="24"/>
      <w:lang w:val="en-US" w:eastAsia="zh-CN" w:bidi="ar-SA"/>
    </w:rPr>
  </w:style>
  <w:style w:type="character" w:customStyle="1" w:styleId="167">
    <w:name w:val="style121"/>
    <w:qFormat/>
    <w:uiPriority w:val="0"/>
    <w:rPr>
      <w:rFonts w:hint="eastAsia" w:ascii="宋体" w:hAnsi="宋体" w:eastAsia="宋体"/>
      <w:sz w:val="18"/>
      <w:szCs w:val="18"/>
    </w:rPr>
  </w:style>
  <w:style w:type="character" w:customStyle="1" w:styleId="168">
    <w:name w:val="Section Char"/>
    <w:qFormat/>
    <w:uiPriority w:val="0"/>
    <w:rPr>
      <w:rFonts w:ascii="仿宋_GB2312" w:eastAsia="仿宋_GB2312" w:cs="MingLiU"/>
      <w:b/>
      <w:sz w:val="24"/>
      <w:szCs w:val="28"/>
      <w:lang w:val="en-US" w:eastAsia="zh-CN" w:bidi="ar-SA"/>
    </w:rPr>
  </w:style>
  <w:style w:type="character" w:customStyle="1" w:styleId="169">
    <w:name w:val="正文文本 3 Char1"/>
    <w:qFormat/>
    <w:uiPriority w:val="0"/>
    <w:rPr>
      <w:kern w:val="2"/>
      <w:sz w:val="16"/>
      <w:szCs w:val="16"/>
    </w:rPr>
  </w:style>
  <w:style w:type="character" w:customStyle="1" w:styleId="170">
    <w:name w:val="文档结构图 Char1"/>
    <w:qFormat/>
    <w:uiPriority w:val="0"/>
    <w:rPr>
      <w:rFonts w:ascii="宋体"/>
      <w:kern w:val="2"/>
      <w:sz w:val="18"/>
      <w:szCs w:val="18"/>
    </w:rPr>
  </w:style>
  <w:style w:type="character" w:customStyle="1" w:styleId="171">
    <w:name w:val="_Style 170"/>
    <w:qFormat/>
    <w:uiPriority w:val="0"/>
    <w:rPr>
      <w:i/>
      <w:iCs/>
      <w:color w:val="808080"/>
    </w:rPr>
  </w:style>
  <w:style w:type="character" w:customStyle="1" w:styleId="172">
    <w:name w:val="_Style 171"/>
    <w:qFormat/>
    <w:uiPriority w:val="0"/>
    <w:rPr>
      <w:b/>
      <w:bCs/>
      <w:smallCaps/>
      <w:color w:val="C0504D"/>
      <w:spacing w:val="5"/>
      <w:u w:val="single"/>
    </w:rPr>
  </w:style>
  <w:style w:type="character" w:customStyle="1" w:styleId="173">
    <w:name w:val="标题 9 Char"/>
    <w:qFormat/>
    <w:uiPriority w:val="0"/>
    <w:rPr>
      <w:rFonts w:ascii="Arial" w:hAnsi="Arial" w:eastAsia="黑体" w:cs="Times New Roman"/>
      <w:szCs w:val="21"/>
    </w:rPr>
  </w:style>
  <w:style w:type="character" w:customStyle="1" w:styleId="174">
    <w:name w:val="页眉 Char1"/>
    <w:semiHidden/>
    <w:qFormat/>
    <w:uiPriority w:val="99"/>
    <w:rPr>
      <w:kern w:val="2"/>
      <w:sz w:val="18"/>
      <w:szCs w:val="18"/>
    </w:rPr>
  </w:style>
  <w:style w:type="character" w:customStyle="1" w:styleId="175">
    <w:name w:val="_Style 174"/>
    <w:qFormat/>
    <w:uiPriority w:val="0"/>
    <w:rPr>
      <w:b/>
      <w:bCs/>
      <w:i/>
      <w:iCs/>
      <w:color w:val="4F81BD"/>
    </w:rPr>
  </w:style>
  <w:style w:type="character" w:customStyle="1" w:styleId="176">
    <w:name w:val="Char Char35"/>
    <w:qFormat/>
    <w:uiPriority w:val="0"/>
    <w:rPr>
      <w:rFonts w:ascii="仿宋_GB2312" w:eastAsia="仿宋_GB2312" w:cs="MingLiU"/>
      <w:b/>
      <w:sz w:val="24"/>
      <w:szCs w:val="28"/>
    </w:rPr>
  </w:style>
  <w:style w:type="character" w:customStyle="1" w:styleId="177">
    <w:name w:val="日期 Char2"/>
    <w:qFormat/>
    <w:uiPriority w:val="99"/>
    <w:rPr>
      <w:kern w:val="2"/>
      <w:sz w:val="21"/>
      <w:szCs w:val="24"/>
    </w:rPr>
  </w:style>
  <w:style w:type="character" w:customStyle="1" w:styleId="178">
    <w:name w:val="Char Char22"/>
    <w:qFormat/>
    <w:uiPriority w:val="0"/>
    <w:rPr>
      <w:b/>
      <w:bCs/>
      <w:kern w:val="2"/>
      <w:sz w:val="32"/>
      <w:szCs w:val="32"/>
    </w:rPr>
  </w:style>
  <w:style w:type="character" w:customStyle="1" w:styleId="179">
    <w:name w:val="正文文本缩进 2 Char2"/>
    <w:semiHidden/>
    <w:qFormat/>
    <w:uiPriority w:val="99"/>
    <w:rPr>
      <w:rFonts w:ascii="Calibri" w:hAnsi="Calibri" w:eastAsia="宋体" w:cs="Times New Roman"/>
      <w:szCs w:val="24"/>
    </w:rPr>
  </w:style>
  <w:style w:type="character" w:customStyle="1" w:styleId="180">
    <w:name w:val="明显强调1"/>
    <w:qFormat/>
    <w:uiPriority w:val="0"/>
    <w:rPr>
      <w:b/>
      <w:bCs/>
      <w:i/>
      <w:iCs/>
      <w:color w:val="4F81BD"/>
    </w:rPr>
  </w:style>
  <w:style w:type="character" w:customStyle="1" w:styleId="181">
    <w:name w:val="Char Char14"/>
    <w:qFormat/>
    <w:uiPriority w:val="0"/>
    <w:rPr>
      <w:kern w:val="2"/>
      <w:sz w:val="18"/>
      <w:szCs w:val="18"/>
    </w:rPr>
  </w:style>
  <w:style w:type="character" w:customStyle="1" w:styleId="182">
    <w:name w:val="s3"/>
    <w:qFormat/>
    <w:uiPriority w:val="0"/>
  </w:style>
  <w:style w:type="character" w:customStyle="1" w:styleId="183">
    <w:name w:val="标题 1 Char"/>
    <w:qFormat/>
    <w:uiPriority w:val="0"/>
    <w:rPr>
      <w:rFonts w:ascii="Times New Roman" w:hAnsi="Times New Roman" w:eastAsia="宋体" w:cs="Times New Roman"/>
      <w:b/>
      <w:bCs/>
      <w:kern w:val="44"/>
      <w:sz w:val="44"/>
      <w:szCs w:val="44"/>
    </w:rPr>
  </w:style>
  <w:style w:type="character" w:customStyle="1" w:styleId="184">
    <w:name w:val="日期 Char3"/>
    <w:semiHidden/>
    <w:qFormat/>
    <w:uiPriority w:val="99"/>
    <w:rPr>
      <w:rFonts w:ascii="Calibri" w:hAnsi="Calibri" w:eastAsia="宋体" w:cs="Times New Roman"/>
      <w:szCs w:val="24"/>
    </w:rPr>
  </w:style>
  <w:style w:type="character" w:customStyle="1" w:styleId="185">
    <w:name w:val="标题 1 Char2"/>
    <w:link w:val="3"/>
    <w:qFormat/>
    <w:uiPriority w:val="0"/>
    <w:rPr>
      <w:rFonts w:eastAsia="宋体"/>
      <w:b/>
      <w:bCs/>
      <w:kern w:val="44"/>
      <w:sz w:val="44"/>
      <w:szCs w:val="44"/>
      <w:lang w:val="en-US" w:eastAsia="zh-CN" w:bidi="ar-SA"/>
    </w:rPr>
  </w:style>
  <w:style w:type="character" w:customStyle="1" w:styleId="186">
    <w:name w:val="title11"/>
    <w:qFormat/>
    <w:uiPriority w:val="0"/>
    <w:rPr>
      <w:b/>
      <w:bCs/>
      <w:color w:val="FFFFFF"/>
      <w:sz w:val="11"/>
      <w:szCs w:val="11"/>
    </w:rPr>
  </w:style>
  <w:style w:type="character" w:customStyle="1" w:styleId="187">
    <w:name w:val="明显引用 Char2"/>
    <w:qFormat/>
    <w:uiPriority w:val="99"/>
    <w:rPr>
      <w:b/>
      <w:bCs/>
      <w:i/>
      <w:iCs/>
      <w:color w:val="4F81BD"/>
      <w:kern w:val="2"/>
      <w:sz w:val="21"/>
      <w:szCs w:val="24"/>
    </w:rPr>
  </w:style>
  <w:style w:type="character" w:customStyle="1" w:styleId="188">
    <w:name w:val="引用 字符"/>
    <w:link w:val="117"/>
    <w:qFormat/>
    <w:uiPriority w:val="0"/>
    <w:rPr>
      <w:i/>
      <w:iCs/>
      <w:color w:val="000000"/>
      <w:kern w:val="2"/>
      <w:sz w:val="21"/>
      <w:szCs w:val="22"/>
      <w:lang w:bidi="ar-SA"/>
    </w:rPr>
  </w:style>
  <w:style w:type="character" w:customStyle="1" w:styleId="189">
    <w:name w:val="批注框文本 Char3"/>
    <w:semiHidden/>
    <w:qFormat/>
    <w:uiPriority w:val="99"/>
    <w:rPr>
      <w:rFonts w:ascii="Calibri" w:hAnsi="Calibri" w:eastAsia="宋体" w:cs="Times New Roman"/>
      <w:sz w:val="18"/>
      <w:szCs w:val="18"/>
    </w:rPr>
  </w:style>
  <w:style w:type="character" w:customStyle="1" w:styleId="190">
    <w:name w:val="标题 2 Char2"/>
    <w:link w:val="4"/>
    <w:qFormat/>
    <w:uiPriority w:val="0"/>
    <w:rPr>
      <w:rFonts w:ascii="Cambria" w:hAnsi="Cambria" w:eastAsia="宋体"/>
      <w:b/>
      <w:bCs/>
      <w:kern w:val="2"/>
      <w:sz w:val="32"/>
      <w:szCs w:val="32"/>
      <w:lang w:val="en-US" w:eastAsia="zh-CN" w:bidi="ar-SA"/>
    </w:rPr>
  </w:style>
  <w:style w:type="character" w:customStyle="1" w:styleId="191">
    <w:name w:val="Char Char33"/>
    <w:qFormat/>
    <w:uiPriority w:val="0"/>
    <w:rPr>
      <w:rFonts w:ascii="仿宋_GB2312" w:eastAsia="仿宋_GB2312" w:cs="MingLiU"/>
      <w:b/>
      <w:sz w:val="24"/>
      <w:szCs w:val="28"/>
    </w:rPr>
  </w:style>
  <w:style w:type="character" w:customStyle="1" w:styleId="192">
    <w:name w:val="标题 2 Char"/>
    <w:qFormat/>
    <w:uiPriority w:val="0"/>
    <w:rPr>
      <w:rFonts w:ascii="仿宋_GB2312" w:hAnsi="Calibri" w:eastAsia="仿宋_GB2312" w:cs="Times New Roman"/>
      <w:b/>
      <w:spacing w:val="1"/>
      <w:w w:val="99"/>
      <w:kern w:val="0"/>
      <w:sz w:val="28"/>
      <w:szCs w:val="32"/>
    </w:rPr>
  </w:style>
  <w:style w:type="character" w:customStyle="1" w:styleId="193">
    <w:name w:val="l1"/>
    <w:basedOn w:val="47"/>
    <w:qFormat/>
    <w:uiPriority w:val="0"/>
  </w:style>
  <w:style w:type="character" w:customStyle="1" w:styleId="194">
    <w:name w:val="手改 Char Char"/>
    <w:qFormat/>
    <w:uiPriority w:val="0"/>
    <w:rPr>
      <w:kern w:val="2"/>
      <w:sz w:val="21"/>
      <w:szCs w:val="24"/>
    </w:rPr>
  </w:style>
  <w:style w:type="character" w:customStyle="1" w:styleId="195">
    <w:name w:val="style21"/>
    <w:qFormat/>
    <w:uiPriority w:val="0"/>
    <w:rPr>
      <w:b/>
      <w:bCs/>
      <w:sz w:val="28"/>
      <w:szCs w:val="28"/>
    </w:rPr>
  </w:style>
  <w:style w:type="character" w:customStyle="1" w:styleId="196">
    <w:name w:val="Char Char24"/>
    <w:qFormat/>
    <w:uiPriority w:val="0"/>
    <w:rPr>
      <w:b/>
      <w:bCs/>
      <w:kern w:val="44"/>
      <w:sz w:val="44"/>
      <w:szCs w:val="44"/>
    </w:rPr>
  </w:style>
  <w:style w:type="character" w:customStyle="1" w:styleId="197">
    <w:name w:val="页脚 Char2"/>
    <w:link w:val="29"/>
    <w:qFormat/>
    <w:uiPriority w:val="0"/>
    <w:rPr>
      <w:rFonts w:eastAsia="宋体"/>
      <w:kern w:val="2"/>
      <w:sz w:val="18"/>
      <w:szCs w:val="18"/>
      <w:lang w:val="en-US" w:eastAsia="zh-CN" w:bidi="ar-SA"/>
    </w:rPr>
  </w:style>
  <w:style w:type="character" w:customStyle="1" w:styleId="198">
    <w:name w:val="_Style 197"/>
    <w:qFormat/>
    <w:uiPriority w:val="0"/>
    <w:rPr>
      <w:b/>
      <w:bCs/>
      <w:smallCaps/>
      <w:spacing w:val="5"/>
    </w:rPr>
  </w:style>
  <w:style w:type="character" w:customStyle="1" w:styleId="199">
    <w:name w:val="纯文本 Char1"/>
    <w:qFormat/>
    <w:uiPriority w:val="0"/>
    <w:rPr>
      <w:rFonts w:ascii="宋体" w:hAnsi="Courier New" w:cs="Courier New"/>
      <w:kern w:val="2"/>
      <w:sz w:val="21"/>
      <w:szCs w:val="21"/>
    </w:rPr>
  </w:style>
  <w:style w:type="character" w:customStyle="1" w:styleId="200">
    <w:name w:val="尾注文本 Char"/>
    <w:qFormat/>
    <w:uiPriority w:val="0"/>
    <w:rPr>
      <w:kern w:val="2"/>
      <w:sz w:val="21"/>
      <w:szCs w:val="24"/>
    </w:rPr>
  </w:style>
  <w:style w:type="character" w:customStyle="1" w:styleId="201">
    <w:name w:val="日期 Char1"/>
    <w:qFormat/>
    <w:uiPriority w:val="0"/>
    <w:rPr>
      <w:kern w:val="2"/>
      <w:sz w:val="21"/>
      <w:szCs w:val="22"/>
    </w:rPr>
  </w:style>
  <w:style w:type="character" w:customStyle="1" w:styleId="202">
    <w:name w:val="纯文本 Char3"/>
    <w:link w:val="23"/>
    <w:qFormat/>
    <w:uiPriority w:val="0"/>
    <w:rPr>
      <w:rFonts w:ascii="宋体" w:hAnsi="Courier New" w:eastAsia="宋体" w:cs="Courier New"/>
      <w:kern w:val="2"/>
      <w:sz w:val="21"/>
      <w:szCs w:val="21"/>
      <w:lang w:val="en-US" w:eastAsia="zh-CN" w:bidi="ar-SA"/>
    </w:rPr>
  </w:style>
  <w:style w:type="character" w:customStyle="1" w:styleId="203">
    <w:name w:val="正文文本 Char1"/>
    <w:qFormat/>
    <w:uiPriority w:val="0"/>
    <w:rPr>
      <w:kern w:val="2"/>
      <w:sz w:val="21"/>
      <w:szCs w:val="22"/>
    </w:rPr>
  </w:style>
  <w:style w:type="character" w:customStyle="1" w:styleId="204">
    <w:name w:val="标题 9 Char1"/>
    <w:qFormat/>
    <w:uiPriority w:val="0"/>
    <w:rPr>
      <w:rFonts w:ascii="Times New Roman" w:hAnsi="Times New Roman" w:eastAsia="仿宋_GB2312" w:cs="Times New Roman"/>
      <w:sz w:val="30"/>
      <w:szCs w:val="20"/>
    </w:rPr>
  </w:style>
  <w:style w:type="character" w:customStyle="1" w:styleId="205">
    <w:name w:val="批注框文本 Char4"/>
    <w:link w:val="28"/>
    <w:qFormat/>
    <w:uiPriority w:val="0"/>
    <w:rPr>
      <w:rFonts w:eastAsia="宋体"/>
      <w:kern w:val="2"/>
      <w:sz w:val="18"/>
      <w:szCs w:val="18"/>
      <w:lang w:val="en-US" w:eastAsia="zh-CN" w:bidi="ar-SA"/>
    </w:rPr>
  </w:style>
  <w:style w:type="character" w:customStyle="1" w:styleId="206">
    <w:name w:val="脚注文本 Char1"/>
    <w:qFormat/>
    <w:uiPriority w:val="0"/>
    <w:rPr>
      <w:rFonts w:ascii="Arial" w:hAnsi="Arial" w:cs="Arial"/>
      <w:sz w:val="18"/>
      <w:szCs w:val="18"/>
      <w:lang w:eastAsia="en-US"/>
    </w:rPr>
  </w:style>
  <w:style w:type="character" w:customStyle="1" w:styleId="207">
    <w:name w:val="正文文本缩进 Char"/>
    <w:qFormat/>
    <w:uiPriority w:val="0"/>
    <w:rPr>
      <w:rFonts w:ascii="黑体" w:hAnsi="宋体" w:eastAsia="黑体"/>
      <w:color w:val="000000"/>
      <w:sz w:val="28"/>
      <w:szCs w:val="32"/>
    </w:rPr>
  </w:style>
  <w:style w:type="character" w:customStyle="1" w:styleId="208">
    <w:name w:val="HTML 预设格式 Char1"/>
    <w:qFormat/>
    <w:uiPriority w:val="0"/>
    <w:rPr>
      <w:rFonts w:ascii="宋体" w:hAnsi="宋体" w:cs="宋体"/>
      <w:color w:val="000000"/>
      <w:sz w:val="24"/>
      <w:szCs w:val="24"/>
    </w:rPr>
  </w:style>
  <w:style w:type="character" w:customStyle="1" w:styleId="209">
    <w:name w:val="引用 Char3"/>
    <w:qFormat/>
    <w:uiPriority w:val="29"/>
    <w:rPr>
      <w:rFonts w:ascii="Calibri" w:hAnsi="Calibri" w:eastAsia="宋体" w:cs="Times New Roman"/>
      <w:i/>
      <w:iCs/>
      <w:color w:val="000000"/>
      <w:szCs w:val="24"/>
    </w:rPr>
  </w:style>
  <w:style w:type="character" w:customStyle="1" w:styleId="210">
    <w:name w:val="尾注文本 Char3"/>
    <w:link w:val="27"/>
    <w:qFormat/>
    <w:uiPriority w:val="0"/>
    <w:rPr>
      <w:rFonts w:ascii="Arial" w:hAnsi="Arial" w:eastAsia="宋体" w:cs="Arial"/>
      <w:szCs w:val="24"/>
      <w:lang w:val="en-US" w:eastAsia="en-US" w:bidi="ar-SA"/>
    </w:rPr>
  </w:style>
  <w:style w:type="character" w:customStyle="1" w:styleId="211">
    <w:name w:val="标题 7 Char1"/>
    <w:qFormat/>
    <w:uiPriority w:val="0"/>
    <w:rPr>
      <w:rFonts w:ascii="Times New Roman" w:hAnsi="Times New Roman" w:eastAsia="仿宋_GB2312" w:cs="Times New Roman"/>
      <w:sz w:val="30"/>
      <w:szCs w:val="20"/>
    </w:rPr>
  </w:style>
  <w:style w:type="character" w:customStyle="1" w:styleId="212">
    <w:name w:val="普通文字 Char Char1"/>
    <w:qFormat/>
    <w:uiPriority w:val="0"/>
    <w:rPr>
      <w:rFonts w:ascii="宋体" w:hAnsi="Courier New"/>
      <w:kern w:val="2"/>
      <w:sz w:val="28"/>
      <w:szCs w:val="28"/>
    </w:rPr>
  </w:style>
  <w:style w:type="character" w:customStyle="1" w:styleId="213">
    <w:name w:val="明显参考1"/>
    <w:qFormat/>
    <w:uiPriority w:val="0"/>
    <w:rPr>
      <w:b/>
      <w:bCs/>
      <w:smallCaps/>
      <w:color w:val="C0504D"/>
      <w:spacing w:val="5"/>
      <w:u w:val="single"/>
    </w:rPr>
  </w:style>
  <w:style w:type="character" w:customStyle="1" w:styleId="214">
    <w:name w:val="正文文本缩进 Char1"/>
    <w:qFormat/>
    <w:uiPriority w:val="0"/>
    <w:rPr>
      <w:kern w:val="2"/>
      <w:sz w:val="21"/>
      <w:szCs w:val="24"/>
    </w:rPr>
  </w:style>
  <w:style w:type="character" w:customStyle="1" w:styleId="215">
    <w:name w:val="页眉 Char"/>
    <w:qFormat/>
    <w:uiPriority w:val="0"/>
    <w:rPr>
      <w:sz w:val="18"/>
      <w:szCs w:val="18"/>
    </w:rPr>
  </w:style>
  <w:style w:type="character" w:customStyle="1" w:styleId="216">
    <w:name w:val="style31"/>
    <w:qFormat/>
    <w:uiPriority w:val="0"/>
    <w:rPr>
      <w:sz w:val="10"/>
      <w:szCs w:val="10"/>
    </w:rPr>
  </w:style>
  <w:style w:type="character" w:customStyle="1" w:styleId="217">
    <w:name w:val="日期 Char"/>
    <w:qFormat/>
    <w:uiPriority w:val="0"/>
    <w:rPr>
      <w:rFonts w:eastAsia="宋体"/>
      <w:szCs w:val="24"/>
    </w:rPr>
  </w:style>
  <w:style w:type="character" w:customStyle="1" w:styleId="218">
    <w:name w:val="标题 1 Char1"/>
    <w:qFormat/>
    <w:uiPriority w:val="0"/>
    <w:rPr>
      <w:rFonts w:ascii="Times New Roman" w:hAnsi="Times New Roman" w:eastAsia="宋体" w:cs="Times New Roman"/>
      <w:b/>
      <w:bCs/>
      <w:kern w:val="44"/>
      <w:sz w:val="44"/>
      <w:szCs w:val="44"/>
    </w:rPr>
  </w:style>
  <w:style w:type="character" w:customStyle="1" w:styleId="219">
    <w:name w:val="main_tdbg_7601"/>
    <w:qFormat/>
    <w:uiPriority w:val="0"/>
    <w:rPr>
      <w:sz w:val="14"/>
      <w:szCs w:val="14"/>
    </w:rPr>
  </w:style>
  <w:style w:type="character" w:customStyle="1" w:styleId="220">
    <w:name w:val="尾注文本 Char1"/>
    <w:qFormat/>
    <w:uiPriority w:val="0"/>
    <w:rPr>
      <w:rFonts w:ascii="Arial" w:hAnsi="Arial" w:cs="Arial"/>
      <w:szCs w:val="24"/>
      <w:lang w:eastAsia="en-US"/>
    </w:rPr>
  </w:style>
  <w:style w:type="character" w:customStyle="1" w:styleId="221">
    <w:name w:val="副标题 Char2"/>
    <w:qFormat/>
    <w:uiPriority w:val="11"/>
    <w:rPr>
      <w:rFonts w:ascii="Cambria" w:hAnsi="Cambria" w:eastAsia="宋体" w:cs="Times New Roman"/>
      <w:b/>
      <w:bCs/>
      <w:kern w:val="28"/>
      <w:sz w:val="32"/>
      <w:szCs w:val="32"/>
    </w:rPr>
  </w:style>
  <w:style w:type="character" w:customStyle="1" w:styleId="222">
    <w:name w:val="正文文本缩进 3 Char2"/>
    <w:semiHidden/>
    <w:qFormat/>
    <w:uiPriority w:val="99"/>
    <w:rPr>
      <w:rFonts w:ascii="Calibri" w:hAnsi="Calibri" w:eastAsia="宋体" w:cs="Times New Roman"/>
      <w:sz w:val="16"/>
      <w:szCs w:val="16"/>
    </w:rPr>
  </w:style>
  <w:style w:type="character" w:customStyle="1" w:styleId="223">
    <w:name w:val="Char Char34"/>
    <w:qFormat/>
    <w:uiPriority w:val="0"/>
    <w:rPr>
      <w:rFonts w:ascii="仿宋_GB2312" w:eastAsia="仿宋_GB2312" w:cs="MingLiU"/>
      <w:b/>
      <w:spacing w:val="1"/>
      <w:w w:val="99"/>
      <w:sz w:val="28"/>
      <w:szCs w:val="32"/>
    </w:rPr>
  </w:style>
  <w:style w:type="character" w:customStyle="1" w:styleId="224">
    <w:name w:val="docpro"/>
    <w:basedOn w:val="47"/>
    <w:qFormat/>
    <w:uiPriority w:val="0"/>
  </w:style>
  <w:style w:type="character" w:customStyle="1" w:styleId="225">
    <w:name w:val="正文文本 Char4"/>
    <w:link w:val="2"/>
    <w:qFormat/>
    <w:uiPriority w:val="0"/>
    <w:rPr>
      <w:rFonts w:eastAsia="宋体"/>
      <w:kern w:val="2"/>
      <w:sz w:val="21"/>
      <w:szCs w:val="24"/>
      <w:lang w:val="en-US" w:eastAsia="zh-CN" w:bidi="ar-SA"/>
    </w:rPr>
  </w:style>
  <w:style w:type="character" w:customStyle="1" w:styleId="226">
    <w:name w:val="ITTHEADER1 Char"/>
    <w:qFormat/>
    <w:uiPriority w:val="0"/>
    <w:rPr>
      <w:rFonts w:eastAsia="黑体"/>
      <w:kern w:val="2"/>
      <w:sz w:val="44"/>
      <w:szCs w:val="44"/>
      <w:lang w:val="en-US" w:eastAsia="zh-CN" w:bidi="ar-SA"/>
    </w:rPr>
  </w:style>
  <w:style w:type="character" w:customStyle="1" w:styleId="227">
    <w:name w:val="副标题 Char"/>
    <w:qFormat/>
    <w:uiPriority w:val="0"/>
    <w:rPr>
      <w:rFonts w:ascii="Cambria" w:hAnsi="Cambria" w:eastAsia="宋体" w:cs="Times New Roman"/>
      <w:b/>
      <w:bCs/>
      <w:kern w:val="28"/>
      <w:sz w:val="32"/>
      <w:szCs w:val="32"/>
    </w:rPr>
  </w:style>
  <w:style w:type="character" w:customStyle="1" w:styleId="228">
    <w:name w:val="标题 6 Char2"/>
    <w:link w:val="8"/>
    <w:qFormat/>
    <w:uiPriority w:val="0"/>
    <w:rPr>
      <w:rFonts w:hAnsi="Arial" w:eastAsia="仿宋_GB2312"/>
      <w:sz w:val="30"/>
      <w:lang w:val="en-US" w:eastAsia="zh-CN" w:bidi="ar-SA"/>
    </w:rPr>
  </w:style>
  <w:style w:type="character" w:customStyle="1" w:styleId="229">
    <w:name w:val="标题 Char2"/>
    <w:qFormat/>
    <w:uiPriority w:val="10"/>
    <w:rPr>
      <w:rFonts w:ascii="Cambria" w:hAnsi="Cambria" w:eastAsia="宋体" w:cs="Times New Roman"/>
      <w:b/>
      <w:bCs/>
      <w:sz w:val="32"/>
      <w:szCs w:val="32"/>
    </w:rPr>
  </w:style>
  <w:style w:type="character" w:customStyle="1" w:styleId="230">
    <w:name w:val="正文文本 Char2"/>
    <w:qFormat/>
    <w:uiPriority w:val="99"/>
    <w:rPr>
      <w:kern w:val="2"/>
      <w:sz w:val="21"/>
      <w:szCs w:val="24"/>
    </w:rPr>
  </w:style>
  <w:style w:type="character" w:customStyle="1" w:styleId="231">
    <w:name w:val="正文文本 2 Char"/>
    <w:link w:val="39"/>
    <w:qFormat/>
    <w:uiPriority w:val="0"/>
    <w:rPr>
      <w:i/>
      <w:iCs/>
      <w:kern w:val="2"/>
      <w:sz w:val="26"/>
      <w:szCs w:val="24"/>
    </w:rPr>
  </w:style>
  <w:style w:type="character" w:customStyle="1" w:styleId="232">
    <w:name w:val="0d1471"/>
    <w:qFormat/>
    <w:uiPriority w:val="0"/>
    <w:rPr>
      <w:color w:val="000000"/>
      <w:sz w:val="11"/>
      <w:szCs w:val="11"/>
      <w:u w:val="none"/>
    </w:rPr>
  </w:style>
  <w:style w:type="character" w:customStyle="1" w:styleId="233">
    <w:name w:val="批注主题 Char"/>
    <w:qFormat/>
    <w:uiPriority w:val="0"/>
    <w:rPr>
      <w:rFonts w:ascii="宋体" w:hAnsi="宋体" w:eastAsia="宋体"/>
      <w:kern w:val="2"/>
      <w:sz w:val="24"/>
      <w:szCs w:val="28"/>
      <w:lang w:val="en-US" w:eastAsia="zh-CN" w:bidi="ar-SA"/>
    </w:rPr>
  </w:style>
  <w:style w:type="character" w:customStyle="1" w:styleId="234">
    <w:name w:val="正文文本 2 Char1"/>
    <w:semiHidden/>
    <w:qFormat/>
    <w:uiPriority w:val="99"/>
    <w:rPr>
      <w:rFonts w:ascii="Calibri" w:hAnsi="Calibri" w:eastAsia="宋体" w:cs="Times New Roman"/>
      <w:szCs w:val="24"/>
    </w:rPr>
  </w:style>
  <w:style w:type="character" w:customStyle="1" w:styleId="235">
    <w:name w:val="批注框文本 Char1"/>
    <w:qFormat/>
    <w:uiPriority w:val="0"/>
    <w:rPr>
      <w:kern w:val="2"/>
      <w:sz w:val="18"/>
      <w:szCs w:val="18"/>
    </w:rPr>
  </w:style>
  <w:style w:type="character" w:customStyle="1" w:styleId="236">
    <w:name w:val="标题 Char3"/>
    <w:link w:val="43"/>
    <w:qFormat/>
    <w:uiPriority w:val="0"/>
    <w:rPr>
      <w:rFonts w:eastAsia="宋体"/>
      <w:szCs w:val="24"/>
      <w:u w:val="single"/>
      <w:lang w:val="en-US" w:eastAsia="en-US" w:bidi="ar-SA"/>
    </w:rPr>
  </w:style>
  <w:style w:type="character" w:customStyle="1" w:styleId="237">
    <w:name w:val="正文文本缩进 2 Char3"/>
    <w:link w:val="26"/>
    <w:qFormat/>
    <w:uiPriority w:val="0"/>
    <w:rPr>
      <w:rFonts w:eastAsia="宋体"/>
      <w:sz w:val="28"/>
      <w:szCs w:val="24"/>
      <w:lang w:val="en-US" w:eastAsia="zh-CN" w:bidi="ar-SA"/>
    </w:rPr>
  </w:style>
  <w:style w:type="character" w:customStyle="1" w:styleId="238">
    <w:name w:val="引用 Char"/>
    <w:link w:val="115"/>
    <w:qFormat/>
    <w:uiPriority w:val="0"/>
    <w:rPr>
      <w:rFonts w:ascii="Times New Roman" w:hAnsi="Times New Roman" w:eastAsia="宋体" w:cs="Times New Roman"/>
      <w:i/>
      <w:iCs/>
      <w:color w:val="000000"/>
      <w:kern w:val="2"/>
      <w:sz w:val="21"/>
      <w:szCs w:val="24"/>
    </w:rPr>
  </w:style>
  <w:style w:type="character" w:customStyle="1" w:styleId="239">
    <w:name w:val="font161"/>
    <w:qFormat/>
    <w:uiPriority w:val="0"/>
    <w:rPr>
      <w:b/>
      <w:bCs/>
      <w:sz w:val="32"/>
      <w:szCs w:val="32"/>
    </w:rPr>
  </w:style>
  <w:style w:type="character" w:customStyle="1" w:styleId="240">
    <w:name w:val="正文文本缩进 Char3"/>
    <w:link w:val="18"/>
    <w:qFormat/>
    <w:uiPriority w:val="0"/>
    <w:rPr>
      <w:rFonts w:eastAsia="宋体"/>
      <w:kern w:val="2"/>
      <w:sz w:val="21"/>
      <w:szCs w:val="24"/>
      <w:lang w:val="en-US" w:eastAsia="zh-CN" w:bidi="ar-SA"/>
    </w:rPr>
  </w:style>
  <w:style w:type="character" w:customStyle="1" w:styleId="241">
    <w:name w:val="标题 9 Char2"/>
    <w:link w:val="12"/>
    <w:qFormat/>
    <w:uiPriority w:val="0"/>
    <w:rPr>
      <w:rFonts w:eastAsia="仿宋_GB2312"/>
      <w:sz w:val="30"/>
      <w:lang w:val="en-US" w:eastAsia="zh-CN" w:bidi="ar-SA"/>
    </w:rPr>
  </w:style>
  <w:style w:type="character" w:customStyle="1" w:styleId="242">
    <w:name w:val="标题 8 Char2"/>
    <w:link w:val="11"/>
    <w:qFormat/>
    <w:uiPriority w:val="0"/>
    <w:rPr>
      <w:rFonts w:hAnsi="Arial" w:eastAsia="仿宋_GB2312"/>
      <w:sz w:val="30"/>
      <w:lang w:val="en-US" w:eastAsia="zh-CN" w:bidi="ar-SA"/>
    </w:rPr>
  </w:style>
  <w:style w:type="character" w:customStyle="1" w:styleId="243">
    <w:name w:val="Char Char32"/>
    <w:qFormat/>
    <w:uiPriority w:val="0"/>
    <w:rPr>
      <w:rFonts w:ascii="仿宋_GB2312" w:eastAsia="仿宋_GB2312" w:cs="MingLiU"/>
      <w:b/>
      <w:spacing w:val="1"/>
      <w:w w:val="99"/>
      <w:sz w:val="28"/>
      <w:szCs w:val="32"/>
    </w:rPr>
  </w:style>
  <w:style w:type="character" w:customStyle="1" w:styleId="244">
    <w:name w:val="正文文本缩进 3 Char3"/>
    <w:link w:val="36"/>
    <w:qFormat/>
    <w:uiPriority w:val="0"/>
    <w:rPr>
      <w:rFonts w:ascii="宋体" w:hAnsi="宋体" w:eastAsia="宋体"/>
      <w:kern w:val="2"/>
      <w:sz w:val="28"/>
      <w:szCs w:val="28"/>
      <w:lang w:val="en-US" w:eastAsia="zh-CN" w:bidi="ar-SA"/>
    </w:rPr>
  </w:style>
  <w:style w:type="character" w:customStyle="1" w:styleId="245">
    <w:name w:val="标题 2 Char1"/>
    <w:qFormat/>
    <w:uiPriority w:val="0"/>
    <w:rPr>
      <w:rFonts w:ascii="Cambria" w:hAnsi="Cambria" w:eastAsia="宋体" w:cs="Times New Roman"/>
      <w:b/>
      <w:bCs/>
      <w:kern w:val="2"/>
      <w:sz w:val="32"/>
      <w:szCs w:val="32"/>
    </w:rPr>
  </w:style>
  <w:style w:type="character" w:customStyle="1" w:styleId="246">
    <w:name w:val="ss16"/>
    <w:qFormat/>
    <w:uiPriority w:val="0"/>
    <w:rPr>
      <w:rFonts w:hint="eastAsia" w:ascii="宋体" w:hAnsi="宋体" w:eastAsia="宋体"/>
      <w:color w:val="000000"/>
      <w:sz w:val="9"/>
      <w:szCs w:val="9"/>
    </w:rPr>
  </w:style>
  <w:style w:type="character" w:customStyle="1" w:styleId="247">
    <w:name w:val="批注主题 Char3"/>
    <w:semiHidden/>
    <w:qFormat/>
    <w:uiPriority w:val="99"/>
    <w:rPr>
      <w:rFonts w:ascii="Calibri" w:hAnsi="Calibri" w:eastAsia="宋体" w:cs="Times New Roman"/>
      <w:b/>
      <w:bCs/>
      <w:szCs w:val="24"/>
    </w:rPr>
  </w:style>
  <w:style w:type="character" w:customStyle="1" w:styleId="248">
    <w:name w:val="明显引用 Char1"/>
    <w:link w:val="132"/>
    <w:qFormat/>
    <w:uiPriority w:val="30"/>
    <w:rPr>
      <w:b/>
      <w:bCs/>
      <w:i/>
      <w:iCs/>
      <w:color w:val="4F81BD"/>
      <w:kern w:val="2"/>
      <w:sz w:val="21"/>
    </w:rPr>
  </w:style>
  <w:style w:type="character" w:customStyle="1" w:styleId="249">
    <w:name w:val="HTML 预设格式 Char2"/>
    <w:semiHidden/>
    <w:qFormat/>
    <w:uiPriority w:val="99"/>
    <w:rPr>
      <w:rFonts w:ascii="Courier New" w:hAnsi="Courier New" w:eastAsia="宋体" w:cs="Courier New"/>
      <w:sz w:val="20"/>
      <w:szCs w:val="20"/>
    </w:rPr>
  </w:style>
  <w:style w:type="character" w:customStyle="1" w:styleId="250">
    <w:name w:val="Char Char17"/>
    <w:qFormat/>
    <w:uiPriority w:val="0"/>
    <w:rPr>
      <w:kern w:val="2"/>
      <w:sz w:val="26"/>
      <w:szCs w:val="24"/>
    </w:rPr>
  </w:style>
  <w:style w:type="character" w:customStyle="1" w:styleId="251">
    <w:name w:val="标题 3 Char1"/>
    <w:qFormat/>
    <w:uiPriority w:val="0"/>
    <w:rPr>
      <w:rFonts w:ascii="Times New Roman" w:hAnsi="Times New Roman" w:eastAsia="宋体" w:cs="Times New Roman"/>
      <w:b/>
      <w:bCs/>
      <w:kern w:val="2"/>
      <w:sz w:val="32"/>
      <w:szCs w:val="32"/>
    </w:rPr>
  </w:style>
  <w:style w:type="character" w:customStyle="1" w:styleId="252">
    <w:name w:val="标题 5 Char"/>
    <w:qFormat/>
    <w:uiPriority w:val="0"/>
    <w:rPr>
      <w:rFonts w:ascii="Calibri" w:hAnsi="Calibri" w:eastAsia="宋体" w:cs="Times New Roman"/>
      <w:b/>
      <w:bCs/>
      <w:sz w:val="28"/>
      <w:szCs w:val="28"/>
    </w:rPr>
  </w:style>
  <w:style w:type="character" w:customStyle="1" w:styleId="253">
    <w:name w:val="页脚 Char1"/>
    <w:semiHidden/>
    <w:qFormat/>
    <w:uiPriority w:val="99"/>
    <w:rPr>
      <w:kern w:val="2"/>
      <w:sz w:val="18"/>
      <w:szCs w:val="18"/>
    </w:rPr>
  </w:style>
  <w:style w:type="character" w:customStyle="1" w:styleId="254">
    <w:name w:val="unnamed1"/>
    <w:basedOn w:val="47"/>
    <w:qFormat/>
    <w:uiPriority w:val="0"/>
  </w:style>
  <w:style w:type="character" w:customStyle="1" w:styleId="255">
    <w:name w:val="Char Char9"/>
    <w:qFormat/>
    <w:locked/>
    <w:uiPriority w:val="0"/>
    <w:rPr>
      <w:rFonts w:ascii="仿宋_GB2312" w:eastAsia="仿宋_GB2312" w:cs="MingLiU"/>
      <w:b/>
      <w:sz w:val="24"/>
      <w:szCs w:val="28"/>
      <w:lang w:val="en-US" w:eastAsia="zh-CN" w:bidi="ar-SA"/>
    </w:rPr>
  </w:style>
  <w:style w:type="character" w:customStyle="1" w:styleId="256">
    <w:name w:val="批注主题 Char1"/>
    <w:qFormat/>
    <w:uiPriority w:val="0"/>
    <w:rPr>
      <w:b/>
      <w:bCs/>
      <w:kern w:val="2"/>
      <w:sz w:val="21"/>
      <w:szCs w:val="22"/>
    </w:rPr>
  </w:style>
  <w:style w:type="character" w:customStyle="1" w:styleId="257">
    <w:name w:val="正文文本 3 Char3"/>
    <w:link w:val="17"/>
    <w:qFormat/>
    <w:uiPriority w:val="0"/>
    <w:rPr>
      <w:rFonts w:eastAsia="宋体"/>
      <w:kern w:val="2"/>
      <w:sz w:val="16"/>
      <w:szCs w:val="16"/>
      <w:lang w:val="en-US" w:eastAsia="zh-CN" w:bidi="ar-SA"/>
    </w:rPr>
  </w:style>
  <w:style w:type="character" w:customStyle="1" w:styleId="258">
    <w:name w:val="纯文本 Char2"/>
    <w:semiHidden/>
    <w:qFormat/>
    <w:uiPriority w:val="99"/>
    <w:rPr>
      <w:rFonts w:ascii="宋体" w:hAnsi="Courier New" w:eastAsia="宋体" w:cs="Courier New"/>
      <w:szCs w:val="21"/>
    </w:rPr>
  </w:style>
  <w:style w:type="character" w:customStyle="1" w:styleId="259">
    <w:name w:val="intel3"/>
    <w:basedOn w:val="47"/>
    <w:qFormat/>
    <w:uiPriority w:val="0"/>
  </w:style>
  <w:style w:type="character" w:customStyle="1" w:styleId="260">
    <w:name w:val="subhead1"/>
    <w:qFormat/>
    <w:uiPriority w:val="0"/>
    <w:rPr>
      <w:rFonts w:hint="default" w:ascii="Tahoma" w:hAnsi="Tahoma" w:cs="Tahoma"/>
      <w:color w:val="000000"/>
      <w:sz w:val="18"/>
      <w:szCs w:val="18"/>
      <w:u w:val="none"/>
      <w:shd w:val="clear" w:color="auto" w:fill="FFFFFF"/>
    </w:rPr>
  </w:style>
  <w:style w:type="character" w:customStyle="1" w:styleId="261">
    <w:name w:val="脚注文本 Char"/>
    <w:qFormat/>
    <w:uiPriority w:val="0"/>
    <w:rPr>
      <w:rFonts w:ascii="Arial" w:hAnsi="Arial" w:eastAsia="宋体" w:cs="Arial"/>
      <w:sz w:val="18"/>
      <w:szCs w:val="18"/>
      <w:lang w:eastAsia="en-US"/>
    </w:rPr>
  </w:style>
  <w:style w:type="character" w:customStyle="1" w:styleId="262">
    <w:name w:val="引用 Char1"/>
    <w:link w:val="137"/>
    <w:qFormat/>
    <w:uiPriority w:val="29"/>
    <w:rPr>
      <w:i/>
      <w:iCs/>
      <w:color w:val="000000"/>
      <w:kern w:val="2"/>
      <w:sz w:val="21"/>
    </w:rPr>
  </w:style>
  <w:style w:type="character" w:customStyle="1" w:styleId="263">
    <w:name w:val="正文文本缩进 2 Char"/>
    <w:qFormat/>
    <w:uiPriority w:val="0"/>
    <w:rPr>
      <w:kern w:val="2"/>
      <w:sz w:val="21"/>
      <w:szCs w:val="24"/>
    </w:rPr>
  </w:style>
  <w:style w:type="character" w:customStyle="1" w:styleId="264">
    <w:name w:val="脚注文本 Char2"/>
    <w:semiHidden/>
    <w:qFormat/>
    <w:uiPriority w:val="99"/>
    <w:rPr>
      <w:rFonts w:ascii="Calibri" w:hAnsi="Calibri" w:eastAsia="宋体" w:cs="Times New Roman"/>
      <w:sz w:val="18"/>
      <w:szCs w:val="18"/>
    </w:rPr>
  </w:style>
  <w:style w:type="character" w:customStyle="1" w:styleId="265">
    <w:name w:val="ca-141"/>
    <w:qFormat/>
    <w:uiPriority w:val="0"/>
    <w:rPr>
      <w:rFonts w:hint="eastAsia" w:ascii="仿宋_GB2312" w:eastAsia="仿宋_GB2312"/>
      <w:sz w:val="21"/>
      <w:szCs w:val="21"/>
    </w:rPr>
  </w:style>
  <w:style w:type="character" w:customStyle="1" w:styleId="266">
    <w:name w:val="标题 Char1"/>
    <w:qFormat/>
    <w:uiPriority w:val="10"/>
    <w:rPr>
      <w:szCs w:val="24"/>
      <w:u w:val="single"/>
      <w:lang w:eastAsia="en-US"/>
    </w:rPr>
  </w:style>
  <w:style w:type="character" w:customStyle="1" w:styleId="267">
    <w:name w:val="style161"/>
    <w:qFormat/>
    <w:uiPriority w:val="0"/>
    <w:rPr>
      <w:b/>
      <w:bCs/>
      <w:color w:val="333333"/>
    </w:rPr>
  </w:style>
  <w:style w:type="character" w:customStyle="1" w:styleId="268">
    <w:name w:val="Char Char11"/>
    <w:qFormat/>
    <w:locked/>
    <w:uiPriority w:val="0"/>
    <w:rPr>
      <w:rFonts w:eastAsia="黑体"/>
      <w:kern w:val="2"/>
      <w:sz w:val="44"/>
      <w:szCs w:val="44"/>
      <w:lang w:val="en-US" w:eastAsia="zh-CN" w:bidi="ar-SA"/>
    </w:rPr>
  </w:style>
  <w:style w:type="character" w:customStyle="1" w:styleId="269">
    <w:name w:val="标题 7 Char"/>
    <w:qFormat/>
    <w:uiPriority w:val="0"/>
    <w:rPr>
      <w:rFonts w:ascii="Calibri" w:hAnsi="Calibri" w:eastAsia="宋体" w:cs="Times New Roman"/>
      <w:b/>
      <w:bCs/>
      <w:sz w:val="24"/>
      <w:szCs w:val="24"/>
    </w:rPr>
  </w:style>
  <w:style w:type="character" w:customStyle="1" w:styleId="270">
    <w:name w:val="批注文字 Char1"/>
    <w:qFormat/>
    <w:uiPriority w:val="99"/>
    <w:rPr>
      <w:rFonts w:ascii="Times New Roman" w:hAnsi="Times New Roman" w:eastAsia="宋体" w:cs="Times New Roman"/>
      <w:szCs w:val="24"/>
    </w:rPr>
  </w:style>
  <w:style w:type="character" w:customStyle="1" w:styleId="271">
    <w:name w:val="明显引用 Char"/>
    <w:qFormat/>
    <w:uiPriority w:val="0"/>
    <w:rPr>
      <w:rFonts w:ascii="Times New Roman" w:hAnsi="Times New Roman" w:eastAsia="宋体" w:cs="Times New Roman"/>
      <w:b/>
      <w:bCs/>
      <w:i/>
      <w:iCs/>
      <w:color w:val="4F81BD"/>
      <w:kern w:val="2"/>
      <w:sz w:val="21"/>
      <w:szCs w:val="24"/>
    </w:rPr>
  </w:style>
  <w:style w:type="character" w:customStyle="1" w:styleId="272">
    <w:name w:val="标题 5 Char2"/>
    <w:link w:val="7"/>
    <w:qFormat/>
    <w:uiPriority w:val="0"/>
    <w:rPr>
      <w:rFonts w:ascii="宋体" w:hAnsi="宋体" w:eastAsia="宋体" w:cs="宋体"/>
      <w:b/>
      <w:bCs/>
      <w:lang w:val="en-US" w:eastAsia="zh-CN" w:bidi="ar-SA"/>
    </w:rPr>
  </w:style>
  <w:style w:type="character" w:customStyle="1" w:styleId="273">
    <w:name w:val="正文文本缩进 3 Char1"/>
    <w:qFormat/>
    <w:uiPriority w:val="0"/>
    <w:rPr>
      <w:rFonts w:ascii="宋体" w:hAnsi="宋体"/>
      <w:kern w:val="2"/>
      <w:sz w:val="28"/>
      <w:szCs w:val="28"/>
    </w:rPr>
  </w:style>
  <w:style w:type="character" w:customStyle="1" w:styleId="274">
    <w:name w:val="正文文本 Char"/>
    <w:qFormat/>
    <w:uiPriority w:val="0"/>
    <w:rPr>
      <w:sz w:val="26"/>
      <w:szCs w:val="24"/>
    </w:rPr>
  </w:style>
  <w:style w:type="character" w:customStyle="1" w:styleId="275">
    <w:name w:val="明显引用 字符"/>
    <w:link w:val="81"/>
    <w:qFormat/>
    <w:uiPriority w:val="0"/>
    <w:rPr>
      <w:b/>
      <w:bCs/>
      <w:i/>
      <w:iCs/>
      <w:color w:val="4F81BD"/>
      <w:kern w:val="2"/>
      <w:sz w:val="21"/>
      <w:szCs w:val="22"/>
      <w:lang w:bidi="ar-SA"/>
    </w:rPr>
  </w:style>
  <w:style w:type="character" w:customStyle="1" w:styleId="276">
    <w:name w:val="Char Char12"/>
    <w:qFormat/>
    <w:uiPriority w:val="0"/>
    <w:rPr>
      <w:rFonts w:eastAsia="黑体"/>
      <w:kern w:val="2"/>
      <w:sz w:val="44"/>
      <w:szCs w:val="44"/>
      <w:lang w:val="en-US" w:eastAsia="zh-CN" w:bidi="ar-SA"/>
    </w:rPr>
  </w:style>
  <w:style w:type="character" w:customStyle="1" w:styleId="277">
    <w:name w:val="标题 4 Char"/>
    <w:qFormat/>
    <w:uiPriority w:val="0"/>
    <w:rPr>
      <w:rFonts w:ascii="仿宋_GB2312" w:hAnsi="Calibri" w:eastAsia="仿宋_GB2312" w:cs="Times New Roman"/>
      <w:b/>
      <w:kern w:val="0"/>
      <w:sz w:val="24"/>
      <w:szCs w:val="28"/>
    </w:rPr>
  </w:style>
  <w:style w:type="character" w:customStyle="1" w:styleId="278">
    <w:name w:val="明显引用 Char3"/>
    <w:qFormat/>
    <w:uiPriority w:val="30"/>
    <w:rPr>
      <w:rFonts w:ascii="Calibri" w:hAnsi="Calibri" w:eastAsia="宋体" w:cs="Times New Roman"/>
      <w:b/>
      <w:bCs/>
      <w:i/>
      <w:iCs/>
      <w:color w:val="4F81BD"/>
      <w:szCs w:val="24"/>
    </w:rPr>
  </w:style>
  <w:style w:type="character" w:customStyle="1" w:styleId="279">
    <w:name w:val="引用 Char2"/>
    <w:qFormat/>
    <w:uiPriority w:val="99"/>
    <w:rPr>
      <w:i/>
      <w:iCs/>
      <w:color w:val="000000"/>
      <w:kern w:val="2"/>
      <w:sz w:val="21"/>
      <w:szCs w:val="24"/>
    </w:rPr>
  </w:style>
  <w:style w:type="character" w:customStyle="1" w:styleId="280">
    <w:name w:val="批注主题 Char4"/>
    <w:link w:val="44"/>
    <w:qFormat/>
    <w:uiPriority w:val="0"/>
    <w:rPr>
      <w:rFonts w:eastAsia="宋体"/>
      <w:b/>
      <w:bCs/>
      <w:kern w:val="2"/>
      <w:sz w:val="21"/>
      <w:szCs w:val="24"/>
      <w:lang w:val="en-US" w:eastAsia="zh-CN" w:bidi="ar-SA"/>
    </w:rPr>
  </w:style>
  <w:style w:type="character" w:customStyle="1" w:styleId="281">
    <w:name w:val="不明显强调1"/>
    <w:qFormat/>
    <w:uiPriority w:val="0"/>
    <w:rPr>
      <w:i/>
      <w:iCs/>
      <w:color w:val="808080"/>
    </w:rPr>
  </w:style>
  <w:style w:type="character" w:customStyle="1" w:styleId="282">
    <w:name w:val="color_red1"/>
    <w:qFormat/>
    <w:uiPriority w:val="0"/>
    <w:rPr>
      <w:color w:val="FA0004"/>
    </w:rPr>
  </w:style>
  <w:style w:type="character" w:customStyle="1" w:styleId="283">
    <w:name w:val="标题 7 Char2"/>
    <w:link w:val="10"/>
    <w:qFormat/>
    <w:uiPriority w:val="0"/>
    <w:rPr>
      <w:rFonts w:eastAsia="仿宋_GB2312"/>
      <w:sz w:val="30"/>
      <w:lang w:val="en-US" w:eastAsia="zh-CN" w:bidi="ar-SA"/>
    </w:rPr>
  </w:style>
  <w:style w:type="character" w:customStyle="1" w:styleId="284">
    <w:name w:val="标题5 Char Char"/>
    <w:link w:val="121"/>
    <w:qFormat/>
    <w:uiPriority w:val="0"/>
    <w:rPr>
      <w:rFonts w:ascii="Arial" w:hAnsi="Arial"/>
      <w:b/>
      <w:bCs/>
      <w:sz w:val="24"/>
      <w:szCs w:val="32"/>
      <w:lang w:bidi="ar-SA"/>
    </w:rPr>
  </w:style>
  <w:style w:type="character" w:customStyle="1" w:styleId="285">
    <w:name w:val="脚注文本 Char3"/>
    <w:link w:val="34"/>
    <w:qFormat/>
    <w:uiPriority w:val="0"/>
    <w:rPr>
      <w:rFonts w:ascii="Arial" w:hAnsi="Arial" w:eastAsia="宋体" w:cs="Arial"/>
      <w:sz w:val="18"/>
      <w:szCs w:val="18"/>
      <w:lang w:val="en-US" w:eastAsia="en-US" w:bidi="ar-SA"/>
    </w:rPr>
  </w:style>
  <w:style w:type="character" w:customStyle="1" w:styleId="286">
    <w:name w:val="标题4 Char Char"/>
    <w:link w:val="91"/>
    <w:qFormat/>
    <w:uiPriority w:val="0"/>
    <w:rPr>
      <w:rFonts w:ascii="Arial" w:hAnsi="Arial"/>
      <w:b/>
      <w:bCs/>
      <w:sz w:val="24"/>
      <w:szCs w:val="32"/>
      <w:lang w:bidi="ar-SA"/>
    </w:rPr>
  </w:style>
  <w:style w:type="character" w:customStyle="1" w:styleId="287">
    <w:name w:val="Char Char13"/>
    <w:qFormat/>
    <w:uiPriority w:val="0"/>
    <w:rPr>
      <w:kern w:val="2"/>
      <w:sz w:val="18"/>
      <w:szCs w:val="18"/>
    </w:rPr>
  </w:style>
  <w:style w:type="character" w:customStyle="1" w:styleId="288">
    <w:name w:val="文档结构图 Char2"/>
    <w:qFormat/>
    <w:uiPriority w:val="99"/>
    <w:rPr>
      <w:kern w:val="2"/>
      <w:sz w:val="21"/>
      <w:szCs w:val="24"/>
      <w:shd w:val="clear" w:color="auto" w:fill="000080"/>
    </w:rPr>
  </w:style>
  <w:style w:type="character" w:customStyle="1" w:styleId="289">
    <w:name w:val="批注文字 Char2"/>
    <w:qFormat/>
    <w:uiPriority w:val="0"/>
    <w:rPr>
      <w:rFonts w:ascii="Calibri" w:hAnsi="Calibri" w:eastAsia="宋体" w:cs="Times New Roman"/>
      <w:szCs w:val="24"/>
    </w:rPr>
  </w:style>
  <w:style w:type="character" w:customStyle="1" w:styleId="290">
    <w:name w:val="标题 8 Char1"/>
    <w:qFormat/>
    <w:uiPriority w:val="0"/>
    <w:rPr>
      <w:rFonts w:ascii="Times New Roman" w:hAnsi="Arial" w:eastAsia="仿宋_GB2312" w:cs="Times New Roman"/>
      <w:sz w:val="30"/>
      <w:szCs w:val="20"/>
    </w:rPr>
  </w:style>
  <w:style w:type="character" w:customStyle="1" w:styleId="291">
    <w:name w:val="页眉 Char2"/>
    <w:link w:val="30"/>
    <w:qFormat/>
    <w:uiPriority w:val="0"/>
    <w:rPr>
      <w:rFonts w:eastAsia="宋体"/>
      <w:kern w:val="2"/>
      <w:sz w:val="18"/>
      <w:szCs w:val="18"/>
      <w:lang w:val="en-US" w:eastAsia="zh-CN" w:bidi="ar-SA"/>
    </w:rPr>
  </w:style>
  <w:style w:type="character" w:customStyle="1" w:styleId="292">
    <w:name w:val="Char Char21"/>
    <w:qFormat/>
    <w:uiPriority w:val="0"/>
    <w:rPr>
      <w:rFonts w:ascii="宋体" w:hAnsi="宋体" w:cs="宋体"/>
      <w:b/>
      <w:bCs/>
      <w:sz w:val="24"/>
      <w:szCs w:val="24"/>
    </w:rPr>
  </w:style>
  <w:style w:type="character" w:customStyle="1" w:styleId="293">
    <w:name w:val="标题 6 Char1"/>
    <w:qFormat/>
    <w:uiPriority w:val="0"/>
    <w:rPr>
      <w:rFonts w:ascii="Times New Roman" w:hAnsi="Arial" w:eastAsia="仿宋_GB2312" w:cs="Times New Roman"/>
      <w:sz w:val="30"/>
      <w:szCs w:val="20"/>
    </w:rPr>
  </w:style>
  <w:style w:type="character" w:customStyle="1" w:styleId="294">
    <w:name w:val="_Style 293"/>
    <w:qFormat/>
    <w:uiPriority w:val="0"/>
    <w:rPr>
      <w:smallCaps/>
      <w:color w:val="C0504D"/>
      <w:u w:val="single"/>
    </w:rPr>
  </w:style>
  <w:style w:type="character" w:customStyle="1" w:styleId="295">
    <w:name w:val="副标题 Char1"/>
    <w:qFormat/>
    <w:uiPriority w:val="0"/>
    <w:rPr>
      <w:szCs w:val="24"/>
      <w:u w:val="single"/>
      <w:lang w:eastAsia="en-US"/>
    </w:rPr>
  </w:style>
  <w:style w:type="character" w:customStyle="1" w:styleId="296">
    <w:name w:val="正文文本 Char3"/>
    <w:semiHidden/>
    <w:qFormat/>
    <w:uiPriority w:val="99"/>
    <w:rPr>
      <w:rFonts w:ascii="Calibri" w:hAnsi="Calibri" w:eastAsia="宋体" w:cs="Times New Roman"/>
      <w:szCs w:val="24"/>
    </w:rPr>
  </w:style>
  <w:style w:type="character" w:customStyle="1" w:styleId="297">
    <w:name w:val="标题 4 Char1"/>
    <w:qFormat/>
    <w:uiPriority w:val="0"/>
    <w:rPr>
      <w:rFonts w:ascii="宋体" w:hAnsi="宋体" w:eastAsia="宋体" w:cs="宋体"/>
      <w:b/>
      <w:bCs/>
      <w:sz w:val="24"/>
      <w:szCs w:val="24"/>
    </w:rPr>
  </w:style>
  <w:style w:type="character" w:customStyle="1" w:styleId="298">
    <w:name w:val="文档结构图 Char3"/>
    <w:semiHidden/>
    <w:qFormat/>
    <w:uiPriority w:val="99"/>
    <w:rPr>
      <w:rFonts w:ascii="宋体" w:hAnsi="Calibri" w:eastAsia="宋体" w:cs="Times New Roman"/>
      <w:sz w:val="18"/>
      <w:szCs w:val="18"/>
    </w:rPr>
  </w:style>
  <w:style w:type="character" w:customStyle="1" w:styleId="299">
    <w:name w:val="标题 3 Char2"/>
    <w:link w:val="5"/>
    <w:qFormat/>
    <w:uiPriority w:val="0"/>
    <w:rPr>
      <w:rFonts w:eastAsia="宋体"/>
      <w:b/>
      <w:bCs/>
      <w:kern w:val="2"/>
      <w:sz w:val="32"/>
      <w:szCs w:val="32"/>
      <w:lang w:val="en-US" w:eastAsia="zh-CN" w:bidi="ar-SA"/>
    </w:rPr>
  </w:style>
  <w:style w:type="character" w:customStyle="1" w:styleId="300">
    <w:name w:val="正文文本 3 Char2"/>
    <w:semiHidden/>
    <w:qFormat/>
    <w:uiPriority w:val="99"/>
    <w:rPr>
      <w:rFonts w:ascii="Calibri" w:hAnsi="Calibri" w:eastAsia="宋体" w:cs="Times New Roman"/>
      <w:sz w:val="16"/>
      <w:szCs w:val="16"/>
    </w:rPr>
  </w:style>
  <w:style w:type="character" w:customStyle="1" w:styleId="301">
    <w:name w:val="Char Char23"/>
    <w:qFormat/>
    <w:uiPriority w:val="0"/>
    <w:rPr>
      <w:rFonts w:ascii="Cambria" w:hAnsi="Cambria" w:eastAsia="宋体" w:cs="Times New Roman"/>
      <w:b/>
      <w:bCs/>
      <w:kern w:val="2"/>
      <w:sz w:val="32"/>
      <w:szCs w:val="32"/>
    </w:rPr>
  </w:style>
  <w:style w:type="character" w:customStyle="1" w:styleId="302">
    <w:name w:val="尾注文本 Char2"/>
    <w:semiHidden/>
    <w:qFormat/>
    <w:uiPriority w:val="99"/>
    <w:rPr>
      <w:rFonts w:ascii="Calibri" w:hAnsi="Calibri" w:eastAsia="宋体" w:cs="Times New Roman"/>
      <w:szCs w:val="24"/>
    </w:rPr>
  </w:style>
  <w:style w:type="character" w:customStyle="1" w:styleId="303">
    <w:name w:val="书籍标题1"/>
    <w:qFormat/>
    <w:uiPriority w:val="0"/>
    <w:rPr>
      <w:b/>
      <w:bCs/>
      <w:smallCaps/>
      <w:spacing w:val="5"/>
    </w:rPr>
  </w:style>
  <w:style w:type="character" w:customStyle="1" w:styleId="304">
    <w:name w:val="ITTHEADER2 Char"/>
    <w:qFormat/>
    <w:uiPriority w:val="0"/>
    <w:rPr>
      <w:rFonts w:ascii="仿宋_GB2312" w:eastAsia="仿宋_GB2312" w:cs="MingLiU"/>
      <w:b/>
      <w:spacing w:val="1"/>
      <w:w w:val="99"/>
      <w:sz w:val="28"/>
      <w:szCs w:val="32"/>
      <w:lang w:val="en-US" w:eastAsia="zh-CN" w:bidi="ar-SA"/>
    </w:rPr>
  </w:style>
  <w:style w:type="character" w:customStyle="1" w:styleId="305">
    <w:name w:val="批注文字 Char3"/>
    <w:link w:val="16"/>
    <w:qFormat/>
    <w:uiPriority w:val="99"/>
    <w:rPr>
      <w:rFonts w:eastAsia="宋体"/>
      <w:kern w:val="2"/>
      <w:sz w:val="21"/>
      <w:szCs w:val="24"/>
      <w:lang w:val="en-US" w:eastAsia="zh-CN" w:bidi="ar-SA"/>
    </w:rPr>
  </w:style>
  <w:style w:type="character" w:customStyle="1" w:styleId="306">
    <w:name w:val="批注文字 Char Char"/>
    <w:qFormat/>
    <w:uiPriority w:val="0"/>
    <w:rPr>
      <w:rFonts w:ascii="宋体" w:hAnsi="Times New Roman" w:eastAsia="宋体" w:cs="Times New Roman"/>
      <w:sz w:val="28"/>
      <w:szCs w:val="20"/>
    </w:rPr>
  </w:style>
  <w:style w:type="character" w:customStyle="1" w:styleId="307">
    <w:name w:val="副标题 Char3"/>
    <w:link w:val="33"/>
    <w:qFormat/>
    <w:uiPriority w:val="0"/>
    <w:rPr>
      <w:rFonts w:eastAsia="宋体"/>
      <w:szCs w:val="24"/>
      <w:u w:val="single"/>
      <w:lang w:val="en-US" w:eastAsia="en-US" w:bidi="ar-SA"/>
    </w:rPr>
  </w:style>
  <w:style w:type="character" w:customStyle="1" w:styleId="308">
    <w:name w:val="批注主题 Char2"/>
    <w:qFormat/>
    <w:uiPriority w:val="99"/>
    <w:rPr>
      <w:b/>
      <w:bCs/>
      <w:kern w:val="2"/>
      <w:sz w:val="21"/>
      <w:szCs w:val="24"/>
    </w:rPr>
  </w:style>
  <w:style w:type="character" w:customStyle="1" w:styleId="309">
    <w:name w:val="normaltext1"/>
    <w:qFormat/>
    <w:uiPriority w:val="0"/>
    <w:rPr>
      <w:rFonts w:hint="default" w:ascii="ˎ̥" w:hAnsi="ˎ̥"/>
      <w:sz w:val="9"/>
      <w:szCs w:val="9"/>
    </w:rPr>
  </w:style>
  <w:style w:type="character" w:customStyle="1" w:styleId="310">
    <w:name w:val="不明显参考1"/>
    <w:qFormat/>
    <w:uiPriority w:val="0"/>
    <w:rPr>
      <w:smallCaps/>
      <w:color w:val="C0504D"/>
      <w:u w:val="single"/>
    </w:rPr>
  </w:style>
  <w:style w:type="character" w:customStyle="1" w:styleId="311">
    <w:name w:val="标题 6 Char"/>
    <w:qFormat/>
    <w:uiPriority w:val="0"/>
    <w:rPr>
      <w:rFonts w:ascii="Arial" w:hAnsi="Arial" w:eastAsia="黑体" w:cs="Times New Roman"/>
      <w:b/>
      <w:bCs/>
      <w:sz w:val="24"/>
      <w:szCs w:val="24"/>
    </w:rPr>
  </w:style>
  <w:style w:type="paragraph" w:customStyle="1" w:styleId="312">
    <w:name w:val="修订2"/>
    <w:hidden/>
    <w:semiHidden/>
    <w:qFormat/>
    <w:uiPriority w:val="99"/>
    <w:rPr>
      <w:rFonts w:ascii="Times New Roman" w:hAnsi="Times New Roman" w:eastAsia="宋体" w:cs="Times New Roman"/>
      <w:kern w:val="2"/>
      <w:sz w:val="21"/>
      <w:szCs w:val="24"/>
      <w:lang w:val="en-US" w:eastAsia="zh-CN" w:bidi="ar-SA"/>
    </w:rPr>
  </w:style>
  <w:style w:type="paragraph" w:customStyle="1" w:styleId="313">
    <w:name w:val="Table Paragraph"/>
    <w:basedOn w:val="1"/>
    <w:qFormat/>
    <w:uiPriority w:val="1"/>
    <w:pPr>
      <w:jc w:val="left"/>
    </w:pPr>
    <w:rPr>
      <w:rFonts w:asciiTheme="minorHAnsi" w:hAnsiTheme="minorHAnsi" w:eastAsiaTheme="minorEastAsia" w:cstheme="minorBidi"/>
      <w:kern w:val="0"/>
      <w:sz w:val="22"/>
      <w:szCs w:val="22"/>
      <w:lang w:eastAsia="en-US"/>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6.wmf"/><Relationship Id="rId17" Type="http://schemas.openxmlformats.org/officeDocument/2006/relationships/oleObject" Target="embeddings/oleObject5.bin"/><Relationship Id="rId16" Type="http://schemas.openxmlformats.org/officeDocument/2006/relationships/image" Target="media/image5.wmf"/><Relationship Id="rId15" Type="http://schemas.openxmlformats.org/officeDocument/2006/relationships/oleObject" Target="embeddings/oleObject4.bin"/><Relationship Id="rId14" Type="http://schemas.openxmlformats.org/officeDocument/2006/relationships/image" Target="media/image4.wmf"/><Relationship Id="rId13" Type="http://schemas.openxmlformats.org/officeDocument/2006/relationships/oleObject" Target="embeddings/oleObject3.bin"/><Relationship Id="rId12" Type="http://schemas.openxmlformats.org/officeDocument/2006/relationships/image" Target="media/image3.wmf"/><Relationship Id="rId11" Type="http://schemas.openxmlformats.org/officeDocument/2006/relationships/oleObject" Target="embeddings/oleObject2.bin"/><Relationship Id="rId10" Type="http://schemas.openxmlformats.org/officeDocument/2006/relationships/image" Target="media/image2.wmf"/><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2A331E-A935-465F-AB95-DB058AC13CDC}">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184</Pages>
  <Words>111387</Words>
  <Characters>117328</Characters>
  <Lines>914</Lines>
  <Paragraphs>257</Paragraphs>
  <TotalTime>52</TotalTime>
  <ScaleCrop>false</ScaleCrop>
  <LinksUpToDate>false</LinksUpToDate>
  <CharactersWithSpaces>123043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2021-12-17T10:44:00Z</dcterms:created>
  <dc:creator>USER</dc:creator>
  <cp:lastModifiedBy>西西草</cp:lastModifiedBy>
  <cp:lastPrinted>2022-02-16T06:17:00Z</cp:lastPrinted>
  <dcterms:modified xsi:type="dcterms:W3CDTF">2022-08-03T08:43:44Z</dcterms:modified>
  <dc:title>第一卷</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524519AA5BCE400C9D8EEECC452BC400</vt:lpwstr>
  </property>
</Properties>
</file>