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color w:val="auto"/>
          <w:sz w:val="24"/>
          <w:highlight w:val="none"/>
        </w:rPr>
      </w:pPr>
    </w:p>
    <w:p>
      <w:pPr>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1100" w:lineRule="exact"/>
        <w:jc w:val="center"/>
        <w:textAlignment w:val="auto"/>
        <w:rPr>
          <w:rFonts w:hint="eastAsia" w:ascii="宋体" w:hAnsi="宋体" w:eastAsia="宋体" w:cs="宋体"/>
          <w:b/>
          <w:color w:val="auto"/>
          <w:sz w:val="52"/>
          <w:szCs w:val="52"/>
          <w:highlight w:val="none"/>
          <w:lang w:eastAsia="zh-CN"/>
        </w:rPr>
      </w:pPr>
      <w:r>
        <w:rPr>
          <w:rFonts w:hint="eastAsia" w:ascii="宋体" w:hAnsi="宋体" w:eastAsia="宋体" w:cs="宋体"/>
          <w:b/>
          <w:color w:val="auto"/>
          <w:sz w:val="52"/>
          <w:szCs w:val="52"/>
          <w:highlight w:val="none"/>
          <w:lang w:eastAsia="zh-CN"/>
        </w:rPr>
        <w:t>东阳市鑫盛工程咨询有限公司关于</w:t>
      </w:r>
    </w:p>
    <w:p>
      <w:pPr>
        <w:keepNext w:val="0"/>
        <w:keepLines w:val="0"/>
        <w:pageBreakBefore w:val="0"/>
        <w:widowControl w:val="0"/>
        <w:kinsoku/>
        <w:wordWrap/>
        <w:overflowPunct/>
        <w:topLinePunct w:val="0"/>
        <w:autoSpaceDE/>
        <w:autoSpaceDN/>
        <w:bidi w:val="0"/>
        <w:adjustRightInd/>
        <w:snapToGrid/>
        <w:spacing w:line="1100" w:lineRule="exact"/>
        <w:jc w:val="center"/>
        <w:textAlignment w:val="auto"/>
        <w:rPr>
          <w:rFonts w:hint="eastAsia" w:ascii="宋体" w:hAnsi="宋体" w:cs="宋体"/>
          <w:b/>
          <w:color w:val="auto"/>
          <w:sz w:val="52"/>
          <w:szCs w:val="52"/>
          <w:highlight w:val="none"/>
          <w:lang w:eastAsia="zh-CN"/>
        </w:rPr>
      </w:pPr>
      <w:r>
        <w:rPr>
          <w:rFonts w:hint="eastAsia" w:ascii="宋体" w:hAnsi="宋体" w:cs="宋体"/>
          <w:b/>
          <w:color w:val="auto"/>
          <w:sz w:val="52"/>
          <w:szCs w:val="52"/>
          <w:highlight w:val="none"/>
          <w:lang w:eastAsia="zh-CN"/>
        </w:rPr>
        <w:t>东阳市卫生健康局2022-2023年度城区</w:t>
      </w:r>
    </w:p>
    <w:p>
      <w:pPr>
        <w:keepNext w:val="0"/>
        <w:keepLines w:val="0"/>
        <w:pageBreakBefore w:val="0"/>
        <w:widowControl w:val="0"/>
        <w:kinsoku/>
        <w:wordWrap/>
        <w:overflowPunct/>
        <w:topLinePunct w:val="0"/>
        <w:autoSpaceDE/>
        <w:autoSpaceDN/>
        <w:bidi w:val="0"/>
        <w:adjustRightInd/>
        <w:snapToGrid/>
        <w:spacing w:line="1100" w:lineRule="exact"/>
        <w:jc w:val="center"/>
        <w:textAlignment w:val="auto"/>
        <w:rPr>
          <w:rFonts w:hint="eastAsia" w:ascii="宋体" w:hAnsi="宋体" w:eastAsia="宋体" w:cs="宋体"/>
          <w:b/>
          <w:color w:val="auto"/>
          <w:sz w:val="52"/>
          <w:szCs w:val="52"/>
          <w:highlight w:val="none"/>
          <w:lang w:eastAsia="zh-CN"/>
        </w:rPr>
      </w:pPr>
      <w:r>
        <w:rPr>
          <w:rFonts w:hint="eastAsia" w:ascii="宋体" w:hAnsi="宋体" w:cs="宋体"/>
          <w:b/>
          <w:color w:val="auto"/>
          <w:sz w:val="52"/>
          <w:szCs w:val="52"/>
          <w:highlight w:val="none"/>
          <w:lang w:val="en-US" w:eastAsia="zh-CN"/>
        </w:rPr>
        <w:t>除四害市场化运作</w:t>
      </w:r>
      <w:r>
        <w:rPr>
          <w:rFonts w:hint="eastAsia" w:ascii="宋体" w:hAnsi="宋体" w:cs="宋体"/>
          <w:b/>
          <w:color w:val="auto"/>
          <w:sz w:val="52"/>
          <w:szCs w:val="52"/>
          <w:highlight w:val="none"/>
          <w:lang w:eastAsia="zh-CN"/>
        </w:rPr>
        <w:t>项目</w:t>
      </w:r>
      <w:bookmarkStart w:id="107" w:name="_GoBack"/>
      <w:bookmarkEnd w:id="107"/>
    </w:p>
    <w:p>
      <w:pPr>
        <w:bidi w:val="0"/>
        <w:rPr>
          <w:rFonts w:hint="eastAsia" w:ascii="宋体" w:hAnsi="宋体" w:eastAsia="宋体" w:cs="宋体"/>
          <w:color w:val="auto"/>
          <w:highlight w:val="none"/>
        </w:rPr>
      </w:pPr>
      <w:r>
        <w:rPr>
          <w:rFonts w:hint="eastAsia" w:ascii="宋体" w:hAnsi="宋体" w:eastAsia="宋体" w:cs="宋体"/>
          <w:color w:val="auto"/>
          <w:highlight w:val="none"/>
        </w:rPr>
        <w:tab/>
      </w: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jc w:val="center"/>
        <w:rPr>
          <w:rFonts w:hint="default" w:ascii="宋体" w:hAnsi="宋体" w:eastAsia="宋体" w:cs="宋体"/>
          <w:b/>
          <w:bCs/>
          <w:color w:val="auto"/>
          <w:sz w:val="72"/>
          <w:szCs w:val="72"/>
          <w:highlight w:val="none"/>
          <w:lang w:val="en-US" w:eastAsia="zh-CN"/>
        </w:rPr>
      </w:pPr>
      <w:r>
        <w:rPr>
          <w:rFonts w:hint="eastAsia" w:ascii="宋体" w:hAnsi="宋体" w:cs="宋体"/>
          <w:b/>
          <w:color w:val="auto"/>
          <w:kern w:val="0"/>
          <w:sz w:val="72"/>
          <w:szCs w:val="72"/>
          <w:highlight w:val="none"/>
          <w:lang w:val="en-US" w:eastAsia="zh-CN"/>
        </w:rPr>
        <w:t>公开招标文件</w:t>
      </w:r>
    </w:p>
    <w:p>
      <w:pPr>
        <w:rPr>
          <w:rFonts w:hint="eastAsia"/>
          <w:color w:val="auto"/>
          <w:highlight w:val="none"/>
          <w:lang w:val="en-US" w:eastAsia="zh-CN"/>
        </w:rPr>
      </w:pPr>
      <w:r>
        <w:rPr>
          <w:rFonts w:hint="eastAsia"/>
          <w:color w:val="auto"/>
          <w:highlight w:val="none"/>
          <w:lang w:val="en-US" w:eastAsia="zh-CN"/>
        </w:rPr>
        <w:tab/>
      </w: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860" w:lineRule="exact"/>
        <w:ind w:left="2244" w:leftChars="304" w:hanging="1606" w:hangingChars="500"/>
        <w:textAlignment w:val="auto"/>
        <w:rPr>
          <w:rFonts w:hint="eastAsia" w:ascii="宋体" w:hAnsi="宋体" w:cs="宋体"/>
          <w:b/>
          <w:color w:val="auto"/>
          <w:kern w:val="0"/>
          <w:sz w:val="32"/>
          <w:szCs w:val="32"/>
          <w:highlight w:val="none"/>
          <w:lang w:eastAsia="zh-CN"/>
        </w:rPr>
      </w:pPr>
      <w:r>
        <w:rPr>
          <w:rFonts w:hint="eastAsia" w:ascii="宋体" w:hAnsi="宋体" w:eastAsia="宋体" w:cs="宋体"/>
          <w:b/>
          <w:color w:val="auto"/>
          <w:kern w:val="0"/>
          <w:sz w:val="32"/>
          <w:szCs w:val="32"/>
          <w:highlight w:val="none"/>
        </w:rPr>
        <w:t>项目名称：东阳市卫生健康局2022-2023年度城区除四害市场化运作项目</w:t>
      </w:r>
    </w:p>
    <w:p>
      <w:pPr>
        <w:keepNext w:val="0"/>
        <w:keepLines w:val="0"/>
        <w:pageBreakBefore w:val="0"/>
        <w:widowControl w:val="0"/>
        <w:kinsoku/>
        <w:wordWrap/>
        <w:overflowPunct/>
        <w:topLinePunct w:val="0"/>
        <w:autoSpaceDE/>
        <w:autoSpaceDN/>
        <w:bidi w:val="0"/>
        <w:adjustRightInd/>
        <w:snapToGrid/>
        <w:spacing w:line="860" w:lineRule="exact"/>
        <w:ind w:left="2249" w:leftChars="306" w:hanging="1606" w:hangingChars="500"/>
        <w:textAlignment w:val="auto"/>
        <w:rPr>
          <w:rFonts w:hint="eastAsia" w:ascii="宋体" w:hAnsi="宋体" w:cs="宋体"/>
          <w:b/>
          <w:color w:val="auto"/>
          <w:kern w:val="0"/>
          <w:sz w:val="32"/>
          <w:szCs w:val="32"/>
          <w:highlight w:val="none"/>
          <w:lang w:eastAsia="zh-CN"/>
        </w:rPr>
      </w:pPr>
      <w:r>
        <w:rPr>
          <w:rFonts w:hint="eastAsia" w:ascii="宋体" w:hAnsi="宋体" w:eastAsia="宋体" w:cs="宋体"/>
          <w:b/>
          <w:color w:val="auto"/>
          <w:kern w:val="0"/>
          <w:sz w:val="32"/>
          <w:szCs w:val="32"/>
          <w:highlight w:val="none"/>
        </w:rPr>
        <w:t>项目编号：</w:t>
      </w:r>
      <w:r>
        <w:rPr>
          <w:rFonts w:hint="eastAsia" w:ascii="宋体" w:hAnsi="宋体" w:cs="宋体"/>
          <w:b/>
          <w:color w:val="auto"/>
          <w:kern w:val="0"/>
          <w:sz w:val="32"/>
          <w:szCs w:val="32"/>
          <w:highlight w:val="none"/>
          <w:lang w:eastAsia="zh-CN"/>
        </w:rPr>
        <w:t>XSZFCGDZ2022-207</w:t>
      </w:r>
    </w:p>
    <w:p>
      <w:pPr>
        <w:keepNext w:val="0"/>
        <w:keepLines w:val="0"/>
        <w:pageBreakBefore w:val="0"/>
        <w:widowControl w:val="0"/>
        <w:kinsoku/>
        <w:wordWrap/>
        <w:overflowPunct/>
        <w:topLinePunct w:val="0"/>
        <w:autoSpaceDE/>
        <w:autoSpaceDN/>
        <w:bidi w:val="0"/>
        <w:adjustRightInd/>
        <w:snapToGrid/>
        <w:spacing w:line="860" w:lineRule="exact"/>
        <w:ind w:left="2249" w:leftChars="306" w:hanging="1606" w:hangingChars="500"/>
        <w:textAlignment w:val="auto"/>
        <w:rPr>
          <w:rFonts w:hint="eastAsia" w:ascii="宋体" w:hAnsi="宋体" w:cs="宋体"/>
          <w:b/>
          <w:color w:val="auto"/>
          <w:kern w:val="0"/>
          <w:sz w:val="32"/>
          <w:szCs w:val="32"/>
          <w:highlight w:val="none"/>
          <w:lang w:eastAsia="zh-CN"/>
        </w:rPr>
      </w:pPr>
      <w:r>
        <w:rPr>
          <w:rFonts w:hint="eastAsia" w:ascii="宋体" w:hAnsi="宋体" w:eastAsia="宋体" w:cs="宋体"/>
          <w:b/>
          <w:color w:val="auto"/>
          <w:kern w:val="0"/>
          <w:sz w:val="32"/>
          <w:szCs w:val="32"/>
          <w:highlight w:val="none"/>
        </w:rPr>
        <w:t>采购单位：</w:t>
      </w:r>
      <w:r>
        <w:rPr>
          <w:rFonts w:hint="eastAsia" w:ascii="宋体" w:hAnsi="宋体" w:cs="宋体"/>
          <w:b/>
          <w:color w:val="auto"/>
          <w:kern w:val="0"/>
          <w:sz w:val="32"/>
          <w:szCs w:val="32"/>
          <w:highlight w:val="none"/>
          <w:lang w:eastAsia="zh-CN"/>
        </w:rPr>
        <w:t>东阳市卫生健康局</w:t>
      </w:r>
    </w:p>
    <w:p>
      <w:pPr>
        <w:keepNext w:val="0"/>
        <w:keepLines w:val="0"/>
        <w:pageBreakBefore w:val="0"/>
        <w:widowControl w:val="0"/>
        <w:kinsoku/>
        <w:wordWrap/>
        <w:overflowPunct/>
        <w:topLinePunct w:val="0"/>
        <w:autoSpaceDE/>
        <w:autoSpaceDN/>
        <w:bidi w:val="0"/>
        <w:adjustRightInd/>
        <w:snapToGrid/>
        <w:spacing w:line="860" w:lineRule="exact"/>
        <w:ind w:left="2249" w:leftChars="306" w:hanging="1606" w:hangingChars="500"/>
        <w:textAlignment w:val="auto"/>
        <w:rPr>
          <w:rFonts w:hint="eastAsia" w:ascii="宋体" w:hAnsi="宋体" w:eastAsia="宋体" w:cs="宋体"/>
          <w:color w:val="auto"/>
          <w:sz w:val="32"/>
          <w:szCs w:val="32"/>
          <w:highlight w:val="none"/>
        </w:rPr>
      </w:pPr>
      <w:r>
        <w:rPr>
          <w:rFonts w:hint="eastAsia" w:ascii="宋体" w:hAnsi="宋体" w:eastAsia="宋体" w:cs="宋体"/>
          <w:b/>
          <w:color w:val="auto"/>
          <w:kern w:val="0"/>
          <w:sz w:val="32"/>
          <w:szCs w:val="32"/>
          <w:highlight w:val="none"/>
        </w:rPr>
        <w:t>招标机构：东阳市鑫盛工程咨询有限公司</w:t>
      </w:r>
    </w:p>
    <w:p>
      <w:pPr>
        <w:pStyle w:val="10"/>
        <w:keepNext w:val="0"/>
        <w:keepLines w:val="0"/>
        <w:pageBreakBefore w:val="0"/>
        <w:widowControl w:val="0"/>
        <w:kinsoku/>
        <w:wordWrap/>
        <w:overflowPunct/>
        <w:topLinePunct w:val="0"/>
        <w:autoSpaceDE/>
        <w:autoSpaceDN/>
        <w:bidi w:val="0"/>
        <w:adjustRightInd/>
        <w:snapToGrid/>
        <w:spacing w:line="860" w:lineRule="exact"/>
        <w:jc w:val="center"/>
        <w:textAlignment w:val="auto"/>
        <w:rPr>
          <w:rFonts w:hint="eastAsia"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202</w:t>
      </w:r>
      <w:r>
        <w:rPr>
          <w:rFonts w:hint="eastAsia" w:ascii="宋体" w:hAnsi="宋体" w:eastAsia="宋体" w:cs="宋体"/>
          <w:b/>
          <w:color w:val="auto"/>
          <w:sz w:val="28"/>
          <w:szCs w:val="28"/>
          <w:highlight w:val="none"/>
          <w:lang w:val="en-US" w:eastAsia="zh-CN"/>
        </w:rPr>
        <w:t>2</w:t>
      </w:r>
      <w:r>
        <w:rPr>
          <w:rFonts w:hint="eastAsia" w:ascii="宋体" w:hAnsi="宋体" w:eastAsia="宋体" w:cs="宋体"/>
          <w:b/>
          <w:color w:val="auto"/>
          <w:sz w:val="28"/>
          <w:szCs w:val="28"/>
          <w:highlight w:val="none"/>
        </w:rPr>
        <w:t>年</w:t>
      </w:r>
      <w:r>
        <w:rPr>
          <w:rFonts w:hint="eastAsia" w:ascii="宋体" w:hAnsi="宋体" w:cs="宋体"/>
          <w:b/>
          <w:color w:val="auto"/>
          <w:sz w:val="28"/>
          <w:szCs w:val="28"/>
          <w:highlight w:val="none"/>
          <w:lang w:val="en-US" w:eastAsia="zh-CN"/>
        </w:rPr>
        <w:t>7</w:t>
      </w:r>
      <w:r>
        <w:rPr>
          <w:rFonts w:hint="eastAsia" w:ascii="宋体" w:hAnsi="宋体" w:eastAsia="宋体" w:cs="宋体"/>
          <w:b/>
          <w:color w:val="auto"/>
          <w:sz w:val="28"/>
          <w:szCs w:val="28"/>
          <w:highlight w:val="none"/>
        </w:rPr>
        <w:t>月</w:t>
      </w:r>
    </w:p>
    <w:p>
      <w:pPr>
        <w:pStyle w:val="10"/>
        <w:keepNext w:val="0"/>
        <w:keepLines w:val="0"/>
        <w:pageBreakBefore/>
        <w:widowControl w:val="0"/>
        <w:kinsoku/>
        <w:wordWrap/>
        <w:overflowPunct/>
        <w:topLinePunct w:val="0"/>
        <w:autoSpaceDE/>
        <w:autoSpaceDN/>
        <w:bidi w:val="0"/>
        <w:adjustRightInd/>
        <w:snapToGrid/>
        <w:spacing w:line="860" w:lineRule="exact"/>
        <w:jc w:val="center"/>
        <w:textAlignment w:val="auto"/>
        <w:rPr>
          <w:rFonts w:hint="eastAsia" w:ascii="宋体" w:hAnsi="宋体" w:eastAsia="宋体" w:cs="宋体"/>
          <w:b/>
          <w:color w:val="auto"/>
          <w:szCs w:val="24"/>
          <w:highlight w:val="none"/>
        </w:rPr>
        <w:sectPr>
          <w:headerReference r:id="rId3" w:type="default"/>
          <w:pgSz w:w="11906" w:h="16838"/>
          <w:pgMar w:top="1060" w:right="1174" w:bottom="1060" w:left="1174"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10"/>
        <w:pageBreakBefore/>
        <w:spacing w:line="276" w:lineRule="auto"/>
        <w:jc w:val="center"/>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目    录</w:t>
      </w:r>
    </w:p>
    <w:p>
      <w:pPr>
        <w:pStyle w:val="14"/>
        <w:tabs>
          <w:tab w:val="right" w:leader="dot" w:pos="9070"/>
        </w:tabs>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TOC \o "1-2" \h \z \u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_Toc18979 </w:instrText>
      </w:r>
      <w:r>
        <w:rPr>
          <w:rFonts w:hint="eastAsia" w:ascii="宋体" w:hAnsi="宋体" w:eastAsia="宋体" w:cs="宋体"/>
          <w:highlight w:val="none"/>
        </w:rPr>
        <w:fldChar w:fldCharType="separate"/>
      </w:r>
      <w:r>
        <w:rPr>
          <w:rFonts w:hint="eastAsia" w:ascii="宋体" w:hAnsi="宋体" w:eastAsia="宋体" w:cs="宋体"/>
          <w:szCs w:val="28"/>
          <w:highlight w:val="none"/>
        </w:rPr>
        <w:t>第一章  公开招标采购公告</w:t>
      </w:r>
      <w:r>
        <w:tab/>
      </w:r>
      <w:r>
        <w:fldChar w:fldCharType="begin"/>
      </w:r>
      <w:r>
        <w:instrText xml:space="preserve"> PAGEREF _Toc18979 \h </w:instrText>
      </w:r>
      <w:r>
        <w:fldChar w:fldCharType="separate"/>
      </w:r>
      <w:r>
        <w:t>3</w:t>
      </w:r>
      <w:r>
        <w:fldChar w:fldCharType="end"/>
      </w:r>
      <w:r>
        <w:rPr>
          <w:rFonts w:hint="eastAsia" w:ascii="宋体" w:hAnsi="宋体" w:eastAsia="宋体" w:cs="宋体"/>
          <w:color w:val="auto"/>
          <w:highlight w:val="none"/>
        </w:rPr>
        <w:fldChar w:fldCharType="end"/>
      </w:r>
    </w:p>
    <w:p>
      <w:pPr>
        <w:pStyle w:val="14"/>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_Toc15020 </w:instrText>
      </w:r>
      <w:r>
        <w:rPr>
          <w:rFonts w:hint="eastAsia" w:ascii="宋体" w:hAnsi="宋体" w:eastAsia="宋体" w:cs="宋体"/>
          <w:highlight w:val="none"/>
        </w:rPr>
        <w:fldChar w:fldCharType="separate"/>
      </w:r>
      <w:r>
        <w:rPr>
          <w:rFonts w:hint="eastAsia" w:ascii="宋体" w:hAnsi="宋体" w:eastAsia="宋体" w:cs="宋体"/>
          <w:szCs w:val="24"/>
          <w:highlight w:val="none"/>
        </w:rPr>
        <w:t>第二章  招标需求</w:t>
      </w:r>
      <w:r>
        <w:tab/>
      </w:r>
      <w:r>
        <w:fldChar w:fldCharType="begin"/>
      </w:r>
      <w:r>
        <w:instrText xml:space="preserve"> PAGEREF _Toc15020 \h </w:instrText>
      </w:r>
      <w:r>
        <w:fldChar w:fldCharType="separate"/>
      </w:r>
      <w:r>
        <w:t>8</w:t>
      </w:r>
      <w:r>
        <w:fldChar w:fldCharType="end"/>
      </w:r>
      <w:r>
        <w:rPr>
          <w:rFonts w:hint="eastAsia" w:ascii="宋体" w:hAnsi="宋体" w:eastAsia="宋体" w:cs="宋体"/>
          <w:color w:val="auto"/>
          <w:highlight w:val="none"/>
        </w:rPr>
        <w:fldChar w:fldCharType="end"/>
      </w:r>
    </w:p>
    <w:p>
      <w:pPr>
        <w:pStyle w:val="14"/>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_Toc12838 </w:instrText>
      </w:r>
      <w:r>
        <w:rPr>
          <w:rFonts w:hint="eastAsia" w:ascii="宋体" w:hAnsi="宋体" w:eastAsia="宋体" w:cs="宋体"/>
          <w:highlight w:val="none"/>
        </w:rPr>
        <w:fldChar w:fldCharType="separate"/>
      </w:r>
      <w:r>
        <w:rPr>
          <w:rFonts w:hint="eastAsia" w:ascii="宋体" w:hAnsi="宋体" w:eastAsia="宋体" w:cs="宋体"/>
          <w:szCs w:val="24"/>
          <w:highlight w:val="none"/>
        </w:rPr>
        <w:t>第三章   投标人须知</w:t>
      </w:r>
      <w:r>
        <w:tab/>
      </w:r>
      <w:r>
        <w:fldChar w:fldCharType="begin"/>
      </w:r>
      <w:r>
        <w:instrText xml:space="preserve"> PAGEREF _Toc12838 \h </w:instrText>
      </w:r>
      <w:r>
        <w:fldChar w:fldCharType="separate"/>
      </w:r>
      <w:r>
        <w:t>14</w:t>
      </w:r>
      <w:r>
        <w:fldChar w:fldCharType="end"/>
      </w:r>
      <w:r>
        <w:rPr>
          <w:rFonts w:hint="eastAsia" w:ascii="宋体" w:hAnsi="宋体" w:eastAsia="宋体" w:cs="宋体"/>
          <w:color w:val="auto"/>
          <w:highlight w:val="none"/>
        </w:rPr>
        <w:fldChar w:fldCharType="end"/>
      </w:r>
    </w:p>
    <w:p>
      <w:pPr>
        <w:pStyle w:val="17"/>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_Toc8489 </w:instrText>
      </w:r>
      <w:r>
        <w:rPr>
          <w:rFonts w:hint="eastAsia" w:ascii="宋体" w:hAnsi="宋体" w:eastAsia="宋体" w:cs="宋体"/>
          <w:highlight w:val="none"/>
        </w:rPr>
        <w:fldChar w:fldCharType="separate"/>
      </w:r>
      <w:r>
        <w:rPr>
          <w:rFonts w:hint="eastAsia" w:ascii="宋体" w:hAnsi="宋体" w:eastAsia="宋体" w:cs="宋体"/>
          <w:szCs w:val="24"/>
          <w:highlight w:val="none"/>
        </w:rPr>
        <w:t>前附表</w:t>
      </w:r>
      <w:r>
        <w:tab/>
      </w:r>
      <w:r>
        <w:fldChar w:fldCharType="begin"/>
      </w:r>
      <w:r>
        <w:instrText xml:space="preserve"> PAGEREF _Toc8489 \h </w:instrText>
      </w:r>
      <w:r>
        <w:fldChar w:fldCharType="separate"/>
      </w:r>
      <w:r>
        <w:t>14</w:t>
      </w:r>
      <w:r>
        <w:fldChar w:fldCharType="end"/>
      </w:r>
      <w:r>
        <w:rPr>
          <w:rFonts w:hint="eastAsia" w:ascii="宋体" w:hAnsi="宋体" w:eastAsia="宋体" w:cs="宋体"/>
          <w:color w:val="auto"/>
          <w:highlight w:val="none"/>
        </w:rPr>
        <w:fldChar w:fldCharType="end"/>
      </w:r>
    </w:p>
    <w:p>
      <w:pPr>
        <w:pStyle w:val="17"/>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_Toc442 </w:instrText>
      </w:r>
      <w:r>
        <w:rPr>
          <w:rFonts w:hint="eastAsia" w:ascii="宋体" w:hAnsi="宋体" w:eastAsia="宋体" w:cs="宋体"/>
          <w:highlight w:val="none"/>
        </w:rPr>
        <w:fldChar w:fldCharType="separate"/>
      </w:r>
      <w:r>
        <w:rPr>
          <w:rFonts w:hint="default" w:ascii="宋体" w:hAnsi="宋体" w:eastAsia="宋体" w:cs="宋体"/>
          <w:szCs w:val="24"/>
        </w:rPr>
        <w:t xml:space="preserve">一、 </w:t>
      </w:r>
      <w:r>
        <w:rPr>
          <w:rFonts w:hint="eastAsia" w:ascii="宋体" w:hAnsi="宋体" w:eastAsia="宋体" w:cs="宋体"/>
          <w:szCs w:val="24"/>
          <w:highlight w:val="none"/>
        </w:rPr>
        <w:t>总则</w:t>
      </w:r>
      <w:r>
        <w:tab/>
      </w:r>
      <w:r>
        <w:fldChar w:fldCharType="begin"/>
      </w:r>
      <w:r>
        <w:instrText xml:space="preserve"> PAGEREF _Toc442 \h </w:instrText>
      </w:r>
      <w:r>
        <w:fldChar w:fldCharType="separate"/>
      </w:r>
      <w:r>
        <w:t>20</w:t>
      </w:r>
      <w:r>
        <w:fldChar w:fldCharType="end"/>
      </w:r>
      <w:r>
        <w:rPr>
          <w:rFonts w:hint="eastAsia" w:ascii="宋体" w:hAnsi="宋体" w:eastAsia="宋体" w:cs="宋体"/>
          <w:color w:val="auto"/>
          <w:highlight w:val="none"/>
        </w:rPr>
        <w:fldChar w:fldCharType="end"/>
      </w:r>
    </w:p>
    <w:p>
      <w:pPr>
        <w:pStyle w:val="17"/>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_Toc3438 </w:instrText>
      </w:r>
      <w:r>
        <w:rPr>
          <w:rFonts w:hint="eastAsia" w:ascii="宋体" w:hAnsi="宋体" w:eastAsia="宋体" w:cs="宋体"/>
          <w:highlight w:val="none"/>
        </w:rPr>
        <w:fldChar w:fldCharType="separate"/>
      </w:r>
      <w:r>
        <w:rPr>
          <w:rFonts w:hint="eastAsia" w:ascii="宋体" w:hAnsi="宋体" w:eastAsia="宋体" w:cs="宋体"/>
          <w:szCs w:val="24"/>
          <w:highlight w:val="none"/>
        </w:rPr>
        <w:t>二、招标文件</w:t>
      </w:r>
      <w:r>
        <w:tab/>
      </w:r>
      <w:r>
        <w:fldChar w:fldCharType="begin"/>
      </w:r>
      <w:r>
        <w:instrText xml:space="preserve"> PAGEREF _Toc3438 \h </w:instrText>
      </w:r>
      <w:r>
        <w:fldChar w:fldCharType="separate"/>
      </w:r>
      <w:r>
        <w:t>25</w:t>
      </w:r>
      <w:r>
        <w:fldChar w:fldCharType="end"/>
      </w:r>
      <w:r>
        <w:rPr>
          <w:rFonts w:hint="eastAsia" w:ascii="宋体" w:hAnsi="宋体" w:eastAsia="宋体" w:cs="宋体"/>
          <w:color w:val="auto"/>
          <w:highlight w:val="none"/>
        </w:rPr>
        <w:fldChar w:fldCharType="end"/>
      </w:r>
    </w:p>
    <w:p>
      <w:pPr>
        <w:pStyle w:val="17"/>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_Toc32649 </w:instrText>
      </w:r>
      <w:r>
        <w:rPr>
          <w:rFonts w:hint="eastAsia" w:ascii="宋体" w:hAnsi="宋体" w:eastAsia="宋体" w:cs="宋体"/>
          <w:highlight w:val="none"/>
        </w:rPr>
        <w:fldChar w:fldCharType="separate"/>
      </w:r>
      <w:r>
        <w:rPr>
          <w:rFonts w:hint="eastAsia" w:ascii="宋体" w:hAnsi="宋体" w:eastAsia="宋体" w:cs="宋体"/>
          <w:szCs w:val="24"/>
          <w:highlight w:val="none"/>
        </w:rPr>
        <w:t>三、投标文件的编制</w:t>
      </w:r>
      <w:r>
        <w:tab/>
      </w:r>
      <w:r>
        <w:fldChar w:fldCharType="begin"/>
      </w:r>
      <w:r>
        <w:instrText xml:space="preserve"> PAGEREF _Toc32649 \h </w:instrText>
      </w:r>
      <w:r>
        <w:fldChar w:fldCharType="separate"/>
      </w:r>
      <w:r>
        <w:t>26</w:t>
      </w:r>
      <w:r>
        <w:fldChar w:fldCharType="end"/>
      </w:r>
      <w:r>
        <w:rPr>
          <w:rFonts w:hint="eastAsia" w:ascii="宋体" w:hAnsi="宋体" w:eastAsia="宋体" w:cs="宋体"/>
          <w:color w:val="auto"/>
          <w:highlight w:val="none"/>
        </w:rPr>
        <w:fldChar w:fldCharType="end"/>
      </w:r>
    </w:p>
    <w:p>
      <w:pPr>
        <w:pStyle w:val="17"/>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_Toc20805 </w:instrText>
      </w:r>
      <w:r>
        <w:rPr>
          <w:rFonts w:hint="eastAsia" w:ascii="宋体" w:hAnsi="宋体" w:eastAsia="宋体" w:cs="宋体"/>
          <w:highlight w:val="none"/>
        </w:rPr>
        <w:fldChar w:fldCharType="separate"/>
      </w:r>
      <w:r>
        <w:rPr>
          <w:rFonts w:hint="eastAsia" w:ascii="宋体" w:hAnsi="宋体" w:eastAsia="宋体" w:cs="宋体"/>
          <w:szCs w:val="24"/>
          <w:highlight w:val="none"/>
        </w:rPr>
        <w:t>四、开标</w:t>
      </w:r>
      <w:r>
        <w:tab/>
      </w:r>
      <w:r>
        <w:fldChar w:fldCharType="begin"/>
      </w:r>
      <w:r>
        <w:instrText xml:space="preserve"> PAGEREF _Toc20805 \h </w:instrText>
      </w:r>
      <w:r>
        <w:fldChar w:fldCharType="separate"/>
      </w:r>
      <w:r>
        <w:t>32</w:t>
      </w:r>
      <w:r>
        <w:fldChar w:fldCharType="end"/>
      </w:r>
      <w:r>
        <w:rPr>
          <w:rFonts w:hint="eastAsia" w:ascii="宋体" w:hAnsi="宋体" w:eastAsia="宋体" w:cs="宋体"/>
          <w:color w:val="auto"/>
          <w:highlight w:val="none"/>
        </w:rPr>
        <w:fldChar w:fldCharType="end"/>
      </w:r>
    </w:p>
    <w:p>
      <w:pPr>
        <w:pStyle w:val="17"/>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_Toc27865 </w:instrText>
      </w:r>
      <w:r>
        <w:rPr>
          <w:rFonts w:hint="eastAsia" w:ascii="宋体" w:hAnsi="宋体" w:eastAsia="宋体" w:cs="宋体"/>
          <w:highlight w:val="none"/>
        </w:rPr>
        <w:fldChar w:fldCharType="separate"/>
      </w:r>
      <w:r>
        <w:rPr>
          <w:rFonts w:hint="eastAsia" w:ascii="宋体" w:hAnsi="宋体" w:eastAsia="宋体" w:cs="宋体"/>
          <w:bCs/>
          <w:szCs w:val="24"/>
          <w:highlight w:val="none"/>
        </w:rPr>
        <w:t>五、评标</w:t>
      </w:r>
      <w:r>
        <w:tab/>
      </w:r>
      <w:r>
        <w:fldChar w:fldCharType="begin"/>
      </w:r>
      <w:r>
        <w:instrText xml:space="preserve"> PAGEREF _Toc27865 \h </w:instrText>
      </w:r>
      <w:r>
        <w:fldChar w:fldCharType="separate"/>
      </w:r>
      <w:r>
        <w:t>33</w:t>
      </w:r>
      <w:r>
        <w:fldChar w:fldCharType="end"/>
      </w:r>
      <w:r>
        <w:rPr>
          <w:rFonts w:hint="eastAsia" w:ascii="宋体" w:hAnsi="宋体" w:eastAsia="宋体" w:cs="宋体"/>
          <w:color w:val="auto"/>
          <w:highlight w:val="none"/>
        </w:rPr>
        <w:fldChar w:fldCharType="end"/>
      </w:r>
    </w:p>
    <w:p>
      <w:pPr>
        <w:pStyle w:val="17"/>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_Toc3316 </w:instrText>
      </w:r>
      <w:r>
        <w:rPr>
          <w:rFonts w:hint="eastAsia" w:ascii="宋体" w:hAnsi="宋体" w:eastAsia="宋体" w:cs="宋体"/>
          <w:highlight w:val="none"/>
        </w:rPr>
        <w:fldChar w:fldCharType="separate"/>
      </w:r>
      <w:r>
        <w:rPr>
          <w:rFonts w:hint="eastAsia" w:ascii="宋体" w:hAnsi="宋体" w:eastAsia="宋体" w:cs="宋体"/>
          <w:bCs/>
          <w:szCs w:val="24"/>
          <w:highlight w:val="none"/>
        </w:rPr>
        <w:t>六、定标</w:t>
      </w:r>
      <w:r>
        <w:tab/>
      </w:r>
      <w:r>
        <w:fldChar w:fldCharType="begin"/>
      </w:r>
      <w:r>
        <w:instrText xml:space="preserve"> PAGEREF _Toc3316 \h </w:instrText>
      </w:r>
      <w:r>
        <w:fldChar w:fldCharType="separate"/>
      </w:r>
      <w:r>
        <w:t>37</w:t>
      </w:r>
      <w:r>
        <w:fldChar w:fldCharType="end"/>
      </w:r>
      <w:r>
        <w:rPr>
          <w:rFonts w:hint="eastAsia" w:ascii="宋体" w:hAnsi="宋体" w:eastAsia="宋体" w:cs="宋体"/>
          <w:color w:val="auto"/>
          <w:highlight w:val="none"/>
        </w:rPr>
        <w:fldChar w:fldCharType="end"/>
      </w:r>
    </w:p>
    <w:p>
      <w:pPr>
        <w:pStyle w:val="17"/>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_Toc9352 </w:instrText>
      </w:r>
      <w:r>
        <w:rPr>
          <w:rFonts w:hint="eastAsia" w:ascii="宋体" w:hAnsi="宋体" w:eastAsia="宋体" w:cs="宋体"/>
          <w:highlight w:val="none"/>
        </w:rPr>
        <w:fldChar w:fldCharType="separate"/>
      </w:r>
      <w:r>
        <w:rPr>
          <w:rFonts w:hint="eastAsia" w:ascii="宋体" w:hAnsi="宋体" w:eastAsia="宋体" w:cs="宋体"/>
          <w:bCs/>
          <w:szCs w:val="24"/>
          <w:highlight w:val="none"/>
        </w:rPr>
        <w:t>七、合同授予</w:t>
      </w:r>
      <w:r>
        <w:tab/>
      </w:r>
      <w:r>
        <w:fldChar w:fldCharType="begin"/>
      </w:r>
      <w:r>
        <w:instrText xml:space="preserve"> PAGEREF _Toc9352 \h </w:instrText>
      </w:r>
      <w:r>
        <w:fldChar w:fldCharType="separate"/>
      </w:r>
      <w:r>
        <w:t>38</w:t>
      </w:r>
      <w:r>
        <w:fldChar w:fldCharType="end"/>
      </w:r>
      <w:r>
        <w:rPr>
          <w:rFonts w:hint="eastAsia" w:ascii="宋体" w:hAnsi="宋体" w:eastAsia="宋体" w:cs="宋体"/>
          <w:color w:val="auto"/>
          <w:highlight w:val="none"/>
        </w:rPr>
        <w:fldChar w:fldCharType="end"/>
      </w:r>
    </w:p>
    <w:p>
      <w:pPr>
        <w:pStyle w:val="14"/>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_Toc17618 </w:instrText>
      </w:r>
      <w:r>
        <w:rPr>
          <w:rFonts w:hint="eastAsia" w:ascii="宋体" w:hAnsi="宋体" w:eastAsia="宋体" w:cs="宋体"/>
          <w:highlight w:val="none"/>
        </w:rPr>
        <w:fldChar w:fldCharType="separate"/>
      </w:r>
      <w:r>
        <w:rPr>
          <w:rFonts w:hint="eastAsia" w:ascii="宋体" w:hAnsi="宋体" w:eastAsia="宋体" w:cs="宋体"/>
          <w:szCs w:val="24"/>
          <w:highlight w:val="none"/>
        </w:rPr>
        <w:t>第四章  评标办法及评分标准</w:t>
      </w:r>
      <w:r>
        <w:tab/>
      </w:r>
      <w:r>
        <w:fldChar w:fldCharType="begin"/>
      </w:r>
      <w:r>
        <w:instrText xml:space="preserve"> PAGEREF _Toc17618 \h </w:instrText>
      </w:r>
      <w:r>
        <w:fldChar w:fldCharType="separate"/>
      </w:r>
      <w:r>
        <w:t>39</w:t>
      </w:r>
      <w:r>
        <w:fldChar w:fldCharType="end"/>
      </w:r>
      <w:r>
        <w:rPr>
          <w:rFonts w:hint="eastAsia" w:ascii="宋体" w:hAnsi="宋体" w:eastAsia="宋体" w:cs="宋体"/>
          <w:color w:val="auto"/>
          <w:highlight w:val="none"/>
        </w:rPr>
        <w:fldChar w:fldCharType="end"/>
      </w:r>
    </w:p>
    <w:p>
      <w:pPr>
        <w:pStyle w:val="14"/>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_Toc725 </w:instrText>
      </w:r>
      <w:r>
        <w:rPr>
          <w:rFonts w:hint="eastAsia" w:ascii="宋体" w:hAnsi="宋体" w:eastAsia="宋体" w:cs="宋体"/>
          <w:highlight w:val="none"/>
        </w:rPr>
        <w:fldChar w:fldCharType="separate"/>
      </w:r>
      <w:r>
        <w:rPr>
          <w:rFonts w:hint="eastAsia" w:ascii="宋体" w:hAnsi="宋体" w:eastAsia="宋体" w:cs="宋体"/>
          <w:bCs w:val="0"/>
          <w:szCs w:val="32"/>
        </w:rPr>
        <w:t xml:space="preserve">第五章 </w:t>
      </w:r>
      <w:r>
        <w:rPr>
          <w:rFonts w:hint="eastAsia" w:ascii="宋体" w:hAnsi="宋体" w:eastAsia="宋体" w:cs="宋体"/>
          <w:bCs w:val="0"/>
          <w:szCs w:val="32"/>
          <w:highlight w:val="none"/>
        </w:rPr>
        <w:t>合同主要条款</w:t>
      </w:r>
      <w:r>
        <w:tab/>
      </w:r>
      <w:r>
        <w:fldChar w:fldCharType="begin"/>
      </w:r>
      <w:r>
        <w:instrText xml:space="preserve"> PAGEREF _Toc725 \h </w:instrText>
      </w:r>
      <w:r>
        <w:fldChar w:fldCharType="separate"/>
      </w:r>
      <w:r>
        <w:t>43</w:t>
      </w:r>
      <w:r>
        <w:fldChar w:fldCharType="end"/>
      </w:r>
      <w:r>
        <w:rPr>
          <w:rFonts w:hint="eastAsia" w:ascii="宋体" w:hAnsi="宋体" w:eastAsia="宋体" w:cs="宋体"/>
          <w:color w:val="auto"/>
          <w:highlight w:val="none"/>
        </w:rPr>
        <w:fldChar w:fldCharType="end"/>
      </w:r>
    </w:p>
    <w:p>
      <w:pPr>
        <w:pStyle w:val="17"/>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_Toc12371 </w:instrText>
      </w:r>
      <w:r>
        <w:rPr>
          <w:rFonts w:hint="eastAsia" w:ascii="宋体" w:hAnsi="宋体" w:eastAsia="宋体" w:cs="宋体"/>
          <w:highlight w:val="none"/>
        </w:rPr>
        <w:fldChar w:fldCharType="separate"/>
      </w:r>
      <w:r>
        <w:rPr>
          <w:rFonts w:hint="eastAsia" w:ascii="宋体" w:hAnsi="宋体"/>
          <w:szCs w:val="32"/>
          <w:highlight w:val="none"/>
        </w:rPr>
        <w:t>东阳市政府采购合同（样本）</w:t>
      </w:r>
      <w:r>
        <w:tab/>
      </w:r>
      <w:r>
        <w:fldChar w:fldCharType="begin"/>
      </w:r>
      <w:r>
        <w:instrText xml:space="preserve"> PAGEREF _Toc12371 \h </w:instrText>
      </w:r>
      <w:r>
        <w:fldChar w:fldCharType="separate"/>
      </w:r>
      <w:r>
        <w:t>43</w:t>
      </w:r>
      <w:r>
        <w:fldChar w:fldCharType="end"/>
      </w:r>
      <w:r>
        <w:rPr>
          <w:rFonts w:hint="eastAsia" w:ascii="宋体" w:hAnsi="宋体" w:eastAsia="宋体" w:cs="宋体"/>
          <w:color w:val="auto"/>
          <w:highlight w:val="none"/>
        </w:rPr>
        <w:fldChar w:fldCharType="end"/>
      </w:r>
    </w:p>
    <w:p>
      <w:pPr>
        <w:pStyle w:val="14"/>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_Toc25782 </w:instrText>
      </w:r>
      <w:r>
        <w:rPr>
          <w:rFonts w:hint="eastAsia" w:ascii="宋体" w:hAnsi="宋体" w:eastAsia="宋体" w:cs="宋体"/>
          <w:highlight w:val="none"/>
        </w:rPr>
        <w:fldChar w:fldCharType="separate"/>
      </w:r>
      <w:r>
        <w:rPr>
          <w:rFonts w:hint="eastAsia" w:ascii="宋体" w:hAnsi="宋体" w:eastAsia="宋体" w:cs="宋体"/>
          <w:szCs w:val="24"/>
          <w:highlight w:val="none"/>
        </w:rPr>
        <w:t>第六章　投标文件组成内容及格式</w:t>
      </w:r>
      <w:r>
        <w:tab/>
      </w:r>
      <w:r>
        <w:fldChar w:fldCharType="begin"/>
      </w:r>
      <w:r>
        <w:instrText xml:space="preserve"> PAGEREF _Toc25782 \h </w:instrText>
      </w:r>
      <w:r>
        <w:fldChar w:fldCharType="separate"/>
      </w:r>
      <w:r>
        <w:t>47</w:t>
      </w:r>
      <w:r>
        <w:fldChar w:fldCharType="end"/>
      </w:r>
      <w:r>
        <w:rPr>
          <w:rFonts w:hint="eastAsia" w:ascii="宋体" w:hAnsi="宋体" w:eastAsia="宋体" w:cs="宋体"/>
          <w:color w:val="auto"/>
          <w:highlight w:val="none"/>
        </w:rPr>
        <w:fldChar w:fldCharType="end"/>
      </w:r>
    </w:p>
    <w:p>
      <w:pPr>
        <w:pStyle w:val="17"/>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_Toc30373 </w:instrText>
      </w:r>
      <w:r>
        <w:rPr>
          <w:rFonts w:hint="eastAsia" w:ascii="宋体" w:hAnsi="宋体" w:eastAsia="宋体" w:cs="宋体"/>
          <w:highlight w:val="none"/>
        </w:rPr>
        <w:fldChar w:fldCharType="separate"/>
      </w:r>
      <w:r>
        <w:rPr>
          <w:rFonts w:hint="eastAsia" w:ascii="宋体" w:hAnsi="宋体" w:eastAsia="宋体" w:cs="宋体"/>
          <w:szCs w:val="24"/>
          <w:highlight w:val="none"/>
          <w:lang w:val="en-US" w:eastAsia="zh-CN"/>
        </w:rPr>
        <w:t>附</w:t>
      </w:r>
      <w:r>
        <w:rPr>
          <w:rFonts w:hint="eastAsia" w:ascii="宋体" w:hAnsi="宋体" w:eastAsia="宋体" w:cs="宋体"/>
          <w:szCs w:val="24"/>
          <w:highlight w:val="none"/>
        </w:rPr>
        <w:t>件一：投标声明书</w:t>
      </w:r>
      <w:r>
        <w:tab/>
      </w:r>
      <w:r>
        <w:fldChar w:fldCharType="begin"/>
      </w:r>
      <w:r>
        <w:instrText xml:space="preserve"> PAGEREF _Toc30373 \h </w:instrText>
      </w:r>
      <w:r>
        <w:fldChar w:fldCharType="separate"/>
      </w:r>
      <w:r>
        <w:t>50</w:t>
      </w:r>
      <w:r>
        <w:fldChar w:fldCharType="end"/>
      </w:r>
      <w:r>
        <w:rPr>
          <w:rFonts w:hint="eastAsia" w:ascii="宋体" w:hAnsi="宋体" w:eastAsia="宋体" w:cs="宋体"/>
          <w:color w:val="auto"/>
          <w:highlight w:val="none"/>
        </w:rPr>
        <w:fldChar w:fldCharType="end"/>
      </w:r>
    </w:p>
    <w:p>
      <w:pPr>
        <w:pStyle w:val="17"/>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_Toc17026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附件二：</w:t>
      </w:r>
      <w:r>
        <w:rPr>
          <w:rFonts w:hint="eastAsia" w:ascii="宋体" w:hAnsi="宋体" w:eastAsia="宋体" w:cs="宋体"/>
          <w:bCs w:val="0"/>
          <w:szCs w:val="24"/>
          <w:highlight w:val="none"/>
          <w:lang w:val="en-US" w:eastAsia="zh-CN"/>
        </w:rPr>
        <w:t>符合参加政府采购活动应当具备的一般条件的承诺函</w:t>
      </w:r>
      <w:r>
        <w:tab/>
      </w:r>
      <w:r>
        <w:fldChar w:fldCharType="begin"/>
      </w:r>
      <w:r>
        <w:instrText xml:space="preserve"> PAGEREF _Toc17026 \h </w:instrText>
      </w:r>
      <w:r>
        <w:fldChar w:fldCharType="separate"/>
      </w:r>
      <w:r>
        <w:t>51</w:t>
      </w:r>
      <w:r>
        <w:fldChar w:fldCharType="end"/>
      </w:r>
      <w:r>
        <w:rPr>
          <w:rFonts w:hint="eastAsia" w:ascii="宋体" w:hAnsi="宋体" w:eastAsia="宋体" w:cs="宋体"/>
          <w:color w:val="auto"/>
          <w:highlight w:val="none"/>
        </w:rPr>
        <w:fldChar w:fldCharType="end"/>
      </w:r>
    </w:p>
    <w:p>
      <w:pPr>
        <w:pStyle w:val="17"/>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_Toc27931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附件</w:t>
      </w:r>
      <w:r>
        <w:rPr>
          <w:rFonts w:hint="eastAsia" w:ascii="宋体" w:hAnsi="宋体" w:eastAsia="宋体" w:cs="宋体"/>
          <w:bCs w:val="0"/>
          <w:szCs w:val="24"/>
          <w:highlight w:val="none"/>
          <w:lang w:val="en-US" w:eastAsia="zh-CN"/>
        </w:rPr>
        <w:t>三</w:t>
      </w:r>
      <w:r>
        <w:rPr>
          <w:rFonts w:hint="eastAsia" w:ascii="宋体" w:hAnsi="宋体" w:eastAsia="宋体" w:cs="宋体"/>
          <w:bCs w:val="0"/>
          <w:szCs w:val="24"/>
          <w:highlight w:val="none"/>
        </w:rPr>
        <w:t>：政府采购活动现场确认声明书</w:t>
      </w:r>
      <w:r>
        <w:tab/>
      </w:r>
      <w:r>
        <w:fldChar w:fldCharType="begin"/>
      </w:r>
      <w:r>
        <w:instrText xml:space="preserve"> PAGEREF _Toc27931 \h </w:instrText>
      </w:r>
      <w:r>
        <w:fldChar w:fldCharType="separate"/>
      </w:r>
      <w:r>
        <w:t>52</w:t>
      </w:r>
      <w:r>
        <w:fldChar w:fldCharType="end"/>
      </w:r>
      <w:r>
        <w:rPr>
          <w:rFonts w:hint="eastAsia" w:ascii="宋体" w:hAnsi="宋体" w:eastAsia="宋体" w:cs="宋体"/>
          <w:color w:val="auto"/>
          <w:highlight w:val="none"/>
        </w:rPr>
        <w:fldChar w:fldCharType="end"/>
      </w:r>
    </w:p>
    <w:p>
      <w:pPr>
        <w:pStyle w:val="17"/>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_Toc18740 </w:instrText>
      </w:r>
      <w:r>
        <w:rPr>
          <w:rFonts w:hint="eastAsia" w:ascii="宋体" w:hAnsi="宋体" w:eastAsia="宋体" w:cs="宋体"/>
          <w:highlight w:val="none"/>
        </w:rPr>
        <w:fldChar w:fldCharType="separate"/>
      </w:r>
      <w:r>
        <w:rPr>
          <w:rFonts w:hint="eastAsia" w:ascii="宋体" w:hAnsi="宋体" w:eastAsia="宋体" w:cs="宋体"/>
          <w:szCs w:val="24"/>
          <w:highlight w:val="none"/>
        </w:rPr>
        <w:t>附件</w:t>
      </w:r>
      <w:r>
        <w:rPr>
          <w:rFonts w:hint="eastAsia" w:ascii="宋体" w:hAnsi="宋体" w:eastAsia="宋体" w:cs="宋体"/>
          <w:szCs w:val="24"/>
          <w:highlight w:val="none"/>
          <w:lang w:val="en-US" w:eastAsia="zh-CN"/>
        </w:rPr>
        <w:t>四</w:t>
      </w:r>
      <w:r>
        <w:rPr>
          <w:rFonts w:hint="eastAsia" w:ascii="宋体" w:hAnsi="宋体" w:eastAsia="宋体" w:cs="宋体"/>
          <w:szCs w:val="24"/>
          <w:highlight w:val="none"/>
        </w:rPr>
        <w:t>：法定代表人授权委托书</w:t>
      </w:r>
      <w:r>
        <w:tab/>
      </w:r>
      <w:r>
        <w:fldChar w:fldCharType="begin"/>
      </w:r>
      <w:r>
        <w:instrText xml:space="preserve"> PAGEREF _Toc18740 \h </w:instrText>
      </w:r>
      <w:r>
        <w:fldChar w:fldCharType="separate"/>
      </w:r>
      <w:r>
        <w:t>53</w:t>
      </w:r>
      <w:r>
        <w:fldChar w:fldCharType="end"/>
      </w:r>
      <w:r>
        <w:rPr>
          <w:rFonts w:hint="eastAsia" w:ascii="宋体" w:hAnsi="宋体" w:eastAsia="宋体" w:cs="宋体"/>
          <w:color w:val="auto"/>
          <w:highlight w:val="none"/>
        </w:rPr>
        <w:fldChar w:fldCharType="end"/>
      </w:r>
    </w:p>
    <w:p>
      <w:pPr>
        <w:pStyle w:val="17"/>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_Toc19951 </w:instrText>
      </w:r>
      <w:r>
        <w:rPr>
          <w:rFonts w:hint="eastAsia" w:ascii="宋体" w:hAnsi="宋体" w:eastAsia="宋体" w:cs="宋体"/>
          <w:highlight w:val="none"/>
        </w:rPr>
        <w:fldChar w:fldCharType="separate"/>
      </w:r>
      <w:r>
        <w:rPr>
          <w:rFonts w:hint="eastAsia" w:ascii="宋体" w:hAnsi="宋体" w:eastAsia="宋体" w:cs="宋体"/>
          <w:szCs w:val="24"/>
          <w:highlight w:val="none"/>
        </w:rPr>
        <w:t>附件</w:t>
      </w:r>
      <w:r>
        <w:rPr>
          <w:rFonts w:hint="eastAsia" w:ascii="宋体" w:hAnsi="宋体" w:eastAsia="宋体" w:cs="宋体"/>
          <w:szCs w:val="24"/>
          <w:highlight w:val="none"/>
          <w:lang w:eastAsia="zh-CN"/>
        </w:rPr>
        <w:t>五</w:t>
      </w:r>
      <w:r>
        <w:rPr>
          <w:rFonts w:hint="eastAsia" w:ascii="宋体" w:hAnsi="宋体" w:eastAsia="宋体" w:cs="宋体"/>
          <w:szCs w:val="24"/>
          <w:highlight w:val="none"/>
        </w:rPr>
        <w:t>：</w:t>
      </w:r>
      <w:r>
        <w:rPr>
          <w:rFonts w:hint="eastAsia" w:ascii="宋体" w:hAnsi="宋体" w:eastAsia="宋体" w:cs="宋体"/>
          <w:szCs w:val="24"/>
          <w:highlight w:val="none"/>
          <w:lang w:eastAsia="zh-CN"/>
        </w:rPr>
        <w:t>联合体协议</w:t>
      </w:r>
      <w:r>
        <w:tab/>
      </w:r>
      <w:r>
        <w:fldChar w:fldCharType="begin"/>
      </w:r>
      <w:r>
        <w:instrText xml:space="preserve"> PAGEREF _Toc19951 \h </w:instrText>
      </w:r>
      <w:r>
        <w:fldChar w:fldCharType="separate"/>
      </w:r>
      <w:r>
        <w:t>54</w:t>
      </w:r>
      <w:r>
        <w:fldChar w:fldCharType="end"/>
      </w:r>
      <w:r>
        <w:rPr>
          <w:rFonts w:hint="eastAsia" w:ascii="宋体" w:hAnsi="宋体" w:eastAsia="宋体" w:cs="宋体"/>
          <w:color w:val="auto"/>
          <w:highlight w:val="none"/>
        </w:rPr>
        <w:fldChar w:fldCharType="end"/>
      </w:r>
    </w:p>
    <w:p>
      <w:pPr>
        <w:pStyle w:val="17"/>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_Toc11931 </w:instrText>
      </w:r>
      <w:r>
        <w:rPr>
          <w:rFonts w:hint="eastAsia" w:ascii="宋体" w:hAnsi="宋体" w:eastAsia="宋体" w:cs="宋体"/>
          <w:highlight w:val="none"/>
        </w:rPr>
        <w:fldChar w:fldCharType="separate"/>
      </w:r>
      <w:r>
        <w:rPr>
          <w:rFonts w:hint="eastAsia" w:ascii="宋体" w:hAnsi="宋体" w:eastAsia="宋体" w:cs="宋体"/>
          <w:szCs w:val="24"/>
          <w:highlight w:val="none"/>
        </w:rPr>
        <w:t>附件</w:t>
      </w:r>
      <w:r>
        <w:rPr>
          <w:rFonts w:hint="eastAsia" w:ascii="宋体" w:hAnsi="宋体" w:eastAsia="宋体" w:cs="宋体"/>
          <w:szCs w:val="24"/>
          <w:highlight w:val="none"/>
          <w:lang w:eastAsia="zh-CN"/>
        </w:rPr>
        <w:t>六</w:t>
      </w:r>
      <w:r>
        <w:rPr>
          <w:rFonts w:hint="eastAsia" w:ascii="宋体" w:hAnsi="宋体" w:eastAsia="宋体" w:cs="宋体"/>
          <w:szCs w:val="24"/>
          <w:highlight w:val="none"/>
        </w:rPr>
        <w:t>：</w:t>
      </w:r>
      <w:r>
        <w:rPr>
          <w:rFonts w:hint="eastAsia" w:ascii="宋体" w:hAnsi="宋体" w:eastAsia="宋体" w:cs="宋体"/>
          <w:szCs w:val="24"/>
          <w:highlight w:val="none"/>
          <w:lang w:eastAsia="zh-CN"/>
        </w:rPr>
        <w:t>分包意向协议</w:t>
      </w:r>
      <w:r>
        <w:tab/>
      </w:r>
      <w:r>
        <w:fldChar w:fldCharType="begin"/>
      </w:r>
      <w:r>
        <w:instrText xml:space="preserve"> PAGEREF _Toc11931 \h </w:instrText>
      </w:r>
      <w:r>
        <w:fldChar w:fldCharType="separate"/>
      </w:r>
      <w:r>
        <w:t>55</w:t>
      </w:r>
      <w:r>
        <w:fldChar w:fldCharType="end"/>
      </w:r>
      <w:r>
        <w:rPr>
          <w:rFonts w:hint="eastAsia" w:ascii="宋体" w:hAnsi="宋体" w:eastAsia="宋体" w:cs="宋体"/>
          <w:color w:val="auto"/>
          <w:highlight w:val="none"/>
        </w:rPr>
        <w:fldChar w:fldCharType="end"/>
      </w:r>
    </w:p>
    <w:p>
      <w:pPr>
        <w:pStyle w:val="17"/>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_Toc21035 </w:instrText>
      </w:r>
      <w:r>
        <w:rPr>
          <w:rFonts w:hint="eastAsia" w:ascii="宋体" w:hAnsi="宋体" w:eastAsia="宋体" w:cs="宋体"/>
          <w:highlight w:val="none"/>
        </w:rPr>
        <w:fldChar w:fldCharType="separate"/>
      </w:r>
      <w:r>
        <w:rPr>
          <w:rFonts w:hint="eastAsia" w:ascii="宋体" w:hAnsi="宋体" w:eastAsia="宋体" w:cs="宋体"/>
          <w:szCs w:val="24"/>
          <w:highlight w:val="none"/>
        </w:rPr>
        <w:t>附件</w:t>
      </w:r>
      <w:r>
        <w:rPr>
          <w:rFonts w:hint="eastAsia" w:ascii="宋体" w:hAnsi="宋体" w:eastAsia="宋体" w:cs="宋体"/>
          <w:szCs w:val="24"/>
          <w:highlight w:val="none"/>
          <w:lang w:val="en-US" w:eastAsia="zh-CN"/>
        </w:rPr>
        <w:t>七</w:t>
      </w:r>
      <w:r>
        <w:rPr>
          <w:rFonts w:hint="eastAsia" w:ascii="宋体" w:hAnsi="宋体" w:eastAsia="宋体" w:cs="宋体"/>
          <w:szCs w:val="24"/>
          <w:highlight w:val="none"/>
        </w:rPr>
        <w:t>：投标人资信商务、技术自评得分表</w:t>
      </w:r>
      <w:r>
        <w:tab/>
      </w:r>
      <w:r>
        <w:fldChar w:fldCharType="begin"/>
      </w:r>
      <w:r>
        <w:instrText xml:space="preserve"> PAGEREF _Toc21035 \h </w:instrText>
      </w:r>
      <w:r>
        <w:fldChar w:fldCharType="separate"/>
      </w:r>
      <w:r>
        <w:t>56</w:t>
      </w:r>
      <w:r>
        <w:fldChar w:fldCharType="end"/>
      </w:r>
      <w:r>
        <w:rPr>
          <w:rFonts w:hint="eastAsia" w:ascii="宋体" w:hAnsi="宋体" w:eastAsia="宋体" w:cs="宋体"/>
          <w:color w:val="auto"/>
          <w:highlight w:val="none"/>
        </w:rPr>
        <w:fldChar w:fldCharType="end"/>
      </w:r>
    </w:p>
    <w:p>
      <w:pPr>
        <w:pStyle w:val="17"/>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_Toc8239 </w:instrText>
      </w:r>
      <w:r>
        <w:rPr>
          <w:rFonts w:hint="eastAsia" w:ascii="宋体" w:hAnsi="宋体" w:eastAsia="宋体" w:cs="宋体"/>
          <w:highlight w:val="none"/>
        </w:rPr>
        <w:fldChar w:fldCharType="separate"/>
      </w:r>
      <w:r>
        <w:rPr>
          <w:rFonts w:hint="eastAsia" w:ascii="宋体" w:hAnsi="宋体" w:eastAsia="宋体" w:cs="宋体"/>
          <w:szCs w:val="24"/>
          <w:highlight w:val="none"/>
        </w:rPr>
        <w:t>附件</w:t>
      </w:r>
      <w:r>
        <w:rPr>
          <w:rFonts w:hint="eastAsia" w:ascii="宋体" w:hAnsi="宋体" w:eastAsia="宋体" w:cs="宋体"/>
          <w:szCs w:val="24"/>
          <w:highlight w:val="none"/>
          <w:lang w:val="en-US" w:eastAsia="zh-CN"/>
        </w:rPr>
        <w:t>八</w:t>
      </w:r>
      <w:r>
        <w:rPr>
          <w:rFonts w:hint="eastAsia" w:ascii="宋体" w:hAnsi="宋体" w:eastAsia="宋体" w:cs="宋体"/>
          <w:szCs w:val="24"/>
          <w:highlight w:val="none"/>
        </w:rPr>
        <w:t>：商务响应表</w:t>
      </w:r>
      <w:r>
        <w:tab/>
      </w:r>
      <w:r>
        <w:fldChar w:fldCharType="begin"/>
      </w:r>
      <w:r>
        <w:instrText xml:space="preserve"> PAGEREF _Toc8239 \h </w:instrText>
      </w:r>
      <w:r>
        <w:fldChar w:fldCharType="separate"/>
      </w:r>
      <w:r>
        <w:t>57</w:t>
      </w:r>
      <w:r>
        <w:fldChar w:fldCharType="end"/>
      </w:r>
      <w:r>
        <w:rPr>
          <w:rFonts w:hint="eastAsia" w:ascii="宋体" w:hAnsi="宋体" w:eastAsia="宋体" w:cs="宋体"/>
          <w:color w:val="auto"/>
          <w:highlight w:val="none"/>
        </w:rPr>
        <w:fldChar w:fldCharType="end"/>
      </w:r>
    </w:p>
    <w:p>
      <w:pPr>
        <w:pStyle w:val="17"/>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_Toc12212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附件</w:t>
      </w:r>
      <w:r>
        <w:rPr>
          <w:rFonts w:hint="eastAsia" w:ascii="宋体" w:hAnsi="宋体" w:eastAsia="宋体" w:cs="宋体"/>
          <w:bCs w:val="0"/>
          <w:szCs w:val="24"/>
          <w:highlight w:val="none"/>
          <w:lang w:val="en-US" w:eastAsia="zh-CN"/>
        </w:rPr>
        <w:t>九</w:t>
      </w:r>
      <w:r>
        <w:rPr>
          <w:rFonts w:hint="eastAsia" w:ascii="宋体" w:hAnsi="宋体" w:eastAsia="宋体" w:cs="宋体"/>
          <w:bCs w:val="0"/>
          <w:szCs w:val="24"/>
          <w:highlight w:val="none"/>
        </w:rPr>
        <w:t>：技术响应表</w:t>
      </w:r>
      <w:r>
        <w:tab/>
      </w:r>
      <w:r>
        <w:fldChar w:fldCharType="begin"/>
      </w:r>
      <w:r>
        <w:instrText xml:space="preserve"> PAGEREF _Toc12212 \h </w:instrText>
      </w:r>
      <w:r>
        <w:fldChar w:fldCharType="separate"/>
      </w:r>
      <w:r>
        <w:t>58</w:t>
      </w:r>
      <w:r>
        <w:fldChar w:fldCharType="end"/>
      </w:r>
      <w:r>
        <w:rPr>
          <w:rFonts w:hint="eastAsia" w:ascii="宋体" w:hAnsi="宋体" w:eastAsia="宋体" w:cs="宋体"/>
          <w:color w:val="auto"/>
          <w:highlight w:val="none"/>
        </w:rPr>
        <w:fldChar w:fldCharType="end"/>
      </w:r>
    </w:p>
    <w:p>
      <w:pPr>
        <w:pStyle w:val="17"/>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_Toc26980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附件</w:t>
      </w:r>
      <w:r>
        <w:rPr>
          <w:rFonts w:hint="eastAsia" w:ascii="宋体" w:hAnsi="宋体" w:eastAsia="宋体" w:cs="宋体"/>
          <w:bCs w:val="0"/>
          <w:szCs w:val="24"/>
          <w:highlight w:val="none"/>
          <w:lang w:val="en-US" w:eastAsia="zh-CN"/>
        </w:rPr>
        <w:t>十</w:t>
      </w:r>
      <w:r>
        <w:rPr>
          <w:rFonts w:hint="eastAsia" w:ascii="宋体" w:hAnsi="宋体" w:eastAsia="宋体" w:cs="宋体"/>
          <w:bCs w:val="0"/>
          <w:szCs w:val="24"/>
          <w:highlight w:val="none"/>
        </w:rPr>
        <w:t>：服务项目组成员及简介</w:t>
      </w:r>
      <w:r>
        <w:tab/>
      </w:r>
      <w:r>
        <w:fldChar w:fldCharType="begin"/>
      </w:r>
      <w:r>
        <w:instrText xml:space="preserve"> PAGEREF _Toc26980 \h </w:instrText>
      </w:r>
      <w:r>
        <w:fldChar w:fldCharType="separate"/>
      </w:r>
      <w:r>
        <w:t>59</w:t>
      </w:r>
      <w:r>
        <w:fldChar w:fldCharType="end"/>
      </w:r>
      <w:r>
        <w:rPr>
          <w:rFonts w:hint="eastAsia" w:ascii="宋体" w:hAnsi="宋体" w:eastAsia="宋体" w:cs="宋体"/>
          <w:color w:val="auto"/>
          <w:highlight w:val="none"/>
        </w:rPr>
        <w:fldChar w:fldCharType="end"/>
      </w:r>
    </w:p>
    <w:p>
      <w:pPr>
        <w:pStyle w:val="17"/>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_Toc17610 </w:instrText>
      </w:r>
      <w:r>
        <w:rPr>
          <w:rFonts w:hint="eastAsia" w:ascii="宋体" w:hAnsi="宋体" w:eastAsia="宋体" w:cs="宋体"/>
          <w:highlight w:val="none"/>
        </w:rPr>
        <w:fldChar w:fldCharType="separate"/>
      </w:r>
      <w:r>
        <w:rPr>
          <w:rFonts w:hint="eastAsia" w:ascii="宋体" w:hAnsi="宋体" w:eastAsia="宋体" w:cs="宋体"/>
          <w:kern w:val="0"/>
          <w:szCs w:val="24"/>
          <w:highlight w:val="none"/>
        </w:rPr>
        <w:t>附件</w:t>
      </w:r>
      <w:r>
        <w:rPr>
          <w:rFonts w:hint="eastAsia" w:ascii="宋体" w:hAnsi="宋体" w:eastAsia="宋体" w:cs="宋体"/>
          <w:kern w:val="0"/>
          <w:szCs w:val="24"/>
          <w:highlight w:val="none"/>
          <w:lang w:val="en-US" w:eastAsia="zh-CN"/>
        </w:rPr>
        <w:t>十一</w:t>
      </w:r>
      <w:r>
        <w:rPr>
          <w:rFonts w:hint="eastAsia" w:ascii="宋体" w:hAnsi="宋体" w:eastAsia="宋体" w:cs="宋体"/>
          <w:kern w:val="0"/>
          <w:szCs w:val="24"/>
          <w:highlight w:val="none"/>
        </w:rPr>
        <w:t>：同类项目业绩一览表</w:t>
      </w:r>
      <w:r>
        <w:tab/>
      </w:r>
      <w:r>
        <w:fldChar w:fldCharType="begin"/>
      </w:r>
      <w:r>
        <w:instrText xml:space="preserve"> PAGEREF _Toc17610 \h </w:instrText>
      </w:r>
      <w:r>
        <w:fldChar w:fldCharType="separate"/>
      </w:r>
      <w:r>
        <w:t>60</w:t>
      </w:r>
      <w:r>
        <w:fldChar w:fldCharType="end"/>
      </w:r>
      <w:r>
        <w:rPr>
          <w:rFonts w:hint="eastAsia" w:ascii="宋体" w:hAnsi="宋体" w:eastAsia="宋体" w:cs="宋体"/>
          <w:color w:val="auto"/>
          <w:highlight w:val="none"/>
        </w:rPr>
        <w:fldChar w:fldCharType="end"/>
      </w:r>
    </w:p>
    <w:p>
      <w:pPr>
        <w:pStyle w:val="17"/>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_Toc5547 </w:instrText>
      </w:r>
      <w:r>
        <w:rPr>
          <w:rFonts w:hint="eastAsia" w:ascii="宋体" w:hAnsi="宋体" w:eastAsia="宋体" w:cs="宋体"/>
          <w:highlight w:val="none"/>
        </w:rPr>
        <w:fldChar w:fldCharType="separate"/>
      </w:r>
      <w:r>
        <w:rPr>
          <w:rFonts w:hint="eastAsia" w:ascii="宋体" w:hAnsi="宋体" w:eastAsia="宋体" w:cs="宋体"/>
          <w:bCs/>
          <w:highlight w:val="none"/>
        </w:rPr>
        <w:t>附件</w:t>
      </w:r>
      <w:r>
        <w:rPr>
          <w:rFonts w:hint="eastAsia" w:ascii="宋体" w:hAnsi="宋体" w:cs="宋体"/>
          <w:bCs/>
          <w:highlight w:val="none"/>
          <w:lang w:val="en-US" w:eastAsia="zh-CN"/>
        </w:rPr>
        <w:t>十二</w:t>
      </w:r>
      <w:r>
        <w:rPr>
          <w:rFonts w:hint="eastAsia" w:ascii="宋体" w:hAnsi="宋体" w:eastAsia="宋体" w:cs="宋体"/>
          <w:bCs/>
          <w:highlight w:val="none"/>
        </w:rPr>
        <w:t>：服务费承诺书</w:t>
      </w:r>
      <w:r>
        <w:tab/>
      </w:r>
      <w:r>
        <w:fldChar w:fldCharType="begin"/>
      </w:r>
      <w:r>
        <w:instrText xml:space="preserve"> PAGEREF _Toc5547 \h </w:instrText>
      </w:r>
      <w:r>
        <w:fldChar w:fldCharType="separate"/>
      </w:r>
      <w:r>
        <w:t>61</w:t>
      </w:r>
      <w:r>
        <w:fldChar w:fldCharType="end"/>
      </w:r>
      <w:r>
        <w:rPr>
          <w:rFonts w:hint="eastAsia" w:ascii="宋体" w:hAnsi="宋体" w:eastAsia="宋体" w:cs="宋体"/>
          <w:color w:val="auto"/>
          <w:highlight w:val="none"/>
        </w:rPr>
        <w:fldChar w:fldCharType="end"/>
      </w:r>
    </w:p>
    <w:p>
      <w:pPr>
        <w:pStyle w:val="17"/>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_Toc17535 </w:instrText>
      </w:r>
      <w:r>
        <w:rPr>
          <w:rFonts w:hint="eastAsia" w:ascii="宋体" w:hAnsi="宋体" w:eastAsia="宋体" w:cs="宋体"/>
          <w:highlight w:val="none"/>
        </w:rPr>
        <w:fldChar w:fldCharType="separate"/>
      </w:r>
      <w:r>
        <w:rPr>
          <w:rFonts w:hint="eastAsia" w:ascii="宋体" w:hAnsi="宋体" w:eastAsia="宋体" w:cs="宋体"/>
          <w:bCs/>
          <w:highlight w:val="none"/>
        </w:rPr>
        <w:t>附件</w:t>
      </w:r>
      <w:r>
        <w:rPr>
          <w:rFonts w:hint="eastAsia" w:ascii="宋体" w:hAnsi="宋体" w:cs="宋体"/>
          <w:bCs/>
          <w:highlight w:val="none"/>
          <w:lang w:val="en-US" w:eastAsia="zh-CN"/>
        </w:rPr>
        <w:t>十三</w:t>
      </w:r>
      <w:r>
        <w:rPr>
          <w:rFonts w:hint="eastAsia" w:ascii="宋体" w:hAnsi="宋体" w:eastAsia="宋体" w:cs="宋体"/>
          <w:bCs/>
          <w:highlight w:val="none"/>
        </w:rPr>
        <w:t>:</w:t>
      </w:r>
      <w:r>
        <w:rPr>
          <w:rFonts w:hint="eastAsia" w:ascii="宋体" w:hAnsi="宋体" w:cs="宋体"/>
          <w:bCs/>
          <w:highlight w:val="none"/>
          <w:lang w:val="en-US" w:eastAsia="zh-CN"/>
        </w:rPr>
        <w:t xml:space="preserve"> </w:t>
      </w:r>
      <w:r>
        <w:rPr>
          <w:rFonts w:hint="eastAsia" w:ascii="宋体" w:hAnsi="宋体" w:eastAsia="宋体" w:cs="宋体"/>
          <w:bCs/>
          <w:highlight w:val="none"/>
        </w:rPr>
        <w:t>投标函</w:t>
      </w:r>
      <w:r>
        <w:tab/>
      </w:r>
      <w:r>
        <w:fldChar w:fldCharType="begin"/>
      </w:r>
      <w:r>
        <w:instrText xml:space="preserve"> PAGEREF _Toc17535 \h </w:instrText>
      </w:r>
      <w:r>
        <w:fldChar w:fldCharType="separate"/>
      </w:r>
      <w:r>
        <w:t>62</w:t>
      </w:r>
      <w:r>
        <w:fldChar w:fldCharType="end"/>
      </w:r>
      <w:r>
        <w:rPr>
          <w:rFonts w:hint="eastAsia" w:ascii="宋体" w:hAnsi="宋体" w:eastAsia="宋体" w:cs="宋体"/>
          <w:color w:val="auto"/>
          <w:highlight w:val="none"/>
        </w:rPr>
        <w:fldChar w:fldCharType="end"/>
      </w:r>
    </w:p>
    <w:p>
      <w:pPr>
        <w:pStyle w:val="17"/>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_Toc13197 </w:instrText>
      </w:r>
      <w:r>
        <w:rPr>
          <w:rFonts w:hint="eastAsia" w:ascii="宋体" w:hAnsi="宋体" w:eastAsia="宋体" w:cs="宋体"/>
          <w:highlight w:val="none"/>
        </w:rPr>
        <w:fldChar w:fldCharType="separate"/>
      </w:r>
      <w:r>
        <w:rPr>
          <w:rFonts w:hint="eastAsia" w:ascii="宋体" w:hAnsi="宋体" w:eastAsia="宋体" w:cs="宋体"/>
          <w:bCs/>
          <w:highlight w:val="none"/>
        </w:rPr>
        <w:t>附件十</w:t>
      </w:r>
      <w:r>
        <w:rPr>
          <w:rFonts w:hint="eastAsia" w:ascii="宋体" w:hAnsi="宋体" w:cs="宋体"/>
          <w:bCs/>
          <w:highlight w:val="none"/>
          <w:lang w:val="en-US" w:eastAsia="zh-CN"/>
        </w:rPr>
        <w:t>四</w:t>
      </w:r>
      <w:r>
        <w:rPr>
          <w:rFonts w:hint="eastAsia" w:ascii="宋体" w:hAnsi="宋体" w:eastAsia="宋体" w:cs="宋体"/>
          <w:bCs/>
          <w:highlight w:val="none"/>
        </w:rPr>
        <w:t>：开标一览表</w:t>
      </w:r>
      <w:r>
        <w:tab/>
      </w:r>
      <w:r>
        <w:fldChar w:fldCharType="begin"/>
      </w:r>
      <w:r>
        <w:instrText xml:space="preserve"> PAGEREF _Toc13197 \h </w:instrText>
      </w:r>
      <w:r>
        <w:fldChar w:fldCharType="separate"/>
      </w:r>
      <w:r>
        <w:t>63</w:t>
      </w:r>
      <w:r>
        <w:fldChar w:fldCharType="end"/>
      </w:r>
      <w:r>
        <w:rPr>
          <w:rFonts w:hint="eastAsia" w:ascii="宋体" w:hAnsi="宋体" w:eastAsia="宋体" w:cs="宋体"/>
          <w:color w:val="auto"/>
          <w:highlight w:val="none"/>
        </w:rPr>
        <w:fldChar w:fldCharType="end"/>
      </w:r>
    </w:p>
    <w:p>
      <w:pPr>
        <w:pStyle w:val="17"/>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_Toc5107 </w:instrText>
      </w:r>
      <w:r>
        <w:rPr>
          <w:rFonts w:hint="eastAsia" w:ascii="宋体" w:hAnsi="宋体" w:eastAsia="宋体" w:cs="宋体"/>
          <w:highlight w:val="none"/>
        </w:rPr>
        <w:fldChar w:fldCharType="separate"/>
      </w:r>
      <w:r>
        <w:rPr>
          <w:rFonts w:hint="eastAsia" w:ascii="宋体" w:hAnsi="宋体" w:eastAsia="宋体" w:cs="宋体"/>
          <w:bCs/>
          <w:highlight w:val="none"/>
        </w:rPr>
        <w:t>附件十</w:t>
      </w:r>
      <w:r>
        <w:rPr>
          <w:rFonts w:hint="eastAsia" w:ascii="宋体" w:hAnsi="宋体" w:cs="宋体"/>
          <w:bCs/>
          <w:highlight w:val="none"/>
          <w:lang w:val="en-US" w:eastAsia="zh-CN"/>
        </w:rPr>
        <w:t>五</w:t>
      </w:r>
      <w:r>
        <w:rPr>
          <w:rFonts w:hint="eastAsia" w:ascii="宋体" w:hAnsi="宋体" w:eastAsia="宋体" w:cs="宋体"/>
          <w:bCs/>
          <w:highlight w:val="none"/>
        </w:rPr>
        <w:t>：中小企业声明函（工程、服务）</w:t>
      </w:r>
      <w:r>
        <w:tab/>
      </w:r>
      <w:r>
        <w:fldChar w:fldCharType="begin"/>
      </w:r>
      <w:r>
        <w:instrText xml:space="preserve"> PAGEREF _Toc5107 \h </w:instrText>
      </w:r>
      <w:r>
        <w:fldChar w:fldCharType="separate"/>
      </w:r>
      <w:r>
        <w:t>64</w:t>
      </w:r>
      <w:r>
        <w:fldChar w:fldCharType="end"/>
      </w:r>
      <w:r>
        <w:rPr>
          <w:rFonts w:hint="eastAsia" w:ascii="宋体" w:hAnsi="宋体" w:eastAsia="宋体" w:cs="宋体"/>
          <w:color w:val="auto"/>
          <w:highlight w:val="none"/>
        </w:rPr>
        <w:fldChar w:fldCharType="end"/>
      </w:r>
    </w:p>
    <w:p>
      <w:pPr>
        <w:pStyle w:val="17"/>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_Toc18815 </w:instrText>
      </w:r>
      <w:r>
        <w:rPr>
          <w:rFonts w:hint="eastAsia" w:ascii="宋体" w:hAnsi="宋体" w:eastAsia="宋体" w:cs="宋体"/>
          <w:highlight w:val="none"/>
        </w:rPr>
        <w:fldChar w:fldCharType="separate"/>
      </w:r>
      <w:r>
        <w:rPr>
          <w:rFonts w:hint="eastAsia" w:ascii="宋体" w:hAnsi="宋体" w:eastAsia="宋体" w:cs="宋体"/>
          <w:bCs/>
          <w:highlight w:val="none"/>
        </w:rPr>
        <w:t>附件</w:t>
      </w:r>
      <w:r>
        <w:rPr>
          <w:rFonts w:hint="eastAsia" w:ascii="宋体" w:hAnsi="宋体" w:cs="宋体"/>
          <w:bCs/>
          <w:highlight w:val="none"/>
          <w:lang w:val="en-US" w:eastAsia="zh-CN"/>
        </w:rPr>
        <w:t>十六</w:t>
      </w:r>
      <w:r>
        <w:rPr>
          <w:rFonts w:hint="eastAsia" w:ascii="宋体" w:hAnsi="宋体" w:eastAsia="宋体" w:cs="宋体"/>
          <w:bCs/>
          <w:highlight w:val="none"/>
        </w:rPr>
        <w:t>：东阳市采购项目验收方案</w:t>
      </w:r>
      <w:r>
        <w:tab/>
      </w:r>
      <w:r>
        <w:fldChar w:fldCharType="begin"/>
      </w:r>
      <w:r>
        <w:instrText xml:space="preserve"> PAGEREF _Toc18815 \h </w:instrText>
      </w:r>
      <w:r>
        <w:fldChar w:fldCharType="separate"/>
      </w:r>
      <w:r>
        <w:t>65</w:t>
      </w:r>
      <w:r>
        <w:fldChar w:fldCharType="end"/>
      </w:r>
      <w:r>
        <w:rPr>
          <w:rFonts w:hint="eastAsia" w:ascii="宋体" w:hAnsi="宋体" w:eastAsia="宋体" w:cs="宋体"/>
          <w:color w:val="auto"/>
          <w:highlight w:val="none"/>
        </w:rPr>
        <w:fldChar w:fldCharType="end"/>
      </w:r>
    </w:p>
    <w:p>
      <w:pPr>
        <w:pStyle w:val="17"/>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_Toc18003 </w:instrText>
      </w:r>
      <w:r>
        <w:rPr>
          <w:rFonts w:hint="eastAsia" w:ascii="宋体" w:hAnsi="宋体" w:eastAsia="宋体" w:cs="宋体"/>
          <w:highlight w:val="none"/>
        </w:rPr>
        <w:fldChar w:fldCharType="separate"/>
      </w:r>
      <w:r>
        <w:rPr>
          <w:rFonts w:hint="eastAsia" w:ascii="宋体" w:hAnsi="宋体" w:eastAsia="宋体" w:cs="宋体"/>
          <w:bCs/>
          <w:highlight w:val="none"/>
        </w:rPr>
        <w:t>附件</w:t>
      </w:r>
      <w:r>
        <w:rPr>
          <w:rFonts w:hint="eastAsia" w:ascii="宋体" w:hAnsi="宋体" w:cs="宋体"/>
          <w:bCs/>
          <w:highlight w:val="none"/>
          <w:lang w:val="en-US" w:eastAsia="zh-CN"/>
        </w:rPr>
        <w:t>十七</w:t>
      </w:r>
      <w:r>
        <w:rPr>
          <w:rFonts w:hint="eastAsia" w:ascii="宋体" w:hAnsi="宋体" w:eastAsia="宋体" w:cs="宋体"/>
          <w:bCs/>
          <w:highlight w:val="none"/>
        </w:rPr>
        <w:t>：东阳市政府采购代理机构社会评价表</w:t>
      </w:r>
      <w:r>
        <w:tab/>
      </w:r>
      <w:r>
        <w:fldChar w:fldCharType="begin"/>
      </w:r>
      <w:r>
        <w:instrText xml:space="preserve"> PAGEREF _Toc18003 \h </w:instrText>
      </w:r>
      <w:r>
        <w:fldChar w:fldCharType="separate"/>
      </w:r>
      <w:r>
        <w:t>66</w:t>
      </w:r>
      <w:r>
        <w:fldChar w:fldCharType="end"/>
      </w:r>
      <w:r>
        <w:rPr>
          <w:rFonts w:hint="eastAsia" w:ascii="宋体" w:hAnsi="宋体" w:eastAsia="宋体" w:cs="宋体"/>
          <w:color w:val="auto"/>
          <w:highlight w:val="none"/>
        </w:rPr>
        <w:fldChar w:fldCharType="end"/>
      </w:r>
    </w:p>
    <w:p>
      <w:pPr>
        <w:pStyle w:val="17"/>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_Toc21082 </w:instrText>
      </w:r>
      <w:r>
        <w:rPr>
          <w:rFonts w:hint="eastAsia" w:ascii="宋体" w:hAnsi="宋体" w:eastAsia="宋体" w:cs="宋体"/>
          <w:highlight w:val="none"/>
        </w:rPr>
        <w:fldChar w:fldCharType="separate"/>
      </w:r>
      <w:r>
        <w:rPr>
          <w:rFonts w:hint="eastAsia" w:ascii="宋体" w:hAnsi="宋体" w:eastAsia="宋体" w:cs="宋体"/>
          <w:szCs w:val="24"/>
          <w:highlight w:val="none"/>
        </w:rPr>
        <w:t>附件</w:t>
      </w:r>
      <w:r>
        <w:rPr>
          <w:rFonts w:hint="eastAsia" w:ascii="宋体" w:hAnsi="宋体" w:eastAsia="宋体" w:cs="宋体"/>
          <w:szCs w:val="24"/>
          <w:highlight w:val="none"/>
          <w:lang w:val="en-US" w:eastAsia="zh-CN"/>
        </w:rPr>
        <w:t>十八</w:t>
      </w:r>
      <w:r>
        <w:rPr>
          <w:rFonts w:hint="eastAsia" w:ascii="宋体" w:hAnsi="宋体" w:eastAsia="宋体" w:cs="宋体"/>
          <w:szCs w:val="24"/>
          <w:highlight w:val="none"/>
        </w:rPr>
        <w:t>：办理保函需提供资料</w:t>
      </w:r>
      <w:r>
        <w:tab/>
      </w:r>
      <w:r>
        <w:fldChar w:fldCharType="begin"/>
      </w:r>
      <w:r>
        <w:instrText xml:space="preserve"> PAGEREF _Toc21082 \h </w:instrText>
      </w:r>
      <w:r>
        <w:fldChar w:fldCharType="separate"/>
      </w:r>
      <w:r>
        <w:t>67</w:t>
      </w:r>
      <w:r>
        <w:fldChar w:fldCharType="end"/>
      </w:r>
      <w:r>
        <w:rPr>
          <w:rFonts w:hint="eastAsia" w:ascii="宋体" w:hAnsi="宋体" w:eastAsia="宋体" w:cs="宋体"/>
          <w:color w:val="auto"/>
          <w:highlight w:val="none"/>
        </w:rPr>
        <w:fldChar w:fldCharType="end"/>
      </w:r>
    </w:p>
    <w:p>
      <w:pPr>
        <w:pStyle w:val="17"/>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_Toc21999 </w:instrText>
      </w:r>
      <w:r>
        <w:rPr>
          <w:rFonts w:hint="eastAsia" w:ascii="宋体" w:hAnsi="宋体" w:eastAsia="宋体" w:cs="宋体"/>
          <w:highlight w:val="none"/>
        </w:rPr>
        <w:fldChar w:fldCharType="separate"/>
      </w:r>
      <w:r>
        <w:rPr>
          <w:rFonts w:hint="eastAsia" w:ascii="宋体" w:hAnsi="宋体" w:eastAsia="宋体" w:cs="宋体"/>
          <w:highlight w:val="none"/>
        </w:rPr>
        <w:t>附件</w:t>
      </w:r>
      <w:r>
        <w:rPr>
          <w:rFonts w:hint="eastAsia" w:ascii="宋体" w:hAnsi="宋体" w:eastAsia="宋体" w:cs="宋体"/>
          <w:highlight w:val="none"/>
          <w:lang w:val="en-US" w:eastAsia="zh-CN"/>
        </w:rPr>
        <w:t>十九</w:t>
      </w:r>
      <w:r>
        <w:rPr>
          <w:rFonts w:hint="eastAsia" w:ascii="宋体" w:hAnsi="宋体" w:eastAsia="宋体" w:cs="宋体"/>
          <w:highlight w:val="none"/>
        </w:rPr>
        <w:t>：质疑函范本</w:t>
      </w:r>
      <w:r>
        <w:tab/>
      </w:r>
      <w:r>
        <w:fldChar w:fldCharType="begin"/>
      </w:r>
      <w:r>
        <w:instrText xml:space="preserve"> PAGEREF _Toc21999 \h </w:instrText>
      </w:r>
      <w:r>
        <w:fldChar w:fldCharType="separate"/>
      </w:r>
      <w:r>
        <w:t>69</w:t>
      </w:r>
      <w:r>
        <w:fldChar w:fldCharType="end"/>
      </w:r>
      <w:r>
        <w:rPr>
          <w:rFonts w:hint="eastAsia" w:ascii="宋体" w:hAnsi="宋体" w:eastAsia="宋体" w:cs="宋体"/>
          <w:color w:val="auto"/>
          <w:highlight w:val="none"/>
        </w:rPr>
        <w:fldChar w:fldCharType="end"/>
      </w:r>
    </w:p>
    <w:p>
      <w:pPr>
        <w:pStyle w:val="17"/>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_Toc1697 </w:instrText>
      </w:r>
      <w:r>
        <w:rPr>
          <w:rFonts w:hint="eastAsia" w:ascii="宋体" w:hAnsi="宋体" w:eastAsia="宋体" w:cs="宋体"/>
          <w:highlight w:val="none"/>
        </w:rPr>
        <w:fldChar w:fldCharType="separate"/>
      </w:r>
      <w:r>
        <w:rPr>
          <w:rFonts w:hint="eastAsia" w:ascii="宋体" w:hAnsi="宋体" w:eastAsia="宋体" w:cs="宋体"/>
          <w:highlight w:val="none"/>
        </w:rPr>
        <w:t>附件</w:t>
      </w:r>
      <w:r>
        <w:rPr>
          <w:rFonts w:hint="eastAsia" w:ascii="宋体" w:hAnsi="宋体" w:eastAsia="宋体" w:cs="宋体"/>
          <w:highlight w:val="none"/>
          <w:lang w:val="en-US" w:eastAsia="zh-CN"/>
        </w:rPr>
        <w:t>二十</w:t>
      </w:r>
      <w:r>
        <w:rPr>
          <w:rFonts w:hint="eastAsia" w:ascii="宋体" w:hAnsi="宋体" w:eastAsia="宋体" w:cs="宋体"/>
          <w:highlight w:val="none"/>
        </w:rPr>
        <w:t>：投诉书范本</w:t>
      </w:r>
      <w:r>
        <w:tab/>
      </w:r>
      <w:r>
        <w:fldChar w:fldCharType="begin"/>
      </w:r>
      <w:r>
        <w:instrText xml:space="preserve"> PAGEREF _Toc1697 \h </w:instrText>
      </w:r>
      <w:r>
        <w:fldChar w:fldCharType="separate"/>
      </w:r>
      <w:r>
        <w:t>71</w:t>
      </w:r>
      <w:r>
        <w:fldChar w:fldCharType="end"/>
      </w:r>
      <w:r>
        <w:rPr>
          <w:rFonts w:hint="eastAsia" w:ascii="宋体" w:hAnsi="宋体" w:eastAsia="宋体" w:cs="宋体"/>
          <w:color w:val="auto"/>
          <w:highlight w:val="none"/>
        </w:rPr>
        <w:fldChar w:fldCharType="end"/>
      </w:r>
    </w:p>
    <w:p>
      <w:pPr>
        <w:pStyle w:val="14"/>
        <w:tabs>
          <w:tab w:val="right" w:leader="dot" w:pos="9402"/>
        </w:tabs>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highlight w:val="none"/>
        </w:rPr>
        <w:fldChar w:fldCharType="end"/>
      </w:r>
    </w:p>
    <w:p>
      <w:pPr>
        <w:pStyle w:val="14"/>
        <w:pageBreakBefore/>
        <w:tabs>
          <w:tab w:val="right" w:leader="dot" w:pos="9402"/>
        </w:tabs>
        <w:spacing w:line="480" w:lineRule="auto"/>
        <w:jc w:val="center"/>
        <w:outlineLvl w:val="0"/>
        <w:rPr>
          <w:rFonts w:hint="eastAsia" w:ascii="宋体" w:hAnsi="宋体" w:eastAsia="宋体" w:cs="宋体"/>
          <w:b/>
          <w:color w:val="auto"/>
          <w:sz w:val="28"/>
          <w:szCs w:val="28"/>
          <w:highlight w:val="none"/>
        </w:rPr>
      </w:pPr>
      <w:bookmarkStart w:id="0" w:name="_Toc18979"/>
      <w:r>
        <w:rPr>
          <w:rFonts w:hint="eastAsia" w:ascii="宋体" w:hAnsi="宋体" w:eastAsia="宋体" w:cs="宋体"/>
          <w:b/>
          <w:color w:val="auto"/>
          <w:sz w:val="28"/>
          <w:szCs w:val="28"/>
          <w:highlight w:val="none"/>
        </w:rPr>
        <w:t>第一章  公开招标采购公告</w:t>
      </w:r>
      <w:bookmarkEnd w:id="0"/>
      <w:r>
        <w:rPr>
          <w:rFonts w:hint="eastAsia" w:ascii="宋体" w:hAnsi="宋体" w:eastAsia="宋体" w:cs="宋体"/>
          <w:b/>
          <w:color w:val="auto"/>
          <w:sz w:val="28"/>
          <w:szCs w:val="28"/>
          <w:highlight w:val="none"/>
        </w:rPr>
        <w:t xml:space="preserve"> </w:t>
      </w:r>
    </w:p>
    <w:p>
      <w:pPr>
        <w:pBdr>
          <w:top w:val="single" w:color="auto" w:sz="4" w:space="1"/>
          <w:left w:val="single" w:color="auto" w:sz="4" w:space="4"/>
          <w:bottom w:val="single" w:color="auto" w:sz="4" w:space="1"/>
          <w:right w:val="single" w:color="auto" w:sz="4" w:space="4"/>
        </w:pBdr>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lang w:eastAsia="zh-CN"/>
        </w:rPr>
        <w:t>东阳市卫生健康局2022-2023年度城区除四害市场化运作项目</w:t>
      </w:r>
      <w:r>
        <w:rPr>
          <w:rFonts w:hint="eastAsia" w:ascii="宋体" w:hAnsi="宋体" w:eastAsia="宋体" w:cs="宋体"/>
          <w:color w:val="auto"/>
          <w:sz w:val="24"/>
          <w:highlight w:val="none"/>
        </w:rPr>
        <w:t>的潜在投标人应在浙江政府采购网（http://zfcg.czt.zj.gov.cn/）；东阳市公共资源交易网(http://www.dongyang.gov.cn/ggzyjy/index.html)获取（下载）招标文件，并于</w:t>
      </w:r>
      <w:r>
        <w:rPr>
          <w:rFonts w:hint="eastAsia" w:ascii="宋体" w:hAnsi="宋体" w:cs="宋体"/>
          <w:color w:val="auto"/>
          <w:sz w:val="24"/>
          <w:highlight w:val="none"/>
          <w:lang w:eastAsia="zh-CN"/>
        </w:rPr>
        <w:t>2022年</w:t>
      </w:r>
      <w:r>
        <w:rPr>
          <w:rFonts w:hint="eastAsia" w:ascii="宋体" w:hAnsi="宋体" w:cs="宋体"/>
          <w:color w:val="auto"/>
          <w:sz w:val="24"/>
          <w:highlight w:val="none"/>
          <w:lang w:val="en-US" w:eastAsia="zh-CN"/>
        </w:rPr>
        <w:t>8</w:t>
      </w:r>
      <w:r>
        <w:rPr>
          <w:rFonts w:hint="eastAsia" w:ascii="宋体" w:hAnsi="宋体" w:cs="宋体"/>
          <w:color w:val="auto"/>
          <w:sz w:val="24"/>
          <w:highlight w:val="none"/>
          <w:lang w:eastAsia="zh-CN"/>
        </w:rPr>
        <w:t>月</w:t>
      </w:r>
      <w:r>
        <w:rPr>
          <w:rFonts w:hint="eastAsia" w:ascii="宋体" w:hAnsi="宋体" w:cs="宋体"/>
          <w:color w:val="auto"/>
          <w:sz w:val="24"/>
          <w:highlight w:val="none"/>
          <w:lang w:val="en-US" w:eastAsia="zh-CN"/>
        </w:rPr>
        <w:t>10</w:t>
      </w:r>
      <w:r>
        <w:rPr>
          <w:rFonts w:hint="eastAsia" w:ascii="宋体" w:hAnsi="宋体" w:cs="宋体"/>
          <w:color w:val="auto"/>
          <w:sz w:val="24"/>
          <w:highlight w:val="none"/>
          <w:lang w:eastAsia="zh-CN"/>
        </w:rPr>
        <w:t>日</w:t>
      </w:r>
      <w:r>
        <w:rPr>
          <w:rFonts w:hint="eastAsia" w:ascii="宋体" w:hAnsi="宋体" w:cs="宋体"/>
          <w:color w:val="auto"/>
          <w:sz w:val="24"/>
          <w:highlight w:val="none"/>
          <w:lang w:val="en-US" w:eastAsia="zh-CN"/>
        </w:rPr>
        <w:t>8</w:t>
      </w:r>
      <w:r>
        <w:rPr>
          <w:rFonts w:hint="eastAsia" w:ascii="宋体" w:hAnsi="宋体" w:cs="宋体"/>
          <w:color w:val="auto"/>
          <w:sz w:val="24"/>
          <w:highlight w:val="none"/>
          <w:lang w:eastAsia="zh-CN"/>
        </w:rPr>
        <w:t>时</w:t>
      </w:r>
      <w:r>
        <w:rPr>
          <w:rFonts w:hint="eastAsia" w:ascii="宋体" w:hAnsi="宋体" w:cs="宋体"/>
          <w:color w:val="auto"/>
          <w:sz w:val="24"/>
          <w:highlight w:val="none"/>
          <w:lang w:val="en-US" w:eastAsia="zh-CN"/>
        </w:rPr>
        <w:t>30</w:t>
      </w:r>
      <w:r>
        <w:rPr>
          <w:rFonts w:hint="eastAsia" w:ascii="宋体" w:hAnsi="宋体" w:cs="宋体"/>
          <w:color w:val="auto"/>
          <w:sz w:val="24"/>
          <w:highlight w:val="none"/>
          <w:lang w:eastAsia="zh-CN"/>
        </w:rPr>
        <w:t>分</w:t>
      </w:r>
      <w:r>
        <w:rPr>
          <w:rFonts w:hint="eastAsia" w:ascii="宋体" w:hAnsi="宋体" w:eastAsia="宋体" w:cs="宋体"/>
          <w:color w:val="auto"/>
          <w:sz w:val="24"/>
          <w:highlight w:val="none"/>
        </w:rPr>
        <w:t>（北京时间）前递交（上传）电子投标文件。</w:t>
      </w:r>
    </w:p>
    <w:p>
      <w:pPr>
        <w:keepNext w:val="0"/>
        <w:keepLines w:val="0"/>
        <w:pageBreakBefore w:val="0"/>
        <w:numPr>
          <w:ilvl w:val="0"/>
          <w:numId w:val="1"/>
        </w:numPr>
        <w:kinsoku/>
        <w:wordWrap/>
        <w:overflowPunct/>
        <w:topLinePunct w:val="0"/>
        <w:autoSpaceDE/>
        <w:autoSpaceDN/>
        <w:bidi w:val="0"/>
        <w:snapToGrid w:val="0"/>
        <w:spacing w:line="500" w:lineRule="exact"/>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项目基本情况</w:t>
      </w:r>
    </w:p>
    <w:p>
      <w:pPr>
        <w:keepNext w:val="0"/>
        <w:keepLines w:val="0"/>
        <w:pageBreakBefore w:val="0"/>
        <w:kinsoku/>
        <w:wordWrap/>
        <w:overflowPunct/>
        <w:topLinePunct w:val="0"/>
        <w:autoSpaceDE/>
        <w:autoSpaceDN/>
        <w:bidi w:val="0"/>
        <w:spacing w:line="500" w:lineRule="exact"/>
        <w:ind w:firstLine="482"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b/>
          <w:bCs/>
          <w:color w:val="auto"/>
          <w:sz w:val="24"/>
          <w:highlight w:val="none"/>
        </w:rPr>
        <w:t>项目编号：</w:t>
      </w:r>
      <w:r>
        <w:rPr>
          <w:rFonts w:hint="eastAsia" w:ascii="宋体" w:hAnsi="宋体" w:cs="宋体"/>
          <w:b/>
          <w:bCs/>
          <w:color w:val="auto"/>
          <w:sz w:val="24"/>
          <w:highlight w:val="none"/>
          <w:lang w:eastAsia="zh-CN"/>
        </w:rPr>
        <w:t>XSZFCGDZ2022-207</w:t>
      </w:r>
    </w:p>
    <w:p>
      <w:pPr>
        <w:keepNext w:val="0"/>
        <w:keepLines w:val="0"/>
        <w:pageBreakBefore w:val="0"/>
        <w:kinsoku/>
        <w:wordWrap/>
        <w:overflowPunct/>
        <w:topLinePunct w:val="0"/>
        <w:autoSpaceDE/>
        <w:autoSpaceDN/>
        <w:bidi w:val="0"/>
        <w:spacing w:line="500" w:lineRule="exact"/>
        <w:ind w:left="1684" w:leftChars="228" w:hanging="1205" w:hangingChars="500"/>
        <w:textAlignment w:val="auto"/>
        <w:rPr>
          <w:rFonts w:hint="eastAsia" w:ascii="宋体" w:hAnsi="宋体" w:eastAsia="宋体" w:cs="宋体"/>
          <w:color w:val="auto"/>
          <w:sz w:val="24"/>
          <w:highlight w:val="none"/>
          <w:lang w:eastAsia="zh-CN"/>
        </w:rPr>
      </w:pPr>
      <w:r>
        <w:rPr>
          <w:rFonts w:hint="eastAsia" w:ascii="宋体" w:hAnsi="宋体" w:eastAsia="宋体" w:cs="宋体"/>
          <w:b/>
          <w:bCs/>
          <w:color w:val="auto"/>
          <w:sz w:val="24"/>
          <w:highlight w:val="none"/>
        </w:rPr>
        <w:t>项目名称：</w:t>
      </w:r>
      <w:r>
        <w:rPr>
          <w:rFonts w:hint="eastAsia" w:ascii="宋体" w:hAnsi="宋体" w:cs="宋体"/>
          <w:b/>
          <w:bCs/>
          <w:color w:val="auto"/>
          <w:sz w:val="24"/>
          <w:highlight w:val="none"/>
          <w:lang w:eastAsia="zh-CN"/>
        </w:rPr>
        <w:t>东阳市卫生健康局2022-2023年度城区除四害市场化运作项目</w:t>
      </w:r>
    </w:p>
    <w:p>
      <w:pPr>
        <w:keepNext w:val="0"/>
        <w:keepLines w:val="0"/>
        <w:pageBreakBefore w:val="0"/>
        <w:kinsoku/>
        <w:wordWrap/>
        <w:overflowPunct/>
        <w:topLinePunct w:val="0"/>
        <w:autoSpaceDE/>
        <w:autoSpaceDN/>
        <w:bidi w:val="0"/>
        <w:spacing w:line="500" w:lineRule="exact"/>
        <w:ind w:firstLine="480" w:firstLineChars="200"/>
        <w:textAlignment w:val="auto"/>
        <w:rPr>
          <w:rFonts w:hint="default" w:ascii="宋体" w:hAnsi="宋体" w:eastAsia="宋体" w:cs="宋体"/>
          <w:bCs/>
          <w:color w:val="auto"/>
          <w:sz w:val="24"/>
          <w:highlight w:val="none"/>
          <w:lang w:val="en-US" w:eastAsia="zh-CN"/>
        </w:rPr>
      </w:pPr>
      <w:r>
        <w:rPr>
          <w:rFonts w:hint="eastAsia" w:ascii="宋体" w:hAnsi="宋体" w:eastAsia="宋体" w:cs="宋体"/>
          <w:bCs/>
          <w:color w:val="auto"/>
          <w:sz w:val="24"/>
          <w:highlight w:val="none"/>
        </w:rPr>
        <w:t>预算金额（元）：</w:t>
      </w:r>
      <w:r>
        <w:rPr>
          <w:rFonts w:hint="eastAsia" w:ascii="宋体" w:hAnsi="宋体" w:cs="宋体"/>
          <w:bCs/>
          <w:color w:val="auto"/>
          <w:sz w:val="24"/>
          <w:highlight w:val="none"/>
          <w:lang w:val="en-US" w:eastAsia="zh-CN"/>
        </w:rPr>
        <w:t>650000元</w:t>
      </w:r>
    </w:p>
    <w:p>
      <w:pPr>
        <w:keepNext w:val="0"/>
        <w:keepLines w:val="0"/>
        <w:pageBreakBefore w:val="0"/>
        <w:kinsoku/>
        <w:wordWrap/>
        <w:overflowPunct/>
        <w:topLinePunct w:val="0"/>
        <w:autoSpaceDE/>
        <w:autoSpaceDN/>
        <w:bidi w:val="0"/>
        <w:spacing w:line="500" w:lineRule="exact"/>
        <w:ind w:firstLine="480" w:firstLineChars="200"/>
        <w:textAlignment w:val="auto"/>
        <w:rPr>
          <w:rFonts w:hint="default" w:ascii="宋体" w:hAnsi="宋体" w:eastAsia="宋体" w:cs="宋体"/>
          <w:color w:val="auto"/>
          <w:sz w:val="24"/>
          <w:highlight w:val="none"/>
          <w:lang w:val="en-US"/>
        </w:rPr>
      </w:pPr>
      <w:r>
        <w:rPr>
          <w:rFonts w:hint="eastAsia" w:ascii="宋体" w:hAnsi="宋体" w:eastAsia="宋体" w:cs="宋体"/>
          <w:bCs/>
          <w:color w:val="auto"/>
          <w:sz w:val="24"/>
          <w:highlight w:val="none"/>
        </w:rPr>
        <w:t>最高限价（元）：</w:t>
      </w:r>
      <w:r>
        <w:rPr>
          <w:rFonts w:hint="eastAsia" w:ascii="宋体" w:hAnsi="宋体" w:cs="宋体"/>
          <w:bCs/>
          <w:color w:val="auto"/>
          <w:sz w:val="24"/>
          <w:highlight w:val="none"/>
          <w:lang w:val="en-US" w:eastAsia="zh-CN"/>
        </w:rPr>
        <w:t>650000元</w:t>
      </w:r>
    </w:p>
    <w:p>
      <w:pPr>
        <w:pStyle w:val="8"/>
        <w:keepNext w:val="0"/>
        <w:keepLines w:val="0"/>
        <w:pageBreakBefore w:val="0"/>
        <w:kinsoku/>
        <w:wordWrap/>
        <w:overflowPunct/>
        <w:topLinePunct w:val="0"/>
        <w:autoSpaceDE/>
        <w:autoSpaceDN/>
        <w:bidi w:val="0"/>
        <w:spacing w:line="500" w:lineRule="exact"/>
        <w:ind w:firstLine="482" w:firstLineChars="200"/>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采购需求：</w:t>
      </w:r>
    </w:p>
    <w:p>
      <w:pPr>
        <w:pStyle w:val="8"/>
        <w:keepNext w:val="0"/>
        <w:keepLines w:val="0"/>
        <w:pageBreakBefore w:val="0"/>
        <w:kinsoku/>
        <w:wordWrap/>
        <w:overflowPunct/>
        <w:topLinePunct w:val="0"/>
        <w:autoSpaceDE/>
        <w:autoSpaceDN/>
        <w:bidi w:val="0"/>
        <w:spacing w:line="500" w:lineRule="exact"/>
        <w:ind w:firstLine="482" w:firstLineChars="200"/>
        <w:textAlignment w:val="auto"/>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标项一：</w:t>
      </w:r>
    </w:p>
    <w:p>
      <w:pPr>
        <w:pStyle w:val="8"/>
        <w:keepNext w:val="0"/>
        <w:keepLines w:val="0"/>
        <w:pageBreakBefore w:val="0"/>
        <w:kinsoku/>
        <w:wordWrap/>
        <w:overflowPunct/>
        <w:topLinePunct w:val="0"/>
        <w:autoSpaceDE/>
        <w:autoSpaceDN/>
        <w:bidi w:val="0"/>
        <w:spacing w:line="500" w:lineRule="exact"/>
        <w:ind w:left="1679" w:leftChars="228" w:hanging="1200" w:hangingChars="500"/>
        <w:textAlignment w:val="auto"/>
        <w:rPr>
          <w:rFonts w:hint="eastAsia" w:ascii="宋体" w:hAnsi="宋体" w:eastAsia="宋体" w:cs="宋体"/>
          <w:b w:val="0"/>
          <w:bCs w:val="0"/>
          <w:color w:val="auto"/>
          <w:sz w:val="24"/>
          <w:highlight w:val="none"/>
        </w:rPr>
      </w:pPr>
      <w:r>
        <w:rPr>
          <w:rFonts w:hint="eastAsia" w:ascii="宋体" w:hAnsi="宋体" w:eastAsia="宋体" w:cs="宋体"/>
          <w:color w:val="auto"/>
          <w:sz w:val="24"/>
          <w:highlight w:val="none"/>
        </w:rPr>
        <w:t>标项名称：</w:t>
      </w:r>
      <w:r>
        <w:rPr>
          <w:rFonts w:hint="eastAsia" w:ascii="宋体" w:hAnsi="宋体" w:cs="宋体"/>
          <w:color w:val="auto"/>
          <w:sz w:val="24"/>
          <w:highlight w:val="none"/>
          <w:lang w:val="en-US" w:eastAsia="zh-CN"/>
        </w:rPr>
        <w:t>东阳市卫生健康局2022-2023年度城区除四害市场化运作项目</w:t>
      </w:r>
    </w:p>
    <w:p>
      <w:pPr>
        <w:pStyle w:val="8"/>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数量：1</w:t>
      </w:r>
      <w:r>
        <w:rPr>
          <w:rFonts w:hint="eastAsia" w:ascii="宋体" w:hAnsi="宋体" w:cs="宋体"/>
          <w:color w:val="auto"/>
          <w:sz w:val="24"/>
          <w:highlight w:val="none"/>
          <w:lang w:val="en-US" w:eastAsia="zh-CN"/>
        </w:rPr>
        <w:t>项</w:t>
      </w:r>
    </w:p>
    <w:p>
      <w:pPr>
        <w:keepNext w:val="0"/>
        <w:keepLines w:val="0"/>
        <w:pageBreakBefore w:val="0"/>
        <w:kinsoku/>
        <w:wordWrap/>
        <w:overflowPunct/>
        <w:topLinePunct w:val="0"/>
        <w:autoSpaceDE/>
        <w:autoSpaceDN/>
        <w:bidi w:val="0"/>
        <w:spacing w:line="500" w:lineRule="exact"/>
        <w:ind w:firstLine="480" w:firstLineChars="200"/>
        <w:textAlignment w:val="auto"/>
        <w:rPr>
          <w:rFonts w:hint="default" w:ascii="宋体" w:hAnsi="宋体" w:eastAsia="宋体" w:cs="宋体"/>
          <w:bCs/>
          <w:color w:val="auto"/>
          <w:sz w:val="24"/>
          <w:highlight w:val="none"/>
          <w:lang w:val="en-US" w:eastAsia="zh-CN"/>
        </w:rPr>
      </w:pPr>
      <w:r>
        <w:rPr>
          <w:rFonts w:hint="eastAsia" w:ascii="宋体" w:hAnsi="宋体" w:eastAsia="宋体" w:cs="宋体"/>
          <w:color w:val="auto"/>
          <w:sz w:val="24"/>
          <w:highlight w:val="none"/>
        </w:rPr>
        <w:t>预算金额（元）：</w:t>
      </w:r>
      <w:r>
        <w:rPr>
          <w:rFonts w:hint="eastAsia" w:ascii="宋体" w:hAnsi="宋体" w:cs="宋体"/>
          <w:bCs/>
          <w:color w:val="auto"/>
          <w:sz w:val="24"/>
          <w:highlight w:val="none"/>
          <w:lang w:val="en-US" w:eastAsia="zh-CN"/>
        </w:rPr>
        <w:t>650000元</w:t>
      </w:r>
    </w:p>
    <w:p>
      <w:pPr>
        <w:pStyle w:val="8"/>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简要规格描述或项目基本概况介绍、用途：具体要求详见第二章招标需求</w:t>
      </w:r>
    </w:p>
    <w:p>
      <w:pPr>
        <w:pStyle w:val="8"/>
        <w:keepNext w:val="0"/>
        <w:keepLines w:val="0"/>
        <w:pageBreakBefore w:val="0"/>
        <w:kinsoku/>
        <w:wordWrap/>
        <w:overflowPunct/>
        <w:topLinePunct w:val="0"/>
        <w:autoSpaceDE/>
        <w:autoSpaceDN/>
        <w:bidi w:val="0"/>
        <w:spacing w:line="500" w:lineRule="exact"/>
        <w:ind w:firstLine="480" w:firstLineChars="200"/>
        <w:textAlignment w:val="auto"/>
        <w:rPr>
          <w:rFonts w:hint="eastAsia"/>
          <w:color w:val="auto"/>
          <w:highlight w:val="none"/>
        </w:rPr>
      </w:pPr>
      <w:r>
        <w:rPr>
          <w:rFonts w:hint="eastAsia" w:ascii="宋体" w:hAnsi="宋体" w:eastAsia="宋体" w:cs="宋体"/>
          <w:color w:val="auto"/>
          <w:sz w:val="24"/>
          <w:highlight w:val="none"/>
        </w:rPr>
        <w:t>备注：</w:t>
      </w:r>
    </w:p>
    <w:p>
      <w:pPr>
        <w:pStyle w:val="8"/>
        <w:keepNext w:val="0"/>
        <w:keepLines w:val="0"/>
        <w:pageBreakBefore w:val="0"/>
        <w:kinsoku/>
        <w:wordWrap/>
        <w:overflowPunct/>
        <w:topLinePunct w:val="0"/>
        <w:autoSpaceDE/>
        <w:autoSpaceDN/>
        <w:bidi w:val="0"/>
        <w:spacing w:line="500" w:lineRule="exact"/>
        <w:ind w:firstLine="480" w:firstLineChars="200"/>
        <w:textAlignment w:val="auto"/>
        <w:rPr>
          <w:rFonts w:hint="eastAsia"/>
          <w:color w:val="auto"/>
          <w:highlight w:val="none"/>
        </w:rPr>
      </w:pPr>
      <w:r>
        <w:rPr>
          <w:rFonts w:hint="eastAsia" w:ascii="宋体" w:hAnsi="宋体" w:eastAsia="宋体" w:cs="宋体"/>
          <w:color w:val="auto"/>
          <w:sz w:val="24"/>
          <w:highlight w:val="none"/>
        </w:rPr>
        <w:t>合同履约期限：详见招标文件</w:t>
      </w:r>
    </w:p>
    <w:p>
      <w:pPr>
        <w:pStyle w:val="8"/>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是</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接受</w:t>
      </w:r>
      <w:r>
        <w:rPr>
          <w:rFonts w:hint="eastAsia" w:ascii="宋体" w:hAnsi="宋体" w:eastAsia="宋体" w:cs="宋体"/>
          <w:color w:val="auto"/>
          <w:sz w:val="24"/>
          <w:highlight w:val="none"/>
        </w:rPr>
        <w:t>联合体投标</w:t>
      </w:r>
    </w:p>
    <w:p>
      <w:pPr>
        <w:keepNext w:val="0"/>
        <w:keepLines w:val="0"/>
        <w:pageBreakBefore w:val="0"/>
        <w:kinsoku/>
        <w:wordWrap/>
        <w:overflowPunct/>
        <w:topLinePunct w:val="0"/>
        <w:autoSpaceDE/>
        <w:autoSpaceDN/>
        <w:bidi w:val="0"/>
        <w:snapToGrid w:val="0"/>
        <w:spacing w:line="500" w:lineRule="exact"/>
        <w:textAlignment w:val="auto"/>
        <w:rPr>
          <w:rFonts w:hint="eastAsia" w:ascii="宋体" w:hAnsi="宋体" w:eastAsia="宋体" w:cs="宋体"/>
          <w:b/>
          <w:bCs/>
          <w:strike/>
          <w:color w:val="auto"/>
          <w:sz w:val="24"/>
          <w:highlight w:val="none"/>
        </w:rPr>
      </w:pPr>
      <w:r>
        <w:rPr>
          <w:rFonts w:hint="eastAsia" w:ascii="宋体" w:hAnsi="宋体" w:eastAsia="宋体" w:cs="宋体"/>
          <w:b/>
          <w:bCs/>
          <w:color w:val="auto"/>
          <w:sz w:val="24"/>
          <w:highlight w:val="none"/>
        </w:rPr>
        <w:t xml:space="preserve">▲二、申请人的资格要求： </w:t>
      </w:r>
    </w:p>
    <w:p>
      <w:pPr>
        <w:pStyle w:val="8"/>
        <w:keepNext w:val="0"/>
        <w:keepLines w:val="0"/>
        <w:pageBreakBefore w:val="0"/>
        <w:numPr>
          <w:ilvl w:val="0"/>
          <w:numId w:val="0"/>
        </w:numPr>
        <w:kinsoku/>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满足《中华人民共和国政府采购法》第二十二条规定；未被“信用中国”（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pacing w:line="500" w:lineRule="exact"/>
        <w:ind w:firstLine="480" w:firstLineChars="200"/>
        <w:textAlignment w:val="auto"/>
        <w:rPr>
          <w:color w:val="auto"/>
          <w:highlight w:val="none"/>
        </w:rPr>
      </w:pP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落实政府采购政策需满足的资格要求</w:t>
      </w:r>
      <w:r>
        <w:rPr>
          <w:rFonts w:hint="eastAsia" w:ascii="宋体" w:hAnsi="宋体" w:eastAsia="宋体" w:cs="宋体"/>
          <w:color w:val="auto"/>
          <w:sz w:val="24"/>
          <w:highlight w:val="none"/>
          <w:lang w:eastAsia="zh-CN"/>
        </w:rPr>
        <w:t>：</w:t>
      </w:r>
      <w:r>
        <w:rPr>
          <w:rFonts w:hint="eastAsia" w:ascii="宋体" w:hAnsi="宋体" w:cs="宋体"/>
          <w:color w:val="auto"/>
          <w:sz w:val="24"/>
          <w:highlight w:val="none"/>
        </w:rPr>
        <w:t>根据《政府采购促进中小企业发展管理办法》有关规定，本项目仅面向中小型及以下企业响应投标。</w:t>
      </w:r>
    </w:p>
    <w:p>
      <w:pPr>
        <w:pStyle w:val="8"/>
        <w:keepNext w:val="0"/>
        <w:keepLines w:val="0"/>
        <w:pageBreakBefore w:val="0"/>
        <w:numPr>
          <w:ilvl w:val="0"/>
          <w:numId w:val="0"/>
        </w:numPr>
        <w:kinsoku/>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3.本项目的特定资格要求：</w:t>
      </w:r>
    </w:p>
    <w:p>
      <w:pPr>
        <w:pStyle w:val="8"/>
        <w:keepNext w:val="0"/>
        <w:keepLines w:val="0"/>
        <w:pageBreakBefore w:val="0"/>
        <w:numPr>
          <w:ilvl w:val="0"/>
          <w:numId w:val="0"/>
        </w:numPr>
        <w:kinsoku/>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（1）具有浙江省病媒生物预防控制单位备案确认书；</w:t>
      </w:r>
    </w:p>
    <w:p>
      <w:pPr>
        <w:pStyle w:val="8"/>
        <w:keepNext w:val="0"/>
        <w:keepLines w:val="0"/>
        <w:pageBreakBefore w:val="0"/>
        <w:numPr>
          <w:ilvl w:val="0"/>
          <w:numId w:val="0"/>
        </w:numPr>
        <w:kinsoku/>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（2）投标人须为浙江政府采购网注册的正式供应商或承诺中标后30天内注册为浙江政府采购网正式供应商。</w:t>
      </w:r>
    </w:p>
    <w:p>
      <w:pPr>
        <w:keepNext w:val="0"/>
        <w:keepLines w:val="0"/>
        <w:pageBreakBefore w:val="0"/>
        <w:kinsoku/>
        <w:wordWrap/>
        <w:overflowPunct/>
        <w:topLinePunct w:val="0"/>
        <w:autoSpaceDE/>
        <w:autoSpaceDN/>
        <w:bidi w:val="0"/>
        <w:snapToGrid w:val="0"/>
        <w:spacing w:line="500" w:lineRule="exact"/>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 xml:space="preserve">▲三、获取招标文件： </w:t>
      </w:r>
    </w:p>
    <w:p>
      <w:pPr>
        <w:keepNext w:val="0"/>
        <w:keepLines w:val="0"/>
        <w:pageBreakBefore w:val="0"/>
        <w:kinsoku/>
        <w:wordWrap/>
        <w:overflowPunct/>
        <w:topLinePunct w:val="0"/>
        <w:autoSpaceDE/>
        <w:autoSpaceDN/>
        <w:bidi w:val="0"/>
        <w:spacing w:line="500" w:lineRule="exact"/>
        <w:ind w:firstLine="64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时间：/至</w:t>
      </w:r>
      <w:r>
        <w:rPr>
          <w:rFonts w:hint="eastAsia" w:ascii="宋体" w:hAnsi="宋体" w:cs="宋体"/>
          <w:color w:val="auto"/>
          <w:sz w:val="24"/>
          <w:highlight w:val="none"/>
          <w:lang w:eastAsia="zh-CN"/>
        </w:rPr>
        <w:t>2022年</w:t>
      </w:r>
      <w:r>
        <w:rPr>
          <w:rFonts w:hint="eastAsia" w:ascii="宋体" w:hAnsi="宋体" w:cs="宋体"/>
          <w:color w:val="auto"/>
          <w:sz w:val="24"/>
          <w:highlight w:val="none"/>
          <w:lang w:val="en-US" w:eastAsia="zh-CN"/>
        </w:rPr>
        <w:t>8</w:t>
      </w:r>
      <w:r>
        <w:rPr>
          <w:rFonts w:hint="eastAsia" w:ascii="宋体" w:hAnsi="宋体" w:cs="宋体"/>
          <w:color w:val="auto"/>
          <w:sz w:val="24"/>
          <w:highlight w:val="none"/>
          <w:lang w:eastAsia="zh-CN"/>
        </w:rPr>
        <w:t>月</w:t>
      </w:r>
      <w:r>
        <w:rPr>
          <w:rFonts w:hint="eastAsia" w:ascii="宋体" w:hAnsi="宋体" w:cs="宋体"/>
          <w:color w:val="auto"/>
          <w:sz w:val="24"/>
          <w:highlight w:val="none"/>
          <w:lang w:val="en-US" w:eastAsia="zh-CN"/>
        </w:rPr>
        <w:t>10</w:t>
      </w:r>
      <w:r>
        <w:rPr>
          <w:rFonts w:hint="eastAsia" w:ascii="宋体" w:hAnsi="宋体" w:cs="宋体"/>
          <w:color w:val="auto"/>
          <w:sz w:val="24"/>
          <w:highlight w:val="none"/>
          <w:lang w:eastAsia="zh-CN"/>
        </w:rPr>
        <w:t>日</w:t>
      </w:r>
      <w:r>
        <w:rPr>
          <w:rFonts w:hint="eastAsia" w:ascii="宋体" w:hAnsi="宋体" w:cs="宋体"/>
          <w:color w:val="auto"/>
          <w:sz w:val="24"/>
          <w:highlight w:val="none"/>
          <w:lang w:val="en-US" w:eastAsia="zh-CN"/>
        </w:rPr>
        <w:t>8</w:t>
      </w:r>
      <w:r>
        <w:rPr>
          <w:rFonts w:hint="eastAsia" w:ascii="宋体" w:hAnsi="宋体" w:cs="宋体"/>
          <w:color w:val="auto"/>
          <w:sz w:val="24"/>
          <w:highlight w:val="none"/>
          <w:lang w:eastAsia="zh-CN"/>
        </w:rPr>
        <w:t xml:space="preserve"> 时</w:t>
      </w:r>
      <w:r>
        <w:rPr>
          <w:rFonts w:hint="eastAsia" w:ascii="宋体" w:hAnsi="宋体" w:cs="宋体"/>
          <w:color w:val="auto"/>
          <w:sz w:val="24"/>
          <w:highlight w:val="none"/>
          <w:lang w:val="en-US" w:eastAsia="zh-CN"/>
        </w:rPr>
        <w:t>30</w:t>
      </w:r>
      <w:r>
        <w:rPr>
          <w:rFonts w:hint="eastAsia" w:ascii="宋体" w:hAnsi="宋体" w:cs="宋体"/>
          <w:color w:val="auto"/>
          <w:sz w:val="24"/>
          <w:highlight w:val="none"/>
          <w:lang w:eastAsia="zh-CN"/>
        </w:rPr>
        <w:t>分</w:t>
      </w:r>
      <w:r>
        <w:rPr>
          <w:rFonts w:hint="eastAsia" w:ascii="宋体" w:hAnsi="宋体" w:eastAsia="宋体" w:cs="宋体"/>
          <w:color w:val="auto"/>
          <w:sz w:val="24"/>
          <w:highlight w:val="none"/>
        </w:rPr>
        <w:t>，每天上午00：00至12:00，下午12:00至23:59（北京时间，线上获取法定节假日均可，线下获取文件法定节假日除外）</w:t>
      </w:r>
    </w:p>
    <w:p>
      <w:pPr>
        <w:keepNext w:val="0"/>
        <w:keepLines w:val="0"/>
        <w:pageBreakBefore w:val="0"/>
        <w:kinsoku/>
        <w:wordWrap/>
        <w:overflowPunct/>
        <w:topLinePunct w:val="0"/>
        <w:autoSpaceDE/>
        <w:autoSpaceDN/>
        <w:bidi w:val="0"/>
        <w:spacing w:line="500" w:lineRule="exact"/>
        <w:ind w:firstLine="64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地点（网址）：浙江政府采购网（http://zfcg.czt.zj.gov.cn/）； 东阳市公共资源交易网(http://www.dongyang.gov.cn/ggzyjy/index.html)</w:t>
      </w:r>
    </w:p>
    <w:p>
      <w:pPr>
        <w:keepNext w:val="0"/>
        <w:keepLines w:val="0"/>
        <w:pageBreakBefore w:val="0"/>
        <w:kinsoku/>
        <w:wordWrap/>
        <w:overflowPunct/>
        <w:topLinePunct w:val="0"/>
        <w:autoSpaceDE/>
        <w:autoSpaceDN/>
        <w:bidi w:val="0"/>
        <w:snapToGrid w:val="0"/>
        <w:spacing w:line="5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方式：1、由投标人通过登录浙江省政府采购网(http://zfcg.czt.zj.gov.cn/)上的政采云系统进行获取（首次参加投标的单位应先登录浙江省政府采购网(http://zfcg.czt.zj.gov.cn/)进行账户注册，注册完毕待审核成功后方可登录政采云系统获取；注册流程见网址</w:t>
      </w:r>
    </w:p>
    <w:p>
      <w:pPr>
        <w:keepNext w:val="0"/>
        <w:keepLines w:val="0"/>
        <w:pageBreakBefore w:val="0"/>
        <w:kinsoku/>
        <w:wordWrap/>
        <w:overflowPunct/>
        <w:topLinePunct w:val="0"/>
        <w:autoSpaceDE/>
        <w:autoSpaceDN/>
        <w:bidi w:val="0"/>
        <w:snapToGrid w:val="0"/>
        <w:spacing w:line="50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http://zfcg.czt.zj.gov.cn/register/2017-07-24/6728.html?_=2017-11-13%2011:10:28）；</w:t>
      </w:r>
    </w:p>
    <w:p>
      <w:pPr>
        <w:keepNext w:val="0"/>
        <w:keepLines w:val="0"/>
        <w:pageBreakBefore w:val="0"/>
        <w:kinsoku/>
        <w:wordWrap/>
        <w:overflowPunct/>
        <w:topLinePunct w:val="0"/>
        <w:autoSpaceDE/>
        <w:autoSpaceDN/>
        <w:bidi w:val="0"/>
        <w:snapToGrid w:val="0"/>
        <w:spacing w:line="5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2、招标文件获取流程：浙江政府采购网-政采云用户登录-用户中心-项目采购-获取采购文件管理。</w:t>
      </w:r>
    </w:p>
    <w:p>
      <w:pPr>
        <w:keepNext w:val="0"/>
        <w:keepLines w:val="0"/>
        <w:pageBreakBefore w:val="0"/>
        <w:kinsoku/>
        <w:wordWrap/>
        <w:overflowPunct/>
        <w:topLinePunct w:val="0"/>
        <w:autoSpaceDE/>
        <w:autoSpaceDN/>
        <w:bidi w:val="0"/>
        <w:snapToGrid w:val="0"/>
        <w:spacing w:line="5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3、浙江政府采购网上以“游客”身份获取的采购文件仅供阅览；潜在供应商应按上述方式获取采购文件；未按上述方式获取采购文件的，不得对采购文件提起质疑投诉。</w:t>
      </w:r>
    </w:p>
    <w:p>
      <w:pPr>
        <w:keepNext w:val="0"/>
        <w:keepLines w:val="0"/>
        <w:pageBreakBefore w:val="0"/>
        <w:kinsoku/>
        <w:wordWrap/>
        <w:overflowPunct/>
        <w:topLinePunct w:val="0"/>
        <w:autoSpaceDE/>
        <w:autoSpaceDN/>
        <w:bidi w:val="0"/>
        <w:snapToGrid w:val="0"/>
        <w:spacing w:line="5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售价（元）：0</w:t>
      </w:r>
    </w:p>
    <w:p>
      <w:pPr>
        <w:keepNext w:val="0"/>
        <w:keepLines w:val="0"/>
        <w:pageBreakBefore w:val="0"/>
        <w:kinsoku/>
        <w:wordWrap/>
        <w:overflowPunct/>
        <w:topLinePunct w:val="0"/>
        <w:autoSpaceDE/>
        <w:autoSpaceDN/>
        <w:bidi w:val="0"/>
        <w:snapToGrid w:val="0"/>
        <w:spacing w:line="500" w:lineRule="exact"/>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四、提交投标文件截止时间、开标时间和地点</w:t>
      </w:r>
    </w:p>
    <w:p>
      <w:pPr>
        <w:keepNext w:val="0"/>
        <w:keepLines w:val="0"/>
        <w:pageBreakBefore w:val="0"/>
        <w:kinsoku/>
        <w:wordWrap/>
        <w:overflowPunct/>
        <w:topLinePunct w:val="0"/>
        <w:autoSpaceDE/>
        <w:autoSpaceDN/>
        <w:bidi w:val="0"/>
        <w:snapToGrid w:val="0"/>
        <w:spacing w:line="5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提交投标文件截止时间：</w:t>
      </w:r>
      <w:r>
        <w:rPr>
          <w:rFonts w:hint="eastAsia" w:ascii="宋体" w:hAnsi="宋体" w:cs="宋体"/>
          <w:color w:val="auto"/>
          <w:sz w:val="24"/>
          <w:highlight w:val="none"/>
          <w:lang w:eastAsia="zh-CN"/>
        </w:rPr>
        <w:t>2022年</w:t>
      </w:r>
      <w:r>
        <w:rPr>
          <w:rFonts w:hint="eastAsia" w:ascii="宋体" w:hAnsi="宋体" w:cs="宋体"/>
          <w:color w:val="auto"/>
          <w:sz w:val="24"/>
          <w:highlight w:val="none"/>
          <w:lang w:val="en-US" w:eastAsia="zh-CN"/>
        </w:rPr>
        <w:t>8</w:t>
      </w:r>
      <w:r>
        <w:rPr>
          <w:rFonts w:hint="eastAsia" w:ascii="宋体" w:hAnsi="宋体" w:cs="宋体"/>
          <w:color w:val="auto"/>
          <w:sz w:val="24"/>
          <w:highlight w:val="none"/>
          <w:lang w:eastAsia="zh-CN"/>
        </w:rPr>
        <w:t>月</w:t>
      </w:r>
      <w:r>
        <w:rPr>
          <w:rFonts w:hint="eastAsia" w:ascii="宋体" w:hAnsi="宋体" w:cs="宋体"/>
          <w:color w:val="auto"/>
          <w:sz w:val="24"/>
          <w:highlight w:val="none"/>
          <w:lang w:val="en-US" w:eastAsia="zh-CN"/>
        </w:rPr>
        <w:t>10</w:t>
      </w:r>
      <w:r>
        <w:rPr>
          <w:rFonts w:hint="eastAsia" w:ascii="宋体" w:hAnsi="宋体" w:cs="宋体"/>
          <w:color w:val="auto"/>
          <w:sz w:val="24"/>
          <w:highlight w:val="none"/>
          <w:lang w:eastAsia="zh-CN"/>
        </w:rPr>
        <w:t>日</w:t>
      </w:r>
      <w:r>
        <w:rPr>
          <w:rFonts w:hint="eastAsia" w:ascii="宋体" w:hAnsi="宋体" w:cs="宋体"/>
          <w:color w:val="auto"/>
          <w:sz w:val="24"/>
          <w:highlight w:val="none"/>
          <w:lang w:val="en-US" w:eastAsia="zh-CN"/>
        </w:rPr>
        <w:t>8</w:t>
      </w:r>
      <w:r>
        <w:rPr>
          <w:rFonts w:hint="eastAsia" w:ascii="宋体" w:hAnsi="宋体" w:cs="宋体"/>
          <w:color w:val="auto"/>
          <w:sz w:val="24"/>
          <w:highlight w:val="none"/>
          <w:lang w:eastAsia="zh-CN"/>
        </w:rPr>
        <w:t>时</w:t>
      </w:r>
      <w:r>
        <w:rPr>
          <w:rFonts w:hint="eastAsia" w:ascii="宋体" w:hAnsi="宋体" w:cs="宋体"/>
          <w:color w:val="auto"/>
          <w:sz w:val="24"/>
          <w:highlight w:val="none"/>
          <w:lang w:val="en-US" w:eastAsia="zh-CN"/>
        </w:rPr>
        <w:t>30</w:t>
      </w:r>
      <w:r>
        <w:rPr>
          <w:rFonts w:hint="eastAsia" w:ascii="宋体" w:hAnsi="宋体" w:cs="宋体"/>
          <w:color w:val="auto"/>
          <w:sz w:val="24"/>
          <w:highlight w:val="none"/>
          <w:lang w:eastAsia="zh-CN"/>
        </w:rPr>
        <w:t>分</w:t>
      </w:r>
      <w:r>
        <w:rPr>
          <w:rFonts w:hint="eastAsia" w:ascii="宋体" w:hAnsi="宋体" w:eastAsia="宋体" w:cs="宋体"/>
          <w:color w:val="auto"/>
          <w:sz w:val="24"/>
          <w:highlight w:val="none"/>
        </w:rPr>
        <w:t>（北京时间）</w:t>
      </w:r>
    </w:p>
    <w:p>
      <w:pPr>
        <w:keepNext w:val="0"/>
        <w:keepLines w:val="0"/>
        <w:pageBreakBefore w:val="0"/>
        <w:kinsoku/>
        <w:wordWrap/>
        <w:overflowPunct/>
        <w:topLinePunct w:val="0"/>
        <w:autoSpaceDE/>
        <w:autoSpaceDN/>
        <w:bidi w:val="0"/>
        <w:snapToGrid w:val="0"/>
        <w:spacing w:line="5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投标地点（网址）：政采云平台</w:t>
      </w:r>
    </w:p>
    <w:p>
      <w:pPr>
        <w:keepNext w:val="0"/>
        <w:keepLines w:val="0"/>
        <w:pageBreakBefore w:val="0"/>
        <w:kinsoku/>
        <w:wordWrap/>
        <w:overflowPunct/>
        <w:topLinePunct w:val="0"/>
        <w:autoSpaceDE/>
        <w:autoSpaceDN/>
        <w:bidi w:val="0"/>
        <w:snapToGrid w:val="0"/>
        <w:spacing w:line="500" w:lineRule="exact"/>
        <w:ind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开标时间：</w:t>
      </w:r>
      <w:r>
        <w:rPr>
          <w:rFonts w:hint="eastAsia" w:ascii="宋体" w:hAnsi="宋体" w:cs="宋体"/>
          <w:color w:val="auto"/>
          <w:sz w:val="24"/>
          <w:highlight w:val="none"/>
          <w:lang w:eastAsia="zh-CN"/>
        </w:rPr>
        <w:t>2022年</w:t>
      </w:r>
      <w:r>
        <w:rPr>
          <w:rFonts w:hint="eastAsia" w:ascii="宋体" w:hAnsi="宋体" w:cs="宋体"/>
          <w:color w:val="auto"/>
          <w:sz w:val="24"/>
          <w:highlight w:val="none"/>
          <w:lang w:val="en-US" w:eastAsia="zh-CN"/>
        </w:rPr>
        <w:t>8</w:t>
      </w:r>
      <w:r>
        <w:rPr>
          <w:rFonts w:hint="eastAsia" w:ascii="宋体" w:hAnsi="宋体" w:cs="宋体"/>
          <w:color w:val="auto"/>
          <w:sz w:val="24"/>
          <w:highlight w:val="none"/>
          <w:lang w:eastAsia="zh-CN"/>
        </w:rPr>
        <w:t>月</w:t>
      </w:r>
      <w:r>
        <w:rPr>
          <w:rFonts w:hint="eastAsia" w:ascii="宋体" w:hAnsi="宋体" w:cs="宋体"/>
          <w:color w:val="auto"/>
          <w:sz w:val="24"/>
          <w:highlight w:val="none"/>
          <w:lang w:val="en-US" w:eastAsia="zh-CN"/>
        </w:rPr>
        <w:t>10</w:t>
      </w:r>
      <w:r>
        <w:rPr>
          <w:rFonts w:hint="eastAsia" w:ascii="宋体" w:hAnsi="宋体" w:cs="宋体"/>
          <w:color w:val="auto"/>
          <w:sz w:val="24"/>
          <w:highlight w:val="none"/>
          <w:lang w:eastAsia="zh-CN"/>
        </w:rPr>
        <w:t>日</w:t>
      </w:r>
      <w:r>
        <w:rPr>
          <w:rFonts w:hint="eastAsia" w:ascii="宋体" w:hAnsi="宋体" w:cs="宋体"/>
          <w:color w:val="auto"/>
          <w:sz w:val="24"/>
          <w:highlight w:val="none"/>
          <w:lang w:val="en-US" w:eastAsia="zh-CN"/>
        </w:rPr>
        <w:t>8</w:t>
      </w:r>
      <w:r>
        <w:rPr>
          <w:rFonts w:hint="eastAsia" w:ascii="宋体" w:hAnsi="宋体" w:cs="宋体"/>
          <w:color w:val="auto"/>
          <w:sz w:val="24"/>
          <w:highlight w:val="none"/>
          <w:lang w:eastAsia="zh-CN"/>
        </w:rPr>
        <w:t>时</w:t>
      </w:r>
      <w:r>
        <w:rPr>
          <w:rFonts w:hint="eastAsia" w:ascii="宋体" w:hAnsi="宋体" w:cs="宋体"/>
          <w:color w:val="auto"/>
          <w:sz w:val="24"/>
          <w:highlight w:val="none"/>
          <w:lang w:val="en-US" w:eastAsia="zh-CN"/>
        </w:rPr>
        <w:t>30</w:t>
      </w:r>
      <w:r>
        <w:rPr>
          <w:rFonts w:hint="eastAsia" w:ascii="宋体" w:hAnsi="宋体" w:cs="宋体"/>
          <w:color w:val="auto"/>
          <w:sz w:val="24"/>
          <w:highlight w:val="none"/>
          <w:lang w:eastAsia="zh-CN"/>
        </w:rPr>
        <w:t>分</w:t>
      </w:r>
    </w:p>
    <w:p>
      <w:pPr>
        <w:keepNext w:val="0"/>
        <w:keepLines w:val="0"/>
        <w:pageBreakBefore w:val="0"/>
        <w:kinsoku/>
        <w:wordWrap/>
        <w:overflowPunct/>
        <w:topLinePunct w:val="0"/>
        <w:autoSpaceDE/>
        <w:autoSpaceDN/>
        <w:bidi w:val="0"/>
        <w:snapToGrid w:val="0"/>
        <w:spacing w:line="500" w:lineRule="exact"/>
        <w:ind w:firstLine="481"/>
        <w:textAlignment w:val="auto"/>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开标地点（网址）：政采云平台</w:t>
      </w:r>
    </w:p>
    <w:p>
      <w:pPr>
        <w:keepNext w:val="0"/>
        <w:keepLines w:val="0"/>
        <w:pageBreakBefore w:val="0"/>
        <w:numPr>
          <w:ilvl w:val="0"/>
          <w:numId w:val="2"/>
        </w:numPr>
        <w:kinsoku/>
        <w:wordWrap/>
        <w:overflowPunct/>
        <w:topLinePunct w:val="0"/>
        <w:autoSpaceDE/>
        <w:autoSpaceDN/>
        <w:bidi w:val="0"/>
        <w:adjustRightInd/>
        <w:snapToGrid w:val="0"/>
        <w:spacing w:line="500" w:lineRule="exact"/>
        <w:textAlignment w:val="auto"/>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采购意向公开链接</w:t>
      </w:r>
    </w:p>
    <w:p>
      <w:pPr>
        <w:keepNext w:val="0"/>
        <w:keepLines w:val="0"/>
        <w:pageBreakBefore w:val="0"/>
        <w:kinsoku/>
        <w:wordWrap/>
        <w:overflowPunct/>
        <w:topLinePunct w:val="0"/>
        <w:autoSpaceDE/>
        <w:autoSpaceDN/>
        <w:bidi w:val="0"/>
        <w:snapToGrid w:val="0"/>
        <w:spacing w:line="500" w:lineRule="exact"/>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fldChar w:fldCharType="begin"/>
      </w:r>
      <w:r>
        <w:rPr>
          <w:rFonts w:hint="eastAsia" w:ascii="宋体" w:hAnsi="宋体" w:eastAsia="宋体" w:cs="宋体"/>
          <w:color w:val="auto"/>
          <w:sz w:val="24"/>
          <w:highlight w:val="none"/>
          <w:lang w:val="en-US" w:eastAsia="zh-CN"/>
        </w:rPr>
        <w:instrText xml:space="preserve"> HYPERLINK "https://zfcg.czt.zj.gov.cn/innerUsed_noticeDetails/index.html?noticeId=8761048&amp;utm=web-government-front.2e418808.0.0.658d2360f06e11ec9374c766262953b7" </w:instrText>
      </w:r>
      <w:r>
        <w:rPr>
          <w:rFonts w:hint="eastAsia" w:ascii="宋体" w:hAnsi="宋体" w:eastAsia="宋体" w:cs="宋体"/>
          <w:color w:val="auto"/>
          <w:sz w:val="24"/>
          <w:highlight w:val="none"/>
          <w:lang w:val="en-US" w:eastAsia="zh-CN"/>
        </w:rPr>
        <w:fldChar w:fldCharType="separate"/>
      </w:r>
      <w:r>
        <w:rPr>
          <w:rStyle w:val="25"/>
          <w:rFonts w:hint="eastAsia" w:ascii="宋体" w:hAnsi="宋体" w:eastAsia="宋体" w:cs="宋体"/>
          <w:color w:val="auto"/>
          <w:sz w:val="24"/>
          <w:highlight w:val="none"/>
          <w:lang w:val="en-US" w:eastAsia="zh-CN"/>
        </w:rPr>
        <w:t>https://zfcg.czt.zj.gov.cn/innerUsed_noticeDetails/index.html?noticeId=8761048&amp;utm=web-government-front.2e418808.0.0.658d2360f06e11ec9374c766262953b7</w:t>
      </w:r>
      <w:r>
        <w:rPr>
          <w:rFonts w:hint="eastAsia" w:ascii="宋体" w:hAnsi="宋体" w:eastAsia="宋体" w:cs="宋体"/>
          <w:color w:val="auto"/>
          <w:sz w:val="24"/>
          <w:highlight w:val="none"/>
          <w:lang w:val="en-US" w:eastAsia="zh-CN"/>
        </w:rPr>
        <w:fldChar w:fldCharType="end"/>
      </w:r>
    </w:p>
    <w:p>
      <w:pPr>
        <w:keepNext w:val="0"/>
        <w:keepLines w:val="0"/>
        <w:pageBreakBefore w:val="0"/>
        <w:kinsoku/>
        <w:wordWrap/>
        <w:overflowPunct/>
        <w:topLinePunct w:val="0"/>
        <w:autoSpaceDE/>
        <w:autoSpaceDN/>
        <w:bidi w:val="0"/>
        <w:snapToGrid w:val="0"/>
        <w:spacing w:line="500" w:lineRule="exact"/>
        <w:jc w:val="left"/>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六、</w:t>
      </w:r>
      <w:r>
        <w:rPr>
          <w:rFonts w:hint="eastAsia" w:ascii="宋体" w:hAnsi="宋体" w:eastAsia="宋体" w:cs="宋体"/>
          <w:b/>
          <w:bCs/>
          <w:color w:val="auto"/>
          <w:sz w:val="24"/>
          <w:highlight w:val="none"/>
        </w:rPr>
        <w:t>公告期限</w:t>
      </w:r>
    </w:p>
    <w:p>
      <w:pPr>
        <w:keepNext w:val="0"/>
        <w:keepLines w:val="0"/>
        <w:pageBreakBefore w:val="0"/>
        <w:kinsoku/>
        <w:wordWrap/>
        <w:overflowPunct/>
        <w:topLinePunct w:val="0"/>
        <w:autoSpaceDE/>
        <w:autoSpaceDN/>
        <w:bidi w:val="0"/>
        <w:snapToGrid w:val="0"/>
        <w:spacing w:line="5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自本公告发布之日起5个工作日</w:t>
      </w:r>
    </w:p>
    <w:p>
      <w:pPr>
        <w:keepNext w:val="0"/>
        <w:keepLines w:val="0"/>
        <w:pageBreakBefore w:val="0"/>
        <w:numPr>
          <w:ilvl w:val="0"/>
          <w:numId w:val="0"/>
        </w:numPr>
        <w:kinsoku/>
        <w:wordWrap/>
        <w:overflowPunct/>
        <w:topLinePunct w:val="0"/>
        <w:autoSpaceDE/>
        <w:autoSpaceDN/>
        <w:bidi w:val="0"/>
        <w:snapToGrid w:val="0"/>
        <w:spacing w:line="500" w:lineRule="exact"/>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七、</w:t>
      </w:r>
      <w:r>
        <w:rPr>
          <w:rFonts w:hint="eastAsia" w:ascii="宋体" w:hAnsi="宋体" w:eastAsia="宋体" w:cs="宋体"/>
          <w:b/>
          <w:bCs/>
          <w:color w:val="auto"/>
          <w:sz w:val="24"/>
          <w:highlight w:val="none"/>
        </w:rPr>
        <w:t>其他补充事宜</w:t>
      </w:r>
    </w:p>
    <w:p>
      <w:pPr>
        <w:pStyle w:val="18"/>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00" w:lineRule="exact"/>
        <w:ind w:left="0" w:firstLine="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 xml:space="preserve">  </w:t>
      </w:r>
      <w:bookmarkStart w:id="1" w:name="_Toc35393796"/>
      <w:bookmarkStart w:id="2" w:name="_Toc28359085"/>
      <w:bookmarkStart w:id="3" w:name="_Toc28359008"/>
      <w:bookmarkStart w:id="4" w:name="_Toc35393627"/>
      <w:r>
        <w:rPr>
          <w:rFonts w:hint="eastAsia" w:ascii="宋体" w:hAnsi="宋体" w:cs="宋体"/>
          <w:color w:val="auto"/>
          <w:sz w:val="24"/>
          <w:highlight w:val="none"/>
        </w:rPr>
        <w:t xml:space="preserve"> </w:t>
      </w:r>
      <w:r>
        <w:rPr>
          <w:rFonts w:hint="eastAsia" w:ascii="宋体" w:hAnsi="宋体" w:eastAsia="宋体" w:cs="宋体"/>
          <w:color w:val="auto"/>
          <w:kern w:val="2"/>
          <w:sz w:val="24"/>
          <w:szCs w:val="24"/>
          <w:highlight w:val="none"/>
          <w:lang w:val="en-US" w:eastAsia="zh-CN" w:bidi="ar-SA"/>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18"/>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00" w:lineRule="exact"/>
        <w:ind w:left="0"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2、其他事项：1.《浙江省财政厅关于进一步发挥政府采购政策功能全力推动经济稳进提质的通知》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 助力扎实稳住经济的通知》（浙财采监〔2022〕8号）已分别于2022年1月29日、2022年2月1日和2022年7月1日开始实施，此前有关规定与上述文件内容不一致的，按上述文件要求执行。</w:t>
      </w:r>
    </w:p>
    <w:p>
      <w:pPr>
        <w:pStyle w:val="18"/>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00" w:lineRule="exact"/>
        <w:ind w:left="0" w:firstLine="240" w:firstLineChars="1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kern w:val="2"/>
          <w:sz w:val="24"/>
          <w:szCs w:val="24"/>
          <w:highlight w:val="none"/>
          <w:lang w:val="en-US" w:eastAsia="zh-CN" w:bidi="ar-SA"/>
        </w:rPr>
        <w:t>3.企业信用融资: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陆浙江政府采购( https://zfcg.czt.zj.gov.cn)的中小企业信用融资栏目了解相关信息。 供应商可以通过浙江政府采购网(https://zfcg. czt.zj. gov.cn/)首页的“浙江政采贷”模块进入申请，还可以通过政府采购云平台(https://wwwzcygov.cn/)首页的“金融服务”模块进入申请。</w:t>
      </w:r>
    </w:p>
    <w:p>
      <w:pPr>
        <w:keepNext w:val="0"/>
        <w:keepLines w:val="0"/>
        <w:pageBreakBefore w:val="0"/>
        <w:kinsoku/>
        <w:wordWrap/>
        <w:overflowPunct/>
        <w:topLinePunct w:val="0"/>
        <w:autoSpaceDE/>
        <w:autoSpaceDN/>
        <w:bidi w:val="0"/>
        <w:snapToGrid w:val="0"/>
        <w:spacing w:line="500" w:lineRule="exact"/>
        <w:ind w:firstLine="480" w:firstLineChars="200"/>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color w:val="auto"/>
          <w:sz w:val="24"/>
          <w:highlight w:val="none"/>
        </w:rPr>
        <w:t>本项目实行电子投标，投标文件应按照本项目招标文件和政采云平台的要求编制、加密并递交。投标人在使用系统进行投标的过程中遇到涉及平台使用的任何问题，可致电政采云平台技术支持热线咨询，联系方式：400-881-7190。</w:t>
      </w:r>
    </w:p>
    <w:p>
      <w:pPr>
        <w:keepNext w:val="0"/>
        <w:keepLines w:val="0"/>
        <w:pageBreakBefore w:val="0"/>
        <w:kinsoku/>
        <w:wordWrap/>
        <w:overflowPunct/>
        <w:topLinePunct w:val="0"/>
        <w:autoSpaceDE/>
        <w:autoSpaceDN/>
        <w:bidi w:val="0"/>
        <w:snapToGrid w:val="0"/>
        <w:spacing w:line="500" w:lineRule="exact"/>
        <w:ind w:firstLine="480" w:firstLineChars="200"/>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5</w:t>
      </w: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color w:val="auto"/>
          <w:sz w:val="24"/>
          <w:highlight w:val="none"/>
        </w:rPr>
        <w:t xml:space="preserve"> 投 标 人 应 在 开 标 前 完 成 CA 数 字 证 书 办 理 。 （ 办 理 流 程 详 见http://zfcg.czt.zj.gov.cn/bidClientTemplate/2019-05-27/12945.html）。完成 CA 数字证书办理预计一周左右，建议各投标人抓紧时间办理。</w:t>
      </w:r>
    </w:p>
    <w:p>
      <w:pPr>
        <w:keepNext w:val="0"/>
        <w:keepLines w:val="0"/>
        <w:pageBreakBefore w:val="0"/>
        <w:kinsoku/>
        <w:wordWrap/>
        <w:overflowPunct/>
        <w:topLinePunct w:val="0"/>
        <w:autoSpaceDE/>
        <w:autoSpaceDN/>
        <w:bidi w:val="0"/>
        <w:snapToGrid w:val="0"/>
        <w:spacing w:line="500" w:lineRule="exact"/>
        <w:ind w:firstLine="480" w:firstLineChars="200"/>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6</w:t>
      </w: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color w:val="auto"/>
          <w:sz w:val="24"/>
          <w:highlight w:val="none"/>
        </w:rPr>
        <w:t>投标人通过政采云平台电子投标工具制作投标文件，电子投标工具请供应商自行前往浙江省政府采购网下载并安装，（下载网址：http://zfcg.czt.zj.gov.cn/bidClientTemplate/2019-08-30/12975.html），</w:t>
      </w:r>
    </w:p>
    <w:p>
      <w:pPr>
        <w:keepNext w:val="0"/>
        <w:keepLines w:val="0"/>
        <w:pageBreakBefore w:val="0"/>
        <w:kinsoku/>
        <w:wordWrap/>
        <w:overflowPunct/>
        <w:topLinePunct w:val="0"/>
        <w:autoSpaceDE/>
        <w:autoSpaceDN/>
        <w:bidi w:val="0"/>
        <w:snapToGrid w:val="0"/>
        <w:spacing w:line="500" w:lineRule="exact"/>
        <w:textAlignment w:val="auto"/>
        <w:rPr>
          <w:rStyle w:val="25"/>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电 子 投 标 相 关 学 习 网 址 ： </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"https://edu.zcygov.cn/luban/e-biding?utm=a0004.2ef5001f.0001.0109.2d44db10df9111e9b92b0f36d4889416。）" </w:instrText>
      </w:r>
      <w:r>
        <w:rPr>
          <w:rFonts w:hint="eastAsia" w:ascii="宋体" w:hAnsi="宋体" w:eastAsia="宋体" w:cs="宋体"/>
          <w:color w:val="auto"/>
          <w:highlight w:val="none"/>
        </w:rPr>
        <w:fldChar w:fldCharType="separate"/>
      </w:r>
      <w:r>
        <w:rPr>
          <w:rStyle w:val="25"/>
          <w:rFonts w:hint="eastAsia" w:ascii="宋体" w:hAnsi="宋体" w:eastAsia="宋体" w:cs="宋体"/>
          <w:color w:val="auto"/>
          <w:sz w:val="24"/>
          <w:highlight w:val="none"/>
        </w:rPr>
        <w:t>https://edu.zcygov.cn/luban/e-biding?utm=a0004.2ef5001f.0001.0109.2d44db10df9111e9b92b0f36d4889416。）</w:t>
      </w:r>
      <w:r>
        <w:rPr>
          <w:rStyle w:val="25"/>
          <w:rFonts w:hint="eastAsia" w:ascii="宋体" w:hAnsi="宋体" w:eastAsia="宋体" w:cs="宋体"/>
          <w:color w:val="auto"/>
          <w:sz w:val="24"/>
          <w:highlight w:val="none"/>
        </w:rPr>
        <w:fldChar w:fldCharType="end"/>
      </w:r>
    </w:p>
    <w:p>
      <w:pPr>
        <w:keepNext w:val="0"/>
        <w:keepLines w:val="0"/>
        <w:pageBreakBefore w:val="0"/>
        <w:kinsoku/>
        <w:wordWrap/>
        <w:overflowPunct/>
        <w:topLinePunct w:val="0"/>
        <w:autoSpaceDE/>
        <w:autoSpaceDN/>
        <w:bidi w:val="0"/>
        <w:adjustRightInd/>
        <w:spacing w:line="500" w:lineRule="exact"/>
        <w:ind w:firstLine="482" w:firstLineChars="200"/>
        <w:textAlignment w:val="auto"/>
        <w:rPr>
          <w:rFonts w:hint="eastAsia" w:ascii="宋体" w:hAnsi="宋体" w:cs="宋体"/>
          <w:b/>
          <w:bCs/>
          <w:color w:val="auto"/>
          <w:sz w:val="24"/>
          <w:highlight w:val="none"/>
          <w:lang w:val="en-US" w:eastAsia="zh-CN"/>
        </w:rPr>
      </w:pPr>
      <w:r>
        <w:rPr>
          <w:rFonts w:hint="eastAsia" w:ascii="宋体" w:hAnsi="宋体" w:cs="宋体"/>
          <w:b/>
          <w:bCs/>
          <w:color w:val="auto"/>
          <w:sz w:val="24"/>
          <w:highlight w:val="none"/>
          <w:lang w:val="en-US" w:eastAsia="zh-CN"/>
        </w:rPr>
        <w:t>7</w:t>
      </w:r>
      <w:r>
        <w:rPr>
          <w:rFonts w:hint="eastAsia" w:ascii="宋体" w:hAnsi="宋体" w:eastAsia="宋体" w:cs="宋体"/>
          <w:color w:val="auto"/>
          <w:kern w:val="2"/>
          <w:sz w:val="24"/>
          <w:szCs w:val="24"/>
          <w:highlight w:val="none"/>
          <w:lang w:val="en-US" w:eastAsia="zh-CN" w:bidi="ar-SA"/>
        </w:rPr>
        <w:t>.</w:t>
      </w:r>
      <w:r>
        <w:rPr>
          <w:rFonts w:hint="eastAsia" w:ascii="宋体" w:hAnsi="宋体" w:cs="宋体"/>
          <w:b/>
          <w:bCs/>
          <w:color w:val="auto"/>
          <w:sz w:val="24"/>
          <w:highlight w:val="none"/>
          <w:lang w:val="en-US" w:eastAsia="zh-CN"/>
        </w:rPr>
        <w:t xml:space="preserve">政府采购金融服务提示：为扩大政府采购金融服务面，除政采云网上金融服务合作银行外，东阳市范围内增加浙商银行金华分行东阳支行作为线下合作银行。   </w:t>
      </w:r>
    </w:p>
    <w:p>
      <w:pPr>
        <w:keepNext w:val="0"/>
        <w:keepLines w:val="0"/>
        <w:pageBreakBefore w:val="0"/>
        <w:kinsoku/>
        <w:wordWrap/>
        <w:overflowPunct/>
        <w:topLinePunct w:val="0"/>
        <w:autoSpaceDE/>
        <w:autoSpaceDN/>
        <w:bidi w:val="0"/>
        <w:adjustRightInd/>
        <w:spacing w:line="500" w:lineRule="exact"/>
        <w:ind w:firstLine="482" w:firstLineChars="200"/>
        <w:textAlignment w:val="auto"/>
        <w:rPr>
          <w:rFonts w:hint="eastAsia" w:ascii="宋体" w:hAnsi="宋体" w:cs="宋体"/>
          <w:b/>
          <w:bCs/>
          <w:color w:val="auto"/>
          <w:sz w:val="24"/>
          <w:highlight w:val="none"/>
        </w:rPr>
      </w:pPr>
      <w:r>
        <w:rPr>
          <w:rFonts w:hint="eastAsia" w:ascii="宋体" w:hAnsi="宋体" w:cs="宋体"/>
          <w:b/>
          <w:bCs/>
          <w:color w:val="auto"/>
          <w:sz w:val="24"/>
          <w:highlight w:val="none"/>
          <w:lang w:val="en-US" w:eastAsia="zh-CN"/>
        </w:rPr>
        <w:t>浙商银行金华东阳支行  联系人：</w:t>
      </w:r>
      <w:r>
        <w:rPr>
          <w:rFonts w:hint="eastAsia" w:ascii="宋体" w:hAnsi="宋体" w:cs="宋体"/>
          <w:b/>
          <w:bCs/>
          <w:color w:val="auto"/>
          <w:sz w:val="24"/>
          <w:highlight w:val="none"/>
        </w:rPr>
        <w:t>许燕  联系电话：13967983441  0579-86222992</w:t>
      </w:r>
    </w:p>
    <w:p>
      <w:pPr>
        <w:keepNext w:val="0"/>
        <w:keepLines w:val="0"/>
        <w:pageBreakBefore w:val="0"/>
        <w:kinsoku/>
        <w:wordWrap/>
        <w:overflowPunct/>
        <w:topLinePunct w:val="0"/>
        <w:autoSpaceDE/>
        <w:autoSpaceDN/>
        <w:bidi w:val="0"/>
        <w:spacing w:line="500" w:lineRule="exact"/>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lang w:val="en-US" w:eastAsia="zh-CN"/>
        </w:rPr>
        <w:t>八</w:t>
      </w:r>
      <w:r>
        <w:rPr>
          <w:rFonts w:hint="eastAsia" w:ascii="宋体" w:hAnsi="宋体" w:eastAsia="宋体" w:cs="宋体"/>
          <w:b/>
          <w:color w:val="auto"/>
          <w:sz w:val="24"/>
          <w:highlight w:val="none"/>
        </w:rPr>
        <w:t>、</w:t>
      </w:r>
      <w:bookmarkEnd w:id="1"/>
      <w:bookmarkEnd w:id="2"/>
      <w:bookmarkEnd w:id="3"/>
      <w:bookmarkEnd w:id="4"/>
      <w:r>
        <w:rPr>
          <w:rFonts w:hint="eastAsia" w:ascii="宋体" w:hAnsi="宋体" w:eastAsia="宋体" w:cs="宋体"/>
          <w:b/>
          <w:color w:val="auto"/>
          <w:sz w:val="24"/>
          <w:highlight w:val="none"/>
        </w:rPr>
        <w:t>对本次采购提出询问、质疑、投诉，请按以下方式联系。</w:t>
      </w:r>
    </w:p>
    <w:p>
      <w:pPr>
        <w:keepNext w:val="0"/>
        <w:keepLines w:val="0"/>
        <w:pageBreakBefore w:val="0"/>
        <w:kinsoku/>
        <w:wordWrap/>
        <w:overflowPunct/>
        <w:topLinePunct w:val="0"/>
        <w:autoSpaceDE/>
        <w:autoSpaceDN/>
        <w:bidi w:val="0"/>
        <w:spacing w:line="500" w:lineRule="exact"/>
        <w:ind w:firstLine="723" w:firstLineChars="300"/>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 xml:space="preserve">1.采购人信息  </w:t>
      </w:r>
    </w:p>
    <w:p>
      <w:pPr>
        <w:keepNext w:val="0"/>
        <w:keepLines w:val="0"/>
        <w:pageBreakBefore w:val="0"/>
        <w:kinsoku/>
        <w:wordWrap/>
        <w:overflowPunct/>
        <w:topLinePunct w:val="0"/>
        <w:autoSpaceDE/>
        <w:autoSpaceDN/>
        <w:bidi w:val="0"/>
        <w:spacing w:line="500" w:lineRule="exact"/>
        <w:ind w:firstLine="720" w:firstLineChars="300"/>
        <w:textAlignment w:val="auto"/>
        <w:rPr>
          <w:rFonts w:hint="eastAsia" w:ascii="宋体" w:hAnsi="宋体" w:eastAsia="宋体" w:cs="宋体"/>
          <w:color w:val="auto"/>
          <w:sz w:val="24"/>
          <w:highlight w:val="none"/>
          <w:lang w:eastAsia="zh-CN"/>
        </w:rPr>
      </w:pPr>
      <w:bookmarkStart w:id="5" w:name="_Toc28359086"/>
      <w:bookmarkStart w:id="6" w:name="_Toc28359009"/>
      <w:r>
        <w:rPr>
          <w:rFonts w:hint="eastAsia" w:ascii="宋体" w:hAnsi="宋体" w:eastAsia="宋体" w:cs="宋体"/>
          <w:color w:val="auto"/>
          <w:sz w:val="24"/>
          <w:highlight w:val="none"/>
        </w:rPr>
        <w:t>名</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称：</w:t>
      </w:r>
      <w:r>
        <w:rPr>
          <w:rFonts w:hint="eastAsia" w:ascii="宋体" w:hAnsi="宋体" w:eastAsia="宋体" w:cs="宋体"/>
          <w:color w:val="auto"/>
          <w:sz w:val="24"/>
          <w:highlight w:val="none"/>
          <w:lang w:eastAsia="zh-CN"/>
        </w:rPr>
        <w:t>东阳市卫生健康局</w:t>
      </w:r>
    </w:p>
    <w:p>
      <w:pPr>
        <w:keepNext w:val="0"/>
        <w:keepLines w:val="0"/>
        <w:pageBreakBefore w:val="0"/>
        <w:kinsoku/>
        <w:wordWrap/>
        <w:overflowPunct/>
        <w:topLinePunct w:val="0"/>
        <w:autoSpaceDE/>
        <w:autoSpaceDN/>
        <w:bidi w:val="0"/>
        <w:spacing w:line="500" w:lineRule="exact"/>
        <w:ind w:firstLine="720" w:firstLineChars="300"/>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地</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址：</w:t>
      </w:r>
      <w:r>
        <w:rPr>
          <w:rFonts w:hint="eastAsia" w:ascii="宋体" w:hAnsi="宋体" w:eastAsia="宋体" w:cs="宋体"/>
          <w:color w:val="auto"/>
          <w:sz w:val="24"/>
          <w:highlight w:val="none"/>
          <w:lang w:eastAsia="zh-CN"/>
        </w:rPr>
        <w:t>东阳市行政中心</w:t>
      </w:r>
      <w:r>
        <w:rPr>
          <w:rFonts w:hint="eastAsia" w:ascii="宋体" w:hAnsi="宋体" w:eastAsia="宋体" w:cs="宋体"/>
          <w:color w:val="auto"/>
          <w:sz w:val="24"/>
          <w:highlight w:val="none"/>
          <w:lang w:val="en-US" w:eastAsia="zh-CN"/>
        </w:rPr>
        <w:t>19楼</w:t>
      </w:r>
    </w:p>
    <w:p>
      <w:pPr>
        <w:keepNext w:val="0"/>
        <w:keepLines w:val="0"/>
        <w:pageBreakBefore w:val="0"/>
        <w:kinsoku/>
        <w:wordWrap/>
        <w:overflowPunct/>
        <w:topLinePunct w:val="0"/>
        <w:autoSpaceDE/>
        <w:autoSpaceDN/>
        <w:bidi w:val="0"/>
        <w:spacing w:line="500" w:lineRule="exact"/>
        <w:ind w:firstLine="720" w:firstLineChars="3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项目联系人（询问）：</w:t>
      </w:r>
      <w:r>
        <w:rPr>
          <w:rFonts w:hint="eastAsia" w:ascii="宋体" w:hAnsi="宋体" w:eastAsia="宋体" w:cs="宋体"/>
          <w:color w:val="auto"/>
          <w:sz w:val="24"/>
          <w:highlight w:val="none"/>
          <w:lang w:val="en-US" w:eastAsia="zh-CN"/>
        </w:rPr>
        <w:t xml:space="preserve">侯晓锋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 xml:space="preserve"> 项目联系方式（询问）：0579-</w:t>
      </w:r>
      <w:r>
        <w:rPr>
          <w:rFonts w:hint="eastAsia" w:ascii="宋体" w:hAnsi="宋体" w:eastAsia="宋体" w:cs="宋体"/>
          <w:color w:val="auto"/>
          <w:sz w:val="24"/>
          <w:highlight w:val="none"/>
          <w:lang w:val="en-US" w:eastAsia="zh-CN"/>
        </w:rPr>
        <w:t>86655710</w:t>
      </w:r>
      <w:r>
        <w:rPr>
          <w:rFonts w:hint="eastAsia" w:ascii="宋体" w:hAnsi="宋体" w:eastAsia="宋体" w:cs="宋体"/>
          <w:color w:val="auto"/>
          <w:sz w:val="24"/>
          <w:highlight w:val="none"/>
        </w:rPr>
        <w:t xml:space="preserve"> </w:t>
      </w:r>
    </w:p>
    <w:p>
      <w:pPr>
        <w:keepNext w:val="0"/>
        <w:keepLines w:val="0"/>
        <w:pageBreakBefore w:val="0"/>
        <w:kinsoku/>
        <w:wordWrap/>
        <w:overflowPunct/>
        <w:topLinePunct w:val="0"/>
        <w:autoSpaceDE/>
        <w:autoSpaceDN/>
        <w:bidi w:val="0"/>
        <w:spacing w:line="500" w:lineRule="exact"/>
        <w:ind w:firstLine="720" w:firstLineChars="300"/>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质疑联系人：</w:t>
      </w:r>
      <w:r>
        <w:rPr>
          <w:rFonts w:hint="eastAsia" w:ascii="宋体" w:hAnsi="宋体" w:eastAsia="宋体" w:cs="宋体"/>
          <w:color w:val="auto"/>
          <w:sz w:val="24"/>
          <w:highlight w:val="none"/>
          <w:lang w:eastAsia="zh-CN"/>
        </w:rPr>
        <w:t>叶帅</w:t>
      </w: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质疑联系方式：0579-</w:t>
      </w:r>
      <w:r>
        <w:rPr>
          <w:rFonts w:hint="eastAsia" w:ascii="宋体" w:hAnsi="宋体" w:eastAsia="宋体" w:cs="宋体"/>
          <w:color w:val="auto"/>
          <w:sz w:val="24"/>
          <w:highlight w:val="none"/>
          <w:lang w:val="en-US" w:eastAsia="zh-CN"/>
        </w:rPr>
        <w:t>86655600</w:t>
      </w:r>
    </w:p>
    <w:p>
      <w:pPr>
        <w:keepNext w:val="0"/>
        <w:keepLines w:val="0"/>
        <w:pageBreakBefore w:val="0"/>
        <w:kinsoku/>
        <w:wordWrap/>
        <w:overflowPunct/>
        <w:topLinePunct w:val="0"/>
        <w:autoSpaceDE/>
        <w:autoSpaceDN/>
        <w:bidi w:val="0"/>
        <w:spacing w:line="500" w:lineRule="exact"/>
        <w:ind w:firstLine="723" w:firstLineChars="300"/>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2.采购代理机构</w:t>
      </w:r>
      <w:bookmarkEnd w:id="5"/>
      <w:bookmarkEnd w:id="6"/>
      <w:r>
        <w:rPr>
          <w:rFonts w:hint="eastAsia" w:ascii="宋体" w:hAnsi="宋体" w:eastAsia="宋体" w:cs="宋体"/>
          <w:b/>
          <w:bCs/>
          <w:color w:val="auto"/>
          <w:sz w:val="24"/>
          <w:highlight w:val="none"/>
        </w:rPr>
        <w:t>信息</w:t>
      </w:r>
    </w:p>
    <w:p>
      <w:pPr>
        <w:keepNext w:val="0"/>
        <w:keepLines w:val="0"/>
        <w:pageBreakBefore w:val="0"/>
        <w:kinsoku/>
        <w:wordWrap/>
        <w:overflowPunct/>
        <w:topLinePunct w:val="0"/>
        <w:autoSpaceDE/>
        <w:autoSpaceDN/>
        <w:bidi w:val="0"/>
        <w:spacing w:line="500" w:lineRule="exact"/>
        <w:ind w:firstLine="720" w:firstLineChars="3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名 称：东阳市鑫盛工程咨询有限公司 </w:t>
      </w:r>
    </w:p>
    <w:p>
      <w:pPr>
        <w:keepNext w:val="0"/>
        <w:keepLines w:val="0"/>
        <w:pageBreakBefore w:val="0"/>
        <w:kinsoku/>
        <w:wordWrap/>
        <w:overflowPunct/>
        <w:topLinePunct w:val="0"/>
        <w:autoSpaceDE/>
        <w:autoSpaceDN/>
        <w:bidi w:val="0"/>
        <w:spacing w:line="500" w:lineRule="exact"/>
        <w:ind w:firstLine="720" w:firstLineChars="3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lang w:eastAsia="zh-CN"/>
        </w:rPr>
        <w:t>东阳市白云街道八华南路63号</w:t>
      </w:r>
      <w:r>
        <w:rPr>
          <w:rFonts w:hint="eastAsia" w:ascii="宋体" w:hAnsi="宋体" w:eastAsia="宋体" w:cs="宋体"/>
          <w:color w:val="auto"/>
          <w:sz w:val="24"/>
          <w:highlight w:val="none"/>
        </w:rPr>
        <w:t xml:space="preserve">      传</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 xml:space="preserve">真：0579-86633123 </w:t>
      </w:r>
    </w:p>
    <w:p>
      <w:pPr>
        <w:keepNext w:val="0"/>
        <w:keepLines w:val="0"/>
        <w:pageBreakBefore w:val="0"/>
        <w:kinsoku/>
        <w:wordWrap/>
        <w:overflowPunct/>
        <w:topLinePunct w:val="0"/>
        <w:autoSpaceDE/>
        <w:autoSpaceDN/>
        <w:bidi w:val="0"/>
        <w:spacing w:line="500" w:lineRule="exact"/>
        <w:ind w:firstLine="720" w:firstLineChars="3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项目联系人（询问）：</w:t>
      </w:r>
      <w:r>
        <w:rPr>
          <w:rFonts w:hint="eastAsia" w:ascii="宋体" w:hAnsi="宋体" w:cs="宋体"/>
          <w:color w:val="auto"/>
          <w:sz w:val="24"/>
          <w:highlight w:val="none"/>
          <w:lang w:val="en-US" w:eastAsia="zh-CN"/>
        </w:rPr>
        <w:t>胡丹春</w:t>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en-US" w:eastAsia="zh-CN"/>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项目联系方式（询问）：0579-86683133</w:t>
      </w:r>
    </w:p>
    <w:p>
      <w:pPr>
        <w:keepNext w:val="0"/>
        <w:keepLines w:val="0"/>
        <w:pageBreakBefore w:val="0"/>
        <w:kinsoku/>
        <w:wordWrap/>
        <w:overflowPunct/>
        <w:topLinePunct w:val="0"/>
        <w:autoSpaceDE/>
        <w:autoSpaceDN/>
        <w:bidi w:val="0"/>
        <w:spacing w:line="500" w:lineRule="exact"/>
        <w:ind w:firstLine="720" w:firstLineChars="300"/>
        <w:textAlignment w:val="auto"/>
        <w:rPr>
          <w:rFonts w:hint="default" w:ascii="宋体" w:hAnsi="宋体" w:eastAsia="宋体" w:cs="宋体"/>
          <w:color w:val="auto"/>
          <w:sz w:val="24"/>
          <w:highlight w:val="none"/>
          <w:lang w:val="en-US"/>
        </w:rPr>
      </w:pPr>
      <w:r>
        <w:rPr>
          <w:rFonts w:hint="eastAsia" w:ascii="宋体" w:hAnsi="宋体" w:eastAsia="宋体" w:cs="宋体"/>
          <w:color w:val="auto"/>
          <w:sz w:val="24"/>
          <w:highlight w:val="none"/>
        </w:rPr>
        <w:t>质疑联系人：</w:t>
      </w:r>
      <w:r>
        <w:rPr>
          <w:rFonts w:hint="eastAsia" w:ascii="宋体" w:hAnsi="宋体" w:cs="宋体"/>
          <w:color w:val="auto"/>
          <w:sz w:val="24"/>
          <w:highlight w:val="none"/>
          <w:lang w:val="en-US" w:eastAsia="zh-CN"/>
        </w:rPr>
        <w:t>张英华</w:t>
      </w: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 xml:space="preserve">    质疑联系方式：</w:t>
      </w:r>
      <w:bookmarkStart w:id="7" w:name="_Toc28359087"/>
      <w:bookmarkStart w:id="8" w:name="_Toc28359010"/>
      <w:r>
        <w:rPr>
          <w:rFonts w:hint="eastAsia" w:ascii="宋体" w:hAnsi="宋体" w:eastAsia="宋体" w:cs="宋体"/>
          <w:color w:val="auto"/>
          <w:sz w:val="24"/>
          <w:highlight w:val="none"/>
        </w:rPr>
        <w:t>0579-</w:t>
      </w:r>
      <w:r>
        <w:rPr>
          <w:rFonts w:hint="eastAsia" w:ascii="宋体" w:hAnsi="宋体" w:eastAsia="宋体" w:cs="宋体"/>
          <w:color w:val="auto"/>
          <w:sz w:val="24"/>
          <w:highlight w:val="none"/>
          <w:lang w:eastAsia="zh-CN"/>
        </w:rPr>
        <w:t>8</w:t>
      </w:r>
      <w:r>
        <w:rPr>
          <w:rFonts w:hint="eastAsia" w:ascii="宋体" w:hAnsi="宋体" w:cs="宋体"/>
          <w:color w:val="auto"/>
          <w:sz w:val="24"/>
          <w:highlight w:val="none"/>
          <w:lang w:val="en-US" w:eastAsia="zh-CN"/>
        </w:rPr>
        <w:t>6018279</w:t>
      </w:r>
    </w:p>
    <w:p>
      <w:pPr>
        <w:keepNext w:val="0"/>
        <w:keepLines w:val="0"/>
        <w:pageBreakBefore w:val="0"/>
        <w:kinsoku/>
        <w:wordWrap/>
        <w:overflowPunct/>
        <w:topLinePunct w:val="0"/>
        <w:autoSpaceDE/>
        <w:autoSpaceDN/>
        <w:bidi w:val="0"/>
        <w:spacing w:line="500" w:lineRule="exact"/>
        <w:ind w:firstLine="723" w:firstLineChars="300"/>
        <w:textAlignment w:val="auto"/>
        <w:rPr>
          <w:rFonts w:hint="eastAsia" w:ascii="宋体" w:hAnsi="宋体" w:eastAsia="宋体" w:cs="宋体"/>
          <w:color w:val="auto"/>
          <w:sz w:val="24"/>
          <w:highlight w:val="none"/>
          <w:u w:val="single"/>
        </w:rPr>
      </w:pPr>
      <w:r>
        <w:rPr>
          <w:rFonts w:hint="eastAsia" w:ascii="宋体" w:hAnsi="宋体" w:eastAsia="宋体" w:cs="宋体"/>
          <w:b/>
          <w:bCs/>
          <w:color w:val="auto"/>
          <w:sz w:val="24"/>
          <w:highlight w:val="none"/>
        </w:rPr>
        <w:t>3.</w:t>
      </w:r>
      <w:bookmarkEnd w:id="7"/>
      <w:bookmarkEnd w:id="8"/>
      <w:r>
        <w:rPr>
          <w:rFonts w:hint="eastAsia" w:ascii="宋体" w:hAnsi="宋体" w:eastAsia="宋体" w:cs="宋体"/>
          <w:b/>
          <w:bCs/>
          <w:color w:val="auto"/>
          <w:sz w:val="24"/>
          <w:highlight w:val="none"/>
        </w:rPr>
        <w:t>同级政府采购监督管理部门：</w:t>
      </w:r>
    </w:p>
    <w:p>
      <w:pPr>
        <w:keepNext w:val="0"/>
        <w:keepLines w:val="0"/>
        <w:pageBreakBefore w:val="0"/>
        <w:kinsoku/>
        <w:wordWrap/>
        <w:overflowPunct/>
        <w:topLinePunct w:val="0"/>
        <w:autoSpaceDE/>
        <w:autoSpaceDN/>
        <w:bidi w:val="0"/>
        <w:spacing w:line="500" w:lineRule="exact"/>
        <w:ind w:firstLine="720" w:firstLineChars="3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名称：东阳市财政局采监科              地址：东阳市人民路8号</w:t>
      </w:r>
    </w:p>
    <w:p>
      <w:pPr>
        <w:keepNext w:val="0"/>
        <w:keepLines w:val="0"/>
        <w:pageBreakBefore w:val="0"/>
        <w:kinsoku/>
        <w:wordWrap/>
        <w:overflowPunct/>
        <w:topLinePunct w:val="0"/>
        <w:autoSpaceDE/>
        <w:autoSpaceDN/>
        <w:bidi w:val="0"/>
        <w:spacing w:line="500" w:lineRule="exact"/>
        <w:ind w:firstLine="720" w:firstLineChars="300"/>
        <w:textAlignment w:val="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监督投诉电话：0579-86662677</w:t>
      </w:r>
    </w:p>
    <w:p>
      <w:pPr>
        <w:keepNext w:val="0"/>
        <w:keepLines w:val="0"/>
        <w:pageBreakBefore w:val="0"/>
        <w:kinsoku/>
        <w:wordWrap/>
        <w:overflowPunct/>
        <w:topLinePunct w:val="0"/>
        <w:autoSpaceDE/>
        <w:autoSpaceDN/>
        <w:bidi w:val="0"/>
        <w:snapToGrid w:val="0"/>
        <w:spacing w:line="500" w:lineRule="exact"/>
        <w:ind w:firstLine="723" w:firstLineChars="300"/>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附件：</w:t>
      </w:r>
      <w:r>
        <w:rPr>
          <w:rFonts w:hint="eastAsia" w:ascii="宋体" w:hAnsi="宋体" w:cs="宋体"/>
          <w:b/>
          <w:color w:val="auto"/>
          <w:sz w:val="24"/>
          <w:highlight w:val="none"/>
          <w:lang w:eastAsia="zh-CN"/>
        </w:rPr>
        <w:t>东阳市卫生健康局2022-2023年度城区除四害市场化运作项目</w:t>
      </w:r>
      <w:r>
        <w:rPr>
          <w:rFonts w:hint="eastAsia" w:ascii="宋体" w:hAnsi="宋体" w:eastAsia="宋体" w:cs="宋体"/>
          <w:b/>
          <w:color w:val="auto"/>
          <w:sz w:val="24"/>
          <w:highlight w:val="none"/>
        </w:rPr>
        <w:t xml:space="preserve">   </w:t>
      </w:r>
    </w:p>
    <w:p>
      <w:pPr>
        <w:keepNext w:val="0"/>
        <w:keepLines w:val="0"/>
        <w:pageBreakBefore w:val="0"/>
        <w:kinsoku/>
        <w:wordWrap/>
        <w:overflowPunct/>
        <w:topLinePunct w:val="0"/>
        <w:autoSpaceDE/>
        <w:autoSpaceDN/>
        <w:bidi w:val="0"/>
        <w:snapToGrid w:val="0"/>
        <w:spacing w:line="500" w:lineRule="exact"/>
        <w:ind w:left="5799" w:leftChars="237" w:right="198" w:hanging="5301" w:hangingChars="2200"/>
        <w:jc w:val="center"/>
        <w:textAlignment w:val="auto"/>
        <w:rPr>
          <w:rFonts w:hint="eastAsia" w:ascii="宋体" w:hAnsi="宋体" w:eastAsia="宋体" w:cs="宋体"/>
          <w:b/>
          <w:color w:val="auto"/>
          <w:sz w:val="24"/>
          <w:highlight w:val="none"/>
        </w:rPr>
      </w:pPr>
    </w:p>
    <w:p>
      <w:pPr>
        <w:keepNext w:val="0"/>
        <w:keepLines w:val="0"/>
        <w:pageBreakBefore w:val="0"/>
        <w:kinsoku/>
        <w:wordWrap/>
        <w:overflowPunct/>
        <w:topLinePunct w:val="0"/>
        <w:autoSpaceDE/>
        <w:autoSpaceDN/>
        <w:bidi w:val="0"/>
        <w:snapToGrid w:val="0"/>
        <w:spacing w:line="500" w:lineRule="exact"/>
        <w:ind w:left="5799" w:leftChars="237" w:right="198" w:hanging="5301" w:hangingChars="2200"/>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                                         </w:t>
      </w:r>
      <w:r>
        <w:rPr>
          <w:rFonts w:hint="eastAsia" w:ascii="宋体" w:hAnsi="宋体" w:cs="宋体"/>
          <w:b/>
          <w:color w:val="auto"/>
          <w:sz w:val="24"/>
          <w:highlight w:val="none"/>
          <w:lang w:eastAsia="zh-CN"/>
        </w:rPr>
        <w:t>东阳市卫生健康局</w:t>
      </w:r>
      <w:r>
        <w:rPr>
          <w:rFonts w:hint="eastAsia" w:ascii="宋体" w:hAnsi="宋体" w:eastAsia="宋体" w:cs="宋体"/>
          <w:b/>
          <w:color w:val="auto"/>
          <w:sz w:val="24"/>
          <w:highlight w:val="none"/>
        </w:rPr>
        <w:t xml:space="preserve">                           </w:t>
      </w:r>
    </w:p>
    <w:p>
      <w:pPr>
        <w:keepNext w:val="0"/>
        <w:keepLines w:val="0"/>
        <w:pageBreakBefore w:val="0"/>
        <w:kinsoku/>
        <w:wordWrap/>
        <w:overflowPunct/>
        <w:topLinePunct w:val="0"/>
        <w:autoSpaceDE/>
        <w:autoSpaceDN/>
        <w:bidi w:val="0"/>
        <w:snapToGrid w:val="0"/>
        <w:spacing w:line="500" w:lineRule="exact"/>
        <w:ind w:left="5799" w:leftChars="237" w:right="198" w:hanging="5301" w:hangingChars="2200"/>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                                         东阳市鑫盛工程咨询有限公司</w:t>
      </w:r>
    </w:p>
    <w:p>
      <w:pPr>
        <w:keepNext w:val="0"/>
        <w:keepLines w:val="0"/>
        <w:pageBreakBefore w:val="0"/>
        <w:kinsoku/>
        <w:wordWrap/>
        <w:overflowPunct/>
        <w:topLinePunct w:val="0"/>
        <w:autoSpaceDE/>
        <w:autoSpaceDN/>
        <w:bidi w:val="0"/>
        <w:snapToGrid w:val="0"/>
        <w:spacing w:line="500" w:lineRule="exact"/>
        <w:ind w:right="198" w:firstLine="6505" w:firstLineChars="2700"/>
        <w:textAlignment w:val="auto"/>
        <w:rPr>
          <w:rFonts w:hint="eastAsia" w:ascii="宋体" w:hAnsi="宋体" w:eastAsia="宋体" w:cs="宋体"/>
          <w:color w:val="auto"/>
          <w:kern w:val="0"/>
          <w:sz w:val="24"/>
          <w:highlight w:val="none"/>
          <w:lang w:bidi="ar"/>
        </w:rPr>
      </w:pPr>
      <w:r>
        <w:rPr>
          <w:rFonts w:hint="eastAsia" w:ascii="宋体" w:hAnsi="宋体" w:eastAsia="宋体" w:cs="宋体"/>
          <w:b/>
          <w:color w:val="auto"/>
          <w:sz w:val="24"/>
          <w:highlight w:val="none"/>
        </w:rPr>
        <w:t>202</w:t>
      </w:r>
      <w:r>
        <w:rPr>
          <w:rFonts w:hint="eastAsia" w:ascii="宋体" w:hAnsi="宋体" w:eastAsia="宋体" w:cs="宋体"/>
          <w:b/>
          <w:color w:val="auto"/>
          <w:sz w:val="24"/>
          <w:highlight w:val="none"/>
          <w:lang w:val="en-US" w:eastAsia="zh-CN"/>
        </w:rPr>
        <w:t>2</w:t>
      </w:r>
      <w:r>
        <w:rPr>
          <w:rFonts w:hint="eastAsia" w:ascii="宋体" w:hAnsi="宋体" w:eastAsia="宋体" w:cs="宋体"/>
          <w:b/>
          <w:color w:val="auto"/>
          <w:sz w:val="24"/>
          <w:highlight w:val="none"/>
        </w:rPr>
        <w:t>年</w:t>
      </w:r>
      <w:r>
        <w:rPr>
          <w:rFonts w:hint="eastAsia" w:ascii="宋体" w:hAnsi="宋体" w:cs="宋体"/>
          <w:b/>
          <w:color w:val="auto"/>
          <w:sz w:val="24"/>
          <w:highlight w:val="none"/>
          <w:lang w:val="en-US" w:eastAsia="zh-CN"/>
        </w:rPr>
        <w:t>7</w:t>
      </w:r>
      <w:r>
        <w:rPr>
          <w:rFonts w:hint="eastAsia" w:ascii="宋体" w:hAnsi="宋体" w:eastAsia="宋体" w:cs="宋体"/>
          <w:b/>
          <w:color w:val="auto"/>
          <w:sz w:val="24"/>
          <w:highlight w:val="none"/>
        </w:rPr>
        <w:t>月</w:t>
      </w:r>
      <w:r>
        <w:rPr>
          <w:rFonts w:hint="eastAsia" w:ascii="宋体" w:hAnsi="宋体" w:cs="宋体"/>
          <w:b/>
          <w:color w:val="auto"/>
          <w:sz w:val="24"/>
          <w:highlight w:val="none"/>
          <w:lang w:val="en-US" w:eastAsia="zh-CN"/>
        </w:rPr>
        <w:t>19</w:t>
      </w:r>
      <w:r>
        <w:rPr>
          <w:rFonts w:hint="eastAsia" w:ascii="宋体" w:hAnsi="宋体" w:eastAsia="宋体" w:cs="宋体"/>
          <w:b/>
          <w:color w:val="auto"/>
          <w:sz w:val="24"/>
          <w:highlight w:val="none"/>
        </w:rPr>
        <w:t>日</w:t>
      </w:r>
    </w:p>
    <w:p>
      <w:pPr>
        <w:keepNext w:val="0"/>
        <w:keepLines w:val="0"/>
        <w:pageBreakBefore w:val="0"/>
        <w:kinsoku/>
        <w:wordWrap/>
        <w:overflowPunct/>
        <w:topLinePunct w:val="0"/>
        <w:autoSpaceDE/>
        <w:autoSpaceDN/>
        <w:bidi w:val="0"/>
        <w:adjustRightInd/>
        <w:snapToGrid w:val="0"/>
        <w:spacing w:line="500" w:lineRule="exact"/>
        <w:ind w:right="198"/>
        <w:textAlignment w:val="auto"/>
        <w:rPr>
          <w:rFonts w:hint="eastAsia" w:ascii="宋体" w:hAnsi="宋体" w:eastAsia="宋体" w:cs="宋体"/>
          <w:color w:val="auto"/>
          <w:kern w:val="0"/>
          <w:sz w:val="22"/>
          <w:szCs w:val="22"/>
          <w:highlight w:val="none"/>
          <w:lang w:bidi="ar"/>
        </w:rPr>
      </w:pPr>
    </w:p>
    <w:p>
      <w:pPr>
        <w:keepNext w:val="0"/>
        <w:keepLines w:val="0"/>
        <w:pageBreakBefore w:val="0"/>
        <w:kinsoku/>
        <w:wordWrap/>
        <w:overflowPunct/>
        <w:topLinePunct w:val="0"/>
        <w:autoSpaceDE/>
        <w:autoSpaceDN/>
        <w:bidi w:val="0"/>
        <w:adjustRightInd/>
        <w:snapToGrid w:val="0"/>
        <w:spacing w:line="500" w:lineRule="exact"/>
        <w:ind w:right="198"/>
        <w:textAlignment w:val="auto"/>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若对项目采购电子交易系统操作有疑问，可登录政采云（https://www.zcygov.cn/），点击右侧咨询小采，获取采小蜜智能服务管家帮助，或拨打政采云服务热线400-881-7190获取热线服务帮助。</w:t>
      </w:r>
    </w:p>
    <w:p>
      <w:pPr>
        <w:keepNext w:val="0"/>
        <w:keepLines w:val="0"/>
        <w:pageBreakBefore w:val="0"/>
        <w:widowControl/>
        <w:kinsoku/>
        <w:wordWrap/>
        <w:overflowPunct/>
        <w:topLinePunct w:val="0"/>
        <w:autoSpaceDE/>
        <w:autoSpaceDN/>
        <w:bidi w:val="0"/>
        <w:adjustRightInd/>
        <w:spacing w:line="50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CA问题联系电话（人工）：汇信CA 400-888-4636；天谷CA 400-087-8198。</w:t>
      </w:r>
    </w:p>
    <w:p>
      <w:pPr>
        <w:pStyle w:val="10"/>
        <w:pageBreakBefore/>
        <w:snapToGrid w:val="0"/>
        <w:spacing w:before="120" w:after="120" w:line="360" w:lineRule="auto"/>
        <w:jc w:val="center"/>
        <w:outlineLvl w:val="0"/>
        <w:rPr>
          <w:rFonts w:hint="eastAsia" w:ascii="宋体" w:hAnsi="宋体" w:eastAsia="宋体" w:cs="宋体"/>
          <w:b/>
          <w:color w:val="auto"/>
          <w:szCs w:val="24"/>
          <w:highlight w:val="none"/>
        </w:rPr>
      </w:pPr>
      <w:bookmarkStart w:id="9" w:name="_Toc15020"/>
      <w:r>
        <w:rPr>
          <w:rFonts w:hint="eastAsia" w:ascii="宋体" w:hAnsi="宋体" w:eastAsia="宋体" w:cs="宋体"/>
          <w:b/>
          <w:color w:val="auto"/>
          <w:szCs w:val="24"/>
          <w:highlight w:val="none"/>
        </w:rPr>
        <w:t>第二章  招标需求</w:t>
      </w:r>
      <w:bookmarkEnd w:id="9"/>
    </w:p>
    <w:p>
      <w:pPr>
        <w:numPr>
          <w:ilvl w:val="0"/>
          <w:numId w:val="3"/>
        </w:numPr>
        <w:spacing w:line="360" w:lineRule="auto"/>
        <w:outlineLvl w:val="9"/>
        <w:rPr>
          <w:rFonts w:hint="eastAsia" w:ascii="宋体" w:hAnsi="宋体" w:cs="宋体"/>
          <w:b/>
          <w:color w:val="auto"/>
          <w:sz w:val="24"/>
          <w:szCs w:val="22"/>
          <w:highlight w:val="none"/>
          <w:lang w:eastAsia="zh-CN"/>
        </w:rPr>
      </w:pPr>
      <w:r>
        <w:rPr>
          <w:rFonts w:hint="eastAsia" w:ascii="宋体" w:hAnsi="宋体" w:cs="宋体"/>
          <w:b/>
          <w:color w:val="auto"/>
          <w:sz w:val="24"/>
          <w:szCs w:val="22"/>
          <w:highlight w:val="none"/>
          <w:lang w:eastAsia="zh-CN"/>
        </w:rPr>
        <w:t>项目编号：XSZFCGDZ2022-207</w:t>
      </w:r>
    </w:p>
    <w:p>
      <w:pPr>
        <w:numPr>
          <w:ilvl w:val="0"/>
          <w:numId w:val="3"/>
        </w:numPr>
        <w:spacing w:line="360" w:lineRule="auto"/>
        <w:outlineLvl w:val="9"/>
        <w:rPr>
          <w:rFonts w:hint="eastAsia" w:ascii="宋体" w:hAnsi="宋体" w:cs="宋体"/>
          <w:b/>
          <w:color w:val="auto"/>
          <w:sz w:val="28"/>
          <w:highlight w:val="none"/>
          <w:lang w:eastAsia="zh-CN"/>
        </w:rPr>
      </w:pPr>
      <w:r>
        <w:rPr>
          <w:rFonts w:hint="eastAsia" w:ascii="宋体" w:hAnsi="宋体" w:cs="宋体"/>
          <w:b/>
          <w:color w:val="auto"/>
          <w:sz w:val="24"/>
          <w:szCs w:val="22"/>
          <w:highlight w:val="none"/>
          <w:lang w:eastAsia="zh-CN"/>
        </w:rPr>
        <w:t>采购项目名称：</w:t>
      </w:r>
      <w:bookmarkStart w:id="10" w:name="_Toc495926918"/>
      <w:r>
        <w:rPr>
          <w:rFonts w:hint="eastAsia" w:ascii="宋体" w:hAnsi="宋体" w:cs="宋体"/>
          <w:b/>
          <w:color w:val="auto"/>
          <w:sz w:val="24"/>
          <w:szCs w:val="22"/>
          <w:highlight w:val="none"/>
          <w:lang w:eastAsia="zh-CN"/>
        </w:rPr>
        <w:t>东阳市卫生健康局2022-2023年度城区除四害市场化运作项目</w:t>
      </w:r>
      <w:r>
        <w:rPr>
          <w:rFonts w:hint="eastAsia" w:ascii="宋体" w:hAnsi="宋体" w:cs="宋体"/>
          <w:b/>
          <w:color w:val="auto"/>
          <w:sz w:val="28"/>
          <w:highlight w:val="none"/>
          <w:lang w:eastAsia="zh-CN"/>
        </w:rPr>
        <w:t xml:space="preserve">   </w:t>
      </w:r>
    </w:p>
    <w:tbl>
      <w:tblPr>
        <w:tblStyle w:val="21"/>
        <w:tblW w:w="9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0"/>
        <w:gridCol w:w="3994"/>
        <w:gridCol w:w="1425"/>
        <w:gridCol w:w="2010"/>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020" w:type="dxa"/>
            <w:vAlign w:val="center"/>
          </w:tcPr>
          <w:p>
            <w:pPr>
              <w:widowControl/>
              <w:overflowPunct w:val="0"/>
              <w:autoSpaceDE w:val="0"/>
              <w:autoSpaceDN w:val="0"/>
              <w:adjustRightInd w:val="0"/>
              <w:spacing w:line="460" w:lineRule="exact"/>
              <w:jc w:val="center"/>
              <w:textAlignment w:val="baseline"/>
              <w:outlineLvl w:val="9"/>
              <w:rPr>
                <w:rFonts w:hint="eastAsia" w:eastAsia="宋体"/>
                <w:color w:val="auto"/>
                <w:sz w:val="24"/>
                <w:highlight w:val="none"/>
                <w:lang w:eastAsia="zh-CN"/>
              </w:rPr>
            </w:pPr>
            <w:r>
              <w:rPr>
                <w:rFonts w:hint="eastAsia" w:ascii="宋体" w:hAnsi="宋体"/>
                <w:bCs/>
                <w:color w:val="auto"/>
                <w:kern w:val="0"/>
                <w:sz w:val="24"/>
                <w:highlight w:val="none"/>
                <w:lang w:val="en-US" w:eastAsia="zh-CN"/>
              </w:rPr>
              <w:t>标项</w:t>
            </w:r>
          </w:p>
        </w:tc>
        <w:tc>
          <w:tcPr>
            <w:tcW w:w="3994" w:type="dxa"/>
            <w:vAlign w:val="center"/>
          </w:tcPr>
          <w:p>
            <w:pPr>
              <w:widowControl/>
              <w:overflowPunct w:val="0"/>
              <w:autoSpaceDE w:val="0"/>
              <w:autoSpaceDN w:val="0"/>
              <w:adjustRightInd w:val="0"/>
              <w:spacing w:line="460" w:lineRule="exact"/>
              <w:jc w:val="center"/>
              <w:textAlignment w:val="baseline"/>
              <w:outlineLvl w:val="9"/>
              <w:rPr>
                <w:rFonts w:hint="eastAsia" w:ascii="宋体" w:hAnsi="宋体"/>
                <w:bCs/>
                <w:color w:val="auto"/>
                <w:kern w:val="0"/>
                <w:sz w:val="24"/>
                <w:highlight w:val="none"/>
              </w:rPr>
            </w:pPr>
            <w:r>
              <w:rPr>
                <w:rFonts w:hint="eastAsia" w:ascii="宋体" w:hAnsi="宋体"/>
                <w:bCs/>
                <w:color w:val="auto"/>
                <w:kern w:val="0"/>
                <w:sz w:val="24"/>
                <w:highlight w:val="none"/>
              </w:rPr>
              <w:t>采购内容</w:t>
            </w:r>
          </w:p>
        </w:tc>
        <w:tc>
          <w:tcPr>
            <w:tcW w:w="1425" w:type="dxa"/>
            <w:vAlign w:val="center"/>
          </w:tcPr>
          <w:p>
            <w:pPr>
              <w:widowControl/>
              <w:overflowPunct w:val="0"/>
              <w:autoSpaceDE w:val="0"/>
              <w:autoSpaceDN w:val="0"/>
              <w:adjustRightInd w:val="0"/>
              <w:spacing w:line="460" w:lineRule="exact"/>
              <w:jc w:val="center"/>
              <w:textAlignment w:val="baseline"/>
              <w:outlineLvl w:val="9"/>
              <w:rPr>
                <w:rFonts w:hint="eastAsia"/>
                <w:color w:val="auto"/>
                <w:highlight w:val="none"/>
                <w:lang w:val="en-US" w:eastAsia="zh-CN"/>
              </w:rPr>
            </w:pPr>
            <w:r>
              <w:rPr>
                <w:rFonts w:hint="eastAsia" w:ascii="宋体" w:hAnsi="宋体"/>
                <w:bCs/>
                <w:color w:val="auto"/>
                <w:kern w:val="0"/>
                <w:sz w:val="24"/>
                <w:highlight w:val="none"/>
                <w:lang w:val="en-US" w:eastAsia="zh-CN"/>
              </w:rPr>
              <w:t>数量</w:t>
            </w:r>
          </w:p>
        </w:tc>
        <w:tc>
          <w:tcPr>
            <w:tcW w:w="2010" w:type="dxa"/>
            <w:vAlign w:val="center"/>
          </w:tcPr>
          <w:p>
            <w:pPr>
              <w:widowControl/>
              <w:overflowPunct w:val="0"/>
              <w:autoSpaceDE w:val="0"/>
              <w:autoSpaceDN w:val="0"/>
              <w:adjustRightInd w:val="0"/>
              <w:spacing w:line="460" w:lineRule="exact"/>
              <w:jc w:val="center"/>
              <w:textAlignment w:val="baseline"/>
              <w:outlineLvl w:val="9"/>
              <w:rPr>
                <w:rFonts w:hint="eastAsia" w:ascii="Times New Roman" w:hAnsi="Times New Roman" w:eastAsia="宋体" w:cs="Times New Roman"/>
                <w:color w:val="auto"/>
                <w:kern w:val="2"/>
                <w:sz w:val="24"/>
                <w:szCs w:val="24"/>
                <w:highlight w:val="none"/>
                <w:lang w:val="en-US" w:eastAsia="zh-CN" w:bidi="ar-SA"/>
              </w:rPr>
            </w:pPr>
            <w:r>
              <w:rPr>
                <w:rFonts w:hint="eastAsia" w:ascii="宋体" w:hAnsi="宋体"/>
                <w:bCs/>
                <w:color w:val="auto"/>
                <w:kern w:val="0"/>
                <w:sz w:val="24"/>
                <w:highlight w:val="none"/>
              </w:rPr>
              <w:t>预算金额</w:t>
            </w:r>
          </w:p>
        </w:tc>
        <w:tc>
          <w:tcPr>
            <w:tcW w:w="1129" w:type="dxa"/>
            <w:vAlign w:val="center"/>
          </w:tcPr>
          <w:p>
            <w:pPr>
              <w:widowControl/>
              <w:overflowPunct w:val="0"/>
              <w:autoSpaceDE w:val="0"/>
              <w:autoSpaceDN w:val="0"/>
              <w:adjustRightInd w:val="0"/>
              <w:spacing w:line="460" w:lineRule="exact"/>
              <w:jc w:val="center"/>
              <w:textAlignment w:val="baseline"/>
              <w:outlineLvl w:val="9"/>
              <w:rPr>
                <w:rFonts w:hint="eastAsia" w:ascii="宋体" w:hAnsi="宋体" w:eastAsia="宋体"/>
                <w:bCs/>
                <w:color w:val="auto"/>
                <w:kern w:val="0"/>
                <w:sz w:val="24"/>
                <w:highlight w:val="none"/>
                <w:lang w:val="en-US" w:eastAsia="zh-CN"/>
              </w:rPr>
            </w:pPr>
            <w:r>
              <w:rPr>
                <w:rFonts w:hint="eastAsia" w:ascii="宋体" w:hAnsi="宋体"/>
                <w:bCs/>
                <w:color w:val="auto"/>
                <w:kern w:val="0"/>
                <w:sz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1020" w:type="dxa"/>
            <w:vAlign w:val="center"/>
          </w:tcPr>
          <w:p>
            <w:pPr>
              <w:spacing w:line="380" w:lineRule="exact"/>
              <w:jc w:val="center"/>
              <w:outlineLvl w:val="9"/>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一</w:t>
            </w:r>
          </w:p>
        </w:tc>
        <w:tc>
          <w:tcPr>
            <w:tcW w:w="3994" w:type="dxa"/>
            <w:vAlign w:val="center"/>
          </w:tcPr>
          <w:p>
            <w:pPr>
              <w:spacing w:line="380" w:lineRule="exact"/>
              <w:jc w:val="center"/>
              <w:outlineLvl w:val="9"/>
              <w:rPr>
                <w:rFonts w:hint="eastAsia" w:cs="Times New Roman"/>
                <w:color w:val="auto"/>
                <w:sz w:val="24"/>
                <w:highlight w:val="none"/>
                <w:lang w:val="en-US" w:eastAsia="zh-CN"/>
              </w:rPr>
            </w:pPr>
            <w:r>
              <w:rPr>
                <w:rFonts w:hint="eastAsia" w:cs="Times New Roman"/>
                <w:color w:val="auto"/>
                <w:sz w:val="24"/>
                <w:highlight w:val="none"/>
                <w:lang w:val="en-US" w:eastAsia="zh-CN"/>
              </w:rPr>
              <w:t>东阳市卫生健康局2022-2023年度</w:t>
            </w:r>
          </w:p>
          <w:p>
            <w:pPr>
              <w:spacing w:line="380" w:lineRule="exact"/>
              <w:jc w:val="center"/>
              <w:outlineLvl w:val="9"/>
              <w:rPr>
                <w:rFonts w:hint="eastAsia" w:ascii="Times New Roman" w:hAnsi="Times New Roman" w:cs="Times New Roman"/>
                <w:color w:val="auto"/>
                <w:sz w:val="24"/>
                <w:highlight w:val="none"/>
                <w:lang w:val="en-US" w:eastAsia="zh-CN"/>
              </w:rPr>
            </w:pPr>
            <w:r>
              <w:rPr>
                <w:rFonts w:hint="eastAsia" w:cs="Times New Roman"/>
                <w:color w:val="auto"/>
                <w:sz w:val="24"/>
                <w:highlight w:val="none"/>
                <w:lang w:val="en-US" w:eastAsia="zh-CN"/>
              </w:rPr>
              <w:t>城区除四害市场化运作项目</w:t>
            </w:r>
          </w:p>
        </w:tc>
        <w:tc>
          <w:tcPr>
            <w:tcW w:w="1425" w:type="dxa"/>
            <w:vAlign w:val="center"/>
          </w:tcPr>
          <w:p>
            <w:pPr>
              <w:spacing w:line="380" w:lineRule="exact"/>
              <w:jc w:val="center"/>
              <w:outlineLvl w:val="9"/>
              <w:rPr>
                <w:rFonts w:hint="default" w:ascii="Times New Roman" w:hAnsi="Times New Roman" w:cs="Times New Roman"/>
                <w:color w:val="auto"/>
                <w:sz w:val="24"/>
                <w:highlight w:val="none"/>
                <w:lang w:val="en-US" w:eastAsia="zh-CN"/>
              </w:rPr>
            </w:pPr>
            <w:r>
              <w:rPr>
                <w:rFonts w:hint="eastAsia" w:ascii="Times New Roman" w:hAnsi="Times New Roman" w:cs="Times New Roman"/>
                <w:color w:val="auto"/>
                <w:sz w:val="24"/>
                <w:highlight w:val="none"/>
                <w:lang w:val="en-US" w:eastAsia="zh-CN"/>
              </w:rPr>
              <w:t>1</w:t>
            </w:r>
            <w:r>
              <w:rPr>
                <w:rFonts w:hint="eastAsia" w:cs="Times New Roman"/>
                <w:color w:val="auto"/>
                <w:sz w:val="24"/>
                <w:highlight w:val="none"/>
                <w:lang w:val="en-US" w:eastAsia="zh-CN"/>
              </w:rPr>
              <w:t>项</w:t>
            </w:r>
          </w:p>
        </w:tc>
        <w:tc>
          <w:tcPr>
            <w:tcW w:w="2010" w:type="dxa"/>
            <w:vAlign w:val="center"/>
          </w:tcPr>
          <w:p>
            <w:pPr>
              <w:spacing w:line="380" w:lineRule="exact"/>
              <w:jc w:val="center"/>
              <w:outlineLvl w:val="9"/>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650000元</w:t>
            </w:r>
          </w:p>
        </w:tc>
        <w:tc>
          <w:tcPr>
            <w:tcW w:w="1129" w:type="dxa"/>
            <w:vAlign w:val="center"/>
          </w:tcPr>
          <w:p>
            <w:pPr>
              <w:spacing w:line="380" w:lineRule="exact"/>
              <w:jc w:val="center"/>
              <w:outlineLvl w:val="9"/>
              <w:rPr>
                <w:rFonts w:hint="eastAsia" w:ascii="Times New Roman" w:hAnsi="Times New Roman" w:eastAsia="宋体" w:cs="Times New Roman"/>
                <w:color w:val="auto"/>
                <w:sz w:val="24"/>
                <w:highlight w:val="none"/>
                <w:lang w:val="en-US" w:eastAsia="zh-CN"/>
              </w:rPr>
            </w:pPr>
          </w:p>
        </w:tc>
      </w:tr>
      <w:bookmarkEnd w:id="10"/>
    </w:tbl>
    <w:p>
      <w:pPr>
        <w:numPr>
          <w:ilvl w:val="0"/>
          <w:numId w:val="0"/>
        </w:numPr>
        <w:spacing w:line="360" w:lineRule="auto"/>
        <w:ind w:leftChars="0"/>
        <w:outlineLvl w:val="9"/>
        <w:rPr>
          <w:rFonts w:hint="eastAsia" w:ascii="宋体" w:hAnsi="宋体" w:cs="宋体"/>
          <w:b/>
          <w:bCs/>
          <w:color w:val="auto"/>
          <w:sz w:val="24"/>
          <w:szCs w:val="24"/>
          <w:highlight w:val="none"/>
          <w:lang w:val="en-US" w:eastAsia="zh-CN"/>
        </w:rPr>
      </w:pPr>
    </w:p>
    <w:p>
      <w:pPr>
        <w:numPr>
          <w:ilvl w:val="0"/>
          <w:numId w:val="3"/>
        </w:numPr>
        <w:spacing w:line="360" w:lineRule="auto"/>
        <w:outlineLvl w:val="9"/>
        <w:rPr>
          <w:rFonts w:hint="eastAsia" w:ascii="宋体" w:hAnsi="宋体" w:cs="宋体"/>
          <w:b/>
          <w:color w:val="auto"/>
          <w:sz w:val="24"/>
          <w:szCs w:val="22"/>
          <w:highlight w:val="none"/>
          <w:lang w:eastAsia="zh-CN"/>
        </w:rPr>
      </w:pPr>
      <w:r>
        <w:rPr>
          <w:rFonts w:hint="eastAsia" w:ascii="宋体" w:hAnsi="宋体" w:cs="宋体"/>
          <w:b/>
          <w:color w:val="auto"/>
          <w:sz w:val="24"/>
          <w:szCs w:val="22"/>
          <w:highlight w:val="none"/>
          <w:lang w:eastAsia="zh-CN"/>
        </w:rPr>
        <w:t>项目概况</w:t>
      </w:r>
      <w:r>
        <w:rPr>
          <w:rFonts w:hint="eastAsia" w:ascii="宋体" w:hAnsi="宋体" w:cs="宋体"/>
          <w:b/>
          <w:color w:val="auto"/>
          <w:sz w:val="24"/>
          <w:szCs w:val="22"/>
          <w:highlight w:val="none"/>
          <w:lang w:val="en-US" w:eastAsia="zh-CN"/>
        </w:rPr>
        <w:t xml:space="preserve">    </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jc w:val="center"/>
        <w:textAlignment w:val="auto"/>
        <w:outlineLvl w:val="9"/>
        <w:rPr>
          <w:rFonts w:hint="eastAsia" w:ascii="宋体" w:hAnsi="宋体" w:eastAsia="宋体" w:cs="宋体"/>
          <w:color w:val="auto"/>
          <w:highlight w:val="none"/>
        </w:rPr>
      </w:pPr>
      <w:r>
        <w:rPr>
          <w:rFonts w:hint="eastAsia" w:ascii="宋体" w:hAnsi="宋体" w:eastAsia="宋体" w:cs="宋体"/>
          <w:b/>
          <w:bCs/>
          <w:color w:val="auto"/>
          <w:highlight w:val="none"/>
        </w:rPr>
        <w:t>（一）服务范围</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1.本项目包含五项服务：</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cs="宋体"/>
          <w:color w:val="auto"/>
          <w:highlight w:val="none"/>
          <w:lang w:val="en-US" w:eastAsia="zh-CN"/>
        </w:rPr>
        <w:t>城市</w:t>
      </w:r>
      <w:r>
        <w:rPr>
          <w:rFonts w:hint="eastAsia" w:ascii="宋体" w:hAnsi="宋体" w:eastAsia="宋体" w:cs="宋体"/>
          <w:color w:val="auto"/>
          <w:highlight w:val="none"/>
        </w:rPr>
        <w:t>建成区</w:t>
      </w:r>
      <w:r>
        <w:rPr>
          <w:rFonts w:hint="eastAsia" w:ascii="宋体" w:hAnsi="宋体" w:cs="宋体"/>
          <w:color w:val="auto"/>
          <w:highlight w:val="none"/>
          <w:lang w:val="en-US" w:eastAsia="zh-CN"/>
        </w:rPr>
        <w:t>三个街道的</w:t>
      </w:r>
      <w:r>
        <w:rPr>
          <w:rFonts w:hint="eastAsia" w:ascii="宋体" w:hAnsi="宋体" w:eastAsia="宋体" w:cs="宋体"/>
          <w:color w:val="auto"/>
          <w:highlight w:val="none"/>
        </w:rPr>
        <w:t>公共外环境病媒生物防制</w:t>
      </w:r>
      <w:r>
        <w:rPr>
          <w:rFonts w:hint="eastAsia" w:ascii="宋体" w:hAnsi="宋体" w:cs="宋体"/>
          <w:color w:val="auto"/>
          <w:highlight w:val="none"/>
          <w:lang w:eastAsia="zh-CN"/>
        </w:rPr>
        <w:t>。</w:t>
      </w:r>
      <w:r>
        <w:rPr>
          <w:rFonts w:hint="eastAsia" w:ascii="宋体" w:hAnsi="宋体" w:eastAsia="宋体" w:cs="宋体"/>
          <w:color w:val="auto"/>
          <w:highlight w:val="none"/>
        </w:rPr>
        <w:t>吴宁、白云、江北街道城市建成区42.57平方公里范围公共外环境的日常灭蚊、灭蝇、灭蟑螂、灭鼠；</w:t>
      </w:r>
      <w:r>
        <w:rPr>
          <w:rFonts w:hint="eastAsia" w:ascii="宋体" w:hAnsi="宋体" w:cs="宋体"/>
          <w:color w:val="auto"/>
          <w:highlight w:val="none"/>
          <w:lang w:val="en-US" w:eastAsia="zh-CN"/>
        </w:rPr>
        <w:t>所有</w:t>
      </w:r>
      <w:r>
        <w:rPr>
          <w:rFonts w:hint="eastAsia" w:ascii="宋体" w:hAnsi="宋体" w:eastAsia="宋体" w:cs="宋体"/>
          <w:color w:val="auto"/>
          <w:highlight w:val="none"/>
        </w:rPr>
        <w:t>灭鼠毒饵站日常维护（常年保持毒饵新鲜）</w:t>
      </w:r>
      <w:r>
        <w:rPr>
          <w:rFonts w:hint="eastAsia" w:ascii="宋体" w:hAnsi="宋体" w:cs="宋体"/>
          <w:color w:val="auto"/>
          <w:highlight w:val="none"/>
          <w:lang w:val="en-US" w:eastAsia="zh-CN"/>
        </w:rPr>
        <w:t>及增补</w:t>
      </w:r>
      <w:r>
        <w:rPr>
          <w:rFonts w:hint="eastAsia" w:ascii="宋体" w:hAnsi="宋体" w:eastAsia="宋体" w:cs="宋体"/>
          <w:color w:val="auto"/>
          <w:highlight w:val="none"/>
        </w:rPr>
        <w:t>；室外</w:t>
      </w:r>
      <w:r>
        <w:rPr>
          <w:rFonts w:hint="eastAsia" w:ascii="宋体" w:hAnsi="宋体" w:cs="宋体"/>
          <w:color w:val="auto"/>
          <w:highlight w:val="none"/>
          <w:lang w:val="en-US" w:eastAsia="zh-CN"/>
        </w:rPr>
        <w:t>所有</w:t>
      </w:r>
      <w:r>
        <w:rPr>
          <w:rFonts w:hint="eastAsia" w:ascii="宋体" w:hAnsi="宋体" w:eastAsia="宋体" w:cs="宋体"/>
          <w:color w:val="auto"/>
          <w:highlight w:val="none"/>
        </w:rPr>
        <w:t>灭蚊灭蝇灯</w:t>
      </w:r>
      <w:r>
        <w:rPr>
          <w:rFonts w:hint="eastAsia" w:ascii="宋体" w:hAnsi="宋体" w:cs="宋体"/>
          <w:color w:val="auto"/>
          <w:highlight w:val="none"/>
          <w:lang w:val="en-US" w:eastAsia="zh-CN"/>
        </w:rPr>
        <w:t>的管理与</w:t>
      </w:r>
      <w:r>
        <w:rPr>
          <w:rFonts w:hint="eastAsia" w:ascii="宋体" w:hAnsi="宋体" w:eastAsia="宋体" w:cs="宋体"/>
          <w:color w:val="auto"/>
          <w:highlight w:val="none"/>
        </w:rPr>
        <w:t>维护。</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（2）城市建成区范围重点区域</w:t>
      </w:r>
      <w:r>
        <w:rPr>
          <w:rFonts w:hint="eastAsia" w:ascii="宋体" w:hAnsi="宋体" w:cs="宋体"/>
          <w:color w:val="auto"/>
          <w:highlight w:val="none"/>
          <w:lang w:eastAsia="zh-CN"/>
        </w:rPr>
        <w:t>、</w:t>
      </w:r>
      <w:r>
        <w:rPr>
          <w:rFonts w:hint="eastAsia" w:ascii="宋体" w:hAnsi="宋体" w:eastAsia="宋体" w:cs="宋体"/>
          <w:color w:val="auto"/>
          <w:highlight w:val="none"/>
        </w:rPr>
        <w:t>重点场所病媒生物</w:t>
      </w:r>
      <w:r>
        <w:rPr>
          <w:rFonts w:hint="eastAsia" w:ascii="宋体" w:hAnsi="宋体" w:cs="宋体"/>
          <w:color w:val="auto"/>
          <w:highlight w:val="none"/>
          <w:lang w:val="en-US" w:eastAsia="zh-CN"/>
        </w:rPr>
        <w:t>的防制。主要包括相关重点区域</w:t>
      </w:r>
      <w:r>
        <w:rPr>
          <w:rFonts w:hint="eastAsia" w:ascii="宋体" w:hAnsi="宋体" w:eastAsia="宋体" w:cs="宋体"/>
          <w:color w:val="auto"/>
          <w:highlight w:val="none"/>
        </w:rPr>
        <w:t>重点地段小餐馆、小旅馆的三防设施建设维护和日常的灭蚊、灭蝇、灭蟑螂、灭鼠</w:t>
      </w:r>
      <w:r>
        <w:rPr>
          <w:rFonts w:hint="eastAsia" w:ascii="宋体" w:hAnsi="宋体" w:cs="宋体"/>
          <w:color w:val="auto"/>
          <w:highlight w:val="none"/>
          <w:lang w:eastAsia="zh-CN"/>
        </w:rPr>
        <w:t>。</w:t>
      </w:r>
      <w:r>
        <w:rPr>
          <w:rFonts w:hint="eastAsia" w:ascii="宋体" w:hAnsi="宋体" w:cs="宋体"/>
          <w:color w:val="auto"/>
          <w:highlight w:val="none"/>
          <w:lang w:val="en-US" w:eastAsia="zh-CN"/>
        </w:rPr>
        <w:t>相关区域</w:t>
      </w:r>
      <w:r>
        <w:rPr>
          <w:rFonts w:hint="eastAsia" w:ascii="宋体" w:hAnsi="宋体" w:eastAsia="宋体" w:cs="宋体"/>
          <w:color w:val="auto"/>
          <w:highlight w:val="none"/>
        </w:rPr>
        <w:t>范围：东站、西站、</w:t>
      </w:r>
      <w:r>
        <w:rPr>
          <w:rFonts w:hint="eastAsia" w:ascii="宋体" w:hAnsi="宋体" w:cs="宋体"/>
          <w:color w:val="auto"/>
          <w:highlight w:val="none"/>
          <w:lang w:eastAsia="zh-CN"/>
        </w:rPr>
        <w:t>南站、</w:t>
      </w:r>
      <w:r>
        <w:rPr>
          <w:rFonts w:hint="eastAsia" w:ascii="宋体" w:hAnsi="宋体" w:eastAsia="宋体" w:cs="宋体"/>
          <w:color w:val="auto"/>
          <w:highlight w:val="none"/>
        </w:rPr>
        <w:t>北站及周边</w:t>
      </w:r>
      <w:r>
        <w:rPr>
          <w:rFonts w:hint="eastAsia" w:ascii="宋体" w:hAnsi="宋体" w:cs="宋体"/>
          <w:color w:val="auto"/>
          <w:highlight w:val="none"/>
          <w:lang w:eastAsia="zh-CN"/>
        </w:rPr>
        <w:t>；</w:t>
      </w:r>
      <w:r>
        <w:rPr>
          <w:rFonts w:hint="eastAsia" w:ascii="宋体" w:hAnsi="宋体" w:eastAsia="宋体" w:cs="宋体"/>
          <w:color w:val="auto"/>
          <w:highlight w:val="none"/>
        </w:rPr>
        <w:t>东门菜场、西门菜场、亭塘农贸市场、西牌楼菜场</w:t>
      </w:r>
      <w:r>
        <w:rPr>
          <w:rFonts w:hint="eastAsia" w:ascii="宋体" w:hAnsi="宋体" w:eastAsia="宋体" w:cs="宋体"/>
          <w:color w:val="auto"/>
          <w:highlight w:val="none"/>
        </w:rPr>
        <w:t>、</w:t>
      </w:r>
      <w:r>
        <w:rPr>
          <w:rFonts w:hint="eastAsia" w:ascii="宋体" w:hAnsi="宋体" w:cs="宋体"/>
          <w:color w:val="auto"/>
          <w:highlight w:val="none"/>
          <w:lang w:eastAsia="zh-CN"/>
        </w:rPr>
        <w:t>北门菜场</w:t>
      </w:r>
      <w:r>
        <w:rPr>
          <w:rFonts w:hint="eastAsia" w:ascii="宋体" w:hAnsi="宋体" w:cs="宋体"/>
          <w:color w:val="auto"/>
          <w:highlight w:val="none"/>
          <w:lang w:eastAsia="zh-CN"/>
        </w:rPr>
        <w:t>、</w:t>
      </w:r>
      <w:r>
        <w:rPr>
          <w:rFonts w:hint="eastAsia" w:ascii="宋体" w:hAnsi="宋体" w:eastAsia="宋体" w:cs="宋体"/>
          <w:color w:val="auto"/>
          <w:highlight w:val="none"/>
        </w:rPr>
        <w:t>通江小吃城周边</w:t>
      </w:r>
      <w:r>
        <w:rPr>
          <w:rFonts w:hint="eastAsia" w:ascii="宋体" w:hAnsi="宋体" w:cs="宋体"/>
          <w:color w:val="auto"/>
          <w:highlight w:val="none"/>
          <w:lang w:eastAsia="zh-CN"/>
        </w:rPr>
        <w:t>；</w:t>
      </w:r>
      <w:r>
        <w:rPr>
          <w:rFonts w:hint="eastAsia" w:ascii="宋体" w:hAnsi="宋体" w:eastAsia="宋体" w:cs="宋体"/>
          <w:color w:val="auto"/>
          <w:highlight w:val="none"/>
        </w:rPr>
        <w:t>张府前巷、高张路、艺海北路（江滨北街-广福路）、中山路（环城北路-吴宁西路）、甘溪路</w:t>
      </w:r>
      <w:r>
        <w:rPr>
          <w:rFonts w:hint="eastAsia" w:ascii="宋体" w:hAnsi="宋体" w:cs="宋体"/>
          <w:color w:val="auto"/>
          <w:highlight w:val="none"/>
          <w:lang w:eastAsia="zh-CN"/>
        </w:rPr>
        <w:t>；</w:t>
      </w:r>
      <w:r>
        <w:rPr>
          <w:rFonts w:hint="eastAsia" w:ascii="宋体" w:hAnsi="宋体" w:eastAsia="宋体" w:cs="宋体"/>
          <w:color w:val="auto"/>
          <w:highlight w:val="none"/>
        </w:rPr>
        <w:t>卢宅美食城，</w:t>
      </w:r>
      <w:r>
        <w:rPr>
          <w:rFonts w:hint="eastAsia" w:ascii="宋体" w:hAnsi="宋体" w:cs="宋体"/>
          <w:color w:val="auto"/>
          <w:highlight w:val="none"/>
          <w:lang w:val="en-US" w:eastAsia="zh-CN"/>
        </w:rPr>
        <w:t>重点餐饮区域</w:t>
      </w:r>
      <w:r>
        <w:rPr>
          <w:rFonts w:hint="eastAsia" w:ascii="宋体" w:hAnsi="宋体" w:cs="宋体"/>
          <w:color w:val="auto"/>
          <w:highlight w:val="none"/>
          <w:lang w:eastAsia="zh-CN"/>
        </w:rPr>
        <w:t>及其周边</w:t>
      </w:r>
      <w:r>
        <w:rPr>
          <w:rFonts w:hint="eastAsia" w:ascii="宋体" w:hAnsi="宋体" w:cs="宋体"/>
          <w:color w:val="auto"/>
          <w:highlight w:val="none"/>
          <w:lang w:eastAsia="zh-CN"/>
        </w:rPr>
        <w:t>，</w:t>
      </w:r>
      <w:r>
        <w:rPr>
          <w:rFonts w:hint="eastAsia" w:ascii="宋体" w:hAnsi="宋体" w:cs="宋体"/>
          <w:color w:val="auto"/>
          <w:highlight w:val="none"/>
          <w:lang w:eastAsia="zh-CN"/>
        </w:rPr>
        <w:t>垃圾收集点、垃圾中转站及其周边</w:t>
      </w:r>
      <w:r>
        <w:rPr>
          <w:rFonts w:hint="eastAsia" w:ascii="宋体" w:hAnsi="宋体" w:cs="宋体"/>
          <w:color w:val="auto"/>
          <w:highlight w:val="none"/>
          <w:lang w:eastAsia="zh-CN"/>
        </w:rPr>
        <w:t>，</w:t>
      </w:r>
      <w:r>
        <w:rPr>
          <w:rFonts w:hint="eastAsia" w:ascii="宋体" w:hAnsi="宋体" w:eastAsia="宋体" w:cs="宋体"/>
          <w:color w:val="auto"/>
          <w:highlight w:val="none"/>
        </w:rPr>
        <w:t>及其他采购</w:t>
      </w:r>
      <w:r>
        <w:rPr>
          <w:rFonts w:hint="eastAsia" w:ascii="宋体" w:hAnsi="宋体" w:cs="宋体"/>
          <w:color w:val="auto"/>
          <w:highlight w:val="none"/>
          <w:lang w:val="en-US" w:eastAsia="zh-CN"/>
        </w:rPr>
        <w:t>人</w:t>
      </w:r>
      <w:r>
        <w:rPr>
          <w:rFonts w:hint="eastAsia" w:ascii="宋体" w:hAnsi="宋体" w:eastAsia="宋体" w:cs="宋体"/>
          <w:color w:val="auto"/>
          <w:highlight w:val="none"/>
        </w:rPr>
        <w:t>认为应当增加的区域。</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（3）城市建成区范围病媒生物孳生地</w:t>
      </w:r>
      <w:r>
        <w:rPr>
          <w:rFonts w:hint="eastAsia" w:ascii="宋体" w:hAnsi="宋体" w:cs="宋体"/>
          <w:color w:val="auto"/>
          <w:highlight w:val="none"/>
          <w:lang w:val="en-US" w:eastAsia="zh-CN"/>
        </w:rPr>
        <w:t>的定期</w:t>
      </w:r>
      <w:r>
        <w:rPr>
          <w:rFonts w:hint="eastAsia" w:ascii="宋体" w:hAnsi="宋体" w:eastAsia="宋体" w:cs="宋体"/>
          <w:color w:val="auto"/>
          <w:highlight w:val="none"/>
        </w:rPr>
        <w:t>调查及治理。</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（4）</w:t>
      </w:r>
      <w:r>
        <w:rPr>
          <w:rFonts w:hint="eastAsia" w:ascii="宋体" w:hAnsi="宋体" w:cs="宋体"/>
          <w:color w:val="auto"/>
          <w:highlight w:val="none"/>
          <w:lang w:val="en-US" w:eastAsia="zh-CN"/>
        </w:rPr>
        <w:t>协助开展</w:t>
      </w:r>
      <w:r>
        <w:rPr>
          <w:rFonts w:hint="eastAsia" w:ascii="宋体" w:hAnsi="宋体" w:eastAsia="宋体" w:cs="宋体"/>
          <w:color w:val="auto"/>
          <w:highlight w:val="none"/>
          <w:lang w:val="en-US" w:eastAsia="zh-CN"/>
        </w:rPr>
        <w:t>“</w:t>
      </w:r>
      <w:r>
        <w:rPr>
          <w:rFonts w:hint="eastAsia" w:ascii="宋体" w:hAnsi="宋体" w:cs="宋体"/>
          <w:color w:val="auto"/>
          <w:highlight w:val="none"/>
          <w:lang w:val="en-US" w:eastAsia="zh-CN"/>
        </w:rPr>
        <w:t>除四害村</w:t>
      </w:r>
      <w:r>
        <w:rPr>
          <w:rFonts w:hint="eastAsia" w:ascii="宋体" w:hAnsi="宋体" w:eastAsia="宋体" w:cs="宋体"/>
          <w:color w:val="auto"/>
          <w:highlight w:val="none"/>
          <w:lang w:val="en-US" w:eastAsia="zh-CN"/>
        </w:rPr>
        <w:t>”创建</w:t>
      </w:r>
      <w:r>
        <w:rPr>
          <w:rFonts w:hint="eastAsia" w:ascii="宋体" w:hAnsi="宋体" w:cs="宋体"/>
          <w:color w:val="auto"/>
          <w:highlight w:val="none"/>
          <w:lang w:val="en-US" w:eastAsia="zh-CN"/>
        </w:rPr>
        <w:t>工作</w:t>
      </w:r>
      <w:r>
        <w:rPr>
          <w:rFonts w:hint="eastAsia" w:ascii="宋体" w:hAnsi="宋体" w:eastAsia="宋体" w:cs="宋体"/>
          <w:color w:val="auto"/>
          <w:highlight w:val="none"/>
          <w:lang w:val="en-US" w:eastAsia="zh-CN"/>
        </w:rPr>
        <w:t>；</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（5）突发公共卫生应急事件环境消杀；</w:t>
      </w:r>
      <w:r>
        <w:rPr>
          <w:rFonts w:hint="eastAsia" w:ascii="宋体" w:hAnsi="宋体" w:eastAsia="宋体" w:cs="宋体"/>
          <w:color w:val="auto"/>
          <w:highlight w:val="none"/>
        </w:rPr>
        <w:t>其它公益性活动</w:t>
      </w:r>
      <w:r>
        <w:rPr>
          <w:rFonts w:hint="eastAsia" w:ascii="宋体" w:hAnsi="宋体" w:eastAsia="宋体" w:cs="宋体"/>
          <w:color w:val="auto"/>
          <w:highlight w:val="none"/>
        </w:rPr>
        <w:t>。</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jc w:val="center"/>
        <w:textAlignment w:val="auto"/>
        <w:outlineLvl w:val="9"/>
        <w:rPr>
          <w:rFonts w:hint="eastAsia" w:ascii="宋体" w:hAnsi="宋体" w:eastAsia="宋体" w:cs="宋体"/>
          <w:color w:val="auto"/>
          <w:highlight w:val="none"/>
        </w:rPr>
      </w:pPr>
      <w:r>
        <w:rPr>
          <w:rFonts w:hint="eastAsia" w:ascii="宋体" w:hAnsi="宋体" w:eastAsia="宋体" w:cs="宋体"/>
          <w:b/>
          <w:bCs/>
          <w:color w:val="auto"/>
          <w:highlight w:val="none"/>
        </w:rPr>
        <w:t>（二）服务内容</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szCs w:val="24"/>
          <w:highlight w:val="none"/>
          <w:lang w:eastAsia="zh-CN"/>
        </w:rPr>
      </w:pPr>
      <w:r>
        <w:rPr>
          <w:rFonts w:hint="eastAsia" w:ascii="宋体" w:hAnsi="宋体" w:eastAsia="宋体" w:cs="宋体"/>
          <w:color w:val="auto"/>
          <w:highlight w:val="none"/>
        </w:rPr>
        <w:t>1.服务范围</w:t>
      </w:r>
      <w:r>
        <w:rPr>
          <w:rFonts w:hint="eastAsia" w:ascii="宋体" w:hAnsi="宋体" w:eastAsia="宋体" w:cs="宋体"/>
          <w:color w:val="auto"/>
          <w:szCs w:val="24"/>
          <w:highlight w:val="none"/>
        </w:rPr>
        <w:t>内窨缸窨井、绿地花坛、公园、垃圾收集点等各个部位环境，辖区内溪流、池塘及景观水池等各类水体、电缆沟、雨水井口等部位，开放式居民小区的房前屋后，公共下水道，车站，闲置地块、河湖两岸等病媒生物的</w:t>
      </w:r>
      <w:r>
        <w:rPr>
          <w:rFonts w:hint="eastAsia" w:ascii="宋体" w:hAnsi="宋体" w:eastAsia="宋体" w:cs="宋体"/>
          <w:color w:val="auto"/>
          <w:szCs w:val="24"/>
          <w:highlight w:val="none"/>
        </w:rPr>
        <w:t>杀</w:t>
      </w:r>
      <w:r>
        <w:rPr>
          <w:rFonts w:hint="eastAsia" w:ascii="宋体" w:hAnsi="宋体" w:cs="宋体"/>
          <w:color w:val="auto"/>
          <w:szCs w:val="24"/>
          <w:highlight w:val="none"/>
          <w:lang w:eastAsia="zh-CN"/>
        </w:rPr>
        <w:t>灭</w:t>
      </w:r>
      <w:r>
        <w:rPr>
          <w:rFonts w:hint="eastAsia" w:ascii="宋体" w:hAnsi="宋体" w:eastAsia="宋体" w:cs="宋体"/>
          <w:color w:val="auto"/>
          <w:szCs w:val="24"/>
          <w:highlight w:val="none"/>
        </w:rPr>
        <w:t>工作</w:t>
      </w:r>
      <w:r>
        <w:rPr>
          <w:rFonts w:hint="eastAsia" w:ascii="宋体" w:hAnsi="宋体" w:eastAsia="宋体" w:cs="宋体"/>
          <w:color w:val="auto"/>
          <w:szCs w:val="24"/>
          <w:highlight w:val="none"/>
          <w:lang w:eastAsia="zh-CN"/>
        </w:rPr>
        <w:t>；</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2.城市建成区重点地段的小餐馆、小旅馆等重点场所四害消杀；开展小餐馆、小旅馆等重点场所防蝇、防鼠等设施建设情况</w:t>
      </w:r>
      <w:r>
        <w:rPr>
          <w:rFonts w:hint="eastAsia" w:ascii="宋体" w:hAnsi="宋体" w:cs="宋体"/>
          <w:color w:val="auto"/>
          <w:highlight w:val="none"/>
          <w:lang w:eastAsia="zh-CN"/>
        </w:rPr>
        <w:t>调查与指导</w:t>
      </w:r>
      <w:r>
        <w:rPr>
          <w:rFonts w:hint="eastAsia" w:ascii="宋体" w:hAnsi="宋体" w:eastAsia="宋体" w:cs="宋体"/>
          <w:color w:val="auto"/>
          <w:highlight w:val="none"/>
        </w:rPr>
        <w:t>；</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lang w:eastAsia="zh-CN"/>
        </w:rPr>
      </w:pPr>
      <w:r>
        <w:rPr>
          <w:rFonts w:hint="eastAsia" w:ascii="宋体" w:hAnsi="宋体" w:eastAsia="宋体" w:cs="宋体"/>
          <w:color w:val="auto"/>
          <w:highlight w:val="none"/>
        </w:rPr>
        <w:t>3. 城市建成区范围病媒生物孳生地调查</w:t>
      </w:r>
      <w:r>
        <w:rPr>
          <w:rFonts w:hint="eastAsia" w:ascii="宋体" w:hAnsi="宋体" w:eastAsia="宋体" w:cs="宋体"/>
          <w:color w:val="auto"/>
          <w:highlight w:val="none"/>
          <w:lang w:eastAsia="zh-CN"/>
        </w:rPr>
        <w:t>；</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4. 突发公共卫生应急事件外环境消杀；</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5. 灭鼠毒饵站的增补、药物投放及维护；</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6. 室外灭蚊灭蝇灯的维护；</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7.</w:t>
      </w:r>
      <w:r>
        <w:rPr>
          <w:rFonts w:hint="eastAsia" w:ascii="宋体" w:hAnsi="宋体" w:eastAsia="宋体" w:cs="宋体"/>
          <w:color w:val="auto"/>
          <w:highlight w:val="none"/>
          <w:lang w:eastAsia="zh-CN"/>
        </w:rPr>
        <w:t>配合</w:t>
      </w:r>
      <w:r>
        <w:rPr>
          <w:rFonts w:hint="eastAsia" w:ascii="宋体" w:hAnsi="宋体" w:eastAsia="宋体" w:cs="宋体"/>
          <w:color w:val="auto"/>
          <w:highlight w:val="none"/>
          <w:lang w:val="en-US" w:eastAsia="zh-CN"/>
        </w:rPr>
        <w:t>做好病媒生物防控管理系统的开发和使用，做好PCO端的上线和使用工作；</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8</w:t>
      </w:r>
      <w:r>
        <w:rPr>
          <w:rFonts w:hint="eastAsia" w:ascii="宋体" w:hAnsi="宋体" w:eastAsia="宋体" w:cs="宋体"/>
          <w:color w:val="auto"/>
          <w:highlight w:val="none"/>
        </w:rPr>
        <w:t>.公益性宣传活动</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次</w:t>
      </w:r>
      <w:r>
        <w:rPr>
          <w:rFonts w:hint="eastAsia" w:ascii="宋体" w:hAnsi="宋体" w:eastAsia="宋体" w:cs="宋体"/>
          <w:color w:val="auto"/>
          <w:highlight w:val="none"/>
          <w:lang w:eastAsia="zh-CN"/>
        </w:rPr>
        <w:t>；</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9</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lang w:val="en-US" w:eastAsia="zh-CN"/>
        </w:rPr>
        <w:t>完成“</w:t>
      </w:r>
      <w:r>
        <w:rPr>
          <w:rFonts w:hint="eastAsia" w:ascii="宋体" w:hAnsi="宋体" w:cs="宋体"/>
          <w:color w:val="auto"/>
          <w:highlight w:val="none"/>
          <w:lang w:val="en-US" w:eastAsia="zh-CN"/>
        </w:rPr>
        <w:t>除四害村</w:t>
      </w:r>
      <w:r>
        <w:rPr>
          <w:rFonts w:hint="eastAsia" w:ascii="宋体" w:hAnsi="宋体" w:eastAsia="宋体" w:cs="宋体"/>
          <w:color w:val="auto"/>
          <w:highlight w:val="none"/>
          <w:lang w:val="en-US" w:eastAsia="zh-CN"/>
        </w:rPr>
        <w:t>”创建</w:t>
      </w:r>
      <w:r>
        <w:rPr>
          <w:rFonts w:hint="eastAsia" w:ascii="宋体" w:hAnsi="宋体" w:cs="宋体"/>
          <w:color w:val="auto"/>
          <w:highlight w:val="none"/>
          <w:lang w:val="en-US" w:eastAsia="zh-CN"/>
        </w:rPr>
        <w:t>2</w:t>
      </w:r>
      <w:r>
        <w:rPr>
          <w:rFonts w:hint="eastAsia" w:ascii="宋体" w:hAnsi="宋体" w:eastAsia="宋体" w:cs="宋体"/>
          <w:color w:val="auto"/>
          <w:highlight w:val="none"/>
          <w:lang w:val="en-US" w:eastAsia="zh-CN"/>
        </w:rPr>
        <w:t>个</w:t>
      </w:r>
      <w:r>
        <w:rPr>
          <w:rFonts w:hint="eastAsia" w:ascii="宋体" w:hAnsi="宋体" w:eastAsia="宋体" w:cs="宋体"/>
          <w:color w:val="auto"/>
          <w:highlight w:val="none"/>
          <w:lang w:val="en-US" w:eastAsia="zh-CN"/>
        </w:rPr>
        <w:t>；</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10</w:t>
      </w:r>
      <w:r>
        <w:rPr>
          <w:rFonts w:hint="eastAsia" w:ascii="宋体" w:hAnsi="宋体" w:eastAsia="宋体" w:cs="宋体"/>
          <w:color w:val="auto"/>
          <w:highlight w:val="none"/>
        </w:rPr>
        <w:t>.突发应急事件环境消杀及其它</w:t>
      </w:r>
      <w:r>
        <w:rPr>
          <w:rFonts w:hint="eastAsia" w:ascii="宋体" w:hAnsi="宋体" w:eastAsia="宋体" w:cs="宋体"/>
          <w:color w:val="auto"/>
          <w:highlight w:val="none"/>
        </w:rPr>
        <w:t>公益性活动</w:t>
      </w:r>
      <w:r>
        <w:rPr>
          <w:rFonts w:hint="eastAsia" w:ascii="宋体" w:hAnsi="宋体" w:eastAsia="宋体" w:cs="宋体"/>
          <w:color w:val="auto"/>
          <w:highlight w:val="none"/>
          <w:lang w:eastAsia="zh-CN"/>
        </w:rPr>
        <w:t>。</w:t>
      </w:r>
    </w:p>
    <w:p>
      <w:pPr>
        <w:pStyle w:val="10"/>
        <w:snapToGrid w:val="0"/>
        <w:spacing w:before="120" w:after="120" w:line="360" w:lineRule="auto"/>
        <w:jc w:val="left"/>
        <w:outlineLvl w:val="9"/>
        <w:rPr>
          <w:rFonts w:hint="eastAsia" w:ascii="宋体" w:hAnsi="宋体" w:eastAsia="宋体" w:cs="宋体"/>
          <w:color w:val="auto"/>
          <w:highlight w:val="none"/>
        </w:rPr>
      </w:pPr>
      <w:r>
        <w:rPr>
          <w:rFonts w:hint="eastAsia" w:ascii="宋体" w:hAnsi="宋体" w:eastAsia="宋体" w:cs="宋体"/>
          <w:b/>
          <w:bCs/>
          <w:color w:val="auto"/>
          <w:highlight w:val="none"/>
        </w:rPr>
        <w:t>（三）</w:t>
      </w:r>
      <w:r>
        <w:rPr>
          <w:rFonts w:hint="eastAsia" w:ascii="宋体" w:hAnsi="宋体" w:eastAsia="宋体" w:cs="宋体"/>
          <w:b/>
          <w:color w:val="auto"/>
          <w:highlight w:val="none"/>
        </w:rPr>
        <w:t>服务期限：</w:t>
      </w:r>
      <w:r>
        <w:rPr>
          <w:rFonts w:hint="eastAsia" w:ascii="宋体" w:hAnsi="宋体" w:cs="宋体"/>
          <w:color w:val="auto"/>
          <w:highlight w:val="none"/>
          <w:lang w:val="en-US" w:eastAsia="zh-CN"/>
        </w:rPr>
        <w:t>1年</w:t>
      </w:r>
      <w:r>
        <w:rPr>
          <w:rFonts w:hint="eastAsia" w:ascii="宋体" w:hAnsi="宋体" w:eastAsia="宋体" w:cs="宋体"/>
          <w:color w:val="auto"/>
          <w:highlight w:val="none"/>
        </w:rPr>
        <w:t>。</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jc w:val="center"/>
        <w:textAlignment w:val="auto"/>
        <w:outlineLvl w:val="9"/>
        <w:rPr>
          <w:rFonts w:hint="eastAsia" w:ascii="宋体" w:hAnsi="宋体" w:eastAsia="宋体" w:cs="宋体"/>
          <w:b/>
          <w:bCs/>
          <w:color w:val="auto"/>
          <w:highlight w:val="none"/>
        </w:rPr>
      </w:pPr>
      <w:r>
        <w:rPr>
          <w:rFonts w:hint="eastAsia" w:ascii="宋体" w:hAnsi="宋体" w:eastAsia="宋体" w:cs="宋体"/>
          <w:b/>
          <w:bCs/>
          <w:color w:val="auto"/>
          <w:highlight w:val="none"/>
        </w:rPr>
        <w:t>（四）服务要求</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 xml:space="preserve">    1.为更好地开展病媒生物防制业务，投标人应具备一整套完整的消杀服务工作制度，根据所服务区域的实际和特点，</w:t>
      </w:r>
      <w:r>
        <w:rPr>
          <w:rFonts w:hint="eastAsia" w:ascii="宋体" w:hAnsi="宋体" w:cs="宋体"/>
          <w:color w:val="auto"/>
          <w:highlight w:val="none"/>
          <w:lang w:val="en-US" w:eastAsia="zh-CN"/>
        </w:rPr>
        <w:t>科学</w:t>
      </w:r>
      <w:r>
        <w:rPr>
          <w:rFonts w:hint="eastAsia" w:ascii="宋体" w:hAnsi="宋体" w:eastAsia="宋体" w:cs="宋体"/>
          <w:color w:val="auto"/>
          <w:highlight w:val="none"/>
        </w:rPr>
        <w:t>制定辖区消杀范围公共外环境除“四害”防制服务</w:t>
      </w:r>
      <w:r>
        <w:rPr>
          <w:rFonts w:hint="eastAsia" w:ascii="宋体" w:hAnsi="宋体" w:cs="宋体"/>
          <w:color w:val="auto"/>
          <w:highlight w:val="none"/>
          <w:lang w:val="en-US" w:eastAsia="zh-CN"/>
        </w:rPr>
        <w:t>工作</w:t>
      </w:r>
      <w:r>
        <w:rPr>
          <w:rFonts w:hint="eastAsia" w:ascii="宋体" w:hAnsi="宋体" w:eastAsia="宋体" w:cs="宋体"/>
          <w:color w:val="auto"/>
          <w:highlight w:val="none"/>
        </w:rPr>
        <w:t>方案；重点场所除“四害”防制服务方案；孳生地调查</w:t>
      </w:r>
      <w:r>
        <w:rPr>
          <w:rFonts w:hint="eastAsia" w:ascii="宋体" w:hAnsi="宋体" w:cs="宋体"/>
          <w:color w:val="auto"/>
          <w:highlight w:val="none"/>
          <w:lang w:val="en-US" w:eastAsia="zh-CN"/>
        </w:rPr>
        <w:t>处置</w:t>
      </w:r>
      <w:r>
        <w:rPr>
          <w:rFonts w:hint="eastAsia" w:ascii="宋体" w:hAnsi="宋体" w:eastAsia="宋体" w:cs="宋体"/>
          <w:color w:val="auto"/>
          <w:highlight w:val="none"/>
        </w:rPr>
        <w:t>方案</w:t>
      </w:r>
      <w:r>
        <w:rPr>
          <w:rFonts w:hint="eastAsia" w:ascii="宋体" w:hAnsi="宋体" w:cs="宋体"/>
          <w:color w:val="auto"/>
          <w:highlight w:val="none"/>
          <w:lang w:val="en-US" w:eastAsia="zh-CN"/>
        </w:rPr>
        <w:t>等</w:t>
      </w:r>
      <w:r>
        <w:rPr>
          <w:rFonts w:hint="eastAsia" w:ascii="宋体" w:hAnsi="宋体" w:eastAsia="宋体" w:cs="宋体"/>
          <w:color w:val="auto"/>
          <w:highlight w:val="none"/>
        </w:rPr>
        <w:t>。</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rPr>
        <w:t>▲</w:t>
      </w:r>
      <w:r>
        <w:rPr>
          <w:rFonts w:hint="eastAsia" w:ascii="宋体" w:hAnsi="宋体" w:eastAsia="宋体" w:cs="宋体"/>
          <w:color w:val="auto"/>
          <w:highlight w:val="none"/>
        </w:rPr>
        <w:t>2.投标人所使用的药物做到证件</w:t>
      </w:r>
      <w:r>
        <w:rPr>
          <w:rFonts w:hint="eastAsia" w:ascii="宋体" w:hAnsi="宋体" w:eastAsia="宋体" w:cs="宋体"/>
          <w:color w:val="auto"/>
          <w:highlight w:val="none"/>
        </w:rPr>
        <w:t>（具有有效的农药登记证或农药临时登记证、农药生产许可证或农药生产批准文件、检测报告等</w:t>
      </w:r>
      <w:r>
        <w:rPr>
          <w:rFonts w:hint="eastAsia" w:ascii="宋体" w:hAnsi="宋体" w:eastAsia="宋体" w:cs="宋体"/>
          <w:color w:val="auto"/>
          <w:highlight w:val="none"/>
        </w:rPr>
        <w:t>）齐全、进货渠道规范（有厂家授权优先使用）、药性敏感强，按照技术方案要求规定合理使用药物，使用剂量、浓度、时间、消杀方法等符合技术规定，制定药物使用规范，禁止使用国家明令禁止使用的各类药物。使用的每批次药物需送</w:t>
      </w:r>
      <w:r>
        <w:rPr>
          <w:rFonts w:hint="eastAsia" w:ascii="宋体" w:hAnsi="宋体" w:eastAsia="宋体" w:cs="宋体"/>
          <w:color w:val="auto"/>
          <w:highlight w:val="none"/>
        </w:rPr>
        <w:t>东阳市爱卫办</w:t>
      </w:r>
      <w:r>
        <w:rPr>
          <w:rFonts w:hint="eastAsia" w:ascii="宋体" w:hAnsi="宋体" w:eastAsia="宋体" w:cs="宋体"/>
          <w:color w:val="auto"/>
          <w:highlight w:val="none"/>
        </w:rPr>
        <w:t>留样保存，实际使用的药物与备案药物必须完全一致。</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textAlignment w:val="auto"/>
        <w:outlineLvl w:val="9"/>
        <w:rPr>
          <w:rFonts w:hint="eastAsia" w:ascii="宋体" w:hAnsi="宋体" w:eastAsia="宋体" w:cs="宋体"/>
          <w:color w:val="auto"/>
          <w:highlight w:val="none"/>
        </w:rPr>
      </w:pPr>
      <w:r>
        <w:rPr>
          <w:rFonts w:hint="eastAsia" w:ascii="宋体" w:hAnsi="宋体" w:eastAsia="宋体" w:cs="宋体"/>
          <w:color w:val="auto"/>
          <w:sz w:val="24"/>
          <w:highlight w:val="none"/>
        </w:rPr>
        <w:t>▲</w:t>
      </w:r>
      <w:r>
        <w:rPr>
          <w:rFonts w:hint="eastAsia" w:ascii="宋体" w:hAnsi="宋体" w:eastAsia="宋体" w:cs="宋体"/>
          <w:color w:val="auto"/>
          <w:highlight w:val="none"/>
        </w:rPr>
        <w:t>3.人员要求：</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项目负责人必须具备病媒生物防制从业中级</w:t>
      </w:r>
      <w:r>
        <w:rPr>
          <w:rFonts w:hint="eastAsia" w:ascii="宋体" w:hAnsi="宋体" w:cs="宋体"/>
          <w:color w:val="auto"/>
          <w:highlight w:val="none"/>
          <w:lang w:val="en-US" w:eastAsia="zh-CN"/>
        </w:rPr>
        <w:t>及</w:t>
      </w:r>
      <w:r>
        <w:rPr>
          <w:rFonts w:hint="eastAsia" w:ascii="宋体" w:hAnsi="宋体" w:eastAsia="宋体" w:cs="宋体"/>
          <w:color w:val="auto"/>
          <w:highlight w:val="none"/>
        </w:rPr>
        <w:t>以上资格证书，有5年以上工作经验。日常消杀不得少于6名，常驻服务区域内的作业人员应具有病媒生物防制证书，并提供社保养老金缴纳证明,确保提供人员与今后一线作业人员一致，应急或迎检消杀期间不得少于10名有病媒生物防制证书的作业人员。设立3人以上应急消杀小组，做到1小时内到达指定地点开展消杀应急及其它处置工作。</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textAlignment w:val="auto"/>
        <w:outlineLvl w:val="9"/>
        <w:rPr>
          <w:rFonts w:hint="eastAsia" w:ascii="宋体" w:hAnsi="宋体" w:eastAsia="宋体" w:cs="宋体"/>
          <w:color w:val="auto"/>
          <w:highlight w:val="none"/>
        </w:rPr>
      </w:pPr>
      <w:r>
        <w:rPr>
          <w:rFonts w:hint="eastAsia" w:ascii="宋体" w:hAnsi="宋体" w:eastAsia="宋体" w:cs="宋体"/>
          <w:color w:val="auto"/>
          <w:sz w:val="24"/>
          <w:highlight w:val="none"/>
        </w:rPr>
        <w:t>▲</w:t>
      </w:r>
      <w:r>
        <w:rPr>
          <w:rFonts w:hint="eastAsia" w:ascii="宋体" w:hAnsi="宋体" w:eastAsia="宋体" w:cs="宋体"/>
          <w:color w:val="auto"/>
          <w:highlight w:val="none"/>
        </w:rPr>
        <w:t>4.药械设备：</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b/>
          <w:color w:val="auto"/>
          <w:highlight w:val="none"/>
        </w:rPr>
      </w:pPr>
      <w:r>
        <w:rPr>
          <w:rFonts w:hint="eastAsia" w:ascii="宋体" w:hAnsi="宋体" w:eastAsia="宋体" w:cs="宋体"/>
          <w:color w:val="auto"/>
          <w:highlight w:val="none"/>
        </w:rPr>
        <w:t>工程作业车至少1辆，车载式机动喷雾器至少2台；背负式喷雾器至少8台；手提式喷雾器8台以上；超低容量喷雾器2台以上。</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sz w:val="24"/>
          <w:highlight w:val="none"/>
        </w:rPr>
        <w:t>▲</w:t>
      </w:r>
      <w:r>
        <w:rPr>
          <w:rFonts w:hint="eastAsia" w:ascii="宋体" w:hAnsi="宋体" w:eastAsia="宋体" w:cs="宋体"/>
          <w:color w:val="auto"/>
          <w:highlight w:val="none"/>
        </w:rPr>
        <w:t>5.服务期内，中标人需要安排一辆工具车和一名专业技术人员配合采购人开展督查考核工作。</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sz w:val="24"/>
          <w:highlight w:val="none"/>
        </w:rPr>
        <w:t>▲</w:t>
      </w:r>
      <w:r>
        <w:rPr>
          <w:rFonts w:hint="eastAsia" w:ascii="宋体" w:hAnsi="宋体" w:eastAsia="宋体" w:cs="宋体"/>
          <w:color w:val="auto"/>
          <w:highlight w:val="none"/>
        </w:rPr>
        <w:t>6.作业期间穿统一工作服和佩戴上岗证，员工持证上岗，规范操作，文明作业，规范登记作业单。消杀期间，不能影响作业单位的日常工作，服务满意率85%以上，消杀覆盖率100%。中标人具有消杀人员管理考核细则和药物管理等规范管理制度，消杀工作实行月报制和巡查、监督、反馈、考核制度等现代管理模式。</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7.做好对居民和重点场所的病媒生物防制服务指导工作，做好技术支持。每月做好灭杀前后的密度调查报告和药械消耗、每月工作小结等过程性台账资料。按社区做好消杀资料收集、整理、总结、上报等工作。</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8.应急处理：制定病媒生物防制相关的各项考核迎检应急工作预案和药物中毒处置预案、突发事件应急预案等，辖区内出现突发疫情或重大病媒生物入侵事件，按上级爱卫会和卫生主管部门的要求，启动应急预案，迅速组织力量（人、药、器械到位），开展环境消杀，在最短时间内控制疫情（虫害），积极参加政府组织的公益性消杀活动。发生小孩、宠物误食时，消杀单位应积极处理好被误食的小孩或宠物的救治工作。迎检期间中标人需免费提供药物及帮助完成其他突击应急任务。</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9.中标人在东阳未设立服务机构的，应在中标15日内建立，并按要求配备相应人员及</w:t>
      </w:r>
      <w:r>
        <w:rPr>
          <w:rFonts w:hint="eastAsia" w:ascii="宋体" w:hAnsi="宋体" w:eastAsia="宋体" w:cs="宋体"/>
          <w:color w:val="auto"/>
          <w:highlight w:val="none"/>
        </w:rPr>
        <w:t>药物</w:t>
      </w:r>
      <w:r>
        <w:rPr>
          <w:rFonts w:hint="eastAsia" w:ascii="宋体" w:hAnsi="宋体" w:eastAsia="宋体" w:cs="宋体"/>
          <w:color w:val="auto"/>
          <w:highlight w:val="none"/>
        </w:rPr>
        <w:t>、器械仓库及办公用房等。</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sz w:val="24"/>
          <w:highlight w:val="none"/>
        </w:rPr>
        <w:t>▲</w:t>
      </w:r>
      <w:r>
        <w:rPr>
          <w:rFonts w:hint="eastAsia" w:ascii="宋体" w:hAnsi="宋体" w:eastAsia="宋体" w:cs="宋体"/>
          <w:color w:val="auto"/>
          <w:highlight w:val="none"/>
        </w:rPr>
        <w:t>10.中标人需配合采购人开展2场以上公益宣传活动（每场活动经费1万元），活动经费由中标人承担。</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sz w:val="24"/>
          <w:highlight w:val="none"/>
        </w:rPr>
        <w:t>▲</w:t>
      </w:r>
      <w:r>
        <w:rPr>
          <w:rFonts w:hint="eastAsia" w:ascii="宋体" w:hAnsi="宋体" w:eastAsia="宋体" w:cs="宋体"/>
          <w:color w:val="auto"/>
          <w:highlight w:val="none"/>
        </w:rPr>
        <w:t>11.中标人必须</w:t>
      </w:r>
      <w:r>
        <w:rPr>
          <w:rFonts w:hint="eastAsia" w:ascii="宋体" w:hAnsi="宋体" w:eastAsia="宋体" w:cs="宋体"/>
          <w:color w:val="auto"/>
          <w:highlight w:val="none"/>
          <w:lang w:val="en-US" w:eastAsia="zh-CN"/>
        </w:rPr>
        <w:t>完成“</w:t>
      </w:r>
      <w:r>
        <w:rPr>
          <w:rFonts w:hint="eastAsia" w:ascii="宋体" w:hAnsi="宋体" w:cs="宋体"/>
          <w:color w:val="auto"/>
          <w:highlight w:val="none"/>
          <w:lang w:val="en-US" w:eastAsia="zh-CN"/>
        </w:rPr>
        <w:t>除四害村</w:t>
      </w:r>
      <w:r>
        <w:rPr>
          <w:rFonts w:hint="eastAsia" w:ascii="宋体" w:hAnsi="宋体" w:eastAsia="宋体" w:cs="宋体"/>
          <w:color w:val="auto"/>
          <w:highlight w:val="none"/>
          <w:lang w:val="en-US" w:eastAsia="zh-CN"/>
        </w:rPr>
        <w:t>”创建</w:t>
      </w:r>
      <w:r>
        <w:rPr>
          <w:rFonts w:hint="eastAsia" w:ascii="宋体" w:hAnsi="宋体" w:cs="宋体"/>
          <w:color w:val="auto"/>
          <w:highlight w:val="none"/>
          <w:lang w:val="en-US" w:eastAsia="zh-CN"/>
        </w:rPr>
        <w:t>2</w:t>
      </w:r>
      <w:r>
        <w:rPr>
          <w:rFonts w:hint="eastAsia" w:ascii="宋体" w:hAnsi="宋体" w:eastAsia="宋体" w:cs="宋体"/>
          <w:color w:val="auto"/>
          <w:highlight w:val="none"/>
          <w:lang w:val="en-US" w:eastAsia="zh-CN"/>
        </w:rPr>
        <w:t>个</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（建设出资</w:t>
      </w:r>
      <w:r>
        <w:rPr>
          <w:rFonts w:hint="eastAsia" w:ascii="宋体" w:hAnsi="宋体" w:cs="宋体"/>
          <w:color w:val="auto"/>
          <w:highlight w:val="none"/>
          <w:lang w:val="en-US" w:eastAsia="zh-CN"/>
        </w:rPr>
        <w:t>4</w:t>
      </w:r>
      <w:r>
        <w:rPr>
          <w:rFonts w:hint="eastAsia" w:ascii="宋体" w:hAnsi="宋体" w:eastAsia="宋体" w:cs="宋体"/>
          <w:color w:val="auto"/>
          <w:highlight w:val="none"/>
        </w:rPr>
        <w:t>万元）</w:t>
      </w:r>
      <w:r>
        <w:rPr>
          <w:rFonts w:hint="eastAsia" w:ascii="宋体" w:hAnsi="宋体" w:eastAsia="宋体" w:cs="宋体"/>
          <w:color w:val="auto"/>
          <w:highlight w:val="none"/>
        </w:rPr>
        <w:t>，建设经费由中标人承担。</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12.中标人在作业前需和街道及社区进行联系，作业时由社区人员陪同作业。</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13.中标人在履约期间必须</w:t>
      </w:r>
      <w:r>
        <w:rPr>
          <w:rFonts w:hint="eastAsia" w:ascii="宋体" w:hAnsi="宋体" w:eastAsia="宋体" w:cs="宋体"/>
          <w:color w:val="auto"/>
          <w:highlight w:val="none"/>
          <w:lang w:eastAsia="zh-CN"/>
        </w:rPr>
        <w:t>按照信息化管理要求，完成相关数据收集和汇总，</w:t>
      </w:r>
      <w:r>
        <w:rPr>
          <w:rFonts w:hint="eastAsia" w:ascii="宋体" w:hAnsi="宋体" w:eastAsia="宋体" w:cs="宋体"/>
          <w:color w:val="auto"/>
          <w:highlight w:val="none"/>
        </w:rPr>
        <w:t>每月向</w:t>
      </w:r>
      <w:r>
        <w:rPr>
          <w:rFonts w:hint="eastAsia" w:ascii="宋体" w:hAnsi="宋体" w:cs="宋体"/>
          <w:color w:val="auto"/>
          <w:highlight w:val="none"/>
          <w:lang w:eastAsia="zh-CN"/>
        </w:rPr>
        <w:t>采购</w:t>
      </w:r>
      <w:r>
        <w:rPr>
          <w:rFonts w:hint="eastAsia" w:ascii="宋体" w:hAnsi="宋体" w:cs="宋体"/>
          <w:color w:val="auto"/>
          <w:highlight w:val="none"/>
          <w:lang w:val="en-US" w:eastAsia="zh-CN"/>
        </w:rPr>
        <w:t>人</w:t>
      </w:r>
      <w:r>
        <w:rPr>
          <w:rFonts w:hint="eastAsia" w:ascii="宋体" w:hAnsi="宋体" w:cs="宋体"/>
          <w:color w:val="auto"/>
          <w:highlight w:val="none"/>
          <w:lang w:eastAsia="zh-CN"/>
        </w:rPr>
        <w:t>和</w:t>
      </w:r>
      <w:r>
        <w:rPr>
          <w:rFonts w:hint="eastAsia" w:ascii="宋体" w:hAnsi="宋体" w:eastAsia="宋体" w:cs="宋体"/>
          <w:color w:val="auto"/>
          <w:highlight w:val="none"/>
        </w:rPr>
        <w:t>街道</w:t>
      </w:r>
      <w:r>
        <w:rPr>
          <w:rFonts w:hint="eastAsia" w:ascii="宋体" w:hAnsi="宋体" w:eastAsia="宋体" w:cs="宋体"/>
          <w:color w:val="auto"/>
          <w:highlight w:val="none"/>
        </w:rPr>
        <w:t>进行工作汇报。</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sz w:val="24"/>
          <w:highlight w:val="none"/>
        </w:rPr>
        <w:t>▲</w:t>
      </w:r>
      <w:r>
        <w:rPr>
          <w:rFonts w:hint="eastAsia" w:ascii="宋体" w:hAnsi="宋体" w:eastAsia="宋体" w:cs="宋体"/>
          <w:color w:val="auto"/>
          <w:highlight w:val="none"/>
        </w:rPr>
        <w:t>14.灭鼠毒饵站设置与管理：</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中标人</w:t>
      </w:r>
      <w:r>
        <w:rPr>
          <w:rFonts w:hint="eastAsia" w:ascii="宋体" w:hAnsi="宋体" w:cs="宋体"/>
          <w:color w:val="auto"/>
          <w:highlight w:val="none"/>
          <w:lang w:val="en-US" w:eastAsia="zh-CN"/>
        </w:rPr>
        <w:t>服务期内</w:t>
      </w:r>
      <w:r>
        <w:rPr>
          <w:rFonts w:hint="eastAsia" w:ascii="宋体" w:hAnsi="宋体" w:eastAsia="宋体" w:cs="宋体"/>
          <w:color w:val="auto"/>
          <w:highlight w:val="none"/>
        </w:rPr>
        <w:t>增补灭鼠毒饵站</w:t>
      </w:r>
      <w:r>
        <w:rPr>
          <w:rFonts w:hint="eastAsia" w:ascii="宋体" w:hAnsi="宋体" w:cs="宋体"/>
          <w:color w:val="auto"/>
          <w:highlight w:val="none"/>
          <w:lang w:val="en-US" w:eastAsia="zh-CN"/>
        </w:rPr>
        <w:t>不少于</w:t>
      </w:r>
      <w:r>
        <w:rPr>
          <w:rFonts w:hint="eastAsia" w:ascii="宋体" w:hAnsi="宋体" w:eastAsia="宋体" w:cs="宋体"/>
          <w:color w:val="auto"/>
          <w:highlight w:val="none"/>
        </w:rPr>
        <w:t>2000个，并对现有的毒饵</w:t>
      </w:r>
      <w:r>
        <w:rPr>
          <w:rFonts w:hint="eastAsia" w:ascii="宋体" w:hAnsi="宋体" w:cs="宋体"/>
          <w:color w:val="auto"/>
          <w:highlight w:val="none"/>
          <w:lang w:val="en-US" w:eastAsia="zh-CN"/>
        </w:rPr>
        <w:t>落实日常维护及</w:t>
      </w:r>
      <w:r>
        <w:rPr>
          <w:rFonts w:hint="eastAsia" w:ascii="宋体" w:hAnsi="宋体" w:eastAsia="宋体" w:cs="宋体"/>
          <w:color w:val="auto"/>
          <w:highlight w:val="none"/>
        </w:rPr>
        <w:t>管理。</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15.室外灭蚊灭蝇灯每月检修，使用完好率100%。</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b/>
          <w:color w:val="auto"/>
          <w:highlight w:val="none"/>
        </w:rPr>
      </w:pPr>
      <w:r>
        <w:rPr>
          <w:rFonts w:hint="eastAsia" w:ascii="宋体" w:hAnsi="宋体" w:eastAsia="宋体" w:cs="宋体"/>
          <w:color w:val="auto"/>
          <w:highlight w:val="none"/>
        </w:rPr>
        <w:t>16.采购人将按照服务方案、作业计划进行不定期检查，中标人应给予配合。</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jc w:val="center"/>
        <w:textAlignment w:val="auto"/>
        <w:outlineLvl w:val="9"/>
        <w:rPr>
          <w:rFonts w:hint="eastAsia" w:ascii="宋体" w:hAnsi="宋体" w:eastAsia="宋体" w:cs="宋体"/>
          <w:b/>
          <w:color w:val="auto"/>
          <w:highlight w:val="none"/>
        </w:rPr>
      </w:pPr>
      <w:r>
        <w:rPr>
          <w:rFonts w:hint="eastAsia" w:ascii="宋体" w:hAnsi="宋体" w:eastAsia="宋体" w:cs="宋体"/>
          <w:b/>
          <w:bCs/>
          <w:color w:val="auto"/>
          <w:highlight w:val="none"/>
        </w:rPr>
        <w:t>（五）</w:t>
      </w:r>
      <w:r>
        <w:rPr>
          <w:rFonts w:hint="eastAsia" w:ascii="宋体" w:hAnsi="宋体" w:eastAsia="宋体" w:cs="宋体"/>
          <w:b/>
          <w:color w:val="auto"/>
          <w:highlight w:val="none"/>
        </w:rPr>
        <w:t>质量要求</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1.通过综合防制，鼠、蚊、蝇、蟑螂等病媒生物要得到有效控制，四害密度控制均达到国家病媒生物密度控制标准（GB/T 27770-2011鼠类、GB/T 27771-2011蚊虫、GB/T 27772-2011蝇类C级要求</w:t>
      </w:r>
      <w:r>
        <w:rPr>
          <w:rFonts w:hint="eastAsia" w:ascii="宋体" w:hAnsi="宋体" w:cs="宋体"/>
          <w:color w:val="auto"/>
          <w:highlight w:val="none"/>
          <w:lang w:val="en-US" w:eastAsia="zh-CN"/>
        </w:rPr>
        <w:t>,</w:t>
      </w:r>
      <w:r>
        <w:rPr>
          <w:rFonts w:hint="eastAsia" w:ascii="宋体" w:hAnsi="宋体" w:eastAsia="宋体" w:cs="宋体"/>
          <w:color w:val="auto"/>
          <w:highlight w:val="none"/>
        </w:rPr>
        <w:t>GB/T 27773-2011蜚蠊）</w:t>
      </w:r>
      <w:r>
        <w:rPr>
          <w:rFonts w:hint="eastAsia" w:ascii="宋体" w:hAnsi="宋体" w:cs="宋体"/>
          <w:color w:val="auto"/>
          <w:highlight w:val="none"/>
          <w:lang w:val="en-US" w:eastAsia="zh-CN"/>
        </w:rPr>
        <w:t>B</w:t>
      </w:r>
      <w:r>
        <w:rPr>
          <w:rFonts w:hint="eastAsia" w:ascii="宋体" w:hAnsi="宋体" w:eastAsia="宋体" w:cs="宋体"/>
          <w:color w:val="auto"/>
          <w:highlight w:val="none"/>
        </w:rPr>
        <w:t>级要求。</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2.灭鼠要求：</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eastAsia="zh-CN"/>
        </w:rPr>
        <w:t>新增</w:t>
      </w:r>
      <w:r>
        <w:rPr>
          <w:rFonts w:hint="eastAsia" w:ascii="宋体" w:hAnsi="宋体" w:eastAsia="宋体" w:cs="宋体"/>
          <w:color w:val="auto"/>
          <w:highlight w:val="none"/>
        </w:rPr>
        <w:t>毒饵站数量不低于</w:t>
      </w:r>
      <w:r>
        <w:rPr>
          <w:rFonts w:hint="eastAsia" w:ascii="宋体" w:hAnsi="宋体" w:eastAsia="宋体" w:cs="宋体"/>
          <w:color w:val="auto"/>
          <w:highlight w:val="none"/>
          <w:lang w:eastAsia="zh-CN"/>
        </w:rPr>
        <w:t>合同</w:t>
      </w:r>
      <w:r>
        <w:rPr>
          <w:rFonts w:hint="eastAsia" w:ascii="宋体" w:hAnsi="宋体" w:eastAsia="宋体" w:cs="宋体"/>
          <w:color w:val="auto"/>
          <w:highlight w:val="none"/>
        </w:rPr>
        <w:t>要求，设置合格率达95%以上；</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（2）毒饵站、下水道及其它需投药部位灭鼠药物常年保持新鲜</w:t>
      </w:r>
      <w:r>
        <w:rPr>
          <w:rFonts w:hint="eastAsia" w:ascii="宋体" w:hAnsi="宋体" w:eastAsia="宋体" w:cs="宋体"/>
          <w:color w:val="auto"/>
          <w:highlight w:val="none"/>
          <w:lang w:eastAsia="zh-CN"/>
        </w:rPr>
        <w:t>（覆盖率不低于</w:t>
      </w:r>
      <w:r>
        <w:rPr>
          <w:rFonts w:hint="eastAsia" w:ascii="宋体" w:hAnsi="宋体" w:eastAsia="宋体" w:cs="宋体"/>
          <w:color w:val="auto"/>
          <w:highlight w:val="none"/>
          <w:lang w:val="en-US" w:eastAsia="zh-CN"/>
        </w:rPr>
        <w:t>95%</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（3）鼠洞填补率达到90%以上；</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（4）重点场所每月提供消杀服务1次以上</w:t>
      </w:r>
      <w:r>
        <w:rPr>
          <w:rFonts w:hint="eastAsia" w:ascii="宋体" w:hAnsi="宋体" w:eastAsia="宋体" w:cs="宋体"/>
          <w:color w:val="auto"/>
          <w:highlight w:val="none"/>
          <w:lang w:eastAsia="zh-CN"/>
        </w:rPr>
        <w:t>（覆盖率不低于</w:t>
      </w:r>
      <w:r>
        <w:rPr>
          <w:rFonts w:hint="eastAsia" w:ascii="宋体" w:hAnsi="宋体" w:eastAsia="宋体" w:cs="宋体"/>
          <w:color w:val="auto"/>
          <w:highlight w:val="none"/>
          <w:lang w:val="en-US" w:eastAsia="zh-CN"/>
        </w:rPr>
        <w:t>95%</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，检查发现各类鼠迹、蟑迹并督促引导业主及时清理；</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（5）按规范处置鼠尸及废弃药物；</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（6）4月、6月、8月、10月开展孳生地调查。</w:t>
      </w:r>
    </w:p>
    <w:p>
      <w:pPr>
        <w:pStyle w:val="10"/>
        <w:keepNext w:val="0"/>
        <w:keepLines w:val="0"/>
        <w:pageBreakBefore w:val="0"/>
        <w:widowControl w:val="0"/>
        <w:numPr>
          <w:ilvl w:val="0"/>
          <w:numId w:val="4"/>
        </w:numPr>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灭蚊要求：</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（1）4-11月每月开展</w:t>
      </w:r>
      <w:r>
        <w:rPr>
          <w:rFonts w:hint="eastAsia" w:ascii="宋体" w:hAnsi="宋体" w:eastAsia="宋体" w:cs="宋体"/>
          <w:color w:val="auto"/>
          <w:highlight w:val="none"/>
          <w:lang w:eastAsia="zh-CN"/>
        </w:rPr>
        <w:t>重点区域</w:t>
      </w:r>
      <w:r>
        <w:rPr>
          <w:rFonts w:hint="eastAsia" w:ascii="宋体" w:hAnsi="宋体" w:eastAsia="宋体" w:cs="宋体"/>
          <w:color w:val="auto"/>
          <w:highlight w:val="none"/>
        </w:rPr>
        <w:t>外环境</w:t>
      </w:r>
      <w:r>
        <w:rPr>
          <w:rFonts w:hint="eastAsia" w:ascii="宋体" w:hAnsi="宋体" w:cs="宋体"/>
          <w:color w:val="auto"/>
          <w:highlight w:val="none"/>
          <w:lang w:eastAsia="zh-CN"/>
        </w:rPr>
        <w:t>杀灭</w:t>
      </w:r>
      <w:r>
        <w:rPr>
          <w:rFonts w:hint="eastAsia" w:ascii="宋体" w:hAnsi="宋体" w:eastAsia="宋体" w:cs="宋体"/>
          <w:color w:val="auto"/>
          <w:highlight w:val="none"/>
        </w:rPr>
        <w:t>2次以上</w:t>
      </w:r>
      <w:r>
        <w:rPr>
          <w:rFonts w:hint="eastAsia" w:ascii="宋体" w:hAnsi="宋体" w:eastAsia="宋体" w:cs="宋体"/>
          <w:color w:val="auto"/>
          <w:highlight w:val="none"/>
          <w:lang w:eastAsia="zh-CN"/>
        </w:rPr>
        <w:t>，重点区域覆盖率不低于</w:t>
      </w:r>
      <w:r>
        <w:rPr>
          <w:rFonts w:hint="eastAsia" w:ascii="宋体" w:hAnsi="宋体" w:eastAsia="宋体" w:cs="宋体"/>
          <w:color w:val="auto"/>
          <w:highlight w:val="none"/>
          <w:lang w:val="en-US" w:eastAsia="zh-CN"/>
        </w:rPr>
        <w:t>80%；</w:t>
      </w:r>
    </w:p>
    <w:p>
      <w:pPr>
        <w:pStyle w:val="10"/>
        <w:keepNext w:val="0"/>
        <w:keepLines w:val="0"/>
        <w:pageBreakBefore w:val="0"/>
        <w:widowControl w:val="0"/>
        <w:numPr>
          <w:ilvl w:val="0"/>
          <w:numId w:val="5"/>
        </w:numPr>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发现室外灭蚊灯破损在5个工作日内修复；</w:t>
      </w:r>
    </w:p>
    <w:p>
      <w:pPr>
        <w:pStyle w:val="10"/>
        <w:keepNext w:val="0"/>
        <w:keepLines w:val="0"/>
        <w:pageBreakBefore w:val="0"/>
        <w:widowControl w:val="0"/>
        <w:numPr>
          <w:ilvl w:val="0"/>
          <w:numId w:val="5"/>
        </w:numPr>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重点场所每月提供消杀服务1次以上；</w:t>
      </w:r>
      <w:r>
        <w:rPr>
          <w:rFonts w:hint="eastAsia" w:ascii="宋体" w:hAnsi="宋体" w:eastAsia="宋体" w:cs="宋体"/>
          <w:color w:val="auto"/>
          <w:highlight w:val="none"/>
          <w:lang w:eastAsia="zh-CN"/>
        </w:rPr>
        <w:t>重点场所覆盖率不低于</w:t>
      </w:r>
      <w:r>
        <w:rPr>
          <w:rFonts w:hint="eastAsia" w:ascii="宋体" w:hAnsi="宋体" w:eastAsia="宋体" w:cs="宋体"/>
          <w:color w:val="auto"/>
          <w:highlight w:val="none"/>
          <w:lang w:val="en-US" w:eastAsia="zh-CN"/>
        </w:rPr>
        <w:t>95%；</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eastAsia="宋体" w:cs="宋体"/>
          <w:color w:val="auto"/>
          <w:highlight w:val="none"/>
        </w:rPr>
        <w:t>4月</w:t>
      </w:r>
      <w:r>
        <w:rPr>
          <w:rFonts w:hint="eastAsia" w:ascii="仿宋" w:hAnsi="仿宋" w:eastAsia="仿宋" w:cs="仿宋"/>
          <w:color w:val="auto"/>
          <w:highlight w:val="none"/>
        </w:rPr>
        <w:t>～</w:t>
      </w:r>
      <w:r>
        <w:rPr>
          <w:rFonts w:hint="eastAsia" w:ascii="宋体" w:hAnsi="宋体" w:eastAsia="宋体" w:cs="宋体"/>
          <w:color w:val="auto"/>
          <w:highlight w:val="none"/>
        </w:rPr>
        <w:t>10月</w:t>
      </w:r>
      <w:r>
        <w:rPr>
          <w:rFonts w:hint="eastAsia" w:ascii="宋体" w:hAnsi="宋体" w:cs="宋体"/>
          <w:color w:val="auto"/>
          <w:highlight w:val="none"/>
          <w:lang w:eastAsia="zh-CN"/>
        </w:rPr>
        <w:t>每月开展一次</w:t>
      </w:r>
      <w:r>
        <w:rPr>
          <w:rFonts w:hint="eastAsia" w:ascii="宋体" w:hAnsi="宋体" w:eastAsia="宋体" w:cs="宋体"/>
          <w:color w:val="auto"/>
          <w:highlight w:val="none"/>
        </w:rPr>
        <w:t>开展孳生地调查</w:t>
      </w:r>
      <w:r>
        <w:rPr>
          <w:rFonts w:hint="eastAsia" w:ascii="宋体" w:hAnsi="宋体" w:eastAsia="宋体" w:cs="宋体"/>
          <w:color w:val="auto"/>
          <w:highlight w:val="none"/>
        </w:rPr>
        <w:t>。</w:t>
      </w:r>
    </w:p>
    <w:p>
      <w:pPr>
        <w:pStyle w:val="10"/>
        <w:keepNext w:val="0"/>
        <w:keepLines w:val="0"/>
        <w:pageBreakBefore w:val="0"/>
        <w:widowControl w:val="0"/>
        <w:numPr>
          <w:ilvl w:val="0"/>
          <w:numId w:val="4"/>
        </w:numPr>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灭蝇要求：</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left="420" w:left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（1）4-11月每月开展</w:t>
      </w:r>
      <w:r>
        <w:rPr>
          <w:rFonts w:hint="eastAsia" w:ascii="宋体" w:hAnsi="宋体" w:eastAsia="宋体" w:cs="宋体"/>
          <w:color w:val="auto"/>
          <w:highlight w:val="none"/>
          <w:lang w:eastAsia="zh-CN"/>
        </w:rPr>
        <w:t>重点区域</w:t>
      </w:r>
      <w:r>
        <w:rPr>
          <w:rFonts w:hint="eastAsia" w:ascii="宋体" w:hAnsi="宋体" w:eastAsia="宋体" w:cs="宋体"/>
          <w:color w:val="auto"/>
          <w:highlight w:val="none"/>
        </w:rPr>
        <w:t>外环境</w:t>
      </w:r>
      <w:r>
        <w:rPr>
          <w:rFonts w:hint="eastAsia" w:ascii="宋体" w:hAnsi="宋体" w:eastAsia="宋体" w:cs="宋体"/>
          <w:color w:val="auto"/>
          <w:highlight w:val="none"/>
        </w:rPr>
        <w:t>杀</w:t>
      </w:r>
      <w:r>
        <w:rPr>
          <w:rFonts w:hint="eastAsia" w:ascii="宋体" w:hAnsi="宋体" w:cs="宋体"/>
          <w:color w:val="auto"/>
          <w:highlight w:val="none"/>
          <w:lang w:eastAsia="zh-CN"/>
        </w:rPr>
        <w:t>灭</w:t>
      </w:r>
      <w:r>
        <w:rPr>
          <w:rFonts w:hint="eastAsia" w:ascii="宋体" w:hAnsi="宋体" w:eastAsia="宋体" w:cs="宋体"/>
          <w:color w:val="auto"/>
          <w:highlight w:val="none"/>
        </w:rPr>
        <w:t>2次以上</w:t>
      </w:r>
      <w:r>
        <w:rPr>
          <w:rFonts w:hint="eastAsia" w:ascii="宋体" w:hAnsi="宋体" w:eastAsia="宋体" w:cs="宋体"/>
          <w:color w:val="auto"/>
          <w:highlight w:val="none"/>
          <w:lang w:eastAsia="zh-CN"/>
        </w:rPr>
        <w:t>，每月覆盖率不低于</w:t>
      </w:r>
      <w:r>
        <w:rPr>
          <w:rFonts w:hint="eastAsia" w:ascii="宋体" w:hAnsi="宋体" w:eastAsia="宋体" w:cs="宋体"/>
          <w:color w:val="auto"/>
          <w:highlight w:val="none"/>
          <w:lang w:val="en-US" w:eastAsia="zh-CN"/>
        </w:rPr>
        <w:t>80%；</w:t>
      </w:r>
    </w:p>
    <w:p>
      <w:pPr>
        <w:pStyle w:val="10"/>
        <w:keepNext w:val="0"/>
        <w:keepLines w:val="0"/>
        <w:pageBreakBefore w:val="0"/>
        <w:widowControl w:val="0"/>
        <w:numPr>
          <w:ilvl w:val="0"/>
          <w:numId w:val="6"/>
        </w:numPr>
        <w:kinsoku/>
        <w:wordWrap/>
        <w:overflowPunct/>
        <w:topLinePunct w:val="0"/>
        <w:autoSpaceDE/>
        <w:autoSpaceDN/>
        <w:bidi w:val="0"/>
        <w:adjustRightInd/>
        <w:snapToGrid w:val="0"/>
        <w:spacing w:before="120" w:after="120" w:line="360" w:lineRule="auto"/>
        <w:ind w:left="420" w:left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重点场所每月提供</w:t>
      </w:r>
      <w:r>
        <w:rPr>
          <w:rFonts w:hint="eastAsia" w:ascii="宋体" w:hAnsi="宋体" w:eastAsia="宋体" w:cs="宋体"/>
          <w:color w:val="auto"/>
          <w:highlight w:val="none"/>
        </w:rPr>
        <w:t>杀</w:t>
      </w:r>
      <w:r>
        <w:rPr>
          <w:rFonts w:hint="eastAsia" w:ascii="宋体" w:hAnsi="宋体" w:cs="宋体"/>
          <w:color w:val="auto"/>
          <w:highlight w:val="none"/>
          <w:lang w:eastAsia="zh-CN"/>
        </w:rPr>
        <w:t>灭</w:t>
      </w:r>
      <w:r>
        <w:rPr>
          <w:rFonts w:hint="eastAsia" w:ascii="宋体" w:hAnsi="宋体" w:eastAsia="宋体" w:cs="宋体"/>
          <w:color w:val="auto"/>
          <w:highlight w:val="none"/>
        </w:rPr>
        <w:t>服务1次以上</w:t>
      </w:r>
      <w:r>
        <w:rPr>
          <w:rFonts w:hint="eastAsia" w:ascii="宋体" w:hAnsi="宋体" w:eastAsia="宋体" w:cs="宋体"/>
          <w:color w:val="auto"/>
          <w:highlight w:val="none"/>
          <w:lang w:eastAsia="zh-CN"/>
        </w:rPr>
        <w:t>，覆盖率不低于</w:t>
      </w:r>
      <w:r>
        <w:rPr>
          <w:rFonts w:hint="eastAsia" w:ascii="宋体" w:hAnsi="宋体" w:eastAsia="宋体" w:cs="宋体"/>
          <w:color w:val="auto"/>
          <w:highlight w:val="none"/>
          <w:lang w:val="en-US" w:eastAsia="zh-CN"/>
        </w:rPr>
        <w:t>95%；</w:t>
      </w:r>
    </w:p>
    <w:p>
      <w:pPr>
        <w:pStyle w:val="10"/>
        <w:keepNext w:val="0"/>
        <w:keepLines w:val="0"/>
        <w:pageBreakBefore w:val="0"/>
        <w:widowControl w:val="0"/>
        <w:numPr>
          <w:ilvl w:val="0"/>
          <w:numId w:val="6"/>
        </w:numPr>
        <w:kinsoku/>
        <w:wordWrap/>
        <w:overflowPunct/>
        <w:topLinePunct w:val="0"/>
        <w:autoSpaceDE/>
        <w:autoSpaceDN/>
        <w:bidi w:val="0"/>
        <w:adjustRightInd/>
        <w:snapToGrid w:val="0"/>
        <w:spacing w:before="120" w:after="120" w:line="360" w:lineRule="auto"/>
        <w:ind w:left="420" w:leftChars="200" w:firstLine="0" w:firstLineChars="0"/>
        <w:jc w:val="left"/>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公厕、</w:t>
      </w:r>
      <w:r>
        <w:rPr>
          <w:rFonts w:hint="eastAsia" w:ascii="宋体" w:hAnsi="宋体" w:cs="宋体"/>
          <w:color w:val="auto"/>
          <w:highlight w:val="none"/>
          <w:lang w:eastAsia="zh-CN"/>
        </w:rPr>
        <w:t>垃圾投放点</w:t>
      </w:r>
      <w:r>
        <w:rPr>
          <w:rFonts w:hint="eastAsia" w:ascii="宋体" w:hAnsi="宋体" w:cs="宋体"/>
          <w:color w:val="auto"/>
          <w:highlight w:val="none"/>
          <w:lang w:eastAsia="zh-CN"/>
        </w:rPr>
        <w:t>、</w:t>
      </w:r>
      <w:r>
        <w:rPr>
          <w:rFonts w:hint="eastAsia" w:ascii="宋体" w:hAnsi="宋体" w:eastAsia="宋体" w:cs="宋体"/>
          <w:color w:val="auto"/>
          <w:highlight w:val="none"/>
          <w:lang w:eastAsia="zh-CN"/>
        </w:rPr>
        <w:t>垃圾中转站等重点场所捕蝇笼布放达</w:t>
      </w:r>
      <w:r>
        <w:rPr>
          <w:rFonts w:hint="eastAsia" w:ascii="宋体" w:hAnsi="宋体" w:eastAsia="宋体" w:cs="宋体"/>
          <w:color w:val="auto"/>
          <w:highlight w:val="none"/>
          <w:lang w:val="en-US" w:eastAsia="zh-CN"/>
        </w:rPr>
        <w:t>100%，药物更换及时；</w:t>
      </w:r>
    </w:p>
    <w:p>
      <w:pPr>
        <w:pStyle w:val="10"/>
        <w:keepNext w:val="0"/>
        <w:keepLines w:val="0"/>
        <w:pageBreakBefore w:val="0"/>
        <w:widowControl w:val="0"/>
        <w:numPr>
          <w:ilvl w:val="0"/>
          <w:numId w:val="6"/>
        </w:numPr>
        <w:kinsoku/>
        <w:wordWrap/>
        <w:overflowPunct/>
        <w:topLinePunct w:val="0"/>
        <w:autoSpaceDE/>
        <w:autoSpaceDN/>
        <w:bidi w:val="0"/>
        <w:adjustRightInd/>
        <w:snapToGrid w:val="0"/>
        <w:spacing w:before="120" w:after="120" w:line="360" w:lineRule="auto"/>
        <w:ind w:left="420" w:leftChars="200" w:firstLine="0" w:firstLineChars="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4月</w:t>
      </w:r>
      <w:r>
        <w:rPr>
          <w:rFonts w:hint="eastAsia" w:ascii="仿宋" w:hAnsi="仿宋" w:eastAsia="仿宋" w:cs="仿宋"/>
          <w:color w:val="auto"/>
          <w:highlight w:val="none"/>
        </w:rPr>
        <w:t>～</w:t>
      </w:r>
      <w:r>
        <w:rPr>
          <w:rFonts w:hint="eastAsia" w:ascii="宋体" w:hAnsi="宋体" w:eastAsia="宋体" w:cs="宋体"/>
          <w:color w:val="auto"/>
          <w:highlight w:val="none"/>
        </w:rPr>
        <w:t>10月</w:t>
      </w:r>
      <w:r>
        <w:rPr>
          <w:rFonts w:hint="eastAsia" w:ascii="宋体" w:hAnsi="宋体" w:cs="宋体"/>
          <w:color w:val="auto"/>
          <w:highlight w:val="none"/>
          <w:lang w:eastAsia="zh-CN"/>
        </w:rPr>
        <w:t>每月</w:t>
      </w:r>
      <w:r>
        <w:rPr>
          <w:rFonts w:hint="eastAsia" w:ascii="宋体" w:hAnsi="宋体" w:eastAsia="宋体" w:cs="宋体"/>
          <w:color w:val="auto"/>
          <w:highlight w:val="none"/>
        </w:rPr>
        <w:t>开展</w:t>
      </w:r>
      <w:r>
        <w:rPr>
          <w:rFonts w:hint="eastAsia" w:ascii="宋体" w:hAnsi="宋体" w:cs="宋体"/>
          <w:color w:val="auto"/>
          <w:highlight w:val="none"/>
          <w:lang w:eastAsia="zh-CN"/>
        </w:rPr>
        <w:t>一次</w:t>
      </w:r>
      <w:r>
        <w:rPr>
          <w:rFonts w:hint="eastAsia" w:ascii="宋体" w:hAnsi="宋体" w:eastAsia="宋体" w:cs="宋体"/>
          <w:color w:val="auto"/>
          <w:highlight w:val="none"/>
        </w:rPr>
        <w:t>孳生地调查</w:t>
      </w:r>
      <w:r>
        <w:rPr>
          <w:rFonts w:hint="eastAsia" w:ascii="宋体" w:hAnsi="宋体" w:eastAsia="宋体" w:cs="宋体"/>
          <w:color w:val="auto"/>
          <w:highlight w:val="none"/>
        </w:rPr>
        <w:t>。</w:t>
      </w:r>
    </w:p>
    <w:p>
      <w:pPr>
        <w:pStyle w:val="10"/>
        <w:keepNext w:val="0"/>
        <w:keepLines w:val="0"/>
        <w:pageBreakBefore w:val="0"/>
        <w:widowControl w:val="0"/>
        <w:numPr>
          <w:ilvl w:val="0"/>
          <w:numId w:val="4"/>
        </w:numPr>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灭蟑螂标准：</w:t>
      </w:r>
    </w:p>
    <w:p>
      <w:pPr>
        <w:pStyle w:val="10"/>
        <w:keepNext w:val="0"/>
        <w:keepLines w:val="0"/>
        <w:pageBreakBefore w:val="0"/>
        <w:widowControl w:val="0"/>
        <w:numPr>
          <w:ilvl w:val="0"/>
          <w:numId w:val="7"/>
        </w:numPr>
        <w:kinsoku/>
        <w:wordWrap/>
        <w:overflowPunct/>
        <w:topLinePunct w:val="0"/>
        <w:autoSpaceDE/>
        <w:autoSpaceDN/>
        <w:bidi w:val="0"/>
        <w:adjustRightInd/>
        <w:snapToGrid w:val="0"/>
        <w:spacing w:before="120" w:after="120" w:line="360" w:lineRule="auto"/>
        <w:ind w:left="420" w:left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每月开展</w:t>
      </w:r>
      <w:r>
        <w:rPr>
          <w:rFonts w:hint="eastAsia" w:ascii="宋体" w:hAnsi="宋体" w:eastAsia="宋体" w:cs="宋体"/>
          <w:color w:val="auto"/>
          <w:highlight w:val="none"/>
          <w:lang w:eastAsia="zh-CN"/>
        </w:rPr>
        <w:t>重点区域</w:t>
      </w:r>
      <w:r>
        <w:rPr>
          <w:rFonts w:hint="eastAsia" w:ascii="宋体" w:hAnsi="宋体" w:eastAsia="宋体" w:cs="宋体"/>
          <w:color w:val="auto"/>
          <w:highlight w:val="none"/>
        </w:rPr>
        <w:t>外环境</w:t>
      </w:r>
      <w:r>
        <w:rPr>
          <w:rFonts w:hint="eastAsia" w:ascii="宋体" w:hAnsi="宋体" w:eastAsia="宋体" w:cs="宋体"/>
          <w:color w:val="auto"/>
          <w:highlight w:val="none"/>
        </w:rPr>
        <w:t>杀</w:t>
      </w:r>
      <w:r>
        <w:rPr>
          <w:rFonts w:hint="eastAsia" w:ascii="宋体" w:hAnsi="宋体" w:cs="宋体"/>
          <w:color w:val="auto"/>
          <w:highlight w:val="none"/>
          <w:lang w:eastAsia="zh-CN"/>
        </w:rPr>
        <w:t>灭</w:t>
      </w:r>
      <w:r>
        <w:rPr>
          <w:rFonts w:hint="eastAsia" w:ascii="宋体" w:hAnsi="宋体" w:eastAsia="宋体" w:cs="宋体"/>
          <w:color w:val="auto"/>
          <w:highlight w:val="none"/>
        </w:rPr>
        <w:t>2次以上；</w:t>
      </w:r>
      <w:r>
        <w:rPr>
          <w:rFonts w:hint="eastAsia" w:ascii="宋体" w:hAnsi="宋体" w:eastAsia="宋体" w:cs="宋体"/>
          <w:color w:val="auto"/>
          <w:highlight w:val="none"/>
          <w:lang w:eastAsia="zh-CN"/>
        </w:rPr>
        <w:t>每月覆盖率不低于</w:t>
      </w:r>
      <w:r>
        <w:rPr>
          <w:rFonts w:hint="eastAsia" w:ascii="宋体" w:hAnsi="宋体" w:eastAsia="宋体" w:cs="宋体"/>
          <w:color w:val="auto"/>
          <w:highlight w:val="none"/>
          <w:lang w:val="en-US" w:eastAsia="zh-CN"/>
        </w:rPr>
        <w:t>80%；</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（2）重点场所每月提供</w:t>
      </w:r>
      <w:r>
        <w:rPr>
          <w:rFonts w:hint="eastAsia" w:ascii="宋体" w:hAnsi="宋体" w:eastAsia="宋体" w:cs="宋体"/>
          <w:color w:val="auto"/>
          <w:highlight w:val="none"/>
        </w:rPr>
        <w:t>杀</w:t>
      </w:r>
      <w:r>
        <w:rPr>
          <w:rFonts w:hint="eastAsia" w:ascii="宋体" w:hAnsi="宋体" w:cs="宋体"/>
          <w:color w:val="auto"/>
          <w:highlight w:val="none"/>
          <w:lang w:eastAsia="zh-CN"/>
        </w:rPr>
        <w:t>灭</w:t>
      </w:r>
      <w:r>
        <w:rPr>
          <w:rFonts w:hint="eastAsia" w:ascii="宋体" w:hAnsi="宋体" w:eastAsia="宋体" w:cs="宋体"/>
          <w:color w:val="auto"/>
          <w:highlight w:val="none"/>
        </w:rPr>
        <w:t>服务1次以上，</w:t>
      </w:r>
      <w:r>
        <w:rPr>
          <w:rFonts w:hint="eastAsia" w:ascii="宋体" w:hAnsi="宋体" w:eastAsia="宋体" w:cs="宋体"/>
          <w:color w:val="auto"/>
          <w:highlight w:val="none"/>
          <w:lang w:eastAsia="zh-CN"/>
        </w:rPr>
        <w:t>覆盖率不低于</w:t>
      </w:r>
      <w:r>
        <w:rPr>
          <w:rFonts w:hint="eastAsia" w:ascii="宋体" w:hAnsi="宋体" w:eastAsia="宋体" w:cs="宋体"/>
          <w:color w:val="auto"/>
          <w:highlight w:val="none"/>
          <w:lang w:val="en-US" w:eastAsia="zh-CN"/>
        </w:rPr>
        <w:t>95%；</w:t>
      </w:r>
      <w:r>
        <w:rPr>
          <w:rFonts w:hint="eastAsia" w:ascii="宋体" w:hAnsi="宋体" w:eastAsia="宋体" w:cs="宋体"/>
          <w:color w:val="auto"/>
          <w:highlight w:val="none"/>
        </w:rPr>
        <w:t>检查发现各类蟑迹并督促引导业主及时清理。</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6.开展重点场所三防设施（门帘、纱门</w:t>
      </w:r>
      <w:r>
        <w:rPr>
          <w:rFonts w:hint="eastAsia" w:ascii="宋体" w:hAnsi="宋体" w:eastAsia="宋体" w:cs="宋体"/>
          <w:color w:val="auto"/>
          <w:highlight w:val="none"/>
        </w:rPr>
        <w:t>、</w:t>
      </w:r>
      <w:r>
        <w:rPr>
          <w:rFonts w:hint="eastAsia" w:ascii="宋体" w:hAnsi="宋体" w:cs="宋体"/>
          <w:color w:val="auto"/>
          <w:highlight w:val="none"/>
          <w:lang w:eastAsia="zh-CN"/>
        </w:rPr>
        <w:t>纱窗、风幕机、灭蝇灯</w:t>
      </w:r>
      <w:r>
        <w:rPr>
          <w:rFonts w:hint="eastAsia" w:ascii="宋体" w:hAnsi="宋体" w:cs="宋体"/>
          <w:color w:val="auto"/>
          <w:highlight w:val="none"/>
          <w:lang w:eastAsia="zh-CN"/>
        </w:rPr>
        <w:t>、</w:t>
      </w:r>
      <w:r>
        <w:rPr>
          <w:rFonts w:hint="eastAsia" w:ascii="宋体" w:hAnsi="宋体" w:eastAsia="宋体" w:cs="宋体"/>
          <w:color w:val="auto"/>
          <w:highlight w:val="none"/>
        </w:rPr>
        <w:t>挡鼠板、铁皮包门、下水道防鼠网等）建设情况调查并报送卫健局、市场监管局；指导经营业主</w:t>
      </w:r>
      <w:r>
        <w:rPr>
          <w:rFonts w:hint="eastAsia" w:ascii="宋体" w:hAnsi="宋体" w:eastAsia="宋体" w:cs="宋体"/>
          <w:color w:val="auto"/>
          <w:highlight w:val="none"/>
        </w:rPr>
        <w:t>按规范安装</w:t>
      </w:r>
      <w:r>
        <w:rPr>
          <w:rFonts w:hint="eastAsia" w:ascii="宋体" w:hAnsi="宋体" w:cs="宋体"/>
          <w:color w:val="auto"/>
          <w:highlight w:val="none"/>
          <w:lang w:eastAsia="zh-CN"/>
        </w:rPr>
        <w:t>三防设施</w:t>
      </w:r>
      <w:r>
        <w:rPr>
          <w:rFonts w:hint="eastAsia" w:ascii="宋体" w:hAnsi="宋体" w:eastAsia="宋体" w:cs="宋体"/>
          <w:color w:val="auto"/>
          <w:highlight w:val="none"/>
        </w:rPr>
        <w:t>。</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7.通过第三方的防制效果评估；</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lang w:eastAsia="zh-CN"/>
        </w:rPr>
      </w:pPr>
      <w:r>
        <w:rPr>
          <w:rFonts w:hint="eastAsia" w:ascii="宋体" w:hAnsi="宋体" w:eastAsia="宋体" w:cs="宋体"/>
          <w:color w:val="auto"/>
          <w:highlight w:val="none"/>
        </w:rPr>
        <w:t>8.</w:t>
      </w:r>
      <w:r>
        <w:rPr>
          <w:rFonts w:hint="eastAsia" w:ascii="宋体" w:hAnsi="宋体" w:eastAsia="宋体" w:cs="宋体"/>
          <w:color w:val="auto"/>
          <w:highlight w:val="none"/>
          <w:lang w:eastAsia="zh-CN"/>
        </w:rPr>
        <w:t>按照信息化管理工作要求，如实上报工作数据；</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9.</w:t>
      </w:r>
      <w:r>
        <w:rPr>
          <w:rFonts w:hint="eastAsia" w:ascii="宋体" w:hAnsi="宋体" w:eastAsia="宋体" w:cs="宋体"/>
          <w:color w:val="auto"/>
          <w:highlight w:val="none"/>
        </w:rPr>
        <w:t>执行合同期间不得发生因操作不规范而引起的安全事故和投诉事件。</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jc w:val="center"/>
        <w:textAlignment w:val="auto"/>
        <w:outlineLvl w:val="9"/>
        <w:rPr>
          <w:rFonts w:hint="eastAsia" w:ascii="宋体" w:hAnsi="宋体" w:eastAsia="宋体" w:cs="宋体"/>
          <w:b/>
          <w:color w:val="auto"/>
          <w:highlight w:val="none"/>
        </w:rPr>
      </w:pPr>
      <w:r>
        <w:rPr>
          <w:rFonts w:hint="eastAsia" w:ascii="宋体" w:hAnsi="宋体" w:eastAsia="宋体" w:cs="宋体"/>
          <w:b/>
          <w:bCs/>
          <w:color w:val="auto"/>
          <w:highlight w:val="none"/>
        </w:rPr>
        <w:t>（六）</w:t>
      </w:r>
      <w:r>
        <w:rPr>
          <w:rFonts w:hint="eastAsia" w:ascii="宋体" w:hAnsi="宋体" w:eastAsia="宋体" w:cs="宋体"/>
          <w:b/>
          <w:color w:val="auto"/>
          <w:highlight w:val="none"/>
        </w:rPr>
        <w:t>消杀效果评估</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 xml:space="preserve"> </w:t>
      </w:r>
      <w:r>
        <w:rPr>
          <w:rFonts w:hint="eastAsia" w:ascii="宋体" w:hAnsi="宋体" w:cs="宋体"/>
          <w:color w:val="auto"/>
          <w:highlight w:val="none"/>
          <w:lang w:val="en-US" w:eastAsia="zh-CN"/>
        </w:rPr>
        <w:t xml:space="preserve"> </w:t>
      </w:r>
      <w:r>
        <w:rPr>
          <w:rFonts w:hint="eastAsia" w:ascii="宋体" w:hAnsi="宋体" w:eastAsia="宋体" w:cs="宋体"/>
          <w:color w:val="auto"/>
          <w:highlight w:val="none"/>
        </w:rPr>
        <w:t xml:space="preserve"> 根据《国家卫生城市标准》、《关于病媒生物预防控制效果现场评估的指导意见》（浙爱卫（2014）4号）等有关规定，由采购人组织有关人员或第三方进行综合评估。如一次评估验收不合格的，中标人必须无偿追加药物及消杀服务，并根据采购人要求达到验收合格为止；如再次评估验收不合格的</w:t>
      </w:r>
      <w:r>
        <w:rPr>
          <w:rFonts w:hint="eastAsia" w:ascii="宋体" w:hAnsi="宋体" w:eastAsia="宋体" w:cs="宋体"/>
          <w:b/>
          <w:color w:val="auto"/>
          <w:highlight w:val="none"/>
        </w:rPr>
        <w:t>（评估费用由中标人出资）</w:t>
      </w:r>
      <w:r>
        <w:rPr>
          <w:rFonts w:hint="eastAsia" w:ascii="宋体" w:hAnsi="宋体" w:eastAsia="宋体" w:cs="宋体"/>
          <w:color w:val="auto"/>
          <w:highlight w:val="none"/>
        </w:rPr>
        <w:t>，采购人有权取消消杀服务资格，并终止合同及不予付款。</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jc w:val="center"/>
        <w:textAlignment w:val="auto"/>
        <w:outlineLvl w:val="9"/>
        <w:rPr>
          <w:rFonts w:hint="default" w:ascii="宋体" w:hAnsi="宋体" w:eastAsia="宋体" w:cs="宋体"/>
          <w:b/>
          <w:color w:val="auto"/>
          <w:sz w:val="28"/>
          <w:szCs w:val="21"/>
          <w:highlight w:val="none"/>
          <w:lang w:val="en-US" w:eastAsia="zh-CN"/>
        </w:rPr>
      </w:pPr>
      <w:r>
        <w:rPr>
          <w:rFonts w:hint="eastAsia" w:ascii="宋体" w:hAnsi="宋体" w:eastAsia="宋体" w:cs="宋体"/>
          <w:b/>
          <w:bCs/>
          <w:color w:val="auto"/>
          <w:highlight w:val="none"/>
        </w:rPr>
        <w:t>（</w:t>
      </w:r>
      <w:r>
        <w:rPr>
          <w:rFonts w:hint="eastAsia" w:ascii="宋体" w:hAnsi="宋体" w:cs="宋体"/>
          <w:b/>
          <w:bCs/>
          <w:color w:val="auto"/>
          <w:highlight w:val="none"/>
          <w:lang w:val="en-US" w:eastAsia="zh-CN"/>
        </w:rPr>
        <w:t>七</w:t>
      </w:r>
      <w:r>
        <w:rPr>
          <w:rFonts w:hint="eastAsia" w:ascii="宋体" w:hAnsi="宋体" w:eastAsia="宋体" w:cs="宋体"/>
          <w:b/>
          <w:bCs/>
          <w:color w:val="auto"/>
          <w:highlight w:val="none"/>
        </w:rPr>
        <w:t>）</w:t>
      </w:r>
      <w:r>
        <w:rPr>
          <w:rFonts w:hint="eastAsia" w:ascii="宋体" w:hAnsi="宋体" w:eastAsia="宋体" w:cs="宋体"/>
          <w:b/>
          <w:color w:val="auto"/>
          <w:highlight w:val="none"/>
        </w:rPr>
        <w:t>付款方式</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1.合同生效以及具备实施条件后7个工作日内支付合同价款的</w:t>
      </w:r>
      <w:r>
        <w:rPr>
          <w:rFonts w:hint="eastAsia" w:ascii="宋体" w:hAnsi="宋体" w:cs="宋体"/>
          <w:color w:val="auto"/>
          <w:highlight w:val="none"/>
          <w:lang w:val="en-US" w:eastAsia="zh-CN"/>
        </w:rPr>
        <w:t>3</w:t>
      </w:r>
      <w:r>
        <w:rPr>
          <w:rFonts w:hint="eastAsia" w:ascii="宋体" w:hAnsi="宋体" w:eastAsia="宋体" w:cs="宋体"/>
          <w:color w:val="auto"/>
          <w:highlight w:val="none"/>
        </w:rPr>
        <w:t>0%</w:t>
      </w:r>
      <w:r>
        <w:rPr>
          <w:rFonts w:hint="eastAsia" w:ascii="宋体" w:hAnsi="宋体" w:eastAsia="宋体" w:cs="宋体"/>
          <w:color w:val="auto"/>
          <w:highlight w:val="none"/>
        </w:rPr>
        <w:t>（采购人根据项目特点、供应商诚信等因素，可以要求中标人提交预付款保函）</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.合同签订后</w:t>
      </w:r>
      <w:r>
        <w:rPr>
          <w:rFonts w:hint="eastAsia" w:ascii="宋体" w:hAnsi="宋体" w:cs="宋体"/>
          <w:color w:val="auto"/>
          <w:highlight w:val="none"/>
          <w:lang w:eastAsia="zh-CN"/>
        </w:rPr>
        <w:t>两</w:t>
      </w:r>
      <w:r>
        <w:rPr>
          <w:rFonts w:hint="eastAsia" w:ascii="宋体" w:hAnsi="宋体" w:eastAsia="宋体" w:cs="宋体"/>
          <w:color w:val="auto"/>
          <w:highlight w:val="none"/>
        </w:rPr>
        <w:t>个月，经</w:t>
      </w:r>
      <w:r>
        <w:rPr>
          <w:rFonts w:hint="eastAsia" w:ascii="宋体" w:hAnsi="宋体" w:cs="宋体"/>
          <w:color w:val="auto"/>
          <w:highlight w:val="none"/>
          <w:lang w:eastAsia="zh-CN"/>
        </w:rPr>
        <w:t>初</w:t>
      </w:r>
      <w:r>
        <w:rPr>
          <w:rFonts w:hint="eastAsia" w:ascii="宋体" w:hAnsi="宋体" w:eastAsia="宋体" w:cs="宋体"/>
          <w:color w:val="auto"/>
          <w:highlight w:val="none"/>
        </w:rPr>
        <w:t>期评估，考核验收合格（鼠、蟑螂、蚊、蝇四项都控制在国家标准以内），支付合同价款的</w:t>
      </w:r>
      <w:r>
        <w:rPr>
          <w:rFonts w:hint="eastAsia" w:ascii="宋体" w:hAnsi="宋体" w:cs="宋体"/>
          <w:color w:val="auto"/>
          <w:highlight w:val="none"/>
          <w:lang w:val="en-US" w:eastAsia="zh-CN"/>
        </w:rPr>
        <w:t>3</w:t>
      </w:r>
      <w:r>
        <w:rPr>
          <w:rFonts w:hint="eastAsia" w:ascii="宋体" w:hAnsi="宋体" w:eastAsia="宋体" w:cs="宋体"/>
          <w:color w:val="auto"/>
          <w:highlight w:val="none"/>
        </w:rPr>
        <w:t>0%</w:t>
      </w:r>
      <w:r>
        <w:rPr>
          <w:rFonts w:hint="eastAsia" w:ascii="宋体" w:hAnsi="宋体" w:eastAsia="宋体" w:cs="宋体"/>
          <w:color w:val="auto"/>
          <w:highlight w:val="none"/>
        </w:rPr>
        <w:t>；</w:t>
      </w:r>
      <w:r>
        <w:rPr>
          <w:rFonts w:hint="eastAsia" w:ascii="宋体" w:hAnsi="宋体" w:eastAsia="宋体" w:cs="宋体"/>
          <w:color w:val="auto"/>
          <w:highlight w:val="none"/>
        </w:rPr>
        <w:t>余款将在合同期满，经终期评估，考核验收合格后付清。</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.服务期内，若因病媒防制服务未到位原因，造成上级考核验收时未通过国家卫生城市复审、城区四害密度控制水平C级评审的，将扣除合同价款总额的15%。</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.服务期内，采购人将每两月指定一项重点工作并组织考核验收，如考核验收合格率低于80%，将扣除合同价款总额的5%。</w:t>
      </w:r>
    </w:p>
    <w:p>
      <w:pPr>
        <w:pStyle w:val="10"/>
        <w:keepNext w:val="0"/>
        <w:keepLines w:val="0"/>
        <w:pageBreakBefore w:val="0"/>
        <w:widowControl w:val="0"/>
        <w:kinsoku/>
        <w:wordWrap/>
        <w:overflowPunct/>
        <w:topLinePunct w:val="0"/>
        <w:autoSpaceDE/>
        <w:autoSpaceDN/>
        <w:bidi w:val="0"/>
        <w:adjustRightInd/>
        <w:snapToGrid w:val="0"/>
        <w:spacing w:before="120" w:after="120" w:line="360"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.中标人在结算合同价款时需提供正式的税务发票。</w:t>
      </w:r>
    </w:p>
    <w:p>
      <w:pPr>
        <w:pStyle w:val="15"/>
        <w:spacing w:line="360" w:lineRule="auto"/>
        <w:ind w:left="0" w:leftChars="0" w:firstLine="0" w:firstLineChars="0"/>
        <w:rPr>
          <w:rFonts w:hint="eastAsia" w:ascii="宋体" w:hAnsi="宋体" w:eastAsia="宋体" w:cs="宋体"/>
          <w:b/>
          <w:color w:val="auto"/>
          <w:sz w:val="24"/>
          <w:szCs w:val="22"/>
          <w:highlight w:val="none"/>
          <w:lang w:eastAsia="zh-CN"/>
        </w:rPr>
      </w:pPr>
    </w:p>
    <w:p>
      <w:pPr>
        <w:pStyle w:val="3"/>
        <w:keepNext w:val="0"/>
        <w:keepLines w:val="0"/>
        <w:pageBreakBefore/>
        <w:spacing w:line="240" w:lineRule="auto"/>
        <w:jc w:val="center"/>
        <w:rPr>
          <w:rFonts w:hint="eastAsia" w:ascii="宋体" w:hAnsi="宋体" w:eastAsia="宋体" w:cs="宋体"/>
          <w:color w:val="auto"/>
          <w:kern w:val="0"/>
          <w:sz w:val="24"/>
          <w:szCs w:val="24"/>
          <w:highlight w:val="none"/>
        </w:rPr>
      </w:pPr>
      <w:bookmarkStart w:id="11" w:name="_Toc12838"/>
      <w:r>
        <w:rPr>
          <w:rFonts w:hint="eastAsia" w:ascii="宋体" w:hAnsi="宋体" w:eastAsia="宋体" w:cs="宋体"/>
          <w:color w:val="auto"/>
          <w:sz w:val="24"/>
          <w:szCs w:val="24"/>
          <w:highlight w:val="none"/>
        </w:rPr>
        <w:t>第三章   投标人须知</w:t>
      </w:r>
      <w:bookmarkEnd w:id="11"/>
    </w:p>
    <w:p>
      <w:pPr>
        <w:pStyle w:val="10"/>
        <w:snapToGrid w:val="0"/>
        <w:spacing w:before="120" w:after="120"/>
        <w:ind w:firstLine="472" w:firstLineChars="196"/>
        <w:jc w:val="center"/>
        <w:outlineLvl w:val="1"/>
        <w:rPr>
          <w:rFonts w:hint="eastAsia" w:ascii="宋体" w:hAnsi="宋体" w:eastAsia="宋体" w:cs="宋体"/>
          <w:b/>
          <w:color w:val="auto"/>
          <w:szCs w:val="24"/>
          <w:highlight w:val="none"/>
        </w:rPr>
      </w:pPr>
      <w:bookmarkStart w:id="12" w:name="_Toc8489"/>
      <w:r>
        <w:rPr>
          <w:rFonts w:hint="eastAsia" w:ascii="宋体" w:hAnsi="宋体" w:eastAsia="宋体" w:cs="宋体"/>
          <w:b/>
          <w:color w:val="auto"/>
          <w:szCs w:val="24"/>
          <w:highlight w:val="none"/>
        </w:rPr>
        <w:t>前附表</w:t>
      </w:r>
      <w:bookmarkEnd w:id="12"/>
    </w:p>
    <w:tbl>
      <w:tblPr>
        <w:tblStyle w:val="2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9"/>
        <w:gridCol w:w="87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4"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1"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240" w:firstLineChars="1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宋体" w:hAnsi="宋体" w:eastAsia="宋体" w:cs="宋体"/>
                <w:b/>
                <w:bCs/>
                <w:color w:val="auto"/>
                <w:sz w:val="24"/>
                <w:highlight w:val="none"/>
                <w:lang w:eastAsia="zh-CN"/>
              </w:rPr>
            </w:pPr>
            <w:r>
              <w:rPr>
                <w:rFonts w:hint="eastAsia" w:ascii="宋体" w:hAnsi="宋体" w:eastAsia="宋体" w:cs="宋体"/>
                <w:color w:val="auto"/>
                <w:sz w:val="24"/>
                <w:highlight w:val="none"/>
              </w:rPr>
              <w:t>项目名称：</w:t>
            </w:r>
            <w:r>
              <w:rPr>
                <w:rFonts w:hint="eastAsia" w:ascii="宋体" w:hAnsi="宋体" w:cs="宋体"/>
                <w:color w:val="auto"/>
                <w:sz w:val="24"/>
                <w:highlight w:val="none"/>
                <w:lang w:eastAsia="zh-CN"/>
              </w:rPr>
              <w:t>东阳市卫生健康局2022-2023年度城区除四害市场化运作项目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7"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投标报价及费用：1、本项目投标应以</w:t>
            </w:r>
            <w:r>
              <w:rPr>
                <w:rFonts w:hint="eastAsia" w:ascii="宋体" w:hAnsi="宋体" w:cs="宋体"/>
                <w:color w:val="auto"/>
                <w:sz w:val="24"/>
                <w:highlight w:val="none"/>
                <w:lang w:val="en-US" w:eastAsia="zh-CN"/>
              </w:rPr>
              <w:t>人民币</w:t>
            </w:r>
            <w:r>
              <w:rPr>
                <w:rFonts w:hint="eastAsia" w:ascii="宋体" w:hAnsi="宋体" w:eastAsia="宋体" w:cs="宋体"/>
                <w:color w:val="auto"/>
                <w:sz w:val="24"/>
                <w:highlight w:val="none"/>
              </w:rPr>
              <w:t>报价；2、不论投标结果如何，投标人均应自行承担所有与投标有关的全部费用；3、投标费用：东阳市鑫盛工程咨询有限公司按照本招标文件总则第（五）条规定向中标人收取中标服务费。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val="0"/>
              <w:spacing w:line="42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3</w:t>
            </w:r>
          </w:p>
        </w:tc>
        <w:tc>
          <w:tcPr>
            <w:tcW w:w="8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val="0"/>
              <w:spacing w:line="420" w:lineRule="exact"/>
              <w:rPr>
                <w:rFonts w:hint="eastAsia" w:ascii="宋体" w:hAnsi="宋体" w:eastAsia="宋体" w:cs="宋体"/>
                <w:color w:val="auto"/>
                <w:kern w:val="2"/>
                <w:sz w:val="24"/>
                <w:szCs w:val="24"/>
                <w:highlight w:val="none"/>
                <w:lang w:val="en-US" w:eastAsia="zh-CN" w:bidi="ar-SA"/>
              </w:rPr>
            </w:pPr>
            <w:r>
              <w:rPr>
                <w:rFonts w:hint="eastAsia" w:ascii="宋体" w:hAnsi="宋体" w:cs="宋体"/>
                <w:b/>
                <w:bCs/>
                <w:color w:val="auto"/>
                <w:sz w:val="24"/>
                <w:szCs w:val="24"/>
                <w:highlight w:val="none"/>
              </w:rPr>
              <w:t>根据《政府采购促进中小企业管理办法》及《关于印发中小企业划型标准规定的通</w:t>
            </w:r>
            <w:r>
              <w:rPr>
                <w:rFonts w:hint="eastAsia" w:ascii="宋体" w:hAnsi="宋体" w:cs="宋体"/>
                <w:b/>
                <w:bCs/>
                <w:color w:val="auto"/>
                <w:sz w:val="24"/>
                <w:szCs w:val="24"/>
                <w:highlight w:val="none"/>
                <w:shd w:val="clear"/>
              </w:rPr>
              <w:t>知工信部联企业》（〔2011〕300号）有关规定，本采购标的对应的所属行业为</w:t>
            </w:r>
            <w:r>
              <w:rPr>
                <w:rFonts w:hint="eastAsia" w:ascii="宋体" w:hAnsi="宋体" w:cs="宋体"/>
                <w:b/>
                <w:bCs/>
                <w:color w:val="auto"/>
                <w:sz w:val="24"/>
                <w:szCs w:val="24"/>
                <w:highlight w:val="none"/>
                <w:shd w:val="clear"/>
                <w:lang w:eastAsia="zh-CN"/>
              </w:rPr>
              <w:t>：</w:t>
            </w:r>
            <w:r>
              <w:rPr>
                <w:rFonts w:hint="eastAsia" w:ascii="宋体" w:hAnsi="宋体" w:cs="宋体"/>
                <w:b/>
                <w:bCs/>
                <w:color w:val="auto"/>
                <w:sz w:val="24"/>
                <w:szCs w:val="24"/>
                <w:highlight w:val="none"/>
                <w:shd w:val="clear"/>
                <w:lang w:val="en-US" w:eastAsia="zh-CN"/>
              </w:rPr>
              <w:t>其他未列明行业</w:t>
            </w:r>
            <w:r>
              <w:rPr>
                <w:rFonts w:hint="eastAsia" w:ascii="宋体" w:hAnsi="宋体" w:cs="宋体"/>
                <w:b/>
                <w:bCs/>
                <w:color w:val="auto"/>
                <w:sz w:val="24"/>
                <w:szCs w:val="24"/>
                <w:highlight w:val="none"/>
                <w:shd w:val="clear"/>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50"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hint="eastAsia" w:ascii="宋体" w:hAnsi="宋体" w:cs="宋体"/>
                <w:color w:val="auto"/>
                <w:sz w:val="24"/>
                <w:szCs w:val="24"/>
                <w:highlight w:val="none"/>
                <w:lang w:val="en-US" w:eastAsia="zh-CN"/>
              </w:rPr>
            </w:pPr>
            <w:r>
              <w:rPr>
                <w:rFonts w:hint="eastAsia" w:ascii="宋体" w:hAnsi="宋体" w:cs="宋体"/>
                <w:color w:val="auto"/>
                <w:sz w:val="24"/>
                <w:highlight w:val="none"/>
                <w:lang w:val="en-US" w:eastAsia="zh-CN"/>
              </w:rPr>
              <w:t>4</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根据《关于在政府采购活动中查询及使用信用记录有关问题的通知》财库[2016]125号的规定：</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采购</w:t>
            </w:r>
            <w:r>
              <w:rPr>
                <w:rFonts w:hint="eastAsia" w:ascii="宋体" w:hAnsi="宋体" w:cs="宋体"/>
                <w:color w:val="auto"/>
                <w:sz w:val="24"/>
                <w:highlight w:val="none"/>
              </w:rPr>
              <w:t>人或采购代理机构将对本项目供应商的信用记录进行查询。查询渠道为信用中国网站（www.creditchina.gov.cn）、中国政府采购网（www.ccgp.gov.cn）；</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（2）截止时点：提交投标文件（响应文件）截止时间前3年内；</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（3）查询记录和证据的留存：信用信息查询记录和证据以网页截图等方式留存。</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（4）使用规则：被列入失信被执行人、重大税收违法案件当事人名单、政府采购严重违法失信行为记录名单及其它不符合《中华人民共和国政府采购法》第二十二条规定条件的，其投标将被拒绝。</w:t>
            </w:r>
          </w:p>
          <w:p>
            <w:pPr>
              <w:snapToGrid w:val="0"/>
              <w:spacing w:line="360" w:lineRule="auto"/>
              <w:rPr>
                <w:rFonts w:hint="eastAsia" w:ascii="宋体" w:hAnsi="宋体" w:cs="宋体"/>
                <w:b/>
                <w:bCs/>
                <w:color w:val="auto"/>
                <w:sz w:val="24"/>
                <w:szCs w:val="24"/>
                <w:highlight w:val="none"/>
              </w:rPr>
            </w:pPr>
            <w:r>
              <w:rPr>
                <w:rFonts w:hint="eastAsia" w:ascii="宋体" w:hAnsi="宋体" w:cs="宋体"/>
                <w:color w:val="auto"/>
                <w:sz w:val="24"/>
                <w:highlight w:val="none"/>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5</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答疑与澄清：投标人如认为招标文件表述不清晰、存在歧视性、排他性或者其他违法内容的，应当按照公开招标公告第</w:t>
            </w:r>
            <w:r>
              <w:rPr>
                <w:rFonts w:hint="eastAsia" w:ascii="宋体" w:hAnsi="宋体" w:eastAsia="宋体" w:cs="宋体"/>
                <w:color w:val="auto"/>
                <w:sz w:val="24"/>
                <w:highlight w:val="none"/>
                <w:lang w:eastAsia="zh-CN"/>
              </w:rPr>
              <w:t>三、</w:t>
            </w:r>
            <w:r>
              <w:rPr>
                <w:rFonts w:hint="eastAsia" w:ascii="宋体" w:hAnsi="宋体" w:cs="宋体"/>
                <w:color w:val="auto"/>
                <w:sz w:val="24"/>
                <w:highlight w:val="none"/>
                <w:lang w:val="en-US" w:eastAsia="zh-CN"/>
              </w:rPr>
              <w:t>七</w:t>
            </w:r>
            <w:r>
              <w:rPr>
                <w:rFonts w:hint="eastAsia" w:ascii="宋体" w:hAnsi="宋体" w:eastAsia="宋体" w:cs="宋体"/>
                <w:color w:val="auto"/>
                <w:sz w:val="24"/>
                <w:highlight w:val="none"/>
              </w:rPr>
              <w:t>条规定以书面形式要求招标方作出书面解释、澄清或者向招标方提出书面质疑；</w:t>
            </w:r>
            <w:r>
              <w:rPr>
                <w:rFonts w:hint="eastAsia" w:ascii="宋体" w:hAnsi="宋体" w:eastAsia="宋体" w:cs="宋体"/>
                <w:b/>
                <w:color w:val="auto"/>
                <w:sz w:val="24"/>
                <w:highlight w:val="none"/>
              </w:rPr>
              <w:t>在质疑截止时间前，未对招标文件提出质疑时，视投标人对招标文件的默认；</w:t>
            </w:r>
            <w:r>
              <w:rPr>
                <w:rFonts w:hint="eastAsia" w:ascii="宋体" w:hAnsi="宋体" w:eastAsia="宋体" w:cs="宋体"/>
                <w:color w:val="auto"/>
                <w:sz w:val="24"/>
                <w:highlight w:val="none"/>
              </w:rPr>
              <w:t>招标采购单位对已发出的招标文件进行必要澄清、答复、修改或者补充的，在财政部门指定的政府采购信息发布媒体上发布更正公告，并以书面形式通知所有已获取招标文件的投标人；答疑内容是招标文件的组成部分；澄清或者修改的内容可能影响投标文件编制的，应当在投标截止时间至少15日前，以书面形式通知所有获取招标文件的潜在投标人；不足15日的，顺延提交投标文件的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81"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6</w:t>
            </w:r>
          </w:p>
        </w:tc>
        <w:tc>
          <w:tcPr>
            <w:tcW w:w="87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投标文件的递交：</w:t>
            </w:r>
          </w:p>
          <w:p>
            <w:pPr>
              <w:autoSpaceDE w:val="0"/>
              <w:autoSpaceDN w:val="0"/>
              <w:snapToGrid w:val="0"/>
              <w:spacing w:line="360" w:lineRule="auto"/>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本项目投标文件由资格审查文件、商务技术文件和报价文件三部分组成。投标人应按以下方式递交投标文件：</w:t>
            </w:r>
          </w:p>
          <w:p>
            <w:pPr>
              <w:autoSpaceDE w:val="0"/>
              <w:autoSpaceDN w:val="0"/>
              <w:snapToGrid w:val="0"/>
              <w:spacing w:line="360" w:lineRule="auto"/>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▲1、本项目实行“网上投标、电子评标”，投标人应于投标截止时间前在“政采云”（电子交易平台）上传输、递交电子版投标文件（包括资格审查文件、商务技术文件和报价文件）；</w:t>
            </w:r>
          </w:p>
          <w:p>
            <w:pPr>
              <w:autoSpaceDE w:val="0"/>
              <w:autoSpaceDN w:val="0"/>
              <w:snapToGrid w:val="0"/>
              <w:spacing w:line="360" w:lineRule="auto"/>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2、为了避免由于电子交易平台无法正常运行等技术、安全故障原因造成投标文件无法解密或解密失败，导致投标无效的情况，投标人可以在投标截止时间前将电子备份投标文件（经政采云电子交易客户端和CA驱动制作出的后缀名为“bfbs”的加密电子备份投标文件）发送至东阳市鑫盛工程咨询有限公司邮箱：1816352277@qq.com，逾期发送或发错后缀名的备份投标文件将被视为无效；</w:t>
            </w:r>
          </w:p>
          <w:p>
            <w:pPr>
              <w:autoSpaceDE w:val="0"/>
              <w:autoSpaceDN w:val="0"/>
              <w:snapToGrid w:val="0"/>
              <w:spacing w:line="360" w:lineRule="auto"/>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3、投标人仅提交电子备份投标文件的，投标无效；</w:t>
            </w:r>
          </w:p>
          <w:p>
            <w:pPr>
              <w:autoSpaceDE w:val="0"/>
              <w:autoSpaceDN w:val="0"/>
              <w:snapToGrid w:val="0"/>
              <w:spacing w:line="360" w:lineRule="auto"/>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4、本项目不强制投标人提交电子备份投标文件；如在开评标时出现电子投标文件无法解密或解密失败等情况，因投标人未提供电子备份投标文件而造成投标无效等一切后果和风险由投标人自行承担。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73"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7</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bCs/>
                <w:color w:val="auto"/>
                <w:sz w:val="24"/>
                <w:highlight w:val="none"/>
                <w:u w:val="single"/>
                <w:lang w:eastAsia="zh-CN"/>
              </w:rPr>
            </w:pPr>
            <w:r>
              <w:rPr>
                <w:rFonts w:hint="eastAsia" w:ascii="宋体" w:hAnsi="宋体" w:eastAsia="宋体" w:cs="宋体"/>
                <w:bCs/>
                <w:color w:val="auto"/>
                <w:sz w:val="24"/>
                <w:highlight w:val="none"/>
              </w:rPr>
              <w:t>投标截止时间：</w:t>
            </w:r>
            <w:r>
              <w:rPr>
                <w:rFonts w:hint="eastAsia" w:ascii="宋体" w:hAnsi="宋体" w:cs="宋体"/>
                <w:color w:val="auto"/>
                <w:sz w:val="24"/>
                <w:highlight w:val="none"/>
                <w:lang w:eastAsia="zh-CN"/>
              </w:rPr>
              <w:t>2022年</w:t>
            </w:r>
            <w:r>
              <w:rPr>
                <w:rFonts w:hint="eastAsia" w:ascii="宋体" w:hAnsi="宋体" w:cs="宋体"/>
                <w:color w:val="auto"/>
                <w:sz w:val="24"/>
                <w:highlight w:val="none"/>
                <w:lang w:val="en-US" w:eastAsia="zh-CN"/>
              </w:rPr>
              <w:t>8</w:t>
            </w:r>
            <w:r>
              <w:rPr>
                <w:rFonts w:hint="eastAsia" w:ascii="宋体" w:hAnsi="宋体" w:cs="宋体"/>
                <w:color w:val="auto"/>
                <w:sz w:val="24"/>
                <w:highlight w:val="none"/>
                <w:lang w:eastAsia="zh-CN"/>
              </w:rPr>
              <w:t>月</w:t>
            </w:r>
            <w:r>
              <w:rPr>
                <w:rFonts w:hint="eastAsia" w:ascii="宋体" w:hAnsi="宋体" w:cs="宋体"/>
                <w:color w:val="auto"/>
                <w:sz w:val="24"/>
                <w:highlight w:val="none"/>
                <w:lang w:val="en-US" w:eastAsia="zh-CN"/>
              </w:rPr>
              <w:t>10</w:t>
            </w:r>
            <w:r>
              <w:rPr>
                <w:rFonts w:hint="eastAsia" w:ascii="宋体" w:hAnsi="宋体" w:cs="宋体"/>
                <w:color w:val="auto"/>
                <w:sz w:val="24"/>
                <w:highlight w:val="none"/>
                <w:lang w:eastAsia="zh-CN"/>
              </w:rPr>
              <w:t>日</w:t>
            </w:r>
            <w:r>
              <w:rPr>
                <w:rFonts w:hint="eastAsia" w:ascii="宋体" w:hAnsi="宋体" w:cs="宋体"/>
                <w:color w:val="auto"/>
                <w:sz w:val="24"/>
                <w:highlight w:val="none"/>
                <w:lang w:val="en-US" w:eastAsia="zh-CN"/>
              </w:rPr>
              <w:t>8</w:t>
            </w:r>
            <w:r>
              <w:rPr>
                <w:rFonts w:hint="eastAsia" w:ascii="宋体" w:hAnsi="宋体" w:cs="宋体"/>
                <w:color w:val="auto"/>
                <w:sz w:val="24"/>
                <w:highlight w:val="none"/>
                <w:lang w:eastAsia="zh-CN"/>
              </w:rPr>
              <w:t>时</w:t>
            </w:r>
            <w:r>
              <w:rPr>
                <w:rFonts w:hint="eastAsia" w:ascii="宋体" w:hAnsi="宋体" w:cs="宋体"/>
                <w:color w:val="auto"/>
                <w:sz w:val="24"/>
                <w:highlight w:val="none"/>
                <w:lang w:val="en-US" w:eastAsia="zh-CN"/>
              </w:rPr>
              <w:t>30</w:t>
            </w:r>
            <w:r>
              <w:rPr>
                <w:rFonts w:hint="eastAsia" w:ascii="宋体" w:hAnsi="宋体" w:cs="宋体"/>
                <w:color w:val="auto"/>
                <w:sz w:val="24"/>
                <w:highlight w:val="none"/>
                <w:lang w:eastAsia="zh-CN"/>
              </w:rPr>
              <w:t>分</w:t>
            </w:r>
          </w:p>
          <w:p>
            <w:pPr>
              <w:pStyle w:val="10"/>
              <w:spacing w:line="360" w:lineRule="auto"/>
              <w:rPr>
                <w:rFonts w:hint="eastAsia" w:ascii="宋体" w:hAnsi="宋体" w:eastAsia="宋体" w:cs="宋体"/>
                <w:bCs/>
                <w:color w:val="auto"/>
                <w:szCs w:val="24"/>
                <w:highlight w:val="none"/>
              </w:rPr>
            </w:pPr>
            <w:r>
              <w:rPr>
                <w:rFonts w:hint="eastAsia" w:ascii="宋体" w:hAnsi="宋体" w:eastAsia="宋体" w:cs="宋体"/>
                <w:bCs/>
                <w:color w:val="auto"/>
                <w:szCs w:val="24"/>
                <w:highlight w:val="none"/>
              </w:rPr>
              <w:t>1、投标人应当在投标截止时间前在“政采云”（电子交易平台）上自行上传加密的电子投标文件。投标截止时间前未完成传输的，视为撤回电子投标文件。投标截止时间后递交的电子投标文件，将被政采云平台拒收。</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2、电子备份投标文件的递交时间：投标人应当在投标截止时间前，逾期未递交的视为自动放弃。</w:t>
            </w:r>
          </w:p>
          <w:p>
            <w:pPr>
              <w:pStyle w:val="10"/>
              <w:spacing w:line="360" w:lineRule="auto"/>
              <w:rPr>
                <w:rFonts w:hint="eastAsia" w:ascii="宋体" w:hAnsi="宋体" w:eastAsia="宋体" w:cs="宋体"/>
                <w:color w:val="auto"/>
                <w:szCs w:val="24"/>
                <w:highlight w:val="none"/>
              </w:rPr>
            </w:pPr>
            <w:r>
              <w:rPr>
                <w:rFonts w:hint="eastAsia" w:ascii="宋体" w:hAnsi="宋体" w:eastAsia="宋体" w:cs="宋体"/>
                <w:bCs/>
                <w:color w:val="auto"/>
                <w:szCs w:val="24"/>
                <w:highlight w:val="none"/>
              </w:rPr>
              <w:t>3、投标人应当在投标截止时间前完成投标准备事宜（应具备上网的技术条件并保持网络及联系方式畅通）及电子投标文件的传输递交，可以补充、修改或者撤回电子投标文件。补充或者修改电子投标文件的，应当先行撤回原文件，补充、修改后重新传输递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42"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8</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开标时间：</w:t>
            </w:r>
            <w:r>
              <w:rPr>
                <w:rFonts w:hint="eastAsia" w:ascii="宋体" w:hAnsi="宋体" w:cs="宋体"/>
                <w:color w:val="auto"/>
                <w:sz w:val="24"/>
                <w:highlight w:val="none"/>
                <w:lang w:eastAsia="zh-CN"/>
              </w:rPr>
              <w:t>2022年</w:t>
            </w:r>
            <w:r>
              <w:rPr>
                <w:rFonts w:hint="eastAsia" w:ascii="宋体" w:hAnsi="宋体" w:cs="宋体"/>
                <w:color w:val="auto"/>
                <w:sz w:val="24"/>
                <w:highlight w:val="none"/>
                <w:lang w:val="en-US" w:eastAsia="zh-CN"/>
              </w:rPr>
              <w:t>8</w:t>
            </w:r>
            <w:r>
              <w:rPr>
                <w:rFonts w:hint="eastAsia" w:ascii="宋体" w:hAnsi="宋体" w:cs="宋体"/>
                <w:color w:val="auto"/>
                <w:sz w:val="24"/>
                <w:highlight w:val="none"/>
                <w:lang w:eastAsia="zh-CN"/>
              </w:rPr>
              <w:t>月</w:t>
            </w:r>
            <w:r>
              <w:rPr>
                <w:rFonts w:hint="eastAsia" w:ascii="宋体" w:hAnsi="宋体" w:cs="宋体"/>
                <w:color w:val="auto"/>
                <w:sz w:val="24"/>
                <w:highlight w:val="none"/>
                <w:lang w:val="en-US" w:eastAsia="zh-CN"/>
              </w:rPr>
              <w:t>10</w:t>
            </w:r>
            <w:r>
              <w:rPr>
                <w:rFonts w:hint="eastAsia" w:ascii="宋体" w:hAnsi="宋体" w:cs="宋体"/>
                <w:color w:val="auto"/>
                <w:sz w:val="24"/>
                <w:highlight w:val="none"/>
                <w:lang w:eastAsia="zh-CN"/>
              </w:rPr>
              <w:t>日</w:t>
            </w:r>
            <w:r>
              <w:rPr>
                <w:rFonts w:hint="eastAsia" w:ascii="宋体" w:hAnsi="宋体" w:cs="宋体"/>
                <w:color w:val="auto"/>
                <w:sz w:val="24"/>
                <w:highlight w:val="none"/>
                <w:lang w:val="en-US" w:eastAsia="zh-CN"/>
              </w:rPr>
              <w:t>8</w:t>
            </w:r>
            <w:r>
              <w:rPr>
                <w:rFonts w:hint="eastAsia" w:ascii="宋体" w:hAnsi="宋体" w:cs="宋体"/>
                <w:color w:val="auto"/>
                <w:sz w:val="24"/>
                <w:highlight w:val="none"/>
                <w:lang w:eastAsia="zh-CN"/>
              </w:rPr>
              <w:t>时</w:t>
            </w:r>
            <w:r>
              <w:rPr>
                <w:rFonts w:hint="eastAsia" w:ascii="宋体" w:hAnsi="宋体" w:cs="宋体"/>
                <w:color w:val="auto"/>
                <w:sz w:val="24"/>
                <w:highlight w:val="none"/>
                <w:lang w:val="en-US" w:eastAsia="zh-CN"/>
              </w:rPr>
              <w:t>30</w:t>
            </w:r>
            <w:r>
              <w:rPr>
                <w:rFonts w:hint="eastAsia" w:ascii="宋体" w:hAnsi="宋体" w:cs="宋体"/>
                <w:color w:val="auto"/>
                <w:sz w:val="24"/>
                <w:highlight w:val="none"/>
                <w:lang w:eastAsia="zh-CN"/>
              </w:rPr>
              <w:t>分</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不要求投标人到开标现场开标，但投标人应派法定代表人或委托代理人【委托代理人应当是投标人的在职正式职工（以投标人本单位缴纳社保花名册为准）】准时在线出席电子开标会议，随时关注开标进度，如在开标过程中有电子询标，应在规定的时间内对电子询标函进行澄清回复。</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截止开标时间，政采云（电子交易平台）自动提取所有投标文件，投标人须在开标时间截止后30分钟内对上传政采云的投标文件进行解密，所有投标人在规定的解密时限内解密完成或解密时限到后，采购代理机构开启投标文件；投标人超过解密时限的，系统默认自动放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4"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9</w:t>
            </w:r>
          </w:p>
        </w:tc>
        <w:tc>
          <w:tcPr>
            <w:tcW w:w="87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评标办法：综合评分法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7"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10</w:t>
            </w:r>
          </w:p>
        </w:tc>
        <w:tc>
          <w:tcPr>
            <w:tcW w:w="87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hint="eastAsia" w:ascii="宋体" w:hAnsi="宋体" w:eastAsia="宋体" w:cs="宋体"/>
                <w:color w:val="auto"/>
                <w:sz w:val="24"/>
                <w:highlight w:val="none"/>
              </w:rPr>
            </w:pPr>
            <w:bookmarkStart w:id="13" w:name="_Toc457480905"/>
            <w:r>
              <w:rPr>
                <w:rFonts w:hint="eastAsia" w:ascii="宋体" w:hAnsi="宋体" w:eastAsia="宋体" w:cs="宋体"/>
                <w:color w:val="auto"/>
                <w:sz w:val="24"/>
                <w:highlight w:val="none"/>
              </w:rPr>
              <w:t>中标结果公告：自中标人确定之日起2个工作日内，中标结果公告于浙江省政府采购网(http://zfcg.czt.zj.gov.cn/)、东阳市公共资源交易网(http://www.dongyang.gov.cn/ggzyjy/index.html)，公告1个工作日</w:t>
            </w:r>
            <w:bookmarkEnd w:id="13"/>
            <w:r>
              <w:rPr>
                <w:rFonts w:hint="eastAsia" w:ascii="宋体" w:hAnsi="宋体" w:eastAsia="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7"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11</w:t>
            </w:r>
          </w:p>
        </w:tc>
        <w:tc>
          <w:tcPr>
            <w:tcW w:w="87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《中标通知书》的领取时间：中标人应自中标结果公告结束日起，在3个工作日内领取，否则按放弃中标资格处理，并因违反诚信原则，提交财政部门列入政府采购黑名单。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7"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12</w:t>
            </w:r>
          </w:p>
        </w:tc>
        <w:tc>
          <w:tcPr>
            <w:tcW w:w="87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履约保证金交纳：</w:t>
            </w:r>
          </w:p>
          <w:p>
            <w:pPr>
              <w:autoSpaceDE w:val="0"/>
              <w:autoSpaceDN w:val="0"/>
              <w:snapToGrid w:val="0"/>
              <w:spacing w:line="360" w:lineRule="auto"/>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中标人在收到中标通知书后，需向采购人提供</w:t>
            </w:r>
            <w:r>
              <w:rPr>
                <w:rFonts w:hint="eastAsia" w:ascii="宋体" w:hAnsi="宋体" w:eastAsia="宋体" w:cs="宋体"/>
                <w:color w:val="auto"/>
                <w:sz w:val="24"/>
                <w:highlight w:val="none"/>
                <w:lang w:val="en-US" w:eastAsia="zh-CN"/>
              </w:rPr>
              <w:t>中标价的1</w:t>
            </w:r>
            <w:r>
              <w:rPr>
                <w:rFonts w:hint="eastAsia" w:ascii="宋体" w:hAnsi="宋体" w:eastAsia="宋体" w:cs="宋体"/>
                <w:color w:val="auto"/>
                <w:sz w:val="24"/>
                <w:highlight w:val="none"/>
              </w:rPr>
              <w:t>%的履约保证金，在中标人与采购人签订合同前递交，投标人需以支票、汇票、本票或者金融机构、保险公司、担保机构出具的保函（可在政采云平台购买，咨询热线4009039583）等非现金形式提交。</w:t>
            </w:r>
          </w:p>
          <w:p>
            <w:pPr>
              <w:autoSpaceDE w:val="0"/>
              <w:autoSpaceDN w:val="0"/>
              <w:snapToGrid w:val="0"/>
              <w:spacing w:line="360" w:lineRule="auto"/>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中标人也</w:t>
            </w:r>
            <w:r>
              <w:rPr>
                <w:rFonts w:hint="eastAsia" w:ascii="宋体" w:hAnsi="宋体" w:eastAsia="宋体" w:cs="宋体"/>
                <w:color w:val="auto"/>
                <w:sz w:val="24"/>
                <w:highlight w:val="none"/>
              </w:rPr>
              <w:t>可登录政采云平台-【金融服务】—【我的项目】—【已备案合同】以保函形式提供：</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中标人</w:t>
            </w:r>
            <w:r>
              <w:rPr>
                <w:rFonts w:hint="eastAsia" w:ascii="宋体" w:hAnsi="宋体" w:eastAsia="宋体" w:cs="宋体"/>
                <w:color w:val="auto"/>
                <w:sz w:val="24"/>
                <w:highlight w:val="none"/>
              </w:rPr>
              <w:t>在合同列表选择需要投保的合同，点击[保函推荐]。</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在弹框里查看推荐的保函产品，</w:t>
            </w:r>
            <w:r>
              <w:rPr>
                <w:rFonts w:hint="eastAsia" w:ascii="宋体" w:hAnsi="宋体" w:eastAsia="宋体" w:cs="宋体"/>
                <w:color w:val="auto"/>
                <w:sz w:val="24"/>
                <w:highlight w:val="none"/>
                <w:lang w:val="en-US" w:eastAsia="zh-CN"/>
              </w:rPr>
              <w:t>中标人</w:t>
            </w:r>
            <w:r>
              <w:rPr>
                <w:rFonts w:hint="eastAsia" w:ascii="宋体" w:hAnsi="宋体" w:eastAsia="宋体" w:cs="宋体"/>
                <w:color w:val="auto"/>
                <w:sz w:val="24"/>
                <w:highlight w:val="none"/>
              </w:rPr>
              <w:t>自行选择保函产品，点击[立即申请]。</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在弹框里填写保函申请信息。具体步骤：选择产品—填写供应商信息—选择中标项目—确认信息—等待保险/保函受理—确认保单—支付保费—成功出单。政采云金融专线400-903-9583。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13</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企业信用融资: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陆浙江政府采购( (tp:/www zizfcg gov.cn)的中小企业信用融资栏目了解相关信息。 供应商可以通过浙江政府采购网(https://zfcg. czt.zj. gov.cn/)首页的“浙江政采贷”模块进入申请，还可以通过政府采购云平台(https://wwwzcygov.cn/)首页的“金融服务”模块进入申请。</w:t>
            </w:r>
          </w:p>
          <w:p>
            <w:pPr>
              <w:snapToGrid w:val="0"/>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政府采购金融服务提示</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 xml:space="preserve">为扩大政府采购金融服务面，除政采云网上金融服务合作银行外，东阳市范围内增加浙商银行金华分行东阳支行作为线下合作银行。   </w:t>
            </w:r>
          </w:p>
          <w:p>
            <w:pPr>
              <w:snapToGrid w:val="0"/>
              <w:spacing w:line="360" w:lineRule="auto"/>
              <w:jc w:val="left"/>
              <w:rPr>
                <w:rFonts w:hint="eastAsia" w:ascii="宋体" w:hAnsi="宋体" w:eastAsia="宋体" w:cs="宋体"/>
                <w:color w:val="auto"/>
                <w:highlight w:val="none"/>
                <w:lang w:val="en-US" w:eastAsia="zh-CN"/>
              </w:rPr>
            </w:pPr>
            <w:r>
              <w:rPr>
                <w:rFonts w:hint="eastAsia" w:ascii="宋体" w:hAnsi="宋体" w:eastAsia="宋体" w:cs="宋体"/>
                <w:color w:val="auto"/>
                <w:sz w:val="24"/>
                <w:highlight w:val="none"/>
              </w:rPr>
              <w:t>浙商银行金华东阳支行联系人：</w:t>
            </w:r>
            <w:r>
              <w:rPr>
                <w:rFonts w:hint="eastAsia" w:ascii="宋体" w:hAnsi="宋体" w:cs="宋体"/>
                <w:color w:val="auto"/>
                <w:sz w:val="24"/>
                <w:highlight w:val="none"/>
              </w:rPr>
              <w:t xml:space="preserve">许燕  联系电话：13967983441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0579-86222992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1"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4</w:t>
            </w:r>
          </w:p>
        </w:tc>
        <w:tc>
          <w:tcPr>
            <w:tcW w:w="87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签订合同时间：发出《中标通知书》之日起</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0天内。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1"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highlight w:val="none"/>
              </w:rPr>
              <w:t>1</w:t>
            </w:r>
            <w:r>
              <w:rPr>
                <w:rFonts w:hint="eastAsia" w:ascii="宋体" w:hAnsi="宋体" w:cs="宋体"/>
                <w:bCs/>
                <w:color w:val="auto"/>
                <w:sz w:val="24"/>
                <w:highlight w:val="none"/>
                <w:lang w:val="en-US" w:eastAsia="zh-CN"/>
              </w:rPr>
              <w:t>5</w:t>
            </w:r>
          </w:p>
        </w:tc>
        <w:tc>
          <w:tcPr>
            <w:tcW w:w="87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中标人与</w:t>
            </w:r>
            <w:r>
              <w:rPr>
                <w:rFonts w:hint="eastAsia" w:ascii="宋体" w:hAnsi="宋体" w:cs="宋体"/>
                <w:color w:val="auto"/>
                <w:sz w:val="24"/>
                <w:highlight w:val="none"/>
                <w:lang w:val="en-US" w:eastAsia="zh-CN"/>
              </w:rPr>
              <w:t>东阳市卫生健康局</w:t>
            </w:r>
            <w:r>
              <w:rPr>
                <w:rFonts w:hint="eastAsia" w:ascii="宋体" w:hAnsi="宋体" w:eastAsia="宋体" w:cs="宋体"/>
                <w:color w:val="auto"/>
                <w:sz w:val="24"/>
                <w:highlight w:val="none"/>
                <w:lang w:eastAsia="zh-CN"/>
              </w:rPr>
              <w:t>签订政府采购合同</w:t>
            </w:r>
            <w:r>
              <w:rPr>
                <w:rFonts w:hint="eastAsia" w:ascii="宋体" w:hAnsi="宋体" w:cs="宋体"/>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5"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6</w:t>
            </w:r>
          </w:p>
        </w:tc>
        <w:tc>
          <w:tcPr>
            <w:tcW w:w="8750" w:type="dxa"/>
            <w:tcBorders>
              <w:top w:val="single" w:color="auto" w:sz="4" w:space="0"/>
              <w:left w:val="single" w:color="auto" w:sz="4" w:space="0"/>
              <w:bottom w:val="single" w:color="auto" w:sz="4" w:space="0"/>
              <w:right w:val="single" w:color="auto" w:sz="4" w:space="0"/>
            </w:tcBorders>
            <w:vAlign w:val="center"/>
          </w:tcPr>
          <w:p>
            <w:pPr>
              <w:pStyle w:val="10"/>
              <w:keepNext w:val="0"/>
              <w:keepLines w:val="0"/>
              <w:pageBreakBefore w:val="0"/>
              <w:widowControl w:val="0"/>
              <w:kinsoku/>
              <w:wordWrap/>
              <w:overflowPunct/>
              <w:topLinePunct w:val="0"/>
              <w:autoSpaceDE/>
              <w:autoSpaceDN/>
              <w:bidi w:val="0"/>
              <w:adjustRightInd/>
              <w:snapToGrid w:val="0"/>
              <w:spacing w:before="120" w:after="120" w:line="440" w:lineRule="exact"/>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sz w:val="24"/>
                <w:highlight w:val="none"/>
                <w:lang w:val="en-US" w:eastAsia="zh-CN"/>
              </w:rPr>
              <w:t>付款方式：</w:t>
            </w:r>
            <w:r>
              <w:rPr>
                <w:rFonts w:hint="eastAsia" w:ascii="宋体" w:hAnsi="宋体" w:eastAsia="宋体" w:cs="宋体"/>
                <w:color w:val="auto"/>
                <w:highlight w:val="none"/>
              </w:rPr>
              <w:t>1.合同生效以及具备实施条件后7个工作日内支付合同价款的30%（采购人根据项目特点、供应商诚信等因素，可以要求中标人提交预付款保函）</w:t>
            </w:r>
          </w:p>
          <w:p>
            <w:pPr>
              <w:pStyle w:val="10"/>
              <w:keepNext w:val="0"/>
              <w:keepLines w:val="0"/>
              <w:pageBreakBefore w:val="0"/>
              <w:widowControl w:val="0"/>
              <w:kinsoku/>
              <w:wordWrap/>
              <w:overflowPunct/>
              <w:topLinePunct w:val="0"/>
              <w:autoSpaceDE/>
              <w:autoSpaceDN/>
              <w:bidi w:val="0"/>
              <w:adjustRightInd/>
              <w:snapToGrid w:val="0"/>
              <w:spacing w:before="120" w:after="120" w:line="440" w:lineRule="exact"/>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2.合同签订后两个月，经初期评估，考核验收合格（鼠、蟑螂、蚊、蝇四项都控制在国家标准以内），支付合同价款的30%；余款将在合同期满，经终期评估，考核验收合格后付清。</w:t>
            </w:r>
          </w:p>
          <w:p>
            <w:pPr>
              <w:pStyle w:val="10"/>
              <w:keepNext w:val="0"/>
              <w:keepLines w:val="0"/>
              <w:pageBreakBefore w:val="0"/>
              <w:widowControl w:val="0"/>
              <w:kinsoku/>
              <w:wordWrap/>
              <w:overflowPunct/>
              <w:topLinePunct w:val="0"/>
              <w:autoSpaceDE/>
              <w:autoSpaceDN/>
              <w:bidi w:val="0"/>
              <w:adjustRightInd/>
              <w:snapToGrid w:val="0"/>
              <w:spacing w:before="120" w:after="120" w:line="440" w:lineRule="exact"/>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3.服务期内，若因病媒防制服务未到位原因，造成上级考核验收时未通过国家卫生城市复审、城区四害密度控制水平C级评审的，将扣除合同价款总额的15%。</w:t>
            </w:r>
          </w:p>
          <w:p>
            <w:pPr>
              <w:pStyle w:val="10"/>
              <w:keepNext w:val="0"/>
              <w:keepLines w:val="0"/>
              <w:pageBreakBefore w:val="0"/>
              <w:widowControl w:val="0"/>
              <w:kinsoku/>
              <w:wordWrap/>
              <w:overflowPunct/>
              <w:topLinePunct w:val="0"/>
              <w:autoSpaceDE/>
              <w:autoSpaceDN/>
              <w:bidi w:val="0"/>
              <w:adjustRightInd/>
              <w:snapToGrid w:val="0"/>
              <w:spacing w:before="120" w:after="120" w:line="440" w:lineRule="exact"/>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4.服务期内，采购人将每两月指定一项重点工作并组织考核验收，如考核验收合格率低于80%，将扣除合同价款总额的5%。</w:t>
            </w:r>
          </w:p>
          <w:p>
            <w:pPr>
              <w:pStyle w:val="10"/>
              <w:keepNext w:val="0"/>
              <w:keepLines w:val="0"/>
              <w:pageBreakBefore w:val="0"/>
              <w:widowControl w:val="0"/>
              <w:kinsoku/>
              <w:wordWrap/>
              <w:overflowPunct/>
              <w:topLinePunct w:val="0"/>
              <w:autoSpaceDE/>
              <w:autoSpaceDN/>
              <w:bidi w:val="0"/>
              <w:adjustRightInd/>
              <w:snapToGrid w:val="0"/>
              <w:spacing w:before="120" w:after="120" w:line="440" w:lineRule="exact"/>
              <w:ind w:firstLine="480" w:firstLineChars="200"/>
              <w:jc w:val="left"/>
              <w:textAlignment w:val="auto"/>
              <w:outlineLvl w:val="9"/>
              <w:rPr>
                <w:rFonts w:hint="eastAsia" w:ascii="宋体" w:hAnsi="宋体" w:eastAsia="宋体" w:cs="宋体"/>
                <w:color w:val="auto"/>
                <w:sz w:val="24"/>
                <w:highlight w:val="none"/>
              </w:rPr>
            </w:pPr>
            <w:r>
              <w:rPr>
                <w:rFonts w:hint="eastAsia" w:ascii="宋体" w:hAnsi="宋体" w:eastAsia="宋体" w:cs="宋体"/>
                <w:color w:val="auto"/>
                <w:highlight w:val="none"/>
              </w:rPr>
              <w:t>5.中标人在结算合同价款时需提供正式的税务发票。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6"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17</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货物交付/服务地点：东阳市内，采购人指定的地点。</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验收：</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1.采购人组织</w:t>
            </w:r>
            <w:r>
              <w:rPr>
                <w:rFonts w:hint="eastAsia" w:ascii="宋体" w:hAnsi="宋体" w:cs="宋体"/>
                <w:color w:val="auto"/>
                <w:sz w:val="24"/>
                <w:highlight w:val="none"/>
                <w:lang w:eastAsia="zh-CN"/>
              </w:rPr>
              <w:t>相关人员</w:t>
            </w:r>
            <w:r>
              <w:rPr>
                <w:rFonts w:hint="eastAsia" w:ascii="宋体" w:hAnsi="宋体" w:cs="宋体"/>
                <w:color w:val="auto"/>
                <w:sz w:val="24"/>
                <w:highlight w:val="none"/>
              </w:rPr>
              <w:t>对供应商履约的验收</w:t>
            </w:r>
            <w:r>
              <w:rPr>
                <w:rFonts w:hint="eastAsia" w:ascii="宋体" w:hAnsi="宋体" w:cs="宋体"/>
                <w:color w:val="auto"/>
                <w:sz w:val="24"/>
                <w:highlight w:val="none"/>
                <w:lang w:eastAsia="zh-CN"/>
              </w:rPr>
              <w:t>，验收费用由中标人承担；采购人出具一式二份验收报告，一份由中标人保管，一份由东阳市鑫盛工程咨询有限公司（原件）存档</w:t>
            </w:r>
            <w:r>
              <w:rPr>
                <w:rFonts w:hint="eastAsia" w:ascii="宋体" w:hAnsi="宋体" w:cs="宋体"/>
                <w:color w:val="auto"/>
                <w:sz w:val="24"/>
                <w:highlight w:val="none"/>
              </w:rPr>
              <w:t>。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2.采购人可以邀请参加本项目的其他供应商或者第三方机构参与验收。参与验收的供应商或者第三方机构的意见作为验收书的参考资料一并存档。</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4.采购人原则上应当在履约验收之日起2个工作日内，将履约验收结果在浙江政府采购网上公告。</w:t>
            </w:r>
          </w:p>
          <w:p>
            <w:pPr>
              <w:snapToGrid w:val="0"/>
              <w:spacing w:line="360" w:lineRule="auto"/>
              <w:rPr>
                <w:rFonts w:hint="eastAsia" w:ascii="宋体" w:hAnsi="宋体" w:eastAsia="宋体" w:cs="宋体"/>
                <w:color w:val="auto"/>
                <w:sz w:val="24"/>
                <w:highlight w:val="none"/>
              </w:rPr>
            </w:pPr>
            <w:r>
              <w:rPr>
                <w:rFonts w:hint="eastAsia" w:ascii="宋体" w:hAnsi="宋体" w:cs="宋体"/>
                <w:color w:val="auto"/>
                <w:sz w:val="24"/>
                <w:highlight w:val="none"/>
              </w:rPr>
              <w:t>5.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8</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60" w:lineRule="auto"/>
              <w:outlineLvl w:val="2"/>
              <w:rPr>
                <w:rFonts w:hint="eastAsia" w:ascii="宋体" w:hAnsi="宋体"/>
                <w:b/>
                <w:color w:val="auto"/>
                <w:sz w:val="24"/>
                <w:highlight w:val="none"/>
              </w:rPr>
            </w:pPr>
            <w:r>
              <w:rPr>
                <w:rFonts w:hint="eastAsia" w:ascii="宋体" w:hAnsi="宋体"/>
                <w:b/>
                <w:color w:val="auto"/>
                <w:sz w:val="24"/>
                <w:highlight w:val="none"/>
              </w:rPr>
              <w:t>供应商有下列情形之一的，列入失信名单，同时依照《政府采购法》第七十七条及《中华人民共和国政府采购法实施条例》第七十二条规定处罚并追求法律责任。</w:t>
            </w:r>
          </w:p>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 xml:space="preserve">1、提供虚假材料谋取中标、成交的； </w:t>
            </w:r>
            <w:r>
              <w:rPr>
                <w:rFonts w:hint="eastAsia" w:ascii="宋体" w:hAnsi="宋体"/>
                <w:color w:val="auto"/>
                <w:sz w:val="24"/>
                <w:highlight w:val="none"/>
              </w:rPr>
              <w:br w:type="textWrapping"/>
            </w:r>
            <w:r>
              <w:rPr>
                <w:rFonts w:hint="eastAsia" w:ascii="宋体" w:hAnsi="宋体"/>
                <w:color w:val="auto"/>
                <w:sz w:val="24"/>
                <w:highlight w:val="none"/>
              </w:rPr>
              <w:t xml:space="preserve">2、采取不正当手段诋毁、排挤其他供应商的； </w:t>
            </w:r>
            <w:r>
              <w:rPr>
                <w:rFonts w:hint="eastAsia" w:ascii="宋体" w:hAnsi="宋体"/>
                <w:color w:val="auto"/>
                <w:sz w:val="24"/>
                <w:highlight w:val="none"/>
              </w:rPr>
              <w:br w:type="textWrapping"/>
            </w:r>
            <w:r>
              <w:rPr>
                <w:rFonts w:hint="eastAsia" w:ascii="宋体" w:hAnsi="宋体"/>
                <w:color w:val="auto"/>
                <w:sz w:val="24"/>
                <w:highlight w:val="none"/>
              </w:rPr>
              <w:t xml:space="preserve">3、与采购人、其他供应商或者采购代理机构恶意串通的； </w:t>
            </w:r>
            <w:r>
              <w:rPr>
                <w:rFonts w:hint="eastAsia" w:ascii="宋体" w:hAnsi="宋体"/>
                <w:color w:val="auto"/>
                <w:sz w:val="24"/>
                <w:highlight w:val="none"/>
              </w:rPr>
              <w:br w:type="textWrapping"/>
            </w:r>
            <w:r>
              <w:rPr>
                <w:rFonts w:hint="eastAsia" w:ascii="宋体" w:hAnsi="宋体"/>
                <w:color w:val="auto"/>
                <w:sz w:val="24"/>
                <w:highlight w:val="none"/>
              </w:rPr>
              <w:t xml:space="preserve">4、向采购人、采购代理机构行贿或者提供其他不正当利益的； </w:t>
            </w:r>
            <w:r>
              <w:rPr>
                <w:rFonts w:hint="eastAsia" w:ascii="宋体" w:hAnsi="宋体"/>
                <w:color w:val="auto"/>
                <w:sz w:val="24"/>
                <w:highlight w:val="none"/>
              </w:rPr>
              <w:br w:type="textWrapping"/>
            </w:r>
            <w:r>
              <w:rPr>
                <w:rFonts w:hint="eastAsia" w:ascii="宋体" w:hAnsi="宋体"/>
                <w:color w:val="auto"/>
                <w:sz w:val="24"/>
                <w:highlight w:val="none"/>
              </w:rPr>
              <w:t xml:space="preserve">5、在招标采购过程中与采购人进行协商谈判的； </w:t>
            </w:r>
          </w:p>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6、向评标委员会、竞争性谈判小组或者询价小组成员行贿或者提供其他不正当利益；</w:t>
            </w:r>
          </w:p>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7、中标或者成交后无正当理由拒不与采购人签订政府采购合同；</w:t>
            </w:r>
          </w:p>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8、未按照采购文件确定的事项签订政府采购合同；</w:t>
            </w:r>
          </w:p>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9、将政府采购合同转包；</w:t>
            </w:r>
          </w:p>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10、提供假冒伪劣产品；</w:t>
            </w:r>
          </w:p>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11、擅自变更、中止或者终止政府采购合同。</w:t>
            </w:r>
          </w:p>
          <w:p>
            <w:pPr>
              <w:snapToGrid w:val="0"/>
              <w:spacing w:line="360" w:lineRule="auto"/>
              <w:rPr>
                <w:rFonts w:hint="eastAsia" w:ascii="宋体" w:hAnsi="宋体" w:eastAsia="宋体" w:cs="宋体"/>
                <w:color w:val="auto"/>
                <w:sz w:val="24"/>
                <w:highlight w:val="none"/>
              </w:rPr>
            </w:pPr>
            <w:r>
              <w:rPr>
                <w:rFonts w:hint="eastAsia" w:ascii="宋体" w:hAnsi="宋体"/>
                <w:color w:val="auto"/>
                <w:sz w:val="24"/>
                <w:highlight w:val="none"/>
              </w:rPr>
              <w:t>12、其他严重扰乱招投标程序的。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6"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9</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投标文件有效期：</w:t>
            </w:r>
            <w:r>
              <w:rPr>
                <w:rFonts w:hint="eastAsia" w:ascii="宋体" w:hAnsi="宋体" w:eastAsia="宋体" w:cs="宋体"/>
                <w:color w:val="auto"/>
                <w:sz w:val="24"/>
                <w:highlight w:val="none"/>
                <w:u w:val="single"/>
              </w:rPr>
              <w:t>60</w:t>
            </w:r>
            <w:r>
              <w:rPr>
                <w:rFonts w:hint="eastAsia" w:ascii="宋体" w:hAnsi="宋体" w:eastAsia="宋体" w:cs="宋体"/>
                <w:color w:val="auto"/>
                <w:sz w:val="24"/>
                <w:highlight w:val="none"/>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6"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20</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招标方对投标人的落选不作出任何解释。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21</w:t>
            </w:r>
          </w:p>
        </w:tc>
        <w:tc>
          <w:tcPr>
            <w:tcW w:w="875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rPr>
              <w:t>采购人和招标代理机构的任何工作人员对投标人所作的任何口头解释、介绍、答复，仅供投标人参考，不作为招标依据，对采购人、招标代理机构和投标人无任何约束力，一切以网上公告及书面形式为准。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6"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22</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解释：本招标文件的解释权属于东阳市鑫盛工程咨询有限公司。</w:t>
            </w:r>
          </w:p>
        </w:tc>
      </w:tr>
    </w:tbl>
    <w:p>
      <w:pPr>
        <w:pStyle w:val="10"/>
        <w:snapToGrid w:val="0"/>
        <w:spacing w:before="120" w:after="120" w:line="360" w:lineRule="auto"/>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注：如本招标文件后面的条款与本表有矛盾的以本表的内容为准。</w:t>
      </w:r>
    </w:p>
    <w:p>
      <w:pPr>
        <w:pStyle w:val="10"/>
        <w:pageBreakBefore/>
        <w:numPr>
          <w:ilvl w:val="0"/>
          <w:numId w:val="8"/>
        </w:numPr>
        <w:snapToGrid w:val="0"/>
        <w:spacing w:line="360" w:lineRule="auto"/>
        <w:ind w:left="826" w:hanging="826" w:hangingChars="343"/>
        <w:jc w:val="center"/>
        <w:outlineLvl w:val="1"/>
        <w:rPr>
          <w:rFonts w:hint="eastAsia" w:ascii="宋体" w:hAnsi="宋体" w:eastAsia="宋体" w:cs="宋体"/>
          <w:b/>
          <w:color w:val="auto"/>
          <w:szCs w:val="24"/>
          <w:highlight w:val="none"/>
        </w:rPr>
      </w:pPr>
      <w:bookmarkStart w:id="14" w:name="_Toc442"/>
      <w:r>
        <w:rPr>
          <w:rFonts w:hint="eastAsia" w:ascii="宋体" w:hAnsi="宋体" w:eastAsia="宋体" w:cs="宋体"/>
          <w:b/>
          <w:color w:val="auto"/>
          <w:szCs w:val="24"/>
          <w:highlight w:val="none"/>
        </w:rPr>
        <w:t>总则</w:t>
      </w:r>
      <w:bookmarkEnd w:id="14"/>
    </w:p>
    <w:p>
      <w:pPr>
        <w:spacing w:line="440" w:lineRule="exact"/>
        <w:rPr>
          <w:rFonts w:hint="eastAsia" w:ascii="宋体" w:hAnsi="宋体" w:eastAsia="宋体" w:cs="宋体"/>
          <w:b/>
          <w:color w:val="auto"/>
          <w:sz w:val="24"/>
          <w:highlight w:val="none"/>
        </w:rPr>
      </w:pPr>
      <w:bookmarkStart w:id="15" w:name="_Toc407182093"/>
      <w:r>
        <w:rPr>
          <w:rFonts w:hint="eastAsia" w:ascii="宋体" w:hAnsi="宋体" w:eastAsia="宋体" w:cs="宋体"/>
          <w:b/>
          <w:color w:val="auto"/>
          <w:sz w:val="24"/>
          <w:highlight w:val="none"/>
        </w:rPr>
        <w:t>（一） 适用范围</w:t>
      </w:r>
      <w:bookmarkEnd w:id="15"/>
    </w:p>
    <w:p>
      <w:pPr>
        <w:spacing w:line="440" w:lineRule="exact"/>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本招标文件适用于</w:t>
      </w:r>
      <w:r>
        <w:rPr>
          <w:rFonts w:hint="eastAsia" w:ascii="宋体" w:hAnsi="宋体" w:cs="宋体"/>
          <w:color w:val="auto"/>
          <w:sz w:val="24"/>
          <w:highlight w:val="none"/>
          <w:lang w:eastAsia="zh-CN"/>
        </w:rPr>
        <w:t>东阳市卫生健康局2022-2023年度城区除四害市场化运作项目</w:t>
      </w:r>
      <w:r>
        <w:rPr>
          <w:rFonts w:hint="eastAsia" w:ascii="宋体" w:hAnsi="宋体" w:eastAsia="宋体" w:cs="宋体"/>
          <w:color w:val="auto"/>
          <w:sz w:val="24"/>
          <w:highlight w:val="none"/>
        </w:rPr>
        <w:t>的招标、投标、评标、定标、验收、合同履约、付款等行为（法律、法规另有规定的，从其规定）。</w:t>
      </w:r>
    </w:p>
    <w:p>
      <w:pPr>
        <w:spacing w:line="440" w:lineRule="exact"/>
        <w:rPr>
          <w:rFonts w:hint="eastAsia" w:ascii="宋体" w:hAnsi="宋体" w:eastAsia="宋体" w:cs="宋体"/>
          <w:b/>
          <w:color w:val="auto"/>
          <w:sz w:val="24"/>
          <w:highlight w:val="none"/>
          <w:lang w:val="en-US" w:eastAsia="zh-CN"/>
        </w:rPr>
      </w:pPr>
      <w:bookmarkStart w:id="16" w:name="_Toc407182094"/>
      <w:r>
        <w:rPr>
          <w:rFonts w:hint="eastAsia" w:ascii="宋体" w:hAnsi="宋体" w:eastAsia="宋体" w:cs="宋体"/>
          <w:b/>
          <w:color w:val="auto"/>
          <w:sz w:val="24"/>
          <w:highlight w:val="none"/>
        </w:rPr>
        <w:t>（二）定义</w:t>
      </w:r>
      <w:bookmarkEnd w:id="16"/>
      <w:r>
        <w:rPr>
          <w:rFonts w:hint="eastAsia" w:ascii="宋体" w:hAnsi="宋体" w:cs="宋体"/>
          <w:b/>
          <w:color w:val="auto"/>
          <w:sz w:val="24"/>
          <w:highlight w:val="none"/>
          <w:lang w:val="en-US" w:eastAsia="zh-CN"/>
        </w:rPr>
        <w:t>及</w:t>
      </w:r>
      <w:r>
        <w:rPr>
          <w:rFonts w:hint="eastAsia" w:ascii="宋体" w:hAnsi="宋体" w:eastAsia="宋体" w:cs="宋体"/>
          <w:b/>
          <w:color w:val="auto"/>
          <w:sz w:val="24"/>
          <w:highlight w:val="none"/>
        </w:rPr>
        <w:t>采购项目需要落实的政府采购政策</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1.招标采购单位系指组织本次招标的东阳市鑫盛工程咨询有限公司（“招标方”）和</w:t>
      </w:r>
      <w:r>
        <w:rPr>
          <w:rFonts w:hint="eastAsia" w:ascii="宋体" w:hAnsi="宋体" w:cs="宋体"/>
          <w:color w:val="auto"/>
          <w:sz w:val="24"/>
          <w:highlight w:val="none"/>
          <w:lang w:val="en-US" w:eastAsia="zh-CN"/>
        </w:rPr>
        <w:t>东阳市卫生健康局</w:t>
      </w:r>
      <w:r>
        <w:rPr>
          <w:rFonts w:hint="eastAsia" w:ascii="宋体" w:hAnsi="宋体" w:eastAsia="宋体" w:cs="宋体"/>
          <w:color w:val="auto"/>
          <w:sz w:val="24"/>
          <w:highlight w:val="none"/>
        </w:rPr>
        <w:t>（“采购人”）。</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2.“投标人”系指向招标方提交投标文件的单位或个人。</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3.“服务”系指招标文件规定投标人须承担的本项目所衍生的一切服务义务。 </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4.“项目”系指投标人按招标文件规定向采购人提供的成果和项目服务。</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5.“书面形式”包括信函、传真、电报等。</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6.“*”、 “▲”、 “※”、“★”系指实质性要求条款。</w:t>
      </w:r>
    </w:p>
    <w:p>
      <w:pPr>
        <w:spacing w:line="440" w:lineRule="exact"/>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rPr>
        <w:t>. 采购项目需要落实的政府采购政策</w:t>
      </w:r>
    </w:p>
    <w:p>
      <w:pPr>
        <w:spacing w:line="440" w:lineRule="exac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7.1 本项目原则上采购本国生产的货物、工程和服务，不允许采购进口产品。除非采购人采购进口产品，已经在采购活动开始前向财政部门提出申请并获得财政部门审核同意，且在采购需求中明确规定可以采购进口产品，未明确视同不得采购进口产品（但如果因信息不对称等原因，仍有满足需求的国内产品要求参与采购竞争的，采购人、采购机构不会对其加以限制，仍将按照公平竞争原则实施采购）。</w:t>
      </w:r>
    </w:p>
    <w:p>
      <w:pPr>
        <w:spacing w:line="440" w:lineRule="exac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7.2 支持绿色发展</w:t>
      </w:r>
    </w:p>
    <w:p>
      <w:pPr>
        <w:spacing w:line="440" w:lineRule="exac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7.2.1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w:t>
      </w:r>
      <w:r>
        <w:rPr>
          <w:rFonts w:hint="eastAsia" w:ascii="宋体" w:hAnsi="宋体" w:eastAsia="宋体" w:cs="宋体"/>
          <w:color w:val="auto"/>
          <w:sz w:val="24"/>
          <w:highlight w:val="none"/>
          <w:lang w:val="en-US" w:eastAsia="zh-CN"/>
        </w:rPr>
        <w:t>▲</w:t>
      </w:r>
      <w:r>
        <w:rPr>
          <w:rFonts w:hint="eastAsia" w:ascii="宋体" w:hAnsi="宋体" w:cs="宋体"/>
          <w:color w:val="auto"/>
          <w:sz w:val="24"/>
          <w:highlight w:val="none"/>
          <w:lang w:val="en-US" w:eastAsia="zh-CN"/>
        </w:rPr>
        <w:t>采购人拟采购的产品属于政府强制采购的节能产品品目清单范围的，供应商未按采购文件要求提供国家确定的认证机构出具的、处于有效期之内的节能产品认证证书的，投标无效。</w:t>
      </w:r>
    </w:p>
    <w:p>
      <w:pPr>
        <w:spacing w:line="440" w:lineRule="exac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7.2.2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440" w:lineRule="exac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7.3支持中小企业发展</w:t>
      </w:r>
    </w:p>
    <w:p>
      <w:pPr>
        <w:spacing w:line="440" w:lineRule="exac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7.3.1中小企业，是指在中华人民共和国境内依法设立，依据国务院批准的中小企业划分标准确定的中型企业、小型企业和微型企业，但与大企业的负责人为同一人，或者与大企业存在直接控股、管理关系的除外。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440" w:lineRule="exac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符合中小企业划分标准的个体工商户，在政府采购活动中视同中小企业。</w:t>
      </w:r>
    </w:p>
    <w:p>
      <w:pPr>
        <w:spacing w:line="440" w:lineRule="exac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7.3.2在政府采购活动中，供应商提供的货物、工程或者服务符合下列情形的，享受中小企业扶持政策：</w:t>
      </w:r>
    </w:p>
    <w:p>
      <w:pPr>
        <w:spacing w:line="440" w:lineRule="exac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7.3.2.1在货物采购项目中，货物由中小企业制造，即货物由中小企业生产且使用该中小企业商号或者注册商标；</w:t>
      </w:r>
    </w:p>
    <w:p>
      <w:pPr>
        <w:spacing w:line="440" w:lineRule="exac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7.3.2.2在工程采购项目中，工程由中小企业承建，即工程施工单位为中小企业；</w:t>
      </w:r>
    </w:p>
    <w:p>
      <w:pPr>
        <w:spacing w:line="440" w:lineRule="exac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7.3.2.3在服务采购项目中，服务由中小企业承接，即提供服务的人员为中小企业依照《中华人民共和国劳动合同法》订立劳动合同的从业人员。</w:t>
      </w:r>
    </w:p>
    <w:p>
      <w:pPr>
        <w:spacing w:line="440" w:lineRule="exac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在货物采购项目中，供应商提供的货物既有中小企业制造货物，也有大型企业制造货物的，不享受中小企业扶持政策。</w:t>
      </w:r>
    </w:p>
    <w:p>
      <w:pPr>
        <w:spacing w:line="440" w:lineRule="exac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以联合体形式参加政府采购活动，联合体各方均为中小企业的，联合体视同中小企业。其中，联合体各方均为小微企业的，联合体视同小微企业。</w:t>
      </w:r>
    </w:p>
    <w:p>
      <w:pPr>
        <w:spacing w:line="440" w:lineRule="exac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7.3.3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440" w:lineRule="exac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7.3.4符合《关于促进残疾人就业政府采购政策的通知》（财库〔2017〕141号）规定的条件并提供《残疾人福利性单位声明函》（附件1）的残疾人福利性单位视同小型、微型企业；</w:t>
      </w:r>
    </w:p>
    <w:p>
      <w:pPr>
        <w:spacing w:line="440" w:lineRule="exac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7.3.5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440" w:lineRule="exac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7.3.6可享受中小企业扶持政策的供应商应按照采购文件格式要求提供《中小企业声明函》，供应商提供的《中小企业声明函》与实际情况不符的，供应商未按采购文件要求提供国家确定的认证机构出具的、处于有效期之内的产品认证证书的，不享受中小企业扶持政策。声明内容不实的，属于提供虚假材料谋取中标、成交的，依法承担法律责任。</w:t>
      </w:r>
    </w:p>
    <w:p>
      <w:pPr>
        <w:spacing w:line="440" w:lineRule="exac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7.3.7中小企业享受扶持政策获得政府采购合同的，小微企业不得将合同分包给大中型企业，中型企业不得将合同分包给大型企业。</w:t>
      </w:r>
    </w:p>
    <w:p>
      <w:pPr>
        <w:spacing w:line="440" w:lineRule="exac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7.4支持创新发展</w:t>
      </w:r>
    </w:p>
    <w:p>
      <w:pPr>
        <w:spacing w:line="440" w:lineRule="exac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7.4.1 采购人优先采购被认定为首台套产品和“制造精品”的自主创新产品。</w:t>
      </w:r>
    </w:p>
    <w:p>
      <w:pPr>
        <w:spacing w:line="440" w:lineRule="exac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7.4.2首台套产品被纳入《首台套产品推广应用指导目录》之日起3年内，以及产品核心技术高于国内领先水平，并具有明晰自主知识产权的“制造精品”产品，自认定之日起3年内视同已具备相应销售业绩，参加政府采购活动时业绩分值为满分。</w:t>
      </w:r>
    </w:p>
    <w:p>
      <w:pPr>
        <w:spacing w:line="440" w:lineRule="exac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7.5中小企业信用融资：为支持和促进中小企业发展，进一步发挥政府采购政策功能，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陆浙江政府采购(https://zfcg.czt.zj.gov.cn)的中小企业信用融资栏目了解相关信息。 供应商可以通过浙江政府采购网(https://zfcg. czt.zj. gov.cn/)首页的“浙江政采贷”模块进入申请，还可以通过政府采购云平台(https://wwwzcygov.cn/)首页的“金融服务”模块进入申请。</w:t>
      </w:r>
    </w:p>
    <w:p>
      <w:pPr>
        <w:spacing w:line="44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（三）招标方式</w:t>
      </w:r>
    </w:p>
    <w:p>
      <w:pPr>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本次招标采用公开招标方式进行。</w:t>
      </w:r>
    </w:p>
    <w:p>
      <w:pPr>
        <w:spacing w:line="44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（四）投标委托</w:t>
      </w:r>
    </w:p>
    <w:p>
      <w:pPr>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如投标人代表不是法定代表人，须有法定代表人出具的授权委托书，委托代理人必须为投标人的在职正式职工（以投标人本单位缴纳社保花名册为准）。</w:t>
      </w:r>
    </w:p>
    <w:p>
      <w:pPr>
        <w:spacing w:line="44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▲（五）投标费用</w:t>
      </w:r>
    </w:p>
    <w:p>
      <w:pPr>
        <w:spacing w:line="440" w:lineRule="exact"/>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1.不论投标结果如何，投标人均应自行承担所有与投标有关的全部费用（招标文件有相反规定除外）。</w:t>
      </w:r>
    </w:p>
    <w:p>
      <w:pPr>
        <w:spacing w:line="440" w:lineRule="exact"/>
        <w:ind w:firstLine="482" w:firstLineChars="200"/>
        <w:rPr>
          <w:rFonts w:hint="default" w:eastAsia="宋体"/>
          <w:color w:val="auto"/>
          <w:highlight w:val="none"/>
          <w:lang w:val="en-US" w:eastAsia="zh-CN"/>
        </w:rPr>
      </w:pPr>
      <w:r>
        <w:rPr>
          <w:rFonts w:hint="eastAsia" w:ascii="宋体" w:hAnsi="宋体" w:eastAsia="宋体" w:cs="宋体"/>
          <w:b/>
          <w:color w:val="auto"/>
          <w:sz w:val="24"/>
          <w:szCs w:val="24"/>
          <w:highlight w:val="none"/>
        </w:rPr>
        <w:t>2.东阳市鑫盛工程咨询有限公司</w:t>
      </w:r>
      <w:r>
        <w:rPr>
          <w:rFonts w:hint="eastAsia" w:ascii="宋体" w:hAnsi="宋体" w:cs="宋体"/>
          <w:b/>
          <w:bCs/>
          <w:color w:val="auto"/>
          <w:sz w:val="24"/>
          <w:highlight w:val="none"/>
        </w:rPr>
        <w:t>按中标价的1.5%，向中标单位收取中标服务费</w:t>
      </w:r>
      <w:r>
        <w:rPr>
          <w:rFonts w:hint="eastAsia" w:ascii="宋体" w:hAnsi="宋体" w:eastAsia="宋体" w:cs="宋体"/>
          <w:b/>
          <w:color w:val="auto"/>
          <w:sz w:val="24"/>
          <w:szCs w:val="24"/>
          <w:highlight w:val="none"/>
        </w:rPr>
        <w:t>，在中标结果公示结束之日起3天内（在领取中标通知书前）交纳。</w:t>
      </w:r>
    </w:p>
    <w:p>
      <w:pPr>
        <w:spacing w:line="44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中标服务费由中标人汇至以下账户：</w:t>
      </w:r>
    </w:p>
    <w:p>
      <w:pPr>
        <w:spacing w:line="440" w:lineRule="exact"/>
        <w:ind w:firstLine="472" w:firstLineChars="196"/>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帐户名称：东阳市鑫盛工程咨询有限公司</w:t>
      </w:r>
    </w:p>
    <w:p>
      <w:pPr>
        <w:spacing w:line="440" w:lineRule="exact"/>
        <w:ind w:firstLine="472" w:firstLineChars="196"/>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开户银行：兴业银行股份有限公司金华东阳支行</w:t>
      </w:r>
    </w:p>
    <w:p>
      <w:pPr>
        <w:spacing w:line="440" w:lineRule="exact"/>
        <w:ind w:firstLine="472" w:firstLineChars="196"/>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账号：356090100100082625</w:t>
      </w:r>
    </w:p>
    <w:p>
      <w:pPr>
        <w:spacing w:line="440" w:lineRule="exact"/>
        <w:rPr>
          <w:rFonts w:hint="eastAsia" w:ascii="宋体" w:hAnsi="宋体" w:eastAsia="宋体" w:cs="宋体"/>
          <w:color w:val="auto"/>
          <w:sz w:val="24"/>
          <w:highlight w:val="none"/>
        </w:rPr>
      </w:pPr>
      <w:r>
        <w:rPr>
          <w:rFonts w:hint="eastAsia" w:ascii="宋体" w:hAnsi="宋体" w:eastAsia="宋体" w:cs="宋体"/>
          <w:b/>
          <w:color w:val="auto"/>
          <w:sz w:val="24"/>
          <w:highlight w:val="none"/>
        </w:rPr>
        <w:t>（六）联合体投标</w:t>
      </w:r>
      <w:r>
        <w:rPr>
          <w:rFonts w:hint="eastAsia" w:ascii="宋体" w:hAnsi="宋体" w:eastAsia="宋体" w:cs="宋体"/>
          <w:b/>
          <w:color w:val="auto"/>
          <w:sz w:val="24"/>
          <w:highlight w:val="none"/>
        </w:rPr>
        <w:tab/>
      </w:r>
    </w:p>
    <w:p>
      <w:pPr>
        <w:spacing w:line="440" w:lineRule="exact"/>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本项目</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lang w:val="en-US" w:eastAsia="zh-CN"/>
        </w:rPr>
        <w:t>是</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rPr>
        <w:t>接受联合体投标。</w:t>
      </w:r>
    </w:p>
    <w:p>
      <w:pPr>
        <w:spacing w:line="440" w:lineRule="exact"/>
        <w:rPr>
          <w:rFonts w:hint="eastAsia" w:ascii="宋体" w:hAnsi="宋体" w:eastAsia="宋体" w:cs="宋体"/>
          <w:b/>
          <w:color w:val="auto"/>
          <w:kern w:val="0"/>
          <w:sz w:val="24"/>
          <w:highlight w:val="none"/>
        </w:rPr>
      </w:pPr>
      <w:r>
        <w:rPr>
          <w:rFonts w:hint="eastAsia" w:ascii="宋体" w:hAnsi="宋体" w:eastAsia="宋体" w:cs="宋体"/>
          <w:b/>
          <w:color w:val="auto"/>
          <w:sz w:val="24"/>
          <w:highlight w:val="none"/>
        </w:rPr>
        <w:t>（七）</w:t>
      </w:r>
      <w:r>
        <w:rPr>
          <w:rFonts w:hint="eastAsia" w:ascii="宋体" w:hAnsi="宋体" w:eastAsia="宋体" w:cs="宋体"/>
          <w:b/>
          <w:color w:val="auto"/>
          <w:kern w:val="0"/>
          <w:sz w:val="24"/>
          <w:highlight w:val="none"/>
        </w:rPr>
        <w:t>转包与分包</w:t>
      </w:r>
    </w:p>
    <w:p>
      <w:pPr>
        <w:spacing w:line="440" w:lineRule="exact"/>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1.本项目不允许转包。</w:t>
      </w:r>
    </w:p>
    <w:p>
      <w:pPr>
        <w:spacing w:line="440" w:lineRule="exact"/>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2.本项目允许分包。</w:t>
      </w:r>
    </w:p>
    <w:p>
      <w:pPr>
        <w:spacing w:line="440" w:lineRule="exact"/>
        <w:rPr>
          <w:rFonts w:hint="eastAsia" w:ascii="宋体" w:hAnsi="宋体" w:eastAsia="宋体" w:cs="宋体"/>
          <w:b/>
          <w:bCs/>
          <w:color w:val="auto"/>
          <w:sz w:val="24"/>
          <w:highlight w:val="none"/>
        </w:rPr>
      </w:pPr>
      <w:r>
        <w:rPr>
          <w:rFonts w:hint="eastAsia" w:ascii="宋体" w:hAnsi="宋体" w:eastAsia="宋体" w:cs="宋体"/>
          <w:color w:val="auto"/>
          <w:sz w:val="24"/>
          <w:highlight w:val="none"/>
          <w:lang w:val="en-US" w:eastAsia="zh-CN"/>
        </w:rPr>
        <w:t>▲</w:t>
      </w:r>
      <w:r>
        <w:rPr>
          <w:rFonts w:hint="eastAsia" w:ascii="宋体" w:hAnsi="宋体" w:eastAsia="宋体" w:cs="宋体"/>
          <w:b/>
          <w:bCs/>
          <w:color w:val="auto"/>
          <w:sz w:val="24"/>
          <w:highlight w:val="none"/>
        </w:rPr>
        <w:t>（八）特别说明：</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1.多家供应商参加投标，如其中两家或两家以上供应商的法定代表人为同一人或相互之间存在投资关系且达到控股的，同时提供的是同一品牌产品的，应当按一个供应商认定。</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2.投标人投标所使用的资格、信誉、荣誉与企业认证必须为本法人所拥有。投标人投标所使用的采购项目实施人员必须为本法人员工（或必须为本法人或控股公司正式员工）。</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3.投标人应仔细阅读招标文件的所有内容，按照招标文件的要求提交投标文件，并对所提供的全部资料的真实性承担法律责任。</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4.投标人在投标活动中提供任何虚假材料,其投标无效，并报监管部门查处；中标后发现的,中标人须依照《中华人民共和国消费者权益保护法》第49条之规定，按中标价双倍赔偿采购人，且民事赔偿并不免除违法投标人的行政与刑事责任。</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5. 评标委员会认为预中标人的投标报价明显低于其他通过符合性审查投标人的报价，有可能影响产品质量或者不能诚信履约的，应当要求其在评标现场合理的时间内提供书面说明，必要时提交相关证明材料，预中标人不能证明其报价合理性的，评标委员会应当将其作为无效投标处理。</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6. 招标方不保证最低报价者为中标方。</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7. 为维护国家利益及招标方自身利益，允许招标方在合同签订之前仍有选择或拒绝任何或全部投标的权力。</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8.“政采云”平台运营机构，以及与该机构有直接控股或者管理关系可能影响采购公正性的任何单位和个人，不得在该平台进行的政府采购项目电子交易中投标、响应政府采购项目。</w:t>
      </w:r>
    </w:p>
    <w:p>
      <w:pPr>
        <w:spacing w:line="440" w:lineRule="exac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（九）质疑和投诉</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人认为招标文件、招标过程或中标结果使自己的合法权益受到损害的，应当在知道或者应知其权益受到损害之日起七个工作日内，以书面形式向采购人、招标方提出质疑。投标人对招标方的质疑答复不满意或者招标方未在规定时间内作出答复的，可以在答复期满后十五个工作日内向同级采购监管部门投诉。</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3. 采购人、招标方应当按照《浙江省政府采购供应商质疑处理办法》、中华人民共和国财政部第94号令《政府采购质疑和投诉办法》进行受理与答复质疑。</w:t>
      </w:r>
    </w:p>
    <w:p>
      <w:pPr>
        <w:pStyle w:val="2"/>
        <w:keepNext w:val="0"/>
        <w:keepLines w:val="0"/>
        <w:pageBreakBefore/>
        <w:spacing w:line="360" w:lineRule="auto"/>
        <w:jc w:val="center"/>
        <w:rPr>
          <w:rFonts w:hint="eastAsia" w:ascii="宋体" w:hAnsi="宋体" w:eastAsia="宋体" w:cs="宋体"/>
          <w:color w:val="auto"/>
          <w:sz w:val="24"/>
          <w:szCs w:val="24"/>
          <w:highlight w:val="none"/>
        </w:rPr>
      </w:pPr>
      <w:bookmarkStart w:id="17" w:name="_Toc458697268"/>
      <w:bookmarkStart w:id="18" w:name="_Toc454196066"/>
      <w:bookmarkStart w:id="19" w:name="_Toc3438"/>
      <w:r>
        <w:rPr>
          <w:rFonts w:hint="eastAsia" w:ascii="宋体" w:hAnsi="宋体" w:eastAsia="宋体" w:cs="宋体"/>
          <w:color w:val="auto"/>
          <w:sz w:val="24"/>
          <w:szCs w:val="24"/>
          <w:highlight w:val="none"/>
        </w:rPr>
        <w:t>二、招标文件</w:t>
      </w:r>
      <w:bookmarkEnd w:id="17"/>
      <w:bookmarkEnd w:id="18"/>
      <w:bookmarkEnd w:id="19"/>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（一）招标文件的构成。本招标文件由以下部分组成：</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1.招标公告</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2.招标需求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3.投标人须知</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4.评标办法及标准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5.合同主要条款</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6.投标文件格式</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7.本项目招标文件的澄清、答复、修改、补充的内容</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（二）投标人的风险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投标人没有按照招标文件要求提供全部资料，或者投标人没有对招标文件在各方面作出实质性响应是投标人的风险，并可能导致其投标被拒绝。</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（三）招标文件的澄清与修改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bCs/>
          <w:color w:val="auto"/>
          <w:sz w:val="24"/>
          <w:highlight w:val="none"/>
        </w:rPr>
        <w:t>投标人应认真阅读本招标文件，发现其中有误或有不合理要求的，投标人应当按照公开招标公告第</w:t>
      </w:r>
      <w:r>
        <w:rPr>
          <w:rFonts w:hint="eastAsia" w:ascii="宋体" w:hAnsi="宋体" w:eastAsia="宋体" w:cs="宋体"/>
          <w:bCs/>
          <w:color w:val="auto"/>
          <w:sz w:val="24"/>
          <w:highlight w:val="none"/>
          <w:lang w:eastAsia="zh-CN"/>
        </w:rPr>
        <w:t>三、</w:t>
      </w:r>
      <w:r>
        <w:rPr>
          <w:rFonts w:hint="eastAsia" w:ascii="宋体" w:hAnsi="宋体" w:cs="宋体"/>
          <w:bCs/>
          <w:color w:val="auto"/>
          <w:sz w:val="24"/>
          <w:highlight w:val="none"/>
          <w:lang w:val="en-US" w:eastAsia="zh-CN"/>
        </w:rPr>
        <w:t>七</w:t>
      </w:r>
      <w:r>
        <w:rPr>
          <w:rFonts w:hint="eastAsia" w:ascii="宋体" w:hAnsi="宋体" w:eastAsia="宋体" w:cs="宋体"/>
          <w:bCs/>
          <w:color w:val="auto"/>
          <w:sz w:val="24"/>
          <w:highlight w:val="none"/>
        </w:rPr>
        <w:t>条规定以书面形式要求招标方澄清</w:t>
      </w:r>
      <w:r>
        <w:rPr>
          <w:rFonts w:hint="eastAsia" w:ascii="宋体" w:hAnsi="宋体" w:eastAsia="宋体" w:cs="宋体"/>
          <w:color w:val="auto"/>
          <w:sz w:val="24"/>
          <w:highlight w:val="none"/>
        </w:rPr>
        <w:t>。招标方对已发出的招标文件进行必要澄清、答复、修改或补充的，应当在招标文件要求提交投标文件截止时间15日前，在财政部门指定的政府采购信息发布媒体上发布更正公告，并以书面形式通知所有招标文件收受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2.招标方必须以书面形式答复投标人要求澄清的问题，并将不包含问题来源的答复书面通知所有购买招标文件的投标人；除书面答复以外的其他澄清方式及澄清内容均无效。</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3.招标文件澄清、答复、修改、补充的内容为招标文件的组成部分。当招标文件与招标文件的答复、澄清、修改、补充通知就同一内容的表述不一致时，以最后发出的书面文件为准。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4.招标文件的澄清、答复、修改或补充都应该通过本招标机构以法定形式发布，采购人非通过本机构，不得擅自澄清、答复、修改或补充招标文件。</w:t>
      </w:r>
    </w:p>
    <w:p>
      <w:pPr>
        <w:pStyle w:val="2"/>
        <w:keepNext w:val="0"/>
        <w:keepLines w:val="0"/>
        <w:pageBreakBefore/>
        <w:spacing w:line="360" w:lineRule="auto"/>
        <w:jc w:val="center"/>
        <w:rPr>
          <w:rFonts w:hint="eastAsia" w:ascii="宋体" w:hAnsi="宋体" w:eastAsia="宋体" w:cs="宋体"/>
          <w:color w:val="auto"/>
          <w:sz w:val="24"/>
          <w:szCs w:val="24"/>
          <w:highlight w:val="none"/>
        </w:rPr>
      </w:pPr>
      <w:bookmarkStart w:id="20" w:name="_Toc454196067"/>
      <w:bookmarkStart w:id="21" w:name="_Toc458697269"/>
      <w:bookmarkStart w:id="22" w:name="_Toc32649"/>
      <w:r>
        <w:rPr>
          <w:rFonts w:hint="eastAsia" w:ascii="宋体" w:hAnsi="宋体" w:eastAsia="宋体" w:cs="宋体"/>
          <w:color w:val="auto"/>
          <w:sz w:val="24"/>
          <w:szCs w:val="24"/>
          <w:highlight w:val="none"/>
        </w:rPr>
        <w:t>三、投标文件的编制</w:t>
      </w:r>
      <w:bookmarkEnd w:id="20"/>
      <w:bookmarkEnd w:id="21"/>
      <w:bookmarkEnd w:id="22"/>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▲（一）投标文件的组成</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投标文件由资格审查文件、商务技术文件、报价文件三部分组成。</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1.资格审查文件：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（1）具有独立承担民事责任的能力：投标人须在投标文件中出具符合以下情况的证明材料复印件（五选一）：</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①如投标人是企业（包括合伙企业），提供在工商部门注册的有效“企业法人营业执照”或“营业执照”；</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②如投标人是事业单位，提供有效的“事业单位法人证书”；</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③如投标人是非企业专业服务机构的，提供执业许可证等证明文件；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④如投标人是个体工商户，提供有效的“个体工商户营业执照”；</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⑤如投标人是自然人，提供有效的自然人身份证明（居民身份证正反面或公安机关出具的临时居民身份证正反面或港澳台胞证或护照）。</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）法定代表人身份证复印件或法定代表人授权委托书(格式见附件)；</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w:t>
      </w:r>
      <w:r>
        <w:rPr>
          <w:rFonts w:hint="eastAsia" w:ascii="宋体" w:hAnsi="宋体" w:cs="宋体"/>
          <w:color w:val="auto"/>
          <w:sz w:val="24"/>
          <w:highlight w:val="none"/>
          <w:lang w:eastAsia="zh-CN"/>
        </w:rPr>
        <w:t>符合参加政府采购活动应当具备的一般条件的承诺函（格式见附件）；</w:t>
      </w:r>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浙江省病媒生物预防控制单位备案确认书复印件；</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信用记录网络查询页面截图（信用中国与中国政府采购网）；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）浙江政府采购网注册正式供应商的网络截图或承诺中标后30天内注册为浙江政府采购网正式供应商（须提供承诺书）；</w:t>
      </w:r>
    </w:p>
    <w:p>
      <w:pPr>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）东阳市政府采购代理机构社会评价表（格式见附件）；</w:t>
      </w:r>
    </w:p>
    <w:p>
      <w:pPr>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）投标声明书 (格式见附件) ；</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）政府采购活动现场确认声明书 (格式见附件) ；</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10</w:t>
      </w:r>
      <w:r>
        <w:rPr>
          <w:rFonts w:hint="eastAsia" w:ascii="宋体" w:hAnsi="宋体" w:cs="宋体"/>
          <w:color w:val="auto"/>
          <w:sz w:val="24"/>
          <w:highlight w:val="none"/>
          <w:lang w:eastAsia="zh-CN"/>
        </w:rPr>
        <w:t>）联合体协议书（联合体投标时提供）（格式见附件）；</w:t>
      </w:r>
    </w:p>
    <w:p>
      <w:pPr>
        <w:spacing w:line="360" w:lineRule="auto"/>
        <w:rPr>
          <w:rFonts w:ascii="宋体" w:hAnsi="宋体" w:cs="宋体"/>
          <w:b/>
          <w:bCs/>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）落实</w:t>
      </w:r>
      <w:r>
        <w:rPr>
          <w:rFonts w:hint="eastAsia" w:ascii="宋体" w:hAnsi="宋体" w:cs="宋体"/>
          <w:b/>
          <w:bCs/>
          <w:color w:val="auto"/>
          <w:sz w:val="24"/>
          <w:highlight w:val="none"/>
        </w:rPr>
        <w:t>政府采购政策需满足的资格：供应商为中小企业/小微企业，提供《中小企业声明函》（格式见附件）；</w:t>
      </w:r>
    </w:p>
    <w:p>
      <w:pPr>
        <w:spacing w:line="360" w:lineRule="auto"/>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）投标人情况介绍；</w:t>
      </w:r>
    </w:p>
    <w:p>
      <w:pPr>
        <w:spacing w:line="360" w:lineRule="auto"/>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）投标人认为有必要提供的其它文件。</w:t>
      </w:r>
    </w:p>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2.商务技术文件</w:t>
      </w:r>
    </w:p>
    <w:p>
      <w:pPr>
        <w:spacing w:line="360" w:lineRule="auto"/>
        <w:rPr>
          <w:rFonts w:ascii="宋体" w:hAnsi="宋体" w:cs="宋体"/>
          <w:color w:val="auto"/>
          <w:sz w:val="24"/>
          <w:highlight w:val="none"/>
        </w:rPr>
      </w:pPr>
      <w:r>
        <w:rPr>
          <w:rFonts w:hint="eastAsia" w:ascii="宋体" w:hAnsi="宋体" w:cs="宋体"/>
          <w:color w:val="auto"/>
          <w:sz w:val="24"/>
          <w:highlight w:val="none"/>
        </w:rPr>
        <w:t>（1）投标人资信商务、技术自评得分表（格式见附件）；</w:t>
      </w:r>
    </w:p>
    <w:p>
      <w:pPr>
        <w:spacing w:line="360" w:lineRule="auto"/>
        <w:rPr>
          <w:rFonts w:ascii="宋体" w:hAnsi="宋体" w:cs="宋体"/>
          <w:color w:val="auto"/>
          <w:sz w:val="24"/>
          <w:highlight w:val="none"/>
        </w:rPr>
      </w:pPr>
      <w:r>
        <w:rPr>
          <w:rFonts w:hint="eastAsia" w:ascii="宋体" w:hAnsi="宋体" w:cs="宋体"/>
          <w:color w:val="auto"/>
          <w:sz w:val="24"/>
          <w:highlight w:val="none"/>
        </w:rPr>
        <w:t>（2）商务响应表（格式见附件）；</w:t>
      </w:r>
    </w:p>
    <w:p>
      <w:pPr>
        <w:spacing w:line="360" w:lineRule="auto"/>
        <w:rPr>
          <w:rFonts w:ascii="宋体" w:hAnsi="宋体" w:cs="宋体"/>
          <w:color w:val="auto"/>
          <w:sz w:val="24"/>
          <w:highlight w:val="none"/>
        </w:rPr>
      </w:pPr>
      <w:r>
        <w:rPr>
          <w:rFonts w:hint="eastAsia" w:ascii="宋体" w:hAnsi="宋体" w:cs="宋体"/>
          <w:color w:val="auto"/>
          <w:sz w:val="24"/>
          <w:highlight w:val="none"/>
        </w:rPr>
        <w:t>（3）技术响应表（格式见附件）；</w:t>
      </w:r>
    </w:p>
    <w:p>
      <w:pPr>
        <w:spacing w:line="360" w:lineRule="auto"/>
        <w:rPr>
          <w:rFonts w:ascii="宋体" w:hAnsi="宋体" w:cs="宋体"/>
          <w:color w:val="auto"/>
          <w:sz w:val="24"/>
          <w:highlight w:val="none"/>
        </w:rPr>
      </w:pPr>
      <w:r>
        <w:rPr>
          <w:rFonts w:hint="eastAsia" w:ascii="宋体" w:hAnsi="宋体" w:cs="宋体"/>
          <w:color w:val="auto"/>
          <w:sz w:val="24"/>
          <w:highlight w:val="none"/>
        </w:rPr>
        <w:t>（4）公共外环境防制服务方案；</w:t>
      </w:r>
    </w:p>
    <w:p>
      <w:pPr>
        <w:spacing w:line="360" w:lineRule="auto"/>
        <w:rPr>
          <w:rFonts w:ascii="宋体" w:hAnsi="宋体" w:cs="宋体"/>
          <w:color w:val="auto"/>
          <w:sz w:val="24"/>
          <w:highlight w:val="none"/>
        </w:rPr>
      </w:pPr>
      <w:r>
        <w:rPr>
          <w:rFonts w:hint="eastAsia" w:ascii="宋体" w:hAnsi="宋体" w:cs="宋体"/>
          <w:color w:val="auto"/>
          <w:sz w:val="24"/>
          <w:highlight w:val="none"/>
        </w:rPr>
        <w:t>（5）重点场所防制服务方案；</w:t>
      </w:r>
    </w:p>
    <w:p>
      <w:pPr>
        <w:spacing w:line="360" w:lineRule="auto"/>
        <w:rPr>
          <w:rFonts w:ascii="宋体" w:hAnsi="宋体" w:cs="宋体"/>
          <w:color w:val="auto"/>
          <w:sz w:val="24"/>
          <w:highlight w:val="none"/>
        </w:rPr>
      </w:pPr>
      <w:r>
        <w:rPr>
          <w:rFonts w:hint="eastAsia" w:ascii="宋体" w:hAnsi="宋体" w:cs="宋体"/>
          <w:color w:val="auto"/>
          <w:sz w:val="24"/>
          <w:highlight w:val="none"/>
        </w:rPr>
        <w:t>（6）孳生地调查方案；</w:t>
      </w:r>
    </w:p>
    <w:p>
      <w:pPr>
        <w:spacing w:line="360" w:lineRule="auto"/>
        <w:rPr>
          <w:rFonts w:ascii="宋体" w:hAnsi="宋体" w:cs="宋体"/>
          <w:color w:val="auto"/>
          <w:sz w:val="24"/>
          <w:highlight w:val="none"/>
        </w:rPr>
      </w:pPr>
      <w:r>
        <w:rPr>
          <w:rFonts w:hint="eastAsia" w:ascii="宋体" w:hAnsi="宋体" w:cs="宋体"/>
          <w:color w:val="auto"/>
          <w:sz w:val="24"/>
          <w:highlight w:val="none"/>
        </w:rPr>
        <w:t>（7）消杀药物使用方案；</w:t>
      </w:r>
    </w:p>
    <w:p>
      <w:pPr>
        <w:spacing w:line="360" w:lineRule="auto"/>
        <w:rPr>
          <w:rFonts w:ascii="宋体" w:hAnsi="宋体" w:cs="宋体"/>
          <w:color w:val="auto"/>
          <w:sz w:val="24"/>
          <w:highlight w:val="none"/>
        </w:rPr>
      </w:pPr>
      <w:r>
        <w:rPr>
          <w:rFonts w:hint="eastAsia" w:ascii="宋体" w:hAnsi="宋体" w:cs="宋体"/>
          <w:color w:val="auto"/>
          <w:sz w:val="24"/>
          <w:highlight w:val="none"/>
        </w:rPr>
        <w:t>（8）应急方案；</w:t>
      </w:r>
    </w:p>
    <w:p>
      <w:pPr>
        <w:spacing w:line="360" w:lineRule="auto"/>
        <w:rPr>
          <w:rFonts w:ascii="宋体" w:hAnsi="宋体" w:cs="宋体"/>
          <w:color w:val="auto"/>
          <w:sz w:val="24"/>
          <w:highlight w:val="none"/>
        </w:rPr>
      </w:pPr>
      <w:r>
        <w:rPr>
          <w:rFonts w:hint="eastAsia" w:ascii="宋体" w:hAnsi="宋体" w:cs="宋体"/>
          <w:color w:val="auto"/>
          <w:sz w:val="24"/>
          <w:highlight w:val="none"/>
        </w:rPr>
        <w:t>（9）质量</w:t>
      </w:r>
      <w:r>
        <w:rPr>
          <w:rFonts w:hint="eastAsia" w:ascii="宋体" w:hAnsi="宋体" w:cs="宋体"/>
          <w:color w:val="auto"/>
          <w:sz w:val="24"/>
          <w:highlight w:val="none"/>
          <w:lang w:val="en-US" w:eastAsia="zh-CN"/>
        </w:rPr>
        <w:t>保证</w:t>
      </w: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（10）安全保障措施；</w:t>
      </w:r>
    </w:p>
    <w:p>
      <w:pPr>
        <w:spacing w:line="360" w:lineRule="auto"/>
        <w:rPr>
          <w:rFonts w:ascii="宋体" w:hAnsi="宋体" w:cs="宋体"/>
          <w:color w:val="auto"/>
          <w:sz w:val="24"/>
          <w:highlight w:val="none"/>
        </w:rPr>
      </w:pPr>
      <w:r>
        <w:rPr>
          <w:rFonts w:hint="eastAsia" w:ascii="宋体" w:hAnsi="宋体" w:cs="宋体"/>
          <w:color w:val="auto"/>
          <w:sz w:val="24"/>
          <w:highlight w:val="none"/>
        </w:rPr>
        <w:t>（11）人员配置；</w:t>
      </w:r>
    </w:p>
    <w:p>
      <w:pPr>
        <w:spacing w:line="360" w:lineRule="auto"/>
        <w:rPr>
          <w:rFonts w:ascii="宋体" w:hAnsi="宋体" w:cs="宋体"/>
          <w:color w:val="auto"/>
          <w:sz w:val="24"/>
          <w:highlight w:val="none"/>
        </w:rPr>
      </w:pPr>
      <w:r>
        <w:rPr>
          <w:rFonts w:hint="eastAsia" w:ascii="宋体" w:hAnsi="宋体" w:cs="宋体"/>
          <w:color w:val="auto"/>
          <w:sz w:val="24"/>
          <w:highlight w:val="none"/>
        </w:rPr>
        <w:t>（12）投入设备及专用检查工具；</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（13）拟投入工具及消耗材料情况</w:t>
      </w:r>
      <w:r>
        <w:rPr>
          <w:rFonts w:hint="eastAsia" w:ascii="宋体" w:hAnsi="宋体" w:cs="宋体"/>
          <w:color w:val="auto"/>
          <w:sz w:val="24"/>
          <w:highlight w:val="none"/>
          <w:lang w:eastAsia="zh-CN"/>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）投标人情况；</w:t>
      </w:r>
    </w:p>
    <w:p>
      <w:pPr>
        <w:spacing w:line="360" w:lineRule="auto"/>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）售后服务方案；</w:t>
      </w:r>
    </w:p>
    <w:p>
      <w:pPr>
        <w:spacing w:line="360" w:lineRule="auto"/>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）认证证书；</w:t>
      </w:r>
    </w:p>
    <w:p>
      <w:pPr>
        <w:spacing w:line="360" w:lineRule="auto"/>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）同类业绩；</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）优惠承诺；</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荣誉奖项</w:t>
      </w: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20</w:t>
      </w:r>
      <w:r>
        <w:rPr>
          <w:rFonts w:hint="eastAsia" w:ascii="宋体" w:hAnsi="宋体" w:cs="宋体"/>
          <w:color w:val="auto"/>
          <w:sz w:val="24"/>
          <w:highlight w:val="none"/>
        </w:rPr>
        <w:t>）服务费承诺书（格式见附件）；</w:t>
      </w:r>
    </w:p>
    <w:p>
      <w:pPr>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21</w:t>
      </w:r>
      <w:r>
        <w:rPr>
          <w:rFonts w:hint="eastAsia" w:ascii="宋体" w:hAnsi="宋体" w:cs="宋体"/>
          <w:color w:val="auto"/>
          <w:sz w:val="24"/>
          <w:highlight w:val="none"/>
        </w:rPr>
        <w:t>）投标人需要说明的其他文件和说明。</w:t>
      </w:r>
    </w:p>
    <w:p>
      <w:pPr>
        <w:numPr>
          <w:ilvl w:val="0"/>
          <w:numId w:val="9"/>
        </w:num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报价文件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（1）投标函（格式见附件）；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 xml:space="preserve">）开标一览表（格式见附件）； </w:t>
      </w:r>
    </w:p>
    <w:p>
      <w:pPr>
        <w:spacing w:line="360" w:lineRule="auto"/>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）投标人针对报价需要说明的其他文件和说明（格式自拟）。</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▲（二）投标文件的语言及计量</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1．投标文件以及投标方与招标方就有关投标事宜的所有来往函电，均应以中文汉语书写。除签名、盖章、专用名称等特殊情形外，以中文汉语以外的文字表述的投标文件视同未提供。</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2.投标计量单位，应采用中华人民共和国法定计量单位（货币单位：人民币元），否则视同未响应。</w:t>
      </w:r>
    </w:p>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▲（三）投标报价</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1.投标报价应按招标文件中相关附表格式填写。</w:t>
      </w:r>
    </w:p>
    <w:p>
      <w:pPr>
        <w:spacing w:line="360" w:lineRule="auto"/>
        <w:rPr>
          <w:rFonts w:hint="eastAsia" w:ascii="宋体" w:hAnsi="宋体" w:cs="仿宋_GB2312"/>
          <w:color w:val="auto"/>
          <w:sz w:val="24"/>
          <w:highlight w:val="none"/>
        </w:rPr>
      </w:pPr>
      <w:r>
        <w:rPr>
          <w:rFonts w:hint="eastAsia" w:ascii="宋体" w:hAnsi="宋体" w:eastAsia="宋体" w:cs="宋体"/>
          <w:color w:val="auto"/>
          <w:sz w:val="24"/>
          <w:highlight w:val="none"/>
        </w:rPr>
        <w:t>2.</w:t>
      </w:r>
      <w:r>
        <w:rPr>
          <w:rFonts w:hint="eastAsia" w:ascii="宋体" w:hAnsi="宋体" w:cs="宋体"/>
          <w:color w:val="auto"/>
          <w:sz w:val="24"/>
          <w:highlight w:val="none"/>
        </w:rPr>
        <w:t>投标报价是履行合同的最终价格，</w:t>
      </w:r>
      <w:r>
        <w:rPr>
          <w:rFonts w:hint="eastAsia" w:ascii="宋体" w:hAnsi="宋体" w:cs="仿宋_GB2312"/>
          <w:color w:val="auto"/>
          <w:sz w:val="24"/>
          <w:highlight w:val="none"/>
        </w:rPr>
        <w:t>包括货款、标准附件、备品备件、专用工具、包装、运输、装卸、验收、保险、货到就位以及服务等有关本项目的一切费用及税金。投标人投标报价为投标人所能承受的整个项目的一次性最终最低报价，如有漏项，视同已包含在</w:t>
      </w:r>
      <w:r>
        <w:rPr>
          <w:rFonts w:hint="eastAsia" w:ascii="宋体" w:hAnsi="宋体" w:cs="仿宋_GB2312"/>
          <w:color w:val="auto"/>
          <w:sz w:val="24"/>
          <w:highlight w:val="none"/>
          <w:lang w:val="en-US" w:eastAsia="zh-CN"/>
        </w:rPr>
        <w:t>本</w:t>
      </w:r>
      <w:r>
        <w:rPr>
          <w:rFonts w:hint="eastAsia" w:ascii="宋体" w:hAnsi="宋体" w:cs="仿宋_GB2312"/>
          <w:color w:val="auto"/>
          <w:sz w:val="24"/>
          <w:highlight w:val="none"/>
        </w:rPr>
        <w:t>项目中，合同总价不做调整。</w:t>
      </w:r>
    </w:p>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（四）投标文件的有效期</w:t>
      </w:r>
    </w:p>
    <w:p>
      <w:pPr>
        <w:spacing w:line="360" w:lineRule="auto"/>
        <w:rPr>
          <w:rFonts w:hint="eastAsia" w:ascii="宋体" w:hAnsi="宋体" w:eastAsia="宋体" w:cs="宋体"/>
          <w:color w:val="auto"/>
          <w:sz w:val="24"/>
          <w:highlight w:val="none"/>
        </w:rPr>
      </w:pPr>
      <w:bookmarkStart w:id="23" w:name="_Toc450548873"/>
      <w:bookmarkStart w:id="24" w:name="_Toc405368930"/>
      <w:r>
        <w:rPr>
          <w:rFonts w:hint="eastAsia" w:ascii="宋体" w:hAnsi="宋体" w:eastAsia="宋体" w:cs="宋体"/>
          <w:color w:val="auto"/>
          <w:sz w:val="24"/>
          <w:highlight w:val="none"/>
        </w:rPr>
        <w:t>▲1.自投标截止日起</w:t>
      </w:r>
      <w:r>
        <w:rPr>
          <w:rFonts w:hint="eastAsia" w:ascii="宋体" w:hAnsi="宋体" w:eastAsia="宋体" w:cs="宋体"/>
          <w:color w:val="auto"/>
          <w:sz w:val="24"/>
          <w:highlight w:val="none"/>
          <w:u w:val="single"/>
        </w:rPr>
        <w:t>60</w:t>
      </w:r>
      <w:r>
        <w:rPr>
          <w:rFonts w:hint="eastAsia" w:ascii="宋体" w:hAnsi="宋体" w:eastAsia="宋体" w:cs="宋体"/>
          <w:color w:val="auto"/>
          <w:sz w:val="24"/>
          <w:highlight w:val="none"/>
        </w:rPr>
        <w:t>天投标文件应保持有效。有效期不足的投标文件将被拒绝。</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2.在特殊情况下，招标人可与投标人协商延长投标书的有效期，这种要求和答复均以书面形式进行。</w:t>
      </w:r>
    </w:p>
    <w:p>
      <w:pPr>
        <w:spacing w:line="360" w:lineRule="auto"/>
        <w:rPr>
          <w:rFonts w:hint="eastAsia" w:ascii="宋体" w:hAnsi="宋体" w:eastAsia="宋体" w:cs="宋体"/>
          <w:color w:val="auto"/>
          <w:sz w:val="24"/>
          <w:highlight w:val="none"/>
        </w:rPr>
      </w:pPr>
      <w:bookmarkStart w:id="25" w:name="_Toc407182105"/>
      <w:r>
        <w:rPr>
          <w:rFonts w:hint="eastAsia" w:ascii="宋体" w:hAnsi="宋体" w:eastAsia="宋体" w:cs="宋体"/>
          <w:color w:val="auto"/>
          <w:sz w:val="24"/>
          <w:highlight w:val="none"/>
        </w:rPr>
        <w:t>3.投标人可拒绝接受延期要求，若同意延长有效期的投标人，则不能修改投标文件。</w:t>
      </w:r>
      <w:bookmarkEnd w:id="25"/>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4.中标人的投标文件自开标之日起至合同履行完毕止均应保持有效。</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（五）履约保证金</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▲1.保证金形式：</w:t>
      </w:r>
      <w:r>
        <w:rPr>
          <w:rFonts w:hint="eastAsia" w:ascii="宋体" w:hAnsi="宋体" w:cs="宋体"/>
          <w:color w:val="auto"/>
          <w:sz w:val="24"/>
          <w:highlight w:val="none"/>
          <w:u w:val="single"/>
          <w:lang w:val="en-US" w:eastAsia="zh-CN"/>
        </w:rPr>
        <w:t>支票</w:t>
      </w:r>
      <w:r>
        <w:rPr>
          <w:rFonts w:hint="eastAsia" w:ascii="宋体" w:hAnsi="宋体" w:eastAsia="宋体" w:cs="宋体"/>
          <w:color w:val="auto"/>
          <w:sz w:val="24"/>
          <w:highlight w:val="none"/>
          <w:u w:val="single"/>
        </w:rPr>
        <w:t>、</w:t>
      </w:r>
      <w:r>
        <w:rPr>
          <w:rFonts w:hint="eastAsia" w:ascii="宋体" w:hAnsi="宋体" w:cs="宋体"/>
          <w:color w:val="auto"/>
          <w:sz w:val="24"/>
          <w:highlight w:val="none"/>
          <w:u w:val="single"/>
          <w:lang w:val="en-US" w:eastAsia="zh-CN"/>
        </w:rPr>
        <w:t>汇票</w:t>
      </w:r>
      <w:r>
        <w:rPr>
          <w:rFonts w:hint="eastAsia" w:ascii="宋体" w:hAnsi="宋体" w:eastAsia="宋体" w:cs="宋体"/>
          <w:color w:val="auto"/>
          <w:sz w:val="24"/>
          <w:highlight w:val="none"/>
          <w:u w:val="single"/>
        </w:rPr>
        <w:t>、</w:t>
      </w:r>
      <w:r>
        <w:rPr>
          <w:rFonts w:hint="eastAsia" w:ascii="宋体" w:hAnsi="宋体" w:cs="宋体"/>
          <w:color w:val="auto"/>
          <w:sz w:val="24"/>
          <w:highlight w:val="none"/>
          <w:u w:val="single"/>
          <w:lang w:val="en-US" w:eastAsia="zh-CN"/>
        </w:rPr>
        <w:t>本票</w:t>
      </w:r>
      <w:r>
        <w:rPr>
          <w:rFonts w:hint="eastAsia" w:ascii="宋体" w:hAnsi="宋体" w:eastAsia="宋体" w:cs="宋体"/>
          <w:color w:val="auto"/>
          <w:sz w:val="24"/>
          <w:highlight w:val="none"/>
          <w:u w:val="single"/>
        </w:rPr>
        <w:t>、保函</w:t>
      </w:r>
      <w:r>
        <w:rPr>
          <w:rFonts w:hint="eastAsia" w:ascii="宋体" w:hAnsi="宋体" w:eastAsia="宋体" w:cs="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中标人在收到中标通知书后，需向采购人提供中标价的1%的履约保证金，在中标人与采购人签订合同前递交，投标人需以支票、汇票、本票或者金融机构、保险公司、担保机构出具的保函（可在政采云平台购买，咨询热线4009039583）等非现金形式提交。</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中标人也可登录政采云平台-【金融服务】—【我的项目】—【已备案合同】以保函形式提供：（1）中标人在合同列表选择需要投保的合同，点击[保函推荐]。（2）在弹框里查看推荐的保函产品，中标人自行选择保函产品，点击[立即申请]。（3）在弹框里填写保函申请信息。具体步骤：选择产品—填写供应商信息—选择中标项目—确认信息—等待保险/保函受理—确认保单—支付保费—成功出单。政采云金融专线400-903-9583。</w:t>
      </w:r>
    </w:p>
    <w:bookmarkEnd w:id="23"/>
    <w:bookmarkEnd w:id="24"/>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w:t>
      </w:r>
      <w:r>
        <w:rPr>
          <w:rFonts w:hint="eastAsia" w:ascii="宋体" w:hAnsi="宋体" w:cs="宋体"/>
          <w:b/>
          <w:color w:val="auto"/>
          <w:sz w:val="24"/>
          <w:highlight w:val="none"/>
          <w:lang w:val="en-US" w:eastAsia="zh-CN"/>
        </w:rPr>
        <w:t>六</w:t>
      </w:r>
      <w:r>
        <w:rPr>
          <w:rFonts w:hint="eastAsia" w:ascii="宋体" w:hAnsi="宋体" w:eastAsia="宋体" w:cs="宋体"/>
          <w:b/>
          <w:color w:val="auto"/>
          <w:sz w:val="24"/>
          <w:highlight w:val="none"/>
        </w:rPr>
        <w:t>）投标文件的签署</w:t>
      </w:r>
    </w:p>
    <w:p>
      <w:pPr>
        <w:numPr>
          <w:ilvl w:val="0"/>
          <w:numId w:val="10"/>
        </w:num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应按本招标文件规定的格式和顺序编制投标文件并标注页码，因投标文件内容不完整、编排混乱、放弃关联点或关联点错误等原因导致投标文件被误读、漏读或者查找不到相关内容等风险由投标人自行承担。</w:t>
      </w:r>
    </w:p>
    <w:p>
      <w:pPr>
        <w:spacing w:line="360" w:lineRule="auto"/>
        <w:rPr>
          <w:rFonts w:hint="eastAsia" w:ascii="宋体" w:hAnsi="宋体" w:eastAsia="宋体" w:cs="宋体"/>
          <w:b/>
          <w:color w:val="auto"/>
          <w:sz w:val="24"/>
          <w:highlight w:val="none"/>
        </w:rPr>
      </w:pPr>
      <w:r>
        <w:rPr>
          <w:rFonts w:hint="eastAsia" w:ascii="宋体" w:hAnsi="宋体" w:cs="宋体"/>
          <w:b/>
          <w:color w:val="auto"/>
          <w:sz w:val="24"/>
          <w:highlight w:val="none"/>
          <w:lang w:val="en-US" w:eastAsia="zh-CN"/>
        </w:rPr>
        <w:t>2</w:t>
      </w:r>
      <w:r>
        <w:rPr>
          <w:rFonts w:hint="eastAsia" w:ascii="宋体" w:hAnsi="宋体" w:eastAsia="宋体" w:cs="宋体"/>
          <w:b/>
          <w:color w:val="auto"/>
          <w:sz w:val="24"/>
          <w:highlight w:val="none"/>
        </w:rPr>
        <w:t>. 投标文件需盖章签字的地方必须由投标人法定代表人或法定代表人的授权委托人签署并加盖单位公章，投标人应写全称。</w:t>
      </w:r>
    </w:p>
    <w:p>
      <w:pPr>
        <w:spacing w:line="360" w:lineRule="auto"/>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.投标文件不得涂改，若有修改错漏处，须加盖单位公章和由法定代表人或授权委托人签字或盖章。投标文件因字迹潦草或表达不清所引起的后果由投标人负责。</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w:t>
      </w:r>
      <w:r>
        <w:rPr>
          <w:rFonts w:hint="eastAsia" w:ascii="宋体" w:hAnsi="宋体" w:cs="宋体"/>
          <w:b/>
          <w:color w:val="auto"/>
          <w:sz w:val="24"/>
          <w:highlight w:val="none"/>
          <w:lang w:val="en-US" w:eastAsia="zh-CN"/>
        </w:rPr>
        <w:t>七</w:t>
      </w:r>
      <w:r>
        <w:rPr>
          <w:rFonts w:hint="eastAsia" w:ascii="宋体" w:hAnsi="宋体" w:eastAsia="宋体" w:cs="宋体"/>
          <w:b/>
          <w:color w:val="auto"/>
          <w:sz w:val="24"/>
          <w:highlight w:val="none"/>
        </w:rPr>
        <w:t>）投标文件的上传、递交、修改和撤回</w:t>
      </w:r>
    </w:p>
    <w:p>
      <w:pPr>
        <w:spacing w:line="360" w:lineRule="auto"/>
        <w:ind w:firstLine="495"/>
        <w:rPr>
          <w:rFonts w:hint="eastAsia" w:ascii="宋体" w:hAnsi="宋体" w:eastAsia="宋体" w:cs="宋体"/>
          <w:color w:val="auto"/>
          <w:sz w:val="24"/>
          <w:highlight w:val="none"/>
        </w:rPr>
      </w:pPr>
      <w:r>
        <w:rPr>
          <w:rFonts w:hint="eastAsia" w:ascii="宋体" w:hAnsi="宋体" w:eastAsia="宋体" w:cs="宋体"/>
          <w:color w:val="auto"/>
          <w:sz w:val="24"/>
          <w:highlight w:val="none"/>
        </w:rPr>
        <w:t>1. 投标人应当在投标截止时间前在“政采云”（电子交易平台）上自行上传加密的电子投标文件。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2.未按规定上传的投标文件将被拒绝，由此造成投标文件解密失败或被误投的风险由投标人承担。</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 投标人未在“政采云”（电子交易平台）上自行上传加密的电子投标文件，仅提交电子备份投标文件的，投标无效。</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 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上传的投标响应文件，将被政采云平台拒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在投标截止时间之前，可以对已提交的电子备份投标文件进行修改或撤回，并书面通知招标采购单位；修改后重新递交的电子备份投标文件应当按本招标文件的要求签署、盖章。投标截止时间后，投标人不得撤回、修改电子备份投标文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 截止开标时间，政采云（电子交易平台）自动提取所有投标文件，投标人须在开标时间截止后30分钟内对上传政采云的投标文件进行解密，所有投标人在规定的解密时限内解密完成或解密时限到后，采购代理机构开启投标文件；投标人超过解密时限的，系统默认自动放弃。</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 电子投标文件无法解密或解密失败时，投标人提供了电子备份投标文件的，以电子备份投标文件作为评审依据，否则视为投标文件撤回。投标文件已按时解密的，电子备份投标文件自动失效。</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w:t>
      </w:r>
      <w:r>
        <w:rPr>
          <w:rFonts w:hint="eastAsia" w:ascii="宋体" w:hAnsi="宋体" w:cs="宋体"/>
          <w:b/>
          <w:color w:val="auto"/>
          <w:sz w:val="24"/>
          <w:highlight w:val="none"/>
          <w:lang w:val="en-US" w:eastAsia="zh-CN"/>
        </w:rPr>
        <w:t>八</w:t>
      </w:r>
      <w:r>
        <w:rPr>
          <w:rFonts w:hint="eastAsia" w:ascii="宋体" w:hAnsi="宋体" w:eastAsia="宋体" w:cs="宋体"/>
          <w:b/>
          <w:color w:val="auto"/>
          <w:sz w:val="24"/>
          <w:highlight w:val="none"/>
        </w:rPr>
        <w:t>）投标无效的情形</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限期内不补正或经补正后仍不符合招标文件要求的，应认定其投标无效。投标人修改、补正投标文件后，不影响评标委员会对其投标文件所作的评价和评分结果。</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1.在符合性审查和商务评审时，如发现下列情形之一的，投标文件将被视为无效：</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）投标人仅提交电子备份投标文件的；</w:t>
      </w:r>
    </w:p>
    <w:p>
      <w:pPr>
        <w:spacing w:line="360" w:lineRule="auto"/>
        <w:rPr>
          <w:rFonts w:hint="eastAsia" w:ascii="宋体" w:hAnsi="宋体" w:eastAsia="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在开评标时出现电子投标文件无法解密或解密失败等情况，投标人未提供电子备份投标文件，无法对投标人继续进行评审的；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）投标人未在规定的时间内对电子询标函进行澄清回复、拒绝澄清回复或澄清回复的内容改变了投标文件的实质性内容的；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 xml:space="preserve">）网上下载的证明文件，不能通过真实性验证的（发现提供虚假资料的，按照提供虚假资料处理）；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）资格证明文件不全的，或者不符合招标文件标明的资格要求的，及未提供招标文件中标有“*”、“ ▲”、“※”、“★”等特殊符号的证明文件的；</w:t>
      </w:r>
    </w:p>
    <w:p>
      <w:pPr>
        <w:keepNext w:val="0"/>
        <w:keepLines w:val="0"/>
        <w:pageBreakBefore w:val="0"/>
        <w:widowControl w:val="0"/>
        <w:kinsoku/>
        <w:wordWrap/>
        <w:overflowPunct/>
        <w:topLinePunct w:val="0"/>
        <w:autoSpaceDE/>
        <w:autoSpaceDN/>
        <w:bidi w:val="0"/>
        <w:adjustRightInd/>
        <w:spacing w:line="450" w:lineRule="exact"/>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本项目投标截止之日前三年内，相关主体在“信用中国”网站、中国政府采购网有失信行为或被列入受惩黑名单。</w:t>
      </w:r>
    </w:p>
    <w:p>
      <w:pPr>
        <w:pStyle w:val="4"/>
        <w:rPr>
          <w:rFonts w:hint="eastAsia"/>
          <w:color w:val="auto"/>
          <w:highlight w:val="non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rPr>
        <w:t>）投标文件无法定代表人签字,或未提供法定代表人授权委托书、投标声明书或者填写项目不齐全的；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8</w:t>
      </w:r>
      <w:r>
        <w:rPr>
          <w:rFonts w:hint="eastAsia" w:ascii="宋体" w:hAnsi="宋体" w:eastAsia="宋体" w:cs="宋体"/>
          <w:color w:val="auto"/>
          <w:sz w:val="24"/>
          <w:highlight w:val="none"/>
        </w:rPr>
        <w:t xml:space="preserve">）投标代表人未能出具身份证明或与法定代表人授权委托人身份不符的；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9</w:t>
      </w:r>
      <w:r>
        <w:rPr>
          <w:rFonts w:hint="eastAsia" w:ascii="宋体" w:hAnsi="宋体" w:eastAsia="宋体" w:cs="宋体"/>
          <w:color w:val="auto"/>
          <w:sz w:val="24"/>
          <w:highlight w:val="none"/>
        </w:rPr>
        <w:t>）投标文件格式未按招标文件附件规定的格式、未按招标文件规定的内容编制投标文件的或者内容虚假的、未按规定签字或盖章的；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0</w:t>
      </w:r>
      <w:r>
        <w:rPr>
          <w:rFonts w:hint="eastAsia" w:ascii="宋体" w:hAnsi="宋体" w:eastAsia="宋体" w:cs="宋体"/>
          <w:color w:val="auto"/>
          <w:sz w:val="24"/>
          <w:highlight w:val="none"/>
        </w:rPr>
        <w:t>）投标文件的实质性内容未使用中文表述的或意思表述不明确、前后矛盾的或者使用计量单位不符合招标文件要求的（经评标委员会认定并允许其当场更正的笔误除外）；</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）投标有效期、服务期（交货期）、质保期、付款方式等商务条款不能满足招标文件要求的；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）未实质性响应招标文件要求或者投标文件有招标方不能接受的附加条件的；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）招标文件规定的其它投标无效的情况；</w:t>
      </w:r>
    </w:p>
    <w:p>
      <w:pPr>
        <w:tabs>
          <w:tab w:val="left" w:pos="401"/>
        </w:tabs>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）法律、法规规定的其它投标无效情况。</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2.在技术资信评审时，如发现下列情形之一的，投标文件将被视为无效：</w:t>
      </w:r>
    </w:p>
    <w:p>
      <w:pPr>
        <w:spacing w:line="360" w:lineRule="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（1）投标人未在规定的时间内对电子询标函进行澄清回复、拒绝澄清回复或澄清回复的内容改变了投标文件的实质性内容的；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（2）投标文件标明的响应或偏离与事实不符的或虚假投标的；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（3）明显不符合招标文件质量标准的，或者与招标文件中标有“*”、“ ▲”、“※”、“★”等特殊符号的技术指标、主要功能项目发生实质性偏离的；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（4）招标文件中允许偏离的技术、性能指标或者辅助功能发生较大负偏离的，经评标委员会认定对项目实际使用造成影响的；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（5）投标技术方案不明确，存在一个或一个以上备选（替代）投标方案的；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（6）与其他参加本次投标供应商的投标文件的文字表述内容相同连续20行以上或者差错相同2处以上的；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（7）在资信及商务标、技术标内出现商务报价；</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（8）招标文件规定的其它投标无效的情况；</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（9）法律、法规规定的其它投标无效情况。</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3.在报价评审时，如发现下列情形之一的，投标文件将被视为无效：</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（1）投标人未在规定的时间内对电子询标函进行澄清回复、拒绝澄清回复或者澄清回复的内容改变了投标文件的实质性内容的；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cs="宋体"/>
          <w:color w:val="auto"/>
          <w:sz w:val="24"/>
          <w:highlight w:val="none"/>
          <w:lang w:eastAsia="zh-CN"/>
        </w:rPr>
        <w:t>未填写投标报价或</w:t>
      </w:r>
      <w:r>
        <w:rPr>
          <w:rFonts w:hint="eastAsia" w:ascii="宋体" w:hAnsi="宋体" w:eastAsia="宋体" w:cs="宋体"/>
          <w:color w:val="auto"/>
          <w:sz w:val="24"/>
          <w:highlight w:val="none"/>
        </w:rPr>
        <w:t>未采用人民币报价或者未按照招标文件标明的币种报价的；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（3）投标报价具有选择性的，或者开标价格与投标文件承诺的优惠（折扣）价格不一致的；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（4）报价</w:t>
      </w:r>
      <w:r>
        <w:rPr>
          <w:rFonts w:hint="eastAsia" w:ascii="宋体" w:hAnsi="宋体" w:cs="宋体"/>
          <w:color w:val="auto"/>
          <w:sz w:val="24"/>
          <w:highlight w:val="none"/>
          <w:lang w:val="en-US" w:eastAsia="zh-CN"/>
        </w:rPr>
        <w:t>高于</w:t>
      </w:r>
      <w:r>
        <w:rPr>
          <w:rFonts w:hint="eastAsia" w:ascii="宋体" w:hAnsi="宋体" w:eastAsia="宋体" w:cs="宋体"/>
          <w:color w:val="auto"/>
          <w:sz w:val="24"/>
          <w:highlight w:val="none"/>
        </w:rPr>
        <w:t>用户设定的最高限价或预算金额的；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（5）招标文件规定的其它投标无效的情况；</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（6）法律、法规规定的其它投标无效情况。</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4.被拒绝的投标文件为无效。</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5.根据有关法律、法规规定为无效、废标的，按法律、法规规定执行。</w:t>
      </w:r>
    </w:p>
    <w:p>
      <w:pPr>
        <w:pStyle w:val="2"/>
        <w:keepNext w:val="0"/>
        <w:keepLines w:val="0"/>
        <w:pageBreakBefore/>
        <w:spacing w:line="360" w:lineRule="auto"/>
        <w:jc w:val="center"/>
        <w:rPr>
          <w:rFonts w:hint="eastAsia" w:ascii="宋体" w:hAnsi="宋体" w:eastAsia="宋体" w:cs="宋体"/>
          <w:color w:val="auto"/>
          <w:sz w:val="24"/>
          <w:szCs w:val="24"/>
          <w:highlight w:val="none"/>
        </w:rPr>
      </w:pPr>
      <w:bookmarkStart w:id="26" w:name="_Toc458697270"/>
      <w:bookmarkStart w:id="27" w:name="_Toc20805"/>
      <w:r>
        <w:rPr>
          <w:rFonts w:hint="eastAsia" w:ascii="宋体" w:hAnsi="宋体" w:eastAsia="宋体" w:cs="宋体"/>
          <w:color w:val="auto"/>
          <w:sz w:val="24"/>
          <w:szCs w:val="24"/>
          <w:highlight w:val="none"/>
        </w:rPr>
        <w:t>四、开标</w:t>
      </w:r>
      <w:bookmarkEnd w:id="26"/>
      <w:bookmarkEnd w:id="27"/>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（一）开标准备   </w:t>
      </w:r>
    </w:p>
    <w:p>
      <w:pPr>
        <w:spacing w:line="360" w:lineRule="auto"/>
        <w:ind w:firstLine="720" w:firstLineChars="3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采购代理机构将在规定的时间和地点进行电子开标，投标人的法定代表人或其委托代理人【委托代理人应当是投标人的在职正式职工（以投标人本单位缴纳社保花名册为准）】应做好投标准备，准时在线参加电子开标会议，随时关注开标进度。</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（二）电子招投标开标程序</w:t>
      </w:r>
    </w:p>
    <w:p>
      <w:pPr>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1.开标会由招标代理机构主持，主持人宣布开标会议开始；</w:t>
      </w:r>
    </w:p>
    <w:p>
      <w:pPr>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2.主持人宣布评标室会议纪律及评标期间的有关事项；告知应当回避的情形,提请有关人员回避；</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3.开标及评审程序</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3.1在开标时间截止后30分钟内由各投标人自行对投标文件进行解密；</w:t>
      </w:r>
    </w:p>
    <w:p>
      <w:pPr>
        <w:spacing w:line="360" w:lineRule="auto"/>
        <w:ind w:left="480" w:hanging="480" w:hanging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3.2由采购人进行资格审查，通过资格审查的投标人进入商务技术响应文件进行评审；</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3.3系统对各投标人的商务技术进行汇总</w:t>
      </w:r>
      <w:r>
        <w:rPr>
          <w:rFonts w:hint="eastAsia" w:ascii="宋体" w:hAnsi="宋体" w:cs="宋体"/>
          <w:color w:val="auto"/>
          <w:sz w:val="24"/>
          <w:szCs w:val="24"/>
          <w:highlight w:val="none"/>
          <w:lang w:eastAsia="zh-CN"/>
        </w:rPr>
        <w:t>并公布商务技术得分</w:t>
      </w: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3.4在系统上公开报价开标情况；</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3.5评标委员会对报价情况进行评审；</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3.6在系统上公布评审结果。</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特别说明：政采云公司如对电子化开标及评审程序有调整的，按调整后的程序操作。</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4、本项目采用政采云电子招投标开标及评审程序，开评标时出现电子投标文件无法解密或解密失败等情况时，采购代理机构可上传投标人的电子备份投标文件继续评审。</w:t>
      </w:r>
    </w:p>
    <w:p>
      <w:pPr>
        <w:pStyle w:val="2"/>
        <w:keepNext w:val="0"/>
        <w:keepLines w:val="0"/>
        <w:pageBreakBefore/>
        <w:spacing w:line="360" w:lineRule="auto"/>
        <w:jc w:val="center"/>
        <w:rPr>
          <w:rFonts w:ascii="宋体" w:hAnsi="宋体" w:eastAsia="宋体" w:cs="宋体"/>
          <w:b/>
          <w:bCs/>
          <w:color w:val="auto"/>
          <w:sz w:val="24"/>
          <w:szCs w:val="24"/>
          <w:highlight w:val="none"/>
        </w:rPr>
      </w:pPr>
      <w:bookmarkStart w:id="28" w:name="_Toc458697271"/>
      <w:bookmarkStart w:id="29" w:name="_Toc7166"/>
      <w:bookmarkStart w:id="30" w:name="_Toc27865"/>
      <w:r>
        <w:rPr>
          <w:rFonts w:hint="eastAsia" w:ascii="宋体" w:hAnsi="宋体" w:eastAsia="宋体" w:cs="宋体"/>
          <w:b/>
          <w:bCs/>
          <w:color w:val="auto"/>
          <w:sz w:val="24"/>
          <w:szCs w:val="24"/>
          <w:highlight w:val="none"/>
        </w:rPr>
        <w:t>五、评标</w:t>
      </w:r>
      <w:bookmarkEnd w:id="28"/>
      <w:bookmarkEnd w:id="29"/>
      <w:bookmarkEnd w:id="30"/>
    </w:p>
    <w:p>
      <w:pPr>
        <w:spacing w:line="360" w:lineRule="auto"/>
        <w:rPr>
          <w:rFonts w:ascii="宋体" w:hAnsi="宋体" w:cs="宋体"/>
          <w:b/>
          <w:color w:val="auto"/>
          <w:sz w:val="24"/>
          <w:highlight w:val="none"/>
        </w:rPr>
      </w:pPr>
      <w:r>
        <w:rPr>
          <w:rFonts w:hint="eastAsia" w:ascii="宋体" w:hAnsi="宋体" w:cs="宋体"/>
          <w:b/>
          <w:color w:val="auto"/>
          <w:sz w:val="24"/>
          <w:highlight w:val="none"/>
        </w:rPr>
        <w:t>（一）组建评标委员会</w:t>
      </w:r>
    </w:p>
    <w:p>
      <w:pPr>
        <w:spacing w:line="360" w:lineRule="auto"/>
        <w:rPr>
          <w:rFonts w:ascii="宋体" w:hAnsi="宋体" w:cs="宋体"/>
          <w:color w:val="auto"/>
          <w:sz w:val="24"/>
          <w:highlight w:val="none"/>
        </w:rPr>
      </w:pPr>
      <w:r>
        <w:rPr>
          <w:rFonts w:hint="eastAsia" w:ascii="宋体" w:hAnsi="宋体" w:cs="宋体"/>
          <w:color w:val="auto"/>
          <w:sz w:val="24"/>
          <w:highlight w:val="none"/>
        </w:rPr>
        <w:t>本项目评标委员会由政府采购评审专家</w:t>
      </w:r>
      <w:r>
        <w:rPr>
          <w:rFonts w:hint="eastAsia" w:ascii="宋体" w:hAnsi="宋体" w:cs="宋体"/>
          <w:color w:val="auto"/>
          <w:sz w:val="24"/>
          <w:highlight w:val="none"/>
          <w:u w:val="single"/>
        </w:rPr>
        <w:t>4</w:t>
      </w:r>
      <w:r>
        <w:rPr>
          <w:rFonts w:hint="eastAsia" w:ascii="宋体" w:hAnsi="宋体" w:cs="宋体"/>
          <w:color w:val="auto"/>
          <w:sz w:val="24"/>
          <w:highlight w:val="none"/>
        </w:rPr>
        <w:t>人和采购人代表</w:t>
      </w:r>
      <w:r>
        <w:rPr>
          <w:rFonts w:hint="eastAsia" w:ascii="宋体" w:hAnsi="宋体" w:cs="宋体"/>
          <w:color w:val="auto"/>
          <w:sz w:val="24"/>
          <w:highlight w:val="none"/>
          <w:u w:val="single"/>
        </w:rPr>
        <w:t>1</w:t>
      </w:r>
      <w:r>
        <w:rPr>
          <w:rFonts w:hint="eastAsia" w:ascii="宋体" w:hAnsi="宋体" w:cs="宋体"/>
          <w:color w:val="auto"/>
          <w:sz w:val="24"/>
          <w:highlight w:val="none"/>
        </w:rPr>
        <w:t>人,共</w:t>
      </w:r>
      <w:r>
        <w:rPr>
          <w:rFonts w:hint="eastAsia" w:ascii="宋体" w:hAnsi="宋体" w:cs="宋体"/>
          <w:color w:val="auto"/>
          <w:sz w:val="24"/>
          <w:highlight w:val="none"/>
          <w:u w:val="single"/>
        </w:rPr>
        <w:t>5</w:t>
      </w:r>
      <w:r>
        <w:rPr>
          <w:rFonts w:hint="eastAsia" w:ascii="宋体" w:hAnsi="宋体" w:cs="宋体"/>
          <w:color w:val="auto"/>
          <w:sz w:val="24"/>
          <w:highlight w:val="none"/>
        </w:rPr>
        <w:t>人组成。（允许采购人不推荐采购人代表参加，如采购人不推荐采购人代表参加评审时，评标委员会（5人）都从评标专家库中抽取）。</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（二）评标的方式</w:t>
      </w:r>
    </w:p>
    <w:p>
      <w:pPr>
        <w:spacing w:line="360" w:lineRule="auto"/>
        <w:rPr>
          <w:rFonts w:ascii="宋体" w:hAnsi="宋体" w:cs="宋体"/>
          <w:color w:val="auto"/>
          <w:sz w:val="24"/>
          <w:highlight w:val="none"/>
        </w:rPr>
      </w:pPr>
      <w:r>
        <w:rPr>
          <w:rFonts w:hint="eastAsia" w:ascii="宋体" w:hAnsi="宋体" w:cs="宋体"/>
          <w:color w:val="auto"/>
          <w:sz w:val="24"/>
          <w:highlight w:val="none"/>
        </w:rPr>
        <w:t>本项目采用不公开方式评标，评标的依据为招标文件和投标文件。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（三）评标程序</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1.形式审查</w:t>
      </w:r>
    </w:p>
    <w:p>
      <w:pPr>
        <w:spacing w:line="360" w:lineRule="auto"/>
        <w:rPr>
          <w:rFonts w:ascii="宋体" w:hAnsi="宋体" w:cs="宋体"/>
          <w:b/>
          <w:color w:val="auto"/>
          <w:sz w:val="24"/>
          <w:highlight w:val="none"/>
        </w:rPr>
      </w:pPr>
      <w:r>
        <w:rPr>
          <w:rFonts w:hint="eastAsia" w:ascii="宋体" w:hAnsi="宋体" w:cs="宋体"/>
          <w:color w:val="auto"/>
          <w:sz w:val="24"/>
          <w:highlight w:val="none"/>
        </w:rPr>
        <w:t>招标方工作人员协助评标委员会对投标人的商务技术文件、报价投标文件的完整性、合法性等进行审查。</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2.实质审查与比较</w:t>
      </w:r>
    </w:p>
    <w:p>
      <w:pPr>
        <w:spacing w:line="360" w:lineRule="auto"/>
        <w:rPr>
          <w:rFonts w:ascii="宋体" w:hAnsi="宋体" w:cs="宋体"/>
          <w:color w:val="auto"/>
          <w:sz w:val="24"/>
          <w:highlight w:val="none"/>
        </w:rPr>
      </w:pPr>
      <w:r>
        <w:rPr>
          <w:rFonts w:hint="eastAsia" w:ascii="宋体" w:hAnsi="宋体" w:cs="宋体"/>
          <w:color w:val="auto"/>
          <w:sz w:val="24"/>
          <w:highlight w:val="none"/>
        </w:rPr>
        <w:t>（1）评标委员会审查投标文件的实质性内容是否符合招标文件的实质性要求。</w:t>
      </w:r>
    </w:p>
    <w:p>
      <w:pPr>
        <w:spacing w:line="360" w:lineRule="auto"/>
        <w:rPr>
          <w:rFonts w:ascii="宋体" w:hAnsi="宋体" w:cs="宋体"/>
          <w:color w:val="auto"/>
          <w:sz w:val="24"/>
          <w:highlight w:val="none"/>
        </w:rPr>
      </w:pPr>
      <w:r>
        <w:rPr>
          <w:rFonts w:hint="eastAsia" w:ascii="宋体" w:hAnsi="宋体" w:cs="宋体"/>
          <w:color w:val="auto"/>
          <w:sz w:val="24"/>
          <w:highlight w:val="none"/>
        </w:rPr>
        <w:t>（2）评标委员会将对投标人的投标文件进行审查、核对,如有疑问,将对投标人进行电子询标,投标人须在规定的时间内向评标委员会澄清有关问题,并在政采云上进行询标答复。</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投标人代表未在规定的时间内进行澄清、拒绝澄清或者澄清的内容改变了投标文件的实质性内容的，评标委员会有权对该投标文件作出不利于投标人的评判。</w:t>
      </w:r>
    </w:p>
    <w:p>
      <w:pPr>
        <w:spacing w:line="360" w:lineRule="auto"/>
        <w:rPr>
          <w:rFonts w:ascii="宋体" w:hAnsi="宋体" w:cs="宋体"/>
          <w:color w:val="auto"/>
          <w:sz w:val="24"/>
          <w:highlight w:val="none"/>
        </w:rPr>
      </w:pPr>
      <w:r>
        <w:rPr>
          <w:rFonts w:hint="eastAsia" w:ascii="宋体" w:hAnsi="宋体" w:cs="宋体"/>
          <w:color w:val="auto"/>
          <w:sz w:val="24"/>
          <w:highlight w:val="none"/>
        </w:rPr>
        <w:t>（3）各投标人的技术得分为所有评委的有效评分的算术平均数，由指定专人进行计算复核。</w:t>
      </w:r>
    </w:p>
    <w:p>
      <w:pPr>
        <w:spacing w:line="360" w:lineRule="auto"/>
        <w:rPr>
          <w:rFonts w:ascii="宋体" w:hAnsi="宋体" w:cs="宋体"/>
          <w:color w:val="auto"/>
          <w:sz w:val="24"/>
          <w:highlight w:val="none"/>
        </w:rPr>
      </w:pPr>
      <w:r>
        <w:rPr>
          <w:rFonts w:hint="eastAsia" w:ascii="宋体" w:hAnsi="宋体" w:cs="宋体"/>
          <w:color w:val="auto"/>
          <w:sz w:val="24"/>
          <w:highlight w:val="none"/>
        </w:rPr>
        <w:t>（4）招标方工作人员协助评标委员会审核商务报价有无计算错误，并根据本项目的评分标准计算各投标人的商务报价得分。</w:t>
      </w:r>
    </w:p>
    <w:p>
      <w:pPr>
        <w:spacing w:line="360" w:lineRule="auto"/>
        <w:rPr>
          <w:rFonts w:ascii="宋体" w:hAnsi="宋体" w:cs="宋体"/>
          <w:color w:val="auto"/>
          <w:sz w:val="24"/>
          <w:highlight w:val="none"/>
        </w:rPr>
      </w:pPr>
      <w:r>
        <w:rPr>
          <w:rFonts w:hint="eastAsia" w:ascii="宋体" w:hAnsi="宋体" w:cs="宋体"/>
          <w:color w:val="auto"/>
          <w:sz w:val="24"/>
          <w:highlight w:val="none"/>
        </w:rPr>
        <w:t>（5）评标委员会完成评标后, 招标方工作人员对系统中的得分汇总进行复核,计算出本项目最终得分，评标委员会按评标原则推荐中标候选人并起草评标报告。</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（四）澄清问题的形式</w:t>
      </w:r>
    </w:p>
    <w:p>
      <w:pPr>
        <w:spacing w:line="360" w:lineRule="auto"/>
        <w:rPr>
          <w:rFonts w:ascii="宋体" w:hAnsi="宋体" w:cs="宋体"/>
          <w:color w:val="auto"/>
          <w:sz w:val="24"/>
          <w:highlight w:val="none"/>
        </w:rPr>
      </w:pPr>
      <w:r>
        <w:rPr>
          <w:rFonts w:hint="eastAsia" w:ascii="宋体" w:hAnsi="宋体" w:cs="宋体"/>
          <w:color w:val="auto"/>
          <w:sz w:val="24"/>
          <w:highlight w:val="none"/>
        </w:rPr>
        <w:t>对投标文件中含义不明确、同类问题表述不一致或者有明显文字和计算错误的内容，评标委员会可要求投标人作出必要的澄清、说明或者纠正，投标人应在询标规定时间内进行澄清或说明（需盖CA电子签章或实体公章），并不得超出投标文件的范围或者改变投标文件的实质性内容。</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（五）错误修正</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投标文件如果出现计算或表达上的错误，修正错误的原则如下：</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1.投标文件中开标一览表（报价表）内容与与投标文件中相应内容不一致的，以开标一览表（报价表）为准；</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2.大写金额和小写金额不一致的，以大写金额为准；</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3.单价金额小数点或者百分比有明显错位的，以开标一览表的总价为准，并修改单价；</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4.总价金额与按单价汇总金额不一致的，以单价金额计算结果为准；</w:t>
      </w:r>
    </w:p>
    <w:p>
      <w:pPr>
        <w:pStyle w:val="20"/>
        <w:spacing w:line="360" w:lineRule="auto"/>
        <w:ind w:left="0" w:leftChars="0" w:firstLine="240" w:firstLineChars="100"/>
        <w:rPr>
          <w:rFonts w:ascii="宋体" w:hAnsi="宋体" w:cs="宋体"/>
          <w:color w:val="auto"/>
          <w:sz w:val="24"/>
          <w:highlight w:val="none"/>
        </w:rPr>
      </w:pPr>
      <w:r>
        <w:rPr>
          <w:rFonts w:hint="eastAsia" w:ascii="宋体" w:hAnsi="宋体" w:cs="宋体"/>
          <w:color w:val="auto"/>
          <w:sz w:val="24"/>
          <w:highlight w:val="none"/>
        </w:rPr>
        <w:t>5.政采云系统投标报价与投标文件中开标一览表（报价表）相应内容不一致的，以开标一览表（报价表）为准。</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6.对不同文字文本投标文件的解释发生异议的，以中文文本为准。</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同时出现两种以上不一致的，按照前款规定的顺序修正。修正后的报价按照《政府采购货物和服务招标投标管理办法》（第87号令）第五十一条第二款规定：投标人的澄清、说明或者补正应当采用书面形式，并加盖公章，或者由法定代表人或其授权的代表签字。投标人的澄清、说明或者补正不得超出投标文件的范围或者改变投标文件的实质性内容的规定经投标人确认后产生约束力，投标人不确认的，其投标无效。</w:t>
      </w:r>
    </w:p>
    <w:p>
      <w:pPr>
        <w:spacing w:line="360" w:lineRule="auto"/>
        <w:rPr>
          <w:rFonts w:ascii="宋体" w:hAnsi="宋体" w:cs="宋体"/>
          <w:b/>
          <w:bCs/>
          <w:color w:val="auto"/>
          <w:sz w:val="24"/>
          <w:highlight w:val="none"/>
        </w:rPr>
      </w:pPr>
      <w:r>
        <w:rPr>
          <w:rFonts w:hint="eastAsia" w:ascii="宋体" w:hAnsi="宋体" w:cs="宋体"/>
          <w:b/>
          <w:color w:val="auto"/>
          <w:sz w:val="24"/>
          <w:highlight w:val="none"/>
        </w:rPr>
        <w:t>（六）评标原则和评标办法</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val="en-US" w:eastAsia="zh-CN"/>
        </w:rPr>
        <w:t>1.</w:t>
      </w:r>
      <w:r>
        <w:rPr>
          <w:rFonts w:hint="eastAsia" w:ascii="宋体" w:hAnsi="宋体" w:cs="宋体"/>
          <w:color w:val="auto"/>
          <w:sz w:val="24"/>
          <w:highlight w:val="none"/>
        </w:rPr>
        <w:t>评审专家必须公平、公正评审，遵纪守法，客观、廉洁地履行职责。</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val="en-US" w:eastAsia="zh-CN"/>
        </w:rPr>
        <w:t>2.</w:t>
      </w:r>
      <w:r>
        <w:rPr>
          <w:rFonts w:hint="eastAsia" w:ascii="宋体" w:hAnsi="宋体" w:cs="宋体"/>
          <w:color w:val="auto"/>
          <w:sz w:val="24"/>
          <w:highlight w:val="none"/>
        </w:rPr>
        <w:t>评审专家在评审开始前，应关闭并上交随身携带的各种通信工具。</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评审专家在评审过程中，未经许可不得中途离开评审现场，不得迟到早退。</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评审专家和工作人员不得透露评审过程中的讨论情况和评审结果。</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val="en-US" w:eastAsia="zh-CN"/>
        </w:rPr>
        <w:t>5.</w:t>
      </w:r>
      <w:r>
        <w:rPr>
          <w:rFonts w:hint="eastAsia" w:ascii="宋体" w:hAnsi="宋体" w:cs="宋体"/>
          <w:color w:val="auto"/>
          <w:sz w:val="24"/>
          <w:highlight w:val="none"/>
        </w:rPr>
        <w:t>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rPr>
        <w:t>6.采购人、采购代理机构不得向评审委员会的评审专家作倾向性、误导性的解释或者说明。</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val="en-US" w:eastAsia="zh-CN"/>
        </w:rPr>
        <w:t>7.</w:t>
      </w:r>
      <w:r>
        <w:rPr>
          <w:rFonts w:hint="eastAsia" w:ascii="宋体" w:hAnsi="宋体" w:cs="宋体"/>
          <w:color w:val="auto"/>
          <w:sz w:val="24"/>
          <w:highlight w:val="none"/>
        </w:rPr>
        <w:t>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30%以上），提醒相关评审专家进行复核或书面说明理由。</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val="en-US" w:eastAsia="zh-CN"/>
        </w:rPr>
        <w:t>8.</w:t>
      </w:r>
      <w:r>
        <w:rPr>
          <w:rFonts w:hint="eastAsia" w:ascii="宋体" w:hAnsi="宋体" w:cs="宋体"/>
          <w:color w:val="auto"/>
          <w:sz w:val="24"/>
          <w:highlight w:val="none"/>
        </w:rPr>
        <w:t>评审专家在评审过程中不得将自己的观点强加给其他评审专家，评审专家应自主发表见解，对评审意见承担个人责任。</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val="en-US" w:eastAsia="zh-CN"/>
        </w:rPr>
        <w:t>9.</w:t>
      </w:r>
      <w:r>
        <w:rPr>
          <w:rFonts w:hint="eastAsia" w:ascii="宋体" w:hAnsi="宋体" w:cs="宋体"/>
          <w:color w:val="auto"/>
          <w:sz w:val="24"/>
          <w:highlight w:val="none"/>
        </w:rPr>
        <w:t>评审结束后，评审委员会应向采购代理机构提交项目评审报告。评审报告是采购人确定中标人的合法依据，评审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val="en-US" w:eastAsia="zh-CN"/>
        </w:rPr>
        <w:t>10.</w:t>
      </w:r>
      <w:r>
        <w:rPr>
          <w:rFonts w:hint="eastAsia" w:ascii="宋体" w:hAnsi="宋体" w:cs="宋体"/>
          <w:color w:val="auto"/>
          <w:sz w:val="24"/>
          <w:highlight w:val="none"/>
        </w:rPr>
        <w:t>评审专家应当独立、客观、公正地提出评审意见，不得带有倾向性，不得影响其他评审专家评审，并在评审报告上签字；如对评审报告有异议的，可在报告上签署不同意见，并说明理由，否则将视为同意。</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val="en-US" w:eastAsia="zh-CN"/>
        </w:rPr>
        <w:t>11.</w:t>
      </w:r>
      <w:r>
        <w:rPr>
          <w:rFonts w:hint="eastAsia" w:ascii="宋体" w:hAnsi="宋体" w:cs="宋体"/>
          <w:color w:val="auto"/>
          <w:sz w:val="24"/>
          <w:highlight w:val="none"/>
        </w:rPr>
        <w:t>评审专家应当遵守评审工作纪律，不得泄露评审文件、评审情况和评审中获悉的商业秘密。</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rPr>
        <w:t>评审委员会在评审过程中发现投标人有行贿、提供虚假材料或者串通等违法行为的，应当及时向财政部门报告。</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val="en-US" w:eastAsia="zh-CN"/>
        </w:rPr>
        <w:t>12.</w:t>
      </w:r>
      <w:r>
        <w:rPr>
          <w:rFonts w:hint="eastAsia" w:ascii="宋体" w:hAnsi="宋体" w:cs="宋体"/>
          <w:color w:val="auto"/>
          <w:sz w:val="24"/>
          <w:highlight w:val="none"/>
        </w:rPr>
        <w:t>招标文件内容违反国家有关强制性规定的，评审委员会应当停止评审并向采购代理机构说明情况。</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val="en-US" w:eastAsia="zh-CN"/>
        </w:rPr>
        <w:t>13.</w:t>
      </w:r>
      <w:r>
        <w:rPr>
          <w:rFonts w:hint="eastAsia" w:ascii="宋体" w:hAnsi="宋体" w:cs="宋体"/>
          <w:color w:val="auto"/>
          <w:sz w:val="24"/>
          <w:highlight w:val="none"/>
        </w:rPr>
        <w:t>评审专家应当配合采购代理机构答复投标人提出的质疑。</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val="en-US" w:eastAsia="zh-CN"/>
        </w:rPr>
        <w:t>14.</w:t>
      </w:r>
      <w:r>
        <w:rPr>
          <w:rFonts w:hint="eastAsia" w:ascii="宋体" w:hAnsi="宋体" w:cs="宋体"/>
          <w:color w:val="auto"/>
          <w:sz w:val="24"/>
          <w:highlight w:val="none"/>
        </w:rPr>
        <w:t>评审专家应当配合财政部门的投诉处理工作。</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val="en-US" w:eastAsia="zh-CN"/>
        </w:rPr>
        <w:t>15.</w:t>
      </w:r>
      <w:r>
        <w:rPr>
          <w:rFonts w:hint="eastAsia" w:ascii="宋体" w:hAnsi="宋体" w:cs="宋体"/>
          <w:color w:val="auto"/>
          <w:sz w:val="24"/>
          <w:highlight w:val="none"/>
        </w:rPr>
        <w:t>评审专家有如下行为之一的，责令改正，给予警告，可以并处一千元以下的罚款：</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eastAsia="zh-CN"/>
        </w:rPr>
        <w:t>①</w:t>
      </w:r>
      <w:r>
        <w:rPr>
          <w:rFonts w:hint="eastAsia" w:ascii="宋体" w:hAnsi="宋体" w:cs="宋体"/>
          <w:color w:val="auto"/>
          <w:sz w:val="24"/>
          <w:highlight w:val="none"/>
        </w:rPr>
        <w:t>明知应当回避而未主动回避的；</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eastAsia="zh-CN"/>
        </w:rPr>
        <w:t>②</w:t>
      </w:r>
      <w:r>
        <w:rPr>
          <w:rFonts w:hint="eastAsia" w:ascii="宋体" w:hAnsi="宋体" w:cs="宋体"/>
          <w:color w:val="auto"/>
          <w:sz w:val="24"/>
          <w:highlight w:val="none"/>
        </w:rPr>
        <w:t>在</w:t>
      </w:r>
      <w:r>
        <w:rPr>
          <w:rFonts w:hint="eastAsia" w:ascii="宋体" w:hAnsi="宋体" w:cs="宋体"/>
          <w:color w:val="auto"/>
          <w:sz w:val="24"/>
          <w:highlight w:val="none"/>
          <w:lang w:eastAsia="zh-CN"/>
        </w:rPr>
        <w:t>得知</w:t>
      </w:r>
      <w:r>
        <w:rPr>
          <w:rFonts w:hint="eastAsia" w:ascii="宋体" w:hAnsi="宋体" w:cs="宋体"/>
          <w:color w:val="auto"/>
          <w:sz w:val="24"/>
          <w:highlight w:val="none"/>
        </w:rPr>
        <w:t>自己为评审专家身份后至评审结束前时段内私下接触投标人的；</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eastAsia="zh-CN"/>
        </w:rPr>
        <w:t>③</w:t>
      </w:r>
      <w:r>
        <w:rPr>
          <w:rFonts w:hint="eastAsia" w:ascii="宋体" w:hAnsi="宋体" w:cs="宋体"/>
          <w:color w:val="auto"/>
          <w:sz w:val="24"/>
          <w:highlight w:val="none"/>
        </w:rPr>
        <w:t>在评审过程中擅离职守，影响评审程序正常进行的；</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eastAsia="zh-CN"/>
        </w:rPr>
        <w:t>④</w:t>
      </w:r>
      <w:r>
        <w:rPr>
          <w:rFonts w:hint="eastAsia" w:ascii="宋体" w:hAnsi="宋体" w:cs="宋体"/>
          <w:color w:val="auto"/>
          <w:sz w:val="24"/>
          <w:highlight w:val="none"/>
        </w:rPr>
        <w:t>在评审过程有明显不合理或者不正当倾向性的；</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eastAsia="zh-CN"/>
        </w:rPr>
        <w:t>⑤</w:t>
      </w:r>
      <w:r>
        <w:rPr>
          <w:rFonts w:hint="eastAsia" w:ascii="宋体" w:hAnsi="宋体" w:cs="宋体"/>
          <w:color w:val="auto"/>
          <w:sz w:val="24"/>
          <w:highlight w:val="none"/>
        </w:rPr>
        <w:t>未按招标文件规定的评审方法和标准进行评审的。</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eastAsia="zh-CN"/>
        </w:rPr>
        <w:t>⑥</w:t>
      </w:r>
      <w:r>
        <w:rPr>
          <w:rFonts w:hint="eastAsia" w:ascii="宋体" w:hAnsi="宋体" w:cs="宋体"/>
          <w:color w:val="auto"/>
          <w:sz w:val="24"/>
          <w:highlight w:val="none"/>
        </w:rPr>
        <w:t>上述</w:t>
      </w:r>
      <w:r>
        <w:rPr>
          <w:rFonts w:hint="eastAsia" w:ascii="宋体" w:hAnsi="宋体" w:cs="宋体"/>
          <w:color w:val="auto"/>
          <w:sz w:val="24"/>
          <w:highlight w:val="none"/>
          <w:lang w:eastAsia="zh-CN"/>
        </w:rPr>
        <w:t>①</w:t>
      </w:r>
      <w:r>
        <w:rPr>
          <w:rFonts w:hint="eastAsia" w:ascii="宋体" w:hAnsi="宋体" w:cs="宋体"/>
          <w:color w:val="auto"/>
          <w:sz w:val="24"/>
          <w:highlight w:val="none"/>
        </w:rPr>
        <w:t>至</w:t>
      </w:r>
      <w:r>
        <w:rPr>
          <w:rFonts w:hint="eastAsia" w:ascii="宋体" w:hAnsi="宋体" w:cs="宋体"/>
          <w:color w:val="auto"/>
          <w:sz w:val="24"/>
          <w:highlight w:val="none"/>
          <w:lang w:eastAsia="zh-CN"/>
        </w:rPr>
        <w:t>⑤</w:t>
      </w:r>
      <w:r>
        <w:rPr>
          <w:rFonts w:hint="eastAsia" w:ascii="宋体" w:hAnsi="宋体" w:cs="宋体"/>
          <w:color w:val="auto"/>
          <w:sz w:val="24"/>
          <w:highlight w:val="none"/>
        </w:rPr>
        <w:t>行为影响中标结果的，中标结果无效。</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val="en-US" w:eastAsia="zh-CN"/>
        </w:rPr>
        <w:t>16.</w:t>
      </w:r>
      <w:r>
        <w:rPr>
          <w:rFonts w:hint="eastAsia" w:ascii="宋体" w:hAnsi="宋体" w:cs="宋体"/>
          <w:color w:val="auto"/>
          <w:sz w:val="24"/>
          <w:highlight w:val="none"/>
        </w:rPr>
        <w:t>政府采购评审专家未按照招标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rPr>
        <w:t>政府采购评审专家与投标人存在利害关系未回避的，处2万元以上5万元以下的罚款，禁止其参加政府采购评审活动。</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rPr>
        <w:t>政府采购评审专家收受采购人、采购代理机构、投标人贿赂或者获取其他不正当利益，构成犯罪的，依法追究刑事责任；尚不构成犯罪的，处2万元以上5万元以下的罚款，禁止其参加政府采购评审活动。</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rPr>
        <w:t>政府采购评审专家有上述违法行为的，其评审意见无效，不得获取评审费；有违法所得的，没收违法所得；给他人造成损失的，依法承担民事责任。</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val="en-US" w:eastAsia="zh-CN"/>
        </w:rPr>
        <w:t>17</w:t>
      </w:r>
      <w:r>
        <w:rPr>
          <w:rFonts w:hint="eastAsia" w:ascii="宋体" w:hAnsi="宋体" w:cs="宋体"/>
          <w:color w:val="auto"/>
          <w:sz w:val="24"/>
          <w:highlight w:val="none"/>
        </w:rPr>
        <w:t>.评标办法。</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rPr>
        <w:t>本项目评标办法是：综合评分法，具体评标内容及评分标准等详见《第四章：评标办法及评分标准》。</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（七）评标过程的监控</w:t>
      </w:r>
    </w:p>
    <w:p>
      <w:pPr>
        <w:spacing w:line="360" w:lineRule="auto"/>
        <w:ind w:firstLine="120" w:firstLineChars="50"/>
        <w:rPr>
          <w:rFonts w:ascii="宋体" w:hAnsi="宋体" w:cs="宋体"/>
          <w:color w:val="auto"/>
          <w:sz w:val="24"/>
          <w:highlight w:val="none"/>
        </w:rPr>
      </w:pPr>
      <w:r>
        <w:rPr>
          <w:rFonts w:hint="eastAsia" w:ascii="宋体" w:hAnsi="宋体" w:cs="宋体"/>
          <w:color w:val="auto"/>
          <w:sz w:val="24"/>
          <w:highlight w:val="none"/>
        </w:rPr>
        <w:t>本项目评标过程实行全程录音、录像监控，投标人在评标过程中所进行的试图影响评标结果的不公正活动，可能导致其投标被拒绝。</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（八）其他</w:t>
      </w:r>
    </w:p>
    <w:p>
      <w:pPr>
        <w:spacing w:line="360" w:lineRule="auto"/>
        <w:ind w:firstLine="470" w:firstLineChars="196"/>
        <w:rPr>
          <w:rFonts w:ascii="宋体" w:hAnsi="宋体" w:cs="宋体"/>
          <w:color w:val="auto"/>
          <w:sz w:val="24"/>
          <w:highlight w:val="none"/>
        </w:rPr>
      </w:pPr>
      <w:r>
        <w:rPr>
          <w:rFonts w:hint="eastAsia" w:ascii="宋体" w:hAnsi="宋体" w:cs="宋体"/>
          <w:color w:val="auto"/>
          <w:sz w:val="24"/>
          <w:highlight w:val="none"/>
        </w:rPr>
        <w:t>采购过程中出现以下情形，导致电子交易平台无法正常运行，或者无法保证电子交易的公平、公正和安全时，采购组织机构可中止电子交易活动：</w:t>
      </w:r>
    </w:p>
    <w:p>
      <w:pPr>
        <w:spacing w:line="360" w:lineRule="auto"/>
        <w:ind w:firstLine="352" w:firstLineChars="147"/>
        <w:rPr>
          <w:rFonts w:ascii="宋体" w:hAnsi="宋体" w:cs="宋体"/>
          <w:color w:val="auto"/>
          <w:sz w:val="24"/>
          <w:highlight w:val="none"/>
        </w:rPr>
      </w:pPr>
      <w:r>
        <w:rPr>
          <w:rFonts w:hint="eastAsia" w:ascii="宋体" w:hAnsi="宋体" w:cs="宋体"/>
          <w:color w:val="auto"/>
          <w:sz w:val="24"/>
          <w:highlight w:val="none"/>
        </w:rPr>
        <w:t>1、电子交易平台发生故障而无法登录访问的；</w:t>
      </w:r>
    </w:p>
    <w:p>
      <w:pPr>
        <w:spacing w:line="360" w:lineRule="auto"/>
        <w:ind w:firstLine="352" w:firstLineChars="147"/>
        <w:rPr>
          <w:rFonts w:ascii="宋体" w:hAnsi="宋体" w:cs="宋体"/>
          <w:color w:val="auto"/>
          <w:sz w:val="24"/>
          <w:highlight w:val="none"/>
        </w:rPr>
      </w:pPr>
      <w:r>
        <w:rPr>
          <w:rFonts w:hint="eastAsia" w:ascii="宋体" w:hAnsi="宋体" w:cs="宋体"/>
          <w:color w:val="auto"/>
          <w:sz w:val="24"/>
          <w:highlight w:val="none"/>
        </w:rPr>
        <w:t>2、电子交易平台应用或数据库出现错误，不能进行正常操作的；</w:t>
      </w:r>
    </w:p>
    <w:p>
      <w:pPr>
        <w:spacing w:line="360" w:lineRule="auto"/>
        <w:ind w:firstLine="352" w:firstLineChars="147"/>
        <w:rPr>
          <w:rFonts w:ascii="宋体" w:hAnsi="宋体" w:cs="宋体"/>
          <w:color w:val="auto"/>
          <w:sz w:val="24"/>
          <w:highlight w:val="none"/>
        </w:rPr>
      </w:pPr>
      <w:r>
        <w:rPr>
          <w:rFonts w:hint="eastAsia" w:ascii="宋体" w:hAnsi="宋体" w:cs="宋体"/>
          <w:color w:val="auto"/>
          <w:sz w:val="24"/>
          <w:highlight w:val="none"/>
        </w:rPr>
        <w:t>3、电子交易平台发现严重安全漏洞，有潜在泄密危险的；</w:t>
      </w:r>
    </w:p>
    <w:p>
      <w:pPr>
        <w:spacing w:line="360" w:lineRule="auto"/>
        <w:ind w:firstLine="352" w:firstLineChars="147"/>
        <w:rPr>
          <w:rFonts w:ascii="宋体" w:hAnsi="宋体" w:cs="宋体"/>
          <w:color w:val="auto"/>
          <w:sz w:val="24"/>
          <w:highlight w:val="none"/>
        </w:rPr>
      </w:pPr>
      <w:r>
        <w:rPr>
          <w:rFonts w:hint="eastAsia" w:ascii="宋体" w:hAnsi="宋体" w:cs="宋体"/>
          <w:color w:val="auto"/>
          <w:sz w:val="24"/>
          <w:highlight w:val="none"/>
        </w:rPr>
        <w:t>4、病毒发作导致不能进行正常操作的；</w:t>
      </w:r>
    </w:p>
    <w:p>
      <w:pPr>
        <w:spacing w:line="360" w:lineRule="auto"/>
        <w:ind w:firstLine="352" w:firstLineChars="147"/>
        <w:rPr>
          <w:rFonts w:ascii="宋体" w:hAnsi="宋体" w:cs="宋体"/>
          <w:color w:val="auto"/>
          <w:sz w:val="24"/>
          <w:highlight w:val="none"/>
        </w:rPr>
      </w:pPr>
      <w:r>
        <w:rPr>
          <w:rFonts w:hint="eastAsia" w:ascii="宋体" w:hAnsi="宋体" w:cs="宋体"/>
          <w:color w:val="auto"/>
          <w:sz w:val="24"/>
          <w:highlight w:val="none"/>
        </w:rPr>
        <w:t>5、其他无法保证电子交易的公平、公正和安全的情况。</w:t>
      </w:r>
    </w:p>
    <w:p>
      <w:pPr>
        <w:spacing w:line="360" w:lineRule="auto"/>
        <w:ind w:firstLine="470" w:firstLineChars="196"/>
        <w:rPr>
          <w:rFonts w:ascii="宋体" w:hAnsi="宋体" w:cs="宋体"/>
          <w:color w:val="auto"/>
          <w:sz w:val="24"/>
          <w:highlight w:val="none"/>
        </w:rPr>
      </w:pPr>
      <w:r>
        <w:rPr>
          <w:rFonts w:hint="eastAsia" w:ascii="宋体" w:hAnsi="宋体" w:cs="宋体"/>
          <w:color w:val="auto"/>
          <w:sz w:val="24"/>
          <w:highlight w:val="none"/>
        </w:rPr>
        <w:t>出现前款规定情形，不影响采购公平、公正性的，采购组织机构可以待上述情形消除后继续组织电子交易活动；影响或可能影响采购公平、公正性的，应当重新采购。</w:t>
      </w:r>
    </w:p>
    <w:p>
      <w:pPr>
        <w:pStyle w:val="2"/>
        <w:keepNext w:val="0"/>
        <w:keepLines w:val="0"/>
        <w:pageBreakBefore/>
        <w:spacing w:line="360" w:lineRule="auto"/>
        <w:jc w:val="center"/>
        <w:rPr>
          <w:rFonts w:ascii="宋体" w:hAnsi="宋体" w:eastAsia="宋体" w:cs="宋体"/>
          <w:b/>
          <w:bCs/>
          <w:color w:val="auto"/>
          <w:sz w:val="24"/>
          <w:szCs w:val="24"/>
          <w:highlight w:val="none"/>
        </w:rPr>
      </w:pPr>
      <w:bookmarkStart w:id="31" w:name="_Toc3516"/>
      <w:bookmarkStart w:id="32" w:name="_Toc458697272"/>
      <w:bookmarkStart w:id="33" w:name="_Toc3316"/>
      <w:r>
        <w:rPr>
          <w:rFonts w:hint="eastAsia" w:ascii="宋体" w:hAnsi="宋体" w:eastAsia="宋体" w:cs="宋体"/>
          <w:b/>
          <w:bCs/>
          <w:color w:val="auto"/>
          <w:sz w:val="24"/>
          <w:szCs w:val="24"/>
          <w:highlight w:val="none"/>
        </w:rPr>
        <w:t>六、定标</w:t>
      </w:r>
      <w:bookmarkEnd w:id="31"/>
      <w:bookmarkEnd w:id="32"/>
      <w:bookmarkEnd w:id="33"/>
    </w:p>
    <w:p>
      <w:pPr>
        <w:spacing w:line="360" w:lineRule="auto"/>
        <w:rPr>
          <w:rFonts w:ascii="宋体" w:hAnsi="宋体" w:cs="宋体"/>
          <w:color w:val="auto"/>
          <w:sz w:val="24"/>
          <w:highlight w:val="none"/>
        </w:rPr>
      </w:pPr>
      <w:r>
        <w:rPr>
          <w:rFonts w:hint="eastAsia" w:ascii="宋体" w:hAnsi="宋体" w:cs="宋体"/>
          <w:color w:val="auto"/>
          <w:sz w:val="24"/>
          <w:highlight w:val="none"/>
        </w:rPr>
        <w:t>（一）确定中标人 。</w:t>
      </w:r>
      <w:r>
        <w:rPr>
          <w:rFonts w:hint="eastAsia" w:ascii="宋体" w:hAnsi="宋体" w:cs="宋体"/>
          <w:b/>
          <w:bCs/>
          <w:color w:val="auto"/>
          <w:sz w:val="24"/>
          <w:highlight w:val="none"/>
        </w:rPr>
        <w:t>本项目由采购人授权评标委员会确定中标人。</w:t>
      </w:r>
    </w:p>
    <w:p>
      <w:pPr>
        <w:spacing w:line="360" w:lineRule="auto"/>
        <w:rPr>
          <w:rFonts w:ascii="宋体" w:hAnsi="宋体" w:cs="宋体"/>
          <w:color w:val="auto"/>
          <w:sz w:val="24"/>
          <w:highlight w:val="none"/>
        </w:rPr>
      </w:pPr>
      <w:bookmarkStart w:id="34" w:name="_Toc458697273"/>
      <w:r>
        <w:rPr>
          <w:rFonts w:hint="eastAsia" w:ascii="宋体" w:hAnsi="宋体" w:cs="宋体"/>
          <w:color w:val="auto"/>
          <w:sz w:val="24"/>
          <w:highlight w:val="none"/>
        </w:rPr>
        <w:t>1.招标方在评标结束后2个工作日内将评标报告交采购人确认。</w:t>
      </w:r>
    </w:p>
    <w:p>
      <w:pPr>
        <w:spacing w:line="360" w:lineRule="auto"/>
        <w:rPr>
          <w:rFonts w:ascii="宋体" w:hAnsi="宋体" w:cs="宋体"/>
          <w:color w:val="auto"/>
          <w:sz w:val="24"/>
          <w:highlight w:val="none"/>
        </w:rPr>
      </w:pPr>
      <w:r>
        <w:rPr>
          <w:rFonts w:hint="eastAsia" w:ascii="宋体" w:hAnsi="宋体" w:cs="宋体"/>
          <w:color w:val="auto"/>
          <w:sz w:val="24"/>
          <w:highlight w:val="none"/>
        </w:rPr>
        <w:t>2.采购人应在收到评标报告后5个工作日内对评标结果进行确认。如有投标人对评标结果提出质疑的，采购人可在质疑处理完毕后确定中标人。</w:t>
      </w:r>
    </w:p>
    <w:p>
      <w:pPr>
        <w:spacing w:line="360" w:lineRule="auto"/>
        <w:rPr>
          <w:rFonts w:ascii="宋体" w:hAnsi="宋体" w:cs="宋体"/>
          <w:color w:val="auto"/>
          <w:sz w:val="24"/>
          <w:highlight w:val="none"/>
        </w:rPr>
      </w:pPr>
      <w:r>
        <w:rPr>
          <w:rFonts w:hint="eastAsia" w:ascii="宋体" w:hAnsi="宋体" w:cs="宋体"/>
          <w:color w:val="auto"/>
          <w:sz w:val="24"/>
          <w:highlight w:val="none"/>
        </w:rPr>
        <w:t>3.采购人依法确定中标人后2个工作日内，招标方以书面形式发出《中标通知书》,并同时在相关网站上发布中标公告。</w:t>
      </w:r>
    </w:p>
    <w:p>
      <w:pPr>
        <w:spacing w:line="360" w:lineRule="auto"/>
        <w:rPr>
          <w:rFonts w:ascii="宋体" w:hAnsi="宋体" w:cs="宋体"/>
          <w:color w:val="auto"/>
          <w:sz w:val="24"/>
          <w:highlight w:val="none"/>
        </w:rPr>
      </w:pPr>
      <w:r>
        <w:rPr>
          <w:rFonts w:hint="eastAsia" w:ascii="宋体" w:hAnsi="宋体" w:cs="宋体"/>
          <w:color w:val="auto"/>
          <w:sz w:val="24"/>
          <w:highlight w:val="none"/>
        </w:rPr>
        <w:t>4. 确定中标人后，中标人应在三个工作日内，向招标方领取《中标通知书》，否则按放弃中标资格处理，并因违反诚信原则，提交财政部门列入政府采购黑名单。</w:t>
      </w:r>
    </w:p>
    <w:p>
      <w:pPr>
        <w:pStyle w:val="2"/>
        <w:keepNext w:val="0"/>
        <w:keepLines w:val="0"/>
        <w:pageBreakBefore/>
        <w:spacing w:line="360" w:lineRule="auto"/>
        <w:jc w:val="center"/>
        <w:rPr>
          <w:rFonts w:ascii="宋体" w:hAnsi="宋体" w:eastAsia="宋体" w:cs="宋体"/>
          <w:b/>
          <w:bCs/>
          <w:color w:val="auto"/>
          <w:sz w:val="24"/>
          <w:szCs w:val="24"/>
          <w:highlight w:val="none"/>
        </w:rPr>
      </w:pPr>
      <w:bookmarkStart w:id="35" w:name="_Toc27700"/>
      <w:bookmarkStart w:id="36" w:name="_Toc9352"/>
      <w:r>
        <w:rPr>
          <w:rFonts w:hint="eastAsia" w:ascii="宋体" w:hAnsi="宋体" w:eastAsia="宋体" w:cs="宋体"/>
          <w:b/>
          <w:bCs/>
          <w:color w:val="auto"/>
          <w:sz w:val="24"/>
          <w:szCs w:val="24"/>
          <w:highlight w:val="none"/>
        </w:rPr>
        <w:t>七、合同授予</w:t>
      </w:r>
      <w:bookmarkEnd w:id="34"/>
      <w:bookmarkEnd w:id="35"/>
      <w:bookmarkEnd w:id="36"/>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（一）签订合同</w:t>
      </w:r>
    </w:p>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w:t>
      </w:r>
      <w:r>
        <w:rPr>
          <w:rFonts w:hint="eastAsia" w:ascii="宋体" w:hAnsi="宋体" w:cs="宋体"/>
          <w:color w:val="auto"/>
          <w:sz w:val="24"/>
          <w:szCs w:val="24"/>
          <w:highlight w:val="none"/>
        </w:rPr>
        <w:t>除不可抗力等特殊情况外，采购人原则上应当在中标通知书发出之日起20日内，与成交人按照采购文件确定的事项签订政府采购合同，并在签订之日起2个工作日内将政府采购合同在浙江政府采购网上公告。</w:t>
      </w:r>
    </w:p>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成交人按规定的日期、时间、地点，由法定代表人或其授权代表与采购人代表签订合同。如成交人为联合体的，由联合体成员各方法定代表人或其授权代表与采购人代表签订合同。</w:t>
      </w:r>
    </w:p>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如签订合同并生效后，供应商无故拒绝或延期，除按照合同条款处理外，列入不良行为记录一次，并给予通报。</w:t>
      </w:r>
    </w:p>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成交人拒绝与采购人签订合同的，采购人可以按照评审报告推荐的中标或者成交候选人名单排序，确定下一候选人为成交人，也可以重新开展政府采购活动。</w:t>
      </w:r>
    </w:p>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采购合同由采购人与成交人根据采购文件、磋商响应文件等内容通过政府采购电子交易平台在线签订，自动备案。</w:t>
      </w:r>
    </w:p>
    <w:p>
      <w:pPr>
        <w:rPr>
          <w:rFonts w:ascii="宋体" w:hAnsi="宋体" w:cs="宋体"/>
          <w:color w:val="auto"/>
          <w:sz w:val="24"/>
          <w:highlight w:val="none"/>
        </w:rPr>
      </w:pPr>
    </w:p>
    <w:p>
      <w:pPr>
        <w:rPr>
          <w:rFonts w:ascii="宋体" w:hAnsi="宋体" w:cs="宋体"/>
          <w:color w:val="auto"/>
          <w:sz w:val="24"/>
          <w:highlight w:val="none"/>
        </w:rPr>
      </w:pPr>
    </w:p>
    <w:p>
      <w:pPr>
        <w:pStyle w:val="10"/>
        <w:pageBreakBefore/>
        <w:snapToGrid w:val="0"/>
        <w:spacing w:before="120" w:after="120" w:line="360" w:lineRule="auto"/>
        <w:jc w:val="center"/>
        <w:outlineLvl w:val="0"/>
        <w:rPr>
          <w:rFonts w:hint="eastAsia" w:ascii="宋体" w:hAnsi="宋体" w:eastAsia="宋体" w:cs="宋体"/>
          <w:b/>
          <w:color w:val="auto"/>
          <w:szCs w:val="24"/>
          <w:highlight w:val="none"/>
        </w:rPr>
      </w:pPr>
      <w:bookmarkStart w:id="37" w:name="_Toc17618"/>
      <w:r>
        <w:rPr>
          <w:rFonts w:hint="eastAsia" w:ascii="宋体" w:hAnsi="宋体" w:eastAsia="宋体" w:cs="宋体"/>
          <w:b/>
          <w:color w:val="auto"/>
          <w:szCs w:val="24"/>
          <w:highlight w:val="none"/>
        </w:rPr>
        <w:t>第四章  评标办法及评分标准</w:t>
      </w:r>
      <w:bookmarkEnd w:id="37"/>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为公正、公平、科学地选择中标人，根据《中华人民共和国政府采购法》等有关法律法规的规定，并结合本项目的实际，制定本办法。</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本办法适用于</w:t>
      </w:r>
      <w:r>
        <w:rPr>
          <w:rFonts w:hint="eastAsia" w:ascii="宋体" w:hAnsi="宋体" w:cs="宋体"/>
          <w:color w:val="auto"/>
          <w:sz w:val="24"/>
          <w:highlight w:val="none"/>
          <w:lang w:eastAsia="zh-CN"/>
        </w:rPr>
        <w:t>东阳市卫生健康局2022-2023年度城区除四害市场化运作项目</w:t>
      </w:r>
      <w:r>
        <w:rPr>
          <w:rFonts w:hint="eastAsia" w:ascii="宋体" w:hAnsi="宋体" w:eastAsia="宋体" w:cs="宋体"/>
          <w:color w:val="auto"/>
          <w:sz w:val="24"/>
          <w:highlight w:val="none"/>
        </w:rPr>
        <w:t>的评标。</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b/>
          <w:color w:val="auto"/>
          <w:sz w:val="24"/>
          <w:highlight w:val="none"/>
        </w:rPr>
      </w:pPr>
      <w:bookmarkStart w:id="38" w:name="_Toc31315"/>
      <w:bookmarkStart w:id="39" w:name="_Toc12525"/>
      <w:bookmarkStart w:id="40" w:name="_Toc452728219"/>
      <w:bookmarkStart w:id="41" w:name="_Toc26574"/>
      <w:r>
        <w:rPr>
          <w:rFonts w:hint="eastAsia" w:ascii="宋体" w:hAnsi="宋体" w:eastAsia="宋体" w:cs="宋体"/>
          <w:b/>
          <w:color w:val="auto"/>
          <w:sz w:val="24"/>
          <w:highlight w:val="none"/>
        </w:rPr>
        <w:t>一、总则</w:t>
      </w:r>
      <w:bookmarkEnd w:id="38"/>
      <w:bookmarkEnd w:id="39"/>
      <w:bookmarkEnd w:id="40"/>
      <w:bookmarkEnd w:id="41"/>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本次评标采用综合评分法，总分为100分，其中价格分</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0分，技术、商务、资信及其他分</w:t>
      </w:r>
      <w:r>
        <w:rPr>
          <w:rFonts w:hint="eastAsia" w:ascii="宋体" w:hAnsi="宋体" w:cs="宋体"/>
          <w:color w:val="auto"/>
          <w:sz w:val="24"/>
          <w:highlight w:val="none"/>
          <w:lang w:val="en-US" w:eastAsia="zh-CN"/>
        </w:rPr>
        <w:t>8</w:t>
      </w:r>
      <w:r>
        <w:rPr>
          <w:rFonts w:hint="eastAsia" w:ascii="宋体" w:hAnsi="宋体" w:eastAsia="宋体" w:cs="宋体"/>
          <w:color w:val="auto"/>
          <w:sz w:val="24"/>
          <w:highlight w:val="none"/>
        </w:rPr>
        <w:t>0分；合格投标人的评标得分为各项目汇总得分，中标候选资格按评标综合得分由高到低顺序排列，得分相同的，按投标报价由低到高顺序排列；得分且投标报价相同的，按技术得分由高到低顺序排列。排名第一的投标人为中标候选人,排名第二的投标人为候补中标候选人……其他投标人中标候选资格依此类推。评分过程中采用四舍五入法，并保留小数2位。</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投标人评标综合得分=价格分+(技术分+商务分+资信及其他分)</w:t>
      </w:r>
    </w:p>
    <w:p>
      <w:pPr>
        <w:keepNext w:val="0"/>
        <w:keepLines w:val="0"/>
        <w:pageBreakBefore w:val="0"/>
        <w:widowControl w:val="0"/>
        <w:numPr>
          <w:ilvl w:val="0"/>
          <w:numId w:val="8"/>
        </w:numPr>
        <w:kinsoku/>
        <w:wordWrap/>
        <w:overflowPunct/>
        <w:topLinePunct w:val="0"/>
        <w:autoSpaceDE/>
        <w:autoSpaceDN/>
        <w:bidi w:val="0"/>
        <w:adjustRightInd/>
        <w:snapToGrid/>
        <w:spacing w:line="580" w:lineRule="exact"/>
        <w:textAlignment w:val="auto"/>
        <w:rPr>
          <w:rFonts w:hint="eastAsia" w:ascii="宋体" w:hAnsi="宋体" w:eastAsia="宋体" w:cs="宋体"/>
          <w:b/>
          <w:color w:val="auto"/>
          <w:sz w:val="24"/>
          <w:highlight w:val="none"/>
        </w:rPr>
      </w:pPr>
      <w:bookmarkStart w:id="42" w:name="_Toc16785"/>
      <w:bookmarkStart w:id="43" w:name="_Toc6122"/>
      <w:bookmarkStart w:id="44" w:name="_Toc452728220"/>
      <w:bookmarkStart w:id="45" w:name="_Toc12387"/>
      <w:r>
        <w:rPr>
          <w:rFonts w:hint="eastAsia" w:ascii="宋体" w:hAnsi="宋体" w:eastAsia="宋体" w:cs="宋体"/>
          <w:b/>
          <w:color w:val="auto"/>
          <w:sz w:val="24"/>
          <w:highlight w:val="none"/>
        </w:rPr>
        <w:t>评标内容及标准</w:t>
      </w:r>
      <w:bookmarkEnd w:id="42"/>
      <w:bookmarkEnd w:id="43"/>
      <w:bookmarkEnd w:id="44"/>
      <w:bookmarkEnd w:id="45"/>
      <w:bookmarkStart w:id="46" w:name="_Toc502652282"/>
      <w:bookmarkStart w:id="47" w:name="_Hlt452359757"/>
      <w:bookmarkStart w:id="48" w:name="_Hlt452359758"/>
    </w:p>
    <w:p>
      <w:pPr>
        <w:pStyle w:val="10"/>
        <w:keepNext w:val="0"/>
        <w:keepLines w:val="0"/>
        <w:pageBreakBefore w:val="0"/>
        <w:widowControl w:val="0"/>
        <w:kinsoku/>
        <w:wordWrap/>
        <w:overflowPunct/>
        <w:topLinePunct w:val="0"/>
        <w:autoSpaceDE/>
        <w:autoSpaceDN/>
        <w:bidi w:val="0"/>
        <w:adjustRightInd/>
        <w:snapToGrid/>
        <w:spacing w:before="120" w:after="120" w:line="580" w:lineRule="exact"/>
        <w:textAlignment w:val="auto"/>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t>（一）技术、商务、资信及其他分（</w:t>
      </w:r>
      <w:r>
        <w:rPr>
          <w:rFonts w:hint="eastAsia" w:ascii="宋体" w:hAnsi="宋体" w:cs="宋体"/>
          <w:b/>
          <w:bCs/>
          <w:color w:val="auto"/>
          <w:szCs w:val="24"/>
          <w:highlight w:val="none"/>
          <w:lang w:val="en-US" w:eastAsia="zh-CN"/>
        </w:rPr>
        <w:t>8</w:t>
      </w:r>
      <w:r>
        <w:rPr>
          <w:rFonts w:hint="eastAsia" w:ascii="宋体" w:hAnsi="宋体" w:eastAsia="宋体" w:cs="宋体"/>
          <w:b/>
          <w:bCs/>
          <w:color w:val="auto"/>
          <w:szCs w:val="24"/>
          <w:highlight w:val="none"/>
        </w:rPr>
        <w:t>0分）</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技术、商务资信及其他分响应标书要求的投标单位全部进入商务报价评审。</w:t>
      </w:r>
    </w:p>
    <w:p>
      <w:pPr>
        <w:pStyle w:val="5"/>
        <w:keepNext w:val="0"/>
        <w:keepLines w:val="0"/>
        <w:pageBreakBefore w:val="0"/>
        <w:widowControl w:val="0"/>
        <w:kinsoku/>
        <w:wordWrap/>
        <w:overflowPunct/>
        <w:topLinePunct w:val="0"/>
        <w:autoSpaceDE/>
        <w:autoSpaceDN/>
        <w:bidi w:val="0"/>
        <w:adjustRightInd/>
        <w:snapToGrid/>
        <w:spacing w:line="580" w:lineRule="exact"/>
        <w:ind w:left="0" w:leftChars="0"/>
        <w:textAlignment w:val="auto"/>
        <w:rPr>
          <w:rFonts w:hint="eastAsia" w:ascii="宋体" w:hAnsi="宋体" w:eastAsia="宋体" w:cs="宋体"/>
          <w:b/>
          <w:bCs/>
          <w:color w:val="auto"/>
          <w:sz w:val="24"/>
          <w:highlight w:val="none"/>
        </w:rPr>
      </w:pPr>
      <w:r>
        <w:rPr>
          <w:rFonts w:hint="eastAsia" w:ascii="宋体" w:hAnsi="宋体" w:eastAsia="宋体" w:cs="宋体"/>
          <w:b/>
          <w:color w:val="auto"/>
          <w:sz w:val="24"/>
          <w:highlight w:val="none"/>
        </w:rPr>
        <w:t>（二）</w:t>
      </w:r>
      <w:r>
        <w:rPr>
          <w:rFonts w:hint="eastAsia" w:ascii="宋体" w:hAnsi="宋体" w:eastAsia="宋体" w:cs="宋体"/>
          <w:b/>
          <w:bCs/>
          <w:color w:val="auto"/>
          <w:sz w:val="24"/>
          <w:highlight w:val="none"/>
        </w:rPr>
        <w:t>价格分（</w:t>
      </w:r>
      <w:r>
        <w:rPr>
          <w:rFonts w:hint="eastAsia" w:ascii="宋体" w:hAnsi="宋体" w:cs="宋体"/>
          <w:b/>
          <w:bCs/>
          <w:color w:val="auto"/>
          <w:sz w:val="24"/>
          <w:highlight w:val="none"/>
          <w:lang w:val="en-US" w:eastAsia="zh-CN"/>
        </w:rPr>
        <w:t>2</w:t>
      </w:r>
      <w:r>
        <w:rPr>
          <w:rFonts w:hint="eastAsia" w:ascii="宋体" w:hAnsi="宋体" w:eastAsia="宋体" w:cs="宋体"/>
          <w:b/>
          <w:bCs/>
          <w:color w:val="auto"/>
          <w:sz w:val="24"/>
          <w:highlight w:val="none"/>
        </w:rPr>
        <w:t xml:space="preserve">0分） </w:t>
      </w:r>
    </w:p>
    <w:p>
      <w:pPr>
        <w:keepNext w:val="0"/>
        <w:keepLines w:val="0"/>
        <w:pageBreakBefore w:val="0"/>
        <w:widowControl w:val="0"/>
        <w:kinsoku/>
        <w:wordWrap/>
        <w:overflowPunct/>
        <w:topLinePunct w:val="0"/>
        <w:autoSpaceDE/>
        <w:autoSpaceDN/>
        <w:bidi w:val="0"/>
        <w:adjustRightInd/>
        <w:snapToGrid/>
        <w:spacing w:before="120" w:beforeLines="50" w:after="120" w:afterLines="50" w:line="580" w:lineRule="exact"/>
        <w:ind w:firstLine="464" w:firstLineChars="200"/>
        <w:textAlignment w:val="auto"/>
        <w:rPr>
          <w:rFonts w:hint="eastAsia" w:ascii="宋体" w:hAnsi="宋体" w:eastAsia="宋体" w:cs="宋体"/>
          <w:bCs/>
          <w:color w:val="auto"/>
          <w:sz w:val="24"/>
          <w:highlight w:val="none"/>
        </w:rPr>
      </w:pPr>
      <w:r>
        <w:rPr>
          <w:rFonts w:hint="eastAsia" w:ascii="宋体" w:hAnsi="宋体" w:eastAsia="宋体" w:cs="宋体"/>
          <w:bCs/>
          <w:color w:val="auto"/>
          <w:spacing w:val="-4"/>
          <w:sz w:val="24"/>
          <w:szCs w:val="20"/>
          <w:highlight w:val="none"/>
        </w:rPr>
        <w:t>（1）</w:t>
      </w:r>
      <w:r>
        <w:rPr>
          <w:rFonts w:hint="eastAsia" w:ascii="宋体" w:hAnsi="宋体" w:eastAsia="宋体" w:cs="宋体"/>
          <w:bCs/>
          <w:color w:val="auto"/>
          <w:sz w:val="24"/>
          <w:highlight w:val="none"/>
        </w:rPr>
        <w:t>价格分采用低价优先法计算，取所有技术、资信商务得分入围投标人中，投标价格最低的投标报价为评标基准价，其他投标人的价格分按照下列公式计算：</w:t>
      </w:r>
    </w:p>
    <w:p>
      <w:pPr>
        <w:keepNext w:val="0"/>
        <w:keepLines w:val="0"/>
        <w:pageBreakBefore w:val="0"/>
        <w:widowControl w:val="0"/>
        <w:kinsoku/>
        <w:wordWrap/>
        <w:overflowPunct/>
        <w:topLinePunct w:val="0"/>
        <w:autoSpaceDE/>
        <w:autoSpaceDN/>
        <w:bidi w:val="0"/>
        <w:adjustRightInd/>
        <w:snapToGrid/>
        <w:spacing w:before="120" w:beforeLines="50" w:after="120" w:afterLines="50" w:line="580" w:lineRule="exact"/>
        <w:ind w:firstLine="480" w:firstLineChars="200"/>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价格分=评标基准价/投标报价×</w:t>
      </w:r>
      <w:r>
        <w:rPr>
          <w:rFonts w:hint="eastAsia" w:ascii="宋体" w:hAnsi="宋体" w:cs="宋体"/>
          <w:color w:val="auto"/>
          <w:sz w:val="24"/>
          <w:highlight w:val="none"/>
          <w:lang w:val="en-US" w:eastAsia="zh-CN"/>
        </w:rPr>
        <w:t>20</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（三）技术、商务、资信及其他分的计算</w:t>
      </w:r>
    </w:p>
    <w:p>
      <w:pPr>
        <w:keepNext w:val="0"/>
        <w:keepLines w:val="0"/>
        <w:pageBreakBefore w:val="0"/>
        <w:widowControl w:val="0"/>
        <w:kinsoku/>
        <w:wordWrap/>
        <w:overflowPunct/>
        <w:topLinePunct w:val="0"/>
        <w:autoSpaceDE/>
        <w:autoSpaceDN/>
        <w:bidi w:val="0"/>
        <w:adjustRightInd/>
        <w:snapToGrid/>
        <w:spacing w:before="120" w:beforeLines="50" w:after="120" w:afterLines="50" w:line="58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技术、商务、资信及其他分按照评标委员会成员的独立评分结果的算术平均分计算，计算公式为：</w:t>
      </w:r>
    </w:p>
    <w:p>
      <w:pPr>
        <w:keepNext w:val="0"/>
        <w:keepLines w:val="0"/>
        <w:pageBreakBefore w:val="0"/>
        <w:widowControl w:val="0"/>
        <w:kinsoku/>
        <w:wordWrap/>
        <w:overflowPunct/>
        <w:topLinePunct w:val="0"/>
        <w:autoSpaceDE/>
        <w:autoSpaceDN/>
        <w:bidi w:val="0"/>
        <w:adjustRightInd/>
        <w:snapToGrid/>
        <w:spacing w:before="120" w:beforeLines="50" w:after="120" w:afterLines="50" w:line="580" w:lineRule="exact"/>
        <w:ind w:firstLine="480" w:firstLineChars="200"/>
        <w:textAlignment w:val="auto"/>
        <w:rPr>
          <w:rFonts w:hint="eastAsia" w:ascii="宋体" w:hAnsi="宋体" w:eastAsia="宋体" w:cs="宋体"/>
          <w:b/>
          <w:color w:val="auto"/>
          <w:sz w:val="24"/>
          <w:highlight w:val="none"/>
          <w:lang w:eastAsia="zh-CN"/>
        </w:rPr>
      </w:pPr>
      <w:r>
        <w:rPr>
          <w:rFonts w:hint="eastAsia" w:ascii="宋体" w:hAnsi="宋体" w:eastAsia="宋体" w:cs="宋体"/>
          <w:color w:val="auto"/>
          <w:sz w:val="24"/>
          <w:highlight w:val="none"/>
        </w:rPr>
        <w:t>技术商务资信及其他分=评标委员会所有成员有效评分合</w:t>
      </w:r>
      <w:r>
        <w:rPr>
          <w:rFonts w:hint="eastAsia" w:ascii="宋体" w:hAnsi="宋体" w:eastAsia="宋体" w:cs="宋体"/>
          <w:color w:val="auto"/>
          <w:sz w:val="24"/>
          <w:highlight w:val="none"/>
        </w:rPr>
        <w:t>计数/</w:t>
      </w:r>
      <w:r>
        <w:rPr>
          <w:rFonts w:hint="eastAsia" w:ascii="宋体" w:hAnsi="宋体" w:cs="宋体"/>
          <w:color w:val="auto"/>
          <w:sz w:val="24"/>
          <w:highlight w:val="none"/>
          <w:lang w:val="en-US" w:eastAsia="zh-CN"/>
        </w:rPr>
        <w:t>5</w:t>
      </w:r>
    </w:p>
    <w:p>
      <w:pPr>
        <w:pStyle w:val="10"/>
        <w:keepNext w:val="0"/>
        <w:keepLines w:val="0"/>
        <w:pageBreakBefore w:val="0"/>
        <w:widowControl w:val="0"/>
        <w:numPr>
          <w:ilvl w:val="0"/>
          <w:numId w:val="11"/>
        </w:numPr>
        <w:kinsoku/>
        <w:wordWrap/>
        <w:overflowPunct/>
        <w:topLinePunct w:val="0"/>
        <w:autoSpaceDE/>
        <w:autoSpaceDN/>
        <w:bidi w:val="0"/>
        <w:adjustRightInd/>
        <w:snapToGrid/>
        <w:spacing w:before="120" w:after="120" w:line="580" w:lineRule="exact"/>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技术分、商务分、资信及其他分评分标准，共</w:t>
      </w:r>
      <w:r>
        <w:rPr>
          <w:rFonts w:hint="eastAsia" w:ascii="宋体" w:hAnsi="宋体" w:cs="宋体"/>
          <w:b/>
          <w:bCs/>
          <w:color w:val="auto"/>
          <w:sz w:val="24"/>
          <w:highlight w:val="none"/>
          <w:lang w:val="en-US" w:eastAsia="zh-CN"/>
        </w:rPr>
        <w:t>8</w:t>
      </w:r>
      <w:r>
        <w:rPr>
          <w:rFonts w:hint="eastAsia" w:ascii="宋体" w:hAnsi="宋体" w:eastAsia="宋体" w:cs="宋体"/>
          <w:b/>
          <w:bCs/>
          <w:color w:val="auto"/>
          <w:sz w:val="24"/>
          <w:highlight w:val="none"/>
        </w:rPr>
        <w:t>0分</w:t>
      </w:r>
    </w:p>
    <w:p>
      <w:pPr>
        <w:widowControl w:val="0"/>
        <w:numPr>
          <w:ilvl w:val="0"/>
          <w:numId w:val="0"/>
        </w:numPr>
        <w:jc w:val="both"/>
        <w:rPr>
          <w:rFonts w:hint="eastAsia"/>
          <w:color w:val="auto"/>
          <w:highlight w:val="none"/>
        </w:rPr>
      </w:pPr>
    </w:p>
    <w:tbl>
      <w:tblPr>
        <w:tblStyle w:val="21"/>
        <w:tblW w:w="9819" w:type="dxa"/>
        <w:tblInd w:w="-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3"/>
        <w:gridCol w:w="465"/>
        <w:gridCol w:w="1335"/>
        <w:gridCol w:w="6528"/>
        <w:gridCol w:w="7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5" w:hRule="atLeast"/>
        </w:trPr>
        <w:tc>
          <w:tcPr>
            <w:tcW w:w="743" w:type="dxa"/>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1800" w:type="dxa"/>
            <w:gridSpan w:val="2"/>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项目名称</w:t>
            </w:r>
          </w:p>
        </w:tc>
        <w:tc>
          <w:tcPr>
            <w:tcW w:w="652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评分内容</w:t>
            </w:r>
          </w:p>
        </w:tc>
        <w:tc>
          <w:tcPr>
            <w:tcW w:w="74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0" w:hRule="atLeast"/>
        </w:trPr>
        <w:tc>
          <w:tcPr>
            <w:tcW w:w="743" w:type="dxa"/>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w:t>
            </w:r>
          </w:p>
        </w:tc>
        <w:tc>
          <w:tcPr>
            <w:tcW w:w="8328"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技术分</w:t>
            </w:r>
          </w:p>
        </w:tc>
        <w:tc>
          <w:tcPr>
            <w:tcW w:w="74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6</w:t>
            </w:r>
            <w:r>
              <w:rPr>
                <w:rFonts w:hint="eastAsia" w:ascii="宋体" w:hAnsi="宋体" w:cs="宋体"/>
                <w:b/>
                <w:color w:val="auto"/>
                <w:sz w:val="24"/>
                <w:szCs w:val="24"/>
                <w:highlight w:val="none"/>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43" w:type="dxa"/>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p>
        </w:tc>
        <w:tc>
          <w:tcPr>
            <w:tcW w:w="465" w:type="dxa"/>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技术能力</w:t>
            </w:r>
          </w:p>
        </w:tc>
        <w:tc>
          <w:tcPr>
            <w:tcW w:w="1335"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公共外环境防制服务方案</w:t>
            </w:r>
          </w:p>
        </w:tc>
        <w:tc>
          <w:tcPr>
            <w:tcW w:w="6528" w:type="dxa"/>
            <w:noWrap w:val="0"/>
            <w:vAlign w:val="center"/>
          </w:tcPr>
          <w:p>
            <w:pPr>
              <w:keepNext w:val="0"/>
              <w:keepLines w:val="0"/>
              <w:pageBreakBefore w:val="0"/>
              <w:widowControl w:val="0"/>
              <w:kinsoku/>
              <w:wordWrap/>
              <w:overflowPunct/>
              <w:topLinePunct w:val="0"/>
              <w:autoSpaceDE/>
              <w:autoSpaceDN/>
              <w:bidi w:val="0"/>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w:t>
            </w:r>
            <w:r>
              <w:rPr>
                <w:rFonts w:hint="eastAsia" w:ascii="宋体" w:hAnsi="宋体" w:cs="宋体"/>
                <w:color w:val="auto"/>
                <w:sz w:val="24"/>
                <w:szCs w:val="24"/>
                <w:highlight w:val="none"/>
                <w:lang w:val="en-US" w:eastAsia="zh-CN"/>
              </w:rPr>
              <w:t>提供的</w:t>
            </w:r>
            <w:r>
              <w:rPr>
                <w:rFonts w:hint="eastAsia" w:ascii="宋体" w:hAnsi="宋体" w:eastAsia="宋体" w:cs="宋体"/>
                <w:color w:val="auto"/>
                <w:sz w:val="24"/>
                <w:szCs w:val="24"/>
                <w:highlight w:val="none"/>
              </w:rPr>
              <w:t>公共外环境防制服务方案内容齐全、结构完整、表述准确、条理清晰程度</w:t>
            </w:r>
            <w:r>
              <w:rPr>
                <w:rFonts w:hint="eastAsia" w:ascii="宋体" w:hAnsi="宋体" w:eastAsia="宋体" w:cs="宋体"/>
                <w:color w:val="auto"/>
                <w:sz w:val="24"/>
                <w:szCs w:val="24"/>
                <w:highlight w:val="none"/>
                <w:lang w:val="en-US" w:eastAsia="zh-CN"/>
              </w:rPr>
              <w:t>高</w:t>
            </w:r>
            <w:r>
              <w:rPr>
                <w:rFonts w:hint="eastAsia" w:ascii="宋体" w:hAnsi="宋体" w:eastAsia="宋体" w:cs="宋体"/>
                <w:color w:val="auto"/>
                <w:sz w:val="24"/>
                <w:szCs w:val="24"/>
                <w:highlight w:val="none"/>
              </w:rPr>
              <w:t>，与</w:t>
            </w:r>
            <w:r>
              <w:rPr>
                <w:rFonts w:hint="eastAsia" w:ascii="宋体" w:hAnsi="宋体" w:eastAsia="宋体" w:cs="宋体"/>
                <w:color w:val="auto"/>
                <w:sz w:val="24"/>
                <w:szCs w:val="24"/>
                <w:highlight w:val="none"/>
                <w:lang w:val="en-US" w:eastAsia="zh-CN"/>
              </w:rPr>
              <w:t>本项目</w:t>
            </w:r>
            <w:r>
              <w:rPr>
                <w:rFonts w:hint="eastAsia" w:ascii="宋体" w:hAnsi="宋体" w:eastAsia="宋体" w:cs="宋体"/>
                <w:color w:val="auto"/>
                <w:sz w:val="24"/>
                <w:szCs w:val="24"/>
                <w:highlight w:val="none"/>
              </w:rPr>
              <w:t>需求的吻合程度</w:t>
            </w:r>
            <w:r>
              <w:rPr>
                <w:rFonts w:hint="eastAsia" w:ascii="宋体" w:hAnsi="宋体" w:eastAsia="宋体" w:cs="宋体"/>
                <w:color w:val="auto"/>
                <w:sz w:val="24"/>
                <w:szCs w:val="24"/>
                <w:highlight w:val="none"/>
                <w:lang w:val="en-US" w:eastAsia="zh-CN"/>
              </w:rPr>
              <w:t>高</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得7-8分；</w:t>
            </w:r>
            <w:r>
              <w:rPr>
                <w:rFonts w:hint="eastAsia" w:ascii="宋体" w:hAnsi="宋体" w:eastAsia="宋体" w:cs="宋体"/>
                <w:color w:val="auto"/>
                <w:sz w:val="24"/>
                <w:szCs w:val="24"/>
                <w:highlight w:val="none"/>
              </w:rPr>
              <w:t>所提供的方案可行、较完善完整，较好的满足需求</w:t>
            </w:r>
            <w:r>
              <w:rPr>
                <w:rFonts w:hint="eastAsia" w:ascii="宋体" w:hAnsi="宋体" w:eastAsia="宋体" w:cs="宋体"/>
                <w:color w:val="auto"/>
                <w:sz w:val="24"/>
                <w:szCs w:val="24"/>
                <w:highlight w:val="none"/>
                <w:lang w:eastAsia="zh-CN"/>
              </w:rPr>
              <w:t>的，</w:t>
            </w:r>
            <w:r>
              <w:rPr>
                <w:rFonts w:hint="eastAsia" w:ascii="宋体" w:hAnsi="宋体" w:eastAsia="宋体" w:cs="宋体"/>
                <w:color w:val="auto"/>
                <w:sz w:val="24"/>
                <w:szCs w:val="24"/>
                <w:highlight w:val="none"/>
                <w:lang w:val="en-US" w:eastAsia="zh-CN"/>
              </w:rPr>
              <w:t>得4-6分；</w:t>
            </w:r>
            <w:r>
              <w:rPr>
                <w:rFonts w:hint="eastAsia" w:ascii="宋体" w:hAnsi="宋体" w:eastAsia="宋体" w:cs="宋体"/>
                <w:color w:val="auto"/>
                <w:sz w:val="24"/>
                <w:szCs w:val="24"/>
                <w:highlight w:val="none"/>
                <w:lang w:val="en-US" w:eastAsia="zh-CN"/>
              </w:rPr>
              <w:t>方案与本项目需求契合度不高，所提供方案模糊，方案完善程度不强，基本满足需求的</w:t>
            </w:r>
            <w:r>
              <w:rPr>
                <w:rFonts w:hint="eastAsia" w:ascii="宋体" w:hAnsi="宋体" w:eastAsia="宋体" w:cs="宋体"/>
                <w:color w:val="auto"/>
                <w:sz w:val="24"/>
                <w:szCs w:val="24"/>
                <w:highlight w:val="none"/>
                <w:lang w:val="en-US" w:eastAsia="zh-CN"/>
              </w:rPr>
              <w:t>得</w:t>
            </w:r>
            <w:r>
              <w:rPr>
                <w:rFonts w:hint="eastAsia" w:ascii="宋体" w:hAnsi="宋体" w:eastAsia="宋体" w:cs="宋体"/>
                <w:color w:val="auto"/>
                <w:sz w:val="24"/>
                <w:szCs w:val="24"/>
                <w:highlight w:val="none"/>
                <w:lang w:val="en-US" w:eastAsia="zh-CN"/>
              </w:rPr>
              <w:t>0-3分。</w:t>
            </w:r>
          </w:p>
        </w:tc>
        <w:tc>
          <w:tcPr>
            <w:tcW w:w="748" w:type="dxa"/>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9" w:hRule="atLeast"/>
        </w:trPr>
        <w:tc>
          <w:tcPr>
            <w:tcW w:w="743" w:type="dxa"/>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p>
        </w:tc>
        <w:tc>
          <w:tcPr>
            <w:tcW w:w="465"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4"/>
                <w:szCs w:val="24"/>
                <w:highlight w:val="none"/>
              </w:rPr>
            </w:pPr>
          </w:p>
        </w:tc>
        <w:tc>
          <w:tcPr>
            <w:tcW w:w="1335"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重点场所防制服务方案</w:t>
            </w:r>
          </w:p>
        </w:tc>
        <w:tc>
          <w:tcPr>
            <w:tcW w:w="6528" w:type="dxa"/>
            <w:noWrap w:val="0"/>
            <w:vAlign w:val="center"/>
          </w:tcPr>
          <w:p>
            <w:pPr>
              <w:keepNext w:val="0"/>
              <w:keepLines w:val="0"/>
              <w:pageBreakBefore w:val="0"/>
              <w:widowControl w:val="0"/>
              <w:kinsoku/>
              <w:wordWrap/>
              <w:overflowPunct/>
              <w:topLinePunct w:val="0"/>
              <w:autoSpaceDE/>
              <w:autoSpaceDN/>
              <w:bidi w:val="0"/>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w:t>
            </w:r>
            <w:r>
              <w:rPr>
                <w:rFonts w:hint="eastAsia" w:ascii="宋体" w:hAnsi="宋体" w:cs="宋体"/>
                <w:color w:val="auto"/>
                <w:sz w:val="24"/>
                <w:szCs w:val="24"/>
                <w:highlight w:val="none"/>
                <w:lang w:val="en-US" w:eastAsia="zh-CN"/>
              </w:rPr>
              <w:t>提供的</w:t>
            </w:r>
            <w:r>
              <w:rPr>
                <w:rFonts w:hint="eastAsia" w:ascii="宋体" w:hAnsi="宋体" w:eastAsia="宋体" w:cs="宋体"/>
                <w:color w:val="auto"/>
                <w:sz w:val="24"/>
                <w:szCs w:val="24"/>
                <w:highlight w:val="none"/>
              </w:rPr>
              <w:t>重点场所防制服务方案内容齐全、结构完整、表述准确、条理清晰程度</w:t>
            </w:r>
            <w:r>
              <w:rPr>
                <w:rFonts w:hint="eastAsia" w:ascii="宋体" w:hAnsi="宋体" w:eastAsia="宋体" w:cs="宋体"/>
                <w:color w:val="auto"/>
                <w:sz w:val="24"/>
                <w:szCs w:val="24"/>
                <w:highlight w:val="none"/>
                <w:lang w:val="en-US" w:eastAsia="zh-CN"/>
              </w:rPr>
              <w:t>高</w:t>
            </w:r>
            <w:r>
              <w:rPr>
                <w:rFonts w:hint="eastAsia" w:ascii="宋体" w:hAnsi="宋体" w:eastAsia="宋体" w:cs="宋体"/>
                <w:color w:val="auto"/>
                <w:sz w:val="24"/>
                <w:szCs w:val="24"/>
                <w:highlight w:val="none"/>
              </w:rPr>
              <w:t>，与</w:t>
            </w:r>
            <w:r>
              <w:rPr>
                <w:rFonts w:hint="eastAsia" w:ascii="宋体" w:hAnsi="宋体" w:eastAsia="宋体" w:cs="宋体"/>
                <w:color w:val="auto"/>
                <w:sz w:val="24"/>
                <w:szCs w:val="24"/>
                <w:highlight w:val="none"/>
                <w:lang w:val="en-US" w:eastAsia="zh-CN"/>
              </w:rPr>
              <w:t>本项目</w:t>
            </w:r>
            <w:r>
              <w:rPr>
                <w:rFonts w:hint="eastAsia" w:ascii="宋体" w:hAnsi="宋体" w:eastAsia="宋体" w:cs="宋体"/>
                <w:color w:val="auto"/>
                <w:sz w:val="24"/>
                <w:szCs w:val="24"/>
                <w:highlight w:val="none"/>
              </w:rPr>
              <w:t>需求的吻合程度</w:t>
            </w:r>
            <w:r>
              <w:rPr>
                <w:rFonts w:hint="eastAsia" w:ascii="宋体" w:hAnsi="宋体" w:eastAsia="宋体" w:cs="宋体"/>
                <w:color w:val="auto"/>
                <w:sz w:val="24"/>
                <w:szCs w:val="24"/>
                <w:highlight w:val="none"/>
                <w:lang w:val="en-US" w:eastAsia="zh-CN"/>
              </w:rPr>
              <w:t>高</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得7-8分；</w:t>
            </w:r>
            <w:r>
              <w:rPr>
                <w:rFonts w:hint="eastAsia" w:ascii="宋体" w:hAnsi="宋体" w:eastAsia="宋体" w:cs="宋体"/>
                <w:color w:val="auto"/>
                <w:sz w:val="24"/>
                <w:szCs w:val="24"/>
                <w:highlight w:val="none"/>
              </w:rPr>
              <w:t>所提供的方案可行、较完善完整，较好的满足需求</w:t>
            </w:r>
            <w:r>
              <w:rPr>
                <w:rFonts w:hint="eastAsia" w:ascii="宋体" w:hAnsi="宋体" w:eastAsia="宋体" w:cs="宋体"/>
                <w:color w:val="auto"/>
                <w:sz w:val="24"/>
                <w:szCs w:val="24"/>
                <w:highlight w:val="none"/>
                <w:lang w:eastAsia="zh-CN"/>
              </w:rPr>
              <w:t>的，</w:t>
            </w:r>
            <w:r>
              <w:rPr>
                <w:rFonts w:hint="eastAsia" w:ascii="宋体" w:hAnsi="宋体" w:eastAsia="宋体" w:cs="宋体"/>
                <w:color w:val="auto"/>
                <w:sz w:val="24"/>
                <w:szCs w:val="24"/>
                <w:highlight w:val="none"/>
                <w:lang w:val="en-US" w:eastAsia="zh-CN"/>
              </w:rPr>
              <w:t>得4-6分；</w:t>
            </w:r>
            <w:r>
              <w:rPr>
                <w:rFonts w:hint="eastAsia" w:ascii="宋体" w:hAnsi="宋体" w:eastAsia="宋体" w:cs="宋体"/>
                <w:color w:val="auto"/>
                <w:sz w:val="24"/>
                <w:szCs w:val="24"/>
                <w:highlight w:val="none"/>
                <w:lang w:val="en-US" w:eastAsia="zh-CN"/>
              </w:rPr>
              <w:t>方案与本项目需求契合度不高，所提供方案模糊，方案完善程度不强，基本满足需求的</w:t>
            </w:r>
            <w:r>
              <w:rPr>
                <w:rFonts w:hint="eastAsia" w:ascii="宋体" w:hAnsi="宋体" w:eastAsia="宋体" w:cs="宋体"/>
                <w:color w:val="auto"/>
                <w:sz w:val="24"/>
                <w:szCs w:val="24"/>
                <w:highlight w:val="none"/>
                <w:lang w:val="en-US" w:eastAsia="zh-CN"/>
              </w:rPr>
              <w:t>得</w:t>
            </w:r>
            <w:r>
              <w:rPr>
                <w:rFonts w:hint="eastAsia" w:ascii="宋体" w:hAnsi="宋体" w:eastAsia="宋体" w:cs="宋体"/>
                <w:color w:val="auto"/>
                <w:sz w:val="24"/>
                <w:szCs w:val="24"/>
                <w:highlight w:val="none"/>
                <w:lang w:val="en-US" w:eastAsia="zh-CN"/>
              </w:rPr>
              <w:t>0-3分。</w:t>
            </w:r>
          </w:p>
        </w:tc>
        <w:tc>
          <w:tcPr>
            <w:tcW w:w="748" w:type="dxa"/>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7" w:hRule="atLeast"/>
        </w:trPr>
        <w:tc>
          <w:tcPr>
            <w:tcW w:w="743" w:type="dxa"/>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p>
        </w:tc>
        <w:tc>
          <w:tcPr>
            <w:tcW w:w="465"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4"/>
                <w:szCs w:val="24"/>
                <w:highlight w:val="none"/>
              </w:rPr>
            </w:pPr>
          </w:p>
        </w:tc>
        <w:tc>
          <w:tcPr>
            <w:tcW w:w="1335"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孳生地调查方案</w:t>
            </w:r>
          </w:p>
        </w:tc>
        <w:tc>
          <w:tcPr>
            <w:tcW w:w="6528" w:type="dxa"/>
            <w:noWrap w:val="0"/>
            <w:vAlign w:val="center"/>
          </w:tcPr>
          <w:p>
            <w:pPr>
              <w:keepNext w:val="0"/>
              <w:keepLines w:val="0"/>
              <w:pageBreakBefore w:val="0"/>
              <w:widowControl w:val="0"/>
              <w:kinsoku/>
              <w:wordWrap/>
              <w:overflowPunct/>
              <w:topLinePunct w:val="0"/>
              <w:autoSpaceDE/>
              <w:autoSpaceDN/>
              <w:bidi w:val="0"/>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开展调查工作的频次（0-2分）；对各类孳生地的认识和处置办法（0-2分）；调查方法的全面性、可行性和预后质量（0-2分）等酌情打分。</w:t>
            </w:r>
          </w:p>
        </w:tc>
        <w:tc>
          <w:tcPr>
            <w:tcW w:w="748" w:type="dxa"/>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8" w:hRule="atLeast"/>
        </w:trPr>
        <w:tc>
          <w:tcPr>
            <w:tcW w:w="743" w:type="dxa"/>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4</w:t>
            </w:r>
          </w:p>
        </w:tc>
        <w:tc>
          <w:tcPr>
            <w:tcW w:w="465"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4"/>
                <w:szCs w:val="24"/>
                <w:highlight w:val="none"/>
              </w:rPr>
            </w:pPr>
          </w:p>
        </w:tc>
        <w:tc>
          <w:tcPr>
            <w:tcW w:w="1335"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消杀药物使用方案</w:t>
            </w:r>
          </w:p>
        </w:tc>
        <w:tc>
          <w:tcPr>
            <w:tcW w:w="6528" w:type="dxa"/>
            <w:noWrap w:val="0"/>
            <w:vAlign w:val="center"/>
          </w:tcPr>
          <w:p>
            <w:pPr>
              <w:keepNext w:val="0"/>
              <w:keepLines w:val="0"/>
              <w:pageBreakBefore w:val="0"/>
              <w:widowControl w:val="0"/>
              <w:kinsoku/>
              <w:wordWrap/>
              <w:overflowPunct/>
              <w:topLinePunct w:val="0"/>
              <w:autoSpaceDE/>
              <w:autoSpaceDN/>
              <w:bidi w:val="0"/>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根据所用药物广谱性（0-2分）、环保性（0-2分）、合理性（0-2分），是否轮换用药（0-2分）等酌情打分。</w:t>
            </w:r>
          </w:p>
        </w:tc>
        <w:tc>
          <w:tcPr>
            <w:tcW w:w="748" w:type="dxa"/>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3" w:hRule="atLeast"/>
        </w:trPr>
        <w:tc>
          <w:tcPr>
            <w:tcW w:w="743" w:type="dxa"/>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5</w:t>
            </w:r>
          </w:p>
        </w:tc>
        <w:tc>
          <w:tcPr>
            <w:tcW w:w="465"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4"/>
                <w:szCs w:val="24"/>
                <w:highlight w:val="none"/>
              </w:rPr>
            </w:pPr>
          </w:p>
        </w:tc>
        <w:tc>
          <w:tcPr>
            <w:tcW w:w="1335" w:type="dxa"/>
            <w:vMerge w:val="restar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应急方案</w:t>
            </w:r>
          </w:p>
        </w:tc>
        <w:tc>
          <w:tcPr>
            <w:tcW w:w="6528" w:type="dxa"/>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根据应急工作预案、突发事件应急预案（0-</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r>
              <w:rPr>
                <w:rFonts w:hint="eastAsia" w:ascii="宋体" w:hAnsi="宋体" w:eastAsia="宋体" w:cs="宋体"/>
                <w:b w:val="0"/>
                <w:bCs w:val="0"/>
                <w:color w:val="auto"/>
                <w:sz w:val="24"/>
                <w:szCs w:val="24"/>
                <w:highlight w:val="none"/>
              </w:rPr>
              <w:t>其它活动配合措施</w:t>
            </w: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r>
              <w:rPr>
                <w:rFonts w:hint="eastAsia" w:ascii="宋体" w:hAnsi="宋体" w:eastAsia="宋体" w:cs="宋体"/>
                <w:b w:val="0"/>
                <w:bCs w:val="0"/>
                <w:color w:val="auto"/>
                <w:sz w:val="24"/>
                <w:szCs w:val="24"/>
                <w:highlight w:val="none"/>
                <w:lang w:val="en-US" w:eastAsia="zh-CN"/>
              </w:rPr>
              <w:t>切实有效性和合理性</w:t>
            </w:r>
            <w:r>
              <w:rPr>
                <w:rFonts w:hint="eastAsia" w:ascii="宋体" w:hAnsi="宋体" w:eastAsia="宋体" w:cs="宋体"/>
                <w:color w:val="auto"/>
                <w:sz w:val="24"/>
                <w:szCs w:val="24"/>
                <w:highlight w:val="none"/>
              </w:rPr>
              <w:t>酌情打分。</w:t>
            </w:r>
          </w:p>
        </w:tc>
        <w:tc>
          <w:tcPr>
            <w:tcW w:w="748" w:type="dxa"/>
            <w:noWrap w:val="0"/>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2" w:hRule="atLeast"/>
        </w:trPr>
        <w:tc>
          <w:tcPr>
            <w:tcW w:w="743" w:type="dxa"/>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465"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4"/>
                <w:szCs w:val="24"/>
                <w:highlight w:val="none"/>
              </w:rPr>
            </w:pPr>
          </w:p>
        </w:tc>
        <w:tc>
          <w:tcPr>
            <w:tcW w:w="1335"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4"/>
                <w:szCs w:val="24"/>
                <w:highlight w:val="none"/>
              </w:rPr>
            </w:pPr>
          </w:p>
        </w:tc>
        <w:tc>
          <w:tcPr>
            <w:tcW w:w="6528" w:type="dxa"/>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根据药物中毒处置预案的科学性、合理性、可行性酌情打分。</w:t>
            </w:r>
          </w:p>
        </w:tc>
        <w:tc>
          <w:tcPr>
            <w:tcW w:w="748" w:type="dxa"/>
            <w:noWrap w:val="0"/>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743" w:type="dxa"/>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7</w:t>
            </w:r>
          </w:p>
        </w:tc>
        <w:tc>
          <w:tcPr>
            <w:tcW w:w="465"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4"/>
                <w:szCs w:val="24"/>
                <w:highlight w:val="none"/>
              </w:rPr>
            </w:pPr>
          </w:p>
        </w:tc>
        <w:tc>
          <w:tcPr>
            <w:tcW w:w="1335"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质量</w:t>
            </w:r>
            <w:r>
              <w:rPr>
                <w:rFonts w:hint="eastAsia" w:ascii="宋体" w:hAnsi="宋体" w:eastAsia="宋体" w:cs="宋体"/>
                <w:color w:val="auto"/>
                <w:sz w:val="24"/>
                <w:szCs w:val="24"/>
                <w:highlight w:val="none"/>
                <w:lang w:val="en-US" w:eastAsia="zh-CN"/>
              </w:rPr>
              <w:t>保证</w:t>
            </w:r>
          </w:p>
        </w:tc>
        <w:tc>
          <w:tcPr>
            <w:tcW w:w="6528" w:type="dxa"/>
            <w:noWrap w:val="0"/>
            <w:vAlign w:val="center"/>
          </w:tcPr>
          <w:p>
            <w:pPr>
              <w:keepNext w:val="0"/>
              <w:keepLines w:val="0"/>
              <w:pageBreakBefore w:val="0"/>
              <w:widowControl w:val="0"/>
              <w:kinsoku/>
              <w:wordWrap/>
              <w:overflowPunct/>
              <w:topLinePunct w:val="0"/>
              <w:autoSpaceDE/>
              <w:autoSpaceDN/>
              <w:bidi w:val="0"/>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根据投标人</w:t>
            </w:r>
            <w:r>
              <w:rPr>
                <w:rFonts w:hint="eastAsia" w:ascii="宋体" w:hAnsi="宋体" w:cs="宋体"/>
                <w:color w:val="auto"/>
                <w:sz w:val="24"/>
                <w:szCs w:val="24"/>
                <w:highlight w:val="none"/>
                <w:lang w:val="en-US" w:eastAsia="zh-CN"/>
              </w:rPr>
              <w:t>提出的质量目标</w:t>
            </w: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rPr>
              <w:t>是否有切实可行的</w:t>
            </w:r>
            <w:r>
              <w:rPr>
                <w:rFonts w:hint="eastAsia" w:ascii="宋体" w:hAnsi="宋体" w:eastAsia="宋体" w:cs="宋体"/>
                <w:color w:val="auto"/>
                <w:sz w:val="24"/>
                <w:szCs w:val="24"/>
                <w:highlight w:val="none"/>
                <w:lang w:val="en-US" w:eastAsia="zh-CN"/>
              </w:rPr>
              <w:t>质量控制措施及</w:t>
            </w:r>
            <w:r>
              <w:rPr>
                <w:rFonts w:hint="eastAsia" w:ascii="宋体" w:hAnsi="宋体" w:eastAsia="宋体" w:cs="宋体"/>
                <w:color w:val="auto"/>
                <w:sz w:val="24"/>
                <w:szCs w:val="24"/>
                <w:highlight w:val="none"/>
              </w:rPr>
              <w:t>质量保证措施（0-</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分）酌情打分。</w:t>
            </w:r>
          </w:p>
        </w:tc>
        <w:tc>
          <w:tcPr>
            <w:tcW w:w="748" w:type="dxa"/>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4" w:hRule="atLeast"/>
        </w:trPr>
        <w:tc>
          <w:tcPr>
            <w:tcW w:w="743" w:type="dxa"/>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8</w:t>
            </w:r>
          </w:p>
        </w:tc>
        <w:tc>
          <w:tcPr>
            <w:tcW w:w="465"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4"/>
                <w:szCs w:val="24"/>
                <w:highlight w:val="none"/>
              </w:rPr>
            </w:pPr>
          </w:p>
        </w:tc>
        <w:tc>
          <w:tcPr>
            <w:tcW w:w="1335"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安全保障措施</w:t>
            </w:r>
          </w:p>
        </w:tc>
        <w:tc>
          <w:tcPr>
            <w:tcW w:w="6528" w:type="dxa"/>
            <w:noWrap w:val="0"/>
            <w:vAlign w:val="center"/>
          </w:tcPr>
          <w:p>
            <w:pPr>
              <w:keepNext w:val="0"/>
              <w:keepLines w:val="0"/>
              <w:pageBreakBefore w:val="0"/>
              <w:widowControl w:val="0"/>
              <w:kinsoku/>
              <w:wordWrap/>
              <w:overflowPunct/>
              <w:topLinePunct w:val="0"/>
              <w:autoSpaceDE/>
              <w:autoSpaceDN/>
              <w:bidi w:val="0"/>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根据投标人提供的安全承诺，安全保障措施的可行性、合理性，酌情打分。</w:t>
            </w:r>
          </w:p>
        </w:tc>
        <w:tc>
          <w:tcPr>
            <w:tcW w:w="748" w:type="dxa"/>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7" w:hRule="atLeast"/>
        </w:trPr>
        <w:tc>
          <w:tcPr>
            <w:tcW w:w="743" w:type="dxa"/>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9</w:t>
            </w:r>
          </w:p>
        </w:tc>
        <w:tc>
          <w:tcPr>
            <w:tcW w:w="465"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4"/>
                <w:szCs w:val="24"/>
                <w:highlight w:val="none"/>
              </w:rPr>
            </w:pPr>
          </w:p>
        </w:tc>
        <w:tc>
          <w:tcPr>
            <w:tcW w:w="1335"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人员配置</w:t>
            </w:r>
          </w:p>
        </w:tc>
        <w:tc>
          <w:tcPr>
            <w:tcW w:w="6528"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根据拟投入本项目人员的配置合理性（0-</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分），专业素质、资质等级、技术能力（0-</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分），同类工作经验（0-2分）等情况，酌情打分。（以上所有人员须是投标单位在职员工，需提供</w:t>
            </w:r>
            <w:r>
              <w:rPr>
                <w:rFonts w:hint="eastAsia" w:ascii="宋体" w:hAnsi="宋体" w:eastAsia="宋体" w:cs="宋体"/>
                <w:color w:val="auto"/>
                <w:sz w:val="24"/>
                <w:szCs w:val="24"/>
                <w:highlight w:val="none"/>
                <w:lang w:val="en-US" w:eastAsia="zh-CN"/>
              </w:rPr>
              <w:t>投标人为其缴纳的社保</w:t>
            </w:r>
            <w:r>
              <w:rPr>
                <w:rFonts w:hint="eastAsia" w:ascii="宋体" w:hAnsi="宋体" w:eastAsia="宋体" w:cs="宋体"/>
                <w:color w:val="auto"/>
                <w:sz w:val="24"/>
                <w:szCs w:val="24"/>
                <w:highlight w:val="none"/>
              </w:rPr>
              <w:t>凭证）</w:t>
            </w:r>
          </w:p>
        </w:tc>
        <w:tc>
          <w:tcPr>
            <w:tcW w:w="748" w:type="dxa"/>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15" w:hRule="atLeast"/>
        </w:trPr>
        <w:tc>
          <w:tcPr>
            <w:tcW w:w="743" w:type="dxa"/>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c>
          <w:tcPr>
            <w:tcW w:w="465"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4"/>
                <w:szCs w:val="24"/>
                <w:highlight w:val="none"/>
              </w:rPr>
            </w:pPr>
          </w:p>
        </w:tc>
        <w:tc>
          <w:tcPr>
            <w:tcW w:w="1335"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4"/>
                <w:szCs w:val="24"/>
                <w:highlight w:val="none"/>
              </w:rPr>
            </w:pPr>
            <w:r>
              <w:rPr>
                <w:rStyle w:val="50"/>
                <w:rFonts w:hint="eastAsia" w:ascii="宋体" w:hAnsi="宋体" w:eastAsia="宋体" w:cs="宋体"/>
                <w:color w:val="auto"/>
                <w:kern w:val="0"/>
                <w:sz w:val="24"/>
                <w:szCs w:val="24"/>
                <w:highlight w:val="none"/>
                <w:u w:val="none" w:color="0000FF"/>
                <w:lang w:val="zh-TW" w:eastAsia="zh-TW"/>
              </w:rPr>
              <w:t>投入设备</w:t>
            </w:r>
            <w:r>
              <w:rPr>
                <w:rStyle w:val="50"/>
                <w:rFonts w:hint="eastAsia" w:ascii="宋体" w:hAnsi="宋体" w:eastAsia="宋体" w:cs="宋体"/>
                <w:color w:val="auto"/>
                <w:kern w:val="0"/>
                <w:sz w:val="24"/>
                <w:szCs w:val="24"/>
                <w:highlight w:val="none"/>
                <w:u w:val="none" w:color="0000FF"/>
              </w:rPr>
              <w:t>及专用检查工具</w:t>
            </w:r>
          </w:p>
        </w:tc>
        <w:tc>
          <w:tcPr>
            <w:tcW w:w="6528" w:type="dxa"/>
            <w:tcBorders>
              <w:bottom w:val="single" w:color="auto" w:sz="4" w:space="0"/>
            </w:tcBorders>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(1)根据拟投入本项目药械设备保障（设备必须附名称、型号、数量清单等，并提供设备采购发票复印件或采购合同），根据其满足性、合理性、实用性、先进性、环保性等由专家酌情打分，本项最高得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p>
            <w:pPr>
              <w:spacing w:line="36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(2)病媒生物防制</w:t>
            </w:r>
            <w:r>
              <w:rPr>
                <w:rFonts w:hint="eastAsia" w:ascii="宋体" w:hAnsi="宋体" w:eastAsia="宋体" w:cs="宋体"/>
                <w:color w:val="auto"/>
                <w:sz w:val="24"/>
                <w:szCs w:val="24"/>
                <w:highlight w:val="none"/>
              </w:rPr>
              <w:t>专用检查工具6套及以上的得</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分，少1套扣0.5分，扣完为止。</w:t>
            </w:r>
          </w:p>
        </w:tc>
        <w:tc>
          <w:tcPr>
            <w:tcW w:w="748" w:type="dxa"/>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0" w:hRule="atLeast"/>
        </w:trPr>
        <w:tc>
          <w:tcPr>
            <w:tcW w:w="743" w:type="dxa"/>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11</w:t>
            </w:r>
          </w:p>
        </w:tc>
        <w:tc>
          <w:tcPr>
            <w:tcW w:w="465"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4"/>
                <w:szCs w:val="24"/>
                <w:highlight w:val="none"/>
              </w:rPr>
            </w:pPr>
          </w:p>
        </w:tc>
        <w:tc>
          <w:tcPr>
            <w:tcW w:w="1335"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Style w:val="50"/>
                <w:rFonts w:hint="eastAsia" w:ascii="宋体" w:hAnsi="宋体" w:eastAsia="宋体" w:cs="宋体"/>
                <w:color w:val="auto"/>
                <w:kern w:val="0"/>
                <w:sz w:val="24"/>
                <w:szCs w:val="24"/>
                <w:highlight w:val="none"/>
                <w:u w:val="none" w:color="0000FF"/>
                <w:lang w:val="zh-TW" w:eastAsia="zh-TW"/>
              </w:rPr>
            </w:pPr>
            <w:r>
              <w:rPr>
                <w:rStyle w:val="50"/>
                <w:rFonts w:hint="eastAsia" w:ascii="宋体" w:hAnsi="宋体" w:cs="宋体"/>
                <w:color w:val="auto"/>
                <w:kern w:val="0"/>
                <w:sz w:val="24"/>
                <w:highlight w:val="none"/>
              </w:rPr>
              <w:t>拟投入工具及</w:t>
            </w:r>
            <w:r>
              <w:rPr>
                <w:rStyle w:val="50"/>
                <w:rFonts w:hint="eastAsia" w:ascii="宋体" w:hAnsi="宋体" w:cs="宋体"/>
                <w:color w:val="auto"/>
                <w:kern w:val="0"/>
                <w:sz w:val="24"/>
                <w:highlight w:val="none"/>
                <w:lang w:val="zh-TW" w:eastAsia="zh-TW"/>
              </w:rPr>
              <w:t>消耗材料情况</w:t>
            </w:r>
          </w:p>
        </w:tc>
        <w:tc>
          <w:tcPr>
            <w:tcW w:w="6528"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left"/>
              <w:textAlignment w:val="auto"/>
              <w:rPr>
                <w:rFonts w:hint="eastAsia" w:ascii="宋体" w:hAnsi="宋体" w:eastAsia="宋体" w:cs="宋体"/>
                <w:color w:val="auto"/>
                <w:sz w:val="24"/>
                <w:szCs w:val="24"/>
                <w:highlight w:val="none"/>
              </w:rPr>
            </w:pPr>
            <w:r>
              <w:rPr>
                <w:rStyle w:val="50"/>
                <w:rFonts w:hint="eastAsia" w:ascii="宋体" w:hAnsi="宋体" w:cs="宋体"/>
                <w:color w:val="auto"/>
                <w:kern w:val="0"/>
                <w:sz w:val="24"/>
                <w:highlight w:val="none"/>
                <w:lang w:val="zh-TW" w:eastAsia="zh-TW"/>
              </w:rPr>
              <w:t>投标人提供项目所需工具和耗材清单，</w:t>
            </w:r>
            <w:r>
              <w:rPr>
                <w:rStyle w:val="50"/>
                <w:rFonts w:hint="eastAsia" w:ascii="宋体" w:hAnsi="宋体" w:cs="宋体"/>
                <w:color w:val="auto"/>
                <w:kern w:val="0"/>
                <w:sz w:val="24"/>
                <w:highlight w:val="none"/>
                <w:lang w:val="zh-TW"/>
              </w:rPr>
              <w:t>根据</w:t>
            </w:r>
            <w:r>
              <w:rPr>
                <w:rStyle w:val="50"/>
                <w:rFonts w:hint="eastAsia" w:ascii="宋体" w:hAnsi="宋体" w:cs="宋体"/>
                <w:color w:val="auto"/>
                <w:kern w:val="0"/>
                <w:sz w:val="24"/>
                <w:highlight w:val="none"/>
                <w:lang w:val="zh-TW" w:eastAsia="zh-TW"/>
              </w:rPr>
              <w:t>其满足性、合理性、实用性、先进性、环保性等</w:t>
            </w:r>
            <w:r>
              <w:rPr>
                <w:rStyle w:val="50"/>
                <w:rFonts w:hint="eastAsia" w:ascii="宋体" w:hAnsi="宋体" w:cs="宋体"/>
                <w:color w:val="auto"/>
                <w:kern w:val="0"/>
                <w:sz w:val="24"/>
                <w:highlight w:val="none"/>
                <w:lang w:val="zh-TW"/>
              </w:rPr>
              <w:t>，酌情打分。</w:t>
            </w:r>
          </w:p>
        </w:tc>
        <w:tc>
          <w:tcPr>
            <w:tcW w:w="748" w:type="dxa"/>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color w:val="auto"/>
                <w:sz w:val="24"/>
                <w:szCs w:val="24"/>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6" w:hRule="atLeast"/>
        </w:trPr>
        <w:tc>
          <w:tcPr>
            <w:tcW w:w="743" w:type="dxa"/>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2</w:t>
            </w:r>
          </w:p>
        </w:tc>
        <w:tc>
          <w:tcPr>
            <w:tcW w:w="465"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4"/>
                <w:szCs w:val="24"/>
                <w:highlight w:val="none"/>
              </w:rPr>
            </w:pPr>
          </w:p>
        </w:tc>
        <w:tc>
          <w:tcPr>
            <w:tcW w:w="1335" w:type="dxa"/>
            <w:tcBorders>
              <w:left w:val="single" w:color="auto" w:sz="4" w:space="0"/>
            </w:tcBorders>
            <w:noWrap w:val="0"/>
            <w:vAlign w:val="center"/>
          </w:tcPr>
          <w:p>
            <w:pPr>
              <w:spacing w:line="360" w:lineRule="auto"/>
              <w:ind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投标人</w:t>
            </w:r>
          </w:p>
          <w:p>
            <w:pPr>
              <w:spacing w:line="360" w:lineRule="auto"/>
              <w:ind w:firstLine="0" w:firstLineChars="0"/>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情况</w:t>
            </w:r>
          </w:p>
        </w:tc>
        <w:tc>
          <w:tcPr>
            <w:tcW w:w="6528" w:type="dxa"/>
            <w:tcBorders>
              <w:bottom w:val="single" w:color="auto" w:sz="4" w:space="0"/>
            </w:tcBorders>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根据投标人</w:t>
            </w:r>
            <w:r>
              <w:rPr>
                <w:rFonts w:hint="eastAsia" w:ascii="宋体" w:hAnsi="宋体" w:cs="宋体"/>
                <w:color w:val="auto"/>
                <w:sz w:val="24"/>
                <w:szCs w:val="24"/>
                <w:highlight w:val="none"/>
                <w:lang w:val="en-US" w:eastAsia="zh-CN"/>
              </w:rPr>
              <w:t>的</w:t>
            </w:r>
            <w:r>
              <w:rPr>
                <w:rFonts w:hint="eastAsia" w:ascii="宋体" w:hAnsi="宋体" w:eastAsia="宋体" w:cs="宋体"/>
                <w:color w:val="auto"/>
                <w:sz w:val="24"/>
                <w:szCs w:val="24"/>
                <w:highlight w:val="none"/>
              </w:rPr>
              <w:t>库房</w:t>
            </w:r>
            <w:r>
              <w:rPr>
                <w:rFonts w:hint="eastAsia" w:ascii="宋体" w:hAnsi="宋体" w:cs="宋体"/>
                <w:color w:val="auto"/>
                <w:sz w:val="24"/>
                <w:szCs w:val="24"/>
                <w:highlight w:val="none"/>
                <w:lang w:val="en-US" w:eastAsia="zh-CN"/>
              </w:rPr>
              <w:t>是否</w:t>
            </w:r>
            <w:r>
              <w:rPr>
                <w:rFonts w:hint="eastAsia" w:ascii="宋体" w:hAnsi="宋体" w:eastAsia="宋体" w:cs="宋体"/>
                <w:color w:val="auto"/>
                <w:sz w:val="24"/>
                <w:szCs w:val="24"/>
                <w:highlight w:val="none"/>
              </w:rPr>
              <w:t>独立</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通风条件良好，防火防盗措施落实</w:t>
            </w:r>
            <w:r>
              <w:rPr>
                <w:rFonts w:hint="eastAsia" w:ascii="宋体" w:hAnsi="宋体" w:cs="宋体"/>
                <w:color w:val="auto"/>
                <w:sz w:val="24"/>
                <w:szCs w:val="24"/>
                <w:highlight w:val="none"/>
                <w:lang w:val="en-US" w:eastAsia="zh-CN"/>
              </w:rPr>
              <w:t>情况</w:t>
            </w:r>
            <w:r>
              <w:rPr>
                <w:rFonts w:hint="eastAsia" w:ascii="宋体" w:hAnsi="宋体" w:eastAsia="宋体" w:cs="宋体"/>
                <w:color w:val="auto"/>
                <w:sz w:val="24"/>
                <w:szCs w:val="24"/>
                <w:highlight w:val="none"/>
                <w:lang w:val="en-US" w:eastAsia="zh-CN"/>
              </w:rPr>
              <w:t>（0-</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药械是否规范放置</w:t>
            </w:r>
            <w:r>
              <w:rPr>
                <w:rFonts w:hint="eastAsia" w:ascii="宋体" w:hAnsi="宋体" w:eastAsia="宋体" w:cs="宋体"/>
                <w:color w:val="auto"/>
                <w:sz w:val="24"/>
                <w:szCs w:val="24"/>
                <w:highlight w:val="none"/>
                <w:lang w:val="en-US" w:eastAsia="zh-CN"/>
              </w:rPr>
              <w:t>（0-</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分）</w:t>
            </w:r>
            <w:r>
              <w:rPr>
                <w:rFonts w:hint="eastAsia" w:ascii="宋体" w:hAnsi="宋体" w:eastAsia="宋体" w:cs="宋体"/>
                <w:b w:val="0"/>
                <w:bCs w:val="0"/>
                <w:color w:val="auto"/>
                <w:sz w:val="24"/>
                <w:szCs w:val="24"/>
                <w:highlight w:val="none"/>
              </w:rPr>
              <w:t>，</w:t>
            </w:r>
            <w:r>
              <w:rPr>
                <w:rFonts w:hint="eastAsia" w:ascii="宋体" w:hAnsi="宋体" w:eastAsia="宋体" w:cs="宋体"/>
                <w:color w:val="auto"/>
                <w:sz w:val="24"/>
                <w:szCs w:val="24"/>
                <w:highlight w:val="none"/>
              </w:rPr>
              <w:t>场所规章制度完善性</w:t>
            </w:r>
            <w:r>
              <w:rPr>
                <w:rFonts w:hint="eastAsia" w:ascii="宋体" w:hAnsi="宋体" w:eastAsia="宋体" w:cs="宋体"/>
                <w:color w:val="auto"/>
                <w:sz w:val="24"/>
                <w:szCs w:val="24"/>
                <w:highlight w:val="none"/>
                <w:lang w:val="en-US" w:eastAsia="zh-CN"/>
              </w:rPr>
              <w:t>（0-1分）</w:t>
            </w:r>
            <w:r>
              <w:rPr>
                <w:rFonts w:hint="eastAsia" w:ascii="宋体" w:hAnsi="宋体" w:eastAsia="宋体" w:cs="宋体"/>
                <w:color w:val="auto"/>
                <w:sz w:val="24"/>
                <w:szCs w:val="24"/>
                <w:highlight w:val="none"/>
              </w:rPr>
              <w:t>，</w:t>
            </w:r>
            <w:r>
              <w:rPr>
                <w:rFonts w:hint="eastAsia" w:ascii="宋体" w:hAnsi="宋体" w:eastAsia="宋体" w:cs="宋体"/>
                <w:b w:val="0"/>
                <w:bCs w:val="0"/>
                <w:color w:val="auto"/>
                <w:sz w:val="24"/>
                <w:szCs w:val="24"/>
                <w:highlight w:val="none"/>
                <w:lang w:val="en-US" w:eastAsia="zh-CN"/>
              </w:rPr>
              <w:t>酌情</w:t>
            </w:r>
            <w:r>
              <w:rPr>
                <w:rFonts w:hint="eastAsia" w:ascii="宋体" w:hAnsi="宋体" w:eastAsia="宋体" w:cs="宋体"/>
                <w:b w:val="0"/>
                <w:bCs w:val="0"/>
                <w:color w:val="auto"/>
                <w:sz w:val="24"/>
                <w:szCs w:val="24"/>
                <w:highlight w:val="none"/>
              </w:rPr>
              <w:t>打分</w:t>
            </w:r>
            <w:r>
              <w:rPr>
                <w:rFonts w:hint="eastAsia" w:ascii="宋体" w:hAnsi="宋体" w:eastAsia="宋体" w:cs="宋体"/>
                <w:color w:val="auto"/>
                <w:sz w:val="24"/>
                <w:szCs w:val="24"/>
                <w:highlight w:val="none"/>
              </w:rPr>
              <w:t>。</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注：需提供现场照片及</w:t>
            </w:r>
            <w:r>
              <w:rPr>
                <w:rFonts w:hint="eastAsia" w:ascii="宋体" w:hAnsi="宋体" w:eastAsia="宋体" w:cs="宋体"/>
                <w:color w:val="auto"/>
                <w:sz w:val="24"/>
                <w:szCs w:val="24"/>
                <w:highlight w:val="none"/>
                <w:lang w:val="en-US" w:eastAsia="zh-CN"/>
              </w:rPr>
              <w:t>相关资料佐证</w:t>
            </w:r>
            <w:r>
              <w:rPr>
                <w:rFonts w:hint="eastAsia" w:ascii="宋体" w:hAnsi="宋体" w:eastAsia="宋体" w:cs="宋体"/>
                <w:color w:val="auto"/>
                <w:sz w:val="24"/>
                <w:szCs w:val="24"/>
                <w:highlight w:val="none"/>
              </w:rPr>
              <w:t>，否则不予计分。</w:t>
            </w:r>
          </w:p>
        </w:tc>
        <w:tc>
          <w:tcPr>
            <w:tcW w:w="748"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743"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w:t>
            </w:r>
          </w:p>
        </w:tc>
        <w:tc>
          <w:tcPr>
            <w:tcW w:w="8328" w:type="dxa"/>
            <w:gridSpan w:val="3"/>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商务、资信分</w:t>
            </w:r>
          </w:p>
        </w:tc>
        <w:tc>
          <w:tcPr>
            <w:tcW w:w="748"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1</w:t>
            </w:r>
            <w:r>
              <w:rPr>
                <w:rFonts w:hint="eastAsia" w:ascii="宋体" w:hAnsi="宋体" w:cs="宋体"/>
                <w:b/>
                <w:color w:val="auto"/>
                <w:sz w:val="24"/>
                <w:szCs w:val="24"/>
                <w:highlight w:val="none"/>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3" w:hRule="atLeast"/>
        </w:trPr>
        <w:tc>
          <w:tcPr>
            <w:tcW w:w="743"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3</w:t>
            </w:r>
          </w:p>
        </w:tc>
        <w:tc>
          <w:tcPr>
            <w:tcW w:w="465" w:type="dxa"/>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履约能力</w:t>
            </w:r>
          </w:p>
        </w:tc>
        <w:tc>
          <w:tcPr>
            <w:tcW w:w="1335"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售后服务方案</w:t>
            </w:r>
          </w:p>
        </w:tc>
        <w:tc>
          <w:tcPr>
            <w:tcW w:w="6528"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根据投标人提供的</w:t>
            </w:r>
            <w:r>
              <w:rPr>
                <w:rFonts w:hint="eastAsia" w:ascii="宋体" w:hAnsi="宋体" w:eastAsia="宋体" w:cs="宋体"/>
                <w:color w:val="auto"/>
                <w:kern w:val="2"/>
                <w:sz w:val="24"/>
                <w:szCs w:val="24"/>
                <w:highlight w:val="none"/>
                <w:lang w:val="en-US" w:eastAsia="zh-CN" w:bidi="ar-SA"/>
              </w:rPr>
              <w:t>售后服务体系完善性、</w:t>
            </w:r>
            <w:r>
              <w:rPr>
                <w:rFonts w:hint="eastAsia" w:ascii="宋体" w:hAnsi="宋体" w:eastAsia="宋体" w:cs="宋体"/>
                <w:color w:val="auto"/>
                <w:sz w:val="24"/>
                <w:szCs w:val="24"/>
                <w:highlight w:val="none"/>
                <w:lang w:val="en-US" w:eastAsia="zh-CN"/>
              </w:rPr>
              <w:t>售后服务承诺与保证措施（0-3分），服务人员、服务响应时间（0-3分）等情况</w:t>
            </w:r>
            <w:r>
              <w:rPr>
                <w:rFonts w:hint="eastAsia" w:ascii="宋体" w:hAnsi="宋体" w:eastAsia="宋体" w:cs="宋体"/>
                <w:color w:val="auto"/>
                <w:sz w:val="24"/>
                <w:szCs w:val="24"/>
                <w:highlight w:val="none"/>
              </w:rPr>
              <w:t>，酌情打分。</w:t>
            </w:r>
          </w:p>
        </w:tc>
        <w:tc>
          <w:tcPr>
            <w:tcW w:w="748"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8" w:hRule="atLeast"/>
        </w:trPr>
        <w:tc>
          <w:tcPr>
            <w:tcW w:w="743"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4</w:t>
            </w:r>
          </w:p>
        </w:tc>
        <w:tc>
          <w:tcPr>
            <w:tcW w:w="465"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4"/>
                <w:szCs w:val="24"/>
                <w:highlight w:val="none"/>
              </w:rPr>
            </w:pPr>
          </w:p>
        </w:tc>
        <w:tc>
          <w:tcPr>
            <w:tcW w:w="1335"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认证证书</w:t>
            </w:r>
          </w:p>
        </w:tc>
        <w:tc>
          <w:tcPr>
            <w:tcW w:w="6528"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投标人具有</w:t>
            </w:r>
            <w:r>
              <w:rPr>
                <w:rFonts w:hint="eastAsia" w:ascii="宋体" w:hAnsi="宋体" w:cs="宋体"/>
                <w:color w:val="auto"/>
                <w:sz w:val="24"/>
                <w:szCs w:val="24"/>
                <w:highlight w:val="none"/>
                <w:lang w:val="en-US" w:eastAsia="zh-CN"/>
              </w:rPr>
              <w:t>有效的</w:t>
            </w:r>
            <w:r>
              <w:rPr>
                <w:rFonts w:hint="eastAsia" w:ascii="宋体" w:hAnsi="宋体" w:eastAsia="宋体" w:cs="宋体"/>
                <w:color w:val="auto"/>
                <w:sz w:val="24"/>
                <w:szCs w:val="24"/>
                <w:highlight w:val="none"/>
              </w:rPr>
              <w:t>ISO质量管理体系认证、职业健康管理体系认证、环境管理体系认证的，每一项得1分，最高得3分。</w:t>
            </w:r>
          </w:p>
        </w:tc>
        <w:tc>
          <w:tcPr>
            <w:tcW w:w="748"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3" w:hRule="atLeast"/>
        </w:trPr>
        <w:tc>
          <w:tcPr>
            <w:tcW w:w="743"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5</w:t>
            </w:r>
          </w:p>
        </w:tc>
        <w:tc>
          <w:tcPr>
            <w:tcW w:w="465"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4"/>
                <w:szCs w:val="24"/>
                <w:highlight w:val="none"/>
              </w:rPr>
            </w:pPr>
          </w:p>
        </w:tc>
        <w:tc>
          <w:tcPr>
            <w:tcW w:w="1335" w:type="dxa"/>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ind w:left="6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同类业绩</w:t>
            </w:r>
          </w:p>
        </w:tc>
        <w:tc>
          <w:tcPr>
            <w:tcW w:w="6528"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投标人自</w:t>
            </w:r>
            <w:r>
              <w:rPr>
                <w:rFonts w:hint="eastAsia" w:ascii="宋体" w:hAnsi="宋体" w:eastAsia="宋体" w:cs="宋体"/>
                <w:color w:val="auto"/>
                <w:sz w:val="24"/>
                <w:szCs w:val="24"/>
                <w:highlight w:val="none"/>
              </w:rPr>
              <w:t>20</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年1月以来</w:t>
            </w:r>
            <w:r>
              <w:rPr>
                <w:rFonts w:hint="eastAsia" w:ascii="宋体" w:hAnsi="宋体" w:eastAsia="宋体" w:cs="宋体"/>
                <w:color w:val="auto"/>
                <w:sz w:val="24"/>
                <w:szCs w:val="24"/>
                <w:highlight w:val="none"/>
              </w:rPr>
              <w:t>，提供同类项目业绩的，每个得1分，最多得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rPr>
              <w:t>（以提供合同复印件为准）</w:t>
            </w:r>
          </w:p>
        </w:tc>
        <w:tc>
          <w:tcPr>
            <w:tcW w:w="748"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7" w:hRule="atLeast"/>
        </w:trPr>
        <w:tc>
          <w:tcPr>
            <w:tcW w:w="743" w:type="dxa"/>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6</w:t>
            </w:r>
          </w:p>
        </w:tc>
        <w:tc>
          <w:tcPr>
            <w:tcW w:w="465"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4"/>
                <w:szCs w:val="24"/>
                <w:highlight w:val="none"/>
              </w:rPr>
            </w:pPr>
          </w:p>
        </w:tc>
        <w:tc>
          <w:tcPr>
            <w:tcW w:w="1335"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优惠承诺</w:t>
            </w:r>
          </w:p>
        </w:tc>
        <w:tc>
          <w:tcPr>
            <w:tcW w:w="6528" w:type="dxa"/>
            <w:noWrap w:val="0"/>
            <w:vAlign w:val="center"/>
          </w:tcPr>
          <w:p>
            <w:pPr>
              <w:keepNext w:val="0"/>
              <w:keepLines w:val="0"/>
              <w:pageBreakBefore w:val="0"/>
              <w:widowControl w:val="0"/>
              <w:kinsoku/>
              <w:wordWrap/>
              <w:overflowPunct/>
              <w:topLinePunct w:val="0"/>
              <w:autoSpaceDE/>
              <w:autoSpaceDN/>
              <w:bidi w:val="0"/>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投标人是否有超出招标文件的优惠条件进行打分，有优惠条件的，酌情</w:t>
            </w:r>
            <w:r>
              <w:rPr>
                <w:rFonts w:hint="eastAsia" w:ascii="宋体" w:hAnsi="宋体" w:eastAsia="宋体" w:cs="宋体"/>
                <w:color w:val="auto"/>
                <w:sz w:val="24"/>
                <w:szCs w:val="24"/>
                <w:highlight w:val="none"/>
                <w:lang w:val="en-US" w:eastAsia="zh-CN"/>
              </w:rPr>
              <w:t>打</w:t>
            </w:r>
            <w:r>
              <w:rPr>
                <w:rFonts w:hint="eastAsia" w:ascii="宋体" w:hAnsi="宋体" w:eastAsia="宋体" w:cs="宋体"/>
                <w:color w:val="auto"/>
                <w:sz w:val="24"/>
                <w:szCs w:val="24"/>
                <w:highlight w:val="none"/>
              </w:rPr>
              <w:t>分，没有实质性或不合实际优惠条件不得分。</w:t>
            </w:r>
          </w:p>
        </w:tc>
        <w:tc>
          <w:tcPr>
            <w:tcW w:w="748" w:type="dxa"/>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2" w:hRule="atLeast"/>
        </w:trPr>
        <w:tc>
          <w:tcPr>
            <w:tcW w:w="743" w:type="dxa"/>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7</w:t>
            </w:r>
          </w:p>
        </w:tc>
        <w:tc>
          <w:tcPr>
            <w:tcW w:w="465"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4"/>
                <w:szCs w:val="24"/>
                <w:highlight w:val="none"/>
              </w:rPr>
            </w:pPr>
          </w:p>
        </w:tc>
        <w:tc>
          <w:tcPr>
            <w:tcW w:w="1335" w:type="dxa"/>
            <w:tcBorders>
              <w:left w:val="single" w:color="auto" w:sz="4" w:space="0"/>
            </w:tcBorders>
            <w:noWrap w:val="0"/>
            <w:vAlign w:val="center"/>
          </w:tcPr>
          <w:p>
            <w:pPr>
              <w:tabs>
                <w:tab w:val="left" w:pos="6664"/>
              </w:tabs>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lang w:val="en-US" w:eastAsia="zh-CN"/>
              </w:rPr>
              <w:t>荣誉奖项</w:t>
            </w:r>
          </w:p>
        </w:tc>
        <w:tc>
          <w:tcPr>
            <w:tcW w:w="6528" w:type="dxa"/>
            <w:noWrap w:val="0"/>
            <w:vAlign w:val="center"/>
          </w:tcPr>
          <w:p>
            <w:pPr>
              <w:autoSpaceDE w:val="0"/>
              <w:autoSpaceDN w:val="0"/>
              <w:adjustRightInd w:val="0"/>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自2019年1月1日以来，投标人获得过地市级及以上政府部门颁发的荣誉奖项，每提供一个得1分，本项最高得3分。</w:t>
            </w:r>
          </w:p>
        </w:tc>
        <w:tc>
          <w:tcPr>
            <w:tcW w:w="748"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p>
        </w:tc>
      </w:tr>
    </w:tbl>
    <w:p>
      <w:pPr>
        <w:pStyle w:val="8"/>
        <w:rPr>
          <w:rFonts w:hint="eastAsia"/>
          <w:color w:val="auto"/>
          <w:highlight w:val="none"/>
        </w:rPr>
      </w:pPr>
    </w:p>
    <w:p>
      <w:pPr>
        <w:rPr>
          <w:rFonts w:hint="eastAsia"/>
          <w:color w:val="auto"/>
          <w:highlight w:val="none"/>
        </w:rPr>
      </w:pPr>
    </w:p>
    <w:p>
      <w:pPr>
        <w:pStyle w:val="8"/>
        <w:rPr>
          <w:rFonts w:hint="eastAsia"/>
          <w:color w:val="auto"/>
          <w:highlight w:val="none"/>
        </w:rPr>
      </w:pPr>
    </w:p>
    <w:p>
      <w:pPr>
        <w:rPr>
          <w:rFonts w:hint="eastAsia"/>
          <w:color w:val="auto"/>
          <w:highlight w:val="none"/>
        </w:rPr>
      </w:pPr>
    </w:p>
    <w:p>
      <w:pPr>
        <w:pStyle w:val="3"/>
        <w:keepNext w:val="0"/>
        <w:keepLines w:val="0"/>
        <w:pageBreakBefore/>
        <w:numPr>
          <w:ilvl w:val="0"/>
          <w:numId w:val="12"/>
        </w:numPr>
        <w:spacing w:line="240" w:lineRule="auto"/>
        <w:jc w:val="center"/>
        <w:rPr>
          <w:rFonts w:hint="eastAsia" w:ascii="宋体" w:hAnsi="宋体" w:eastAsia="宋体" w:cs="宋体"/>
          <w:bCs w:val="0"/>
          <w:color w:val="auto"/>
          <w:sz w:val="32"/>
          <w:szCs w:val="32"/>
          <w:highlight w:val="none"/>
        </w:rPr>
      </w:pPr>
      <w:bookmarkStart w:id="49" w:name="_Toc725"/>
      <w:r>
        <w:rPr>
          <w:rFonts w:hint="eastAsia" w:ascii="宋体" w:hAnsi="宋体" w:eastAsia="宋体" w:cs="宋体"/>
          <w:bCs w:val="0"/>
          <w:color w:val="auto"/>
          <w:sz w:val="32"/>
          <w:szCs w:val="32"/>
          <w:highlight w:val="none"/>
        </w:rPr>
        <w:t>合同主要条款</w:t>
      </w:r>
      <w:bookmarkEnd w:id="46"/>
      <w:bookmarkEnd w:id="49"/>
    </w:p>
    <w:p>
      <w:pPr>
        <w:spacing w:line="480" w:lineRule="auto"/>
        <w:jc w:val="center"/>
        <w:outlineLvl w:val="1"/>
        <w:rPr>
          <w:rFonts w:hint="eastAsia" w:ascii="宋体" w:hAnsi="宋体"/>
          <w:b/>
          <w:color w:val="auto"/>
          <w:sz w:val="36"/>
          <w:szCs w:val="32"/>
          <w:highlight w:val="none"/>
        </w:rPr>
      </w:pPr>
      <w:bookmarkStart w:id="50" w:name="_Toc6142"/>
      <w:bookmarkStart w:id="51" w:name="_Toc9779"/>
      <w:bookmarkStart w:id="52" w:name="_Toc12371"/>
      <w:r>
        <w:rPr>
          <w:rFonts w:hint="eastAsia" w:ascii="宋体" w:hAnsi="宋体"/>
          <w:b/>
          <w:color w:val="auto"/>
          <w:sz w:val="36"/>
          <w:szCs w:val="32"/>
          <w:highlight w:val="none"/>
        </w:rPr>
        <w:t>东阳市政府采购合同（样本）</w:t>
      </w:r>
      <w:bookmarkEnd w:id="50"/>
      <w:bookmarkEnd w:id="51"/>
      <w:bookmarkEnd w:id="52"/>
    </w:p>
    <w:p>
      <w:pPr>
        <w:snapToGrid w:val="0"/>
        <w:spacing w:before="120" w:after="120" w:line="400" w:lineRule="exact"/>
        <w:rPr>
          <w:rFonts w:ascii="宋体" w:hAnsi="宋体"/>
          <w:color w:val="auto"/>
          <w:sz w:val="24"/>
          <w:szCs w:val="24"/>
          <w:highlight w:val="none"/>
        </w:rPr>
      </w:pPr>
      <w:r>
        <w:rPr>
          <w:rFonts w:ascii="宋体" w:hAnsi="宋体"/>
          <w:color w:val="auto"/>
          <w:sz w:val="24"/>
          <w:szCs w:val="24"/>
          <w:highlight w:val="none"/>
        </w:rPr>
        <w:t>项目名称：                   项目编号：</w:t>
      </w:r>
      <w:r>
        <w:rPr>
          <w:rFonts w:hint="eastAsia" w:ascii="宋体" w:hAnsi="宋体"/>
          <w:color w:val="auto"/>
          <w:sz w:val="24"/>
          <w:szCs w:val="24"/>
          <w:highlight w:val="none"/>
        </w:rPr>
        <w:t xml:space="preserve">               合同号：</w:t>
      </w:r>
    </w:p>
    <w:p>
      <w:pPr>
        <w:snapToGrid w:val="0"/>
        <w:spacing w:before="120" w:after="120" w:line="400" w:lineRule="exact"/>
        <w:rPr>
          <w:rFonts w:ascii="宋体" w:hAnsi="宋体"/>
          <w:color w:val="auto"/>
          <w:sz w:val="24"/>
          <w:szCs w:val="24"/>
          <w:highlight w:val="none"/>
        </w:rPr>
      </w:pPr>
      <w:r>
        <w:rPr>
          <w:rFonts w:ascii="宋体" w:hAnsi="宋体"/>
          <w:color w:val="auto"/>
          <w:sz w:val="24"/>
          <w:szCs w:val="24"/>
          <w:highlight w:val="none"/>
        </w:rPr>
        <w:t>甲方（买方）</w:t>
      </w:r>
      <w:r>
        <w:rPr>
          <w:rFonts w:hint="eastAsia" w:ascii="宋体" w:hAnsi="宋体"/>
          <w:color w:val="auto"/>
          <w:sz w:val="24"/>
          <w:szCs w:val="24"/>
          <w:highlight w:val="none"/>
        </w:rPr>
        <w:t>：</w:t>
      </w:r>
    </w:p>
    <w:p>
      <w:pPr>
        <w:snapToGrid w:val="0"/>
        <w:spacing w:before="120" w:after="120" w:line="400" w:lineRule="exact"/>
        <w:rPr>
          <w:rFonts w:ascii="宋体" w:hAnsi="宋体"/>
          <w:color w:val="auto"/>
          <w:sz w:val="24"/>
          <w:szCs w:val="24"/>
          <w:highlight w:val="none"/>
        </w:rPr>
      </w:pPr>
      <w:r>
        <w:rPr>
          <w:rFonts w:ascii="宋体" w:hAnsi="宋体"/>
          <w:color w:val="auto"/>
          <w:sz w:val="24"/>
          <w:szCs w:val="24"/>
          <w:highlight w:val="none"/>
        </w:rPr>
        <w:t>乙方（卖方）</w:t>
      </w:r>
      <w:r>
        <w:rPr>
          <w:rFonts w:hint="eastAsia" w:ascii="宋体" w:hAnsi="宋体"/>
          <w:color w:val="auto"/>
          <w:sz w:val="24"/>
          <w:szCs w:val="24"/>
          <w:highlight w:val="none"/>
        </w:rPr>
        <w:t>：</w:t>
      </w:r>
    </w:p>
    <w:p>
      <w:pPr>
        <w:snapToGrid w:val="0"/>
        <w:spacing w:before="120" w:after="120" w:line="400" w:lineRule="exact"/>
        <w:rPr>
          <w:rFonts w:ascii="宋体" w:hAnsi="宋体"/>
          <w:color w:val="auto"/>
          <w:sz w:val="24"/>
          <w:szCs w:val="24"/>
          <w:highlight w:val="none"/>
        </w:rPr>
      </w:pPr>
      <w:r>
        <w:rPr>
          <w:rFonts w:hint="eastAsia" w:ascii="宋体" w:hAnsi="宋体"/>
          <w:color w:val="auto"/>
          <w:sz w:val="24"/>
          <w:szCs w:val="24"/>
          <w:highlight w:val="none"/>
        </w:rPr>
        <w:t>鉴证方（招标方）：</w:t>
      </w:r>
    </w:p>
    <w:p>
      <w:pPr>
        <w:snapToGrid w:val="0"/>
        <w:spacing w:before="120" w:after="120" w:line="400" w:lineRule="exact"/>
        <w:ind w:firstLine="495"/>
        <w:rPr>
          <w:rFonts w:ascii="宋体" w:hAnsi="宋体"/>
          <w:color w:val="auto"/>
          <w:sz w:val="24"/>
          <w:szCs w:val="24"/>
          <w:highlight w:val="none"/>
          <w:u w:val="single"/>
        </w:rPr>
      </w:pPr>
      <w:r>
        <w:rPr>
          <w:rFonts w:hint="eastAsia" w:ascii="宋体" w:hAnsi="宋体"/>
          <w:color w:val="auto"/>
          <w:sz w:val="24"/>
          <w:szCs w:val="24"/>
          <w:highlight w:val="none"/>
        </w:rPr>
        <w:t>甲、乙双方根据</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日东阳市鑫盛工程咨询有限公司关于</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项目公开招标的结果，签署本合同。</w:t>
      </w:r>
    </w:p>
    <w:p>
      <w:pPr>
        <w:snapToGrid w:val="0"/>
        <w:spacing w:before="120" w:after="120" w:line="400" w:lineRule="exact"/>
        <w:rPr>
          <w:rFonts w:ascii="宋体" w:hAnsi="宋体"/>
          <w:b/>
          <w:color w:val="auto"/>
          <w:sz w:val="24"/>
          <w:szCs w:val="24"/>
          <w:highlight w:val="none"/>
        </w:rPr>
      </w:pPr>
      <w:r>
        <w:rPr>
          <w:rFonts w:ascii="宋体" w:hAnsi="宋体"/>
          <w:b/>
          <w:color w:val="auto"/>
          <w:sz w:val="24"/>
          <w:szCs w:val="24"/>
          <w:highlight w:val="none"/>
        </w:rPr>
        <w:t>一、服务内容</w:t>
      </w:r>
      <w:r>
        <w:rPr>
          <w:rFonts w:hint="eastAsia" w:ascii="宋体" w:hAnsi="宋体"/>
          <w:b/>
          <w:color w:val="auto"/>
          <w:sz w:val="24"/>
          <w:szCs w:val="24"/>
          <w:highlight w:val="none"/>
        </w:rPr>
        <w:t>：</w:t>
      </w:r>
    </w:p>
    <w:p>
      <w:pPr>
        <w:snapToGrid w:val="0"/>
        <w:spacing w:before="120" w:after="120" w:line="400" w:lineRule="exact"/>
        <w:rPr>
          <w:rFonts w:hint="eastAsia" w:ascii="宋体" w:hAnsi="宋体" w:eastAsia="宋体"/>
          <w:b/>
          <w:color w:val="auto"/>
          <w:sz w:val="24"/>
          <w:szCs w:val="24"/>
          <w:highlight w:val="none"/>
          <w:lang w:eastAsia="zh-CN"/>
        </w:rPr>
      </w:pPr>
      <w:r>
        <w:rPr>
          <w:rFonts w:ascii="宋体" w:hAnsi="宋体"/>
          <w:b/>
          <w:color w:val="auto"/>
          <w:sz w:val="24"/>
          <w:szCs w:val="24"/>
          <w:highlight w:val="none"/>
        </w:rPr>
        <w:t>二、</w:t>
      </w:r>
      <w:r>
        <w:rPr>
          <w:rFonts w:hint="eastAsia" w:ascii="宋体" w:hAnsi="宋体"/>
          <w:b/>
          <w:color w:val="auto"/>
          <w:sz w:val="24"/>
          <w:szCs w:val="24"/>
          <w:highlight w:val="none"/>
          <w:lang w:val="en-US" w:eastAsia="zh-CN"/>
        </w:rPr>
        <w:t>合同金额</w:t>
      </w:r>
      <w:r>
        <w:rPr>
          <w:rFonts w:hint="eastAsia" w:ascii="宋体" w:hAnsi="宋体"/>
          <w:b/>
          <w:color w:val="auto"/>
          <w:sz w:val="24"/>
          <w:szCs w:val="24"/>
          <w:highlight w:val="none"/>
          <w:lang w:eastAsia="zh-CN"/>
        </w:rPr>
        <w:t>：</w:t>
      </w:r>
    </w:p>
    <w:p>
      <w:pPr>
        <w:snapToGrid w:val="0"/>
        <w:spacing w:before="120" w:after="120" w:line="400" w:lineRule="exact"/>
        <w:rPr>
          <w:rFonts w:ascii="宋体" w:hAnsi="宋体"/>
          <w:b/>
          <w:color w:val="auto"/>
          <w:sz w:val="24"/>
          <w:szCs w:val="24"/>
          <w:highlight w:val="none"/>
        </w:rPr>
      </w:pPr>
      <w:r>
        <w:rPr>
          <w:rFonts w:ascii="宋体" w:hAnsi="宋体"/>
          <w:b/>
          <w:color w:val="auto"/>
          <w:sz w:val="24"/>
          <w:szCs w:val="24"/>
          <w:highlight w:val="none"/>
        </w:rPr>
        <w:t>三、技术资料</w:t>
      </w:r>
    </w:p>
    <w:p>
      <w:pPr>
        <w:snapToGrid w:val="0"/>
        <w:spacing w:before="120" w:after="120" w:line="400" w:lineRule="exact"/>
        <w:ind w:left="410" w:hanging="410"/>
        <w:rPr>
          <w:rFonts w:ascii="宋体" w:hAns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rPr>
        <w:t xml:space="preserve">. </w:t>
      </w:r>
      <w:r>
        <w:rPr>
          <w:rFonts w:ascii="宋体" w:hAnsi="宋体"/>
          <w:color w:val="auto"/>
          <w:sz w:val="24"/>
          <w:szCs w:val="24"/>
          <w:highlight w:val="none"/>
        </w:rPr>
        <w:t>乙方应按招标文件规定的时间向甲方提供有关技术资料。</w:t>
      </w:r>
    </w:p>
    <w:p>
      <w:pPr>
        <w:snapToGrid w:val="0"/>
        <w:spacing w:before="120" w:after="120" w:line="400" w:lineRule="exact"/>
        <w:ind w:left="410" w:hanging="410"/>
        <w:rPr>
          <w:rFonts w:ascii="宋体" w:hAns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 xml:space="preserve">. </w:t>
      </w:r>
      <w:r>
        <w:rPr>
          <w:rFonts w:ascii="宋体" w:hAnsi="宋体"/>
          <w:color w:val="auto"/>
          <w:sz w:val="24"/>
          <w:szCs w:val="24"/>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before="120" w:after="120" w:line="400" w:lineRule="exact"/>
        <w:ind w:left="410" w:hanging="410"/>
        <w:rPr>
          <w:rFonts w:ascii="宋体" w:hAnsi="宋体"/>
          <w:b/>
          <w:color w:val="auto"/>
          <w:sz w:val="24"/>
          <w:szCs w:val="24"/>
          <w:highlight w:val="none"/>
        </w:rPr>
      </w:pPr>
      <w:r>
        <w:rPr>
          <w:rFonts w:ascii="宋体" w:hAnsi="宋体"/>
          <w:b/>
          <w:color w:val="auto"/>
          <w:sz w:val="24"/>
          <w:szCs w:val="24"/>
          <w:highlight w:val="none"/>
        </w:rPr>
        <w:t>四、知识产权</w:t>
      </w:r>
    </w:p>
    <w:p>
      <w:pPr>
        <w:snapToGrid w:val="0"/>
        <w:spacing w:before="120" w:after="120" w:line="400" w:lineRule="exact"/>
        <w:ind w:left="410" w:hanging="410"/>
        <w:rPr>
          <w:rFonts w:ascii="宋体" w:hAnsi="宋体"/>
          <w:b w:val="0"/>
          <w:bCs w:val="0"/>
          <w:color w:val="auto"/>
          <w:sz w:val="24"/>
          <w:szCs w:val="24"/>
          <w:highlight w:val="none"/>
        </w:rPr>
      </w:pPr>
      <w:r>
        <w:rPr>
          <w:rFonts w:ascii="宋体" w:hAnsi="宋体"/>
          <w:color w:val="auto"/>
          <w:sz w:val="24"/>
          <w:szCs w:val="24"/>
          <w:highlight w:val="none"/>
        </w:rPr>
        <w:t>乙方应保证提供服务过程中不会侵犯任何第三</w:t>
      </w:r>
      <w:r>
        <w:rPr>
          <w:rFonts w:ascii="宋体" w:hAnsi="宋体"/>
          <w:b w:val="0"/>
          <w:bCs w:val="0"/>
          <w:color w:val="auto"/>
          <w:sz w:val="24"/>
          <w:szCs w:val="24"/>
          <w:highlight w:val="none"/>
        </w:rPr>
        <w:t>方的知识产权。</w:t>
      </w:r>
    </w:p>
    <w:p>
      <w:pPr>
        <w:snapToGrid w:val="0"/>
        <w:spacing w:before="120" w:after="120" w:line="400" w:lineRule="exact"/>
        <w:ind w:left="410" w:hanging="410"/>
        <w:rPr>
          <w:rFonts w:ascii="宋体" w:hAnsi="宋体"/>
          <w:b w:val="0"/>
          <w:bCs w:val="0"/>
          <w:color w:val="auto"/>
          <w:sz w:val="24"/>
          <w:szCs w:val="24"/>
          <w:highlight w:val="none"/>
        </w:rPr>
      </w:pPr>
      <w:r>
        <w:rPr>
          <w:rFonts w:hint="eastAsia" w:ascii="宋体" w:hAnsi="宋体"/>
          <w:b w:val="0"/>
          <w:bCs w:val="0"/>
          <w:color w:val="auto"/>
          <w:sz w:val="24"/>
          <w:szCs w:val="24"/>
          <w:highlight w:val="none"/>
        </w:rPr>
        <w:t>若乙方提供的服务或资料侵犯他人知识产权的，则乙方承担相应赔偿责任。</w:t>
      </w:r>
    </w:p>
    <w:p>
      <w:pPr>
        <w:snapToGrid w:val="0"/>
        <w:spacing w:before="120" w:after="120" w:line="400" w:lineRule="exact"/>
        <w:ind w:left="408" w:hanging="408"/>
        <w:rPr>
          <w:rFonts w:ascii="宋体" w:hAnsi="宋体"/>
          <w:b/>
          <w:color w:val="auto"/>
          <w:sz w:val="24"/>
          <w:szCs w:val="24"/>
          <w:highlight w:val="none"/>
        </w:rPr>
      </w:pPr>
      <w:r>
        <w:rPr>
          <w:rFonts w:hint="eastAsia" w:ascii="宋体" w:hAnsi="宋体"/>
          <w:b/>
          <w:color w:val="auto"/>
          <w:sz w:val="24"/>
          <w:szCs w:val="24"/>
          <w:highlight w:val="none"/>
        </w:rPr>
        <w:t>五</w:t>
      </w:r>
      <w:r>
        <w:rPr>
          <w:rFonts w:ascii="宋体" w:hAnsi="宋体"/>
          <w:b/>
          <w:color w:val="auto"/>
          <w:sz w:val="24"/>
          <w:szCs w:val="24"/>
          <w:highlight w:val="none"/>
        </w:rPr>
        <w:t>、履约保证金</w:t>
      </w:r>
    </w:p>
    <w:p>
      <w:pPr>
        <w:snapToGrid w:val="0"/>
        <w:spacing w:before="120" w:after="120" w:line="400" w:lineRule="exact"/>
        <w:rPr>
          <w:rFonts w:ascii="宋体" w:hAnsi="宋体"/>
          <w:b/>
          <w:color w:val="auto"/>
          <w:sz w:val="24"/>
          <w:szCs w:val="24"/>
          <w:highlight w:val="none"/>
        </w:rPr>
      </w:pPr>
      <w:r>
        <w:rPr>
          <w:rFonts w:hint="eastAsia" w:ascii="宋体" w:hAnsi="宋体"/>
          <w:b/>
          <w:color w:val="auto"/>
          <w:sz w:val="24"/>
          <w:szCs w:val="24"/>
          <w:highlight w:val="none"/>
        </w:rPr>
        <w:t>六、转包</w:t>
      </w:r>
    </w:p>
    <w:p>
      <w:pPr>
        <w:snapToGrid w:val="0"/>
        <w:spacing w:before="120" w:after="120" w:line="400" w:lineRule="exact"/>
        <w:rPr>
          <w:rFonts w:ascii="宋体" w:hAnsi="宋体"/>
          <w:color w:val="auto"/>
          <w:sz w:val="24"/>
          <w:szCs w:val="24"/>
          <w:highlight w:val="none"/>
        </w:rPr>
      </w:pPr>
      <w:r>
        <w:rPr>
          <w:rFonts w:hint="eastAsia" w:ascii="宋体" w:hAnsi="宋体"/>
          <w:color w:val="auto"/>
          <w:sz w:val="24"/>
          <w:szCs w:val="24"/>
          <w:highlight w:val="none"/>
        </w:rPr>
        <w:t>1.本合同范围的服务，应由乙方直接供应，不得转让他人供应；</w:t>
      </w:r>
    </w:p>
    <w:p>
      <w:pPr>
        <w:snapToGrid w:val="0"/>
        <w:spacing w:before="120" w:after="120" w:line="400" w:lineRule="exact"/>
        <w:ind w:left="410" w:hanging="410"/>
        <w:rPr>
          <w:rFonts w:ascii="宋体" w:hAnsi="宋体"/>
          <w:color w:val="auto"/>
          <w:sz w:val="24"/>
          <w:szCs w:val="24"/>
          <w:highlight w:val="none"/>
        </w:rPr>
      </w:pPr>
      <w:r>
        <w:rPr>
          <w:rFonts w:hint="eastAsia" w:ascii="宋体" w:hAnsi="宋体"/>
          <w:color w:val="auto"/>
          <w:sz w:val="24"/>
          <w:szCs w:val="24"/>
          <w:highlight w:val="none"/>
        </w:rPr>
        <w:t>2. 如发现转包行为，甲方有权解除合同，没收履约保证金并追究乙方的违约责任。</w:t>
      </w:r>
    </w:p>
    <w:p>
      <w:pPr>
        <w:snapToGrid w:val="0"/>
        <w:spacing w:before="120" w:after="120" w:line="400" w:lineRule="exact"/>
        <w:rPr>
          <w:rFonts w:ascii="宋体" w:hAnsi="宋体"/>
          <w:b/>
          <w:color w:val="auto"/>
          <w:sz w:val="24"/>
          <w:szCs w:val="24"/>
          <w:highlight w:val="none"/>
        </w:rPr>
      </w:pPr>
      <w:r>
        <w:rPr>
          <w:rFonts w:hint="eastAsia" w:ascii="宋体" w:hAnsi="宋体"/>
          <w:b/>
          <w:color w:val="auto"/>
          <w:sz w:val="24"/>
          <w:szCs w:val="24"/>
          <w:highlight w:val="none"/>
        </w:rPr>
        <w:t>七</w:t>
      </w:r>
      <w:r>
        <w:rPr>
          <w:rFonts w:ascii="宋体" w:hAnsi="宋体"/>
          <w:b/>
          <w:color w:val="auto"/>
          <w:sz w:val="24"/>
          <w:szCs w:val="24"/>
          <w:highlight w:val="none"/>
        </w:rPr>
        <w:t>、合同履行时间、履行方式及履行地点</w:t>
      </w:r>
    </w:p>
    <w:p>
      <w:pPr>
        <w:snapToGrid w:val="0"/>
        <w:spacing w:before="120" w:after="120" w:line="400" w:lineRule="exact"/>
        <w:rPr>
          <w:rFonts w:ascii="宋体" w:hAnsi="宋体"/>
          <w:bCs/>
          <w:color w:val="auto"/>
          <w:sz w:val="24"/>
          <w:szCs w:val="24"/>
          <w:highlight w:val="none"/>
        </w:rPr>
      </w:pPr>
      <w:r>
        <w:rPr>
          <w:rFonts w:ascii="宋体" w:hAnsi="宋体"/>
          <w:bCs/>
          <w:color w:val="auto"/>
          <w:sz w:val="24"/>
          <w:szCs w:val="24"/>
          <w:highlight w:val="none"/>
        </w:rPr>
        <w:t>1</w:t>
      </w:r>
      <w:r>
        <w:rPr>
          <w:rFonts w:hint="eastAsia" w:ascii="宋体" w:hAnsi="宋体"/>
          <w:bCs/>
          <w:color w:val="auto"/>
          <w:sz w:val="24"/>
          <w:szCs w:val="24"/>
          <w:highlight w:val="none"/>
        </w:rPr>
        <w:t>.</w:t>
      </w:r>
      <w:r>
        <w:rPr>
          <w:rFonts w:ascii="宋体" w:hAnsi="宋体"/>
          <w:bCs/>
          <w:color w:val="auto"/>
          <w:sz w:val="24"/>
          <w:szCs w:val="24"/>
          <w:highlight w:val="none"/>
        </w:rPr>
        <w:t xml:space="preserve"> </w:t>
      </w:r>
      <w:r>
        <w:rPr>
          <w:rFonts w:ascii="宋体" w:hAnsi="宋体"/>
          <w:color w:val="auto"/>
          <w:sz w:val="24"/>
          <w:szCs w:val="24"/>
          <w:highlight w:val="none"/>
        </w:rPr>
        <w:t>履行时间</w:t>
      </w:r>
      <w:r>
        <w:rPr>
          <w:rFonts w:ascii="宋体" w:hAnsi="宋体"/>
          <w:bCs/>
          <w:color w:val="auto"/>
          <w:sz w:val="24"/>
          <w:szCs w:val="24"/>
          <w:highlight w:val="none"/>
        </w:rPr>
        <w:t>：</w:t>
      </w:r>
    </w:p>
    <w:p>
      <w:pPr>
        <w:snapToGrid w:val="0"/>
        <w:spacing w:before="120" w:after="120" w:line="400" w:lineRule="exact"/>
        <w:rPr>
          <w:rFonts w:ascii="宋体" w:hAnsi="宋体"/>
          <w:bCs/>
          <w:color w:val="auto"/>
          <w:sz w:val="24"/>
          <w:szCs w:val="24"/>
          <w:highlight w:val="none"/>
        </w:rPr>
      </w:pPr>
      <w:r>
        <w:rPr>
          <w:rFonts w:ascii="宋体" w:hAnsi="宋体"/>
          <w:bCs/>
          <w:color w:val="auto"/>
          <w:sz w:val="24"/>
          <w:szCs w:val="24"/>
          <w:highlight w:val="none"/>
        </w:rPr>
        <w:t>2</w:t>
      </w:r>
      <w:r>
        <w:rPr>
          <w:rFonts w:hint="eastAsia" w:ascii="宋体" w:hAnsi="宋体"/>
          <w:bCs/>
          <w:color w:val="auto"/>
          <w:sz w:val="24"/>
          <w:szCs w:val="24"/>
          <w:highlight w:val="none"/>
        </w:rPr>
        <w:t>.</w:t>
      </w:r>
      <w:r>
        <w:rPr>
          <w:rFonts w:ascii="宋体" w:hAnsi="宋体"/>
          <w:bCs/>
          <w:color w:val="auto"/>
          <w:sz w:val="24"/>
          <w:szCs w:val="24"/>
          <w:highlight w:val="none"/>
        </w:rPr>
        <w:t xml:space="preserve"> </w:t>
      </w:r>
      <w:r>
        <w:rPr>
          <w:rFonts w:ascii="宋体" w:hAnsi="宋体"/>
          <w:color w:val="auto"/>
          <w:sz w:val="24"/>
          <w:szCs w:val="24"/>
          <w:highlight w:val="none"/>
        </w:rPr>
        <w:t>履行方式</w:t>
      </w:r>
      <w:r>
        <w:rPr>
          <w:rFonts w:ascii="宋体" w:hAnsi="宋体"/>
          <w:bCs/>
          <w:color w:val="auto"/>
          <w:sz w:val="24"/>
          <w:szCs w:val="24"/>
          <w:highlight w:val="none"/>
        </w:rPr>
        <w:t>：</w:t>
      </w:r>
    </w:p>
    <w:p>
      <w:pPr>
        <w:snapToGrid w:val="0"/>
        <w:spacing w:before="120" w:after="120" w:line="400" w:lineRule="exact"/>
        <w:rPr>
          <w:rFonts w:ascii="宋体" w:hAnsi="宋体"/>
          <w:color w:val="auto"/>
          <w:sz w:val="24"/>
          <w:szCs w:val="24"/>
          <w:highlight w:val="none"/>
        </w:rPr>
      </w:pPr>
      <w:r>
        <w:rPr>
          <w:rFonts w:ascii="宋体" w:hAnsi="宋体"/>
          <w:bCs/>
          <w:color w:val="auto"/>
          <w:sz w:val="24"/>
          <w:szCs w:val="24"/>
          <w:highlight w:val="none"/>
        </w:rPr>
        <w:t>3</w:t>
      </w:r>
      <w:r>
        <w:rPr>
          <w:rFonts w:hint="eastAsia" w:ascii="宋体" w:hAnsi="宋体"/>
          <w:bCs/>
          <w:color w:val="auto"/>
          <w:sz w:val="24"/>
          <w:szCs w:val="24"/>
          <w:highlight w:val="none"/>
        </w:rPr>
        <w:t>.</w:t>
      </w:r>
      <w:r>
        <w:rPr>
          <w:rFonts w:ascii="宋体" w:hAnsi="宋体"/>
          <w:bCs/>
          <w:color w:val="auto"/>
          <w:sz w:val="24"/>
          <w:szCs w:val="24"/>
          <w:highlight w:val="none"/>
        </w:rPr>
        <w:t xml:space="preserve"> </w:t>
      </w:r>
      <w:r>
        <w:rPr>
          <w:rFonts w:ascii="宋体" w:hAnsi="宋体"/>
          <w:color w:val="auto"/>
          <w:sz w:val="24"/>
          <w:szCs w:val="24"/>
          <w:highlight w:val="none"/>
        </w:rPr>
        <w:t>履行地点</w:t>
      </w:r>
      <w:r>
        <w:rPr>
          <w:rFonts w:ascii="宋体" w:hAnsi="宋体"/>
          <w:bCs/>
          <w:color w:val="auto"/>
          <w:sz w:val="24"/>
          <w:szCs w:val="24"/>
          <w:highlight w:val="none"/>
        </w:rPr>
        <w:t>：</w:t>
      </w:r>
    </w:p>
    <w:p>
      <w:pPr>
        <w:snapToGrid w:val="0"/>
        <w:spacing w:before="120" w:after="120" w:line="400" w:lineRule="exact"/>
        <w:rPr>
          <w:rFonts w:ascii="宋体" w:hAnsi="宋体"/>
          <w:b/>
          <w:color w:val="auto"/>
          <w:sz w:val="24"/>
          <w:szCs w:val="24"/>
          <w:highlight w:val="none"/>
        </w:rPr>
      </w:pPr>
      <w:r>
        <w:rPr>
          <w:rFonts w:hint="eastAsia" w:ascii="宋体" w:hAnsi="宋体"/>
          <w:b/>
          <w:color w:val="auto"/>
          <w:sz w:val="24"/>
          <w:szCs w:val="24"/>
          <w:highlight w:val="none"/>
        </w:rPr>
        <w:t>八</w:t>
      </w:r>
      <w:r>
        <w:rPr>
          <w:rFonts w:ascii="宋体" w:hAnsi="宋体"/>
          <w:b/>
          <w:color w:val="auto"/>
          <w:sz w:val="24"/>
          <w:szCs w:val="24"/>
          <w:highlight w:val="none"/>
        </w:rPr>
        <w:t>、付款方式</w:t>
      </w:r>
      <w:r>
        <w:rPr>
          <w:rFonts w:hint="eastAsia" w:ascii="宋体" w:hAnsi="宋体"/>
          <w:b/>
          <w:color w:val="auto"/>
          <w:sz w:val="24"/>
          <w:szCs w:val="24"/>
          <w:highlight w:val="none"/>
        </w:rPr>
        <w:t>：</w:t>
      </w:r>
    </w:p>
    <w:p>
      <w:pPr>
        <w:snapToGrid w:val="0"/>
        <w:spacing w:before="120" w:after="120" w:line="400" w:lineRule="exact"/>
        <w:rPr>
          <w:rFonts w:ascii="宋体" w:hAnsi="宋体"/>
          <w:b/>
          <w:color w:val="auto"/>
          <w:sz w:val="24"/>
          <w:szCs w:val="24"/>
          <w:highlight w:val="none"/>
        </w:rPr>
      </w:pPr>
      <w:r>
        <w:rPr>
          <w:rFonts w:hint="eastAsia" w:ascii="宋体" w:hAnsi="宋体"/>
          <w:b/>
          <w:color w:val="auto"/>
          <w:sz w:val="24"/>
          <w:szCs w:val="24"/>
          <w:highlight w:val="none"/>
        </w:rPr>
        <w:t>九、税费</w:t>
      </w:r>
    </w:p>
    <w:p>
      <w:pPr>
        <w:snapToGrid w:val="0"/>
        <w:spacing w:before="120" w:after="120" w:line="400" w:lineRule="exact"/>
        <w:rPr>
          <w:rFonts w:ascii="宋体" w:hAnsi="宋体"/>
          <w:color w:val="auto"/>
          <w:sz w:val="24"/>
          <w:szCs w:val="24"/>
          <w:highlight w:val="none"/>
        </w:rPr>
      </w:pPr>
      <w:r>
        <w:rPr>
          <w:rFonts w:hint="eastAsia" w:ascii="宋体" w:hAnsi="宋体"/>
          <w:color w:val="auto"/>
          <w:sz w:val="24"/>
          <w:szCs w:val="24"/>
          <w:highlight w:val="none"/>
        </w:rPr>
        <w:t>本合同执行中相关的一切税费均由</w:t>
      </w:r>
      <w:r>
        <w:rPr>
          <w:rFonts w:hAnsi="宋体"/>
          <w:color w:val="auto"/>
          <w:sz w:val="24"/>
          <w:szCs w:val="24"/>
          <w:highlight w:val="none"/>
        </w:rPr>
        <w:t>乙</w:t>
      </w:r>
      <w:r>
        <w:rPr>
          <w:rFonts w:hint="eastAsia" w:ascii="宋体" w:hAnsi="宋体"/>
          <w:color w:val="auto"/>
          <w:sz w:val="24"/>
          <w:szCs w:val="24"/>
          <w:highlight w:val="none"/>
        </w:rPr>
        <w:t>方负担。</w:t>
      </w:r>
    </w:p>
    <w:p>
      <w:pPr>
        <w:snapToGrid w:val="0"/>
        <w:spacing w:before="120" w:after="120" w:line="400" w:lineRule="exact"/>
        <w:ind w:left="410" w:hanging="410"/>
        <w:rPr>
          <w:rFonts w:ascii="宋体" w:hAnsi="宋体"/>
          <w:color w:val="auto"/>
          <w:sz w:val="24"/>
          <w:szCs w:val="24"/>
          <w:highlight w:val="none"/>
        </w:rPr>
      </w:pPr>
      <w:r>
        <w:rPr>
          <w:rFonts w:ascii="宋体" w:hAnsi="宋体"/>
          <w:b/>
          <w:color w:val="auto"/>
          <w:sz w:val="24"/>
          <w:szCs w:val="24"/>
          <w:highlight w:val="none"/>
        </w:rPr>
        <w:t>十、质量保证及后续服务</w:t>
      </w:r>
    </w:p>
    <w:p>
      <w:pPr>
        <w:snapToGrid w:val="0"/>
        <w:spacing w:before="120" w:after="120" w:line="400" w:lineRule="exact"/>
        <w:ind w:left="410" w:hanging="410"/>
        <w:rPr>
          <w:rFonts w:ascii="宋体" w:hAns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rPr>
        <w:t>．</w:t>
      </w:r>
      <w:r>
        <w:rPr>
          <w:rFonts w:ascii="宋体" w:hAnsi="宋体"/>
          <w:color w:val="auto"/>
          <w:sz w:val="24"/>
          <w:szCs w:val="24"/>
          <w:highlight w:val="none"/>
        </w:rPr>
        <w:t xml:space="preserve"> 乙方应按招标文件规定向甲方提供服务。</w:t>
      </w:r>
    </w:p>
    <w:p>
      <w:pPr>
        <w:snapToGrid w:val="0"/>
        <w:spacing w:before="120" w:after="120" w:line="400" w:lineRule="exact"/>
        <w:ind w:left="480" w:hanging="480"/>
        <w:rPr>
          <w:rFonts w:ascii="宋体" w:hAns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w:t>
      </w:r>
      <w:r>
        <w:rPr>
          <w:rFonts w:ascii="宋体" w:hAnsi="宋体"/>
          <w:color w:val="auto"/>
          <w:sz w:val="24"/>
          <w:szCs w:val="24"/>
          <w:highlight w:val="none"/>
        </w:rPr>
        <w:t xml:space="preserve"> 乙方提供的服务成果在服务质量保证期内发生故障，乙方应负责免费提供后续服务。对达不到要求者，根据实际情况，经双方协商，可按以下办法处理：</w:t>
      </w:r>
    </w:p>
    <w:p>
      <w:pPr>
        <w:snapToGrid w:val="0"/>
        <w:spacing w:before="120" w:after="120" w:line="400" w:lineRule="exact"/>
        <w:ind w:firstLine="420"/>
        <w:rPr>
          <w:rFonts w:ascii="宋体" w:hAnsi="宋体"/>
          <w:color w:val="auto"/>
          <w:sz w:val="24"/>
          <w:szCs w:val="24"/>
          <w:highlight w:val="none"/>
        </w:rPr>
      </w:pPr>
      <w:r>
        <w:rPr>
          <w:rFonts w:ascii="宋体" w:hAnsi="宋体"/>
          <w:color w:val="auto"/>
          <w:sz w:val="24"/>
          <w:szCs w:val="24"/>
          <w:highlight w:val="none"/>
        </w:rPr>
        <w:t>⑴重做：由乙方承担所发生的全部费用。</w:t>
      </w:r>
    </w:p>
    <w:p>
      <w:pPr>
        <w:snapToGrid w:val="0"/>
        <w:spacing w:before="120" w:after="120" w:line="400" w:lineRule="exact"/>
        <w:ind w:firstLine="420"/>
        <w:rPr>
          <w:rFonts w:ascii="宋体" w:hAnsi="宋体"/>
          <w:color w:val="auto"/>
          <w:sz w:val="24"/>
          <w:szCs w:val="24"/>
          <w:highlight w:val="none"/>
        </w:rPr>
      </w:pPr>
      <w:r>
        <w:rPr>
          <w:rFonts w:ascii="宋体" w:hAnsi="宋体"/>
          <w:color w:val="auto"/>
          <w:sz w:val="24"/>
          <w:szCs w:val="24"/>
          <w:highlight w:val="none"/>
        </w:rPr>
        <w:t>⑵贬值处理：由甲乙双方合议定价。</w:t>
      </w:r>
    </w:p>
    <w:p>
      <w:pPr>
        <w:snapToGrid w:val="0"/>
        <w:spacing w:before="120" w:after="120" w:line="400" w:lineRule="exact"/>
        <w:ind w:left="420" w:leftChars="200"/>
        <w:rPr>
          <w:rFonts w:ascii="宋体" w:hAnsi="宋体"/>
          <w:color w:val="auto"/>
          <w:sz w:val="24"/>
          <w:szCs w:val="24"/>
          <w:highlight w:val="none"/>
        </w:rPr>
      </w:pPr>
      <w:r>
        <w:rPr>
          <w:rFonts w:ascii="宋体" w:hAnsi="宋体"/>
          <w:color w:val="auto"/>
          <w:sz w:val="24"/>
          <w:szCs w:val="24"/>
          <w:highlight w:val="none"/>
        </w:rPr>
        <w:t>⑶解除合同。</w:t>
      </w:r>
    </w:p>
    <w:p>
      <w:pPr>
        <w:snapToGrid w:val="0"/>
        <w:spacing w:before="120" w:after="120" w:line="400" w:lineRule="exact"/>
        <w:rPr>
          <w:rFonts w:ascii="宋体" w:hAnsi="宋体"/>
          <w:color w:val="auto"/>
          <w:sz w:val="24"/>
          <w:szCs w:val="24"/>
          <w:highlight w:val="none"/>
        </w:rPr>
      </w:pPr>
      <w:r>
        <w:rPr>
          <w:rFonts w:ascii="宋体" w:hAnsi="宋体"/>
          <w:color w:val="auto"/>
          <w:sz w:val="24"/>
          <w:szCs w:val="24"/>
          <w:highlight w:val="none"/>
        </w:rPr>
        <w:t>3</w:t>
      </w:r>
      <w:r>
        <w:rPr>
          <w:rFonts w:hint="eastAsia" w:ascii="宋体" w:hAnsi="宋体"/>
          <w:color w:val="auto"/>
          <w:sz w:val="24"/>
          <w:szCs w:val="24"/>
          <w:highlight w:val="none"/>
        </w:rPr>
        <w:t>．</w:t>
      </w:r>
      <w:r>
        <w:rPr>
          <w:rFonts w:ascii="宋体" w:hAnsi="宋体"/>
          <w:color w:val="auto"/>
          <w:sz w:val="24"/>
          <w:szCs w:val="24"/>
          <w:highlight w:val="none"/>
        </w:rPr>
        <w:t>如在使用过程中发生问题，乙方在接到甲方通知后</w:t>
      </w:r>
      <w:r>
        <w:rPr>
          <w:rFonts w:hint="eastAsia" w:ascii="宋体" w:hAnsi="宋体"/>
          <w:color w:val="auto"/>
          <w:sz w:val="24"/>
          <w:szCs w:val="24"/>
          <w:highlight w:val="none"/>
          <w:u w:val="single"/>
          <w:lang w:val="en-US" w:eastAsia="zh-CN"/>
        </w:rPr>
        <w:t>48</w:t>
      </w:r>
      <w:r>
        <w:rPr>
          <w:rFonts w:ascii="宋体" w:hAnsi="宋体"/>
          <w:color w:val="auto"/>
          <w:sz w:val="24"/>
          <w:szCs w:val="24"/>
          <w:highlight w:val="none"/>
        </w:rPr>
        <w:t>小时内到达甲方现场。</w:t>
      </w:r>
    </w:p>
    <w:p>
      <w:pPr>
        <w:snapToGrid w:val="0"/>
        <w:spacing w:before="120" w:after="120" w:line="400" w:lineRule="exact"/>
        <w:rPr>
          <w:rFonts w:ascii="宋体" w:hAnsi="宋体"/>
          <w:color w:val="auto"/>
          <w:sz w:val="24"/>
          <w:szCs w:val="24"/>
          <w:highlight w:val="none"/>
        </w:rPr>
      </w:pPr>
      <w:r>
        <w:rPr>
          <w:rFonts w:ascii="宋体" w:hAnsi="宋体"/>
          <w:color w:val="auto"/>
          <w:sz w:val="24"/>
          <w:szCs w:val="24"/>
          <w:highlight w:val="none"/>
        </w:rPr>
        <w:t>4</w:t>
      </w:r>
      <w:r>
        <w:rPr>
          <w:rFonts w:hint="eastAsia" w:ascii="宋体" w:hAnsi="宋体"/>
          <w:color w:val="auto"/>
          <w:sz w:val="24"/>
          <w:szCs w:val="24"/>
          <w:highlight w:val="none"/>
        </w:rPr>
        <w:t>．</w:t>
      </w:r>
      <w:r>
        <w:rPr>
          <w:rFonts w:ascii="宋体" w:hAnsi="宋体"/>
          <w:color w:val="auto"/>
          <w:sz w:val="24"/>
          <w:szCs w:val="24"/>
          <w:highlight w:val="none"/>
        </w:rPr>
        <w:t>在服务质量保证期内，乙方应对出现的质量及安全问题负责处理解决并承担一切费用。</w:t>
      </w:r>
    </w:p>
    <w:p>
      <w:pPr>
        <w:snapToGrid w:val="0"/>
        <w:spacing w:before="120" w:after="120" w:line="400" w:lineRule="exact"/>
        <w:rPr>
          <w:rFonts w:ascii="宋体" w:hAnsi="宋体"/>
          <w:b/>
          <w:color w:val="auto"/>
          <w:sz w:val="24"/>
          <w:szCs w:val="24"/>
          <w:highlight w:val="none"/>
        </w:rPr>
      </w:pPr>
      <w:r>
        <w:rPr>
          <w:rFonts w:ascii="宋体" w:hAnsi="宋体"/>
          <w:b/>
          <w:color w:val="auto"/>
          <w:sz w:val="24"/>
          <w:szCs w:val="24"/>
          <w:highlight w:val="none"/>
        </w:rPr>
        <w:t>十</w:t>
      </w:r>
      <w:r>
        <w:rPr>
          <w:rFonts w:hint="eastAsia" w:ascii="宋体" w:hAnsi="宋体"/>
          <w:b/>
          <w:color w:val="auto"/>
          <w:sz w:val="24"/>
          <w:szCs w:val="24"/>
          <w:highlight w:val="none"/>
        </w:rPr>
        <w:t>一</w:t>
      </w:r>
      <w:r>
        <w:rPr>
          <w:rFonts w:ascii="宋体" w:hAnsi="宋体"/>
          <w:b/>
          <w:color w:val="auto"/>
          <w:sz w:val="24"/>
          <w:szCs w:val="24"/>
          <w:highlight w:val="none"/>
        </w:rPr>
        <w:t>、违约责任</w:t>
      </w:r>
    </w:p>
    <w:p>
      <w:pPr>
        <w:snapToGrid w:val="0"/>
        <w:spacing w:before="120" w:after="120" w:line="400" w:lineRule="exact"/>
        <w:ind w:left="410" w:hanging="410"/>
        <w:rPr>
          <w:rFonts w:ascii="宋体" w:hAns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rPr>
        <w:t>．</w:t>
      </w:r>
      <w:r>
        <w:rPr>
          <w:rFonts w:ascii="宋体" w:hAnsi="宋体"/>
          <w:color w:val="auto"/>
          <w:sz w:val="24"/>
          <w:szCs w:val="24"/>
          <w:highlight w:val="none"/>
        </w:rPr>
        <w:t>甲方无正当理由拒收接受服务的，甲方向乙方偿付合同款项百分之五作为违约金。</w:t>
      </w:r>
    </w:p>
    <w:p>
      <w:pPr>
        <w:snapToGrid w:val="0"/>
        <w:spacing w:before="120" w:after="120" w:line="400" w:lineRule="exact"/>
        <w:ind w:left="410" w:hanging="410"/>
        <w:rPr>
          <w:rFonts w:ascii="宋体" w:hAns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w:t>
      </w:r>
      <w:r>
        <w:rPr>
          <w:rFonts w:ascii="宋体" w:hAnsi="宋体"/>
          <w:color w:val="auto"/>
          <w:sz w:val="24"/>
          <w:szCs w:val="24"/>
          <w:highlight w:val="none"/>
        </w:rPr>
        <w:t>甲方无故逾期验收和办理款项支付手续的,甲方应按逾期付款总额每日万分之五向乙方支付违约金。</w:t>
      </w:r>
    </w:p>
    <w:p>
      <w:pPr>
        <w:snapToGrid w:val="0"/>
        <w:spacing w:before="120" w:after="120" w:line="400" w:lineRule="exact"/>
        <w:ind w:left="410" w:hanging="410"/>
        <w:rPr>
          <w:rFonts w:ascii="宋体" w:hAnsi="宋体"/>
          <w:color w:val="auto"/>
          <w:sz w:val="24"/>
          <w:szCs w:val="24"/>
          <w:highlight w:val="none"/>
        </w:rPr>
      </w:pPr>
      <w:r>
        <w:rPr>
          <w:rFonts w:ascii="宋体" w:hAnsi="宋体"/>
          <w:color w:val="auto"/>
          <w:sz w:val="24"/>
          <w:szCs w:val="24"/>
          <w:highlight w:val="none"/>
        </w:rPr>
        <w:t>3</w:t>
      </w:r>
      <w:r>
        <w:rPr>
          <w:rFonts w:hint="eastAsia" w:ascii="宋体" w:hAnsi="宋体"/>
          <w:color w:val="auto"/>
          <w:sz w:val="24"/>
          <w:szCs w:val="24"/>
          <w:highlight w:val="none"/>
        </w:rPr>
        <w:t>．</w:t>
      </w:r>
      <w:r>
        <w:rPr>
          <w:rFonts w:ascii="宋体" w:hAnsi="宋体"/>
          <w:color w:val="auto"/>
          <w:sz w:val="24"/>
          <w:szCs w:val="24"/>
          <w:highlight w:val="none"/>
        </w:rPr>
        <w:t xml:space="preserve"> 乙方</w:t>
      </w:r>
      <w:r>
        <w:rPr>
          <w:rFonts w:hint="eastAsia" w:ascii="宋体" w:hAnsi="宋体"/>
          <w:color w:val="auto"/>
          <w:sz w:val="24"/>
          <w:szCs w:val="24"/>
          <w:highlight w:val="none"/>
        </w:rPr>
        <w:t>未能如</w:t>
      </w:r>
      <w:r>
        <w:rPr>
          <w:rFonts w:ascii="宋体" w:hAnsi="宋体"/>
          <w:color w:val="auto"/>
          <w:sz w:val="24"/>
          <w:szCs w:val="24"/>
          <w:highlight w:val="none"/>
        </w:rPr>
        <w:t>期提供服务的，每日向甲方支付</w:t>
      </w:r>
      <w:r>
        <w:rPr>
          <w:rFonts w:hint="eastAsia" w:ascii="宋体" w:hAnsi="宋体"/>
          <w:color w:val="auto"/>
          <w:sz w:val="24"/>
          <w:szCs w:val="24"/>
          <w:highlight w:val="none"/>
        </w:rPr>
        <w:t>合同款项的</w:t>
      </w:r>
      <w:r>
        <w:rPr>
          <w:rFonts w:ascii="宋体" w:hAnsi="宋体"/>
          <w:color w:val="auto"/>
          <w:sz w:val="24"/>
          <w:szCs w:val="24"/>
          <w:highlight w:val="none"/>
        </w:rPr>
        <w:t>千分之六</w:t>
      </w:r>
      <w:r>
        <w:rPr>
          <w:rFonts w:hint="eastAsia" w:ascii="宋体" w:hAnsi="宋体"/>
          <w:color w:val="auto"/>
          <w:sz w:val="24"/>
          <w:szCs w:val="24"/>
          <w:highlight w:val="none"/>
        </w:rPr>
        <w:t>作为</w:t>
      </w:r>
      <w:r>
        <w:rPr>
          <w:rFonts w:ascii="宋体" w:hAnsi="宋体"/>
          <w:color w:val="auto"/>
          <w:sz w:val="24"/>
          <w:szCs w:val="24"/>
          <w:highlight w:val="none"/>
        </w:rPr>
        <w:t>违约金。乙方超过约定日期10个工作日</w:t>
      </w:r>
      <w:r>
        <w:rPr>
          <w:rFonts w:hint="eastAsia" w:ascii="宋体" w:hAnsi="宋体"/>
          <w:color w:val="auto"/>
          <w:sz w:val="24"/>
          <w:szCs w:val="24"/>
          <w:highlight w:val="none"/>
        </w:rPr>
        <w:t>仍</w:t>
      </w:r>
      <w:r>
        <w:rPr>
          <w:rFonts w:ascii="宋体" w:hAnsi="宋体"/>
          <w:color w:val="auto"/>
          <w:sz w:val="24"/>
          <w:szCs w:val="24"/>
          <w:highlight w:val="none"/>
        </w:rPr>
        <w:t>不能</w:t>
      </w:r>
      <w:r>
        <w:rPr>
          <w:rFonts w:hint="eastAsia" w:ascii="宋体" w:hAnsi="宋体"/>
          <w:color w:val="auto"/>
          <w:sz w:val="24"/>
          <w:szCs w:val="24"/>
          <w:highlight w:val="none"/>
        </w:rPr>
        <w:t>提供服务</w:t>
      </w:r>
      <w:r>
        <w:rPr>
          <w:rFonts w:ascii="宋体" w:hAnsi="宋体"/>
          <w:color w:val="auto"/>
          <w:sz w:val="24"/>
          <w:szCs w:val="24"/>
          <w:highlight w:val="none"/>
        </w:rPr>
        <w:t>的，甲方可解除本合同。乙方因</w:t>
      </w:r>
      <w:r>
        <w:rPr>
          <w:rFonts w:hint="eastAsia" w:ascii="宋体" w:hAnsi="宋体"/>
          <w:color w:val="auto"/>
          <w:sz w:val="24"/>
          <w:szCs w:val="24"/>
          <w:highlight w:val="none"/>
        </w:rPr>
        <w:t>未能如</w:t>
      </w:r>
      <w:r>
        <w:rPr>
          <w:rFonts w:ascii="宋体" w:hAnsi="宋体"/>
          <w:color w:val="auto"/>
          <w:sz w:val="24"/>
          <w:szCs w:val="24"/>
          <w:highlight w:val="none"/>
        </w:rPr>
        <w:t xml:space="preserve">期提供服务或因其他违约行为导致甲方解除合同的，乙方应向甲方支付合同总值5%的违约金，如造成甲方损失超过违约金的，超出部分由乙方继续承担赔偿责任。 </w:t>
      </w:r>
    </w:p>
    <w:p>
      <w:pPr>
        <w:snapToGrid w:val="0"/>
        <w:spacing w:before="120" w:after="120" w:line="400" w:lineRule="exact"/>
        <w:rPr>
          <w:rFonts w:ascii="宋体" w:hAnsi="宋体"/>
          <w:b/>
          <w:color w:val="auto"/>
          <w:sz w:val="24"/>
          <w:szCs w:val="24"/>
          <w:highlight w:val="none"/>
        </w:rPr>
      </w:pPr>
      <w:r>
        <w:rPr>
          <w:rFonts w:ascii="宋体" w:hAnsi="宋体"/>
          <w:b/>
          <w:color w:val="auto"/>
          <w:sz w:val="24"/>
          <w:szCs w:val="24"/>
          <w:highlight w:val="none"/>
        </w:rPr>
        <w:t>十</w:t>
      </w:r>
      <w:r>
        <w:rPr>
          <w:rFonts w:hint="eastAsia" w:ascii="宋体" w:hAnsi="宋体"/>
          <w:b/>
          <w:color w:val="auto"/>
          <w:sz w:val="24"/>
          <w:szCs w:val="24"/>
          <w:highlight w:val="none"/>
        </w:rPr>
        <w:t>二</w:t>
      </w:r>
      <w:r>
        <w:rPr>
          <w:rFonts w:ascii="宋体" w:hAnsi="宋体"/>
          <w:b/>
          <w:color w:val="auto"/>
          <w:sz w:val="24"/>
          <w:szCs w:val="24"/>
          <w:highlight w:val="none"/>
        </w:rPr>
        <w:t>、不可抗力事件处理</w:t>
      </w:r>
    </w:p>
    <w:p>
      <w:pPr>
        <w:snapToGrid w:val="0"/>
        <w:spacing w:before="120" w:after="120" w:line="400" w:lineRule="exact"/>
        <w:ind w:left="480" w:hanging="480"/>
        <w:rPr>
          <w:rFonts w:ascii="宋体" w:hAns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rPr>
        <w:t>．</w:t>
      </w:r>
      <w:r>
        <w:rPr>
          <w:rFonts w:ascii="宋体" w:hAnsi="宋体"/>
          <w:color w:val="auto"/>
          <w:sz w:val="24"/>
          <w:szCs w:val="24"/>
          <w:highlight w:val="none"/>
        </w:rPr>
        <w:t>在合同有效期内，任何一方因不可抗力事件导致不能履行合同，则合同履行期可延长，其延长期与不可抗力影响期相同。</w:t>
      </w:r>
    </w:p>
    <w:p>
      <w:pPr>
        <w:snapToGrid w:val="0"/>
        <w:spacing w:before="120" w:after="120" w:line="400" w:lineRule="exact"/>
        <w:rPr>
          <w:rFonts w:ascii="宋体" w:hAns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w:t>
      </w:r>
      <w:r>
        <w:rPr>
          <w:rFonts w:ascii="宋体" w:hAnsi="宋体"/>
          <w:color w:val="auto"/>
          <w:sz w:val="24"/>
          <w:szCs w:val="24"/>
          <w:highlight w:val="none"/>
        </w:rPr>
        <w:t>不可抗力事件发生后，应立即通知对方，并寄送有关权威机构出具的证明。</w:t>
      </w:r>
    </w:p>
    <w:p>
      <w:pPr>
        <w:snapToGrid w:val="0"/>
        <w:spacing w:before="120" w:after="120" w:line="400" w:lineRule="exact"/>
        <w:rPr>
          <w:rFonts w:ascii="宋体" w:hAnsi="宋体"/>
          <w:color w:val="auto"/>
          <w:sz w:val="24"/>
          <w:szCs w:val="24"/>
          <w:highlight w:val="none"/>
        </w:rPr>
      </w:pPr>
      <w:r>
        <w:rPr>
          <w:rFonts w:ascii="宋体" w:hAnsi="宋体"/>
          <w:color w:val="auto"/>
          <w:sz w:val="24"/>
          <w:szCs w:val="24"/>
          <w:highlight w:val="none"/>
        </w:rPr>
        <w:t>3</w:t>
      </w:r>
      <w:r>
        <w:rPr>
          <w:rFonts w:hint="eastAsia" w:ascii="宋体" w:hAnsi="宋体"/>
          <w:color w:val="auto"/>
          <w:sz w:val="24"/>
          <w:szCs w:val="24"/>
          <w:highlight w:val="none"/>
        </w:rPr>
        <w:t>．</w:t>
      </w:r>
      <w:r>
        <w:rPr>
          <w:rFonts w:ascii="宋体" w:hAnsi="宋体"/>
          <w:color w:val="auto"/>
          <w:sz w:val="24"/>
          <w:szCs w:val="24"/>
          <w:highlight w:val="none"/>
        </w:rPr>
        <w:t>不可抗力事件延续120天以上，双方应通过友好协商，确定是否继续履行合同。</w:t>
      </w:r>
    </w:p>
    <w:p>
      <w:pPr>
        <w:snapToGrid w:val="0"/>
        <w:spacing w:before="120" w:after="120" w:line="400" w:lineRule="exact"/>
        <w:rPr>
          <w:rFonts w:ascii="宋体" w:hAnsi="宋体"/>
          <w:b/>
          <w:color w:val="auto"/>
          <w:sz w:val="24"/>
          <w:szCs w:val="24"/>
          <w:highlight w:val="none"/>
        </w:rPr>
      </w:pPr>
      <w:r>
        <w:rPr>
          <w:rFonts w:ascii="宋体" w:hAnsi="宋体"/>
          <w:b/>
          <w:color w:val="auto"/>
          <w:sz w:val="24"/>
          <w:szCs w:val="24"/>
          <w:highlight w:val="none"/>
        </w:rPr>
        <w:t>十</w:t>
      </w:r>
      <w:r>
        <w:rPr>
          <w:rFonts w:hint="eastAsia" w:ascii="宋体" w:hAnsi="宋体"/>
          <w:b/>
          <w:color w:val="auto"/>
          <w:sz w:val="24"/>
          <w:szCs w:val="24"/>
          <w:highlight w:val="none"/>
        </w:rPr>
        <w:t>三</w:t>
      </w:r>
      <w:r>
        <w:rPr>
          <w:rFonts w:ascii="宋体" w:hAnsi="宋体"/>
          <w:b/>
          <w:color w:val="auto"/>
          <w:sz w:val="24"/>
          <w:szCs w:val="24"/>
          <w:highlight w:val="none"/>
        </w:rPr>
        <w:t>、诉讼</w:t>
      </w:r>
    </w:p>
    <w:p>
      <w:pPr>
        <w:snapToGrid w:val="0"/>
        <w:spacing w:before="120" w:after="120" w:line="400" w:lineRule="exact"/>
        <w:ind w:firstLine="120"/>
        <w:jc w:val="left"/>
        <w:rPr>
          <w:rFonts w:ascii="宋体" w:hAnsi="宋体"/>
          <w:color w:val="auto"/>
          <w:sz w:val="24"/>
          <w:szCs w:val="24"/>
          <w:highlight w:val="none"/>
        </w:rPr>
      </w:pPr>
      <w:r>
        <w:rPr>
          <w:rFonts w:ascii="宋体" w:hAnsi="宋体"/>
          <w:color w:val="auto"/>
          <w:sz w:val="24"/>
          <w:szCs w:val="24"/>
          <w:highlight w:val="none"/>
        </w:rPr>
        <w:t>双方在执行合同中所发生的一切争议，应通过协商解决。如协商不成，可向</w:t>
      </w:r>
      <w:r>
        <w:rPr>
          <w:rFonts w:hint="eastAsia" w:ascii="宋体" w:hAnsi="宋体"/>
          <w:color w:val="auto"/>
          <w:sz w:val="24"/>
          <w:szCs w:val="24"/>
          <w:highlight w:val="none"/>
        </w:rPr>
        <w:t>甲方所在</w:t>
      </w:r>
      <w:r>
        <w:rPr>
          <w:rFonts w:ascii="宋体" w:hAnsi="宋体"/>
          <w:color w:val="auto"/>
          <w:sz w:val="24"/>
          <w:szCs w:val="24"/>
          <w:highlight w:val="none"/>
        </w:rPr>
        <w:t>地法院起诉。</w:t>
      </w:r>
    </w:p>
    <w:p>
      <w:pPr>
        <w:snapToGrid w:val="0"/>
        <w:spacing w:before="120" w:after="120" w:line="400" w:lineRule="exact"/>
        <w:rPr>
          <w:rFonts w:ascii="宋体" w:hAnsi="宋体"/>
          <w:b/>
          <w:color w:val="auto"/>
          <w:sz w:val="24"/>
          <w:szCs w:val="24"/>
          <w:highlight w:val="none"/>
        </w:rPr>
      </w:pPr>
      <w:r>
        <w:rPr>
          <w:rFonts w:ascii="宋体" w:hAnsi="宋体"/>
          <w:b/>
          <w:color w:val="auto"/>
          <w:sz w:val="24"/>
          <w:szCs w:val="24"/>
          <w:highlight w:val="none"/>
        </w:rPr>
        <w:t>十</w:t>
      </w:r>
      <w:r>
        <w:rPr>
          <w:rFonts w:hint="eastAsia" w:ascii="宋体" w:hAnsi="宋体"/>
          <w:b/>
          <w:color w:val="auto"/>
          <w:sz w:val="24"/>
          <w:szCs w:val="24"/>
          <w:highlight w:val="none"/>
        </w:rPr>
        <w:t>四</w:t>
      </w:r>
      <w:r>
        <w:rPr>
          <w:rFonts w:ascii="宋体" w:hAnsi="宋体"/>
          <w:b/>
          <w:color w:val="auto"/>
          <w:sz w:val="24"/>
          <w:szCs w:val="24"/>
          <w:highlight w:val="none"/>
        </w:rPr>
        <w:t>、合同生效及其它</w:t>
      </w:r>
    </w:p>
    <w:p>
      <w:pPr>
        <w:snapToGrid w:val="0"/>
        <w:spacing w:before="120" w:after="120" w:line="400" w:lineRule="exact"/>
        <w:rPr>
          <w:rFonts w:ascii="宋体" w:hAns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rPr>
        <w:t>.</w:t>
      </w:r>
      <w:r>
        <w:rPr>
          <w:rFonts w:ascii="宋体" w:hAnsi="宋体"/>
          <w:color w:val="auto"/>
          <w:sz w:val="24"/>
          <w:szCs w:val="24"/>
          <w:highlight w:val="none"/>
        </w:rPr>
        <w:t xml:space="preserve"> 合同经</w:t>
      </w:r>
      <w:r>
        <w:rPr>
          <w:rFonts w:hint="eastAsia" w:ascii="宋体" w:hAnsi="宋体"/>
          <w:color w:val="auto"/>
          <w:sz w:val="24"/>
          <w:szCs w:val="24"/>
          <w:highlight w:val="none"/>
        </w:rPr>
        <w:t>三</w:t>
      </w:r>
      <w:r>
        <w:rPr>
          <w:rFonts w:ascii="宋体" w:hAnsi="宋体"/>
          <w:color w:val="auto"/>
          <w:sz w:val="24"/>
          <w:szCs w:val="24"/>
          <w:highlight w:val="none"/>
        </w:rPr>
        <w:t>方法定代表人或授权代表签字并加盖单位公章后</w:t>
      </w:r>
      <w:r>
        <w:rPr>
          <w:rFonts w:hint="eastAsia" w:ascii="宋体" w:hAnsi="宋体"/>
          <w:color w:val="auto"/>
          <w:sz w:val="24"/>
          <w:szCs w:val="24"/>
          <w:highlight w:val="none"/>
        </w:rPr>
        <w:t>，报</w:t>
      </w:r>
      <w:r>
        <w:rPr>
          <w:rFonts w:hint="eastAsia" w:ascii="宋体" w:hAnsi="宋体"/>
          <w:color w:val="auto"/>
          <w:sz w:val="24"/>
          <w:szCs w:val="24"/>
          <w:highlight w:val="none"/>
          <w:lang w:eastAsia="zh-CN"/>
        </w:rPr>
        <w:t>东阳市财政局</w:t>
      </w:r>
      <w:r>
        <w:rPr>
          <w:rFonts w:hint="eastAsia" w:ascii="宋体" w:hAnsi="宋体"/>
          <w:color w:val="auto"/>
          <w:sz w:val="24"/>
          <w:szCs w:val="24"/>
          <w:highlight w:val="none"/>
        </w:rPr>
        <w:t>采监科备案后</w:t>
      </w:r>
      <w:r>
        <w:rPr>
          <w:rFonts w:ascii="宋体" w:hAnsi="宋体"/>
          <w:color w:val="auto"/>
          <w:sz w:val="24"/>
          <w:szCs w:val="24"/>
          <w:highlight w:val="none"/>
        </w:rPr>
        <w:t>生效。</w:t>
      </w:r>
    </w:p>
    <w:p>
      <w:pPr>
        <w:snapToGrid w:val="0"/>
        <w:spacing w:before="120" w:after="120" w:line="400" w:lineRule="exact"/>
        <w:rPr>
          <w:rFonts w:ascii="宋体" w:hAns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w:t>
      </w:r>
      <w:r>
        <w:rPr>
          <w:rFonts w:ascii="宋体" w:hAnsi="宋体"/>
          <w:color w:val="auto"/>
          <w:sz w:val="24"/>
          <w:szCs w:val="24"/>
          <w:highlight w:val="none"/>
        </w:rPr>
        <w:t>合同执行中涉及采购资金和采购内容修改或补充的，须经财政部门审批，并签书面补充协议报政府采购监督管理部门备案，方可作为主合同不可分割的一部分。</w:t>
      </w:r>
    </w:p>
    <w:p>
      <w:pPr>
        <w:snapToGrid w:val="0"/>
        <w:spacing w:before="120" w:after="120" w:line="400" w:lineRule="exact"/>
        <w:rPr>
          <w:rFonts w:ascii="宋体" w:hAnsi="宋体"/>
          <w:color w:val="auto"/>
          <w:sz w:val="24"/>
          <w:szCs w:val="24"/>
          <w:highlight w:val="none"/>
        </w:rPr>
      </w:pPr>
      <w:r>
        <w:rPr>
          <w:rFonts w:ascii="宋体" w:hAnsi="宋体"/>
          <w:color w:val="auto"/>
          <w:sz w:val="24"/>
          <w:szCs w:val="24"/>
          <w:highlight w:val="none"/>
        </w:rPr>
        <w:t>3</w:t>
      </w:r>
      <w:r>
        <w:rPr>
          <w:rFonts w:hint="eastAsia" w:ascii="宋体" w:hAnsi="宋体"/>
          <w:color w:val="auto"/>
          <w:sz w:val="24"/>
          <w:szCs w:val="24"/>
          <w:highlight w:val="none"/>
        </w:rPr>
        <w:t>.</w:t>
      </w:r>
      <w:r>
        <w:rPr>
          <w:rFonts w:ascii="宋体" w:hAnsi="宋体"/>
          <w:color w:val="auto"/>
          <w:sz w:val="24"/>
          <w:szCs w:val="24"/>
          <w:highlight w:val="none"/>
        </w:rPr>
        <w:t>本合同未尽事宜，遵照</w:t>
      </w:r>
      <w:r>
        <w:rPr>
          <w:rFonts w:hint="eastAsia" w:ascii="宋体" w:hAnsi="宋体"/>
          <w:color w:val="auto"/>
          <w:sz w:val="24"/>
          <w:szCs w:val="24"/>
          <w:highlight w:val="none"/>
        </w:rPr>
        <w:t>《中华人民共和国民法典》</w:t>
      </w:r>
      <w:r>
        <w:rPr>
          <w:rFonts w:ascii="宋体" w:hAnsi="宋体"/>
          <w:color w:val="auto"/>
          <w:sz w:val="24"/>
          <w:szCs w:val="24"/>
          <w:highlight w:val="none"/>
        </w:rPr>
        <w:t>有关条文执行。</w:t>
      </w:r>
    </w:p>
    <w:p>
      <w:pPr>
        <w:spacing w:line="400" w:lineRule="exact"/>
        <w:rPr>
          <w:rFonts w:ascii="宋体" w:hAnsi="宋体"/>
          <w:color w:val="auto"/>
          <w:sz w:val="24"/>
          <w:szCs w:val="24"/>
          <w:highlight w:val="none"/>
        </w:rPr>
      </w:pPr>
      <w:r>
        <w:rPr>
          <w:rFonts w:hint="eastAsia" w:ascii="宋体" w:hAnsi="宋体"/>
          <w:color w:val="auto"/>
          <w:sz w:val="24"/>
          <w:szCs w:val="24"/>
          <w:highlight w:val="none"/>
        </w:rPr>
        <w:t>4.本合同一式六份，</w:t>
      </w:r>
      <w:r>
        <w:rPr>
          <w:rFonts w:hint="eastAsia" w:ascii="宋体" w:hAnsi="宋体"/>
          <w:color w:val="auto"/>
          <w:sz w:val="24"/>
          <w:szCs w:val="24"/>
          <w:highlight w:val="none"/>
          <w:lang w:eastAsia="zh-CN"/>
        </w:rPr>
        <w:t>东阳市财政局</w:t>
      </w:r>
      <w:r>
        <w:rPr>
          <w:rFonts w:hint="eastAsia" w:ascii="宋体" w:hAnsi="宋体"/>
          <w:color w:val="auto"/>
          <w:sz w:val="24"/>
          <w:szCs w:val="24"/>
          <w:highlight w:val="none"/>
        </w:rPr>
        <w:t>采监科、招标代理机构各执一份，甲、乙双方各执二份，其都具有同等法律效力。</w:t>
      </w:r>
    </w:p>
    <w:p>
      <w:pPr>
        <w:spacing w:line="400" w:lineRule="exact"/>
        <w:rPr>
          <w:rFonts w:ascii="宋体" w:hAnsi="宋体"/>
          <w:color w:val="auto"/>
          <w:sz w:val="24"/>
          <w:szCs w:val="24"/>
          <w:highlight w:val="none"/>
        </w:rPr>
      </w:pPr>
      <w:r>
        <w:rPr>
          <w:rFonts w:hint="eastAsia" w:ascii="宋体" w:hAnsi="宋体"/>
          <w:b/>
          <w:color w:val="auto"/>
          <w:sz w:val="24"/>
          <w:szCs w:val="24"/>
          <w:highlight w:val="none"/>
        </w:rPr>
        <w:t>5.后附政府采购廉洁承诺书。</w:t>
      </w:r>
    </w:p>
    <w:p>
      <w:pPr>
        <w:spacing w:before="120" w:after="120" w:line="400" w:lineRule="exact"/>
        <w:rPr>
          <w:rFonts w:hint="eastAsia" w:ascii="宋体" w:hAnsi="宋体"/>
          <w:b/>
          <w:bCs/>
          <w:color w:val="auto"/>
          <w:sz w:val="24"/>
          <w:szCs w:val="24"/>
          <w:highlight w:val="none"/>
        </w:rPr>
      </w:pPr>
    </w:p>
    <w:p>
      <w:pPr>
        <w:spacing w:before="120" w:after="120" w:line="400" w:lineRule="exact"/>
        <w:rPr>
          <w:rFonts w:ascii="宋体" w:hAnsi="宋体"/>
          <w:color w:val="auto"/>
          <w:sz w:val="24"/>
          <w:szCs w:val="24"/>
          <w:highlight w:val="none"/>
        </w:rPr>
      </w:pPr>
      <w:r>
        <w:rPr>
          <w:rFonts w:hint="eastAsia" w:ascii="宋体" w:hAnsi="宋体"/>
          <w:b/>
          <w:bCs/>
          <w:color w:val="auto"/>
          <w:sz w:val="24"/>
          <w:szCs w:val="24"/>
          <w:highlight w:val="none"/>
        </w:rPr>
        <w:t>甲方（盖公章）：                       乙方（盖公章）：</w:t>
      </w:r>
    </w:p>
    <w:p>
      <w:pPr>
        <w:snapToGrid w:val="0"/>
        <w:spacing w:before="120" w:after="120" w:line="400" w:lineRule="exact"/>
        <w:ind w:leftChars="-1" w:hanging="2"/>
        <w:rPr>
          <w:rFonts w:ascii="宋体" w:hAnsi="宋体"/>
          <w:color w:val="auto"/>
          <w:sz w:val="24"/>
          <w:szCs w:val="24"/>
          <w:highlight w:val="none"/>
        </w:rPr>
      </w:pPr>
      <w:r>
        <w:rPr>
          <w:rFonts w:hint="eastAsia" w:ascii="宋体" w:hAnsi="宋体"/>
          <w:color w:val="auto"/>
          <w:sz w:val="24"/>
          <w:szCs w:val="24"/>
          <w:highlight w:val="none"/>
        </w:rPr>
        <w:t>法定代表人或受委托人                 法定代表人或受委托人</w:t>
      </w:r>
    </w:p>
    <w:p>
      <w:pPr>
        <w:snapToGrid w:val="0"/>
        <w:spacing w:before="120" w:after="120" w:line="400" w:lineRule="exact"/>
        <w:ind w:left="1" w:leftChars="-28" w:hanging="60"/>
        <w:rPr>
          <w:rFonts w:ascii="宋体" w:hAnsi="宋体"/>
          <w:color w:val="auto"/>
          <w:sz w:val="24"/>
          <w:szCs w:val="24"/>
          <w:highlight w:val="none"/>
        </w:rPr>
      </w:pPr>
      <w:r>
        <w:rPr>
          <w:rFonts w:hint="eastAsia" w:ascii="宋体" w:hAnsi="宋体"/>
          <w:color w:val="auto"/>
          <w:sz w:val="24"/>
          <w:szCs w:val="24"/>
          <w:highlight w:val="none"/>
        </w:rPr>
        <w:t>（签字）                             （签字）</w:t>
      </w:r>
    </w:p>
    <w:p>
      <w:pPr>
        <w:snapToGrid w:val="0"/>
        <w:spacing w:before="120" w:after="120" w:line="400" w:lineRule="exact"/>
        <w:ind w:leftChars="-1" w:hanging="2"/>
        <w:rPr>
          <w:rFonts w:ascii="宋体" w:hAnsi="宋体"/>
          <w:color w:val="auto"/>
          <w:sz w:val="24"/>
          <w:szCs w:val="24"/>
          <w:highlight w:val="none"/>
        </w:rPr>
      </w:pPr>
      <w:r>
        <w:rPr>
          <w:rFonts w:hint="eastAsia" w:ascii="宋体" w:hAnsi="宋体"/>
          <w:color w:val="auto"/>
          <w:sz w:val="24"/>
          <w:szCs w:val="24"/>
          <w:highlight w:val="none"/>
        </w:rPr>
        <w:t xml:space="preserve">地址：                               地址： </w:t>
      </w:r>
    </w:p>
    <w:p>
      <w:pPr>
        <w:snapToGrid w:val="0"/>
        <w:spacing w:before="120" w:after="120" w:line="400" w:lineRule="exact"/>
        <w:ind w:leftChars="-1" w:hanging="2"/>
        <w:rPr>
          <w:rFonts w:ascii="宋体" w:hAnsi="宋体"/>
          <w:color w:val="auto"/>
          <w:sz w:val="24"/>
          <w:szCs w:val="24"/>
          <w:highlight w:val="none"/>
        </w:rPr>
      </w:pPr>
      <w:r>
        <w:rPr>
          <w:rFonts w:hint="eastAsia" w:ascii="宋体" w:hAnsi="宋体"/>
          <w:color w:val="auto"/>
          <w:sz w:val="24"/>
          <w:szCs w:val="24"/>
          <w:highlight w:val="none"/>
        </w:rPr>
        <w:t>邮编：                               邮编：</w:t>
      </w:r>
    </w:p>
    <w:p>
      <w:pPr>
        <w:snapToGrid w:val="0"/>
        <w:spacing w:before="120" w:after="120" w:line="400" w:lineRule="exact"/>
        <w:ind w:leftChars="-1" w:hanging="2"/>
        <w:rPr>
          <w:rFonts w:ascii="宋体" w:hAnsi="宋体"/>
          <w:color w:val="auto"/>
          <w:sz w:val="24"/>
          <w:szCs w:val="24"/>
          <w:highlight w:val="none"/>
        </w:rPr>
      </w:pPr>
      <w:r>
        <w:rPr>
          <w:rFonts w:hint="eastAsia" w:ascii="宋体" w:hAnsi="宋体"/>
          <w:color w:val="auto"/>
          <w:sz w:val="24"/>
          <w:szCs w:val="24"/>
          <w:highlight w:val="none"/>
        </w:rPr>
        <w:t>电话：                               电话：</w:t>
      </w:r>
    </w:p>
    <w:p>
      <w:pPr>
        <w:snapToGrid w:val="0"/>
        <w:spacing w:before="120" w:after="120" w:line="400" w:lineRule="exact"/>
        <w:ind w:leftChars="-1" w:hanging="2"/>
        <w:rPr>
          <w:rFonts w:ascii="宋体" w:hAnsi="宋体"/>
          <w:color w:val="auto"/>
          <w:sz w:val="24"/>
          <w:szCs w:val="24"/>
          <w:highlight w:val="none"/>
        </w:rPr>
      </w:pPr>
      <w:r>
        <w:rPr>
          <w:rFonts w:hint="eastAsia" w:ascii="宋体" w:hAnsi="宋体"/>
          <w:color w:val="auto"/>
          <w:sz w:val="24"/>
          <w:szCs w:val="24"/>
          <w:highlight w:val="none"/>
        </w:rPr>
        <w:t>传真：                               传真：</w:t>
      </w:r>
    </w:p>
    <w:p>
      <w:pPr>
        <w:snapToGrid w:val="0"/>
        <w:spacing w:before="120" w:after="120" w:line="400" w:lineRule="exact"/>
        <w:ind w:leftChars="-1" w:hanging="2"/>
        <w:rPr>
          <w:rFonts w:ascii="宋体" w:hAnsi="宋体"/>
          <w:color w:val="auto"/>
          <w:sz w:val="24"/>
          <w:szCs w:val="24"/>
          <w:highlight w:val="none"/>
        </w:rPr>
      </w:pPr>
      <w:r>
        <w:rPr>
          <w:rFonts w:hint="eastAsia" w:ascii="宋体" w:hAnsi="宋体"/>
          <w:color w:val="auto"/>
          <w:sz w:val="24"/>
          <w:szCs w:val="24"/>
          <w:highlight w:val="none"/>
        </w:rPr>
        <w:t>开户银行：                           开户银行：</w:t>
      </w:r>
    </w:p>
    <w:p>
      <w:pPr>
        <w:snapToGrid w:val="0"/>
        <w:spacing w:before="120" w:after="120" w:line="400" w:lineRule="exact"/>
        <w:ind w:leftChars="-1" w:hanging="2"/>
        <w:rPr>
          <w:rFonts w:ascii="宋体" w:hAnsi="宋体"/>
          <w:color w:val="auto"/>
          <w:sz w:val="24"/>
          <w:szCs w:val="24"/>
          <w:highlight w:val="none"/>
        </w:rPr>
      </w:pPr>
      <w:r>
        <w:rPr>
          <w:rFonts w:hint="eastAsia" w:ascii="宋体" w:hAnsi="宋体"/>
          <w:color w:val="auto"/>
          <w:sz w:val="24"/>
          <w:szCs w:val="24"/>
          <w:highlight w:val="none"/>
        </w:rPr>
        <w:t>帐号：                               帐号：</w:t>
      </w:r>
    </w:p>
    <w:p>
      <w:pPr>
        <w:snapToGrid w:val="0"/>
        <w:spacing w:before="156" w:after="156" w:line="400" w:lineRule="exact"/>
        <w:rPr>
          <w:rFonts w:hint="eastAsia" w:ascii="宋体" w:hAnsi="宋体"/>
          <w:color w:val="auto"/>
          <w:sz w:val="24"/>
          <w:szCs w:val="24"/>
          <w:highlight w:val="none"/>
        </w:rPr>
      </w:pPr>
    </w:p>
    <w:p>
      <w:pPr>
        <w:snapToGrid w:val="0"/>
        <w:spacing w:before="156" w:after="156" w:line="400" w:lineRule="exact"/>
        <w:rPr>
          <w:rFonts w:ascii="宋体" w:hAnsi="宋体"/>
          <w:color w:val="auto"/>
          <w:sz w:val="24"/>
          <w:szCs w:val="24"/>
          <w:highlight w:val="none"/>
        </w:rPr>
      </w:pPr>
      <w:r>
        <w:rPr>
          <w:rFonts w:hint="eastAsia" w:ascii="宋体" w:hAnsi="宋体"/>
          <w:color w:val="auto"/>
          <w:sz w:val="24"/>
          <w:szCs w:val="24"/>
          <w:highlight w:val="none"/>
        </w:rPr>
        <w:t>鉴证方:</w:t>
      </w:r>
    </w:p>
    <w:p>
      <w:pPr>
        <w:snapToGrid w:val="0"/>
        <w:spacing w:before="156" w:after="156" w:line="400" w:lineRule="exact"/>
        <w:rPr>
          <w:rFonts w:ascii="宋体" w:hAnsi="宋体"/>
          <w:color w:val="auto"/>
          <w:sz w:val="24"/>
          <w:szCs w:val="24"/>
          <w:highlight w:val="none"/>
        </w:rPr>
      </w:pPr>
      <w:r>
        <w:rPr>
          <w:rFonts w:hint="eastAsia" w:ascii="宋体" w:hAnsi="宋体"/>
          <w:color w:val="auto"/>
          <w:sz w:val="24"/>
          <w:szCs w:val="24"/>
          <w:highlight w:val="none"/>
        </w:rPr>
        <w:t>法定代表人或主要负责人:</w:t>
      </w:r>
    </w:p>
    <w:p>
      <w:pPr>
        <w:spacing w:line="400" w:lineRule="exact"/>
        <w:rPr>
          <w:rFonts w:ascii="宋体" w:hAnsi="宋体"/>
          <w:b/>
          <w:color w:val="auto"/>
          <w:sz w:val="24"/>
          <w:szCs w:val="24"/>
          <w:highlight w:val="none"/>
        </w:rPr>
      </w:pPr>
      <w:r>
        <w:rPr>
          <w:rFonts w:hint="eastAsia" w:ascii="宋体" w:hAnsi="宋体"/>
          <w:color w:val="auto"/>
          <w:sz w:val="24"/>
          <w:szCs w:val="24"/>
          <w:highlight w:val="none"/>
        </w:rPr>
        <w:t>签约地点：                            签约时间：</w:t>
      </w:r>
    </w:p>
    <w:p>
      <w:pPr>
        <w:spacing w:line="400" w:lineRule="exact"/>
        <w:rPr>
          <w:rFonts w:hint="eastAsia"/>
          <w:color w:val="auto"/>
          <w:sz w:val="24"/>
          <w:szCs w:val="24"/>
          <w:highlight w:val="none"/>
        </w:rPr>
      </w:pPr>
    </w:p>
    <w:p>
      <w:pPr>
        <w:rPr>
          <w:rFonts w:hint="eastAsia" w:ascii="宋体" w:hAnsi="宋体" w:cs="宋体"/>
          <w:color w:val="auto"/>
          <w:sz w:val="24"/>
          <w:szCs w:val="24"/>
          <w:highlight w:val="none"/>
        </w:rPr>
      </w:pPr>
    </w:p>
    <w:p>
      <w:pPr>
        <w:pStyle w:val="30"/>
        <w:rPr>
          <w:rFonts w:hint="eastAsia" w:ascii="宋体" w:hAnsi="宋体" w:cs="宋体"/>
          <w:color w:val="auto"/>
          <w:sz w:val="24"/>
          <w:szCs w:val="24"/>
          <w:highlight w:val="none"/>
        </w:rPr>
      </w:pPr>
    </w:p>
    <w:p>
      <w:pPr>
        <w:spacing w:line="420" w:lineRule="exact"/>
        <w:jc w:val="center"/>
        <w:rPr>
          <w:rFonts w:hint="eastAsia" w:ascii="宋体" w:hAnsi="宋体"/>
          <w:color w:val="auto"/>
          <w:sz w:val="24"/>
          <w:highlight w:val="none"/>
        </w:rPr>
      </w:pPr>
      <w:r>
        <w:rPr>
          <w:rFonts w:hint="eastAsia" w:ascii="宋体" w:hAnsi="宋体" w:cs="宋体"/>
          <w:b/>
          <w:color w:val="auto"/>
          <w:sz w:val="24"/>
          <w:highlight w:val="none"/>
        </w:rPr>
        <w:t>注：签订合同时，可以使用项目相关国家标准合同文本。</w:t>
      </w:r>
    </w:p>
    <w:p>
      <w:pPr>
        <w:pageBreakBefore/>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政府采购廉洁承诺书</w:t>
      </w: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（中标人须将此表附在合同后）</w:t>
      </w:r>
    </w:p>
    <w:p>
      <w:pPr>
        <w:spacing w:line="360" w:lineRule="auto"/>
        <w:jc w:val="center"/>
        <w:rPr>
          <w:rFonts w:hint="eastAsia" w:ascii="宋体" w:hAnsi="宋体" w:eastAsia="宋体" w:cs="宋体"/>
          <w:b/>
          <w:color w:val="auto"/>
          <w:sz w:val="24"/>
          <w:highlight w:val="non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                                     项目编号：</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中标人：</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为加强政府采购活动中的廉政建设，防止发生商业贿赂等违法违纪行为，保护国家、集体和当事人的合法权益，根据《中华人民共和国政府采购法》和党风廉政建设及反腐败工作有关规定，我方自愿签订本承诺书，并严格执行。</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第一条参与政府采购活动时，除具备采购文件规定的资格、资质要求外，我方还将严格遵守有关法律、法规、政策以及国家、地方关于廉政建设的各项规定。</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第二条遵循公开、公平、公正、诚实信用原则，不发生损害上述原则及各方当事人合法权益得不正当竞争行为。</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第三条与政府采购各方当事人保持正常的业务交往，不向采购人、采购代理机构、监督机构、评审专家、工作人员及其他参与采购活动的人员提供不正当利益。主要有：</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（一）向上述人员赠送礼金、有价证券、贵重物品及回扣、好处费、感谢费等。</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（二）为上述人员或单位报销应由对方支付的费用。</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（三）暗示为上述人员装修住房、婚丧嫁娶、配偶子女的工作安排以及出国（境）、旅游等提供方便。</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（四）为上述人员或单位提供可能影响采购活动开展的宴请、健身、娱乐等活动。</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第四条严格执行采购合同，自觉按合同办事；在合同执行过程中，不发生本承诺书第三条中所列不良行为。    </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第五条 发现采购活动各方当事人有违规、违纪、违法行为的，及时提醒对方，情节严重的，主动向其主管部门或纪检监察、司法等机关举报。</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第六条 自觉接受政府采购管理部门的监管。在采购活动中出现违反本承诺书规定行为的，自觉接受政府采购管理部门的处罚，因违法违规行为给其他当事人造成经济损失的，按规定予以赔偿。</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第七条 本承诺书自签署之日起生效。</w:t>
      </w:r>
    </w:p>
    <w:p>
      <w:pPr>
        <w:spacing w:line="360" w:lineRule="auto"/>
        <w:ind w:left="840" w:hanging="840" w:hangingChars="350"/>
        <w:jc w:val="center"/>
        <w:rPr>
          <w:rFonts w:hint="eastAsia" w:ascii="宋体" w:hAnsi="宋体" w:eastAsia="宋体" w:cs="宋体"/>
          <w:color w:val="auto"/>
          <w:sz w:val="24"/>
          <w:highlight w:val="none"/>
        </w:rPr>
      </w:pPr>
    </w:p>
    <w:p>
      <w:pPr>
        <w:spacing w:line="360" w:lineRule="auto"/>
        <w:ind w:left="840" w:hanging="840" w:hangingChars="35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投标人（盖章）：</w:t>
      </w:r>
    </w:p>
    <w:p>
      <w:pPr>
        <w:spacing w:line="360" w:lineRule="auto"/>
        <w:ind w:left="840" w:hanging="840" w:hangingChars="35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法定代表人：</w:t>
      </w:r>
    </w:p>
    <w:p>
      <w:pPr>
        <w:spacing w:line="360" w:lineRule="auto"/>
        <w:ind w:left="840" w:hanging="840" w:hangingChars="35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年    月   日</w:t>
      </w:r>
    </w:p>
    <w:p>
      <w:pPr>
        <w:spacing w:line="360" w:lineRule="auto"/>
        <w:ind w:left="840" w:hanging="840" w:hangingChars="350"/>
        <w:rPr>
          <w:rFonts w:hint="eastAsia" w:ascii="宋体" w:hAnsi="宋体" w:eastAsia="宋体" w:cs="宋体"/>
          <w:color w:val="auto"/>
          <w:sz w:val="24"/>
          <w:highlight w:val="none"/>
        </w:rPr>
      </w:pPr>
    </w:p>
    <w:p>
      <w:pPr>
        <w:pStyle w:val="3"/>
        <w:jc w:val="center"/>
        <w:rPr>
          <w:rFonts w:hint="eastAsia" w:ascii="宋体" w:hAnsi="宋体" w:eastAsia="宋体" w:cs="宋体"/>
          <w:color w:val="auto"/>
          <w:sz w:val="24"/>
          <w:szCs w:val="24"/>
          <w:highlight w:val="none"/>
        </w:rPr>
      </w:pPr>
      <w:bookmarkStart w:id="53" w:name="_Toc25782"/>
      <w:r>
        <w:rPr>
          <w:rFonts w:hint="eastAsia" w:ascii="宋体" w:hAnsi="宋体" w:eastAsia="宋体" w:cs="宋体"/>
          <w:color w:val="auto"/>
          <w:sz w:val="24"/>
          <w:szCs w:val="24"/>
          <w:highlight w:val="none"/>
        </w:rPr>
        <w:t>第六章　投标文件组成内容及格式</w:t>
      </w:r>
      <w:bookmarkEnd w:id="53"/>
    </w:p>
    <w:bookmarkEnd w:id="47"/>
    <w:bookmarkEnd w:id="48"/>
    <w:p>
      <w:pPr>
        <w:pStyle w:val="10"/>
        <w:spacing w:before="120" w:after="120" w:line="360" w:lineRule="auto"/>
        <w:rPr>
          <w:rFonts w:hint="eastAsia" w:ascii="宋体" w:hAnsi="宋体" w:eastAsia="宋体" w:cs="宋体"/>
          <w:color w:val="auto"/>
          <w:szCs w:val="24"/>
          <w:highlight w:val="none"/>
          <w:u w:val="single"/>
        </w:rPr>
      </w:pPr>
    </w:p>
    <w:p>
      <w:pPr>
        <w:bidi w:val="0"/>
        <w:jc w:val="center"/>
        <w:rPr>
          <w:rFonts w:hint="eastAsia"/>
          <w:color w:val="auto"/>
          <w:sz w:val="24"/>
          <w:szCs w:val="24"/>
          <w:highlight w:val="none"/>
          <w:lang w:val="en-US" w:eastAsia="zh-CN"/>
        </w:rPr>
      </w:pPr>
      <w:bookmarkStart w:id="54" w:name="_Toc405368940"/>
      <w:r>
        <w:rPr>
          <w:rFonts w:hint="eastAsia"/>
          <w:color w:val="auto"/>
          <w:sz w:val="24"/>
          <w:szCs w:val="24"/>
          <w:highlight w:val="none"/>
          <w:lang w:val="en-US" w:eastAsia="zh-CN"/>
        </w:rPr>
        <w:t>一、投标文件封面格式</w:t>
      </w:r>
      <w:bookmarkEnd w:id="54"/>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1.投标文件封面格式：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正本/或副本</w:t>
      </w: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资格审查文件、商务技术文件、报价文件（相应选择一个投标文件封面外包装名称）</w:t>
      </w:r>
    </w:p>
    <w:p>
      <w:pPr>
        <w:spacing w:line="480" w:lineRule="auto"/>
        <w:rPr>
          <w:rFonts w:hint="eastAsia" w:ascii="宋体" w:hAnsi="宋体" w:cs="宋体"/>
          <w:color w:val="auto"/>
          <w:sz w:val="24"/>
          <w:highlight w:val="none"/>
          <w:lang w:eastAsia="zh-CN"/>
        </w:rPr>
      </w:pPr>
      <w:r>
        <w:rPr>
          <w:rFonts w:hint="eastAsia" w:ascii="宋体" w:hAnsi="宋体" w:eastAsia="宋体" w:cs="宋体"/>
          <w:color w:val="auto"/>
          <w:sz w:val="24"/>
          <w:highlight w:val="none"/>
        </w:rPr>
        <w:t>项目名称：</w:t>
      </w:r>
      <w:r>
        <w:rPr>
          <w:rFonts w:hint="eastAsia" w:ascii="宋体" w:hAnsi="宋体" w:cs="宋体"/>
          <w:color w:val="auto"/>
          <w:sz w:val="24"/>
          <w:highlight w:val="none"/>
          <w:lang w:eastAsia="zh-CN"/>
        </w:rPr>
        <w:t>东阳市卫生健康局2022-2023年度城区除四害市场化运作项目</w:t>
      </w:r>
    </w:p>
    <w:p>
      <w:pPr>
        <w:spacing w:line="48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项目编号：</w:t>
      </w:r>
      <w:r>
        <w:rPr>
          <w:rFonts w:hint="eastAsia" w:ascii="宋体" w:hAnsi="宋体" w:cs="宋体"/>
          <w:color w:val="auto"/>
          <w:sz w:val="24"/>
          <w:highlight w:val="none"/>
          <w:lang w:eastAsia="zh-CN"/>
        </w:rPr>
        <w:t>XSZFCGDZ2022-207</w:t>
      </w:r>
    </w:p>
    <w:p>
      <w:pPr>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标项：</w:t>
      </w:r>
    </w:p>
    <w:p>
      <w:pPr>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w:t>
      </w:r>
    </w:p>
    <w:p>
      <w:pPr>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投标人地址：</w:t>
      </w:r>
    </w:p>
    <w:p>
      <w:pPr>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年   月   日</w:t>
      </w:r>
    </w:p>
    <w:p>
      <w:pPr>
        <w:spacing w:line="360" w:lineRule="auto"/>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color w:val="auto"/>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cs="宋体"/>
          <w:b/>
          <w:color w:val="auto"/>
          <w:sz w:val="24"/>
          <w:highlight w:val="none"/>
          <w:lang w:val="en-US" w:eastAsia="zh-CN"/>
        </w:rPr>
        <w:t>2</w:t>
      </w:r>
      <w:r>
        <w:rPr>
          <w:rFonts w:hint="eastAsia" w:ascii="宋体" w:hAnsi="宋体" w:eastAsia="宋体" w:cs="宋体"/>
          <w:b/>
          <w:color w:val="auto"/>
          <w:sz w:val="24"/>
          <w:highlight w:val="none"/>
        </w:rPr>
        <w:t>.资格审查文件：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（1）具有独立承担民事责任的能力：投标人须在投标文件中出具符合以下情况的证明材料复印件（五选一）：</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①如投标人是企业（包括合伙企业），提供在工商部门注册的有效“企业法人营业执照”或“营业执照”；</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②如投标人是事业单位，提供有效的“事业单位法人证书”；</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③如投标人是非企业专业服务机构的，提供执业许可证等证明文件；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④如投标人是个体工商户，提供有效的“个体工商户营业执照”；</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⑤如投标人是自然人，提供有效的自然人身份证明（居民身份证正反面或公安机关出具的临时居民身份证正反面或港澳台胞证或护照）。</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）法定代表人身份证复印件或法定代表人授权委托书(格式见附件)；</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w:t>
      </w:r>
      <w:r>
        <w:rPr>
          <w:rFonts w:hint="eastAsia" w:ascii="宋体" w:hAnsi="宋体" w:cs="宋体"/>
          <w:color w:val="auto"/>
          <w:sz w:val="24"/>
          <w:highlight w:val="none"/>
          <w:lang w:eastAsia="zh-CN"/>
        </w:rPr>
        <w:t>符合参加政府采购活动应当具备的一般条件的承诺函（格式见附件）；</w:t>
      </w:r>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浙江省病媒生物预防控制单位备案确认书复印件；</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信用记录网络查询页面截图（信用中国与中国政府采购网）；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）浙江政府采购网注册正式供应商的网络截图或承诺中标后30天内注册为浙江政府采购网正式供应商（须提供承诺书）；</w:t>
      </w:r>
    </w:p>
    <w:p>
      <w:pPr>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）东阳市政府采购代理机构社会评价表（格式见附件）；</w:t>
      </w:r>
    </w:p>
    <w:p>
      <w:pPr>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）投标声明书 (格式见附件) ；</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）政府采购活动现场确认声明书 (格式见附件) ；</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10</w:t>
      </w:r>
      <w:r>
        <w:rPr>
          <w:rFonts w:hint="eastAsia" w:ascii="宋体" w:hAnsi="宋体" w:cs="宋体"/>
          <w:color w:val="auto"/>
          <w:sz w:val="24"/>
          <w:highlight w:val="none"/>
          <w:lang w:eastAsia="zh-CN"/>
        </w:rPr>
        <w:t>）联合体协议书（联合体投标时提供）（格式见附件）；</w:t>
      </w:r>
    </w:p>
    <w:p>
      <w:pPr>
        <w:spacing w:line="360" w:lineRule="auto"/>
        <w:rPr>
          <w:rFonts w:ascii="宋体" w:hAnsi="宋体" w:cs="宋体"/>
          <w:b/>
          <w:bCs/>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）落实</w:t>
      </w:r>
      <w:r>
        <w:rPr>
          <w:rFonts w:hint="eastAsia" w:ascii="宋体" w:hAnsi="宋体" w:cs="宋体"/>
          <w:b/>
          <w:bCs/>
          <w:color w:val="auto"/>
          <w:sz w:val="24"/>
          <w:highlight w:val="none"/>
        </w:rPr>
        <w:t>政府采购政策需满足的资格：供应商为中小企业/小微企业，提供《中小企业声明函》（格式见附件）；</w:t>
      </w:r>
    </w:p>
    <w:p>
      <w:pPr>
        <w:spacing w:line="360" w:lineRule="auto"/>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）投标人情况介绍；</w:t>
      </w:r>
    </w:p>
    <w:p>
      <w:pPr>
        <w:spacing w:line="360" w:lineRule="auto"/>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）投标人认为有必要提供的其它文件。</w:t>
      </w:r>
    </w:p>
    <w:p>
      <w:pPr>
        <w:spacing w:line="360" w:lineRule="auto"/>
        <w:rPr>
          <w:rFonts w:hint="eastAsia" w:ascii="宋体" w:hAnsi="宋体" w:eastAsia="宋体" w:cs="宋体"/>
          <w:b/>
          <w:bCs/>
          <w:color w:val="auto"/>
          <w:sz w:val="24"/>
          <w:highlight w:val="none"/>
        </w:rPr>
      </w:pPr>
      <w:r>
        <w:rPr>
          <w:rFonts w:hint="eastAsia" w:ascii="宋体" w:hAnsi="宋体" w:cs="宋体"/>
          <w:b/>
          <w:bCs/>
          <w:color w:val="auto"/>
          <w:sz w:val="24"/>
          <w:highlight w:val="none"/>
          <w:lang w:val="en-US" w:eastAsia="zh-CN"/>
        </w:rPr>
        <w:t>3</w:t>
      </w:r>
      <w:r>
        <w:rPr>
          <w:rFonts w:hint="eastAsia" w:ascii="宋体" w:hAnsi="宋体" w:eastAsia="宋体" w:cs="宋体"/>
          <w:b/>
          <w:bCs/>
          <w:color w:val="auto"/>
          <w:sz w:val="24"/>
          <w:highlight w:val="none"/>
        </w:rPr>
        <w:t>.商务技术文件</w:t>
      </w:r>
    </w:p>
    <w:p>
      <w:pPr>
        <w:spacing w:line="360" w:lineRule="auto"/>
        <w:rPr>
          <w:rFonts w:ascii="宋体" w:hAnsi="宋体" w:cs="宋体"/>
          <w:color w:val="auto"/>
          <w:sz w:val="24"/>
          <w:highlight w:val="none"/>
        </w:rPr>
      </w:pPr>
      <w:r>
        <w:rPr>
          <w:rFonts w:hint="eastAsia" w:ascii="宋体" w:hAnsi="宋体" w:cs="宋体"/>
          <w:color w:val="auto"/>
          <w:sz w:val="24"/>
          <w:highlight w:val="none"/>
        </w:rPr>
        <w:t>（1）投标人资信商务、技术自评得分表（格式见附件）；</w:t>
      </w:r>
    </w:p>
    <w:p>
      <w:pPr>
        <w:spacing w:line="360" w:lineRule="auto"/>
        <w:rPr>
          <w:rFonts w:ascii="宋体" w:hAnsi="宋体" w:cs="宋体"/>
          <w:color w:val="auto"/>
          <w:sz w:val="24"/>
          <w:highlight w:val="none"/>
        </w:rPr>
      </w:pPr>
      <w:r>
        <w:rPr>
          <w:rFonts w:hint="eastAsia" w:ascii="宋体" w:hAnsi="宋体" w:cs="宋体"/>
          <w:color w:val="auto"/>
          <w:sz w:val="24"/>
          <w:highlight w:val="none"/>
        </w:rPr>
        <w:t>（2）商务响应表（格式见附件）；</w:t>
      </w:r>
    </w:p>
    <w:p>
      <w:pPr>
        <w:spacing w:line="360" w:lineRule="auto"/>
        <w:rPr>
          <w:rFonts w:ascii="宋体" w:hAnsi="宋体" w:cs="宋体"/>
          <w:color w:val="auto"/>
          <w:sz w:val="24"/>
          <w:highlight w:val="none"/>
        </w:rPr>
      </w:pPr>
      <w:r>
        <w:rPr>
          <w:rFonts w:hint="eastAsia" w:ascii="宋体" w:hAnsi="宋体" w:cs="宋体"/>
          <w:color w:val="auto"/>
          <w:sz w:val="24"/>
          <w:highlight w:val="none"/>
        </w:rPr>
        <w:t>（3）技术响应表（格式见附件）；</w:t>
      </w:r>
    </w:p>
    <w:p>
      <w:pPr>
        <w:spacing w:line="360" w:lineRule="auto"/>
        <w:rPr>
          <w:rFonts w:ascii="宋体" w:hAnsi="宋体" w:cs="宋体"/>
          <w:color w:val="auto"/>
          <w:sz w:val="24"/>
          <w:highlight w:val="none"/>
        </w:rPr>
      </w:pPr>
      <w:r>
        <w:rPr>
          <w:rFonts w:hint="eastAsia" w:ascii="宋体" w:hAnsi="宋体" w:cs="宋体"/>
          <w:color w:val="auto"/>
          <w:sz w:val="24"/>
          <w:highlight w:val="none"/>
        </w:rPr>
        <w:t>（4）公共外环境防制服务方案；</w:t>
      </w:r>
    </w:p>
    <w:p>
      <w:pPr>
        <w:spacing w:line="360" w:lineRule="auto"/>
        <w:rPr>
          <w:rFonts w:ascii="宋体" w:hAnsi="宋体" w:cs="宋体"/>
          <w:color w:val="auto"/>
          <w:sz w:val="24"/>
          <w:highlight w:val="none"/>
        </w:rPr>
      </w:pPr>
      <w:r>
        <w:rPr>
          <w:rFonts w:hint="eastAsia" w:ascii="宋体" w:hAnsi="宋体" w:cs="宋体"/>
          <w:color w:val="auto"/>
          <w:sz w:val="24"/>
          <w:highlight w:val="none"/>
        </w:rPr>
        <w:t>（5）重点场所防制服务方案；</w:t>
      </w:r>
    </w:p>
    <w:p>
      <w:pPr>
        <w:spacing w:line="360" w:lineRule="auto"/>
        <w:rPr>
          <w:rFonts w:ascii="宋体" w:hAnsi="宋体" w:cs="宋体"/>
          <w:color w:val="auto"/>
          <w:sz w:val="24"/>
          <w:highlight w:val="none"/>
        </w:rPr>
      </w:pPr>
      <w:r>
        <w:rPr>
          <w:rFonts w:hint="eastAsia" w:ascii="宋体" w:hAnsi="宋体" w:cs="宋体"/>
          <w:color w:val="auto"/>
          <w:sz w:val="24"/>
          <w:highlight w:val="none"/>
        </w:rPr>
        <w:t>（6）孳生地调查方案；</w:t>
      </w:r>
    </w:p>
    <w:p>
      <w:pPr>
        <w:spacing w:line="360" w:lineRule="auto"/>
        <w:rPr>
          <w:rFonts w:ascii="宋体" w:hAnsi="宋体" w:cs="宋体"/>
          <w:color w:val="auto"/>
          <w:sz w:val="24"/>
          <w:highlight w:val="none"/>
        </w:rPr>
      </w:pPr>
      <w:r>
        <w:rPr>
          <w:rFonts w:hint="eastAsia" w:ascii="宋体" w:hAnsi="宋体" w:cs="宋体"/>
          <w:color w:val="auto"/>
          <w:sz w:val="24"/>
          <w:highlight w:val="none"/>
        </w:rPr>
        <w:t>（7）消杀药物使用方案；</w:t>
      </w:r>
    </w:p>
    <w:p>
      <w:pPr>
        <w:spacing w:line="360" w:lineRule="auto"/>
        <w:rPr>
          <w:rFonts w:ascii="宋体" w:hAnsi="宋体" w:cs="宋体"/>
          <w:color w:val="auto"/>
          <w:sz w:val="24"/>
          <w:highlight w:val="none"/>
        </w:rPr>
      </w:pPr>
      <w:r>
        <w:rPr>
          <w:rFonts w:hint="eastAsia" w:ascii="宋体" w:hAnsi="宋体" w:cs="宋体"/>
          <w:color w:val="auto"/>
          <w:sz w:val="24"/>
          <w:highlight w:val="none"/>
        </w:rPr>
        <w:t>（8）应急方案；</w:t>
      </w:r>
    </w:p>
    <w:p>
      <w:pPr>
        <w:spacing w:line="360" w:lineRule="auto"/>
        <w:rPr>
          <w:rFonts w:ascii="宋体" w:hAnsi="宋体" w:cs="宋体"/>
          <w:color w:val="auto"/>
          <w:sz w:val="24"/>
          <w:highlight w:val="none"/>
        </w:rPr>
      </w:pPr>
      <w:r>
        <w:rPr>
          <w:rFonts w:hint="eastAsia" w:ascii="宋体" w:hAnsi="宋体" w:cs="宋体"/>
          <w:color w:val="auto"/>
          <w:sz w:val="24"/>
          <w:highlight w:val="none"/>
        </w:rPr>
        <w:t>（9）质量</w:t>
      </w:r>
      <w:r>
        <w:rPr>
          <w:rFonts w:hint="eastAsia" w:ascii="宋体" w:hAnsi="宋体" w:cs="宋体"/>
          <w:color w:val="auto"/>
          <w:sz w:val="24"/>
          <w:highlight w:val="none"/>
          <w:lang w:val="en-US" w:eastAsia="zh-CN"/>
        </w:rPr>
        <w:t>保证</w:t>
      </w: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（10）安全保障措施；</w:t>
      </w:r>
    </w:p>
    <w:p>
      <w:pPr>
        <w:spacing w:line="360" w:lineRule="auto"/>
        <w:rPr>
          <w:rFonts w:ascii="宋体" w:hAnsi="宋体" w:cs="宋体"/>
          <w:color w:val="auto"/>
          <w:sz w:val="24"/>
          <w:highlight w:val="none"/>
        </w:rPr>
      </w:pPr>
      <w:r>
        <w:rPr>
          <w:rFonts w:hint="eastAsia" w:ascii="宋体" w:hAnsi="宋体" w:cs="宋体"/>
          <w:color w:val="auto"/>
          <w:sz w:val="24"/>
          <w:highlight w:val="none"/>
        </w:rPr>
        <w:t>（11）人员配置；</w:t>
      </w:r>
    </w:p>
    <w:p>
      <w:pPr>
        <w:spacing w:line="360" w:lineRule="auto"/>
        <w:rPr>
          <w:rFonts w:ascii="宋体" w:hAnsi="宋体" w:cs="宋体"/>
          <w:color w:val="auto"/>
          <w:sz w:val="24"/>
          <w:highlight w:val="none"/>
        </w:rPr>
      </w:pPr>
      <w:r>
        <w:rPr>
          <w:rFonts w:hint="eastAsia" w:ascii="宋体" w:hAnsi="宋体" w:cs="宋体"/>
          <w:color w:val="auto"/>
          <w:sz w:val="24"/>
          <w:highlight w:val="none"/>
        </w:rPr>
        <w:t>（12）投入设备及专用检查工具；</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（13）拟投入工具及消耗材料情况</w:t>
      </w:r>
      <w:r>
        <w:rPr>
          <w:rFonts w:hint="eastAsia" w:ascii="宋体" w:hAnsi="宋体" w:cs="宋体"/>
          <w:color w:val="auto"/>
          <w:sz w:val="24"/>
          <w:highlight w:val="none"/>
          <w:lang w:eastAsia="zh-CN"/>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）投标人情况；</w:t>
      </w:r>
    </w:p>
    <w:p>
      <w:pPr>
        <w:spacing w:line="360" w:lineRule="auto"/>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）售后服务方案；</w:t>
      </w:r>
    </w:p>
    <w:p>
      <w:pPr>
        <w:spacing w:line="360" w:lineRule="auto"/>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）认证证书；</w:t>
      </w:r>
    </w:p>
    <w:p>
      <w:pPr>
        <w:spacing w:line="360" w:lineRule="auto"/>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）同类业绩；</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）优惠承诺；</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荣誉奖项</w:t>
      </w: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20</w:t>
      </w:r>
      <w:r>
        <w:rPr>
          <w:rFonts w:hint="eastAsia" w:ascii="宋体" w:hAnsi="宋体" w:cs="宋体"/>
          <w:color w:val="auto"/>
          <w:sz w:val="24"/>
          <w:highlight w:val="none"/>
        </w:rPr>
        <w:t>）服务费承诺书（格式见附件）；</w:t>
      </w:r>
    </w:p>
    <w:p>
      <w:pPr>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21</w:t>
      </w:r>
      <w:r>
        <w:rPr>
          <w:rFonts w:hint="eastAsia" w:ascii="宋体" w:hAnsi="宋体" w:cs="宋体"/>
          <w:color w:val="auto"/>
          <w:sz w:val="24"/>
          <w:highlight w:val="none"/>
        </w:rPr>
        <w:t>）投标人需要说明的其他文件和说明。</w:t>
      </w:r>
    </w:p>
    <w:p>
      <w:pPr>
        <w:numPr>
          <w:ilvl w:val="0"/>
          <w:numId w:val="9"/>
        </w:num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报价文件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（1）投标函（格式见附件）；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 xml:space="preserve">）开标一览表（格式见附件）； </w:t>
      </w:r>
    </w:p>
    <w:p>
      <w:pPr>
        <w:spacing w:line="360" w:lineRule="auto"/>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）投标人针对报价需要说明的其他文件和说明（格式自拟）。</w:t>
      </w:r>
    </w:p>
    <w:p>
      <w:pPr>
        <w:pStyle w:val="2"/>
        <w:keepNext w:val="0"/>
        <w:keepLines w:val="0"/>
        <w:pageBreakBefore/>
        <w:spacing w:line="360" w:lineRule="auto"/>
        <w:rPr>
          <w:rFonts w:hint="eastAsia" w:ascii="宋体" w:hAnsi="宋体" w:eastAsia="宋体" w:cs="宋体"/>
          <w:b w:val="0"/>
          <w:color w:val="auto"/>
          <w:sz w:val="24"/>
          <w:szCs w:val="24"/>
          <w:highlight w:val="none"/>
        </w:rPr>
      </w:pPr>
      <w:bookmarkStart w:id="55" w:name="_Toc30373"/>
      <w:r>
        <w:rPr>
          <w:rFonts w:hint="eastAsia" w:ascii="宋体" w:hAnsi="宋体" w:eastAsia="宋体" w:cs="宋体"/>
          <w:b w:val="0"/>
          <w:color w:val="auto"/>
          <w:sz w:val="24"/>
          <w:szCs w:val="24"/>
          <w:highlight w:val="none"/>
          <w:lang w:val="en-US" w:eastAsia="zh-CN"/>
        </w:rPr>
        <w:t>附</w:t>
      </w:r>
      <w:r>
        <w:rPr>
          <w:rFonts w:hint="eastAsia" w:ascii="宋体" w:hAnsi="宋体" w:eastAsia="宋体" w:cs="宋体"/>
          <w:b w:val="0"/>
          <w:color w:val="auto"/>
          <w:sz w:val="24"/>
          <w:szCs w:val="24"/>
          <w:highlight w:val="none"/>
        </w:rPr>
        <w:t>件一：投标声明书</w:t>
      </w:r>
      <w:bookmarkEnd w:id="55"/>
    </w:p>
    <w:p>
      <w:pPr>
        <w:snapToGrid w:val="0"/>
        <w:spacing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投标声明书</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（招标采购单位名称）：</w:t>
      </w:r>
    </w:p>
    <w:p>
      <w:pPr>
        <w:snapToGrid w:val="0"/>
        <w:spacing w:before="120" w:beforeLines="50" w:after="50" w:line="276" w:lineRule="auto"/>
        <w:ind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（投标人名称）系中华人民共和国合法企业，经营地址</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napToGrid w:val="0"/>
        <w:spacing w:before="120" w:beforeLines="50" w:after="50" w:line="276" w:lineRule="auto"/>
        <w:ind w:firstLine="645"/>
        <w:rPr>
          <w:rFonts w:hint="eastAsia" w:ascii="宋体" w:hAnsi="宋体" w:eastAsia="宋体" w:cs="宋体"/>
          <w:color w:val="auto"/>
          <w:sz w:val="24"/>
          <w:highlight w:val="none"/>
        </w:rPr>
      </w:pPr>
      <w:r>
        <w:rPr>
          <w:rFonts w:hint="eastAsia" w:ascii="宋体" w:hAnsi="宋体" w:eastAsia="宋体" w:cs="宋体"/>
          <w:color w:val="auto"/>
          <w:sz w:val="24"/>
          <w:highlight w:val="none"/>
        </w:rPr>
        <w:t>我</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（姓名）系</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（投标人名称）的法定代表人，我方愿意参加贵方组织的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项目的投标，为便于贵方公正、择优地确定中标人及其投标服务，我方就本次投标有关事项郑重声明如下：</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1.我方向贵方提交的所有投标文件、资料都是准确的和真实的。若有违背，我公司愿为由此而产生的一切后果负责。</w:t>
      </w:r>
    </w:p>
    <w:p>
      <w:pPr>
        <w:snapToGrid w:val="0"/>
        <w:spacing w:before="120" w:beforeLines="50" w:line="276"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2.我方不是采购人的附属机构；在获知本项目采购信息后，与采购人聘请的为此项目提供咨询服务的公司及其附属机构没有任何联系。</w:t>
      </w:r>
    </w:p>
    <w:p>
      <w:pPr>
        <w:snapToGrid w:val="0"/>
        <w:spacing w:before="120" w:beforeLines="50" w:line="276"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 我方诚意提请贵方关注：近期有</w:t>
      </w:r>
      <w:r>
        <w:rPr>
          <w:rFonts w:hint="eastAsia" w:ascii="宋体" w:hAnsi="宋体" w:eastAsia="宋体" w:cs="宋体"/>
          <w:color w:val="auto"/>
          <w:sz w:val="24"/>
          <w:highlight w:val="none"/>
          <w:u w:val="single"/>
        </w:rPr>
        <w:t xml:space="preserve">                   （采购内容）</w:t>
      </w:r>
      <w:r>
        <w:rPr>
          <w:rFonts w:hint="eastAsia" w:ascii="宋体" w:hAnsi="宋体" w:eastAsia="宋体" w:cs="宋体"/>
          <w:color w:val="auto"/>
          <w:sz w:val="24"/>
          <w:highlight w:val="none"/>
        </w:rPr>
        <w:t>等方面的重大决策和事项有：</w:t>
      </w:r>
    </w:p>
    <w:p>
      <w:pPr>
        <w:snapToGrid w:val="0"/>
        <w:spacing w:before="120" w:beforeLines="50" w:line="276"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　　　　　　　　　　　　　　　　　　　　　　　　　　　</w:t>
      </w:r>
    </w:p>
    <w:p>
      <w:pPr>
        <w:snapToGrid w:val="0"/>
        <w:spacing w:before="120" w:beforeLines="50" w:line="276"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　　　　　　　　　　　　　　　　　　　　　　　　　　　</w:t>
      </w:r>
    </w:p>
    <w:p>
      <w:pPr>
        <w:pStyle w:val="5"/>
        <w:snapToGrid w:val="0"/>
        <w:spacing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4.我方及由本人担任法定代表人的其他机构最近三年内被通报或者被处罚的违法行为有：</w:t>
      </w:r>
    </w:p>
    <w:p>
      <w:pPr>
        <w:snapToGrid w:val="0"/>
        <w:spacing w:before="120" w:beforeLines="50" w:line="276"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　　　　　　　　　　　　　　　　　　　　　　　　　　　</w:t>
      </w:r>
    </w:p>
    <w:p>
      <w:pPr>
        <w:snapToGrid w:val="0"/>
        <w:spacing w:before="120" w:beforeLines="50" w:line="276"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　　　　　　　　　　　　　　　　　　　　　　　　　　　</w:t>
      </w:r>
    </w:p>
    <w:p>
      <w:pPr>
        <w:snapToGrid w:val="0"/>
        <w:spacing w:line="276"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5.以上事项如有虚假或隐瞒，我方愿意承担一切后果，并不再寻求任何旨在减轻或免除法律责任的辩解。</w:t>
      </w:r>
    </w:p>
    <w:p>
      <w:pPr>
        <w:pStyle w:val="9"/>
        <w:tabs>
          <w:tab w:val="left" w:pos="939"/>
        </w:tabs>
        <w:snapToGrid w:val="0"/>
        <w:spacing w:line="276" w:lineRule="auto"/>
        <w:ind w:left="773" w:leftChars="150" w:hanging="458" w:hangingChars="191"/>
        <w:rPr>
          <w:rFonts w:hint="eastAsia" w:ascii="宋体" w:hAnsi="宋体" w:eastAsia="宋体" w:cs="宋体"/>
          <w:color w:val="auto"/>
          <w:sz w:val="24"/>
          <w:highlight w:val="none"/>
        </w:rPr>
      </w:pPr>
    </w:p>
    <w:p>
      <w:pPr>
        <w:pStyle w:val="33"/>
        <w:snapToGrid w:val="0"/>
        <w:spacing w:before="120" w:beforeLines="50" w:line="276" w:lineRule="auto"/>
        <w:ind w:firstLine="200"/>
        <w:rPr>
          <w:rFonts w:hint="eastAsia" w:ascii="宋体" w:hAnsi="宋体" w:eastAsia="宋体" w:cs="宋体"/>
          <w:color w:val="auto"/>
          <w:szCs w:val="24"/>
          <w:highlight w:val="none"/>
        </w:rPr>
      </w:pPr>
    </w:p>
    <w:p>
      <w:pPr>
        <w:snapToGrid w:val="0"/>
        <w:spacing w:before="120" w:beforeLines="50" w:line="276" w:lineRule="auto"/>
        <w:ind w:firstLine="319" w:firstLineChars="133"/>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法定代表人或委托代理人签字：</w:t>
      </w:r>
      <w:r>
        <w:rPr>
          <w:rFonts w:hint="eastAsia" w:ascii="宋体" w:hAnsi="宋体" w:eastAsia="宋体" w:cs="宋体"/>
          <w:color w:val="auto"/>
          <w:sz w:val="24"/>
          <w:highlight w:val="none"/>
          <w:u w:val="single"/>
        </w:rPr>
        <w:t xml:space="preserve">             </w:t>
      </w:r>
    </w:p>
    <w:p>
      <w:pPr>
        <w:snapToGrid w:val="0"/>
        <w:spacing w:before="120" w:beforeLines="50" w:after="50" w:line="276"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投标人公章：</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p>
    <w:p>
      <w:pPr>
        <w:snapToGrid w:val="0"/>
        <w:spacing w:before="120" w:beforeLines="50" w:after="50" w:line="276" w:lineRule="auto"/>
        <w:ind w:firstLine="6240" w:firstLineChars="2600"/>
        <w:rPr>
          <w:rFonts w:hint="eastAsia" w:ascii="宋体" w:hAnsi="宋体" w:eastAsia="宋体" w:cs="宋体"/>
          <w:color w:val="auto"/>
          <w:sz w:val="24"/>
          <w:highlight w:val="none"/>
        </w:rPr>
      </w:pPr>
      <w:r>
        <w:rPr>
          <w:rFonts w:hint="eastAsia" w:ascii="宋体" w:hAnsi="宋体" w:eastAsia="宋体" w:cs="宋体"/>
          <w:color w:val="auto"/>
          <w:sz w:val="24"/>
          <w:highlight w:val="none"/>
        </w:rPr>
        <w:t>年    月    日</w:t>
      </w:r>
    </w:p>
    <w:p>
      <w:pPr>
        <w:snapToGrid w:val="0"/>
        <w:spacing w:before="120" w:beforeLines="50" w:after="50" w:line="276" w:lineRule="auto"/>
        <w:ind w:firstLine="6240" w:firstLineChars="2600"/>
        <w:rPr>
          <w:rFonts w:hint="eastAsia" w:ascii="宋体" w:hAnsi="宋体" w:eastAsia="宋体" w:cs="宋体"/>
          <w:color w:val="auto"/>
          <w:sz w:val="24"/>
          <w:highlight w:val="none"/>
        </w:rPr>
      </w:pPr>
    </w:p>
    <w:p>
      <w:pPr>
        <w:snapToGrid w:val="0"/>
        <w:spacing w:before="120" w:beforeLines="50" w:after="50" w:line="276" w:lineRule="auto"/>
        <w:ind w:firstLine="6240" w:firstLineChars="2600"/>
        <w:rPr>
          <w:rFonts w:hint="eastAsia" w:ascii="宋体" w:hAnsi="宋体" w:eastAsia="宋体" w:cs="宋体"/>
          <w:color w:val="auto"/>
          <w:sz w:val="24"/>
          <w:highlight w:val="none"/>
        </w:rPr>
      </w:pPr>
    </w:p>
    <w:p>
      <w:pPr>
        <w:snapToGrid w:val="0"/>
        <w:spacing w:before="120" w:beforeLines="50" w:after="50" w:line="276" w:lineRule="auto"/>
        <w:rPr>
          <w:rFonts w:hint="eastAsia" w:ascii="宋体" w:hAnsi="宋体" w:eastAsia="宋体" w:cs="宋体"/>
          <w:color w:val="auto"/>
          <w:sz w:val="24"/>
          <w:highlight w:val="none"/>
        </w:rPr>
      </w:pPr>
    </w:p>
    <w:p>
      <w:pPr>
        <w:pStyle w:val="2"/>
        <w:keepNext w:val="0"/>
        <w:keepLines w:val="0"/>
        <w:pageBreakBefore/>
        <w:spacing w:line="360" w:lineRule="auto"/>
        <w:rPr>
          <w:rFonts w:hint="eastAsia" w:ascii="宋体" w:hAnsi="宋体" w:eastAsia="宋体" w:cs="宋体"/>
          <w:b w:val="0"/>
          <w:bCs w:val="0"/>
          <w:color w:val="auto"/>
          <w:sz w:val="24"/>
          <w:szCs w:val="24"/>
          <w:highlight w:val="none"/>
          <w:lang w:eastAsia="zh-CN"/>
        </w:rPr>
      </w:pPr>
      <w:bookmarkStart w:id="56" w:name="_Toc24340"/>
      <w:bookmarkStart w:id="57" w:name="_Toc30843"/>
      <w:bookmarkStart w:id="58" w:name="_Toc23315"/>
      <w:bookmarkStart w:id="59" w:name="_Toc17026"/>
      <w:bookmarkStart w:id="60" w:name="_Toc10320"/>
      <w:r>
        <w:rPr>
          <w:rFonts w:hint="eastAsia" w:ascii="宋体" w:hAnsi="宋体" w:eastAsia="宋体" w:cs="宋体"/>
          <w:b w:val="0"/>
          <w:bCs w:val="0"/>
          <w:color w:val="auto"/>
          <w:sz w:val="24"/>
          <w:szCs w:val="24"/>
          <w:highlight w:val="none"/>
        </w:rPr>
        <w:t>附件二：</w:t>
      </w:r>
      <w:bookmarkEnd w:id="56"/>
      <w:bookmarkEnd w:id="57"/>
      <w:r>
        <w:rPr>
          <w:rFonts w:hint="eastAsia" w:ascii="宋体" w:hAnsi="宋体" w:eastAsia="宋体" w:cs="宋体"/>
          <w:b w:val="0"/>
          <w:bCs w:val="0"/>
          <w:color w:val="auto"/>
          <w:sz w:val="24"/>
          <w:szCs w:val="24"/>
          <w:highlight w:val="none"/>
          <w:lang w:val="en-US" w:eastAsia="zh-CN"/>
        </w:rPr>
        <w:t>符合参加政府采购活动应当具备的一般条件的承诺函</w:t>
      </w:r>
      <w:bookmarkEnd w:id="58"/>
      <w:bookmarkEnd w:id="59"/>
    </w:p>
    <w:p>
      <w:pPr>
        <w:pStyle w:val="18"/>
        <w:keepNext w:val="0"/>
        <w:keepLines w:val="0"/>
        <w:widowControl/>
        <w:suppressLineNumbers w:val="0"/>
        <w:spacing w:before="100" w:beforeAutospacing="0" w:after="100" w:afterAutospacing="0" w:line="360" w:lineRule="auto"/>
        <w:ind w:left="0" w:right="0"/>
        <w:jc w:val="center"/>
        <w:rPr>
          <w:rFonts w:hint="eastAsia" w:ascii="宋体" w:hAnsi="宋体" w:eastAsia="宋体" w:cs="宋体"/>
          <w:color w:val="auto"/>
          <w:highlight w:val="none"/>
        </w:rPr>
      </w:pPr>
      <w:r>
        <w:rPr>
          <w:rFonts w:hint="eastAsia" w:ascii="宋体" w:hAnsi="宋体" w:eastAsia="宋体" w:cs="宋体"/>
          <w:b/>
          <w:bCs/>
          <w:i w:val="0"/>
          <w:iCs w:val="0"/>
          <w:color w:val="auto"/>
          <w:spacing w:val="0"/>
          <w:w w:val="100"/>
          <w:sz w:val="27"/>
          <w:szCs w:val="27"/>
          <w:highlight w:val="none"/>
          <w:vertAlign w:val="baseline"/>
        </w:rPr>
        <w:t>符合参加政府采购活动应当具备的一般条件的承诺函</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（招标采购单位名称）：</w:t>
      </w:r>
    </w:p>
    <w:p>
      <w:pPr>
        <w:pStyle w:val="18"/>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我方参与</w:t>
      </w:r>
      <w:r>
        <w:rPr>
          <w:rFonts w:hint="eastAsia" w:ascii="宋体" w:hAnsi="宋体" w:eastAsia="宋体" w:cs="宋体"/>
          <w:color w:val="auto"/>
          <w:sz w:val="24"/>
          <w:highlight w:val="none"/>
          <w:u w:val="single"/>
        </w:rPr>
        <w:t xml:space="preserve">            </w:t>
      </w:r>
      <w:r>
        <w:rPr>
          <w:rFonts w:hint="eastAsia" w:cs="宋体"/>
          <w:color w:val="auto"/>
          <w:sz w:val="24"/>
          <w:highlight w:val="none"/>
          <w:u w:val="single"/>
          <w:lang w:val="en-US" w:eastAsia="zh-CN"/>
        </w:rPr>
        <w:t xml:space="preserve">  </w:t>
      </w:r>
      <w:r>
        <w:rPr>
          <w:rFonts w:hint="eastAsia" w:ascii="宋体" w:hAnsi="宋体" w:eastAsia="宋体" w:cs="宋体"/>
          <w:b w:val="0"/>
          <w:bCs w:val="0"/>
          <w:color w:val="auto"/>
          <w:kern w:val="2"/>
          <w:sz w:val="24"/>
          <w:szCs w:val="24"/>
          <w:highlight w:val="none"/>
          <w:lang w:val="en-US" w:eastAsia="zh-CN" w:bidi="ar-SA"/>
        </w:rPr>
        <w:t>项目【项目编号：</w:t>
      </w:r>
      <w:r>
        <w:rPr>
          <w:rFonts w:hint="eastAsia" w:ascii="宋体" w:hAnsi="宋体" w:eastAsia="宋体" w:cs="宋体"/>
          <w:color w:val="auto"/>
          <w:sz w:val="24"/>
          <w:highlight w:val="none"/>
          <w:u w:val="single"/>
        </w:rPr>
        <w:t xml:space="preserve">            </w:t>
      </w:r>
      <w:r>
        <w:rPr>
          <w:rFonts w:hint="eastAsia" w:cs="宋体"/>
          <w:color w:val="auto"/>
          <w:sz w:val="24"/>
          <w:highlight w:val="none"/>
          <w:u w:val="single"/>
          <w:lang w:val="en-US" w:eastAsia="zh-CN"/>
        </w:rPr>
        <w:t xml:space="preserve"> </w:t>
      </w:r>
      <w:r>
        <w:rPr>
          <w:rFonts w:hint="eastAsia" w:ascii="宋体" w:hAnsi="宋体" w:eastAsia="宋体" w:cs="宋体"/>
          <w:b w:val="0"/>
          <w:bCs w:val="0"/>
          <w:color w:val="auto"/>
          <w:kern w:val="2"/>
          <w:sz w:val="24"/>
          <w:szCs w:val="24"/>
          <w:highlight w:val="none"/>
          <w:lang w:val="en-US" w:eastAsia="zh-CN" w:bidi="ar-SA"/>
        </w:rPr>
        <w:t>】政府采购活动，郑重承诺：</w:t>
      </w:r>
    </w:p>
    <w:p>
      <w:pPr>
        <w:pStyle w:val="18"/>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（一）具备《中华人民共和国政府采购法》第二十二条第一款规定的条件：</w:t>
      </w:r>
    </w:p>
    <w:p>
      <w:pPr>
        <w:pStyle w:val="18"/>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1、具有独立承担民事责任的能力；</w:t>
      </w:r>
    </w:p>
    <w:p>
      <w:pPr>
        <w:pStyle w:val="18"/>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 xml:space="preserve">2、具有良好的商业信誉和健全的财务会计制度； </w:t>
      </w:r>
    </w:p>
    <w:p>
      <w:pPr>
        <w:pStyle w:val="18"/>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3、具有履行合同所必需的设备和专业技术能力；</w:t>
      </w:r>
    </w:p>
    <w:p>
      <w:pPr>
        <w:pStyle w:val="18"/>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4、有依法缴纳税收和社会保障资金的良好记录；</w:t>
      </w:r>
    </w:p>
    <w:p>
      <w:pPr>
        <w:pStyle w:val="18"/>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5、参加政府采购活动前三年内，在经营活动中没有重大违法记录；</w:t>
      </w:r>
    </w:p>
    <w:p>
      <w:pPr>
        <w:pStyle w:val="18"/>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6、具有法律、行政法规规定的其他条件。</w:t>
      </w:r>
    </w:p>
    <w:p>
      <w:pPr>
        <w:pStyle w:val="18"/>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（二）未被信用中国（www.creditchina.gov.cn)、中国政府采购网（www.ccgp.gov.cn）列入失信被执行人、重大税收违法案件当事人名单、政府采购严重违法失信行为记录名单。</w:t>
      </w:r>
    </w:p>
    <w:p>
      <w:pPr>
        <w:pStyle w:val="18"/>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（三）不存在以下情况：</w:t>
      </w:r>
    </w:p>
    <w:p>
      <w:pPr>
        <w:pStyle w:val="18"/>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1、单位负责人为同一人或者存在直接控股、管理关系的不同供应商参加同一合同项下的政府采购活动的；</w:t>
      </w:r>
    </w:p>
    <w:p>
      <w:pPr>
        <w:pStyle w:val="18"/>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2、为采购项目提供整体设计、规范编制或者项目管理、监理、检测等服务后再参加该采购项目的其他采购活动的。</w:t>
      </w:r>
    </w:p>
    <w:p>
      <w:pPr>
        <w:pStyle w:val="18"/>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auto"/>
          <w:kern w:val="2"/>
          <w:sz w:val="24"/>
          <w:szCs w:val="24"/>
          <w:highlight w:val="none"/>
          <w:lang w:val="en-US" w:eastAsia="zh-CN" w:bidi="ar-SA"/>
        </w:rPr>
      </w:pPr>
    </w:p>
    <w:p>
      <w:pPr>
        <w:pStyle w:val="18"/>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auto"/>
          <w:kern w:val="2"/>
          <w:sz w:val="24"/>
          <w:szCs w:val="24"/>
          <w:highlight w:val="none"/>
          <w:lang w:val="en-US" w:eastAsia="zh-CN" w:bidi="ar-SA"/>
        </w:rPr>
      </w:pPr>
    </w:p>
    <w:p>
      <w:pPr>
        <w:pStyle w:val="18"/>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auto"/>
          <w:kern w:val="2"/>
          <w:sz w:val="24"/>
          <w:szCs w:val="24"/>
          <w:highlight w:val="none"/>
          <w:lang w:val="en-US" w:eastAsia="zh-CN" w:bidi="ar-SA"/>
        </w:rPr>
      </w:pPr>
    </w:p>
    <w:p>
      <w:pPr>
        <w:snapToGrid w:val="0"/>
        <w:spacing w:before="50" w:after="50"/>
        <w:rPr>
          <w:rFonts w:ascii="宋体" w:hAnsi="宋体" w:cs="宋体"/>
          <w:color w:val="auto"/>
          <w:spacing w:val="20"/>
          <w:sz w:val="24"/>
          <w:highlight w:val="none"/>
          <w:u w:val="single"/>
        </w:rPr>
      </w:pPr>
      <w:r>
        <w:rPr>
          <w:rFonts w:hint="eastAsia" w:ascii="宋体" w:hAnsi="宋体" w:cs="宋体"/>
          <w:color w:val="auto"/>
          <w:sz w:val="24"/>
          <w:highlight w:val="none"/>
        </w:rPr>
        <w:t>法定代表人或委托代理人签字</w:t>
      </w:r>
      <w:r>
        <w:rPr>
          <w:rFonts w:hint="eastAsia" w:ascii="宋体" w:hAnsi="宋体" w:cs="宋体"/>
          <w:color w:val="auto"/>
          <w:spacing w:val="20"/>
          <w:sz w:val="24"/>
          <w:highlight w:val="none"/>
        </w:rPr>
        <w:t>：</w:t>
      </w:r>
      <w:r>
        <w:rPr>
          <w:rFonts w:hint="eastAsia" w:ascii="宋体" w:hAnsi="宋体" w:cs="宋体"/>
          <w:color w:val="auto"/>
          <w:spacing w:val="20"/>
          <w:sz w:val="24"/>
          <w:highlight w:val="none"/>
          <w:u w:val="single"/>
        </w:rPr>
        <w:t xml:space="preserve">        </w:t>
      </w:r>
    </w:p>
    <w:p>
      <w:pPr>
        <w:snapToGrid w:val="0"/>
        <w:spacing w:before="120" w:beforeLines="50"/>
        <w:rPr>
          <w:rFonts w:ascii="宋体" w:hAnsi="宋体" w:cs="宋体"/>
          <w:color w:val="auto"/>
          <w:sz w:val="24"/>
          <w:highlight w:val="none"/>
        </w:rPr>
      </w:pPr>
      <w:r>
        <w:rPr>
          <w:rFonts w:hint="eastAsia" w:ascii="宋体" w:hAnsi="宋体" w:cs="宋体"/>
          <w:color w:val="auto"/>
          <w:spacing w:val="20"/>
          <w:sz w:val="24"/>
          <w:highlight w:val="none"/>
        </w:rPr>
        <w:t>投标人盖章：</w:t>
      </w:r>
      <w:r>
        <w:rPr>
          <w:rFonts w:hint="eastAsia" w:ascii="宋体" w:hAnsi="宋体" w:cs="宋体"/>
          <w:color w:val="auto"/>
          <w:spacing w:val="20"/>
          <w:sz w:val="24"/>
          <w:highlight w:val="none"/>
          <w:u w:val="single"/>
        </w:rPr>
        <w:t xml:space="preserve">            </w:t>
      </w:r>
      <w:r>
        <w:rPr>
          <w:rFonts w:hint="eastAsia" w:ascii="宋体" w:hAnsi="宋体" w:cs="宋体"/>
          <w:color w:val="auto"/>
          <w:spacing w:val="20"/>
          <w:sz w:val="24"/>
          <w:highlight w:val="none"/>
        </w:rPr>
        <w:t xml:space="preserve">              日 期：</w:t>
      </w:r>
      <w:r>
        <w:rPr>
          <w:rFonts w:hint="eastAsia" w:ascii="宋体" w:hAnsi="宋体" w:cs="宋体"/>
          <w:color w:val="auto"/>
          <w:spacing w:val="20"/>
          <w:sz w:val="24"/>
          <w:highlight w:val="none"/>
          <w:u w:val="single"/>
        </w:rPr>
        <w:t xml:space="preserve">            </w:t>
      </w:r>
    </w:p>
    <w:p>
      <w:pPr>
        <w:rPr>
          <w:rFonts w:ascii="宋体" w:hAnsi="宋体" w:cs="宋体"/>
          <w:color w:val="auto"/>
          <w:sz w:val="24"/>
          <w:highlight w:val="none"/>
        </w:rPr>
      </w:pPr>
    </w:p>
    <w:p>
      <w:pPr>
        <w:pStyle w:val="2"/>
        <w:keepNext w:val="0"/>
        <w:keepLines w:val="0"/>
        <w:pageBreakBefore/>
        <w:spacing w:line="360" w:lineRule="auto"/>
        <w:rPr>
          <w:rFonts w:hint="eastAsia" w:ascii="宋体" w:hAnsi="宋体" w:eastAsia="宋体" w:cs="宋体"/>
          <w:b w:val="0"/>
          <w:bCs w:val="0"/>
          <w:color w:val="auto"/>
          <w:sz w:val="24"/>
          <w:szCs w:val="24"/>
          <w:highlight w:val="none"/>
        </w:rPr>
      </w:pPr>
      <w:bookmarkStart w:id="61" w:name="_Toc27931"/>
      <w:r>
        <w:rPr>
          <w:rFonts w:hint="eastAsia" w:ascii="宋体" w:hAnsi="宋体" w:eastAsia="宋体" w:cs="宋体"/>
          <w:b w:val="0"/>
          <w:bCs w:val="0"/>
          <w:color w:val="auto"/>
          <w:sz w:val="24"/>
          <w:szCs w:val="24"/>
          <w:highlight w:val="none"/>
        </w:rPr>
        <w:t>附件</w:t>
      </w:r>
      <w:r>
        <w:rPr>
          <w:rFonts w:hint="eastAsia" w:ascii="宋体" w:hAnsi="宋体" w:eastAsia="宋体" w:cs="宋体"/>
          <w:b w:val="0"/>
          <w:bCs w:val="0"/>
          <w:color w:val="auto"/>
          <w:sz w:val="24"/>
          <w:szCs w:val="24"/>
          <w:highlight w:val="none"/>
          <w:lang w:val="en-US" w:eastAsia="zh-CN"/>
        </w:rPr>
        <w:t>三</w:t>
      </w:r>
      <w:r>
        <w:rPr>
          <w:rFonts w:hint="eastAsia" w:ascii="宋体" w:hAnsi="宋体" w:eastAsia="宋体" w:cs="宋体"/>
          <w:b w:val="0"/>
          <w:bCs w:val="0"/>
          <w:color w:val="auto"/>
          <w:sz w:val="24"/>
          <w:szCs w:val="24"/>
          <w:highlight w:val="none"/>
        </w:rPr>
        <w:t>：政府采购活动现场确认声明书</w:t>
      </w:r>
      <w:bookmarkEnd w:id="60"/>
      <w:bookmarkEnd w:id="61"/>
    </w:p>
    <w:p>
      <w:pPr>
        <w:snapToGrid w:val="0"/>
        <w:spacing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政府采购活动现场确认声明书</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东阳市鑫盛工程咨询有限公司 :</w:t>
      </w:r>
    </w:p>
    <w:p>
      <w:pPr>
        <w:snapToGrid w:val="0"/>
        <w:spacing w:before="120" w:beforeLines="50" w:after="50" w:line="276" w:lineRule="auto"/>
        <w:ind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本人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rPr>
        <w:t>（授权代表姓名），经由</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（单位）</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（法定代表人姓名）合法授权参加</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项目（编号：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）政府采购活动．经与本单位法人代表（负责人）联系确认，现就有关公平竞争事项郑重声明如下:</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一、本单位与采购人之间口不存在利害关系口存在下列利害关系:</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A．投资关系</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B．行政隶属关系</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C．业务指导关系  D．其他可能影响采购公正的利害关系（如有，请如实说明）。</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二、现己清楚知道参加本项目采购活动的其他所有供应商名称，本单位 口与其他所有供应商之间均不存在利害关系 口与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（供应商名称）之间存在下列利害关系:</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A．法定代表人或负责人或实际控制人是同一人B．法定代表人或负责人或实际控制人是夫妻关系</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C.法定代表人或负责人或实际控制人是直系血亲关系</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D.法定代表人或负责人或实际控制人存在三代以内旁系血亲关系</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E．法定代表人或负责人或实际控制人存在近姻亲关系</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F．法定代表人或负责人或实际控制人存在股份控制或实际控制关系</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G．存在共同直接或间接投资设立子公司、联营企业和合营企业情况</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H.存在分级代理或代销关系、同一生产制造商关系、管理关系、重要业务（占主昔业务收入 50 ％以上）或重要财务往来关系（如融资）等其他实质性控制关系</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I.其他利害关系情况</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rPr>
        <w:t>。</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三、现己清楚知道并严格遵守政府采购法律法规和现场纪律。</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四、我发现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供应商之间存在或可能存在上述第二条第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项利害关系。</w:t>
      </w:r>
    </w:p>
    <w:p>
      <w:pPr>
        <w:snapToGrid w:val="0"/>
        <w:spacing w:before="120" w:beforeLines="50" w:after="50" w:line="276" w:lineRule="auto"/>
        <w:rPr>
          <w:rFonts w:hint="eastAsia" w:ascii="宋体" w:hAnsi="宋体" w:eastAsia="宋体" w:cs="宋体"/>
          <w:color w:val="auto"/>
          <w:sz w:val="24"/>
          <w:highlight w:val="none"/>
        </w:rPr>
      </w:pPr>
    </w:p>
    <w:p>
      <w:pPr>
        <w:snapToGrid w:val="0"/>
        <w:spacing w:before="120" w:beforeLines="50" w:after="50" w:line="276"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（供应商代表签名）: </w:t>
      </w:r>
    </w:p>
    <w:p>
      <w:pPr>
        <w:snapToGrid w:val="0"/>
        <w:spacing w:before="120" w:beforeLines="50" w:after="50" w:line="276" w:lineRule="auto"/>
        <w:jc w:val="center"/>
        <w:rPr>
          <w:rFonts w:hint="eastAsia" w:ascii="宋体" w:hAnsi="宋体" w:eastAsia="宋体" w:cs="宋体"/>
          <w:b/>
          <w:color w:val="auto"/>
          <w:sz w:val="24"/>
          <w:highlight w:val="none"/>
        </w:rPr>
      </w:pPr>
      <w:r>
        <w:rPr>
          <w:rFonts w:hint="eastAsia" w:ascii="宋体" w:hAnsi="宋体" w:eastAsia="宋体" w:cs="宋体"/>
          <w:color w:val="auto"/>
          <w:sz w:val="24"/>
          <w:highlight w:val="none"/>
        </w:rPr>
        <w:t xml:space="preserve">                                                     年   月   日</w:t>
      </w:r>
    </w:p>
    <w:p>
      <w:pPr>
        <w:pStyle w:val="2"/>
        <w:keepNext w:val="0"/>
        <w:keepLines w:val="0"/>
        <w:pageBreakBefore/>
        <w:spacing w:line="276" w:lineRule="auto"/>
        <w:rPr>
          <w:rFonts w:hint="eastAsia" w:ascii="宋体" w:hAnsi="宋体" w:eastAsia="宋体" w:cs="宋体"/>
          <w:b w:val="0"/>
          <w:color w:val="auto"/>
          <w:sz w:val="24"/>
          <w:szCs w:val="24"/>
          <w:highlight w:val="none"/>
        </w:rPr>
      </w:pPr>
      <w:bookmarkStart w:id="62" w:name="_Toc18740"/>
      <w:r>
        <w:rPr>
          <w:rFonts w:hint="eastAsia" w:ascii="宋体" w:hAnsi="宋体" w:eastAsia="宋体" w:cs="宋体"/>
          <w:b w:val="0"/>
          <w:color w:val="auto"/>
          <w:sz w:val="24"/>
          <w:szCs w:val="24"/>
          <w:highlight w:val="none"/>
        </w:rPr>
        <w:t>附件</w:t>
      </w:r>
      <w:r>
        <w:rPr>
          <w:rFonts w:hint="eastAsia" w:ascii="宋体" w:hAnsi="宋体" w:eastAsia="宋体" w:cs="宋体"/>
          <w:b w:val="0"/>
          <w:color w:val="auto"/>
          <w:sz w:val="24"/>
          <w:szCs w:val="24"/>
          <w:highlight w:val="none"/>
          <w:lang w:val="en-US" w:eastAsia="zh-CN"/>
        </w:rPr>
        <w:t>四</w:t>
      </w:r>
      <w:r>
        <w:rPr>
          <w:rFonts w:hint="eastAsia" w:ascii="宋体" w:hAnsi="宋体" w:eastAsia="宋体" w:cs="宋体"/>
          <w:b w:val="0"/>
          <w:color w:val="auto"/>
          <w:sz w:val="24"/>
          <w:szCs w:val="24"/>
          <w:highlight w:val="none"/>
        </w:rPr>
        <w:t>：法定代表人授权委托书</w:t>
      </w:r>
      <w:bookmarkEnd w:id="62"/>
    </w:p>
    <w:p>
      <w:pPr>
        <w:snapToGrid w:val="0"/>
        <w:spacing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法定代表人授权委托书</w:t>
      </w:r>
    </w:p>
    <w:p>
      <w:pPr>
        <w:snapToGrid w:val="0"/>
        <w:spacing w:before="120" w:beforeLines="50" w:after="50" w:line="276" w:lineRule="auto"/>
        <w:rPr>
          <w:rFonts w:hint="eastAsia" w:ascii="宋体" w:hAnsi="宋体" w:eastAsia="宋体" w:cs="宋体"/>
          <w:b/>
          <w:bCs/>
          <w:color w:val="auto"/>
          <w:sz w:val="24"/>
          <w:highlight w:val="none"/>
        </w:rPr>
      </w:pPr>
      <w:r>
        <w:rPr>
          <w:rFonts w:hint="eastAsia" w:ascii="宋体" w:hAnsi="宋体" w:eastAsia="宋体" w:cs="宋体"/>
          <w:bCs/>
          <w:color w:val="auto"/>
          <w:sz w:val="24"/>
          <w:highlight w:val="none"/>
        </w:rPr>
        <w:t>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（招标采购单位名称）：</w:t>
      </w:r>
    </w:p>
    <w:p>
      <w:pPr>
        <w:snapToGrid w:val="0"/>
        <w:spacing w:before="120" w:beforeLines="50" w:after="50" w:line="276" w:lineRule="auto"/>
        <w:ind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我</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（姓名）系</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（投标人名称）的法定代表人，现授权委托本单位在职职工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（姓名）以我方的名义参加</w:t>
      </w:r>
      <w:r>
        <w:rPr>
          <w:rFonts w:hint="eastAsia" w:ascii="宋体" w:hAnsi="宋体" w:cs="宋体"/>
          <w:color w:val="auto"/>
          <w:sz w:val="24"/>
          <w:highlight w:val="none"/>
          <w:u w:val="single"/>
          <w:lang w:eastAsia="zh-CN"/>
        </w:rPr>
        <w:t>东阳市卫生健康局2022-2023年度城区除四害市场化运作项目</w:t>
      </w:r>
      <w:r>
        <w:rPr>
          <w:rFonts w:hint="eastAsia" w:ascii="宋体" w:hAnsi="宋体" w:eastAsia="宋体" w:cs="宋体"/>
          <w:color w:val="auto"/>
          <w:sz w:val="24"/>
          <w:highlight w:val="none"/>
        </w:rPr>
        <w:t>的投标活动，并代表我方全权办理针对上述项目的投标、开标、评标、签约等具体事务和签署相关文件。</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我方对委托代理人的签名事项负全部责任。</w:t>
      </w:r>
    </w:p>
    <w:p>
      <w:pPr>
        <w:snapToGrid w:val="0"/>
        <w:spacing w:before="120" w:beforeLines="50" w:after="50" w:line="276"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在撤销授权的书面通知以前，本授权书一直有效。</w:t>
      </w:r>
      <w:r>
        <w:rPr>
          <w:rFonts w:hint="eastAsia" w:ascii="宋体" w:hAnsi="宋体" w:eastAsia="宋体" w:cs="宋体"/>
          <w:color w:val="auto"/>
          <w:sz w:val="24"/>
          <w:highlight w:val="none"/>
        </w:rPr>
        <w:t>委托代理人在授权书有效期内签署的所有文件不因授权的撤销而失效。</w:t>
      </w:r>
    </w:p>
    <w:p>
      <w:pPr>
        <w:snapToGrid w:val="0"/>
        <w:spacing w:before="120" w:beforeLines="50" w:after="50" w:line="276"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委托代理人无转委托权，特此委托。</w:t>
      </w:r>
    </w:p>
    <w:p>
      <w:pPr>
        <w:snapToGrid w:val="0"/>
        <w:spacing w:before="120" w:beforeLines="50" w:after="50" w:line="276"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委托代理人签名：</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法定代表人签名：</w:t>
      </w:r>
      <w:r>
        <w:rPr>
          <w:rFonts w:hint="eastAsia" w:ascii="宋体" w:hAnsi="宋体" w:eastAsia="宋体" w:cs="宋体"/>
          <w:color w:val="auto"/>
          <w:sz w:val="24"/>
          <w:highlight w:val="none"/>
          <w:u w:val="single"/>
        </w:rPr>
        <w:t xml:space="preserve">          </w:t>
      </w:r>
    </w:p>
    <w:p>
      <w:pPr>
        <w:snapToGrid w:val="0"/>
        <w:spacing w:before="120" w:beforeLines="50" w:after="50" w:line="276"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职务：</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职务：</w:t>
      </w:r>
      <w:r>
        <w:rPr>
          <w:rFonts w:hint="eastAsia" w:ascii="宋体" w:hAnsi="宋体" w:eastAsia="宋体" w:cs="宋体"/>
          <w:color w:val="auto"/>
          <w:sz w:val="24"/>
          <w:highlight w:val="none"/>
          <w:u w:val="single"/>
        </w:rPr>
        <w:t xml:space="preserve">          </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委托代理人身份证复印件（正反双面）：</w:t>
      </w:r>
    </w:p>
    <w:tbl>
      <w:tblPr>
        <w:tblStyle w:val="21"/>
        <w:tblpPr w:leftFromText="180" w:rightFromText="180" w:vertAnchor="text" w:tblpX="109" w:tblpY="151"/>
        <w:tblW w:w="0" w:type="auto"/>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5328"/>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6232" w:hRule="atLeast"/>
        </w:trPr>
        <w:tc>
          <w:tcPr>
            <w:tcW w:w="5328" w:type="dxa"/>
          </w:tcPr>
          <w:p>
            <w:pPr>
              <w:snapToGrid w:val="0"/>
              <w:spacing w:before="120" w:beforeLines="50" w:after="50" w:line="276" w:lineRule="auto"/>
              <w:rPr>
                <w:rFonts w:hint="eastAsia" w:ascii="宋体" w:hAnsi="宋体" w:eastAsia="宋体" w:cs="宋体"/>
                <w:color w:val="auto"/>
                <w:sz w:val="24"/>
                <w:highlight w:val="none"/>
              </w:rPr>
            </w:pPr>
          </w:p>
          <w:p>
            <w:pPr>
              <w:snapToGrid w:val="0"/>
              <w:spacing w:before="120" w:beforeLines="50" w:after="50" w:line="276" w:lineRule="auto"/>
              <w:rPr>
                <w:rFonts w:hint="eastAsia" w:ascii="宋体" w:hAnsi="宋体" w:eastAsia="宋体" w:cs="宋体"/>
                <w:color w:val="auto"/>
                <w:sz w:val="24"/>
                <w:highlight w:val="none"/>
              </w:rPr>
            </w:pPr>
          </w:p>
          <w:p>
            <w:pPr>
              <w:snapToGrid w:val="0"/>
              <w:spacing w:before="120" w:beforeLines="50" w:after="50" w:line="276" w:lineRule="auto"/>
              <w:rPr>
                <w:rFonts w:hint="eastAsia" w:ascii="宋体" w:hAnsi="宋体" w:eastAsia="宋体" w:cs="宋体"/>
                <w:color w:val="auto"/>
                <w:sz w:val="24"/>
                <w:highlight w:val="none"/>
              </w:rPr>
            </w:pPr>
          </w:p>
          <w:p>
            <w:pPr>
              <w:snapToGrid w:val="0"/>
              <w:spacing w:before="120" w:beforeLines="50" w:after="50" w:line="276"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粘</w:t>
            </w:r>
          </w:p>
          <w:p>
            <w:pPr>
              <w:snapToGrid w:val="0"/>
              <w:spacing w:before="120" w:beforeLines="50" w:after="50" w:line="276" w:lineRule="auto"/>
              <w:jc w:val="center"/>
              <w:rPr>
                <w:rFonts w:hint="eastAsia" w:ascii="宋体" w:hAnsi="宋体" w:eastAsia="宋体" w:cs="宋体"/>
                <w:color w:val="auto"/>
                <w:sz w:val="24"/>
                <w:highlight w:val="none"/>
              </w:rPr>
            </w:pPr>
          </w:p>
          <w:p>
            <w:pPr>
              <w:snapToGrid w:val="0"/>
              <w:spacing w:before="120" w:beforeLines="50" w:after="50" w:line="276"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贴</w:t>
            </w:r>
          </w:p>
          <w:p>
            <w:pPr>
              <w:snapToGrid w:val="0"/>
              <w:spacing w:before="120" w:beforeLines="50" w:after="50" w:line="276" w:lineRule="auto"/>
              <w:jc w:val="center"/>
              <w:rPr>
                <w:rFonts w:hint="eastAsia" w:ascii="宋体" w:hAnsi="宋体" w:eastAsia="宋体" w:cs="宋体"/>
                <w:color w:val="auto"/>
                <w:sz w:val="24"/>
                <w:highlight w:val="none"/>
              </w:rPr>
            </w:pPr>
          </w:p>
          <w:p>
            <w:pPr>
              <w:snapToGrid w:val="0"/>
              <w:spacing w:before="120" w:beforeLines="50" w:after="50" w:line="276"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处</w:t>
            </w:r>
          </w:p>
        </w:tc>
      </w:tr>
    </w:tbl>
    <w:p>
      <w:pPr>
        <w:snapToGrid w:val="0"/>
        <w:spacing w:before="120" w:beforeLines="50" w:after="50" w:line="276" w:lineRule="auto"/>
        <w:rPr>
          <w:rFonts w:hint="eastAsia" w:ascii="宋体" w:hAnsi="宋体" w:eastAsia="宋体" w:cs="宋体"/>
          <w:color w:val="auto"/>
          <w:sz w:val="24"/>
          <w:highlight w:val="none"/>
        </w:rPr>
      </w:pPr>
    </w:p>
    <w:p>
      <w:pPr>
        <w:snapToGrid w:val="0"/>
        <w:spacing w:before="120" w:beforeLines="50" w:after="50" w:line="276" w:lineRule="auto"/>
        <w:rPr>
          <w:rFonts w:hint="eastAsia" w:ascii="宋体" w:hAnsi="宋体" w:eastAsia="宋体" w:cs="宋体"/>
          <w:color w:val="auto"/>
          <w:sz w:val="24"/>
          <w:highlight w:val="none"/>
        </w:rPr>
      </w:pPr>
    </w:p>
    <w:p>
      <w:pPr>
        <w:snapToGrid w:val="0"/>
        <w:spacing w:before="120" w:beforeLines="50" w:after="50" w:line="276" w:lineRule="auto"/>
        <w:rPr>
          <w:rFonts w:hint="eastAsia" w:ascii="宋体" w:hAnsi="宋体" w:eastAsia="宋体" w:cs="宋体"/>
          <w:color w:val="auto"/>
          <w:sz w:val="24"/>
          <w:highlight w:val="none"/>
        </w:rPr>
      </w:pPr>
    </w:p>
    <w:p>
      <w:pPr>
        <w:snapToGrid w:val="0"/>
        <w:spacing w:before="120" w:beforeLines="50" w:after="50" w:line="276" w:lineRule="auto"/>
        <w:rPr>
          <w:rFonts w:hint="eastAsia" w:ascii="宋体" w:hAnsi="宋体" w:eastAsia="宋体" w:cs="宋体"/>
          <w:color w:val="auto"/>
          <w:sz w:val="24"/>
          <w:highlight w:val="none"/>
        </w:rPr>
      </w:pPr>
    </w:p>
    <w:p>
      <w:pPr>
        <w:snapToGrid w:val="0"/>
        <w:spacing w:before="120" w:beforeLines="50" w:after="50" w:line="276" w:lineRule="auto"/>
        <w:rPr>
          <w:rFonts w:hint="eastAsia" w:ascii="宋体" w:hAnsi="宋体" w:eastAsia="宋体" w:cs="宋体"/>
          <w:color w:val="auto"/>
          <w:sz w:val="24"/>
          <w:highlight w:val="none"/>
        </w:rPr>
      </w:pPr>
    </w:p>
    <w:p>
      <w:pPr>
        <w:snapToGrid w:val="0"/>
        <w:spacing w:before="120" w:beforeLines="50" w:after="50" w:line="276" w:lineRule="auto"/>
        <w:rPr>
          <w:rFonts w:hint="eastAsia" w:ascii="宋体" w:hAnsi="宋体" w:eastAsia="宋体" w:cs="宋体"/>
          <w:color w:val="auto"/>
          <w:sz w:val="24"/>
          <w:highlight w:val="none"/>
        </w:rPr>
      </w:pPr>
    </w:p>
    <w:p>
      <w:pPr>
        <w:snapToGrid w:val="0"/>
        <w:spacing w:before="120" w:beforeLines="50" w:after="50" w:line="276" w:lineRule="auto"/>
        <w:rPr>
          <w:rFonts w:hint="eastAsia" w:ascii="宋体" w:hAnsi="宋体" w:eastAsia="宋体" w:cs="宋体"/>
          <w:color w:val="auto"/>
          <w:sz w:val="24"/>
          <w:highlight w:val="none"/>
        </w:rPr>
      </w:pPr>
    </w:p>
    <w:p>
      <w:pPr>
        <w:snapToGrid w:val="0"/>
        <w:spacing w:before="120" w:beforeLines="50" w:after="50" w:line="276" w:lineRule="auto"/>
        <w:rPr>
          <w:rFonts w:hint="eastAsia" w:ascii="宋体" w:hAnsi="宋体" w:eastAsia="宋体" w:cs="宋体"/>
          <w:color w:val="auto"/>
          <w:sz w:val="24"/>
          <w:highlight w:val="none"/>
        </w:rPr>
      </w:pP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napToGrid w:val="0"/>
        <w:spacing w:before="120" w:beforeLines="50" w:after="50" w:line="276" w:lineRule="auto"/>
        <w:rPr>
          <w:rFonts w:hint="eastAsia" w:ascii="宋体" w:hAnsi="宋体" w:eastAsia="宋体" w:cs="宋体"/>
          <w:color w:val="auto"/>
          <w:sz w:val="24"/>
          <w:highlight w:val="none"/>
        </w:rPr>
      </w:pP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投标人公章：</w:t>
      </w:r>
    </w:p>
    <w:p>
      <w:pPr>
        <w:snapToGrid w:val="0"/>
        <w:spacing w:before="120" w:beforeLines="50" w:after="50" w:line="276"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年    月    日</w:t>
      </w:r>
    </w:p>
    <w:p>
      <w:pPr>
        <w:snapToGrid w:val="0"/>
        <w:spacing w:before="120" w:beforeLines="50" w:after="50" w:line="276"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注；此表格格式不得修改。</w:t>
      </w:r>
      <w:r>
        <w:rPr>
          <w:rFonts w:hint="eastAsia" w:ascii="宋体" w:hAnsi="宋体" w:eastAsia="宋体" w:cs="宋体"/>
          <w:color w:val="auto"/>
          <w:sz w:val="24"/>
          <w:highlight w:val="none"/>
        </w:rPr>
        <w:br w:type="textWrapping"/>
      </w:r>
      <w:r>
        <w:rPr>
          <w:rFonts w:hint="eastAsia" w:ascii="宋体" w:hAnsi="宋体" w:eastAsia="宋体" w:cs="宋体"/>
          <w:color w:val="auto"/>
          <w:sz w:val="24"/>
          <w:highlight w:val="none"/>
        </w:rPr>
        <w:br w:type="page"/>
      </w:r>
    </w:p>
    <w:p>
      <w:pPr>
        <w:pStyle w:val="2"/>
        <w:keepNext w:val="0"/>
        <w:keepLines w:val="0"/>
        <w:pageBreakBefore/>
        <w:spacing w:line="276" w:lineRule="auto"/>
        <w:rPr>
          <w:rFonts w:hint="eastAsia" w:ascii="宋体" w:hAnsi="宋体" w:eastAsia="宋体" w:cs="宋体"/>
          <w:b w:val="0"/>
          <w:color w:val="auto"/>
          <w:sz w:val="24"/>
          <w:szCs w:val="24"/>
          <w:highlight w:val="none"/>
          <w:lang w:eastAsia="zh-CN"/>
        </w:rPr>
      </w:pPr>
      <w:bookmarkStart w:id="63" w:name="_Toc25167"/>
      <w:bookmarkStart w:id="64" w:name="_Toc19951"/>
      <w:r>
        <w:rPr>
          <w:rFonts w:hint="eastAsia" w:ascii="宋体" w:hAnsi="宋体" w:eastAsia="宋体" w:cs="宋体"/>
          <w:b w:val="0"/>
          <w:color w:val="auto"/>
          <w:sz w:val="24"/>
          <w:szCs w:val="24"/>
          <w:highlight w:val="none"/>
        </w:rPr>
        <w:t>附件</w:t>
      </w:r>
      <w:r>
        <w:rPr>
          <w:rFonts w:hint="eastAsia" w:ascii="宋体" w:hAnsi="宋体" w:eastAsia="宋体" w:cs="宋体"/>
          <w:b w:val="0"/>
          <w:color w:val="auto"/>
          <w:sz w:val="24"/>
          <w:szCs w:val="24"/>
          <w:highlight w:val="none"/>
          <w:lang w:eastAsia="zh-CN"/>
        </w:rPr>
        <w:t>五</w:t>
      </w:r>
      <w:r>
        <w:rPr>
          <w:rFonts w:hint="eastAsia" w:ascii="宋体" w:hAnsi="宋体" w:eastAsia="宋体" w:cs="宋体"/>
          <w:b w:val="0"/>
          <w:color w:val="auto"/>
          <w:sz w:val="24"/>
          <w:szCs w:val="24"/>
          <w:highlight w:val="none"/>
        </w:rPr>
        <w:t>：</w:t>
      </w:r>
      <w:r>
        <w:rPr>
          <w:rFonts w:hint="eastAsia" w:ascii="宋体" w:hAnsi="宋体" w:eastAsia="宋体" w:cs="宋体"/>
          <w:b w:val="0"/>
          <w:color w:val="auto"/>
          <w:sz w:val="24"/>
          <w:szCs w:val="24"/>
          <w:highlight w:val="none"/>
          <w:lang w:eastAsia="zh-CN"/>
        </w:rPr>
        <w:t>联合体协议</w:t>
      </w:r>
      <w:bookmarkEnd w:id="63"/>
      <w:bookmarkEnd w:id="64"/>
    </w:p>
    <w:p>
      <w:pPr>
        <w:jc w:val="center"/>
        <w:rPr>
          <w:rFonts w:hint="eastAsia"/>
          <w:b/>
          <w:bCs/>
          <w:color w:val="auto"/>
          <w:sz w:val="32"/>
          <w:szCs w:val="32"/>
          <w:highlight w:val="none"/>
          <w:lang w:eastAsia="zh-CN"/>
        </w:rPr>
      </w:pPr>
      <w:r>
        <w:rPr>
          <w:rFonts w:hint="eastAsia" w:ascii="宋体" w:hAnsi="宋体" w:cs="宋体"/>
          <w:b/>
          <w:bCs/>
          <w:color w:val="auto"/>
          <w:sz w:val="32"/>
          <w:szCs w:val="32"/>
          <w:highlight w:val="none"/>
          <w:lang w:eastAsia="zh-CN"/>
        </w:rPr>
        <w:t>联合体协议</w:t>
      </w:r>
    </w:p>
    <w:p>
      <w:pPr>
        <w:snapToGrid w:val="0"/>
        <w:spacing w:line="360" w:lineRule="auto"/>
        <w:ind w:firstLine="576"/>
        <w:rPr>
          <w:rFonts w:hint="eastAsia" w:ascii="仿宋_GB2312" w:hAnsi="仿宋" w:eastAsia="仿宋_GB2312" w:cs="仿宋_GB2312"/>
          <w:b/>
          <w:bCs/>
          <w:color w:val="auto"/>
          <w:kern w:val="0"/>
          <w:sz w:val="24"/>
          <w:highlight w:val="none"/>
          <w:u w:val="single"/>
        </w:rPr>
      </w:pPr>
      <w:r>
        <w:rPr>
          <w:rFonts w:hint="eastAsia" w:ascii="仿宋_GB2312" w:hAnsi="仿宋" w:eastAsia="仿宋_GB2312" w:cs="仿宋_GB2312"/>
          <w:b/>
          <w:bCs/>
          <w:color w:val="auto"/>
          <w:kern w:val="0"/>
          <w:sz w:val="24"/>
          <w:highlight w:val="none"/>
          <w:u w:val="single"/>
          <w:lang w:val="en-US" w:eastAsia="zh-CN"/>
        </w:rPr>
        <w:t>（以联</w:t>
      </w:r>
      <w:r>
        <w:rPr>
          <w:rFonts w:hint="eastAsia" w:ascii="仿宋_GB2312" w:hAnsi="仿宋" w:eastAsia="仿宋_GB2312" w:cs="仿宋_GB2312"/>
          <w:b/>
          <w:bCs/>
          <w:color w:val="auto"/>
          <w:kern w:val="0"/>
          <w:sz w:val="24"/>
          <w:highlight w:val="none"/>
          <w:u w:val="single"/>
        </w:rPr>
        <w:t>合体形式投标的，提供联合协议；本项目不接受联合体投标或者投标人不以联合体形式投标的，则不需要提供）</w:t>
      </w:r>
    </w:p>
    <w:p>
      <w:pPr>
        <w:snapToGrid w:val="0"/>
        <w:spacing w:line="360" w:lineRule="auto"/>
        <w:ind w:firstLine="576"/>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u w:val="single"/>
        </w:rPr>
        <w:t>（联合体所有成员名称）</w:t>
      </w:r>
      <w:r>
        <w:rPr>
          <w:rFonts w:hint="eastAsia" w:asciiTheme="minorEastAsia" w:hAnsiTheme="minorEastAsia" w:eastAsiaTheme="minorEastAsia" w:cstheme="minorEastAsia"/>
          <w:color w:val="auto"/>
          <w:kern w:val="0"/>
          <w:sz w:val="24"/>
          <w:highlight w:val="none"/>
        </w:rPr>
        <w:t>自愿</w:t>
      </w:r>
      <w:r>
        <w:rPr>
          <w:rFonts w:hint="eastAsia" w:asciiTheme="minorEastAsia" w:hAnsiTheme="minorEastAsia" w:eastAsiaTheme="minorEastAsia" w:cstheme="minorEastAsia"/>
          <w:color w:val="auto"/>
          <w:kern w:val="0"/>
          <w:sz w:val="24"/>
          <w:highlight w:val="none"/>
          <w:lang w:val="zh-CN"/>
        </w:rPr>
        <w:t>组成一个联合体，以一个投标人的身份</w:t>
      </w:r>
      <w:r>
        <w:rPr>
          <w:rFonts w:hint="eastAsia" w:asciiTheme="minorEastAsia" w:hAnsiTheme="minorEastAsia" w:eastAsiaTheme="minorEastAsia" w:cstheme="minorEastAsia"/>
          <w:color w:val="auto"/>
          <w:kern w:val="0"/>
          <w:sz w:val="24"/>
          <w:highlight w:val="none"/>
        </w:rPr>
        <w:t>参加</w:t>
      </w:r>
      <w:r>
        <w:rPr>
          <w:rFonts w:hint="eastAsia" w:asciiTheme="minorEastAsia" w:hAnsiTheme="minorEastAsia" w:eastAsiaTheme="minorEastAsia" w:cstheme="minorEastAsia"/>
          <w:color w:val="auto"/>
          <w:sz w:val="24"/>
          <w:highlight w:val="none"/>
        </w:rPr>
        <w:t>（项目名称）【招标编号：（采购编号）】</w:t>
      </w:r>
      <w:r>
        <w:rPr>
          <w:rFonts w:hint="eastAsia" w:asciiTheme="minorEastAsia" w:hAnsiTheme="minorEastAsia" w:eastAsiaTheme="minorEastAsia" w:cstheme="minorEastAsia"/>
          <w:color w:val="auto"/>
          <w:kern w:val="0"/>
          <w:sz w:val="24"/>
          <w:highlight w:val="none"/>
          <w:lang w:val="zh-CN"/>
        </w:rPr>
        <w:t xml:space="preserve">投标。 </w:t>
      </w:r>
    </w:p>
    <w:p>
      <w:pPr>
        <w:snapToGrid w:val="0"/>
        <w:spacing w:line="360" w:lineRule="auto"/>
        <w:ind w:firstLine="576"/>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一、各方一致决定，</w:t>
      </w:r>
      <w:r>
        <w:rPr>
          <w:rFonts w:hint="eastAsia" w:asciiTheme="minorEastAsia" w:hAnsiTheme="minorEastAsia" w:eastAsiaTheme="minorEastAsia" w:cstheme="minorEastAsia"/>
          <w:color w:val="auto"/>
          <w:kern w:val="0"/>
          <w:sz w:val="24"/>
          <w:highlight w:val="none"/>
          <w:u w:val="single"/>
        </w:rPr>
        <w:t>（某联合体成员名称）</w:t>
      </w:r>
      <w:r>
        <w:rPr>
          <w:rFonts w:hint="eastAsia" w:asciiTheme="minorEastAsia" w:hAnsiTheme="minorEastAsia" w:eastAsiaTheme="minorEastAsia" w:cstheme="minorEastAsia"/>
          <w:color w:val="auto"/>
          <w:kern w:val="0"/>
          <w:sz w:val="24"/>
          <w:highlight w:val="none"/>
        </w:rPr>
        <w:t>为联合体</w:t>
      </w:r>
      <w:r>
        <w:rPr>
          <w:rFonts w:hint="eastAsia" w:asciiTheme="minorEastAsia" w:hAnsiTheme="minorEastAsia" w:eastAsiaTheme="minorEastAsia" w:cstheme="minorEastAsia"/>
          <w:color w:val="auto"/>
          <w:kern w:val="0"/>
          <w:sz w:val="24"/>
          <w:highlight w:val="none"/>
          <w:lang w:val="zh-CN"/>
        </w:rPr>
        <w:t>牵头人</w:t>
      </w:r>
      <w:r>
        <w:rPr>
          <w:rFonts w:hint="eastAsia" w:asciiTheme="minorEastAsia" w:hAnsiTheme="minorEastAsia" w:eastAsiaTheme="minorEastAsia" w:cstheme="minorEastAsia"/>
          <w:color w:val="auto"/>
          <w:sz w:val="24"/>
          <w:highlight w:val="none"/>
        </w:rPr>
        <w:t>，代表所有联合体成员负责投标和合同实施阶段的主办、协调工作</w:t>
      </w:r>
      <w:r>
        <w:rPr>
          <w:rFonts w:hint="eastAsia" w:asciiTheme="minorEastAsia" w:hAnsiTheme="minorEastAsia" w:eastAsiaTheme="minorEastAsia" w:cstheme="minorEastAsia"/>
          <w:color w:val="auto"/>
          <w:kern w:val="0"/>
          <w:sz w:val="24"/>
          <w:highlight w:val="none"/>
          <w:lang w:val="zh-CN"/>
        </w:rPr>
        <w:t>。</w:t>
      </w:r>
    </w:p>
    <w:p>
      <w:pPr>
        <w:snapToGrid w:val="0"/>
        <w:spacing w:line="360" w:lineRule="auto"/>
        <w:ind w:firstLine="576"/>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二、</w:t>
      </w:r>
      <w:r>
        <w:rPr>
          <w:rFonts w:hint="eastAsia" w:asciiTheme="minorEastAsia" w:hAnsiTheme="minorEastAsia" w:eastAsiaTheme="minorEastAsia" w:cstheme="minorEastAsia"/>
          <w:color w:val="auto"/>
          <w:sz w:val="24"/>
          <w:highlight w:val="none"/>
        </w:rPr>
        <w:t>所有联合体成员各方签署授权书，授权书载明的</w:t>
      </w:r>
      <w:r>
        <w:rPr>
          <w:rFonts w:hint="eastAsia" w:asciiTheme="minorEastAsia" w:hAnsiTheme="minorEastAsia" w:eastAsiaTheme="minorEastAsia" w:cstheme="minorEastAsia"/>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三、本次联合投标中，分工如下：</w:t>
      </w:r>
      <w:r>
        <w:rPr>
          <w:rFonts w:hint="eastAsia" w:asciiTheme="minorEastAsia" w:hAnsiTheme="minorEastAsia" w:eastAsiaTheme="minorEastAsia" w:cstheme="minorEastAsia"/>
          <w:color w:val="auto"/>
          <w:kern w:val="0"/>
          <w:sz w:val="24"/>
          <w:highlight w:val="none"/>
          <w:u w:val="single"/>
        </w:rPr>
        <w:t>（联合体其中一方成员名称）</w:t>
      </w:r>
      <w:r>
        <w:rPr>
          <w:rFonts w:hint="eastAsia" w:asciiTheme="minorEastAsia" w:hAnsiTheme="minorEastAsia" w:eastAsiaTheme="minorEastAsia" w:cstheme="minorEastAsia"/>
          <w:color w:val="auto"/>
          <w:kern w:val="0"/>
          <w:sz w:val="24"/>
          <w:highlight w:val="none"/>
          <w:lang w:val="zh-CN"/>
        </w:rPr>
        <w:t>承担的工作和义务为：</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kern w:val="0"/>
          <w:sz w:val="24"/>
          <w:highlight w:val="none"/>
          <w:lang w:val="zh-CN"/>
        </w:rPr>
        <w:t>；……。</w:t>
      </w:r>
    </w:p>
    <w:p>
      <w:pPr>
        <w:snapToGrid w:val="0"/>
        <w:spacing w:line="360" w:lineRule="auto"/>
        <w:ind w:firstLine="576"/>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四、</w:t>
      </w:r>
      <w:r>
        <w:rPr>
          <w:rFonts w:hint="eastAsia" w:asciiTheme="minorEastAsia" w:hAnsiTheme="minorEastAsia" w:eastAsiaTheme="minorEastAsia" w:cstheme="minorEastAsia"/>
          <w:color w:val="auto"/>
          <w:kern w:val="0"/>
          <w:sz w:val="24"/>
          <w:highlight w:val="none"/>
          <w:u w:val="single"/>
        </w:rPr>
        <w:t>（联合体其中一方成员名称）</w:t>
      </w:r>
      <w:r>
        <w:rPr>
          <w:rFonts w:hint="eastAsia" w:asciiTheme="minorEastAsia" w:hAnsiTheme="minorEastAsia" w:eastAsiaTheme="minorEastAsia" w:cstheme="minorEastAsia"/>
          <w:color w:val="auto"/>
          <w:kern w:val="0"/>
          <w:sz w:val="24"/>
          <w:highlight w:val="none"/>
        </w:rPr>
        <w:t>提供的全部货物</w:t>
      </w:r>
      <w:r>
        <w:rPr>
          <w:rFonts w:hint="eastAsia" w:asciiTheme="minorEastAsia" w:hAnsiTheme="minorEastAsia" w:eastAsiaTheme="minorEastAsia" w:cstheme="minorEastAsia"/>
          <w:color w:val="auto"/>
          <w:kern w:val="0"/>
          <w:sz w:val="24"/>
          <w:highlight w:val="none"/>
          <w:lang w:val="en-US" w:eastAsia="zh-CN"/>
        </w:rPr>
        <w:t>/服务</w:t>
      </w:r>
      <w:r>
        <w:rPr>
          <w:rFonts w:hint="eastAsia" w:asciiTheme="minorEastAsia" w:hAnsiTheme="minorEastAsia" w:eastAsiaTheme="minorEastAsia" w:cstheme="minorEastAsia"/>
          <w:color w:val="auto"/>
          <w:kern w:val="0"/>
          <w:sz w:val="24"/>
          <w:highlight w:val="none"/>
        </w:rPr>
        <w:t>由小微企业制造</w:t>
      </w:r>
      <w:r>
        <w:rPr>
          <w:rFonts w:hint="eastAsia" w:asciiTheme="minorEastAsia" w:hAnsiTheme="minorEastAsia" w:eastAsiaTheme="minorEastAsia" w:cstheme="minorEastAsia"/>
          <w:color w:val="auto"/>
          <w:kern w:val="0"/>
          <w:sz w:val="24"/>
          <w:highlight w:val="none"/>
          <w:lang w:val="en-US" w:eastAsia="zh-CN"/>
        </w:rPr>
        <w:t>/服务</w:t>
      </w:r>
      <w:r>
        <w:rPr>
          <w:rFonts w:hint="eastAsia" w:asciiTheme="minorEastAsia" w:hAnsiTheme="minorEastAsia" w:eastAsiaTheme="minorEastAsia" w:cstheme="minorEastAsia"/>
          <w:color w:val="auto"/>
          <w:kern w:val="0"/>
          <w:sz w:val="24"/>
          <w:highlight w:val="none"/>
        </w:rPr>
        <w:t>，其合同份额占到合同总金额</w:t>
      </w:r>
      <w:r>
        <w:rPr>
          <w:rFonts w:hint="eastAsia" w:asciiTheme="minorEastAsia" w:hAnsiTheme="minorEastAsia" w:eastAsiaTheme="minorEastAsia" w:cstheme="minorEastAsia"/>
          <w:color w:val="auto"/>
          <w:kern w:val="0"/>
          <w:sz w:val="24"/>
          <w:highlight w:val="none"/>
          <w:u w:val="single"/>
        </w:rPr>
        <w:t xml:space="preserve">     </w:t>
      </w:r>
      <w:r>
        <w:rPr>
          <w:rFonts w:hint="eastAsia" w:asciiTheme="minorEastAsia" w:hAnsiTheme="minorEastAsia" w:eastAsiaTheme="minorEastAsia" w:cstheme="minorEastAsia"/>
          <w:color w:val="auto"/>
          <w:kern w:val="0"/>
          <w:sz w:val="24"/>
          <w:highlight w:val="none"/>
        </w:rPr>
        <w:t>%以上；</w:t>
      </w:r>
      <w:r>
        <w:rPr>
          <w:rFonts w:hint="eastAsia" w:asciiTheme="minorEastAsia" w:hAnsiTheme="minorEastAsia" w:eastAsiaTheme="minorEastAsia" w:cstheme="minorEastAsia"/>
          <w:color w:val="auto"/>
          <w:kern w:val="0"/>
          <w:sz w:val="24"/>
          <w:highlight w:val="none"/>
          <w:lang w:val="zh-CN"/>
        </w:rPr>
        <w:t>……。</w:t>
      </w:r>
    </w:p>
    <w:p>
      <w:pPr>
        <w:snapToGrid w:val="0"/>
        <w:spacing w:line="360" w:lineRule="auto"/>
        <w:ind w:firstLine="576"/>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五、如果中标，</w:t>
      </w:r>
      <w:r>
        <w:rPr>
          <w:rFonts w:hint="eastAsia" w:asciiTheme="minorEastAsia" w:hAnsiTheme="minorEastAsia" w:eastAsiaTheme="minorEastAsia" w:cstheme="minorEastAsia"/>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六、有关本次联合投标的其他事宜：</w:t>
      </w:r>
    </w:p>
    <w:p>
      <w:pPr>
        <w:snapToGrid w:val="0"/>
        <w:spacing w:line="360" w:lineRule="auto"/>
        <w:ind w:firstLine="576"/>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kern w:val="0"/>
          <w:sz w:val="24"/>
          <w:highlight w:val="none"/>
          <w:lang w:val="zh-CN"/>
        </w:rPr>
        <w:t>联合体成员名称(公章)：</w:t>
      </w:r>
    </w:p>
    <w:p>
      <w:pPr>
        <w:snapToGrid w:val="0"/>
        <w:spacing w:line="360" w:lineRule="auto"/>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                                               日期：  年  月   日</w:t>
      </w:r>
    </w:p>
    <w:p>
      <w:pPr>
        <w:snapToGrid w:val="0"/>
        <w:spacing w:line="360" w:lineRule="auto"/>
        <w:ind w:right="480"/>
        <w:rPr>
          <w:rFonts w:hint="eastAsia" w:asciiTheme="minorEastAsia" w:hAnsiTheme="minorEastAsia" w:eastAsiaTheme="minorEastAsia" w:cstheme="minorEastAsia"/>
          <w:b/>
          <w:color w:val="auto"/>
          <w:kern w:val="0"/>
          <w:sz w:val="32"/>
          <w:szCs w:val="32"/>
          <w:highlight w:val="none"/>
          <w:lang w:val="zh-CN"/>
        </w:rPr>
        <w:sectPr>
          <w:headerReference r:id="rId5" w:type="first"/>
          <w:footerReference r:id="rId7" w:type="first"/>
          <w:headerReference r:id="rId4" w:type="default"/>
          <w:footerReference r:id="rId6" w:type="default"/>
          <w:pgSz w:w="11906" w:h="16838"/>
          <w:pgMar w:top="1276" w:right="1418" w:bottom="1247" w:left="1418" w:header="851" w:footer="992" w:gutter="0"/>
          <w:pgNumType w:fmt="decimal"/>
          <w:cols w:space="720" w:num="1"/>
          <w:docGrid w:linePitch="312" w:charSpace="0"/>
        </w:sectPr>
      </w:pPr>
    </w:p>
    <w:p>
      <w:pPr>
        <w:pStyle w:val="2"/>
        <w:keepNext w:val="0"/>
        <w:keepLines w:val="0"/>
        <w:pageBreakBefore/>
        <w:spacing w:line="276" w:lineRule="auto"/>
        <w:rPr>
          <w:rFonts w:hint="eastAsia" w:ascii="宋体" w:hAnsi="宋体" w:eastAsia="宋体" w:cs="宋体"/>
          <w:b w:val="0"/>
          <w:color w:val="auto"/>
          <w:sz w:val="24"/>
          <w:szCs w:val="24"/>
          <w:highlight w:val="none"/>
          <w:lang w:eastAsia="zh-CN"/>
        </w:rPr>
      </w:pPr>
      <w:bookmarkStart w:id="65" w:name="_Toc2319"/>
      <w:bookmarkStart w:id="66" w:name="_Toc11931"/>
      <w:r>
        <w:rPr>
          <w:rFonts w:hint="eastAsia" w:ascii="宋体" w:hAnsi="宋体" w:eastAsia="宋体" w:cs="宋体"/>
          <w:b w:val="0"/>
          <w:color w:val="auto"/>
          <w:sz w:val="24"/>
          <w:szCs w:val="24"/>
          <w:highlight w:val="none"/>
        </w:rPr>
        <w:t>附件</w:t>
      </w:r>
      <w:r>
        <w:rPr>
          <w:rFonts w:hint="eastAsia" w:ascii="宋体" w:hAnsi="宋体" w:eastAsia="宋体" w:cs="宋体"/>
          <w:b w:val="0"/>
          <w:color w:val="auto"/>
          <w:sz w:val="24"/>
          <w:szCs w:val="24"/>
          <w:highlight w:val="none"/>
          <w:lang w:eastAsia="zh-CN"/>
        </w:rPr>
        <w:t>六</w:t>
      </w:r>
      <w:r>
        <w:rPr>
          <w:rFonts w:hint="eastAsia" w:ascii="宋体" w:hAnsi="宋体" w:eastAsia="宋体" w:cs="宋体"/>
          <w:b w:val="0"/>
          <w:color w:val="auto"/>
          <w:sz w:val="24"/>
          <w:szCs w:val="24"/>
          <w:highlight w:val="none"/>
        </w:rPr>
        <w:t>：</w:t>
      </w:r>
      <w:r>
        <w:rPr>
          <w:rFonts w:hint="eastAsia" w:ascii="宋体" w:hAnsi="宋体" w:eastAsia="宋体" w:cs="宋体"/>
          <w:b w:val="0"/>
          <w:color w:val="auto"/>
          <w:sz w:val="24"/>
          <w:szCs w:val="24"/>
          <w:highlight w:val="none"/>
          <w:lang w:eastAsia="zh-CN"/>
        </w:rPr>
        <w:t>分包意向协议</w:t>
      </w:r>
      <w:bookmarkEnd w:id="65"/>
      <w:bookmarkEnd w:id="66"/>
    </w:p>
    <w:p>
      <w:pPr>
        <w:snapToGrid w:val="0"/>
        <w:spacing w:line="360" w:lineRule="auto"/>
        <w:ind w:firstLine="3534" w:firstLineChars="1100"/>
        <w:rPr>
          <w:rFonts w:hint="eastAsia" w:asciiTheme="minorEastAsia" w:hAnsiTheme="minorEastAsia" w:eastAsiaTheme="minorEastAsia" w:cstheme="minorEastAsia"/>
          <w:b/>
          <w:color w:val="auto"/>
          <w:kern w:val="0"/>
          <w:sz w:val="32"/>
          <w:szCs w:val="32"/>
          <w:highlight w:val="none"/>
        </w:rPr>
      </w:pPr>
      <w:r>
        <w:rPr>
          <w:rFonts w:hint="eastAsia" w:asciiTheme="minorEastAsia" w:hAnsiTheme="minorEastAsia" w:eastAsiaTheme="minorEastAsia" w:cstheme="minorEastAsia"/>
          <w:b/>
          <w:color w:val="auto"/>
          <w:kern w:val="0"/>
          <w:sz w:val="32"/>
          <w:szCs w:val="32"/>
          <w:highlight w:val="none"/>
        </w:rPr>
        <w:t>分包意向协议</w:t>
      </w:r>
    </w:p>
    <w:p>
      <w:pPr>
        <w:widowControl/>
        <w:spacing w:line="360" w:lineRule="auto"/>
        <w:ind w:firstLine="120" w:firstLineChars="5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b/>
          <w:color w:val="auto"/>
          <w:sz w:val="24"/>
          <w:szCs w:val="24"/>
          <w:highlight w:val="none"/>
        </w:rPr>
        <w:t>中标后以分包方式履行合同的，提供分包意向协议；采购人不同意分包或者投标人中标后不以分包方式履行合同的，则不需要提供。</w:t>
      </w:r>
      <w:r>
        <w:rPr>
          <w:rFonts w:hint="eastAsia" w:asciiTheme="minorEastAsia" w:hAnsiTheme="minorEastAsia" w:eastAsiaTheme="minorEastAsia" w:cstheme="minorEastAsia"/>
          <w:color w:val="auto"/>
          <w:sz w:val="24"/>
          <w:szCs w:val="24"/>
          <w:highlight w:val="none"/>
        </w:rPr>
        <w:t>）</w:t>
      </w:r>
    </w:p>
    <w:p>
      <w:pPr>
        <w:snapToGrid w:val="0"/>
        <w:spacing w:line="360" w:lineRule="auto"/>
        <w:ind w:firstLine="576"/>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color w:val="auto"/>
          <w:kern w:val="0"/>
          <w:sz w:val="24"/>
          <w:szCs w:val="24"/>
          <w:highlight w:val="none"/>
          <w:u w:val="single"/>
        </w:rPr>
        <w:t>（投标人名称）</w:t>
      </w:r>
      <w:r>
        <w:rPr>
          <w:rFonts w:hint="eastAsia" w:asciiTheme="minorEastAsia" w:hAnsiTheme="minorEastAsia" w:eastAsiaTheme="minorEastAsia" w:cstheme="minorEastAsia"/>
          <w:color w:val="auto"/>
          <w:kern w:val="0"/>
          <w:sz w:val="24"/>
          <w:szCs w:val="24"/>
          <w:highlight w:val="none"/>
          <w:lang w:val="zh-CN"/>
        </w:rPr>
        <w:t>若成为</w:t>
      </w:r>
      <w:r>
        <w:rPr>
          <w:rFonts w:hint="eastAsia" w:asciiTheme="minorEastAsia" w:hAnsiTheme="minorEastAsia" w:eastAsiaTheme="minorEastAsia" w:cstheme="minorEastAsia"/>
          <w:color w:val="auto"/>
          <w:sz w:val="24"/>
          <w:szCs w:val="24"/>
          <w:highlight w:val="none"/>
        </w:rPr>
        <w:t>（项目名称）【招标编号：（采购编号）】</w:t>
      </w:r>
      <w:r>
        <w:rPr>
          <w:rFonts w:hint="eastAsia" w:asciiTheme="minorEastAsia" w:hAnsiTheme="minorEastAsia" w:eastAsiaTheme="minorEastAsia" w:cstheme="minorEastAsia"/>
          <w:color w:val="auto"/>
          <w:kern w:val="0"/>
          <w:sz w:val="24"/>
          <w:szCs w:val="24"/>
          <w:highlight w:val="none"/>
          <w:lang w:val="zh-CN"/>
        </w:rPr>
        <w:t>的中标供应商，将依法采取分包方式履行合同。</w:t>
      </w:r>
      <w:r>
        <w:rPr>
          <w:rFonts w:hint="eastAsia" w:asciiTheme="minorEastAsia" w:hAnsiTheme="minorEastAsia" w:eastAsiaTheme="minorEastAsia" w:cstheme="minorEastAsia"/>
          <w:color w:val="auto"/>
          <w:kern w:val="0"/>
          <w:sz w:val="24"/>
          <w:szCs w:val="24"/>
          <w:highlight w:val="none"/>
          <w:u w:val="single"/>
        </w:rPr>
        <w:t>（投标人名称）</w:t>
      </w:r>
      <w:r>
        <w:rPr>
          <w:rFonts w:hint="eastAsia" w:asciiTheme="minorEastAsia" w:hAnsiTheme="minorEastAsia" w:eastAsiaTheme="minorEastAsia" w:cstheme="minorEastAsia"/>
          <w:color w:val="auto"/>
          <w:kern w:val="0"/>
          <w:sz w:val="24"/>
          <w:szCs w:val="24"/>
          <w:highlight w:val="none"/>
        </w:rPr>
        <w:t>与</w:t>
      </w:r>
      <w:r>
        <w:rPr>
          <w:rFonts w:hint="eastAsia" w:asciiTheme="minorEastAsia" w:hAnsiTheme="minorEastAsia" w:eastAsiaTheme="minorEastAsia" w:cstheme="minorEastAsia"/>
          <w:color w:val="auto"/>
          <w:kern w:val="0"/>
          <w:sz w:val="24"/>
          <w:szCs w:val="24"/>
          <w:highlight w:val="none"/>
          <w:u w:val="single"/>
        </w:rPr>
        <w:t>（所有分包供应商名称）</w:t>
      </w:r>
      <w:r>
        <w:rPr>
          <w:rFonts w:hint="eastAsia" w:asciiTheme="minorEastAsia" w:hAnsiTheme="minorEastAsia" w:eastAsiaTheme="minorEastAsia" w:cstheme="minorEastAsia"/>
          <w:color w:val="auto"/>
          <w:kern w:val="0"/>
          <w:sz w:val="24"/>
          <w:szCs w:val="24"/>
          <w:highlight w:val="none"/>
        </w:rPr>
        <w:t>达成分包意向协议</w:t>
      </w:r>
      <w:r>
        <w:rPr>
          <w:rFonts w:hint="eastAsia" w:asciiTheme="minorEastAsia" w:hAnsiTheme="minorEastAsia" w:eastAsiaTheme="minorEastAsia" w:cstheme="minorEastAsia"/>
          <w:color w:val="auto"/>
          <w:kern w:val="0"/>
          <w:sz w:val="24"/>
          <w:szCs w:val="24"/>
          <w:highlight w:val="none"/>
          <w:lang w:val="zh-CN"/>
        </w:rPr>
        <w:t xml:space="preserve">。 </w:t>
      </w:r>
    </w:p>
    <w:p>
      <w:pPr>
        <w:snapToGrid w:val="0"/>
        <w:spacing w:line="360" w:lineRule="auto"/>
        <w:ind w:firstLine="576"/>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color w:val="auto"/>
          <w:kern w:val="0"/>
          <w:sz w:val="24"/>
          <w:szCs w:val="24"/>
          <w:highlight w:val="none"/>
          <w:lang w:val="zh-CN"/>
        </w:rPr>
        <w:t>一、分包标的及数量</w:t>
      </w:r>
    </w:p>
    <w:p>
      <w:pPr>
        <w:snapToGrid w:val="0"/>
        <w:spacing w:line="360" w:lineRule="auto"/>
        <w:ind w:firstLine="576"/>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color w:val="auto"/>
          <w:kern w:val="0"/>
          <w:sz w:val="24"/>
          <w:szCs w:val="24"/>
          <w:highlight w:val="none"/>
          <w:u w:val="single"/>
        </w:rPr>
        <w:t>（投标人名称）</w:t>
      </w:r>
      <w:r>
        <w:rPr>
          <w:rFonts w:hint="eastAsia" w:asciiTheme="minorEastAsia" w:hAnsiTheme="minorEastAsia" w:eastAsiaTheme="minorEastAsia" w:cstheme="minorEastAsia"/>
          <w:color w:val="auto"/>
          <w:kern w:val="0"/>
          <w:sz w:val="24"/>
          <w:szCs w:val="24"/>
          <w:highlight w:val="none"/>
          <w:lang w:val="zh-CN"/>
        </w:rPr>
        <w:t>将</w:t>
      </w:r>
      <w:r>
        <w:rPr>
          <w:rFonts w:hint="eastAsia" w:asciiTheme="minorEastAsia" w:hAnsiTheme="minorEastAsia" w:eastAsiaTheme="minorEastAsia" w:cstheme="minorEastAsia"/>
          <w:color w:val="auto"/>
          <w:sz w:val="24"/>
          <w:szCs w:val="24"/>
          <w:highlight w:val="none"/>
          <w:u w:val="single"/>
        </w:rPr>
        <w:t xml:space="preserve">   XX工作内容   </w:t>
      </w:r>
      <w:r>
        <w:rPr>
          <w:rFonts w:hint="eastAsia" w:asciiTheme="minorEastAsia" w:hAnsiTheme="minorEastAsia" w:eastAsiaTheme="minorEastAsia" w:cstheme="minorEastAsia"/>
          <w:color w:val="auto"/>
          <w:sz w:val="24"/>
          <w:szCs w:val="24"/>
          <w:highlight w:val="none"/>
        </w:rPr>
        <w:t>分包给</w:t>
      </w:r>
      <w:r>
        <w:rPr>
          <w:rFonts w:hint="eastAsia" w:asciiTheme="minorEastAsia" w:hAnsiTheme="minorEastAsia" w:eastAsiaTheme="minorEastAsia" w:cstheme="minorEastAsia"/>
          <w:color w:val="auto"/>
          <w:kern w:val="0"/>
          <w:sz w:val="24"/>
          <w:szCs w:val="24"/>
          <w:highlight w:val="none"/>
          <w:u w:val="single"/>
        </w:rPr>
        <w:t>（某分包供应商名称）</w:t>
      </w:r>
      <w:r>
        <w:rPr>
          <w:rFonts w:hint="eastAsia" w:asciiTheme="minorEastAsia" w:hAnsiTheme="minorEastAsia" w:eastAsiaTheme="minorEastAsia" w:cstheme="minorEastAsia"/>
          <w:color w:val="auto"/>
          <w:kern w:val="0"/>
          <w:sz w:val="24"/>
          <w:szCs w:val="24"/>
          <w:highlight w:val="none"/>
          <w:lang w:val="zh-CN"/>
        </w:rPr>
        <w:t>，</w:t>
      </w:r>
      <w:r>
        <w:rPr>
          <w:rFonts w:hint="eastAsia" w:asciiTheme="minorEastAsia" w:hAnsiTheme="minorEastAsia" w:eastAsiaTheme="minorEastAsia" w:cstheme="minorEastAsia"/>
          <w:color w:val="auto"/>
          <w:kern w:val="0"/>
          <w:sz w:val="24"/>
          <w:szCs w:val="24"/>
          <w:highlight w:val="none"/>
          <w:u w:val="single"/>
        </w:rPr>
        <w:t>（某分包供应商名称），</w:t>
      </w:r>
      <w:r>
        <w:rPr>
          <w:rFonts w:hint="eastAsia" w:asciiTheme="minorEastAsia" w:hAnsiTheme="minorEastAsia" w:eastAsiaTheme="minorEastAsia" w:cstheme="minorEastAsia"/>
          <w:color w:val="auto"/>
          <w:kern w:val="0"/>
          <w:sz w:val="24"/>
          <w:szCs w:val="24"/>
          <w:highlight w:val="none"/>
          <w:lang w:val="zh-CN"/>
        </w:rPr>
        <w:t>具备承</w:t>
      </w:r>
      <w:r>
        <w:rPr>
          <w:rFonts w:hint="eastAsia" w:asciiTheme="minorEastAsia" w:hAnsiTheme="minorEastAsia" w:eastAsiaTheme="minorEastAsia" w:cstheme="minorEastAsia"/>
          <w:color w:val="auto"/>
          <w:kern w:val="0"/>
          <w:sz w:val="24"/>
          <w:szCs w:val="24"/>
          <w:highlight w:val="none"/>
        </w:rPr>
        <w:t>担</w:t>
      </w:r>
      <w:r>
        <w:rPr>
          <w:rFonts w:hint="eastAsia" w:asciiTheme="minorEastAsia" w:hAnsiTheme="minorEastAsia" w:eastAsiaTheme="minorEastAsia" w:cstheme="minorEastAsia"/>
          <w:color w:val="auto"/>
          <w:kern w:val="0"/>
          <w:sz w:val="24"/>
          <w:szCs w:val="24"/>
          <w:highlight w:val="none"/>
          <w:u w:val="single"/>
          <w:lang w:val="zh-CN"/>
        </w:rPr>
        <w:t>XX工作内容</w:t>
      </w:r>
      <w:r>
        <w:rPr>
          <w:rFonts w:hint="eastAsia" w:asciiTheme="minorEastAsia" w:hAnsiTheme="minorEastAsia" w:eastAsiaTheme="minorEastAsia" w:cstheme="minorEastAsia"/>
          <w:color w:val="auto"/>
          <w:kern w:val="0"/>
          <w:sz w:val="24"/>
          <w:szCs w:val="24"/>
          <w:highlight w:val="none"/>
          <w:lang w:val="zh-CN"/>
        </w:rPr>
        <w:t>相应资质条件且不得再次分包；</w:t>
      </w:r>
    </w:p>
    <w:p>
      <w:pPr>
        <w:snapToGrid w:val="0"/>
        <w:spacing w:line="360" w:lineRule="auto"/>
        <w:ind w:firstLine="576"/>
        <w:rPr>
          <w:rFonts w:hint="eastAsia" w:asciiTheme="minorEastAsia" w:hAnsiTheme="minorEastAsia" w:eastAsiaTheme="minorEastAsia" w:cstheme="minorEastAsia"/>
          <w:color w:val="auto"/>
          <w:kern w:val="0"/>
          <w:sz w:val="24"/>
          <w:szCs w:val="24"/>
          <w:highlight w:val="none"/>
          <w:u w:val="single"/>
        </w:rPr>
      </w:pPr>
      <w:r>
        <w:rPr>
          <w:rFonts w:hint="eastAsia" w:asciiTheme="minorEastAsia" w:hAnsiTheme="minorEastAsia" w:eastAsiaTheme="minorEastAsia" w:cstheme="minorEastAsia"/>
          <w:color w:val="auto"/>
          <w:kern w:val="0"/>
          <w:sz w:val="24"/>
          <w:szCs w:val="24"/>
          <w:highlight w:val="none"/>
          <w:u w:val="single"/>
        </w:rPr>
        <w:t>……</w:t>
      </w:r>
    </w:p>
    <w:p>
      <w:pPr>
        <w:snapToGrid w:val="0"/>
        <w:spacing w:line="360" w:lineRule="auto"/>
        <w:ind w:firstLine="576"/>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color w:val="auto"/>
          <w:kern w:val="0"/>
          <w:sz w:val="24"/>
          <w:szCs w:val="24"/>
          <w:highlight w:val="none"/>
          <w:lang w:val="zh-CN"/>
        </w:rPr>
        <w:t>二、分包工作履行期限、地点、方式</w:t>
      </w:r>
    </w:p>
    <w:p>
      <w:pPr>
        <w:snapToGrid w:val="0"/>
        <w:spacing w:line="360" w:lineRule="auto"/>
        <w:ind w:firstLine="576"/>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u w:val="single"/>
        </w:rPr>
        <w:t xml:space="preserve">                                                                                  </w:t>
      </w:r>
    </w:p>
    <w:p>
      <w:pPr>
        <w:snapToGrid w:val="0"/>
        <w:spacing w:line="360" w:lineRule="auto"/>
        <w:ind w:firstLine="576"/>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color w:val="auto"/>
          <w:kern w:val="0"/>
          <w:sz w:val="24"/>
          <w:szCs w:val="24"/>
          <w:highlight w:val="none"/>
          <w:lang w:val="zh-CN"/>
        </w:rPr>
        <w:t>三、质量</w:t>
      </w:r>
    </w:p>
    <w:p>
      <w:pPr>
        <w:snapToGrid w:val="0"/>
        <w:spacing w:line="360" w:lineRule="auto"/>
        <w:ind w:firstLine="576"/>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color w:val="auto"/>
          <w:sz w:val="24"/>
          <w:szCs w:val="24"/>
          <w:highlight w:val="none"/>
          <w:u w:val="single"/>
        </w:rPr>
        <w:t xml:space="preserve">                                                                                       </w:t>
      </w:r>
    </w:p>
    <w:p>
      <w:pPr>
        <w:snapToGrid w:val="0"/>
        <w:spacing w:line="360" w:lineRule="auto"/>
        <w:ind w:firstLine="576"/>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color w:val="auto"/>
          <w:kern w:val="0"/>
          <w:sz w:val="24"/>
          <w:szCs w:val="24"/>
          <w:highlight w:val="none"/>
          <w:lang w:val="zh-CN"/>
        </w:rPr>
        <w:t>四、价款或者报酬</w:t>
      </w:r>
    </w:p>
    <w:p>
      <w:pPr>
        <w:snapToGrid w:val="0"/>
        <w:spacing w:line="360" w:lineRule="auto"/>
        <w:ind w:left="573" w:leftChars="273"/>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color w:val="auto"/>
          <w:sz w:val="24"/>
          <w:szCs w:val="24"/>
          <w:highlight w:val="none"/>
          <w:u w:val="single"/>
        </w:rPr>
        <w:t xml:space="preserve">                                                                                     </w:t>
      </w:r>
    </w:p>
    <w:p>
      <w:pPr>
        <w:snapToGrid w:val="0"/>
        <w:spacing w:line="360" w:lineRule="auto"/>
        <w:ind w:left="573" w:leftChars="273"/>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color w:val="auto"/>
          <w:kern w:val="0"/>
          <w:sz w:val="24"/>
          <w:szCs w:val="24"/>
          <w:highlight w:val="none"/>
          <w:lang w:val="zh-CN"/>
        </w:rPr>
        <w:t>五、违约责任</w:t>
      </w:r>
    </w:p>
    <w:p>
      <w:pPr>
        <w:snapToGrid w:val="0"/>
        <w:spacing w:line="360" w:lineRule="auto"/>
        <w:ind w:firstLine="576"/>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color w:val="auto"/>
          <w:sz w:val="24"/>
          <w:szCs w:val="24"/>
          <w:highlight w:val="none"/>
          <w:u w:val="single"/>
        </w:rPr>
        <w:t xml:space="preserve">                                                                                     </w:t>
      </w:r>
    </w:p>
    <w:p>
      <w:pPr>
        <w:snapToGrid w:val="0"/>
        <w:spacing w:line="360" w:lineRule="auto"/>
        <w:ind w:firstLine="576"/>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color w:val="auto"/>
          <w:kern w:val="0"/>
          <w:sz w:val="24"/>
          <w:szCs w:val="24"/>
          <w:highlight w:val="none"/>
          <w:lang w:val="zh-CN"/>
        </w:rPr>
        <w:t>六、争议解决的办法</w:t>
      </w:r>
    </w:p>
    <w:p>
      <w:pPr>
        <w:snapToGrid w:val="0"/>
        <w:spacing w:line="360" w:lineRule="auto"/>
        <w:ind w:firstLine="576"/>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color w:val="auto"/>
          <w:sz w:val="24"/>
          <w:szCs w:val="24"/>
          <w:highlight w:val="none"/>
          <w:u w:val="single"/>
        </w:rPr>
        <w:t xml:space="preserve">                                                                                  </w:t>
      </w:r>
    </w:p>
    <w:p>
      <w:pPr>
        <w:snapToGrid w:val="0"/>
        <w:spacing w:line="360" w:lineRule="auto"/>
        <w:ind w:firstLine="576"/>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color w:val="auto"/>
          <w:kern w:val="0"/>
          <w:sz w:val="24"/>
          <w:szCs w:val="24"/>
          <w:highlight w:val="none"/>
          <w:lang w:val="zh-CN"/>
        </w:rPr>
        <w:t>七、其他</w:t>
      </w:r>
    </w:p>
    <w:p>
      <w:pPr>
        <w:snapToGrid w:val="0"/>
        <w:spacing w:line="360" w:lineRule="auto"/>
        <w:ind w:firstLine="576"/>
        <w:rPr>
          <w:rFonts w:hint="eastAsia" w:asciiTheme="minorEastAsia" w:hAnsiTheme="minorEastAsia" w:eastAsiaTheme="minorEastAsia" w:cstheme="minorEastAsia"/>
          <w:b/>
          <w:color w:val="auto"/>
          <w:kern w:val="0"/>
          <w:sz w:val="24"/>
          <w:szCs w:val="24"/>
          <w:highlight w:val="none"/>
          <w:lang w:val="zh-CN"/>
        </w:rPr>
      </w:pPr>
      <w:r>
        <w:rPr>
          <w:rFonts w:hint="eastAsia" w:asciiTheme="minorEastAsia" w:hAnsiTheme="minorEastAsia" w:eastAsiaTheme="minorEastAsia" w:cstheme="minorEastAsia"/>
          <w:color w:val="auto"/>
          <w:kern w:val="0"/>
          <w:sz w:val="24"/>
          <w:szCs w:val="24"/>
          <w:highlight w:val="none"/>
          <w:u w:val="single"/>
        </w:rPr>
        <w:t>（分包供应商名称）提供的货物</w:t>
      </w:r>
      <w:r>
        <w:rPr>
          <w:rFonts w:hint="eastAsia" w:asciiTheme="minorEastAsia" w:hAnsiTheme="minorEastAsia" w:eastAsiaTheme="minorEastAsia" w:cstheme="minorEastAsia"/>
          <w:color w:val="auto"/>
          <w:kern w:val="0"/>
          <w:sz w:val="24"/>
          <w:szCs w:val="24"/>
          <w:highlight w:val="none"/>
          <w:u w:val="single"/>
          <w:lang w:val="en-US" w:eastAsia="zh-CN"/>
        </w:rPr>
        <w:t>/服务</w:t>
      </w:r>
      <w:r>
        <w:rPr>
          <w:rFonts w:hint="eastAsia" w:asciiTheme="minorEastAsia" w:hAnsiTheme="minorEastAsia" w:eastAsiaTheme="minorEastAsia" w:cstheme="minorEastAsia"/>
          <w:color w:val="auto"/>
          <w:kern w:val="0"/>
          <w:sz w:val="24"/>
          <w:szCs w:val="24"/>
          <w:highlight w:val="none"/>
          <w:u w:val="single"/>
        </w:rPr>
        <w:t>全部由小微企业制造</w:t>
      </w:r>
      <w:r>
        <w:rPr>
          <w:rFonts w:hint="eastAsia" w:asciiTheme="minorEastAsia" w:hAnsiTheme="minorEastAsia" w:eastAsiaTheme="minorEastAsia" w:cstheme="minorEastAsia"/>
          <w:color w:val="auto"/>
          <w:kern w:val="0"/>
          <w:sz w:val="24"/>
          <w:szCs w:val="24"/>
          <w:highlight w:val="none"/>
          <w:u w:val="single"/>
          <w:lang w:val="en-US" w:eastAsia="zh-CN"/>
        </w:rPr>
        <w:t>/服务</w:t>
      </w:r>
      <w:r>
        <w:rPr>
          <w:rFonts w:hint="eastAsia" w:asciiTheme="minorEastAsia" w:hAnsiTheme="minorEastAsia" w:eastAsiaTheme="minorEastAsia" w:cstheme="minorEastAsia"/>
          <w:color w:val="auto"/>
          <w:kern w:val="0"/>
          <w:sz w:val="24"/>
          <w:szCs w:val="24"/>
          <w:highlight w:val="none"/>
          <w:u w:val="single"/>
        </w:rPr>
        <w:t>，</w:t>
      </w:r>
      <w:r>
        <w:rPr>
          <w:rFonts w:hint="eastAsia" w:asciiTheme="minorEastAsia" w:hAnsiTheme="minorEastAsia" w:eastAsiaTheme="minorEastAsia" w:cstheme="minorEastAsia"/>
          <w:color w:val="auto"/>
          <w:kern w:val="0"/>
          <w:sz w:val="24"/>
          <w:szCs w:val="24"/>
          <w:highlight w:val="none"/>
        </w:rPr>
        <w:t>其合同份额占到合同总金额</w:t>
      </w:r>
      <w:r>
        <w:rPr>
          <w:rFonts w:hint="eastAsia" w:asciiTheme="minorEastAsia" w:hAnsiTheme="minorEastAsia" w:eastAsiaTheme="minorEastAsia" w:cstheme="minorEastAsia"/>
          <w:color w:val="auto"/>
          <w:kern w:val="0"/>
          <w:sz w:val="24"/>
          <w:szCs w:val="24"/>
          <w:highlight w:val="none"/>
          <w:u w:val="single"/>
        </w:rPr>
        <w:t xml:space="preserve">     </w:t>
      </w:r>
      <w:r>
        <w:rPr>
          <w:rFonts w:hint="eastAsia" w:asciiTheme="minorEastAsia" w:hAnsiTheme="minorEastAsia" w:eastAsiaTheme="minorEastAsia" w:cstheme="minorEastAsia"/>
          <w:color w:val="auto"/>
          <w:kern w:val="0"/>
          <w:sz w:val="24"/>
          <w:szCs w:val="24"/>
          <w:highlight w:val="none"/>
        </w:rPr>
        <w:t>%以上</w:t>
      </w:r>
      <w:r>
        <w:rPr>
          <w:rFonts w:hint="eastAsia" w:asciiTheme="minorEastAsia" w:hAnsiTheme="minorEastAsia" w:eastAsiaTheme="minorEastAsia" w:cstheme="minorEastAsia"/>
          <w:color w:val="auto"/>
          <w:sz w:val="24"/>
          <w:szCs w:val="24"/>
          <w:highlight w:val="none"/>
        </w:rPr>
        <w:t>。</w:t>
      </w:r>
    </w:p>
    <w:p>
      <w:pPr>
        <w:snapToGrid w:val="0"/>
        <w:spacing w:line="360" w:lineRule="auto"/>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color w:val="auto"/>
          <w:kern w:val="0"/>
          <w:sz w:val="24"/>
          <w:szCs w:val="24"/>
          <w:highlight w:val="none"/>
          <w:lang w:val="zh-CN"/>
        </w:rPr>
        <w:t xml:space="preserve">                                               投标人名称(盖章)：</w:t>
      </w:r>
    </w:p>
    <w:p>
      <w:pPr>
        <w:snapToGrid w:val="0"/>
        <w:spacing w:line="360" w:lineRule="auto"/>
        <w:ind w:firstLine="5640" w:firstLineChars="2350"/>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color w:val="auto"/>
          <w:kern w:val="0"/>
          <w:sz w:val="24"/>
          <w:szCs w:val="24"/>
          <w:highlight w:val="none"/>
          <w:lang w:val="zh-CN"/>
        </w:rPr>
        <w:t>分包供应商名称：</w:t>
      </w:r>
    </w:p>
    <w:p>
      <w:pPr>
        <w:snapToGrid w:val="0"/>
        <w:spacing w:line="360" w:lineRule="auto"/>
        <w:ind w:firstLine="5760" w:firstLineChars="24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val="zh-CN"/>
        </w:rPr>
        <w:t>……</w:t>
      </w:r>
    </w:p>
    <w:p>
      <w:pPr>
        <w:snapToGrid w:val="0"/>
        <w:spacing w:line="360" w:lineRule="auto"/>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color w:val="auto"/>
          <w:kern w:val="0"/>
          <w:sz w:val="24"/>
          <w:szCs w:val="24"/>
          <w:highlight w:val="none"/>
          <w:lang w:val="zh-CN"/>
        </w:rPr>
        <w:t xml:space="preserve">                                               日期：  年  月   日</w:t>
      </w:r>
    </w:p>
    <w:p>
      <w:pPr>
        <w:snapToGrid w:val="0"/>
        <w:spacing w:before="120" w:beforeLines="50" w:after="50" w:line="276"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p>
    <w:p>
      <w:pPr>
        <w:pStyle w:val="2"/>
        <w:keepNext/>
        <w:keepLines/>
        <w:pageBreakBefore/>
        <w:widowControl w:val="0"/>
        <w:kinsoku/>
        <w:wordWrap/>
        <w:overflowPunct/>
        <w:topLinePunct w:val="0"/>
        <w:autoSpaceDE/>
        <w:autoSpaceDN/>
        <w:bidi w:val="0"/>
        <w:adjustRightInd/>
        <w:snapToGrid/>
        <w:spacing w:line="416" w:lineRule="auto"/>
        <w:textAlignment w:val="auto"/>
        <w:rPr>
          <w:rFonts w:hint="eastAsia" w:ascii="宋体" w:hAnsi="宋体" w:eastAsia="宋体" w:cs="宋体"/>
          <w:b w:val="0"/>
          <w:color w:val="auto"/>
          <w:sz w:val="24"/>
          <w:szCs w:val="24"/>
          <w:highlight w:val="none"/>
        </w:rPr>
      </w:pPr>
      <w:bookmarkStart w:id="67" w:name="_Toc21035"/>
      <w:r>
        <w:rPr>
          <w:rFonts w:hint="eastAsia" w:ascii="宋体" w:hAnsi="宋体" w:eastAsia="宋体" w:cs="宋体"/>
          <w:b w:val="0"/>
          <w:color w:val="auto"/>
          <w:sz w:val="24"/>
          <w:szCs w:val="24"/>
          <w:highlight w:val="none"/>
        </w:rPr>
        <w:t>附件</w:t>
      </w:r>
      <w:r>
        <w:rPr>
          <w:rFonts w:hint="eastAsia" w:ascii="宋体" w:hAnsi="宋体" w:eastAsia="宋体" w:cs="宋体"/>
          <w:b w:val="0"/>
          <w:color w:val="auto"/>
          <w:sz w:val="24"/>
          <w:szCs w:val="24"/>
          <w:highlight w:val="none"/>
          <w:lang w:val="en-US" w:eastAsia="zh-CN"/>
        </w:rPr>
        <w:t>七</w:t>
      </w:r>
      <w:r>
        <w:rPr>
          <w:rFonts w:hint="eastAsia" w:ascii="宋体" w:hAnsi="宋体" w:eastAsia="宋体" w:cs="宋体"/>
          <w:b w:val="0"/>
          <w:color w:val="auto"/>
          <w:sz w:val="24"/>
          <w:szCs w:val="24"/>
          <w:highlight w:val="none"/>
        </w:rPr>
        <w:t>：投标人资信商务、技术自评得分表</w:t>
      </w:r>
      <w:bookmarkEnd w:id="67"/>
    </w:p>
    <w:p>
      <w:pPr>
        <w:snapToGrid w:val="0"/>
        <w:spacing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投标人资信商务、技术自评得分表</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3550"/>
        <w:gridCol w:w="3200"/>
        <w:gridCol w:w="916"/>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83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355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评分标准</w:t>
            </w:r>
          </w:p>
        </w:tc>
        <w:tc>
          <w:tcPr>
            <w:tcW w:w="320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得分内容</w:t>
            </w:r>
          </w:p>
        </w:tc>
        <w:tc>
          <w:tcPr>
            <w:tcW w:w="91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自评</w:t>
            </w:r>
          </w:p>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得分</w:t>
            </w:r>
          </w:p>
        </w:tc>
        <w:tc>
          <w:tcPr>
            <w:tcW w:w="121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3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3550" w:type="dxa"/>
            <w:vAlign w:val="center"/>
          </w:tcPr>
          <w:p>
            <w:pPr>
              <w:jc w:val="center"/>
              <w:rPr>
                <w:rFonts w:hint="eastAsia" w:ascii="宋体" w:hAnsi="宋体" w:eastAsia="宋体" w:cs="宋体"/>
                <w:color w:val="auto"/>
                <w:sz w:val="24"/>
                <w:highlight w:val="none"/>
              </w:rPr>
            </w:pPr>
          </w:p>
        </w:tc>
        <w:tc>
          <w:tcPr>
            <w:tcW w:w="3200" w:type="dxa"/>
            <w:vAlign w:val="center"/>
          </w:tcPr>
          <w:p>
            <w:pPr>
              <w:jc w:val="center"/>
              <w:rPr>
                <w:rFonts w:hint="eastAsia" w:ascii="宋体" w:hAnsi="宋体" w:eastAsia="宋体" w:cs="宋体"/>
                <w:color w:val="auto"/>
                <w:sz w:val="24"/>
                <w:highlight w:val="none"/>
              </w:rPr>
            </w:pPr>
          </w:p>
        </w:tc>
        <w:tc>
          <w:tcPr>
            <w:tcW w:w="916" w:type="dxa"/>
            <w:vAlign w:val="center"/>
          </w:tcPr>
          <w:p>
            <w:pPr>
              <w:jc w:val="center"/>
              <w:rPr>
                <w:rFonts w:hint="eastAsia" w:ascii="宋体" w:hAnsi="宋体" w:eastAsia="宋体" w:cs="宋体"/>
                <w:color w:val="auto"/>
                <w:sz w:val="24"/>
                <w:highlight w:val="none"/>
              </w:rPr>
            </w:pPr>
          </w:p>
        </w:tc>
        <w:tc>
          <w:tcPr>
            <w:tcW w:w="1219"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3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3550" w:type="dxa"/>
            <w:vAlign w:val="center"/>
          </w:tcPr>
          <w:p>
            <w:pPr>
              <w:jc w:val="center"/>
              <w:rPr>
                <w:rFonts w:hint="eastAsia" w:ascii="宋体" w:hAnsi="宋体" w:eastAsia="宋体" w:cs="宋体"/>
                <w:color w:val="auto"/>
                <w:sz w:val="24"/>
                <w:highlight w:val="none"/>
              </w:rPr>
            </w:pPr>
          </w:p>
        </w:tc>
        <w:tc>
          <w:tcPr>
            <w:tcW w:w="3200" w:type="dxa"/>
            <w:vAlign w:val="center"/>
          </w:tcPr>
          <w:p>
            <w:pPr>
              <w:jc w:val="center"/>
              <w:rPr>
                <w:rFonts w:hint="eastAsia" w:ascii="宋体" w:hAnsi="宋体" w:eastAsia="宋体" w:cs="宋体"/>
                <w:color w:val="auto"/>
                <w:sz w:val="24"/>
                <w:highlight w:val="none"/>
              </w:rPr>
            </w:pPr>
          </w:p>
        </w:tc>
        <w:tc>
          <w:tcPr>
            <w:tcW w:w="916" w:type="dxa"/>
            <w:vAlign w:val="center"/>
          </w:tcPr>
          <w:p>
            <w:pPr>
              <w:jc w:val="center"/>
              <w:rPr>
                <w:rFonts w:hint="eastAsia" w:ascii="宋体" w:hAnsi="宋体" w:eastAsia="宋体" w:cs="宋体"/>
                <w:color w:val="auto"/>
                <w:sz w:val="24"/>
                <w:highlight w:val="none"/>
              </w:rPr>
            </w:pPr>
          </w:p>
        </w:tc>
        <w:tc>
          <w:tcPr>
            <w:tcW w:w="1219"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3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3550" w:type="dxa"/>
            <w:vAlign w:val="center"/>
          </w:tcPr>
          <w:p>
            <w:pPr>
              <w:jc w:val="center"/>
              <w:rPr>
                <w:rFonts w:hint="eastAsia" w:ascii="宋体" w:hAnsi="宋体" w:eastAsia="宋体" w:cs="宋体"/>
                <w:color w:val="auto"/>
                <w:sz w:val="24"/>
                <w:highlight w:val="none"/>
              </w:rPr>
            </w:pPr>
          </w:p>
        </w:tc>
        <w:tc>
          <w:tcPr>
            <w:tcW w:w="3200" w:type="dxa"/>
            <w:vAlign w:val="center"/>
          </w:tcPr>
          <w:p>
            <w:pPr>
              <w:jc w:val="center"/>
              <w:rPr>
                <w:rFonts w:hint="eastAsia" w:ascii="宋体" w:hAnsi="宋体" w:eastAsia="宋体" w:cs="宋体"/>
                <w:color w:val="auto"/>
                <w:sz w:val="24"/>
                <w:highlight w:val="none"/>
              </w:rPr>
            </w:pPr>
          </w:p>
        </w:tc>
        <w:tc>
          <w:tcPr>
            <w:tcW w:w="916" w:type="dxa"/>
            <w:vAlign w:val="center"/>
          </w:tcPr>
          <w:p>
            <w:pPr>
              <w:jc w:val="center"/>
              <w:rPr>
                <w:rFonts w:hint="eastAsia" w:ascii="宋体" w:hAnsi="宋体" w:eastAsia="宋体" w:cs="宋体"/>
                <w:color w:val="auto"/>
                <w:sz w:val="24"/>
                <w:highlight w:val="none"/>
              </w:rPr>
            </w:pPr>
          </w:p>
        </w:tc>
        <w:tc>
          <w:tcPr>
            <w:tcW w:w="1219"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3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3550" w:type="dxa"/>
            <w:vAlign w:val="center"/>
          </w:tcPr>
          <w:p>
            <w:pPr>
              <w:jc w:val="center"/>
              <w:rPr>
                <w:rFonts w:hint="eastAsia" w:ascii="宋体" w:hAnsi="宋体" w:eastAsia="宋体" w:cs="宋体"/>
                <w:color w:val="auto"/>
                <w:sz w:val="24"/>
                <w:highlight w:val="none"/>
              </w:rPr>
            </w:pPr>
          </w:p>
        </w:tc>
        <w:tc>
          <w:tcPr>
            <w:tcW w:w="3200" w:type="dxa"/>
            <w:vAlign w:val="center"/>
          </w:tcPr>
          <w:p>
            <w:pPr>
              <w:jc w:val="center"/>
              <w:rPr>
                <w:rFonts w:hint="eastAsia" w:ascii="宋体" w:hAnsi="宋体" w:eastAsia="宋体" w:cs="宋体"/>
                <w:color w:val="auto"/>
                <w:sz w:val="24"/>
                <w:highlight w:val="none"/>
              </w:rPr>
            </w:pPr>
          </w:p>
        </w:tc>
        <w:tc>
          <w:tcPr>
            <w:tcW w:w="916" w:type="dxa"/>
            <w:vAlign w:val="center"/>
          </w:tcPr>
          <w:p>
            <w:pPr>
              <w:jc w:val="center"/>
              <w:rPr>
                <w:rFonts w:hint="eastAsia" w:ascii="宋体" w:hAnsi="宋体" w:eastAsia="宋体" w:cs="宋体"/>
                <w:color w:val="auto"/>
                <w:sz w:val="24"/>
                <w:highlight w:val="none"/>
              </w:rPr>
            </w:pPr>
          </w:p>
        </w:tc>
        <w:tc>
          <w:tcPr>
            <w:tcW w:w="1219"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3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3550" w:type="dxa"/>
            <w:vAlign w:val="center"/>
          </w:tcPr>
          <w:p>
            <w:pPr>
              <w:jc w:val="center"/>
              <w:rPr>
                <w:rFonts w:hint="eastAsia" w:ascii="宋体" w:hAnsi="宋体" w:eastAsia="宋体" w:cs="宋体"/>
                <w:color w:val="auto"/>
                <w:sz w:val="24"/>
                <w:highlight w:val="none"/>
              </w:rPr>
            </w:pPr>
          </w:p>
        </w:tc>
        <w:tc>
          <w:tcPr>
            <w:tcW w:w="3200" w:type="dxa"/>
            <w:vAlign w:val="center"/>
          </w:tcPr>
          <w:p>
            <w:pPr>
              <w:jc w:val="center"/>
              <w:rPr>
                <w:rFonts w:hint="eastAsia" w:ascii="宋体" w:hAnsi="宋体" w:eastAsia="宋体" w:cs="宋体"/>
                <w:color w:val="auto"/>
                <w:sz w:val="24"/>
                <w:highlight w:val="none"/>
              </w:rPr>
            </w:pPr>
          </w:p>
        </w:tc>
        <w:tc>
          <w:tcPr>
            <w:tcW w:w="916" w:type="dxa"/>
            <w:vAlign w:val="center"/>
          </w:tcPr>
          <w:p>
            <w:pPr>
              <w:jc w:val="center"/>
              <w:rPr>
                <w:rFonts w:hint="eastAsia" w:ascii="宋体" w:hAnsi="宋体" w:eastAsia="宋体" w:cs="宋体"/>
                <w:color w:val="auto"/>
                <w:sz w:val="24"/>
                <w:highlight w:val="none"/>
              </w:rPr>
            </w:pPr>
          </w:p>
        </w:tc>
        <w:tc>
          <w:tcPr>
            <w:tcW w:w="1219"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3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3550" w:type="dxa"/>
            <w:vAlign w:val="center"/>
          </w:tcPr>
          <w:p>
            <w:pPr>
              <w:jc w:val="center"/>
              <w:rPr>
                <w:rFonts w:hint="eastAsia" w:ascii="宋体" w:hAnsi="宋体" w:eastAsia="宋体" w:cs="宋体"/>
                <w:color w:val="auto"/>
                <w:sz w:val="24"/>
                <w:highlight w:val="none"/>
              </w:rPr>
            </w:pPr>
          </w:p>
        </w:tc>
        <w:tc>
          <w:tcPr>
            <w:tcW w:w="3200" w:type="dxa"/>
            <w:vAlign w:val="center"/>
          </w:tcPr>
          <w:p>
            <w:pPr>
              <w:jc w:val="center"/>
              <w:rPr>
                <w:rFonts w:hint="eastAsia" w:ascii="宋体" w:hAnsi="宋体" w:eastAsia="宋体" w:cs="宋体"/>
                <w:color w:val="auto"/>
                <w:sz w:val="24"/>
                <w:highlight w:val="none"/>
              </w:rPr>
            </w:pPr>
          </w:p>
        </w:tc>
        <w:tc>
          <w:tcPr>
            <w:tcW w:w="916" w:type="dxa"/>
            <w:vAlign w:val="center"/>
          </w:tcPr>
          <w:p>
            <w:pPr>
              <w:jc w:val="center"/>
              <w:rPr>
                <w:rFonts w:hint="eastAsia" w:ascii="宋体" w:hAnsi="宋体" w:eastAsia="宋体" w:cs="宋体"/>
                <w:color w:val="auto"/>
                <w:sz w:val="24"/>
                <w:highlight w:val="none"/>
              </w:rPr>
            </w:pPr>
          </w:p>
        </w:tc>
        <w:tc>
          <w:tcPr>
            <w:tcW w:w="1219"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3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3550" w:type="dxa"/>
            <w:vAlign w:val="center"/>
          </w:tcPr>
          <w:p>
            <w:pPr>
              <w:jc w:val="center"/>
              <w:rPr>
                <w:rFonts w:hint="eastAsia" w:ascii="宋体" w:hAnsi="宋体" w:eastAsia="宋体" w:cs="宋体"/>
                <w:color w:val="auto"/>
                <w:sz w:val="24"/>
                <w:highlight w:val="none"/>
              </w:rPr>
            </w:pPr>
          </w:p>
        </w:tc>
        <w:tc>
          <w:tcPr>
            <w:tcW w:w="3200" w:type="dxa"/>
            <w:vAlign w:val="center"/>
          </w:tcPr>
          <w:p>
            <w:pPr>
              <w:jc w:val="center"/>
              <w:rPr>
                <w:rFonts w:hint="eastAsia" w:ascii="宋体" w:hAnsi="宋体" w:eastAsia="宋体" w:cs="宋体"/>
                <w:color w:val="auto"/>
                <w:sz w:val="24"/>
                <w:highlight w:val="none"/>
              </w:rPr>
            </w:pPr>
          </w:p>
        </w:tc>
        <w:tc>
          <w:tcPr>
            <w:tcW w:w="916" w:type="dxa"/>
            <w:vAlign w:val="center"/>
          </w:tcPr>
          <w:p>
            <w:pPr>
              <w:jc w:val="center"/>
              <w:rPr>
                <w:rFonts w:hint="eastAsia" w:ascii="宋体" w:hAnsi="宋体" w:eastAsia="宋体" w:cs="宋体"/>
                <w:color w:val="auto"/>
                <w:sz w:val="24"/>
                <w:highlight w:val="none"/>
              </w:rPr>
            </w:pPr>
          </w:p>
        </w:tc>
        <w:tc>
          <w:tcPr>
            <w:tcW w:w="1219"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3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3550" w:type="dxa"/>
            <w:vAlign w:val="center"/>
          </w:tcPr>
          <w:p>
            <w:pPr>
              <w:jc w:val="center"/>
              <w:rPr>
                <w:rFonts w:hint="eastAsia" w:ascii="宋体" w:hAnsi="宋体" w:eastAsia="宋体" w:cs="宋体"/>
                <w:color w:val="auto"/>
                <w:sz w:val="24"/>
                <w:highlight w:val="none"/>
              </w:rPr>
            </w:pPr>
          </w:p>
        </w:tc>
        <w:tc>
          <w:tcPr>
            <w:tcW w:w="3200" w:type="dxa"/>
            <w:vAlign w:val="center"/>
          </w:tcPr>
          <w:p>
            <w:pPr>
              <w:jc w:val="center"/>
              <w:rPr>
                <w:rFonts w:hint="eastAsia" w:ascii="宋体" w:hAnsi="宋体" w:eastAsia="宋体" w:cs="宋体"/>
                <w:color w:val="auto"/>
                <w:sz w:val="24"/>
                <w:highlight w:val="none"/>
              </w:rPr>
            </w:pPr>
          </w:p>
        </w:tc>
        <w:tc>
          <w:tcPr>
            <w:tcW w:w="916" w:type="dxa"/>
            <w:vAlign w:val="center"/>
          </w:tcPr>
          <w:p>
            <w:pPr>
              <w:jc w:val="center"/>
              <w:rPr>
                <w:rFonts w:hint="eastAsia" w:ascii="宋体" w:hAnsi="宋体" w:eastAsia="宋体" w:cs="宋体"/>
                <w:color w:val="auto"/>
                <w:sz w:val="24"/>
                <w:highlight w:val="none"/>
              </w:rPr>
            </w:pPr>
          </w:p>
        </w:tc>
        <w:tc>
          <w:tcPr>
            <w:tcW w:w="1219"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3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3550" w:type="dxa"/>
            <w:vAlign w:val="center"/>
          </w:tcPr>
          <w:p>
            <w:pPr>
              <w:jc w:val="center"/>
              <w:rPr>
                <w:rFonts w:hint="eastAsia" w:ascii="宋体" w:hAnsi="宋体" w:eastAsia="宋体" w:cs="宋体"/>
                <w:color w:val="auto"/>
                <w:sz w:val="24"/>
                <w:highlight w:val="none"/>
              </w:rPr>
            </w:pPr>
          </w:p>
        </w:tc>
        <w:tc>
          <w:tcPr>
            <w:tcW w:w="3200" w:type="dxa"/>
            <w:vAlign w:val="center"/>
          </w:tcPr>
          <w:p>
            <w:pPr>
              <w:jc w:val="center"/>
              <w:rPr>
                <w:rFonts w:hint="eastAsia" w:ascii="宋体" w:hAnsi="宋体" w:eastAsia="宋体" w:cs="宋体"/>
                <w:color w:val="auto"/>
                <w:sz w:val="24"/>
                <w:highlight w:val="none"/>
              </w:rPr>
            </w:pPr>
          </w:p>
        </w:tc>
        <w:tc>
          <w:tcPr>
            <w:tcW w:w="916" w:type="dxa"/>
            <w:vAlign w:val="center"/>
          </w:tcPr>
          <w:p>
            <w:pPr>
              <w:jc w:val="center"/>
              <w:rPr>
                <w:rFonts w:hint="eastAsia" w:ascii="宋体" w:hAnsi="宋体" w:eastAsia="宋体" w:cs="宋体"/>
                <w:color w:val="auto"/>
                <w:sz w:val="24"/>
                <w:highlight w:val="none"/>
              </w:rPr>
            </w:pPr>
          </w:p>
        </w:tc>
        <w:tc>
          <w:tcPr>
            <w:tcW w:w="1219"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3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p>
        </w:tc>
        <w:tc>
          <w:tcPr>
            <w:tcW w:w="3550" w:type="dxa"/>
            <w:vAlign w:val="center"/>
          </w:tcPr>
          <w:p>
            <w:pPr>
              <w:jc w:val="center"/>
              <w:rPr>
                <w:rFonts w:hint="eastAsia" w:ascii="宋体" w:hAnsi="宋体" w:eastAsia="宋体" w:cs="宋体"/>
                <w:color w:val="auto"/>
                <w:sz w:val="24"/>
                <w:highlight w:val="none"/>
              </w:rPr>
            </w:pPr>
          </w:p>
        </w:tc>
        <w:tc>
          <w:tcPr>
            <w:tcW w:w="3200" w:type="dxa"/>
            <w:vAlign w:val="center"/>
          </w:tcPr>
          <w:p>
            <w:pPr>
              <w:jc w:val="center"/>
              <w:rPr>
                <w:rFonts w:hint="eastAsia" w:ascii="宋体" w:hAnsi="宋体" w:eastAsia="宋体" w:cs="宋体"/>
                <w:color w:val="auto"/>
                <w:sz w:val="24"/>
                <w:highlight w:val="none"/>
              </w:rPr>
            </w:pPr>
          </w:p>
        </w:tc>
        <w:tc>
          <w:tcPr>
            <w:tcW w:w="916" w:type="dxa"/>
            <w:vAlign w:val="center"/>
          </w:tcPr>
          <w:p>
            <w:pPr>
              <w:jc w:val="center"/>
              <w:rPr>
                <w:rFonts w:hint="eastAsia" w:ascii="宋体" w:hAnsi="宋体" w:eastAsia="宋体" w:cs="宋体"/>
                <w:color w:val="auto"/>
                <w:sz w:val="24"/>
                <w:highlight w:val="none"/>
              </w:rPr>
            </w:pPr>
          </w:p>
        </w:tc>
        <w:tc>
          <w:tcPr>
            <w:tcW w:w="1219"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3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p>
        </w:tc>
        <w:tc>
          <w:tcPr>
            <w:tcW w:w="3550" w:type="dxa"/>
            <w:vAlign w:val="center"/>
          </w:tcPr>
          <w:p>
            <w:pPr>
              <w:jc w:val="center"/>
              <w:rPr>
                <w:rFonts w:hint="eastAsia" w:ascii="宋体" w:hAnsi="宋体" w:eastAsia="宋体" w:cs="宋体"/>
                <w:color w:val="auto"/>
                <w:sz w:val="24"/>
                <w:highlight w:val="none"/>
              </w:rPr>
            </w:pPr>
          </w:p>
        </w:tc>
        <w:tc>
          <w:tcPr>
            <w:tcW w:w="3200" w:type="dxa"/>
            <w:vAlign w:val="center"/>
          </w:tcPr>
          <w:p>
            <w:pPr>
              <w:jc w:val="center"/>
              <w:rPr>
                <w:rFonts w:hint="eastAsia" w:ascii="宋体" w:hAnsi="宋体" w:eastAsia="宋体" w:cs="宋体"/>
                <w:color w:val="auto"/>
                <w:sz w:val="24"/>
                <w:highlight w:val="none"/>
              </w:rPr>
            </w:pPr>
          </w:p>
        </w:tc>
        <w:tc>
          <w:tcPr>
            <w:tcW w:w="916" w:type="dxa"/>
            <w:vAlign w:val="center"/>
          </w:tcPr>
          <w:p>
            <w:pPr>
              <w:jc w:val="center"/>
              <w:rPr>
                <w:rFonts w:hint="eastAsia" w:ascii="宋体" w:hAnsi="宋体" w:eastAsia="宋体" w:cs="宋体"/>
                <w:color w:val="auto"/>
                <w:sz w:val="24"/>
                <w:highlight w:val="none"/>
              </w:rPr>
            </w:pPr>
          </w:p>
        </w:tc>
        <w:tc>
          <w:tcPr>
            <w:tcW w:w="1219"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3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12</w:t>
            </w:r>
          </w:p>
        </w:tc>
        <w:tc>
          <w:tcPr>
            <w:tcW w:w="3550" w:type="dxa"/>
            <w:vAlign w:val="center"/>
          </w:tcPr>
          <w:p>
            <w:pPr>
              <w:jc w:val="center"/>
              <w:rPr>
                <w:rFonts w:hint="eastAsia" w:ascii="宋体" w:hAnsi="宋体" w:eastAsia="宋体" w:cs="宋体"/>
                <w:color w:val="auto"/>
                <w:sz w:val="24"/>
                <w:highlight w:val="none"/>
              </w:rPr>
            </w:pPr>
          </w:p>
        </w:tc>
        <w:tc>
          <w:tcPr>
            <w:tcW w:w="3200" w:type="dxa"/>
            <w:vAlign w:val="center"/>
          </w:tcPr>
          <w:p>
            <w:pPr>
              <w:jc w:val="center"/>
              <w:rPr>
                <w:rFonts w:hint="eastAsia" w:ascii="宋体" w:hAnsi="宋体" w:eastAsia="宋体" w:cs="宋体"/>
                <w:color w:val="auto"/>
                <w:sz w:val="24"/>
                <w:highlight w:val="none"/>
              </w:rPr>
            </w:pPr>
          </w:p>
        </w:tc>
        <w:tc>
          <w:tcPr>
            <w:tcW w:w="916" w:type="dxa"/>
            <w:vAlign w:val="center"/>
          </w:tcPr>
          <w:p>
            <w:pPr>
              <w:jc w:val="center"/>
              <w:rPr>
                <w:rFonts w:hint="eastAsia" w:ascii="宋体" w:hAnsi="宋体" w:eastAsia="宋体" w:cs="宋体"/>
                <w:color w:val="auto"/>
                <w:sz w:val="24"/>
                <w:highlight w:val="none"/>
              </w:rPr>
            </w:pPr>
          </w:p>
        </w:tc>
        <w:tc>
          <w:tcPr>
            <w:tcW w:w="1219"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3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13</w:t>
            </w:r>
          </w:p>
        </w:tc>
        <w:tc>
          <w:tcPr>
            <w:tcW w:w="3550" w:type="dxa"/>
            <w:vAlign w:val="center"/>
          </w:tcPr>
          <w:p>
            <w:pPr>
              <w:jc w:val="center"/>
              <w:rPr>
                <w:rFonts w:hint="eastAsia" w:ascii="宋体" w:hAnsi="宋体" w:eastAsia="宋体" w:cs="宋体"/>
                <w:color w:val="auto"/>
                <w:sz w:val="24"/>
                <w:highlight w:val="none"/>
              </w:rPr>
            </w:pPr>
          </w:p>
        </w:tc>
        <w:tc>
          <w:tcPr>
            <w:tcW w:w="3200" w:type="dxa"/>
            <w:vAlign w:val="center"/>
          </w:tcPr>
          <w:p>
            <w:pPr>
              <w:jc w:val="center"/>
              <w:rPr>
                <w:rFonts w:hint="eastAsia" w:ascii="宋体" w:hAnsi="宋体" w:eastAsia="宋体" w:cs="宋体"/>
                <w:color w:val="auto"/>
                <w:sz w:val="24"/>
                <w:highlight w:val="none"/>
              </w:rPr>
            </w:pPr>
          </w:p>
        </w:tc>
        <w:tc>
          <w:tcPr>
            <w:tcW w:w="916" w:type="dxa"/>
            <w:vAlign w:val="center"/>
          </w:tcPr>
          <w:p>
            <w:pPr>
              <w:jc w:val="center"/>
              <w:rPr>
                <w:rFonts w:hint="eastAsia" w:ascii="宋体" w:hAnsi="宋体" w:eastAsia="宋体" w:cs="宋体"/>
                <w:color w:val="auto"/>
                <w:sz w:val="24"/>
                <w:highlight w:val="none"/>
              </w:rPr>
            </w:pPr>
          </w:p>
        </w:tc>
        <w:tc>
          <w:tcPr>
            <w:tcW w:w="1219"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3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3550" w:type="dxa"/>
            <w:vAlign w:val="center"/>
          </w:tcPr>
          <w:p>
            <w:pPr>
              <w:jc w:val="center"/>
              <w:rPr>
                <w:rFonts w:hint="eastAsia" w:ascii="宋体" w:hAnsi="宋体" w:eastAsia="宋体" w:cs="宋体"/>
                <w:color w:val="auto"/>
                <w:sz w:val="24"/>
                <w:highlight w:val="none"/>
              </w:rPr>
            </w:pPr>
          </w:p>
        </w:tc>
        <w:tc>
          <w:tcPr>
            <w:tcW w:w="3200" w:type="dxa"/>
            <w:vAlign w:val="center"/>
          </w:tcPr>
          <w:p>
            <w:pPr>
              <w:jc w:val="center"/>
              <w:rPr>
                <w:rFonts w:hint="eastAsia" w:ascii="宋体" w:hAnsi="宋体" w:eastAsia="宋体" w:cs="宋体"/>
                <w:color w:val="auto"/>
                <w:sz w:val="24"/>
                <w:highlight w:val="none"/>
              </w:rPr>
            </w:pPr>
          </w:p>
        </w:tc>
        <w:tc>
          <w:tcPr>
            <w:tcW w:w="916" w:type="dxa"/>
            <w:vAlign w:val="center"/>
          </w:tcPr>
          <w:p>
            <w:pPr>
              <w:jc w:val="center"/>
              <w:rPr>
                <w:rFonts w:hint="eastAsia" w:ascii="宋体" w:hAnsi="宋体" w:eastAsia="宋体" w:cs="宋体"/>
                <w:color w:val="auto"/>
                <w:sz w:val="24"/>
                <w:highlight w:val="none"/>
              </w:rPr>
            </w:pPr>
          </w:p>
        </w:tc>
        <w:tc>
          <w:tcPr>
            <w:tcW w:w="1219" w:type="dxa"/>
            <w:vAlign w:val="center"/>
          </w:tcPr>
          <w:p>
            <w:pPr>
              <w:jc w:val="center"/>
              <w:rPr>
                <w:rFonts w:hint="eastAsia" w:ascii="宋体" w:hAnsi="宋体" w:eastAsia="宋体" w:cs="宋体"/>
                <w:color w:val="auto"/>
                <w:sz w:val="24"/>
                <w:highlight w:val="none"/>
              </w:rPr>
            </w:pPr>
          </w:p>
        </w:tc>
      </w:tr>
    </w:tbl>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投标人名称（盖章）：                         年   月    日</w:t>
      </w:r>
    </w:p>
    <w:p>
      <w:pPr>
        <w:pStyle w:val="2"/>
        <w:keepNext w:val="0"/>
        <w:keepLines w:val="0"/>
        <w:pageBreakBefore/>
        <w:rPr>
          <w:rFonts w:hint="eastAsia" w:ascii="宋体" w:hAnsi="宋体" w:eastAsia="宋体" w:cs="宋体"/>
          <w:b w:val="0"/>
          <w:color w:val="auto"/>
          <w:sz w:val="24"/>
          <w:szCs w:val="24"/>
          <w:highlight w:val="none"/>
        </w:rPr>
      </w:pPr>
      <w:bookmarkStart w:id="68" w:name="_Toc8239"/>
      <w:r>
        <w:rPr>
          <w:rFonts w:hint="eastAsia" w:ascii="宋体" w:hAnsi="宋体" w:eastAsia="宋体" w:cs="宋体"/>
          <w:b w:val="0"/>
          <w:color w:val="auto"/>
          <w:sz w:val="24"/>
          <w:szCs w:val="24"/>
          <w:highlight w:val="none"/>
        </w:rPr>
        <w:t>附件</w:t>
      </w:r>
      <w:r>
        <w:rPr>
          <w:rFonts w:hint="eastAsia" w:ascii="宋体" w:hAnsi="宋体" w:eastAsia="宋体" w:cs="宋体"/>
          <w:b w:val="0"/>
          <w:color w:val="auto"/>
          <w:sz w:val="24"/>
          <w:szCs w:val="24"/>
          <w:highlight w:val="none"/>
          <w:lang w:val="en-US" w:eastAsia="zh-CN"/>
        </w:rPr>
        <w:t>八</w:t>
      </w:r>
      <w:r>
        <w:rPr>
          <w:rFonts w:hint="eastAsia" w:ascii="宋体" w:hAnsi="宋体" w:eastAsia="宋体" w:cs="宋体"/>
          <w:b w:val="0"/>
          <w:color w:val="auto"/>
          <w:sz w:val="24"/>
          <w:szCs w:val="24"/>
          <w:highlight w:val="none"/>
        </w:rPr>
        <w:t>：商务响应表</w:t>
      </w:r>
      <w:bookmarkEnd w:id="68"/>
    </w:p>
    <w:p>
      <w:pPr>
        <w:snapToGrid w:val="0"/>
        <w:spacing w:line="360" w:lineRule="auto"/>
        <w:jc w:val="center"/>
        <w:rPr>
          <w:rFonts w:hint="eastAsia" w:ascii="宋体" w:hAnsi="宋体" w:eastAsia="宋体" w:cs="宋体"/>
          <w:b/>
          <w:color w:val="auto"/>
          <w:kern w:val="0"/>
          <w:sz w:val="32"/>
          <w:szCs w:val="32"/>
          <w:highlight w:val="none"/>
        </w:rPr>
      </w:pPr>
      <w:bookmarkStart w:id="69" w:name="_Toc496598991"/>
      <w:r>
        <w:rPr>
          <w:rFonts w:hint="eastAsia" w:ascii="宋体" w:hAnsi="宋体" w:eastAsia="宋体" w:cs="宋体"/>
          <w:b/>
          <w:color w:val="auto"/>
          <w:kern w:val="0"/>
          <w:sz w:val="32"/>
          <w:szCs w:val="32"/>
          <w:highlight w:val="none"/>
        </w:rPr>
        <w:t>商务响应表</w:t>
      </w:r>
    </w:p>
    <w:p>
      <w:pPr>
        <w:snapToGrid w:val="0"/>
        <w:spacing w:before="50" w:after="120" w:afterLines="50"/>
        <w:jc w:val="left"/>
        <w:rPr>
          <w:rFonts w:hint="eastAsia" w:ascii="宋体" w:hAnsi="宋体" w:eastAsia="宋体" w:cs="宋体"/>
          <w:color w:val="auto"/>
          <w:sz w:val="24"/>
          <w:highlight w:val="none"/>
          <w:u w:val="single"/>
        </w:rPr>
      </w:pPr>
    </w:p>
    <w:tbl>
      <w:tblPr>
        <w:tblStyle w:val="2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03"/>
        <w:gridCol w:w="2969"/>
        <w:gridCol w:w="1386"/>
        <w:gridCol w:w="33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70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w:t>
            </w:r>
          </w:p>
        </w:tc>
        <w:tc>
          <w:tcPr>
            <w:tcW w:w="29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招标文件要求</w:t>
            </w:r>
          </w:p>
        </w:tc>
        <w:tc>
          <w:tcPr>
            <w:tcW w:w="13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响应及偏离情况</w:t>
            </w:r>
          </w:p>
        </w:tc>
        <w:tc>
          <w:tcPr>
            <w:tcW w:w="33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70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highlight w:val="none"/>
              </w:rPr>
            </w:pPr>
          </w:p>
        </w:tc>
        <w:tc>
          <w:tcPr>
            <w:tcW w:w="296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332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70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highlight w:val="none"/>
              </w:rPr>
            </w:pPr>
          </w:p>
        </w:tc>
        <w:tc>
          <w:tcPr>
            <w:tcW w:w="296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332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70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highlight w:val="none"/>
              </w:rPr>
            </w:pPr>
          </w:p>
        </w:tc>
        <w:tc>
          <w:tcPr>
            <w:tcW w:w="296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332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70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highlight w:val="none"/>
              </w:rPr>
            </w:pPr>
          </w:p>
        </w:tc>
        <w:tc>
          <w:tcPr>
            <w:tcW w:w="296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332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170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highlight w:val="none"/>
              </w:rPr>
            </w:pPr>
          </w:p>
        </w:tc>
        <w:tc>
          <w:tcPr>
            <w:tcW w:w="296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332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70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highlight w:val="none"/>
              </w:rPr>
            </w:pPr>
          </w:p>
        </w:tc>
        <w:tc>
          <w:tcPr>
            <w:tcW w:w="296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332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70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highlight w:val="none"/>
              </w:rPr>
            </w:pPr>
          </w:p>
        </w:tc>
        <w:tc>
          <w:tcPr>
            <w:tcW w:w="296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332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70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highlight w:val="none"/>
              </w:rPr>
            </w:pPr>
          </w:p>
        </w:tc>
        <w:tc>
          <w:tcPr>
            <w:tcW w:w="296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332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70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highlight w:val="none"/>
              </w:rPr>
            </w:pPr>
          </w:p>
        </w:tc>
        <w:tc>
          <w:tcPr>
            <w:tcW w:w="296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332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70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highlight w:val="none"/>
              </w:rPr>
            </w:pPr>
          </w:p>
        </w:tc>
        <w:tc>
          <w:tcPr>
            <w:tcW w:w="296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332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bl>
    <w:p>
      <w:pPr>
        <w:snapToGrid w:val="0"/>
        <w:spacing w:before="120" w:beforeLines="50"/>
        <w:rPr>
          <w:rFonts w:hint="eastAsia" w:ascii="宋体" w:hAnsi="宋体" w:eastAsia="宋体" w:cs="宋体"/>
          <w:color w:val="auto"/>
          <w:sz w:val="24"/>
          <w:highlight w:val="none"/>
        </w:rPr>
      </w:pPr>
    </w:p>
    <w:p>
      <w:pPr>
        <w:snapToGrid w:val="0"/>
        <w:spacing w:before="50" w:after="50"/>
        <w:rPr>
          <w:rFonts w:hint="eastAsia" w:ascii="宋体" w:hAnsi="宋体" w:eastAsia="宋体" w:cs="宋体"/>
          <w:color w:val="auto"/>
          <w:spacing w:val="20"/>
          <w:sz w:val="24"/>
          <w:highlight w:val="none"/>
          <w:u w:val="single"/>
        </w:rPr>
      </w:pPr>
      <w:r>
        <w:rPr>
          <w:rFonts w:hint="eastAsia" w:ascii="宋体" w:hAnsi="宋体" w:eastAsia="宋体" w:cs="宋体"/>
          <w:color w:val="auto"/>
          <w:sz w:val="24"/>
          <w:highlight w:val="none"/>
        </w:rPr>
        <w:t>法定代表人或委托代理人签字</w:t>
      </w:r>
      <w:r>
        <w:rPr>
          <w:rFonts w:hint="eastAsia" w:ascii="宋体" w:hAnsi="宋体" w:eastAsia="宋体" w:cs="宋体"/>
          <w:color w:val="auto"/>
          <w:spacing w:val="20"/>
          <w:sz w:val="24"/>
          <w:highlight w:val="none"/>
        </w:rPr>
        <w:t>：</w:t>
      </w:r>
      <w:r>
        <w:rPr>
          <w:rFonts w:hint="eastAsia" w:ascii="宋体" w:hAnsi="宋体" w:eastAsia="宋体" w:cs="宋体"/>
          <w:color w:val="auto"/>
          <w:spacing w:val="20"/>
          <w:sz w:val="24"/>
          <w:highlight w:val="none"/>
          <w:u w:val="single"/>
        </w:rPr>
        <w:t xml:space="preserve">        </w:t>
      </w:r>
    </w:p>
    <w:p>
      <w:pPr>
        <w:snapToGrid w:val="0"/>
        <w:spacing w:before="120" w:beforeLines="50"/>
        <w:rPr>
          <w:rFonts w:hint="eastAsia" w:ascii="宋体" w:hAnsi="宋体" w:eastAsia="宋体" w:cs="宋体"/>
          <w:color w:val="auto"/>
          <w:sz w:val="24"/>
          <w:highlight w:val="none"/>
        </w:rPr>
      </w:pPr>
      <w:r>
        <w:rPr>
          <w:rFonts w:hint="eastAsia" w:ascii="宋体" w:hAnsi="宋体" w:eastAsia="宋体" w:cs="宋体"/>
          <w:color w:val="auto"/>
          <w:spacing w:val="20"/>
          <w:sz w:val="24"/>
          <w:highlight w:val="none"/>
        </w:rPr>
        <w:t>投标人盖章：</w:t>
      </w:r>
      <w:r>
        <w:rPr>
          <w:rFonts w:hint="eastAsia" w:ascii="宋体" w:hAnsi="宋体" w:eastAsia="宋体" w:cs="宋体"/>
          <w:color w:val="auto"/>
          <w:spacing w:val="20"/>
          <w:sz w:val="24"/>
          <w:highlight w:val="none"/>
          <w:u w:val="single"/>
        </w:rPr>
        <w:t xml:space="preserve">            </w:t>
      </w:r>
      <w:r>
        <w:rPr>
          <w:rFonts w:hint="eastAsia" w:ascii="宋体" w:hAnsi="宋体" w:eastAsia="宋体" w:cs="宋体"/>
          <w:color w:val="auto"/>
          <w:spacing w:val="20"/>
          <w:sz w:val="24"/>
          <w:highlight w:val="none"/>
        </w:rPr>
        <w:t xml:space="preserve">              日 期：</w:t>
      </w:r>
      <w:r>
        <w:rPr>
          <w:rFonts w:hint="eastAsia" w:ascii="宋体" w:hAnsi="宋体" w:eastAsia="宋体" w:cs="宋体"/>
          <w:color w:val="auto"/>
          <w:spacing w:val="20"/>
          <w:sz w:val="24"/>
          <w:highlight w:val="none"/>
          <w:u w:val="single"/>
        </w:rPr>
        <w:t xml:space="preserve">            </w:t>
      </w:r>
    </w:p>
    <w:p>
      <w:pPr>
        <w:rPr>
          <w:rFonts w:hint="eastAsia" w:ascii="宋体" w:hAnsi="宋体" w:eastAsia="宋体" w:cs="宋体"/>
          <w:color w:val="auto"/>
          <w:sz w:val="24"/>
          <w:highlight w:val="none"/>
        </w:rPr>
      </w:pPr>
    </w:p>
    <w:p>
      <w:pPr>
        <w:pStyle w:val="2"/>
        <w:keepNext w:val="0"/>
        <w:keepLines w:val="0"/>
        <w:pageBreakBefore/>
        <w:spacing w:line="415" w:lineRule="auto"/>
        <w:rPr>
          <w:rFonts w:hint="eastAsia" w:ascii="宋体" w:hAnsi="宋体" w:eastAsia="宋体" w:cs="宋体"/>
          <w:b w:val="0"/>
          <w:bCs w:val="0"/>
          <w:color w:val="auto"/>
          <w:sz w:val="24"/>
          <w:szCs w:val="24"/>
          <w:highlight w:val="none"/>
        </w:rPr>
      </w:pPr>
      <w:bookmarkStart w:id="70" w:name="_Toc12212"/>
      <w:r>
        <w:rPr>
          <w:rFonts w:hint="eastAsia" w:ascii="宋体" w:hAnsi="宋体" w:eastAsia="宋体" w:cs="宋体"/>
          <w:b w:val="0"/>
          <w:bCs w:val="0"/>
          <w:color w:val="auto"/>
          <w:sz w:val="24"/>
          <w:szCs w:val="24"/>
          <w:highlight w:val="none"/>
        </w:rPr>
        <w:t>附件</w:t>
      </w:r>
      <w:r>
        <w:rPr>
          <w:rFonts w:hint="eastAsia" w:ascii="宋体" w:hAnsi="宋体" w:eastAsia="宋体" w:cs="宋体"/>
          <w:b w:val="0"/>
          <w:bCs w:val="0"/>
          <w:color w:val="auto"/>
          <w:sz w:val="24"/>
          <w:szCs w:val="24"/>
          <w:highlight w:val="none"/>
          <w:lang w:val="en-US" w:eastAsia="zh-CN"/>
        </w:rPr>
        <w:t>九</w:t>
      </w:r>
      <w:r>
        <w:rPr>
          <w:rFonts w:hint="eastAsia" w:ascii="宋体" w:hAnsi="宋体" w:eastAsia="宋体" w:cs="宋体"/>
          <w:b w:val="0"/>
          <w:bCs w:val="0"/>
          <w:color w:val="auto"/>
          <w:sz w:val="24"/>
          <w:szCs w:val="24"/>
          <w:highlight w:val="none"/>
        </w:rPr>
        <w:t>：</w:t>
      </w:r>
      <w:bookmarkEnd w:id="69"/>
      <w:r>
        <w:rPr>
          <w:rFonts w:hint="eastAsia" w:ascii="宋体" w:hAnsi="宋体" w:eastAsia="宋体" w:cs="宋体"/>
          <w:b w:val="0"/>
          <w:bCs w:val="0"/>
          <w:color w:val="auto"/>
          <w:sz w:val="24"/>
          <w:szCs w:val="24"/>
          <w:highlight w:val="none"/>
        </w:rPr>
        <w:t>技术响应表</w:t>
      </w:r>
      <w:bookmarkEnd w:id="70"/>
    </w:p>
    <w:p>
      <w:pPr>
        <w:snapToGrid w:val="0"/>
        <w:spacing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技术响应表</w:t>
      </w:r>
    </w:p>
    <w:p>
      <w:pPr>
        <w:snapToGrid w:val="0"/>
        <w:spacing w:before="50" w:after="120" w:afterLine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招标编号：</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2004"/>
        <w:gridCol w:w="2113"/>
        <w:gridCol w:w="1750"/>
        <w:gridCol w:w="2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9" w:hRule="atLeast"/>
          <w:jc w:val="center"/>
        </w:trPr>
        <w:tc>
          <w:tcPr>
            <w:tcW w:w="9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20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内  容</w:t>
            </w:r>
          </w:p>
        </w:tc>
        <w:tc>
          <w:tcPr>
            <w:tcW w:w="21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招标文件</w:t>
            </w:r>
          </w:p>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规范要求</w:t>
            </w:r>
          </w:p>
        </w:tc>
        <w:tc>
          <w:tcPr>
            <w:tcW w:w="17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w:t>
            </w:r>
          </w:p>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对应规范</w:t>
            </w:r>
          </w:p>
        </w:tc>
        <w:tc>
          <w:tcPr>
            <w:tcW w:w="25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偏离情况</w:t>
            </w:r>
          </w:p>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（注明正偏离、负偏离或无偏离）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bl>
    <w:p>
      <w:pPr>
        <w:snapToGrid w:val="0"/>
        <w:spacing w:before="50" w:after="50"/>
        <w:rPr>
          <w:rFonts w:hint="eastAsia" w:ascii="宋体" w:hAnsi="宋体" w:eastAsia="宋体" w:cs="宋体"/>
          <w:b/>
          <w:bCs/>
          <w:color w:val="auto"/>
          <w:sz w:val="24"/>
          <w:highlight w:val="none"/>
        </w:rPr>
      </w:pPr>
    </w:p>
    <w:p>
      <w:pPr>
        <w:snapToGrid w:val="0"/>
        <w:spacing w:before="50" w:after="50"/>
        <w:rPr>
          <w:rFonts w:hint="eastAsia" w:ascii="宋体" w:hAnsi="宋体" w:eastAsia="宋体" w:cs="宋体"/>
          <w:b/>
          <w:bCs/>
          <w:color w:val="auto"/>
          <w:spacing w:val="20"/>
          <w:sz w:val="24"/>
          <w:highlight w:val="none"/>
        </w:rPr>
      </w:pPr>
      <w:r>
        <w:rPr>
          <w:rFonts w:hint="eastAsia" w:ascii="宋体" w:hAnsi="宋体" w:eastAsia="宋体" w:cs="宋体"/>
          <w:b/>
          <w:bCs/>
          <w:color w:val="auto"/>
          <w:sz w:val="24"/>
          <w:highlight w:val="none"/>
        </w:rPr>
        <w:t>注：投标人应根据投标货物的性能指标、对照招标文件要求在“偏离情况”栏注明“正偏离”、“负偏离”或“无偏离”。</w:t>
      </w:r>
    </w:p>
    <w:p>
      <w:pPr>
        <w:snapToGrid w:val="0"/>
        <w:spacing w:before="50" w:after="50"/>
        <w:rPr>
          <w:rFonts w:hint="eastAsia" w:ascii="宋体" w:hAnsi="宋体" w:eastAsia="宋体" w:cs="宋体"/>
          <w:color w:val="auto"/>
          <w:spacing w:val="20"/>
          <w:sz w:val="24"/>
          <w:highlight w:val="none"/>
        </w:rPr>
      </w:pPr>
    </w:p>
    <w:p>
      <w:pPr>
        <w:snapToGrid w:val="0"/>
        <w:spacing w:before="50" w:after="50"/>
        <w:rPr>
          <w:rFonts w:hint="eastAsia" w:ascii="宋体" w:hAnsi="宋体" w:eastAsia="宋体" w:cs="宋体"/>
          <w:color w:val="auto"/>
          <w:spacing w:val="20"/>
          <w:sz w:val="24"/>
          <w:highlight w:val="none"/>
          <w:u w:val="single"/>
        </w:rPr>
      </w:pPr>
      <w:r>
        <w:rPr>
          <w:rFonts w:hint="eastAsia" w:ascii="宋体" w:hAnsi="宋体" w:eastAsia="宋体" w:cs="宋体"/>
          <w:color w:val="auto"/>
          <w:sz w:val="24"/>
          <w:highlight w:val="none"/>
        </w:rPr>
        <w:t>法定代表人或委托代理人签字</w:t>
      </w:r>
      <w:r>
        <w:rPr>
          <w:rFonts w:hint="eastAsia" w:ascii="宋体" w:hAnsi="宋体" w:eastAsia="宋体" w:cs="宋体"/>
          <w:color w:val="auto"/>
          <w:spacing w:val="20"/>
          <w:sz w:val="24"/>
          <w:highlight w:val="none"/>
        </w:rPr>
        <w:t>：</w:t>
      </w:r>
      <w:r>
        <w:rPr>
          <w:rFonts w:hint="eastAsia" w:ascii="宋体" w:hAnsi="宋体" w:eastAsia="宋体" w:cs="宋体"/>
          <w:color w:val="auto"/>
          <w:spacing w:val="20"/>
          <w:sz w:val="24"/>
          <w:highlight w:val="none"/>
          <w:u w:val="single"/>
        </w:rPr>
        <w:t xml:space="preserve">        </w:t>
      </w:r>
    </w:p>
    <w:p>
      <w:pPr>
        <w:snapToGrid w:val="0"/>
        <w:spacing w:before="50" w:after="50"/>
        <w:rPr>
          <w:rFonts w:hint="eastAsia" w:ascii="宋体" w:hAnsi="宋体" w:eastAsia="宋体" w:cs="宋体"/>
          <w:color w:val="auto"/>
          <w:sz w:val="24"/>
          <w:highlight w:val="none"/>
        </w:rPr>
      </w:pPr>
      <w:r>
        <w:rPr>
          <w:rFonts w:hint="eastAsia" w:ascii="宋体" w:hAnsi="宋体" w:eastAsia="宋体" w:cs="宋体"/>
          <w:color w:val="auto"/>
          <w:spacing w:val="20"/>
          <w:sz w:val="24"/>
          <w:highlight w:val="none"/>
        </w:rPr>
        <w:t>投标人盖章：</w:t>
      </w:r>
      <w:r>
        <w:rPr>
          <w:rFonts w:hint="eastAsia" w:ascii="宋体" w:hAnsi="宋体" w:eastAsia="宋体" w:cs="宋体"/>
          <w:color w:val="auto"/>
          <w:spacing w:val="20"/>
          <w:sz w:val="24"/>
          <w:highlight w:val="none"/>
          <w:u w:val="single"/>
        </w:rPr>
        <w:t xml:space="preserve">            </w:t>
      </w:r>
      <w:r>
        <w:rPr>
          <w:rFonts w:hint="eastAsia" w:ascii="宋体" w:hAnsi="宋体" w:eastAsia="宋体" w:cs="宋体"/>
          <w:color w:val="auto"/>
          <w:spacing w:val="20"/>
          <w:sz w:val="24"/>
          <w:highlight w:val="none"/>
        </w:rPr>
        <w:t xml:space="preserve">              日 期：</w:t>
      </w:r>
      <w:r>
        <w:rPr>
          <w:rFonts w:hint="eastAsia" w:ascii="宋体" w:hAnsi="宋体" w:eastAsia="宋体" w:cs="宋体"/>
          <w:color w:val="auto"/>
          <w:spacing w:val="20"/>
          <w:sz w:val="24"/>
          <w:highlight w:val="none"/>
          <w:u w:val="single"/>
        </w:rPr>
        <w:t xml:space="preserve">            </w:t>
      </w:r>
    </w:p>
    <w:p>
      <w:pPr>
        <w:snapToGrid w:val="0"/>
        <w:spacing w:before="50" w:after="120" w:afterLines="50"/>
        <w:jc w:val="left"/>
        <w:rPr>
          <w:rFonts w:hint="eastAsia" w:ascii="宋体" w:hAnsi="宋体" w:eastAsia="宋体" w:cs="宋体"/>
          <w:color w:val="auto"/>
          <w:sz w:val="24"/>
          <w:highlight w:val="none"/>
        </w:rPr>
      </w:pPr>
    </w:p>
    <w:p>
      <w:pPr>
        <w:spacing w:before="260" w:after="260" w:line="415" w:lineRule="auto"/>
        <w:rPr>
          <w:rFonts w:hint="eastAsia" w:ascii="宋体" w:hAnsi="宋体" w:eastAsia="宋体" w:cs="宋体"/>
          <w:bCs/>
          <w:color w:val="auto"/>
          <w:sz w:val="24"/>
          <w:highlight w:val="none"/>
        </w:rPr>
      </w:pPr>
    </w:p>
    <w:p>
      <w:pPr>
        <w:spacing w:before="260" w:after="260" w:line="415" w:lineRule="auto"/>
        <w:rPr>
          <w:rFonts w:hint="eastAsia" w:ascii="宋体" w:hAnsi="宋体" w:eastAsia="宋体" w:cs="宋体"/>
          <w:bCs/>
          <w:color w:val="auto"/>
          <w:sz w:val="24"/>
          <w:highlight w:val="none"/>
        </w:rPr>
      </w:pPr>
    </w:p>
    <w:p>
      <w:pPr>
        <w:spacing w:before="260" w:after="260" w:line="415" w:lineRule="auto"/>
        <w:rPr>
          <w:rFonts w:hint="eastAsia" w:ascii="宋体" w:hAnsi="宋体" w:eastAsia="宋体" w:cs="宋体"/>
          <w:bCs/>
          <w:color w:val="auto"/>
          <w:sz w:val="24"/>
          <w:highlight w:val="none"/>
        </w:rPr>
      </w:pPr>
    </w:p>
    <w:p>
      <w:pPr>
        <w:pStyle w:val="2"/>
        <w:keepNext w:val="0"/>
        <w:keepLines w:val="0"/>
        <w:pageBreakBefore/>
        <w:spacing w:line="415" w:lineRule="auto"/>
        <w:rPr>
          <w:rFonts w:hint="eastAsia" w:ascii="宋体" w:hAnsi="宋体" w:eastAsia="宋体" w:cs="宋体"/>
          <w:b w:val="0"/>
          <w:bCs w:val="0"/>
          <w:color w:val="auto"/>
          <w:sz w:val="24"/>
          <w:szCs w:val="24"/>
          <w:highlight w:val="none"/>
        </w:rPr>
      </w:pPr>
      <w:bookmarkStart w:id="71" w:name="_Toc13037828"/>
      <w:bookmarkStart w:id="72" w:name="_Toc14942615"/>
      <w:bookmarkStart w:id="73" w:name="_Toc14644"/>
      <w:bookmarkStart w:id="74" w:name="_Toc15716"/>
      <w:bookmarkStart w:id="75" w:name="_Toc14790"/>
      <w:bookmarkStart w:id="76" w:name="_Toc26980"/>
      <w:bookmarkStart w:id="77" w:name="_Toc29497"/>
      <w:r>
        <w:rPr>
          <w:rFonts w:hint="eastAsia" w:ascii="宋体" w:hAnsi="宋体" w:eastAsia="宋体" w:cs="宋体"/>
          <w:b w:val="0"/>
          <w:bCs w:val="0"/>
          <w:color w:val="auto"/>
          <w:sz w:val="24"/>
          <w:szCs w:val="24"/>
          <w:highlight w:val="none"/>
        </w:rPr>
        <w:t>附件</w:t>
      </w:r>
      <w:r>
        <w:rPr>
          <w:rFonts w:hint="eastAsia" w:ascii="宋体" w:hAnsi="宋体" w:eastAsia="宋体" w:cs="宋体"/>
          <w:b w:val="0"/>
          <w:bCs w:val="0"/>
          <w:color w:val="auto"/>
          <w:sz w:val="24"/>
          <w:szCs w:val="24"/>
          <w:highlight w:val="none"/>
          <w:lang w:val="en-US" w:eastAsia="zh-CN"/>
        </w:rPr>
        <w:t>十</w:t>
      </w:r>
      <w:r>
        <w:rPr>
          <w:rFonts w:hint="eastAsia" w:ascii="宋体" w:hAnsi="宋体" w:eastAsia="宋体" w:cs="宋体"/>
          <w:b w:val="0"/>
          <w:bCs w:val="0"/>
          <w:color w:val="auto"/>
          <w:sz w:val="24"/>
          <w:szCs w:val="24"/>
          <w:highlight w:val="none"/>
        </w:rPr>
        <w:t>：</w:t>
      </w:r>
      <w:bookmarkEnd w:id="71"/>
      <w:bookmarkEnd w:id="72"/>
      <w:bookmarkEnd w:id="73"/>
      <w:bookmarkEnd w:id="74"/>
      <w:r>
        <w:rPr>
          <w:rFonts w:hint="eastAsia" w:ascii="宋体" w:hAnsi="宋体" w:eastAsia="宋体" w:cs="宋体"/>
          <w:b w:val="0"/>
          <w:bCs w:val="0"/>
          <w:color w:val="auto"/>
          <w:sz w:val="24"/>
          <w:szCs w:val="24"/>
          <w:highlight w:val="none"/>
        </w:rPr>
        <w:t>服务项目组成员及简介</w:t>
      </w:r>
      <w:bookmarkEnd w:id="75"/>
      <w:bookmarkEnd w:id="76"/>
    </w:p>
    <w:p>
      <w:pPr>
        <w:jc w:val="center"/>
        <w:rPr>
          <w:rFonts w:hint="eastAsia" w:ascii="宋体" w:hAnsi="宋体"/>
          <w:b/>
          <w:color w:val="auto"/>
          <w:sz w:val="28"/>
          <w:highlight w:val="none"/>
        </w:rPr>
      </w:pPr>
      <w:r>
        <w:rPr>
          <w:rFonts w:hint="eastAsia" w:ascii="宋体" w:hAnsi="宋体"/>
          <w:b/>
          <w:color w:val="auto"/>
          <w:sz w:val="28"/>
          <w:highlight w:val="none"/>
        </w:rPr>
        <w:t>服务项目组成员及简介</w:t>
      </w:r>
    </w:p>
    <w:p>
      <w:pPr>
        <w:rPr>
          <w:rFonts w:hint="eastAsia" w:ascii="宋体" w:hAnsi="宋体"/>
          <w:b/>
          <w:color w:val="auto"/>
          <w:sz w:val="24"/>
          <w:highlight w:val="none"/>
        </w:rPr>
      </w:pPr>
      <w:r>
        <w:rPr>
          <w:rFonts w:hint="eastAsia" w:ascii="宋体" w:hAnsi="宋体"/>
          <w:b/>
          <w:color w:val="auto"/>
          <w:sz w:val="24"/>
          <w:highlight w:val="none"/>
        </w:rPr>
        <w:t>项目名称：</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1735"/>
        <w:gridCol w:w="608"/>
        <w:gridCol w:w="577"/>
        <w:gridCol w:w="965"/>
        <w:gridCol w:w="772"/>
        <w:gridCol w:w="1158"/>
        <w:gridCol w:w="1158"/>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081" w:type="dxa"/>
            <w:tcBorders>
              <w:top w:val="single" w:color="auto" w:sz="12" w:space="0"/>
              <w:left w:val="single" w:color="auto" w:sz="12" w:space="0"/>
              <w:bottom w:val="single" w:color="auto" w:sz="12" w:space="0"/>
            </w:tcBorders>
            <w:noWrap w:val="0"/>
            <w:vAlign w:val="center"/>
          </w:tcPr>
          <w:p>
            <w:pPr>
              <w:rPr>
                <w:rFonts w:hint="eastAsia" w:ascii="宋体" w:hAnsi="宋体"/>
                <w:color w:val="auto"/>
                <w:sz w:val="24"/>
                <w:highlight w:val="none"/>
              </w:rPr>
            </w:pPr>
            <w:r>
              <w:rPr>
                <w:rFonts w:hint="eastAsia" w:ascii="宋体" w:hAnsi="宋体"/>
                <w:color w:val="auto"/>
                <w:sz w:val="24"/>
                <w:highlight w:val="none"/>
              </w:rPr>
              <w:t>姓  名</w:t>
            </w:r>
          </w:p>
        </w:tc>
        <w:tc>
          <w:tcPr>
            <w:tcW w:w="1735" w:type="dxa"/>
            <w:tcBorders>
              <w:top w:val="single" w:color="auto" w:sz="12" w:space="0"/>
              <w:bottom w:val="single" w:color="auto" w:sz="12" w:space="0"/>
            </w:tcBorders>
            <w:noWrap w:val="0"/>
            <w:vAlign w:val="center"/>
          </w:tcPr>
          <w:p>
            <w:pPr>
              <w:rPr>
                <w:rFonts w:hint="eastAsia" w:ascii="宋体" w:hAnsi="宋体"/>
                <w:color w:val="auto"/>
                <w:sz w:val="24"/>
                <w:highlight w:val="none"/>
              </w:rPr>
            </w:pPr>
            <w:r>
              <w:rPr>
                <w:rFonts w:hint="eastAsia" w:ascii="宋体" w:hAnsi="宋体"/>
                <w:color w:val="auto"/>
                <w:sz w:val="24"/>
                <w:highlight w:val="none"/>
              </w:rPr>
              <w:t>本项目拟</w:t>
            </w:r>
          </w:p>
          <w:p>
            <w:pPr>
              <w:rPr>
                <w:rFonts w:hint="eastAsia" w:ascii="宋体" w:hAnsi="宋体"/>
                <w:color w:val="auto"/>
                <w:sz w:val="24"/>
                <w:highlight w:val="none"/>
              </w:rPr>
            </w:pPr>
            <w:r>
              <w:rPr>
                <w:rFonts w:hint="eastAsia" w:ascii="宋体" w:hAnsi="宋体"/>
                <w:color w:val="auto"/>
                <w:sz w:val="24"/>
                <w:highlight w:val="none"/>
              </w:rPr>
              <w:t>任岗位</w:t>
            </w:r>
          </w:p>
        </w:tc>
        <w:tc>
          <w:tcPr>
            <w:tcW w:w="608" w:type="dxa"/>
            <w:tcBorders>
              <w:top w:val="single" w:color="auto" w:sz="12" w:space="0"/>
              <w:bottom w:val="single" w:color="auto" w:sz="12" w:space="0"/>
            </w:tcBorders>
            <w:noWrap w:val="0"/>
            <w:vAlign w:val="center"/>
          </w:tcPr>
          <w:p>
            <w:pPr>
              <w:rPr>
                <w:rFonts w:hint="eastAsia" w:ascii="宋体" w:hAnsi="宋体"/>
                <w:color w:val="auto"/>
                <w:sz w:val="24"/>
                <w:highlight w:val="none"/>
              </w:rPr>
            </w:pPr>
            <w:r>
              <w:rPr>
                <w:rFonts w:hint="eastAsia" w:ascii="宋体" w:hAnsi="宋体"/>
                <w:color w:val="auto"/>
                <w:sz w:val="24"/>
                <w:highlight w:val="none"/>
              </w:rPr>
              <w:t>年龄</w:t>
            </w:r>
          </w:p>
        </w:tc>
        <w:tc>
          <w:tcPr>
            <w:tcW w:w="577" w:type="dxa"/>
            <w:tcBorders>
              <w:top w:val="single" w:color="auto" w:sz="12" w:space="0"/>
              <w:bottom w:val="single" w:color="auto" w:sz="12" w:space="0"/>
            </w:tcBorders>
            <w:noWrap w:val="0"/>
            <w:vAlign w:val="center"/>
          </w:tcPr>
          <w:p>
            <w:pPr>
              <w:rPr>
                <w:rFonts w:hint="eastAsia" w:ascii="宋体" w:hAnsi="宋体"/>
                <w:color w:val="auto"/>
                <w:sz w:val="24"/>
                <w:highlight w:val="none"/>
              </w:rPr>
            </w:pPr>
            <w:r>
              <w:rPr>
                <w:rFonts w:hint="eastAsia" w:ascii="宋体" w:hAnsi="宋体"/>
                <w:color w:val="auto"/>
                <w:sz w:val="24"/>
                <w:highlight w:val="none"/>
              </w:rPr>
              <w:t>性别</w:t>
            </w:r>
          </w:p>
        </w:tc>
        <w:tc>
          <w:tcPr>
            <w:tcW w:w="965" w:type="dxa"/>
            <w:tcBorders>
              <w:top w:val="single" w:color="auto" w:sz="12" w:space="0"/>
              <w:bottom w:val="single" w:color="auto" w:sz="12" w:space="0"/>
            </w:tcBorders>
            <w:noWrap w:val="0"/>
            <w:vAlign w:val="center"/>
          </w:tcPr>
          <w:p>
            <w:pPr>
              <w:rPr>
                <w:rFonts w:hint="eastAsia" w:ascii="宋体" w:hAnsi="宋体"/>
                <w:color w:val="auto"/>
                <w:sz w:val="24"/>
                <w:highlight w:val="none"/>
              </w:rPr>
            </w:pPr>
            <w:r>
              <w:rPr>
                <w:rFonts w:hint="eastAsia" w:ascii="宋体" w:hAnsi="宋体"/>
                <w:color w:val="auto"/>
                <w:sz w:val="24"/>
                <w:highlight w:val="none"/>
              </w:rPr>
              <w:t>专 业</w:t>
            </w:r>
          </w:p>
        </w:tc>
        <w:tc>
          <w:tcPr>
            <w:tcW w:w="772" w:type="dxa"/>
            <w:tcBorders>
              <w:top w:val="single" w:color="auto" w:sz="12" w:space="0"/>
              <w:bottom w:val="single" w:color="auto" w:sz="12" w:space="0"/>
            </w:tcBorders>
            <w:noWrap w:val="0"/>
            <w:vAlign w:val="center"/>
          </w:tcPr>
          <w:p>
            <w:pPr>
              <w:rPr>
                <w:rFonts w:hint="eastAsia" w:ascii="宋体" w:hAnsi="宋体"/>
                <w:color w:val="auto"/>
                <w:sz w:val="24"/>
                <w:highlight w:val="none"/>
              </w:rPr>
            </w:pPr>
            <w:r>
              <w:rPr>
                <w:rFonts w:hint="eastAsia" w:ascii="宋体" w:hAnsi="宋体"/>
                <w:color w:val="auto"/>
                <w:sz w:val="24"/>
                <w:highlight w:val="none"/>
              </w:rPr>
              <w:t>专业年限</w:t>
            </w:r>
          </w:p>
        </w:tc>
        <w:tc>
          <w:tcPr>
            <w:tcW w:w="1158" w:type="dxa"/>
            <w:tcBorders>
              <w:top w:val="single" w:color="auto" w:sz="12" w:space="0"/>
              <w:bottom w:val="single" w:color="auto" w:sz="12" w:space="0"/>
            </w:tcBorders>
            <w:noWrap w:val="0"/>
            <w:vAlign w:val="center"/>
          </w:tcPr>
          <w:p>
            <w:pPr>
              <w:rPr>
                <w:rFonts w:hint="eastAsia" w:ascii="宋体" w:hAnsi="宋体"/>
                <w:color w:val="auto"/>
                <w:sz w:val="24"/>
                <w:highlight w:val="none"/>
              </w:rPr>
            </w:pPr>
            <w:r>
              <w:rPr>
                <w:rFonts w:hint="eastAsia" w:ascii="宋体" w:hAnsi="宋体"/>
                <w:color w:val="auto"/>
                <w:sz w:val="24"/>
                <w:highlight w:val="none"/>
              </w:rPr>
              <w:t>职称</w:t>
            </w:r>
          </w:p>
        </w:tc>
        <w:tc>
          <w:tcPr>
            <w:tcW w:w="1158" w:type="dxa"/>
            <w:tcBorders>
              <w:top w:val="single" w:color="auto" w:sz="12" w:space="0"/>
              <w:bottom w:val="single" w:color="auto" w:sz="12" w:space="0"/>
              <w:right w:val="single" w:color="auto" w:sz="4" w:space="0"/>
            </w:tcBorders>
            <w:noWrap w:val="0"/>
            <w:vAlign w:val="center"/>
          </w:tcPr>
          <w:p>
            <w:pPr>
              <w:rPr>
                <w:rFonts w:hint="eastAsia" w:ascii="宋体" w:hAnsi="宋体"/>
                <w:color w:val="auto"/>
                <w:sz w:val="24"/>
                <w:highlight w:val="none"/>
              </w:rPr>
            </w:pPr>
            <w:r>
              <w:rPr>
                <w:rFonts w:hint="eastAsia" w:ascii="宋体" w:hAnsi="宋体"/>
                <w:color w:val="auto"/>
                <w:sz w:val="24"/>
                <w:highlight w:val="none"/>
              </w:rPr>
              <w:t>安排上岗起止时间</w:t>
            </w:r>
          </w:p>
        </w:tc>
        <w:tc>
          <w:tcPr>
            <w:tcW w:w="1410" w:type="dxa"/>
            <w:tcBorders>
              <w:top w:val="single" w:color="auto" w:sz="12" w:space="0"/>
              <w:left w:val="single" w:color="auto" w:sz="4" w:space="0"/>
              <w:bottom w:val="single" w:color="auto" w:sz="12" w:space="0"/>
              <w:right w:val="single" w:color="auto" w:sz="12" w:space="0"/>
            </w:tcBorders>
            <w:noWrap w:val="0"/>
            <w:vAlign w:val="center"/>
          </w:tcPr>
          <w:p>
            <w:pPr>
              <w:rPr>
                <w:rFonts w:hint="eastAsia" w:ascii="宋体" w:hAnsi="宋体"/>
                <w:color w:val="auto"/>
                <w:sz w:val="24"/>
                <w:highlight w:val="none"/>
              </w:rPr>
            </w:pPr>
            <w:r>
              <w:rPr>
                <w:rFonts w:hint="eastAsia" w:ascii="宋体" w:hAnsi="宋体"/>
                <w:color w:val="auto"/>
                <w:sz w:val="24"/>
                <w:highlight w:val="none"/>
              </w:rPr>
              <w:t>承诺到位率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081" w:type="dxa"/>
            <w:tcBorders>
              <w:top w:val="single" w:color="auto" w:sz="12" w:space="0"/>
              <w:left w:val="single" w:color="auto" w:sz="12" w:space="0"/>
            </w:tcBorders>
            <w:noWrap w:val="0"/>
            <w:vAlign w:val="center"/>
          </w:tcPr>
          <w:p>
            <w:pPr>
              <w:rPr>
                <w:rFonts w:hint="eastAsia" w:ascii="宋体" w:hAnsi="宋体"/>
                <w:color w:val="auto"/>
                <w:sz w:val="24"/>
                <w:highlight w:val="none"/>
              </w:rPr>
            </w:pPr>
          </w:p>
        </w:tc>
        <w:tc>
          <w:tcPr>
            <w:tcW w:w="1735" w:type="dxa"/>
            <w:tcBorders>
              <w:top w:val="single" w:color="auto" w:sz="12" w:space="0"/>
            </w:tcBorders>
            <w:noWrap w:val="0"/>
            <w:vAlign w:val="center"/>
          </w:tcPr>
          <w:p>
            <w:pPr>
              <w:rPr>
                <w:rFonts w:hint="eastAsia" w:ascii="宋体" w:hAnsi="宋体"/>
                <w:color w:val="auto"/>
                <w:sz w:val="24"/>
                <w:highlight w:val="none"/>
              </w:rPr>
            </w:pPr>
          </w:p>
        </w:tc>
        <w:tc>
          <w:tcPr>
            <w:tcW w:w="608" w:type="dxa"/>
            <w:tcBorders>
              <w:top w:val="single" w:color="auto" w:sz="12" w:space="0"/>
            </w:tcBorders>
            <w:noWrap w:val="0"/>
            <w:vAlign w:val="center"/>
          </w:tcPr>
          <w:p>
            <w:pPr>
              <w:rPr>
                <w:rFonts w:hint="eastAsia" w:ascii="宋体" w:hAnsi="宋体"/>
                <w:color w:val="auto"/>
                <w:sz w:val="24"/>
                <w:highlight w:val="none"/>
              </w:rPr>
            </w:pPr>
          </w:p>
        </w:tc>
        <w:tc>
          <w:tcPr>
            <w:tcW w:w="577" w:type="dxa"/>
            <w:tcBorders>
              <w:top w:val="single" w:color="auto" w:sz="12" w:space="0"/>
            </w:tcBorders>
            <w:noWrap w:val="0"/>
            <w:vAlign w:val="center"/>
          </w:tcPr>
          <w:p>
            <w:pPr>
              <w:rPr>
                <w:rFonts w:hint="eastAsia" w:ascii="宋体" w:hAnsi="宋体"/>
                <w:color w:val="auto"/>
                <w:sz w:val="24"/>
                <w:highlight w:val="none"/>
              </w:rPr>
            </w:pPr>
          </w:p>
        </w:tc>
        <w:tc>
          <w:tcPr>
            <w:tcW w:w="965" w:type="dxa"/>
            <w:tcBorders>
              <w:top w:val="single" w:color="auto" w:sz="12" w:space="0"/>
            </w:tcBorders>
            <w:noWrap w:val="0"/>
            <w:vAlign w:val="center"/>
          </w:tcPr>
          <w:p>
            <w:pPr>
              <w:rPr>
                <w:rFonts w:hint="eastAsia" w:ascii="宋体" w:hAnsi="宋体"/>
                <w:color w:val="auto"/>
                <w:sz w:val="24"/>
                <w:highlight w:val="none"/>
              </w:rPr>
            </w:pPr>
          </w:p>
        </w:tc>
        <w:tc>
          <w:tcPr>
            <w:tcW w:w="772" w:type="dxa"/>
            <w:tcBorders>
              <w:top w:val="single" w:color="auto" w:sz="12" w:space="0"/>
            </w:tcBorders>
            <w:noWrap w:val="0"/>
            <w:vAlign w:val="center"/>
          </w:tcPr>
          <w:p>
            <w:pPr>
              <w:rPr>
                <w:rFonts w:hint="eastAsia" w:ascii="宋体" w:hAnsi="宋体"/>
                <w:color w:val="auto"/>
                <w:sz w:val="24"/>
                <w:highlight w:val="none"/>
              </w:rPr>
            </w:pPr>
          </w:p>
        </w:tc>
        <w:tc>
          <w:tcPr>
            <w:tcW w:w="1158" w:type="dxa"/>
            <w:tcBorders>
              <w:top w:val="single" w:color="auto" w:sz="12" w:space="0"/>
            </w:tcBorders>
            <w:noWrap w:val="0"/>
            <w:vAlign w:val="center"/>
          </w:tcPr>
          <w:p>
            <w:pPr>
              <w:rPr>
                <w:rFonts w:hint="eastAsia" w:ascii="宋体" w:hAnsi="宋体"/>
                <w:color w:val="auto"/>
                <w:sz w:val="24"/>
                <w:highlight w:val="none"/>
              </w:rPr>
            </w:pPr>
          </w:p>
        </w:tc>
        <w:tc>
          <w:tcPr>
            <w:tcW w:w="1158" w:type="dxa"/>
            <w:tcBorders>
              <w:top w:val="single" w:color="auto" w:sz="12" w:space="0"/>
              <w:right w:val="single" w:color="auto" w:sz="4" w:space="0"/>
            </w:tcBorders>
            <w:noWrap w:val="0"/>
            <w:vAlign w:val="center"/>
          </w:tcPr>
          <w:p>
            <w:pPr>
              <w:rPr>
                <w:rFonts w:hint="eastAsia" w:ascii="宋体" w:hAnsi="宋体"/>
                <w:color w:val="auto"/>
                <w:sz w:val="24"/>
                <w:highlight w:val="none"/>
              </w:rPr>
            </w:pPr>
          </w:p>
        </w:tc>
        <w:tc>
          <w:tcPr>
            <w:tcW w:w="1410" w:type="dxa"/>
            <w:tcBorders>
              <w:top w:val="single" w:color="auto" w:sz="12" w:space="0"/>
              <w:left w:val="single" w:color="auto" w:sz="4" w:space="0"/>
              <w:right w:val="single" w:color="auto" w:sz="12" w:space="0"/>
            </w:tcBorders>
            <w:noWrap w:val="0"/>
            <w:vAlign w:val="center"/>
          </w:tcPr>
          <w:p>
            <w:pP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081" w:type="dxa"/>
            <w:tcBorders>
              <w:left w:val="single" w:color="auto" w:sz="12" w:space="0"/>
            </w:tcBorders>
            <w:noWrap w:val="0"/>
            <w:vAlign w:val="center"/>
          </w:tcPr>
          <w:p>
            <w:pPr>
              <w:rPr>
                <w:rFonts w:hint="eastAsia" w:ascii="宋体" w:hAnsi="宋体"/>
                <w:color w:val="auto"/>
                <w:sz w:val="24"/>
                <w:highlight w:val="none"/>
              </w:rPr>
            </w:pPr>
          </w:p>
        </w:tc>
        <w:tc>
          <w:tcPr>
            <w:tcW w:w="1735" w:type="dxa"/>
            <w:noWrap w:val="0"/>
            <w:vAlign w:val="center"/>
          </w:tcPr>
          <w:p>
            <w:pPr>
              <w:rPr>
                <w:rFonts w:hint="eastAsia" w:ascii="宋体" w:hAnsi="宋体"/>
                <w:color w:val="auto"/>
                <w:sz w:val="24"/>
                <w:highlight w:val="none"/>
              </w:rPr>
            </w:pPr>
          </w:p>
        </w:tc>
        <w:tc>
          <w:tcPr>
            <w:tcW w:w="608" w:type="dxa"/>
            <w:noWrap w:val="0"/>
            <w:vAlign w:val="center"/>
          </w:tcPr>
          <w:p>
            <w:pPr>
              <w:rPr>
                <w:rFonts w:hint="eastAsia" w:ascii="宋体" w:hAnsi="宋体"/>
                <w:color w:val="auto"/>
                <w:sz w:val="24"/>
                <w:highlight w:val="none"/>
              </w:rPr>
            </w:pPr>
          </w:p>
        </w:tc>
        <w:tc>
          <w:tcPr>
            <w:tcW w:w="577" w:type="dxa"/>
            <w:noWrap w:val="0"/>
            <w:vAlign w:val="center"/>
          </w:tcPr>
          <w:p>
            <w:pPr>
              <w:rPr>
                <w:rFonts w:hint="eastAsia" w:ascii="宋体" w:hAnsi="宋体"/>
                <w:color w:val="auto"/>
                <w:sz w:val="24"/>
                <w:highlight w:val="none"/>
              </w:rPr>
            </w:pPr>
          </w:p>
        </w:tc>
        <w:tc>
          <w:tcPr>
            <w:tcW w:w="965" w:type="dxa"/>
            <w:noWrap w:val="0"/>
            <w:vAlign w:val="center"/>
          </w:tcPr>
          <w:p>
            <w:pPr>
              <w:rPr>
                <w:rFonts w:hint="eastAsia" w:ascii="宋体" w:hAnsi="宋体"/>
                <w:color w:val="auto"/>
                <w:sz w:val="24"/>
                <w:highlight w:val="none"/>
              </w:rPr>
            </w:pPr>
          </w:p>
        </w:tc>
        <w:tc>
          <w:tcPr>
            <w:tcW w:w="772" w:type="dxa"/>
            <w:noWrap w:val="0"/>
            <w:vAlign w:val="center"/>
          </w:tcPr>
          <w:p>
            <w:pPr>
              <w:rPr>
                <w:rFonts w:hint="eastAsia" w:ascii="宋体" w:hAnsi="宋体"/>
                <w:color w:val="auto"/>
                <w:sz w:val="24"/>
                <w:highlight w:val="none"/>
              </w:rPr>
            </w:pPr>
          </w:p>
        </w:tc>
        <w:tc>
          <w:tcPr>
            <w:tcW w:w="1158" w:type="dxa"/>
            <w:noWrap w:val="0"/>
            <w:vAlign w:val="center"/>
          </w:tcPr>
          <w:p>
            <w:pPr>
              <w:rPr>
                <w:rFonts w:hint="eastAsia" w:ascii="宋体" w:hAnsi="宋体"/>
                <w:color w:val="auto"/>
                <w:sz w:val="24"/>
                <w:highlight w:val="none"/>
              </w:rPr>
            </w:pPr>
          </w:p>
        </w:tc>
        <w:tc>
          <w:tcPr>
            <w:tcW w:w="1158" w:type="dxa"/>
            <w:tcBorders>
              <w:right w:val="single" w:color="auto" w:sz="4" w:space="0"/>
            </w:tcBorders>
            <w:noWrap w:val="0"/>
            <w:vAlign w:val="center"/>
          </w:tcPr>
          <w:p>
            <w:pPr>
              <w:rPr>
                <w:rFonts w:hint="eastAsia" w:ascii="宋体" w:hAnsi="宋体"/>
                <w:color w:val="auto"/>
                <w:sz w:val="24"/>
                <w:highlight w:val="none"/>
              </w:rPr>
            </w:pPr>
          </w:p>
        </w:tc>
        <w:tc>
          <w:tcPr>
            <w:tcW w:w="1410" w:type="dxa"/>
            <w:tcBorders>
              <w:left w:val="single" w:color="auto" w:sz="4" w:space="0"/>
              <w:right w:val="single" w:color="auto" w:sz="12" w:space="0"/>
            </w:tcBorders>
            <w:noWrap w:val="0"/>
            <w:vAlign w:val="center"/>
          </w:tcPr>
          <w:p>
            <w:pP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081" w:type="dxa"/>
            <w:tcBorders>
              <w:left w:val="single" w:color="auto" w:sz="12" w:space="0"/>
            </w:tcBorders>
            <w:noWrap w:val="0"/>
            <w:vAlign w:val="center"/>
          </w:tcPr>
          <w:p>
            <w:pPr>
              <w:rPr>
                <w:rFonts w:hint="eastAsia" w:ascii="宋体" w:hAnsi="宋体"/>
                <w:color w:val="auto"/>
                <w:sz w:val="24"/>
                <w:highlight w:val="none"/>
              </w:rPr>
            </w:pPr>
          </w:p>
        </w:tc>
        <w:tc>
          <w:tcPr>
            <w:tcW w:w="1735" w:type="dxa"/>
            <w:noWrap w:val="0"/>
            <w:vAlign w:val="center"/>
          </w:tcPr>
          <w:p>
            <w:pPr>
              <w:rPr>
                <w:rFonts w:hint="eastAsia" w:ascii="宋体" w:hAnsi="宋体"/>
                <w:color w:val="auto"/>
                <w:sz w:val="24"/>
                <w:highlight w:val="none"/>
              </w:rPr>
            </w:pPr>
          </w:p>
        </w:tc>
        <w:tc>
          <w:tcPr>
            <w:tcW w:w="608" w:type="dxa"/>
            <w:noWrap w:val="0"/>
            <w:vAlign w:val="center"/>
          </w:tcPr>
          <w:p>
            <w:pPr>
              <w:rPr>
                <w:rFonts w:hint="eastAsia" w:ascii="宋体" w:hAnsi="宋体"/>
                <w:color w:val="auto"/>
                <w:sz w:val="24"/>
                <w:highlight w:val="none"/>
              </w:rPr>
            </w:pPr>
          </w:p>
        </w:tc>
        <w:tc>
          <w:tcPr>
            <w:tcW w:w="577" w:type="dxa"/>
            <w:noWrap w:val="0"/>
            <w:vAlign w:val="center"/>
          </w:tcPr>
          <w:p>
            <w:pPr>
              <w:rPr>
                <w:rFonts w:hint="eastAsia" w:ascii="宋体" w:hAnsi="宋体"/>
                <w:color w:val="auto"/>
                <w:sz w:val="24"/>
                <w:highlight w:val="none"/>
              </w:rPr>
            </w:pPr>
          </w:p>
        </w:tc>
        <w:tc>
          <w:tcPr>
            <w:tcW w:w="965" w:type="dxa"/>
            <w:noWrap w:val="0"/>
            <w:vAlign w:val="center"/>
          </w:tcPr>
          <w:p>
            <w:pPr>
              <w:rPr>
                <w:rFonts w:hint="eastAsia" w:ascii="宋体" w:hAnsi="宋体"/>
                <w:color w:val="auto"/>
                <w:sz w:val="24"/>
                <w:highlight w:val="none"/>
              </w:rPr>
            </w:pPr>
          </w:p>
        </w:tc>
        <w:tc>
          <w:tcPr>
            <w:tcW w:w="772" w:type="dxa"/>
            <w:noWrap w:val="0"/>
            <w:vAlign w:val="center"/>
          </w:tcPr>
          <w:p>
            <w:pPr>
              <w:rPr>
                <w:rFonts w:hint="eastAsia" w:ascii="宋体" w:hAnsi="宋体"/>
                <w:color w:val="auto"/>
                <w:sz w:val="24"/>
                <w:highlight w:val="none"/>
              </w:rPr>
            </w:pPr>
          </w:p>
        </w:tc>
        <w:tc>
          <w:tcPr>
            <w:tcW w:w="1158" w:type="dxa"/>
            <w:noWrap w:val="0"/>
            <w:vAlign w:val="center"/>
          </w:tcPr>
          <w:p>
            <w:pPr>
              <w:rPr>
                <w:rFonts w:hint="eastAsia" w:ascii="宋体" w:hAnsi="宋体"/>
                <w:color w:val="auto"/>
                <w:sz w:val="24"/>
                <w:highlight w:val="none"/>
              </w:rPr>
            </w:pPr>
          </w:p>
        </w:tc>
        <w:tc>
          <w:tcPr>
            <w:tcW w:w="1158" w:type="dxa"/>
            <w:tcBorders>
              <w:right w:val="single" w:color="auto" w:sz="4" w:space="0"/>
            </w:tcBorders>
            <w:noWrap w:val="0"/>
            <w:vAlign w:val="center"/>
          </w:tcPr>
          <w:p>
            <w:pPr>
              <w:rPr>
                <w:rFonts w:hint="eastAsia" w:ascii="宋体" w:hAnsi="宋体"/>
                <w:color w:val="auto"/>
                <w:sz w:val="24"/>
                <w:highlight w:val="none"/>
              </w:rPr>
            </w:pPr>
          </w:p>
        </w:tc>
        <w:tc>
          <w:tcPr>
            <w:tcW w:w="1410" w:type="dxa"/>
            <w:tcBorders>
              <w:left w:val="single" w:color="auto" w:sz="4" w:space="0"/>
              <w:right w:val="single" w:color="auto" w:sz="12" w:space="0"/>
            </w:tcBorders>
            <w:noWrap w:val="0"/>
            <w:vAlign w:val="center"/>
          </w:tcPr>
          <w:p>
            <w:pP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081" w:type="dxa"/>
            <w:tcBorders>
              <w:left w:val="single" w:color="auto" w:sz="12" w:space="0"/>
            </w:tcBorders>
            <w:noWrap w:val="0"/>
            <w:vAlign w:val="center"/>
          </w:tcPr>
          <w:p>
            <w:pPr>
              <w:rPr>
                <w:rFonts w:hint="eastAsia" w:ascii="宋体" w:hAnsi="宋体"/>
                <w:color w:val="auto"/>
                <w:sz w:val="24"/>
                <w:highlight w:val="none"/>
              </w:rPr>
            </w:pPr>
          </w:p>
        </w:tc>
        <w:tc>
          <w:tcPr>
            <w:tcW w:w="1735" w:type="dxa"/>
            <w:noWrap w:val="0"/>
            <w:vAlign w:val="center"/>
          </w:tcPr>
          <w:p>
            <w:pPr>
              <w:rPr>
                <w:rFonts w:hint="eastAsia" w:ascii="宋体" w:hAnsi="宋体"/>
                <w:color w:val="auto"/>
                <w:sz w:val="24"/>
                <w:highlight w:val="none"/>
              </w:rPr>
            </w:pPr>
          </w:p>
        </w:tc>
        <w:tc>
          <w:tcPr>
            <w:tcW w:w="608" w:type="dxa"/>
            <w:noWrap w:val="0"/>
            <w:vAlign w:val="center"/>
          </w:tcPr>
          <w:p>
            <w:pPr>
              <w:rPr>
                <w:rFonts w:hint="eastAsia" w:ascii="宋体" w:hAnsi="宋体"/>
                <w:color w:val="auto"/>
                <w:sz w:val="24"/>
                <w:highlight w:val="none"/>
              </w:rPr>
            </w:pPr>
          </w:p>
        </w:tc>
        <w:tc>
          <w:tcPr>
            <w:tcW w:w="577" w:type="dxa"/>
            <w:noWrap w:val="0"/>
            <w:vAlign w:val="center"/>
          </w:tcPr>
          <w:p>
            <w:pPr>
              <w:rPr>
                <w:rFonts w:hint="eastAsia" w:ascii="宋体" w:hAnsi="宋体"/>
                <w:color w:val="auto"/>
                <w:sz w:val="24"/>
                <w:highlight w:val="none"/>
              </w:rPr>
            </w:pPr>
          </w:p>
        </w:tc>
        <w:tc>
          <w:tcPr>
            <w:tcW w:w="965" w:type="dxa"/>
            <w:noWrap w:val="0"/>
            <w:vAlign w:val="center"/>
          </w:tcPr>
          <w:p>
            <w:pPr>
              <w:rPr>
                <w:rFonts w:hint="eastAsia" w:ascii="宋体" w:hAnsi="宋体"/>
                <w:color w:val="auto"/>
                <w:sz w:val="24"/>
                <w:highlight w:val="none"/>
              </w:rPr>
            </w:pPr>
          </w:p>
        </w:tc>
        <w:tc>
          <w:tcPr>
            <w:tcW w:w="772" w:type="dxa"/>
            <w:noWrap w:val="0"/>
            <w:vAlign w:val="center"/>
          </w:tcPr>
          <w:p>
            <w:pPr>
              <w:rPr>
                <w:rFonts w:hint="eastAsia" w:ascii="宋体" w:hAnsi="宋体"/>
                <w:color w:val="auto"/>
                <w:sz w:val="24"/>
                <w:highlight w:val="none"/>
              </w:rPr>
            </w:pPr>
          </w:p>
        </w:tc>
        <w:tc>
          <w:tcPr>
            <w:tcW w:w="1158" w:type="dxa"/>
            <w:noWrap w:val="0"/>
            <w:vAlign w:val="center"/>
          </w:tcPr>
          <w:p>
            <w:pPr>
              <w:rPr>
                <w:rFonts w:hint="eastAsia" w:ascii="宋体" w:hAnsi="宋体"/>
                <w:color w:val="auto"/>
                <w:sz w:val="24"/>
                <w:highlight w:val="none"/>
              </w:rPr>
            </w:pPr>
          </w:p>
        </w:tc>
        <w:tc>
          <w:tcPr>
            <w:tcW w:w="1158" w:type="dxa"/>
            <w:tcBorders>
              <w:right w:val="single" w:color="auto" w:sz="4" w:space="0"/>
            </w:tcBorders>
            <w:noWrap w:val="0"/>
            <w:vAlign w:val="center"/>
          </w:tcPr>
          <w:p>
            <w:pPr>
              <w:rPr>
                <w:rFonts w:hint="eastAsia" w:ascii="宋体" w:hAnsi="宋体"/>
                <w:color w:val="auto"/>
                <w:sz w:val="24"/>
                <w:highlight w:val="none"/>
              </w:rPr>
            </w:pPr>
          </w:p>
        </w:tc>
        <w:tc>
          <w:tcPr>
            <w:tcW w:w="1410" w:type="dxa"/>
            <w:tcBorders>
              <w:left w:val="single" w:color="auto" w:sz="4" w:space="0"/>
              <w:right w:val="single" w:color="auto" w:sz="12" w:space="0"/>
            </w:tcBorders>
            <w:noWrap w:val="0"/>
            <w:vAlign w:val="center"/>
          </w:tcPr>
          <w:p>
            <w:pP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081" w:type="dxa"/>
            <w:tcBorders>
              <w:left w:val="single" w:color="auto" w:sz="12" w:space="0"/>
            </w:tcBorders>
            <w:noWrap w:val="0"/>
            <w:vAlign w:val="center"/>
          </w:tcPr>
          <w:p>
            <w:pPr>
              <w:rPr>
                <w:rFonts w:hint="eastAsia" w:ascii="宋体" w:hAnsi="宋体"/>
                <w:color w:val="auto"/>
                <w:sz w:val="24"/>
                <w:highlight w:val="none"/>
              </w:rPr>
            </w:pPr>
          </w:p>
        </w:tc>
        <w:tc>
          <w:tcPr>
            <w:tcW w:w="1735" w:type="dxa"/>
            <w:noWrap w:val="0"/>
            <w:vAlign w:val="center"/>
          </w:tcPr>
          <w:p>
            <w:pPr>
              <w:rPr>
                <w:rFonts w:hint="eastAsia" w:ascii="宋体" w:hAnsi="宋体"/>
                <w:color w:val="auto"/>
                <w:sz w:val="24"/>
                <w:highlight w:val="none"/>
              </w:rPr>
            </w:pPr>
          </w:p>
        </w:tc>
        <w:tc>
          <w:tcPr>
            <w:tcW w:w="608" w:type="dxa"/>
            <w:noWrap w:val="0"/>
            <w:vAlign w:val="center"/>
          </w:tcPr>
          <w:p>
            <w:pPr>
              <w:rPr>
                <w:rFonts w:hint="eastAsia" w:ascii="宋体" w:hAnsi="宋体"/>
                <w:color w:val="auto"/>
                <w:sz w:val="24"/>
                <w:highlight w:val="none"/>
              </w:rPr>
            </w:pPr>
          </w:p>
        </w:tc>
        <w:tc>
          <w:tcPr>
            <w:tcW w:w="577" w:type="dxa"/>
            <w:noWrap w:val="0"/>
            <w:vAlign w:val="center"/>
          </w:tcPr>
          <w:p>
            <w:pPr>
              <w:rPr>
                <w:rFonts w:hint="eastAsia" w:ascii="宋体" w:hAnsi="宋体"/>
                <w:color w:val="auto"/>
                <w:sz w:val="24"/>
                <w:highlight w:val="none"/>
              </w:rPr>
            </w:pPr>
          </w:p>
        </w:tc>
        <w:tc>
          <w:tcPr>
            <w:tcW w:w="965" w:type="dxa"/>
            <w:noWrap w:val="0"/>
            <w:vAlign w:val="center"/>
          </w:tcPr>
          <w:p>
            <w:pPr>
              <w:rPr>
                <w:rFonts w:hint="eastAsia" w:ascii="宋体" w:hAnsi="宋体"/>
                <w:color w:val="auto"/>
                <w:sz w:val="24"/>
                <w:highlight w:val="none"/>
              </w:rPr>
            </w:pPr>
          </w:p>
        </w:tc>
        <w:tc>
          <w:tcPr>
            <w:tcW w:w="772" w:type="dxa"/>
            <w:noWrap w:val="0"/>
            <w:vAlign w:val="center"/>
          </w:tcPr>
          <w:p>
            <w:pPr>
              <w:rPr>
                <w:rFonts w:hint="eastAsia" w:ascii="宋体" w:hAnsi="宋体"/>
                <w:color w:val="auto"/>
                <w:sz w:val="24"/>
                <w:highlight w:val="none"/>
              </w:rPr>
            </w:pPr>
          </w:p>
        </w:tc>
        <w:tc>
          <w:tcPr>
            <w:tcW w:w="1158" w:type="dxa"/>
            <w:noWrap w:val="0"/>
            <w:vAlign w:val="center"/>
          </w:tcPr>
          <w:p>
            <w:pPr>
              <w:rPr>
                <w:rFonts w:hint="eastAsia" w:ascii="宋体" w:hAnsi="宋体"/>
                <w:color w:val="auto"/>
                <w:sz w:val="24"/>
                <w:highlight w:val="none"/>
              </w:rPr>
            </w:pPr>
          </w:p>
        </w:tc>
        <w:tc>
          <w:tcPr>
            <w:tcW w:w="1158" w:type="dxa"/>
            <w:tcBorders>
              <w:right w:val="single" w:color="auto" w:sz="4" w:space="0"/>
            </w:tcBorders>
            <w:noWrap w:val="0"/>
            <w:vAlign w:val="center"/>
          </w:tcPr>
          <w:p>
            <w:pPr>
              <w:rPr>
                <w:rFonts w:hint="eastAsia" w:ascii="宋体" w:hAnsi="宋体"/>
                <w:color w:val="auto"/>
                <w:sz w:val="24"/>
                <w:highlight w:val="none"/>
              </w:rPr>
            </w:pPr>
          </w:p>
        </w:tc>
        <w:tc>
          <w:tcPr>
            <w:tcW w:w="1410" w:type="dxa"/>
            <w:tcBorders>
              <w:left w:val="single" w:color="auto" w:sz="4" w:space="0"/>
              <w:right w:val="single" w:color="auto" w:sz="12" w:space="0"/>
            </w:tcBorders>
            <w:noWrap w:val="0"/>
            <w:vAlign w:val="center"/>
          </w:tcPr>
          <w:p>
            <w:pP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081" w:type="dxa"/>
            <w:tcBorders>
              <w:left w:val="single" w:color="auto" w:sz="12" w:space="0"/>
            </w:tcBorders>
            <w:noWrap w:val="0"/>
            <w:vAlign w:val="center"/>
          </w:tcPr>
          <w:p>
            <w:pPr>
              <w:rPr>
                <w:rFonts w:hint="eastAsia" w:ascii="宋体" w:hAnsi="宋体"/>
                <w:color w:val="auto"/>
                <w:sz w:val="24"/>
                <w:highlight w:val="none"/>
              </w:rPr>
            </w:pPr>
          </w:p>
        </w:tc>
        <w:tc>
          <w:tcPr>
            <w:tcW w:w="1735" w:type="dxa"/>
            <w:noWrap w:val="0"/>
            <w:vAlign w:val="center"/>
          </w:tcPr>
          <w:p>
            <w:pPr>
              <w:rPr>
                <w:rFonts w:hint="eastAsia" w:ascii="宋体" w:hAnsi="宋体"/>
                <w:color w:val="auto"/>
                <w:sz w:val="24"/>
                <w:highlight w:val="none"/>
              </w:rPr>
            </w:pPr>
          </w:p>
        </w:tc>
        <w:tc>
          <w:tcPr>
            <w:tcW w:w="608" w:type="dxa"/>
            <w:noWrap w:val="0"/>
            <w:vAlign w:val="center"/>
          </w:tcPr>
          <w:p>
            <w:pPr>
              <w:rPr>
                <w:rFonts w:hint="eastAsia" w:ascii="宋体" w:hAnsi="宋体"/>
                <w:color w:val="auto"/>
                <w:sz w:val="24"/>
                <w:highlight w:val="none"/>
              </w:rPr>
            </w:pPr>
          </w:p>
        </w:tc>
        <w:tc>
          <w:tcPr>
            <w:tcW w:w="577" w:type="dxa"/>
            <w:noWrap w:val="0"/>
            <w:vAlign w:val="center"/>
          </w:tcPr>
          <w:p>
            <w:pPr>
              <w:rPr>
                <w:rFonts w:hint="eastAsia" w:ascii="宋体" w:hAnsi="宋体"/>
                <w:color w:val="auto"/>
                <w:sz w:val="24"/>
                <w:highlight w:val="none"/>
              </w:rPr>
            </w:pPr>
          </w:p>
        </w:tc>
        <w:tc>
          <w:tcPr>
            <w:tcW w:w="965" w:type="dxa"/>
            <w:noWrap w:val="0"/>
            <w:vAlign w:val="center"/>
          </w:tcPr>
          <w:p>
            <w:pPr>
              <w:rPr>
                <w:rFonts w:hint="eastAsia" w:ascii="宋体" w:hAnsi="宋体"/>
                <w:color w:val="auto"/>
                <w:sz w:val="24"/>
                <w:highlight w:val="none"/>
              </w:rPr>
            </w:pPr>
          </w:p>
        </w:tc>
        <w:tc>
          <w:tcPr>
            <w:tcW w:w="772" w:type="dxa"/>
            <w:noWrap w:val="0"/>
            <w:vAlign w:val="center"/>
          </w:tcPr>
          <w:p>
            <w:pPr>
              <w:rPr>
                <w:rFonts w:hint="eastAsia" w:ascii="宋体" w:hAnsi="宋体"/>
                <w:color w:val="auto"/>
                <w:sz w:val="24"/>
                <w:highlight w:val="none"/>
              </w:rPr>
            </w:pPr>
          </w:p>
        </w:tc>
        <w:tc>
          <w:tcPr>
            <w:tcW w:w="1158" w:type="dxa"/>
            <w:noWrap w:val="0"/>
            <w:vAlign w:val="center"/>
          </w:tcPr>
          <w:p>
            <w:pPr>
              <w:rPr>
                <w:rFonts w:hint="eastAsia" w:ascii="宋体" w:hAnsi="宋体"/>
                <w:color w:val="auto"/>
                <w:sz w:val="24"/>
                <w:highlight w:val="none"/>
              </w:rPr>
            </w:pPr>
          </w:p>
        </w:tc>
        <w:tc>
          <w:tcPr>
            <w:tcW w:w="1158" w:type="dxa"/>
            <w:tcBorders>
              <w:right w:val="single" w:color="auto" w:sz="4" w:space="0"/>
            </w:tcBorders>
            <w:noWrap w:val="0"/>
            <w:vAlign w:val="center"/>
          </w:tcPr>
          <w:p>
            <w:pPr>
              <w:rPr>
                <w:rFonts w:hint="eastAsia" w:ascii="宋体" w:hAnsi="宋体"/>
                <w:color w:val="auto"/>
                <w:sz w:val="24"/>
                <w:highlight w:val="none"/>
              </w:rPr>
            </w:pPr>
          </w:p>
        </w:tc>
        <w:tc>
          <w:tcPr>
            <w:tcW w:w="1410" w:type="dxa"/>
            <w:tcBorders>
              <w:left w:val="single" w:color="auto" w:sz="4" w:space="0"/>
              <w:right w:val="single" w:color="auto" w:sz="12" w:space="0"/>
            </w:tcBorders>
            <w:noWrap w:val="0"/>
            <w:vAlign w:val="center"/>
          </w:tcPr>
          <w:p>
            <w:pP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081" w:type="dxa"/>
            <w:tcBorders>
              <w:left w:val="single" w:color="auto" w:sz="12" w:space="0"/>
            </w:tcBorders>
            <w:noWrap w:val="0"/>
            <w:vAlign w:val="center"/>
          </w:tcPr>
          <w:p>
            <w:pPr>
              <w:rPr>
                <w:rFonts w:hint="eastAsia" w:ascii="宋体" w:hAnsi="宋体"/>
                <w:color w:val="auto"/>
                <w:sz w:val="24"/>
                <w:highlight w:val="none"/>
              </w:rPr>
            </w:pPr>
          </w:p>
        </w:tc>
        <w:tc>
          <w:tcPr>
            <w:tcW w:w="1735" w:type="dxa"/>
            <w:noWrap w:val="0"/>
            <w:vAlign w:val="center"/>
          </w:tcPr>
          <w:p>
            <w:pPr>
              <w:rPr>
                <w:rFonts w:hint="eastAsia" w:ascii="宋体" w:hAnsi="宋体"/>
                <w:color w:val="auto"/>
                <w:sz w:val="24"/>
                <w:highlight w:val="none"/>
              </w:rPr>
            </w:pPr>
          </w:p>
        </w:tc>
        <w:tc>
          <w:tcPr>
            <w:tcW w:w="608" w:type="dxa"/>
            <w:noWrap w:val="0"/>
            <w:vAlign w:val="center"/>
          </w:tcPr>
          <w:p>
            <w:pPr>
              <w:rPr>
                <w:rFonts w:hint="eastAsia" w:ascii="宋体" w:hAnsi="宋体"/>
                <w:color w:val="auto"/>
                <w:sz w:val="24"/>
                <w:highlight w:val="none"/>
              </w:rPr>
            </w:pPr>
          </w:p>
        </w:tc>
        <w:tc>
          <w:tcPr>
            <w:tcW w:w="577" w:type="dxa"/>
            <w:noWrap w:val="0"/>
            <w:vAlign w:val="center"/>
          </w:tcPr>
          <w:p>
            <w:pPr>
              <w:rPr>
                <w:rFonts w:hint="eastAsia" w:ascii="宋体" w:hAnsi="宋体"/>
                <w:color w:val="auto"/>
                <w:sz w:val="24"/>
                <w:highlight w:val="none"/>
              </w:rPr>
            </w:pPr>
          </w:p>
        </w:tc>
        <w:tc>
          <w:tcPr>
            <w:tcW w:w="965" w:type="dxa"/>
            <w:noWrap w:val="0"/>
            <w:vAlign w:val="center"/>
          </w:tcPr>
          <w:p>
            <w:pPr>
              <w:rPr>
                <w:rFonts w:hint="eastAsia" w:ascii="宋体" w:hAnsi="宋体"/>
                <w:color w:val="auto"/>
                <w:sz w:val="24"/>
                <w:highlight w:val="none"/>
              </w:rPr>
            </w:pPr>
          </w:p>
        </w:tc>
        <w:tc>
          <w:tcPr>
            <w:tcW w:w="772" w:type="dxa"/>
            <w:noWrap w:val="0"/>
            <w:vAlign w:val="center"/>
          </w:tcPr>
          <w:p>
            <w:pPr>
              <w:rPr>
                <w:rFonts w:hint="eastAsia" w:ascii="宋体" w:hAnsi="宋体"/>
                <w:color w:val="auto"/>
                <w:sz w:val="24"/>
                <w:highlight w:val="none"/>
              </w:rPr>
            </w:pPr>
          </w:p>
        </w:tc>
        <w:tc>
          <w:tcPr>
            <w:tcW w:w="1158" w:type="dxa"/>
            <w:noWrap w:val="0"/>
            <w:vAlign w:val="center"/>
          </w:tcPr>
          <w:p>
            <w:pPr>
              <w:rPr>
                <w:rFonts w:hint="eastAsia" w:ascii="宋体" w:hAnsi="宋体"/>
                <w:color w:val="auto"/>
                <w:sz w:val="24"/>
                <w:highlight w:val="none"/>
              </w:rPr>
            </w:pPr>
          </w:p>
        </w:tc>
        <w:tc>
          <w:tcPr>
            <w:tcW w:w="1158" w:type="dxa"/>
            <w:tcBorders>
              <w:right w:val="single" w:color="auto" w:sz="4" w:space="0"/>
            </w:tcBorders>
            <w:noWrap w:val="0"/>
            <w:vAlign w:val="center"/>
          </w:tcPr>
          <w:p>
            <w:pPr>
              <w:rPr>
                <w:rFonts w:hint="eastAsia" w:ascii="宋体" w:hAnsi="宋体"/>
                <w:color w:val="auto"/>
                <w:sz w:val="24"/>
                <w:highlight w:val="none"/>
              </w:rPr>
            </w:pPr>
          </w:p>
        </w:tc>
        <w:tc>
          <w:tcPr>
            <w:tcW w:w="1410" w:type="dxa"/>
            <w:tcBorders>
              <w:left w:val="single" w:color="auto" w:sz="4" w:space="0"/>
              <w:right w:val="single" w:color="auto" w:sz="12" w:space="0"/>
            </w:tcBorders>
            <w:noWrap w:val="0"/>
            <w:vAlign w:val="center"/>
          </w:tcPr>
          <w:p>
            <w:pP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081" w:type="dxa"/>
            <w:tcBorders>
              <w:left w:val="single" w:color="auto" w:sz="12" w:space="0"/>
            </w:tcBorders>
            <w:noWrap w:val="0"/>
            <w:vAlign w:val="center"/>
          </w:tcPr>
          <w:p>
            <w:pPr>
              <w:rPr>
                <w:rFonts w:hint="eastAsia" w:ascii="宋体" w:hAnsi="宋体"/>
                <w:color w:val="auto"/>
                <w:sz w:val="24"/>
                <w:highlight w:val="none"/>
              </w:rPr>
            </w:pPr>
          </w:p>
        </w:tc>
        <w:tc>
          <w:tcPr>
            <w:tcW w:w="1735" w:type="dxa"/>
            <w:noWrap w:val="0"/>
            <w:vAlign w:val="center"/>
          </w:tcPr>
          <w:p>
            <w:pPr>
              <w:rPr>
                <w:rFonts w:hint="eastAsia" w:ascii="宋体" w:hAnsi="宋体"/>
                <w:color w:val="auto"/>
                <w:sz w:val="24"/>
                <w:highlight w:val="none"/>
              </w:rPr>
            </w:pPr>
          </w:p>
        </w:tc>
        <w:tc>
          <w:tcPr>
            <w:tcW w:w="608" w:type="dxa"/>
            <w:noWrap w:val="0"/>
            <w:vAlign w:val="center"/>
          </w:tcPr>
          <w:p>
            <w:pPr>
              <w:rPr>
                <w:rFonts w:hint="eastAsia" w:ascii="宋体" w:hAnsi="宋体"/>
                <w:color w:val="auto"/>
                <w:sz w:val="24"/>
                <w:highlight w:val="none"/>
              </w:rPr>
            </w:pPr>
          </w:p>
        </w:tc>
        <w:tc>
          <w:tcPr>
            <w:tcW w:w="577" w:type="dxa"/>
            <w:noWrap w:val="0"/>
            <w:vAlign w:val="center"/>
          </w:tcPr>
          <w:p>
            <w:pPr>
              <w:rPr>
                <w:rFonts w:hint="eastAsia" w:ascii="宋体" w:hAnsi="宋体"/>
                <w:color w:val="auto"/>
                <w:sz w:val="24"/>
                <w:highlight w:val="none"/>
              </w:rPr>
            </w:pPr>
          </w:p>
        </w:tc>
        <w:tc>
          <w:tcPr>
            <w:tcW w:w="965" w:type="dxa"/>
            <w:noWrap w:val="0"/>
            <w:vAlign w:val="center"/>
          </w:tcPr>
          <w:p>
            <w:pPr>
              <w:rPr>
                <w:rFonts w:hint="eastAsia" w:ascii="宋体" w:hAnsi="宋体"/>
                <w:color w:val="auto"/>
                <w:sz w:val="24"/>
                <w:highlight w:val="none"/>
              </w:rPr>
            </w:pPr>
          </w:p>
        </w:tc>
        <w:tc>
          <w:tcPr>
            <w:tcW w:w="772" w:type="dxa"/>
            <w:noWrap w:val="0"/>
            <w:vAlign w:val="center"/>
          </w:tcPr>
          <w:p>
            <w:pPr>
              <w:rPr>
                <w:rFonts w:hint="eastAsia" w:ascii="宋体" w:hAnsi="宋体"/>
                <w:color w:val="auto"/>
                <w:sz w:val="24"/>
                <w:highlight w:val="none"/>
              </w:rPr>
            </w:pPr>
          </w:p>
        </w:tc>
        <w:tc>
          <w:tcPr>
            <w:tcW w:w="1158" w:type="dxa"/>
            <w:noWrap w:val="0"/>
            <w:vAlign w:val="center"/>
          </w:tcPr>
          <w:p>
            <w:pPr>
              <w:rPr>
                <w:rFonts w:hint="eastAsia" w:ascii="宋体" w:hAnsi="宋体"/>
                <w:color w:val="auto"/>
                <w:sz w:val="24"/>
                <w:highlight w:val="none"/>
              </w:rPr>
            </w:pPr>
          </w:p>
        </w:tc>
        <w:tc>
          <w:tcPr>
            <w:tcW w:w="1158" w:type="dxa"/>
            <w:tcBorders>
              <w:right w:val="single" w:color="auto" w:sz="4" w:space="0"/>
            </w:tcBorders>
            <w:noWrap w:val="0"/>
            <w:vAlign w:val="center"/>
          </w:tcPr>
          <w:p>
            <w:pPr>
              <w:rPr>
                <w:rFonts w:hint="eastAsia" w:ascii="宋体" w:hAnsi="宋体"/>
                <w:color w:val="auto"/>
                <w:sz w:val="24"/>
                <w:highlight w:val="none"/>
              </w:rPr>
            </w:pPr>
          </w:p>
        </w:tc>
        <w:tc>
          <w:tcPr>
            <w:tcW w:w="1410" w:type="dxa"/>
            <w:tcBorders>
              <w:left w:val="single" w:color="auto" w:sz="4" w:space="0"/>
              <w:right w:val="single" w:color="auto" w:sz="12" w:space="0"/>
            </w:tcBorders>
            <w:noWrap w:val="0"/>
            <w:vAlign w:val="center"/>
          </w:tcPr>
          <w:p>
            <w:pP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081" w:type="dxa"/>
            <w:tcBorders>
              <w:left w:val="single" w:color="auto" w:sz="12" w:space="0"/>
            </w:tcBorders>
            <w:noWrap w:val="0"/>
            <w:vAlign w:val="center"/>
          </w:tcPr>
          <w:p>
            <w:pPr>
              <w:rPr>
                <w:rFonts w:hint="eastAsia" w:ascii="宋体" w:hAnsi="宋体"/>
                <w:color w:val="auto"/>
                <w:sz w:val="24"/>
                <w:highlight w:val="none"/>
              </w:rPr>
            </w:pPr>
          </w:p>
        </w:tc>
        <w:tc>
          <w:tcPr>
            <w:tcW w:w="1735" w:type="dxa"/>
            <w:noWrap w:val="0"/>
            <w:vAlign w:val="center"/>
          </w:tcPr>
          <w:p>
            <w:pPr>
              <w:rPr>
                <w:rFonts w:hint="eastAsia" w:ascii="宋体" w:hAnsi="宋体"/>
                <w:color w:val="auto"/>
                <w:sz w:val="24"/>
                <w:highlight w:val="none"/>
              </w:rPr>
            </w:pPr>
          </w:p>
        </w:tc>
        <w:tc>
          <w:tcPr>
            <w:tcW w:w="608" w:type="dxa"/>
            <w:noWrap w:val="0"/>
            <w:vAlign w:val="center"/>
          </w:tcPr>
          <w:p>
            <w:pPr>
              <w:rPr>
                <w:rFonts w:hint="eastAsia" w:ascii="宋体" w:hAnsi="宋体"/>
                <w:color w:val="auto"/>
                <w:sz w:val="24"/>
                <w:highlight w:val="none"/>
              </w:rPr>
            </w:pPr>
          </w:p>
        </w:tc>
        <w:tc>
          <w:tcPr>
            <w:tcW w:w="577" w:type="dxa"/>
            <w:noWrap w:val="0"/>
            <w:vAlign w:val="center"/>
          </w:tcPr>
          <w:p>
            <w:pPr>
              <w:rPr>
                <w:rFonts w:hint="eastAsia" w:ascii="宋体" w:hAnsi="宋体"/>
                <w:color w:val="auto"/>
                <w:sz w:val="24"/>
                <w:highlight w:val="none"/>
              </w:rPr>
            </w:pPr>
          </w:p>
        </w:tc>
        <w:tc>
          <w:tcPr>
            <w:tcW w:w="965" w:type="dxa"/>
            <w:noWrap w:val="0"/>
            <w:vAlign w:val="center"/>
          </w:tcPr>
          <w:p>
            <w:pPr>
              <w:rPr>
                <w:rFonts w:hint="eastAsia" w:ascii="宋体" w:hAnsi="宋体"/>
                <w:color w:val="auto"/>
                <w:sz w:val="24"/>
                <w:highlight w:val="none"/>
              </w:rPr>
            </w:pPr>
          </w:p>
        </w:tc>
        <w:tc>
          <w:tcPr>
            <w:tcW w:w="772" w:type="dxa"/>
            <w:noWrap w:val="0"/>
            <w:vAlign w:val="center"/>
          </w:tcPr>
          <w:p>
            <w:pPr>
              <w:rPr>
                <w:rFonts w:hint="eastAsia" w:ascii="宋体" w:hAnsi="宋体"/>
                <w:color w:val="auto"/>
                <w:sz w:val="24"/>
                <w:highlight w:val="none"/>
              </w:rPr>
            </w:pPr>
          </w:p>
        </w:tc>
        <w:tc>
          <w:tcPr>
            <w:tcW w:w="1158" w:type="dxa"/>
            <w:noWrap w:val="0"/>
            <w:vAlign w:val="center"/>
          </w:tcPr>
          <w:p>
            <w:pPr>
              <w:rPr>
                <w:rFonts w:hint="eastAsia" w:ascii="宋体" w:hAnsi="宋体"/>
                <w:color w:val="auto"/>
                <w:sz w:val="24"/>
                <w:highlight w:val="none"/>
              </w:rPr>
            </w:pPr>
          </w:p>
        </w:tc>
        <w:tc>
          <w:tcPr>
            <w:tcW w:w="1158" w:type="dxa"/>
            <w:tcBorders>
              <w:right w:val="single" w:color="auto" w:sz="4" w:space="0"/>
            </w:tcBorders>
            <w:noWrap w:val="0"/>
            <w:vAlign w:val="center"/>
          </w:tcPr>
          <w:p>
            <w:pPr>
              <w:rPr>
                <w:rFonts w:hint="eastAsia" w:ascii="宋体" w:hAnsi="宋体"/>
                <w:color w:val="auto"/>
                <w:sz w:val="24"/>
                <w:highlight w:val="none"/>
              </w:rPr>
            </w:pPr>
          </w:p>
        </w:tc>
        <w:tc>
          <w:tcPr>
            <w:tcW w:w="1410" w:type="dxa"/>
            <w:tcBorders>
              <w:left w:val="single" w:color="auto" w:sz="4" w:space="0"/>
              <w:right w:val="single" w:color="auto" w:sz="12" w:space="0"/>
            </w:tcBorders>
            <w:noWrap w:val="0"/>
            <w:vAlign w:val="center"/>
          </w:tcPr>
          <w:p>
            <w:pP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081" w:type="dxa"/>
            <w:tcBorders>
              <w:left w:val="single" w:color="auto" w:sz="12" w:space="0"/>
            </w:tcBorders>
            <w:noWrap w:val="0"/>
            <w:vAlign w:val="center"/>
          </w:tcPr>
          <w:p>
            <w:pPr>
              <w:rPr>
                <w:rFonts w:hint="eastAsia" w:ascii="宋体" w:hAnsi="宋体"/>
                <w:color w:val="auto"/>
                <w:sz w:val="24"/>
                <w:highlight w:val="none"/>
              </w:rPr>
            </w:pPr>
          </w:p>
        </w:tc>
        <w:tc>
          <w:tcPr>
            <w:tcW w:w="1735" w:type="dxa"/>
            <w:noWrap w:val="0"/>
            <w:vAlign w:val="center"/>
          </w:tcPr>
          <w:p>
            <w:pPr>
              <w:rPr>
                <w:rFonts w:hint="eastAsia" w:ascii="宋体" w:hAnsi="宋体"/>
                <w:color w:val="auto"/>
                <w:sz w:val="24"/>
                <w:highlight w:val="none"/>
              </w:rPr>
            </w:pPr>
          </w:p>
        </w:tc>
        <w:tc>
          <w:tcPr>
            <w:tcW w:w="608" w:type="dxa"/>
            <w:noWrap w:val="0"/>
            <w:vAlign w:val="center"/>
          </w:tcPr>
          <w:p>
            <w:pPr>
              <w:rPr>
                <w:rFonts w:hint="eastAsia" w:ascii="宋体" w:hAnsi="宋体"/>
                <w:color w:val="auto"/>
                <w:sz w:val="24"/>
                <w:highlight w:val="none"/>
              </w:rPr>
            </w:pPr>
          </w:p>
        </w:tc>
        <w:tc>
          <w:tcPr>
            <w:tcW w:w="577" w:type="dxa"/>
            <w:noWrap w:val="0"/>
            <w:vAlign w:val="center"/>
          </w:tcPr>
          <w:p>
            <w:pPr>
              <w:rPr>
                <w:rFonts w:hint="eastAsia" w:ascii="宋体" w:hAnsi="宋体"/>
                <w:color w:val="auto"/>
                <w:sz w:val="24"/>
                <w:highlight w:val="none"/>
              </w:rPr>
            </w:pPr>
          </w:p>
        </w:tc>
        <w:tc>
          <w:tcPr>
            <w:tcW w:w="965" w:type="dxa"/>
            <w:noWrap w:val="0"/>
            <w:vAlign w:val="center"/>
          </w:tcPr>
          <w:p>
            <w:pPr>
              <w:rPr>
                <w:rFonts w:hint="eastAsia" w:ascii="宋体" w:hAnsi="宋体"/>
                <w:color w:val="auto"/>
                <w:sz w:val="24"/>
                <w:highlight w:val="none"/>
              </w:rPr>
            </w:pPr>
          </w:p>
        </w:tc>
        <w:tc>
          <w:tcPr>
            <w:tcW w:w="772" w:type="dxa"/>
            <w:noWrap w:val="0"/>
            <w:vAlign w:val="center"/>
          </w:tcPr>
          <w:p>
            <w:pPr>
              <w:rPr>
                <w:rFonts w:hint="eastAsia" w:ascii="宋体" w:hAnsi="宋体"/>
                <w:color w:val="auto"/>
                <w:sz w:val="24"/>
                <w:highlight w:val="none"/>
              </w:rPr>
            </w:pPr>
          </w:p>
        </w:tc>
        <w:tc>
          <w:tcPr>
            <w:tcW w:w="1158" w:type="dxa"/>
            <w:noWrap w:val="0"/>
            <w:vAlign w:val="center"/>
          </w:tcPr>
          <w:p>
            <w:pPr>
              <w:rPr>
                <w:rFonts w:hint="eastAsia" w:ascii="宋体" w:hAnsi="宋体"/>
                <w:color w:val="auto"/>
                <w:sz w:val="24"/>
                <w:highlight w:val="none"/>
              </w:rPr>
            </w:pPr>
          </w:p>
        </w:tc>
        <w:tc>
          <w:tcPr>
            <w:tcW w:w="1158" w:type="dxa"/>
            <w:tcBorders>
              <w:right w:val="single" w:color="auto" w:sz="4" w:space="0"/>
            </w:tcBorders>
            <w:noWrap w:val="0"/>
            <w:vAlign w:val="center"/>
          </w:tcPr>
          <w:p>
            <w:pPr>
              <w:rPr>
                <w:rFonts w:hint="eastAsia" w:ascii="宋体" w:hAnsi="宋体"/>
                <w:color w:val="auto"/>
                <w:sz w:val="24"/>
                <w:highlight w:val="none"/>
              </w:rPr>
            </w:pPr>
          </w:p>
        </w:tc>
        <w:tc>
          <w:tcPr>
            <w:tcW w:w="1410" w:type="dxa"/>
            <w:tcBorders>
              <w:left w:val="single" w:color="auto" w:sz="4" w:space="0"/>
              <w:right w:val="single" w:color="auto" w:sz="12" w:space="0"/>
            </w:tcBorders>
            <w:noWrap w:val="0"/>
            <w:vAlign w:val="center"/>
          </w:tcPr>
          <w:p>
            <w:pP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081" w:type="dxa"/>
            <w:tcBorders>
              <w:left w:val="single" w:color="auto" w:sz="12" w:space="0"/>
            </w:tcBorders>
            <w:noWrap w:val="0"/>
            <w:vAlign w:val="center"/>
          </w:tcPr>
          <w:p>
            <w:pPr>
              <w:rPr>
                <w:rFonts w:hint="eastAsia" w:ascii="宋体" w:hAnsi="宋体"/>
                <w:color w:val="auto"/>
                <w:sz w:val="24"/>
                <w:highlight w:val="none"/>
              </w:rPr>
            </w:pPr>
          </w:p>
        </w:tc>
        <w:tc>
          <w:tcPr>
            <w:tcW w:w="1735" w:type="dxa"/>
            <w:noWrap w:val="0"/>
            <w:vAlign w:val="center"/>
          </w:tcPr>
          <w:p>
            <w:pPr>
              <w:rPr>
                <w:rFonts w:hint="eastAsia" w:ascii="宋体" w:hAnsi="宋体"/>
                <w:color w:val="auto"/>
                <w:sz w:val="24"/>
                <w:highlight w:val="none"/>
              </w:rPr>
            </w:pPr>
          </w:p>
        </w:tc>
        <w:tc>
          <w:tcPr>
            <w:tcW w:w="608" w:type="dxa"/>
            <w:noWrap w:val="0"/>
            <w:vAlign w:val="center"/>
          </w:tcPr>
          <w:p>
            <w:pPr>
              <w:rPr>
                <w:rFonts w:hint="eastAsia" w:ascii="宋体" w:hAnsi="宋体"/>
                <w:color w:val="auto"/>
                <w:sz w:val="24"/>
                <w:highlight w:val="none"/>
              </w:rPr>
            </w:pPr>
          </w:p>
        </w:tc>
        <w:tc>
          <w:tcPr>
            <w:tcW w:w="577" w:type="dxa"/>
            <w:noWrap w:val="0"/>
            <w:vAlign w:val="center"/>
          </w:tcPr>
          <w:p>
            <w:pPr>
              <w:rPr>
                <w:rFonts w:hint="eastAsia" w:ascii="宋体" w:hAnsi="宋体"/>
                <w:color w:val="auto"/>
                <w:sz w:val="24"/>
                <w:highlight w:val="none"/>
              </w:rPr>
            </w:pPr>
          </w:p>
        </w:tc>
        <w:tc>
          <w:tcPr>
            <w:tcW w:w="965" w:type="dxa"/>
            <w:noWrap w:val="0"/>
            <w:vAlign w:val="center"/>
          </w:tcPr>
          <w:p>
            <w:pPr>
              <w:rPr>
                <w:rFonts w:hint="eastAsia" w:ascii="宋体" w:hAnsi="宋体"/>
                <w:color w:val="auto"/>
                <w:sz w:val="24"/>
                <w:highlight w:val="none"/>
              </w:rPr>
            </w:pPr>
          </w:p>
        </w:tc>
        <w:tc>
          <w:tcPr>
            <w:tcW w:w="772" w:type="dxa"/>
            <w:noWrap w:val="0"/>
            <w:vAlign w:val="center"/>
          </w:tcPr>
          <w:p>
            <w:pPr>
              <w:rPr>
                <w:rFonts w:hint="eastAsia" w:ascii="宋体" w:hAnsi="宋体"/>
                <w:color w:val="auto"/>
                <w:sz w:val="24"/>
                <w:highlight w:val="none"/>
              </w:rPr>
            </w:pPr>
          </w:p>
        </w:tc>
        <w:tc>
          <w:tcPr>
            <w:tcW w:w="1158" w:type="dxa"/>
            <w:noWrap w:val="0"/>
            <w:vAlign w:val="center"/>
          </w:tcPr>
          <w:p>
            <w:pPr>
              <w:rPr>
                <w:rFonts w:hint="eastAsia" w:ascii="宋体" w:hAnsi="宋体"/>
                <w:color w:val="auto"/>
                <w:sz w:val="24"/>
                <w:highlight w:val="none"/>
              </w:rPr>
            </w:pPr>
          </w:p>
        </w:tc>
        <w:tc>
          <w:tcPr>
            <w:tcW w:w="1158" w:type="dxa"/>
            <w:tcBorders>
              <w:right w:val="single" w:color="auto" w:sz="4" w:space="0"/>
            </w:tcBorders>
            <w:noWrap w:val="0"/>
            <w:vAlign w:val="center"/>
          </w:tcPr>
          <w:p>
            <w:pPr>
              <w:rPr>
                <w:rFonts w:hint="eastAsia" w:ascii="宋体" w:hAnsi="宋体"/>
                <w:color w:val="auto"/>
                <w:sz w:val="24"/>
                <w:highlight w:val="none"/>
              </w:rPr>
            </w:pPr>
          </w:p>
        </w:tc>
        <w:tc>
          <w:tcPr>
            <w:tcW w:w="1410" w:type="dxa"/>
            <w:tcBorders>
              <w:left w:val="single" w:color="auto" w:sz="4" w:space="0"/>
              <w:right w:val="single" w:color="auto" w:sz="12" w:space="0"/>
            </w:tcBorders>
            <w:noWrap w:val="0"/>
            <w:vAlign w:val="center"/>
          </w:tcPr>
          <w:p>
            <w:pPr>
              <w:rPr>
                <w:rFonts w:hint="eastAsia" w:ascii="宋体" w:hAnsi="宋体"/>
                <w:color w:val="auto"/>
                <w:sz w:val="24"/>
                <w:highlight w:val="none"/>
              </w:rPr>
            </w:pPr>
          </w:p>
        </w:tc>
      </w:tr>
    </w:tbl>
    <w:p>
      <w:pPr>
        <w:spacing w:line="360" w:lineRule="auto"/>
        <w:rPr>
          <w:rFonts w:hint="eastAsia" w:ascii="宋体" w:hAnsi="宋体"/>
          <w:color w:val="auto"/>
          <w:sz w:val="24"/>
          <w:highlight w:val="none"/>
        </w:rPr>
      </w:pPr>
      <w:r>
        <w:rPr>
          <w:rFonts w:hint="eastAsia" w:ascii="宋体" w:hAnsi="宋体"/>
          <w:color w:val="auto"/>
          <w:sz w:val="24"/>
          <w:highlight w:val="none"/>
        </w:rPr>
        <w:t>注：1、列入本表人员如要更换，需经招标人同意。擅自更换或不到位属违约行为。</w:t>
      </w:r>
    </w:p>
    <w:p>
      <w:pPr>
        <w:spacing w:line="360" w:lineRule="auto"/>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w:t>
      </w:r>
      <w:r>
        <w:rPr>
          <w:rFonts w:hint="eastAsia" w:ascii="宋体" w:hAnsi="宋体"/>
          <w:color w:val="auto"/>
          <w:sz w:val="24"/>
          <w:highlight w:val="none"/>
        </w:rPr>
        <w:t>本表后附各人员社保证明及相关证书复印件。</w:t>
      </w: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p>
    <w:p>
      <w:pPr>
        <w:spacing w:line="360" w:lineRule="auto"/>
        <w:rPr>
          <w:rFonts w:hint="eastAsia" w:ascii="宋体" w:hAnsi="宋体" w:eastAsia="宋体" w:cs="宋体"/>
          <w:b w:val="0"/>
          <w:color w:val="auto"/>
          <w:kern w:val="0"/>
          <w:sz w:val="24"/>
          <w:szCs w:val="24"/>
          <w:highlight w:val="none"/>
        </w:rPr>
      </w:pPr>
      <w:r>
        <w:rPr>
          <w:rFonts w:hint="eastAsia" w:ascii="宋体" w:hAnsi="宋体"/>
          <w:color w:val="auto"/>
          <w:sz w:val="24"/>
          <w:highlight w:val="none"/>
        </w:rPr>
        <w:t xml:space="preserve">投标单位：（盖章）     </w:t>
      </w:r>
      <w:r>
        <w:rPr>
          <w:rFonts w:hint="eastAsia" w:ascii="宋体" w:hAnsi="宋体"/>
          <w:color w:val="auto"/>
          <w:sz w:val="24"/>
          <w:highlight w:val="none"/>
          <w:lang w:val="en-US" w:eastAsia="zh-CN"/>
        </w:rPr>
        <w:t xml:space="preserve"> </w:t>
      </w:r>
      <w:r>
        <w:rPr>
          <w:rFonts w:hint="eastAsia" w:ascii="宋体" w:hAnsi="宋体"/>
          <w:color w:val="auto"/>
          <w:sz w:val="24"/>
          <w:highlight w:val="none"/>
        </w:rPr>
        <w:t xml:space="preserve">    </w:t>
      </w:r>
      <w:r>
        <w:rPr>
          <w:rFonts w:hint="eastAsia" w:ascii="宋体" w:hAnsi="宋体"/>
          <w:bCs/>
          <w:color w:val="auto"/>
          <w:sz w:val="24"/>
          <w:highlight w:val="none"/>
        </w:rPr>
        <w:t>法定代表人或委托代理人</w:t>
      </w:r>
      <w:r>
        <w:rPr>
          <w:rFonts w:hint="eastAsia" w:ascii="宋体" w:hAnsi="宋体"/>
          <w:color w:val="auto"/>
          <w:sz w:val="24"/>
          <w:highlight w:val="none"/>
        </w:rPr>
        <w:t>：（</w:t>
      </w:r>
      <w:r>
        <w:rPr>
          <w:rFonts w:hint="eastAsia" w:ascii="宋体" w:hAnsi="宋体"/>
          <w:b/>
          <w:color w:val="auto"/>
          <w:sz w:val="24"/>
          <w:highlight w:val="none"/>
          <w:u w:val="single"/>
          <w:em w:val="dot"/>
        </w:rPr>
        <w:t>签字或盖章</w:t>
      </w:r>
      <w:r>
        <w:rPr>
          <w:rFonts w:hint="eastAsia" w:ascii="宋体" w:hAnsi="宋体"/>
          <w:color w:val="auto"/>
          <w:sz w:val="24"/>
          <w:highlight w:val="none"/>
        </w:rPr>
        <w:t>）</w:t>
      </w:r>
    </w:p>
    <w:p>
      <w:pPr>
        <w:pStyle w:val="2"/>
        <w:keepNext w:val="0"/>
        <w:keepLines w:val="0"/>
        <w:pageBreakBefore/>
        <w:rPr>
          <w:rFonts w:hint="eastAsia" w:ascii="宋体" w:hAnsi="宋体" w:eastAsia="宋体" w:cs="宋体"/>
          <w:b w:val="0"/>
          <w:color w:val="auto"/>
          <w:kern w:val="0"/>
          <w:sz w:val="24"/>
          <w:szCs w:val="24"/>
          <w:highlight w:val="none"/>
        </w:rPr>
      </w:pPr>
      <w:bookmarkStart w:id="78" w:name="_Toc17610"/>
      <w:r>
        <w:rPr>
          <w:rFonts w:hint="eastAsia" w:ascii="宋体" w:hAnsi="宋体" w:eastAsia="宋体" w:cs="宋体"/>
          <w:b w:val="0"/>
          <w:color w:val="auto"/>
          <w:kern w:val="0"/>
          <w:sz w:val="24"/>
          <w:szCs w:val="24"/>
          <w:highlight w:val="none"/>
        </w:rPr>
        <w:t>附件</w:t>
      </w:r>
      <w:r>
        <w:rPr>
          <w:rFonts w:hint="eastAsia" w:ascii="宋体" w:hAnsi="宋体" w:eastAsia="宋体" w:cs="宋体"/>
          <w:b w:val="0"/>
          <w:color w:val="auto"/>
          <w:kern w:val="0"/>
          <w:sz w:val="24"/>
          <w:szCs w:val="24"/>
          <w:highlight w:val="none"/>
          <w:lang w:val="en-US" w:eastAsia="zh-CN"/>
        </w:rPr>
        <w:t>十一</w:t>
      </w:r>
      <w:r>
        <w:rPr>
          <w:rFonts w:hint="eastAsia" w:ascii="宋体" w:hAnsi="宋体" w:eastAsia="宋体" w:cs="宋体"/>
          <w:b w:val="0"/>
          <w:color w:val="auto"/>
          <w:kern w:val="0"/>
          <w:sz w:val="24"/>
          <w:szCs w:val="24"/>
          <w:highlight w:val="none"/>
        </w:rPr>
        <w:t>：同类项目业绩一览表</w:t>
      </w:r>
      <w:bookmarkEnd w:id="77"/>
      <w:bookmarkEnd w:id="78"/>
    </w:p>
    <w:p>
      <w:pPr>
        <w:widowControl/>
        <w:jc w:val="left"/>
        <w:rPr>
          <w:rFonts w:hint="eastAsia" w:ascii="宋体" w:hAnsi="宋体" w:eastAsia="宋体" w:cs="宋体"/>
          <w:color w:val="auto"/>
          <w:kern w:val="0"/>
          <w:sz w:val="24"/>
          <w:highlight w:val="none"/>
        </w:rPr>
      </w:pPr>
    </w:p>
    <w:p>
      <w:pPr>
        <w:snapToGrid w:val="0"/>
        <w:spacing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同类项目业绩一览表</w:t>
      </w:r>
    </w:p>
    <w:p>
      <w:pPr>
        <w:widowControl/>
        <w:jc w:val="left"/>
        <w:rPr>
          <w:rFonts w:hint="eastAsia" w:ascii="宋体" w:hAnsi="宋体" w:eastAsia="宋体" w:cs="宋体"/>
          <w:color w:val="auto"/>
          <w:kern w:val="0"/>
          <w:sz w:val="24"/>
          <w:highlight w:val="none"/>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2"/>
        <w:gridCol w:w="1312"/>
        <w:gridCol w:w="1312"/>
        <w:gridCol w:w="1312"/>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1312" w:type="dxa"/>
            <w:vAlign w:val="center"/>
          </w:tcPr>
          <w:p>
            <w:pPr>
              <w:jc w:val="center"/>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项目名称</w:t>
            </w:r>
          </w:p>
        </w:tc>
        <w:tc>
          <w:tcPr>
            <w:tcW w:w="1312" w:type="dxa"/>
            <w:vAlign w:val="center"/>
          </w:tcPr>
          <w:p>
            <w:pPr>
              <w:jc w:val="center"/>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项目</w:t>
            </w:r>
          </w:p>
          <w:p>
            <w:pPr>
              <w:jc w:val="center"/>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类型</w:t>
            </w:r>
          </w:p>
        </w:tc>
        <w:tc>
          <w:tcPr>
            <w:tcW w:w="1312" w:type="dxa"/>
            <w:vAlign w:val="center"/>
          </w:tcPr>
          <w:p>
            <w:pPr>
              <w:jc w:val="center"/>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简要描述</w:t>
            </w:r>
          </w:p>
        </w:tc>
        <w:tc>
          <w:tcPr>
            <w:tcW w:w="1312" w:type="dxa"/>
            <w:vAlign w:val="center"/>
          </w:tcPr>
          <w:p>
            <w:pPr>
              <w:jc w:val="center"/>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项目</w:t>
            </w:r>
          </w:p>
          <w:p>
            <w:pPr>
              <w:jc w:val="center"/>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金额</w:t>
            </w:r>
          </w:p>
          <w:p>
            <w:pPr>
              <w:jc w:val="center"/>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（万元）</w:t>
            </w:r>
          </w:p>
        </w:tc>
        <w:tc>
          <w:tcPr>
            <w:tcW w:w="1312" w:type="dxa"/>
            <w:vAlign w:val="center"/>
          </w:tcPr>
          <w:p>
            <w:pPr>
              <w:jc w:val="center"/>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实施时间</w:t>
            </w:r>
          </w:p>
        </w:tc>
        <w:tc>
          <w:tcPr>
            <w:tcW w:w="1312" w:type="dxa"/>
            <w:vAlign w:val="center"/>
          </w:tcPr>
          <w:p>
            <w:pPr>
              <w:jc w:val="center"/>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项目单位、联系人及电话</w:t>
            </w:r>
          </w:p>
        </w:tc>
        <w:tc>
          <w:tcPr>
            <w:tcW w:w="1313" w:type="dxa"/>
            <w:vAlign w:val="center"/>
          </w:tcPr>
          <w:p>
            <w:pPr>
              <w:jc w:val="center"/>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项目完成情况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3"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3"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3"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3"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3"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jc w:val="center"/>
        </w:trPr>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3"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r>
    </w:tbl>
    <w:p>
      <w:pPr>
        <w:snapToGrid w:val="0"/>
        <w:spacing w:line="360" w:lineRule="auto"/>
        <w:rPr>
          <w:rFonts w:hint="eastAsia" w:ascii="宋体" w:hAnsi="宋体" w:eastAsia="宋体" w:cs="宋体"/>
          <w:b/>
          <w:color w:val="auto"/>
          <w:sz w:val="24"/>
          <w:highlight w:val="none"/>
        </w:rPr>
      </w:pPr>
    </w:p>
    <w:p>
      <w:pPr>
        <w:snapToGrid w:val="0"/>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注：1、各投标人可以根据各自业绩量准备充分的表格，此页后须附证明材料。</w:t>
      </w:r>
    </w:p>
    <w:p>
      <w:pPr>
        <w:snapToGrid w:val="0"/>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2、投标人须真实仔细地填写本表格。</w:t>
      </w:r>
    </w:p>
    <w:p>
      <w:pPr>
        <w:widowControl/>
        <w:jc w:val="left"/>
        <w:rPr>
          <w:rFonts w:hint="eastAsia" w:ascii="宋体" w:hAnsi="宋体" w:eastAsia="宋体" w:cs="宋体"/>
          <w:color w:val="auto"/>
          <w:kern w:val="0"/>
          <w:sz w:val="24"/>
          <w:highlight w:val="none"/>
        </w:rPr>
      </w:pPr>
    </w:p>
    <w:p>
      <w:pPr>
        <w:widowControl/>
        <w:jc w:val="left"/>
        <w:rPr>
          <w:rFonts w:hint="eastAsia" w:ascii="宋体" w:hAnsi="宋体" w:eastAsia="宋体" w:cs="宋体"/>
          <w:color w:val="auto"/>
          <w:kern w:val="0"/>
          <w:sz w:val="24"/>
          <w:highlight w:val="none"/>
        </w:rPr>
      </w:pPr>
    </w:p>
    <w:p>
      <w:pPr>
        <w:widowControl/>
        <w:jc w:val="left"/>
        <w:rPr>
          <w:rFonts w:hint="eastAsia" w:ascii="宋体" w:hAnsi="宋体" w:eastAsia="宋体" w:cs="宋体"/>
          <w:color w:val="auto"/>
          <w:kern w:val="0"/>
          <w:sz w:val="24"/>
          <w:highlight w:val="none"/>
        </w:rPr>
      </w:pPr>
    </w:p>
    <w:p>
      <w:pPr>
        <w:pStyle w:val="4"/>
        <w:overflowPunct w:val="0"/>
        <w:spacing w:line="360" w:lineRule="auto"/>
        <w:ind w:right="420" w:firstLine="3300" w:firstLineChars="1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投标人（单位盖章）：</w:t>
      </w:r>
    </w:p>
    <w:p>
      <w:pPr>
        <w:pStyle w:val="4"/>
        <w:overflowPunct w:val="0"/>
        <w:spacing w:line="360" w:lineRule="auto"/>
        <w:ind w:right="420" w:firstLine="3360" w:firstLineChars="1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法定代表人或委托代理人（签字或盖章）：                         </w:t>
      </w:r>
    </w:p>
    <w:p>
      <w:pPr>
        <w:spacing w:before="120" w:beforeLines="50" w:line="360" w:lineRule="auto"/>
        <w:ind w:right="-21" w:rightChars="-10" w:firstLine="470" w:firstLineChars="196"/>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年  月  日</w:t>
      </w:r>
    </w:p>
    <w:p>
      <w:pPr>
        <w:rPr>
          <w:rFonts w:hint="eastAsia" w:ascii="宋体" w:hAnsi="宋体" w:eastAsia="宋体" w:cs="宋体"/>
          <w:bCs/>
          <w:color w:val="auto"/>
          <w:sz w:val="24"/>
          <w:highlight w:val="none"/>
        </w:rPr>
      </w:pPr>
    </w:p>
    <w:p>
      <w:pPr>
        <w:rPr>
          <w:rFonts w:hint="eastAsia" w:ascii="宋体" w:hAnsi="宋体" w:eastAsia="宋体" w:cs="宋体"/>
          <w:bCs/>
          <w:color w:val="auto"/>
          <w:sz w:val="24"/>
          <w:highlight w:val="none"/>
        </w:rPr>
      </w:pPr>
    </w:p>
    <w:p>
      <w:pPr>
        <w:rPr>
          <w:rFonts w:hint="eastAsia" w:ascii="宋体" w:hAnsi="宋体" w:eastAsia="宋体" w:cs="宋体"/>
          <w:color w:val="auto"/>
          <w:sz w:val="24"/>
          <w:highlight w:val="none"/>
        </w:rPr>
      </w:pPr>
    </w:p>
    <w:p>
      <w:pPr>
        <w:pageBreakBefore/>
        <w:spacing w:before="260" w:after="260" w:line="415" w:lineRule="auto"/>
        <w:outlineLvl w:val="1"/>
        <w:rPr>
          <w:rFonts w:hint="eastAsia" w:ascii="宋体" w:hAnsi="宋体" w:eastAsia="宋体" w:cs="宋体"/>
          <w:bCs/>
          <w:color w:val="auto"/>
          <w:sz w:val="24"/>
          <w:highlight w:val="none"/>
        </w:rPr>
      </w:pPr>
      <w:bookmarkStart w:id="79" w:name="_Toc5547"/>
      <w:r>
        <w:rPr>
          <w:rFonts w:hint="eastAsia" w:ascii="宋体" w:hAnsi="宋体" w:eastAsia="宋体" w:cs="宋体"/>
          <w:bCs/>
          <w:color w:val="auto"/>
          <w:sz w:val="24"/>
          <w:highlight w:val="none"/>
        </w:rPr>
        <w:t>附件</w:t>
      </w:r>
      <w:r>
        <w:rPr>
          <w:rFonts w:hint="eastAsia" w:ascii="宋体" w:hAnsi="宋体" w:cs="宋体"/>
          <w:bCs/>
          <w:color w:val="auto"/>
          <w:sz w:val="24"/>
          <w:highlight w:val="none"/>
          <w:lang w:val="en-US" w:eastAsia="zh-CN"/>
        </w:rPr>
        <w:t>十二</w:t>
      </w:r>
      <w:r>
        <w:rPr>
          <w:rFonts w:hint="eastAsia" w:ascii="宋体" w:hAnsi="宋体" w:eastAsia="宋体" w:cs="宋体"/>
          <w:bCs/>
          <w:color w:val="auto"/>
          <w:sz w:val="24"/>
          <w:highlight w:val="none"/>
        </w:rPr>
        <w:t>：服务费承诺书</w:t>
      </w:r>
      <w:bookmarkEnd w:id="79"/>
    </w:p>
    <w:p>
      <w:pPr>
        <w:snapToGrid w:val="0"/>
        <w:spacing w:line="360" w:lineRule="auto"/>
        <w:jc w:val="center"/>
        <w:rPr>
          <w:rFonts w:hint="eastAsia" w:ascii="宋体" w:hAnsi="宋体" w:eastAsia="宋体" w:cs="宋体"/>
          <w:b/>
          <w:color w:val="auto"/>
          <w:kern w:val="0"/>
          <w:sz w:val="32"/>
          <w:szCs w:val="32"/>
          <w:highlight w:val="none"/>
          <w:lang w:val="en-US" w:eastAsia="zh-CN"/>
        </w:rPr>
      </w:pPr>
      <w:r>
        <w:rPr>
          <w:rFonts w:hint="eastAsia" w:ascii="宋体" w:hAnsi="宋体" w:eastAsia="宋体" w:cs="宋体"/>
          <w:b/>
          <w:color w:val="auto"/>
          <w:kern w:val="0"/>
          <w:sz w:val="32"/>
          <w:szCs w:val="32"/>
          <w:highlight w:val="none"/>
          <w:lang w:val="en-US" w:eastAsia="zh-CN"/>
        </w:rPr>
        <w:t>承 诺 书</w:t>
      </w:r>
    </w:p>
    <w:p>
      <w:pPr>
        <w:snapToGrid w:val="0"/>
        <w:spacing w:before="50" w:after="120" w:afterLines="50"/>
        <w:jc w:val="left"/>
        <w:rPr>
          <w:rFonts w:hint="eastAsia" w:ascii="宋体" w:hAnsi="宋体" w:eastAsia="宋体" w:cs="宋体"/>
          <w:b/>
          <w:color w:val="auto"/>
          <w:sz w:val="24"/>
          <w:highlight w:val="none"/>
        </w:rPr>
      </w:pPr>
    </w:p>
    <w:p>
      <w:pPr>
        <w:snapToGrid w:val="0"/>
        <w:spacing w:before="50" w:after="120" w:afterLines="50" w:line="360" w:lineRule="auto"/>
        <w:jc w:val="left"/>
        <w:rPr>
          <w:rFonts w:hint="eastAsia" w:ascii="宋体" w:hAnsi="宋体" w:eastAsia="宋体" w:cs="宋体"/>
          <w:b/>
          <w:bCs/>
          <w:color w:val="auto"/>
          <w:sz w:val="24"/>
          <w:highlight w:val="none"/>
        </w:rPr>
      </w:pPr>
      <w:r>
        <w:rPr>
          <w:rFonts w:hint="eastAsia" w:ascii="宋体" w:hAnsi="宋体" w:eastAsia="宋体" w:cs="宋体"/>
          <w:b/>
          <w:color w:val="auto"/>
          <w:sz w:val="24"/>
          <w:highlight w:val="none"/>
        </w:rPr>
        <w:t>东阳市鑫盛工程咨询有限公司</w:t>
      </w:r>
      <w:r>
        <w:rPr>
          <w:rFonts w:hint="eastAsia" w:ascii="宋体" w:hAnsi="宋体" w:eastAsia="宋体" w:cs="宋体"/>
          <w:b/>
          <w:bCs/>
          <w:color w:val="auto"/>
          <w:sz w:val="24"/>
          <w:highlight w:val="none"/>
        </w:rPr>
        <w:t>：</w:t>
      </w:r>
    </w:p>
    <w:p>
      <w:pPr>
        <w:snapToGrid w:val="0"/>
        <w:spacing w:before="50" w:after="120" w:afterLines="50" w:line="360" w:lineRule="auto"/>
        <w:ind w:firstLine="472" w:firstLineChars="196"/>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若我公司中标时，在中标结果公示结束之日起3天内，愿按本招标文件总则第（五）条规定向东阳市鑫盛工程咨询有限公司支付中标服务费。    </w:t>
      </w:r>
    </w:p>
    <w:p>
      <w:pPr>
        <w:snapToGrid w:val="0"/>
        <w:spacing w:before="50" w:after="120" w:afterLines="50" w:line="360" w:lineRule="auto"/>
        <w:ind w:firstLine="472" w:firstLineChars="196"/>
        <w:jc w:val="left"/>
        <w:rPr>
          <w:rFonts w:hint="eastAsia" w:ascii="宋体" w:hAnsi="宋体" w:eastAsia="宋体" w:cs="宋体"/>
          <w:b/>
          <w:bCs/>
          <w:color w:val="auto"/>
          <w:sz w:val="24"/>
          <w:highlight w:val="none"/>
        </w:rPr>
      </w:pPr>
      <w:r>
        <w:rPr>
          <w:rFonts w:hint="eastAsia" w:ascii="宋体" w:hAnsi="宋体" w:eastAsia="宋体" w:cs="宋体"/>
          <w:b/>
          <w:color w:val="auto"/>
          <w:sz w:val="24"/>
          <w:highlight w:val="none"/>
        </w:rPr>
        <w:t>我方如未在规定时间内交纳时，承诺凭贵方开出的违约通知，按上述承诺金额标准的200%交纳，由采购人在本次招标项目的货款/服务款中直接扣缴，并同意贵方以失信单位上报东阳市财政局采监科。</w:t>
      </w:r>
    </w:p>
    <w:p>
      <w:pPr>
        <w:snapToGrid w:val="0"/>
        <w:spacing w:before="50" w:after="120" w:afterLines="50"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特此承诺！</w:t>
      </w:r>
    </w:p>
    <w:p>
      <w:pPr>
        <w:snapToGrid w:val="0"/>
        <w:spacing w:before="50" w:after="120" w:afterLines="50" w:line="360" w:lineRule="auto"/>
        <w:jc w:val="left"/>
        <w:rPr>
          <w:rFonts w:hint="eastAsia" w:ascii="宋体" w:hAnsi="宋体" w:eastAsia="宋体" w:cs="宋体"/>
          <w:b/>
          <w:color w:val="auto"/>
          <w:sz w:val="24"/>
          <w:highlight w:val="none"/>
        </w:rPr>
      </w:pPr>
    </w:p>
    <w:p>
      <w:pPr>
        <w:snapToGrid w:val="0"/>
        <w:spacing w:before="50" w:after="120" w:afterLines="50"/>
        <w:jc w:val="left"/>
        <w:rPr>
          <w:rFonts w:hint="eastAsia" w:ascii="宋体" w:hAnsi="宋体" w:eastAsia="宋体" w:cs="宋体"/>
          <w:b/>
          <w:color w:val="auto"/>
          <w:sz w:val="24"/>
          <w:highlight w:val="none"/>
        </w:rPr>
      </w:pPr>
    </w:p>
    <w:p>
      <w:pPr>
        <w:snapToGrid w:val="0"/>
        <w:spacing w:before="50" w:after="120" w:afterLines="50"/>
        <w:jc w:val="left"/>
        <w:rPr>
          <w:rFonts w:hint="eastAsia" w:ascii="宋体" w:hAnsi="宋体" w:eastAsia="宋体" w:cs="宋体"/>
          <w:b/>
          <w:color w:val="auto"/>
          <w:sz w:val="24"/>
          <w:highlight w:val="none"/>
        </w:rPr>
      </w:pPr>
    </w:p>
    <w:p>
      <w:pPr>
        <w:snapToGrid w:val="0"/>
        <w:spacing w:before="50" w:after="120" w:afterLines="50"/>
        <w:jc w:val="left"/>
        <w:rPr>
          <w:rFonts w:hint="eastAsia" w:ascii="宋体" w:hAnsi="宋体" w:eastAsia="宋体" w:cs="宋体"/>
          <w:b/>
          <w:color w:val="auto"/>
          <w:sz w:val="24"/>
          <w:highlight w:val="none"/>
        </w:rPr>
      </w:pPr>
    </w:p>
    <w:p>
      <w:pPr>
        <w:snapToGrid w:val="0"/>
        <w:spacing w:before="50" w:after="120" w:afterLines="50"/>
        <w:jc w:val="left"/>
        <w:rPr>
          <w:rFonts w:hint="eastAsia" w:ascii="宋体" w:hAnsi="宋体" w:eastAsia="宋体" w:cs="宋体"/>
          <w:b/>
          <w:color w:val="auto"/>
          <w:sz w:val="24"/>
          <w:highlight w:val="none"/>
        </w:rPr>
      </w:pPr>
    </w:p>
    <w:p>
      <w:pPr>
        <w:snapToGrid w:val="0"/>
        <w:spacing w:before="50" w:after="120" w:afterLines="50"/>
        <w:jc w:val="left"/>
        <w:rPr>
          <w:rFonts w:hint="eastAsia" w:ascii="宋体" w:hAnsi="宋体" w:eastAsia="宋体" w:cs="宋体"/>
          <w:b/>
          <w:color w:val="auto"/>
          <w:sz w:val="24"/>
          <w:highlight w:val="none"/>
        </w:rPr>
      </w:pPr>
    </w:p>
    <w:p>
      <w:pPr>
        <w:snapToGrid w:val="0"/>
        <w:spacing w:before="50" w:after="120" w:afterLines="50"/>
        <w:ind w:firstLine="236" w:firstLineChars="98"/>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承诺单位(盖章)：</w:t>
      </w:r>
    </w:p>
    <w:p>
      <w:pPr>
        <w:snapToGrid w:val="0"/>
        <w:spacing w:before="50" w:after="120" w:afterLines="50"/>
        <w:jc w:val="left"/>
        <w:rPr>
          <w:rFonts w:hint="eastAsia" w:ascii="宋体" w:hAnsi="宋体" w:eastAsia="宋体" w:cs="宋体"/>
          <w:b/>
          <w:color w:val="auto"/>
          <w:sz w:val="24"/>
          <w:highlight w:val="none"/>
        </w:rPr>
      </w:pPr>
    </w:p>
    <w:p>
      <w:pPr>
        <w:snapToGrid w:val="0"/>
        <w:spacing w:before="50" w:after="120" w:afterLines="50"/>
        <w:jc w:val="left"/>
        <w:rPr>
          <w:rFonts w:hint="eastAsia" w:ascii="宋体" w:hAnsi="宋体" w:eastAsia="宋体" w:cs="宋体"/>
          <w:b/>
          <w:color w:val="auto"/>
          <w:sz w:val="24"/>
          <w:highlight w:val="none"/>
        </w:rPr>
      </w:pPr>
    </w:p>
    <w:p>
      <w:pPr>
        <w:snapToGrid w:val="0"/>
        <w:spacing w:before="50" w:after="120" w:afterLines="50"/>
        <w:ind w:firstLine="236" w:firstLineChars="98"/>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法定代表人或委托代理人(签字)：</w:t>
      </w:r>
    </w:p>
    <w:p>
      <w:pPr>
        <w:snapToGrid w:val="0"/>
        <w:spacing w:before="50" w:after="120" w:afterLines="50"/>
        <w:jc w:val="left"/>
        <w:rPr>
          <w:rFonts w:hint="eastAsia" w:ascii="宋体" w:hAnsi="宋体" w:eastAsia="宋体" w:cs="宋体"/>
          <w:b/>
          <w:bCs/>
          <w:color w:val="auto"/>
          <w:sz w:val="24"/>
          <w:highlight w:val="none"/>
        </w:rPr>
      </w:pPr>
    </w:p>
    <w:p>
      <w:pPr>
        <w:snapToGrid w:val="0"/>
        <w:spacing w:before="50" w:after="120" w:afterLines="50"/>
        <w:jc w:val="left"/>
        <w:rPr>
          <w:rFonts w:hint="eastAsia" w:ascii="宋体" w:hAnsi="宋体" w:eastAsia="宋体" w:cs="宋体"/>
          <w:b/>
          <w:bCs/>
          <w:color w:val="auto"/>
          <w:sz w:val="24"/>
          <w:highlight w:val="none"/>
        </w:rPr>
      </w:pPr>
    </w:p>
    <w:p>
      <w:pPr>
        <w:snapToGrid w:val="0"/>
        <w:spacing w:before="50" w:after="120" w:afterLines="50"/>
        <w:ind w:firstLine="5980" w:firstLineChars="2482"/>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年     月    日</w:t>
      </w:r>
    </w:p>
    <w:p>
      <w:pPr>
        <w:snapToGrid w:val="0"/>
        <w:spacing w:before="50" w:after="120" w:afterLines="50"/>
        <w:jc w:val="left"/>
        <w:rPr>
          <w:rFonts w:hint="eastAsia" w:ascii="宋体" w:hAnsi="宋体" w:eastAsia="宋体" w:cs="宋体"/>
          <w:b/>
          <w:color w:val="auto"/>
          <w:sz w:val="24"/>
          <w:highlight w:val="none"/>
        </w:rPr>
      </w:pPr>
    </w:p>
    <w:p>
      <w:pPr>
        <w:snapToGrid w:val="0"/>
        <w:spacing w:before="120" w:beforeLines="50" w:after="50" w:line="276" w:lineRule="auto"/>
        <w:jc w:val="left"/>
        <w:rPr>
          <w:rFonts w:hint="eastAsia" w:ascii="宋体" w:hAnsi="宋体" w:eastAsia="宋体" w:cs="宋体"/>
          <w:color w:val="auto"/>
          <w:sz w:val="24"/>
          <w:highlight w:val="none"/>
        </w:rPr>
      </w:pPr>
    </w:p>
    <w:p>
      <w:pPr>
        <w:snapToGrid w:val="0"/>
        <w:spacing w:before="120" w:beforeLines="50" w:after="50" w:line="276" w:lineRule="auto"/>
        <w:jc w:val="left"/>
        <w:rPr>
          <w:rFonts w:hint="eastAsia" w:ascii="宋体" w:hAnsi="宋体" w:eastAsia="宋体" w:cs="宋体"/>
          <w:color w:val="auto"/>
          <w:sz w:val="24"/>
          <w:highlight w:val="none"/>
        </w:rPr>
      </w:pPr>
    </w:p>
    <w:p>
      <w:pPr>
        <w:snapToGrid w:val="0"/>
        <w:spacing w:before="120" w:beforeLines="50" w:after="50" w:line="276" w:lineRule="auto"/>
        <w:jc w:val="left"/>
        <w:rPr>
          <w:rFonts w:hint="eastAsia" w:ascii="宋体" w:hAnsi="宋体" w:eastAsia="宋体" w:cs="宋体"/>
          <w:color w:val="auto"/>
          <w:sz w:val="24"/>
          <w:highlight w:val="none"/>
        </w:rPr>
      </w:pPr>
    </w:p>
    <w:p>
      <w:pPr>
        <w:rPr>
          <w:rFonts w:hint="eastAsia" w:ascii="宋体" w:hAnsi="宋体" w:eastAsia="宋体" w:cs="宋体"/>
          <w:bCs/>
          <w:color w:val="auto"/>
          <w:sz w:val="24"/>
          <w:highlight w:val="none"/>
        </w:rPr>
      </w:pPr>
      <w:bookmarkStart w:id="80" w:name="_Toc7166659"/>
      <w:bookmarkStart w:id="81" w:name="_Toc514425251"/>
    </w:p>
    <w:bookmarkEnd w:id="80"/>
    <w:bookmarkEnd w:id="81"/>
    <w:p>
      <w:pPr>
        <w:rPr>
          <w:rFonts w:hint="eastAsia" w:ascii="宋体" w:hAnsi="宋体" w:eastAsia="宋体" w:cs="宋体"/>
          <w:b/>
          <w:color w:val="auto"/>
          <w:sz w:val="24"/>
          <w:highlight w:val="none"/>
        </w:rPr>
      </w:pPr>
    </w:p>
    <w:p>
      <w:pPr>
        <w:pageBreakBefore/>
        <w:spacing w:before="260" w:after="260" w:line="415" w:lineRule="auto"/>
        <w:outlineLvl w:val="1"/>
        <w:rPr>
          <w:rFonts w:hint="eastAsia" w:ascii="宋体" w:hAnsi="宋体" w:eastAsia="宋体" w:cs="宋体"/>
          <w:bCs/>
          <w:color w:val="auto"/>
          <w:sz w:val="24"/>
          <w:highlight w:val="none"/>
        </w:rPr>
      </w:pPr>
      <w:bookmarkStart w:id="82" w:name="_Toc496598995"/>
      <w:bookmarkStart w:id="83" w:name="_Toc17535"/>
      <w:r>
        <w:rPr>
          <w:rFonts w:hint="eastAsia" w:ascii="宋体" w:hAnsi="宋体" w:eastAsia="宋体" w:cs="宋体"/>
          <w:bCs/>
          <w:color w:val="auto"/>
          <w:sz w:val="24"/>
          <w:highlight w:val="none"/>
        </w:rPr>
        <w:t>附件</w:t>
      </w:r>
      <w:r>
        <w:rPr>
          <w:rFonts w:hint="eastAsia" w:ascii="宋体" w:hAnsi="宋体" w:cs="宋体"/>
          <w:bCs/>
          <w:color w:val="auto"/>
          <w:sz w:val="24"/>
          <w:highlight w:val="none"/>
          <w:lang w:val="en-US" w:eastAsia="zh-CN"/>
        </w:rPr>
        <w:t>十三</w:t>
      </w:r>
      <w:r>
        <w:rPr>
          <w:rFonts w:hint="eastAsia" w:ascii="宋体" w:hAnsi="宋体" w:eastAsia="宋体" w:cs="宋体"/>
          <w:bCs/>
          <w:color w:val="auto"/>
          <w:sz w:val="24"/>
          <w:highlight w:val="none"/>
        </w:rPr>
        <w:t>:</w:t>
      </w:r>
      <w:bookmarkEnd w:id="82"/>
      <w:r>
        <w:rPr>
          <w:rFonts w:hint="eastAsia" w:ascii="宋体" w:hAnsi="宋体" w:cs="宋体"/>
          <w:bCs/>
          <w:color w:val="auto"/>
          <w:sz w:val="24"/>
          <w:highlight w:val="none"/>
          <w:lang w:val="en-US" w:eastAsia="zh-CN"/>
        </w:rPr>
        <w:t xml:space="preserve"> </w:t>
      </w:r>
      <w:r>
        <w:rPr>
          <w:rFonts w:hint="eastAsia" w:ascii="宋体" w:hAnsi="宋体" w:eastAsia="宋体" w:cs="宋体"/>
          <w:bCs/>
          <w:color w:val="auto"/>
          <w:sz w:val="24"/>
          <w:highlight w:val="none"/>
        </w:rPr>
        <w:t>投标函</w:t>
      </w:r>
      <w:bookmarkEnd w:id="83"/>
    </w:p>
    <w:p>
      <w:pPr>
        <w:snapToGrid w:val="0"/>
        <w:spacing w:line="360" w:lineRule="auto"/>
        <w:jc w:val="center"/>
        <w:rPr>
          <w:rFonts w:hint="eastAsia" w:ascii="宋体" w:hAnsi="宋体" w:eastAsia="宋体" w:cs="宋体"/>
          <w:b/>
          <w:color w:val="auto"/>
          <w:kern w:val="0"/>
          <w:sz w:val="32"/>
          <w:szCs w:val="32"/>
          <w:highlight w:val="none"/>
          <w:lang w:val="en-US" w:eastAsia="zh-CN"/>
        </w:rPr>
      </w:pPr>
      <w:r>
        <w:rPr>
          <w:rFonts w:hint="eastAsia" w:ascii="宋体" w:hAnsi="宋体" w:eastAsia="宋体" w:cs="宋体"/>
          <w:b/>
          <w:color w:val="auto"/>
          <w:kern w:val="0"/>
          <w:sz w:val="32"/>
          <w:szCs w:val="32"/>
          <w:highlight w:val="none"/>
          <w:lang w:val="en-US" w:eastAsia="zh-CN"/>
        </w:rPr>
        <w:t>投 标 函</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（招标采购单位名称）：</w:t>
      </w:r>
    </w:p>
    <w:p>
      <w:pPr>
        <w:snapToGrid w:val="0"/>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根据贵方为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项目的招标公告/投标邀请书</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（项目编号：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），签字代表</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（全名）经正式授权并代表投标人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（投标人名称）提交电子投标文件。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据此函，签字代表宣布同意如下：</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2.投标人在投标之前已经与贵方进行了充分的沟通，完全理解并接受招标文件的各项规定和要求，对招标文件的合理性、合法性不再有异议。</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3.本投标有效期自开标日起 ______天。</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4.如中标，本投标文件至本项目合同履行完毕止均保持有效，本投标人将按“招标文件”及政府采购法律、法规的规定履行合同责任和义务。</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5.投标人同意按照贵方要求提供与投标有关的一切数据或资料。</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6.与本投标有关的一切正式往来信函请寄：</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地址：__________</w:t>
      </w:r>
      <w:r>
        <w:rPr>
          <w:rFonts w:hint="eastAsia" w:ascii="宋体" w:hAnsi="宋体" w:eastAsia="宋体" w:cs="宋体"/>
          <w:color w:val="auto"/>
          <w:sz w:val="24"/>
          <w:highlight w:val="none"/>
          <w:u w:val="single"/>
        </w:rPr>
        <w:t xml:space="preserve">        _</w:t>
      </w:r>
      <w:r>
        <w:rPr>
          <w:rFonts w:hint="eastAsia" w:ascii="宋体" w:hAnsi="宋体" w:eastAsia="宋体" w:cs="宋体"/>
          <w:color w:val="auto"/>
          <w:sz w:val="24"/>
          <w:highlight w:val="none"/>
        </w:rPr>
        <w:t>____邮编：__________   电话：______________</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传真：______________投标人代表姓名 ___________  职务：______</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_______</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投标人名称(公章):___________________</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委托代理人签字:___________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日期:_____年___月___日</w:t>
      </w:r>
    </w:p>
    <w:p>
      <w:pPr>
        <w:snapToGrid w:val="0"/>
        <w:spacing w:before="156" w:after="156" w:line="360" w:lineRule="auto"/>
        <w:rPr>
          <w:rFonts w:hint="eastAsia" w:ascii="宋体" w:hAnsi="宋体" w:eastAsia="宋体" w:cs="宋体"/>
          <w:color w:val="auto"/>
          <w:sz w:val="24"/>
          <w:highlight w:val="none"/>
        </w:rPr>
      </w:pPr>
    </w:p>
    <w:p>
      <w:pPr>
        <w:snapToGrid w:val="0"/>
        <w:spacing w:before="50" w:after="120" w:afterLines="50"/>
        <w:jc w:val="left"/>
        <w:rPr>
          <w:rFonts w:hint="eastAsia" w:ascii="宋体" w:hAnsi="宋体" w:eastAsia="宋体" w:cs="宋体"/>
          <w:b/>
          <w:color w:val="auto"/>
          <w:sz w:val="24"/>
          <w:highlight w:val="none"/>
        </w:rPr>
      </w:pPr>
    </w:p>
    <w:p>
      <w:pPr>
        <w:snapToGrid w:val="0"/>
        <w:spacing w:before="50" w:after="120" w:afterLines="50"/>
        <w:jc w:val="left"/>
        <w:rPr>
          <w:rFonts w:hint="eastAsia" w:ascii="宋体" w:hAnsi="宋体" w:eastAsia="宋体" w:cs="宋体"/>
          <w:b/>
          <w:color w:val="auto"/>
          <w:sz w:val="24"/>
          <w:highlight w:val="none"/>
        </w:rPr>
      </w:pPr>
    </w:p>
    <w:p>
      <w:pPr>
        <w:snapToGrid w:val="0"/>
        <w:spacing w:before="50" w:after="120" w:afterLines="50"/>
        <w:jc w:val="left"/>
        <w:rPr>
          <w:rFonts w:hint="eastAsia" w:ascii="宋体" w:hAnsi="宋体" w:eastAsia="宋体" w:cs="宋体"/>
          <w:b/>
          <w:color w:val="auto"/>
          <w:sz w:val="24"/>
          <w:highlight w:val="none"/>
        </w:rPr>
      </w:pPr>
    </w:p>
    <w:p>
      <w:pPr>
        <w:rPr>
          <w:rFonts w:hint="eastAsia" w:ascii="宋体" w:hAnsi="宋体" w:eastAsia="宋体" w:cs="宋体"/>
          <w:color w:val="auto"/>
          <w:sz w:val="24"/>
          <w:highlight w:val="none"/>
        </w:rPr>
      </w:pPr>
      <w:bookmarkStart w:id="84" w:name="_Toc496598998"/>
    </w:p>
    <w:p>
      <w:pPr>
        <w:keepNext/>
        <w:keepLines/>
        <w:spacing w:before="260" w:after="260" w:line="360" w:lineRule="auto"/>
        <w:outlineLvl w:val="1"/>
        <w:rPr>
          <w:rFonts w:hint="eastAsia" w:ascii="宋体" w:hAnsi="宋体" w:eastAsia="宋体" w:cs="宋体"/>
          <w:bCs/>
          <w:color w:val="auto"/>
          <w:sz w:val="24"/>
          <w:highlight w:val="none"/>
          <w:lang w:val="en-US" w:eastAsia="zh-CN"/>
        </w:rPr>
      </w:pPr>
      <w:bookmarkStart w:id="85" w:name="_Toc13197"/>
      <w:r>
        <w:rPr>
          <w:rFonts w:hint="eastAsia" w:ascii="宋体" w:hAnsi="宋体" w:eastAsia="宋体" w:cs="宋体"/>
          <w:bCs/>
          <w:color w:val="auto"/>
          <w:sz w:val="24"/>
          <w:highlight w:val="none"/>
        </w:rPr>
        <w:t>附件十</w:t>
      </w:r>
      <w:r>
        <w:rPr>
          <w:rFonts w:hint="eastAsia" w:ascii="宋体" w:hAnsi="宋体" w:cs="宋体"/>
          <w:bCs/>
          <w:color w:val="auto"/>
          <w:sz w:val="24"/>
          <w:highlight w:val="none"/>
          <w:lang w:val="en-US" w:eastAsia="zh-CN"/>
        </w:rPr>
        <w:t>四</w:t>
      </w:r>
      <w:r>
        <w:rPr>
          <w:rFonts w:hint="eastAsia" w:ascii="宋体" w:hAnsi="宋体" w:eastAsia="宋体" w:cs="宋体"/>
          <w:bCs/>
          <w:color w:val="auto"/>
          <w:sz w:val="24"/>
          <w:highlight w:val="none"/>
        </w:rPr>
        <w:t>：开标一览表</w:t>
      </w:r>
      <w:bookmarkEnd w:id="85"/>
    </w:p>
    <w:p>
      <w:pPr>
        <w:snapToGrid w:val="0"/>
        <w:spacing w:line="360" w:lineRule="auto"/>
        <w:jc w:val="center"/>
        <w:rPr>
          <w:rFonts w:hint="eastAsia" w:ascii="宋体" w:hAnsi="宋体" w:eastAsia="宋体" w:cs="宋体"/>
          <w:b/>
          <w:color w:val="auto"/>
          <w:kern w:val="0"/>
          <w:sz w:val="32"/>
          <w:szCs w:val="32"/>
          <w:highlight w:val="none"/>
          <w:lang w:val="en-US" w:eastAsia="zh-CN"/>
        </w:rPr>
      </w:pPr>
      <w:r>
        <w:rPr>
          <w:rFonts w:hint="eastAsia" w:ascii="宋体" w:hAnsi="宋体" w:eastAsia="宋体" w:cs="宋体"/>
          <w:b/>
          <w:color w:val="auto"/>
          <w:kern w:val="0"/>
          <w:sz w:val="32"/>
          <w:szCs w:val="32"/>
          <w:highlight w:val="none"/>
          <w:lang w:val="en-US" w:eastAsia="zh-CN"/>
        </w:rPr>
        <w:t>开标一览表</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招标编号：                             </w:t>
      </w:r>
    </w:p>
    <w:p>
      <w:pPr>
        <w:spacing w:line="360" w:lineRule="auto"/>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rPr>
        <w:t xml:space="preserve">投标人名称：           </w:t>
      </w:r>
      <w:r>
        <w:rPr>
          <w:rFonts w:hint="eastAsia" w:ascii="宋体" w:hAnsi="宋体"/>
          <w:b/>
          <w:color w:val="auto"/>
          <w:sz w:val="24"/>
          <w:highlight w:val="none"/>
        </w:rPr>
        <w:t xml:space="preserve"> </w:t>
      </w:r>
      <w:r>
        <w:rPr>
          <w:rFonts w:hint="eastAsia" w:ascii="宋体" w:hAnsi="宋体"/>
          <w:b/>
          <w:color w:val="auto"/>
          <w:sz w:val="24"/>
          <w:highlight w:val="none"/>
          <w:lang w:val="en-US" w:eastAsia="zh-CN"/>
        </w:rPr>
        <w:t xml:space="preserve">                                       </w:t>
      </w:r>
      <w:r>
        <w:rPr>
          <w:rFonts w:hint="eastAsia" w:ascii="宋体" w:hAnsi="宋体"/>
          <w:b/>
          <w:color w:val="auto"/>
          <w:sz w:val="24"/>
          <w:highlight w:val="none"/>
        </w:rPr>
        <w:t>单位：元</w:t>
      </w:r>
      <w:r>
        <w:rPr>
          <w:rFonts w:hint="eastAsia" w:ascii="宋体" w:hAnsi="宋体" w:eastAsia="宋体" w:cs="宋体"/>
          <w:b/>
          <w:color w:val="auto"/>
          <w:sz w:val="24"/>
          <w:highlight w:val="none"/>
        </w:rPr>
        <w:t xml:space="preserve">              </w:t>
      </w:r>
      <w:r>
        <w:rPr>
          <w:rFonts w:hint="eastAsia" w:ascii="宋体" w:hAnsi="宋体" w:eastAsia="宋体" w:cs="宋体"/>
          <w:b/>
          <w:color w:val="auto"/>
          <w:sz w:val="24"/>
          <w:highlight w:val="none"/>
          <w:lang w:val="en-US" w:eastAsia="zh-CN"/>
        </w:rPr>
        <w:t xml:space="preserve">   </w:t>
      </w:r>
    </w:p>
    <w:tbl>
      <w:tblPr>
        <w:tblStyle w:val="21"/>
        <w:tblW w:w="997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03"/>
        <w:gridCol w:w="43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560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auto"/>
                <w:sz w:val="24"/>
                <w:highlight w:val="none"/>
              </w:rPr>
            </w:pPr>
            <w:r>
              <w:rPr>
                <w:rFonts w:hint="eastAsia" w:ascii="宋体" w:hAnsi="宋体"/>
                <w:b/>
                <w:color w:val="auto"/>
                <w:sz w:val="24"/>
                <w:highlight w:val="none"/>
              </w:rPr>
              <w:t>采购内容</w:t>
            </w:r>
          </w:p>
        </w:tc>
        <w:tc>
          <w:tcPr>
            <w:tcW w:w="437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b/>
                <w:color w:val="auto"/>
                <w:sz w:val="24"/>
                <w:highlight w:val="none"/>
                <w:lang w:eastAsia="zh-CN"/>
              </w:rPr>
            </w:pPr>
            <w:r>
              <w:rPr>
                <w:rFonts w:hint="eastAsia" w:ascii="宋体" w:hAnsi="宋体"/>
                <w:b/>
                <w:color w:val="auto"/>
                <w:sz w:val="24"/>
                <w:highlight w:val="none"/>
              </w:rPr>
              <w:t>投标报价</w:t>
            </w:r>
            <w:r>
              <w:rPr>
                <w:rFonts w:hint="eastAsia" w:ascii="宋体" w:hAnsi="宋体"/>
                <w:b/>
                <w:color w:val="auto"/>
                <w:sz w:val="24"/>
                <w:highlight w:val="none"/>
                <w:lang w:eastAsia="zh-CN"/>
              </w:rPr>
              <w:t>（</w:t>
            </w:r>
            <w:r>
              <w:rPr>
                <w:rFonts w:hint="eastAsia" w:ascii="宋体" w:hAnsi="宋体"/>
                <w:b/>
                <w:color w:val="auto"/>
                <w:sz w:val="24"/>
                <w:highlight w:val="none"/>
                <w:lang w:val="en-US" w:eastAsia="zh-CN"/>
              </w:rPr>
              <w:t>元</w:t>
            </w:r>
            <w:r>
              <w:rPr>
                <w:rFonts w:hint="eastAsia" w:ascii="宋体" w:hAnsi="宋体"/>
                <w:b/>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9" w:hRule="atLeast"/>
        </w:trPr>
        <w:tc>
          <w:tcPr>
            <w:tcW w:w="560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olor w:val="auto"/>
                <w:sz w:val="24"/>
                <w:highlight w:val="none"/>
                <w:lang w:eastAsia="zh-CN"/>
              </w:rPr>
            </w:pPr>
            <w:r>
              <w:rPr>
                <w:rFonts w:hint="eastAsia" w:ascii="宋体" w:hAnsi="宋体"/>
                <w:color w:val="auto"/>
                <w:sz w:val="24"/>
                <w:highlight w:val="none"/>
                <w:lang w:eastAsia="zh-CN"/>
              </w:rPr>
              <w:t>东阳市卫生健康局2022-2023年度城区除四害市场化运作项目</w:t>
            </w:r>
          </w:p>
        </w:tc>
        <w:tc>
          <w:tcPr>
            <w:tcW w:w="437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3" w:hRule="atLeast"/>
        </w:trPr>
        <w:tc>
          <w:tcPr>
            <w:tcW w:w="997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jc w:val="both"/>
              <w:rPr>
                <w:rFonts w:ascii="宋体" w:hAnsi="宋体"/>
                <w:color w:val="auto"/>
                <w:sz w:val="24"/>
                <w:highlight w:val="none"/>
              </w:rPr>
            </w:pPr>
            <w:r>
              <w:rPr>
                <w:rFonts w:hint="eastAsia" w:ascii="宋体" w:hAnsi="宋体"/>
                <w:color w:val="auto"/>
                <w:sz w:val="24"/>
                <w:highlight w:val="none"/>
              </w:rPr>
              <w:t>投标报价大写（人民币）：</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小写：</w:t>
            </w:r>
            <w:r>
              <w:rPr>
                <w:rFonts w:hint="eastAsia" w:ascii="宋体" w:hAnsi="宋体"/>
                <w:color w:val="auto"/>
                <w:sz w:val="24"/>
                <w:highlight w:val="none"/>
                <w:u w:val="single"/>
              </w:rPr>
              <w:t xml:space="preserve">                    </w:t>
            </w:r>
          </w:p>
        </w:tc>
      </w:tr>
    </w:tbl>
    <w:p>
      <w:pPr>
        <w:spacing w:line="360" w:lineRule="auto"/>
        <w:jc w:val="left"/>
        <w:rPr>
          <w:rFonts w:hint="eastAsia" w:ascii="宋体" w:hAnsi="宋体" w:eastAsia="宋体" w:cs="宋体"/>
          <w:color w:val="auto"/>
          <w:sz w:val="24"/>
          <w:highlight w:val="none"/>
        </w:rPr>
      </w:pPr>
    </w:p>
    <w:p>
      <w:pPr>
        <w:spacing w:line="360" w:lineRule="auto"/>
        <w:jc w:val="left"/>
        <w:rPr>
          <w:rFonts w:hint="eastAsia" w:ascii="宋体" w:hAnsi="宋体"/>
          <w:color w:val="auto"/>
          <w:sz w:val="24"/>
          <w:highlight w:val="none"/>
        </w:rPr>
      </w:pPr>
      <w:r>
        <w:rPr>
          <w:rFonts w:hint="eastAsia" w:ascii="宋体" w:hAnsi="宋体" w:eastAsia="宋体" w:cs="宋体"/>
          <w:color w:val="auto"/>
          <w:sz w:val="24"/>
          <w:highlight w:val="none"/>
        </w:rPr>
        <w:t>注</w:t>
      </w:r>
      <w:r>
        <w:rPr>
          <w:rFonts w:hint="eastAsia" w:ascii="宋体" w:hAnsi="宋体" w:eastAsia="宋体" w:cs="宋体"/>
          <w:color w:val="auto"/>
          <w:sz w:val="24"/>
          <w:highlight w:val="none"/>
          <w:lang w:eastAsia="zh-CN"/>
        </w:rPr>
        <w:t>：</w:t>
      </w:r>
      <w:r>
        <w:rPr>
          <w:rFonts w:hint="eastAsia" w:ascii="宋体" w:hAnsi="宋体"/>
          <w:color w:val="auto"/>
          <w:sz w:val="24"/>
          <w:highlight w:val="none"/>
        </w:rPr>
        <w:t>1、</w:t>
      </w:r>
      <w:r>
        <w:rPr>
          <w:rFonts w:hint="eastAsia" w:ascii="宋体" w:hAnsi="宋体"/>
          <w:color w:val="auto"/>
          <w:sz w:val="24"/>
          <w:highlight w:val="none"/>
          <w:lang w:val="en-US" w:eastAsia="zh-CN"/>
        </w:rPr>
        <w:t>投</w:t>
      </w:r>
      <w:r>
        <w:rPr>
          <w:rFonts w:hint="eastAsia" w:ascii="宋体" w:hAnsi="宋体"/>
          <w:color w:val="auto"/>
          <w:sz w:val="24"/>
          <w:highlight w:val="none"/>
        </w:rPr>
        <w:t>标报价一栏必须填写，否则其投标作无效标处理。</w:t>
      </w:r>
    </w:p>
    <w:p>
      <w:pPr>
        <w:numPr>
          <w:ilvl w:val="0"/>
          <w:numId w:val="13"/>
        </w:numPr>
        <w:spacing w:line="360" w:lineRule="auto"/>
        <w:ind w:firstLine="480" w:firstLineChars="200"/>
        <w:jc w:val="left"/>
        <w:rPr>
          <w:rFonts w:hint="eastAsia" w:ascii="宋体" w:hAnsi="宋体" w:cs="Arial"/>
          <w:bCs/>
          <w:color w:val="auto"/>
          <w:sz w:val="24"/>
          <w:highlight w:val="none"/>
        </w:rPr>
      </w:pPr>
      <w:r>
        <w:rPr>
          <w:rFonts w:hint="eastAsia" w:ascii="宋体" w:hAnsi="宋体"/>
          <w:color w:val="auto"/>
          <w:sz w:val="24"/>
          <w:highlight w:val="none"/>
        </w:rPr>
        <w:t>投标报价一经涂改，应在涂改处加盖单位公章或者由法定代表人或授权委托人签字或盖章，否则其投标作无效标处理</w:t>
      </w:r>
      <w:r>
        <w:rPr>
          <w:rFonts w:hint="eastAsia" w:ascii="宋体" w:hAnsi="宋体" w:cs="Arial"/>
          <w:bCs/>
          <w:color w:val="auto"/>
          <w:sz w:val="24"/>
          <w:highlight w:val="none"/>
        </w:rPr>
        <w:t>；</w:t>
      </w:r>
    </w:p>
    <w:p>
      <w:pPr>
        <w:pStyle w:val="4"/>
        <w:spacing w:line="360" w:lineRule="auto"/>
        <w:ind w:left="0" w:leftChars="0"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lang w:eastAsia="zh-CN"/>
        </w:rPr>
        <w:t>投标报价是履行合同的最终价格，包括货款、标准附件、备品备件、专用工具、包装、运输、装卸、验收、保险、货到就位以及服务等有关本项目的一切费用及税金。投标人投标报价为投标人所能承受的整个项目的一次性最终最低报价，如有漏项，视同已包含在</w:t>
      </w:r>
      <w:r>
        <w:rPr>
          <w:rFonts w:hint="eastAsia" w:ascii="宋体" w:hAnsi="宋体" w:cs="宋体"/>
          <w:color w:val="auto"/>
          <w:sz w:val="24"/>
          <w:highlight w:val="none"/>
          <w:lang w:val="en-US" w:eastAsia="zh-CN"/>
        </w:rPr>
        <w:t>本</w:t>
      </w:r>
      <w:r>
        <w:rPr>
          <w:rFonts w:hint="eastAsia" w:ascii="宋体" w:hAnsi="宋体" w:cs="宋体"/>
          <w:color w:val="auto"/>
          <w:sz w:val="24"/>
          <w:highlight w:val="none"/>
          <w:lang w:eastAsia="zh-CN"/>
        </w:rPr>
        <w:t>项目中，合同总价不做调整。</w:t>
      </w:r>
    </w:p>
    <w:p>
      <w:pPr>
        <w:numPr>
          <w:ilvl w:val="0"/>
          <w:numId w:val="0"/>
        </w:numPr>
        <w:snapToGrid/>
        <w:spacing w:line="360" w:lineRule="auto"/>
        <w:ind w:firstLine="480" w:firstLineChars="200"/>
        <w:jc w:val="left"/>
        <w:rPr>
          <w:rFonts w:hint="eastAsia" w:ascii="宋体" w:hAnsi="宋体" w:eastAsia="宋体" w:cs="Times New Roman"/>
          <w:color w:val="auto"/>
          <w:sz w:val="24"/>
          <w:highlight w:val="none"/>
        </w:rPr>
      </w:pPr>
      <w:r>
        <w:rPr>
          <w:rFonts w:hint="eastAsia" w:ascii="宋体" w:hAnsi="宋体" w:cs="Times New Roman"/>
          <w:color w:val="auto"/>
          <w:sz w:val="24"/>
          <w:highlight w:val="none"/>
          <w:lang w:val="en-US" w:eastAsia="zh-CN"/>
        </w:rPr>
        <w:t>4、</w:t>
      </w:r>
      <w:r>
        <w:rPr>
          <w:rFonts w:hint="eastAsia" w:ascii="宋体" w:hAnsi="宋体" w:eastAsia="宋体" w:cs="Times New Roman"/>
          <w:color w:val="auto"/>
          <w:sz w:val="24"/>
          <w:highlight w:val="none"/>
        </w:rPr>
        <w:t>本表格式不允许修改，否则作无效标处理。</w:t>
      </w:r>
    </w:p>
    <w:p>
      <w:pPr>
        <w:pStyle w:val="4"/>
        <w:spacing w:line="360" w:lineRule="auto"/>
        <w:ind w:left="0" w:leftChars="0" w:firstLine="480" w:firstLineChars="200"/>
        <w:rPr>
          <w:rFonts w:hint="eastAsia" w:ascii="宋体" w:hAnsi="宋体" w:cs="宋体"/>
          <w:color w:val="auto"/>
          <w:sz w:val="24"/>
          <w:highlight w:val="none"/>
          <w:lang w:val="en-US" w:eastAsia="zh-CN"/>
        </w:rPr>
      </w:pPr>
    </w:p>
    <w:p>
      <w:pPr>
        <w:spacing w:line="440" w:lineRule="exact"/>
        <w:rPr>
          <w:rFonts w:hint="eastAsia" w:ascii="宋体" w:hAnsi="宋体" w:eastAsia="宋体" w:cs="宋体"/>
          <w:color w:val="auto"/>
          <w:sz w:val="24"/>
          <w:highlight w:val="none"/>
        </w:rPr>
      </w:pPr>
    </w:p>
    <w:p>
      <w:pPr>
        <w:spacing w:line="440" w:lineRule="exact"/>
        <w:rPr>
          <w:rFonts w:hint="eastAsia" w:ascii="宋体" w:hAnsi="宋体" w:eastAsia="宋体" w:cs="宋体"/>
          <w:color w:val="auto"/>
          <w:sz w:val="24"/>
          <w:highlight w:val="none"/>
        </w:rPr>
      </w:pP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法定代表人或委托代理人（签字或盖章）：</w:t>
      </w:r>
    </w:p>
    <w:p>
      <w:pPr>
        <w:spacing w:line="440" w:lineRule="exact"/>
        <w:rPr>
          <w:rFonts w:hint="eastAsia" w:ascii="宋体" w:hAnsi="宋体" w:eastAsia="宋体" w:cs="宋体"/>
          <w:color w:val="auto"/>
          <w:sz w:val="24"/>
          <w:highlight w:val="none"/>
        </w:rPr>
      </w:pP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投标人名称（盖章）：     </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spacing w:line="440" w:lineRule="exact"/>
        <w:rPr>
          <w:rFonts w:hint="eastAsia" w:ascii="宋体" w:hAnsi="宋体" w:eastAsia="宋体" w:cs="宋体"/>
          <w:color w:val="auto"/>
          <w:sz w:val="24"/>
          <w:highlight w:val="none"/>
        </w:rPr>
      </w:pP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bookmarkStart w:id="86" w:name="_Toc17246"/>
      <w:bookmarkStart w:id="87" w:name="_Toc10955"/>
      <w:bookmarkStart w:id="88" w:name="_Toc22983"/>
      <w:bookmarkStart w:id="89" w:name="_Toc12375"/>
      <w:bookmarkStart w:id="90" w:name="_Toc14942614"/>
      <w:bookmarkStart w:id="91" w:name="_Toc26684"/>
      <w:bookmarkStart w:id="92" w:name="_Toc11356"/>
    </w:p>
    <w:bookmarkEnd w:id="84"/>
    <w:bookmarkEnd w:id="86"/>
    <w:bookmarkEnd w:id="87"/>
    <w:bookmarkEnd w:id="88"/>
    <w:bookmarkEnd w:id="89"/>
    <w:bookmarkEnd w:id="90"/>
    <w:bookmarkEnd w:id="91"/>
    <w:bookmarkEnd w:id="92"/>
    <w:p>
      <w:pPr>
        <w:pageBreakBefore/>
        <w:spacing w:before="260" w:after="260" w:line="415" w:lineRule="auto"/>
        <w:outlineLvl w:val="1"/>
        <w:rPr>
          <w:rFonts w:hint="eastAsia" w:ascii="宋体" w:hAnsi="宋体" w:eastAsia="宋体" w:cs="宋体"/>
          <w:bCs/>
          <w:color w:val="auto"/>
          <w:sz w:val="24"/>
          <w:highlight w:val="none"/>
        </w:rPr>
      </w:pPr>
      <w:bookmarkStart w:id="93" w:name="_Toc496599000"/>
      <w:bookmarkStart w:id="94" w:name="_Toc5107"/>
      <w:r>
        <w:rPr>
          <w:rFonts w:hint="eastAsia" w:ascii="宋体" w:hAnsi="宋体" w:eastAsia="宋体" w:cs="宋体"/>
          <w:bCs/>
          <w:color w:val="auto"/>
          <w:sz w:val="24"/>
          <w:highlight w:val="none"/>
        </w:rPr>
        <w:t>附件十</w:t>
      </w:r>
      <w:r>
        <w:rPr>
          <w:rFonts w:hint="eastAsia" w:ascii="宋体" w:hAnsi="宋体" w:cs="宋体"/>
          <w:bCs/>
          <w:color w:val="auto"/>
          <w:sz w:val="24"/>
          <w:highlight w:val="none"/>
          <w:lang w:val="en-US" w:eastAsia="zh-CN"/>
        </w:rPr>
        <w:t>五</w:t>
      </w:r>
      <w:r>
        <w:rPr>
          <w:rFonts w:hint="eastAsia" w:ascii="宋体" w:hAnsi="宋体" w:eastAsia="宋体" w:cs="宋体"/>
          <w:bCs/>
          <w:color w:val="auto"/>
          <w:sz w:val="24"/>
          <w:highlight w:val="none"/>
        </w:rPr>
        <w:t>：</w:t>
      </w:r>
      <w:bookmarkEnd w:id="93"/>
      <w:bookmarkStart w:id="95" w:name="_Toc496599001"/>
      <w:r>
        <w:rPr>
          <w:rFonts w:hint="eastAsia" w:ascii="宋体" w:hAnsi="宋体" w:eastAsia="宋体" w:cs="宋体"/>
          <w:bCs/>
          <w:color w:val="auto"/>
          <w:sz w:val="24"/>
          <w:highlight w:val="none"/>
        </w:rPr>
        <w:t>中小企业声明函（工程、服务）</w:t>
      </w:r>
      <w:bookmarkEnd w:id="94"/>
    </w:p>
    <w:p>
      <w:pPr>
        <w:snapToGrid w:val="0"/>
        <w:spacing w:line="360" w:lineRule="auto"/>
        <w:jc w:val="center"/>
        <w:rPr>
          <w:rFonts w:hint="eastAsia" w:ascii="宋体" w:hAnsi="宋体" w:eastAsia="宋体" w:cs="宋体"/>
          <w:b/>
          <w:color w:val="auto"/>
          <w:kern w:val="0"/>
          <w:sz w:val="32"/>
          <w:szCs w:val="32"/>
          <w:highlight w:val="none"/>
          <w:lang w:val="en-US" w:eastAsia="zh-CN"/>
        </w:rPr>
      </w:pPr>
      <w:r>
        <w:rPr>
          <w:rFonts w:hint="eastAsia" w:ascii="宋体" w:hAnsi="宋体" w:eastAsia="宋体" w:cs="宋体"/>
          <w:b/>
          <w:color w:val="auto"/>
          <w:kern w:val="0"/>
          <w:sz w:val="32"/>
          <w:szCs w:val="32"/>
          <w:highlight w:val="none"/>
          <w:lang w:val="en-US" w:eastAsia="zh-CN"/>
        </w:rPr>
        <w:t>中小企业声明函（工程、服务）</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本公司（联合体）郑重声明，根据《政府采购促进中小企业发展管理办法》（财库﹝2020﹞46 号）的规定，本公司（联合体）参加</w:t>
      </w:r>
      <w:r>
        <w:rPr>
          <w:rFonts w:hint="eastAsia" w:ascii="宋体" w:hAnsi="宋体" w:eastAsia="宋体" w:cs="宋体"/>
          <w:color w:val="auto"/>
          <w:sz w:val="24"/>
          <w:highlight w:val="none"/>
          <w:u w:val="single"/>
        </w:rPr>
        <w:t xml:space="preserve">  （单位名称）  </w:t>
      </w:r>
      <w:r>
        <w:rPr>
          <w:rFonts w:hint="eastAsia" w:ascii="宋体" w:hAnsi="宋体" w:eastAsia="宋体" w:cs="宋体"/>
          <w:color w:val="auto"/>
          <w:sz w:val="24"/>
          <w:highlight w:val="none"/>
        </w:rPr>
        <w:t>的</w:t>
      </w:r>
      <w:r>
        <w:rPr>
          <w:rFonts w:hint="eastAsia" w:ascii="宋体" w:hAnsi="宋体" w:eastAsia="宋体" w:cs="宋体"/>
          <w:color w:val="auto"/>
          <w:sz w:val="24"/>
          <w:highlight w:val="none"/>
          <w:u w:val="single"/>
        </w:rPr>
        <w:t xml:space="preserve">  （项目名称）  </w:t>
      </w:r>
      <w:r>
        <w:rPr>
          <w:rFonts w:hint="eastAsia" w:ascii="宋体" w:hAnsi="宋体" w:eastAsia="宋体" w:cs="宋体"/>
          <w:color w:val="auto"/>
          <w:sz w:val="24"/>
          <w:highlight w:val="none"/>
        </w:rPr>
        <w:t>采购活动，工程的施工单位全部为符合政策要求的中小企业（或者：服务全部由符合政策要求的中小企业承接）。相关企业（含联合 体中的中小企业、签订分包意向协议的中小企业）的具体情况如下：</w:t>
      </w:r>
    </w:p>
    <w:p>
      <w:pPr>
        <w:spacing w:line="360" w:lineRule="auto"/>
        <w:ind w:firstLine="480" w:firstLineChars="200"/>
        <w:rPr>
          <w:rFonts w:hint="eastAsia" w:ascii="宋体" w:hAnsi="宋体" w:cs="宋体"/>
          <w:color w:val="auto"/>
          <w:sz w:val="24"/>
          <w:szCs w:val="32"/>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u w:val="single"/>
        </w:rPr>
        <w:t xml:space="preserve">  （标的名称）  </w:t>
      </w:r>
      <w:r>
        <w:rPr>
          <w:rFonts w:hint="eastAsia" w:ascii="宋体" w:hAnsi="宋体" w:eastAsia="宋体" w:cs="宋体"/>
          <w:color w:val="auto"/>
          <w:sz w:val="24"/>
          <w:highlight w:val="none"/>
        </w:rPr>
        <w:t>，属于</w:t>
      </w:r>
      <w:r>
        <w:rPr>
          <w:rFonts w:hint="eastAsia" w:ascii="宋体" w:hAnsi="宋体" w:cs="宋体"/>
          <w:color w:val="auto"/>
          <w:sz w:val="24"/>
          <w:highlight w:val="none"/>
          <w:u w:val="single"/>
          <w:lang w:val="en-US" w:eastAsia="zh-CN"/>
        </w:rPr>
        <w:t>其他未列明行业</w:t>
      </w:r>
      <w:r>
        <w:rPr>
          <w:rFonts w:hint="eastAsia" w:ascii="宋体" w:hAnsi="宋体" w:eastAsia="宋体" w:cs="宋体"/>
          <w:color w:val="auto"/>
          <w:sz w:val="24"/>
          <w:highlight w:val="none"/>
        </w:rPr>
        <w:t>；承建（承接）企业为</w:t>
      </w:r>
      <w:r>
        <w:rPr>
          <w:rFonts w:hint="eastAsia" w:ascii="宋体" w:hAnsi="宋体" w:eastAsia="宋体" w:cs="宋体"/>
          <w:color w:val="auto"/>
          <w:sz w:val="24"/>
          <w:highlight w:val="none"/>
          <w:u w:val="single"/>
        </w:rPr>
        <w:t xml:space="preserve">  （企业名称）  </w:t>
      </w:r>
      <w:r>
        <w:rPr>
          <w:rFonts w:hint="eastAsia" w:ascii="宋体" w:hAnsi="宋体" w:eastAsia="宋体" w:cs="宋体"/>
          <w:color w:val="auto"/>
          <w:sz w:val="24"/>
          <w:highlight w:val="none"/>
        </w:rPr>
        <w:t>，从业人员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rPr>
        <w:t>万元，</w:t>
      </w:r>
      <w:r>
        <w:rPr>
          <w:rFonts w:hint="eastAsia" w:ascii="宋体" w:hAnsi="宋体" w:cs="宋体"/>
          <w:b/>
          <w:bCs/>
          <w:color w:val="auto"/>
          <w:sz w:val="24"/>
          <w:szCs w:val="32"/>
          <w:highlight w:val="none"/>
        </w:rPr>
        <w:t>属于</w:t>
      </w:r>
      <w:r>
        <w:rPr>
          <w:rFonts w:hint="eastAsia" w:ascii="宋体" w:hAnsi="宋体" w:cs="宋体"/>
          <w:b/>
          <w:bCs/>
          <w:color w:val="auto"/>
          <w:sz w:val="24"/>
          <w:szCs w:val="32"/>
          <w:highlight w:val="none"/>
          <w:u w:val="single"/>
        </w:rPr>
        <w:t xml:space="preserve">         </w:t>
      </w:r>
      <w:r>
        <w:rPr>
          <w:rFonts w:hint="eastAsia" w:ascii="宋体" w:hAnsi="宋体" w:cs="宋体"/>
          <w:b/>
          <w:bCs/>
          <w:color w:val="auto"/>
          <w:sz w:val="24"/>
          <w:szCs w:val="32"/>
          <w:highlight w:val="none"/>
          <w:u w:val="none"/>
        </w:rPr>
        <w:t>企业</w:t>
      </w:r>
      <w:r>
        <w:rPr>
          <w:rFonts w:hint="eastAsia" w:ascii="宋体" w:hAnsi="宋体" w:cs="宋体"/>
          <w:color w:val="auto"/>
          <w:sz w:val="24"/>
          <w:szCs w:val="32"/>
          <w:highlight w:val="none"/>
          <w:u w:val="none"/>
        </w:rPr>
        <w:t>（</w:t>
      </w:r>
      <w:r>
        <w:rPr>
          <w:rFonts w:hint="eastAsia" w:ascii="宋体" w:hAnsi="宋体" w:cs="宋体"/>
          <w:color w:val="auto"/>
          <w:sz w:val="24"/>
          <w:szCs w:val="32"/>
          <w:highlight w:val="none"/>
          <w:u w:val="none"/>
          <w:lang w:val="en-US" w:eastAsia="zh-CN"/>
        </w:rPr>
        <w:t>请填写</w:t>
      </w:r>
      <w:r>
        <w:rPr>
          <w:rFonts w:hint="eastAsia" w:ascii="宋体" w:hAnsi="宋体" w:cs="宋体"/>
          <w:color w:val="auto"/>
          <w:sz w:val="24"/>
          <w:szCs w:val="32"/>
          <w:highlight w:val="none"/>
          <w:u w:val="none"/>
        </w:rPr>
        <w:t>中型企业或小型企业或微型企业）</w:t>
      </w:r>
      <w:r>
        <w:rPr>
          <w:rFonts w:hint="eastAsia" w:ascii="宋体" w:hAnsi="宋体" w:cs="宋体"/>
          <w:color w:val="auto"/>
          <w:sz w:val="24"/>
          <w:szCs w:val="32"/>
          <w:highlight w:val="none"/>
        </w:rPr>
        <w:t>；</w:t>
      </w:r>
    </w:p>
    <w:p>
      <w:pPr>
        <w:spacing w:line="360" w:lineRule="auto"/>
        <w:ind w:firstLine="480" w:firstLineChars="200"/>
        <w:rPr>
          <w:rFonts w:hint="eastAsia" w:ascii="宋体" w:hAnsi="宋体" w:cs="宋体"/>
          <w:color w:val="auto"/>
          <w:sz w:val="24"/>
          <w:szCs w:val="32"/>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u w:val="single"/>
        </w:rPr>
        <w:t xml:space="preserve">  （标的名称）  </w:t>
      </w:r>
      <w:r>
        <w:rPr>
          <w:rFonts w:hint="eastAsia" w:ascii="宋体" w:hAnsi="宋体" w:eastAsia="宋体" w:cs="宋体"/>
          <w:color w:val="auto"/>
          <w:sz w:val="24"/>
          <w:highlight w:val="none"/>
        </w:rPr>
        <w:t>，属于</w:t>
      </w:r>
      <w:r>
        <w:rPr>
          <w:rFonts w:hint="eastAsia" w:ascii="宋体" w:hAnsi="宋体" w:cs="宋体"/>
          <w:color w:val="auto"/>
          <w:sz w:val="24"/>
          <w:highlight w:val="none"/>
          <w:u w:val="single"/>
          <w:lang w:val="en-US" w:eastAsia="zh-CN"/>
        </w:rPr>
        <w:t>其他未列明行业</w:t>
      </w:r>
      <w:r>
        <w:rPr>
          <w:rFonts w:hint="eastAsia" w:ascii="宋体" w:hAnsi="宋体" w:eastAsia="宋体" w:cs="宋体"/>
          <w:color w:val="auto"/>
          <w:sz w:val="24"/>
          <w:highlight w:val="none"/>
        </w:rPr>
        <w:t>；</w:t>
      </w:r>
      <w:r>
        <w:rPr>
          <w:rFonts w:hint="eastAsia" w:ascii="宋体" w:hAnsi="宋体" w:eastAsia="宋体" w:cs="宋体"/>
          <w:color w:val="auto"/>
          <w:sz w:val="24"/>
          <w:highlight w:val="none"/>
        </w:rPr>
        <w:t>承建（承接）企业为</w:t>
      </w:r>
      <w:r>
        <w:rPr>
          <w:rFonts w:hint="eastAsia" w:ascii="宋体" w:hAnsi="宋体" w:eastAsia="宋体" w:cs="宋体"/>
          <w:color w:val="auto"/>
          <w:sz w:val="24"/>
          <w:highlight w:val="none"/>
          <w:u w:val="single"/>
        </w:rPr>
        <w:t xml:space="preserve">  （企业名称）  </w:t>
      </w:r>
      <w:r>
        <w:rPr>
          <w:rFonts w:hint="eastAsia" w:ascii="宋体" w:hAnsi="宋体" w:eastAsia="宋体" w:cs="宋体"/>
          <w:color w:val="auto"/>
          <w:sz w:val="24"/>
          <w:highlight w:val="none"/>
        </w:rPr>
        <w:t>，从业人员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rPr>
        <w:t>万元，</w:t>
      </w:r>
      <w:r>
        <w:rPr>
          <w:rFonts w:hint="eastAsia" w:ascii="宋体" w:hAnsi="宋体" w:cs="宋体"/>
          <w:b/>
          <w:bCs/>
          <w:color w:val="auto"/>
          <w:sz w:val="24"/>
          <w:szCs w:val="32"/>
          <w:highlight w:val="none"/>
        </w:rPr>
        <w:t>属于</w:t>
      </w:r>
      <w:r>
        <w:rPr>
          <w:rFonts w:hint="eastAsia" w:ascii="宋体" w:hAnsi="宋体" w:cs="宋体"/>
          <w:b/>
          <w:bCs/>
          <w:color w:val="auto"/>
          <w:sz w:val="24"/>
          <w:szCs w:val="32"/>
          <w:highlight w:val="none"/>
          <w:u w:val="single"/>
        </w:rPr>
        <w:t xml:space="preserve">         </w:t>
      </w:r>
      <w:r>
        <w:rPr>
          <w:rFonts w:hint="eastAsia" w:ascii="宋体" w:hAnsi="宋体" w:cs="宋体"/>
          <w:b/>
          <w:bCs/>
          <w:color w:val="auto"/>
          <w:sz w:val="24"/>
          <w:szCs w:val="32"/>
          <w:highlight w:val="none"/>
          <w:u w:val="none"/>
        </w:rPr>
        <w:t>企业</w:t>
      </w:r>
      <w:r>
        <w:rPr>
          <w:rFonts w:hint="eastAsia" w:ascii="宋体" w:hAnsi="宋体" w:cs="宋体"/>
          <w:color w:val="auto"/>
          <w:sz w:val="24"/>
          <w:szCs w:val="32"/>
          <w:highlight w:val="none"/>
          <w:u w:val="none"/>
        </w:rPr>
        <w:t>（</w:t>
      </w:r>
      <w:r>
        <w:rPr>
          <w:rFonts w:hint="eastAsia" w:ascii="宋体" w:hAnsi="宋体" w:cs="宋体"/>
          <w:color w:val="auto"/>
          <w:sz w:val="24"/>
          <w:szCs w:val="32"/>
          <w:highlight w:val="none"/>
          <w:u w:val="none"/>
          <w:lang w:val="en-US" w:eastAsia="zh-CN"/>
        </w:rPr>
        <w:t>请填写</w:t>
      </w:r>
      <w:r>
        <w:rPr>
          <w:rFonts w:hint="eastAsia" w:ascii="宋体" w:hAnsi="宋体" w:cs="宋体"/>
          <w:color w:val="auto"/>
          <w:sz w:val="24"/>
          <w:szCs w:val="32"/>
          <w:highlight w:val="none"/>
          <w:u w:val="none"/>
        </w:rPr>
        <w:t>中型企业或小型企业或微型企业）</w:t>
      </w:r>
      <w:r>
        <w:rPr>
          <w:rFonts w:hint="eastAsia" w:ascii="宋体" w:hAnsi="宋体" w:cs="宋体"/>
          <w:color w:val="auto"/>
          <w:sz w:val="24"/>
          <w:szCs w:val="32"/>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本企业对上述声明内容的真实性负责。如有虚假，将依法承担相应责任。</w:t>
      </w:r>
    </w:p>
    <w:p>
      <w:pPr>
        <w:spacing w:line="360" w:lineRule="auto"/>
        <w:rPr>
          <w:rFonts w:hint="eastAsia" w:ascii="宋体" w:hAnsi="宋体" w:eastAsia="宋体" w:cs="宋体"/>
          <w:color w:val="auto"/>
          <w:sz w:val="24"/>
          <w:highlight w:val="none"/>
        </w:rPr>
      </w:pPr>
    </w:p>
    <w:p>
      <w:pPr>
        <w:spacing w:line="360" w:lineRule="auto"/>
        <w:ind w:firstLine="5280" w:firstLineChars="2200"/>
        <w:rPr>
          <w:rFonts w:hint="eastAsia" w:ascii="宋体" w:hAnsi="宋体" w:eastAsia="宋体" w:cs="宋体"/>
          <w:color w:val="auto"/>
          <w:sz w:val="24"/>
          <w:highlight w:val="none"/>
        </w:rPr>
      </w:pPr>
      <w:r>
        <w:rPr>
          <w:rFonts w:hint="eastAsia" w:ascii="宋体" w:hAnsi="宋体" w:eastAsia="宋体" w:cs="宋体"/>
          <w:color w:val="auto"/>
          <w:sz w:val="24"/>
          <w:highlight w:val="none"/>
        </w:rPr>
        <w:t>企业名称（盖章）：</w:t>
      </w:r>
    </w:p>
    <w:p>
      <w:pPr>
        <w:spacing w:line="360" w:lineRule="auto"/>
        <w:ind w:firstLine="5280" w:firstLineChars="2200"/>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b/>
          <w:bCs/>
          <w:color w:val="auto"/>
          <w:sz w:val="24"/>
          <w:highlight w:val="none"/>
        </w:rPr>
      </w:pPr>
    </w:p>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备注：</w:t>
      </w:r>
    </w:p>
    <w:p>
      <w:pPr>
        <w:spacing w:line="360" w:lineRule="auto"/>
        <w:rPr>
          <w:rFonts w:hint="eastAsia" w:ascii="宋体" w:hAnsi="宋体" w:eastAsia="宋体" w:cs="宋体"/>
          <w:b/>
          <w:bCs/>
          <w:color w:val="auto"/>
          <w:sz w:val="24"/>
          <w:highlight w:val="none"/>
        </w:rPr>
      </w:pPr>
      <w:r>
        <w:rPr>
          <w:rFonts w:hint="eastAsia" w:ascii="宋体" w:hAnsi="宋体" w:cs="宋体"/>
          <w:b/>
          <w:bCs/>
          <w:color w:val="auto"/>
          <w:sz w:val="24"/>
          <w:highlight w:val="none"/>
          <w:lang w:val="en-US" w:eastAsia="zh-CN"/>
        </w:rPr>
        <w:t>1</w:t>
      </w:r>
      <w:r>
        <w:rPr>
          <w:rFonts w:hint="eastAsia" w:ascii="宋体" w:hAnsi="宋体" w:eastAsia="宋体" w:cs="宋体"/>
          <w:b/>
          <w:bCs/>
          <w:color w:val="auto"/>
          <w:sz w:val="24"/>
          <w:highlight w:val="none"/>
        </w:rPr>
        <w:t>、从业人员、营业收入、资产总额填报上一年度数据，无上一年度数据的新成立企业可不填报。</w:t>
      </w:r>
    </w:p>
    <w:p>
      <w:pPr>
        <w:pStyle w:val="8"/>
        <w:rPr>
          <w:rFonts w:hint="eastAsia" w:ascii="宋体" w:hAnsi="宋体" w:eastAsia="宋体" w:cs="宋体"/>
          <w:b/>
          <w:bCs/>
          <w:color w:val="auto"/>
          <w:sz w:val="24"/>
          <w:highlight w:val="none"/>
        </w:rPr>
      </w:pPr>
      <w:r>
        <w:rPr>
          <w:rFonts w:hint="eastAsia" w:ascii="宋体" w:hAnsi="宋体" w:cs="宋体"/>
          <w:b/>
          <w:bCs/>
          <w:color w:val="auto"/>
          <w:sz w:val="24"/>
          <w:highlight w:val="none"/>
          <w:lang w:val="en-US" w:eastAsia="zh-CN"/>
        </w:rPr>
        <w:t>2</w:t>
      </w:r>
      <w:r>
        <w:rPr>
          <w:rFonts w:hint="eastAsia" w:ascii="宋体" w:hAnsi="宋体" w:eastAsia="宋体" w:cs="宋体"/>
          <w:b/>
          <w:bCs/>
          <w:color w:val="auto"/>
          <w:sz w:val="24"/>
          <w:highlight w:val="none"/>
        </w:rPr>
        <w:t>、本声明函将随中标结果同时公告，接受社会监督。</w:t>
      </w:r>
    </w:p>
    <w:p>
      <w:pPr>
        <w:pageBreakBefore/>
        <w:spacing w:before="260" w:after="260" w:line="415" w:lineRule="auto"/>
        <w:outlineLvl w:val="1"/>
        <w:rPr>
          <w:rFonts w:hint="eastAsia" w:ascii="宋体" w:hAnsi="宋体" w:eastAsia="宋体" w:cs="宋体"/>
          <w:bCs/>
          <w:color w:val="auto"/>
          <w:sz w:val="24"/>
          <w:highlight w:val="none"/>
        </w:rPr>
      </w:pPr>
      <w:bookmarkStart w:id="96" w:name="_Toc18815"/>
      <w:r>
        <w:rPr>
          <w:rFonts w:hint="eastAsia" w:ascii="宋体" w:hAnsi="宋体" w:eastAsia="宋体" w:cs="宋体"/>
          <w:bCs/>
          <w:color w:val="auto"/>
          <w:sz w:val="24"/>
          <w:highlight w:val="none"/>
        </w:rPr>
        <w:t>附件</w:t>
      </w:r>
      <w:r>
        <w:rPr>
          <w:rFonts w:hint="eastAsia" w:ascii="宋体" w:hAnsi="宋体" w:cs="宋体"/>
          <w:bCs/>
          <w:color w:val="auto"/>
          <w:sz w:val="24"/>
          <w:highlight w:val="none"/>
          <w:lang w:val="en-US" w:eastAsia="zh-CN"/>
        </w:rPr>
        <w:t>十六</w:t>
      </w:r>
      <w:r>
        <w:rPr>
          <w:rFonts w:hint="eastAsia" w:ascii="宋体" w:hAnsi="宋体" w:eastAsia="宋体" w:cs="宋体"/>
          <w:bCs/>
          <w:color w:val="auto"/>
          <w:sz w:val="24"/>
          <w:highlight w:val="none"/>
        </w:rPr>
        <w:t>：</w:t>
      </w:r>
      <w:bookmarkEnd w:id="95"/>
      <w:r>
        <w:rPr>
          <w:rFonts w:hint="eastAsia" w:ascii="宋体" w:hAnsi="宋体" w:eastAsia="宋体" w:cs="宋体"/>
          <w:bCs/>
          <w:color w:val="auto"/>
          <w:sz w:val="24"/>
          <w:highlight w:val="none"/>
        </w:rPr>
        <w:t>东阳市采购项目验收方案</w:t>
      </w:r>
      <w:bookmarkEnd w:id="96"/>
    </w:p>
    <w:p>
      <w:pPr>
        <w:snapToGrid w:val="0"/>
        <w:spacing w:line="360" w:lineRule="auto"/>
        <w:jc w:val="center"/>
        <w:rPr>
          <w:rFonts w:hint="eastAsia" w:ascii="宋体" w:hAnsi="宋体" w:eastAsia="宋体" w:cs="宋体"/>
          <w:b/>
          <w:color w:val="auto"/>
          <w:kern w:val="0"/>
          <w:sz w:val="32"/>
          <w:szCs w:val="32"/>
          <w:highlight w:val="none"/>
          <w:lang w:val="en-US" w:eastAsia="zh-CN"/>
        </w:rPr>
      </w:pPr>
      <w:r>
        <w:rPr>
          <w:rFonts w:hint="eastAsia" w:ascii="宋体" w:hAnsi="宋体" w:eastAsia="宋体" w:cs="宋体"/>
          <w:b/>
          <w:color w:val="auto"/>
          <w:kern w:val="0"/>
          <w:sz w:val="32"/>
          <w:szCs w:val="32"/>
          <w:highlight w:val="none"/>
          <w:lang w:val="en-US" w:eastAsia="zh-CN"/>
        </w:rPr>
        <w:t>东阳市采购项目验收方案</w:t>
      </w:r>
    </w:p>
    <w:p>
      <w:pPr>
        <w:spacing w:before="120" w:beforeLines="50" w:after="120" w:after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根据《政府采购法》及东阳市政府采购办东财预〔2009〕98号《关于加强政府采购管理工作的补充规定》等有关文件规定，为做好</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采购项目的验收管理工作，特制定本项目验收方案，具体如下。</w:t>
      </w:r>
    </w:p>
    <w:p>
      <w:pPr>
        <w:spacing w:after="120"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一、验收项目说明</w:t>
      </w:r>
    </w:p>
    <w:p>
      <w:pPr>
        <w:spacing w:after="120"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1、招标编号：               </w:t>
      </w:r>
    </w:p>
    <w:p>
      <w:pPr>
        <w:spacing w:after="120"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2、采购内容：</w:t>
      </w:r>
    </w:p>
    <w:p>
      <w:pPr>
        <w:spacing w:after="120" w:line="360" w:lineRule="auto"/>
        <w:rPr>
          <w:rFonts w:hint="eastAsia" w:ascii="宋体" w:hAnsi="宋体" w:eastAsia="宋体" w:cs="宋体"/>
          <w:b/>
          <w:color w:val="auto"/>
          <w:sz w:val="24"/>
          <w:highlight w:val="none"/>
        </w:rPr>
      </w:pPr>
    </w:p>
    <w:p>
      <w:pPr>
        <w:spacing w:after="120"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二、验收小组人员</w:t>
      </w:r>
    </w:p>
    <w:p>
      <w:pPr>
        <w:spacing w:after="120"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1、本次验收由</w:t>
      </w:r>
      <w:r>
        <w:rPr>
          <w:rFonts w:hint="eastAsia" w:ascii="宋体" w:hAnsi="宋体" w:eastAsia="宋体" w:cs="宋体"/>
          <w:b/>
          <w:color w:val="auto"/>
          <w:sz w:val="24"/>
          <w:highlight w:val="none"/>
          <w:u w:val="single"/>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b/>
          <w:color w:val="auto"/>
          <w:sz w:val="24"/>
          <w:highlight w:val="none"/>
        </w:rPr>
        <w:t>组织。</w:t>
      </w:r>
    </w:p>
    <w:p>
      <w:pPr>
        <w:spacing w:after="120" w:line="360" w:lineRule="auto"/>
        <w:ind w:firstLine="472" w:firstLineChars="196"/>
        <w:rPr>
          <w:rFonts w:hint="eastAsia" w:ascii="宋体" w:hAnsi="宋体" w:eastAsia="宋体" w:cs="宋体"/>
          <w:b/>
          <w:color w:val="auto"/>
          <w:sz w:val="24"/>
          <w:highlight w:val="none"/>
          <w:u w:val="single"/>
        </w:rPr>
      </w:pPr>
      <w:r>
        <w:rPr>
          <w:rFonts w:hint="eastAsia" w:ascii="宋体" w:hAnsi="宋体" w:eastAsia="宋体" w:cs="宋体"/>
          <w:b/>
          <w:color w:val="auto"/>
          <w:sz w:val="24"/>
          <w:highlight w:val="none"/>
        </w:rPr>
        <w:t>2、验收小组成员名单：</w:t>
      </w:r>
      <w:r>
        <w:rPr>
          <w:rFonts w:hint="eastAsia" w:ascii="宋体" w:hAnsi="宋体" w:eastAsia="宋体" w:cs="宋体"/>
          <w:b/>
          <w:color w:val="auto"/>
          <w:sz w:val="24"/>
          <w:highlight w:val="none"/>
          <w:u w:val="single"/>
        </w:rPr>
        <w:t xml:space="preserve">                                                       </w:t>
      </w:r>
    </w:p>
    <w:p>
      <w:pPr>
        <w:spacing w:after="120"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3、验收小组成员签名：</w:t>
      </w:r>
      <w:r>
        <w:rPr>
          <w:rFonts w:hint="eastAsia" w:ascii="宋体" w:hAnsi="宋体" w:eastAsia="宋体" w:cs="宋体"/>
          <w:b/>
          <w:color w:val="auto"/>
          <w:sz w:val="24"/>
          <w:highlight w:val="none"/>
          <w:u w:val="single"/>
        </w:rPr>
        <w:t xml:space="preserve">                                                    </w:t>
      </w:r>
      <w:r>
        <w:rPr>
          <w:rFonts w:hint="eastAsia" w:ascii="宋体" w:hAnsi="宋体" w:eastAsia="宋体" w:cs="宋体"/>
          <w:b/>
          <w:color w:val="auto"/>
          <w:sz w:val="24"/>
          <w:highlight w:val="none"/>
        </w:rPr>
        <w:t xml:space="preserve">                                                                        </w:t>
      </w:r>
    </w:p>
    <w:p>
      <w:pPr>
        <w:spacing w:after="120"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三、验收方法与内容</w:t>
      </w:r>
    </w:p>
    <w:p>
      <w:pPr>
        <w:spacing w:after="120" w:line="360" w:lineRule="auto"/>
        <w:rPr>
          <w:rFonts w:hint="eastAsia" w:ascii="宋体" w:hAnsi="宋体" w:eastAsia="宋体" w:cs="宋体"/>
          <w:b/>
          <w:color w:val="auto"/>
          <w:sz w:val="24"/>
          <w:highlight w:val="none"/>
        </w:rPr>
      </w:pPr>
    </w:p>
    <w:p>
      <w:pPr>
        <w:spacing w:after="120"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四、验收时间</w:t>
      </w:r>
    </w:p>
    <w:p>
      <w:pPr>
        <w:spacing w:after="120" w:line="360" w:lineRule="auto"/>
        <w:rPr>
          <w:rFonts w:hint="eastAsia" w:ascii="宋体" w:hAnsi="宋体" w:eastAsia="宋体" w:cs="宋体"/>
          <w:b/>
          <w:color w:val="auto"/>
          <w:sz w:val="24"/>
          <w:highlight w:val="none"/>
        </w:rPr>
      </w:pPr>
    </w:p>
    <w:p>
      <w:pPr>
        <w:spacing w:after="120"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五、验收地点</w:t>
      </w:r>
    </w:p>
    <w:p>
      <w:pPr>
        <w:spacing w:after="120" w:line="360" w:lineRule="auto"/>
        <w:rPr>
          <w:rFonts w:hint="eastAsia" w:ascii="宋体" w:hAnsi="宋体" w:eastAsia="宋体" w:cs="宋体"/>
          <w:b/>
          <w:color w:val="auto"/>
          <w:sz w:val="24"/>
          <w:highlight w:val="none"/>
        </w:rPr>
      </w:pPr>
    </w:p>
    <w:p>
      <w:pPr>
        <w:spacing w:after="120"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六、验收程序</w:t>
      </w:r>
    </w:p>
    <w:p>
      <w:pPr>
        <w:spacing w:after="120" w:line="360" w:lineRule="auto"/>
        <w:ind w:left="479" w:leftChars="228" w:firstLine="470" w:firstLineChars="195"/>
        <w:rPr>
          <w:rFonts w:hint="eastAsia" w:ascii="宋体" w:hAnsi="宋体" w:eastAsia="宋体" w:cs="宋体"/>
          <w:b/>
          <w:color w:val="auto"/>
          <w:sz w:val="24"/>
          <w:highlight w:val="none"/>
        </w:rPr>
      </w:pPr>
    </w:p>
    <w:p>
      <w:pPr>
        <w:spacing w:after="120" w:line="360" w:lineRule="auto"/>
        <w:ind w:left="479" w:leftChars="228" w:firstLine="470" w:firstLineChars="195"/>
        <w:rPr>
          <w:rFonts w:hint="eastAsia" w:ascii="宋体" w:hAnsi="宋体" w:eastAsia="宋体" w:cs="宋体"/>
          <w:b/>
          <w:color w:val="auto"/>
          <w:sz w:val="24"/>
          <w:highlight w:val="none"/>
        </w:rPr>
      </w:pPr>
    </w:p>
    <w:p>
      <w:pPr>
        <w:spacing w:after="120" w:line="360" w:lineRule="auto"/>
        <w:ind w:right="-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                                            采购单位（盖章）：</w:t>
      </w:r>
    </w:p>
    <w:p>
      <w:pPr>
        <w:spacing w:after="120" w:line="360" w:lineRule="auto"/>
        <w:ind w:right="960" w:firstLine="470" w:firstLineChars="196"/>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年  月  日</w:t>
      </w:r>
    </w:p>
    <w:p>
      <w:pPr>
        <w:pageBreakBefore/>
        <w:spacing w:before="260" w:after="260" w:line="415" w:lineRule="auto"/>
        <w:outlineLvl w:val="1"/>
        <w:rPr>
          <w:rFonts w:hint="eastAsia" w:ascii="宋体" w:hAnsi="宋体" w:eastAsia="宋体" w:cs="宋体"/>
          <w:bCs/>
          <w:color w:val="auto"/>
          <w:sz w:val="24"/>
          <w:highlight w:val="none"/>
        </w:rPr>
      </w:pPr>
      <w:bookmarkStart w:id="97" w:name="_Toc496599002"/>
      <w:bookmarkStart w:id="98" w:name="_Toc18003"/>
      <w:r>
        <w:rPr>
          <w:rFonts w:hint="eastAsia" w:ascii="宋体" w:hAnsi="宋体" w:eastAsia="宋体" w:cs="宋体"/>
          <w:bCs/>
          <w:color w:val="auto"/>
          <w:sz w:val="24"/>
          <w:highlight w:val="none"/>
        </w:rPr>
        <w:t>附件</w:t>
      </w:r>
      <w:r>
        <w:rPr>
          <w:rFonts w:hint="eastAsia" w:ascii="宋体" w:hAnsi="宋体" w:cs="宋体"/>
          <w:bCs/>
          <w:color w:val="auto"/>
          <w:sz w:val="24"/>
          <w:highlight w:val="none"/>
          <w:lang w:val="en-US" w:eastAsia="zh-CN"/>
        </w:rPr>
        <w:t>十七</w:t>
      </w:r>
      <w:r>
        <w:rPr>
          <w:rFonts w:hint="eastAsia" w:ascii="宋体" w:hAnsi="宋体" w:eastAsia="宋体" w:cs="宋体"/>
          <w:bCs/>
          <w:color w:val="auto"/>
          <w:sz w:val="24"/>
          <w:highlight w:val="none"/>
        </w:rPr>
        <w:t>：</w:t>
      </w:r>
      <w:bookmarkEnd w:id="97"/>
      <w:r>
        <w:rPr>
          <w:rFonts w:hint="eastAsia" w:ascii="宋体" w:hAnsi="宋体" w:eastAsia="宋体" w:cs="宋体"/>
          <w:bCs/>
          <w:color w:val="auto"/>
          <w:sz w:val="24"/>
          <w:highlight w:val="none"/>
        </w:rPr>
        <w:t>东阳市政府采购代理机构社会评价表</w:t>
      </w:r>
      <w:bookmarkEnd w:id="98"/>
    </w:p>
    <w:p>
      <w:pPr>
        <w:jc w:val="center"/>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东阳市政府采购代理机构社会评价表</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代理机构名称： </w:t>
      </w:r>
    </w:p>
    <w:tbl>
      <w:tblPr>
        <w:tblStyle w:val="2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469"/>
        <w:gridCol w:w="696"/>
        <w:gridCol w:w="1067"/>
        <w:gridCol w:w="1031"/>
        <w:gridCol w:w="792"/>
        <w:gridCol w:w="2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填表人类别</w:t>
            </w:r>
          </w:p>
        </w:tc>
        <w:tc>
          <w:tcPr>
            <w:tcW w:w="7938" w:type="dxa"/>
            <w:gridSpan w:val="6"/>
            <w:tcBorders>
              <w:top w:val="single" w:color="auto" w:sz="4" w:space="0"/>
              <w:left w:val="nil"/>
              <w:bottom w:val="single" w:color="auto" w:sz="4" w:space="0"/>
              <w:right w:val="single" w:color="auto" w:sz="4" w:space="0"/>
            </w:tcBorders>
            <w:vAlign w:val="center"/>
          </w:tcPr>
          <w:p>
            <w:pPr>
              <w:ind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□采购单位      □供应商      □专家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6"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填表人名称或姓名</w:t>
            </w:r>
          </w:p>
        </w:tc>
        <w:tc>
          <w:tcPr>
            <w:tcW w:w="4266" w:type="dxa"/>
            <w:gridSpan w:val="4"/>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p>
        </w:tc>
        <w:tc>
          <w:tcPr>
            <w:tcW w:w="79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地址</w:t>
            </w:r>
          </w:p>
        </w:tc>
        <w:tc>
          <w:tcPr>
            <w:tcW w:w="28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w:t>
            </w:r>
          </w:p>
        </w:tc>
        <w:tc>
          <w:tcPr>
            <w:tcW w:w="147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p>
        </w:tc>
        <w:tc>
          <w:tcPr>
            <w:tcW w:w="69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电话</w:t>
            </w:r>
          </w:p>
        </w:tc>
        <w:tc>
          <w:tcPr>
            <w:tcW w:w="2100"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p>
        </w:tc>
        <w:tc>
          <w:tcPr>
            <w:tcW w:w="78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传真</w:t>
            </w:r>
          </w:p>
        </w:tc>
        <w:tc>
          <w:tcPr>
            <w:tcW w:w="28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restart"/>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对代理机构的评价</w:t>
            </w:r>
          </w:p>
        </w:tc>
        <w:tc>
          <w:tcPr>
            <w:tcW w:w="323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w:t>
            </w:r>
          </w:p>
        </w:tc>
        <w:tc>
          <w:tcPr>
            <w:tcW w:w="470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评价（请在分值范围内进行打分）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p>
        </w:tc>
        <w:tc>
          <w:tcPr>
            <w:tcW w:w="3234" w:type="dxa"/>
            <w:gridSpan w:val="3"/>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是否严格执行政府采购纪律、法规和规章制度等（2分）。</w:t>
            </w:r>
          </w:p>
        </w:tc>
        <w:tc>
          <w:tcPr>
            <w:tcW w:w="470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p>
        </w:tc>
        <w:tc>
          <w:tcPr>
            <w:tcW w:w="3234" w:type="dxa"/>
            <w:gridSpan w:val="3"/>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操作程序是否规范，采购行为、过程、结果是否公开、公平、公正，采购组织管理是否规范严谨（2分）</w:t>
            </w:r>
            <w:r>
              <w:rPr>
                <w:rFonts w:hint="eastAsia" w:ascii="宋体" w:hAnsi="宋体" w:eastAsia="宋体" w:cs="宋体"/>
                <w:color w:val="auto"/>
                <w:kern w:val="0"/>
                <w:sz w:val="24"/>
                <w:highlight w:val="none"/>
              </w:rPr>
              <w:t>。</w:t>
            </w:r>
          </w:p>
        </w:tc>
        <w:tc>
          <w:tcPr>
            <w:tcW w:w="470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p>
        </w:tc>
        <w:tc>
          <w:tcPr>
            <w:tcW w:w="3234" w:type="dxa"/>
            <w:gridSpan w:val="3"/>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是否及时组织采购，是否有承诺办事时间并能限时办结（2分）</w:t>
            </w:r>
            <w:r>
              <w:rPr>
                <w:rFonts w:hint="eastAsia" w:ascii="宋体" w:hAnsi="宋体" w:eastAsia="宋体" w:cs="宋体"/>
                <w:color w:val="auto"/>
                <w:kern w:val="0"/>
                <w:sz w:val="24"/>
                <w:highlight w:val="none"/>
              </w:rPr>
              <w:t>。</w:t>
            </w:r>
          </w:p>
        </w:tc>
        <w:tc>
          <w:tcPr>
            <w:tcW w:w="470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p>
        </w:tc>
        <w:tc>
          <w:tcPr>
            <w:tcW w:w="3234" w:type="dxa"/>
            <w:gridSpan w:val="3"/>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是否能积极</w:t>
            </w:r>
            <w:r>
              <w:rPr>
                <w:rFonts w:hint="eastAsia" w:ascii="宋体" w:hAnsi="宋体" w:eastAsia="宋体" w:cs="宋体"/>
                <w:color w:val="auto"/>
                <w:kern w:val="0"/>
                <w:sz w:val="24"/>
                <w:highlight w:val="none"/>
              </w:rPr>
              <w:t>主动</w:t>
            </w:r>
            <w:r>
              <w:rPr>
                <w:rFonts w:hint="eastAsia" w:ascii="宋体" w:hAnsi="宋体" w:eastAsia="宋体" w:cs="宋体"/>
                <w:color w:val="auto"/>
                <w:sz w:val="24"/>
                <w:highlight w:val="none"/>
              </w:rPr>
              <w:t>与当事人沟通</w:t>
            </w:r>
            <w:r>
              <w:rPr>
                <w:rFonts w:hint="eastAsia" w:ascii="宋体" w:hAnsi="宋体" w:eastAsia="宋体" w:cs="宋体"/>
                <w:color w:val="auto"/>
                <w:kern w:val="0"/>
                <w:sz w:val="24"/>
                <w:highlight w:val="none"/>
              </w:rPr>
              <w:t>对接；对采购政策进行详细解读；</w:t>
            </w:r>
            <w:r>
              <w:rPr>
                <w:rFonts w:hint="eastAsia" w:ascii="宋体" w:hAnsi="宋体" w:eastAsia="宋体" w:cs="宋体"/>
                <w:color w:val="auto"/>
                <w:sz w:val="24"/>
                <w:highlight w:val="none"/>
              </w:rPr>
              <w:t>咨询答复是否热情周到、耐心细致（2分）</w:t>
            </w:r>
            <w:r>
              <w:rPr>
                <w:rFonts w:hint="eastAsia" w:ascii="宋体" w:hAnsi="宋体" w:eastAsia="宋体" w:cs="宋体"/>
                <w:color w:val="auto"/>
                <w:kern w:val="0"/>
                <w:sz w:val="24"/>
                <w:highlight w:val="none"/>
              </w:rPr>
              <w:t>。</w:t>
            </w:r>
          </w:p>
        </w:tc>
        <w:tc>
          <w:tcPr>
            <w:tcW w:w="470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p>
        </w:tc>
        <w:tc>
          <w:tcPr>
            <w:tcW w:w="3234" w:type="dxa"/>
            <w:gridSpan w:val="3"/>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采购的质量、服务是否满意（2分）。</w:t>
            </w:r>
          </w:p>
        </w:tc>
        <w:tc>
          <w:tcPr>
            <w:tcW w:w="470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p>
        </w:tc>
        <w:tc>
          <w:tcPr>
            <w:tcW w:w="323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合计</w:t>
            </w:r>
          </w:p>
        </w:tc>
        <w:tc>
          <w:tcPr>
            <w:tcW w:w="470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对代理机构的意见和建议</w:t>
            </w:r>
          </w:p>
        </w:tc>
        <w:tc>
          <w:tcPr>
            <w:tcW w:w="7938" w:type="dxa"/>
            <w:gridSpan w:val="6"/>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备注</w:t>
            </w:r>
          </w:p>
        </w:tc>
        <w:tc>
          <w:tcPr>
            <w:tcW w:w="7938" w:type="dxa"/>
            <w:gridSpan w:val="6"/>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p>
        </w:tc>
      </w:tr>
    </w:tbl>
    <w:p>
      <w:pPr>
        <w:spacing w:after="120"/>
        <w:ind w:right="1240"/>
        <w:rPr>
          <w:rFonts w:hint="eastAsia" w:ascii="宋体" w:hAnsi="宋体" w:eastAsia="宋体" w:cs="宋体"/>
          <w:color w:val="auto"/>
          <w:sz w:val="24"/>
          <w:highlight w:val="none"/>
        </w:rPr>
      </w:pPr>
      <w:r>
        <w:rPr>
          <w:rFonts w:hint="eastAsia" w:ascii="宋体" w:hAnsi="宋体" w:eastAsia="宋体" w:cs="宋体"/>
          <w:color w:val="auto"/>
          <w:sz w:val="24"/>
          <w:highlight w:val="none"/>
        </w:rPr>
        <w:t>填表人签字盖章：                    日期</w:t>
      </w:r>
    </w:p>
    <w:p>
      <w:pPr>
        <w:spacing w:after="120"/>
        <w:ind w:right="-154"/>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注：投标单位须加盖单位红章。</w:t>
      </w:r>
    </w:p>
    <w:p>
      <w:pPr>
        <w:pStyle w:val="2"/>
        <w:rPr>
          <w:rFonts w:hint="eastAsia" w:ascii="宋体" w:hAnsi="宋体" w:eastAsia="宋体" w:cs="宋体"/>
          <w:b w:val="0"/>
          <w:color w:val="auto"/>
          <w:sz w:val="24"/>
          <w:szCs w:val="24"/>
          <w:highlight w:val="none"/>
        </w:rPr>
      </w:pPr>
      <w:bookmarkStart w:id="99" w:name="_Toc25847"/>
      <w:bookmarkStart w:id="100" w:name="_Toc21082"/>
      <w:r>
        <w:rPr>
          <w:rFonts w:hint="eastAsia" w:ascii="宋体" w:hAnsi="宋体" w:eastAsia="宋体" w:cs="宋体"/>
          <w:b w:val="0"/>
          <w:color w:val="auto"/>
          <w:sz w:val="24"/>
          <w:szCs w:val="24"/>
          <w:highlight w:val="none"/>
        </w:rPr>
        <w:t>附件</w:t>
      </w:r>
      <w:r>
        <w:rPr>
          <w:rFonts w:hint="eastAsia" w:ascii="宋体" w:hAnsi="宋体" w:eastAsia="宋体" w:cs="宋体"/>
          <w:b w:val="0"/>
          <w:color w:val="auto"/>
          <w:sz w:val="24"/>
          <w:szCs w:val="24"/>
          <w:highlight w:val="none"/>
          <w:lang w:val="en-US" w:eastAsia="zh-CN"/>
        </w:rPr>
        <w:t>十八</w:t>
      </w:r>
      <w:r>
        <w:rPr>
          <w:rFonts w:hint="eastAsia" w:ascii="宋体" w:hAnsi="宋体" w:eastAsia="宋体" w:cs="宋体"/>
          <w:b w:val="0"/>
          <w:color w:val="auto"/>
          <w:sz w:val="24"/>
          <w:szCs w:val="24"/>
          <w:highlight w:val="none"/>
        </w:rPr>
        <w:t>：办理保函需提供资料</w:t>
      </w:r>
      <w:bookmarkEnd w:id="99"/>
      <w:bookmarkEnd w:id="100"/>
    </w:p>
    <w:p>
      <w:pPr>
        <w:spacing w:after="120"/>
        <w:ind w:right="-154"/>
        <w:rPr>
          <w:rFonts w:hint="eastAsia" w:ascii="宋体" w:hAnsi="宋体" w:eastAsia="宋体" w:cs="宋体"/>
          <w:color w:val="auto"/>
          <w:sz w:val="24"/>
          <w:highlight w:val="none"/>
        </w:rPr>
      </w:pPr>
    </w:p>
    <w:p>
      <w:pPr>
        <w:spacing w:after="120"/>
        <w:ind w:right="-154"/>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办理保函需提供资料</w:t>
      </w:r>
    </w:p>
    <w:p>
      <w:pPr>
        <w:numPr>
          <w:ilvl w:val="0"/>
          <w:numId w:val="14"/>
        </w:numPr>
        <w:spacing w:line="8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营业执照</w:t>
      </w:r>
    </w:p>
    <w:p>
      <w:pPr>
        <w:numPr>
          <w:ilvl w:val="0"/>
          <w:numId w:val="14"/>
        </w:numPr>
        <w:spacing w:line="8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法人身份证</w:t>
      </w:r>
    </w:p>
    <w:p>
      <w:pPr>
        <w:numPr>
          <w:ilvl w:val="0"/>
          <w:numId w:val="14"/>
        </w:numPr>
        <w:spacing w:line="8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近两年财务报表</w:t>
      </w:r>
    </w:p>
    <w:p>
      <w:pPr>
        <w:numPr>
          <w:ilvl w:val="0"/>
          <w:numId w:val="14"/>
        </w:numPr>
        <w:spacing w:line="8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资质证书或安装，维修证书</w:t>
      </w:r>
    </w:p>
    <w:p>
      <w:pPr>
        <w:numPr>
          <w:ilvl w:val="0"/>
          <w:numId w:val="14"/>
        </w:numPr>
        <w:spacing w:line="8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中标通知书</w:t>
      </w:r>
    </w:p>
    <w:p>
      <w:pPr>
        <w:numPr>
          <w:ilvl w:val="0"/>
          <w:numId w:val="14"/>
        </w:numPr>
        <w:spacing w:line="8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招标文件电子版</w:t>
      </w:r>
    </w:p>
    <w:p>
      <w:pPr>
        <w:numPr>
          <w:ilvl w:val="0"/>
          <w:numId w:val="14"/>
        </w:numPr>
        <w:spacing w:line="8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信用反担保函</w:t>
      </w:r>
    </w:p>
    <w:p>
      <w:pPr>
        <w:spacing w:line="8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注：所有资料复印件加盖公章</w:t>
      </w:r>
    </w:p>
    <w:p>
      <w:pPr>
        <w:spacing w:after="120"/>
        <w:ind w:right="-154"/>
        <w:rPr>
          <w:rFonts w:hint="eastAsia" w:ascii="宋体" w:hAnsi="宋体" w:eastAsia="宋体" w:cs="宋体"/>
          <w:b/>
          <w:color w:val="auto"/>
          <w:sz w:val="24"/>
          <w:highlight w:val="none"/>
        </w:rPr>
      </w:pPr>
    </w:p>
    <w:p>
      <w:pPr>
        <w:spacing w:after="120"/>
        <w:ind w:right="-154"/>
        <w:rPr>
          <w:rFonts w:hint="eastAsia" w:ascii="宋体" w:hAnsi="宋体" w:eastAsia="宋体" w:cs="宋体"/>
          <w:b/>
          <w:color w:val="auto"/>
          <w:sz w:val="24"/>
          <w:highlight w:val="none"/>
        </w:rPr>
      </w:pPr>
    </w:p>
    <w:p>
      <w:pPr>
        <w:spacing w:after="120"/>
        <w:ind w:right="-154"/>
        <w:rPr>
          <w:rFonts w:hint="eastAsia" w:ascii="宋体" w:hAnsi="宋体" w:eastAsia="宋体" w:cs="宋体"/>
          <w:b/>
          <w:color w:val="auto"/>
          <w:sz w:val="24"/>
          <w:highlight w:val="none"/>
        </w:rPr>
      </w:pPr>
    </w:p>
    <w:p>
      <w:pPr>
        <w:spacing w:after="120"/>
        <w:ind w:right="-154"/>
        <w:rPr>
          <w:rFonts w:hint="eastAsia" w:ascii="宋体" w:hAnsi="宋体" w:eastAsia="宋体" w:cs="宋体"/>
          <w:b/>
          <w:color w:val="auto"/>
          <w:sz w:val="24"/>
          <w:highlight w:val="none"/>
        </w:rPr>
      </w:pPr>
    </w:p>
    <w:p>
      <w:pPr>
        <w:spacing w:after="120"/>
        <w:ind w:right="-154"/>
        <w:rPr>
          <w:rFonts w:hint="eastAsia" w:ascii="宋体" w:hAnsi="宋体" w:eastAsia="宋体" w:cs="宋体"/>
          <w:b/>
          <w:color w:val="auto"/>
          <w:sz w:val="24"/>
          <w:highlight w:val="none"/>
        </w:rPr>
      </w:pPr>
    </w:p>
    <w:p>
      <w:pPr>
        <w:spacing w:after="120"/>
        <w:ind w:right="-154"/>
        <w:rPr>
          <w:rFonts w:hint="eastAsia" w:ascii="宋体" w:hAnsi="宋体" w:eastAsia="宋体" w:cs="宋体"/>
          <w:b/>
          <w:color w:val="auto"/>
          <w:sz w:val="24"/>
          <w:highlight w:val="none"/>
        </w:rPr>
      </w:pPr>
    </w:p>
    <w:p>
      <w:pPr>
        <w:spacing w:after="120"/>
        <w:ind w:right="-154"/>
        <w:rPr>
          <w:rFonts w:hint="eastAsia" w:ascii="宋体" w:hAnsi="宋体" w:eastAsia="宋体" w:cs="宋体"/>
          <w:b/>
          <w:color w:val="auto"/>
          <w:sz w:val="24"/>
          <w:highlight w:val="none"/>
        </w:rPr>
      </w:pPr>
    </w:p>
    <w:p>
      <w:pPr>
        <w:spacing w:after="120"/>
        <w:ind w:right="-154"/>
        <w:rPr>
          <w:rFonts w:hint="eastAsia" w:ascii="宋体" w:hAnsi="宋体" w:eastAsia="宋体" w:cs="宋体"/>
          <w:b/>
          <w:color w:val="auto"/>
          <w:sz w:val="24"/>
          <w:highlight w:val="none"/>
        </w:rPr>
      </w:pPr>
    </w:p>
    <w:p>
      <w:pPr>
        <w:spacing w:after="120"/>
        <w:ind w:right="-154"/>
        <w:rPr>
          <w:rFonts w:hint="eastAsia" w:ascii="宋体" w:hAnsi="宋体" w:eastAsia="宋体" w:cs="宋体"/>
          <w:b/>
          <w:color w:val="auto"/>
          <w:sz w:val="24"/>
          <w:highlight w:val="none"/>
        </w:rPr>
      </w:pPr>
    </w:p>
    <w:p>
      <w:pPr>
        <w:spacing w:after="120"/>
        <w:ind w:right="-154"/>
        <w:rPr>
          <w:rFonts w:hint="eastAsia" w:ascii="宋体" w:hAnsi="宋体" w:eastAsia="宋体" w:cs="宋体"/>
          <w:b/>
          <w:color w:val="auto"/>
          <w:sz w:val="24"/>
          <w:highlight w:val="none"/>
        </w:rPr>
      </w:pPr>
    </w:p>
    <w:p>
      <w:pPr>
        <w:spacing w:after="120"/>
        <w:ind w:right="-154"/>
        <w:rPr>
          <w:rFonts w:hint="eastAsia" w:ascii="宋体" w:hAnsi="宋体" w:eastAsia="宋体" w:cs="宋体"/>
          <w:b/>
          <w:color w:val="auto"/>
          <w:sz w:val="24"/>
          <w:highlight w:val="none"/>
        </w:rPr>
      </w:pPr>
    </w:p>
    <w:p>
      <w:pPr>
        <w:spacing w:after="120"/>
        <w:ind w:right="-154"/>
        <w:rPr>
          <w:rFonts w:hint="eastAsia" w:ascii="宋体" w:hAnsi="宋体" w:eastAsia="宋体" w:cs="宋体"/>
          <w:b/>
          <w:color w:val="auto"/>
          <w:sz w:val="24"/>
          <w:highlight w:val="none"/>
        </w:rPr>
      </w:pPr>
    </w:p>
    <w:p>
      <w:pPr>
        <w:pageBreakBefore/>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信用反担保保证函</w:t>
      </w:r>
    </w:p>
    <w:p>
      <w:pPr>
        <w:spacing w:line="52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中国人民财产保险股份有限公司</w:t>
      </w:r>
      <w:r>
        <w:rPr>
          <w:rFonts w:hint="eastAsia" w:ascii="宋体" w:hAnsi="宋体" w:eastAsia="宋体" w:cs="宋体"/>
          <w:b/>
          <w:bCs/>
          <w:color w:val="auto"/>
          <w:sz w:val="24"/>
          <w:highlight w:val="none"/>
          <w:u w:val="single"/>
        </w:rPr>
        <w:t>东阳</w:t>
      </w:r>
      <w:r>
        <w:rPr>
          <w:rFonts w:hint="eastAsia" w:ascii="宋体" w:hAnsi="宋体" w:eastAsia="宋体" w:cs="宋体"/>
          <w:color w:val="auto"/>
          <w:sz w:val="24"/>
          <w:highlight w:val="none"/>
        </w:rPr>
        <w:t>支公司：</w:t>
      </w:r>
    </w:p>
    <w:p>
      <w:pPr>
        <w:spacing w:line="520" w:lineRule="exact"/>
        <w:ind w:firstLine="480" w:firstLineChars="200"/>
        <w:rPr>
          <w:rFonts w:hint="eastAsia" w:ascii="宋体" w:hAnsi="宋体" w:eastAsia="宋体" w:cs="宋体"/>
          <w:b/>
          <w:bCs/>
          <w:color w:val="auto"/>
          <w:sz w:val="24"/>
          <w:highlight w:val="none"/>
          <w:u w:val="single"/>
        </w:rPr>
      </w:pPr>
      <w:r>
        <w:rPr>
          <w:rFonts w:hint="eastAsia" w:ascii="宋体" w:hAnsi="宋体" w:eastAsia="宋体" w:cs="宋体"/>
          <w:color w:val="auto"/>
          <w:sz w:val="24"/>
          <w:highlight w:val="none"/>
        </w:rPr>
        <w:t>鉴于中国人民财产保险股份有限公司</w:t>
      </w:r>
      <w:r>
        <w:rPr>
          <w:rFonts w:hint="eastAsia" w:ascii="宋体" w:hAnsi="宋体" w:eastAsia="宋体" w:cs="宋体"/>
          <w:b/>
          <w:bCs/>
          <w:color w:val="auto"/>
          <w:sz w:val="24"/>
          <w:highlight w:val="none"/>
          <w:u w:val="single"/>
        </w:rPr>
        <w:t>东阳</w:t>
      </w:r>
      <w:r>
        <w:rPr>
          <w:rFonts w:hint="eastAsia" w:ascii="宋体" w:hAnsi="宋体" w:eastAsia="宋体" w:cs="宋体"/>
          <w:color w:val="auto"/>
          <w:sz w:val="24"/>
          <w:highlight w:val="none"/>
        </w:rPr>
        <w:t>支公司向</w:t>
      </w:r>
    </w:p>
    <w:p>
      <w:pPr>
        <w:spacing w:line="520" w:lineRule="exact"/>
        <w:ind w:firstLine="482" w:firstLineChars="200"/>
        <w:jc w:val="left"/>
        <w:rPr>
          <w:rFonts w:hint="eastAsia" w:ascii="宋体" w:hAnsi="宋体" w:eastAsia="宋体" w:cs="宋体"/>
          <w:color w:val="auto"/>
          <w:sz w:val="24"/>
          <w:highlight w:val="none"/>
          <w:u w:val="single"/>
        </w:rPr>
      </w:pPr>
      <w:r>
        <w:rPr>
          <w:rFonts w:hint="eastAsia" w:ascii="宋体" w:hAnsi="宋体" w:eastAsia="宋体" w:cs="宋体"/>
          <w:b/>
          <w:bCs/>
          <w:color w:val="auto"/>
          <w:sz w:val="24"/>
          <w:highlight w:val="none"/>
          <w:u w:val="single"/>
        </w:rPr>
        <w:t xml:space="preserve">             </w:t>
      </w:r>
      <w:r>
        <w:rPr>
          <w:rFonts w:hint="eastAsia" w:ascii="宋体" w:hAnsi="宋体" w:eastAsia="宋体" w:cs="宋体"/>
          <w:color w:val="auto"/>
          <w:sz w:val="24"/>
          <w:highlight w:val="none"/>
        </w:rPr>
        <w:t>公司出具《供货履约保证保险》保单（保单编号：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），并承担相应的保险责任（具体以保险合同条款为准），最高保险金额为人民币（大写）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（小写：</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）；为促进该业务的良好开展，</w:t>
      </w:r>
      <w:r>
        <w:rPr>
          <w:rFonts w:hint="eastAsia" w:ascii="宋体" w:hAnsi="宋体" w:eastAsia="宋体" w:cs="宋体"/>
          <w:color w:val="auto"/>
          <w:sz w:val="24"/>
          <w:highlight w:val="none"/>
          <w:u w:val="single"/>
        </w:rPr>
        <w:t xml:space="preserve">                                                     </w:t>
      </w:r>
    </w:p>
    <w:p>
      <w:pPr>
        <w:spacing w:line="52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有限责任公司（以下称本信用反担保保证人）愿意为中国人民财产保险股份有限公司</w:t>
      </w:r>
      <w:r>
        <w:rPr>
          <w:rFonts w:hint="eastAsia" w:ascii="宋体" w:hAnsi="宋体" w:eastAsia="宋体" w:cs="宋体"/>
          <w:b/>
          <w:bCs/>
          <w:color w:val="auto"/>
          <w:sz w:val="24"/>
          <w:highlight w:val="none"/>
          <w:u w:val="single"/>
        </w:rPr>
        <w:t>东阳</w:t>
      </w:r>
      <w:r>
        <w:rPr>
          <w:rFonts w:hint="eastAsia" w:ascii="宋体" w:hAnsi="宋体" w:eastAsia="宋体" w:cs="宋体"/>
          <w:color w:val="auto"/>
          <w:sz w:val="24"/>
          <w:highlight w:val="none"/>
        </w:rPr>
        <w:t>支公司在保险合同项下的一系列保险保障提供信用反担保保证，同意履行以下保证内容：</w:t>
      </w:r>
    </w:p>
    <w:p>
      <w:pPr>
        <w:spacing w:line="520" w:lineRule="exact"/>
        <w:ind w:firstLine="600" w:firstLineChars="250"/>
        <w:rPr>
          <w:rFonts w:hint="eastAsia" w:ascii="宋体" w:hAnsi="宋体" w:eastAsia="宋体" w:cs="宋体"/>
          <w:color w:val="auto"/>
          <w:sz w:val="24"/>
          <w:highlight w:val="none"/>
        </w:rPr>
      </w:pPr>
      <w:r>
        <w:rPr>
          <w:rFonts w:hint="eastAsia" w:ascii="宋体" w:hAnsi="宋体" w:eastAsia="宋体" w:cs="宋体"/>
          <w:color w:val="auto"/>
          <w:sz w:val="24"/>
          <w:highlight w:val="none"/>
        </w:rPr>
        <w:t>一、 本信用反担保保证人同意承担的保证范围：</w:t>
      </w:r>
    </w:p>
    <w:p>
      <w:pPr>
        <w:spacing w:line="52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（一）中国人民财产保险股份有限公司</w:t>
      </w:r>
      <w:r>
        <w:rPr>
          <w:rFonts w:hint="eastAsia" w:ascii="宋体" w:hAnsi="宋体" w:eastAsia="宋体" w:cs="宋体"/>
          <w:b/>
          <w:bCs/>
          <w:color w:val="auto"/>
          <w:sz w:val="24"/>
          <w:highlight w:val="none"/>
          <w:u w:val="single"/>
        </w:rPr>
        <w:t>东阳</w:t>
      </w:r>
      <w:r>
        <w:rPr>
          <w:rFonts w:hint="eastAsia" w:ascii="宋体" w:hAnsi="宋体" w:eastAsia="宋体" w:cs="宋体"/>
          <w:color w:val="auto"/>
          <w:sz w:val="24"/>
          <w:highlight w:val="none"/>
        </w:rPr>
        <w:t>支公司承保的保单号为：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的供货履约保证保险合同约定的保险责任、保险金额和履行保证责任而实际发生的费用（包括但不限于诉讼费、公告费、保全费、律师费等）及损失；</w:t>
      </w:r>
    </w:p>
    <w:p>
      <w:pPr>
        <w:spacing w:line="52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（二）本信用反担保保证人承担保证责任的方式为连带保证责任。</w:t>
      </w:r>
    </w:p>
    <w:p>
      <w:pPr>
        <w:spacing w:line="52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二、本信用反担保保证人承担的保证期间为：从中国人民财产保险股份有限公司</w:t>
      </w:r>
      <w:r>
        <w:rPr>
          <w:rFonts w:hint="eastAsia" w:ascii="宋体" w:hAnsi="宋体" w:eastAsia="宋体" w:cs="宋体"/>
          <w:b/>
          <w:bCs/>
          <w:color w:val="auto"/>
          <w:sz w:val="24"/>
          <w:highlight w:val="none"/>
          <w:u w:val="single"/>
        </w:rPr>
        <w:t>东阳</w:t>
      </w:r>
      <w:r>
        <w:rPr>
          <w:rFonts w:hint="eastAsia" w:ascii="宋体" w:hAnsi="宋体" w:eastAsia="宋体" w:cs="宋体"/>
          <w:color w:val="auto"/>
          <w:sz w:val="24"/>
          <w:highlight w:val="none"/>
        </w:rPr>
        <w:t>支公司与本信用反担保保证人签订的保险合同生效之日起，至保险合同结束之日起的两年届满时止。</w:t>
      </w:r>
    </w:p>
    <w:p>
      <w:pPr>
        <w:spacing w:line="52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三、中国人民财产保险股份有限公司</w:t>
      </w:r>
      <w:r>
        <w:rPr>
          <w:rFonts w:hint="eastAsia" w:ascii="宋体" w:hAnsi="宋体" w:eastAsia="宋体" w:cs="宋体"/>
          <w:b/>
          <w:bCs/>
          <w:color w:val="auto"/>
          <w:sz w:val="24"/>
          <w:highlight w:val="none"/>
          <w:u w:val="single"/>
        </w:rPr>
        <w:t>东阳</w:t>
      </w:r>
      <w:r>
        <w:rPr>
          <w:rFonts w:hint="eastAsia" w:ascii="宋体" w:hAnsi="宋体" w:eastAsia="宋体" w:cs="宋体"/>
          <w:color w:val="auto"/>
          <w:sz w:val="24"/>
          <w:highlight w:val="none"/>
        </w:rPr>
        <w:t>支公司所承保的《供货履约保证保险》合同发生保险事故后，有权要求本信用反担保保证人优先履行偿债责任，且优先偿债比例为100%。</w:t>
      </w:r>
    </w:p>
    <w:p>
      <w:pPr>
        <w:spacing w:line="520" w:lineRule="exact"/>
        <w:ind w:left="560"/>
        <w:rPr>
          <w:rFonts w:hint="eastAsia" w:ascii="宋体" w:hAnsi="宋体" w:eastAsia="宋体" w:cs="宋体"/>
          <w:color w:val="auto"/>
          <w:sz w:val="24"/>
          <w:highlight w:val="none"/>
        </w:rPr>
      </w:pPr>
      <w:r>
        <w:rPr>
          <w:rFonts w:hint="eastAsia" w:ascii="宋体" w:hAnsi="宋体" w:eastAsia="宋体" w:cs="宋体"/>
          <w:color w:val="auto"/>
          <w:sz w:val="24"/>
          <w:highlight w:val="none"/>
        </w:rPr>
        <w:t>四、本信用反担保保证人放弃反担保措施的优先偿债抗辩权。</w:t>
      </w:r>
    </w:p>
    <w:p>
      <w:pPr>
        <w:spacing w:line="520" w:lineRule="exact"/>
        <w:rPr>
          <w:rFonts w:hint="eastAsia" w:ascii="宋体" w:hAnsi="宋体" w:eastAsia="宋体" w:cs="宋体"/>
          <w:color w:val="auto"/>
          <w:sz w:val="24"/>
          <w:highlight w:val="none"/>
        </w:rPr>
      </w:pPr>
    </w:p>
    <w:p>
      <w:pPr>
        <w:spacing w:line="52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信用反担保保证人：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p>
    <w:p>
      <w:pPr>
        <w:spacing w:line="520" w:lineRule="exact"/>
        <w:ind w:left="4680" w:hanging="4680" w:hangingChars="1950"/>
        <w:rPr>
          <w:rFonts w:hint="eastAsia" w:ascii="宋体" w:hAnsi="宋体" w:eastAsia="宋体" w:cs="宋体"/>
          <w:color w:val="auto"/>
          <w:sz w:val="24"/>
          <w:highlight w:val="none"/>
        </w:rPr>
      </w:pPr>
    </w:p>
    <w:p>
      <w:pPr>
        <w:spacing w:line="520" w:lineRule="exact"/>
        <w:ind w:left="5460" w:leftChars="2600"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年  月   日</w:t>
      </w:r>
    </w:p>
    <w:p>
      <w:pPr>
        <w:spacing w:line="360" w:lineRule="auto"/>
        <w:rPr>
          <w:rFonts w:hint="eastAsia" w:ascii="宋体" w:hAnsi="宋体" w:eastAsia="宋体" w:cs="宋体"/>
          <w:color w:val="auto"/>
          <w:sz w:val="24"/>
          <w:highlight w:val="none"/>
        </w:rPr>
      </w:pPr>
    </w:p>
    <w:p>
      <w:pPr>
        <w:pStyle w:val="19"/>
        <w:rPr>
          <w:rFonts w:hint="eastAsia"/>
          <w:color w:val="auto"/>
          <w:highlight w:val="none"/>
        </w:rPr>
      </w:pPr>
    </w:p>
    <w:p>
      <w:pPr>
        <w:pStyle w:val="2"/>
        <w:keepNext w:val="0"/>
        <w:keepLines w:val="0"/>
        <w:pageBreakBefore/>
        <w:rPr>
          <w:rFonts w:hint="eastAsia" w:ascii="宋体" w:hAnsi="宋体" w:eastAsia="宋体" w:cs="宋体"/>
          <w:b w:val="0"/>
          <w:color w:val="auto"/>
          <w:sz w:val="24"/>
          <w:highlight w:val="none"/>
        </w:rPr>
      </w:pPr>
      <w:bookmarkStart w:id="101" w:name="_Toc24160"/>
      <w:bookmarkStart w:id="102" w:name="_Toc2489"/>
      <w:bookmarkStart w:id="103" w:name="_Toc21999"/>
      <w:r>
        <w:rPr>
          <w:rFonts w:hint="eastAsia" w:ascii="宋体" w:hAnsi="宋体" w:eastAsia="宋体" w:cs="宋体"/>
          <w:b w:val="0"/>
          <w:color w:val="auto"/>
          <w:sz w:val="24"/>
          <w:highlight w:val="none"/>
        </w:rPr>
        <w:t>附件</w:t>
      </w:r>
      <w:r>
        <w:rPr>
          <w:rFonts w:hint="eastAsia" w:ascii="宋体" w:hAnsi="宋体" w:eastAsia="宋体" w:cs="宋体"/>
          <w:b w:val="0"/>
          <w:color w:val="auto"/>
          <w:sz w:val="24"/>
          <w:highlight w:val="none"/>
          <w:lang w:val="en-US" w:eastAsia="zh-CN"/>
        </w:rPr>
        <w:t>十九</w:t>
      </w:r>
      <w:r>
        <w:rPr>
          <w:rFonts w:hint="eastAsia" w:ascii="宋体" w:hAnsi="宋体" w:eastAsia="宋体" w:cs="宋体"/>
          <w:b w:val="0"/>
          <w:color w:val="auto"/>
          <w:sz w:val="24"/>
          <w:highlight w:val="none"/>
        </w:rPr>
        <w:t>：质疑函范本</w:t>
      </w:r>
      <w:bookmarkEnd w:id="101"/>
      <w:bookmarkEnd w:id="102"/>
      <w:bookmarkEnd w:id="103"/>
    </w:p>
    <w:p>
      <w:pPr>
        <w:jc w:val="center"/>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质疑函范本</w:t>
      </w:r>
    </w:p>
    <w:p>
      <w:pPr>
        <w:adjustRightInd w:val="0"/>
        <w:snapToGrid w:val="0"/>
        <w:spacing w:before="240" w:beforeLines="100" w:line="360" w:lineRule="auto"/>
        <w:rPr>
          <w:rFonts w:hint="eastAsia" w:ascii="宋体" w:hAnsi="宋体" w:eastAsia="宋体" w:cs="宋体"/>
          <w:bCs/>
          <w:color w:val="auto"/>
          <w:sz w:val="28"/>
          <w:szCs w:val="28"/>
          <w:highlight w:val="none"/>
        </w:rPr>
      </w:pPr>
      <w:r>
        <w:rPr>
          <w:rFonts w:hint="eastAsia" w:ascii="宋体" w:hAnsi="宋体" w:eastAsia="宋体" w:cs="宋体"/>
          <w:bCs/>
          <w:color w:val="auto"/>
          <w:sz w:val="32"/>
          <w:szCs w:val="32"/>
          <w:highlight w:val="none"/>
        </w:rPr>
        <w:t>一</w:t>
      </w:r>
      <w:r>
        <w:rPr>
          <w:rFonts w:hint="eastAsia" w:ascii="宋体" w:hAnsi="宋体" w:eastAsia="宋体" w:cs="宋体"/>
          <w:bCs/>
          <w:color w:val="auto"/>
          <w:sz w:val="28"/>
          <w:szCs w:val="28"/>
          <w:highlight w:val="none"/>
        </w:rPr>
        <w:t>、质疑供应商基本信息</w:t>
      </w:r>
    </w:p>
    <w:p>
      <w:pPr>
        <w:adjustRightInd w:val="0"/>
        <w:snapToGrid w:val="0"/>
        <w:spacing w:line="360" w:lineRule="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质疑供应商：</w:t>
      </w:r>
      <w:r>
        <w:rPr>
          <w:rFonts w:hint="eastAsia" w:ascii="宋体" w:hAnsi="宋体" w:eastAsia="宋体" w:cs="宋体"/>
          <w:color w:val="auto"/>
          <w:sz w:val="28"/>
          <w:szCs w:val="28"/>
          <w:highlight w:val="none"/>
          <w:u w:val="dotted"/>
        </w:rPr>
        <w:t xml:space="preserve">                                        </w:t>
      </w:r>
    </w:p>
    <w:p>
      <w:pPr>
        <w:adjustRightInd w:val="0"/>
        <w:snapToGrid w:val="0"/>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地址：</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邮编：</w:t>
      </w:r>
      <w:r>
        <w:rPr>
          <w:rFonts w:hint="eastAsia" w:ascii="宋体" w:hAnsi="宋体" w:eastAsia="宋体" w:cs="宋体"/>
          <w:color w:val="auto"/>
          <w:sz w:val="28"/>
          <w:szCs w:val="28"/>
          <w:highlight w:val="none"/>
          <w:u w:val="dotted"/>
        </w:rPr>
        <w:t xml:space="preserve">                                                   </w:t>
      </w:r>
    </w:p>
    <w:p>
      <w:pPr>
        <w:adjustRightInd w:val="0"/>
        <w:snapToGrid w:val="0"/>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联系人：</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联系电话：</w:t>
      </w:r>
      <w:r>
        <w:rPr>
          <w:rFonts w:hint="eastAsia" w:ascii="宋体" w:hAnsi="宋体" w:eastAsia="宋体" w:cs="宋体"/>
          <w:color w:val="auto"/>
          <w:sz w:val="28"/>
          <w:szCs w:val="28"/>
          <w:highlight w:val="none"/>
          <w:u w:val="dotted"/>
        </w:rPr>
        <w:t xml:space="preserve">                              </w:t>
      </w:r>
    </w:p>
    <w:p>
      <w:pPr>
        <w:adjustRightInd w:val="0"/>
        <w:snapToGrid w:val="0"/>
        <w:spacing w:line="360" w:lineRule="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授权代表：</w:t>
      </w:r>
      <w:r>
        <w:rPr>
          <w:rFonts w:hint="eastAsia" w:ascii="宋体" w:hAnsi="宋体" w:eastAsia="宋体" w:cs="宋体"/>
          <w:color w:val="auto"/>
          <w:sz w:val="28"/>
          <w:szCs w:val="28"/>
          <w:highlight w:val="none"/>
          <w:u w:val="dotted"/>
        </w:rPr>
        <w:t xml:space="preserve">                                          </w:t>
      </w:r>
    </w:p>
    <w:p>
      <w:pPr>
        <w:adjustRightInd w:val="0"/>
        <w:snapToGrid w:val="0"/>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联系电话：</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 xml:space="preserve"> </w:t>
      </w:r>
    </w:p>
    <w:p>
      <w:pPr>
        <w:adjustRightInd w:val="0"/>
        <w:snapToGrid w:val="0"/>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地址： </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邮编：</w:t>
      </w:r>
      <w:r>
        <w:rPr>
          <w:rFonts w:hint="eastAsia" w:ascii="宋体" w:hAnsi="宋体" w:eastAsia="宋体" w:cs="宋体"/>
          <w:color w:val="auto"/>
          <w:sz w:val="28"/>
          <w:szCs w:val="28"/>
          <w:highlight w:val="none"/>
          <w:u w:val="dotted"/>
        </w:rPr>
        <w:t xml:space="preserve">                                                </w:t>
      </w:r>
    </w:p>
    <w:p>
      <w:pPr>
        <w:adjustRightInd w:val="0"/>
        <w:snapToGrid w:val="0"/>
        <w:spacing w:line="360" w:lineRule="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二、质疑项目基本情况</w:t>
      </w:r>
    </w:p>
    <w:p>
      <w:pPr>
        <w:adjustRightInd w:val="0"/>
        <w:snapToGrid w:val="0"/>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质疑项目的名称：</w:t>
      </w:r>
      <w:r>
        <w:rPr>
          <w:rFonts w:hint="eastAsia" w:ascii="宋体" w:hAnsi="宋体" w:eastAsia="宋体" w:cs="宋体"/>
          <w:color w:val="auto"/>
          <w:sz w:val="28"/>
          <w:szCs w:val="28"/>
          <w:highlight w:val="none"/>
          <w:u w:val="dotted"/>
        </w:rPr>
        <w:t xml:space="preserve">                                      </w:t>
      </w:r>
    </w:p>
    <w:p>
      <w:pPr>
        <w:adjustRightInd w:val="0"/>
        <w:snapToGrid w:val="0"/>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质疑项目的编号：</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包号：</w:t>
      </w:r>
      <w:r>
        <w:rPr>
          <w:rFonts w:hint="eastAsia" w:ascii="宋体" w:hAnsi="宋体" w:eastAsia="宋体" w:cs="宋体"/>
          <w:color w:val="auto"/>
          <w:sz w:val="28"/>
          <w:szCs w:val="28"/>
          <w:highlight w:val="none"/>
          <w:u w:val="dotted"/>
        </w:rPr>
        <w:t xml:space="preserve">                 </w:t>
      </w:r>
    </w:p>
    <w:p>
      <w:pPr>
        <w:adjustRightInd w:val="0"/>
        <w:snapToGrid w:val="0"/>
        <w:spacing w:line="360" w:lineRule="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采购人名称：</w:t>
      </w:r>
      <w:r>
        <w:rPr>
          <w:rFonts w:hint="eastAsia" w:ascii="宋体" w:hAnsi="宋体" w:eastAsia="宋体" w:cs="宋体"/>
          <w:color w:val="auto"/>
          <w:sz w:val="28"/>
          <w:szCs w:val="28"/>
          <w:highlight w:val="none"/>
          <w:u w:val="dotted"/>
        </w:rPr>
        <w:t xml:space="preserve">                                         </w:t>
      </w:r>
    </w:p>
    <w:p>
      <w:pPr>
        <w:adjustRightInd w:val="0"/>
        <w:snapToGrid w:val="0"/>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采购文件获取日期：</w:t>
      </w:r>
      <w:r>
        <w:rPr>
          <w:rFonts w:hint="eastAsia" w:ascii="宋体" w:hAnsi="宋体" w:eastAsia="宋体" w:cs="宋体"/>
          <w:color w:val="auto"/>
          <w:sz w:val="28"/>
          <w:szCs w:val="28"/>
          <w:highlight w:val="none"/>
          <w:u w:val="dotted"/>
        </w:rPr>
        <w:t xml:space="preserve">                                           </w:t>
      </w:r>
    </w:p>
    <w:p>
      <w:pPr>
        <w:adjustRightInd w:val="0"/>
        <w:snapToGrid w:val="0"/>
        <w:spacing w:line="360" w:lineRule="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三、质疑事项具体内容</w:t>
      </w:r>
    </w:p>
    <w:p>
      <w:pPr>
        <w:adjustRightInd w:val="0"/>
        <w:snapToGrid w:val="0"/>
        <w:spacing w:line="360" w:lineRule="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质疑事项1：</w:t>
      </w:r>
      <w:r>
        <w:rPr>
          <w:rFonts w:hint="eastAsia" w:ascii="宋体" w:hAnsi="宋体" w:eastAsia="宋体" w:cs="宋体"/>
          <w:color w:val="auto"/>
          <w:sz w:val="28"/>
          <w:szCs w:val="28"/>
          <w:highlight w:val="none"/>
          <w:u w:val="dotted"/>
        </w:rPr>
        <w:t xml:space="preserve">                                         </w:t>
      </w:r>
    </w:p>
    <w:p>
      <w:pPr>
        <w:adjustRightInd w:val="0"/>
        <w:snapToGrid w:val="0"/>
        <w:spacing w:line="360" w:lineRule="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事实依据：</w:t>
      </w:r>
      <w:r>
        <w:rPr>
          <w:rFonts w:hint="eastAsia" w:ascii="宋体" w:hAnsi="宋体" w:eastAsia="宋体" w:cs="宋体"/>
          <w:color w:val="auto"/>
          <w:sz w:val="28"/>
          <w:szCs w:val="28"/>
          <w:highlight w:val="none"/>
          <w:u w:val="dotted"/>
        </w:rPr>
        <w:t xml:space="preserve">                                          </w:t>
      </w:r>
    </w:p>
    <w:p>
      <w:pPr>
        <w:adjustRightInd w:val="0"/>
        <w:snapToGrid w:val="0"/>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dotted"/>
        </w:rPr>
        <w:t xml:space="preserve">                                                       </w:t>
      </w:r>
    </w:p>
    <w:p>
      <w:pPr>
        <w:adjustRightInd w:val="0"/>
        <w:snapToGrid w:val="0"/>
        <w:spacing w:line="360" w:lineRule="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法律依据：</w:t>
      </w:r>
      <w:r>
        <w:rPr>
          <w:rFonts w:hint="eastAsia" w:ascii="宋体" w:hAnsi="宋体" w:eastAsia="宋体" w:cs="宋体"/>
          <w:color w:val="auto"/>
          <w:sz w:val="28"/>
          <w:szCs w:val="28"/>
          <w:highlight w:val="none"/>
          <w:u w:val="dotted"/>
        </w:rPr>
        <w:t xml:space="preserve">                                          </w:t>
      </w:r>
    </w:p>
    <w:p>
      <w:pPr>
        <w:adjustRightInd w:val="0"/>
        <w:snapToGrid w:val="0"/>
        <w:spacing w:line="360" w:lineRule="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u w:val="dotted"/>
        </w:rPr>
        <w:t xml:space="preserve">                                                     </w:t>
      </w:r>
    </w:p>
    <w:p>
      <w:pPr>
        <w:adjustRightInd w:val="0"/>
        <w:snapToGrid w:val="0"/>
        <w:spacing w:line="360" w:lineRule="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质疑事项2</w:t>
      </w:r>
    </w:p>
    <w:p>
      <w:pPr>
        <w:adjustRightInd w:val="0"/>
        <w:snapToGrid w:val="0"/>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p>
    <w:p>
      <w:pPr>
        <w:adjustRightInd w:val="0"/>
        <w:snapToGrid w:val="0"/>
        <w:spacing w:line="360" w:lineRule="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四、与质疑事项相关的质疑请求</w:t>
      </w:r>
    </w:p>
    <w:p>
      <w:pPr>
        <w:adjustRightInd w:val="0"/>
        <w:snapToGrid w:val="0"/>
        <w:spacing w:line="360" w:lineRule="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请求：</w:t>
      </w:r>
      <w:r>
        <w:rPr>
          <w:rFonts w:hint="eastAsia" w:ascii="宋体" w:hAnsi="宋体" w:eastAsia="宋体" w:cs="宋体"/>
          <w:color w:val="auto"/>
          <w:sz w:val="28"/>
          <w:szCs w:val="28"/>
          <w:highlight w:val="none"/>
          <w:u w:val="dotted"/>
        </w:rPr>
        <w:t xml:space="preserve">                                               </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签字(签章)：                   公章：                      </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日期：    </w:t>
      </w:r>
    </w:p>
    <w:p>
      <w:pPr>
        <w:adjustRightInd w:val="0"/>
        <w:snapToGrid w:val="0"/>
        <w:spacing w:line="360" w:lineRule="auto"/>
        <w:rPr>
          <w:rFonts w:hint="eastAsia" w:ascii="宋体" w:hAnsi="宋体" w:eastAsia="宋体" w:cs="宋体"/>
          <w:color w:val="auto"/>
          <w:sz w:val="28"/>
          <w:szCs w:val="28"/>
          <w:highlight w:val="none"/>
        </w:rPr>
      </w:pPr>
    </w:p>
    <w:p>
      <w:pPr>
        <w:adjustRightInd w:val="0"/>
        <w:snapToGrid w:val="0"/>
        <w:spacing w:line="360" w:lineRule="auto"/>
        <w:rPr>
          <w:rFonts w:hint="eastAsia" w:ascii="宋体" w:hAnsi="宋体" w:eastAsia="宋体" w:cs="宋体"/>
          <w:color w:val="auto"/>
          <w:sz w:val="28"/>
          <w:szCs w:val="28"/>
          <w:highlight w:val="none"/>
        </w:rPr>
      </w:pPr>
    </w:p>
    <w:p>
      <w:pPr>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p>
    <w:p>
      <w:pP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质疑函制作说明：</w:t>
      </w:r>
    </w:p>
    <w:p>
      <w:pPr>
        <w:widowControl/>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1.供应商提出质疑时，应提交质疑函和必要的证明材料。</w:t>
      </w:r>
    </w:p>
    <w:p>
      <w:pPr>
        <w:widowControl/>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2.质疑供应商若委托代理人进行质疑的，质疑函应按要求列明“授权代表”的有关内容，并在附件中提交由质疑</w:t>
      </w:r>
      <w:r>
        <w:rPr>
          <w:rFonts w:hint="eastAsia" w:ascii="宋体" w:hAnsi="宋体" w:eastAsia="宋体" w:cs="宋体"/>
          <w:color w:val="auto"/>
          <w:kern w:val="0"/>
          <w:sz w:val="24"/>
          <w:highlight w:val="none"/>
        </w:rPr>
        <w:t>供应商签署的授权委托书。授权委托书应载明代理人的姓名或者名称、代理事项、具体权限、期限和相关事项。</w:t>
      </w:r>
    </w:p>
    <w:p>
      <w:pPr>
        <w:widowControl/>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3.质疑供应商若对项目的某一分包进行质疑，质疑函中应列明具体分包号。</w:t>
      </w:r>
    </w:p>
    <w:p>
      <w:pPr>
        <w:widowControl/>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4.质疑函的质疑事项应具体、明确，并有必要的事实依据和法律依据。</w:t>
      </w:r>
    </w:p>
    <w:p>
      <w:pPr>
        <w:widowControl/>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5.质疑函的质疑请求应与质疑事项相关。</w:t>
      </w:r>
    </w:p>
    <w:p>
      <w:pPr>
        <w:widowControl/>
        <w:ind w:firstLine="48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rPr>
          <w:rFonts w:hint="eastAsia" w:ascii="宋体" w:hAnsi="宋体" w:eastAsia="宋体" w:cs="宋体"/>
          <w:color w:val="auto"/>
          <w:sz w:val="20"/>
          <w:szCs w:val="22"/>
          <w:highlight w:val="none"/>
        </w:rPr>
      </w:pPr>
    </w:p>
    <w:p>
      <w:pPr>
        <w:pStyle w:val="19"/>
        <w:ind w:firstLine="560"/>
        <w:rPr>
          <w:rFonts w:hint="eastAsia" w:ascii="宋体" w:hAnsi="宋体" w:eastAsia="宋体" w:cs="宋体"/>
          <w:color w:val="auto"/>
          <w:sz w:val="28"/>
          <w:szCs w:val="22"/>
          <w:highlight w:val="none"/>
        </w:rPr>
      </w:pPr>
    </w:p>
    <w:p>
      <w:pPr>
        <w:pStyle w:val="15"/>
        <w:rPr>
          <w:rFonts w:hint="eastAsia" w:ascii="宋体" w:hAnsi="宋体" w:eastAsia="宋体" w:cs="宋体"/>
          <w:color w:val="auto"/>
          <w:sz w:val="20"/>
          <w:szCs w:val="22"/>
          <w:highlight w:val="none"/>
        </w:rPr>
      </w:pPr>
    </w:p>
    <w:p>
      <w:pPr>
        <w:rPr>
          <w:rFonts w:hint="eastAsia" w:ascii="宋体" w:hAnsi="宋体" w:eastAsia="宋体" w:cs="宋体"/>
          <w:color w:val="auto"/>
          <w:sz w:val="20"/>
          <w:szCs w:val="22"/>
          <w:highlight w:val="none"/>
        </w:rPr>
      </w:pPr>
    </w:p>
    <w:p>
      <w:pPr>
        <w:pStyle w:val="2"/>
        <w:keepNext w:val="0"/>
        <w:keepLines w:val="0"/>
        <w:pageBreakBefore/>
        <w:rPr>
          <w:rFonts w:hint="eastAsia" w:ascii="宋体" w:hAnsi="宋体" w:eastAsia="宋体" w:cs="宋体"/>
          <w:b w:val="0"/>
          <w:color w:val="auto"/>
          <w:sz w:val="24"/>
          <w:highlight w:val="none"/>
        </w:rPr>
      </w:pPr>
      <w:bookmarkStart w:id="104" w:name="_Toc28792"/>
      <w:bookmarkStart w:id="105" w:name="_Toc32533"/>
      <w:bookmarkStart w:id="106" w:name="_Toc1697"/>
      <w:r>
        <w:rPr>
          <w:rFonts w:hint="eastAsia" w:ascii="宋体" w:hAnsi="宋体" w:eastAsia="宋体" w:cs="宋体"/>
          <w:b w:val="0"/>
          <w:color w:val="auto"/>
          <w:sz w:val="24"/>
          <w:highlight w:val="none"/>
        </w:rPr>
        <w:t>附件</w:t>
      </w:r>
      <w:r>
        <w:rPr>
          <w:rFonts w:hint="eastAsia" w:ascii="宋体" w:hAnsi="宋体" w:eastAsia="宋体" w:cs="宋体"/>
          <w:b w:val="0"/>
          <w:color w:val="auto"/>
          <w:sz w:val="24"/>
          <w:highlight w:val="none"/>
          <w:lang w:val="en-US" w:eastAsia="zh-CN"/>
        </w:rPr>
        <w:t>二十</w:t>
      </w:r>
      <w:r>
        <w:rPr>
          <w:rFonts w:hint="eastAsia" w:ascii="宋体" w:hAnsi="宋体" w:eastAsia="宋体" w:cs="宋体"/>
          <w:b w:val="0"/>
          <w:color w:val="auto"/>
          <w:sz w:val="24"/>
          <w:highlight w:val="none"/>
        </w:rPr>
        <w:t>：投诉书范本</w:t>
      </w:r>
      <w:bookmarkEnd w:id="104"/>
      <w:bookmarkEnd w:id="105"/>
      <w:bookmarkEnd w:id="106"/>
    </w:p>
    <w:p>
      <w:pPr>
        <w:jc w:val="center"/>
        <w:rPr>
          <w:rFonts w:hint="eastAsia" w:ascii="宋体" w:hAnsi="宋体" w:eastAsia="宋体" w:cs="宋体"/>
          <w:b/>
          <w:color w:val="auto"/>
          <w:sz w:val="40"/>
          <w:szCs w:val="40"/>
          <w:highlight w:val="none"/>
        </w:rPr>
      </w:pPr>
      <w:r>
        <w:rPr>
          <w:rFonts w:hint="eastAsia" w:ascii="宋体" w:hAnsi="宋体" w:eastAsia="宋体" w:cs="宋体"/>
          <w:b/>
          <w:color w:val="auto"/>
          <w:sz w:val="40"/>
          <w:szCs w:val="40"/>
          <w:highlight w:val="none"/>
        </w:rPr>
        <w:t>投诉书范本</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一、投诉相关主体基本情况</w:t>
      </w:r>
    </w:p>
    <w:p>
      <w:pPr>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投诉人：</w:t>
      </w:r>
      <w:r>
        <w:rPr>
          <w:rFonts w:hint="eastAsia" w:ascii="宋体" w:hAnsi="宋体" w:eastAsia="宋体" w:cs="宋体"/>
          <w:color w:val="auto"/>
          <w:sz w:val="28"/>
          <w:szCs w:val="28"/>
          <w:highlight w:val="none"/>
          <w:u w:val="dotted"/>
        </w:rPr>
        <w:t xml:space="preserve">                                               </w:t>
      </w:r>
    </w:p>
    <w:p>
      <w:pPr>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地     址：</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邮编：</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u w:val="single"/>
        </w:rPr>
        <w:t xml:space="preserve">   </w:t>
      </w:r>
    </w:p>
    <w:p>
      <w:pPr>
        <w:tabs>
          <w:tab w:val="left" w:pos="6510"/>
        </w:tabs>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法定代表人/主要负责人：</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 xml:space="preserve">  </w:t>
      </w:r>
    </w:p>
    <w:p>
      <w:pPr>
        <w:tabs>
          <w:tab w:val="left" w:pos="6510"/>
        </w:tabs>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联系电话：</w:t>
      </w:r>
      <w:r>
        <w:rPr>
          <w:rFonts w:hint="eastAsia" w:ascii="宋体" w:hAnsi="宋体" w:eastAsia="宋体" w:cs="宋体"/>
          <w:color w:val="auto"/>
          <w:sz w:val="28"/>
          <w:szCs w:val="28"/>
          <w:highlight w:val="none"/>
          <w:u w:val="dotted"/>
        </w:rPr>
        <w:t xml:space="preserve">                                             </w:t>
      </w:r>
    </w:p>
    <w:p>
      <w:pPr>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授权代表：</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联系电话</w:t>
      </w:r>
      <w:r>
        <w:rPr>
          <w:rFonts w:hint="eastAsia" w:ascii="宋体" w:hAnsi="宋体" w:eastAsia="宋体" w:cs="宋体"/>
          <w:color w:val="auto"/>
          <w:sz w:val="28"/>
          <w:szCs w:val="28"/>
          <w:highlight w:val="none"/>
          <w:u w:val="dotted"/>
        </w:rPr>
        <w:t xml:space="preserve">：                  </w:t>
      </w:r>
    </w:p>
    <w:p>
      <w:pPr>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地     址：</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邮编：</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dotted"/>
        </w:rPr>
        <w:t xml:space="preserve">                   </w:t>
      </w:r>
    </w:p>
    <w:p>
      <w:pPr>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被投诉人1：</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u w:val="single"/>
        </w:rPr>
        <w:t xml:space="preserve">  </w:t>
      </w:r>
    </w:p>
    <w:p>
      <w:pPr>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地     址：</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邮编：</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u w:val="single"/>
        </w:rPr>
        <w:t xml:space="preserve"> </w:t>
      </w:r>
    </w:p>
    <w:p>
      <w:pPr>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联系人：</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联系电话：</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u w:val="single"/>
        </w:rPr>
        <w:t xml:space="preserve"> </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被投诉人2</w:t>
      </w:r>
    </w:p>
    <w:p>
      <w:pPr>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w:t>
      </w:r>
    </w:p>
    <w:p>
      <w:pPr>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相关供应商：</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u w:val="single"/>
        </w:rPr>
        <w:t xml:space="preserve">    </w:t>
      </w:r>
    </w:p>
    <w:p>
      <w:pPr>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地     址：</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邮编：</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u w:val="single"/>
        </w:rPr>
        <w:t xml:space="preserve"> </w:t>
      </w:r>
    </w:p>
    <w:p>
      <w:pPr>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联系人：</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联系电话：</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u w:val="single"/>
        </w:rPr>
        <w:t xml:space="preserve">      </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二、投诉项目基本情况</w:t>
      </w:r>
    </w:p>
    <w:p>
      <w:pPr>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采购项目名称：</w:t>
      </w:r>
      <w:r>
        <w:rPr>
          <w:rFonts w:hint="eastAsia" w:ascii="宋体" w:hAnsi="宋体" w:eastAsia="宋体" w:cs="宋体"/>
          <w:color w:val="auto"/>
          <w:sz w:val="28"/>
          <w:szCs w:val="28"/>
          <w:highlight w:val="none"/>
          <w:u w:val="dotted"/>
        </w:rPr>
        <w:t xml:space="preserve">                                        </w:t>
      </w:r>
    </w:p>
    <w:p>
      <w:pPr>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采购项目编号：</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包号：</w:t>
      </w:r>
      <w:r>
        <w:rPr>
          <w:rFonts w:hint="eastAsia" w:ascii="宋体" w:hAnsi="宋体" w:eastAsia="宋体" w:cs="宋体"/>
          <w:color w:val="auto"/>
          <w:sz w:val="28"/>
          <w:szCs w:val="28"/>
          <w:highlight w:val="none"/>
          <w:u w:val="dotted"/>
        </w:rPr>
        <w:t xml:space="preserve">              </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采购人名称：</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u w:val="single"/>
        </w:rPr>
        <w:t xml:space="preserve">  </w:t>
      </w:r>
    </w:p>
    <w:p>
      <w:pPr>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代理机构名称：</w:t>
      </w:r>
      <w:r>
        <w:rPr>
          <w:rFonts w:hint="eastAsia" w:ascii="宋体" w:hAnsi="宋体" w:eastAsia="宋体" w:cs="宋体"/>
          <w:color w:val="auto"/>
          <w:sz w:val="28"/>
          <w:szCs w:val="28"/>
          <w:highlight w:val="none"/>
          <w:u w:val="dotted"/>
        </w:rPr>
        <w:t xml:space="preserve">                                         </w:t>
      </w:r>
    </w:p>
    <w:p>
      <w:pPr>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采购文件公告:</w:t>
      </w:r>
      <w:r>
        <w:rPr>
          <w:rFonts w:hint="eastAsia" w:ascii="宋体" w:hAnsi="宋体" w:eastAsia="宋体" w:cs="宋体"/>
          <w:color w:val="auto"/>
          <w:sz w:val="28"/>
          <w:szCs w:val="28"/>
          <w:highlight w:val="none"/>
          <w:u w:val="dotted"/>
        </w:rPr>
        <w:t xml:space="preserve">是/否 </w:t>
      </w:r>
      <w:r>
        <w:rPr>
          <w:rFonts w:hint="eastAsia" w:ascii="宋体" w:hAnsi="宋体" w:eastAsia="宋体" w:cs="宋体"/>
          <w:color w:val="auto"/>
          <w:sz w:val="28"/>
          <w:szCs w:val="28"/>
          <w:highlight w:val="none"/>
        </w:rPr>
        <w:t>公告期限：</w:t>
      </w:r>
      <w:r>
        <w:rPr>
          <w:rFonts w:hint="eastAsia" w:ascii="宋体" w:hAnsi="宋体" w:eastAsia="宋体" w:cs="宋体"/>
          <w:color w:val="auto"/>
          <w:sz w:val="28"/>
          <w:szCs w:val="28"/>
          <w:highlight w:val="none"/>
          <w:u w:val="dotted"/>
        </w:rPr>
        <w:t xml:space="preserve">                                 </w:t>
      </w:r>
    </w:p>
    <w:p>
      <w:pPr>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采购结果公告:</w:t>
      </w:r>
      <w:r>
        <w:rPr>
          <w:rFonts w:hint="eastAsia" w:ascii="宋体" w:hAnsi="宋体" w:eastAsia="宋体" w:cs="宋体"/>
          <w:color w:val="auto"/>
          <w:sz w:val="28"/>
          <w:szCs w:val="28"/>
          <w:highlight w:val="none"/>
          <w:u w:val="dotted"/>
        </w:rPr>
        <w:t xml:space="preserve">是/否 </w:t>
      </w:r>
      <w:r>
        <w:rPr>
          <w:rFonts w:hint="eastAsia" w:ascii="宋体" w:hAnsi="宋体" w:eastAsia="宋体" w:cs="宋体"/>
          <w:color w:val="auto"/>
          <w:sz w:val="28"/>
          <w:szCs w:val="28"/>
          <w:highlight w:val="none"/>
        </w:rPr>
        <w:t>公告期限：</w:t>
      </w:r>
      <w:r>
        <w:rPr>
          <w:rFonts w:hint="eastAsia" w:ascii="宋体" w:hAnsi="宋体" w:eastAsia="宋体" w:cs="宋体"/>
          <w:color w:val="auto"/>
          <w:sz w:val="28"/>
          <w:szCs w:val="28"/>
          <w:highlight w:val="none"/>
          <w:u w:val="dotted"/>
        </w:rPr>
        <w:t xml:space="preserve">                        </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三、质疑基本情况</w:t>
      </w:r>
    </w:p>
    <w:p>
      <w:pPr>
        <w:ind w:firstLine="560" w:firstLineChars="200"/>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投诉人于</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日,向</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提出质疑，质疑事项为：</w:t>
      </w:r>
      <w:r>
        <w:rPr>
          <w:rFonts w:hint="eastAsia" w:ascii="宋体" w:hAnsi="宋体" w:eastAsia="宋体" w:cs="宋体"/>
          <w:color w:val="auto"/>
          <w:sz w:val="28"/>
          <w:szCs w:val="28"/>
          <w:highlight w:val="none"/>
          <w:u w:val="dotted"/>
        </w:rPr>
        <w:t xml:space="preserve">                                </w:t>
      </w:r>
    </w:p>
    <w:p>
      <w:pPr>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 xml:space="preserve">  </w:t>
      </w:r>
    </w:p>
    <w:p>
      <w:pPr>
        <w:ind w:firstLine="420" w:firstLineChars="15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dotted"/>
        </w:rPr>
        <w:t>采购人/代理机构</w:t>
      </w:r>
      <w:r>
        <w:rPr>
          <w:rFonts w:hint="eastAsia" w:ascii="宋体" w:hAnsi="宋体" w:eastAsia="宋体" w:cs="宋体"/>
          <w:color w:val="auto"/>
          <w:sz w:val="28"/>
          <w:szCs w:val="28"/>
          <w:highlight w:val="none"/>
        </w:rPr>
        <w:t>于</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日,就质疑事项作出了答复/没有在法定期限内作出答复。</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四、投诉事项具体内容</w:t>
      </w:r>
    </w:p>
    <w:p>
      <w:pPr>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投诉事项 1：</w:t>
      </w:r>
      <w:r>
        <w:rPr>
          <w:rFonts w:hint="eastAsia" w:ascii="宋体" w:hAnsi="宋体" w:eastAsia="宋体" w:cs="宋体"/>
          <w:color w:val="auto"/>
          <w:sz w:val="28"/>
          <w:szCs w:val="28"/>
          <w:highlight w:val="none"/>
          <w:u w:val="dotted"/>
        </w:rPr>
        <w:t xml:space="preserve">                                       </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事实依据：</w:t>
      </w:r>
      <w:r>
        <w:rPr>
          <w:rFonts w:hint="eastAsia" w:ascii="宋体" w:hAnsi="宋体" w:eastAsia="宋体" w:cs="宋体"/>
          <w:color w:val="auto"/>
          <w:sz w:val="28"/>
          <w:szCs w:val="28"/>
          <w:highlight w:val="none"/>
          <w:u w:val="dotted"/>
        </w:rPr>
        <w:t xml:space="preserve">                                         </w:t>
      </w:r>
    </w:p>
    <w:p>
      <w:pPr>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u w:val="dotted"/>
        </w:rPr>
        <w:t xml:space="preserve">                                                      </w:t>
      </w:r>
    </w:p>
    <w:p>
      <w:pPr>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法律依据：</w:t>
      </w:r>
      <w:r>
        <w:rPr>
          <w:rFonts w:hint="eastAsia" w:ascii="宋体" w:hAnsi="宋体" w:eastAsia="宋体" w:cs="宋体"/>
          <w:color w:val="auto"/>
          <w:sz w:val="28"/>
          <w:szCs w:val="28"/>
          <w:highlight w:val="none"/>
          <w:u w:val="dotted"/>
        </w:rPr>
        <w:t xml:space="preserve">                                          </w:t>
      </w:r>
    </w:p>
    <w:p>
      <w:pPr>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u w:val="dotted"/>
        </w:rPr>
        <w:t xml:space="preserve">                                                      </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投诉事项2</w:t>
      </w:r>
    </w:p>
    <w:p>
      <w:pPr>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五、与投诉事项相关的投诉请求</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请求：</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 xml:space="preserve"> </w:t>
      </w:r>
    </w:p>
    <w:p>
      <w:pPr>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 xml:space="preserve">                                                                                                    </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签字(签章)：                   公章：                      </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日期：    </w:t>
      </w:r>
    </w:p>
    <w:p>
      <w:pPr>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p>
    <w:p>
      <w:pP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投诉书制作说明：</w:t>
      </w:r>
    </w:p>
    <w:p>
      <w:pPr>
        <w:widowControl/>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1.投诉人提起投诉时，应当提交投诉书和必要的证明材料，并按照被投诉人和与投诉事项有关的供应商数量提供投诉书副本。</w:t>
      </w:r>
    </w:p>
    <w:p>
      <w:pPr>
        <w:widowControl/>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2.投诉人若委托代理人进行投诉的，投诉书应按照要求列明“授权代表”的有关内容，并在附件中提交由</w:t>
      </w:r>
      <w:r>
        <w:rPr>
          <w:rFonts w:hint="eastAsia" w:ascii="宋体" w:hAnsi="宋体" w:eastAsia="宋体" w:cs="宋体"/>
          <w:color w:val="auto"/>
          <w:kern w:val="0"/>
          <w:sz w:val="24"/>
          <w:highlight w:val="none"/>
        </w:rPr>
        <w:t>投诉人签署的授权委托书。授权委托书应当载明代理人的姓名或者名称、代理事项、具体权限、期限和相关事项。</w:t>
      </w:r>
    </w:p>
    <w:p>
      <w:pPr>
        <w:widowControl/>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3.投诉人若对项目的某一分包进行投诉，投诉书应列明具体分包号。</w:t>
      </w:r>
    </w:p>
    <w:p>
      <w:pPr>
        <w:widowControl/>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4.投诉书应简要列明质疑事项，质疑函、质疑答复等作为附件材料提供。</w:t>
      </w:r>
    </w:p>
    <w:p>
      <w:pPr>
        <w:widowControl/>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5.投诉书的投诉事项应具体、明确，并有必要的事实依据和法律依据。</w:t>
      </w:r>
    </w:p>
    <w:p>
      <w:pPr>
        <w:widowControl/>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6.投诉书的投诉请求应与投诉事项相关。</w:t>
      </w:r>
    </w:p>
    <w:p>
      <w:pPr>
        <w:widowControl/>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jc w:val="left"/>
        <w:rPr>
          <w:rFonts w:hint="eastAsia" w:ascii="宋体" w:hAnsi="宋体" w:eastAsia="宋体" w:cs="宋体"/>
          <w:b/>
          <w:color w:val="auto"/>
          <w:sz w:val="28"/>
          <w:szCs w:val="28"/>
          <w:highlight w:val="none"/>
        </w:rPr>
      </w:pPr>
      <w:r>
        <w:rPr>
          <w:rFonts w:hint="eastAsia" w:ascii="宋体" w:hAnsi="宋体" w:eastAsia="宋体" w:cs="宋体"/>
          <w:color w:val="auto"/>
          <w:sz w:val="28"/>
          <w:szCs w:val="28"/>
          <w:highlight w:val="none"/>
        </w:rPr>
        <w:t xml:space="preserve">         </w:t>
      </w:r>
      <w:r>
        <w:rPr>
          <w:rFonts w:hint="eastAsia" w:ascii="宋体" w:hAnsi="宋体" w:eastAsia="宋体" w:cs="宋体"/>
          <w:b/>
          <w:color w:val="auto"/>
          <w:sz w:val="28"/>
          <w:szCs w:val="28"/>
          <w:highlight w:val="none"/>
        </w:rPr>
        <w:t xml:space="preserve"> </w:t>
      </w:r>
    </w:p>
    <w:p>
      <w:pPr>
        <w:jc w:val="left"/>
        <w:rPr>
          <w:rFonts w:hint="eastAsia" w:ascii="宋体" w:hAnsi="宋体" w:eastAsia="宋体" w:cs="宋体"/>
          <w:b/>
          <w:color w:val="auto"/>
          <w:sz w:val="28"/>
          <w:szCs w:val="28"/>
          <w:highlight w:val="none"/>
        </w:rPr>
      </w:pPr>
    </w:p>
    <w:p>
      <w:pPr>
        <w:rPr>
          <w:rFonts w:hint="eastAsia" w:ascii="宋体" w:hAnsi="宋体" w:eastAsia="宋体" w:cs="宋体"/>
          <w:color w:val="auto"/>
          <w:sz w:val="20"/>
          <w:szCs w:val="22"/>
          <w:highlight w:val="none"/>
        </w:rPr>
      </w:pPr>
    </w:p>
    <w:p>
      <w:pPr>
        <w:rPr>
          <w:rFonts w:hint="eastAsia" w:ascii="宋体" w:hAnsi="宋体" w:eastAsia="宋体" w:cs="宋体"/>
          <w:color w:val="auto"/>
          <w:sz w:val="20"/>
          <w:szCs w:val="22"/>
          <w:highlight w:val="none"/>
        </w:rPr>
      </w:pPr>
    </w:p>
    <w:p>
      <w:pPr>
        <w:pStyle w:val="19"/>
        <w:ind w:firstLine="600"/>
        <w:rPr>
          <w:rFonts w:hint="eastAsia" w:ascii="宋体" w:hAnsi="宋体" w:eastAsia="宋体" w:cs="宋体"/>
          <w:color w:val="auto"/>
          <w:highlight w:val="none"/>
        </w:rPr>
      </w:pPr>
    </w:p>
    <w:p>
      <w:pPr>
        <w:pStyle w:val="15"/>
        <w:ind w:left="0" w:leftChars="0"/>
        <w:rPr>
          <w:rFonts w:hint="eastAsia" w:ascii="宋体" w:hAnsi="宋体" w:eastAsia="宋体" w:cs="宋体"/>
          <w:color w:val="auto"/>
          <w:highlight w:val="none"/>
        </w:rPr>
      </w:pPr>
    </w:p>
    <w:p>
      <w:pPr>
        <w:pStyle w:val="15"/>
        <w:ind w:left="0" w:leftChars="0"/>
        <w:rPr>
          <w:rFonts w:hint="eastAsia" w:ascii="宋体" w:hAnsi="宋体" w:eastAsia="宋体" w:cs="宋体"/>
          <w:color w:val="auto"/>
          <w:highlight w:val="none"/>
        </w:rPr>
      </w:pPr>
    </w:p>
    <w:p>
      <w:pPr>
        <w:rPr>
          <w:color w:val="auto"/>
          <w:highlight w:val="none"/>
        </w:rPr>
      </w:pPr>
    </w:p>
    <w:sectPr>
      <w:headerReference r:id="rId9" w:type="first"/>
      <w:footerReference r:id="rId12" w:type="first"/>
      <w:headerReference r:id="rId8" w:type="default"/>
      <w:footerReference r:id="rId10" w:type="default"/>
      <w:footerReference r:id="rId11" w:type="even"/>
      <w:pgSz w:w="11906" w:h="16838"/>
      <w:pgMar w:top="1020" w:right="1247" w:bottom="1020" w:left="1247" w:header="851" w:footer="907" w:gutter="0"/>
      <w:pgBorders>
        <w:top w:val="none" w:sz="0" w:space="0"/>
        <w:left w:val="none" w:sz="0" w:space="0"/>
        <w:bottom w:val="none" w:sz="0" w:space="0"/>
        <w:right w:val="none" w:sz="0" w:space="0"/>
      </w:pgBorders>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504020202030204"/>
    <w:charset w:val="00"/>
    <w:family w:val="auto"/>
    <w:pitch w:val="default"/>
    <w:sig w:usb0="00000000" w:usb1="00000000" w:usb2="00000000" w:usb3="00000000" w:csb0="00000093"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3</w:t>
                    </w:r>
                    <w:r>
                      <w:fldChar w:fldCharType="end"/>
                    </w:r>
                  </w:p>
                </w:txbxContent>
              </v:textbox>
            </v:shape>
          </w:pict>
        </mc:Fallback>
      </mc:AlternateContent>
    </w:r>
  </w:p>
  <w:p>
    <w:pPr>
      <w:rPr>
        <w:rFonts w:ascii="仿宋_GB2312"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仿宋_GB2312" w:eastAsia="仿宋_GB2312"/>
        <w:lang w:eastAsia="zh-CN"/>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kern w:val="0"/>
        <w:lang w:val="en-US" w:eastAsia="zh-CN"/>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320" w:firstLineChars="240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88</w:t>
                    </w:r>
                    <w:r>
                      <w:rPr>
                        <w:rFonts w:hint="eastAsia"/>
                        <w:lang w:eastAsia="zh-CN"/>
                      </w:rPr>
                      <w:fldChar w:fldCharType="end"/>
                    </w:r>
                  </w:p>
                </w:txbxContent>
              </v:textbox>
            </v:shape>
          </w:pict>
        </mc:Fallback>
      </mc:AlternateContent>
    </w:r>
    <w:r>
      <w:rPr>
        <w:rFonts w:hint="eastAsia"/>
      </w:rPr>
      <w:t xml:space="preserve">  </w:t>
    </w:r>
    <w:r>
      <w:t xml:space="preserve">   </w:t>
    </w:r>
    <w:r>
      <w:rPr>
        <w:rFonts w:hint="eastAsia"/>
      </w:rPr>
      <w:t xml:space="preserve">                       东阳市鑫盛工程咨询有限公司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4"/>
      </w:rPr>
    </w:pPr>
    <w:r>
      <w:fldChar w:fldCharType="begin"/>
    </w:r>
    <w:r>
      <w:rPr>
        <w:rStyle w:val="24"/>
      </w:rPr>
      <w:instrText xml:space="preserve">PAGE  </w:instrText>
    </w:r>
    <w:r>
      <w:fldChar w:fldCharType="end"/>
    </w:r>
  </w:p>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ascii="宋体" w:hAnsi="宋体" w:eastAsia="宋体" w:cs="宋体"/>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rPr>
        <w:rFonts w:hint="eastAsia"/>
        <w:sz w:val="16"/>
        <w:szCs w:val="16"/>
        <w:lang w:eastAsia="zh-CN"/>
      </w:rPr>
    </w:pPr>
    <w:r>
      <w:rPr>
        <w:rFonts w:hint="eastAsia"/>
        <w:sz w:val="16"/>
        <w:szCs w:val="16"/>
        <w:lang w:eastAsia="zh-CN"/>
      </w:rPr>
      <w:t>东阳市卫生健康局2022-2023年度城区除四害市场化运作项目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rPr>
        <w:rFonts w:hint="eastAsia"/>
        <w:sz w:val="16"/>
        <w:szCs w:val="16"/>
        <w:lang w:eastAsia="zh-CN"/>
      </w:rPr>
    </w:pPr>
    <w:r>
      <w:rPr>
        <w:rFonts w:hint="eastAsia"/>
        <w:sz w:val="16"/>
        <w:szCs w:val="16"/>
        <w:lang w:eastAsia="zh-CN"/>
      </w:rPr>
      <w:t>东阳市卫生健康局2022-2023年度城区除四害市场化运作项目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rFonts w:hint="eastAsia"/>
      </w:rPr>
      <w:t>东阳市2022年度开发区节约集约利用评价项目</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rPr>
        <w:rFonts w:hint="eastAsia" w:cs="Arial"/>
        <w:color w:val="000000"/>
        <w:lang w:eastAsia="zh-CN"/>
      </w:rPr>
    </w:pPr>
    <w:r>
      <w:rPr>
        <w:rFonts w:hint="eastAsia" w:cs="Arial"/>
        <w:color w:val="000000"/>
        <w:lang w:eastAsia="zh-CN"/>
      </w:rPr>
      <w:t>东阳市卫生健康局2022-2023年度城区除四害市场化运作项目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rPr>
        <w:rFonts w:hint="eastAsia" w:cs="Arial"/>
        <w:color w:val="000000"/>
        <w:lang w:eastAsia="zh-CN"/>
      </w:rPr>
    </w:pPr>
    <w:r>
      <w:rPr>
        <w:rFonts w:hint="eastAsia" w:cs="Arial"/>
        <w:color w:val="000000"/>
        <w:lang w:eastAsia="zh-CN"/>
      </w:rPr>
      <w:t>东阳市卫生健康局2022-2023年度城区除四害市场化运作项目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D025FC"/>
    <w:multiLevelType w:val="singleLevel"/>
    <w:tmpl w:val="C6D025FC"/>
    <w:lvl w:ilvl="0" w:tentative="0">
      <w:start w:val="1"/>
      <w:numFmt w:val="decimal"/>
      <w:lvlText w:val="%1."/>
      <w:lvlJc w:val="left"/>
      <w:pPr>
        <w:tabs>
          <w:tab w:val="left" w:pos="312"/>
        </w:tabs>
      </w:pPr>
    </w:lvl>
  </w:abstractNum>
  <w:abstractNum w:abstractNumId="1">
    <w:nsid w:val="DFB2A065"/>
    <w:multiLevelType w:val="singleLevel"/>
    <w:tmpl w:val="DFB2A065"/>
    <w:lvl w:ilvl="0" w:tentative="0">
      <w:start w:val="3"/>
      <w:numFmt w:val="decimal"/>
      <w:lvlText w:val="%1."/>
      <w:lvlJc w:val="left"/>
      <w:pPr>
        <w:tabs>
          <w:tab w:val="left" w:pos="312"/>
        </w:tabs>
      </w:pPr>
    </w:lvl>
  </w:abstractNum>
  <w:abstractNum w:abstractNumId="2">
    <w:nsid w:val="FA5E8E8B"/>
    <w:multiLevelType w:val="singleLevel"/>
    <w:tmpl w:val="FA5E8E8B"/>
    <w:lvl w:ilvl="0" w:tentative="0">
      <w:start w:val="1"/>
      <w:numFmt w:val="chineseCounting"/>
      <w:suff w:val="nothing"/>
      <w:lvlText w:val="%1、"/>
      <w:lvlJc w:val="left"/>
      <w:rPr>
        <w:rFonts w:hint="eastAsia"/>
      </w:rPr>
    </w:lvl>
  </w:abstractNum>
  <w:abstractNum w:abstractNumId="3">
    <w:nsid w:val="FE433A7C"/>
    <w:multiLevelType w:val="singleLevel"/>
    <w:tmpl w:val="FE433A7C"/>
    <w:lvl w:ilvl="0" w:tentative="0">
      <w:start w:val="2"/>
      <w:numFmt w:val="decimal"/>
      <w:suff w:val="nothing"/>
      <w:lvlText w:val="（%1）"/>
      <w:lvlJc w:val="left"/>
    </w:lvl>
  </w:abstractNum>
  <w:abstractNum w:abstractNumId="4">
    <w:nsid w:val="0B3575E4"/>
    <w:multiLevelType w:val="singleLevel"/>
    <w:tmpl w:val="0B3575E4"/>
    <w:lvl w:ilvl="0" w:tentative="0">
      <w:start w:val="4"/>
      <w:numFmt w:val="chineseCounting"/>
      <w:suff w:val="nothing"/>
      <w:lvlText w:val="（%1）"/>
      <w:lvlJc w:val="left"/>
      <w:rPr>
        <w:rFonts w:hint="eastAsia"/>
      </w:rPr>
    </w:lvl>
  </w:abstractNum>
  <w:abstractNum w:abstractNumId="5">
    <w:nsid w:val="101D2435"/>
    <w:multiLevelType w:val="singleLevel"/>
    <w:tmpl w:val="101D2435"/>
    <w:lvl w:ilvl="0" w:tentative="0">
      <w:start w:val="2"/>
      <w:numFmt w:val="decimal"/>
      <w:suff w:val="nothing"/>
      <w:lvlText w:val="（%1）"/>
      <w:lvlJc w:val="left"/>
    </w:lvl>
  </w:abstractNum>
  <w:abstractNum w:abstractNumId="6">
    <w:nsid w:val="23E1191B"/>
    <w:multiLevelType w:val="multilevel"/>
    <w:tmpl w:val="23E1191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48712B5"/>
    <w:multiLevelType w:val="singleLevel"/>
    <w:tmpl w:val="248712B5"/>
    <w:lvl w:ilvl="0" w:tentative="0">
      <w:start w:val="3"/>
      <w:numFmt w:val="decimal"/>
      <w:lvlText w:val="%1."/>
      <w:lvlJc w:val="left"/>
      <w:pPr>
        <w:tabs>
          <w:tab w:val="left" w:pos="312"/>
        </w:tabs>
      </w:pPr>
    </w:lvl>
  </w:abstractNum>
  <w:abstractNum w:abstractNumId="8">
    <w:nsid w:val="56466B24"/>
    <w:multiLevelType w:val="singleLevel"/>
    <w:tmpl w:val="56466B24"/>
    <w:lvl w:ilvl="0" w:tentative="0">
      <w:start w:val="1"/>
      <w:numFmt w:val="decimal"/>
      <w:suff w:val="nothing"/>
      <w:lvlText w:val="（%1）"/>
      <w:lvlJc w:val="left"/>
    </w:lvl>
  </w:abstractNum>
  <w:abstractNum w:abstractNumId="9">
    <w:nsid w:val="5D410D0D"/>
    <w:multiLevelType w:val="singleLevel"/>
    <w:tmpl w:val="5D410D0D"/>
    <w:lvl w:ilvl="0" w:tentative="0">
      <w:start w:val="5"/>
      <w:numFmt w:val="chineseCounting"/>
      <w:suff w:val="space"/>
      <w:lvlText w:val="第%1章"/>
      <w:lvlJc w:val="left"/>
      <w:rPr>
        <w:rFonts w:hint="eastAsia"/>
      </w:rPr>
    </w:lvl>
  </w:abstractNum>
  <w:abstractNum w:abstractNumId="10">
    <w:nsid w:val="61ADA8C3"/>
    <w:multiLevelType w:val="singleLevel"/>
    <w:tmpl w:val="61ADA8C3"/>
    <w:lvl w:ilvl="0" w:tentative="0">
      <w:start w:val="5"/>
      <w:numFmt w:val="chineseCounting"/>
      <w:suff w:val="nothing"/>
      <w:lvlText w:val="%1、"/>
      <w:lvlJc w:val="left"/>
    </w:lvl>
  </w:abstractNum>
  <w:abstractNum w:abstractNumId="11">
    <w:nsid w:val="685F539A"/>
    <w:multiLevelType w:val="multilevel"/>
    <w:tmpl w:val="685F539A"/>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AC6957A"/>
    <w:multiLevelType w:val="singleLevel"/>
    <w:tmpl w:val="6AC6957A"/>
    <w:lvl w:ilvl="0" w:tentative="0">
      <w:start w:val="2"/>
      <w:numFmt w:val="decimal"/>
      <w:suff w:val="nothing"/>
      <w:lvlText w:val="%1、"/>
      <w:lvlJc w:val="left"/>
    </w:lvl>
  </w:abstractNum>
  <w:abstractNum w:abstractNumId="13">
    <w:nsid w:val="7E234718"/>
    <w:multiLevelType w:val="multilevel"/>
    <w:tmpl w:val="7E234718"/>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0"/>
  </w:num>
  <w:num w:numId="3">
    <w:abstractNumId w:val="6"/>
  </w:num>
  <w:num w:numId="4">
    <w:abstractNumId w:val="1"/>
  </w:num>
  <w:num w:numId="5">
    <w:abstractNumId w:val="3"/>
  </w:num>
  <w:num w:numId="6">
    <w:abstractNumId w:val="5"/>
  </w:num>
  <w:num w:numId="7">
    <w:abstractNumId w:val="8"/>
  </w:num>
  <w:num w:numId="8">
    <w:abstractNumId w:val="13"/>
  </w:num>
  <w:num w:numId="9">
    <w:abstractNumId w:val="7"/>
  </w:num>
  <w:num w:numId="10">
    <w:abstractNumId w:val="0"/>
  </w:num>
  <w:num w:numId="11">
    <w:abstractNumId w:val="4"/>
  </w:num>
  <w:num w:numId="12">
    <w:abstractNumId w:val="9"/>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wYTkzZjAzZWJlZDAxNDliZDAzYmU0N2UwNjg4ZmIifQ=="/>
  </w:docVars>
  <w:rsids>
    <w:rsidRoot w:val="22CE71A1"/>
    <w:rsid w:val="00E7430F"/>
    <w:rsid w:val="0100241C"/>
    <w:rsid w:val="01E53BA7"/>
    <w:rsid w:val="02326B40"/>
    <w:rsid w:val="02380BEE"/>
    <w:rsid w:val="028E1825"/>
    <w:rsid w:val="02D109A1"/>
    <w:rsid w:val="030C4CA2"/>
    <w:rsid w:val="031422ED"/>
    <w:rsid w:val="03483A8A"/>
    <w:rsid w:val="037D2A0B"/>
    <w:rsid w:val="03987D91"/>
    <w:rsid w:val="045F1833"/>
    <w:rsid w:val="04BA6D01"/>
    <w:rsid w:val="060A3685"/>
    <w:rsid w:val="068153A2"/>
    <w:rsid w:val="06BA754B"/>
    <w:rsid w:val="08B20D9E"/>
    <w:rsid w:val="09477125"/>
    <w:rsid w:val="09EB0BF7"/>
    <w:rsid w:val="0A681BFC"/>
    <w:rsid w:val="0AE26331"/>
    <w:rsid w:val="0B0C7351"/>
    <w:rsid w:val="0B4C2E55"/>
    <w:rsid w:val="0B641591"/>
    <w:rsid w:val="0C834A9C"/>
    <w:rsid w:val="0C8C4543"/>
    <w:rsid w:val="0CB8387E"/>
    <w:rsid w:val="0D977056"/>
    <w:rsid w:val="0E51617F"/>
    <w:rsid w:val="0F56112B"/>
    <w:rsid w:val="1092045D"/>
    <w:rsid w:val="109D2B29"/>
    <w:rsid w:val="11772344"/>
    <w:rsid w:val="11C823E8"/>
    <w:rsid w:val="11F363D9"/>
    <w:rsid w:val="12672813"/>
    <w:rsid w:val="12755990"/>
    <w:rsid w:val="12940635"/>
    <w:rsid w:val="1295698D"/>
    <w:rsid w:val="12DE553C"/>
    <w:rsid w:val="12F9443C"/>
    <w:rsid w:val="13AA52FD"/>
    <w:rsid w:val="13D85238"/>
    <w:rsid w:val="143F42F3"/>
    <w:rsid w:val="148F485D"/>
    <w:rsid w:val="1625472E"/>
    <w:rsid w:val="16683AEA"/>
    <w:rsid w:val="17000E9D"/>
    <w:rsid w:val="174A7092"/>
    <w:rsid w:val="177B05D7"/>
    <w:rsid w:val="179E534A"/>
    <w:rsid w:val="17AF5662"/>
    <w:rsid w:val="18111CA0"/>
    <w:rsid w:val="187471D8"/>
    <w:rsid w:val="18932F7E"/>
    <w:rsid w:val="18AD0F2F"/>
    <w:rsid w:val="18C70EAA"/>
    <w:rsid w:val="1A4117E7"/>
    <w:rsid w:val="1AF851FC"/>
    <w:rsid w:val="1C2633D9"/>
    <w:rsid w:val="1DD90004"/>
    <w:rsid w:val="1DF04AAB"/>
    <w:rsid w:val="1E951CA6"/>
    <w:rsid w:val="1EB904D1"/>
    <w:rsid w:val="201C628E"/>
    <w:rsid w:val="217D3987"/>
    <w:rsid w:val="21C50BBD"/>
    <w:rsid w:val="229D7F0B"/>
    <w:rsid w:val="22CE71A1"/>
    <w:rsid w:val="23070620"/>
    <w:rsid w:val="23275843"/>
    <w:rsid w:val="233D062B"/>
    <w:rsid w:val="23440F61"/>
    <w:rsid w:val="2442344A"/>
    <w:rsid w:val="24540A05"/>
    <w:rsid w:val="245E2BBB"/>
    <w:rsid w:val="24917819"/>
    <w:rsid w:val="24D74E25"/>
    <w:rsid w:val="25146AE7"/>
    <w:rsid w:val="259D1DA2"/>
    <w:rsid w:val="25CC204F"/>
    <w:rsid w:val="273A74E3"/>
    <w:rsid w:val="28EB2280"/>
    <w:rsid w:val="292C28FD"/>
    <w:rsid w:val="29755C72"/>
    <w:rsid w:val="29C7761A"/>
    <w:rsid w:val="2A602560"/>
    <w:rsid w:val="2A9F3F97"/>
    <w:rsid w:val="2B0825F5"/>
    <w:rsid w:val="2B554F69"/>
    <w:rsid w:val="2B99711B"/>
    <w:rsid w:val="2CA92F00"/>
    <w:rsid w:val="2D6F524F"/>
    <w:rsid w:val="2DF40EEC"/>
    <w:rsid w:val="2E02359D"/>
    <w:rsid w:val="2E124C55"/>
    <w:rsid w:val="2E736DC3"/>
    <w:rsid w:val="2F7F0C0C"/>
    <w:rsid w:val="300A1092"/>
    <w:rsid w:val="313341CE"/>
    <w:rsid w:val="313B74D9"/>
    <w:rsid w:val="318E58E2"/>
    <w:rsid w:val="323403AB"/>
    <w:rsid w:val="326F3B9E"/>
    <w:rsid w:val="34340270"/>
    <w:rsid w:val="34732F46"/>
    <w:rsid w:val="34B71D68"/>
    <w:rsid w:val="34BB7B89"/>
    <w:rsid w:val="36086404"/>
    <w:rsid w:val="36E12307"/>
    <w:rsid w:val="382532DF"/>
    <w:rsid w:val="382B51B3"/>
    <w:rsid w:val="38671772"/>
    <w:rsid w:val="388F5AD6"/>
    <w:rsid w:val="38924B76"/>
    <w:rsid w:val="38E51657"/>
    <w:rsid w:val="39511289"/>
    <w:rsid w:val="39FF7C53"/>
    <w:rsid w:val="3A184F1A"/>
    <w:rsid w:val="3B484AF6"/>
    <w:rsid w:val="3B6B7401"/>
    <w:rsid w:val="3BCE5995"/>
    <w:rsid w:val="3D3B03CD"/>
    <w:rsid w:val="3DB04E22"/>
    <w:rsid w:val="3F1E5B35"/>
    <w:rsid w:val="3F4D0FE9"/>
    <w:rsid w:val="3F834C62"/>
    <w:rsid w:val="3F9133A5"/>
    <w:rsid w:val="3FD61B66"/>
    <w:rsid w:val="4006436D"/>
    <w:rsid w:val="40527233"/>
    <w:rsid w:val="427F0906"/>
    <w:rsid w:val="42F9184C"/>
    <w:rsid w:val="433B05B1"/>
    <w:rsid w:val="43A31847"/>
    <w:rsid w:val="43DA6864"/>
    <w:rsid w:val="475D3E27"/>
    <w:rsid w:val="4A734D89"/>
    <w:rsid w:val="4A765773"/>
    <w:rsid w:val="4AB330F6"/>
    <w:rsid w:val="4BAC0BD3"/>
    <w:rsid w:val="4C0A0B5C"/>
    <w:rsid w:val="4D0B7FC7"/>
    <w:rsid w:val="4D5C1590"/>
    <w:rsid w:val="4E191038"/>
    <w:rsid w:val="4FC7192C"/>
    <w:rsid w:val="51D450E4"/>
    <w:rsid w:val="51FF131A"/>
    <w:rsid w:val="528441FF"/>
    <w:rsid w:val="536B7291"/>
    <w:rsid w:val="53CB18B2"/>
    <w:rsid w:val="53CB3901"/>
    <w:rsid w:val="542B51E8"/>
    <w:rsid w:val="54F77EBC"/>
    <w:rsid w:val="55FA17C1"/>
    <w:rsid w:val="569A4AFE"/>
    <w:rsid w:val="57BE7047"/>
    <w:rsid w:val="57E461A9"/>
    <w:rsid w:val="58852470"/>
    <w:rsid w:val="5ABF0594"/>
    <w:rsid w:val="5AD92808"/>
    <w:rsid w:val="5B815756"/>
    <w:rsid w:val="5BF049B0"/>
    <w:rsid w:val="5BFC4D5E"/>
    <w:rsid w:val="5C8C62A8"/>
    <w:rsid w:val="5D35142F"/>
    <w:rsid w:val="5DEF7499"/>
    <w:rsid w:val="5E0019CA"/>
    <w:rsid w:val="5E941919"/>
    <w:rsid w:val="5F3A19DD"/>
    <w:rsid w:val="5F3F3DA7"/>
    <w:rsid w:val="6045351B"/>
    <w:rsid w:val="613F0E54"/>
    <w:rsid w:val="61E0345C"/>
    <w:rsid w:val="62EE66A6"/>
    <w:rsid w:val="631B690C"/>
    <w:rsid w:val="63A614B8"/>
    <w:rsid w:val="63CE6105"/>
    <w:rsid w:val="63DC1D65"/>
    <w:rsid w:val="64C179D9"/>
    <w:rsid w:val="64D21465"/>
    <w:rsid w:val="650E642B"/>
    <w:rsid w:val="651E51CD"/>
    <w:rsid w:val="65E65FB5"/>
    <w:rsid w:val="66652149"/>
    <w:rsid w:val="66CC2CC9"/>
    <w:rsid w:val="670001AD"/>
    <w:rsid w:val="6712476F"/>
    <w:rsid w:val="673A29F1"/>
    <w:rsid w:val="678D417C"/>
    <w:rsid w:val="68941085"/>
    <w:rsid w:val="68F84811"/>
    <w:rsid w:val="69EA68DE"/>
    <w:rsid w:val="6A953B9B"/>
    <w:rsid w:val="6A98507A"/>
    <w:rsid w:val="6B2B79C9"/>
    <w:rsid w:val="6B421F06"/>
    <w:rsid w:val="6BA545A9"/>
    <w:rsid w:val="6BBB33DE"/>
    <w:rsid w:val="6C1D2EDA"/>
    <w:rsid w:val="6C8D48B2"/>
    <w:rsid w:val="6C8D5339"/>
    <w:rsid w:val="6CAF0CC0"/>
    <w:rsid w:val="6CF2294A"/>
    <w:rsid w:val="6D09076D"/>
    <w:rsid w:val="6D69549E"/>
    <w:rsid w:val="6DDD7F98"/>
    <w:rsid w:val="6DF8052E"/>
    <w:rsid w:val="6EEB7D76"/>
    <w:rsid w:val="6F587780"/>
    <w:rsid w:val="6F5B78D4"/>
    <w:rsid w:val="6FC36713"/>
    <w:rsid w:val="7088334B"/>
    <w:rsid w:val="70AE1811"/>
    <w:rsid w:val="712B431E"/>
    <w:rsid w:val="71954990"/>
    <w:rsid w:val="72017C83"/>
    <w:rsid w:val="726519CA"/>
    <w:rsid w:val="729675CA"/>
    <w:rsid w:val="74B96F49"/>
    <w:rsid w:val="751C24CC"/>
    <w:rsid w:val="75344494"/>
    <w:rsid w:val="758666A6"/>
    <w:rsid w:val="758C1D32"/>
    <w:rsid w:val="75C40F31"/>
    <w:rsid w:val="771450F9"/>
    <w:rsid w:val="774C2801"/>
    <w:rsid w:val="77B2085A"/>
    <w:rsid w:val="784C276C"/>
    <w:rsid w:val="78D35A79"/>
    <w:rsid w:val="78E42141"/>
    <w:rsid w:val="799671DA"/>
    <w:rsid w:val="7A5924D4"/>
    <w:rsid w:val="7AEA25F7"/>
    <w:rsid w:val="7B2B5A53"/>
    <w:rsid w:val="7BB01BFF"/>
    <w:rsid w:val="7C3A4157"/>
    <w:rsid w:val="7D1978AF"/>
    <w:rsid w:val="7D4C3C39"/>
    <w:rsid w:val="7D675700"/>
    <w:rsid w:val="7D774D25"/>
    <w:rsid w:val="7E6831BC"/>
    <w:rsid w:val="7FE72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character" w:default="1" w:styleId="23">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4">
    <w:name w:val="Normal Indent"/>
    <w:basedOn w:val="1"/>
    <w:next w:val="5"/>
    <w:qFormat/>
    <w:uiPriority w:val="0"/>
    <w:pPr>
      <w:ind w:firstLine="420"/>
    </w:pPr>
    <w:rPr>
      <w:szCs w:val="20"/>
    </w:rPr>
  </w:style>
  <w:style w:type="paragraph" w:styleId="5">
    <w:name w:val="Body Text Indent"/>
    <w:basedOn w:val="1"/>
    <w:next w:val="4"/>
    <w:qFormat/>
    <w:uiPriority w:val="0"/>
    <w:pPr>
      <w:spacing w:after="120"/>
      <w:ind w:left="420" w:leftChars="200"/>
    </w:pPr>
  </w:style>
  <w:style w:type="paragraph" w:styleId="6">
    <w:name w:val="Document Map"/>
    <w:basedOn w:val="1"/>
    <w:qFormat/>
    <w:uiPriority w:val="0"/>
    <w:rPr>
      <w:rFonts w:ascii="Helvetica" w:hAnsi="Helvetica"/>
      <w:sz w:val="24"/>
    </w:rPr>
  </w:style>
  <w:style w:type="paragraph" w:styleId="7">
    <w:name w:val="annotation text"/>
    <w:basedOn w:val="1"/>
    <w:qFormat/>
    <w:uiPriority w:val="0"/>
    <w:pPr>
      <w:jc w:val="left"/>
    </w:pPr>
  </w:style>
  <w:style w:type="paragraph" w:styleId="8">
    <w:name w:val="Body Text"/>
    <w:basedOn w:val="1"/>
    <w:next w:val="1"/>
    <w:qFormat/>
    <w:uiPriority w:val="0"/>
    <w:pPr>
      <w:spacing w:after="120"/>
    </w:pPr>
  </w:style>
  <w:style w:type="paragraph" w:styleId="9">
    <w:name w:val="List 2"/>
    <w:basedOn w:val="1"/>
    <w:qFormat/>
    <w:uiPriority w:val="0"/>
    <w:pPr>
      <w:ind w:left="100" w:leftChars="200" w:hanging="200" w:hangingChars="200"/>
    </w:pPr>
  </w:style>
  <w:style w:type="paragraph" w:styleId="10">
    <w:name w:val="Plain Text"/>
    <w:basedOn w:val="1"/>
    <w:next w:val="1"/>
    <w:qFormat/>
    <w:uiPriority w:val="0"/>
    <w:rPr>
      <w:sz w:val="24"/>
      <w:szCs w:val="20"/>
    </w:rPr>
  </w:style>
  <w:style w:type="paragraph" w:styleId="11">
    <w:name w:val="Date"/>
    <w:basedOn w:val="1"/>
    <w:next w:val="1"/>
    <w:qFormat/>
    <w:uiPriority w:val="0"/>
    <w:pPr>
      <w:ind w:left="2500" w:leftChars="2500"/>
    </w:pPr>
    <w:rPr>
      <w:rFonts w:eastAsia="楷体_GB2312"/>
      <w:sz w:val="32"/>
      <w:szCs w:val="20"/>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toc 6"/>
    <w:basedOn w:val="1"/>
    <w:next w:val="1"/>
    <w:unhideWhenUsed/>
    <w:qFormat/>
    <w:uiPriority w:val="39"/>
    <w:pPr>
      <w:ind w:left="2100" w:leftChars="1000"/>
    </w:pPr>
  </w:style>
  <w:style w:type="paragraph" w:styleId="16">
    <w:name w:val="Body Text Indent 3"/>
    <w:basedOn w:val="1"/>
    <w:qFormat/>
    <w:uiPriority w:val="0"/>
    <w:pPr>
      <w:ind w:firstLine="435"/>
    </w:pPr>
  </w:style>
  <w:style w:type="paragraph" w:styleId="17">
    <w:name w:val="toc 2"/>
    <w:basedOn w:val="1"/>
    <w:next w:val="1"/>
    <w:qFormat/>
    <w:uiPriority w:val="39"/>
    <w:pPr>
      <w:ind w:left="420" w:leftChars="200"/>
    </w:pPr>
  </w:style>
  <w:style w:type="paragraph" w:styleId="18">
    <w:name w:val="Normal (Web)"/>
    <w:basedOn w:val="1"/>
    <w:unhideWhenUsed/>
    <w:qFormat/>
    <w:uiPriority w:val="0"/>
    <w:pPr>
      <w:widowControl/>
      <w:spacing w:before="240" w:after="240"/>
      <w:jc w:val="left"/>
    </w:pPr>
    <w:rPr>
      <w:rFonts w:ascii="宋体" w:hAnsi="宋体" w:cs="宋体"/>
      <w:kern w:val="0"/>
      <w:sz w:val="24"/>
    </w:rPr>
  </w:style>
  <w:style w:type="paragraph" w:styleId="19">
    <w:name w:val="Body Text First Indent"/>
    <w:basedOn w:val="8"/>
    <w:next w:val="1"/>
    <w:unhideWhenUsed/>
    <w:qFormat/>
    <w:uiPriority w:val="99"/>
    <w:pPr>
      <w:spacing w:line="360" w:lineRule="auto"/>
      <w:ind w:firstLine="200" w:firstLineChars="200"/>
    </w:pPr>
    <w:rPr>
      <w:rFonts w:ascii="仿宋_GB2312" w:eastAsia="仿宋_GB2312"/>
      <w:bCs/>
      <w:sz w:val="30"/>
    </w:rPr>
  </w:style>
  <w:style w:type="paragraph" w:styleId="20">
    <w:name w:val="Body Text First Indent 2"/>
    <w:basedOn w:val="5"/>
    <w:next w:val="1"/>
    <w:qFormat/>
    <w:uiPriority w:val="0"/>
    <w:pPr>
      <w:autoSpaceDE w:val="0"/>
      <w:autoSpaceDN w:val="0"/>
      <w:adjustRightInd w:val="0"/>
      <w:ind w:firstLine="420" w:firstLineChars="200"/>
      <w:jc w:val="left"/>
    </w:p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uiPriority w:val="0"/>
  </w:style>
  <w:style w:type="character" w:styleId="25">
    <w:name w:val="Hyperlink"/>
    <w:qFormat/>
    <w:uiPriority w:val="99"/>
    <w:rPr>
      <w:color w:val="0000FF"/>
      <w:u w:val="single"/>
    </w:rPr>
  </w:style>
  <w:style w:type="paragraph" w:customStyle="1" w:styleId="26">
    <w:name w:val="BodyText1I"/>
    <w:basedOn w:val="27"/>
    <w:qFormat/>
    <w:uiPriority w:val="0"/>
    <w:pPr>
      <w:ind w:firstLine="420" w:firstLineChars="100"/>
      <w:jc w:val="both"/>
      <w:textAlignment w:val="baseline"/>
    </w:pPr>
  </w:style>
  <w:style w:type="paragraph" w:customStyle="1" w:styleId="27">
    <w:name w:val="BodyText"/>
    <w:basedOn w:val="1"/>
    <w:next w:val="28"/>
    <w:qFormat/>
    <w:uiPriority w:val="0"/>
    <w:pPr>
      <w:jc w:val="both"/>
      <w:textAlignment w:val="baseline"/>
    </w:pPr>
    <w:rPr>
      <w:rFonts w:ascii="宋体" w:hAnsi="宋体" w:eastAsia="宋体"/>
      <w:kern w:val="2"/>
      <w:sz w:val="21"/>
      <w:szCs w:val="21"/>
      <w:lang w:val="zh-CN" w:eastAsia="zh-CN" w:bidi="zh-CN"/>
    </w:rPr>
  </w:style>
  <w:style w:type="paragraph" w:customStyle="1" w:styleId="28">
    <w:name w:val="TOC2"/>
    <w:basedOn w:val="1"/>
    <w:next w:val="1"/>
    <w:qFormat/>
    <w:uiPriority w:val="0"/>
    <w:pPr>
      <w:ind w:left="420" w:leftChars="200"/>
      <w:jc w:val="both"/>
      <w:textAlignment w:val="baseline"/>
    </w:pPr>
  </w:style>
  <w:style w:type="paragraph" w:customStyle="1" w:styleId="29">
    <w:name w:val="样式 表格正文 + 两端对齐"/>
    <w:basedOn w:val="1"/>
    <w:next w:val="30"/>
    <w:qFormat/>
    <w:uiPriority w:val="0"/>
    <w:pPr>
      <w:spacing w:line="300" w:lineRule="auto"/>
    </w:pPr>
  </w:style>
  <w:style w:type="paragraph" w:customStyle="1" w:styleId="30">
    <w:name w:val="正文1"/>
    <w:basedOn w:val="6"/>
    <w:next w:val="1"/>
    <w:qFormat/>
    <w:uiPriority w:val="99"/>
    <w:pPr>
      <w:widowControl/>
      <w:overflowPunct w:val="0"/>
      <w:autoSpaceDE w:val="0"/>
      <w:autoSpaceDN w:val="0"/>
      <w:adjustRightInd w:val="0"/>
      <w:spacing w:line="400" w:lineRule="exact"/>
      <w:textAlignment w:val="baseline"/>
    </w:pPr>
    <w:rPr>
      <w:kern w:val="0"/>
      <w:szCs w:val="20"/>
    </w:rPr>
  </w:style>
  <w:style w:type="paragraph" w:customStyle="1" w:styleId="31">
    <w:name w:val="表格文字"/>
    <w:next w:val="8"/>
    <w:qFormat/>
    <w:locked/>
    <w:uiPriority w:val="0"/>
    <w:pPr>
      <w:spacing w:beforeLines="25" w:afterLines="25"/>
      <w:jc w:val="center"/>
    </w:pPr>
    <w:rPr>
      <w:rFonts w:ascii="Times New Roman" w:hAnsi="Times New Roman" w:eastAsia="宋体" w:cs="Times New Roman"/>
      <w:kern w:val="2"/>
      <w:sz w:val="24"/>
      <w:szCs w:val="28"/>
      <w:lang w:val="en-US" w:eastAsia="zh-CN" w:bidi="ar-SA"/>
    </w:rPr>
  </w:style>
  <w:style w:type="paragraph" w:customStyle="1" w:styleId="32">
    <w:name w:val="U_正文2"/>
    <w:basedOn w:val="1"/>
    <w:qFormat/>
    <w:uiPriority w:val="0"/>
    <w:pPr>
      <w:spacing w:beforeLines="10" w:afterLines="10" w:line="300" w:lineRule="auto"/>
    </w:pPr>
    <w:rPr>
      <w:sz w:val="24"/>
      <w:szCs w:val="20"/>
    </w:rPr>
  </w:style>
  <w:style w:type="paragraph" w:customStyle="1" w:styleId="33">
    <w:name w:val="默认段落字体 Para Char Char Char Char Char Char Char Char Char1 Char Char Char Char"/>
    <w:basedOn w:val="1"/>
    <w:qFormat/>
    <w:uiPriority w:val="0"/>
    <w:rPr>
      <w:rFonts w:ascii="Tahoma" w:hAnsi="Tahoma"/>
      <w:sz w:val="24"/>
      <w:szCs w:val="20"/>
    </w:rPr>
  </w:style>
  <w:style w:type="character" w:customStyle="1" w:styleId="34">
    <w:name w:val="font61"/>
    <w:basedOn w:val="23"/>
    <w:qFormat/>
    <w:uiPriority w:val="0"/>
    <w:rPr>
      <w:rFonts w:hint="eastAsia" w:ascii="宋体" w:hAnsi="宋体" w:eastAsia="宋体" w:cs="宋体"/>
      <w:b/>
      <w:bCs/>
      <w:color w:val="000000"/>
      <w:sz w:val="22"/>
      <w:szCs w:val="22"/>
      <w:u w:val="none"/>
    </w:rPr>
  </w:style>
  <w:style w:type="character" w:customStyle="1" w:styleId="35">
    <w:name w:val="font112"/>
    <w:basedOn w:val="23"/>
    <w:qFormat/>
    <w:uiPriority w:val="0"/>
    <w:rPr>
      <w:rFonts w:hint="eastAsia" w:ascii="宋体" w:hAnsi="宋体" w:eastAsia="宋体" w:cs="宋体"/>
      <w:b/>
      <w:bCs/>
      <w:color w:val="000000"/>
      <w:sz w:val="22"/>
      <w:szCs w:val="22"/>
      <w:u w:val="none"/>
    </w:rPr>
  </w:style>
  <w:style w:type="character" w:customStyle="1" w:styleId="36">
    <w:name w:val="font91"/>
    <w:basedOn w:val="23"/>
    <w:qFormat/>
    <w:uiPriority w:val="0"/>
    <w:rPr>
      <w:rFonts w:hint="default" w:ascii="Times New Roman" w:hAnsi="Times New Roman" w:cs="Times New Roman"/>
      <w:color w:val="000000"/>
      <w:sz w:val="22"/>
      <w:szCs w:val="22"/>
      <w:u w:val="none"/>
    </w:rPr>
  </w:style>
  <w:style w:type="character" w:customStyle="1" w:styleId="37">
    <w:name w:val="font121"/>
    <w:basedOn w:val="23"/>
    <w:qFormat/>
    <w:uiPriority w:val="0"/>
    <w:rPr>
      <w:rFonts w:hint="eastAsia" w:ascii="宋体" w:hAnsi="宋体" w:eastAsia="宋体" w:cs="宋体"/>
      <w:color w:val="000000"/>
      <w:sz w:val="22"/>
      <w:szCs w:val="22"/>
      <w:u w:val="none"/>
    </w:rPr>
  </w:style>
  <w:style w:type="character" w:customStyle="1" w:styleId="38">
    <w:name w:val="font01"/>
    <w:basedOn w:val="23"/>
    <w:qFormat/>
    <w:uiPriority w:val="0"/>
    <w:rPr>
      <w:rFonts w:hint="eastAsia" w:ascii="宋体" w:hAnsi="宋体" w:eastAsia="宋体" w:cs="宋体"/>
      <w:color w:val="000000"/>
      <w:sz w:val="22"/>
      <w:szCs w:val="22"/>
      <w:u w:val="none"/>
    </w:rPr>
  </w:style>
  <w:style w:type="character" w:customStyle="1" w:styleId="39">
    <w:name w:val="font81"/>
    <w:basedOn w:val="23"/>
    <w:qFormat/>
    <w:uiPriority w:val="0"/>
    <w:rPr>
      <w:rFonts w:hint="default" w:ascii="Times New Roman" w:hAnsi="Times New Roman" w:cs="Times New Roman"/>
      <w:color w:val="000000"/>
      <w:sz w:val="22"/>
      <w:szCs w:val="22"/>
      <w:u w:val="none"/>
    </w:rPr>
  </w:style>
  <w:style w:type="character" w:customStyle="1" w:styleId="40">
    <w:name w:val="font41"/>
    <w:basedOn w:val="23"/>
    <w:qFormat/>
    <w:uiPriority w:val="0"/>
    <w:rPr>
      <w:rFonts w:hint="default" w:ascii="Times New Roman" w:hAnsi="Times New Roman" w:cs="Times New Roman"/>
      <w:b/>
      <w:bCs/>
      <w:color w:val="000000"/>
      <w:sz w:val="22"/>
      <w:szCs w:val="22"/>
      <w:u w:val="none"/>
    </w:rPr>
  </w:style>
  <w:style w:type="character" w:customStyle="1" w:styleId="41">
    <w:name w:val="font21"/>
    <w:basedOn w:val="23"/>
    <w:qFormat/>
    <w:uiPriority w:val="0"/>
    <w:rPr>
      <w:rFonts w:hint="default" w:ascii="Times New Roman" w:hAnsi="Times New Roman" w:cs="Times New Roman"/>
      <w:b/>
      <w:bCs/>
      <w:color w:val="FF0000"/>
      <w:sz w:val="22"/>
      <w:szCs w:val="22"/>
      <w:u w:val="none"/>
    </w:rPr>
  </w:style>
  <w:style w:type="character" w:customStyle="1" w:styleId="42">
    <w:name w:val="font181"/>
    <w:basedOn w:val="23"/>
    <w:qFormat/>
    <w:uiPriority w:val="0"/>
    <w:rPr>
      <w:rFonts w:hint="eastAsia" w:ascii="宋体" w:hAnsi="宋体" w:eastAsia="宋体" w:cs="宋体"/>
      <w:b/>
      <w:bCs/>
      <w:color w:val="FF0000"/>
      <w:sz w:val="22"/>
      <w:szCs w:val="22"/>
      <w:u w:val="none"/>
    </w:rPr>
  </w:style>
  <w:style w:type="character" w:customStyle="1" w:styleId="43">
    <w:name w:val="font51"/>
    <w:basedOn w:val="23"/>
    <w:qFormat/>
    <w:uiPriority w:val="0"/>
    <w:rPr>
      <w:rFonts w:hint="default" w:ascii="Times New Roman" w:hAnsi="Times New Roman" w:cs="Times New Roman"/>
      <w:b/>
      <w:bCs/>
      <w:color w:val="000000"/>
      <w:sz w:val="22"/>
      <w:szCs w:val="22"/>
      <w:u w:val="none"/>
    </w:rPr>
  </w:style>
  <w:style w:type="character" w:customStyle="1" w:styleId="44">
    <w:name w:val="font141"/>
    <w:basedOn w:val="23"/>
    <w:qFormat/>
    <w:uiPriority w:val="0"/>
    <w:rPr>
      <w:rFonts w:hint="eastAsia" w:ascii="宋体" w:hAnsi="宋体" w:eastAsia="宋体" w:cs="宋体"/>
      <w:b/>
      <w:bCs/>
      <w:color w:val="000000"/>
      <w:sz w:val="22"/>
      <w:szCs w:val="22"/>
      <w:u w:val="none"/>
    </w:rPr>
  </w:style>
  <w:style w:type="character" w:customStyle="1" w:styleId="45">
    <w:name w:val="font71"/>
    <w:basedOn w:val="23"/>
    <w:qFormat/>
    <w:uiPriority w:val="0"/>
    <w:rPr>
      <w:rFonts w:hint="default" w:ascii="Times New Roman" w:hAnsi="Times New Roman" w:cs="Times New Roman"/>
      <w:color w:val="000000"/>
      <w:sz w:val="22"/>
      <w:szCs w:val="22"/>
      <w:u w:val="none"/>
    </w:rPr>
  </w:style>
  <w:style w:type="character" w:customStyle="1" w:styleId="46">
    <w:name w:val="font101"/>
    <w:basedOn w:val="23"/>
    <w:qFormat/>
    <w:uiPriority w:val="0"/>
    <w:rPr>
      <w:rFonts w:hint="eastAsia" w:ascii="宋体" w:hAnsi="宋体" w:eastAsia="宋体" w:cs="宋体"/>
      <w:b/>
      <w:bCs/>
      <w:color w:val="000000"/>
      <w:sz w:val="22"/>
      <w:szCs w:val="22"/>
      <w:u w:val="none"/>
    </w:rPr>
  </w:style>
  <w:style w:type="character" w:customStyle="1" w:styleId="47">
    <w:name w:val="font31"/>
    <w:basedOn w:val="23"/>
    <w:qFormat/>
    <w:uiPriority w:val="0"/>
    <w:rPr>
      <w:rFonts w:hint="eastAsia" w:ascii="宋体" w:hAnsi="宋体" w:eastAsia="宋体" w:cs="宋体"/>
      <w:color w:val="FF0000"/>
      <w:sz w:val="22"/>
      <w:szCs w:val="22"/>
      <w:u w:val="none"/>
    </w:rPr>
  </w:style>
  <w:style w:type="paragraph" w:styleId="48">
    <w:name w:val="No Spacing"/>
    <w:qFormat/>
    <w:uiPriority w:val="1"/>
    <w:rPr>
      <w:rFonts w:ascii="Calibri" w:hAnsi="Calibri" w:eastAsia="MS Mincho" w:cs="Times New Roman"/>
      <w:sz w:val="24"/>
      <w:szCs w:val="24"/>
      <w:lang w:val="en-US" w:eastAsia="en-US" w:bidi="ar-SA"/>
    </w:rPr>
  </w:style>
  <w:style w:type="character" w:customStyle="1" w:styleId="49">
    <w:name w:val="不明显强调1"/>
    <w:qFormat/>
    <w:uiPriority w:val="19"/>
    <w:rPr>
      <w:i/>
      <w:iCs/>
      <w:color w:val="808080"/>
    </w:rPr>
  </w:style>
  <w:style w:type="character" w:customStyle="1" w:styleId="50">
    <w:name w:val="无"/>
    <w:qFormat/>
    <w:uiPriority w:val="99"/>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72</Pages>
  <Words>35133</Words>
  <Characters>37512</Characters>
  <Lines>0</Lines>
  <Paragraphs>0</Paragraphs>
  <TotalTime>1</TotalTime>
  <ScaleCrop>false</ScaleCrop>
  <LinksUpToDate>false</LinksUpToDate>
  <CharactersWithSpaces>43067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2022-05-16T02:04:00Z</dcterms:created>
  <dc:creator>Z&amp;Y</dc:creator>
  <cp:lastModifiedBy>英华</cp:lastModifiedBy>
  <cp:lastPrinted>2022-07-19T07:56:47Z</cp:lastPrinted>
  <dcterms:modified xsi:type="dcterms:W3CDTF">2022-07-19T07:57:31Z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12C3D188526E4BABAE6E08610384CFC3</vt:lpwstr>
  </property>
</Properties>
</file>