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widowControl w:val="0"/>
        <w:jc w:val="center"/>
        <w:outlineLvl w:val="0"/>
        <w:rPr>
          <w:rFonts w:hint="eastAsia" w:ascii="黑体" w:hAnsi="黑体" w:eastAsia="黑体" w:cs="Times New Roman"/>
          <w:b/>
          <w:bCs/>
          <w:color w:val="auto"/>
          <w:kern w:val="2"/>
          <w:sz w:val="32"/>
          <w:szCs w:val="32"/>
          <w:highlight w:val="none"/>
          <w:lang w:val="en-US" w:eastAsia="zh-CN" w:bidi="ar-SA"/>
        </w:rPr>
      </w:pPr>
      <w:r>
        <w:rPr>
          <w:rFonts w:hint="eastAsia" w:ascii="黑体" w:hAnsi="黑体" w:eastAsia="黑体" w:cs="Times New Roman"/>
          <w:b/>
          <w:bCs/>
          <w:color w:val="auto"/>
          <w:kern w:val="2"/>
          <w:sz w:val="32"/>
          <w:szCs w:val="32"/>
          <w:highlight w:val="none"/>
          <w:lang w:val="en-US" w:eastAsia="zh-CN" w:bidi="ar-SA"/>
        </w:rPr>
        <w:t>采购需求</w:t>
      </w:r>
    </w:p>
    <w:p>
      <w:pPr>
        <w:jc w:val="center"/>
        <w:outlineLvl w:val="1"/>
        <w:rPr>
          <w:color w:val="auto"/>
          <w:highlight w:val="none"/>
        </w:rPr>
      </w:pPr>
      <w:bookmarkStart w:id="0" w:name="_Toc318"/>
      <w:bookmarkStart w:id="1" w:name="_Toc31305"/>
      <w:r>
        <w:rPr>
          <w:rFonts w:hint="eastAsia" w:ascii="黑体" w:hAnsi="黑体" w:eastAsia="黑体"/>
          <w:color w:val="auto"/>
          <w:sz w:val="28"/>
          <w:szCs w:val="28"/>
          <w:highlight w:val="none"/>
        </w:rPr>
        <w:t>第一节 采购清单一览表</w:t>
      </w:r>
      <w:bookmarkEnd w:id="0"/>
      <w:bookmarkEnd w:id="1"/>
    </w:p>
    <w:tbl>
      <w:tblPr>
        <w:tblStyle w:val="7"/>
        <w:tblpPr w:leftFromText="180" w:rightFromText="180" w:vertAnchor="text" w:horzAnchor="page" w:tblpX="1360" w:tblpY="158"/>
        <w:tblOverlap w:val="never"/>
        <w:tblW w:w="9338"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29"/>
        <w:gridCol w:w="1526"/>
        <w:gridCol w:w="1545"/>
        <w:gridCol w:w="801"/>
        <w:gridCol w:w="939"/>
        <w:gridCol w:w="1403"/>
        <w:gridCol w:w="885"/>
        <w:gridCol w:w="945"/>
        <w:gridCol w:w="76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72" w:hRule="atLeast"/>
        </w:trPr>
        <w:tc>
          <w:tcPr>
            <w:tcW w:w="529" w:type="dxa"/>
            <w:vMerge w:val="restart"/>
            <w:vAlign w:val="center"/>
          </w:tcPr>
          <w:p>
            <w:pPr>
              <w:adjustRightInd w:val="0"/>
              <w:snapToGrid w:val="0"/>
              <w:spacing w:line="360" w:lineRule="auto"/>
              <w:jc w:val="center"/>
              <w:rPr>
                <w:color w:val="auto"/>
                <w:sz w:val="21"/>
                <w:szCs w:val="21"/>
                <w:highlight w:val="none"/>
              </w:rPr>
            </w:pPr>
            <w:bookmarkStart w:id="2" w:name="_Toc300678508"/>
            <w:r>
              <w:rPr>
                <w:rFonts w:hint="eastAsia"/>
                <w:color w:val="auto"/>
                <w:sz w:val="21"/>
                <w:szCs w:val="21"/>
                <w:highlight w:val="none"/>
              </w:rPr>
              <w:t xml:space="preserve">包号 </w:t>
            </w:r>
          </w:p>
        </w:tc>
        <w:tc>
          <w:tcPr>
            <w:tcW w:w="1526" w:type="dxa"/>
            <w:vMerge w:val="restart"/>
            <w:vAlign w:val="center"/>
          </w:tcPr>
          <w:p>
            <w:pPr>
              <w:adjustRightInd w:val="0"/>
              <w:snapToGrid w:val="0"/>
              <w:spacing w:line="360" w:lineRule="auto"/>
              <w:jc w:val="center"/>
              <w:rPr>
                <w:color w:val="auto"/>
                <w:sz w:val="21"/>
                <w:szCs w:val="21"/>
                <w:highlight w:val="none"/>
              </w:rPr>
            </w:pPr>
            <w:r>
              <w:rPr>
                <w:rFonts w:hint="eastAsia"/>
                <w:color w:val="auto"/>
                <w:sz w:val="21"/>
                <w:szCs w:val="21"/>
                <w:highlight w:val="none"/>
              </w:rPr>
              <w:t>包名称</w:t>
            </w:r>
          </w:p>
        </w:tc>
        <w:tc>
          <w:tcPr>
            <w:tcW w:w="1545" w:type="dxa"/>
            <w:vMerge w:val="restart"/>
            <w:vAlign w:val="center"/>
          </w:tcPr>
          <w:p>
            <w:pPr>
              <w:adjustRightInd w:val="0"/>
              <w:snapToGrid w:val="0"/>
              <w:spacing w:line="240" w:lineRule="auto"/>
              <w:jc w:val="center"/>
              <w:rPr>
                <w:color w:val="auto"/>
                <w:sz w:val="21"/>
                <w:szCs w:val="21"/>
                <w:highlight w:val="none"/>
              </w:rPr>
            </w:pPr>
            <w:r>
              <w:rPr>
                <w:rFonts w:hint="eastAsia"/>
                <w:color w:val="auto"/>
                <w:sz w:val="21"/>
                <w:szCs w:val="21"/>
                <w:highlight w:val="none"/>
              </w:rPr>
              <w:t>分项项目名称</w:t>
            </w:r>
          </w:p>
          <w:p>
            <w:pPr>
              <w:adjustRightInd w:val="0"/>
              <w:snapToGrid w:val="0"/>
              <w:spacing w:line="240" w:lineRule="auto"/>
              <w:jc w:val="center"/>
              <w:rPr>
                <w:color w:val="auto"/>
                <w:sz w:val="21"/>
                <w:szCs w:val="21"/>
                <w:highlight w:val="none"/>
              </w:rPr>
            </w:pPr>
            <w:r>
              <w:rPr>
                <w:rFonts w:hint="eastAsia"/>
                <w:color w:val="auto"/>
                <w:sz w:val="21"/>
                <w:szCs w:val="21"/>
                <w:highlight w:val="none"/>
              </w:rPr>
              <w:t>（条目号/品目名称）</w:t>
            </w:r>
          </w:p>
        </w:tc>
        <w:tc>
          <w:tcPr>
            <w:tcW w:w="801" w:type="dxa"/>
            <w:vMerge w:val="restart"/>
            <w:tcBorders>
              <w:left w:val="single" w:color="auto" w:sz="4" w:space="0"/>
            </w:tcBorders>
            <w:vAlign w:val="center"/>
          </w:tcPr>
          <w:p>
            <w:pPr>
              <w:adjustRightInd w:val="0"/>
              <w:snapToGrid w:val="0"/>
              <w:spacing w:line="360" w:lineRule="auto"/>
              <w:jc w:val="center"/>
              <w:rPr>
                <w:color w:val="auto"/>
                <w:sz w:val="21"/>
                <w:szCs w:val="21"/>
                <w:highlight w:val="none"/>
              </w:rPr>
            </w:pPr>
            <w:r>
              <w:rPr>
                <w:rFonts w:ascii="宋体" w:hAnsi="宋体" w:cs="宋体"/>
                <w:color w:val="auto"/>
                <w:kern w:val="0"/>
                <w:sz w:val="21"/>
                <w:szCs w:val="21"/>
                <w:highlight w:val="none"/>
              </w:rPr>
              <w:t>是否接受进口设备</w:t>
            </w:r>
          </w:p>
        </w:tc>
        <w:tc>
          <w:tcPr>
            <w:tcW w:w="939" w:type="dxa"/>
            <w:vMerge w:val="restart"/>
            <w:vAlign w:val="center"/>
          </w:tcPr>
          <w:p>
            <w:pPr>
              <w:adjustRightInd w:val="0"/>
              <w:snapToGrid w:val="0"/>
              <w:spacing w:line="360" w:lineRule="auto"/>
              <w:jc w:val="center"/>
              <w:rPr>
                <w:rFonts w:hint="eastAsia"/>
                <w:color w:val="auto"/>
                <w:sz w:val="21"/>
                <w:szCs w:val="21"/>
                <w:highlight w:val="none"/>
              </w:rPr>
            </w:pPr>
            <w:r>
              <w:rPr>
                <w:rFonts w:hint="eastAsia"/>
                <w:color w:val="auto"/>
                <w:sz w:val="21"/>
                <w:szCs w:val="21"/>
                <w:highlight w:val="none"/>
              </w:rPr>
              <w:t>数量</w:t>
            </w:r>
          </w:p>
          <w:p>
            <w:pPr>
              <w:widowControl w:val="0"/>
              <w:tabs>
                <w:tab w:val="left" w:pos="2340"/>
              </w:tabs>
              <w:spacing w:after="120"/>
              <w:ind w:left="420" w:leftChars="200" w:firstLine="420" w:firstLineChars="200"/>
              <w:jc w:val="both"/>
              <w:rPr>
                <w:rFonts w:ascii="Times New Roman" w:hAnsi="Times New Roman" w:eastAsia="宋体" w:cs="Times New Roman"/>
                <w:color w:val="auto"/>
                <w:kern w:val="2"/>
                <w:sz w:val="21"/>
                <w:szCs w:val="21"/>
                <w:highlight w:val="none"/>
                <w:lang w:val="en-US" w:eastAsia="zh-CN" w:bidi="ar-SA"/>
              </w:rPr>
            </w:pPr>
          </w:p>
        </w:tc>
        <w:tc>
          <w:tcPr>
            <w:tcW w:w="1403" w:type="dxa"/>
            <w:vMerge w:val="restart"/>
            <w:vAlign w:val="center"/>
          </w:tcPr>
          <w:p>
            <w:pPr>
              <w:adjustRightInd w:val="0"/>
              <w:snapToGrid w:val="0"/>
              <w:spacing w:line="360" w:lineRule="auto"/>
              <w:jc w:val="center"/>
              <w:rPr>
                <w:rFonts w:hint="eastAsia"/>
                <w:color w:val="auto"/>
                <w:sz w:val="21"/>
                <w:szCs w:val="21"/>
                <w:highlight w:val="none"/>
              </w:rPr>
            </w:pPr>
            <w:r>
              <w:rPr>
                <w:rFonts w:hint="eastAsia" w:ascii="宋体" w:hAnsi="宋体" w:eastAsia="宋体" w:cs="宋体"/>
                <w:color w:val="auto"/>
                <w:kern w:val="0"/>
                <w:sz w:val="21"/>
                <w:szCs w:val="21"/>
                <w:highlight w:val="none"/>
              </w:rPr>
              <w:t>采购项目预算（元人民币）</w:t>
            </w:r>
          </w:p>
        </w:tc>
        <w:tc>
          <w:tcPr>
            <w:tcW w:w="1830" w:type="dxa"/>
            <w:gridSpan w:val="2"/>
            <w:vAlign w:val="center"/>
          </w:tcPr>
          <w:p>
            <w:pPr>
              <w:adjustRightInd w:val="0"/>
              <w:snapToGrid w:val="0"/>
              <w:spacing w:line="360" w:lineRule="auto"/>
              <w:jc w:val="center"/>
              <w:rPr>
                <w:color w:val="auto"/>
                <w:sz w:val="21"/>
                <w:szCs w:val="21"/>
                <w:highlight w:val="none"/>
              </w:rPr>
            </w:pPr>
            <w:r>
              <w:rPr>
                <w:rFonts w:hint="eastAsia" w:ascii="宋体" w:hAnsi="宋体" w:cs="宋体"/>
                <w:color w:val="auto"/>
                <w:kern w:val="0"/>
                <w:szCs w:val="21"/>
                <w:highlight w:val="none"/>
              </w:rPr>
              <w:t>实施</w:t>
            </w:r>
            <w:r>
              <w:rPr>
                <w:rFonts w:hint="eastAsia"/>
                <w:color w:val="auto"/>
                <w:sz w:val="21"/>
                <w:szCs w:val="21"/>
                <w:highlight w:val="none"/>
              </w:rPr>
              <w:t>要求</w:t>
            </w:r>
          </w:p>
        </w:tc>
        <w:tc>
          <w:tcPr>
            <w:tcW w:w="765" w:type="dxa"/>
            <w:vAlign w:val="center"/>
          </w:tcPr>
          <w:p>
            <w:pPr>
              <w:adjustRightInd w:val="0"/>
              <w:snapToGrid w:val="0"/>
              <w:spacing w:line="360" w:lineRule="auto"/>
              <w:jc w:val="center"/>
              <w:rPr>
                <w:color w:val="auto"/>
                <w:sz w:val="21"/>
                <w:szCs w:val="21"/>
                <w:highlight w:val="none"/>
              </w:rPr>
            </w:pPr>
            <w:r>
              <w:rPr>
                <w:rFonts w:hint="eastAsia"/>
                <w:color w:val="auto"/>
                <w:sz w:val="21"/>
                <w:szCs w:val="21"/>
                <w:highlight w:val="none"/>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67" w:hRule="atLeast"/>
        </w:trPr>
        <w:tc>
          <w:tcPr>
            <w:tcW w:w="529" w:type="dxa"/>
            <w:vMerge w:val="continue"/>
            <w:vAlign w:val="center"/>
          </w:tcPr>
          <w:p>
            <w:pPr>
              <w:adjustRightInd w:val="0"/>
              <w:snapToGrid w:val="0"/>
              <w:spacing w:before="156" w:beforeLines="50" w:line="360" w:lineRule="auto"/>
              <w:jc w:val="center"/>
              <w:rPr>
                <w:color w:val="auto"/>
                <w:sz w:val="21"/>
                <w:szCs w:val="21"/>
                <w:highlight w:val="none"/>
              </w:rPr>
            </w:pPr>
          </w:p>
        </w:tc>
        <w:tc>
          <w:tcPr>
            <w:tcW w:w="1526" w:type="dxa"/>
            <w:vMerge w:val="continue"/>
            <w:vAlign w:val="center"/>
          </w:tcPr>
          <w:p>
            <w:pPr>
              <w:adjustRightInd w:val="0"/>
              <w:snapToGrid w:val="0"/>
              <w:spacing w:before="156" w:beforeLines="50" w:line="360" w:lineRule="auto"/>
              <w:jc w:val="center"/>
              <w:rPr>
                <w:color w:val="auto"/>
                <w:sz w:val="21"/>
                <w:szCs w:val="21"/>
                <w:highlight w:val="none"/>
              </w:rPr>
            </w:pPr>
          </w:p>
        </w:tc>
        <w:tc>
          <w:tcPr>
            <w:tcW w:w="1545" w:type="dxa"/>
            <w:vMerge w:val="continue"/>
            <w:vAlign w:val="center"/>
          </w:tcPr>
          <w:p>
            <w:pPr>
              <w:adjustRightInd w:val="0"/>
              <w:snapToGrid w:val="0"/>
              <w:spacing w:before="156" w:beforeLines="50" w:line="360" w:lineRule="auto"/>
              <w:jc w:val="center"/>
              <w:rPr>
                <w:color w:val="auto"/>
                <w:sz w:val="21"/>
                <w:szCs w:val="21"/>
                <w:highlight w:val="none"/>
              </w:rPr>
            </w:pPr>
          </w:p>
        </w:tc>
        <w:tc>
          <w:tcPr>
            <w:tcW w:w="801" w:type="dxa"/>
            <w:vMerge w:val="continue"/>
            <w:tcBorders>
              <w:left w:val="single" w:color="auto" w:sz="4" w:space="0"/>
            </w:tcBorders>
            <w:vAlign w:val="center"/>
          </w:tcPr>
          <w:p>
            <w:pPr>
              <w:adjustRightInd w:val="0"/>
              <w:snapToGrid w:val="0"/>
              <w:spacing w:before="156" w:beforeLines="50" w:line="360" w:lineRule="auto"/>
              <w:jc w:val="center"/>
              <w:rPr>
                <w:color w:val="auto"/>
                <w:sz w:val="21"/>
                <w:szCs w:val="21"/>
                <w:highlight w:val="none"/>
              </w:rPr>
            </w:pPr>
          </w:p>
        </w:tc>
        <w:tc>
          <w:tcPr>
            <w:tcW w:w="939" w:type="dxa"/>
            <w:vMerge w:val="continue"/>
            <w:vAlign w:val="center"/>
          </w:tcPr>
          <w:p>
            <w:pPr>
              <w:adjustRightInd w:val="0"/>
              <w:snapToGrid w:val="0"/>
              <w:spacing w:before="156" w:beforeLines="50" w:line="360" w:lineRule="auto"/>
              <w:jc w:val="center"/>
              <w:rPr>
                <w:color w:val="auto"/>
                <w:sz w:val="21"/>
                <w:szCs w:val="21"/>
                <w:highlight w:val="none"/>
              </w:rPr>
            </w:pPr>
          </w:p>
        </w:tc>
        <w:tc>
          <w:tcPr>
            <w:tcW w:w="1403" w:type="dxa"/>
            <w:vMerge w:val="continue"/>
            <w:vAlign w:val="center"/>
          </w:tcPr>
          <w:p>
            <w:pPr>
              <w:adjustRightInd w:val="0"/>
              <w:snapToGrid w:val="0"/>
              <w:spacing w:before="156" w:beforeLines="50" w:line="360" w:lineRule="auto"/>
              <w:jc w:val="center"/>
              <w:rPr>
                <w:color w:val="auto"/>
                <w:sz w:val="21"/>
                <w:szCs w:val="21"/>
                <w:highlight w:val="none"/>
              </w:rPr>
            </w:pPr>
          </w:p>
        </w:tc>
        <w:tc>
          <w:tcPr>
            <w:tcW w:w="885" w:type="dxa"/>
            <w:vAlign w:val="center"/>
          </w:tcPr>
          <w:p>
            <w:pPr>
              <w:adjustRightInd w:val="0"/>
              <w:snapToGrid w:val="0"/>
              <w:spacing w:before="156" w:beforeLines="50" w:line="360" w:lineRule="auto"/>
              <w:jc w:val="center"/>
              <w:rPr>
                <w:rFonts w:hint="eastAsia" w:eastAsia="宋体"/>
                <w:color w:val="auto"/>
                <w:sz w:val="21"/>
                <w:szCs w:val="21"/>
                <w:highlight w:val="none"/>
                <w:lang w:eastAsia="zh-CN"/>
              </w:rPr>
            </w:pPr>
            <w:r>
              <w:rPr>
                <w:rFonts w:hint="eastAsia" w:eastAsia="宋体"/>
                <w:color w:val="auto"/>
                <w:sz w:val="21"/>
                <w:szCs w:val="21"/>
                <w:highlight w:val="none"/>
                <w:lang w:eastAsia="zh-CN"/>
              </w:rPr>
              <w:t>工期</w:t>
            </w:r>
          </w:p>
        </w:tc>
        <w:tc>
          <w:tcPr>
            <w:tcW w:w="945" w:type="dxa"/>
            <w:vAlign w:val="center"/>
          </w:tcPr>
          <w:p>
            <w:pPr>
              <w:adjustRightInd w:val="0"/>
              <w:snapToGrid w:val="0"/>
              <w:spacing w:before="156" w:beforeLines="50" w:line="360" w:lineRule="auto"/>
              <w:jc w:val="center"/>
              <w:rPr>
                <w:color w:val="auto"/>
                <w:sz w:val="21"/>
                <w:szCs w:val="21"/>
                <w:highlight w:val="none"/>
              </w:rPr>
            </w:pPr>
            <w:r>
              <w:rPr>
                <w:rFonts w:hint="eastAsia"/>
                <w:color w:val="auto"/>
                <w:sz w:val="21"/>
                <w:szCs w:val="21"/>
                <w:highlight w:val="none"/>
              </w:rPr>
              <w:t>地点</w:t>
            </w:r>
          </w:p>
        </w:tc>
        <w:tc>
          <w:tcPr>
            <w:tcW w:w="765" w:type="dxa"/>
          </w:tcPr>
          <w:p>
            <w:pPr>
              <w:adjustRightInd w:val="0"/>
              <w:snapToGrid w:val="0"/>
              <w:spacing w:before="156" w:beforeLines="50" w:line="360" w:lineRule="auto"/>
              <w:rPr>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392" w:hRule="atLeast"/>
        </w:trPr>
        <w:tc>
          <w:tcPr>
            <w:tcW w:w="529" w:type="dxa"/>
            <w:vAlign w:val="center"/>
          </w:tcPr>
          <w:p>
            <w:pPr>
              <w:adjustRightInd w:val="0"/>
              <w:snapToGrid w:val="0"/>
              <w:spacing w:before="156" w:beforeLines="50" w:line="360" w:lineRule="auto"/>
              <w:jc w:val="center"/>
              <w:rPr>
                <w:rFonts w:hint="default" w:eastAsia="宋体"/>
                <w:color w:val="auto"/>
                <w:sz w:val="21"/>
                <w:szCs w:val="21"/>
                <w:highlight w:val="none"/>
                <w:lang w:val="en-US" w:eastAsia="zh-CN"/>
              </w:rPr>
            </w:pPr>
            <w:r>
              <w:rPr>
                <w:rFonts w:hint="eastAsia" w:ascii="Times New Roman" w:eastAsia="宋体"/>
                <w:color w:val="auto"/>
                <w:sz w:val="21"/>
                <w:szCs w:val="21"/>
                <w:highlight w:val="none"/>
                <w:lang w:val="en-US" w:eastAsia="zh-CN"/>
              </w:rPr>
              <w:t>01</w:t>
            </w:r>
          </w:p>
        </w:tc>
        <w:tc>
          <w:tcPr>
            <w:tcW w:w="1526" w:type="dxa"/>
            <w:vAlign w:val="center"/>
          </w:tcPr>
          <w:p>
            <w:pPr>
              <w:adjustRightInd w:val="0"/>
              <w:snapToGrid w:val="0"/>
              <w:spacing w:before="156" w:beforeLines="50" w:line="240" w:lineRule="auto"/>
              <w:jc w:val="center"/>
              <w:rPr>
                <w:color w:val="auto"/>
                <w:sz w:val="21"/>
                <w:szCs w:val="21"/>
                <w:highlight w:val="none"/>
              </w:rPr>
            </w:pPr>
            <w:r>
              <w:rPr>
                <w:rFonts w:hint="eastAsia" w:ascii="Times New Roman" w:eastAsia="宋体"/>
                <w:color w:val="auto"/>
                <w:sz w:val="21"/>
                <w:szCs w:val="21"/>
                <w:highlight w:val="none"/>
                <w:lang w:val="en-US" w:eastAsia="zh-CN"/>
              </w:rPr>
              <w:t>邵阳经开区白蚁综合防治项目</w:t>
            </w:r>
          </w:p>
        </w:tc>
        <w:tc>
          <w:tcPr>
            <w:tcW w:w="1545" w:type="dxa"/>
            <w:vAlign w:val="center"/>
          </w:tcPr>
          <w:p>
            <w:pPr>
              <w:adjustRightInd w:val="0"/>
              <w:snapToGrid w:val="0"/>
              <w:spacing w:before="156" w:beforeLines="50" w:line="360" w:lineRule="auto"/>
              <w:jc w:val="center"/>
              <w:rPr>
                <w:rFonts w:hint="default" w:eastAsia="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C16</w:t>
            </w:r>
            <w:r>
              <w:rPr>
                <w:rFonts w:hint="eastAsia" w:eastAsia="宋体"/>
                <w:color w:val="auto"/>
                <w:sz w:val="21"/>
                <w:szCs w:val="21"/>
                <w:highlight w:val="none"/>
                <w:lang w:val="en-US" w:eastAsia="zh-CN"/>
              </w:rPr>
              <w:t>环境服务</w:t>
            </w:r>
          </w:p>
        </w:tc>
        <w:tc>
          <w:tcPr>
            <w:tcW w:w="801" w:type="dxa"/>
            <w:tcBorders>
              <w:left w:val="single" w:color="auto" w:sz="4" w:space="0"/>
            </w:tcBorders>
            <w:vAlign w:val="center"/>
          </w:tcPr>
          <w:p>
            <w:pPr>
              <w:adjustRightInd w:val="0"/>
              <w:snapToGrid w:val="0"/>
              <w:spacing w:before="156" w:beforeLines="50" w:line="360" w:lineRule="auto"/>
              <w:jc w:val="center"/>
              <w:rPr>
                <w:rFonts w:hint="eastAsia" w:eastAsia="宋体"/>
                <w:color w:val="auto"/>
                <w:sz w:val="21"/>
                <w:szCs w:val="21"/>
                <w:highlight w:val="none"/>
                <w:lang w:eastAsia="zh-CN"/>
              </w:rPr>
            </w:pPr>
            <w:r>
              <w:rPr>
                <w:rFonts w:hint="eastAsia" w:eastAsia="宋体"/>
                <w:color w:val="auto"/>
                <w:sz w:val="21"/>
                <w:szCs w:val="21"/>
                <w:highlight w:val="none"/>
                <w:lang w:eastAsia="zh-CN"/>
              </w:rPr>
              <w:t>否</w:t>
            </w:r>
          </w:p>
        </w:tc>
        <w:tc>
          <w:tcPr>
            <w:tcW w:w="939" w:type="dxa"/>
            <w:vAlign w:val="center"/>
          </w:tcPr>
          <w:p>
            <w:pPr>
              <w:adjustRightInd w:val="0"/>
              <w:snapToGrid w:val="0"/>
              <w:spacing w:before="156" w:beforeLines="50" w:line="360" w:lineRule="auto"/>
              <w:jc w:val="center"/>
              <w:rPr>
                <w:rFonts w:hint="default" w:eastAsia="宋体"/>
                <w:color w:val="auto"/>
                <w:sz w:val="21"/>
                <w:szCs w:val="21"/>
                <w:highlight w:val="none"/>
                <w:lang w:val="en-US" w:eastAsia="zh-CN"/>
              </w:rPr>
            </w:pPr>
            <w:r>
              <w:rPr>
                <w:rFonts w:hint="eastAsia" w:ascii="Times New Roman" w:eastAsia="宋体"/>
                <w:color w:val="auto"/>
                <w:sz w:val="21"/>
                <w:szCs w:val="21"/>
                <w:highlight w:val="none"/>
                <w:lang w:val="en-US" w:eastAsia="zh-CN"/>
              </w:rPr>
              <w:t>1</w:t>
            </w:r>
          </w:p>
        </w:tc>
        <w:tc>
          <w:tcPr>
            <w:tcW w:w="1403" w:type="dxa"/>
            <w:vAlign w:val="center"/>
          </w:tcPr>
          <w:p>
            <w:pPr>
              <w:adjustRightInd w:val="0"/>
              <w:snapToGrid w:val="0"/>
              <w:spacing w:before="156" w:beforeLines="50" w:line="360" w:lineRule="auto"/>
              <w:jc w:val="center"/>
              <w:rPr>
                <w:rFonts w:hint="default" w:ascii="宋体" w:hAnsi="宋体" w:eastAsia="宋体"/>
                <w:color w:val="auto"/>
                <w:kern w:val="0"/>
                <w:sz w:val="21"/>
                <w:szCs w:val="21"/>
                <w:highlight w:val="none"/>
                <w:lang w:val="en-US" w:eastAsia="zh-CN"/>
              </w:rPr>
            </w:pPr>
            <w:r>
              <w:rPr>
                <w:rFonts w:hint="eastAsia" w:ascii="宋体" w:hAnsi="宋体" w:eastAsia="宋体"/>
                <w:color w:val="auto"/>
                <w:kern w:val="0"/>
                <w:sz w:val="21"/>
                <w:szCs w:val="21"/>
                <w:highlight w:val="none"/>
                <w:lang w:val="en-US" w:eastAsia="zh-CN"/>
              </w:rPr>
              <w:t>35万元</w:t>
            </w:r>
          </w:p>
        </w:tc>
        <w:tc>
          <w:tcPr>
            <w:tcW w:w="885" w:type="dxa"/>
            <w:vAlign w:val="center"/>
          </w:tcPr>
          <w:p>
            <w:pPr>
              <w:adjustRightInd w:val="0"/>
              <w:snapToGrid w:val="0"/>
              <w:spacing w:before="156" w:beforeLines="50" w:line="240" w:lineRule="auto"/>
              <w:jc w:val="center"/>
              <w:rPr>
                <w:rFonts w:hint="default"/>
                <w:color w:val="auto"/>
                <w:highlight w:val="none"/>
                <w:lang w:val="en-US" w:eastAsia="zh-CN"/>
              </w:rPr>
            </w:pPr>
            <w:r>
              <w:rPr>
                <w:rFonts w:hint="eastAsia"/>
                <w:color w:val="auto"/>
                <w:highlight w:val="none"/>
                <w:lang w:val="en-US" w:eastAsia="zh-CN"/>
              </w:rPr>
              <w:t>三年</w:t>
            </w:r>
            <w:r>
              <w:rPr>
                <w:rFonts w:hint="eastAsia" w:ascii="Times New Roman" w:eastAsia="宋体"/>
                <w:color w:val="auto"/>
                <w:highlight w:val="none"/>
                <w:lang w:val="en-US" w:eastAsia="zh-CN"/>
              </w:rPr>
              <w:t xml:space="preserve">                      </w:t>
            </w:r>
          </w:p>
          <w:p>
            <w:pPr>
              <w:widowControl w:val="0"/>
              <w:tabs>
                <w:tab w:val="left" w:pos="2340"/>
              </w:tabs>
              <w:spacing w:after="120"/>
              <w:ind w:left="420" w:leftChars="200" w:firstLine="420" w:firstLineChars="200"/>
              <w:jc w:val="both"/>
              <w:rPr>
                <w:rFonts w:hint="default" w:ascii="Times New Roman" w:hAnsi="Times New Roman" w:eastAsia="宋体" w:cs="Times New Roman"/>
                <w:color w:val="auto"/>
                <w:kern w:val="2"/>
                <w:sz w:val="21"/>
                <w:szCs w:val="24"/>
                <w:highlight w:val="none"/>
                <w:lang w:val="en-US" w:eastAsia="zh-CN" w:bidi="ar-SA"/>
              </w:rPr>
            </w:pPr>
            <w:r>
              <w:rPr>
                <w:rFonts w:hint="eastAsia" w:ascii="宋体" w:hAnsi="宋体" w:eastAsia="宋体" w:cs="Times New Roman"/>
                <w:color w:val="auto"/>
                <w:kern w:val="0"/>
                <w:sz w:val="21"/>
                <w:szCs w:val="21"/>
                <w:highlight w:val="none"/>
                <w:u w:val="none"/>
                <w:lang w:val="en-US" w:eastAsia="zh-CN" w:bidi="ar-SA"/>
              </w:rPr>
              <w:t xml:space="preserve">   </w:t>
            </w:r>
          </w:p>
        </w:tc>
        <w:tc>
          <w:tcPr>
            <w:tcW w:w="945" w:type="dxa"/>
            <w:vAlign w:val="center"/>
          </w:tcPr>
          <w:p>
            <w:pPr>
              <w:adjustRightInd w:val="0"/>
              <w:snapToGrid w:val="0"/>
              <w:spacing w:before="156" w:beforeLines="50" w:line="360" w:lineRule="auto"/>
              <w:jc w:val="center"/>
              <w:rPr>
                <w:rFonts w:hint="default" w:eastAsia="宋体"/>
                <w:color w:val="auto"/>
                <w:sz w:val="21"/>
                <w:szCs w:val="21"/>
                <w:highlight w:val="none"/>
                <w:lang w:val="en-US" w:eastAsia="zh-CN"/>
              </w:rPr>
            </w:pPr>
            <w:r>
              <w:rPr>
                <w:rFonts w:hint="eastAsia" w:ascii="Times New Roman" w:eastAsia="宋体"/>
                <w:color w:val="auto"/>
                <w:sz w:val="21"/>
                <w:szCs w:val="21"/>
                <w:highlight w:val="none"/>
                <w:lang w:val="en-US" w:eastAsia="zh-CN"/>
              </w:rPr>
              <w:t>邵阳市经济开发区</w:t>
            </w:r>
          </w:p>
        </w:tc>
        <w:tc>
          <w:tcPr>
            <w:tcW w:w="765" w:type="dxa"/>
            <w:vAlign w:val="center"/>
          </w:tcPr>
          <w:p>
            <w:pPr>
              <w:adjustRightInd w:val="0"/>
              <w:snapToGrid w:val="0"/>
              <w:spacing w:before="156" w:beforeLines="50" w:line="360" w:lineRule="auto"/>
              <w:jc w:val="center"/>
              <w:rPr>
                <w:rFonts w:hint="eastAsia" w:eastAsia="宋体"/>
                <w:color w:val="auto"/>
                <w:sz w:val="21"/>
                <w:szCs w:val="21"/>
                <w:highlight w:val="none"/>
                <w:lang w:eastAsia="zh-CN"/>
              </w:rPr>
            </w:pPr>
          </w:p>
        </w:tc>
      </w:tr>
    </w:tbl>
    <w:p>
      <w:pPr>
        <w:jc w:val="center"/>
        <w:outlineLvl w:val="1"/>
        <w:rPr>
          <w:rFonts w:hint="eastAsia" w:ascii="黑体" w:hAnsi="黑体" w:eastAsia="黑体"/>
          <w:color w:val="auto"/>
          <w:sz w:val="28"/>
          <w:szCs w:val="28"/>
          <w:highlight w:val="none"/>
          <w:lang w:val="en-US" w:eastAsia="zh-CN"/>
        </w:rPr>
      </w:pPr>
      <w:r>
        <w:rPr>
          <w:rFonts w:hint="eastAsia" w:ascii="黑体" w:hAnsi="黑体" w:eastAsia="黑体"/>
          <w:color w:val="auto"/>
          <w:sz w:val="28"/>
          <w:szCs w:val="28"/>
          <w:highlight w:val="none"/>
          <w:lang w:val="en-US" w:eastAsia="zh-CN"/>
        </w:rPr>
        <w:t xml:space="preserve"> </w:t>
      </w:r>
      <w:bookmarkStart w:id="3" w:name="_Toc20920"/>
      <w:bookmarkStart w:id="4" w:name="_Toc27014"/>
    </w:p>
    <w:p>
      <w:pPr>
        <w:jc w:val="center"/>
        <w:outlineLvl w:val="1"/>
        <w:rPr>
          <w:rFonts w:hint="eastAsia" w:ascii="黑体" w:hAnsi="黑体" w:eastAsia="黑体"/>
          <w:color w:val="auto"/>
          <w:sz w:val="28"/>
          <w:szCs w:val="28"/>
          <w:highlight w:val="none"/>
          <w:lang w:val="en-US" w:eastAsia="zh-CN"/>
        </w:rPr>
      </w:pPr>
      <w:r>
        <w:rPr>
          <w:rFonts w:hint="eastAsia" w:ascii="黑体" w:hAnsi="黑体" w:eastAsia="黑体"/>
          <w:color w:val="auto"/>
          <w:sz w:val="28"/>
          <w:szCs w:val="28"/>
          <w:highlight w:val="none"/>
          <w:lang w:val="en-US" w:eastAsia="zh-CN"/>
        </w:rPr>
        <w:t>第二节 技术要求</w:t>
      </w:r>
      <w:bookmarkEnd w:id="3"/>
      <w:bookmarkEnd w:id="4"/>
      <w:bookmarkStart w:id="6" w:name="_GoBack"/>
      <w:bookmarkEnd w:id="6"/>
    </w:p>
    <w:bookmarkEnd w:id="2"/>
    <w:p>
      <w:pPr>
        <w:widowControl w:val="0"/>
        <w:adjustRightInd w:val="0"/>
        <w:snapToGrid w:val="0"/>
        <w:spacing w:before="156" w:beforeLines="50" w:after="0" w:line="288" w:lineRule="auto"/>
        <w:ind w:left="420" w:leftChars="200"/>
        <w:jc w:val="both"/>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一、项目名称</w:t>
      </w:r>
    </w:p>
    <w:p>
      <w:pPr>
        <w:widowControl w:val="0"/>
        <w:adjustRightInd w:val="0"/>
        <w:snapToGrid w:val="0"/>
        <w:spacing w:before="156" w:beforeLines="50" w:after="0" w:line="288" w:lineRule="auto"/>
        <w:ind w:left="420" w:leftChars="200"/>
        <w:jc w:val="both"/>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邵阳经开区白蚁综合防治项目</w:t>
      </w:r>
    </w:p>
    <w:p>
      <w:pPr>
        <w:widowControl w:val="0"/>
        <w:adjustRightInd w:val="0"/>
        <w:snapToGrid w:val="0"/>
        <w:spacing w:before="156" w:beforeLines="50" w:after="0" w:line="288" w:lineRule="auto"/>
        <w:ind w:left="420" w:leftChars="200"/>
        <w:jc w:val="both"/>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二、项目说明</w:t>
      </w:r>
    </w:p>
    <w:p>
      <w:pPr>
        <w:widowControl w:val="0"/>
        <w:adjustRightInd w:val="0"/>
        <w:snapToGrid w:val="0"/>
        <w:spacing w:before="156" w:beforeLines="50" w:after="0" w:line="288" w:lineRule="auto"/>
        <w:ind w:left="420" w:leftChars="200"/>
        <w:jc w:val="both"/>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项目预算：35万元</w:t>
      </w:r>
    </w:p>
    <w:p>
      <w:pPr>
        <w:widowControl w:val="0"/>
        <w:adjustRightInd w:val="0"/>
        <w:snapToGrid w:val="0"/>
        <w:spacing w:before="156" w:beforeLines="50" w:after="0" w:line="288" w:lineRule="auto"/>
        <w:ind w:left="420" w:leftChars="200"/>
        <w:jc w:val="both"/>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服务周期及要求：叁年</w:t>
      </w:r>
    </w:p>
    <w:p>
      <w:pPr>
        <w:widowControl w:val="0"/>
        <w:adjustRightInd w:val="0"/>
        <w:snapToGrid w:val="0"/>
        <w:spacing w:before="156" w:beforeLines="50" w:after="0" w:line="288" w:lineRule="auto"/>
        <w:ind w:left="420" w:leftChars="200"/>
        <w:jc w:val="both"/>
        <w:rPr>
          <w:rFonts w:hint="eastAsia" w:ascii="宋体" w:hAnsi="宋体" w:eastAsia="宋体" w:cs="宋体"/>
          <w:b/>
          <w:bCs/>
          <w:color w:val="auto"/>
          <w:kern w:val="2"/>
          <w:sz w:val="21"/>
          <w:szCs w:val="21"/>
          <w:highlight w:val="none"/>
          <w:lang w:val="en-US" w:eastAsia="zh-CN" w:bidi="ar-SA"/>
        </w:rPr>
      </w:pPr>
      <w:bookmarkStart w:id="5" w:name="OLE_LINK2"/>
      <w:r>
        <w:rPr>
          <w:rFonts w:hint="eastAsia" w:ascii="宋体" w:hAnsi="宋体" w:eastAsia="宋体" w:cs="宋体"/>
          <w:b/>
          <w:bCs/>
          <w:color w:val="auto"/>
          <w:kern w:val="2"/>
          <w:sz w:val="21"/>
          <w:szCs w:val="21"/>
          <w:highlight w:val="none"/>
          <w:lang w:val="en-US" w:eastAsia="zh-CN" w:bidi="ar-SA"/>
        </w:rPr>
        <w:t>三、项目基本情况</w:t>
      </w:r>
    </w:p>
    <w:bookmarkEnd w:id="5"/>
    <w:p>
      <w:pPr>
        <w:widowControl w:val="0"/>
        <w:adjustRightInd w:val="0"/>
        <w:snapToGrid w:val="0"/>
        <w:spacing w:before="156" w:beforeLines="50" w:after="0" w:line="360" w:lineRule="auto"/>
        <w:ind w:left="420" w:leftChars="200" w:firstLine="420" w:firstLineChars="200"/>
        <w:jc w:val="both"/>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邵阳市位于湘中偏西南，资江上游，属典型中亚热带湿润季风气候，四季分明，光热充足，雨水充沛，雨热同季。这些条件都非常适合白蚁生存，高崇山社区地处邵阳经济技术开发区边缘，属城乡结合部，本次白蚁危害涉及辖区内5个生产队，400余户，共计2000多人，房屋建筑面积加农林耕地面积合计约3000余亩。村民的房屋门窗、衣柜及其他木制家具都被白蚁危害；耕地里种不出地瓜、花生、凉薯等块茎类农作物；林地里大部分树木都遭白蚁危害严重，损失惨重，百姓苦不堪言。白蚁危害不仅使百姓经济蒙受损失，还存在树木倒伏、房屋倒塌、河（库）溃坝等安全隐患，经开区领导非常重视，为保障百姓生命财产安全，及时止损，避免更大的经济损失，决定在白蚁严重的高崇山社区范围内开展白蚁防治工作。</w:t>
      </w:r>
    </w:p>
    <w:p>
      <w:pPr>
        <w:widowControl w:val="0"/>
        <w:adjustRightInd w:val="0"/>
        <w:snapToGrid w:val="0"/>
        <w:spacing w:before="156" w:beforeLines="50" w:after="0" w:line="288" w:lineRule="auto"/>
        <w:ind w:left="0" w:leftChars="0" w:firstLine="422" w:firstLineChars="200"/>
        <w:jc w:val="both"/>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四、防治对象及范围</w:t>
      </w:r>
    </w:p>
    <w:p>
      <w:pPr>
        <w:widowControl w:val="0"/>
        <w:adjustRightInd w:val="0"/>
        <w:snapToGrid w:val="0"/>
        <w:spacing w:before="156" w:beforeLines="50" w:after="0" w:line="288" w:lineRule="auto"/>
        <w:ind w:left="420" w:leftChars="200"/>
        <w:jc w:val="both"/>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（一）防治对象：白蚁</w:t>
      </w:r>
    </w:p>
    <w:p>
      <w:pPr>
        <w:widowControl w:val="0"/>
        <w:adjustRightInd w:val="0"/>
        <w:snapToGrid w:val="0"/>
        <w:spacing w:before="156" w:beforeLines="50" w:after="0" w:line="288" w:lineRule="auto"/>
        <w:ind w:left="420" w:leftChars="200"/>
        <w:jc w:val="both"/>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（二）防治范围：邵阳经济技术开发区高崇山社区</w:t>
      </w:r>
    </w:p>
    <w:p>
      <w:pPr>
        <w:widowControl w:val="0"/>
        <w:adjustRightInd w:val="0"/>
        <w:snapToGrid w:val="0"/>
        <w:spacing w:before="156" w:beforeLines="50" w:after="0" w:line="288" w:lineRule="auto"/>
        <w:ind w:left="420" w:leftChars="200"/>
        <w:jc w:val="both"/>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五、防治目标</w:t>
      </w:r>
    </w:p>
    <w:p>
      <w:pPr>
        <w:widowControl w:val="0"/>
        <w:adjustRightInd w:val="0"/>
        <w:snapToGrid w:val="0"/>
        <w:spacing w:before="156" w:beforeLines="50" w:after="0" w:line="360" w:lineRule="auto"/>
        <w:ind w:left="420" w:leftChars="200"/>
        <w:jc w:val="both"/>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通过循环的检查、灭治和维护有效控制防治域内的白蚁的种群密度，使防治范围内白蚁防治杀灭率达85%以上。</w:t>
      </w:r>
    </w:p>
    <w:p>
      <w:pPr>
        <w:widowControl w:val="0"/>
        <w:adjustRightInd w:val="0"/>
        <w:snapToGrid w:val="0"/>
        <w:spacing w:before="156" w:beforeLines="50" w:after="0" w:line="288" w:lineRule="auto"/>
        <w:ind w:left="420" w:leftChars="200"/>
        <w:jc w:val="both"/>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六、防治原则</w:t>
      </w:r>
    </w:p>
    <w:p>
      <w:pPr>
        <w:widowControl w:val="0"/>
        <w:adjustRightInd w:val="0"/>
        <w:snapToGrid w:val="0"/>
        <w:spacing w:before="156" w:beforeLines="50" w:after="0" w:line="360" w:lineRule="auto"/>
        <w:ind w:left="420" w:leftChars="200"/>
        <w:jc w:val="both"/>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（一）总体原则：白蚁防治遵循“发预防为主，防治结合”的总体原则。对已经受白蚁侵害的与区域先进行灭治，对还未遭受白蚁危害的区域进行保护性预防，控制白蚁种群密度达到不足危害的水平。</w:t>
      </w:r>
    </w:p>
    <w:p>
      <w:pPr>
        <w:widowControl w:val="0"/>
        <w:adjustRightInd w:val="0"/>
        <w:snapToGrid w:val="0"/>
        <w:spacing w:before="156" w:beforeLines="50" w:after="0" w:line="360" w:lineRule="auto"/>
        <w:ind w:left="420" w:leftChars="200"/>
        <w:jc w:val="both"/>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二）安全环保：必须使用符合国家环保要求的药物，且（农药登记证、生产许可证、企业标准）三证齐全，严禁使用被国际国内禁止使用的持久性有机污染的药物，也不能使用对人体神经系统有影响、禁止或限制使用的有毒化学品，以确保环境安全。</w:t>
      </w:r>
    </w:p>
    <w:p>
      <w:pPr>
        <w:widowControl w:val="0"/>
        <w:adjustRightInd w:val="0"/>
        <w:snapToGrid w:val="0"/>
        <w:spacing w:before="156" w:beforeLines="50" w:after="0" w:line="288" w:lineRule="auto"/>
        <w:ind w:left="420" w:leftChars="200"/>
        <w:jc w:val="both"/>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七、白蚁综合防治方案</w:t>
      </w:r>
    </w:p>
    <w:p>
      <w:pPr>
        <w:widowControl w:val="0"/>
        <w:adjustRightInd w:val="0"/>
        <w:snapToGrid w:val="0"/>
        <w:spacing w:before="156" w:beforeLines="50" w:after="0" w:line="360" w:lineRule="auto"/>
        <w:ind w:left="420" w:leftChars="200"/>
        <w:jc w:val="both"/>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一）喷粉灭治：采用0.5%的氟虫腈粉剂通过电动喷粉枪对现有被白蚁入侵的建筑物、树木的蚁道或外露的泥线对活体白蚁进行喷粉施药，粉剂通过喷射压力在蚁道内传播，让更多的白蚁沾染药粉，通过白蚁携带回巢，因白蚁个体之间有相互舔舐、清洁的习性，同时还有啃食同伴尸体、喂哺蚁王蚁后、和兵蚁的习性，从而达到整巢灭治的效果。</w:t>
      </w:r>
    </w:p>
    <w:p>
      <w:pPr>
        <w:widowControl w:val="0"/>
        <w:adjustRightInd w:val="0"/>
        <w:snapToGrid w:val="0"/>
        <w:spacing w:before="156" w:beforeLines="50" w:after="0" w:line="360" w:lineRule="auto"/>
        <w:ind w:left="420" w:leftChars="200"/>
        <w:jc w:val="both"/>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 xml:space="preserve">（二）诱杀法：是利用白蚁对食物趋性的特点在白蚁活动行道树下直接埋设含有药物的毒饵诱杀包，当蚁群取食毒饵后使药物在群内传播，从而达到杀灭整巢白蚁的灭治方法。        </w:t>
      </w:r>
    </w:p>
    <w:p>
      <w:pPr>
        <w:widowControl w:val="0"/>
        <w:adjustRightInd w:val="0"/>
        <w:snapToGrid w:val="0"/>
        <w:spacing w:before="156" w:beforeLines="50" w:after="0" w:line="360" w:lineRule="auto"/>
        <w:ind w:left="420" w:leftChars="200"/>
        <w:jc w:val="both"/>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三）药液喷洒：在防治区域内，对所有建筑物地基、空留的泥土地面、树木树干1米以下及根部周边进行白蚁药液喷洒，通过白蚁药水的渗透，既可以杀死白蚁也可以在建筑物周边及泥土地表形成毒土保护带，防止外围白蚁入侵。</w:t>
      </w:r>
    </w:p>
    <w:p>
      <w:pPr>
        <w:widowControl w:val="0"/>
        <w:adjustRightInd w:val="0"/>
        <w:snapToGrid w:val="0"/>
        <w:spacing w:before="156" w:beforeLines="50" w:after="0" w:line="360" w:lineRule="auto"/>
        <w:ind w:left="420" w:leftChars="200"/>
        <w:jc w:val="both"/>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（四）挖巢法：白蚁是一种社会性昆虫，大部分白蚁都有营巢生存的习性，尤其是土白蚁和乳白蚁，蚁巢固定且种群内仅蚁王蚁后负责繁殖，取巢活捉蚁王蚁后即可消除整巢白蚁。</w:t>
      </w:r>
    </w:p>
    <w:p>
      <w:pPr>
        <w:widowControl w:val="0"/>
        <w:adjustRightInd w:val="0"/>
        <w:snapToGrid w:val="0"/>
        <w:spacing w:before="156" w:beforeLines="50" w:after="0" w:line="288" w:lineRule="auto"/>
        <w:ind w:left="420" w:leftChars="200"/>
        <w:jc w:val="both"/>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八、验收标准</w:t>
      </w:r>
    </w:p>
    <w:p>
      <w:pPr>
        <w:widowControl w:val="0"/>
        <w:adjustRightInd w:val="0"/>
        <w:snapToGrid w:val="0"/>
        <w:spacing w:before="156" w:beforeLines="50" w:after="0" w:line="360" w:lineRule="auto"/>
        <w:ind w:left="420" w:leftChars="200"/>
        <w:jc w:val="both"/>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参考《城市房屋白蚁防治管理规定》文件相关要求对白蚁防治效果进行项目验收。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iOTA1NzY0MmNlODIzOWI1YmYyZjk2MDY5ZWYwMjUifQ=="/>
  </w:docVars>
  <w:rsids>
    <w:rsidRoot w:val="2D1C59A0"/>
    <w:rsid w:val="2D1C59A0"/>
    <w:rsid w:val="699360C7"/>
    <w:rsid w:val="7BFF7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jc w:val="center"/>
      <w:outlineLvl w:val="0"/>
    </w:pPr>
    <w:rPr>
      <w:b/>
      <w:bCs/>
      <w:sz w:val="24"/>
      <w:szCs w:val="20"/>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lang w:val="zh-CN"/>
    </w:rPr>
  </w:style>
  <w:style w:type="paragraph" w:styleId="4">
    <w:name w:val="Body Text Indent"/>
    <w:basedOn w:val="1"/>
    <w:next w:val="5"/>
    <w:qFormat/>
    <w:uiPriority w:val="0"/>
    <w:pPr>
      <w:spacing w:after="120"/>
      <w:ind w:left="420" w:leftChars="200"/>
    </w:pPr>
  </w:style>
  <w:style w:type="paragraph" w:styleId="5">
    <w:name w:val="Body Text Indent 2"/>
    <w:basedOn w:val="1"/>
    <w:qFormat/>
    <w:uiPriority w:val="0"/>
    <w:pPr>
      <w:spacing w:after="120" w:line="480" w:lineRule="auto"/>
      <w:ind w:left="420" w:leftChars="200"/>
    </w:pPr>
    <w:rPr>
      <w:lang w:val="zh-CN"/>
    </w:rPr>
  </w:style>
  <w:style w:type="paragraph" w:styleId="6">
    <w:name w:val="Body Text First Indent 2"/>
    <w:basedOn w:val="4"/>
    <w:next w:val="1"/>
    <w:qFormat/>
    <w:uiPriority w:val="0"/>
    <w:pPr>
      <w:tabs>
        <w:tab w:val="left" w:pos="2340"/>
      </w:tabs>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2022-05-19T08:47:00Z</dcterms:created>
  <dc:creator>Administrator</dc:creator>
  <cp:lastModifiedBy>Administrator</cp:lastModifiedBy>
  <dcterms:modified xsi:type="dcterms:W3CDTF">2022-05-19T08:52:01Z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D7D5639065C845E8AA0329C533C893E1</vt:lpwstr>
  </property>
</Properties>
</file>