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ind w:left="0" w:leftChars="0" w:firstLine="0" w:firstLineChars="0"/>
        <w:jc w:val="center"/>
        <w:rPr>
          <w:rStyle w:val="9"/>
          <w:rFonts w:hint="eastAsia"/>
        </w:rPr>
      </w:pPr>
      <w:bookmarkStart w:id="0" w:name="_Toc572"/>
      <w:bookmarkStart w:id="1" w:name="_Toc25097"/>
      <w:r>
        <w:rPr>
          <w:rStyle w:val="8"/>
          <w:rFonts w:hint="eastAsia" w:ascii="方正公文小标宋" w:hAnsi="方正公文小标宋" w:eastAsia="方正公文小标宋" w:cs="方正公文小标宋"/>
          <w:b/>
          <w:bCs w:val="0"/>
          <w:lang w:val="en-US" w:eastAsia="zh-CN"/>
        </w:rPr>
        <w:t>一  项目建设内容</w:t>
      </w:r>
      <w:bookmarkEnd w:id="0"/>
      <w:bookmarkEnd w:id="1"/>
    </w:p>
    <w:p>
      <w:pPr>
        <w:pStyle w:val="4"/>
        <w:framePr w:wrap="auto" w:vAnchor="margin" w:hAnchor="text" w:yAlign="inline"/>
        <w:spacing w:line="560" w:lineRule="exact"/>
        <w:ind w:firstLine="643"/>
      </w:pPr>
      <w:bookmarkStart w:id="2" w:name="_Toc29230"/>
      <w:bookmarkStart w:id="3" w:name="_Toc25504"/>
      <w:r>
        <w:rPr>
          <w:rFonts w:hint="eastAsia"/>
          <w:lang w:val="en-US" w:eastAsia="zh-CN"/>
        </w:rPr>
        <w:t>1</w:t>
      </w:r>
      <w:r>
        <w:rPr>
          <w:rFonts w:hint="eastAsia"/>
        </w:rPr>
        <w:t>.1项目主要建设内容</w:t>
      </w:r>
      <w:bookmarkEnd w:id="2"/>
      <w:bookmarkEnd w:id="3"/>
    </w:p>
    <w:p>
      <w:pPr>
        <w:pStyle w:val="2"/>
        <w:framePr w:wrap="auto" w:vAnchor="margin" w:hAnchor="text" w:yAlign="inline"/>
        <w:ind w:firstLine="643"/>
      </w:pPr>
      <w:r>
        <w:rPr>
          <w:rFonts w:hint="eastAsia"/>
          <w:lang w:val="en-US" w:eastAsia="zh-CN"/>
        </w:rPr>
        <w:t>1</w:t>
      </w:r>
      <w:r>
        <w:rPr>
          <w:rFonts w:hint="eastAsia"/>
        </w:rPr>
        <w:t>.1.1</w:t>
      </w:r>
      <w:r>
        <w:t>土壤处理</w:t>
      </w:r>
    </w:p>
    <w:p>
      <w:pPr>
        <w:framePr w:wrap="auto" w:vAnchor="margin" w:hAnchor="text" w:yAlign="inline"/>
        <w:ind w:firstLine="640"/>
        <w:rPr>
          <w:rFonts w:ascii="仿宋_GB2312" w:hAnsi="仿宋_GB2312" w:eastAsia="仿宋_GB2312" w:cs="仿宋_GB2312"/>
          <w:szCs w:val="22"/>
        </w:rPr>
      </w:pPr>
      <w:r>
        <w:rPr>
          <w:rFonts w:hint="eastAsia" w:ascii="Times New Roman" w:hAnsi="Times New Roman" w:eastAsia="方正仿宋_GB2312" w:cs="Times New Roman"/>
          <w:snapToGrid w:val="0"/>
          <w:kern w:val="2"/>
          <w:sz w:val="32"/>
          <w:lang w:val="zh-CN" w:eastAsia="zh-CN" w:bidi="ar-SA"/>
        </w:rPr>
        <w:t>4月-5月中旬和秋冬季，对发生“枣树一号病”的地块，进行土壤深翻，深翻深度在30cm以上。对有条件或5亩以上发生枣园，使用48%毒死蜱500倍液进行喷淋处理，药液至少渗透至5cm土壤以下。</w:t>
      </w:r>
      <w:r>
        <w:rPr>
          <w:rFonts w:hint="eastAsia" w:ascii="仿宋_GB2312" w:hAnsi="仿宋_GB2312" w:eastAsia="仿宋_GB2312" w:cs="仿宋_GB2312"/>
          <w:szCs w:val="22"/>
        </w:rPr>
        <w:t xml:space="preserve">        </w:t>
      </w:r>
      <w:r>
        <w:rPr>
          <w:rFonts w:ascii="仿宋_GB2312" w:hAnsi="仿宋_GB2312" w:eastAsia="仿宋_GB2312" w:cs="仿宋_GB2312"/>
          <w:szCs w:val="22"/>
        </w:rPr>
        <w:t xml:space="preserve">                   </w:t>
      </w:r>
    </w:p>
    <w:p>
      <w:pPr>
        <w:framePr w:wrap="auto" w:vAnchor="margin" w:hAnchor="text" w:yAlign="inline"/>
        <w:ind w:firstLine="643"/>
        <w:rPr>
          <w:rFonts w:eastAsia="楷体"/>
          <w:b/>
          <w:kern w:val="0"/>
        </w:rPr>
      </w:pPr>
      <w:r>
        <w:rPr>
          <w:rFonts w:hint="eastAsia" w:eastAsia="楷体"/>
          <w:b/>
          <w:kern w:val="0"/>
          <w:lang w:val="en-US" w:eastAsia="zh-CN"/>
        </w:rPr>
        <w:t>1</w:t>
      </w:r>
      <w:r>
        <w:rPr>
          <w:rFonts w:hint="eastAsia" w:eastAsia="楷体"/>
          <w:b/>
          <w:kern w:val="0"/>
        </w:rPr>
        <w:t>.1.</w:t>
      </w:r>
      <w:r>
        <w:rPr>
          <w:rFonts w:eastAsia="楷体"/>
          <w:b/>
          <w:kern w:val="0"/>
        </w:rPr>
        <w:t>2黄板诱杀</w:t>
      </w:r>
    </w:p>
    <w:p>
      <w:pPr>
        <w:framePr w:wrap="auto" w:vAnchor="margin" w:hAnchor="text" w:yAlign="inline"/>
        <w:ind w:firstLine="640"/>
        <w:rPr>
          <w:rFonts w:ascii="仿宋_GB2312" w:hAnsi="仿宋_GB2312" w:eastAsia="仿宋_GB2312" w:cs="仿宋_GB2312"/>
          <w:szCs w:val="22"/>
        </w:rPr>
      </w:pPr>
      <w:r>
        <w:rPr>
          <w:rFonts w:hint="eastAsia" w:ascii="Times New Roman" w:hAnsi="Times New Roman" w:eastAsia="方正仿宋_GB2312" w:cs="Times New Roman"/>
          <w:snapToGrid w:val="0"/>
          <w:kern w:val="2"/>
          <w:sz w:val="32"/>
          <w:lang w:val="zh-CN" w:eastAsia="zh-CN" w:bidi="ar-SA"/>
        </w:rPr>
        <w:t>5月中下旬“枣树一号病”越冬代成虫开始羽化，是开展防治的关键时期。5月15日</w:t>
      </w:r>
      <w:r>
        <w:rPr>
          <w:rFonts w:hint="eastAsia" w:cs="Times New Roman"/>
          <w:snapToGrid w:val="0"/>
          <w:kern w:val="2"/>
          <w:sz w:val="32"/>
          <w:lang w:val="en-US" w:eastAsia="zh-CN" w:bidi="ar-SA"/>
        </w:rPr>
        <w:t>到9月15日</w:t>
      </w:r>
      <w:r>
        <w:rPr>
          <w:rFonts w:hint="eastAsia" w:ascii="Times New Roman" w:hAnsi="Times New Roman" w:eastAsia="方正仿宋_GB2312" w:cs="Times New Roman"/>
          <w:snapToGrid w:val="0"/>
          <w:kern w:val="2"/>
          <w:sz w:val="32"/>
          <w:lang w:val="zh-CN" w:eastAsia="zh-CN" w:bidi="ar-SA"/>
        </w:rPr>
        <w:t>，在发生枣树一号病枣园悬挂专用黄板进行诱杀，悬挂密度为5-10张/亩，悬挂部位在枣树树冠中下部位置，15天更换1次（沙尘天气视黄板粘性提前更换）。</w:t>
      </w:r>
    </w:p>
    <w:p>
      <w:pPr>
        <w:framePr w:wrap="auto" w:vAnchor="margin" w:hAnchor="text" w:yAlign="inline"/>
        <w:ind w:firstLine="643"/>
        <w:rPr>
          <w:rFonts w:eastAsia="楷体"/>
          <w:b/>
          <w:kern w:val="0"/>
        </w:rPr>
      </w:pPr>
      <w:r>
        <w:rPr>
          <w:rFonts w:hint="eastAsia" w:eastAsia="楷体"/>
          <w:b/>
          <w:kern w:val="0"/>
          <w:lang w:val="en-US" w:eastAsia="zh-CN"/>
        </w:rPr>
        <w:t>1</w:t>
      </w:r>
      <w:r>
        <w:rPr>
          <w:rFonts w:hint="eastAsia" w:eastAsia="楷体"/>
          <w:b/>
          <w:kern w:val="0"/>
        </w:rPr>
        <w:t>.1.</w:t>
      </w:r>
      <w:r>
        <w:rPr>
          <w:rFonts w:eastAsia="楷体"/>
          <w:b/>
          <w:kern w:val="0"/>
        </w:rPr>
        <w:t>3落花</w:t>
      </w:r>
      <w:r>
        <w:rPr>
          <w:rFonts w:hint="eastAsia" w:eastAsia="楷体"/>
          <w:b/>
          <w:kern w:val="0"/>
        </w:rPr>
        <w:t>处理</w:t>
      </w:r>
    </w:p>
    <w:p>
      <w:pPr>
        <w:pStyle w:val="2"/>
        <w:framePr w:wrap="auto" w:vAnchor="margin" w:hAnchor="text" w:yAlign="inline"/>
        <w:ind w:firstLine="640"/>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根据2021年“枣树一号病”危害程度，对危害严重的枣园采取落花断果措施。在枣树盛花期喷洒乙烯利（实生园枣树的使用浓度为3.5克／升，嫁接枣园使用浓度为2.6克／升），禁止枣树结果，落花措施实施至7月底。</w:t>
      </w:r>
    </w:p>
    <w:p>
      <w:pPr>
        <w:framePr w:wrap="auto" w:vAnchor="margin" w:hAnchor="text" w:yAlign="inline"/>
        <w:ind w:firstLine="643"/>
        <w:rPr>
          <w:rFonts w:eastAsia="楷体"/>
          <w:b/>
          <w:kern w:val="0"/>
        </w:rPr>
      </w:pPr>
      <w:r>
        <w:rPr>
          <w:rFonts w:hint="eastAsia" w:eastAsia="楷体"/>
          <w:b/>
          <w:kern w:val="0"/>
          <w:lang w:val="en-US" w:eastAsia="zh-CN"/>
        </w:rPr>
        <w:t>1</w:t>
      </w:r>
      <w:r>
        <w:rPr>
          <w:rFonts w:hint="eastAsia" w:eastAsia="楷体"/>
          <w:b/>
          <w:kern w:val="0"/>
        </w:rPr>
        <w:t>.1.</w:t>
      </w:r>
      <w:r>
        <w:rPr>
          <w:rFonts w:eastAsia="楷体"/>
          <w:b/>
          <w:kern w:val="0"/>
        </w:rPr>
        <w:t>4药剂防治</w:t>
      </w:r>
    </w:p>
    <w:p>
      <w:pPr>
        <w:framePr w:wrap="auto" w:vAnchor="margin" w:hAnchor="text" w:yAlign="inline"/>
        <w:ind w:firstLine="643"/>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根据监测情况，在成虫羽化高峰期（监测到第一头成虫后10-15天左右）进行树冠喷药防治，使用10%吡丙醚·吡虫啉悬浮剂、18%阿维·吡蚜酮悬浮剂、9%吡丙醚·噻虫嗪可溶液剂和5% 阿维菌素交替喷洒树冠，进行三次化学防治。</w:t>
      </w:r>
    </w:p>
    <w:p>
      <w:pPr>
        <w:pStyle w:val="2"/>
        <w:framePr w:wrap="auto" w:vAnchor="margin" w:hAnchor="text" w:yAlign="inline"/>
        <w:ind w:firstLine="640"/>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第一轮防治时间为6月上旬，防治药剂为：10%吡丙醚·吡虫啉悬浮剂、对</w:t>
      </w:r>
      <w:r>
        <w:rPr>
          <w:rFonts w:hint="eastAsia" w:ascii="Times New Roman" w:hAnsi="Times New Roman" w:eastAsia="方正仿宋_GB2312" w:cs="Times New Roman"/>
          <w:b w:val="0"/>
          <w:snapToGrid w:val="0"/>
          <w:kern w:val="2"/>
          <w:sz w:val="32"/>
          <w:rtl/>
          <w:lang w:val="zh-CN" w:eastAsia="zh-CN" w:bidi="ar-SA"/>
        </w:rPr>
        <w:t>“</w:t>
      </w:r>
      <w:r>
        <w:rPr>
          <w:rFonts w:hint="eastAsia" w:ascii="Times New Roman" w:hAnsi="Times New Roman" w:eastAsia="方正仿宋_GB2312" w:cs="Times New Roman"/>
          <w:b w:val="0"/>
          <w:snapToGrid w:val="0"/>
          <w:kern w:val="2"/>
          <w:sz w:val="32"/>
          <w:lang w:val="zh-CN" w:eastAsia="zh-CN" w:bidi="ar-SA"/>
        </w:rPr>
        <w:t>枣树一号病”进行第一次防治，每亩用药量为15克，用药量150公斤，备用药剂按10%准备15公斤，共计165公斤。</w:t>
      </w:r>
    </w:p>
    <w:p>
      <w:pPr>
        <w:pStyle w:val="2"/>
        <w:framePr w:wrap="auto" w:vAnchor="margin" w:hAnchor="text" w:yAlign="inline"/>
        <w:ind w:firstLine="640"/>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第二轮防治时间为7月下旬，防治药剂为：18%阿维·吡蚜酮悬浮剂，对</w:t>
      </w:r>
      <w:r>
        <w:rPr>
          <w:rFonts w:hint="eastAsia" w:ascii="Times New Roman" w:hAnsi="Times New Roman" w:eastAsia="方正仿宋_GB2312" w:cs="Times New Roman"/>
          <w:b w:val="0"/>
          <w:snapToGrid w:val="0"/>
          <w:kern w:val="2"/>
          <w:sz w:val="32"/>
          <w:rtl/>
          <w:lang w:val="zh-CN" w:eastAsia="zh-CN" w:bidi="ar-SA"/>
        </w:rPr>
        <w:t>“</w:t>
      </w:r>
      <w:r>
        <w:rPr>
          <w:rFonts w:hint="eastAsia" w:ascii="Times New Roman" w:hAnsi="Times New Roman" w:eastAsia="方正仿宋_GB2312" w:cs="Times New Roman"/>
          <w:b w:val="0"/>
          <w:snapToGrid w:val="0"/>
          <w:kern w:val="2"/>
          <w:sz w:val="32"/>
          <w:lang w:val="zh-CN" w:eastAsia="zh-CN" w:bidi="ar-SA"/>
        </w:rPr>
        <w:t>枣树一号病”进行第二次防治，每亩用药量为15克，用药量150公斤，备用药剂按10%准备15公斤，合计165公斤。</w:t>
      </w:r>
    </w:p>
    <w:p>
      <w:pPr>
        <w:pStyle w:val="2"/>
        <w:framePr w:wrap="auto" w:vAnchor="margin" w:hAnchor="text" w:yAlign="inline"/>
        <w:ind w:firstLine="640"/>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第三轮防治时间为8月下旬，防治药剂为：9%吡丙醚·噻虫嗪可溶液剂和5% 阿维菌素，9%吡丙醚·噻虫嗪可溶液剂每亩用药量20克，总用药量200公斤，备用药剂按10%准备20公斤，合计220公斤，5% 阿维菌素每亩用药量10克，总用药量100公斤，备用药剂按10%准备10公斤，合计110公斤，共计330公斤。</w:t>
      </w:r>
    </w:p>
    <w:p>
      <w:pPr>
        <w:pStyle w:val="2"/>
        <w:framePr w:wrap="auto" w:vAnchor="margin" w:hAnchor="text" w:yAlign="inline"/>
        <w:ind w:firstLine="640"/>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沉降剂：选用尿素，每亩用量10克，3万亩次所需尿素300公斤。备用沉降剂按10%准备，备用量30公斤，合计330公斤。稀释剂：稀释剂为水，水的来源采用水车拉水。</w:t>
      </w:r>
    </w:p>
    <w:p>
      <w:pPr>
        <w:pStyle w:val="2"/>
        <w:framePr w:wrap="auto" w:vAnchor="margin" w:hAnchor="text" w:yAlign="inline"/>
        <w:ind w:firstLine="643"/>
      </w:pPr>
      <w:r>
        <w:rPr>
          <w:rFonts w:hint="eastAsia"/>
          <w:lang w:val="en-US" w:eastAsia="zh-CN"/>
        </w:rPr>
        <w:t>1</w:t>
      </w:r>
      <w:r>
        <w:rPr>
          <w:rFonts w:hint="eastAsia"/>
        </w:rPr>
        <w:t>.1.</w:t>
      </w:r>
      <w:r>
        <w:t>5断果</w:t>
      </w:r>
      <w:r>
        <w:rPr>
          <w:rFonts w:hint="eastAsia"/>
        </w:rPr>
        <w:t>处理</w:t>
      </w:r>
    </w:p>
    <w:p>
      <w:pPr>
        <w:framePr w:wrap="auto" w:vAnchor="margin" w:hAnchor="text" w:yAlign="inline"/>
        <w:ind w:firstLine="640"/>
        <w:rPr>
          <w:rFonts w:ascii="仿宋_GB2312" w:hAnsi="仿宋_GB2312" w:eastAsia="仿宋_GB2312" w:cs="仿宋_GB2312"/>
          <w:szCs w:val="22"/>
        </w:rPr>
      </w:pPr>
      <w:r>
        <w:rPr>
          <w:rFonts w:hint="eastAsia" w:ascii="Times New Roman" w:hAnsi="Times New Roman" w:eastAsia="方正仿宋_GB2312" w:cs="Times New Roman"/>
          <w:b w:val="0"/>
          <w:snapToGrid w:val="0"/>
          <w:kern w:val="2"/>
          <w:sz w:val="32"/>
          <w:lang w:val="zh-CN" w:eastAsia="zh-CN" w:bidi="ar-SA"/>
        </w:rPr>
        <w:t>对“枣树一号病”蛀果率25%以上果园进行枣园进行断果处理，摘除全部树上枣果，清理所有地上落果，集中进行烧毁深埋。彻底清理地上落果，集中烧毁或深埋，深埋深度不低于50cm。</w:t>
      </w:r>
    </w:p>
    <w:p>
      <w:pPr>
        <w:pStyle w:val="2"/>
        <w:framePr w:wrap="auto" w:vAnchor="margin" w:hAnchor="text" w:yAlign="inline"/>
        <w:ind w:firstLine="643"/>
      </w:pPr>
      <w:r>
        <w:rPr>
          <w:rFonts w:hint="eastAsia"/>
          <w:lang w:val="en-US" w:eastAsia="zh-CN"/>
        </w:rPr>
        <w:t>1</w:t>
      </w:r>
      <w:r>
        <w:rPr>
          <w:rFonts w:hint="eastAsia"/>
        </w:rPr>
        <w:t>.1.</w:t>
      </w:r>
      <w:r>
        <w:t>6</w:t>
      </w:r>
      <w:r>
        <w:rPr>
          <w:rFonts w:hint="eastAsia"/>
        </w:rPr>
        <w:t>防效调查</w:t>
      </w:r>
      <w:bookmarkStart w:id="4" w:name="_Toc467258885"/>
    </w:p>
    <w:bookmarkEnd w:id="4"/>
    <w:p>
      <w:pPr>
        <w:framePr w:wrap="auto" w:vAnchor="margin" w:hAnchor="text" w:yAlign="inline"/>
        <w:ind w:firstLine="640"/>
      </w:pPr>
      <w:bookmarkStart w:id="5" w:name="_Toc467258886"/>
      <w:r>
        <w:rPr>
          <w:rFonts w:hint="eastAsia" w:ascii="Times New Roman" w:hAnsi="Times New Roman" w:eastAsia="方正仿宋_GB2312" w:cs="Times New Roman"/>
          <w:b w:val="0"/>
          <w:snapToGrid w:val="0"/>
          <w:kern w:val="2"/>
          <w:sz w:val="32"/>
          <w:lang w:val="zh-CN" w:eastAsia="zh-CN" w:bidi="ar-SA"/>
        </w:rPr>
        <w:t>由伊州区林检局、各乡镇专职测报员按照“枣树一号病”调查方法开展监测调查工作，每个固定标准地及对照标准地按照防前、防后1、3、5、7天调查统计专用诱板诱集情况，分别计算每个作业区的整体虫口减退率及校正虫口减退率开展防效评价。具体计算公式如下：</w:t>
      </w:r>
      <w:bookmarkEnd w:id="5"/>
    </w:p>
    <w:tbl>
      <w:tblPr>
        <w:tblStyle w:val="6"/>
        <w:tblW w:w="8984" w:type="dxa"/>
        <w:jc w:val="center"/>
        <w:tblLayout w:type="fixed"/>
        <w:tblCellMar>
          <w:top w:w="0" w:type="dxa"/>
          <w:left w:w="108" w:type="dxa"/>
          <w:bottom w:w="0" w:type="dxa"/>
          <w:right w:w="108" w:type="dxa"/>
        </w:tblCellMar>
      </w:tblPr>
      <w:tblGrid>
        <w:gridCol w:w="1607"/>
        <w:gridCol w:w="5868"/>
        <w:gridCol w:w="1509"/>
      </w:tblGrid>
      <w:tr>
        <w:tblPrEx>
          <w:tblCellMar>
            <w:top w:w="0" w:type="dxa"/>
            <w:left w:w="108" w:type="dxa"/>
            <w:bottom w:w="0" w:type="dxa"/>
            <w:right w:w="108" w:type="dxa"/>
          </w:tblCellMar>
        </w:tblPrEx>
        <w:trPr>
          <w:jc w:val="center"/>
        </w:trPr>
        <w:tc>
          <w:tcPr>
            <w:tcW w:w="1607" w:type="dxa"/>
            <w:vMerge w:val="restart"/>
            <w:noWrap w:val="0"/>
            <w:vAlign w:val="center"/>
          </w:tcPr>
          <w:p>
            <w:pPr>
              <w:pStyle w:val="10"/>
              <w:framePr w:wrap="auto" w:vAnchor="margin" w:hAnchor="text" w:yAlign="inline"/>
              <w:spacing w:before="156" w:after="156" w:line="400" w:lineRule="exact"/>
              <w:ind w:left="0" w:leftChars="0" w:firstLine="0" w:firstLineChars="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虫口减退率=</w:t>
            </w:r>
          </w:p>
        </w:tc>
        <w:tc>
          <w:tcPr>
            <w:tcW w:w="5868" w:type="dxa"/>
            <w:tcBorders>
              <w:bottom w:val="single" w:color="auto" w:sz="4" w:space="0"/>
            </w:tcBorders>
            <w:noWrap w:val="0"/>
            <w:vAlign w:val="center"/>
          </w:tcPr>
          <w:p>
            <w:pPr>
              <w:pStyle w:val="10"/>
              <w:framePr w:wrap="auto" w:vAnchor="margin" w:hAnchor="text" w:yAlign="inline"/>
              <w:spacing w:line="400" w:lineRule="exact"/>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防前的专用诱板平均诱集数－防后的专用诱板平均诱集数</w:t>
            </w:r>
          </w:p>
        </w:tc>
        <w:tc>
          <w:tcPr>
            <w:tcW w:w="1509" w:type="dxa"/>
            <w:vMerge w:val="restart"/>
            <w:noWrap w:val="0"/>
            <w:vAlign w:val="center"/>
          </w:tcPr>
          <w:p>
            <w:pPr>
              <w:pStyle w:val="10"/>
              <w:framePr w:wrap="auto" w:vAnchor="margin" w:hAnchor="text" w:yAlign="inline"/>
              <w:spacing w:line="400" w:lineRule="exact"/>
              <w:ind w:left="0" w:leftChars="0" w:firstLine="0" w:firstLineChars="0"/>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×100%</w:t>
            </w:r>
          </w:p>
        </w:tc>
      </w:tr>
      <w:tr>
        <w:tblPrEx>
          <w:tblCellMar>
            <w:top w:w="0" w:type="dxa"/>
            <w:left w:w="108" w:type="dxa"/>
            <w:bottom w:w="0" w:type="dxa"/>
            <w:right w:w="108" w:type="dxa"/>
          </w:tblCellMar>
        </w:tblPrEx>
        <w:trPr>
          <w:jc w:val="center"/>
        </w:trPr>
        <w:tc>
          <w:tcPr>
            <w:tcW w:w="1607" w:type="dxa"/>
            <w:vMerge w:val="continue"/>
            <w:noWrap w:val="0"/>
            <w:vAlign w:val="center"/>
          </w:tcPr>
          <w:p>
            <w:pPr>
              <w:pStyle w:val="10"/>
              <w:framePr w:wrap="auto" w:vAnchor="margin" w:hAnchor="text" w:yAlign="inline"/>
              <w:spacing w:line="400" w:lineRule="exact"/>
              <w:ind w:firstLine="480"/>
              <w:rPr>
                <w:rFonts w:hint="eastAsia" w:ascii="方正仿宋_GB2312" w:hAnsi="方正仿宋_GB2312" w:eastAsia="方正仿宋_GB2312" w:cs="方正仿宋_GB2312"/>
              </w:rPr>
            </w:pPr>
          </w:p>
        </w:tc>
        <w:tc>
          <w:tcPr>
            <w:tcW w:w="5868" w:type="dxa"/>
            <w:tcBorders>
              <w:top w:val="single" w:color="auto" w:sz="4" w:space="0"/>
            </w:tcBorders>
            <w:noWrap w:val="0"/>
            <w:vAlign w:val="center"/>
          </w:tcPr>
          <w:p>
            <w:pPr>
              <w:pStyle w:val="10"/>
              <w:framePr w:wrap="auto" w:vAnchor="margin" w:hAnchor="text" w:yAlign="inline"/>
              <w:spacing w:line="400" w:lineRule="exact"/>
              <w:ind w:firstLine="48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防前的专用诱板平均诱集数</w:t>
            </w:r>
          </w:p>
        </w:tc>
        <w:tc>
          <w:tcPr>
            <w:tcW w:w="1509" w:type="dxa"/>
            <w:vMerge w:val="continue"/>
            <w:noWrap w:val="0"/>
            <w:vAlign w:val="center"/>
          </w:tcPr>
          <w:p>
            <w:pPr>
              <w:pStyle w:val="10"/>
              <w:framePr w:wrap="auto" w:vAnchor="margin" w:hAnchor="text" w:yAlign="inline"/>
              <w:spacing w:line="400" w:lineRule="exact"/>
              <w:ind w:firstLine="480"/>
              <w:rPr>
                <w:rFonts w:hint="eastAsia" w:ascii="方正仿宋_GB2312" w:hAnsi="方正仿宋_GB2312" w:eastAsia="方正仿宋_GB2312" w:cs="方正仿宋_GB2312"/>
              </w:rPr>
            </w:pPr>
          </w:p>
        </w:tc>
      </w:tr>
    </w:tbl>
    <w:tbl>
      <w:tblPr>
        <w:tblStyle w:val="6"/>
        <w:tblpPr w:leftFromText="180" w:rightFromText="180" w:vertAnchor="text" w:horzAnchor="margin" w:tblpXSpec="center" w:tblpY="629"/>
        <w:tblW w:w="9180" w:type="dxa"/>
        <w:jc w:val="center"/>
        <w:tblLayout w:type="fixed"/>
        <w:tblCellMar>
          <w:top w:w="0" w:type="dxa"/>
          <w:left w:w="108" w:type="dxa"/>
          <w:bottom w:w="0" w:type="dxa"/>
          <w:right w:w="108" w:type="dxa"/>
        </w:tblCellMar>
      </w:tblPr>
      <w:tblGrid>
        <w:gridCol w:w="2088"/>
        <w:gridCol w:w="5472"/>
        <w:gridCol w:w="1620"/>
      </w:tblGrid>
      <w:tr>
        <w:tblPrEx>
          <w:tblCellMar>
            <w:top w:w="0" w:type="dxa"/>
            <w:left w:w="108" w:type="dxa"/>
            <w:bottom w:w="0" w:type="dxa"/>
            <w:right w:w="108" w:type="dxa"/>
          </w:tblCellMar>
        </w:tblPrEx>
        <w:trPr>
          <w:jc w:val="center"/>
        </w:trPr>
        <w:tc>
          <w:tcPr>
            <w:tcW w:w="2088" w:type="dxa"/>
            <w:vMerge w:val="restart"/>
            <w:noWrap w:val="0"/>
            <w:vAlign w:val="center"/>
          </w:tcPr>
          <w:p>
            <w:pPr>
              <w:pStyle w:val="10"/>
              <w:framePr w:wrap="auto" w:vAnchor="margin" w:hAnchor="text" w:yAlign="inline"/>
              <w:spacing w:line="400" w:lineRule="exact"/>
              <w:ind w:left="0" w:leftChars="0" w:firstLine="0" w:firstLineChars="0"/>
              <w:jc w:val="both"/>
              <w:rPr>
                <w:rFonts w:hint="eastAsia" w:ascii="方正仿宋_GB2312" w:hAnsi="方正仿宋_GB2312" w:eastAsia="方正仿宋_GB2312" w:cs="方正仿宋_GB2312"/>
                <w:szCs w:val="24"/>
              </w:rPr>
            </w:pPr>
            <w:r>
              <w:rPr>
                <w:rFonts w:hint="eastAsia" w:ascii="方正仿宋_GB2312" w:hAnsi="方正仿宋_GB2312" w:eastAsia="方正仿宋_GB2312" w:cs="方正仿宋_GB2312"/>
                <w:szCs w:val="24"/>
              </w:rPr>
              <w:t>校正虫口减退率=</w:t>
            </w:r>
          </w:p>
        </w:tc>
        <w:tc>
          <w:tcPr>
            <w:tcW w:w="5472" w:type="dxa"/>
            <w:tcBorders>
              <w:bottom w:val="single" w:color="auto" w:sz="4" w:space="0"/>
            </w:tcBorders>
            <w:noWrap w:val="0"/>
            <w:vAlign w:val="center"/>
          </w:tcPr>
          <w:p>
            <w:pPr>
              <w:pStyle w:val="10"/>
              <w:framePr w:wrap="auto" w:vAnchor="margin" w:hAnchor="text" w:yAlign="inline"/>
              <w:spacing w:line="400" w:lineRule="exact"/>
              <w:ind w:firstLine="0" w:firstLineChars="0"/>
              <w:jc w:val="both"/>
              <w:rPr>
                <w:rFonts w:hint="eastAsia" w:ascii="方正仿宋_GB2312" w:hAnsi="方正仿宋_GB2312" w:eastAsia="方正仿宋_GB2312" w:cs="方正仿宋_GB2312"/>
                <w:szCs w:val="24"/>
              </w:rPr>
            </w:pPr>
            <w:r>
              <w:rPr>
                <w:rFonts w:hint="eastAsia" w:ascii="方正仿宋_GB2312" w:hAnsi="方正仿宋_GB2312" w:eastAsia="方正仿宋_GB2312" w:cs="方正仿宋_GB2312"/>
                <w:szCs w:val="24"/>
              </w:rPr>
              <w:t>对照区的减退率－施药区标准地的虫口减退率</w:t>
            </w:r>
          </w:p>
        </w:tc>
        <w:tc>
          <w:tcPr>
            <w:tcW w:w="1620" w:type="dxa"/>
            <w:vMerge w:val="restart"/>
            <w:noWrap w:val="0"/>
            <w:vAlign w:val="center"/>
          </w:tcPr>
          <w:p>
            <w:pPr>
              <w:pStyle w:val="10"/>
              <w:framePr w:wrap="auto" w:vAnchor="margin" w:hAnchor="text" w:yAlign="inline"/>
              <w:spacing w:line="400" w:lineRule="exact"/>
              <w:ind w:left="32" w:leftChars="-36" w:hanging="108" w:hangingChars="45"/>
              <w:rPr>
                <w:rFonts w:hint="eastAsia" w:ascii="方正仿宋_GB2312" w:hAnsi="方正仿宋_GB2312" w:eastAsia="方正仿宋_GB2312" w:cs="方正仿宋_GB2312"/>
                <w:szCs w:val="24"/>
              </w:rPr>
            </w:pPr>
            <w:r>
              <w:rPr>
                <w:rFonts w:hint="eastAsia" w:ascii="方正仿宋_GB2312" w:hAnsi="方正仿宋_GB2312" w:eastAsia="方正仿宋_GB2312" w:cs="方正仿宋_GB2312"/>
                <w:szCs w:val="24"/>
              </w:rPr>
              <w:t>×100%</w:t>
            </w:r>
          </w:p>
        </w:tc>
      </w:tr>
      <w:tr>
        <w:tblPrEx>
          <w:tblCellMar>
            <w:top w:w="0" w:type="dxa"/>
            <w:left w:w="108" w:type="dxa"/>
            <w:bottom w:w="0" w:type="dxa"/>
            <w:right w:w="108" w:type="dxa"/>
          </w:tblCellMar>
        </w:tblPrEx>
        <w:trPr>
          <w:jc w:val="center"/>
        </w:trPr>
        <w:tc>
          <w:tcPr>
            <w:tcW w:w="2088" w:type="dxa"/>
            <w:vMerge w:val="continue"/>
            <w:noWrap w:val="0"/>
            <w:vAlign w:val="center"/>
          </w:tcPr>
          <w:p>
            <w:pPr>
              <w:pStyle w:val="10"/>
              <w:framePr w:wrap="auto" w:vAnchor="margin" w:hAnchor="text" w:yAlign="inline"/>
              <w:spacing w:line="400" w:lineRule="exact"/>
              <w:ind w:firstLine="480"/>
              <w:rPr>
                <w:rFonts w:hint="eastAsia" w:ascii="方正仿宋_GB2312" w:hAnsi="方正仿宋_GB2312" w:eastAsia="方正仿宋_GB2312" w:cs="方正仿宋_GB2312"/>
                <w:szCs w:val="24"/>
              </w:rPr>
            </w:pPr>
          </w:p>
        </w:tc>
        <w:tc>
          <w:tcPr>
            <w:tcW w:w="5472" w:type="dxa"/>
            <w:tcBorders>
              <w:top w:val="single" w:color="auto" w:sz="4" w:space="0"/>
            </w:tcBorders>
            <w:noWrap w:val="0"/>
            <w:vAlign w:val="center"/>
          </w:tcPr>
          <w:p>
            <w:pPr>
              <w:pStyle w:val="10"/>
              <w:framePr w:wrap="auto" w:vAnchor="margin" w:hAnchor="text" w:yAlign="inline"/>
              <w:spacing w:line="400" w:lineRule="exact"/>
              <w:ind w:firstLine="480"/>
              <w:jc w:val="both"/>
              <w:rPr>
                <w:rFonts w:hint="eastAsia" w:ascii="方正仿宋_GB2312" w:hAnsi="方正仿宋_GB2312" w:eastAsia="方正仿宋_GB2312" w:cs="方正仿宋_GB2312"/>
                <w:szCs w:val="24"/>
              </w:rPr>
            </w:pPr>
            <w:r>
              <w:rPr>
                <w:rFonts w:hint="eastAsia" w:ascii="方正仿宋_GB2312" w:hAnsi="方正仿宋_GB2312" w:eastAsia="方正仿宋_GB2312" w:cs="方正仿宋_GB2312"/>
                <w:szCs w:val="24"/>
              </w:rPr>
              <w:t>1-对照区的虫口减退率</w:t>
            </w:r>
          </w:p>
        </w:tc>
        <w:tc>
          <w:tcPr>
            <w:tcW w:w="1620" w:type="dxa"/>
            <w:vMerge w:val="continue"/>
            <w:noWrap w:val="0"/>
            <w:vAlign w:val="center"/>
          </w:tcPr>
          <w:p>
            <w:pPr>
              <w:pStyle w:val="10"/>
              <w:framePr w:wrap="auto" w:vAnchor="margin" w:hAnchor="text" w:yAlign="inline"/>
              <w:spacing w:line="400" w:lineRule="exact"/>
              <w:ind w:firstLine="480"/>
              <w:rPr>
                <w:rFonts w:hint="eastAsia" w:ascii="方正仿宋_GB2312" w:hAnsi="方正仿宋_GB2312" w:eastAsia="方正仿宋_GB2312" w:cs="方正仿宋_GB2312"/>
                <w:szCs w:val="24"/>
              </w:rPr>
            </w:pPr>
          </w:p>
        </w:tc>
      </w:tr>
    </w:tbl>
    <w:p>
      <w:pPr>
        <w:pageBreakBefore w:val="0"/>
        <w:framePr w:wrap="auto" w:vAnchor="margin" w:hAnchor="text" w:yAlign="inline"/>
        <w:widowControl/>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_GBK" w:eastAsia="方正小标宋简体" w:cs="方正小标宋_GBK"/>
          <w:b/>
          <w:bCs w:val="0"/>
          <w:szCs w:val="44"/>
        </w:rPr>
      </w:pPr>
      <w:r>
        <w:rPr>
          <w:rFonts w:hint="eastAsia" w:ascii="仿宋_GB2312" w:hAnsi="仿宋_GB2312" w:eastAsia="仿宋_GB2312" w:cs="仿宋_GB2312"/>
          <w:szCs w:val="32"/>
        </w:rPr>
        <w:br w:type="page"/>
      </w:r>
      <w:bookmarkStart w:id="6" w:name="_Toc12601"/>
      <w:bookmarkStart w:id="7" w:name="_Toc31443"/>
      <w:r>
        <w:rPr>
          <w:rStyle w:val="8"/>
          <w:rFonts w:hint="eastAsia" w:ascii="方正小标宋_GBK" w:hAnsi="方正小标宋_GBK" w:eastAsia="方正小标宋_GBK" w:cs="方正小标宋_GBK"/>
          <w:b/>
          <w:bCs w:val="0"/>
          <w:lang w:val="en-US" w:eastAsia="zh-CN"/>
        </w:rPr>
        <w:t>二  项目建设期限及进度</w:t>
      </w:r>
      <w:bookmarkEnd w:id="6"/>
      <w:bookmarkEnd w:id="7"/>
    </w:p>
    <w:p>
      <w:pPr>
        <w:pStyle w:val="4"/>
        <w:pageBreakBefore w:val="0"/>
        <w:framePr w:wrap="auto" w:vAnchor="margin" w:hAnchor="text" w:yAlign="inline"/>
        <w:widowControl w:val="0"/>
        <w:kinsoku/>
        <w:wordWrap/>
        <w:overflowPunct/>
        <w:topLinePunct w:val="0"/>
        <w:autoSpaceDE/>
        <w:autoSpaceDN/>
        <w:bidi w:val="0"/>
        <w:adjustRightInd/>
        <w:snapToGrid/>
        <w:spacing w:line="560" w:lineRule="exact"/>
        <w:ind w:firstLine="643"/>
        <w:textAlignment w:val="auto"/>
      </w:pPr>
      <w:bookmarkStart w:id="8" w:name="_Toc15367"/>
      <w:bookmarkStart w:id="9" w:name="_Toc25641"/>
      <w:r>
        <w:rPr>
          <w:rFonts w:hint="eastAsia"/>
          <w:lang w:val="en-US" w:eastAsia="zh-CN"/>
        </w:rPr>
        <w:t>2</w:t>
      </w:r>
      <w:r>
        <w:rPr>
          <w:rFonts w:hint="eastAsia"/>
        </w:rPr>
        <w:t>.1项目建设期限</w:t>
      </w:r>
      <w:bookmarkEnd w:id="8"/>
      <w:bookmarkEnd w:id="9"/>
    </w:p>
    <w:p>
      <w:pPr>
        <w:pStyle w:val="5"/>
        <w:pageBreakBefore w:val="0"/>
        <w:framePr w:wrap="auto" w:vAnchor="margin" w:hAnchor="text" w:yAlign="inline"/>
        <w:widowControl w:val="0"/>
        <w:kinsoku/>
        <w:wordWrap/>
        <w:overflowPunct/>
        <w:topLinePunct w:val="0"/>
        <w:autoSpaceDE/>
        <w:autoSpaceDN/>
        <w:bidi w:val="0"/>
        <w:adjustRightInd/>
        <w:snapToGrid/>
        <w:spacing w:line="560" w:lineRule="exact"/>
        <w:ind w:firstLine="640"/>
        <w:textAlignment w:val="auto"/>
      </w:pPr>
      <w:r>
        <w:rPr>
          <w:rFonts w:hint="eastAsia" w:ascii="Times New Roman" w:hAnsi="Times New Roman" w:eastAsia="方正仿宋_GB2312" w:cs="Times New Roman"/>
          <w:b w:val="0"/>
          <w:snapToGrid w:val="0"/>
          <w:kern w:val="2"/>
          <w:sz w:val="32"/>
          <w:lang w:val="zh-CN" w:eastAsia="zh-CN" w:bidi="ar-SA"/>
        </w:rPr>
        <w:t>2022年1月-2022年12月</w:t>
      </w:r>
    </w:p>
    <w:p>
      <w:pPr>
        <w:pStyle w:val="4"/>
        <w:pageBreakBefore w:val="0"/>
        <w:framePr w:wrap="auto" w:vAnchor="margin" w:hAnchor="text" w:yAlign="inline"/>
        <w:widowControl w:val="0"/>
        <w:kinsoku/>
        <w:wordWrap/>
        <w:overflowPunct/>
        <w:topLinePunct w:val="0"/>
        <w:autoSpaceDE/>
        <w:autoSpaceDN/>
        <w:bidi w:val="0"/>
        <w:adjustRightInd/>
        <w:snapToGrid/>
        <w:spacing w:line="560" w:lineRule="exact"/>
        <w:ind w:firstLine="643"/>
        <w:textAlignment w:val="auto"/>
      </w:pPr>
      <w:bookmarkStart w:id="10" w:name="_Toc5113"/>
      <w:bookmarkStart w:id="11" w:name="_Toc25874"/>
      <w:r>
        <w:rPr>
          <w:rFonts w:hint="eastAsia"/>
          <w:lang w:val="en-US" w:eastAsia="zh-CN"/>
        </w:rPr>
        <w:t>2</w:t>
      </w:r>
      <w:bookmarkStart w:id="12" w:name="_GoBack"/>
      <w:bookmarkEnd w:id="12"/>
      <w:r>
        <w:rPr>
          <w:rFonts w:hint="eastAsia"/>
        </w:rPr>
        <w:t>.2</w:t>
      </w:r>
      <w:r>
        <w:t>项目进度安排</w:t>
      </w:r>
      <w:bookmarkEnd w:id="10"/>
      <w:bookmarkEnd w:id="11"/>
    </w:p>
    <w:p>
      <w:pPr>
        <w:pageBreakBefore w:val="0"/>
        <w:framePr w:wrap="auto" w:vAnchor="margin" w:hAnchor="text" w:yAlign="inline"/>
        <w:widowControl w:val="0"/>
        <w:kinsoku/>
        <w:wordWrap/>
        <w:overflowPunct/>
        <w:topLinePunct w:val="0"/>
        <w:bidi w:val="0"/>
        <w:snapToGrid/>
        <w:ind w:firstLine="640"/>
        <w:textAlignment w:val="auto"/>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2022年2月上旬前，根据往年监测调查数据及发生趋势预测，确定作业范围、面积，对作业区基本情况进行全面的调查。</w:t>
      </w:r>
    </w:p>
    <w:p>
      <w:pPr>
        <w:pageBreakBefore w:val="0"/>
        <w:framePr w:wrap="auto" w:vAnchor="margin" w:hAnchor="text" w:yAlign="inline"/>
        <w:widowControl w:val="0"/>
        <w:kinsoku/>
        <w:wordWrap/>
        <w:overflowPunct/>
        <w:topLinePunct w:val="0"/>
        <w:bidi w:val="0"/>
        <w:snapToGrid/>
        <w:ind w:firstLine="640"/>
        <w:textAlignment w:val="auto"/>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2022年2月28日前完成综合防控项目作业设计的编制，成立综合防控项目组织机构及确定成员分工。</w:t>
      </w:r>
    </w:p>
    <w:p>
      <w:pPr>
        <w:pageBreakBefore w:val="0"/>
        <w:framePr w:wrap="auto" w:vAnchor="margin" w:hAnchor="text" w:yAlign="inline"/>
        <w:widowControl w:val="0"/>
        <w:kinsoku/>
        <w:wordWrap/>
        <w:overflowPunct/>
        <w:topLinePunct w:val="0"/>
        <w:bidi w:val="0"/>
        <w:snapToGrid/>
        <w:ind w:firstLine="640"/>
        <w:textAlignment w:val="auto"/>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2022年4月30日前，根据作业设计批复，通过政府采购确定综合防治施工方，签订防治合同。</w:t>
      </w:r>
    </w:p>
    <w:p>
      <w:pPr>
        <w:pageBreakBefore w:val="0"/>
        <w:framePr w:wrap="auto" w:vAnchor="margin" w:hAnchor="text" w:yAlign="inline"/>
        <w:widowControl w:val="0"/>
        <w:kinsoku/>
        <w:wordWrap/>
        <w:overflowPunct/>
        <w:topLinePunct w:val="0"/>
        <w:bidi w:val="0"/>
        <w:snapToGrid/>
        <w:ind w:firstLine="640"/>
        <w:textAlignment w:val="auto"/>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2022年4月-5月10日对发生“枣树一号病”的地块进行土壤处理。</w:t>
      </w:r>
    </w:p>
    <w:p>
      <w:pPr>
        <w:pageBreakBefore w:val="0"/>
        <w:framePr w:wrap="auto" w:vAnchor="margin" w:hAnchor="text" w:yAlign="inline"/>
        <w:widowControl w:val="0"/>
        <w:kinsoku/>
        <w:wordWrap/>
        <w:overflowPunct/>
        <w:topLinePunct w:val="0"/>
        <w:bidi w:val="0"/>
        <w:snapToGrid/>
        <w:ind w:firstLine="640"/>
        <w:textAlignment w:val="auto"/>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2022年5月5日前黄板、农药等项目物资准备到位。</w:t>
      </w:r>
    </w:p>
    <w:p>
      <w:pPr>
        <w:pageBreakBefore w:val="0"/>
        <w:framePr w:wrap="auto" w:vAnchor="margin" w:hAnchor="text" w:yAlign="inline"/>
        <w:widowControl w:val="0"/>
        <w:kinsoku/>
        <w:wordWrap/>
        <w:overflowPunct/>
        <w:topLinePunct w:val="0"/>
        <w:bidi w:val="0"/>
        <w:snapToGrid/>
        <w:ind w:firstLine="640"/>
        <w:textAlignment w:val="auto"/>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2022年5月中下旬至7月底对“枣树一号病”危害严重枣园实施落花措施。</w:t>
      </w:r>
    </w:p>
    <w:p>
      <w:pPr>
        <w:pageBreakBefore w:val="0"/>
        <w:framePr w:wrap="auto" w:vAnchor="margin" w:hAnchor="text" w:yAlign="inline"/>
        <w:widowControl w:val="0"/>
        <w:kinsoku/>
        <w:wordWrap/>
        <w:overflowPunct/>
        <w:topLinePunct w:val="0"/>
        <w:bidi w:val="0"/>
        <w:snapToGrid/>
        <w:ind w:firstLine="640"/>
        <w:textAlignment w:val="auto"/>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2022年5月中旬至8月下旬，对“枣树一号病”发生枣园悬挂专用黄板进行诱杀。</w:t>
      </w:r>
    </w:p>
    <w:p>
      <w:pPr>
        <w:pageBreakBefore w:val="0"/>
        <w:framePr w:wrap="auto" w:vAnchor="margin" w:hAnchor="text" w:yAlign="inline"/>
        <w:widowControl w:val="0"/>
        <w:kinsoku/>
        <w:wordWrap/>
        <w:overflowPunct/>
        <w:topLinePunct w:val="0"/>
        <w:bidi w:val="0"/>
        <w:snapToGrid/>
        <w:ind w:firstLine="640"/>
        <w:textAlignment w:val="auto"/>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2022年5月30日前，综合防治项目领导小组召开协调小组会议，就技术指导、后勤保障、安全保卫、宣传报道以及培训、突发事件应急处置准备等做出详细安排。</w:t>
      </w:r>
    </w:p>
    <w:p>
      <w:pPr>
        <w:pageBreakBefore w:val="0"/>
        <w:framePr w:wrap="auto" w:vAnchor="margin" w:hAnchor="text" w:yAlign="inline"/>
        <w:widowControl w:val="0"/>
        <w:kinsoku/>
        <w:wordWrap/>
        <w:overflowPunct/>
        <w:topLinePunct w:val="0"/>
        <w:bidi w:val="0"/>
        <w:snapToGrid/>
        <w:ind w:firstLine="640"/>
        <w:textAlignment w:val="auto"/>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2022年6月上旬，视“枣树一号病”越冬代成虫监测调查情况开展第一轮药剂防治，同时开展防效调查。</w:t>
      </w:r>
    </w:p>
    <w:p>
      <w:pPr>
        <w:pageBreakBefore w:val="0"/>
        <w:framePr w:wrap="auto" w:vAnchor="margin" w:hAnchor="text" w:yAlign="inline"/>
        <w:widowControl w:val="0"/>
        <w:kinsoku/>
        <w:wordWrap/>
        <w:overflowPunct/>
        <w:topLinePunct w:val="0"/>
        <w:bidi w:val="0"/>
        <w:snapToGrid/>
        <w:ind w:firstLine="640"/>
        <w:textAlignment w:val="auto"/>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2022年7月下旬，“枣树一号病”第一代成虫（第二代幼虫）监测调查情况，进行第二轮药剂防治。</w:t>
      </w:r>
    </w:p>
    <w:p>
      <w:pPr>
        <w:pageBreakBefore w:val="0"/>
        <w:framePr w:wrap="auto" w:vAnchor="margin" w:hAnchor="text" w:yAlign="inline"/>
        <w:widowControl w:val="0"/>
        <w:kinsoku/>
        <w:wordWrap/>
        <w:overflowPunct/>
        <w:topLinePunct w:val="0"/>
        <w:bidi w:val="0"/>
        <w:snapToGrid/>
        <w:ind w:firstLine="640"/>
        <w:textAlignment w:val="auto"/>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2022年8月下旬，根据“枣树一号病”第二代成虫（幼虫）监测调查情况，进行第三轮药剂防治。</w:t>
      </w:r>
    </w:p>
    <w:p>
      <w:pPr>
        <w:pageBreakBefore w:val="0"/>
        <w:framePr w:wrap="auto" w:vAnchor="margin" w:hAnchor="text" w:yAlign="inline"/>
        <w:widowControl w:val="0"/>
        <w:kinsoku/>
        <w:wordWrap/>
        <w:overflowPunct/>
        <w:topLinePunct w:val="0"/>
        <w:bidi w:val="0"/>
        <w:snapToGrid/>
        <w:ind w:firstLine="640"/>
        <w:textAlignment w:val="auto"/>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2022年6月-9月，组织人员摘除有虫果，捡拾落地虫果，对中度以上发生的进行断枣工作并捡拾落地虫果，彻底清理地上落果，集中烧毁或深埋。</w:t>
      </w:r>
    </w:p>
    <w:p>
      <w:pPr>
        <w:pageBreakBefore w:val="0"/>
        <w:framePr w:wrap="auto" w:vAnchor="margin" w:hAnchor="text" w:yAlign="inline"/>
        <w:widowControl w:val="0"/>
        <w:kinsoku/>
        <w:wordWrap/>
        <w:overflowPunct/>
        <w:topLinePunct w:val="0"/>
        <w:bidi w:val="0"/>
        <w:snapToGrid/>
        <w:ind w:firstLine="640"/>
        <w:textAlignment w:val="auto"/>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2022年10月，及时清洁枣园，结合秋翻冬灌进行土壤处理。</w:t>
      </w:r>
    </w:p>
    <w:p>
      <w:pPr>
        <w:pageBreakBefore w:val="0"/>
        <w:framePr w:wrap="auto" w:vAnchor="margin" w:hAnchor="text" w:yAlign="inline"/>
        <w:widowControl w:val="0"/>
        <w:kinsoku/>
        <w:wordWrap/>
        <w:overflowPunct/>
        <w:topLinePunct w:val="0"/>
        <w:bidi w:val="0"/>
        <w:snapToGrid/>
        <w:ind w:firstLine="640"/>
        <w:textAlignment w:val="auto"/>
        <w:rPr>
          <w:rFonts w:hint="eastAsia" w:ascii="Times New Roman" w:hAnsi="Times New Roman" w:eastAsia="方正仿宋_GB2312" w:cs="Times New Roman"/>
          <w:b w:val="0"/>
          <w:snapToGrid w:val="0"/>
          <w:kern w:val="2"/>
          <w:sz w:val="32"/>
          <w:lang w:val="zh-CN" w:eastAsia="zh-CN" w:bidi="ar-SA"/>
        </w:rPr>
      </w:pPr>
      <w:r>
        <w:rPr>
          <w:rFonts w:hint="eastAsia" w:ascii="Times New Roman" w:hAnsi="Times New Roman" w:eastAsia="方正仿宋_GB2312" w:cs="Times New Roman"/>
          <w:b w:val="0"/>
          <w:snapToGrid w:val="0"/>
          <w:kern w:val="2"/>
          <w:sz w:val="32"/>
          <w:lang w:val="zh-CN" w:eastAsia="zh-CN" w:bidi="ar-SA"/>
        </w:rPr>
        <w:t>2022年10月下旬进行项目自查验收工作及总结，项目的档案整理，归档工作。</w:t>
      </w:r>
    </w:p>
    <w:p>
      <w:pPr>
        <w:framePr w:wrap="auto" w:vAnchor="margin" w:hAnchor="text" w:yAlign="inline"/>
        <w:rPr>
          <w:rFonts w:hint="default"/>
          <w:rtl w:val="0"/>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15476"/>
    <w:rsid w:val="7CF15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shd w:val="clear" w:color="auto" w:fill="auto"/>
      <w:vertAlign w:val="baseline"/>
      <w:lang w:val="en-US"/>
    </w:rPr>
  </w:style>
  <w:style w:type="paragraph" w:styleId="3">
    <w:name w:val="heading 1"/>
    <w:basedOn w:val="1"/>
    <w:next w:val="1"/>
    <w:link w:val="8"/>
    <w:qFormat/>
    <w:uiPriority w:val="9"/>
    <w:pPr>
      <w:keepNext/>
      <w:keepLines/>
      <w:autoSpaceDE w:val="0"/>
      <w:autoSpaceDN w:val="0"/>
      <w:adjustRightInd w:val="0"/>
      <w:spacing w:before="50" w:beforeLines="50" w:after="50" w:afterLines="50" w:line="240" w:lineRule="auto"/>
      <w:ind w:firstLine="0" w:firstLineChars="0"/>
      <w:jc w:val="center"/>
      <w:outlineLvl w:val="0"/>
    </w:pPr>
    <w:rPr>
      <w:rFonts w:eastAsia="方正小标宋_GBK"/>
      <w:bCs/>
      <w:kern w:val="44"/>
      <w:sz w:val="44"/>
    </w:rPr>
  </w:style>
  <w:style w:type="paragraph" w:styleId="4">
    <w:name w:val="heading 2"/>
    <w:basedOn w:val="1"/>
    <w:next w:val="1"/>
    <w:qFormat/>
    <w:uiPriority w:val="0"/>
    <w:pPr>
      <w:keepNext/>
      <w:keepLines/>
      <w:spacing w:line="240" w:lineRule="auto"/>
      <w:outlineLvl w:val="1"/>
    </w:pPr>
    <w:rPr>
      <w:rFonts w:eastAsia="黑体"/>
      <w:b/>
      <w:bCs/>
      <w:snapToGrid/>
      <w:szCs w:val="32"/>
    </w:rPr>
  </w:style>
  <w:style w:type="paragraph" w:styleId="2">
    <w:name w:val="heading 3"/>
    <w:basedOn w:val="1"/>
    <w:next w:val="1"/>
    <w:unhideWhenUsed/>
    <w:qFormat/>
    <w:uiPriority w:val="9"/>
    <w:pPr>
      <w:keepNext/>
      <w:keepLines/>
      <w:autoSpaceDE w:val="0"/>
      <w:autoSpaceDN w:val="0"/>
      <w:adjustRightInd w:val="0"/>
      <w:jc w:val="left"/>
      <w:outlineLvl w:val="2"/>
    </w:pPr>
    <w:rPr>
      <w:rFonts w:eastAsia="楷体"/>
      <w:b/>
      <w:kern w:val="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link w:val="9"/>
    <w:qFormat/>
    <w:uiPriority w:val="0"/>
  </w:style>
  <w:style w:type="character" w:customStyle="1" w:styleId="8">
    <w:name w:val="标题 1 Char"/>
    <w:link w:val="3"/>
    <w:qFormat/>
    <w:uiPriority w:val="9"/>
    <w:rPr>
      <w:rFonts w:eastAsia="方正小标宋_GBK"/>
      <w:bCs/>
      <w:kern w:val="44"/>
      <w:sz w:val="44"/>
    </w:rPr>
  </w:style>
  <w:style w:type="character" w:customStyle="1" w:styleId="9">
    <w:name w:val="正文文本 字符"/>
    <w:basedOn w:val="7"/>
    <w:link w:val="5"/>
    <w:qFormat/>
    <w:uiPriority w:val="0"/>
  </w:style>
  <w:style w:type="paragraph" w:customStyle="1" w:styleId="10">
    <w:name w:val="公式"/>
    <w:basedOn w:val="1"/>
    <w:qFormat/>
    <w:uiPriority w:val="0"/>
    <w:pPr>
      <w:spacing w:line="360" w:lineRule="exact"/>
      <w:jc w:val="center"/>
    </w:pPr>
    <w:rPr>
      <w:rFonts w:eastAsia="仿宋_GB2312"/>
      <w:snapToGrid/>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2022-05-11T05:38:00Z</dcterms:created>
  <dc:creator>啥也不是</dc:creator>
  <cp:lastModifiedBy>啥也不是</cp:lastModifiedBy>
  <dcterms:modified xsi:type="dcterms:W3CDTF">2022-05-11T05:53:36Z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CEEBD55167EA4153A140A0E87225FC80</vt:lpwstr>
  </property>
  <property fmtid="{D5CDD505-2E9C-101B-9397-08002B2CF9AE}" pid="4" name="KSOSaveFontToCloudKey">
    <vt:lpwstr>1148025968_cloud</vt:lpwstr>
  </property>
</Properties>
</file>