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sz w:val="10"/>
          <w:szCs w:val="10"/>
        </w:rPr>
      </w:pPr>
      <w:r>
        <w:rPr>
          <w:rFonts w:hint="eastAsia" w:ascii="宋体" w:hAnsi="宋体"/>
          <w:sz w:val="10"/>
          <w:szCs w:val="10"/>
        </w:rPr>
        <w:t xml:space="preserve">                            </w:t>
      </w:r>
    </w:p>
    <w:p>
      <w:pPr>
        <w:wordWrap w:val="0"/>
        <w:spacing w:line="720" w:lineRule="auto"/>
        <w:jc w:val="right"/>
        <w:rPr>
          <w:rFonts w:ascii="宋体" w:hAnsi="宋体"/>
          <w:b/>
          <w:sz w:val="32"/>
        </w:rPr>
      </w:pPr>
    </w:p>
    <w:p>
      <w:pPr>
        <w:jc w:val="center"/>
        <w:rPr>
          <w:rFonts w:ascii="宋体" w:hAnsi="宋体"/>
          <w:b/>
          <w:bCs/>
          <w:sz w:val="92"/>
          <w:szCs w:val="92"/>
        </w:rPr>
      </w:pPr>
    </w:p>
    <w:p>
      <w:pPr>
        <w:jc w:val="center"/>
        <w:rPr>
          <w:rFonts w:ascii="宋体" w:hAnsi="宋体"/>
          <w:b/>
          <w:bCs/>
          <w:sz w:val="92"/>
          <w:szCs w:val="92"/>
        </w:rPr>
      </w:pPr>
      <w:r>
        <w:rPr>
          <w:rFonts w:hint="eastAsia" w:ascii="宋体" w:hAnsi="宋体"/>
          <w:b/>
          <w:bCs/>
          <w:sz w:val="92"/>
          <w:szCs w:val="92"/>
        </w:rPr>
        <w:t>竞争性谈判文件</w:t>
      </w:r>
    </w:p>
    <w:p>
      <w:pPr>
        <w:spacing w:line="480" w:lineRule="auto"/>
        <w:jc w:val="center"/>
        <w:rPr>
          <w:rFonts w:ascii="宋体" w:hAnsi="宋体"/>
          <w:sz w:val="30"/>
          <w:szCs w:val="30"/>
          <w:lang w:val="hr-HR" w:bidi="ar-EG"/>
        </w:rPr>
      </w:pPr>
    </w:p>
    <w:p>
      <w:pPr>
        <w:spacing w:line="480" w:lineRule="auto"/>
        <w:jc w:val="center"/>
        <w:rPr>
          <w:rFonts w:ascii="宋体" w:hAnsi="宋体"/>
          <w:sz w:val="30"/>
          <w:szCs w:val="30"/>
          <w:lang w:val="hr-HR" w:bidi="ar-EG"/>
        </w:rPr>
      </w:pPr>
    </w:p>
    <w:p>
      <w:pPr>
        <w:pStyle w:val="21"/>
        <w:tabs>
          <w:tab w:val="left" w:pos="703"/>
        </w:tabs>
        <w:rPr>
          <w:rFonts w:hAnsi="宋体"/>
          <w:sz w:val="24"/>
          <w:szCs w:val="24"/>
        </w:rPr>
      </w:pPr>
    </w:p>
    <w:p>
      <w:pPr>
        <w:pStyle w:val="21"/>
        <w:tabs>
          <w:tab w:val="left" w:pos="703"/>
        </w:tabs>
        <w:rPr>
          <w:rFonts w:hAnsi="宋体"/>
          <w:sz w:val="24"/>
          <w:szCs w:val="24"/>
        </w:rPr>
      </w:pPr>
    </w:p>
    <w:tbl>
      <w:tblPr>
        <w:tblStyle w:val="39"/>
        <w:tblW w:w="0" w:type="auto"/>
        <w:jc w:val="center"/>
        <w:tblLayout w:type="fixed"/>
        <w:tblCellMar>
          <w:top w:w="57" w:type="dxa"/>
          <w:left w:w="57" w:type="dxa"/>
          <w:bottom w:w="57" w:type="dxa"/>
          <w:right w:w="57" w:type="dxa"/>
        </w:tblCellMar>
      </w:tblPr>
      <w:tblGrid>
        <w:gridCol w:w="1514"/>
        <w:gridCol w:w="6543"/>
      </w:tblGrid>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项目编号：</w:t>
            </w:r>
          </w:p>
        </w:tc>
        <w:tc>
          <w:tcPr>
            <w:tcW w:w="6543" w:type="dxa"/>
          </w:tcPr>
          <w:p>
            <w:pPr>
              <w:spacing w:before="120" w:after="120"/>
              <w:textAlignment w:val="center"/>
              <w:rPr>
                <w:rFonts w:ascii="宋体" w:hAnsi="宋体" w:cs="宋体"/>
                <w:sz w:val="28"/>
                <w:szCs w:val="36"/>
              </w:rPr>
            </w:pPr>
          </w:p>
        </w:tc>
      </w:tr>
      <w:tr>
        <w:tblPrEx>
          <w:tblCellMar>
            <w:top w:w="57" w:type="dxa"/>
            <w:left w:w="57" w:type="dxa"/>
            <w:bottom w:w="57" w:type="dxa"/>
            <w:right w:w="57" w:type="dxa"/>
          </w:tblCellMar>
        </w:tblPrEx>
        <w:trPr>
          <w:trHeight w:val="1164"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项目名称：</w:t>
            </w:r>
          </w:p>
        </w:tc>
        <w:tc>
          <w:tcPr>
            <w:tcW w:w="6543" w:type="dxa"/>
          </w:tcPr>
          <w:p>
            <w:pPr>
              <w:spacing w:before="120" w:after="120"/>
              <w:textAlignment w:val="center"/>
              <w:rPr>
                <w:rFonts w:hint="default" w:ascii="宋体" w:hAnsi="宋体" w:eastAsia="宋体" w:cs="宋体"/>
                <w:sz w:val="28"/>
                <w:szCs w:val="36"/>
                <w:lang w:val="en-US" w:eastAsia="zh-CN"/>
              </w:rPr>
            </w:pPr>
            <w:r>
              <w:rPr>
                <w:rFonts w:hint="eastAsia" w:ascii="宋体" w:hAnsi="宋体" w:cs="宋体"/>
                <w:b/>
                <w:bCs/>
                <w:sz w:val="36"/>
                <w:szCs w:val="36"/>
                <w:lang w:val="zh-CN"/>
              </w:rPr>
              <w:t>鄂东医疗集团市中心医院</w:t>
            </w:r>
            <w:r>
              <w:rPr>
                <w:rFonts w:hint="eastAsia" w:ascii="宋体" w:hAnsi="宋体" w:cs="宋体"/>
                <w:b/>
                <w:bCs/>
                <w:sz w:val="36"/>
                <w:szCs w:val="36"/>
              </w:rPr>
              <w:t>白蚁防治</w:t>
            </w:r>
            <w:r>
              <w:rPr>
                <w:rFonts w:hint="eastAsia" w:ascii="宋体" w:hAnsi="宋体" w:cs="宋体"/>
                <w:b/>
                <w:bCs/>
                <w:sz w:val="36"/>
                <w:szCs w:val="36"/>
                <w:lang w:val="en-US" w:eastAsia="zh-CN"/>
              </w:rPr>
              <w:t>服务项目</w:t>
            </w:r>
          </w:p>
        </w:tc>
      </w:tr>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采购内容：</w:t>
            </w:r>
          </w:p>
        </w:tc>
        <w:tc>
          <w:tcPr>
            <w:tcW w:w="6543" w:type="dxa"/>
          </w:tcPr>
          <w:p>
            <w:pPr>
              <w:spacing w:before="120" w:after="120"/>
              <w:textAlignment w:val="center"/>
              <w:rPr>
                <w:rFonts w:ascii="宋体" w:hAnsi="宋体" w:cs="宋体"/>
                <w:sz w:val="28"/>
                <w:szCs w:val="36"/>
              </w:rPr>
            </w:pPr>
            <w:r>
              <w:rPr>
                <w:rFonts w:hint="eastAsia" w:ascii="宋体" w:hAnsi="宋体" w:cs="宋体"/>
                <w:b/>
                <w:bCs/>
                <w:sz w:val="36"/>
                <w:szCs w:val="36"/>
              </w:rPr>
              <w:t>白蚁防治</w:t>
            </w:r>
            <w:r>
              <w:rPr>
                <w:rFonts w:hint="eastAsia" w:ascii="宋体" w:hAnsi="宋体" w:cs="宋体"/>
                <w:b/>
                <w:bCs/>
                <w:sz w:val="36"/>
                <w:szCs w:val="36"/>
                <w:lang w:val="en-US" w:eastAsia="zh-CN"/>
              </w:rPr>
              <w:t>服务</w:t>
            </w:r>
          </w:p>
        </w:tc>
      </w:tr>
    </w:tbl>
    <w:p>
      <w:pPr>
        <w:pStyle w:val="21"/>
        <w:tabs>
          <w:tab w:val="left" w:pos="703"/>
        </w:tabs>
        <w:spacing w:line="360" w:lineRule="auto"/>
        <w:rPr>
          <w:rFonts w:hAnsi="宋体" w:cs="宋体"/>
          <w:kern w:val="21"/>
          <w:sz w:val="24"/>
          <w:szCs w:val="24"/>
        </w:rPr>
      </w:pPr>
    </w:p>
    <w:p>
      <w:pPr>
        <w:pStyle w:val="21"/>
        <w:tabs>
          <w:tab w:val="left" w:pos="703"/>
        </w:tabs>
        <w:spacing w:line="360" w:lineRule="auto"/>
        <w:rPr>
          <w:rFonts w:hAnsi="宋体" w:cs="宋体"/>
          <w:kern w:val="21"/>
          <w:sz w:val="24"/>
          <w:szCs w:val="24"/>
        </w:rPr>
      </w:pPr>
    </w:p>
    <w:p>
      <w:pPr>
        <w:pStyle w:val="21"/>
        <w:tabs>
          <w:tab w:val="left" w:pos="703"/>
        </w:tabs>
        <w:spacing w:line="360" w:lineRule="auto"/>
        <w:rPr>
          <w:rFonts w:hAnsi="宋体" w:cs="宋体"/>
          <w:kern w:val="21"/>
          <w:sz w:val="24"/>
          <w:szCs w:val="24"/>
        </w:rPr>
      </w:pPr>
    </w:p>
    <w:tbl>
      <w:tblPr>
        <w:tblStyle w:val="39"/>
        <w:tblW w:w="0" w:type="auto"/>
        <w:jc w:val="center"/>
        <w:tblLayout w:type="fixed"/>
        <w:tblCellMar>
          <w:top w:w="0" w:type="dxa"/>
          <w:left w:w="108" w:type="dxa"/>
          <w:bottom w:w="0" w:type="dxa"/>
          <w:right w:w="108" w:type="dxa"/>
        </w:tblCellMar>
      </w:tblPr>
      <w:tblGrid>
        <w:gridCol w:w="7704"/>
      </w:tblGrid>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采购人：鄂东医疗集团市中心医院</w:t>
            </w: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编制时间：202</w:t>
            </w:r>
            <w:r>
              <w:rPr>
                <w:rFonts w:hint="eastAsia" w:ascii="宋体" w:hAnsi="宋体" w:cs="宋体"/>
                <w:sz w:val="28"/>
                <w:szCs w:val="36"/>
                <w:lang w:val="en-US" w:eastAsia="zh-CN"/>
              </w:rPr>
              <w:t>2</w:t>
            </w:r>
            <w:r>
              <w:rPr>
                <w:rFonts w:hint="eastAsia" w:ascii="宋体" w:hAnsi="宋体" w:cs="宋体"/>
                <w:sz w:val="28"/>
                <w:szCs w:val="36"/>
              </w:rPr>
              <w:t>年</w:t>
            </w:r>
            <w:r>
              <w:rPr>
                <w:rFonts w:hint="eastAsia" w:ascii="宋体" w:hAnsi="宋体" w:cs="宋体"/>
                <w:sz w:val="28"/>
                <w:szCs w:val="36"/>
                <w:lang w:val="en-US" w:eastAsia="zh-CN"/>
              </w:rPr>
              <w:t>4</w:t>
            </w:r>
            <w:r>
              <w:rPr>
                <w:rFonts w:hint="eastAsia" w:ascii="宋体" w:hAnsi="宋体" w:cs="宋体"/>
                <w:sz w:val="28"/>
                <w:szCs w:val="36"/>
              </w:rPr>
              <w:t>月</w:t>
            </w:r>
          </w:p>
        </w:tc>
      </w:tr>
    </w:tbl>
    <w:p>
      <w:pPr>
        <w:pStyle w:val="36"/>
        <w:jc w:val="center"/>
        <w:rPr>
          <w:b/>
          <w:sz w:val="21"/>
          <w:szCs w:val="36"/>
        </w:rPr>
      </w:pPr>
    </w:p>
    <w:p>
      <w:pPr>
        <w:pStyle w:val="36"/>
        <w:spacing w:line="360" w:lineRule="auto"/>
        <w:sectPr>
          <w:headerReference r:id="rId3" w:type="default"/>
          <w:footerReference r:id="rId4" w:type="default"/>
          <w:type w:val="continuous"/>
          <w:pgSz w:w="11907" w:h="16840"/>
          <w:pgMar w:top="1021" w:right="1247" w:bottom="1134" w:left="1644" w:header="907" w:footer="907" w:gutter="0"/>
          <w:pgBorders>
            <w:top w:val="none" w:sz="0" w:space="0"/>
            <w:left w:val="none" w:sz="0" w:space="0"/>
            <w:bottom w:val="none" w:sz="0" w:space="0"/>
            <w:right w:val="none" w:sz="0" w:space="0"/>
          </w:pgBorders>
          <w:pgNumType w:start="1"/>
          <w:cols w:space="720" w:num="1"/>
          <w:titlePg/>
          <w:docGrid w:linePitch="312" w:charSpace="0"/>
        </w:sectPr>
      </w:pPr>
      <w:r>
        <w:rPr>
          <w:rFonts w:hint="eastAsia"/>
        </w:rPr>
        <w:t xml:space="preserve">   </w:t>
      </w:r>
    </w:p>
    <w:p>
      <w:pPr>
        <w:pStyle w:val="3"/>
      </w:pPr>
      <w:bookmarkStart w:id="0" w:name="_Toc535814464"/>
      <w:bookmarkStart w:id="1" w:name="_Toc535815709"/>
      <w:bookmarkStart w:id="2" w:name="_Toc120411791"/>
      <w:bookmarkStart w:id="3" w:name="_Toc136229088"/>
      <w:bookmarkStart w:id="4" w:name="_Toc28925"/>
    </w:p>
    <w:p>
      <w:pPr>
        <w:pStyle w:val="3"/>
      </w:pPr>
      <w:r>
        <w:t xml:space="preserve">第一章  </w:t>
      </w:r>
      <w:r>
        <w:rPr>
          <w:rFonts w:hint="eastAsia"/>
        </w:rPr>
        <w:t>谈判公告（代采购</w:t>
      </w:r>
      <w:r>
        <w:t>邀请</w:t>
      </w:r>
      <w:r>
        <w:rPr>
          <w:rFonts w:hint="eastAsia"/>
        </w:rPr>
        <w:t>）</w:t>
      </w:r>
      <w:bookmarkEnd w:id="0"/>
      <w:bookmarkEnd w:id="1"/>
      <w:bookmarkEnd w:id="2"/>
      <w:bookmarkEnd w:id="3"/>
      <w:bookmarkEnd w:id="4"/>
    </w:p>
    <w:p>
      <w:pPr>
        <w:spacing w:line="520" w:lineRule="exact"/>
      </w:pPr>
    </w:p>
    <w:p>
      <w:pPr>
        <w:spacing w:line="420" w:lineRule="exact"/>
        <w:ind w:firstLine="480" w:firstLineChars="200"/>
        <w:rPr>
          <w:rFonts w:ascii="宋体" w:cs="宋体"/>
          <w:sz w:val="24"/>
          <w:lang w:val="zh-CN"/>
        </w:rPr>
      </w:pPr>
      <w:bookmarkStart w:id="5" w:name="_Toc35393622"/>
      <w:bookmarkStart w:id="6" w:name="_Toc28359003"/>
      <w:bookmarkStart w:id="7" w:name="_Toc35393791"/>
      <w:bookmarkStart w:id="8" w:name="_Toc28359080"/>
      <w:bookmarkStart w:id="9" w:name="_Toc10386"/>
      <w:bookmarkStart w:id="10" w:name="_Toc120411792"/>
      <w:bookmarkStart w:id="11" w:name="_Toc136229089"/>
      <w:r>
        <w:rPr>
          <w:rFonts w:hint="eastAsia" w:ascii="宋体" w:hAnsi="宋体" w:cs="宋体"/>
          <w:sz w:val="24"/>
          <w:lang w:val="zh-CN"/>
        </w:rPr>
        <w:t>根据鄂东医疗集团市中心医院的需求，就鄂东医疗集团市中心医院</w:t>
      </w:r>
      <w:r>
        <w:rPr>
          <w:rFonts w:hint="eastAsia" w:ascii="宋体" w:hAnsi="宋体" w:cs="宋体"/>
          <w:sz w:val="24"/>
        </w:rPr>
        <w:t>白蚁防治</w:t>
      </w:r>
      <w:r>
        <w:rPr>
          <w:rFonts w:hint="eastAsia" w:ascii="宋体" w:hAnsi="宋体" w:cs="宋体"/>
          <w:sz w:val="24"/>
          <w:lang w:val="en-US" w:eastAsia="zh-CN"/>
        </w:rPr>
        <w:t>服务项目</w:t>
      </w:r>
      <w:r>
        <w:rPr>
          <w:rFonts w:hint="eastAsia" w:ascii="宋体" w:hAnsi="宋体" w:cs="宋体"/>
          <w:sz w:val="24"/>
          <w:lang w:val="zh-CN"/>
        </w:rPr>
        <w:t>以竞争性谈判方式进行采购</w:t>
      </w:r>
      <w:r>
        <w:rPr>
          <w:rFonts w:hint="eastAsia" w:ascii="宋体" w:hAnsi="宋体" w:cs="宋体"/>
          <w:sz w:val="24"/>
        </w:rPr>
        <w:t>，欢迎符合资格条件的</w:t>
      </w:r>
      <w:r>
        <w:rPr>
          <w:rFonts w:hint="eastAsia" w:ascii="宋体" w:hAnsi="宋体" w:cs="宋体"/>
          <w:sz w:val="24"/>
          <w:lang w:eastAsia="zh-CN"/>
        </w:rPr>
        <w:t>谈判</w:t>
      </w:r>
      <w:r>
        <w:rPr>
          <w:rFonts w:hint="eastAsia" w:ascii="宋体" w:hAnsi="宋体" w:cs="宋体"/>
          <w:sz w:val="24"/>
        </w:rPr>
        <w:t>供应商参与本项目。</w:t>
      </w:r>
    </w:p>
    <w:p>
      <w:pPr>
        <w:spacing w:line="420" w:lineRule="exact"/>
        <w:rPr>
          <w:rFonts w:ascii="宋体" w:cs="宋体"/>
          <w:sz w:val="18"/>
          <w:szCs w:val="18"/>
        </w:rPr>
      </w:pPr>
      <w:r>
        <w:rPr>
          <w:rFonts w:hint="eastAsia" w:ascii="宋体" w:hAnsi="宋体" w:cs="宋体"/>
          <w:b/>
          <w:bCs/>
          <w:sz w:val="24"/>
        </w:rPr>
        <w:t>一、项目概况：</w:t>
      </w:r>
    </w:p>
    <w:p>
      <w:pPr>
        <w:spacing w:line="420" w:lineRule="exact"/>
        <w:ind w:firstLine="480" w:firstLineChars="200"/>
        <w:rPr>
          <w:rFonts w:hint="eastAsia" w:ascii="宋体" w:hAnsi="宋体" w:cs="宋体"/>
          <w:sz w:val="24"/>
          <w:lang w:val="en-US" w:eastAsia="zh-CN"/>
        </w:rPr>
      </w:pPr>
      <w:r>
        <w:rPr>
          <w:rFonts w:ascii="宋体" w:hAnsi="宋体" w:cs="宋体"/>
          <w:sz w:val="24"/>
        </w:rPr>
        <w:t>1.</w:t>
      </w:r>
      <w:r>
        <w:rPr>
          <w:rFonts w:hint="eastAsia" w:ascii="宋体" w:hAnsi="宋体" w:cs="宋体"/>
          <w:sz w:val="24"/>
        </w:rPr>
        <w:t>项目名称：</w:t>
      </w:r>
      <w:r>
        <w:rPr>
          <w:rFonts w:hint="eastAsia" w:ascii="宋体" w:hAnsi="宋体" w:cs="宋体"/>
          <w:sz w:val="24"/>
          <w:lang w:val="zh-CN"/>
        </w:rPr>
        <w:t>鄂东医疗集团市中心医院</w:t>
      </w:r>
      <w:r>
        <w:rPr>
          <w:rFonts w:hint="eastAsia" w:ascii="宋体" w:hAnsi="宋体" w:cs="宋体"/>
          <w:sz w:val="24"/>
        </w:rPr>
        <w:t>白蚁防治</w:t>
      </w:r>
      <w:r>
        <w:rPr>
          <w:rFonts w:hint="eastAsia" w:ascii="宋体" w:hAnsi="宋体" w:cs="宋体"/>
          <w:sz w:val="24"/>
          <w:lang w:val="en-US" w:eastAsia="zh-CN"/>
        </w:rPr>
        <w:t>服务项目</w:t>
      </w:r>
    </w:p>
    <w:p>
      <w:pPr>
        <w:spacing w:line="420" w:lineRule="exact"/>
        <w:ind w:firstLine="480" w:firstLineChars="200"/>
        <w:rPr>
          <w:rFonts w:hint="eastAsia" w:ascii="宋体" w:eastAsia="宋体" w:cs="宋体"/>
          <w:sz w:val="24"/>
          <w:lang w:eastAsia="zh-CN"/>
        </w:rPr>
      </w:pPr>
      <w:r>
        <w:rPr>
          <w:rFonts w:ascii="宋体" w:hAnsi="宋体" w:cs="宋体"/>
          <w:sz w:val="24"/>
        </w:rPr>
        <w:t>2.</w:t>
      </w:r>
      <w:r>
        <w:rPr>
          <w:rFonts w:hint="eastAsia" w:ascii="宋体" w:hAnsi="宋体" w:cs="宋体"/>
          <w:sz w:val="24"/>
        </w:rPr>
        <w:t>采购方式：竞争性</w:t>
      </w:r>
      <w:r>
        <w:rPr>
          <w:rFonts w:hint="eastAsia" w:ascii="宋体" w:hAnsi="宋体" w:cs="宋体"/>
          <w:sz w:val="24"/>
          <w:lang w:eastAsia="zh-CN"/>
        </w:rPr>
        <w:t>谈判</w:t>
      </w:r>
    </w:p>
    <w:p>
      <w:pPr>
        <w:spacing w:line="420" w:lineRule="exact"/>
        <w:ind w:firstLine="480" w:firstLineChars="200"/>
        <w:rPr>
          <w:rFonts w:hint="eastAsia" w:ascii="宋体" w:hAnsi="宋体" w:cs="宋体"/>
          <w:color w:val="000000"/>
          <w:sz w:val="24"/>
          <w:lang w:val="en-US" w:eastAsia="zh-CN"/>
        </w:rPr>
      </w:pPr>
      <w:r>
        <w:rPr>
          <w:rFonts w:ascii="宋体" w:hAnsi="宋体" w:cs="宋体"/>
          <w:color w:val="000000"/>
          <w:sz w:val="24"/>
        </w:rPr>
        <w:t>3.</w:t>
      </w:r>
      <w:r>
        <w:rPr>
          <w:rFonts w:hint="eastAsia" w:ascii="宋体" w:hAnsi="宋体" w:cs="宋体"/>
          <w:color w:val="000000"/>
          <w:sz w:val="24"/>
        </w:rPr>
        <w:t>预算金额：</w:t>
      </w:r>
      <w:r>
        <w:rPr>
          <w:rFonts w:hint="eastAsia" w:ascii="宋体" w:hAnsi="宋体" w:cs="宋体"/>
          <w:color w:val="000000"/>
          <w:sz w:val="24"/>
          <w:lang w:val="en-US" w:eastAsia="zh-CN"/>
        </w:rPr>
        <w:t>6万</w:t>
      </w:r>
    </w:p>
    <w:p>
      <w:pPr>
        <w:spacing w:line="420" w:lineRule="exact"/>
        <w:ind w:firstLine="480" w:firstLineChars="200"/>
        <w:rPr>
          <w:rFonts w:ascii="宋体" w:hAnsi="宋体" w:cs="宋体"/>
          <w:color w:val="FF0000"/>
          <w:sz w:val="24"/>
        </w:rPr>
      </w:pPr>
      <w:r>
        <w:rPr>
          <w:rFonts w:ascii="宋体" w:hAnsi="宋体" w:cs="宋体"/>
          <w:color w:val="000000"/>
          <w:sz w:val="24"/>
        </w:rPr>
        <w:t>4</w:t>
      </w:r>
      <w:r>
        <w:rPr>
          <w:rFonts w:hint="eastAsia" w:ascii="宋体" w:hAnsi="宋体" w:cs="宋体"/>
          <w:color w:val="000000"/>
          <w:sz w:val="24"/>
        </w:rPr>
        <w:t>、服务期：</w:t>
      </w:r>
      <w:r>
        <w:rPr>
          <w:rFonts w:ascii="宋体" w:hAnsi="宋体" w:cs="宋体"/>
          <w:color w:val="FF0000"/>
          <w:sz w:val="24"/>
        </w:rPr>
        <w:t xml:space="preserve"> </w:t>
      </w:r>
      <w:r>
        <w:rPr>
          <w:rFonts w:hint="eastAsia" w:ascii="宋体" w:hAnsi="宋体" w:cs="宋体"/>
          <w:color w:val="FF0000"/>
          <w:sz w:val="24"/>
        </w:rPr>
        <w:t>3年</w:t>
      </w:r>
    </w:p>
    <w:bookmarkEnd w:id="5"/>
    <w:bookmarkEnd w:id="6"/>
    <w:bookmarkEnd w:id="7"/>
    <w:bookmarkEnd w:id="8"/>
    <w:p>
      <w:pPr>
        <w:spacing w:line="420" w:lineRule="exact"/>
        <w:rPr>
          <w:rFonts w:ascii="宋体" w:cs="宋体"/>
          <w:b/>
          <w:bCs/>
          <w:color w:val="000000"/>
          <w:sz w:val="24"/>
        </w:rPr>
      </w:pPr>
      <w:bookmarkStart w:id="12" w:name="_Toc35393792"/>
      <w:bookmarkStart w:id="13" w:name="_Toc28359081"/>
      <w:bookmarkStart w:id="14" w:name="_Toc28359004"/>
      <w:bookmarkStart w:id="15" w:name="_Toc35393623"/>
      <w:r>
        <w:rPr>
          <w:rFonts w:hint="eastAsia" w:ascii="宋体" w:hAnsi="宋体" w:cs="宋体"/>
          <w:b/>
          <w:bCs/>
          <w:color w:val="000000"/>
          <w:sz w:val="24"/>
        </w:rPr>
        <w:t>二、供应商资格要求：</w:t>
      </w:r>
    </w:p>
    <w:p>
      <w:pPr>
        <w:tabs>
          <w:tab w:val="left" w:pos="7061"/>
        </w:tabs>
        <w:adjustRightInd w:val="0"/>
        <w:snapToGrid w:val="0"/>
        <w:spacing w:line="360" w:lineRule="auto"/>
        <w:ind w:firstLine="420" w:firstLineChars="200"/>
        <w:rPr>
          <w:rFonts w:ascii="宋体" w:hAnsi="宋体"/>
          <w:szCs w:val="21"/>
        </w:rPr>
      </w:pPr>
      <w:r>
        <w:rPr>
          <w:rFonts w:hint="eastAsia" w:ascii="宋体" w:hAnsi="宋体"/>
          <w:szCs w:val="21"/>
        </w:rPr>
        <w:t>1、符合《中华人民共和国政府采购法》第二十二条的要求；</w:t>
      </w:r>
    </w:p>
    <w:p>
      <w:pPr>
        <w:tabs>
          <w:tab w:val="left" w:pos="7061"/>
        </w:tabs>
        <w:adjustRightInd w:val="0"/>
        <w:snapToGrid w:val="0"/>
        <w:spacing w:line="360" w:lineRule="auto"/>
        <w:ind w:firstLine="420" w:firstLineChars="200"/>
        <w:rPr>
          <w:rFonts w:ascii="宋体" w:hAnsi="宋体"/>
          <w:szCs w:val="21"/>
        </w:rPr>
      </w:pPr>
      <w:r>
        <w:rPr>
          <w:rFonts w:hint="eastAsia" w:ascii="宋体" w:hAnsi="宋体"/>
          <w:szCs w:val="21"/>
        </w:rPr>
        <w:t>2、具有独立企业法人资格；</w:t>
      </w:r>
    </w:p>
    <w:p>
      <w:pPr>
        <w:tabs>
          <w:tab w:val="left" w:pos="7061"/>
        </w:tabs>
        <w:adjustRightInd w:val="0"/>
        <w:snapToGrid w:val="0"/>
        <w:spacing w:line="360" w:lineRule="auto"/>
        <w:ind w:firstLine="420" w:firstLineChars="200"/>
        <w:rPr>
          <w:rFonts w:ascii="宋体" w:hAnsi="宋体"/>
          <w:szCs w:val="21"/>
        </w:rPr>
      </w:pPr>
      <w:r>
        <w:rPr>
          <w:rFonts w:hint="eastAsia" w:ascii="宋体" w:hAnsi="宋体"/>
          <w:szCs w:val="21"/>
        </w:rPr>
        <w:t>3、营业执照含白蚁防治经营范围。</w:t>
      </w:r>
    </w:p>
    <w:p>
      <w:pPr>
        <w:tabs>
          <w:tab w:val="left" w:pos="7061"/>
        </w:tabs>
        <w:adjustRightInd w:val="0"/>
        <w:snapToGrid w:val="0"/>
        <w:spacing w:line="360" w:lineRule="auto"/>
        <w:ind w:firstLine="420" w:firstLineChars="200"/>
        <w:rPr>
          <w:rFonts w:ascii="宋体" w:hAnsi="宋体"/>
          <w:szCs w:val="21"/>
        </w:rPr>
      </w:pPr>
      <w:r>
        <w:rPr>
          <w:rFonts w:hint="eastAsia" w:ascii="宋体" w:hAnsi="宋体"/>
          <w:szCs w:val="21"/>
        </w:rPr>
        <w:t>3、须具备国家主管部门核发的有害生物防制标准B级及以上资质 ；</w:t>
      </w:r>
    </w:p>
    <w:p>
      <w:pPr>
        <w:tabs>
          <w:tab w:val="left" w:pos="7061"/>
        </w:tabs>
        <w:adjustRightInd w:val="0"/>
        <w:snapToGrid w:val="0"/>
        <w:spacing w:line="360" w:lineRule="auto"/>
        <w:ind w:firstLine="420" w:firstLineChars="200"/>
        <w:rPr>
          <w:rFonts w:ascii="宋体" w:hAnsi="宋体"/>
          <w:szCs w:val="21"/>
        </w:rPr>
      </w:pPr>
      <w:r>
        <w:rPr>
          <w:rFonts w:hint="eastAsia" w:ascii="宋体" w:hAnsi="宋体"/>
          <w:szCs w:val="21"/>
        </w:rPr>
        <w:t>4、近三年（自投标截止时间往前推，以合同签订日期为准）至少承接过一项类似工程业绩（附证明材料：中标通知书或合同 ）；</w:t>
      </w:r>
    </w:p>
    <w:p>
      <w:pPr>
        <w:tabs>
          <w:tab w:val="left" w:pos="7061"/>
        </w:tabs>
        <w:adjustRightInd w:val="0"/>
        <w:snapToGrid w:val="0"/>
        <w:spacing w:line="360" w:lineRule="auto"/>
        <w:ind w:firstLine="420" w:firstLineChars="200"/>
        <w:rPr>
          <w:rFonts w:ascii="宋体" w:hAnsi="宋体"/>
          <w:szCs w:val="21"/>
        </w:rPr>
      </w:pPr>
      <w:r>
        <w:rPr>
          <w:rFonts w:hint="eastAsia" w:ascii="宋体" w:hAnsi="宋体"/>
          <w:szCs w:val="21"/>
        </w:rPr>
        <w:t>5、拟投入本项目管理机构负责人具备有害生物防制员高级技术职称；</w:t>
      </w:r>
    </w:p>
    <w:p>
      <w:pPr>
        <w:tabs>
          <w:tab w:val="left" w:pos="7061"/>
        </w:tabs>
        <w:adjustRightInd w:val="0"/>
        <w:snapToGrid w:val="0"/>
        <w:spacing w:line="360" w:lineRule="auto"/>
        <w:ind w:firstLine="420" w:firstLineChars="200"/>
        <w:rPr>
          <w:rFonts w:ascii="宋体" w:hAnsi="宋体"/>
          <w:szCs w:val="21"/>
        </w:rPr>
      </w:pPr>
      <w:r>
        <w:rPr>
          <w:rFonts w:hint="eastAsia" w:ascii="宋体" w:hAnsi="宋体"/>
          <w:szCs w:val="21"/>
        </w:rPr>
        <w:t>6、投标人、法定代表人及项目负责人在近两年期间内无行贿犯罪记录。</w:t>
      </w:r>
    </w:p>
    <w:p>
      <w:pPr>
        <w:tabs>
          <w:tab w:val="left" w:pos="7061"/>
        </w:tabs>
        <w:adjustRightInd w:val="0"/>
        <w:snapToGrid w:val="0"/>
        <w:spacing w:line="360" w:lineRule="auto"/>
        <w:ind w:firstLine="420" w:firstLineChars="200"/>
        <w:rPr>
          <w:rFonts w:ascii="宋体" w:hAnsi="宋体"/>
          <w:szCs w:val="21"/>
        </w:rPr>
      </w:pPr>
      <w:r>
        <w:rPr>
          <w:rFonts w:hint="eastAsia" w:ascii="宋体" w:hAnsi="宋体"/>
          <w:szCs w:val="21"/>
        </w:rPr>
        <w:t xml:space="preserve">7、投标人参加政府采购活动前三年内未被列入“信用中国”网站（www.creditchina.gov.cn)失信被执行人、重大税收违法案件当事人、政府采购严重违法失信行为纪录名单和“中国政府采购”网站（www.ccgp.gov.cn）政府采购严重违法失信行为记录名单（以递交投标文件截止当日查询结果为准）； </w:t>
      </w:r>
    </w:p>
    <w:p>
      <w:pPr>
        <w:tabs>
          <w:tab w:val="left" w:pos="7061"/>
        </w:tabs>
        <w:adjustRightInd w:val="0"/>
        <w:snapToGrid w:val="0"/>
        <w:spacing w:line="360" w:lineRule="auto"/>
        <w:ind w:firstLine="420" w:firstLineChars="200"/>
        <w:rPr>
          <w:rFonts w:ascii="宋体" w:hAnsi="宋体"/>
          <w:szCs w:val="21"/>
        </w:rPr>
      </w:pPr>
      <w:r>
        <w:rPr>
          <w:rFonts w:hint="eastAsia" w:ascii="宋体" w:hAnsi="宋体"/>
          <w:szCs w:val="21"/>
        </w:rPr>
        <w:t>8、本次招标不接受联合体投标。</w:t>
      </w:r>
    </w:p>
    <w:bookmarkEnd w:id="12"/>
    <w:bookmarkEnd w:id="13"/>
    <w:bookmarkEnd w:id="14"/>
    <w:bookmarkEnd w:id="15"/>
    <w:p>
      <w:pPr>
        <w:spacing w:line="420" w:lineRule="exact"/>
        <w:rPr>
          <w:rFonts w:ascii="宋体" w:cs="宋体"/>
          <w:b/>
          <w:bCs/>
          <w:sz w:val="24"/>
        </w:rPr>
      </w:pPr>
      <w:bookmarkStart w:id="16" w:name="_Toc28359084"/>
      <w:bookmarkStart w:id="17" w:name="_Toc35393794"/>
      <w:bookmarkStart w:id="18" w:name="_Toc28359007"/>
      <w:bookmarkStart w:id="19" w:name="_Toc35393625"/>
      <w:r>
        <w:rPr>
          <w:rFonts w:hint="eastAsia" w:ascii="宋体" w:hAnsi="宋体" w:cs="宋体"/>
          <w:b/>
          <w:bCs/>
          <w:sz w:val="24"/>
        </w:rPr>
        <w:t>三、报名及</w:t>
      </w:r>
      <w:r>
        <w:rPr>
          <w:rFonts w:hint="eastAsia" w:ascii="宋体" w:hAnsi="宋体" w:cs="宋体"/>
          <w:b/>
          <w:bCs/>
          <w:sz w:val="24"/>
          <w:lang w:val="en-US" w:eastAsia="zh-CN"/>
        </w:rPr>
        <w:t>谈判</w:t>
      </w:r>
      <w:r>
        <w:rPr>
          <w:rFonts w:hint="eastAsia" w:ascii="宋体" w:hAnsi="宋体" w:cs="宋体"/>
          <w:b/>
          <w:bCs/>
          <w:sz w:val="24"/>
        </w:rPr>
        <w:t>文件获取方式：</w:t>
      </w:r>
    </w:p>
    <w:p>
      <w:pPr>
        <w:snapToGrid w:val="0"/>
        <w:spacing w:line="420" w:lineRule="exact"/>
        <w:ind w:firstLine="504" w:firstLineChars="210"/>
        <w:rPr>
          <w:rFonts w:ascii="宋体" w:hAnsi="宋体" w:cs="宋体"/>
          <w:sz w:val="24"/>
        </w:rPr>
      </w:pPr>
      <w:r>
        <w:rPr>
          <w:rFonts w:ascii="宋体" w:hAnsi="宋体" w:cs="宋体"/>
          <w:sz w:val="24"/>
        </w:rPr>
        <w:t>1</w:t>
      </w:r>
      <w:r>
        <w:rPr>
          <w:rFonts w:hint="eastAsia" w:ascii="宋体" w:hAnsi="宋体" w:cs="宋体"/>
          <w:sz w:val="24"/>
        </w:rPr>
        <w:t>．报名地点：黄石市中心医院行政楼8</w:t>
      </w:r>
      <w:r>
        <w:rPr>
          <w:rFonts w:hint="eastAsia" w:ascii="宋体" w:hAnsi="宋体" w:cs="宋体"/>
          <w:sz w:val="24"/>
          <w:lang w:val="en-US" w:eastAsia="zh-CN"/>
        </w:rPr>
        <w:t>19</w:t>
      </w:r>
      <w:r>
        <w:rPr>
          <w:rFonts w:hint="eastAsia" w:ascii="宋体" w:hAnsi="宋体" w:cs="宋体"/>
          <w:sz w:val="24"/>
        </w:rPr>
        <w:t xml:space="preserve">办公室 </w:t>
      </w:r>
    </w:p>
    <w:p>
      <w:pPr>
        <w:snapToGrid w:val="0"/>
        <w:spacing w:line="420" w:lineRule="exact"/>
        <w:ind w:firstLine="504" w:firstLineChars="210"/>
        <w:rPr>
          <w:rFonts w:ascii="宋体" w:hAnsi="宋体" w:cs="宋体"/>
          <w:sz w:val="24"/>
        </w:rPr>
      </w:pPr>
      <w:r>
        <w:rPr>
          <w:rFonts w:hint="eastAsia" w:ascii="宋体" w:hAnsi="宋体" w:cs="宋体"/>
          <w:sz w:val="24"/>
        </w:rPr>
        <w:t xml:space="preserve">   联系人：邵奇    电话：</w:t>
      </w:r>
      <w:r>
        <w:rPr>
          <w:rFonts w:ascii="宋体" w:hAnsi="宋体" w:cs="宋体"/>
          <w:sz w:val="24"/>
        </w:rPr>
        <w:t>13797788685</w:t>
      </w:r>
    </w:p>
    <w:p>
      <w:pPr>
        <w:snapToGrid w:val="0"/>
        <w:spacing w:line="420" w:lineRule="exact"/>
        <w:ind w:firstLine="504" w:firstLineChars="210"/>
        <w:rPr>
          <w:rFonts w:hint="default" w:ascii="宋体" w:hAnsi="宋体" w:eastAsia="宋体" w:cs="宋体"/>
          <w:sz w:val="24"/>
          <w:lang w:val="en-US" w:eastAsia="zh-CN"/>
        </w:rPr>
      </w:pPr>
      <w:r>
        <w:rPr>
          <w:rFonts w:hint="eastAsia" w:ascii="宋体" w:hAnsi="宋体" w:cs="宋体"/>
          <w:sz w:val="24"/>
          <w:lang w:val="en-US" w:eastAsia="zh-CN"/>
        </w:rPr>
        <w:t xml:space="preserve">   报名时间：2022年5月5日-2022年5月12</w:t>
      </w:r>
      <w:bookmarkStart w:id="76" w:name="_GoBack"/>
      <w:bookmarkEnd w:id="76"/>
      <w:r>
        <w:rPr>
          <w:rFonts w:hint="eastAsia" w:ascii="宋体" w:hAnsi="宋体" w:cs="宋体"/>
          <w:sz w:val="24"/>
          <w:lang w:val="en-US" w:eastAsia="zh-CN"/>
        </w:rPr>
        <w:t>日</w:t>
      </w:r>
    </w:p>
    <w:p>
      <w:pPr>
        <w:snapToGrid w:val="0"/>
        <w:spacing w:line="420" w:lineRule="exact"/>
        <w:ind w:firstLine="504" w:firstLineChars="210"/>
        <w:rPr>
          <w:rFonts w:ascii="宋体" w:hAnsi="宋体" w:cs="宋体"/>
          <w:sz w:val="24"/>
        </w:rPr>
      </w:pPr>
      <w:r>
        <w:rPr>
          <w:rFonts w:ascii="宋体" w:hAnsi="宋体" w:cs="宋体"/>
          <w:sz w:val="24"/>
        </w:rPr>
        <w:t>2</w:t>
      </w:r>
      <w:r>
        <w:rPr>
          <w:rFonts w:hint="eastAsia" w:ascii="宋体" w:hAnsi="宋体" w:cs="宋体"/>
          <w:sz w:val="24"/>
        </w:rPr>
        <w:t>．报名时必须提供“供应商资格要求”资料的复印件（加盖公章）。</w:t>
      </w:r>
    </w:p>
    <w:p>
      <w:pPr>
        <w:spacing w:line="420" w:lineRule="exact"/>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本项目竞争性</w:t>
      </w:r>
      <w:r>
        <w:rPr>
          <w:rFonts w:hint="eastAsia" w:ascii="宋体" w:hAnsi="宋体" w:cs="宋体"/>
          <w:sz w:val="24"/>
          <w:lang w:eastAsia="zh-CN"/>
        </w:rPr>
        <w:t>谈判</w:t>
      </w:r>
      <w:r>
        <w:rPr>
          <w:rFonts w:hint="eastAsia" w:ascii="宋体" w:hAnsi="宋体" w:cs="宋体"/>
          <w:sz w:val="24"/>
        </w:rPr>
        <w:t>文件于鄂东医疗集团官网上发布。</w:t>
      </w:r>
    </w:p>
    <w:bookmarkEnd w:id="16"/>
    <w:bookmarkEnd w:id="17"/>
    <w:bookmarkEnd w:id="18"/>
    <w:bookmarkEnd w:id="19"/>
    <w:p>
      <w:pPr>
        <w:pStyle w:val="37"/>
        <w:rPr>
          <w:rFonts w:ascii="宋体" w:hAnsi="宋体" w:cs="宋体"/>
        </w:rPr>
      </w:pPr>
    </w:p>
    <w:bookmarkEnd w:id="9"/>
    <w:bookmarkEnd w:id="10"/>
    <w:bookmarkEnd w:id="11"/>
    <w:p>
      <w:pPr>
        <w:pStyle w:val="4"/>
      </w:pPr>
      <w:bookmarkStart w:id="20" w:name="_Toc120411798"/>
      <w:bookmarkStart w:id="21" w:name="_Toc535832519"/>
      <w:bookmarkStart w:id="22" w:name="_Toc13748"/>
    </w:p>
    <w:p/>
    <w:p>
      <w:pPr>
        <w:pStyle w:val="4"/>
      </w:pPr>
      <w:r>
        <w:t>二、谈判文件</w:t>
      </w:r>
      <w:bookmarkEnd w:id="20"/>
      <w:bookmarkEnd w:id="21"/>
      <w:bookmarkEnd w:id="22"/>
    </w:p>
    <w:p>
      <w:pPr>
        <w:pStyle w:val="112"/>
        <w:tabs>
          <w:tab w:val="left" w:pos="1155"/>
          <w:tab w:val="clear" w:pos="425"/>
          <w:tab w:val="clear" w:pos="1134"/>
        </w:tabs>
        <w:spacing w:before="0" w:after="0"/>
        <w:ind w:left="1157" w:hanging="1157"/>
      </w:pPr>
      <w:bookmarkStart w:id="23" w:name="_Toc120411799"/>
      <w:bookmarkStart w:id="24" w:name="_Toc16768"/>
      <w:bookmarkStart w:id="25" w:name="_Toc535832520"/>
      <w:r>
        <w:t>谈判文件的构成</w:t>
      </w:r>
      <w:bookmarkEnd w:id="23"/>
      <w:bookmarkEnd w:id="24"/>
      <w:bookmarkEnd w:id="25"/>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谈判文件</w:t>
      </w:r>
      <w:r>
        <w:rPr>
          <w:rFonts w:hint="eastAsia" w:ascii="宋体" w:hAnsi="宋体" w:cs="Arial"/>
          <w:kern w:val="0"/>
          <w:sz w:val="24"/>
        </w:rPr>
        <w:t>用以阐明所需</w:t>
      </w:r>
      <w:r>
        <w:rPr>
          <w:rFonts w:ascii="宋体" w:hAnsi="宋体" w:cs="Arial"/>
          <w:kern w:val="0"/>
          <w:sz w:val="24"/>
        </w:rPr>
        <w:t>货物</w:t>
      </w:r>
      <w:r>
        <w:rPr>
          <w:rFonts w:hint="eastAsia" w:ascii="宋体" w:hAnsi="宋体" w:cs="Arial"/>
          <w:kern w:val="0"/>
          <w:sz w:val="24"/>
        </w:rPr>
        <w:t>及</w:t>
      </w:r>
      <w:r>
        <w:rPr>
          <w:rFonts w:ascii="宋体" w:hAnsi="宋体" w:cs="Arial"/>
          <w:kern w:val="0"/>
          <w:sz w:val="24"/>
        </w:rPr>
        <w:t>服务、谈判</w:t>
      </w:r>
      <w:r>
        <w:rPr>
          <w:rFonts w:hint="eastAsia" w:ascii="宋体" w:hAnsi="宋体" w:cs="Arial"/>
          <w:kern w:val="0"/>
          <w:sz w:val="24"/>
        </w:rPr>
        <w:t>程序</w:t>
      </w:r>
      <w:r>
        <w:rPr>
          <w:rFonts w:ascii="宋体" w:hAnsi="宋体" w:cs="Arial"/>
          <w:kern w:val="0"/>
          <w:sz w:val="24"/>
        </w:rPr>
        <w:t>和合同条款。谈判文件共</w:t>
      </w:r>
      <w:r>
        <w:rPr>
          <w:rFonts w:hint="eastAsia" w:ascii="宋体" w:hAnsi="宋体" w:cs="Arial"/>
          <w:kern w:val="0"/>
          <w:sz w:val="24"/>
        </w:rPr>
        <w:t>六</w:t>
      </w:r>
      <w:r>
        <w:rPr>
          <w:rFonts w:ascii="宋体" w:hAnsi="宋体" w:cs="Arial"/>
          <w:kern w:val="0"/>
          <w:sz w:val="24"/>
        </w:rPr>
        <w:t>章。具体内容如下：</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谈判公告（代采购</w:t>
      </w:r>
      <w:r>
        <w:rPr>
          <w:rFonts w:ascii="宋体" w:hAnsi="宋体" w:cs="Arial"/>
          <w:sz w:val="24"/>
        </w:rPr>
        <w:t>邀请</w:t>
      </w:r>
      <w:r>
        <w:rPr>
          <w:rFonts w:hint="eastAsia" w:ascii="宋体" w:hAnsi="宋体" w:cs="Arial"/>
          <w:sz w:val="24"/>
        </w:rPr>
        <w:t>）</w:t>
      </w:r>
    </w:p>
    <w:p>
      <w:pPr>
        <w:numPr>
          <w:ilvl w:val="0"/>
          <w:numId w:val="5"/>
        </w:numPr>
        <w:tabs>
          <w:tab w:val="left" w:pos="2577"/>
          <w:tab w:val="clear" w:pos="1737"/>
        </w:tabs>
        <w:spacing w:line="560" w:lineRule="exact"/>
        <w:ind w:left="1722" w:leftChars="820"/>
        <w:rPr>
          <w:rFonts w:ascii="宋体" w:hAnsi="宋体" w:cs="Arial"/>
          <w:sz w:val="24"/>
        </w:rPr>
      </w:pPr>
      <w:r>
        <w:rPr>
          <w:rFonts w:ascii="宋体" w:hAnsi="宋体" w:cs="Arial"/>
          <w:sz w:val="24"/>
        </w:rPr>
        <w:t>供应商须知</w:t>
      </w:r>
      <w:r>
        <w:rPr>
          <w:rFonts w:hint="eastAsia" w:ascii="宋体" w:hAnsi="宋体" w:cs="Arial"/>
          <w:sz w:val="24"/>
        </w:rPr>
        <w:t>及前附表</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项目采购需求</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除9.1内容外，采购人以书面形式发出的对谈判文件的澄清或修改内容，均为谈判文件的组成部分，对采购人和供应商起约束作用。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供应商获取谈判文件后，应仔细检查谈判文件的所有内容，如发现缺页或附件不全，应在获得谈判文件1日内向采购代理机构提出，以便补齐。否则，由此引起的损失由供应商自己承担。</w:t>
      </w:r>
    </w:p>
    <w:p>
      <w:pPr>
        <w:pStyle w:val="112"/>
        <w:tabs>
          <w:tab w:val="left" w:pos="1155"/>
          <w:tab w:val="clear" w:pos="425"/>
          <w:tab w:val="clear" w:pos="1134"/>
        </w:tabs>
        <w:spacing w:before="0" w:after="0"/>
        <w:ind w:left="1157" w:hanging="1157"/>
      </w:pPr>
      <w:bookmarkStart w:id="26" w:name="_Toc27507"/>
      <w:bookmarkStart w:id="27" w:name="_Toc535832522"/>
      <w:bookmarkStart w:id="28" w:name="_Toc120411801"/>
      <w:r>
        <w:rPr>
          <w:rFonts w:hint="eastAsia"/>
        </w:rPr>
        <w:t>谈判文件疑问的提交</w:t>
      </w:r>
      <w:bookmarkEnd w:id="26"/>
    </w:p>
    <w:p>
      <w:pPr>
        <w:numPr>
          <w:ilvl w:val="1"/>
          <w:numId w:val="4"/>
        </w:numPr>
        <w:tabs>
          <w:tab w:val="left" w:pos="567"/>
          <w:tab w:val="left" w:pos="1155"/>
          <w:tab w:val="left" w:pos="2247"/>
        </w:tabs>
        <w:spacing w:line="560" w:lineRule="exact"/>
        <w:ind w:left="1155" w:hanging="1155"/>
        <w:rPr>
          <w:rFonts w:ascii="宋体" w:hAnsi="宋体" w:cs="Arial"/>
          <w:kern w:val="0"/>
          <w:sz w:val="24"/>
        </w:rPr>
      </w:pPr>
      <w:r>
        <w:rPr>
          <w:rFonts w:hint="eastAsia" w:ascii="宋体" w:hAnsi="宋体" w:cs="Arial"/>
          <w:kern w:val="0"/>
          <w:sz w:val="24"/>
        </w:rPr>
        <w:t>供应商对谈判文件的疑问，可以在收到谈判文件之日或谈判文件公告期限届满之日起，以询问函的方式书面（包括信函、传真等，下同）向采购代理机构提出，采购代理机构将以书面形式在3个工作日内予以答复；也可以按本章第七节的要求提出质疑，将按规定以书面形式予以答复。</w:t>
      </w:r>
    </w:p>
    <w:p>
      <w:pPr>
        <w:numPr>
          <w:ilvl w:val="1"/>
          <w:numId w:val="4"/>
        </w:numPr>
        <w:tabs>
          <w:tab w:val="left" w:pos="567"/>
          <w:tab w:val="left" w:pos="1155"/>
        </w:tabs>
        <w:spacing w:line="500" w:lineRule="exact"/>
        <w:ind w:left="1155" w:hanging="1155"/>
        <w:rPr>
          <w:rFonts w:ascii="宋体" w:hAnsi="宋体" w:cs="Arial"/>
          <w:kern w:val="0"/>
          <w:sz w:val="24"/>
        </w:rPr>
      </w:pPr>
      <w:r>
        <w:rPr>
          <w:rFonts w:hint="eastAsia" w:ascii="宋体" w:hAnsi="宋体" w:cs="Arial"/>
          <w:kern w:val="0"/>
          <w:sz w:val="24"/>
        </w:rPr>
        <w:t>供应商在规定的时间内未对谈判文件提出疑问的，</w:t>
      </w:r>
      <w:r>
        <w:rPr>
          <w:rFonts w:hint="eastAsia"/>
          <w:sz w:val="24"/>
        </w:rPr>
        <w:t>采购人将视作其同意，对在规定时间后就谈判文件内容提出的询问或质疑将不予受理。</w:t>
      </w:r>
    </w:p>
    <w:p>
      <w:pPr>
        <w:pStyle w:val="112"/>
        <w:tabs>
          <w:tab w:val="left" w:pos="1155"/>
          <w:tab w:val="clear" w:pos="425"/>
          <w:tab w:val="clear" w:pos="1134"/>
        </w:tabs>
        <w:spacing w:before="0" w:after="0"/>
        <w:ind w:left="1157" w:hanging="1157"/>
      </w:pPr>
      <w:bookmarkStart w:id="29" w:name="_Toc30155"/>
      <w:r>
        <w:rPr>
          <w:rFonts w:hint="eastAsia"/>
        </w:rPr>
        <w:t>通知</w:t>
      </w:r>
      <w:bookmarkEnd w:id="29"/>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对与本项目有关的通知，采购代理机构将以书面或电子邮件或在本谈判公告刊登的媒体上发布公告的形式，送达所有领取了谈判文件的供应商，电子邮箱地址和传真号码以供应商的登记为准。收到通知的供应商应以同等方式立即予以回复确认。因登记有误或邮箱服务器、传真线路故障导致通知延迟送达或无法送达，采购代理机构不承担责任。</w:t>
      </w:r>
    </w:p>
    <w:bookmarkEnd w:id="27"/>
    <w:bookmarkEnd w:id="28"/>
    <w:p>
      <w:pPr>
        <w:pStyle w:val="4"/>
      </w:pPr>
      <w:bookmarkStart w:id="30" w:name="_Toc535832523"/>
      <w:bookmarkStart w:id="31" w:name="_Toc120411802"/>
      <w:bookmarkStart w:id="32" w:name="_Toc5242"/>
      <w:r>
        <w:t>三、响应文件的编制</w:t>
      </w:r>
      <w:bookmarkEnd w:id="30"/>
      <w:bookmarkEnd w:id="31"/>
      <w:r>
        <w:rPr>
          <w:rFonts w:hint="eastAsia"/>
        </w:rPr>
        <w:t>、装订、</w:t>
      </w:r>
      <w:r>
        <w:t>密封和标记</w:t>
      </w:r>
      <w:bookmarkEnd w:id="32"/>
    </w:p>
    <w:p>
      <w:pPr>
        <w:pStyle w:val="112"/>
        <w:tabs>
          <w:tab w:val="left" w:pos="1155"/>
          <w:tab w:val="clear" w:pos="425"/>
          <w:tab w:val="clear" w:pos="1134"/>
        </w:tabs>
        <w:spacing w:before="0" w:after="0"/>
        <w:ind w:left="1157" w:hanging="1157"/>
      </w:pPr>
      <w:bookmarkStart w:id="33" w:name="_Toc120411803"/>
      <w:bookmarkStart w:id="34" w:name="_Toc535832524"/>
      <w:bookmarkStart w:id="35" w:name="_Toc10505"/>
      <w:r>
        <w:t>响应文件的语言及计量</w:t>
      </w:r>
      <w:bookmarkEnd w:id="33"/>
      <w:bookmarkEnd w:id="34"/>
      <w:bookmarkEnd w:id="35"/>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供应商提交的响应文件以及供应商与采购人和采购代理机构就有关谈判的所有往来函电均应使用中文书写。供应商提交的</w:t>
      </w:r>
      <w:r>
        <w:rPr>
          <w:rFonts w:hint="eastAsia" w:ascii="宋体" w:hAnsi="宋体" w:cs="Arial"/>
          <w:kern w:val="0"/>
          <w:sz w:val="24"/>
        </w:rPr>
        <w:t>材料</w:t>
      </w:r>
      <w:r>
        <w:rPr>
          <w:rFonts w:ascii="宋体" w:hAnsi="宋体" w:cs="Arial"/>
          <w:kern w:val="0"/>
          <w:sz w:val="24"/>
        </w:rPr>
        <w:t>可以用另一种语言，但相应内容应附中文翻译本，存在差异和矛盾时以中文翻译本为准。</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除谈判文件另有规定外，在响应文件中以及所有供应商与采购人和采购代理机构往来文件中的计量单位均应采用中华人民共和国法定计量单位。</w:t>
      </w:r>
    </w:p>
    <w:p>
      <w:pPr>
        <w:pStyle w:val="112"/>
        <w:tabs>
          <w:tab w:val="left" w:pos="1155"/>
          <w:tab w:val="clear" w:pos="425"/>
          <w:tab w:val="clear" w:pos="1134"/>
        </w:tabs>
        <w:spacing w:before="0" w:after="0"/>
        <w:ind w:left="1157" w:hanging="1157"/>
      </w:pPr>
      <w:bookmarkStart w:id="36" w:name="_Toc24505"/>
      <w:bookmarkStart w:id="37" w:name="_Toc120411804"/>
      <w:bookmarkStart w:id="38" w:name="_Toc535832525"/>
      <w:r>
        <w:t>响应文件的构成</w:t>
      </w:r>
      <w:bookmarkEnd w:id="36"/>
      <w:bookmarkEnd w:id="37"/>
      <w:bookmarkEnd w:id="38"/>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供应商应严格按照谈判文件中的有关要求如实编制响应文件，并提供证明材料，对资料和填写的内容的真实性和正确性负责。</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供应商所递交的响应文件主要包括：按本谈判文件第六章要求编制。</w:t>
      </w:r>
    </w:p>
    <w:p>
      <w:pPr>
        <w:pStyle w:val="112"/>
        <w:tabs>
          <w:tab w:val="left" w:pos="1155"/>
          <w:tab w:val="clear" w:pos="425"/>
          <w:tab w:val="clear" w:pos="1134"/>
        </w:tabs>
        <w:spacing w:before="0" w:after="0"/>
        <w:ind w:left="1157" w:hanging="1157"/>
      </w:pPr>
      <w:bookmarkStart w:id="39" w:name="_Toc19459"/>
      <w:bookmarkStart w:id="40" w:name="_Toc120411806"/>
      <w:bookmarkStart w:id="41" w:name="_Toc535832527"/>
      <w:r>
        <w:rPr>
          <w:rFonts w:hint="eastAsia"/>
        </w:rPr>
        <w:t>谈判</w:t>
      </w:r>
      <w:r>
        <w:t>报价</w:t>
      </w:r>
      <w:bookmarkEnd w:id="39"/>
      <w:bookmarkEnd w:id="40"/>
      <w:bookmarkEnd w:id="41"/>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供应商一律用</w:t>
      </w:r>
      <w:r>
        <w:rPr>
          <w:rFonts w:hint="eastAsia" w:ascii="宋体" w:hAnsi="宋体" w:cs="Arial"/>
          <w:kern w:val="0"/>
          <w:sz w:val="24"/>
        </w:rPr>
        <w:t>人民币</w:t>
      </w:r>
      <w:r>
        <w:rPr>
          <w:rFonts w:ascii="宋体" w:hAnsi="宋体" w:cs="Arial"/>
          <w:kern w:val="0"/>
          <w:sz w:val="24"/>
        </w:rPr>
        <w:t>报价</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供应商的谈判报价应包括完成本项目的全部费用,</w:t>
      </w:r>
      <w:r>
        <w:rPr>
          <w:rFonts w:hint="eastAsia"/>
          <w:sz w:val="24"/>
        </w:rPr>
        <w:t xml:space="preserve"> </w:t>
      </w:r>
      <w:r>
        <w:rPr>
          <w:rFonts w:hint="eastAsia" w:ascii="宋体" w:hAnsi="宋体" w:cs="Arial"/>
          <w:kern w:val="0"/>
          <w:sz w:val="24"/>
        </w:rPr>
        <w:t xml:space="preserve">供应商对报价的准确性和完整性负责，任何漏报、错报等均是供应商的风险。   </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sz w:val="24"/>
        </w:rPr>
        <w:t>谈判报价只允许一个报价，任何有可供选择的报价将不予接受。</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本项目谈判报价在合同执行过程中是固定不变的，供应商应充分考虑合同履行期间的市场风险和国家政策性调整风险，一并考虑谈判报价。除合同约定的情况外，供应商不得以任何理由在合同执行期间要求予以价格调整。</w:t>
      </w:r>
    </w:p>
    <w:p>
      <w:pPr>
        <w:pStyle w:val="112"/>
        <w:tabs>
          <w:tab w:val="left" w:pos="1155"/>
          <w:tab w:val="clear" w:pos="425"/>
          <w:tab w:val="clear" w:pos="1134"/>
        </w:tabs>
        <w:spacing w:before="0" w:after="0"/>
        <w:ind w:left="1157" w:hanging="1157"/>
      </w:pPr>
      <w:bookmarkStart w:id="42" w:name="_Toc120411811"/>
      <w:bookmarkStart w:id="43" w:name="_Toc535832532"/>
      <w:bookmarkStart w:id="44" w:name="_Toc19911"/>
      <w:r>
        <w:t>谈判有效期</w:t>
      </w:r>
      <w:bookmarkEnd w:id="42"/>
      <w:bookmarkEnd w:id="43"/>
      <w:bookmarkEnd w:id="4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谈判有效期见</w:t>
      </w:r>
      <w:r>
        <w:rPr>
          <w:rFonts w:hint="eastAsia" w:ascii="宋体" w:hAnsi="宋体" w:cs="Arial"/>
          <w:kern w:val="0"/>
          <w:sz w:val="24"/>
        </w:rPr>
        <w:t>供应商</w:t>
      </w:r>
      <w:r>
        <w:rPr>
          <w:rFonts w:ascii="宋体" w:hAnsi="宋体" w:cs="Arial"/>
          <w:kern w:val="0"/>
          <w:sz w:val="24"/>
        </w:rPr>
        <w:t>须知前附表。谈判有效期不满足要求的谈判将被视为非</w:t>
      </w:r>
      <w:r>
        <w:rPr>
          <w:rFonts w:hint="eastAsia" w:ascii="宋体" w:hAnsi="宋体" w:cs="Arial"/>
          <w:kern w:val="0"/>
          <w:sz w:val="24"/>
        </w:rPr>
        <w:t>实质</w:t>
      </w:r>
      <w:r>
        <w:rPr>
          <w:rFonts w:ascii="宋体" w:hAnsi="宋体" w:cs="Arial"/>
          <w:kern w:val="0"/>
          <w:sz w:val="24"/>
        </w:rPr>
        <w:t>响应性谈判而</w:t>
      </w:r>
      <w:r>
        <w:rPr>
          <w:rFonts w:hint="eastAsia" w:ascii="宋体" w:hAnsi="宋体" w:cs="Arial"/>
          <w:kern w:val="0"/>
          <w:sz w:val="24"/>
        </w:rPr>
        <w:t>按无效谈判处理</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在谈判有效期内，供应商撤销或修改其响应文件的，应承担法律和谈判文件规定的责任。</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需要延长谈判有效期的，采购代理机构将以书面形式通知所有供应商延长谈判有效期。 供应商同意延长的，应相应延长其谈判保证金的有效期，但不得要求修改或撤销其响应文件；供应商拒绝延长的，其谈判失效。</w:t>
      </w:r>
    </w:p>
    <w:p>
      <w:pPr>
        <w:pStyle w:val="112"/>
        <w:tabs>
          <w:tab w:val="left" w:pos="1155"/>
          <w:tab w:val="clear" w:pos="425"/>
          <w:tab w:val="clear" w:pos="1134"/>
        </w:tabs>
        <w:spacing w:before="0" w:after="0"/>
        <w:ind w:left="1157" w:hanging="1157"/>
      </w:pPr>
      <w:bookmarkStart w:id="45" w:name="_Toc109616875"/>
      <w:bookmarkStart w:id="46" w:name="_Toc47348161"/>
      <w:bookmarkStart w:id="47" w:name="_Toc121195753"/>
      <w:bookmarkStart w:id="48" w:name="_Toc11828"/>
      <w:bookmarkStart w:id="49" w:name="_Toc120411810"/>
      <w:bookmarkStart w:id="50" w:name="_Toc535832531"/>
      <w:r>
        <w:rPr>
          <w:rFonts w:hint="eastAsia"/>
        </w:rPr>
        <w:t>响应文件格式</w:t>
      </w:r>
      <w:bookmarkEnd w:id="45"/>
      <w:bookmarkEnd w:id="46"/>
      <w:bookmarkEnd w:id="47"/>
      <w:r>
        <w:rPr>
          <w:rFonts w:hint="eastAsia"/>
        </w:rPr>
        <w:t>和签署</w:t>
      </w:r>
      <w:bookmarkEnd w:id="48"/>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应当按照</w:t>
      </w:r>
      <w:r>
        <w:rPr>
          <w:rFonts w:ascii="宋体" w:hAnsi="宋体" w:cs="Arial"/>
          <w:kern w:val="0"/>
          <w:sz w:val="24"/>
        </w:rPr>
        <w:t>本谈判须知规定</w:t>
      </w:r>
      <w:r>
        <w:rPr>
          <w:rFonts w:hint="eastAsia" w:ascii="宋体" w:hAnsi="宋体" w:cs="Arial"/>
          <w:kern w:val="0"/>
          <w:sz w:val="24"/>
        </w:rPr>
        <w:t>和要求</w:t>
      </w:r>
      <w:r>
        <w:rPr>
          <w:rFonts w:ascii="宋体" w:hAnsi="宋体" w:cs="Arial"/>
          <w:kern w:val="0"/>
          <w:sz w:val="24"/>
        </w:rPr>
        <w:t>的内容</w:t>
      </w:r>
      <w:r>
        <w:rPr>
          <w:rFonts w:hint="eastAsia" w:ascii="宋体" w:hAnsi="宋体" w:cs="Arial"/>
          <w:kern w:val="0"/>
          <w:sz w:val="24"/>
        </w:rPr>
        <w:t>进行编写</w:t>
      </w:r>
      <w:r>
        <w:rPr>
          <w:rFonts w:ascii="宋体" w:hAnsi="宋体" w:cs="Arial"/>
          <w:kern w:val="0"/>
          <w:sz w:val="24"/>
        </w:rPr>
        <w:t>，供应商提交的响应文件必须毫无例外地使用谈判文件所提供的响应文件格式（表格可以按同样格式扩展）。</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纸张为A4，图纸（如有）可为A3或其他格式纸张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份数见供应商须知前附表。响应文件</w:t>
      </w:r>
      <w:r>
        <w:rPr>
          <w:rFonts w:ascii="宋体" w:hAnsi="宋体"/>
          <w:color w:val="000000"/>
          <w:kern w:val="0"/>
          <w:sz w:val="24"/>
        </w:rPr>
        <w:t>正、副本都应</w:t>
      </w:r>
      <w:r>
        <w:rPr>
          <w:rFonts w:hint="eastAsia" w:ascii="宋体" w:hAnsi="宋体"/>
          <w:color w:val="000000"/>
          <w:kern w:val="0"/>
          <w:sz w:val="24"/>
        </w:rPr>
        <w:t>编排目录</w:t>
      </w:r>
      <w:r>
        <w:rPr>
          <w:rFonts w:hint="eastAsia" w:ascii="宋体" w:hAnsi="宋体"/>
          <w:b/>
          <w:color w:val="000000"/>
          <w:kern w:val="0"/>
          <w:sz w:val="24"/>
        </w:rPr>
        <w:t>，</w:t>
      </w:r>
      <w:r>
        <w:rPr>
          <w:rFonts w:ascii="宋体" w:hAnsi="宋体" w:cs="Arial"/>
          <w:kern w:val="0"/>
          <w:sz w:val="24"/>
        </w:rPr>
        <w:t>每份响应文件须清楚地标明“正本”</w:t>
      </w:r>
      <w:r>
        <w:rPr>
          <w:rFonts w:hint="eastAsia" w:ascii="宋体" w:hAnsi="宋体" w:cs="Arial"/>
          <w:kern w:val="0"/>
          <w:sz w:val="24"/>
        </w:rPr>
        <w:t>、</w:t>
      </w:r>
      <w:r>
        <w:rPr>
          <w:rFonts w:ascii="宋体" w:hAnsi="宋体" w:cs="Arial"/>
          <w:kern w:val="0"/>
          <w:sz w:val="24"/>
        </w:rPr>
        <w:t>“副本”</w:t>
      </w:r>
      <w:r>
        <w:rPr>
          <w:rFonts w:hint="eastAsia" w:ascii="宋体" w:hAnsi="宋体" w:cs="Arial"/>
          <w:kern w:val="0"/>
          <w:sz w:val="24"/>
        </w:rPr>
        <w:t>。</w:t>
      </w:r>
      <w:r>
        <w:rPr>
          <w:rFonts w:ascii="宋体" w:hAnsi="宋体" w:cs="Arial"/>
          <w:kern w:val="0"/>
          <w:sz w:val="24"/>
        </w:rPr>
        <w:t>若正本和副本不符，以正本为准。响应文件副本可以是正本的复印件</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供应商应根据谈判文件的要求，在响应文件的适当位置填写供应商全称、加盖供应商公章、签署法定代表人或法定代表人授权代表的全名。</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响应文件如有涂改之处，应由供应商的法定代表人或法定代表人授权代表签字。</w:t>
      </w:r>
    </w:p>
    <w:bookmarkEnd w:id="49"/>
    <w:bookmarkEnd w:id="50"/>
    <w:p>
      <w:pPr>
        <w:pStyle w:val="112"/>
        <w:tabs>
          <w:tab w:val="left" w:pos="1155"/>
          <w:tab w:val="clear" w:pos="425"/>
          <w:tab w:val="clear" w:pos="1134"/>
        </w:tabs>
        <w:spacing w:before="0" w:after="0"/>
        <w:ind w:left="1157" w:hanging="1157"/>
      </w:pPr>
      <w:bookmarkStart w:id="51" w:name="_Toc120411814"/>
      <w:bookmarkStart w:id="52" w:name="_Toc535832536"/>
      <w:bookmarkStart w:id="53" w:name="_Toc21612"/>
      <w:r>
        <w:t>响应文件的</w:t>
      </w:r>
      <w:bookmarkEnd w:id="51"/>
      <w:bookmarkEnd w:id="52"/>
      <w:r>
        <w:rPr>
          <w:rFonts w:hint="eastAsia"/>
        </w:rPr>
        <w:t>装订、密封和标记</w:t>
      </w:r>
      <w:bookmarkEnd w:id="53"/>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装订要求见供应商须知前附表。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密封要求见供应商须知前附表。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封面标记要求见供应商须知前附表。</w:t>
      </w:r>
    </w:p>
    <w:p>
      <w:pPr>
        <w:pStyle w:val="4"/>
      </w:pPr>
      <w:bookmarkStart w:id="54" w:name="_Toc2604"/>
      <w:r>
        <w:rPr>
          <w:rFonts w:hint="eastAsia"/>
        </w:rPr>
        <w:t>四</w:t>
      </w:r>
      <w:r>
        <w:t>、</w:t>
      </w:r>
      <w:bookmarkStart w:id="55" w:name="_Toc535832541"/>
      <w:bookmarkStart w:id="56" w:name="_Toc120411819"/>
      <w:r>
        <w:rPr>
          <w:rFonts w:hint="eastAsia"/>
        </w:rPr>
        <w:t>谈判</w:t>
      </w:r>
      <w:bookmarkEnd w:id="54"/>
    </w:p>
    <w:bookmarkEnd w:id="55"/>
    <w:bookmarkEnd w:id="56"/>
    <w:p>
      <w:pPr>
        <w:pStyle w:val="112"/>
        <w:tabs>
          <w:tab w:val="left" w:pos="1155"/>
          <w:tab w:val="clear" w:pos="425"/>
          <w:tab w:val="clear" w:pos="1134"/>
        </w:tabs>
        <w:spacing w:before="0" w:after="0"/>
        <w:ind w:left="1157" w:hanging="1157"/>
      </w:pPr>
      <w:bookmarkStart w:id="57" w:name="_Toc17380"/>
      <w:r>
        <w:t>响应文件</w:t>
      </w:r>
      <w:r>
        <w:rPr>
          <w:rFonts w:hint="eastAsia"/>
        </w:rPr>
        <w:t>的提交</w:t>
      </w:r>
      <w:bookmarkEnd w:id="5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响应文件提交截止时间和地点详见供应商须知前附表，</w:t>
      </w:r>
      <w:r>
        <w:rPr>
          <w:rFonts w:ascii="宋体" w:hAnsi="宋体" w:cs="Arial"/>
          <w:kern w:val="0"/>
          <w:sz w:val="24"/>
        </w:rPr>
        <w:t>供应商</w:t>
      </w:r>
      <w:r>
        <w:rPr>
          <w:rFonts w:hint="eastAsia" w:ascii="宋体" w:hAnsi="宋体" w:cs="Arial"/>
          <w:kern w:val="0"/>
          <w:sz w:val="24"/>
        </w:rPr>
        <w:t>应当按规定时间</w:t>
      </w:r>
      <w:r>
        <w:rPr>
          <w:rFonts w:ascii="宋体" w:hAnsi="宋体" w:cs="Arial"/>
          <w:kern w:val="0"/>
          <w:sz w:val="24"/>
        </w:rPr>
        <w:t>将</w:t>
      </w:r>
      <w:r>
        <w:rPr>
          <w:rFonts w:hint="eastAsia" w:ascii="宋体" w:hAnsi="宋体" w:cs="Arial"/>
          <w:kern w:val="0"/>
          <w:sz w:val="24"/>
        </w:rPr>
        <w:t>密封</w:t>
      </w:r>
      <w:r>
        <w:rPr>
          <w:rFonts w:ascii="宋体" w:hAnsi="宋体" w:cs="Arial"/>
          <w:kern w:val="0"/>
          <w:sz w:val="24"/>
        </w:rPr>
        <w:t>的响应文件正本和所有副本</w:t>
      </w:r>
      <w:r>
        <w:rPr>
          <w:rFonts w:hint="eastAsia" w:ascii="宋体" w:hAnsi="宋体" w:cs="Arial"/>
          <w:kern w:val="0"/>
          <w:sz w:val="24"/>
        </w:rPr>
        <w:t>送达至谈判地点。</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如果</w:t>
      </w:r>
      <w:r>
        <w:rPr>
          <w:rFonts w:ascii="宋体" w:hAnsi="宋体" w:cs="Arial"/>
          <w:kern w:val="0"/>
          <w:sz w:val="24"/>
        </w:rPr>
        <w:t>采购人和采购代理机构决定</w:t>
      </w:r>
      <w:r>
        <w:rPr>
          <w:rFonts w:hint="eastAsia" w:ascii="宋体" w:hAnsi="宋体" w:cs="Arial"/>
          <w:kern w:val="0"/>
          <w:sz w:val="24"/>
        </w:rPr>
        <w:t>更改</w:t>
      </w:r>
      <w:r>
        <w:rPr>
          <w:rFonts w:ascii="宋体" w:hAnsi="宋体" w:cs="Arial"/>
          <w:kern w:val="0"/>
          <w:sz w:val="24"/>
        </w:rPr>
        <w:t>谈判截止</w:t>
      </w:r>
      <w:r>
        <w:rPr>
          <w:rFonts w:hint="eastAsia" w:ascii="宋体" w:hAnsi="宋体" w:cs="Arial"/>
          <w:kern w:val="0"/>
          <w:sz w:val="24"/>
        </w:rPr>
        <w:t>时间，</w:t>
      </w:r>
      <w:r>
        <w:rPr>
          <w:rFonts w:ascii="宋体" w:hAnsi="宋体" w:cs="Arial"/>
          <w:kern w:val="0"/>
          <w:sz w:val="24"/>
        </w:rPr>
        <w:t>采购代理机构、采购人和供应商受谈判截止</w:t>
      </w:r>
      <w:r>
        <w:rPr>
          <w:rFonts w:hint="eastAsia" w:ascii="宋体" w:hAnsi="宋体" w:cs="Arial"/>
          <w:kern w:val="0"/>
          <w:sz w:val="24"/>
        </w:rPr>
        <w:t>时间</w:t>
      </w:r>
      <w:r>
        <w:rPr>
          <w:rFonts w:ascii="宋体" w:hAnsi="宋体" w:cs="Arial"/>
          <w:kern w:val="0"/>
          <w:sz w:val="24"/>
        </w:rPr>
        <w:t>制约的所有权利和义务均应</w:t>
      </w:r>
      <w:r>
        <w:rPr>
          <w:rFonts w:hint="eastAsia" w:ascii="宋体" w:hAnsi="宋体" w:cs="Arial"/>
          <w:kern w:val="0"/>
          <w:sz w:val="24"/>
        </w:rPr>
        <w:t>以</w:t>
      </w:r>
      <w:r>
        <w:rPr>
          <w:rFonts w:ascii="宋体" w:hAnsi="宋体" w:cs="Arial"/>
          <w:kern w:val="0"/>
          <w:sz w:val="24"/>
        </w:rPr>
        <w:t>新的截止</w:t>
      </w:r>
      <w:r>
        <w:rPr>
          <w:rFonts w:hint="eastAsia" w:ascii="宋体" w:hAnsi="宋体" w:cs="Arial"/>
          <w:kern w:val="0"/>
          <w:sz w:val="24"/>
        </w:rPr>
        <w:t>时间为准</w:t>
      </w:r>
      <w:r>
        <w:rPr>
          <w:rFonts w:ascii="宋体" w:hAnsi="宋体" w:cs="Arial"/>
          <w:kern w:val="0"/>
          <w:sz w:val="24"/>
        </w:rPr>
        <w:t>。</w:t>
      </w:r>
    </w:p>
    <w:p>
      <w:pPr>
        <w:pStyle w:val="112"/>
        <w:tabs>
          <w:tab w:val="left" w:pos="1155"/>
          <w:tab w:val="clear" w:pos="425"/>
          <w:tab w:val="clear" w:pos="1134"/>
        </w:tabs>
        <w:spacing w:before="0" w:after="0"/>
        <w:ind w:left="1157" w:hanging="1157"/>
      </w:pPr>
      <w:bookmarkStart w:id="58" w:name="_Toc18751"/>
      <w:bookmarkStart w:id="59" w:name="_Toc120411816"/>
      <w:bookmarkStart w:id="60" w:name="_Toc535832538"/>
      <w:r>
        <w:t>响应文件的</w:t>
      </w:r>
      <w:r>
        <w:rPr>
          <w:rFonts w:hint="eastAsia"/>
        </w:rPr>
        <w:t>拒收</w:t>
      </w:r>
      <w:bookmarkEnd w:id="58"/>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在截止时间后送达的响应文件，采购人、采购代理机构</w:t>
      </w:r>
      <w:r>
        <w:rPr>
          <w:rFonts w:ascii="宋体" w:hAnsi="宋体" w:cs="Arial"/>
          <w:kern w:val="0"/>
          <w:sz w:val="24"/>
        </w:rPr>
        <w:t>将拒</w:t>
      </w:r>
      <w:r>
        <w:rPr>
          <w:rFonts w:hint="eastAsia" w:ascii="宋体" w:hAnsi="宋体" w:cs="Arial"/>
          <w:kern w:val="0"/>
          <w:sz w:val="24"/>
        </w:rPr>
        <w:t>收</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递交投标文件的代表未按下列要求提供证明材料的，采购人、采购代理机构将拒收。</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法定代表人递交的，持个人有效身份证明（居民身份证、护照、社会保障卡、驾驶证等其中之一）和法定代表人证明书（格式见本谈判文件第六章）。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法定代表人授权代表递交的，持个人有效身份证明（居民身份证、护照、社会保障卡、驾驶证等其中之一）和法定代表人授权委托书（格式见本谈判文件第六章）。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身份证明原件应当与复印件保持一致。</w:t>
      </w:r>
    </w:p>
    <w:p>
      <w:pPr>
        <w:pStyle w:val="112"/>
        <w:tabs>
          <w:tab w:val="left" w:pos="1155"/>
          <w:tab w:val="clear" w:pos="425"/>
          <w:tab w:val="clear" w:pos="1134"/>
        </w:tabs>
        <w:spacing w:before="0" w:after="0"/>
        <w:ind w:left="1157" w:hanging="1157"/>
      </w:pPr>
      <w:bookmarkStart w:id="61" w:name="_Toc5977"/>
      <w:r>
        <w:rPr>
          <w:rFonts w:hint="eastAsia"/>
        </w:rPr>
        <w:t>应文件的补充、修改或撤回</w:t>
      </w:r>
      <w:bookmarkEnd w:id="61"/>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在提交响应文件截止时间前，可以对所提交的响应文件进行补充、修改或撤回，并书面通知采购人、采购代理机构；补充、修改的内容应当按照谈判文件要求签署、盖章、密封后，作为响应文件的组成部分。</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除法律规定情形外</w:t>
      </w:r>
      <w:r>
        <w:rPr>
          <w:rFonts w:ascii="宋体" w:hAnsi="宋体" w:cs="Arial"/>
          <w:kern w:val="0"/>
          <w:sz w:val="24"/>
        </w:rPr>
        <w:t>，供应商不得修改其响应文件</w:t>
      </w:r>
      <w:r>
        <w:rPr>
          <w:rFonts w:hint="eastAsia" w:ascii="宋体" w:hAnsi="宋体" w:cs="Arial"/>
          <w:kern w:val="0"/>
          <w:sz w:val="24"/>
        </w:rPr>
        <w:t>，或退出谈判</w:t>
      </w:r>
      <w:r>
        <w:rPr>
          <w:rFonts w:ascii="宋体" w:hAnsi="宋体" w:cs="Arial"/>
          <w:kern w:val="0"/>
          <w:sz w:val="24"/>
        </w:rPr>
        <w:t xml:space="preserve">。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供应商所提交的响应文件在谈判结束后，无论成交与否都不退还。</w:t>
      </w:r>
    </w:p>
    <w:bookmarkEnd w:id="59"/>
    <w:bookmarkEnd w:id="60"/>
    <w:p>
      <w:pPr>
        <w:pStyle w:val="112"/>
        <w:tabs>
          <w:tab w:val="left" w:pos="1155"/>
          <w:tab w:val="clear" w:pos="425"/>
          <w:tab w:val="clear" w:pos="1134"/>
        </w:tabs>
        <w:spacing w:before="0" w:after="0"/>
        <w:ind w:left="1157" w:hanging="1157"/>
      </w:pPr>
      <w:bookmarkStart w:id="62" w:name="_Toc29052"/>
      <w:r>
        <w:rPr>
          <w:rFonts w:hint="eastAsia"/>
        </w:rPr>
        <w:t>谈判时间和地点</w:t>
      </w:r>
      <w:bookmarkEnd w:id="62"/>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采购代理机构</w:t>
      </w:r>
      <w:r>
        <w:rPr>
          <w:rFonts w:hint="eastAsia" w:ascii="宋体" w:hAnsi="宋体" w:cs="Arial"/>
          <w:kern w:val="0"/>
          <w:sz w:val="24"/>
        </w:rPr>
        <w:t>按供应商须知前附表</w:t>
      </w:r>
      <w:r>
        <w:rPr>
          <w:rFonts w:ascii="宋体" w:hAnsi="宋体" w:cs="Arial"/>
          <w:kern w:val="0"/>
          <w:sz w:val="24"/>
        </w:rPr>
        <w:t>规定的日期、时间和地点</w:t>
      </w:r>
      <w:r>
        <w:rPr>
          <w:rFonts w:hint="eastAsia" w:ascii="宋体" w:hAnsi="宋体" w:cs="Arial"/>
          <w:kern w:val="0"/>
          <w:sz w:val="24"/>
        </w:rPr>
        <w:t>组织谈判</w:t>
      </w:r>
      <w:r>
        <w:rPr>
          <w:rFonts w:ascii="宋体" w:hAnsi="宋体" w:cs="Arial"/>
          <w:kern w:val="0"/>
          <w:sz w:val="24"/>
        </w:rPr>
        <w:t>。</w:t>
      </w:r>
    </w:p>
    <w:p>
      <w:pPr>
        <w:pStyle w:val="112"/>
        <w:tabs>
          <w:tab w:val="left" w:pos="1155"/>
          <w:tab w:val="clear" w:pos="425"/>
          <w:tab w:val="clear" w:pos="1134"/>
        </w:tabs>
        <w:spacing w:before="0" w:after="0"/>
        <w:ind w:left="1157" w:hanging="1157"/>
      </w:pPr>
      <w:bookmarkStart w:id="63" w:name="_Toc14581"/>
      <w:r>
        <w:t>谈判小组的组成和</w:t>
      </w:r>
      <w:r>
        <w:rPr>
          <w:rFonts w:hint="eastAsia"/>
        </w:rPr>
        <w:t>评审办法</w:t>
      </w:r>
      <w:bookmarkEnd w:id="63"/>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谈判小组的组成见供应商须知前附表。</w:t>
      </w:r>
      <w:r>
        <w:rPr>
          <w:rFonts w:hint="eastAsia" w:ascii="宋体" w:hAnsi="宋体" w:cs="宋体"/>
          <w:kern w:val="0"/>
          <w:sz w:val="24"/>
        </w:rPr>
        <w:t>采购人若参加</w:t>
      </w:r>
      <w:r>
        <w:rPr>
          <w:rFonts w:hint="eastAsia" w:ascii="宋体" w:hAnsi="宋体" w:cs="Arial"/>
          <w:kern w:val="0"/>
          <w:sz w:val="24"/>
        </w:rPr>
        <w:t>谈判小组的，应当委派</w:t>
      </w:r>
      <w:r>
        <w:rPr>
          <w:rFonts w:hint="eastAsia" w:ascii="宋体" w:hAnsi="宋体" w:cs="宋体"/>
          <w:kern w:val="0"/>
          <w:sz w:val="24"/>
        </w:rPr>
        <w:t>代表</w:t>
      </w:r>
      <w:r>
        <w:rPr>
          <w:rFonts w:hint="eastAsia" w:ascii="宋体" w:hAnsi="宋体" w:cs="Arial"/>
          <w:kern w:val="0"/>
          <w:sz w:val="24"/>
        </w:rPr>
        <w:t>并出具</w:t>
      </w:r>
      <w:r>
        <w:rPr>
          <w:rFonts w:hint="eastAsia" w:ascii="宋体" w:hAnsi="宋体" w:cs="宋体"/>
          <w:kern w:val="0"/>
          <w:sz w:val="24"/>
        </w:rPr>
        <w:t>授权函。</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谈判小组设组长1名，由谈判小组成员选举确定（但采购人代表不得担任），组长与其他成员有同等评审权，仅负责组织评审活动，不得干预谈判小组其他成员的评审。</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谈判小组全体成员必须遵守评审纪律。</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本</w:t>
      </w:r>
      <w:r>
        <w:rPr>
          <w:rFonts w:hint="eastAsia" w:ascii="宋体" w:hAnsi="宋体" w:cs="Arial"/>
          <w:kern w:val="0"/>
          <w:sz w:val="24"/>
        </w:rPr>
        <w:t>项目</w:t>
      </w:r>
      <w:r>
        <w:rPr>
          <w:rFonts w:ascii="宋体" w:hAnsi="宋体" w:cs="Arial"/>
          <w:kern w:val="0"/>
          <w:sz w:val="24"/>
        </w:rPr>
        <w:t>评</w:t>
      </w:r>
      <w:r>
        <w:rPr>
          <w:rFonts w:hint="eastAsia" w:ascii="宋体" w:hAnsi="宋体" w:cs="Arial"/>
          <w:kern w:val="0"/>
          <w:sz w:val="24"/>
        </w:rPr>
        <w:t>审办法详</w:t>
      </w:r>
      <w:r>
        <w:rPr>
          <w:rFonts w:ascii="宋体" w:hAnsi="宋体" w:cs="Arial"/>
          <w:kern w:val="0"/>
          <w:sz w:val="24"/>
        </w:rPr>
        <w:t>见第</w:t>
      </w:r>
      <w:r>
        <w:rPr>
          <w:rFonts w:hint="eastAsia" w:ascii="宋体" w:hAnsi="宋体" w:cs="Arial"/>
          <w:kern w:val="0"/>
          <w:sz w:val="24"/>
        </w:rPr>
        <w:t>四</w:t>
      </w:r>
      <w:r>
        <w:rPr>
          <w:rFonts w:ascii="宋体" w:hAnsi="宋体" w:cs="Arial"/>
          <w:kern w:val="0"/>
          <w:sz w:val="24"/>
        </w:rPr>
        <w:t>章</w:t>
      </w:r>
      <w:r>
        <w:rPr>
          <w:rFonts w:hint="eastAsia" w:ascii="宋体" w:hAnsi="宋体" w:cs="Arial"/>
          <w:kern w:val="0"/>
          <w:sz w:val="24"/>
        </w:rPr>
        <w:t>《评审办法》</w:t>
      </w:r>
      <w:r>
        <w:rPr>
          <w:rFonts w:ascii="宋体" w:hAnsi="宋体" w:cs="Arial"/>
          <w:kern w:val="0"/>
          <w:sz w:val="24"/>
        </w:rPr>
        <w:t>。</w:t>
      </w:r>
      <w:r>
        <w:rPr>
          <w:rFonts w:hint="eastAsia" w:ascii="宋体" w:hAnsi="宋体" w:cs="Arial"/>
          <w:kern w:val="0"/>
          <w:sz w:val="24"/>
        </w:rPr>
        <w:t>谈判文件没有规定的</w:t>
      </w:r>
      <w:r>
        <w:rPr>
          <w:rFonts w:ascii="宋体" w:hAnsi="宋体" w:cs="Arial"/>
          <w:kern w:val="0"/>
          <w:sz w:val="24"/>
        </w:rPr>
        <w:t>评审办法及</w:t>
      </w:r>
      <w:r>
        <w:rPr>
          <w:rFonts w:hint="eastAsia" w:ascii="宋体" w:hAnsi="宋体" w:cs="Arial"/>
          <w:kern w:val="0"/>
          <w:sz w:val="24"/>
        </w:rPr>
        <w:t>原则不得作为评审的依据。</w:t>
      </w:r>
    </w:p>
    <w:p>
      <w:pPr>
        <w:pStyle w:val="112"/>
        <w:tabs>
          <w:tab w:val="left" w:pos="1155"/>
          <w:tab w:val="clear" w:pos="425"/>
          <w:tab w:val="clear" w:pos="1134"/>
        </w:tabs>
        <w:spacing w:before="0" w:after="0"/>
        <w:ind w:left="1157" w:hanging="1157"/>
      </w:pPr>
      <w:bookmarkStart w:id="64" w:name="_Toc14159"/>
      <w:r>
        <w:rPr>
          <w:rFonts w:hint="eastAsia"/>
        </w:rPr>
        <w:t>谈判程序</w:t>
      </w:r>
      <w:bookmarkEnd w:id="64"/>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宣布谈判会纪律。</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介绍谈判项目情况。</w:t>
      </w:r>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介绍参加</w:t>
      </w:r>
      <w:r>
        <w:rPr>
          <w:rFonts w:hint="eastAsia" w:ascii="宋体" w:hAnsi="宋体" w:cs="Arial"/>
          <w:kern w:val="0"/>
          <w:sz w:val="24"/>
        </w:rPr>
        <w:t>谈判</w:t>
      </w:r>
      <w:r>
        <w:rPr>
          <w:rFonts w:ascii="宋体" w:hAnsi="宋体" w:cs="Arial"/>
          <w:kern w:val="0"/>
          <w:sz w:val="24"/>
        </w:rPr>
        <w:t>会的单位和人员</w:t>
      </w:r>
      <w:r>
        <w:rPr>
          <w:rFonts w:hint="eastAsia" w:ascii="宋体" w:hAnsi="宋体" w:cs="Arial"/>
          <w:kern w:val="0"/>
          <w:sz w:val="24"/>
        </w:rPr>
        <w:t>，供应商认为采购人、采购代理机构、谈判小组成员及相关工作人员有需要回避的情形的，应当场提出回避申请。采购人、采购代理机构对供应商代表提出的回避申请应当及时处理。</w:t>
      </w:r>
    </w:p>
    <w:p>
      <w:pPr>
        <w:numPr>
          <w:ilvl w:val="1"/>
          <w:numId w:val="4"/>
        </w:numPr>
        <w:tabs>
          <w:tab w:val="left" w:pos="567"/>
          <w:tab w:val="left" w:pos="1155"/>
        </w:tabs>
        <w:spacing w:line="560" w:lineRule="exact"/>
        <w:ind w:left="1157" w:hanging="1157"/>
        <w:rPr>
          <w:rFonts w:ascii="宋体" w:hAnsi="宋体" w:cs="Arial"/>
          <w:spacing w:val="-1"/>
          <w:kern w:val="0"/>
          <w:sz w:val="24"/>
        </w:rPr>
      </w:pPr>
      <w:r>
        <w:rPr>
          <w:rFonts w:hint="eastAsia" w:ascii="宋体" w:hAnsi="宋体" w:cs="Arial"/>
          <w:kern w:val="0"/>
          <w:sz w:val="24"/>
        </w:rPr>
        <w:t>由供应商或其推选的代表查验响应文件密封情况。</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供应商通过抽签确定谈判顺序。</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启封响应文件</w:t>
      </w:r>
      <w:r>
        <w:rPr>
          <w:rFonts w:ascii="宋体" w:hAnsi="宋体" w:cs="Arial"/>
          <w:kern w:val="0"/>
          <w:sz w:val="24"/>
        </w:rPr>
        <w:t>，</w:t>
      </w:r>
      <w:r>
        <w:rPr>
          <w:rFonts w:hint="eastAsia" w:ascii="宋体" w:hAnsi="宋体" w:cs="Arial"/>
          <w:kern w:val="0"/>
          <w:sz w:val="24"/>
        </w:rPr>
        <w:t>由</w:t>
      </w:r>
      <w:r>
        <w:rPr>
          <w:rFonts w:ascii="宋体" w:hAnsi="宋体" w:cs="Arial"/>
          <w:kern w:val="0"/>
          <w:sz w:val="24"/>
        </w:rPr>
        <w:t>谈判小组按照本谈判文件第</w:t>
      </w:r>
      <w:r>
        <w:rPr>
          <w:rFonts w:hint="eastAsia" w:ascii="宋体" w:hAnsi="宋体" w:cs="Arial"/>
          <w:kern w:val="0"/>
          <w:sz w:val="24"/>
        </w:rPr>
        <w:t>四</w:t>
      </w:r>
      <w:r>
        <w:rPr>
          <w:rFonts w:ascii="宋体" w:hAnsi="宋体" w:cs="Arial"/>
          <w:kern w:val="0"/>
          <w:sz w:val="24"/>
        </w:rPr>
        <w:t>章规定的资格性审查和符合性审查程序、办法和标准，对供应商进行资格性审查和符合性审查，通过资格性审查和符合性审查的供应商方可进入</w:t>
      </w:r>
      <w:r>
        <w:rPr>
          <w:rFonts w:hint="eastAsia" w:ascii="宋体" w:hAnsi="宋体" w:cs="Arial"/>
          <w:kern w:val="0"/>
          <w:sz w:val="24"/>
        </w:rPr>
        <w:t>正式</w:t>
      </w:r>
      <w:r>
        <w:rPr>
          <w:rFonts w:ascii="宋体" w:hAnsi="宋体" w:cs="Arial"/>
          <w:kern w:val="0"/>
          <w:sz w:val="24"/>
        </w:rPr>
        <w:t>谈判。</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正式</w:t>
      </w:r>
      <w:r>
        <w:rPr>
          <w:rFonts w:ascii="宋体" w:hAnsi="宋体" w:cs="Arial"/>
          <w:kern w:val="0"/>
          <w:sz w:val="24"/>
        </w:rPr>
        <w:t>谈判</w:t>
      </w:r>
      <w:r>
        <w:rPr>
          <w:rFonts w:hint="eastAsia" w:ascii="宋体" w:hAnsi="宋体" w:cs="Arial"/>
          <w:kern w:val="0"/>
          <w:sz w:val="24"/>
        </w:rPr>
        <w:t>程序：</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按抽签顺序，每一供应商单独进入谈判会场，由谈判小组所有成员集中与之进行谈判；上一供应商未退出谈判会场时，下一供应商不得入场。</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供应商。 </w:t>
      </w:r>
    </w:p>
    <w:p>
      <w:pPr>
        <w:tabs>
          <w:tab w:val="left" w:pos="1155"/>
        </w:tabs>
        <w:spacing w:line="560" w:lineRule="exact"/>
        <w:ind w:left="1157"/>
        <w:rPr>
          <w:rFonts w:ascii="宋体" w:hAnsi="宋体" w:cs="Arial"/>
          <w:kern w:val="0"/>
          <w:sz w:val="24"/>
        </w:rPr>
      </w:pPr>
      <w:r>
        <w:rPr>
          <w:rFonts w:ascii="宋体" w:hAnsi="宋体" w:cs="Arial"/>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cs="Arial"/>
          <w:kern w:val="0"/>
          <w:sz w:val="24"/>
        </w:rPr>
        <w:t>如</w:t>
      </w:r>
      <w:r>
        <w:rPr>
          <w:rFonts w:ascii="宋体" w:hAnsi="宋体" w:cs="Arial"/>
          <w:kern w:val="0"/>
          <w:sz w:val="24"/>
        </w:rPr>
        <w:t>有需要，谈判小组可进行多轮谈判，直至最终确定谈判文件中的技术、服务要求以及合同草案条款</w:t>
      </w:r>
      <w:r>
        <w:rPr>
          <w:rFonts w:hint="eastAsia" w:ascii="宋体" w:hAnsi="宋体" w:cs="Arial"/>
          <w:kern w:val="0"/>
          <w:sz w:val="24"/>
        </w:rPr>
        <w:t>，但应当给予所有参加谈判的供应商平等的谈判机会。</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最后报价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第1种情形：</w:t>
      </w:r>
      <w:r>
        <w:rPr>
          <w:rFonts w:ascii="宋体" w:hAnsi="宋体" w:cs="Arial"/>
          <w:kern w:val="0"/>
          <w:sz w:val="24"/>
        </w:rPr>
        <w:t xml:space="preserve">谈判文件能够详细列明采购标的的技术、服务要求的，谈判结束后，谈判小组应当要求所有继续参加谈判的供应商在规定时间内提交最后报价，提交最后报价的供应商不得少于3家。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第2种情形：</w:t>
      </w:r>
      <w:r>
        <w:rPr>
          <w:rFonts w:ascii="宋体" w:hAnsi="宋体" w:cs="Arial"/>
          <w:kern w:val="0"/>
          <w:sz w:val="24"/>
        </w:rPr>
        <w:t xml:space="preserve">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w:t>
      </w:r>
    </w:p>
    <w:p>
      <w:pPr>
        <w:tabs>
          <w:tab w:val="left" w:pos="1155"/>
        </w:tabs>
        <w:spacing w:line="560" w:lineRule="exact"/>
        <w:ind w:left="1157"/>
        <w:rPr>
          <w:rFonts w:ascii="宋体" w:hAnsi="宋体" w:cs="Arial"/>
          <w:kern w:val="0"/>
          <w:sz w:val="24"/>
        </w:rPr>
      </w:pPr>
      <w:r>
        <w:rPr>
          <w:rFonts w:ascii="宋体" w:hAnsi="宋体" w:cs="Arial"/>
          <w:kern w:val="0"/>
          <w:sz w:val="24"/>
        </w:rPr>
        <w:t xml:space="preserve">本采购项目提交最后报价供应商的确定方式详见《供应商须知前附表》。 </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已提交响应文件的供应商，在提交最后报价之前，可以根据谈判情况退出谈判。 </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供应商采取密封形式提交最后报价。依据抽签顺序依次单独进入谈判现场向谈判小组公布其最后报价，最后报价将作为供应商综合评审的价格依据。</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采购代理机构对谈判过程进行记录，最</w:t>
      </w:r>
      <w:r>
        <w:rPr>
          <w:rFonts w:hint="eastAsia" w:ascii="宋体" w:hAnsi="宋体" w:cs="Arial"/>
          <w:kern w:val="0"/>
          <w:sz w:val="24"/>
        </w:rPr>
        <w:t>后</w:t>
      </w:r>
      <w:r>
        <w:rPr>
          <w:rFonts w:ascii="宋体" w:hAnsi="宋体" w:cs="Arial"/>
          <w:kern w:val="0"/>
          <w:sz w:val="24"/>
        </w:rPr>
        <w:t>报价后</w:t>
      </w:r>
      <w:r>
        <w:rPr>
          <w:rFonts w:hint="eastAsia" w:ascii="宋体" w:hAnsi="宋体" w:cs="Arial"/>
          <w:kern w:val="0"/>
          <w:sz w:val="24"/>
        </w:rPr>
        <w:t>由供应商和相关各</w:t>
      </w:r>
      <w:r>
        <w:rPr>
          <w:rFonts w:ascii="宋体" w:hAnsi="宋体" w:cs="Arial"/>
          <w:kern w:val="0"/>
          <w:sz w:val="24"/>
        </w:rPr>
        <w:t>方在记录上签字确认</w:t>
      </w:r>
      <w:r>
        <w:rPr>
          <w:rFonts w:hint="eastAsia" w:ascii="宋体" w:hAnsi="宋体" w:cs="Arial"/>
          <w:kern w:val="0"/>
          <w:sz w:val="24"/>
        </w:rPr>
        <w:t>，随后供应商离场。</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谈判小组</w:t>
      </w:r>
      <w:r>
        <w:rPr>
          <w:rFonts w:ascii="宋体" w:hAnsi="宋体" w:cs="Arial"/>
          <w:kern w:val="0"/>
          <w:sz w:val="24"/>
        </w:rPr>
        <w:t>根据谈判文件第</w:t>
      </w:r>
      <w:r>
        <w:rPr>
          <w:rFonts w:hint="eastAsia" w:ascii="宋体" w:hAnsi="宋体" w:cs="Arial"/>
          <w:kern w:val="0"/>
          <w:sz w:val="24"/>
        </w:rPr>
        <w:t>四</w:t>
      </w:r>
      <w:r>
        <w:rPr>
          <w:rFonts w:ascii="宋体" w:hAnsi="宋体" w:cs="Arial"/>
          <w:kern w:val="0"/>
          <w:sz w:val="24"/>
        </w:rPr>
        <w:t>章规定</w:t>
      </w:r>
      <w:r>
        <w:rPr>
          <w:rFonts w:hint="eastAsia" w:ascii="宋体" w:hAnsi="宋体" w:cs="Arial"/>
          <w:kern w:val="0"/>
          <w:sz w:val="24"/>
        </w:rPr>
        <w:t>的《评审办法》进行评审，</w:t>
      </w:r>
      <w:r>
        <w:rPr>
          <w:rFonts w:ascii="宋体" w:hAnsi="宋体" w:cs="Arial"/>
          <w:kern w:val="0"/>
          <w:sz w:val="24"/>
        </w:rPr>
        <w:t>推荐成交候选供应商</w:t>
      </w:r>
      <w:r>
        <w:rPr>
          <w:rFonts w:hint="eastAsia" w:ascii="宋体" w:hAnsi="宋体" w:cs="Arial"/>
          <w:kern w:val="0"/>
          <w:sz w:val="24"/>
        </w:rPr>
        <w:t>，</w:t>
      </w:r>
      <w:r>
        <w:rPr>
          <w:rFonts w:ascii="宋体" w:hAnsi="宋体" w:cs="Arial"/>
          <w:kern w:val="0"/>
          <w:sz w:val="24"/>
        </w:rPr>
        <w:t>成交候选供应商</w:t>
      </w:r>
      <w:r>
        <w:rPr>
          <w:rFonts w:hint="eastAsia" w:ascii="宋体" w:hAnsi="宋体" w:cs="Arial"/>
          <w:kern w:val="0"/>
          <w:sz w:val="24"/>
        </w:rPr>
        <w:t>数量见《供应商须知前附表》</w:t>
      </w:r>
      <w:r>
        <w:rPr>
          <w:rFonts w:ascii="宋体" w:hAnsi="宋体" w:cs="Arial"/>
          <w:kern w:val="0"/>
          <w:sz w:val="24"/>
        </w:rPr>
        <w:t xml:space="preserve">。 </w:t>
      </w:r>
    </w:p>
    <w:p>
      <w:pPr>
        <w:spacing w:line="560" w:lineRule="exact"/>
        <w:rPr>
          <w:rFonts w:ascii="宋体" w:hAnsi="宋体" w:cs="Arial"/>
          <w:color w:val="FF0000"/>
          <w:kern w:val="0"/>
          <w:sz w:val="24"/>
        </w:rPr>
      </w:pPr>
      <w:bookmarkStart w:id="65" w:name="_Toc535832554"/>
    </w:p>
    <w:bookmarkEnd w:id="65"/>
    <w:p>
      <w:pPr>
        <w:pStyle w:val="3"/>
      </w:pPr>
      <w:bookmarkStart w:id="66" w:name="_Toc136229090"/>
      <w:bookmarkStart w:id="67" w:name="_Toc535815711"/>
      <w:bookmarkStart w:id="68" w:name="_Toc120411834"/>
      <w:bookmarkStart w:id="69" w:name="_Toc535832555"/>
      <w:bookmarkStart w:id="70" w:name="_Toc535891688"/>
      <w:bookmarkStart w:id="71" w:name="_Toc535814466"/>
      <w:bookmarkStart w:id="72" w:name="_Toc535891855"/>
      <w:r>
        <w:br w:type="page"/>
      </w:r>
      <w:bookmarkStart w:id="73" w:name="_Toc1501"/>
      <w:r>
        <w:rPr>
          <w:rFonts w:hint="eastAsia"/>
        </w:rPr>
        <w:t xml:space="preserve">第三章 </w:t>
      </w:r>
      <w:bookmarkEnd w:id="66"/>
      <w:r>
        <w:rPr>
          <w:rFonts w:hint="eastAsia"/>
        </w:rPr>
        <w:t>项目采购需求</w:t>
      </w:r>
      <w:bookmarkEnd w:id="73"/>
    </w:p>
    <w:p>
      <w:pPr>
        <w:spacing w:line="420" w:lineRule="exact"/>
        <w:rPr>
          <w:rFonts w:ascii="宋体" w:cs="宋体"/>
          <w:sz w:val="18"/>
          <w:szCs w:val="18"/>
        </w:rPr>
      </w:pPr>
      <w:bookmarkStart w:id="74" w:name="_Toc198345621"/>
      <w:bookmarkStart w:id="75" w:name="_Toc22576"/>
      <w:r>
        <w:rPr>
          <w:rFonts w:hint="eastAsia" w:ascii="宋体" w:hAnsi="宋体" w:cs="宋体"/>
          <w:b/>
          <w:bCs/>
          <w:sz w:val="24"/>
        </w:rPr>
        <w:t>一、项目概况：</w:t>
      </w:r>
    </w:p>
    <w:p>
      <w:pPr>
        <w:spacing w:line="420" w:lineRule="exact"/>
        <w:ind w:firstLine="480" w:firstLineChars="200"/>
        <w:rPr>
          <w:rFonts w:hint="eastAsia" w:ascii="宋体" w:hAnsi="宋体" w:cs="宋体"/>
          <w:sz w:val="24"/>
          <w:lang w:val="en-US" w:eastAsia="zh-CN"/>
        </w:rPr>
      </w:pPr>
      <w:r>
        <w:rPr>
          <w:rFonts w:ascii="宋体" w:hAnsi="宋体" w:cs="宋体"/>
          <w:sz w:val="24"/>
        </w:rPr>
        <w:t>1.</w:t>
      </w:r>
      <w:r>
        <w:rPr>
          <w:rFonts w:hint="eastAsia" w:ascii="宋体" w:hAnsi="宋体" w:cs="宋体"/>
          <w:sz w:val="24"/>
        </w:rPr>
        <w:t>项目名称：</w:t>
      </w:r>
      <w:r>
        <w:rPr>
          <w:rFonts w:hint="eastAsia" w:ascii="宋体" w:hAnsi="宋体" w:cs="宋体"/>
          <w:sz w:val="24"/>
          <w:lang w:val="zh-CN"/>
        </w:rPr>
        <w:t>鄂东医疗集团市中心医院</w:t>
      </w:r>
      <w:r>
        <w:rPr>
          <w:rFonts w:hint="eastAsia" w:ascii="宋体" w:hAnsi="宋体" w:cs="宋体"/>
          <w:sz w:val="24"/>
        </w:rPr>
        <w:t>白蚁防治</w:t>
      </w:r>
      <w:r>
        <w:rPr>
          <w:rFonts w:hint="eastAsia" w:ascii="宋体" w:hAnsi="宋体" w:cs="宋体"/>
          <w:sz w:val="24"/>
          <w:lang w:val="en-US" w:eastAsia="zh-CN"/>
        </w:rPr>
        <w:t>服务项目</w:t>
      </w:r>
    </w:p>
    <w:p>
      <w:pPr>
        <w:spacing w:line="420" w:lineRule="exact"/>
        <w:ind w:firstLine="480" w:firstLineChars="200"/>
        <w:rPr>
          <w:rFonts w:hint="eastAsia" w:ascii="宋体" w:eastAsia="宋体" w:cs="宋体"/>
          <w:sz w:val="24"/>
          <w:lang w:eastAsia="zh-CN"/>
        </w:rPr>
      </w:pPr>
      <w:r>
        <w:rPr>
          <w:rFonts w:ascii="宋体" w:hAnsi="宋体" w:cs="宋体"/>
          <w:sz w:val="24"/>
        </w:rPr>
        <w:t>2.</w:t>
      </w:r>
      <w:r>
        <w:rPr>
          <w:rFonts w:hint="eastAsia" w:ascii="宋体" w:hAnsi="宋体" w:cs="宋体"/>
          <w:sz w:val="24"/>
        </w:rPr>
        <w:t>采购方式：竞争性</w:t>
      </w:r>
      <w:r>
        <w:rPr>
          <w:rFonts w:hint="eastAsia" w:ascii="宋体" w:hAnsi="宋体" w:cs="宋体"/>
          <w:sz w:val="24"/>
          <w:lang w:eastAsia="zh-CN"/>
        </w:rPr>
        <w:t>谈判</w:t>
      </w:r>
    </w:p>
    <w:p>
      <w:pPr>
        <w:spacing w:line="420" w:lineRule="exact"/>
        <w:ind w:firstLine="480" w:firstLineChars="200"/>
        <w:rPr>
          <w:rFonts w:hint="eastAsia" w:ascii="宋体" w:hAnsi="宋体" w:cs="宋体"/>
          <w:color w:val="000000"/>
          <w:sz w:val="24"/>
          <w:lang w:val="en-US" w:eastAsia="zh-CN"/>
        </w:rPr>
      </w:pPr>
      <w:r>
        <w:rPr>
          <w:rFonts w:ascii="宋体" w:hAnsi="宋体" w:cs="宋体"/>
          <w:color w:val="000000"/>
          <w:sz w:val="24"/>
        </w:rPr>
        <w:t>3.</w:t>
      </w:r>
      <w:r>
        <w:rPr>
          <w:rFonts w:hint="eastAsia" w:ascii="宋体" w:hAnsi="宋体" w:cs="宋体"/>
          <w:color w:val="000000"/>
          <w:sz w:val="24"/>
        </w:rPr>
        <w:t>预算金额：</w:t>
      </w:r>
      <w:r>
        <w:rPr>
          <w:rFonts w:hint="eastAsia" w:ascii="宋体" w:hAnsi="宋体" w:cs="宋体"/>
          <w:color w:val="000000"/>
          <w:sz w:val="24"/>
          <w:lang w:val="en-US" w:eastAsia="zh-CN"/>
        </w:rPr>
        <w:t>6万</w:t>
      </w:r>
    </w:p>
    <w:p>
      <w:pPr>
        <w:spacing w:line="420" w:lineRule="exact"/>
        <w:ind w:firstLine="480" w:firstLineChars="200"/>
        <w:rPr>
          <w:rFonts w:ascii="宋体" w:hAnsi="宋体" w:cs="宋体"/>
          <w:color w:val="FF0000"/>
          <w:sz w:val="24"/>
        </w:rPr>
      </w:pPr>
      <w:r>
        <w:rPr>
          <w:rFonts w:ascii="宋体" w:hAnsi="宋体" w:cs="宋体"/>
          <w:color w:val="000000"/>
          <w:sz w:val="24"/>
        </w:rPr>
        <w:t>4</w:t>
      </w:r>
      <w:r>
        <w:rPr>
          <w:rFonts w:hint="eastAsia" w:ascii="宋体" w:hAnsi="宋体" w:cs="宋体"/>
          <w:color w:val="000000"/>
          <w:sz w:val="24"/>
        </w:rPr>
        <w:t>、服务期：</w:t>
      </w:r>
      <w:r>
        <w:rPr>
          <w:rFonts w:ascii="宋体" w:hAnsi="宋体" w:cs="宋体"/>
          <w:color w:val="FF0000"/>
          <w:sz w:val="24"/>
        </w:rPr>
        <w:t xml:space="preserve"> </w:t>
      </w:r>
      <w:r>
        <w:rPr>
          <w:rFonts w:hint="eastAsia" w:ascii="宋体" w:hAnsi="宋体" w:cs="宋体"/>
          <w:color w:val="FF0000"/>
          <w:sz w:val="24"/>
        </w:rPr>
        <w:t>3年</w:t>
      </w:r>
    </w:p>
    <w:p>
      <w:pPr>
        <w:pStyle w:val="4"/>
        <w:ind w:firstLine="482" w:firstLineChars="200"/>
        <w:jc w:val="both"/>
      </w:pPr>
      <w:r>
        <w:rPr>
          <w:rFonts w:hint="eastAsia"/>
        </w:rPr>
        <w:t>二、</w:t>
      </w:r>
      <w:bookmarkEnd w:id="74"/>
      <w:r>
        <w:rPr>
          <w:rFonts w:hint="eastAsia"/>
          <w:lang w:val="en-US" w:eastAsia="zh-CN"/>
        </w:rPr>
        <w:t>技术</w:t>
      </w:r>
      <w:r>
        <w:rPr>
          <w:rFonts w:hint="eastAsia"/>
        </w:rPr>
        <w:t>要求</w:t>
      </w:r>
      <w:bookmarkEnd w:id="75"/>
    </w:p>
    <w:bookmarkEnd w:id="67"/>
    <w:bookmarkEnd w:id="68"/>
    <w:bookmarkEnd w:id="69"/>
    <w:bookmarkEnd w:id="70"/>
    <w:bookmarkEnd w:id="71"/>
    <w:bookmarkEnd w:id="72"/>
    <w:p>
      <w:pPr>
        <w:spacing w:line="500" w:lineRule="exact"/>
        <w:rPr>
          <w:rFonts w:ascii="宋体" w:hAnsi="宋体"/>
          <w:b/>
          <w:szCs w:val="21"/>
        </w:rPr>
      </w:pPr>
      <w:r>
        <w:rPr>
          <w:rFonts w:hint="eastAsia" w:ascii="宋体" w:hAnsi="宋体"/>
          <w:b/>
          <w:szCs w:val="21"/>
          <w:lang w:eastAsia="zh-CN"/>
        </w:rPr>
        <w:t>（</w:t>
      </w:r>
      <w:r>
        <w:rPr>
          <w:rFonts w:hint="eastAsia" w:ascii="宋体" w:hAnsi="宋体"/>
          <w:b/>
          <w:szCs w:val="21"/>
          <w:lang w:val="en-US" w:eastAsia="zh-CN"/>
        </w:rPr>
        <w:t>一</w:t>
      </w:r>
      <w:r>
        <w:rPr>
          <w:rFonts w:hint="eastAsia" w:ascii="宋体" w:hAnsi="宋体"/>
          <w:b/>
          <w:szCs w:val="21"/>
          <w:lang w:eastAsia="zh-CN"/>
        </w:rPr>
        <w:t>）</w:t>
      </w:r>
      <w:r>
        <w:rPr>
          <w:rFonts w:hint="eastAsia" w:ascii="宋体" w:hAnsi="宋体"/>
          <w:b/>
          <w:szCs w:val="21"/>
        </w:rPr>
        <w:t>、施工范围：</w:t>
      </w:r>
    </w:p>
    <w:p>
      <w:pPr>
        <w:spacing w:line="500" w:lineRule="exact"/>
        <w:ind w:firstLine="420" w:firstLineChars="200"/>
        <w:rPr>
          <w:rFonts w:ascii="宋体" w:hAnsi="宋体"/>
          <w:bCs/>
          <w:szCs w:val="21"/>
        </w:rPr>
      </w:pPr>
      <w:r>
        <w:rPr>
          <w:rFonts w:hint="eastAsia" w:ascii="宋体" w:hAnsi="宋体"/>
          <w:bCs/>
          <w:szCs w:val="21"/>
        </w:rPr>
        <w:t>1、中心院区：</w:t>
      </w:r>
    </w:p>
    <w:p>
      <w:pPr>
        <w:spacing w:line="500" w:lineRule="exact"/>
        <w:ind w:firstLine="420" w:firstLineChars="200"/>
        <w:rPr>
          <w:rFonts w:ascii="宋体" w:hAnsi="宋体"/>
          <w:bCs/>
          <w:szCs w:val="21"/>
        </w:rPr>
      </w:pPr>
      <w:r>
        <w:rPr>
          <w:rFonts w:ascii="Calibri" w:hAnsi="Calibri" w:cs="Calibri"/>
          <w:bCs/>
          <w:szCs w:val="21"/>
        </w:rPr>
        <w:t>①</w:t>
      </w:r>
      <w:r>
        <w:rPr>
          <w:rFonts w:hint="eastAsia" w:ascii="宋体" w:hAnsi="宋体"/>
          <w:bCs/>
          <w:szCs w:val="21"/>
        </w:rPr>
        <w:t>行政办公区域园林、家属区园林、医疗区域、楼栋园林；</w:t>
      </w:r>
    </w:p>
    <w:p>
      <w:pPr>
        <w:spacing w:line="500" w:lineRule="exact"/>
        <w:ind w:firstLine="420" w:firstLineChars="200"/>
        <w:rPr>
          <w:rFonts w:ascii="Calibri" w:hAnsi="Calibri" w:cs="Calibri"/>
          <w:bCs/>
          <w:szCs w:val="21"/>
        </w:rPr>
      </w:pPr>
      <w:r>
        <w:rPr>
          <w:rFonts w:ascii="Calibri" w:hAnsi="Calibri" w:cs="Calibri"/>
          <w:bCs/>
          <w:szCs w:val="21"/>
        </w:rPr>
        <w:t>②</w:t>
      </w:r>
      <w:r>
        <w:rPr>
          <w:rFonts w:hint="eastAsia" w:ascii="Calibri" w:hAnsi="Calibri" w:cs="Calibri"/>
          <w:bCs/>
          <w:szCs w:val="21"/>
        </w:rPr>
        <w:t>办公楼、医疗楼、病房区、后勤、公共场所、活动场馆等区域；</w:t>
      </w:r>
    </w:p>
    <w:p>
      <w:pPr>
        <w:spacing w:line="500" w:lineRule="exact"/>
        <w:ind w:firstLine="420" w:firstLineChars="200"/>
        <w:rPr>
          <w:rFonts w:ascii="Calibri" w:hAnsi="Calibri" w:cs="Calibri"/>
          <w:bCs/>
          <w:szCs w:val="21"/>
        </w:rPr>
      </w:pPr>
      <w:r>
        <w:rPr>
          <w:rFonts w:ascii="Calibri" w:hAnsi="Calibri" w:cs="Calibri"/>
          <w:bCs/>
          <w:szCs w:val="21"/>
        </w:rPr>
        <w:t>③</w:t>
      </w:r>
      <w:r>
        <w:rPr>
          <w:rFonts w:hint="eastAsia" w:ascii="Calibri" w:hAnsi="Calibri" w:cs="Calibri"/>
          <w:bCs/>
          <w:szCs w:val="21"/>
        </w:rPr>
        <w:t>其他偶发白蚁情况。</w:t>
      </w:r>
    </w:p>
    <w:p>
      <w:pPr>
        <w:numPr>
          <w:ilvl w:val="0"/>
          <w:numId w:val="6"/>
        </w:numPr>
        <w:spacing w:line="500" w:lineRule="exact"/>
        <w:ind w:firstLine="420" w:firstLineChars="200"/>
        <w:rPr>
          <w:rFonts w:ascii="宋体" w:hAnsi="宋体"/>
          <w:bCs/>
          <w:szCs w:val="21"/>
        </w:rPr>
      </w:pPr>
      <w:r>
        <w:rPr>
          <w:rFonts w:hint="eastAsia" w:ascii="宋体" w:hAnsi="宋体"/>
          <w:bCs/>
          <w:szCs w:val="21"/>
        </w:rPr>
        <w:t>普爱院区：</w:t>
      </w:r>
    </w:p>
    <w:p>
      <w:pPr>
        <w:spacing w:line="500" w:lineRule="exact"/>
        <w:ind w:firstLine="420" w:firstLineChars="200"/>
        <w:rPr>
          <w:rFonts w:ascii="宋体" w:hAnsi="宋体"/>
          <w:bCs/>
          <w:szCs w:val="21"/>
        </w:rPr>
      </w:pPr>
      <w:r>
        <w:rPr>
          <w:rFonts w:ascii="Calibri" w:hAnsi="Calibri" w:cs="Calibri"/>
          <w:bCs/>
          <w:szCs w:val="21"/>
        </w:rPr>
        <w:t>①</w:t>
      </w:r>
      <w:r>
        <w:rPr>
          <w:rFonts w:hint="eastAsia" w:ascii="宋体" w:hAnsi="宋体"/>
          <w:bCs/>
          <w:szCs w:val="21"/>
        </w:rPr>
        <w:t>行政办公区域园林、家属区园林、医疗区域、楼栋园林；</w:t>
      </w:r>
    </w:p>
    <w:p>
      <w:pPr>
        <w:spacing w:line="500" w:lineRule="exact"/>
        <w:ind w:firstLine="420" w:firstLineChars="200"/>
        <w:rPr>
          <w:rFonts w:ascii="Calibri" w:hAnsi="Calibri" w:cs="Calibri"/>
          <w:bCs/>
          <w:szCs w:val="21"/>
        </w:rPr>
      </w:pPr>
      <w:r>
        <w:rPr>
          <w:rFonts w:ascii="Calibri" w:hAnsi="Calibri" w:cs="Calibri"/>
          <w:bCs/>
          <w:szCs w:val="21"/>
        </w:rPr>
        <w:t>②</w:t>
      </w:r>
      <w:r>
        <w:rPr>
          <w:rFonts w:hint="eastAsia" w:ascii="Calibri" w:hAnsi="Calibri" w:cs="Calibri"/>
          <w:bCs/>
          <w:szCs w:val="21"/>
        </w:rPr>
        <w:t>办公楼、医疗楼、病房区、后勤、公共场所、活动场馆等区域；</w:t>
      </w:r>
    </w:p>
    <w:p>
      <w:pPr>
        <w:spacing w:line="500" w:lineRule="exact"/>
        <w:ind w:firstLine="420" w:firstLineChars="200"/>
        <w:rPr>
          <w:rFonts w:ascii="Calibri" w:hAnsi="Calibri" w:cs="Calibri"/>
          <w:bCs/>
          <w:szCs w:val="21"/>
        </w:rPr>
      </w:pPr>
      <w:r>
        <w:rPr>
          <w:rFonts w:ascii="Calibri" w:hAnsi="Calibri" w:cs="Calibri"/>
          <w:bCs/>
          <w:szCs w:val="21"/>
        </w:rPr>
        <w:t>③</w:t>
      </w:r>
      <w:r>
        <w:rPr>
          <w:rFonts w:hint="eastAsia" w:ascii="Calibri" w:hAnsi="Calibri" w:cs="Calibri"/>
          <w:bCs/>
          <w:szCs w:val="21"/>
        </w:rPr>
        <w:t>其他偶发白蚁情况。</w:t>
      </w:r>
    </w:p>
    <w:p>
      <w:pPr>
        <w:numPr>
          <w:ilvl w:val="0"/>
          <w:numId w:val="0"/>
        </w:numPr>
        <w:tabs>
          <w:tab w:val="left" w:pos="0"/>
        </w:tabs>
        <w:spacing w:line="500" w:lineRule="exact"/>
        <w:rPr>
          <w:rFonts w:ascii="宋体" w:hAnsi="宋体"/>
          <w:bCs/>
          <w:szCs w:val="21"/>
        </w:rPr>
      </w:pPr>
      <w:r>
        <w:rPr>
          <w:rFonts w:hint="eastAsia" w:ascii="宋体" w:hAnsi="宋体"/>
          <w:bCs/>
          <w:szCs w:val="21"/>
          <w:lang w:eastAsia="zh-CN"/>
        </w:rPr>
        <w:t>（</w:t>
      </w:r>
      <w:r>
        <w:rPr>
          <w:rFonts w:hint="eastAsia" w:ascii="宋体" w:hAnsi="宋体"/>
          <w:bCs/>
          <w:szCs w:val="21"/>
          <w:lang w:val="en-US" w:eastAsia="zh-CN"/>
        </w:rPr>
        <w:t>二</w:t>
      </w:r>
      <w:r>
        <w:rPr>
          <w:rFonts w:hint="eastAsia" w:ascii="宋体" w:hAnsi="宋体"/>
          <w:bCs/>
          <w:szCs w:val="21"/>
          <w:lang w:eastAsia="zh-CN"/>
        </w:rPr>
        <w:t>）、</w:t>
      </w:r>
      <w:r>
        <w:rPr>
          <w:rFonts w:hint="eastAsia" w:ascii="宋体" w:hAnsi="宋体"/>
          <w:bCs/>
          <w:szCs w:val="21"/>
        </w:rPr>
        <w:t>白蚁防治工作方法：</w:t>
      </w:r>
    </w:p>
    <w:p>
      <w:pPr>
        <w:numPr>
          <w:ilvl w:val="0"/>
          <w:numId w:val="7"/>
        </w:numPr>
        <w:tabs>
          <w:tab w:val="left" w:pos="0"/>
        </w:tabs>
        <w:spacing w:line="500" w:lineRule="exact"/>
        <w:ind w:firstLine="420" w:firstLineChars="200"/>
        <w:rPr>
          <w:rFonts w:ascii="宋体" w:hAnsi="宋体"/>
          <w:bCs/>
          <w:szCs w:val="21"/>
        </w:rPr>
      </w:pPr>
      <w:r>
        <w:rPr>
          <w:rFonts w:hint="eastAsia" w:ascii="宋体" w:hAnsi="宋体"/>
          <w:bCs/>
          <w:szCs w:val="21"/>
        </w:rPr>
        <w:t>诱杀喷粉灭治法：根据金佰益的生活习性，采用白蚁喜食的材料制作成诱集物进行诱集，待诱集物内出现一定数量的白蚁时，对白蚁喷粉，然后轻复原状。施药前后，设置的诱集物均应防水，防人、畜损坏。</w:t>
      </w:r>
    </w:p>
    <w:p>
      <w:pPr>
        <w:numPr>
          <w:ilvl w:val="0"/>
          <w:numId w:val="7"/>
        </w:numPr>
        <w:tabs>
          <w:tab w:val="left" w:pos="0"/>
        </w:tabs>
        <w:spacing w:line="500" w:lineRule="exact"/>
        <w:ind w:firstLine="420" w:firstLineChars="200"/>
        <w:rPr>
          <w:rFonts w:ascii="宋体" w:hAnsi="宋体" w:cs="仿宋_GB2312"/>
          <w:bCs/>
          <w:szCs w:val="21"/>
        </w:rPr>
      </w:pPr>
      <w:r>
        <w:rPr>
          <w:rFonts w:hint="eastAsia" w:ascii="宋体" w:hAnsi="宋体"/>
          <w:bCs/>
          <w:szCs w:val="21"/>
        </w:rPr>
        <w:t>直接喷粉灭治法：对蚁路或分飞孔内的白蚁直接施药。</w:t>
      </w:r>
    </w:p>
    <w:p>
      <w:pPr>
        <w:numPr>
          <w:ilvl w:val="0"/>
          <w:numId w:val="7"/>
        </w:numPr>
        <w:tabs>
          <w:tab w:val="left" w:pos="0"/>
        </w:tabs>
        <w:spacing w:line="500" w:lineRule="exact"/>
        <w:ind w:firstLine="420" w:firstLineChars="200"/>
        <w:rPr>
          <w:rFonts w:ascii="宋体" w:hAnsi="宋体" w:cs="仿宋_GB2312"/>
          <w:bCs/>
          <w:szCs w:val="21"/>
        </w:rPr>
      </w:pPr>
      <w:r>
        <w:rPr>
          <w:rFonts w:hint="eastAsia" w:ascii="宋体" w:hAnsi="宋体"/>
          <w:bCs/>
          <w:szCs w:val="21"/>
        </w:rPr>
        <w:t>药液灭治法：对白蚁进行直接喷粉灭治或诱集喷粉灭治15-20天后，再用高效低毒的药液对危害物进行喷洒或灌注处理。</w:t>
      </w:r>
    </w:p>
    <w:p>
      <w:pPr>
        <w:numPr>
          <w:ilvl w:val="0"/>
          <w:numId w:val="0"/>
        </w:numPr>
        <w:tabs>
          <w:tab w:val="left" w:pos="0"/>
        </w:tabs>
        <w:spacing w:line="500" w:lineRule="exact"/>
        <w:rPr>
          <w:rFonts w:ascii="宋体" w:hAnsi="宋体"/>
          <w:bCs/>
          <w:szCs w:val="21"/>
        </w:rPr>
      </w:pPr>
      <w:r>
        <w:rPr>
          <w:rFonts w:hint="eastAsia" w:ascii="宋体" w:hAnsi="宋体"/>
          <w:bCs/>
          <w:szCs w:val="21"/>
          <w:lang w:eastAsia="zh-CN"/>
        </w:rPr>
        <w:t>（</w:t>
      </w:r>
      <w:r>
        <w:rPr>
          <w:rFonts w:hint="eastAsia" w:ascii="宋体" w:hAnsi="宋体"/>
          <w:bCs/>
          <w:szCs w:val="21"/>
          <w:lang w:val="en-US" w:eastAsia="zh-CN"/>
        </w:rPr>
        <w:t>三</w:t>
      </w:r>
      <w:r>
        <w:rPr>
          <w:rFonts w:hint="eastAsia" w:ascii="宋体" w:hAnsi="宋体"/>
          <w:bCs/>
          <w:szCs w:val="21"/>
          <w:lang w:eastAsia="zh-CN"/>
        </w:rPr>
        <w:t>）、</w:t>
      </w:r>
      <w:r>
        <w:rPr>
          <w:rFonts w:hint="eastAsia" w:ascii="宋体" w:hAnsi="宋体"/>
          <w:bCs/>
          <w:szCs w:val="21"/>
        </w:rPr>
        <w:t>白蚁防治的质量标准：</w:t>
      </w:r>
    </w:p>
    <w:p>
      <w:pPr>
        <w:numPr>
          <w:ilvl w:val="0"/>
          <w:numId w:val="8"/>
        </w:numPr>
        <w:tabs>
          <w:tab w:val="left" w:pos="0"/>
        </w:tabs>
        <w:spacing w:line="500" w:lineRule="exact"/>
        <w:ind w:left="420" w:leftChars="200"/>
        <w:rPr>
          <w:rFonts w:ascii="宋体" w:hAnsi="宋体"/>
          <w:bCs/>
          <w:szCs w:val="21"/>
        </w:rPr>
      </w:pPr>
      <w:r>
        <w:rPr>
          <w:rFonts w:hint="eastAsia" w:ascii="宋体" w:hAnsi="宋体"/>
          <w:bCs/>
          <w:szCs w:val="21"/>
        </w:rPr>
        <w:t>每年提交年度白蚁防治工作计划，按照施工范围开展工作；</w:t>
      </w:r>
    </w:p>
    <w:p>
      <w:pPr>
        <w:numPr>
          <w:ilvl w:val="0"/>
          <w:numId w:val="8"/>
        </w:numPr>
        <w:tabs>
          <w:tab w:val="left" w:pos="0"/>
        </w:tabs>
        <w:spacing w:line="500" w:lineRule="exact"/>
        <w:ind w:left="420" w:leftChars="200"/>
        <w:rPr>
          <w:rFonts w:ascii="宋体" w:hAnsi="宋体"/>
          <w:bCs/>
          <w:szCs w:val="21"/>
        </w:rPr>
      </w:pPr>
      <w:r>
        <w:rPr>
          <w:rFonts w:hint="eastAsia" w:ascii="宋体" w:hAnsi="宋体"/>
          <w:bCs/>
          <w:szCs w:val="21"/>
        </w:rPr>
        <w:t>对基础药物防治次数不低于3次；</w:t>
      </w:r>
    </w:p>
    <w:p>
      <w:pPr>
        <w:numPr>
          <w:ilvl w:val="0"/>
          <w:numId w:val="8"/>
        </w:numPr>
        <w:tabs>
          <w:tab w:val="left" w:pos="0"/>
        </w:tabs>
        <w:spacing w:line="500" w:lineRule="exact"/>
        <w:ind w:left="420" w:leftChars="200"/>
        <w:rPr>
          <w:rFonts w:ascii="宋体" w:hAnsi="宋体" w:cs="宋体"/>
          <w:bCs/>
          <w:szCs w:val="21"/>
        </w:rPr>
      </w:pPr>
      <w:r>
        <w:rPr>
          <w:rFonts w:hint="eastAsia" w:ascii="宋体" w:hAnsi="宋体"/>
          <w:bCs/>
          <w:szCs w:val="21"/>
        </w:rPr>
        <w:t>确保基础性防制中药物防治的时效性，确保两院区不发生大面积蚁害；</w:t>
      </w:r>
      <w:r>
        <w:rPr>
          <w:rFonts w:hint="eastAsia" w:ascii="宋体" w:hAnsi="宋体" w:cs="仿宋_GB2312"/>
          <w:bCs/>
          <w:szCs w:val="21"/>
        </w:rPr>
        <w:t xml:space="preserve"> </w:t>
      </w:r>
    </w:p>
    <w:p>
      <w:pPr>
        <w:spacing w:line="500" w:lineRule="exact"/>
        <w:ind w:firstLine="420" w:firstLineChars="200"/>
        <w:rPr>
          <w:rFonts w:ascii="宋体" w:hAnsi="宋体" w:cs="仿宋_GB2312"/>
          <w:bCs/>
          <w:szCs w:val="21"/>
        </w:rPr>
      </w:pPr>
      <w:r>
        <w:rPr>
          <w:rFonts w:hint="eastAsia" w:ascii="宋体" w:hAnsi="宋体" w:cs="仿宋_GB2312"/>
          <w:bCs/>
          <w:szCs w:val="21"/>
        </w:rPr>
        <w:t>4、签证：每年服务不低于4次，服务卡由科室签单。</w:t>
      </w:r>
    </w:p>
    <w:p>
      <w:pPr>
        <w:spacing w:line="500" w:lineRule="exact"/>
        <w:ind w:firstLine="420" w:firstLineChars="200"/>
        <w:rPr>
          <w:rFonts w:ascii="宋体" w:hAnsi="宋体" w:cs="仿宋_GB2312"/>
          <w:bCs/>
          <w:szCs w:val="21"/>
        </w:rPr>
      </w:pPr>
      <w:r>
        <w:rPr>
          <w:rFonts w:hint="eastAsia" w:ascii="宋体" w:hAnsi="宋体" w:cs="仿宋_GB2312"/>
          <w:bCs/>
          <w:szCs w:val="21"/>
        </w:rPr>
        <w:t>5、施工人员：中心院区1人，普爱院区1人。</w:t>
      </w:r>
    </w:p>
    <w:p>
      <w:pPr>
        <w:tabs>
          <w:tab w:val="left" w:pos="540"/>
        </w:tabs>
        <w:spacing w:line="360" w:lineRule="auto"/>
        <w:rPr>
          <w:rFonts w:ascii="宋体" w:hAnsi="宋体"/>
          <w:color w:val="000000"/>
          <w:szCs w:val="21"/>
        </w:rPr>
      </w:pPr>
      <w:r>
        <w:rPr>
          <w:rFonts w:hint="eastAsia" w:ascii="宋体" w:hAnsi="宋体"/>
          <w:color w:val="000000"/>
          <w:szCs w:val="21"/>
          <w:lang w:eastAsia="zh-CN"/>
        </w:rPr>
        <w:t>（</w:t>
      </w:r>
      <w:r>
        <w:rPr>
          <w:rFonts w:hint="eastAsia" w:ascii="宋体" w:hAnsi="宋体"/>
          <w:color w:val="000000"/>
          <w:szCs w:val="21"/>
          <w:lang w:val="en-US" w:eastAsia="zh-CN"/>
        </w:rPr>
        <w:t>四</w:t>
      </w:r>
      <w:r>
        <w:rPr>
          <w:rFonts w:hint="eastAsia" w:ascii="宋体" w:hAnsi="宋体"/>
          <w:color w:val="000000"/>
          <w:szCs w:val="21"/>
          <w:lang w:eastAsia="zh-CN"/>
        </w:rPr>
        <w:t>）</w:t>
      </w:r>
      <w:r>
        <w:rPr>
          <w:rFonts w:hint="eastAsia" w:ascii="宋体" w:hAnsi="宋体"/>
          <w:color w:val="000000"/>
          <w:szCs w:val="21"/>
        </w:rPr>
        <w:t>、其他：</w:t>
      </w:r>
    </w:p>
    <w:p>
      <w:pPr>
        <w:tabs>
          <w:tab w:val="left" w:pos="540"/>
        </w:tabs>
        <w:spacing w:line="360" w:lineRule="auto"/>
        <w:ind w:firstLine="420" w:firstLineChars="200"/>
        <w:rPr>
          <w:rFonts w:ascii="宋体" w:hAnsi="宋体"/>
          <w:color w:val="000000"/>
          <w:szCs w:val="21"/>
        </w:rPr>
      </w:pPr>
      <w:r>
        <w:rPr>
          <w:rFonts w:hint="eastAsia" w:ascii="宋体" w:hAnsi="宋体"/>
          <w:color w:val="000000"/>
          <w:szCs w:val="21"/>
        </w:rPr>
        <w:t>1、服务人员相对固定，挂牌服务，</w:t>
      </w:r>
    </w:p>
    <w:p>
      <w:pPr>
        <w:tabs>
          <w:tab w:val="left" w:pos="540"/>
        </w:tabs>
        <w:spacing w:line="360" w:lineRule="auto"/>
        <w:ind w:firstLine="420" w:firstLineChars="200"/>
        <w:rPr>
          <w:rFonts w:ascii="宋体" w:hAnsi="宋体"/>
          <w:color w:val="000000"/>
          <w:szCs w:val="21"/>
        </w:rPr>
      </w:pPr>
      <w:r>
        <w:rPr>
          <w:rFonts w:hint="eastAsia" w:ascii="宋体" w:hAnsi="宋体"/>
          <w:color w:val="000000"/>
          <w:szCs w:val="21"/>
        </w:rPr>
        <w:t>2、成交供应商应积极配合采购人完成市、区相关部门白蚁防治相关布置工作。</w:t>
      </w:r>
    </w:p>
    <w:p>
      <w:pPr>
        <w:tabs>
          <w:tab w:val="left" w:pos="540"/>
        </w:tabs>
        <w:spacing w:line="360" w:lineRule="auto"/>
        <w:ind w:firstLine="420" w:firstLineChars="200"/>
        <w:rPr>
          <w:rFonts w:ascii="宋体" w:hAnsi="宋体"/>
          <w:color w:val="000000"/>
          <w:szCs w:val="21"/>
        </w:rPr>
      </w:pPr>
      <w:r>
        <w:rPr>
          <w:rFonts w:hint="eastAsia" w:ascii="宋体" w:hAnsi="宋体"/>
          <w:color w:val="000000"/>
          <w:szCs w:val="21"/>
        </w:rPr>
        <w:t>3、如遇特殊情况随叫随到，响应时间不得超过24小时。</w:t>
      </w:r>
    </w:p>
    <w:p>
      <w:pPr>
        <w:tabs>
          <w:tab w:val="left" w:pos="1512"/>
        </w:tabs>
        <w:spacing w:line="560" w:lineRule="exact"/>
        <w:ind w:left="839" w:leftChars="228" w:hanging="360" w:hangingChars="150"/>
        <w:rPr>
          <w:rFonts w:ascii="宋体" w:hAnsi="宋体" w:cs="Arial"/>
          <w:iCs/>
          <w:sz w:val="24"/>
        </w:rPr>
      </w:pPr>
    </w:p>
    <w:sectPr>
      <w:headerReference r:id="rId5" w:type="default"/>
      <w:footerReference r:id="rId6" w:type="default"/>
      <w:type w:val="continuous"/>
      <w:pgSz w:w="11907" w:h="16840"/>
      <w:pgMar w:top="1021" w:right="1247" w:bottom="1134" w:left="1644" w:header="907" w:footer="90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680" w:firstLineChars="800"/>
    </w:pPr>
    <w:r>
      <w:rPr>
        <w:rFonts w:hint="eastAsia"/>
      </w:rPr>
      <w:t xml:space="preserve">              </w:t>
    </w:r>
    <w:r>
      <w:rPr>
        <w:rFonts w:hint="eastAsia" w:ascii="黑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260" w:firstLineChars="6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CB3B1"/>
    <w:multiLevelType w:val="singleLevel"/>
    <w:tmpl w:val="8E3CB3B1"/>
    <w:lvl w:ilvl="0" w:tentative="0">
      <w:start w:val="1"/>
      <w:numFmt w:val="decimal"/>
      <w:suff w:val="nothing"/>
      <w:lvlText w:val="%1、"/>
      <w:lvlJc w:val="left"/>
    </w:lvl>
  </w:abstractNum>
  <w:abstractNum w:abstractNumId="1">
    <w:nsid w:val="B2646B81"/>
    <w:multiLevelType w:val="singleLevel"/>
    <w:tmpl w:val="B2646B81"/>
    <w:lvl w:ilvl="0" w:tentative="0">
      <w:start w:val="1"/>
      <w:numFmt w:val="decimal"/>
      <w:suff w:val="nothing"/>
      <w:lvlText w:val="%1、"/>
      <w:lvlJc w:val="left"/>
    </w:lvl>
  </w:abstractNum>
  <w:abstractNum w:abstractNumId="2">
    <w:nsid w:val="03B4417F"/>
    <w:multiLevelType w:val="multilevel"/>
    <w:tmpl w:val="03B4417F"/>
    <w:lvl w:ilvl="0" w:tentative="0">
      <w:start w:val="1"/>
      <w:numFmt w:val="decimal"/>
      <w:pStyle w:val="11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24A03B7B"/>
    <w:multiLevelType w:val="multilevel"/>
    <w:tmpl w:val="24A03B7B"/>
    <w:lvl w:ilvl="0" w:tentative="0">
      <w:start w:val="1"/>
      <w:numFmt w:val="decimal"/>
      <w:pStyle w:val="143"/>
      <w:lvlText w:val="%1."/>
      <w:lvlJc w:val="left"/>
      <w:pPr>
        <w:tabs>
          <w:tab w:val="left" w:pos="567"/>
        </w:tabs>
        <w:ind w:left="1701" w:hanging="1134"/>
      </w:pPr>
      <w:rPr>
        <w:rFonts w:hint="default"/>
      </w:rPr>
    </w:lvl>
    <w:lvl w:ilvl="1" w:tentative="0">
      <w:start w:val="1"/>
      <w:numFmt w:val="decimal"/>
      <w:lvlText w:val="%1.%2."/>
      <w:lvlJc w:val="left"/>
      <w:pPr>
        <w:tabs>
          <w:tab w:val="left" w:pos="567"/>
        </w:tabs>
        <w:ind w:left="1701" w:hanging="1701"/>
      </w:pPr>
      <w:rPr>
        <w:rFonts w:hint="default"/>
      </w:rPr>
    </w:lvl>
    <w:lvl w:ilvl="2" w:tentative="0">
      <w:start w:val="1"/>
      <w:numFmt w:val="decimal"/>
      <w:lvlText w:val="%1.%2.%3"/>
      <w:lvlJc w:val="left"/>
      <w:pPr>
        <w:tabs>
          <w:tab w:val="left" w:pos="567"/>
        </w:tabs>
        <w:ind w:left="1701" w:hanging="1701"/>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4378E2D1"/>
    <w:multiLevelType w:val="singleLevel"/>
    <w:tmpl w:val="4378E2D1"/>
    <w:lvl w:ilvl="0" w:tentative="0">
      <w:start w:val="2"/>
      <w:numFmt w:val="decimal"/>
      <w:suff w:val="nothing"/>
      <w:lvlText w:val="%1、"/>
      <w:lvlJc w:val="left"/>
    </w:lvl>
  </w:abstractNum>
  <w:abstractNum w:abstractNumId="5">
    <w:nsid w:val="450513B8"/>
    <w:multiLevelType w:val="multilevel"/>
    <w:tmpl w:val="450513B8"/>
    <w:lvl w:ilvl="0" w:tentative="0">
      <w:start w:val="1"/>
      <w:numFmt w:val="japaneseCounting"/>
      <w:lvlText w:val="第%1章"/>
      <w:lvlJc w:val="left"/>
      <w:pPr>
        <w:tabs>
          <w:tab w:val="left" w:pos="1737"/>
        </w:tabs>
        <w:ind w:left="1737" w:hanging="855"/>
      </w:pPr>
      <w:rPr>
        <w:rFonts w:hint="eastAsia"/>
      </w:rPr>
    </w:lvl>
    <w:lvl w:ilvl="1" w:tentative="0">
      <w:start w:val="1"/>
      <w:numFmt w:val="lowerLetter"/>
      <w:lvlText w:val="%2)"/>
      <w:lvlJc w:val="left"/>
      <w:pPr>
        <w:tabs>
          <w:tab w:val="left" w:pos="1722"/>
        </w:tabs>
        <w:ind w:left="1722" w:hanging="420"/>
      </w:pPr>
    </w:lvl>
    <w:lvl w:ilvl="2" w:tentative="0">
      <w:start w:val="1"/>
      <w:numFmt w:val="decimal"/>
      <w:lvlText w:val="%3）"/>
      <w:lvlJc w:val="left"/>
      <w:pPr>
        <w:tabs>
          <w:tab w:val="left" w:pos="2442"/>
        </w:tabs>
        <w:ind w:left="2442" w:hanging="720"/>
      </w:pPr>
      <w:rPr>
        <w:rFonts w:hint="eastAsia" w:ascii="Arial" w:hAnsi="Arial" w:cs="Arial"/>
      </w:rPr>
    </w:lvl>
    <w:lvl w:ilvl="3" w:tentative="0">
      <w:start w:val="1"/>
      <w:numFmt w:val="lowerLetter"/>
      <w:lvlText w:val="%4)"/>
      <w:lvlJc w:val="left"/>
      <w:pPr>
        <w:tabs>
          <w:tab w:val="left" w:pos="2562"/>
        </w:tabs>
        <w:ind w:left="2562" w:hanging="420"/>
      </w:pPr>
      <w:rPr>
        <w:rFonts w:hint="eastAsia"/>
      </w:rPr>
    </w:lvl>
    <w:lvl w:ilvl="4" w:tentative="0">
      <w:start w:val="16"/>
      <w:numFmt w:val="decimal"/>
      <w:lvlText w:val="%5."/>
      <w:lvlJc w:val="left"/>
      <w:pPr>
        <w:tabs>
          <w:tab w:val="left" w:pos="2922"/>
        </w:tabs>
        <w:ind w:left="2922" w:hanging="360"/>
      </w:pPr>
      <w:rPr>
        <w:rFonts w:hint="default"/>
      </w:rPr>
    </w:lvl>
    <w:lvl w:ilvl="5" w:tentative="0">
      <w:start w:val="1"/>
      <w:numFmt w:val="lowerRoman"/>
      <w:lvlText w:val="%6."/>
      <w:lvlJc w:val="right"/>
      <w:pPr>
        <w:tabs>
          <w:tab w:val="left" w:pos="3402"/>
        </w:tabs>
        <w:ind w:left="3402" w:hanging="420"/>
      </w:pPr>
    </w:lvl>
    <w:lvl w:ilvl="6" w:tentative="0">
      <w:start w:val="1"/>
      <w:numFmt w:val="decimal"/>
      <w:lvlText w:val="%7."/>
      <w:lvlJc w:val="left"/>
      <w:pPr>
        <w:tabs>
          <w:tab w:val="left" w:pos="3822"/>
        </w:tabs>
        <w:ind w:left="3822" w:hanging="420"/>
      </w:pPr>
    </w:lvl>
    <w:lvl w:ilvl="7" w:tentative="0">
      <w:start w:val="1"/>
      <w:numFmt w:val="lowerLetter"/>
      <w:lvlText w:val="%8)"/>
      <w:lvlJc w:val="left"/>
      <w:pPr>
        <w:tabs>
          <w:tab w:val="left" w:pos="4242"/>
        </w:tabs>
        <w:ind w:left="4242" w:hanging="420"/>
      </w:pPr>
    </w:lvl>
    <w:lvl w:ilvl="8" w:tentative="0">
      <w:start w:val="1"/>
      <w:numFmt w:val="lowerRoman"/>
      <w:lvlText w:val="%9."/>
      <w:lvlJc w:val="right"/>
      <w:pPr>
        <w:tabs>
          <w:tab w:val="left" w:pos="4662"/>
        </w:tabs>
        <w:ind w:left="4662" w:hanging="420"/>
      </w:pPr>
    </w:lvl>
  </w:abstractNum>
  <w:abstractNum w:abstractNumId="6">
    <w:nsid w:val="62407847"/>
    <w:multiLevelType w:val="multilevel"/>
    <w:tmpl w:val="62407847"/>
    <w:lvl w:ilvl="0" w:tentative="0">
      <w:start w:val="8"/>
      <w:numFmt w:val="decimal"/>
      <w:pStyle w:val="5"/>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FmNzk2OTM0MzYwNTUzOTA5OTQ0MjBlMjRiODg1MWQifQ=="/>
  </w:docVars>
  <w:rsids>
    <w:rsidRoot w:val="00E84365"/>
    <w:rsid w:val="002C6D24"/>
    <w:rsid w:val="00500B22"/>
    <w:rsid w:val="00E84365"/>
    <w:rsid w:val="00EF2BFE"/>
    <w:rsid w:val="05D644FD"/>
    <w:rsid w:val="2CB94DAB"/>
    <w:rsid w:val="34267266"/>
    <w:rsid w:val="48594125"/>
    <w:rsid w:val="4DA0559D"/>
    <w:rsid w:val="7F0C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0"/>
    <w:qFormat/>
    <w:uiPriority w:val="0"/>
    <w:pPr>
      <w:keepLines/>
      <w:spacing w:before="120" w:beforeLines="50" w:line="520" w:lineRule="exact"/>
      <w:jc w:val="center"/>
      <w:outlineLvl w:val="0"/>
    </w:pPr>
    <w:rPr>
      <w:b/>
      <w:bCs/>
      <w:kern w:val="44"/>
      <w:sz w:val="32"/>
      <w:szCs w:val="32"/>
    </w:rPr>
  </w:style>
  <w:style w:type="paragraph" w:styleId="4">
    <w:name w:val="heading 2"/>
    <w:basedOn w:val="1"/>
    <w:next w:val="1"/>
    <w:link w:val="51"/>
    <w:qFormat/>
    <w:uiPriority w:val="0"/>
    <w:pPr>
      <w:keepNext/>
      <w:keepLines/>
      <w:spacing w:line="520" w:lineRule="exact"/>
      <w:jc w:val="center"/>
      <w:outlineLvl w:val="1"/>
    </w:pPr>
    <w:rPr>
      <w:rFonts w:ascii="宋体" w:hAnsi="宋体"/>
      <w:b/>
      <w:bCs/>
      <w:sz w:val="24"/>
    </w:rPr>
  </w:style>
  <w:style w:type="paragraph" w:styleId="5">
    <w:name w:val="heading 3"/>
    <w:basedOn w:val="1"/>
    <w:next w:val="1"/>
    <w:link w:val="52"/>
    <w:qFormat/>
    <w:uiPriority w:val="0"/>
    <w:pPr>
      <w:keepNext/>
      <w:keepLines/>
      <w:numPr>
        <w:ilvl w:val="0"/>
        <w:numId w:val="1"/>
      </w:numPr>
      <w:spacing w:before="120" w:after="120" w:line="300" w:lineRule="auto"/>
      <w:outlineLvl w:val="2"/>
    </w:pPr>
    <w:rPr>
      <w:rFonts w:ascii="宋体"/>
      <w:b/>
      <w:bCs/>
      <w:sz w:val="24"/>
      <w:szCs w:val="32"/>
    </w:rPr>
  </w:style>
  <w:style w:type="paragraph" w:styleId="6">
    <w:name w:val="heading 4"/>
    <w:basedOn w:val="1"/>
    <w:next w:val="1"/>
    <w:link w:val="53"/>
    <w:qFormat/>
    <w:uiPriority w:val="0"/>
    <w:pPr>
      <w:keepNext/>
      <w:keepLines/>
      <w:spacing w:line="300" w:lineRule="auto"/>
      <w:outlineLvl w:val="3"/>
    </w:pPr>
    <w:rPr>
      <w:rFonts w:ascii="Arial" w:hAnsi="Arial"/>
      <w:bCs/>
      <w:sz w:val="24"/>
      <w:szCs w:val="28"/>
    </w:rPr>
  </w:style>
  <w:style w:type="paragraph" w:styleId="7">
    <w:name w:val="heading 5"/>
    <w:basedOn w:val="1"/>
    <w:next w:val="1"/>
    <w:link w:val="54"/>
    <w:qFormat/>
    <w:uiPriority w:val="0"/>
    <w:pPr>
      <w:keepNext/>
      <w:keepLines/>
      <w:spacing w:before="280" w:after="290" w:line="376" w:lineRule="auto"/>
      <w:outlineLvl w:val="4"/>
    </w:pPr>
    <w:rPr>
      <w:b/>
      <w:bCs/>
      <w:sz w:val="28"/>
      <w:szCs w:val="28"/>
    </w:rPr>
  </w:style>
  <w:style w:type="paragraph" w:styleId="8">
    <w:name w:val="heading 6"/>
    <w:basedOn w:val="1"/>
    <w:next w:val="1"/>
    <w:link w:val="55"/>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6"/>
    <w:qFormat/>
    <w:uiPriority w:val="0"/>
    <w:pPr>
      <w:keepNext/>
      <w:keepLines/>
      <w:spacing w:before="240" w:after="64" w:line="320" w:lineRule="auto"/>
      <w:outlineLvl w:val="6"/>
    </w:pPr>
    <w:rPr>
      <w:b/>
      <w:bCs/>
      <w:sz w:val="24"/>
    </w:rPr>
  </w:style>
  <w:style w:type="paragraph" w:styleId="10">
    <w:name w:val="heading 8"/>
    <w:basedOn w:val="1"/>
    <w:next w:val="1"/>
    <w:link w:val="57"/>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8"/>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7"/>
    <w:basedOn w:val="1"/>
    <w:next w:val="1"/>
    <w:qFormat/>
    <w:uiPriority w:val="39"/>
    <w:pPr>
      <w:ind w:left="1260"/>
      <w:jc w:val="left"/>
    </w:pPr>
    <w:rPr>
      <w:szCs w:val="21"/>
    </w:rPr>
  </w:style>
  <w:style w:type="paragraph" w:styleId="13">
    <w:name w:val="Normal Indent"/>
    <w:basedOn w:val="1"/>
    <w:qFormat/>
    <w:uiPriority w:val="0"/>
    <w:pPr>
      <w:spacing w:line="360" w:lineRule="auto"/>
      <w:ind w:left="420" w:firstLine="420"/>
    </w:pPr>
    <w:rPr>
      <w:szCs w:val="20"/>
    </w:rPr>
  </w:style>
  <w:style w:type="paragraph" w:styleId="14">
    <w:name w:val="Document Map"/>
    <w:basedOn w:val="1"/>
    <w:link w:val="62"/>
    <w:semiHidden/>
    <w:qFormat/>
    <w:uiPriority w:val="99"/>
    <w:pPr>
      <w:shd w:val="clear" w:color="auto" w:fill="000080"/>
    </w:pPr>
    <w:rPr>
      <w:rFonts w:asciiTheme="minorHAnsi" w:hAnsiTheme="minorHAnsi" w:eastAsiaTheme="minorEastAsia" w:cstheme="minorBidi"/>
    </w:rPr>
  </w:style>
  <w:style w:type="paragraph" w:styleId="15">
    <w:name w:val="annotation text"/>
    <w:basedOn w:val="1"/>
    <w:link w:val="63"/>
    <w:semiHidden/>
    <w:qFormat/>
    <w:uiPriority w:val="99"/>
    <w:pPr>
      <w:jc w:val="left"/>
    </w:pPr>
    <w:rPr>
      <w:rFonts w:asciiTheme="minorHAnsi" w:hAnsiTheme="minorHAnsi" w:eastAsiaTheme="minorEastAsia" w:cstheme="minorBidi"/>
    </w:rPr>
  </w:style>
  <w:style w:type="paragraph" w:styleId="16">
    <w:name w:val="Body Text 3"/>
    <w:basedOn w:val="1"/>
    <w:link w:val="108"/>
    <w:qFormat/>
    <w:uiPriority w:val="0"/>
    <w:rPr>
      <w:color w:val="FF00FF"/>
    </w:rPr>
  </w:style>
  <w:style w:type="paragraph" w:styleId="17">
    <w:name w:val="Body Text"/>
    <w:basedOn w:val="1"/>
    <w:link w:val="59"/>
    <w:qFormat/>
    <w:uiPriority w:val="0"/>
    <w:rPr>
      <w:rFonts w:asciiTheme="minorHAnsi" w:hAnsiTheme="minorHAnsi" w:eastAsiaTheme="minorEastAsia" w:cstheme="minorBidi"/>
      <w:sz w:val="24"/>
    </w:rPr>
  </w:style>
  <w:style w:type="paragraph" w:styleId="18">
    <w:name w:val="Body Text Indent"/>
    <w:basedOn w:val="1"/>
    <w:link w:val="117"/>
    <w:qFormat/>
    <w:uiPriority w:val="0"/>
    <w:pPr>
      <w:ind w:left="853" w:leftChars="406" w:firstLine="490" w:firstLineChars="204"/>
    </w:pPr>
    <w:rPr>
      <w:rFonts w:ascii="宋体" w:hAnsi="宋体"/>
      <w:sz w:val="24"/>
    </w:rPr>
  </w:style>
  <w:style w:type="paragraph" w:styleId="19">
    <w:name w:val="toc 5"/>
    <w:basedOn w:val="1"/>
    <w:next w:val="1"/>
    <w:qFormat/>
    <w:uiPriority w:val="39"/>
    <w:pPr>
      <w:ind w:left="840"/>
      <w:jc w:val="left"/>
    </w:pPr>
    <w:rPr>
      <w:szCs w:val="21"/>
    </w:rPr>
  </w:style>
  <w:style w:type="paragraph" w:styleId="20">
    <w:name w:val="toc 3"/>
    <w:basedOn w:val="1"/>
    <w:next w:val="1"/>
    <w:qFormat/>
    <w:uiPriority w:val="39"/>
    <w:pPr>
      <w:tabs>
        <w:tab w:val="left" w:pos="840"/>
        <w:tab w:val="right" w:leader="dot" w:pos="9062"/>
      </w:tabs>
      <w:ind w:left="420"/>
      <w:jc w:val="left"/>
    </w:pPr>
    <w:rPr>
      <w:rFonts w:hAnsi="宋体" w:cs="Arial"/>
      <w:sz w:val="24"/>
    </w:rPr>
  </w:style>
  <w:style w:type="paragraph" w:styleId="21">
    <w:name w:val="Plain Text"/>
    <w:basedOn w:val="1"/>
    <w:link w:val="85"/>
    <w:qFormat/>
    <w:uiPriority w:val="0"/>
    <w:rPr>
      <w:rFonts w:ascii="宋体" w:hAnsi="Courier New"/>
      <w:kern w:val="10"/>
      <w:szCs w:val="21"/>
    </w:rPr>
  </w:style>
  <w:style w:type="paragraph" w:styleId="22">
    <w:name w:val="toc 8"/>
    <w:basedOn w:val="1"/>
    <w:next w:val="1"/>
    <w:qFormat/>
    <w:uiPriority w:val="39"/>
    <w:pPr>
      <w:ind w:left="1470"/>
      <w:jc w:val="left"/>
    </w:pPr>
    <w:rPr>
      <w:szCs w:val="21"/>
    </w:rPr>
  </w:style>
  <w:style w:type="paragraph" w:styleId="23">
    <w:name w:val="Date"/>
    <w:basedOn w:val="1"/>
    <w:next w:val="1"/>
    <w:link w:val="72"/>
    <w:qFormat/>
    <w:uiPriority w:val="0"/>
    <w:pPr>
      <w:ind w:left="100" w:leftChars="2500"/>
    </w:pPr>
    <w:rPr>
      <w:color w:val="0000FF"/>
      <w:sz w:val="24"/>
    </w:rPr>
  </w:style>
  <w:style w:type="paragraph" w:styleId="24">
    <w:name w:val="Body Text Indent 2"/>
    <w:basedOn w:val="1"/>
    <w:link w:val="74"/>
    <w:qFormat/>
    <w:uiPriority w:val="0"/>
    <w:pPr>
      <w:ind w:left="899" w:leftChars="428" w:firstLine="456" w:firstLineChars="217"/>
    </w:pPr>
  </w:style>
  <w:style w:type="paragraph" w:styleId="25">
    <w:name w:val="Balloon Text"/>
    <w:basedOn w:val="1"/>
    <w:link w:val="61"/>
    <w:semiHidden/>
    <w:qFormat/>
    <w:uiPriority w:val="99"/>
    <w:rPr>
      <w:rFonts w:asciiTheme="minorHAnsi" w:hAnsiTheme="minorHAnsi" w:eastAsiaTheme="minorEastAsia" w:cstheme="minorBidi"/>
      <w:sz w:val="18"/>
      <w:szCs w:val="18"/>
    </w:rPr>
  </w:style>
  <w:style w:type="paragraph" w:styleId="26">
    <w:name w:val="footer"/>
    <w:basedOn w:val="1"/>
    <w:link w:val="49"/>
    <w:unhideWhenUsed/>
    <w:qFormat/>
    <w:uiPriority w:val="99"/>
    <w:pPr>
      <w:tabs>
        <w:tab w:val="center" w:pos="4153"/>
        <w:tab w:val="right" w:pos="8306"/>
      </w:tabs>
      <w:snapToGrid w:val="0"/>
      <w:jc w:val="left"/>
    </w:pPr>
    <w:rPr>
      <w:sz w:val="18"/>
      <w:szCs w:val="18"/>
    </w:rPr>
  </w:style>
  <w:style w:type="paragraph" w:styleId="27">
    <w:name w:val="toc 1"/>
    <w:basedOn w:val="1"/>
    <w:next w:val="1"/>
    <w:qFormat/>
    <w:uiPriority w:val="39"/>
    <w:pPr>
      <w:tabs>
        <w:tab w:val="right" w:leader="dot" w:pos="9062"/>
      </w:tabs>
      <w:spacing w:before="120" w:after="120"/>
      <w:jc w:val="left"/>
    </w:pPr>
    <w:rPr>
      <w:rFonts w:ascii="宋体" w:hAnsi="宋体"/>
      <w:b/>
      <w:bCs/>
      <w:caps/>
      <w:sz w:val="24"/>
      <w:szCs w:val="36"/>
    </w:rPr>
  </w:style>
  <w:style w:type="paragraph" w:styleId="28">
    <w:name w:val="toc 4"/>
    <w:basedOn w:val="1"/>
    <w:next w:val="1"/>
    <w:qFormat/>
    <w:uiPriority w:val="39"/>
    <w:pPr>
      <w:ind w:left="630"/>
      <w:jc w:val="left"/>
    </w:pPr>
    <w:rPr>
      <w:szCs w:val="21"/>
    </w:rPr>
  </w:style>
  <w:style w:type="paragraph" w:styleId="29">
    <w:name w:val="toc 6"/>
    <w:basedOn w:val="1"/>
    <w:next w:val="1"/>
    <w:qFormat/>
    <w:uiPriority w:val="39"/>
    <w:pPr>
      <w:ind w:left="1050"/>
      <w:jc w:val="left"/>
    </w:pPr>
    <w:rPr>
      <w:szCs w:val="21"/>
    </w:rPr>
  </w:style>
  <w:style w:type="paragraph" w:styleId="30">
    <w:name w:val="Body Text Indent 3"/>
    <w:basedOn w:val="1"/>
    <w:link w:val="64"/>
    <w:qFormat/>
    <w:uiPriority w:val="0"/>
    <w:pPr>
      <w:ind w:left="899" w:leftChars="428" w:firstLine="458" w:firstLineChars="218"/>
    </w:pPr>
  </w:style>
  <w:style w:type="paragraph" w:styleId="31">
    <w:name w:val="table of figures"/>
    <w:basedOn w:val="1"/>
    <w:next w:val="1"/>
    <w:semiHidden/>
    <w:qFormat/>
    <w:uiPriority w:val="0"/>
    <w:pPr>
      <w:ind w:left="840" w:leftChars="200" w:hanging="420" w:hangingChars="200"/>
    </w:pPr>
  </w:style>
  <w:style w:type="paragraph" w:styleId="32">
    <w:name w:val="toc 2"/>
    <w:basedOn w:val="1"/>
    <w:next w:val="1"/>
    <w:qFormat/>
    <w:uiPriority w:val="39"/>
    <w:pPr>
      <w:tabs>
        <w:tab w:val="right" w:leader="dot" w:pos="9062"/>
      </w:tabs>
      <w:spacing w:line="360" w:lineRule="exact"/>
      <w:ind w:left="210"/>
      <w:jc w:val="left"/>
    </w:pPr>
    <w:rPr>
      <w:rFonts w:ascii="宋体" w:hAnsi="宋体"/>
      <w:smallCaps/>
      <w:sz w:val="24"/>
      <w:szCs w:val="30"/>
    </w:rPr>
  </w:style>
  <w:style w:type="paragraph" w:styleId="33">
    <w:name w:val="toc 9"/>
    <w:basedOn w:val="1"/>
    <w:next w:val="1"/>
    <w:qFormat/>
    <w:uiPriority w:val="39"/>
    <w:pPr>
      <w:ind w:left="1680"/>
      <w:jc w:val="left"/>
    </w:pPr>
    <w:rPr>
      <w:szCs w:val="21"/>
    </w:rPr>
  </w:style>
  <w:style w:type="paragraph" w:styleId="34">
    <w:name w:val="Body Text 2"/>
    <w:basedOn w:val="1"/>
    <w:link w:val="70"/>
    <w:qFormat/>
    <w:uiPriority w:val="0"/>
    <w:rPr>
      <w:color w:val="FF0000"/>
      <w:sz w:val="24"/>
    </w:rPr>
  </w:style>
  <w:style w:type="paragraph" w:styleId="35">
    <w:name w:val="Message Header"/>
    <w:basedOn w:val="1"/>
    <w:link w:val="11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next w:val="1"/>
    <w:qFormat/>
    <w:uiPriority w:val="0"/>
    <w:pPr>
      <w:spacing w:before="240" w:after="60"/>
      <w:jc w:val="center"/>
      <w:outlineLvl w:val="0"/>
    </w:pPr>
    <w:rPr>
      <w:rFonts w:ascii="Cambria" w:hAnsi="Cambria" w:cs="Times New Roman"/>
      <w:b/>
      <w:bCs/>
      <w:sz w:val="32"/>
      <w:szCs w:val="32"/>
    </w:rPr>
  </w:style>
  <w:style w:type="paragraph" w:styleId="38">
    <w:name w:val="annotation subject"/>
    <w:basedOn w:val="15"/>
    <w:next w:val="15"/>
    <w:link w:val="107"/>
    <w:semiHidden/>
    <w:qFormat/>
    <w:uiPriority w:val="0"/>
    <w:rPr>
      <w:b/>
      <w:bCs/>
    </w:rPr>
  </w:style>
  <w:style w:type="table" w:styleId="40">
    <w:name w:val="Table Grid"/>
    <w:basedOn w:val="39"/>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qFormat/>
    <w:uiPriority w:val="0"/>
    <w:rPr>
      <w:b/>
      <w:bCs/>
    </w:rPr>
  </w:style>
  <w:style w:type="character" w:styleId="43">
    <w:name w:val="page number"/>
    <w:qFormat/>
    <w:uiPriority w:val="0"/>
    <w:rPr>
      <w:sz w:val="18"/>
      <w:szCs w:val="18"/>
    </w:rPr>
  </w:style>
  <w:style w:type="character" w:styleId="44">
    <w:name w:val="FollowedHyperlink"/>
    <w:qFormat/>
    <w:uiPriority w:val="0"/>
    <w:rPr>
      <w:color w:val="800080"/>
      <w:u w:val="single"/>
    </w:rPr>
  </w:style>
  <w:style w:type="character" w:styleId="45">
    <w:name w:val="Emphasis"/>
    <w:qFormat/>
    <w:uiPriority w:val="99"/>
    <w:rPr>
      <w:rFonts w:cs="Times New Roman"/>
      <w:i/>
    </w:rPr>
  </w:style>
  <w:style w:type="character" w:styleId="46">
    <w:name w:val="Hyperlink"/>
    <w:qFormat/>
    <w:uiPriority w:val="99"/>
    <w:rPr>
      <w:color w:val="0000FF"/>
      <w:u w:val="single"/>
    </w:rPr>
  </w:style>
  <w:style w:type="character" w:styleId="47">
    <w:name w:val="annotation reference"/>
    <w:semiHidden/>
    <w:qFormat/>
    <w:uiPriority w:val="0"/>
    <w:rPr>
      <w:sz w:val="21"/>
      <w:szCs w:val="21"/>
    </w:rPr>
  </w:style>
  <w:style w:type="character" w:customStyle="1" w:styleId="48">
    <w:name w:val="页眉 字符"/>
    <w:basedOn w:val="41"/>
    <w:link w:val="2"/>
    <w:uiPriority w:val="99"/>
    <w:rPr>
      <w:sz w:val="18"/>
      <w:szCs w:val="18"/>
    </w:rPr>
  </w:style>
  <w:style w:type="character" w:customStyle="1" w:styleId="49">
    <w:name w:val="页脚 字符"/>
    <w:basedOn w:val="41"/>
    <w:link w:val="26"/>
    <w:qFormat/>
    <w:uiPriority w:val="99"/>
    <w:rPr>
      <w:sz w:val="18"/>
      <w:szCs w:val="18"/>
    </w:rPr>
  </w:style>
  <w:style w:type="character" w:customStyle="1" w:styleId="50">
    <w:name w:val="标题 1 字符"/>
    <w:basedOn w:val="41"/>
    <w:link w:val="3"/>
    <w:qFormat/>
    <w:uiPriority w:val="0"/>
    <w:rPr>
      <w:rFonts w:ascii="Calibri" w:hAnsi="Calibri" w:eastAsia="宋体" w:cs="Times New Roman"/>
      <w:b/>
      <w:bCs/>
      <w:kern w:val="44"/>
      <w:sz w:val="32"/>
      <w:szCs w:val="32"/>
    </w:rPr>
  </w:style>
  <w:style w:type="character" w:customStyle="1" w:styleId="51">
    <w:name w:val="标题 2 字符"/>
    <w:basedOn w:val="41"/>
    <w:link w:val="4"/>
    <w:qFormat/>
    <w:uiPriority w:val="0"/>
    <w:rPr>
      <w:rFonts w:ascii="宋体" w:hAnsi="宋体" w:eastAsia="宋体" w:cs="Times New Roman"/>
      <w:b/>
      <w:bCs/>
      <w:sz w:val="24"/>
      <w:szCs w:val="24"/>
    </w:rPr>
  </w:style>
  <w:style w:type="character" w:customStyle="1" w:styleId="52">
    <w:name w:val="标题 3 字符"/>
    <w:basedOn w:val="41"/>
    <w:link w:val="5"/>
    <w:uiPriority w:val="0"/>
    <w:rPr>
      <w:rFonts w:ascii="宋体" w:hAnsi="Calibri" w:eastAsia="宋体" w:cs="Times New Roman"/>
      <w:b/>
      <w:bCs/>
      <w:sz w:val="24"/>
      <w:szCs w:val="32"/>
    </w:rPr>
  </w:style>
  <w:style w:type="character" w:customStyle="1" w:styleId="53">
    <w:name w:val="标题 4 字符"/>
    <w:basedOn w:val="41"/>
    <w:link w:val="6"/>
    <w:qFormat/>
    <w:uiPriority w:val="0"/>
    <w:rPr>
      <w:rFonts w:ascii="Arial" w:hAnsi="Arial" w:eastAsia="宋体" w:cs="Times New Roman"/>
      <w:bCs/>
      <w:sz w:val="24"/>
      <w:szCs w:val="28"/>
    </w:rPr>
  </w:style>
  <w:style w:type="character" w:customStyle="1" w:styleId="54">
    <w:name w:val="标题 5 字符"/>
    <w:basedOn w:val="41"/>
    <w:link w:val="7"/>
    <w:qFormat/>
    <w:uiPriority w:val="0"/>
    <w:rPr>
      <w:rFonts w:ascii="Calibri" w:hAnsi="Calibri" w:eastAsia="宋体" w:cs="Times New Roman"/>
      <w:b/>
      <w:bCs/>
      <w:sz w:val="28"/>
      <w:szCs w:val="28"/>
    </w:rPr>
  </w:style>
  <w:style w:type="character" w:customStyle="1" w:styleId="55">
    <w:name w:val="标题 6 字符"/>
    <w:basedOn w:val="41"/>
    <w:link w:val="8"/>
    <w:qFormat/>
    <w:uiPriority w:val="0"/>
    <w:rPr>
      <w:rFonts w:ascii="Arial" w:hAnsi="Arial" w:eastAsia="黑体" w:cs="Times New Roman"/>
      <w:b/>
      <w:bCs/>
      <w:sz w:val="24"/>
      <w:szCs w:val="24"/>
    </w:rPr>
  </w:style>
  <w:style w:type="character" w:customStyle="1" w:styleId="56">
    <w:name w:val="标题 7 字符"/>
    <w:basedOn w:val="41"/>
    <w:link w:val="9"/>
    <w:qFormat/>
    <w:uiPriority w:val="0"/>
    <w:rPr>
      <w:rFonts w:ascii="Calibri" w:hAnsi="Calibri" w:eastAsia="宋体" w:cs="Times New Roman"/>
      <w:b/>
      <w:bCs/>
      <w:sz w:val="24"/>
      <w:szCs w:val="24"/>
    </w:rPr>
  </w:style>
  <w:style w:type="character" w:customStyle="1" w:styleId="57">
    <w:name w:val="标题 8 字符"/>
    <w:basedOn w:val="41"/>
    <w:link w:val="10"/>
    <w:uiPriority w:val="0"/>
    <w:rPr>
      <w:rFonts w:ascii="Arial" w:hAnsi="Arial" w:eastAsia="黑体" w:cs="Times New Roman"/>
      <w:sz w:val="24"/>
      <w:szCs w:val="24"/>
    </w:rPr>
  </w:style>
  <w:style w:type="character" w:customStyle="1" w:styleId="58">
    <w:name w:val="标题 9 字符"/>
    <w:basedOn w:val="41"/>
    <w:link w:val="11"/>
    <w:qFormat/>
    <w:uiPriority w:val="0"/>
    <w:rPr>
      <w:rFonts w:ascii="Arial" w:hAnsi="Arial" w:eastAsia="黑体" w:cs="Times New Roman"/>
      <w:szCs w:val="21"/>
    </w:rPr>
  </w:style>
  <w:style w:type="character" w:customStyle="1" w:styleId="59">
    <w:name w:val="正文文本 字符"/>
    <w:link w:val="17"/>
    <w:qFormat/>
    <w:uiPriority w:val="0"/>
    <w:rPr>
      <w:sz w:val="24"/>
      <w:szCs w:val="24"/>
    </w:rPr>
  </w:style>
  <w:style w:type="character" w:customStyle="1" w:styleId="60">
    <w:name w:val="p141"/>
    <w:uiPriority w:val="0"/>
    <w:rPr>
      <w:sz w:val="21"/>
      <w:szCs w:val="21"/>
    </w:rPr>
  </w:style>
  <w:style w:type="character" w:customStyle="1" w:styleId="61">
    <w:name w:val="批注框文本 字符"/>
    <w:link w:val="25"/>
    <w:semiHidden/>
    <w:qFormat/>
    <w:uiPriority w:val="99"/>
    <w:rPr>
      <w:sz w:val="18"/>
      <w:szCs w:val="18"/>
    </w:rPr>
  </w:style>
  <w:style w:type="character" w:customStyle="1" w:styleId="62">
    <w:name w:val="文档结构图 字符"/>
    <w:link w:val="14"/>
    <w:semiHidden/>
    <w:qFormat/>
    <w:uiPriority w:val="99"/>
    <w:rPr>
      <w:szCs w:val="24"/>
      <w:shd w:val="clear" w:color="auto" w:fill="000080"/>
    </w:rPr>
  </w:style>
  <w:style w:type="character" w:customStyle="1" w:styleId="63">
    <w:name w:val="批注文字 字符"/>
    <w:link w:val="15"/>
    <w:semiHidden/>
    <w:uiPriority w:val="99"/>
    <w:rPr>
      <w:szCs w:val="24"/>
    </w:rPr>
  </w:style>
  <w:style w:type="character" w:customStyle="1" w:styleId="64">
    <w:name w:val="正文文本缩进 3 字符"/>
    <w:basedOn w:val="41"/>
    <w:link w:val="30"/>
    <w:qFormat/>
    <w:uiPriority w:val="0"/>
    <w:rPr>
      <w:rFonts w:ascii="Calibri" w:hAnsi="Calibri" w:eastAsia="宋体" w:cs="Times New Roman"/>
      <w:szCs w:val="24"/>
    </w:rPr>
  </w:style>
  <w:style w:type="paragraph" w:customStyle="1" w:styleId="65">
    <w:name w:val="项目符合2"/>
    <w:basedOn w:val="1"/>
    <w:qFormat/>
    <w:uiPriority w:val="0"/>
    <w:pPr>
      <w:tabs>
        <w:tab w:val="left" w:pos="1049"/>
      </w:tabs>
      <w:ind w:left="1049" w:hanging="420"/>
    </w:pPr>
    <w:rPr>
      <w:sz w:val="24"/>
    </w:rPr>
  </w:style>
  <w:style w:type="paragraph" w:customStyle="1" w:styleId="66">
    <w:name w:val="Char Char Char Char Char Char1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7">
    <w:name w:val="Char Char Char Char"/>
    <w:basedOn w:val="1"/>
    <w:semiHidden/>
    <w:uiPriority w:val="0"/>
    <w:pPr>
      <w:widowControl/>
      <w:adjustRightInd w:val="0"/>
      <w:snapToGrid w:val="0"/>
      <w:spacing w:after="160" w:line="240" w:lineRule="exact"/>
      <w:ind w:firstLine="200" w:firstLineChars="200"/>
      <w:jc w:val="left"/>
    </w:pPr>
    <w:rPr>
      <w:rFonts w:ascii="Verdana" w:hAnsi="Verdana"/>
      <w:kern w:val="0"/>
      <w:sz w:val="20"/>
      <w:szCs w:val="20"/>
      <w:lang w:eastAsia="en-US"/>
    </w:rPr>
  </w:style>
  <w:style w:type="paragraph" w:customStyle="1" w:styleId="68">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69">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character" w:customStyle="1" w:styleId="70">
    <w:name w:val="正文文本 2 字符"/>
    <w:basedOn w:val="41"/>
    <w:link w:val="34"/>
    <w:uiPriority w:val="0"/>
    <w:rPr>
      <w:rFonts w:ascii="Calibri" w:hAnsi="Calibri" w:eastAsia="宋体" w:cs="Times New Roman"/>
      <w:color w:val="FF0000"/>
      <w:sz w:val="24"/>
      <w:szCs w:val="24"/>
    </w:rPr>
  </w:style>
  <w:style w:type="paragraph" w:customStyle="1" w:styleId="7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72">
    <w:name w:val="日期 字符"/>
    <w:basedOn w:val="41"/>
    <w:link w:val="23"/>
    <w:qFormat/>
    <w:uiPriority w:val="0"/>
    <w:rPr>
      <w:rFonts w:ascii="Calibri" w:hAnsi="Calibri" w:eastAsia="宋体" w:cs="Times New Roman"/>
      <w:color w:val="0000FF"/>
      <w:sz w:val="24"/>
      <w:szCs w:val="24"/>
    </w:rPr>
  </w:style>
  <w:style w:type="paragraph" w:customStyle="1" w:styleId="73">
    <w:name w:val="标题 51"/>
    <w:basedOn w:val="1"/>
    <w:qFormat/>
    <w:uiPriority w:val="1"/>
    <w:pPr>
      <w:ind w:left="578" w:hanging="360"/>
      <w:jc w:val="left"/>
      <w:outlineLvl w:val="5"/>
    </w:pPr>
    <w:rPr>
      <w:rFonts w:ascii="宋体" w:hAnsi="宋体"/>
      <w:kern w:val="0"/>
      <w:sz w:val="22"/>
      <w:szCs w:val="22"/>
      <w:lang w:eastAsia="en-US"/>
    </w:rPr>
  </w:style>
  <w:style w:type="character" w:customStyle="1" w:styleId="74">
    <w:name w:val="正文文本缩进 2 字符"/>
    <w:basedOn w:val="41"/>
    <w:link w:val="24"/>
    <w:qFormat/>
    <w:uiPriority w:val="0"/>
    <w:rPr>
      <w:rFonts w:ascii="Calibri" w:hAnsi="Calibri" w:eastAsia="宋体" w:cs="Times New Roman"/>
      <w:szCs w:val="24"/>
    </w:rPr>
  </w:style>
  <w:style w:type="paragraph" w:customStyle="1" w:styleId="7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Char1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7">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78">
    <w:name w:val="xl28"/>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9">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80">
    <w:name w:val="Table Paragraph"/>
    <w:basedOn w:val="1"/>
    <w:qFormat/>
    <w:uiPriority w:val="1"/>
    <w:pPr>
      <w:jc w:val="left"/>
    </w:pPr>
    <w:rPr>
      <w:kern w:val="0"/>
      <w:sz w:val="22"/>
      <w:szCs w:val="22"/>
      <w:lang w:eastAsia="en-US"/>
    </w:rPr>
  </w:style>
  <w:style w:type="paragraph" w:customStyle="1" w:styleId="81">
    <w:name w:val="标题 41"/>
    <w:basedOn w:val="1"/>
    <w:qFormat/>
    <w:uiPriority w:val="1"/>
    <w:pPr>
      <w:ind w:left="149"/>
      <w:jc w:val="left"/>
      <w:outlineLvl w:val="4"/>
    </w:pPr>
    <w:rPr>
      <w:rFonts w:ascii="宋体" w:hAnsi="宋体"/>
      <w:kern w:val="0"/>
      <w:sz w:val="24"/>
      <w:lang w:eastAsia="en-US"/>
    </w:rPr>
  </w:style>
  <w:style w:type="paragraph" w:customStyle="1" w:styleId="82">
    <w:name w:val="xiao b"/>
    <w:basedOn w:val="1"/>
    <w:qFormat/>
    <w:uiPriority w:val="0"/>
    <w:pPr>
      <w:jc w:val="center"/>
    </w:pPr>
    <w:rPr>
      <w:rFonts w:eastAsia="黑体"/>
      <w:sz w:val="24"/>
      <w:szCs w:val="20"/>
    </w:rPr>
  </w:style>
  <w:style w:type="paragraph" w:customStyle="1" w:styleId="83">
    <w:name w:val="xl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84">
    <w:name w:val="批注框文本 字符1"/>
    <w:basedOn w:val="41"/>
    <w:semiHidden/>
    <w:qFormat/>
    <w:uiPriority w:val="99"/>
    <w:rPr>
      <w:rFonts w:ascii="Calibri" w:hAnsi="Calibri" w:eastAsia="宋体" w:cs="Times New Roman"/>
      <w:sz w:val="18"/>
      <w:szCs w:val="18"/>
    </w:rPr>
  </w:style>
  <w:style w:type="character" w:customStyle="1" w:styleId="85">
    <w:name w:val="纯文本 字符"/>
    <w:basedOn w:val="41"/>
    <w:link w:val="21"/>
    <w:qFormat/>
    <w:uiPriority w:val="0"/>
    <w:rPr>
      <w:rFonts w:ascii="宋体" w:hAnsi="Courier New" w:eastAsia="宋体" w:cs="Times New Roman"/>
      <w:kern w:val="10"/>
      <w:szCs w:val="21"/>
    </w:rPr>
  </w:style>
  <w:style w:type="paragraph" w:customStyle="1" w:styleId="86">
    <w:name w:val="Char Char Char Char 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7">
    <w:name w:val="xl49"/>
    <w:basedOn w:val="1"/>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kern w:val="0"/>
      <w:sz w:val="20"/>
      <w:szCs w:val="20"/>
    </w:rPr>
  </w:style>
  <w:style w:type="paragraph" w:customStyle="1" w:styleId="88">
    <w:name w:val="标题 11"/>
    <w:basedOn w:val="1"/>
    <w:qFormat/>
    <w:uiPriority w:val="1"/>
    <w:pPr>
      <w:jc w:val="left"/>
      <w:outlineLvl w:val="1"/>
    </w:pPr>
    <w:rPr>
      <w:rFonts w:ascii="黑体" w:hAnsi="黑体" w:eastAsia="黑体"/>
      <w:kern w:val="0"/>
      <w:sz w:val="52"/>
      <w:szCs w:val="52"/>
      <w:lang w:eastAsia="en-US"/>
    </w:rPr>
  </w:style>
  <w:style w:type="paragraph" w:customStyle="1" w:styleId="8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90">
    <w:name w:val="项目符号3"/>
    <w:basedOn w:val="1"/>
    <w:qFormat/>
    <w:uiPriority w:val="0"/>
    <w:pPr>
      <w:tabs>
        <w:tab w:val="left" w:pos="1260"/>
      </w:tabs>
      <w:ind w:left="1260" w:hanging="420"/>
    </w:pPr>
    <w:rPr>
      <w:sz w:val="24"/>
    </w:rPr>
  </w:style>
  <w:style w:type="paragraph" w:customStyle="1" w:styleId="91">
    <w:name w:val="xl3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92">
    <w:name w:val="font6"/>
    <w:basedOn w:val="1"/>
    <w:qFormat/>
    <w:uiPriority w:val="0"/>
    <w:pPr>
      <w:widowControl/>
      <w:spacing w:before="100" w:beforeAutospacing="1" w:after="100" w:afterAutospacing="1"/>
      <w:jc w:val="left"/>
    </w:pPr>
    <w:rPr>
      <w:rFonts w:hint="eastAsia" w:ascii="宋体" w:hAnsi="宋体"/>
      <w:kern w:val="0"/>
      <w:sz w:val="20"/>
      <w:szCs w:val="20"/>
    </w:rPr>
  </w:style>
  <w:style w:type="character" w:customStyle="1" w:styleId="93">
    <w:name w:val="页眉 字符1"/>
    <w:basedOn w:val="41"/>
    <w:semiHidden/>
    <w:qFormat/>
    <w:uiPriority w:val="99"/>
    <w:rPr>
      <w:rFonts w:ascii="Calibri" w:hAnsi="Calibri" w:eastAsia="宋体" w:cs="Times New Roman"/>
      <w:sz w:val="18"/>
      <w:szCs w:val="18"/>
    </w:rPr>
  </w:style>
  <w:style w:type="paragraph" w:customStyle="1" w:styleId="94">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95">
    <w:name w:val="xl54"/>
    <w:basedOn w:val="1"/>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kern w:val="0"/>
      <w:sz w:val="20"/>
      <w:szCs w:val="20"/>
    </w:rPr>
  </w:style>
  <w:style w:type="paragraph" w:customStyle="1" w:styleId="96">
    <w:name w:val="标题 21"/>
    <w:basedOn w:val="1"/>
    <w:qFormat/>
    <w:uiPriority w:val="1"/>
    <w:pPr>
      <w:ind w:left="138"/>
      <w:jc w:val="left"/>
      <w:outlineLvl w:val="2"/>
    </w:pPr>
    <w:rPr>
      <w:rFonts w:ascii="黑体" w:hAnsi="黑体" w:eastAsia="黑体"/>
      <w:kern w:val="0"/>
      <w:sz w:val="32"/>
      <w:szCs w:val="32"/>
      <w:lang w:eastAsia="en-US"/>
    </w:rPr>
  </w:style>
  <w:style w:type="paragraph" w:customStyle="1" w:styleId="9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99">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character" w:customStyle="1" w:styleId="100">
    <w:name w:val="文档结构图 字符1"/>
    <w:basedOn w:val="41"/>
    <w:semiHidden/>
    <w:qFormat/>
    <w:uiPriority w:val="99"/>
    <w:rPr>
      <w:rFonts w:ascii="Microsoft YaHei UI" w:hAnsi="Calibri" w:eastAsia="Microsoft YaHei UI" w:cs="Times New Roman"/>
      <w:sz w:val="18"/>
      <w:szCs w:val="18"/>
    </w:rPr>
  </w:style>
  <w:style w:type="paragraph" w:customStyle="1" w:styleId="101">
    <w:name w:val="标题 31"/>
    <w:basedOn w:val="1"/>
    <w:qFormat/>
    <w:uiPriority w:val="1"/>
    <w:pPr>
      <w:ind w:left="149"/>
      <w:jc w:val="left"/>
      <w:outlineLvl w:val="3"/>
    </w:pPr>
    <w:rPr>
      <w:rFonts w:ascii="黑体" w:hAnsi="黑体" w:eastAsia="黑体"/>
      <w:kern w:val="0"/>
      <w:sz w:val="28"/>
      <w:szCs w:val="28"/>
      <w:lang w:eastAsia="en-US"/>
    </w:rPr>
  </w:style>
  <w:style w:type="paragraph" w:customStyle="1" w:styleId="102">
    <w:name w:val="xl4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103">
    <w:name w:val="批注文字 字符1"/>
    <w:basedOn w:val="41"/>
    <w:semiHidden/>
    <w:qFormat/>
    <w:uiPriority w:val="99"/>
    <w:rPr>
      <w:rFonts w:ascii="Calibri" w:hAnsi="Calibri" w:eastAsia="宋体" w:cs="Times New Roman"/>
      <w:szCs w:val="24"/>
    </w:rPr>
  </w:style>
  <w:style w:type="character" w:customStyle="1" w:styleId="104">
    <w:name w:val="正文文本 字符1"/>
    <w:basedOn w:val="41"/>
    <w:semiHidden/>
    <w:qFormat/>
    <w:uiPriority w:val="99"/>
    <w:rPr>
      <w:rFonts w:ascii="Calibri" w:hAnsi="Calibri" w:eastAsia="宋体" w:cs="Times New Roman"/>
      <w:szCs w:val="24"/>
    </w:rPr>
  </w:style>
  <w:style w:type="paragraph" w:customStyle="1" w:styleId="10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06">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07">
    <w:name w:val="批注主题 字符"/>
    <w:basedOn w:val="103"/>
    <w:link w:val="38"/>
    <w:semiHidden/>
    <w:qFormat/>
    <w:uiPriority w:val="0"/>
    <w:rPr>
      <w:rFonts w:ascii="Calibri" w:hAnsi="Calibri" w:eastAsia="宋体" w:cs="Times New Roman"/>
      <w:b/>
      <w:bCs/>
      <w:szCs w:val="24"/>
    </w:rPr>
  </w:style>
  <w:style w:type="character" w:customStyle="1" w:styleId="108">
    <w:name w:val="正文文本 3 字符"/>
    <w:basedOn w:val="41"/>
    <w:link w:val="16"/>
    <w:qFormat/>
    <w:uiPriority w:val="0"/>
    <w:rPr>
      <w:rFonts w:ascii="Calibri" w:hAnsi="Calibri" w:eastAsia="宋体" w:cs="Times New Roman"/>
      <w:color w:val="FF00FF"/>
      <w:szCs w:val="24"/>
    </w:rPr>
  </w:style>
  <w:style w:type="paragraph" w:customStyle="1" w:styleId="109">
    <w:name w:val="subtitle 2"/>
    <w:basedOn w:val="1"/>
    <w:qFormat/>
    <w:uiPriority w:val="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110">
    <w:name w:val="p121"/>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11">
    <w:name w:val="xl56"/>
    <w:basedOn w:val="1"/>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12">
    <w:name w:val="样式1"/>
    <w:basedOn w:val="5"/>
    <w:qFormat/>
    <w:uiPriority w:val="0"/>
    <w:pPr>
      <w:numPr>
        <w:ilvl w:val="0"/>
        <w:numId w:val="2"/>
      </w:numPr>
      <w:spacing w:line="560" w:lineRule="exact"/>
    </w:pPr>
    <w:rPr>
      <w:rFonts w:hAnsi="宋体" w:cs="Arial"/>
      <w:kern w:val="0"/>
    </w:rPr>
  </w:style>
  <w:style w:type="paragraph" w:customStyle="1" w:styleId="113">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14">
    <w:name w:val="信息标题 字符"/>
    <w:basedOn w:val="41"/>
    <w:link w:val="35"/>
    <w:qFormat/>
    <w:uiPriority w:val="0"/>
    <w:rPr>
      <w:rFonts w:ascii="Arial" w:hAnsi="Arial" w:eastAsia="宋体" w:cs="Arial"/>
      <w:sz w:val="24"/>
      <w:szCs w:val="24"/>
      <w:shd w:val="pct20" w:color="auto" w:fill="auto"/>
    </w:rPr>
  </w:style>
  <w:style w:type="paragraph" w:styleId="115">
    <w:name w:val="List Paragraph"/>
    <w:basedOn w:val="1"/>
    <w:qFormat/>
    <w:uiPriority w:val="34"/>
    <w:pPr>
      <w:ind w:firstLine="420" w:firstLineChars="200"/>
    </w:pPr>
  </w:style>
  <w:style w:type="paragraph" w:customStyle="1" w:styleId="116">
    <w:name w:val="正文2"/>
    <w:basedOn w:val="17"/>
    <w:qFormat/>
    <w:uiPriority w:val="0"/>
    <w:pPr>
      <w:spacing w:line="360" w:lineRule="auto"/>
      <w:ind w:firstLine="480" w:firstLineChars="200"/>
    </w:pPr>
    <w:rPr>
      <w:rFonts w:ascii="宋体"/>
    </w:rPr>
  </w:style>
  <w:style w:type="character" w:customStyle="1" w:styleId="117">
    <w:name w:val="正文文本缩进 字符"/>
    <w:basedOn w:val="41"/>
    <w:link w:val="18"/>
    <w:qFormat/>
    <w:uiPriority w:val="0"/>
    <w:rPr>
      <w:rFonts w:ascii="宋体" w:hAnsi="宋体" w:eastAsia="宋体" w:cs="Times New Roman"/>
      <w:sz w:val="24"/>
      <w:szCs w:val="24"/>
    </w:rPr>
  </w:style>
  <w:style w:type="paragraph" w:customStyle="1" w:styleId="118">
    <w:name w:val="xl35"/>
    <w:basedOn w:val="1"/>
    <w:qFormat/>
    <w:uiPriority w:val="0"/>
    <w:pPr>
      <w:widowControl/>
      <w:pBdr>
        <w:top w:val="single" w:color="auto" w:sz="4" w:space="0"/>
        <w:left w:val="single" w:color="auto" w:sz="8" w:space="0"/>
        <w:right w:val="single" w:color="auto" w:sz="4" w:space="0"/>
      </w:pBdr>
      <w:spacing w:before="100" w:beforeAutospacing="1" w:after="100" w:afterAutospacing="1"/>
      <w:jc w:val="left"/>
    </w:pPr>
    <w:rPr>
      <w:rFonts w:ascii="宋体" w:hAnsi="宋体"/>
      <w:kern w:val="0"/>
      <w:sz w:val="20"/>
      <w:szCs w:val="20"/>
    </w:rPr>
  </w:style>
  <w:style w:type="paragraph" w:customStyle="1" w:styleId="119">
    <w:name w:val="xl51"/>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olor w:val="000000"/>
      <w:kern w:val="0"/>
      <w:sz w:val="20"/>
      <w:szCs w:val="20"/>
    </w:rPr>
  </w:style>
  <w:style w:type="character" w:customStyle="1" w:styleId="120">
    <w:name w:val="页脚 字符1"/>
    <w:basedOn w:val="41"/>
    <w:semiHidden/>
    <w:qFormat/>
    <w:uiPriority w:val="99"/>
    <w:rPr>
      <w:rFonts w:ascii="Calibri" w:hAnsi="Calibri" w:eastAsia="宋体" w:cs="Times New Roman"/>
      <w:sz w:val="18"/>
      <w:szCs w:val="18"/>
    </w:rPr>
  </w:style>
  <w:style w:type="paragraph" w:customStyle="1" w:styleId="121">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kern w:val="0"/>
      <w:sz w:val="20"/>
      <w:szCs w:val="20"/>
    </w:rPr>
  </w:style>
  <w:style w:type="paragraph" w:customStyle="1" w:styleId="122">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3">
    <w:name w:val="xl4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24">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5">
    <w:name w:val="xl30"/>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26">
    <w:name w:val="xl59"/>
    <w:basedOn w:val="1"/>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27">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28">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29">
    <w:name w:val="xl45"/>
    <w:basedOn w:val="1"/>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30">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1">
    <w:name w:val="xl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32">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33">
    <w:name w:val="xl29"/>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34">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5">
    <w:name w:val="xl3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36">
    <w:name w:val="xl53"/>
    <w:basedOn w:val="1"/>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13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8">
    <w:name w:val="1"/>
    <w:basedOn w:val="1"/>
    <w:next w:val="17"/>
    <w:qFormat/>
    <w:uiPriority w:val="0"/>
    <w:rPr>
      <w:sz w:val="24"/>
    </w:rPr>
  </w:style>
  <w:style w:type="paragraph" w:customStyle="1" w:styleId="139">
    <w:name w:val="xl50"/>
    <w:basedOn w:val="1"/>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4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4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2">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20"/>
      <w:szCs w:val="20"/>
    </w:rPr>
  </w:style>
  <w:style w:type="paragraph" w:customStyle="1" w:styleId="143">
    <w:name w:val="样式2"/>
    <w:basedOn w:val="4"/>
    <w:qFormat/>
    <w:uiPriority w:val="0"/>
    <w:pPr>
      <w:numPr>
        <w:ilvl w:val="0"/>
        <w:numId w:val="3"/>
      </w:numPr>
      <w:spacing w:line="500" w:lineRule="exact"/>
      <w:jc w:val="both"/>
    </w:pPr>
    <w:rPr>
      <w:color w:val="000000"/>
    </w:rPr>
  </w:style>
  <w:style w:type="paragraph" w:customStyle="1" w:styleId="144">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5">
    <w:name w:val="xl31"/>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table" w:customStyle="1" w:styleId="146">
    <w:name w:val="Table Normal"/>
    <w:unhideWhenUsed/>
    <w:qFormat/>
    <w:uiPriority w:val="2"/>
    <w:pPr>
      <w:widowControl w:val="0"/>
    </w:pPr>
    <w:rPr>
      <w:rFonts w:ascii="Calibri" w:hAnsi="Calibri" w:eastAsia="宋体" w:cs="Times New Roman"/>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4677</Words>
  <Characters>4752</Characters>
  <Lines>69</Lines>
  <Paragraphs>19</Paragraphs>
  <TotalTime>3</TotalTime>
  <ScaleCrop>false</ScaleCrop>
  <LinksUpToDate>false</LinksUpToDate>
  <CharactersWithSpaces>4818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2020-06-20T03:49:00Z</dcterms:created>
  <dc:creator>Administrator</dc:creator>
  <cp:lastModifiedBy>Administrator</cp:lastModifiedBy>
  <dcterms:modified xsi:type="dcterms:W3CDTF">2022-05-05T00:48:04Z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9935995E97864898BB058D4F25405E66</vt:lpwstr>
  </property>
  <property fmtid="{D5CDD505-2E9C-101B-9397-08002B2CF9AE}" pid="4" name="commondata">
    <vt:lpwstr>eyJoZGlkIjoiNzFmNzk2OTM0MzYwNTUzOTA5OTQ0MjBlMjRiODg1MWQifQ==</vt:lpwstr>
  </property>
</Properties>
</file>