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sz w:val="36"/>
          <w:szCs w:val="36"/>
          <w:lang w:val="en-US" w:eastAsia="zh-CN"/>
        </w:rPr>
      </w:pPr>
      <w:bookmarkStart w:id="3" w:name="_GoBack"/>
      <w:bookmarkEnd w:id="3"/>
      <w:r>
        <w:rPr>
          <w:rFonts w:hint="eastAsia"/>
          <w:b/>
          <w:bCs/>
          <w:sz w:val="36"/>
          <w:szCs w:val="36"/>
          <w:lang w:eastAsia="zh-CN"/>
        </w:rPr>
        <w:t>西南航</w:t>
      </w:r>
      <w:r>
        <w:rPr>
          <w:rFonts w:hint="eastAsia"/>
          <w:b/>
          <w:bCs/>
          <w:sz w:val="36"/>
          <w:szCs w:val="36"/>
          <w:lang w:val="en-US" w:eastAsia="zh-CN"/>
        </w:rPr>
        <w:t>食天府分公司有害生物防治评估与选择基本条件（技术部份）</w:t>
      </w:r>
    </w:p>
    <w:p>
      <w:pPr>
        <w:rPr>
          <w:rFonts w:hint="eastAsia"/>
          <w:b/>
          <w:bCs/>
          <w:sz w:val="28"/>
          <w:szCs w:val="28"/>
        </w:rPr>
      </w:pPr>
      <w:r>
        <w:rPr>
          <w:rFonts w:hint="eastAsia"/>
          <w:b/>
          <w:bCs/>
          <w:sz w:val="28"/>
          <w:szCs w:val="28"/>
          <w:lang w:eastAsia="zh-CN"/>
        </w:rPr>
        <w:t>一、</w:t>
      </w:r>
      <w:r>
        <w:rPr>
          <w:rFonts w:hint="eastAsia"/>
          <w:b/>
          <w:bCs/>
          <w:sz w:val="28"/>
          <w:szCs w:val="28"/>
          <w:lang w:val="en-US" w:eastAsia="zh-CN"/>
        </w:rPr>
        <w:t>天府分公司有害生物防治</w:t>
      </w:r>
      <w:r>
        <w:rPr>
          <w:rFonts w:hint="eastAsia"/>
          <w:b/>
          <w:bCs/>
          <w:sz w:val="28"/>
          <w:szCs w:val="28"/>
        </w:rPr>
        <w:t>基本情况：</w:t>
      </w:r>
    </w:p>
    <w:p>
      <w:pPr>
        <w:numPr>
          <w:ilvl w:val="0"/>
          <w:numId w:val="0"/>
        </w:numPr>
        <w:rPr>
          <w:rFonts w:hint="eastAsia"/>
          <w:sz w:val="28"/>
          <w:szCs w:val="28"/>
        </w:rPr>
      </w:pPr>
      <w:r>
        <w:rPr>
          <w:rFonts w:hint="eastAsia"/>
          <w:sz w:val="28"/>
          <w:szCs w:val="28"/>
          <w:lang w:val="en-US" w:eastAsia="zh-CN"/>
        </w:rPr>
        <w:t>1、作业频率：5-10月每月5次，共它月份每月3次，全年服务48次；免费应急处理，应急处理2小时响应，24小时处理或提供解决方案。在入厂前对厂房厂区有害生物进行全面评估并开展预防性有害生物防治工作。</w:t>
      </w:r>
    </w:p>
    <w:p>
      <w:pPr>
        <w:numPr>
          <w:ilvl w:val="0"/>
          <w:numId w:val="1"/>
        </w:numPr>
        <w:rPr>
          <w:rFonts w:hint="eastAsia"/>
          <w:sz w:val="28"/>
          <w:szCs w:val="28"/>
          <w:lang w:val="en-US" w:eastAsia="zh-CN"/>
        </w:rPr>
      </w:pPr>
      <w:r>
        <w:rPr>
          <w:rFonts w:hint="eastAsia"/>
          <w:sz w:val="28"/>
          <w:szCs w:val="28"/>
          <w:lang w:val="en-US" w:eastAsia="zh-CN"/>
        </w:rPr>
        <w:t>服务</w:t>
      </w:r>
      <w:r>
        <w:rPr>
          <w:rFonts w:hint="eastAsia"/>
          <w:sz w:val="28"/>
          <w:szCs w:val="28"/>
        </w:rPr>
        <w:t>范围：</w:t>
      </w:r>
      <w:r>
        <w:rPr>
          <w:rFonts w:hint="eastAsia"/>
          <w:sz w:val="28"/>
          <w:szCs w:val="28"/>
          <w:lang w:val="en-US" w:eastAsia="zh-CN"/>
        </w:rPr>
        <w:t>西南航食天府分公司厂区内及周边外环境；属于公司管辖，但不在厂区内的食堂及经营销售点的有害生物防治工作暂未包含在本项目中，若有需要，可签订补充协议）</w:t>
      </w:r>
    </w:p>
    <w:p>
      <w:pPr>
        <w:numPr>
          <w:ilvl w:val="0"/>
          <w:numId w:val="1"/>
        </w:numPr>
        <w:rPr>
          <w:rFonts w:hint="eastAsia"/>
          <w:sz w:val="28"/>
          <w:szCs w:val="28"/>
          <w:lang w:val="en-US" w:eastAsia="zh-CN"/>
        </w:rPr>
      </w:pPr>
      <w:r>
        <w:rPr>
          <w:rFonts w:hint="eastAsia"/>
          <w:sz w:val="28"/>
          <w:szCs w:val="28"/>
          <w:lang w:val="en-US" w:eastAsia="zh-CN"/>
        </w:rPr>
        <w:t>所有消杀效果需达到国家爱卫会规定的控制标准。作业记录包含但不仅限于日常记录、点位统计、趋势分析、纠正措施等。并根据公司实际情况及要求，开展有害生物防治工作。</w:t>
      </w:r>
    </w:p>
    <w:p>
      <w:pPr>
        <w:numPr>
          <w:ilvl w:val="0"/>
          <w:numId w:val="0"/>
        </w:numPr>
        <w:rPr>
          <w:rFonts w:hint="eastAsia"/>
          <w:sz w:val="28"/>
          <w:szCs w:val="28"/>
          <w:lang w:val="en-US" w:eastAsia="zh-CN"/>
        </w:rPr>
      </w:pPr>
      <w:r>
        <w:rPr>
          <w:rFonts w:hint="eastAsia"/>
          <w:sz w:val="28"/>
          <w:szCs w:val="28"/>
          <w:lang w:val="en-US" w:eastAsia="zh-CN"/>
        </w:rPr>
        <w:t>4、采购项目：西南航食天府分公司厂区内及周边外环境有害生物防治工作，包含具体服务、有害生物防治相关设备及耗材（包括但不仅限于鼠笼、鼠盒、粘鼠板、灭蝇彩带及相关器材药品耗材等。灭蝇灯由我公司提供，但其耗材及日常维护由有害生物防治公司提供）</w:t>
      </w:r>
    </w:p>
    <w:p>
      <w:pPr>
        <w:numPr>
          <w:ilvl w:val="0"/>
          <w:numId w:val="0"/>
        </w:numPr>
        <w:rPr>
          <w:rFonts w:hint="eastAsia"/>
          <w:sz w:val="28"/>
          <w:szCs w:val="28"/>
        </w:rPr>
      </w:pPr>
      <w:r>
        <w:rPr>
          <w:rFonts w:hint="eastAsia"/>
          <w:sz w:val="28"/>
          <w:szCs w:val="28"/>
          <w:lang w:val="en-US" w:eastAsia="zh-CN"/>
        </w:rPr>
        <w:t>5、作业人员</w:t>
      </w:r>
      <w:r>
        <w:rPr>
          <w:rFonts w:hint="eastAsia"/>
          <w:sz w:val="28"/>
          <w:szCs w:val="28"/>
        </w:rPr>
        <w:t>的交通食宿自理；</w:t>
      </w:r>
    </w:p>
    <w:p>
      <w:pPr>
        <w:numPr>
          <w:ilvl w:val="0"/>
          <w:numId w:val="2"/>
        </w:numPr>
        <w:rPr>
          <w:rFonts w:hint="eastAsia"/>
          <w:b/>
          <w:bCs/>
          <w:sz w:val="28"/>
          <w:szCs w:val="28"/>
          <w:lang w:eastAsia="zh-CN"/>
        </w:rPr>
      </w:pPr>
      <w:r>
        <w:rPr>
          <w:rFonts w:hint="eastAsia"/>
          <w:b/>
          <w:bCs/>
          <w:sz w:val="28"/>
          <w:szCs w:val="28"/>
          <w:lang w:val="en-US" w:eastAsia="zh-CN"/>
        </w:rPr>
        <w:t>有害生物防治公司</w:t>
      </w:r>
      <w:r>
        <w:rPr>
          <w:rFonts w:hint="eastAsia"/>
          <w:b/>
          <w:bCs/>
          <w:sz w:val="28"/>
          <w:szCs w:val="28"/>
          <w:lang w:eastAsia="zh-CN"/>
        </w:rPr>
        <w:t>基本要求：</w:t>
      </w:r>
    </w:p>
    <w:p>
      <w:pPr>
        <w:numPr>
          <w:ilvl w:val="0"/>
          <w:numId w:val="3"/>
        </w:numPr>
        <w:rPr>
          <w:rFonts w:hint="eastAsia"/>
          <w:b w:val="0"/>
          <w:bCs w:val="0"/>
          <w:sz w:val="28"/>
          <w:szCs w:val="28"/>
          <w:lang w:val="en-US" w:eastAsia="zh-CN"/>
        </w:rPr>
      </w:pPr>
      <w:r>
        <w:rPr>
          <w:rFonts w:hint="eastAsia"/>
          <w:b w:val="0"/>
          <w:bCs w:val="0"/>
          <w:sz w:val="28"/>
          <w:szCs w:val="28"/>
          <w:lang w:val="en-US" w:eastAsia="zh-CN"/>
        </w:rPr>
        <w:t>不在国航黑名单内。</w:t>
      </w:r>
    </w:p>
    <w:p>
      <w:pPr>
        <w:numPr>
          <w:ilvl w:val="0"/>
          <w:numId w:val="3"/>
        </w:numPr>
        <w:rPr>
          <w:rFonts w:hint="eastAsia"/>
          <w:b w:val="0"/>
          <w:bCs w:val="0"/>
          <w:sz w:val="28"/>
          <w:szCs w:val="28"/>
          <w:lang w:val="en-US" w:eastAsia="zh-CN"/>
        </w:rPr>
      </w:pPr>
      <w:bookmarkStart w:id="0" w:name="OLE_LINK1"/>
      <w:r>
        <w:rPr>
          <w:rFonts w:hint="eastAsia"/>
          <w:b w:val="0"/>
          <w:bCs w:val="0"/>
          <w:sz w:val="28"/>
          <w:szCs w:val="28"/>
          <w:lang w:val="en-US" w:eastAsia="zh-CN"/>
        </w:rPr>
        <w:t>三年内无国家及监督机构通报</w:t>
      </w:r>
      <w:bookmarkEnd w:id="0"/>
      <w:r>
        <w:rPr>
          <w:rFonts w:hint="eastAsia"/>
          <w:b w:val="0"/>
          <w:bCs w:val="0"/>
          <w:sz w:val="28"/>
          <w:szCs w:val="28"/>
          <w:lang w:val="en-US" w:eastAsia="zh-CN"/>
        </w:rPr>
        <w:t>。</w:t>
      </w:r>
    </w:p>
    <w:p>
      <w:pPr>
        <w:numPr>
          <w:ilvl w:val="0"/>
          <w:numId w:val="3"/>
        </w:numPr>
        <w:rPr>
          <w:rFonts w:hint="eastAsia"/>
          <w:b w:val="0"/>
          <w:bCs w:val="0"/>
          <w:sz w:val="28"/>
          <w:szCs w:val="28"/>
          <w:lang w:val="en-US" w:eastAsia="zh-CN"/>
        </w:rPr>
      </w:pPr>
      <w:r>
        <w:rPr>
          <w:rFonts w:hint="eastAsia"/>
          <w:b w:val="0"/>
          <w:bCs w:val="0"/>
          <w:sz w:val="28"/>
          <w:szCs w:val="28"/>
          <w:lang w:val="en-US" w:eastAsia="zh-CN"/>
        </w:rPr>
        <w:t xml:space="preserve">集团或分公司注册资金300万（含）以上。 </w:t>
      </w:r>
    </w:p>
    <w:p>
      <w:pPr>
        <w:numPr>
          <w:ilvl w:val="0"/>
          <w:numId w:val="3"/>
        </w:numPr>
        <w:rPr>
          <w:rFonts w:hint="eastAsia"/>
          <w:b w:val="0"/>
          <w:bCs w:val="0"/>
          <w:sz w:val="28"/>
          <w:szCs w:val="28"/>
          <w:lang w:val="en-US" w:eastAsia="zh-CN"/>
        </w:rPr>
      </w:pPr>
      <w:r>
        <w:rPr>
          <w:rFonts w:hint="eastAsia"/>
          <w:b w:val="0"/>
          <w:bCs w:val="0"/>
          <w:sz w:val="28"/>
          <w:szCs w:val="28"/>
          <w:lang w:val="en-US" w:eastAsia="zh-CN"/>
        </w:rPr>
        <w:t>公司获得CNAS认可的</w:t>
      </w:r>
      <w:bookmarkStart w:id="1" w:name="OLE_LINK2"/>
      <w:r>
        <w:rPr>
          <w:rFonts w:hint="eastAsia"/>
          <w:b w:val="0"/>
          <w:bCs w:val="0"/>
          <w:sz w:val="28"/>
          <w:szCs w:val="28"/>
          <w:lang w:val="en-US" w:eastAsia="zh-CN"/>
        </w:rPr>
        <w:t>ISO9001、ISO14001、</w:t>
      </w:r>
      <w:bookmarkEnd w:id="1"/>
      <w:r>
        <w:rPr>
          <w:rFonts w:hint="eastAsia"/>
          <w:b w:val="0"/>
          <w:bCs w:val="0"/>
          <w:sz w:val="28"/>
          <w:szCs w:val="28"/>
          <w:lang w:val="en-US" w:eastAsia="zh-CN"/>
        </w:rPr>
        <w:t>及职业健康体系认证为优。</w:t>
      </w:r>
    </w:p>
    <w:p>
      <w:pPr>
        <w:numPr>
          <w:ilvl w:val="0"/>
          <w:numId w:val="3"/>
        </w:numPr>
        <w:rPr>
          <w:rFonts w:hint="eastAsia"/>
          <w:b w:val="0"/>
          <w:bCs w:val="0"/>
          <w:sz w:val="28"/>
          <w:szCs w:val="28"/>
          <w:lang w:val="en-US" w:eastAsia="zh-CN"/>
        </w:rPr>
      </w:pPr>
      <w:r>
        <w:rPr>
          <w:rFonts w:hint="eastAsia"/>
          <w:b w:val="0"/>
          <w:bCs w:val="0"/>
          <w:sz w:val="28"/>
          <w:szCs w:val="28"/>
          <w:lang w:val="en-US" w:eastAsia="zh-CN"/>
        </w:rPr>
        <w:t>获得中国卫生有害生物防制协会颁发的有害生物防制服务机构服务能力证书并评定为A级。</w:t>
      </w:r>
    </w:p>
    <w:p>
      <w:pPr>
        <w:numPr>
          <w:ilvl w:val="0"/>
          <w:numId w:val="3"/>
        </w:numPr>
        <w:rPr>
          <w:rFonts w:hint="eastAsia"/>
          <w:b w:val="0"/>
          <w:bCs w:val="0"/>
          <w:sz w:val="28"/>
          <w:szCs w:val="28"/>
          <w:lang w:val="en-US" w:eastAsia="zh-CN"/>
        </w:rPr>
      </w:pPr>
      <w:r>
        <w:rPr>
          <w:rFonts w:hint="eastAsia"/>
          <w:b w:val="0"/>
          <w:bCs w:val="0"/>
          <w:sz w:val="28"/>
          <w:szCs w:val="28"/>
          <w:lang w:val="en-US" w:eastAsia="zh-CN"/>
        </w:rPr>
        <w:t>购买公众责任险赔付标准合计不低于（含）8百万元。</w:t>
      </w:r>
    </w:p>
    <w:p>
      <w:pPr>
        <w:numPr>
          <w:ilvl w:val="0"/>
          <w:numId w:val="3"/>
        </w:numPr>
        <w:rPr>
          <w:rFonts w:hint="eastAsia"/>
          <w:b w:val="0"/>
          <w:bCs w:val="0"/>
          <w:sz w:val="28"/>
          <w:szCs w:val="28"/>
          <w:lang w:val="en-US" w:eastAsia="zh-CN"/>
        </w:rPr>
      </w:pPr>
      <w:r>
        <w:rPr>
          <w:rFonts w:hint="eastAsia"/>
          <w:b w:val="0"/>
          <w:bCs w:val="0"/>
          <w:sz w:val="28"/>
          <w:szCs w:val="28"/>
          <w:lang w:val="en-US" w:eastAsia="zh-CN"/>
        </w:rPr>
        <w:t>具备达到</w:t>
      </w:r>
      <w:bookmarkStart w:id="2" w:name="OLE_LINK4"/>
      <w:r>
        <w:rPr>
          <w:rFonts w:hint="eastAsia"/>
          <w:b w:val="0"/>
          <w:bCs w:val="0"/>
          <w:sz w:val="28"/>
          <w:szCs w:val="28"/>
          <w:lang w:val="en-US" w:eastAsia="zh-CN"/>
        </w:rPr>
        <w:t>体系认证服务需求的技术团队，公司内取得有害生物防制员证书人员大于10人（含），并能够提供技术团队的简历及资质</w:t>
      </w:r>
      <w:bookmarkEnd w:id="2"/>
      <w:r>
        <w:rPr>
          <w:rFonts w:hint="eastAsia"/>
          <w:b w:val="0"/>
          <w:bCs w:val="0"/>
          <w:sz w:val="28"/>
          <w:szCs w:val="28"/>
          <w:lang w:val="en-US" w:eastAsia="zh-CN"/>
        </w:rPr>
        <w:t>。</w:t>
      </w:r>
    </w:p>
    <w:p>
      <w:pPr>
        <w:numPr>
          <w:ilvl w:val="0"/>
          <w:numId w:val="3"/>
        </w:numPr>
        <w:rPr>
          <w:rFonts w:hint="eastAsia"/>
          <w:b w:val="0"/>
          <w:bCs w:val="0"/>
          <w:sz w:val="28"/>
          <w:szCs w:val="28"/>
          <w:lang w:val="en-US" w:eastAsia="zh-CN"/>
        </w:rPr>
      </w:pPr>
      <w:r>
        <w:rPr>
          <w:rFonts w:hint="eastAsia"/>
          <w:b w:val="0"/>
          <w:bCs w:val="0"/>
          <w:sz w:val="28"/>
          <w:szCs w:val="28"/>
          <w:lang w:val="en-US" w:eastAsia="zh-CN"/>
        </w:rPr>
        <w:t>可制定详细的服务计划及方案，包括服务项目、服务标准等内容。至少包含方案、计划、风险分析及处理、培训及其它增值服务。</w:t>
      </w:r>
    </w:p>
    <w:p>
      <w:pPr>
        <w:numPr>
          <w:ilvl w:val="0"/>
          <w:numId w:val="3"/>
        </w:numPr>
        <w:rPr>
          <w:rFonts w:hint="eastAsia"/>
          <w:b w:val="0"/>
          <w:bCs w:val="0"/>
          <w:sz w:val="28"/>
          <w:szCs w:val="28"/>
          <w:lang w:val="en-US" w:eastAsia="zh-CN"/>
        </w:rPr>
      </w:pPr>
      <w:r>
        <w:rPr>
          <w:rFonts w:hint="eastAsia"/>
          <w:b w:val="0"/>
          <w:bCs w:val="0"/>
          <w:sz w:val="28"/>
          <w:szCs w:val="28"/>
          <w:lang w:val="en-US" w:eastAsia="zh-CN"/>
        </w:rPr>
        <w:t>有能够提供与服务项目内容或其他延伸领域的正式培训的能力及资质，并能够提供相关资料文件。</w:t>
      </w:r>
    </w:p>
    <w:p>
      <w:pPr>
        <w:numPr>
          <w:ilvl w:val="0"/>
          <w:numId w:val="3"/>
        </w:numPr>
        <w:rPr>
          <w:rFonts w:hint="eastAsia"/>
          <w:b w:val="0"/>
          <w:bCs w:val="0"/>
          <w:sz w:val="28"/>
          <w:szCs w:val="28"/>
          <w:lang w:val="en-US" w:eastAsia="zh-CN"/>
        </w:rPr>
      </w:pPr>
      <w:r>
        <w:rPr>
          <w:rFonts w:hint="eastAsia"/>
          <w:b w:val="0"/>
          <w:bCs w:val="0"/>
          <w:sz w:val="28"/>
          <w:szCs w:val="28"/>
          <w:lang w:val="en-US" w:eastAsia="zh-CN"/>
        </w:rPr>
        <w:t xml:space="preserve">有食品类大中型企业认证客户审核经验为优。 </w:t>
      </w:r>
    </w:p>
    <w:p>
      <w:pPr>
        <w:numPr>
          <w:ilvl w:val="0"/>
          <w:numId w:val="3"/>
        </w:numPr>
        <w:rPr>
          <w:rFonts w:hint="eastAsia"/>
          <w:b w:val="0"/>
          <w:bCs w:val="0"/>
          <w:sz w:val="28"/>
          <w:szCs w:val="28"/>
          <w:lang w:val="en-US" w:eastAsia="zh-CN"/>
        </w:rPr>
      </w:pPr>
      <w:r>
        <w:rPr>
          <w:rFonts w:hint="eastAsia"/>
          <w:b w:val="0"/>
          <w:bCs w:val="0"/>
          <w:sz w:val="28"/>
          <w:szCs w:val="28"/>
          <w:lang w:val="en-US" w:eastAsia="zh-CN"/>
        </w:rPr>
        <w:t>有良好的应急保障机制及客户服务提升机制，具备应急保障相关的设备、设施、人员及能力。</w:t>
      </w:r>
    </w:p>
    <w:p>
      <w:pPr>
        <w:numPr>
          <w:ilvl w:val="0"/>
          <w:numId w:val="4"/>
        </w:numPr>
        <w:rPr>
          <w:rFonts w:hint="eastAsia"/>
          <w:b/>
          <w:bCs/>
          <w:sz w:val="28"/>
          <w:szCs w:val="28"/>
          <w:lang w:val="en-US" w:eastAsia="zh-CN"/>
        </w:rPr>
      </w:pPr>
      <w:r>
        <w:rPr>
          <w:rFonts w:hint="eastAsia"/>
          <w:b/>
          <w:bCs/>
          <w:sz w:val="28"/>
          <w:szCs w:val="28"/>
          <w:lang w:val="en-US" w:eastAsia="zh-CN"/>
        </w:rPr>
        <w:t>有害生物防治计划需包含以下内容：</w:t>
      </w:r>
    </w:p>
    <w:p>
      <w:pPr>
        <w:numPr>
          <w:ilvl w:val="0"/>
          <w:numId w:val="5"/>
        </w:numPr>
        <w:rPr>
          <w:rFonts w:hint="eastAsia"/>
          <w:b w:val="0"/>
          <w:bCs w:val="0"/>
          <w:sz w:val="28"/>
          <w:szCs w:val="28"/>
          <w:lang w:val="en-US" w:eastAsia="zh-CN"/>
        </w:rPr>
      </w:pPr>
      <w:r>
        <w:rPr>
          <w:rFonts w:hint="eastAsia"/>
          <w:b w:val="0"/>
          <w:bCs w:val="0"/>
          <w:sz w:val="28"/>
          <w:szCs w:val="28"/>
          <w:lang w:val="en-US" w:eastAsia="zh-CN"/>
        </w:rPr>
        <w:t>制定详细消杀服务计划，5-10月每个月5次，其他月份为3次/月(突发应急处理不在全年的48次范围内) 。应急处理提前及时通知，自通知到现场不超过12小时；</w:t>
      </w:r>
    </w:p>
    <w:p>
      <w:pPr>
        <w:numPr>
          <w:ilvl w:val="0"/>
          <w:numId w:val="5"/>
        </w:numPr>
        <w:rPr>
          <w:rFonts w:hint="eastAsia"/>
          <w:b w:val="0"/>
          <w:bCs w:val="0"/>
          <w:sz w:val="28"/>
          <w:szCs w:val="28"/>
          <w:lang w:val="en-US" w:eastAsia="zh-CN"/>
        </w:rPr>
      </w:pPr>
      <w:r>
        <w:rPr>
          <w:rFonts w:hint="eastAsia"/>
          <w:b w:val="0"/>
          <w:bCs w:val="0"/>
          <w:sz w:val="28"/>
          <w:szCs w:val="28"/>
          <w:lang w:val="en-US" w:eastAsia="zh-CN"/>
        </w:rPr>
        <w:t>布置诱饵盒(厂区)、鼠笼鼠盒(库房进出门内外两边)、生产大楼灭蝇灯以及灭蝇条，以上这些有详细的平面分布图。</w:t>
      </w:r>
    </w:p>
    <w:p>
      <w:pPr>
        <w:numPr>
          <w:ilvl w:val="0"/>
          <w:numId w:val="5"/>
        </w:numPr>
        <w:rPr>
          <w:rFonts w:hint="eastAsia"/>
          <w:b w:val="0"/>
          <w:bCs w:val="0"/>
          <w:sz w:val="28"/>
          <w:szCs w:val="28"/>
          <w:lang w:val="en-US" w:eastAsia="zh-CN"/>
        </w:rPr>
      </w:pPr>
      <w:r>
        <w:rPr>
          <w:rFonts w:hint="eastAsia"/>
          <w:b w:val="0"/>
          <w:bCs w:val="0"/>
          <w:sz w:val="28"/>
          <w:szCs w:val="28"/>
          <w:lang w:val="en-US" w:eastAsia="zh-CN"/>
        </w:rPr>
        <w:t>所有药品有详细清单并有MSDS、标签以及有效的农药登记证。标签上要有产品性能、使用范围、使用说明、使用计量、安全事项和急救措施。文件中对药品清单、配制流程、用药范围进行要求与规定。</w:t>
      </w:r>
    </w:p>
    <w:p>
      <w:pPr>
        <w:numPr>
          <w:ilvl w:val="0"/>
          <w:numId w:val="5"/>
        </w:numPr>
        <w:rPr>
          <w:rFonts w:hint="eastAsia"/>
          <w:b w:val="0"/>
          <w:bCs w:val="0"/>
          <w:sz w:val="28"/>
          <w:szCs w:val="28"/>
          <w:lang w:val="en-US" w:eastAsia="zh-CN"/>
        </w:rPr>
      </w:pPr>
      <w:r>
        <w:rPr>
          <w:rFonts w:hint="eastAsia"/>
          <w:b w:val="0"/>
          <w:bCs w:val="0"/>
          <w:sz w:val="28"/>
          <w:szCs w:val="28"/>
          <w:lang w:val="en-US" w:eastAsia="zh-CN"/>
        </w:rPr>
        <w:t>每次服务操作到位（如下水道和缝隙地方）并有详细的虫鼠害服务报告，另外现场每个点位上要有记录(在卡片上)（包含作业人员、进行的工作、作业日期、使用方法、使用的药物、用量及浓度；虫鼠害活动迹象以及下一步的作业计划、对于高发性的虫鼠害活动或在虫害杀虫服务报告要有纠正措施）。</w:t>
      </w:r>
    </w:p>
    <w:p>
      <w:pPr>
        <w:numPr>
          <w:ilvl w:val="0"/>
          <w:numId w:val="5"/>
        </w:numPr>
        <w:rPr>
          <w:rFonts w:hint="eastAsia"/>
          <w:b w:val="0"/>
          <w:bCs w:val="0"/>
          <w:sz w:val="28"/>
          <w:szCs w:val="28"/>
          <w:lang w:val="en-US" w:eastAsia="zh-CN"/>
        </w:rPr>
      </w:pPr>
      <w:r>
        <w:rPr>
          <w:rFonts w:hint="eastAsia"/>
          <w:b w:val="0"/>
          <w:bCs w:val="0"/>
          <w:sz w:val="28"/>
          <w:szCs w:val="28"/>
          <w:lang w:val="en-US" w:eastAsia="zh-CN"/>
        </w:rPr>
        <w:t>对虫鼠害活动情况进行鉴别记录和月总结分析报告和季度总结分析报告，以及存在问题的纠正措施/跟踪和措施的有效性（主要针对飞虫和老鼠：包括诱饵站、粘鼠板、捕鼠器、虫害诱捕器）；对蟑螂要有定期预防措施。</w:t>
      </w:r>
    </w:p>
    <w:p>
      <w:pPr>
        <w:numPr>
          <w:ilvl w:val="0"/>
          <w:numId w:val="5"/>
        </w:numPr>
        <w:rPr>
          <w:rFonts w:hint="eastAsia"/>
          <w:b w:val="0"/>
          <w:bCs w:val="0"/>
          <w:sz w:val="28"/>
          <w:szCs w:val="28"/>
          <w:lang w:val="en-US" w:eastAsia="zh-CN"/>
        </w:rPr>
      </w:pPr>
      <w:r>
        <w:rPr>
          <w:rFonts w:hint="eastAsia"/>
          <w:b w:val="0"/>
          <w:bCs w:val="0"/>
          <w:sz w:val="28"/>
          <w:szCs w:val="28"/>
          <w:lang w:val="en-US" w:eastAsia="zh-CN"/>
        </w:rPr>
        <w:t>诱捕式灭蝇灯不能安装在货物平台上，离包装材料和产品1.5米以上，灭蝇灯不能高于1.8米；</w:t>
      </w:r>
    </w:p>
    <w:p>
      <w:pPr>
        <w:numPr>
          <w:ilvl w:val="0"/>
          <w:numId w:val="5"/>
        </w:numPr>
        <w:rPr>
          <w:rFonts w:hint="eastAsia"/>
          <w:b w:val="0"/>
          <w:bCs w:val="0"/>
          <w:sz w:val="28"/>
          <w:szCs w:val="28"/>
          <w:lang w:val="en-US" w:eastAsia="zh-CN"/>
        </w:rPr>
      </w:pPr>
      <w:r>
        <w:rPr>
          <w:rFonts w:hint="eastAsia"/>
          <w:b w:val="0"/>
          <w:bCs w:val="0"/>
          <w:sz w:val="28"/>
          <w:szCs w:val="28"/>
          <w:lang w:val="en-US" w:eastAsia="zh-CN"/>
        </w:rPr>
        <w:t>厂房内外门的出入口只能放机械式捕鼠器，门口内外两边离门2米的距离放置。仓库内部鼠笼不能大于8米,对不足8米的墙面必须安装一个。</w:t>
      </w:r>
    </w:p>
    <w:p>
      <w:pPr>
        <w:numPr>
          <w:ilvl w:val="0"/>
          <w:numId w:val="5"/>
        </w:numPr>
        <w:rPr>
          <w:rFonts w:hint="eastAsia"/>
          <w:b w:val="0"/>
          <w:bCs w:val="0"/>
          <w:sz w:val="28"/>
          <w:szCs w:val="28"/>
          <w:lang w:val="en-US" w:eastAsia="zh-CN"/>
        </w:rPr>
      </w:pPr>
      <w:r>
        <w:rPr>
          <w:rFonts w:hint="eastAsia"/>
          <w:b w:val="0"/>
          <w:bCs w:val="0"/>
          <w:sz w:val="28"/>
          <w:szCs w:val="28"/>
          <w:lang w:val="en-US" w:eastAsia="zh-CN"/>
        </w:rPr>
        <w:t>只能在厂房外放置诱饵站，诱饵站靠墙固定安装（螺栓或粘在地上）, 诱饵及其存在方式不得对人及食品产生潜在的危害，诱饵盒要坚固并上锁。诱饵盒在建筑物周围不能大于15米。垃圾周围和回收区为6米。所有进出门口/仓库不能遗漏。</w:t>
      </w:r>
    </w:p>
    <w:p>
      <w:pPr>
        <w:numPr>
          <w:ilvl w:val="0"/>
          <w:numId w:val="5"/>
        </w:numPr>
        <w:rPr>
          <w:rFonts w:hint="eastAsia"/>
          <w:b w:val="0"/>
          <w:bCs w:val="0"/>
          <w:sz w:val="28"/>
          <w:szCs w:val="28"/>
          <w:lang w:val="en-US" w:eastAsia="zh-CN"/>
        </w:rPr>
      </w:pPr>
      <w:r>
        <w:rPr>
          <w:rFonts w:hint="eastAsia"/>
          <w:b w:val="0"/>
          <w:bCs w:val="0"/>
          <w:sz w:val="28"/>
          <w:szCs w:val="28"/>
          <w:lang w:val="en-US" w:eastAsia="zh-CN"/>
        </w:rPr>
        <w:t>保持相关平面图、作业记录、服务记录卡等至少两年。</w:t>
      </w:r>
    </w:p>
    <w:p>
      <w:pPr>
        <w:numPr>
          <w:ilvl w:val="0"/>
          <w:numId w:val="6"/>
        </w:numPr>
        <w:rPr>
          <w:rFonts w:hint="eastAsia"/>
          <w:b/>
          <w:bCs/>
          <w:sz w:val="28"/>
          <w:szCs w:val="28"/>
          <w:lang w:val="en-US" w:eastAsia="zh-CN"/>
        </w:rPr>
      </w:pPr>
      <w:r>
        <w:rPr>
          <w:rFonts w:hint="eastAsia"/>
          <w:b/>
          <w:bCs/>
          <w:sz w:val="28"/>
          <w:szCs w:val="28"/>
          <w:lang w:val="en-US" w:eastAsia="zh-CN"/>
        </w:rPr>
        <w:t>有害生物防治的预期结果</w:t>
      </w:r>
    </w:p>
    <w:p>
      <w:pPr>
        <w:numPr>
          <w:ilvl w:val="0"/>
          <w:numId w:val="0"/>
        </w:numPr>
        <w:rPr>
          <w:rFonts w:hint="eastAsia"/>
          <w:b w:val="0"/>
          <w:bCs w:val="0"/>
          <w:sz w:val="28"/>
          <w:szCs w:val="28"/>
          <w:lang w:val="en-US" w:eastAsia="zh-CN"/>
        </w:rPr>
      </w:pPr>
      <w:r>
        <w:rPr>
          <w:rFonts w:hint="eastAsia"/>
          <w:b w:val="0"/>
          <w:bCs w:val="0"/>
          <w:sz w:val="28"/>
          <w:szCs w:val="28"/>
          <w:lang w:val="en-US" w:eastAsia="zh-CN"/>
        </w:rPr>
        <w:t>1、距离厂房6米范围内不能发现各种动物的活动迹象以及排泄物、地洞和鸟巢。</w:t>
      </w:r>
    </w:p>
    <w:p>
      <w:pPr>
        <w:numPr>
          <w:ilvl w:val="0"/>
          <w:numId w:val="0"/>
        </w:numPr>
        <w:rPr>
          <w:rFonts w:hint="eastAsia"/>
          <w:b w:val="0"/>
          <w:bCs w:val="0"/>
          <w:sz w:val="28"/>
          <w:szCs w:val="28"/>
          <w:lang w:val="en-US" w:eastAsia="zh-CN"/>
        </w:rPr>
      </w:pPr>
      <w:r>
        <w:rPr>
          <w:rFonts w:hint="eastAsia"/>
          <w:b w:val="0"/>
          <w:bCs w:val="0"/>
          <w:sz w:val="28"/>
          <w:szCs w:val="28"/>
          <w:lang w:val="en-US" w:eastAsia="zh-CN"/>
        </w:rPr>
        <w:t>2、厂房内部无任何昆虫和虫害迹象（包括各种动物以及排泄物）。</w:t>
      </w:r>
    </w:p>
    <w:p>
      <w:pPr>
        <w:numPr>
          <w:ilvl w:val="0"/>
          <w:numId w:val="0"/>
        </w:numPr>
        <w:rPr>
          <w:rFonts w:hint="eastAsia"/>
          <w:b w:val="0"/>
          <w:bCs w:val="0"/>
          <w:sz w:val="28"/>
          <w:szCs w:val="28"/>
          <w:lang w:val="en-US" w:eastAsia="zh-CN"/>
        </w:rPr>
      </w:pPr>
      <w:r>
        <w:rPr>
          <w:rFonts w:hint="eastAsia"/>
          <w:b w:val="0"/>
          <w:bCs w:val="0"/>
          <w:sz w:val="28"/>
          <w:szCs w:val="28"/>
          <w:lang w:val="en-US" w:eastAsia="zh-CN"/>
        </w:rPr>
        <w:t>3、有害生物防治过程及结果，不会对相关人员、环境及产品造成潜在危害。</w:t>
      </w:r>
    </w:p>
    <w:p>
      <w:pPr>
        <w:numPr>
          <w:ilvl w:val="0"/>
          <w:numId w:val="0"/>
        </w:numPr>
        <w:rPr>
          <w:rFonts w:hint="eastAsia"/>
          <w:b w:val="0"/>
          <w:bCs w:val="0"/>
          <w:sz w:val="28"/>
          <w:szCs w:val="28"/>
          <w:lang w:val="en-US" w:eastAsia="zh-CN"/>
        </w:rPr>
      </w:pPr>
      <w:r>
        <w:rPr>
          <w:rFonts w:hint="eastAsia"/>
          <w:b w:val="0"/>
          <w:bCs w:val="0"/>
          <w:sz w:val="28"/>
          <w:szCs w:val="28"/>
          <w:lang w:val="en-US" w:eastAsia="zh-CN"/>
        </w:rPr>
        <w:t>4、运用历史信息、知识经验、数据分析及风险管理的原理，及时发现潜在风险、进行预警，并制定相关预防性措施，降低安全风险。</w:t>
      </w:r>
    </w:p>
    <w:p>
      <w:pPr>
        <w:numPr>
          <w:ilvl w:val="0"/>
          <w:numId w:val="0"/>
        </w:numPr>
        <w:rPr>
          <w:rFonts w:hint="eastAsia"/>
          <w:b w:val="0"/>
          <w:bCs w:val="0"/>
          <w:sz w:val="28"/>
          <w:szCs w:val="28"/>
          <w:lang w:val="en-US" w:eastAsia="zh-CN"/>
        </w:rPr>
      </w:pPr>
      <w:r>
        <w:rPr>
          <w:rFonts w:hint="eastAsia"/>
          <w:b w:val="0"/>
          <w:bCs w:val="0"/>
          <w:sz w:val="28"/>
          <w:szCs w:val="28"/>
          <w:lang w:val="en-US" w:eastAsia="zh-CN"/>
        </w:rPr>
        <w:t>5、通过提供培训及多种培训交流形势，提升公司员工对有害生物防控知识的水平及能力。</w:t>
      </w:r>
    </w:p>
    <w:p>
      <w:pPr>
        <w:numPr>
          <w:ilvl w:val="0"/>
          <w:numId w:val="0"/>
        </w:numPr>
        <w:rPr>
          <w:rFonts w:hint="eastAsia"/>
          <w:b/>
          <w:bCs/>
          <w:sz w:val="28"/>
          <w:szCs w:val="28"/>
          <w:lang w:val="en-US" w:eastAsia="zh-CN"/>
        </w:rPr>
      </w:pPr>
      <w:r>
        <w:rPr>
          <w:rFonts w:hint="eastAsia"/>
          <w:b/>
          <w:bCs/>
          <w:sz w:val="28"/>
          <w:szCs w:val="28"/>
          <w:lang w:val="en-US" w:eastAsia="zh-CN"/>
        </w:rPr>
        <w:t>五、服务效果监督及其它</w:t>
      </w:r>
    </w:p>
    <w:p>
      <w:pPr>
        <w:numPr>
          <w:ilvl w:val="0"/>
          <w:numId w:val="0"/>
        </w:numPr>
        <w:rPr>
          <w:rFonts w:hint="eastAsia"/>
          <w:b w:val="0"/>
          <w:bCs w:val="0"/>
          <w:sz w:val="28"/>
          <w:szCs w:val="28"/>
          <w:lang w:val="en-US" w:eastAsia="zh-CN"/>
        </w:rPr>
      </w:pPr>
      <w:r>
        <w:rPr>
          <w:rFonts w:hint="eastAsia"/>
          <w:b w:val="0"/>
          <w:bCs w:val="0"/>
          <w:sz w:val="28"/>
          <w:szCs w:val="28"/>
          <w:lang w:val="en-US" w:eastAsia="zh-CN"/>
        </w:rPr>
        <w:t>1、西南航食对有害生物防治服务及效果进行监督，并对其进行评价。</w:t>
      </w:r>
    </w:p>
    <w:p>
      <w:pPr>
        <w:numPr>
          <w:ilvl w:val="0"/>
          <w:numId w:val="0"/>
        </w:numPr>
        <w:rPr>
          <w:rFonts w:hint="eastAsia"/>
          <w:b w:val="0"/>
          <w:bCs w:val="0"/>
          <w:sz w:val="28"/>
          <w:szCs w:val="28"/>
          <w:lang w:val="en-US" w:eastAsia="zh-CN"/>
        </w:rPr>
      </w:pPr>
      <w:r>
        <w:rPr>
          <w:rFonts w:hint="eastAsia"/>
          <w:b w:val="0"/>
          <w:bCs w:val="0"/>
          <w:sz w:val="28"/>
          <w:szCs w:val="28"/>
          <w:lang w:val="en-US" w:eastAsia="zh-CN"/>
        </w:rPr>
        <w:t>2、当服务效果达不到公司所需时，如连续发生鼠害及蟑螂等较严重虫鼠害，西南航食有权按合同金额千分之五进行扣款。重复发生及情节严重时按保险进行赔付，我方保留提前取消合约的权利。</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B45A"/>
    <w:multiLevelType w:val="singleLevel"/>
    <w:tmpl w:val="5E69B45A"/>
    <w:lvl w:ilvl="0" w:tentative="0">
      <w:start w:val="2"/>
      <w:numFmt w:val="chineseCounting"/>
      <w:suff w:val="nothing"/>
      <w:lvlText w:val="%1、"/>
      <w:lvlJc w:val="left"/>
    </w:lvl>
  </w:abstractNum>
  <w:abstractNum w:abstractNumId="1">
    <w:nsid w:val="5E69B48B"/>
    <w:multiLevelType w:val="singleLevel"/>
    <w:tmpl w:val="5E69B48B"/>
    <w:lvl w:ilvl="0" w:tentative="0">
      <w:start w:val="1"/>
      <w:numFmt w:val="decimal"/>
      <w:suff w:val="nothing"/>
      <w:lvlText w:val="%1、"/>
      <w:lvlJc w:val="left"/>
    </w:lvl>
  </w:abstractNum>
  <w:abstractNum w:abstractNumId="2">
    <w:nsid w:val="603C8063"/>
    <w:multiLevelType w:val="singleLevel"/>
    <w:tmpl w:val="603C8063"/>
    <w:lvl w:ilvl="0" w:tentative="0">
      <w:start w:val="2"/>
      <w:numFmt w:val="decimal"/>
      <w:suff w:val="nothing"/>
      <w:lvlText w:val="%1、"/>
      <w:lvlJc w:val="left"/>
    </w:lvl>
  </w:abstractNum>
  <w:abstractNum w:abstractNumId="3">
    <w:nsid w:val="603EF8E7"/>
    <w:multiLevelType w:val="singleLevel"/>
    <w:tmpl w:val="603EF8E7"/>
    <w:lvl w:ilvl="0" w:tentative="0">
      <w:start w:val="3"/>
      <w:numFmt w:val="chineseCounting"/>
      <w:suff w:val="nothing"/>
      <w:lvlText w:val="%1、"/>
      <w:lvlJc w:val="left"/>
    </w:lvl>
  </w:abstractNum>
  <w:abstractNum w:abstractNumId="4">
    <w:nsid w:val="603EFC6A"/>
    <w:multiLevelType w:val="singleLevel"/>
    <w:tmpl w:val="603EFC6A"/>
    <w:lvl w:ilvl="0" w:tentative="0">
      <w:start w:val="1"/>
      <w:numFmt w:val="decimal"/>
      <w:suff w:val="nothing"/>
      <w:lvlText w:val="%1、"/>
      <w:lvlJc w:val="left"/>
    </w:lvl>
  </w:abstractNum>
  <w:abstractNum w:abstractNumId="5">
    <w:nsid w:val="603EFEE5"/>
    <w:multiLevelType w:val="singleLevel"/>
    <w:tmpl w:val="603EFEE5"/>
    <w:lvl w:ilvl="0" w:tentative="0">
      <w:start w:val="4"/>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91FA4"/>
    <w:rsid w:val="5B191FA4"/>
    <w:rsid w:val="5F96673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2021-03-08T01:59:00Z</dcterms:created>
  <dc:creator>ACDMDDS</dc:creator>
  <cp:lastModifiedBy>ACDMDDS</cp:lastModifiedBy>
  <dcterms:modified xsi:type="dcterms:W3CDTF">2021-03-09T01:42:04Z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