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0" w:beforeLines="250" w:line="312" w:lineRule="auto"/>
        <w:jc w:val="center"/>
        <w:rPr>
          <w:rFonts w:hint="eastAsia" w:hAnsi="宋体"/>
          <w:sz w:val="44"/>
          <w:szCs w:val="44"/>
        </w:rPr>
      </w:pPr>
    </w:p>
    <w:p>
      <w:pPr>
        <w:spacing w:before="600" w:beforeLines="250" w:line="312" w:lineRule="auto"/>
        <w:jc w:val="center"/>
        <w:rPr>
          <w:b/>
          <w:sz w:val="52"/>
          <w:szCs w:val="52"/>
        </w:rPr>
      </w:pPr>
      <w:r>
        <w:rPr>
          <w:rFonts w:hAnsi="宋体"/>
          <w:sz w:val="52"/>
          <w:szCs w:val="52"/>
        </w:rPr>
        <w:t>衢江区住建局2021-2022年度白蚁新建预防与回访复查项目（二次）</w:t>
      </w:r>
      <w:r>
        <w:rPr>
          <w:sz w:val="52"/>
          <w:szCs w:val="52"/>
        </w:rPr>
        <w:t xml:space="preserve"> </w:t>
      </w:r>
    </w:p>
    <w:p>
      <w:pPr>
        <w:spacing w:before="600" w:beforeLines="250" w:line="312" w:lineRule="auto"/>
        <w:jc w:val="center"/>
        <w:rPr>
          <w:rFonts w:hAnsi="宋体"/>
          <w:b/>
          <w:sz w:val="72"/>
          <w:szCs w:val="72"/>
        </w:rPr>
      </w:pPr>
    </w:p>
    <w:p>
      <w:pPr>
        <w:spacing w:before="600" w:beforeLines="250" w:line="312" w:lineRule="auto"/>
        <w:jc w:val="center"/>
        <w:rPr>
          <w:b/>
          <w:sz w:val="72"/>
          <w:szCs w:val="72"/>
        </w:rPr>
      </w:pPr>
      <w:r>
        <w:rPr>
          <w:rFonts w:hAnsi="宋体"/>
          <w:b/>
          <w:sz w:val="72"/>
          <w:szCs w:val="72"/>
        </w:rPr>
        <w:t>公开招标采购文件</w:t>
      </w:r>
    </w:p>
    <w:p>
      <w:pPr>
        <w:spacing w:line="312" w:lineRule="auto"/>
        <w:rPr>
          <w:sz w:val="28"/>
          <w:szCs w:val="28"/>
        </w:rPr>
      </w:pPr>
    </w:p>
    <w:p>
      <w:pPr>
        <w:spacing w:line="312" w:lineRule="auto"/>
        <w:rPr>
          <w:sz w:val="28"/>
          <w:szCs w:val="28"/>
        </w:rPr>
      </w:pPr>
    </w:p>
    <w:p>
      <w:pPr>
        <w:spacing w:line="312" w:lineRule="auto"/>
        <w:rPr>
          <w:sz w:val="32"/>
          <w:szCs w:val="32"/>
        </w:rPr>
      </w:pPr>
      <w:r>
        <w:rPr>
          <w:rFonts w:hAnsi="宋体"/>
          <w:sz w:val="32"/>
          <w:szCs w:val="32"/>
        </w:rPr>
        <w:t>项目名称：衢江区住建局2021-2022年度白蚁新建预防与回访复查项目（二次）</w:t>
      </w:r>
      <w:r>
        <w:rPr>
          <w:sz w:val="32"/>
          <w:szCs w:val="32"/>
        </w:rPr>
        <w:t xml:space="preserve"> </w:t>
      </w:r>
    </w:p>
    <w:p>
      <w:pPr>
        <w:spacing w:line="312" w:lineRule="auto"/>
        <w:ind w:firstLine="2240" w:firstLineChars="700"/>
        <w:rPr>
          <w:sz w:val="32"/>
          <w:szCs w:val="32"/>
        </w:rPr>
      </w:pPr>
    </w:p>
    <w:p>
      <w:pPr>
        <w:spacing w:line="312" w:lineRule="auto"/>
        <w:rPr>
          <w:sz w:val="32"/>
          <w:szCs w:val="32"/>
        </w:rPr>
      </w:pPr>
      <w:r>
        <w:rPr>
          <w:rFonts w:hAnsi="宋体"/>
          <w:sz w:val="32"/>
          <w:szCs w:val="32"/>
        </w:rPr>
        <w:t>项目编号：</w:t>
      </w:r>
      <w:r>
        <w:rPr>
          <w:sz w:val="32"/>
          <w:szCs w:val="32"/>
        </w:rPr>
        <w:t xml:space="preserve">zjzj202008-22-2  </w:t>
      </w:r>
    </w:p>
    <w:p>
      <w:pPr>
        <w:spacing w:line="312" w:lineRule="auto"/>
        <w:ind w:firstLine="2240" w:firstLineChars="700"/>
        <w:rPr>
          <w:sz w:val="32"/>
          <w:szCs w:val="32"/>
        </w:rPr>
      </w:pPr>
      <w:r>
        <w:rPr>
          <w:sz w:val="32"/>
          <w:szCs w:val="32"/>
        </w:rPr>
        <w:t xml:space="preserve"> </w:t>
      </w:r>
    </w:p>
    <w:p>
      <w:pPr>
        <w:spacing w:line="312" w:lineRule="auto"/>
        <w:rPr>
          <w:sz w:val="32"/>
          <w:szCs w:val="32"/>
        </w:rPr>
      </w:pPr>
      <w:r>
        <w:rPr>
          <w:rFonts w:hAnsi="宋体"/>
          <w:sz w:val="32"/>
          <w:szCs w:val="32"/>
        </w:rPr>
        <w:t>采</w:t>
      </w:r>
      <w:r>
        <w:rPr>
          <w:rFonts w:hint="eastAsia" w:hAnsi="宋体"/>
          <w:sz w:val="32"/>
          <w:szCs w:val="32"/>
        </w:rPr>
        <w:t xml:space="preserve"> </w:t>
      </w:r>
      <w:r>
        <w:rPr>
          <w:rFonts w:hAnsi="宋体"/>
          <w:sz w:val="32"/>
          <w:szCs w:val="32"/>
        </w:rPr>
        <w:t>购</w:t>
      </w:r>
      <w:r>
        <w:rPr>
          <w:rFonts w:hint="eastAsia" w:hAnsi="宋体"/>
          <w:sz w:val="32"/>
          <w:szCs w:val="32"/>
        </w:rPr>
        <w:t xml:space="preserve"> </w:t>
      </w:r>
      <w:r>
        <w:rPr>
          <w:rFonts w:hAnsi="宋体"/>
          <w:sz w:val="32"/>
          <w:szCs w:val="32"/>
        </w:rPr>
        <w:t>人：衢州市衢江区住房和城乡建设局</w:t>
      </w:r>
    </w:p>
    <w:p>
      <w:pPr>
        <w:spacing w:line="312" w:lineRule="auto"/>
        <w:ind w:firstLine="1280" w:firstLineChars="400"/>
        <w:rPr>
          <w:sz w:val="32"/>
          <w:szCs w:val="32"/>
        </w:rPr>
      </w:pPr>
    </w:p>
    <w:p>
      <w:pPr>
        <w:spacing w:line="312" w:lineRule="auto"/>
        <w:rPr>
          <w:sz w:val="32"/>
          <w:szCs w:val="32"/>
        </w:rPr>
      </w:pPr>
      <w:r>
        <w:rPr>
          <w:rFonts w:hAnsi="宋体"/>
          <w:sz w:val="32"/>
          <w:szCs w:val="32"/>
        </w:rPr>
        <w:t>采购代理机构：浙江中际工程项目管理有限公司</w:t>
      </w:r>
    </w:p>
    <w:p>
      <w:pPr>
        <w:spacing w:line="312" w:lineRule="auto"/>
        <w:jc w:val="center"/>
        <w:rPr>
          <w:sz w:val="32"/>
          <w:szCs w:val="32"/>
        </w:rPr>
      </w:pPr>
    </w:p>
    <w:p>
      <w:pPr>
        <w:spacing w:line="312" w:lineRule="auto"/>
        <w:jc w:val="center"/>
        <w:rPr>
          <w:sz w:val="32"/>
          <w:szCs w:val="32"/>
        </w:rPr>
        <w:sectPr>
          <w:headerReference r:id="rId5" w:type="default"/>
          <w:footerReference r:id="rId6" w:type="default"/>
          <w:pgSz w:w="11906" w:h="16838"/>
          <w:pgMar w:top="1389" w:right="1247" w:bottom="1389" w:left="1247" w:header="851" w:footer="992" w:gutter="397"/>
          <w:cols w:space="720" w:num="1"/>
          <w:docGrid w:linePitch="312" w:charSpace="0"/>
        </w:sectPr>
      </w:pPr>
      <w:r>
        <w:rPr>
          <w:rFonts w:hAnsi="宋体"/>
          <w:sz w:val="32"/>
          <w:szCs w:val="32"/>
        </w:rPr>
        <w:t>二〇二〇年</w:t>
      </w:r>
      <w:r>
        <w:rPr>
          <w:rFonts w:hint="eastAsia" w:hAnsi="宋体"/>
          <w:sz w:val="32"/>
          <w:szCs w:val="32"/>
        </w:rPr>
        <w:t>十二</w:t>
      </w:r>
      <w:r>
        <w:rPr>
          <w:rFonts w:hAnsi="宋体"/>
          <w:sz w:val="32"/>
          <w:szCs w:val="32"/>
        </w:rPr>
        <w:t>月</w:t>
      </w:r>
    </w:p>
    <w:p>
      <w:pPr>
        <w:snapToGrid w:val="0"/>
        <w:spacing w:line="360" w:lineRule="auto"/>
        <w:jc w:val="center"/>
        <w:rPr>
          <w:rFonts w:hAnsi="宋体"/>
          <w:b/>
          <w:sz w:val="32"/>
          <w:szCs w:val="32"/>
        </w:rPr>
      </w:pPr>
      <w:bookmarkStart w:id="0" w:name="_Toc354401488"/>
      <w:bookmarkStart w:id="1" w:name="_Toc350256312"/>
      <w:bookmarkStart w:id="2" w:name="_Toc322352981"/>
      <w:r>
        <w:rPr>
          <w:rFonts w:hAnsi="宋体"/>
          <w:b/>
          <w:sz w:val="32"/>
          <w:szCs w:val="32"/>
        </w:rPr>
        <w:t>目</w:t>
      </w:r>
      <w:r>
        <w:rPr>
          <w:b/>
          <w:sz w:val="32"/>
          <w:szCs w:val="32"/>
        </w:rPr>
        <w:t xml:space="preserve">  </w:t>
      </w:r>
      <w:r>
        <w:rPr>
          <w:rFonts w:hAnsi="宋体"/>
          <w:b/>
          <w:sz w:val="32"/>
          <w:szCs w:val="32"/>
        </w:rPr>
        <w:t>录</w:t>
      </w:r>
    </w:p>
    <w:p>
      <w:pPr>
        <w:pStyle w:val="2"/>
      </w:pPr>
    </w:p>
    <w:bookmarkEnd w:id="0"/>
    <w:bookmarkEnd w:id="1"/>
    <w:bookmarkEnd w:id="2"/>
    <w:p>
      <w:pPr>
        <w:pStyle w:val="14"/>
        <w:tabs>
          <w:tab w:val="right" w:leader="dot" w:pos="9118"/>
        </w:tabs>
        <w:rPr>
          <w:rFonts w:ascii="Calibri" w:hAnsi="Calibri" w:eastAsia="宋体"/>
          <w:sz w:val="21"/>
          <w:szCs w:val="22"/>
        </w:rPr>
      </w:pPr>
      <w:bookmarkStart w:id="3" w:name="_Toc354491895"/>
      <w:bookmarkStart w:id="4" w:name="_Toc356371429"/>
      <w:r>
        <w:rPr>
          <w:rFonts w:ascii="宋体" w:hAnsi="宋体"/>
          <w:sz w:val="24"/>
          <w:szCs w:val="24"/>
        </w:rPr>
        <w:fldChar w:fldCharType="begin"/>
      </w:r>
      <w:r>
        <w:rPr>
          <w:rFonts w:ascii="宋体" w:hAnsi="宋体"/>
          <w:sz w:val="24"/>
          <w:szCs w:val="24"/>
        </w:rPr>
        <w:instrText xml:space="preserve"> TOC \o "1-1" \h \z \u </w:instrText>
      </w:r>
      <w:r>
        <w:rPr>
          <w:rFonts w:ascii="宋体" w:hAnsi="宋体"/>
          <w:sz w:val="24"/>
          <w:szCs w:val="24"/>
        </w:rPr>
        <w:fldChar w:fldCharType="separate"/>
      </w:r>
      <w:r>
        <w:fldChar w:fldCharType="begin"/>
      </w:r>
      <w:r>
        <w:instrText xml:space="preserve"> HYPERLINK \l "_Toc49416239" </w:instrText>
      </w:r>
      <w:r>
        <w:fldChar w:fldCharType="separate"/>
      </w:r>
      <w:r>
        <w:rPr>
          <w:rStyle w:val="22"/>
          <w:rFonts w:hint="eastAsia"/>
          <w:color w:val="auto"/>
        </w:rPr>
        <w:t>第一章</w:t>
      </w:r>
      <w:r>
        <w:rPr>
          <w:rStyle w:val="22"/>
          <w:color w:val="auto"/>
        </w:rPr>
        <w:t xml:space="preserve"> </w:t>
      </w:r>
      <w:r>
        <w:rPr>
          <w:rStyle w:val="22"/>
          <w:rFonts w:hint="eastAsia"/>
          <w:color w:val="auto"/>
        </w:rPr>
        <w:t>招标公告</w:t>
      </w:r>
      <w:r>
        <w:tab/>
      </w:r>
      <w:r>
        <w:fldChar w:fldCharType="begin"/>
      </w:r>
      <w:r>
        <w:instrText xml:space="preserve"> PAGEREF _Toc49416239 \h </w:instrText>
      </w:r>
      <w:r>
        <w:fldChar w:fldCharType="separate"/>
      </w:r>
      <w:r>
        <w:t>3</w:t>
      </w:r>
      <w:r>
        <w:fldChar w:fldCharType="end"/>
      </w:r>
      <w:r>
        <w:fldChar w:fldCharType="end"/>
      </w:r>
    </w:p>
    <w:p>
      <w:pPr>
        <w:pStyle w:val="14"/>
        <w:tabs>
          <w:tab w:val="right" w:leader="dot" w:pos="9118"/>
        </w:tabs>
        <w:rPr>
          <w:rFonts w:ascii="Calibri" w:hAnsi="Calibri" w:eastAsia="宋体"/>
          <w:sz w:val="21"/>
          <w:szCs w:val="22"/>
        </w:rPr>
      </w:pPr>
      <w:r>
        <w:fldChar w:fldCharType="begin"/>
      </w:r>
      <w:r>
        <w:instrText xml:space="preserve"> HYPERLINK \l "_Toc49416240" </w:instrText>
      </w:r>
      <w:r>
        <w:fldChar w:fldCharType="separate"/>
      </w:r>
      <w:r>
        <w:rPr>
          <w:rStyle w:val="22"/>
          <w:rFonts w:hint="eastAsia"/>
          <w:color w:val="auto"/>
        </w:rPr>
        <w:t>第二章</w:t>
      </w:r>
      <w:r>
        <w:rPr>
          <w:rStyle w:val="22"/>
          <w:color w:val="auto"/>
        </w:rPr>
        <w:t xml:space="preserve"> </w:t>
      </w:r>
      <w:r>
        <w:rPr>
          <w:rStyle w:val="22"/>
          <w:rFonts w:hint="eastAsia"/>
          <w:color w:val="auto"/>
        </w:rPr>
        <w:t>投标须知前附表及投标须知</w:t>
      </w:r>
      <w:r>
        <w:tab/>
      </w:r>
      <w:r>
        <w:fldChar w:fldCharType="begin"/>
      </w:r>
      <w:r>
        <w:instrText xml:space="preserve"> PAGEREF _Toc49416240 \h </w:instrText>
      </w:r>
      <w:r>
        <w:fldChar w:fldCharType="separate"/>
      </w:r>
      <w:r>
        <w:t>9</w:t>
      </w:r>
      <w:r>
        <w:fldChar w:fldCharType="end"/>
      </w:r>
      <w:r>
        <w:fldChar w:fldCharType="end"/>
      </w:r>
    </w:p>
    <w:p>
      <w:pPr>
        <w:pStyle w:val="14"/>
        <w:tabs>
          <w:tab w:val="right" w:leader="dot" w:pos="9118"/>
        </w:tabs>
        <w:rPr>
          <w:rFonts w:ascii="Calibri" w:hAnsi="Calibri" w:eastAsia="宋体"/>
          <w:sz w:val="21"/>
          <w:szCs w:val="22"/>
        </w:rPr>
      </w:pPr>
      <w:r>
        <w:fldChar w:fldCharType="begin"/>
      </w:r>
      <w:r>
        <w:instrText xml:space="preserve"> HYPERLINK \l "_Toc49416241" </w:instrText>
      </w:r>
      <w:r>
        <w:fldChar w:fldCharType="separate"/>
      </w:r>
      <w:r>
        <w:rPr>
          <w:rStyle w:val="22"/>
          <w:rFonts w:hint="eastAsia"/>
          <w:color w:val="auto"/>
        </w:rPr>
        <w:t>第三章</w:t>
      </w:r>
      <w:r>
        <w:rPr>
          <w:rStyle w:val="22"/>
          <w:color w:val="auto"/>
        </w:rPr>
        <w:t xml:space="preserve"> </w:t>
      </w:r>
      <w:r>
        <w:rPr>
          <w:rStyle w:val="22"/>
          <w:rFonts w:hint="eastAsia"/>
          <w:color w:val="auto"/>
        </w:rPr>
        <w:t>招标内容及需求</w:t>
      </w:r>
      <w:r>
        <w:tab/>
      </w:r>
      <w:r>
        <w:fldChar w:fldCharType="begin"/>
      </w:r>
      <w:r>
        <w:instrText xml:space="preserve"> PAGEREF _Toc49416241 \h </w:instrText>
      </w:r>
      <w:r>
        <w:fldChar w:fldCharType="separate"/>
      </w:r>
      <w:r>
        <w:t>21</w:t>
      </w:r>
      <w:r>
        <w:fldChar w:fldCharType="end"/>
      </w:r>
      <w:r>
        <w:fldChar w:fldCharType="end"/>
      </w:r>
    </w:p>
    <w:p>
      <w:pPr>
        <w:pStyle w:val="14"/>
        <w:tabs>
          <w:tab w:val="right" w:leader="dot" w:pos="9118"/>
        </w:tabs>
        <w:rPr>
          <w:rFonts w:ascii="Calibri" w:hAnsi="Calibri" w:eastAsia="宋体"/>
          <w:sz w:val="21"/>
          <w:szCs w:val="22"/>
        </w:rPr>
      </w:pPr>
      <w:r>
        <w:fldChar w:fldCharType="begin"/>
      </w:r>
      <w:r>
        <w:instrText xml:space="preserve"> HYPERLINK \l "_Toc49416242" </w:instrText>
      </w:r>
      <w:r>
        <w:fldChar w:fldCharType="separate"/>
      </w:r>
      <w:r>
        <w:rPr>
          <w:rStyle w:val="22"/>
          <w:rFonts w:hint="eastAsia"/>
          <w:color w:val="auto"/>
        </w:rPr>
        <w:t>第四章</w:t>
      </w:r>
      <w:r>
        <w:rPr>
          <w:rStyle w:val="22"/>
          <w:color w:val="auto"/>
        </w:rPr>
        <w:t xml:space="preserve"> </w:t>
      </w:r>
      <w:r>
        <w:rPr>
          <w:rStyle w:val="22"/>
          <w:rFonts w:hint="eastAsia"/>
          <w:color w:val="auto"/>
        </w:rPr>
        <w:t>合同主要条款</w:t>
      </w:r>
      <w:r>
        <w:tab/>
      </w:r>
      <w:r>
        <w:fldChar w:fldCharType="begin"/>
      </w:r>
      <w:r>
        <w:instrText xml:space="preserve"> PAGEREF _Toc49416242 \h </w:instrText>
      </w:r>
      <w:r>
        <w:fldChar w:fldCharType="separate"/>
      </w:r>
      <w:r>
        <w:t>25</w:t>
      </w:r>
      <w:r>
        <w:fldChar w:fldCharType="end"/>
      </w:r>
      <w:r>
        <w:fldChar w:fldCharType="end"/>
      </w:r>
    </w:p>
    <w:p>
      <w:pPr>
        <w:pStyle w:val="14"/>
        <w:tabs>
          <w:tab w:val="right" w:leader="dot" w:pos="9118"/>
        </w:tabs>
        <w:rPr>
          <w:rFonts w:ascii="Calibri" w:hAnsi="Calibri" w:eastAsia="宋体"/>
          <w:sz w:val="21"/>
          <w:szCs w:val="22"/>
        </w:rPr>
      </w:pPr>
      <w:r>
        <w:fldChar w:fldCharType="begin"/>
      </w:r>
      <w:r>
        <w:instrText xml:space="preserve"> HYPERLINK \l "_Toc49416248" </w:instrText>
      </w:r>
      <w:r>
        <w:fldChar w:fldCharType="separate"/>
      </w:r>
      <w:r>
        <w:rPr>
          <w:rStyle w:val="22"/>
          <w:rFonts w:hint="eastAsia"/>
          <w:color w:val="auto"/>
        </w:rPr>
        <w:t>第五章</w:t>
      </w:r>
      <w:r>
        <w:rPr>
          <w:rStyle w:val="22"/>
          <w:color w:val="auto"/>
        </w:rPr>
        <w:t xml:space="preserve"> </w:t>
      </w:r>
      <w:r>
        <w:rPr>
          <w:rStyle w:val="22"/>
          <w:rFonts w:hint="eastAsia"/>
          <w:color w:val="auto"/>
        </w:rPr>
        <w:t>应提交的有关格式范例</w:t>
      </w:r>
      <w:r>
        <w:tab/>
      </w:r>
      <w:r>
        <w:fldChar w:fldCharType="begin"/>
      </w:r>
      <w:r>
        <w:instrText xml:space="preserve"> PAGEREF _Toc49416248 \h </w:instrText>
      </w:r>
      <w:r>
        <w:fldChar w:fldCharType="separate"/>
      </w:r>
      <w:r>
        <w:t>27</w:t>
      </w:r>
      <w:r>
        <w:fldChar w:fldCharType="end"/>
      </w:r>
      <w:r>
        <w:fldChar w:fldCharType="end"/>
      </w:r>
    </w:p>
    <w:p>
      <w:pPr>
        <w:pStyle w:val="14"/>
        <w:tabs>
          <w:tab w:val="right" w:leader="dot" w:pos="9118"/>
        </w:tabs>
        <w:rPr>
          <w:rFonts w:ascii="Calibri" w:hAnsi="Calibri" w:eastAsia="宋体"/>
          <w:sz w:val="21"/>
          <w:szCs w:val="22"/>
        </w:rPr>
      </w:pPr>
      <w:r>
        <w:fldChar w:fldCharType="begin"/>
      </w:r>
      <w:r>
        <w:instrText xml:space="preserve"> HYPERLINK \l "_Toc49416249" </w:instrText>
      </w:r>
      <w:r>
        <w:fldChar w:fldCharType="separate"/>
      </w:r>
      <w:r>
        <w:rPr>
          <w:rStyle w:val="22"/>
          <w:rFonts w:hint="eastAsia"/>
          <w:color w:val="auto"/>
        </w:rPr>
        <w:t>第六章</w:t>
      </w:r>
      <w:r>
        <w:rPr>
          <w:rStyle w:val="22"/>
          <w:color w:val="auto"/>
        </w:rPr>
        <w:t xml:space="preserve"> </w:t>
      </w:r>
      <w:r>
        <w:rPr>
          <w:rStyle w:val="22"/>
          <w:rFonts w:hint="eastAsia"/>
          <w:color w:val="auto"/>
        </w:rPr>
        <w:t>评标办法及开标程序</w:t>
      </w:r>
      <w:r>
        <w:tab/>
      </w:r>
      <w:r>
        <w:fldChar w:fldCharType="begin"/>
      </w:r>
      <w:r>
        <w:instrText xml:space="preserve"> PAGEREF _Toc49416249 \h </w:instrText>
      </w:r>
      <w:r>
        <w:fldChar w:fldCharType="separate"/>
      </w:r>
      <w:r>
        <w:t>45</w:t>
      </w:r>
      <w:r>
        <w:fldChar w:fldCharType="end"/>
      </w:r>
      <w:r>
        <w:fldChar w:fldCharType="end"/>
      </w:r>
    </w:p>
    <w:p>
      <w:pPr>
        <w:pStyle w:val="14"/>
        <w:tabs>
          <w:tab w:val="right" w:leader="dot" w:pos="9118"/>
        </w:tabs>
        <w:rPr>
          <w:rFonts w:ascii="Calibri" w:hAnsi="Calibri" w:eastAsia="宋体"/>
          <w:sz w:val="21"/>
          <w:szCs w:val="22"/>
        </w:rPr>
      </w:pPr>
      <w:r>
        <w:fldChar w:fldCharType="begin"/>
      </w:r>
      <w:r>
        <w:instrText xml:space="preserve"> HYPERLINK \l "_Toc49416251" </w:instrText>
      </w:r>
      <w:r>
        <w:fldChar w:fldCharType="separate"/>
      </w:r>
      <w:r>
        <w:rPr>
          <w:rStyle w:val="22"/>
          <w:rFonts w:hint="eastAsia"/>
          <w:color w:val="auto"/>
        </w:rPr>
        <w:t>第七章</w:t>
      </w:r>
      <w:r>
        <w:rPr>
          <w:rStyle w:val="22"/>
          <w:color w:val="auto"/>
        </w:rPr>
        <w:t xml:space="preserve"> </w:t>
      </w:r>
      <w:r>
        <w:rPr>
          <w:rStyle w:val="22"/>
          <w:rFonts w:hint="eastAsia"/>
          <w:color w:val="auto"/>
        </w:rPr>
        <w:t>政府采购政策功能相关说明</w:t>
      </w:r>
      <w:r>
        <w:tab/>
      </w:r>
      <w:r>
        <w:fldChar w:fldCharType="begin"/>
      </w:r>
      <w:r>
        <w:instrText xml:space="preserve"> PAGEREF _Toc49416251 \h </w:instrText>
      </w:r>
      <w:r>
        <w:fldChar w:fldCharType="separate"/>
      </w:r>
      <w:r>
        <w:t>49</w:t>
      </w:r>
      <w:r>
        <w:fldChar w:fldCharType="end"/>
      </w:r>
      <w:r>
        <w:fldChar w:fldCharType="end"/>
      </w:r>
    </w:p>
    <w:p>
      <w:pPr>
        <w:snapToGrid w:val="0"/>
        <w:spacing w:line="360" w:lineRule="auto"/>
        <w:jc w:val="center"/>
        <w:rPr>
          <w:szCs w:val="21"/>
        </w:rPr>
      </w:pPr>
      <w:r>
        <w:rPr>
          <w:rFonts w:ascii="宋体" w:hAnsi="宋体"/>
          <w:sz w:val="24"/>
          <w:szCs w:val="24"/>
        </w:rPr>
        <w:fldChar w:fldCharType="end"/>
      </w:r>
    </w:p>
    <w:p>
      <w:pPr>
        <w:pStyle w:val="3"/>
        <w:spacing w:before="240" w:after="240"/>
      </w:pPr>
      <w:r>
        <w:rPr>
          <w:szCs w:val="21"/>
        </w:rPr>
        <w:br w:type="page"/>
      </w:r>
      <w:bookmarkStart w:id="5" w:name="_Toc49416239"/>
      <w:bookmarkStart w:id="6" w:name="_Toc2041"/>
      <w:r>
        <w:rPr>
          <w:rFonts w:hint="eastAsia"/>
        </w:rPr>
        <w:t xml:space="preserve">第一章 </w:t>
      </w:r>
      <w:bookmarkEnd w:id="3"/>
      <w:r>
        <w:rPr>
          <w:rFonts w:hint="eastAsia"/>
        </w:rPr>
        <w:t>招标公告</w:t>
      </w:r>
      <w:bookmarkEnd w:id="4"/>
      <w:bookmarkEnd w:id="5"/>
      <w:bookmarkEnd w:id="6"/>
      <w:bookmarkStart w:id="7" w:name="_Toc322352982"/>
      <w:bookmarkStart w:id="8" w:name="_Toc354491896"/>
      <w:bookmarkStart w:id="9" w:name="_Toc356371430"/>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8" w:type="dxa"/>
            <w:tcBorders>
              <w:top w:val="single" w:color="auto" w:sz="4" w:space="0"/>
              <w:left w:val="single" w:color="auto" w:sz="4" w:space="0"/>
              <w:bottom w:val="nil"/>
              <w:right w:val="single" w:color="auto" w:sz="4" w:space="0"/>
            </w:tcBorders>
            <w:vAlign w:val="center"/>
          </w:tcPr>
          <w:p>
            <w:pPr>
              <w:autoSpaceDE w:val="0"/>
              <w:autoSpaceDN w:val="0"/>
              <w:adjustRightInd w:val="0"/>
              <w:spacing w:line="396" w:lineRule="exact"/>
              <w:jc w:val="left"/>
              <w:rPr>
                <w:rFonts w:ascii="宋体" w:hAnsi="宋体"/>
                <w:b/>
                <w:sz w:val="24"/>
              </w:rPr>
            </w:pPr>
            <w:r>
              <w:rPr>
                <w:rFonts w:hint="eastAsia" w:ascii="宋体" w:hAnsi="宋体"/>
                <w:b/>
                <w:sz w:val="24"/>
              </w:rPr>
              <w:t>项目概况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3" w:hRule="atLeast"/>
          <w:jc w:val="center"/>
        </w:trPr>
        <w:tc>
          <w:tcPr>
            <w:tcW w:w="9628" w:type="dxa"/>
            <w:tcBorders>
              <w:top w:val="nil"/>
              <w:left w:val="single" w:color="auto" w:sz="4" w:space="0"/>
              <w:bottom w:val="single" w:color="auto" w:sz="4" w:space="0"/>
              <w:right w:val="single" w:color="auto" w:sz="4" w:space="0"/>
            </w:tcBorders>
            <w:vAlign w:val="center"/>
          </w:tcPr>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衢江区住建局2021-2022年度白蚁新建预防与回访复查项目（二次）的潜在供应商应在</w:t>
            </w:r>
            <w:r>
              <w:rPr>
                <w:rFonts w:hint="eastAsia" w:ascii="仿宋" w:hAnsi="仿宋" w:eastAsia="仿宋" w:cs="仿宋"/>
                <w:kern w:val="56"/>
                <w:sz w:val="28"/>
                <w:szCs w:val="28"/>
                <w:u w:val="single"/>
                <w:shd w:val="clear" w:color="auto" w:fill="FFFFFF"/>
              </w:rPr>
              <w:t xml:space="preserve">政府采购云平台（ </w:t>
            </w:r>
            <w:r>
              <w:fldChar w:fldCharType="begin"/>
            </w:r>
            <w:r>
              <w:instrText xml:space="preserve"> HYPERLINK "https://www.zcygov.cn/）获取（下载）采购文件，并于2021年1月" </w:instrText>
            </w:r>
            <w:r>
              <w:fldChar w:fldCharType="separate"/>
            </w:r>
            <w:r>
              <w:rPr>
                <w:rFonts w:hint="eastAsia" w:ascii="仿宋" w:hAnsi="仿宋" w:eastAsia="仿宋" w:cs="仿宋"/>
                <w:kern w:val="56"/>
                <w:sz w:val="28"/>
                <w:szCs w:val="28"/>
                <w:u w:val="single"/>
                <w:shd w:val="clear" w:color="auto" w:fill="FFFFFF"/>
              </w:rPr>
              <w:t>https://www.zcygov.cn/）获取（下载）采购文件，并于2021年1月</w:t>
            </w:r>
            <w:r>
              <w:rPr>
                <w:rFonts w:hint="eastAsia" w:ascii="仿宋" w:hAnsi="仿宋" w:eastAsia="仿宋" w:cs="仿宋"/>
                <w:kern w:val="56"/>
                <w:sz w:val="28"/>
                <w:szCs w:val="28"/>
                <w:u w:val="single"/>
                <w:shd w:val="clear" w:color="auto" w:fill="FFFFFF"/>
              </w:rPr>
              <w:fldChar w:fldCharType="end"/>
            </w:r>
            <w:r>
              <w:rPr>
                <w:rFonts w:hint="eastAsia" w:ascii="仿宋" w:hAnsi="仿宋" w:eastAsia="仿宋" w:cs="仿宋"/>
                <w:kern w:val="56"/>
                <w:sz w:val="28"/>
                <w:szCs w:val="28"/>
                <w:u w:val="single"/>
                <w:shd w:val="clear" w:color="auto" w:fill="FFFFFF"/>
              </w:rPr>
              <w:t>18日09点30分（北京时间）</w:t>
            </w:r>
            <w:r>
              <w:rPr>
                <w:rFonts w:hint="eastAsia" w:ascii="仿宋" w:hAnsi="仿宋" w:eastAsia="仿宋" w:cs="仿宋"/>
                <w:kern w:val="56"/>
                <w:sz w:val="28"/>
                <w:szCs w:val="28"/>
                <w:shd w:val="clear" w:color="auto" w:fill="FFFFFF"/>
              </w:rPr>
              <w:t>前递交（上传）响应文件。</w:t>
            </w:r>
          </w:p>
        </w:tc>
      </w:tr>
    </w:tbl>
    <w:p>
      <w:pPr>
        <w:widowControl/>
        <w:spacing w:line="560" w:lineRule="exact"/>
        <w:ind w:firstLine="560" w:firstLineChars="200"/>
        <w:jc w:val="left"/>
        <w:rPr>
          <w:rFonts w:ascii="仿宋" w:hAnsi="仿宋" w:eastAsia="仿宋" w:cs="仿宋"/>
          <w:kern w:val="56"/>
          <w:sz w:val="28"/>
          <w:szCs w:val="28"/>
          <w:shd w:val="clear" w:color="auto" w:fill="FFFFFF"/>
        </w:rPr>
      </w:pPr>
    </w:p>
    <w:p>
      <w:pPr>
        <w:widowControl/>
        <w:spacing w:line="560" w:lineRule="exact"/>
        <w:ind w:firstLine="562" w:firstLineChars="200"/>
        <w:jc w:val="left"/>
        <w:rPr>
          <w:rFonts w:ascii="仿宋" w:hAnsi="仿宋" w:eastAsia="仿宋" w:cs="仿宋"/>
          <w:b/>
          <w:kern w:val="56"/>
          <w:sz w:val="28"/>
          <w:szCs w:val="28"/>
          <w:shd w:val="clear" w:color="auto" w:fill="FFFFFF"/>
        </w:rPr>
      </w:pPr>
      <w:r>
        <w:rPr>
          <w:rFonts w:hint="eastAsia" w:ascii="仿宋" w:hAnsi="仿宋" w:eastAsia="仿宋" w:cs="仿宋"/>
          <w:b/>
          <w:kern w:val="56"/>
          <w:sz w:val="28"/>
          <w:szCs w:val="28"/>
          <w:shd w:val="clear" w:color="auto" w:fill="FFFFFF"/>
        </w:rPr>
        <w:t>一、项目基本情况</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项目编号：</w:t>
      </w:r>
      <w:r>
        <w:rPr>
          <w:rFonts w:ascii="仿宋" w:hAnsi="仿宋" w:eastAsia="仿宋" w:cs="仿宋"/>
          <w:kern w:val="56"/>
          <w:sz w:val="28"/>
          <w:szCs w:val="28"/>
          <w:shd w:val="clear" w:color="auto" w:fill="FFFFFF"/>
        </w:rPr>
        <w:t>zjzj202008-22-2</w:t>
      </w:r>
    </w:p>
    <w:p>
      <w:pPr>
        <w:widowControl/>
        <w:spacing w:line="560" w:lineRule="exact"/>
        <w:ind w:firstLine="560" w:firstLineChars="200"/>
        <w:jc w:val="left"/>
        <w:rPr>
          <w:rFonts w:ascii="宋体" w:hAnsi="宋体" w:cs="宋体"/>
          <w:szCs w:val="21"/>
        </w:rPr>
      </w:pPr>
      <w:r>
        <w:rPr>
          <w:rFonts w:hint="eastAsia" w:ascii="仿宋" w:hAnsi="仿宋" w:eastAsia="仿宋" w:cs="仿宋"/>
          <w:kern w:val="56"/>
          <w:sz w:val="28"/>
          <w:szCs w:val="28"/>
          <w:shd w:val="clear" w:color="auto" w:fill="FFFFFF"/>
        </w:rPr>
        <w:t>项目名称：衢江区住建局2021-2022年度白蚁新建预防与回访复查项目（二次）</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采购方式：公开招标</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预算金额：人民币900000元</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最高限价：人民币900000元</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采购需求：</w:t>
      </w:r>
    </w:p>
    <w:tbl>
      <w:tblPr>
        <w:tblStyle w:val="1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3341"/>
        <w:gridCol w:w="992"/>
        <w:gridCol w:w="851"/>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5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序号</w:t>
            </w:r>
          </w:p>
        </w:tc>
        <w:tc>
          <w:tcPr>
            <w:tcW w:w="33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内容</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数量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单位</w:t>
            </w:r>
          </w:p>
        </w:tc>
        <w:tc>
          <w:tcPr>
            <w:tcW w:w="3282" w:type="dxa"/>
            <w:vAlign w:val="center"/>
          </w:tcPr>
          <w:p>
            <w:pPr>
              <w:widowControl/>
              <w:spacing w:line="560" w:lineRule="exact"/>
              <w:jc w:val="center"/>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5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1</w:t>
            </w:r>
          </w:p>
        </w:tc>
        <w:tc>
          <w:tcPr>
            <w:tcW w:w="33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衢江区住建局2021-2022年度白蚁新建预防与回访复查项目（二次）</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项</w:t>
            </w:r>
          </w:p>
        </w:tc>
        <w:tc>
          <w:tcPr>
            <w:tcW w:w="3282" w:type="dxa"/>
            <w:vAlign w:val="center"/>
          </w:tcPr>
          <w:p>
            <w:pPr>
              <w:widowControl/>
              <w:spacing w:line="560" w:lineRule="exact"/>
              <w:jc w:val="center"/>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本次招标服务期为两年；具体详见第三章招标内容及需求。</w:t>
            </w:r>
          </w:p>
        </w:tc>
      </w:tr>
    </w:tbl>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详细技术要求见招标文件第三章。</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合同履行期限：服务期2年。</w:t>
      </w:r>
    </w:p>
    <w:p>
      <w:pPr>
        <w:widowControl/>
        <w:spacing w:line="560" w:lineRule="exact"/>
        <w:ind w:firstLine="562" w:firstLineChars="200"/>
        <w:jc w:val="left"/>
        <w:rPr>
          <w:rFonts w:ascii="仿宋" w:hAnsi="仿宋" w:eastAsia="仿宋" w:cs="仿宋"/>
          <w:b/>
          <w:kern w:val="56"/>
          <w:sz w:val="28"/>
          <w:szCs w:val="28"/>
          <w:shd w:val="clear" w:color="auto" w:fill="FFFFFF"/>
        </w:rPr>
      </w:pPr>
      <w:r>
        <w:rPr>
          <w:rFonts w:hint="eastAsia" w:ascii="仿宋" w:hAnsi="仿宋" w:eastAsia="仿宋" w:cs="仿宋"/>
          <w:b/>
          <w:kern w:val="56"/>
          <w:sz w:val="28"/>
          <w:szCs w:val="28"/>
          <w:shd w:val="clear" w:color="auto" w:fill="FFFFFF"/>
        </w:rPr>
        <w:t>二、申请人的资格要求：</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1、符合《中华人民共和国政府采购法》第二十二条要求。</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（1）具有独立承担民事责任的能力；</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（2）具有良好的商业信誉和健全的财务会计制度；</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（3）具有履行合同所必需的设备和专业技术能力；</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（4）有依法缴纳税收和社会保障资金的良好记录；</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（5）参加政府采购活动前三年内，在经营活动中没有重大违法记录；</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（6）法律、行政法规规定的其他条件。</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2、落实政府采购政策需满足的资格要求：本项目面向大、中、小、微型企业，具体详见招标文件。</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3、本项目谢绝联合体投标。</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4、其他条件：</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（1）在中华人民共和国境内注册，具有独立法人资格，且经营范围具有白蚁防治服务的供应商；</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（2）单位负责人为同一人或者存在直接控股、管理关系的不同供应商，不得参加同一合同项下的政府采购活动；</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（3）供应商未被列入失信被执行人名单、重大税收违法案件当事人名单、政府采购严重违法失信行为记录名单，信用信息以信用中国网站（www.creditchina.gov.cn）、中国政府采购网（www.ccgp.gov.cn）公布为准。</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（4）项目中标后中标人不得以任何形式进行转包或分包。</w:t>
      </w:r>
    </w:p>
    <w:p>
      <w:pPr>
        <w:widowControl/>
        <w:spacing w:line="560" w:lineRule="exact"/>
        <w:ind w:firstLine="562" w:firstLineChars="200"/>
        <w:jc w:val="left"/>
        <w:rPr>
          <w:rFonts w:ascii="仿宋" w:hAnsi="仿宋" w:eastAsia="仿宋" w:cs="仿宋"/>
          <w:b/>
          <w:kern w:val="56"/>
          <w:sz w:val="28"/>
          <w:szCs w:val="28"/>
          <w:shd w:val="clear" w:color="auto" w:fill="FFFFFF"/>
        </w:rPr>
      </w:pPr>
      <w:r>
        <w:rPr>
          <w:rFonts w:hint="eastAsia" w:ascii="仿宋" w:hAnsi="仿宋" w:eastAsia="仿宋" w:cs="仿宋"/>
          <w:b/>
          <w:kern w:val="56"/>
          <w:sz w:val="28"/>
          <w:szCs w:val="28"/>
          <w:shd w:val="clear" w:color="auto" w:fill="FFFFFF"/>
        </w:rPr>
        <w:t>三、获取（下载）采购文件</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时间：2020年12月2</w:t>
      </w:r>
      <w:r>
        <w:rPr>
          <w:rFonts w:hint="eastAsia" w:ascii="仿宋" w:hAnsi="仿宋" w:eastAsia="仿宋" w:cs="仿宋"/>
          <w:kern w:val="56"/>
          <w:sz w:val="28"/>
          <w:szCs w:val="28"/>
          <w:shd w:val="clear" w:color="auto" w:fill="FFFFFF"/>
          <w:lang w:val="en-US" w:eastAsia="zh-CN"/>
        </w:rPr>
        <w:t>9</w:t>
      </w:r>
      <w:r>
        <w:rPr>
          <w:rFonts w:hint="eastAsia" w:ascii="仿宋" w:hAnsi="仿宋" w:eastAsia="仿宋" w:cs="仿宋"/>
          <w:kern w:val="56"/>
          <w:sz w:val="28"/>
          <w:szCs w:val="28"/>
          <w:shd w:val="clear" w:color="auto" w:fill="FFFFFF"/>
        </w:rPr>
        <w:t>日至2021年1月18日，每天00:00至12:00，下午12:00至23:59（北京时间）</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地点：政府采购云平台（https://www.zcygov.cn/）</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方式：潜在供应商登陆政府采购云平台，在线申请获取采购文件。进入“项目采购”应用，在获取采购文件菜单中选择项目，申请获取采购文件。（仅需浏览采购文件的供应商可点击“游客，浏览采购文件”直接下载采购文件浏览。）</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售价：免费。</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提示：</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1.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2.采购代理机构将拒绝接受未按上述要求获取采购文件的供应商的投标、响应文件；</w:t>
      </w:r>
    </w:p>
    <w:p>
      <w:pPr>
        <w:widowControl/>
        <w:spacing w:line="560" w:lineRule="exact"/>
        <w:ind w:firstLine="562" w:firstLineChars="200"/>
        <w:jc w:val="left"/>
        <w:rPr>
          <w:rFonts w:ascii="仿宋" w:hAnsi="仿宋" w:eastAsia="仿宋" w:cs="仿宋"/>
          <w:b/>
          <w:kern w:val="56"/>
          <w:sz w:val="28"/>
          <w:szCs w:val="28"/>
          <w:shd w:val="clear" w:color="auto" w:fill="FFFFFF"/>
        </w:rPr>
      </w:pPr>
      <w:r>
        <w:rPr>
          <w:rFonts w:hint="eastAsia" w:ascii="仿宋" w:hAnsi="仿宋" w:eastAsia="仿宋" w:cs="仿宋"/>
          <w:b/>
          <w:kern w:val="56"/>
          <w:sz w:val="28"/>
          <w:szCs w:val="28"/>
          <w:shd w:val="clear" w:color="auto" w:fill="FFFFFF"/>
        </w:rPr>
        <w:t>四、响应文件提交（上传）</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截止时间：2021年1月18日09点30分（北京时间）</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地点（网址）：政府采购云平台（https://www.zcygov.cn/）</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提示：1.供应商应当在响应文件提交（上传）截止时间前完成电子响应文件的传输递交，并可以补充、修改或者撤回电子响应文件。补充或者修改电子响应文件的，应当先行撤回原文件，补充、修改后重新传输递交。响应文件提交（上传）截止时间前未完成传输的，视为撤回响应文件。投标、响应截止时间后送达的投标、响应文件，将被政采云平台拒收；</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2.供应商应在开标后30分钟内通过政采云平台完成电子投标文件的在线解密工作。</w:t>
      </w:r>
    </w:p>
    <w:p>
      <w:pPr>
        <w:widowControl/>
        <w:spacing w:line="560" w:lineRule="exact"/>
        <w:ind w:firstLine="562" w:firstLineChars="200"/>
        <w:jc w:val="left"/>
        <w:rPr>
          <w:rFonts w:ascii="仿宋" w:hAnsi="仿宋" w:eastAsia="仿宋" w:cs="仿宋"/>
          <w:b/>
          <w:kern w:val="56"/>
          <w:sz w:val="28"/>
          <w:szCs w:val="28"/>
          <w:shd w:val="clear" w:color="auto" w:fill="FFFFFF"/>
        </w:rPr>
      </w:pPr>
      <w:r>
        <w:rPr>
          <w:rFonts w:hint="eastAsia" w:ascii="仿宋" w:hAnsi="仿宋" w:eastAsia="仿宋" w:cs="仿宋"/>
          <w:b/>
          <w:kern w:val="56"/>
          <w:sz w:val="28"/>
          <w:szCs w:val="28"/>
          <w:shd w:val="clear" w:color="auto" w:fill="FFFFFF"/>
        </w:rPr>
        <w:t>五、响应文件开启</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开启时间： 2021年1月18日09点30分（北京时间）</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地点（网址）：政府采购云平台（https://www.zcygov.cn/）</w:t>
      </w:r>
    </w:p>
    <w:p>
      <w:pPr>
        <w:widowControl/>
        <w:spacing w:line="560" w:lineRule="exact"/>
        <w:ind w:firstLine="562" w:firstLineChars="200"/>
        <w:jc w:val="left"/>
        <w:rPr>
          <w:rFonts w:ascii="仿宋" w:hAnsi="仿宋" w:eastAsia="仿宋" w:cs="仿宋"/>
          <w:b/>
          <w:kern w:val="56"/>
          <w:sz w:val="28"/>
          <w:szCs w:val="28"/>
          <w:shd w:val="clear" w:color="auto" w:fill="FFFFFF"/>
        </w:rPr>
      </w:pPr>
      <w:r>
        <w:rPr>
          <w:rFonts w:hint="eastAsia" w:ascii="仿宋" w:hAnsi="仿宋" w:eastAsia="仿宋" w:cs="仿宋"/>
          <w:b/>
          <w:kern w:val="56"/>
          <w:sz w:val="28"/>
          <w:szCs w:val="28"/>
          <w:shd w:val="clear" w:color="auto" w:fill="FFFFFF"/>
        </w:rPr>
        <w:t>六、公告期限</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自本公告发布之日起5个工作日。</w:t>
      </w:r>
    </w:p>
    <w:p>
      <w:pPr>
        <w:widowControl/>
        <w:spacing w:line="560" w:lineRule="exact"/>
        <w:ind w:firstLine="562" w:firstLineChars="200"/>
        <w:jc w:val="left"/>
        <w:rPr>
          <w:rFonts w:ascii="仿宋" w:hAnsi="仿宋" w:eastAsia="仿宋" w:cs="仿宋"/>
          <w:b/>
          <w:kern w:val="56"/>
          <w:sz w:val="28"/>
          <w:szCs w:val="28"/>
          <w:shd w:val="clear" w:color="auto" w:fill="FFFFFF"/>
        </w:rPr>
      </w:pPr>
      <w:r>
        <w:rPr>
          <w:rFonts w:hint="eastAsia" w:ascii="仿宋" w:hAnsi="仿宋" w:eastAsia="仿宋" w:cs="仿宋"/>
          <w:b/>
          <w:kern w:val="56"/>
          <w:sz w:val="28"/>
          <w:szCs w:val="28"/>
          <w:shd w:val="clear" w:color="auto" w:fill="FFFFFF"/>
        </w:rPr>
        <w:t>七、其他补充事宜</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2.采购项目需要落实的政府采购政策：</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（1）《节能产品政府采购实施意见》（财库[2004]185号）；</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（2）《关于环境标志产品政府采购实施的意见》（财库[2006]90号）；</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（3）《政府采购促进中小企业发展暂行办法》（财库[2011]181号）。</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3.企业信用融资:</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tp:/www zizfcg gov.cn)的中小企业信用融资栏目了解相关信息。</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供应商可以通过浙江政府采购网(https://zfcg. czt.zj. gov.cn/)首页的“浙江政采贷”模块进入申请，还可以通过政府采购云平台(https://www. zcygov.cn/)首页的“金融服务”模块进入申请。</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4.电子交易说明</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1）本项目实行电子投标，供应商无须提交纸质响应文件，无须授权代表参加开标会议。应按照本项目采购文件和政采云平台的要求编制、加密并递交响应文件。供应商在使用系统进行投标的过程中遇到涉及平台使用的任何问题，可致电政采云平台技术支持热线咨询，联系方式：400-881-7190。</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（2）供应商应在开标前完成CA数字证书办理。（办理流程详见http://zfcg.czt.zj.gov.cn/bidClientTemplate/2019-05-27/12945.html）。</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3）供应商通过政采云平台电子投标工具制作响应文件，电子投标工具请供应商自行前往浙江政府采购网下载并安装，（下载网址：http://zfcg.czt.zj.gov.cn/bidClientTemplate/2019-05-27/12946.html），电子投标具体流程位置：“登录政采云平台-右上角服务中心-帮助文档-项目采购-左边栏操作流程-电子招投标-政府采购项目电子交易管理操作指南-供应商”，（https://service.zcygov.cn/#/knowledges/CW1EtGwBFdiHxlNd6I3m/6IMVAG0BFdiHxlNdQ8Na）。</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八、凡对本次采购提出询问，请按以下方式联系。</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1.采购人信息</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名 称：衢州市衢江区住房和城乡建设局　　　　　　　　　　　　</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地址：衢州市衢江区仙岩路32号　　　　　　　　　　　　</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联系人：郑先生</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联系方式：</w:t>
      </w:r>
      <w:r>
        <w:rPr>
          <w:rFonts w:ascii="仿宋" w:hAnsi="仿宋" w:eastAsia="仿宋" w:cs="仿宋"/>
          <w:kern w:val="56"/>
          <w:sz w:val="28"/>
          <w:szCs w:val="28"/>
          <w:shd w:val="clear" w:color="auto" w:fill="FFFFFF"/>
        </w:rPr>
        <w:t>0570-2298699</w:t>
      </w:r>
      <w:r>
        <w:rPr>
          <w:rFonts w:hint="eastAsia" w:ascii="仿宋" w:hAnsi="仿宋" w:eastAsia="仿宋" w:cs="仿宋"/>
          <w:kern w:val="56"/>
          <w:sz w:val="28"/>
          <w:szCs w:val="28"/>
          <w:shd w:val="clear" w:color="auto" w:fill="FFFFFF"/>
        </w:rPr>
        <w:t xml:space="preserve">  　　　　　　 </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2.采购代理机构信息</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名 称：浙江中际工程项目管理有限公司　　　　　　　　　　　　</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地　址：衢州市柯城区九华北大道509号合屹大厦2#1单元10楼　　　　　　　　　　　　</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项目联系人 ：夏珍，杨建英</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联系方式：15057094156，0570-3890149</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3.同级政府采购监督管理部门</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名 称：衢江区财政局 　　　　　　　　　　　</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地 址：衢州市衢江区政和路6号  　　　　　　　　　　　</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 xml:space="preserve">联系人 ：杨女士    </w:t>
      </w: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监督投诉电话：0570-8762709 　</w:t>
      </w:r>
    </w:p>
    <w:p>
      <w:pPr>
        <w:widowControl/>
        <w:spacing w:line="560" w:lineRule="exact"/>
        <w:ind w:firstLine="560" w:firstLineChars="200"/>
        <w:jc w:val="left"/>
        <w:rPr>
          <w:rFonts w:ascii="仿宋" w:hAnsi="仿宋" w:eastAsia="仿宋" w:cs="仿宋"/>
          <w:kern w:val="56"/>
          <w:sz w:val="28"/>
          <w:szCs w:val="28"/>
          <w:shd w:val="clear" w:color="auto" w:fill="FFFFFF"/>
        </w:rPr>
      </w:pPr>
    </w:p>
    <w:p>
      <w:pPr>
        <w:widowControl/>
        <w:spacing w:line="560" w:lineRule="exact"/>
        <w:ind w:firstLine="560" w:firstLineChars="200"/>
        <w:jc w:val="left"/>
        <w:rPr>
          <w:rFonts w:ascii="仿宋" w:hAnsi="仿宋" w:eastAsia="仿宋" w:cs="仿宋"/>
          <w:kern w:val="56"/>
          <w:sz w:val="28"/>
          <w:szCs w:val="28"/>
          <w:shd w:val="clear" w:color="auto" w:fill="FFFFFF"/>
        </w:rPr>
      </w:pPr>
      <w:r>
        <w:rPr>
          <w:rFonts w:hint="eastAsia" w:ascii="仿宋" w:hAnsi="仿宋" w:eastAsia="仿宋" w:cs="仿宋"/>
          <w:kern w:val="56"/>
          <w:sz w:val="28"/>
          <w:szCs w:val="28"/>
          <w:shd w:val="clear" w:color="auto" w:fill="FFFFFF"/>
        </w:rPr>
        <w:t>若对项目采购电子交易系统操作有疑问，可登录政采云（https://www.zcygov.cn/），点击右侧咨询小采，获取采小蜜智能服务管家帮助，或拨打政采云服务热线400-881-7190获取热线服务帮助。</w:t>
      </w:r>
    </w:p>
    <w:p>
      <w:pPr>
        <w:widowControl/>
        <w:jc w:val="left"/>
        <w:rPr>
          <w:rFonts w:eastAsia="黑体"/>
          <w:b/>
          <w:bCs/>
          <w:kern w:val="44"/>
          <w:sz w:val="32"/>
          <w:szCs w:val="44"/>
        </w:rPr>
      </w:pPr>
      <w:bookmarkStart w:id="10" w:name="_Toc49416240"/>
      <w:bookmarkStart w:id="11" w:name="_Toc31264"/>
      <w:r>
        <w:br w:type="page"/>
      </w:r>
    </w:p>
    <w:p>
      <w:pPr>
        <w:pStyle w:val="3"/>
        <w:spacing w:before="240" w:after="240"/>
      </w:pPr>
      <w:r>
        <w:t>第二章</w:t>
      </w:r>
      <w:r>
        <w:rPr>
          <w:rFonts w:hint="eastAsia"/>
        </w:rPr>
        <w:t xml:space="preserve"> </w:t>
      </w:r>
      <w:r>
        <w:t>投标</w:t>
      </w:r>
      <w:bookmarkEnd w:id="7"/>
      <w:bookmarkEnd w:id="8"/>
      <w:r>
        <w:t>须知前附表及投标须知</w:t>
      </w:r>
      <w:bookmarkEnd w:id="9"/>
      <w:bookmarkEnd w:id="10"/>
      <w:bookmarkEnd w:id="11"/>
    </w:p>
    <w:p>
      <w:pPr>
        <w:pStyle w:val="4"/>
      </w:pPr>
      <w:bookmarkStart w:id="12" w:name="_Toc6759"/>
      <w:bookmarkStart w:id="13" w:name="_Toc356371431"/>
      <w:r>
        <w:rPr>
          <w:rFonts w:hint="eastAsia"/>
        </w:rPr>
        <w:t>一、投标须知前附表</w:t>
      </w:r>
      <w:bookmarkEnd w:id="12"/>
      <w:bookmarkEnd w:id="13"/>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2510"/>
        <w:gridCol w:w="6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89" w:type="dxa"/>
            <w:vAlign w:val="center"/>
          </w:tcPr>
          <w:p>
            <w:pPr>
              <w:pStyle w:val="10"/>
              <w:adjustRightInd w:val="0"/>
              <w:snapToGrid w:val="0"/>
              <w:jc w:val="center"/>
              <w:rPr>
                <w:rFonts w:hAnsi="宋体" w:cs="宋体"/>
                <w:b/>
                <w:szCs w:val="21"/>
              </w:rPr>
            </w:pPr>
            <w:r>
              <w:rPr>
                <w:rFonts w:hint="eastAsia" w:hAnsi="宋体" w:cs="宋体"/>
                <w:b/>
                <w:szCs w:val="21"/>
              </w:rPr>
              <w:t>序号</w:t>
            </w:r>
          </w:p>
        </w:tc>
        <w:tc>
          <w:tcPr>
            <w:tcW w:w="2510" w:type="dxa"/>
            <w:vAlign w:val="center"/>
          </w:tcPr>
          <w:p>
            <w:pPr>
              <w:pStyle w:val="10"/>
              <w:adjustRightInd w:val="0"/>
              <w:snapToGrid w:val="0"/>
              <w:jc w:val="center"/>
              <w:rPr>
                <w:rFonts w:hAnsi="宋体" w:cs="宋体"/>
                <w:b/>
                <w:szCs w:val="21"/>
              </w:rPr>
            </w:pPr>
            <w:r>
              <w:rPr>
                <w:rFonts w:hint="eastAsia" w:hAnsi="宋体" w:cs="宋体"/>
                <w:b/>
                <w:szCs w:val="21"/>
              </w:rPr>
              <w:t>内  容</w:t>
            </w:r>
          </w:p>
        </w:tc>
        <w:tc>
          <w:tcPr>
            <w:tcW w:w="6227" w:type="dxa"/>
            <w:vAlign w:val="center"/>
          </w:tcPr>
          <w:p>
            <w:pPr>
              <w:pStyle w:val="10"/>
              <w:adjustRightInd w:val="0"/>
              <w:snapToGrid w:val="0"/>
              <w:jc w:val="center"/>
              <w:rPr>
                <w:rFonts w:hAnsi="宋体" w:cs="宋体"/>
                <w:b/>
                <w:szCs w:val="21"/>
              </w:rPr>
            </w:pPr>
            <w:r>
              <w:rPr>
                <w:rFonts w:hint="eastAsia" w:hAnsi="宋体" w:cs="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1</w:t>
            </w:r>
          </w:p>
        </w:tc>
        <w:tc>
          <w:tcPr>
            <w:tcW w:w="2510" w:type="dxa"/>
            <w:vAlign w:val="center"/>
          </w:tcPr>
          <w:p>
            <w:pPr>
              <w:pStyle w:val="10"/>
              <w:adjustRightInd w:val="0"/>
              <w:snapToGrid w:val="0"/>
              <w:rPr>
                <w:rFonts w:hAnsi="宋体" w:cs="宋体"/>
                <w:szCs w:val="21"/>
              </w:rPr>
            </w:pPr>
            <w:r>
              <w:rPr>
                <w:rFonts w:hint="eastAsia" w:hAnsi="宋体" w:cs="宋体"/>
                <w:szCs w:val="21"/>
              </w:rPr>
              <w:t>采购人</w:t>
            </w:r>
          </w:p>
        </w:tc>
        <w:tc>
          <w:tcPr>
            <w:tcW w:w="6227" w:type="dxa"/>
            <w:vAlign w:val="center"/>
          </w:tcPr>
          <w:p>
            <w:pPr>
              <w:pStyle w:val="10"/>
              <w:adjustRightInd w:val="0"/>
              <w:snapToGrid w:val="0"/>
              <w:rPr>
                <w:rFonts w:hAnsi="宋体" w:cs="宋体"/>
                <w:szCs w:val="21"/>
              </w:rPr>
            </w:pPr>
            <w:r>
              <w:rPr>
                <w:rFonts w:hint="eastAsia" w:hAnsi="宋体" w:cs="宋体"/>
                <w:szCs w:val="21"/>
              </w:rPr>
              <w:t>衢州市衢江区住房和城乡建设局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2</w:t>
            </w:r>
          </w:p>
        </w:tc>
        <w:tc>
          <w:tcPr>
            <w:tcW w:w="2510" w:type="dxa"/>
            <w:vAlign w:val="center"/>
          </w:tcPr>
          <w:p>
            <w:pPr>
              <w:pStyle w:val="10"/>
              <w:adjustRightInd w:val="0"/>
              <w:snapToGrid w:val="0"/>
              <w:rPr>
                <w:rFonts w:hAnsi="宋体" w:cs="宋体"/>
                <w:szCs w:val="21"/>
              </w:rPr>
            </w:pPr>
            <w:r>
              <w:rPr>
                <w:rFonts w:hint="eastAsia" w:hAnsi="宋体" w:cs="宋体"/>
                <w:szCs w:val="21"/>
              </w:rPr>
              <w:t>项目名称</w:t>
            </w:r>
          </w:p>
        </w:tc>
        <w:tc>
          <w:tcPr>
            <w:tcW w:w="6227" w:type="dxa"/>
            <w:vAlign w:val="center"/>
          </w:tcPr>
          <w:p>
            <w:pPr>
              <w:adjustRightInd w:val="0"/>
              <w:snapToGrid w:val="0"/>
              <w:rPr>
                <w:rFonts w:ascii="宋体" w:hAnsi="宋体" w:cs="宋体"/>
                <w:szCs w:val="21"/>
              </w:rPr>
            </w:pPr>
            <w:r>
              <w:rPr>
                <w:rFonts w:hint="eastAsia" w:ascii="宋体" w:hAnsi="宋体" w:cs="宋体"/>
                <w:bCs/>
                <w:szCs w:val="21"/>
              </w:rPr>
              <w:t xml:space="preserve">衢江区住建局2021-2022年度白蚁新建预防与回访复查项目（二次）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3</w:t>
            </w:r>
          </w:p>
        </w:tc>
        <w:tc>
          <w:tcPr>
            <w:tcW w:w="2510" w:type="dxa"/>
            <w:vAlign w:val="center"/>
          </w:tcPr>
          <w:p>
            <w:pPr>
              <w:pStyle w:val="10"/>
              <w:adjustRightInd w:val="0"/>
              <w:snapToGrid w:val="0"/>
              <w:rPr>
                <w:rFonts w:hAnsi="宋体" w:cs="宋体"/>
                <w:szCs w:val="21"/>
              </w:rPr>
            </w:pPr>
            <w:r>
              <w:rPr>
                <w:rFonts w:hint="eastAsia" w:hAnsi="宋体" w:cs="宋体"/>
                <w:szCs w:val="21"/>
              </w:rPr>
              <w:t>采购预算（最高限价）</w:t>
            </w:r>
          </w:p>
        </w:tc>
        <w:tc>
          <w:tcPr>
            <w:tcW w:w="6227" w:type="dxa"/>
            <w:vAlign w:val="center"/>
          </w:tcPr>
          <w:p>
            <w:pPr>
              <w:adjustRightInd w:val="0"/>
              <w:snapToGrid w:val="0"/>
              <w:rPr>
                <w:rFonts w:ascii="宋体" w:hAnsi="宋体" w:cs="宋体"/>
                <w:szCs w:val="21"/>
              </w:rPr>
            </w:pPr>
            <w:r>
              <w:rPr>
                <w:rFonts w:hint="eastAsia" w:ascii="宋体" w:hAnsi="宋体" w:cs="宋体"/>
                <w:szCs w:val="21"/>
              </w:rPr>
              <w:t>90万元（45万/年）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4</w:t>
            </w:r>
          </w:p>
        </w:tc>
        <w:tc>
          <w:tcPr>
            <w:tcW w:w="2510" w:type="dxa"/>
            <w:vAlign w:val="center"/>
          </w:tcPr>
          <w:p>
            <w:pPr>
              <w:pStyle w:val="10"/>
              <w:adjustRightInd w:val="0"/>
              <w:snapToGrid w:val="0"/>
              <w:rPr>
                <w:rFonts w:hAnsi="宋体" w:cs="宋体"/>
                <w:szCs w:val="21"/>
              </w:rPr>
            </w:pPr>
            <w:r>
              <w:rPr>
                <w:rFonts w:hint="eastAsia" w:hAnsi="宋体" w:cs="宋体"/>
                <w:szCs w:val="21"/>
              </w:rPr>
              <w:t>项目服务周期</w:t>
            </w:r>
          </w:p>
        </w:tc>
        <w:tc>
          <w:tcPr>
            <w:tcW w:w="6227" w:type="dxa"/>
            <w:vAlign w:val="center"/>
          </w:tcPr>
          <w:p>
            <w:pPr>
              <w:pStyle w:val="10"/>
              <w:adjustRightInd w:val="0"/>
              <w:snapToGrid w:val="0"/>
              <w:rPr>
                <w:rFonts w:hAnsi="宋体" w:cs="宋体"/>
                <w:szCs w:val="21"/>
              </w:rPr>
            </w:pPr>
            <w:r>
              <w:rPr>
                <w:rFonts w:hint="eastAsia" w:hAnsi="宋体" w:cs="宋体"/>
                <w:szCs w:val="21"/>
              </w:rPr>
              <w:t>两年（具体时间以签订合同为准）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5</w:t>
            </w:r>
          </w:p>
        </w:tc>
        <w:tc>
          <w:tcPr>
            <w:tcW w:w="2510" w:type="dxa"/>
            <w:vAlign w:val="center"/>
          </w:tcPr>
          <w:p>
            <w:pPr>
              <w:pStyle w:val="10"/>
              <w:adjustRightInd w:val="0"/>
              <w:snapToGrid w:val="0"/>
              <w:rPr>
                <w:rFonts w:hAnsi="宋体" w:cs="宋体"/>
                <w:szCs w:val="21"/>
              </w:rPr>
            </w:pPr>
            <w:r>
              <w:rPr>
                <w:rFonts w:hint="eastAsia" w:hAnsi="宋体" w:cs="宋体"/>
                <w:szCs w:val="21"/>
              </w:rPr>
              <w:t>现场踏勘（如有）</w:t>
            </w:r>
          </w:p>
        </w:tc>
        <w:tc>
          <w:tcPr>
            <w:tcW w:w="6227" w:type="dxa"/>
            <w:vAlign w:val="center"/>
          </w:tcPr>
          <w:p>
            <w:pPr>
              <w:pStyle w:val="10"/>
              <w:adjustRightInd w:val="0"/>
              <w:snapToGrid w:val="0"/>
              <w:rPr>
                <w:rFonts w:hAnsi="宋体" w:cs="宋体"/>
                <w:szCs w:val="21"/>
              </w:rPr>
            </w:pPr>
            <w:r>
              <w:rPr>
                <w:rFonts w:hint="eastAsia" w:hAnsi="宋体" w:cs="宋体"/>
                <w:szCs w:val="21"/>
              </w:rPr>
              <w:t>采购人不组织踏勘现场，但投标人须自行安排踏勘现场情况和周边的情况，掌握和分析与投标和报价相关的一切信息，并自行承担踏勘现场的一切费用和风险。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6</w:t>
            </w:r>
          </w:p>
        </w:tc>
        <w:tc>
          <w:tcPr>
            <w:tcW w:w="2510" w:type="dxa"/>
            <w:vAlign w:val="center"/>
          </w:tcPr>
          <w:p>
            <w:pPr>
              <w:pStyle w:val="10"/>
              <w:adjustRightInd w:val="0"/>
              <w:snapToGrid w:val="0"/>
              <w:rPr>
                <w:rFonts w:hAnsi="宋体" w:cs="宋体"/>
                <w:szCs w:val="21"/>
              </w:rPr>
            </w:pPr>
            <w:r>
              <w:rPr>
                <w:rFonts w:hint="eastAsia" w:hAnsi="宋体" w:cs="宋体"/>
                <w:szCs w:val="21"/>
              </w:rPr>
              <w:t>投标有效期</w:t>
            </w:r>
          </w:p>
        </w:tc>
        <w:tc>
          <w:tcPr>
            <w:tcW w:w="6227" w:type="dxa"/>
            <w:vAlign w:val="center"/>
          </w:tcPr>
          <w:p>
            <w:pPr>
              <w:pStyle w:val="10"/>
              <w:adjustRightInd w:val="0"/>
              <w:snapToGrid w:val="0"/>
              <w:rPr>
                <w:rFonts w:hAnsi="宋体" w:cs="宋体"/>
                <w:szCs w:val="21"/>
              </w:rPr>
            </w:pPr>
            <w:r>
              <w:rPr>
                <w:rFonts w:hint="eastAsia" w:hAnsi="宋体" w:cs="宋体"/>
                <w:szCs w:val="21"/>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7</w:t>
            </w:r>
          </w:p>
        </w:tc>
        <w:tc>
          <w:tcPr>
            <w:tcW w:w="2510" w:type="dxa"/>
            <w:vAlign w:val="center"/>
          </w:tcPr>
          <w:p>
            <w:pPr>
              <w:pStyle w:val="10"/>
              <w:adjustRightInd w:val="0"/>
              <w:snapToGrid w:val="0"/>
              <w:rPr>
                <w:rFonts w:hAnsi="宋体" w:cs="宋体"/>
                <w:spacing w:val="-20"/>
                <w:szCs w:val="21"/>
              </w:rPr>
            </w:pPr>
            <w:r>
              <w:rPr>
                <w:rFonts w:hint="eastAsia" w:hAnsi="宋体" w:cs="宋体"/>
                <w:szCs w:val="21"/>
              </w:rPr>
              <w:t>投标文件的签章</w:t>
            </w:r>
          </w:p>
        </w:tc>
        <w:tc>
          <w:tcPr>
            <w:tcW w:w="6227" w:type="dxa"/>
            <w:vAlign w:val="center"/>
          </w:tcPr>
          <w:p>
            <w:pPr>
              <w:pStyle w:val="10"/>
              <w:adjustRightInd w:val="0"/>
              <w:snapToGrid w:val="0"/>
              <w:rPr>
                <w:rFonts w:hAnsi="宋体" w:cs="宋体"/>
                <w:szCs w:val="21"/>
              </w:rPr>
            </w:pPr>
            <w:r>
              <w:rPr>
                <w:rFonts w:hint="eastAsia" w:hAnsi="宋体" w:cs="宋体"/>
                <w:szCs w:val="21"/>
              </w:rPr>
              <w:t>电子</w:t>
            </w:r>
            <w:r>
              <w:rPr>
                <w:rFonts w:hint="eastAsia" w:hAnsi="宋体" w:cs="宋体"/>
                <w:b/>
                <w:szCs w:val="21"/>
              </w:rPr>
              <w:t xml:space="preserve"> CA签章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8</w:t>
            </w:r>
          </w:p>
        </w:tc>
        <w:tc>
          <w:tcPr>
            <w:tcW w:w="2510" w:type="dxa"/>
            <w:vAlign w:val="center"/>
          </w:tcPr>
          <w:p>
            <w:pPr>
              <w:pStyle w:val="10"/>
              <w:adjustRightInd w:val="0"/>
              <w:snapToGrid w:val="0"/>
              <w:rPr>
                <w:rFonts w:hAnsi="宋体" w:cs="宋体"/>
                <w:spacing w:val="-20"/>
                <w:szCs w:val="21"/>
              </w:rPr>
            </w:pPr>
            <w:r>
              <w:rPr>
                <w:rFonts w:hint="eastAsia" w:hAnsi="宋体" w:cs="宋体"/>
                <w:spacing w:val="-20"/>
                <w:szCs w:val="21"/>
              </w:rPr>
              <w:t>投标文件的编制及形式</w:t>
            </w:r>
          </w:p>
        </w:tc>
        <w:tc>
          <w:tcPr>
            <w:tcW w:w="6227" w:type="dxa"/>
            <w:vAlign w:val="center"/>
          </w:tcPr>
          <w:p>
            <w:pPr>
              <w:pStyle w:val="17"/>
              <w:numPr>
                <w:ilvl w:val="0"/>
                <w:numId w:val="1"/>
              </w:numPr>
              <w:adjustRightInd w:val="0"/>
              <w:snapToGrid w:val="0"/>
              <w:spacing w:after="0"/>
              <w:ind w:left="0" w:leftChars="0" w:firstLine="0"/>
              <w:rPr>
                <w:rFonts w:ascii="宋体" w:hAnsi="宋体"/>
              </w:rPr>
            </w:pPr>
            <w:r>
              <w:rPr>
                <w:rFonts w:hint="eastAsia" w:ascii="宋体" w:hAnsi="宋体"/>
              </w:rPr>
              <w:t>投标文件由【资格文件】、【商务技术文件】和【报价文件】组成。</w:t>
            </w:r>
          </w:p>
          <w:p>
            <w:pPr>
              <w:autoSpaceDE w:val="0"/>
              <w:autoSpaceDN w:val="0"/>
              <w:adjustRightInd w:val="0"/>
              <w:snapToGrid w:val="0"/>
              <w:rPr>
                <w:rFonts w:ascii="宋体" w:hAnsi="宋体" w:cs="宋体"/>
                <w:szCs w:val="21"/>
                <w:lang w:val="zh-CN"/>
              </w:rPr>
            </w:pPr>
            <w:r>
              <w:rPr>
                <w:rFonts w:hint="eastAsia" w:ascii="宋体" w:hAnsi="宋体" w:cs="宋体"/>
                <w:szCs w:val="21"/>
                <w:lang w:val="zh-CN"/>
              </w:rPr>
              <w:t>2、投标文件编制：供应商应先安装“政采云电子交易客户端”，并按照本采购采购文件和“政府采购云平台”的要求，通过“政采云电子交易客户端”编制并加密投标文件。</w:t>
            </w:r>
          </w:p>
          <w:p>
            <w:pPr>
              <w:autoSpaceDE w:val="0"/>
              <w:autoSpaceDN w:val="0"/>
              <w:adjustRightInd w:val="0"/>
              <w:snapToGrid w:val="0"/>
              <w:rPr>
                <w:rFonts w:ascii="宋体" w:hAnsi="宋体" w:cs="宋体"/>
                <w:szCs w:val="21"/>
                <w:lang w:val="zh-CN"/>
              </w:rPr>
            </w:pPr>
            <w:r>
              <w:rPr>
                <w:rFonts w:hint="eastAsia" w:ascii="宋体" w:hAnsi="宋体" w:cs="宋体"/>
                <w:szCs w:val="21"/>
                <w:lang w:val="zh-CN"/>
              </w:rPr>
              <w:t>3、投标文件的形式：☑电子投标文件（包括“电子加密投标文件”和“备份响应投标文件”，在投标文件编制完成后同时生成）；</w:t>
            </w:r>
          </w:p>
          <w:p>
            <w:pPr>
              <w:autoSpaceDE w:val="0"/>
              <w:autoSpaceDN w:val="0"/>
              <w:adjustRightInd w:val="0"/>
              <w:snapToGrid w:val="0"/>
              <w:rPr>
                <w:rFonts w:ascii="宋体" w:hAnsi="宋体" w:cs="宋体"/>
                <w:szCs w:val="21"/>
                <w:lang w:val="zh-CN"/>
              </w:rPr>
            </w:pPr>
            <w:r>
              <w:rPr>
                <w:rFonts w:hint="eastAsia" w:ascii="宋体" w:hAnsi="宋体" w:cs="宋体"/>
                <w:szCs w:val="21"/>
                <w:lang w:val="zh-CN"/>
              </w:rPr>
              <w:t>（1）“电子加密投标文件”是指通过“政采云电子交易客户端”完成投标文件编制后生成并加密的数据电文形式的投标文件。</w:t>
            </w:r>
          </w:p>
          <w:p>
            <w:pPr>
              <w:autoSpaceDE w:val="0"/>
              <w:autoSpaceDN w:val="0"/>
              <w:adjustRightInd w:val="0"/>
              <w:snapToGrid w:val="0"/>
              <w:rPr>
                <w:rFonts w:ascii="宋体" w:hAnsi="宋体" w:cs="宋体"/>
                <w:szCs w:val="21"/>
                <w:lang w:val="zh-CN"/>
              </w:rPr>
            </w:pPr>
            <w:r>
              <w:rPr>
                <w:rFonts w:hint="eastAsia" w:ascii="宋体" w:hAnsi="宋体" w:cs="宋体"/>
                <w:szCs w:val="21"/>
                <w:lang w:val="zh-CN"/>
              </w:rPr>
              <w:t>（2）“备份投标文件”是指与“电子加密投标文件”同时生成的数据电文形式的电子文件（备份标书），其他方式编制的备份投标文件视为无效备份投标文件。</w:t>
            </w:r>
          </w:p>
          <w:p>
            <w:pPr>
              <w:autoSpaceDE w:val="0"/>
              <w:autoSpaceDN w:val="0"/>
              <w:adjustRightInd w:val="0"/>
              <w:snapToGrid w:val="0"/>
              <w:rPr>
                <w:rFonts w:ascii="宋体" w:hAnsi="宋体" w:cs="宋体"/>
                <w:szCs w:val="21"/>
                <w:lang w:val="zh-CN"/>
              </w:rPr>
            </w:pPr>
            <w:r>
              <w:rPr>
                <w:rFonts w:hint="eastAsia" w:ascii="宋体" w:hAnsi="宋体" w:cs="宋体"/>
                <w:szCs w:val="21"/>
                <w:lang w:val="zh-CN"/>
              </w:rPr>
              <w:t>4、投标文件份数：</w:t>
            </w:r>
          </w:p>
          <w:p>
            <w:pPr>
              <w:autoSpaceDE w:val="0"/>
              <w:autoSpaceDN w:val="0"/>
              <w:adjustRightInd w:val="0"/>
              <w:snapToGrid w:val="0"/>
              <w:rPr>
                <w:rFonts w:ascii="宋体" w:hAnsi="宋体" w:cs="宋体"/>
                <w:szCs w:val="21"/>
                <w:lang w:val="zh-CN"/>
              </w:rPr>
            </w:pPr>
            <w:r>
              <w:rPr>
                <w:rFonts w:hint="eastAsia" w:ascii="宋体" w:hAnsi="宋体" w:cs="宋体"/>
                <w:szCs w:val="21"/>
                <w:lang w:val="zh-CN"/>
              </w:rPr>
              <w:t>（1）“电子加密投标文件”：在线上传递交一份。</w:t>
            </w:r>
          </w:p>
          <w:p>
            <w:pPr>
              <w:autoSpaceDE w:val="0"/>
              <w:autoSpaceDN w:val="0"/>
              <w:adjustRightInd w:val="0"/>
              <w:snapToGrid w:val="0"/>
              <w:rPr>
                <w:rFonts w:ascii="宋体" w:hAnsi="宋体" w:cs="宋体"/>
                <w:szCs w:val="21"/>
                <w:lang w:val="zh-CN"/>
              </w:rPr>
            </w:pPr>
            <w:r>
              <w:rPr>
                <w:rFonts w:hint="eastAsia" w:ascii="宋体" w:hAnsi="宋体" w:cs="宋体"/>
                <w:szCs w:val="21"/>
                <w:lang w:val="zh-CN"/>
              </w:rPr>
              <w:t>（2）“备份投标文件”：发送至邮箱：</w:t>
            </w:r>
            <w:r>
              <w:rPr>
                <w:rFonts w:hint="eastAsia" w:ascii="宋体" w:hAnsi="宋体" w:cs="宋体"/>
                <w:b/>
                <w:bCs/>
                <w:kern w:val="0"/>
                <w:szCs w:val="21"/>
                <w:u w:val="single"/>
              </w:rPr>
              <w:t>997008966@qq.com，</w:t>
            </w:r>
            <w:r>
              <w:rPr>
                <w:rFonts w:hint="eastAsia" w:ascii="宋体" w:hAnsi="宋体" w:cs="宋体"/>
                <w:kern w:val="0"/>
                <w:szCs w:val="21"/>
              </w:rPr>
              <w:t>按接收方邮箱收件箱所显示时间为准</w:t>
            </w:r>
            <w:r>
              <w:rPr>
                <w:rFonts w:hint="eastAsia" w:ascii="宋体" w:hAnsi="宋体" w:cs="宋体"/>
                <w:szCs w:val="21"/>
                <w:lang w:val="zh-CN"/>
              </w:rPr>
              <w:t>。</w:t>
            </w:r>
          </w:p>
          <w:p>
            <w:pPr>
              <w:pStyle w:val="10"/>
              <w:adjustRightInd w:val="0"/>
              <w:snapToGrid w:val="0"/>
              <w:rPr>
                <w:rFonts w:hAnsi="宋体" w:cs="宋体"/>
                <w:szCs w:val="21"/>
              </w:rPr>
            </w:pPr>
            <w:r>
              <w:rPr>
                <w:rFonts w:hint="eastAsia" w:hAnsi="宋体" w:cs="宋体"/>
                <w:szCs w:val="21"/>
              </w:rPr>
              <w:t>（3）投标文件编制参照政采云平台供应商项目采购-电子招投标操作指南（网址：</w:t>
            </w:r>
          </w:p>
          <w:p>
            <w:pPr>
              <w:pStyle w:val="10"/>
              <w:adjustRightInd w:val="0"/>
              <w:snapToGrid w:val="0"/>
              <w:rPr>
                <w:rFonts w:hAnsi="宋体" w:cs="宋体"/>
                <w:szCs w:val="21"/>
              </w:rPr>
            </w:pPr>
            <w:r>
              <w:rPr>
                <w:rFonts w:hint="eastAsia" w:hAnsi="宋体" w:cs="宋体"/>
                <w:szCs w:val="21"/>
              </w:rPr>
              <w:t>https://help.zcygov.cn/web/site_2/2018/12-28/2573.html）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9</w:t>
            </w:r>
          </w:p>
        </w:tc>
        <w:tc>
          <w:tcPr>
            <w:tcW w:w="2510" w:type="dxa"/>
            <w:vAlign w:val="center"/>
          </w:tcPr>
          <w:p>
            <w:pPr>
              <w:pStyle w:val="10"/>
              <w:adjustRightInd w:val="0"/>
              <w:snapToGrid w:val="0"/>
              <w:rPr>
                <w:rFonts w:hAnsi="宋体" w:cs="宋体"/>
                <w:szCs w:val="21"/>
              </w:rPr>
            </w:pPr>
            <w:r>
              <w:rPr>
                <w:rFonts w:hint="eastAsia" w:hAnsi="宋体" w:cs="宋体"/>
                <w:szCs w:val="21"/>
              </w:rPr>
              <w:t>投标文件的上传和递交</w:t>
            </w:r>
          </w:p>
        </w:tc>
        <w:tc>
          <w:tcPr>
            <w:tcW w:w="6227" w:type="dxa"/>
            <w:vAlign w:val="center"/>
          </w:tcPr>
          <w:p>
            <w:pPr>
              <w:autoSpaceDE w:val="0"/>
              <w:autoSpaceDN w:val="0"/>
              <w:adjustRightInd w:val="0"/>
              <w:snapToGrid w:val="0"/>
              <w:rPr>
                <w:rFonts w:ascii="宋体" w:hAnsi="宋体" w:cs="宋体"/>
                <w:szCs w:val="21"/>
                <w:lang w:val="zh-CN"/>
              </w:rPr>
            </w:pPr>
            <w:r>
              <w:rPr>
                <w:rFonts w:hint="eastAsia" w:ascii="宋体" w:hAnsi="宋体" w:cs="宋体"/>
                <w:szCs w:val="21"/>
              </w:rPr>
              <w:t>1、</w:t>
            </w:r>
            <w:r>
              <w:rPr>
                <w:rFonts w:hint="eastAsia" w:ascii="宋体" w:hAnsi="宋体" w:cs="宋体"/>
                <w:szCs w:val="21"/>
                <w:lang w:val="zh-CN"/>
              </w:rPr>
              <w:t>投标文件的上传和递交：</w:t>
            </w:r>
          </w:p>
          <w:p>
            <w:pPr>
              <w:autoSpaceDE w:val="0"/>
              <w:autoSpaceDN w:val="0"/>
              <w:adjustRightInd w:val="0"/>
              <w:snapToGrid w:val="0"/>
              <w:rPr>
                <w:rFonts w:ascii="宋体" w:hAnsi="宋体" w:cs="宋体"/>
                <w:szCs w:val="21"/>
                <w:lang w:val="zh-CN"/>
              </w:rPr>
            </w:pPr>
            <w:r>
              <w:rPr>
                <w:rFonts w:hint="eastAsia" w:ascii="宋体" w:hAnsi="宋体" w:cs="宋体"/>
                <w:szCs w:val="21"/>
                <w:lang w:val="zh-CN"/>
              </w:rPr>
              <w:t>（1）“电子加密投标文件”的上传、递交：</w:t>
            </w:r>
          </w:p>
          <w:p>
            <w:pPr>
              <w:autoSpaceDE w:val="0"/>
              <w:autoSpaceDN w:val="0"/>
              <w:adjustRightInd w:val="0"/>
              <w:snapToGrid w:val="0"/>
              <w:rPr>
                <w:rFonts w:ascii="宋体" w:hAnsi="宋体" w:cs="宋体"/>
                <w:szCs w:val="21"/>
                <w:lang w:val="zh-CN"/>
              </w:rPr>
            </w:pPr>
            <w:r>
              <w:rPr>
                <w:rFonts w:hint="eastAsia" w:ascii="宋体" w:hAnsi="宋体" w:cs="宋体"/>
                <w:szCs w:val="21"/>
                <w:lang w:val="zh-CN"/>
              </w:rPr>
              <w:t>供应商应在投标截止时间前将“电子加密投标文件”成功上传递交至“政府采购云平台”，否则无效。</w:t>
            </w:r>
          </w:p>
          <w:p>
            <w:pPr>
              <w:autoSpaceDE w:val="0"/>
              <w:autoSpaceDN w:val="0"/>
              <w:adjustRightInd w:val="0"/>
              <w:snapToGrid w:val="0"/>
              <w:rPr>
                <w:rFonts w:ascii="宋体" w:hAnsi="宋体" w:cs="宋体"/>
                <w:szCs w:val="21"/>
                <w:lang w:val="zh-CN"/>
              </w:rPr>
            </w:pPr>
            <w:r>
              <w:rPr>
                <w:rFonts w:hint="eastAsia" w:ascii="宋体" w:hAnsi="宋体" w:cs="宋体"/>
                <w:szCs w:val="21"/>
                <w:lang w:val="zh-CN"/>
              </w:rPr>
              <w:t>（2）“备份投标文件”的递交：</w:t>
            </w:r>
          </w:p>
          <w:p>
            <w:pPr>
              <w:autoSpaceDE w:val="0"/>
              <w:autoSpaceDN w:val="0"/>
              <w:adjustRightInd w:val="0"/>
              <w:snapToGrid w:val="0"/>
              <w:rPr>
                <w:rFonts w:ascii="宋体" w:hAnsi="宋体" w:cs="宋体"/>
                <w:szCs w:val="21"/>
              </w:rPr>
            </w:pPr>
            <w:r>
              <w:rPr>
                <w:rFonts w:hint="eastAsia" w:ascii="宋体" w:hAnsi="宋体" w:cs="宋体"/>
                <w:szCs w:val="21"/>
                <w:lang w:val="zh-CN"/>
              </w:rPr>
              <w:t>a.供应商在“政府采购云平台”完成“电子加密投标文件”的上传递交后，还可以（以电子邮件的形式）在投标截止时间前发送一份加密压缩文件的 “备份投标文件”（一份）；</w:t>
            </w:r>
            <w:r>
              <w:rPr>
                <w:rFonts w:hint="eastAsia" w:ascii="宋体" w:hAnsi="宋体" w:cs="宋体"/>
                <w:szCs w:val="21"/>
              </w:rPr>
              <w:t xml:space="preserve"> </w:t>
            </w:r>
          </w:p>
          <w:p>
            <w:pPr>
              <w:autoSpaceDE w:val="0"/>
              <w:autoSpaceDN w:val="0"/>
              <w:adjustRightInd w:val="0"/>
              <w:snapToGrid w:val="0"/>
              <w:rPr>
                <w:rFonts w:ascii="宋体" w:hAnsi="宋体" w:cs="宋体"/>
                <w:szCs w:val="21"/>
                <w:lang w:val="zh-CN"/>
              </w:rPr>
            </w:pPr>
            <w:r>
              <w:rPr>
                <w:rFonts w:hint="eastAsia" w:ascii="宋体" w:hAnsi="宋体" w:cs="宋体"/>
                <w:szCs w:val="21"/>
              </w:rPr>
              <w:t>b.“</w:t>
            </w:r>
            <w:r>
              <w:rPr>
                <w:rFonts w:hint="eastAsia" w:ascii="宋体" w:hAnsi="宋体" w:cs="宋体"/>
                <w:szCs w:val="21"/>
                <w:lang w:val="zh-CN"/>
              </w:rPr>
              <w:t>备份投标文件</w:t>
            </w:r>
            <w:r>
              <w:rPr>
                <w:rFonts w:hint="eastAsia" w:ascii="宋体" w:hAnsi="宋体" w:cs="宋体"/>
                <w:szCs w:val="21"/>
              </w:rPr>
              <w:t>”</w:t>
            </w:r>
            <w:r>
              <w:rPr>
                <w:rFonts w:hint="eastAsia" w:ascii="宋体" w:hAnsi="宋体" w:cs="宋体"/>
                <w:szCs w:val="21"/>
                <w:lang w:val="zh-CN"/>
              </w:rPr>
              <w:t>以压缩文件形式加密发送至邮箱</w:t>
            </w:r>
            <w:r>
              <w:rPr>
                <w:rFonts w:hint="eastAsia" w:ascii="宋体" w:hAnsi="宋体" w:cs="宋体"/>
                <w:szCs w:val="21"/>
              </w:rPr>
              <w:t>：</w:t>
            </w:r>
            <w:r>
              <w:rPr>
                <w:rFonts w:hint="eastAsia" w:ascii="宋体" w:hAnsi="宋体" w:cs="宋体"/>
                <w:b/>
                <w:bCs/>
                <w:kern w:val="0"/>
                <w:szCs w:val="21"/>
                <w:u w:val="single"/>
              </w:rPr>
              <w:t>997008966@qq.com，</w:t>
            </w:r>
            <w:r>
              <w:rPr>
                <w:rFonts w:hint="eastAsia" w:ascii="宋体" w:hAnsi="宋体" w:cs="宋体"/>
                <w:kern w:val="0"/>
                <w:szCs w:val="21"/>
              </w:rPr>
              <w:t>压缩文件命名为</w:t>
            </w:r>
            <w:r>
              <w:rPr>
                <w:rFonts w:hint="eastAsia" w:ascii="宋体" w:hAnsi="宋体" w:cs="宋体"/>
                <w:szCs w:val="21"/>
                <w:lang w:val="zh-CN"/>
              </w:rPr>
              <w:t>项目编号和供应商单位简称。接到在线解密通知后</w:t>
            </w:r>
            <w:r>
              <w:rPr>
                <w:rFonts w:hint="eastAsia" w:ascii="宋体" w:hAnsi="宋体" w:cs="宋体"/>
                <w:b/>
                <w:bCs/>
                <w:szCs w:val="21"/>
              </w:rPr>
              <w:t>30分钟</w:t>
            </w:r>
            <w:r>
              <w:rPr>
                <w:rFonts w:hint="eastAsia" w:ascii="宋体" w:hAnsi="宋体" w:cs="宋体"/>
                <w:b/>
                <w:bCs/>
                <w:szCs w:val="21"/>
                <w:lang w:val="zh-CN"/>
              </w:rPr>
              <w:t>内</w:t>
            </w:r>
            <w:r>
              <w:rPr>
                <w:rFonts w:hint="eastAsia" w:ascii="宋体" w:hAnsi="宋体" w:cs="宋体"/>
                <w:szCs w:val="21"/>
                <w:lang w:val="zh-CN"/>
              </w:rPr>
              <w:t>发送压缩文件密码至邮箱：</w:t>
            </w:r>
            <w:r>
              <w:rPr>
                <w:rFonts w:hint="eastAsia" w:ascii="宋体" w:hAnsi="宋体" w:cs="宋体"/>
                <w:b/>
                <w:bCs/>
                <w:kern w:val="0"/>
                <w:szCs w:val="21"/>
                <w:u w:val="single"/>
              </w:rPr>
              <w:t>997008966@qq.com</w:t>
            </w:r>
            <w:r>
              <w:rPr>
                <w:rFonts w:hint="eastAsia" w:ascii="宋体" w:hAnsi="宋体" w:cs="宋体"/>
                <w:szCs w:val="21"/>
                <w:lang w:val="zh-CN"/>
              </w:rPr>
              <w:t>。</w:t>
            </w:r>
          </w:p>
          <w:p>
            <w:pPr>
              <w:autoSpaceDE w:val="0"/>
              <w:autoSpaceDN w:val="0"/>
              <w:adjustRightInd w:val="0"/>
              <w:snapToGrid w:val="0"/>
              <w:rPr>
                <w:rFonts w:ascii="宋体" w:hAnsi="宋体" w:cs="宋体"/>
                <w:szCs w:val="21"/>
                <w:lang w:val="zh-CN"/>
              </w:rPr>
            </w:pPr>
            <w:r>
              <w:rPr>
                <w:rFonts w:hint="eastAsia" w:ascii="宋体" w:hAnsi="宋体" w:cs="宋体"/>
                <w:szCs w:val="21"/>
              </w:rPr>
              <w:t>C.</w:t>
            </w:r>
            <w:r>
              <w:rPr>
                <w:rFonts w:hint="eastAsia" w:ascii="宋体" w:hAnsi="宋体" w:cs="宋体"/>
                <w:szCs w:val="21"/>
                <w:lang w:val="zh-CN"/>
              </w:rPr>
              <w:t>通过“政府采购云平台”成功上传递交的“电子加密投标文件”已按时解密的，“备份投标文件”自动失效。投标截止时间前，供应商仅递交了“备份投标文件”而未将“电子加密投标文件”成功上传至“政府采购云平台”的，投标无效。</w:t>
            </w:r>
          </w:p>
          <w:p>
            <w:pPr>
              <w:adjustRightInd w:val="0"/>
              <w:snapToGrid w:val="0"/>
              <w:rPr>
                <w:rFonts w:ascii="宋体" w:hAnsi="宋体" w:cs="宋体"/>
                <w:szCs w:val="21"/>
              </w:rPr>
            </w:pPr>
            <w:r>
              <w:rPr>
                <w:rFonts w:hint="eastAsia" w:ascii="宋体" w:hAnsi="宋体" w:cs="宋体"/>
                <w:b/>
                <w:szCs w:val="21"/>
              </w:rPr>
              <w:t>2、中标供应商应在中标后提供四份纸质投标文件（电子投标文件纸质版）给采购代理机构。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10</w:t>
            </w:r>
          </w:p>
        </w:tc>
        <w:tc>
          <w:tcPr>
            <w:tcW w:w="2510" w:type="dxa"/>
            <w:vAlign w:val="center"/>
          </w:tcPr>
          <w:p>
            <w:pPr>
              <w:pStyle w:val="10"/>
              <w:adjustRightInd w:val="0"/>
              <w:snapToGrid w:val="0"/>
              <w:rPr>
                <w:rFonts w:hAnsi="宋体" w:cs="宋体"/>
                <w:szCs w:val="21"/>
              </w:rPr>
            </w:pPr>
            <w:r>
              <w:rPr>
                <w:rFonts w:hint="eastAsia" w:hAnsi="宋体" w:cs="宋体"/>
                <w:szCs w:val="21"/>
              </w:rPr>
              <w:t>电子加密投标文件的解密和异常情况处理：</w:t>
            </w:r>
          </w:p>
          <w:p>
            <w:pPr>
              <w:pStyle w:val="10"/>
              <w:adjustRightInd w:val="0"/>
              <w:snapToGrid w:val="0"/>
              <w:rPr>
                <w:rFonts w:hAnsi="宋体" w:cs="宋体"/>
                <w:szCs w:val="21"/>
              </w:rPr>
            </w:pPr>
          </w:p>
        </w:tc>
        <w:tc>
          <w:tcPr>
            <w:tcW w:w="6227" w:type="dxa"/>
            <w:vAlign w:val="center"/>
          </w:tcPr>
          <w:p>
            <w:pPr>
              <w:pStyle w:val="10"/>
              <w:adjustRightInd w:val="0"/>
              <w:snapToGrid w:val="0"/>
              <w:rPr>
                <w:rFonts w:hAnsi="宋体" w:cs="宋体"/>
                <w:szCs w:val="21"/>
              </w:rPr>
            </w:pPr>
            <w:r>
              <w:rPr>
                <w:rFonts w:hint="eastAsia" w:hAnsi="宋体" w:cs="宋体"/>
                <w:szCs w:val="21"/>
              </w:rPr>
              <w:t>1、开标后，采购组织机构将向各投标供应商发出“电子加密投标文件”的解密通知，各投标供应商代表应当在接到解密通知后30分钟内自行完成“电子加密投标文件”的在线解密。</w:t>
            </w:r>
          </w:p>
          <w:p>
            <w:pPr>
              <w:pStyle w:val="10"/>
              <w:adjustRightInd w:val="0"/>
              <w:snapToGrid w:val="0"/>
              <w:rPr>
                <w:rFonts w:hAnsi="宋体" w:cs="宋体"/>
                <w:szCs w:val="21"/>
              </w:rPr>
            </w:pPr>
            <w:r>
              <w:rPr>
                <w:rFonts w:hint="eastAsia" w:hAnsi="宋体" w:cs="宋体"/>
                <w:szCs w:val="21"/>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pStyle w:val="10"/>
              <w:adjustRightInd w:val="0"/>
              <w:snapToGrid w:val="0"/>
              <w:rPr>
                <w:rFonts w:hAnsi="宋体" w:cs="宋体"/>
                <w:szCs w:val="21"/>
              </w:rPr>
            </w:pPr>
            <w:r>
              <w:rPr>
                <w:rFonts w:hint="eastAsia" w:hAnsi="宋体" w:cs="宋体"/>
                <w:szCs w:val="21"/>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11</w:t>
            </w:r>
          </w:p>
        </w:tc>
        <w:tc>
          <w:tcPr>
            <w:tcW w:w="2510" w:type="dxa"/>
            <w:vAlign w:val="center"/>
          </w:tcPr>
          <w:p>
            <w:pPr>
              <w:pStyle w:val="10"/>
              <w:adjustRightInd w:val="0"/>
              <w:snapToGrid w:val="0"/>
              <w:rPr>
                <w:rFonts w:hAnsi="宋体" w:cs="宋体"/>
                <w:spacing w:val="-20"/>
                <w:szCs w:val="21"/>
              </w:rPr>
            </w:pPr>
            <w:r>
              <w:rPr>
                <w:rFonts w:hint="eastAsia" w:hAnsi="宋体" w:cs="宋体"/>
                <w:spacing w:val="-20"/>
                <w:szCs w:val="21"/>
              </w:rPr>
              <w:t>投标文件递交截止时间</w:t>
            </w:r>
          </w:p>
        </w:tc>
        <w:tc>
          <w:tcPr>
            <w:tcW w:w="6227" w:type="dxa"/>
            <w:vAlign w:val="center"/>
          </w:tcPr>
          <w:p>
            <w:pPr>
              <w:pStyle w:val="10"/>
              <w:adjustRightInd w:val="0"/>
              <w:snapToGrid w:val="0"/>
              <w:rPr>
                <w:rFonts w:hAnsi="宋体" w:cs="宋体"/>
                <w:szCs w:val="21"/>
              </w:rPr>
            </w:pPr>
            <w:r>
              <w:rPr>
                <w:rFonts w:hint="eastAsia" w:hAnsi="宋体" w:cs="宋体"/>
                <w:szCs w:val="21"/>
              </w:rPr>
              <w:t>2021年1月18日09点30分（北京时间）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12</w:t>
            </w:r>
          </w:p>
        </w:tc>
        <w:tc>
          <w:tcPr>
            <w:tcW w:w="2510" w:type="dxa"/>
            <w:vAlign w:val="center"/>
          </w:tcPr>
          <w:p>
            <w:pPr>
              <w:pStyle w:val="10"/>
              <w:adjustRightInd w:val="0"/>
              <w:snapToGrid w:val="0"/>
              <w:rPr>
                <w:rFonts w:hAnsi="宋体" w:cs="宋体"/>
                <w:spacing w:val="-20"/>
                <w:szCs w:val="21"/>
              </w:rPr>
            </w:pPr>
            <w:r>
              <w:rPr>
                <w:rFonts w:hint="eastAsia" w:hAnsi="宋体" w:cs="宋体"/>
                <w:spacing w:val="-20"/>
                <w:szCs w:val="21"/>
              </w:rPr>
              <w:t>开标地点</w:t>
            </w:r>
          </w:p>
        </w:tc>
        <w:tc>
          <w:tcPr>
            <w:tcW w:w="6227" w:type="dxa"/>
            <w:vAlign w:val="center"/>
          </w:tcPr>
          <w:p>
            <w:pPr>
              <w:adjustRightInd w:val="0"/>
              <w:snapToGrid w:val="0"/>
              <w:rPr>
                <w:rFonts w:ascii="宋体" w:hAnsi="宋体" w:cs="宋体"/>
                <w:szCs w:val="21"/>
              </w:rPr>
            </w:pPr>
            <w:r>
              <w:rPr>
                <w:rFonts w:hint="eastAsia"/>
                <w:szCs w:val="21"/>
              </w:rPr>
              <w:t>衢州市衢江区公共资源交易中心（振兴东路268号6楼） 号开标厅。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13</w:t>
            </w:r>
          </w:p>
        </w:tc>
        <w:tc>
          <w:tcPr>
            <w:tcW w:w="2510" w:type="dxa"/>
            <w:vAlign w:val="center"/>
          </w:tcPr>
          <w:p>
            <w:pPr>
              <w:pStyle w:val="10"/>
              <w:adjustRightInd w:val="0"/>
              <w:snapToGrid w:val="0"/>
              <w:rPr>
                <w:rFonts w:hAnsi="宋体" w:cs="宋体"/>
                <w:szCs w:val="21"/>
              </w:rPr>
            </w:pPr>
            <w:r>
              <w:rPr>
                <w:rFonts w:hint="eastAsia" w:hAnsi="宋体" w:cs="宋体"/>
                <w:szCs w:val="21"/>
              </w:rPr>
              <w:t>开标时间</w:t>
            </w:r>
          </w:p>
        </w:tc>
        <w:tc>
          <w:tcPr>
            <w:tcW w:w="6227" w:type="dxa"/>
            <w:vAlign w:val="center"/>
          </w:tcPr>
          <w:p>
            <w:pPr>
              <w:pStyle w:val="10"/>
              <w:adjustRightInd w:val="0"/>
              <w:snapToGrid w:val="0"/>
              <w:rPr>
                <w:rFonts w:hAnsi="宋体" w:cs="宋体"/>
                <w:szCs w:val="21"/>
              </w:rPr>
            </w:pPr>
            <w:r>
              <w:rPr>
                <w:rFonts w:hint="eastAsia" w:hAnsi="宋体" w:cs="宋体"/>
                <w:szCs w:val="21"/>
              </w:rPr>
              <w:t xml:space="preserve">2021年1月18日09点30分（北京时间）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14</w:t>
            </w:r>
          </w:p>
        </w:tc>
        <w:tc>
          <w:tcPr>
            <w:tcW w:w="2510" w:type="dxa"/>
            <w:vAlign w:val="center"/>
          </w:tcPr>
          <w:p>
            <w:pPr>
              <w:pStyle w:val="10"/>
              <w:adjustRightInd w:val="0"/>
              <w:snapToGrid w:val="0"/>
              <w:rPr>
                <w:rFonts w:hAnsi="宋体" w:cs="宋体"/>
                <w:szCs w:val="21"/>
              </w:rPr>
            </w:pPr>
            <w:r>
              <w:rPr>
                <w:rFonts w:hint="eastAsia" w:hAnsi="宋体" w:cs="宋体"/>
                <w:szCs w:val="21"/>
              </w:rPr>
              <w:t>签订合同</w:t>
            </w:r>
          </w:p>
        </w:tc>
        <w:tc>
          <w:tcPr>
            <w:tcW w:w="6227" w:type="dxa"/>
            <w:vAlign w:val="center"/>
          </w:tcPr>
          <w:p>
            <w:pPr>
              <w:pStyle w:val="10"/>
              <w:adjustRightInd w:val="0"/>
              <w:snapToGrid w:val="0"/>
              <w:rPr>
                <w:rFonts w:hAnsi="宋体" w:cs="宋体"/>
                <w:szCs w:val="21"/>
              </w:rPr>
            </w:pPr>
            <w:r>
              <w:rPr>
                <w:rFonts w:hint="eastAsia" w:hAnsi="宋体" w:cs="宋体"/>
                <w:szCs w:val="21"/>
              </w:rPr>
              <w:t xml:space="preserve">中标通知书发出后五天内签订合同。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15</w:t>
            </w:r>
          </w:p>
        </w:tc>
        <w:tc>
          <w:tcPr>
            <w:tcW w:w="2510" w:type="dxa"/>
            <w:vAlign w:val="center"/>
          </w:tcPr>
          <w:p>
            <w:pPr>
              <w:pStyle w:val="10"/>
              <w:adjustRightInd w:val="0"/>
              <w:snapToGrid w:val="0"/>
              <w:rPr>
                <w:rFonts w:hAnsi="宋体" w:cs="宋体"/>
                <w:szCs w:val="21"/>
              </w:rPr>
            </w:pPr>
            <w:r>
              <w:rPr>
                <w:rFonts w:hint="eastAsia" w:hAnsi="宋体" w:cs="宋体"/>
                <w:szCs w:val="21"/>
              </w:rPr>
              <w:t>履约保证金交纳</w:t>
            </w:r>
          </w:p>
        </w:tc>
        <w:tc>
          <w:tcPr>
            <w:tcW w:w="6227" w:type="dxa"/>
            <w:vAlign w:val="center"/>
          </w:tcPr>
          <w:p>
            <w:pPr>
              <w:pStyle w:val="10"/>
              <w:adjustRightInd w:val="0"/>
              <w:snapToGrid w:val="0"/>
              <w:rPr>
                <w:rFonts w:hAnsi="宋体" w:cs="宋体"/>
                <w:szCs w:val="21"/>
                <w:lang w:val="zh-CN"/>
              </w:rPr>
            </w:pPr>
            <w:r>
              <w:rPr>
                <w:rFonts w:hint="eastAsia" w:hAnsi="宋体" w:cs="宋体"/>
                <w:szCs w:val="21"/>
              </w:rPr>
              <w:t>合同签订后30天内，中标人通过电汇、转账、银行出具履约保函向采购人交纳中标金额2%的履约保证金。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16</w:t>
            </w:r>
          </w:p>
        </w:tc>
        <w:tc>
          <w:tcPr>
            <w:tcW w:w="2510" w:type="dxa"/>
            <w:vAlign w:val="center"/>
          </w:tcPr>
          <w:p>
            <w:pPr>
              <w:pStyle w:val="10"/>
              <w:adjustRightInd w:val="0"/>
              <w:snapToGrid w:val="0"/>
              <w:rPr>
                <w:rFonts w:hAnsi="宋体" w:cs="宋体"/>
                <w:szCs w:val="21"/>
              </w:rPr>
            </w:pPr>
            <w:r>
              <w:rPr>
                <w:rFonts w:hint="eastAsia" w:hAnsi="宋体" w:cs="宋体"/>
                <w:szCs w:val="21"/>
              </w:rPr>
              <w:t>联合体投标</w:t>
            </w:r>
          </w:p>
        </w:tc>
        <w:tc>
          <w:tcPr>
            <w:tcW w:w="6227" w:type="dxa"/>
            <w:vAlign w:val="center"/>
          </w:tcPr>
          <w:p>
            <w:pPr>
              <w:pStyle w:val="10"/>
              <w:adjustRightInd w:val="0"/>
              <w:snapToGrid w:val="0"/>
              <w:rPr>
                <w:rFonts w:hAnsi="宋体" w:cs="宋体"/>
                <w:szCs w:val="21"/>
              </w:rPr>
            </w:pPr>
            <w:r>
              <w:rPr>
                <w:rFonts w:hint="eastAsia" w:hAnsi="宋体" w:cs="宋体"/>
                <w:szCs w:val="21"/>
              </w:rPr>
              <w:t>本项目谢绝联合体投标。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17</w:t>
            </w:r>
          </w:p>
        </w:tc>
        <w:tc>
          <w:tcPr>
            <w:tcW w:w="2510" w:type="dxa"/>
            <w:vAlign w:val="center"/>
          </w:tcPr>
          <w:p>
            <w:pPr>
              <w:pStyle w:val="10"/>
              <w:adjustRightInd w:val="0"/>
              <w:snapToGrid w:val="0"/>
              <w:rPr>
                <w:rFonts w:hAnsi="宋体" w:cs="宋体"/>
                <w:szCs w:val="21"/>
              </w:rPr>
            </w:pPr>
            <w:r>
              <w:rPr>
                <w:rFonts w:hint="eastAsia" w:hAnsi="宋体" w:cs="宋体"/>
                <w:szCs w:val="21"/>
              </w:rPr>
              <w:t>联系方式</w:t>
            </w:r>
          </w:p>
        </w:tc>
        <w:tc>
          <w:tcPr>
            <w:tcW w:w="6227" w:type="dxa"/>
            <w:vAlign w:val="center"/>
          </w:tcPr>
          <w:p>
            <w:pPr>
              <w:tabs>
                <w:tab w:val="left" w:pos="2006"/>
              </w:tabs>
              <w:adjustRightInd w:val="0"/>
              <w:snapToGrid w:val="0"/>
              <w:rPr>
                <w:rFonts w:ascii="宋体" w:hAnsi="宋体" w:cs="宋体"/>
                <w:szCs w:val="21"/>
              </w:rPr>
            </w:pPr>
            <w:r>
              <w:rPr>
                <w:rFonts w:hint="eastAsia" w:ascii="宋体" w:hAnsi="宋体" w:cs="宋体"/>
                <w:szCs w:val="21"/>
              </w:rPr>
              <w:t>采购人：衢州市衢江区住房和城乡建设局</w:t>
            </w:r>
          </w:p>
          <w:p>
            <w:pPr>
              <w:tabs>
                <w:tab w:val="left" w:pos="2006"/>
              </w:tabs>
              <w:adjustRightInd w:val="0"/>
              <w:snapToGrid w:val="0"/>
              <w:rPr>
                <w:rFonts w:ascii="宋体" w:hAnsi="宋体" w:cs="宋体"/>
                <w:szCs w:val="21"/>
              </w:rPr>
            </w:pPr>
            <w:r>
              <w:rPr>
                <w:rFonts w:hint="eastAsia" w:ascii="宋体" w:hAnsi="宋体" w:cs="宋体"/>
                <w:szCs w:val="21"/>
              </w:rPr>
              <w:t xml:space="preserve">联系人：郑建 </w:t>
            </w:r>
            <w:r>
              <w:rPr>
                <w:rFonts w:hint="eastAsia" w:ascii="宋体" w:hAnsi="宋体" w:cs="宋体"/>
                <w:szCs w:val="21"/>
              </w:rPr>
              <w:tab/>
            </w:r>
            <w:r>
              <w:rPr>
                <w:rFonts w:hint="eastAsia" w:ascii="宋体" w:hAnsi="宋体" w:cs="宋体"/>
                <w:szCs w:val="21"/>
              </w:rPr>
              <w:t>联系电话：0570-2298678</w:t>
            </w:r>
          </w:p>
          <w:p>
            <w:pPr>
              <w:adjustRightInd w:val="0"/>
              <w:snapToGrid w:val="0"/>
              <w:rPr>
                <w:rFonts w:ascii="宋体" w:hAnsi="宋体" w:cs="宋体"/>
                <w:szCs w:val="21"/>
              </w:rPr>
            </w:pPr>
            <w:r>
              <w:rPr>
                <w:rFonts w:hint="eastAsia" w:ascii="宋体" w:hAnsi="宋体" w:cs="宋体"/>
                <w:szCs w:val="21"/>
              </w:rPr>
              <w:t>采购代理机构名称： 浙江中际工程项目管理有限公司</w:t>
            </w:r>
          </w:p>
          <w:p>
            <w:pPr>
              <w:adjustRightInd w:val="0"/>
              <w:snapToGrid w:val="0"/>
              <w:rPr>
                <w:rFonts w:ascii="宋体" w:hAnsi="宋体" w:cs="宋体"/>
                <w:szCs w:val="21"/>
              </w:rPr>
            </w:pPr>
            <w:r>
              <w:rPr>
                <w:rFonts w:hint="eastAsia" w:ascii="宋体" w:hAnsi="宋体" w:cs="宋体"/>
                <w:szCs w:val="21"/>
              </w:rPr>
              <w:t>项目联系人：夏珍，杨建英</w:t>
            </w:r>
          </w:p>
          <w:p>
            <w:pPr>
              <w:adjustRightInd w:val="0"/>
              <w:snapToGrid w:val="0"/>
              <w:rPr>
                <w:rFonts w:ascii="宋体" w:hAnsi="宋体" w:cs="宋体"/>
                <w:szCs w:val="21"/>
              </w:rPr>
            </w:pPr>
            <w:r>
              <w:rPr>
                <w:rFonts w:hint="eastAsia" w:ascii="宋体" w:hAnsi="宋体" w:cs="宋体"/>
                <w:szCs w:val="21"/>
              </w:rPr>
              <w:t>联系电话：15057094156，0570-3890149</w:t>
            </w:r>
          </w:p>
          <w:p>
            <w:pPr>
              <w:adjustRightInd w:val="0"/>
              <w:snapToGrid w:val="0"/>
              <w:rPr>
                <w:rFonts w:ascii="宋体" w:hAnsi="宋体" w:cs="宋体"/>
                <w:szCs w:val="21"/>
              </w:rPr>
            </w:pPr>
            <w:r>
              <w:rPr>
                <w:rFonts w:hint="eastAsia" w:ascii="宋体" w:hAnsi="宋体" w:cs="宋体"/>
                <w:szCs w:val="21"/>
              </w:rPr>
              <w:t>传真：0570-3890149</w:t>
            </w:r>
          </w:p>
          <w:p>
            <w:pPr>
              <w:tabs>
                <w:tab w:val="left" w:pos="0"/>
              </w:tabs>
              <w:autoSpaceDE w:val="0"/>
              <w:autoSpaceDN w:val="0"/>
              <w:adjustRightInd w:val="0"/>
              <w:snapToGrid w:val="0"/>
              <w:rPr>
                <w:rFonts w:ascii="宋体" w:hAnsi="宋体" w:cs="宋体"/>
                <w:szCs w:val="21"/>
              </w:rPr>
            </w:pPr>
            <w:r>
              <w:rPr>
                <w:rFonts w:hint="eastAsia" w:ascii="宋体" w:hAnsi="宋体" w:cs="宋体"/>
                <w:szCs w:val="21"/>
              </w:rPr>
              <w:t xml:space="preserve">地点：衢州市柯城区九华北大道509号合屹大厦2#楼1#门10楼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18</w:t>
            </w:r>
          </w:p>
        </w:tc>
        <w:tc>
          <w:tcPr>
            <w:tcW w:w="2510" w:type="dxa"/>
            <w:vAlign w:val="center"/>
          </w:tcPr>
          <w:p>
            <w:pPr>
              <w:pStyle w:val="10"/>
              <w:adjustRightInd w:val="0"/>
              <w:snapToGrid w:val="0"/>
              <w:rPr>
                <w:rFonts w:hAnsi="宋体" w:cs="宋体"/>
                <w:szCs w:val="21"/>
              </w:rPr>
            </w:pPr>
            <w:r>
              <w:rPr>
                <w:rFonts w:hint="eastAsia" w:hAnsi="宋体" w:cs="宋体"/>
                <w:szCs w:val="21"/>
              </w:rPr>
              <w:t>信用查询</w:t>
            </w:r>
          </w:p>
        </w:tc>
        <w:tc>
          <w:tcPr>
            <w:tcW w:w="6227" w:type="dxa"/>
            <w:vAlign w:val="center"/>
          </w:tcPr>
          <w:p>
            <w:pPr>
              <w:pStyle w:val="10"/>
              <w:adjustRightInd w:val="0"/>
              <w:snapToGrid w:val="0"/>
              <w:rPr>
                <w:rFonts w:hAnsi="宋体" w:cs="宋体"/>
                <w:szCs w:val="21"/>
              </w:rPr>
            </w:pPr>
            <w:r>
              <w:rPr>
                <w:rFonts w:hint="eastAsia" w:hAnsi="宋体" w:cs="宋体"/>
                <w:szCs w:val="21"/>
              </w:rPr>
              <w:t>根据《关于在政府采购活动中查询及使用信用记录有关问题的通知》财库[2016]125号的规定：</w:t>
            </w:r>
          </w:p>
          <w:p>
            <w:pPr>
              <w:pStyle w:val="10"/>
              <w:adjustRightInd w:val="0"/>
              <w:snapToGrid w:val="0"/>
              <w:rPr>
                <w:rFonts w:hAnsi="宋体" w:cs="宋体"/>
                <w:szCs w:val="21"/>
              </w:rPr>
            </w:pPr>
            <w:r>
              <w:rPr>
                <w:rFonts w:hint="eastAsia" w:hAnsi="宋体" w:cs="宋体"/>
                <w:szCs w:val="21"/>
              </w:rPr>
              <w:t>1）采购人或采购代理机构将对本项目供应商的信用记录进行查询：查询渠道为信用中国网站（www.creditchina.gov.cn）、中国政府采购网（www.ccgp.gov.cn）。</w:t>
            </w:r>
          </w:p>
          <w:p>
            <w:pPr>
              <w:pStyle w:val="10"/>
              <w:adjustRightInd w:val="0"/>
              <w:snapToGrid w:val="0"/>
              <w:rPr>
                <w:rFonts w:hAnsi="宋体" w:cs="宋体"/>
                <w:szCs w:val="21"/>
              </w:rPr>
            </w:pPr>
            <w:r>
              <w:rPr>
                <w:rFonts w:hint="eastAsia" w:hAnsi="宋体" w:cs="宋体"/>
                <w:szCs w:val="21"/>
              </w:rPr>
              <w:t>2）截止时点：提交投标文件（响应文件）截止时间前3年内。</w:t>
            </w:r>
          </w:p>
          <w:p>
            <w:pPr>
              <w:pStyle w:val="10"/>
              <w:adjustRightInd w:val="0"/>
              <w:snapToGrid w:val="0"/>
              <w:rPr>
                <w:rFonts w:hAnsi="宋体" w:cs="宋体"/>
                <w:szCs w:val="21"/>
              </w:rPr>
            </w:pPr>
            <w:r>
              <w:rPr>
                <w:rFonts w:hint="eastAsia" w:hAnsi="宋体" w:cs="宋体"/>
                <w:szCs w:val="21"/>
              </w:rPr>
              <w:t>3）查询记录和证据的留存：信用信息查询记录和证据以网页截图等方式留存。</w:t>
            </w:r>
          </w:p>
          <w:p>
            <w:pPr>
              <w:pStyle w:val="10"/>
              <w:adjustRightInd w:val="0"/>
              <w:snapToGrid w:val="0"/>
              <w:rPr>
                <w:rFonts w:hAnsi="宋体" w:cs="宋体"/>
                <w:szCs w:val="21"/>
              </w:rPr>
            </w:pPr>
            <w:r>
              <w:rPr>
                <w:rFonts w:hint="eastAsia" w:hAnsi="宋体" w:cs="宋体"/>
                <w:szCs w:val="21"/>
              </w:rPr>
              <w:t>4）使用规则：被列入失信被执行人、重大税收违法案件当事人名单、政府采购严重违法失信行为记录名单及其它不符合《中华人民共和国政府采购法》第二十二条规定条件的，其投标将被拒绝。</w:t>
            </w:r>
          </w:p>
          <w:p>
            <w:pPr>
              <w:pStyle w:val="10"/>
              <w:adjustRightInd w:val="0"/>
              <w:snapToGrid w:val="0"/>
              <w:rPr>
                <w:rFonts w:hAnsi="宋体" w:cs="宋体"/>
                <w:szCs w:val="21"/>
              </w:rPr>
            </w:pPr>
            <w:r>
              <w:rPr>
                <w:rFonts w:hint="eastAsia" w:hAnsi="宋体" w:cs="宋体"/>
                <w:szCs w:val="21"/>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vAlign w:val="center"/>
          </w:tcPr>
          <w:p>
            <w:pPr>
              <w:pStyle w:val="10"/>
              <w:adjustRightInd w:val="0"/>
              <w:snapToGrid w:val="0"/>
              <w:jc w:val="center"/>
              <w:rPr>
                <w:rFonts w:hAnsi="宋体" w:cs="宋体"/>
                <w:szCs w:val="21"/>
              </w:rPr>
            </w:pPr>
            <w:r>
              <w:rPr>
                <w:rFonts w:hint="eastAsia" w:hAnsi="宋体" w:cs="宋体"/>
                <w:szCs w:val="21"/>
              </w:rPr>
              <w:t>19</w:t>
            </w:r>
          </w:p>
        </w:tc>
        <w:tc>
          <w:tcPr>
            <w:tcW w:w="2510" w:type="dxa"/>
            <w:vAlign w:val="center"/>
          </w:tcPr>
          <w:p>
            <w:pPr>
              <w:pStyle w:val="10"/>
              <w:adjustRightInd w:val="0"/>
              <w:snapToGrid w:val="0"/>
              <w:rPr>
                <w:rFonts w:hAnsi="宋体" w:cs="宋体"/>
                <w:szCs w:val="21"/>
              </w:rPr>
            </w:pPr>
            <w:r>
              <w:rPr>
                <w:rFonts w:hint="eastAsia" w:hAnsi="宋体" w:cs="宋体"/>
                <w:szCs w:val="21"/>
              </w:rPr>
              <w:t>采购公告，更正公告，中标公示发布网址</w:t>
            </w:r>
          </w:p>
        </w:tc>
        <w:tc>
          <w:tcPr>
            <w:tcW w:w="6227" w:type="dxa"/>
            <w:vAlign w:val="center"/>
          </w:tcPr>
          <w:p>
            <w:pPr>
              <w:pStyle w:val="10"/>
              <w:adjustRightInd w:val="0"/>
              <w:snapToGrid w:val="0"/>
              <w:rPr>
                <w:rFonts w:hAnsi="宋体" w:cs="宋体"/>
                <w:szCs w:val="21"/>
              </w:rPr>
            </w:pPr>
            <w:r>
              <w:rPr>
                <w:rFonts w:hint="eastAsia" w:hAnsi="宋体" w:cs="宋体"/>
                <w:szCs w:val="21"/>
              </w:rPr>
              <w:t>浙江政府采购网（</w:t>
            </w:r>
            <w:r>
              <w:fldChar w:fldCharType="begin"/>
            </w:r>
            <w:r>
              <w:instrText xml:space="preserve"> HYPERLINK "http://www.zjzfcg.gov.cn" </w:instrText>
            </w:r>
            <w:r>
              <w:fldChar w:fldCharType="separate"/>
            </w:r>
            <w:r>
              <w:rPr>
                <w:rFonts w:hint="eastAsia" w:hAnsi="宋体" w:cs="宋体"/>
                <w:szCs w:val="21"/>
              </w:rPr>
              <w:t>http://www.zjzf</w:t>
            </w:r>
            <w:bookmarkStart w:id="14" w:name="_Hlt165275728"/>
            <w:bookmarkStart w:id="15" w:name="_Hlt165275729"/>
            <w:r>
              <w:rPr>
                <w:rFonts w:hint="eastAsia" w:hAnsi="宋体" w:cs="宋体"/>
                <w:szCs w:val="21"/>
              </w:rPr>
              <w:t>c</w:t>
            </w:r>
            <w:bookmarkEnd w:id="14"/>
            <w:bookmarkEnd w:id="15"/>
            <w:r>
              <w:rPr>
                <w:rFonts w:hint="eastAsia" w:hAnsi="宋体" w:cs="宋体"/>
                <w:szCs w:val="21"/>
              </w:rPr>
              <w:t>g</w:t>
            </w:r>
            <w:bookmarkStart w:id="16" w:name="_Hlt165275712"/>
            <w:bookmarkStart w:id="17" w:name="_Hlt165275713"/>
            <w:r>
              <w:rPr>
                <w:rFonts w:hint="eastAsia" w:hAnsi="宋体" w:cs="宋体"/>
                <w:szCs w:val="21"/>
              </w:rPr>
              <w:t>.</w:t>
            </w:r>
            <w:bookmarkEnd w:id="16"/>
            <w:bookmarkEnd w:id="17"/>
            <w:r>
              <w:rPr>
                <w:rFonts w:hint="eastAsia" w:hAnsi="宋体" w:cs="宋体"/>
                <w:szCs w:val="21"/>
              </w:rPr>
              <w:t>gov.cn</w:t>
            </w:r>
            <w:r>
              <w:rPr>
                <w:rFonts w:hint="eastAsia" w:hAnsi="宋体" w:cs="宋体"/>
                <w:szCs w:val="21"/>
              </w:rPr>
              <w:fldChar w:fldCharType="end"/>
            </w:r>
            <w:r>
              <w:rPr>
                <w:rFonts w:hint="eastAsia" w:hAnsi="宋体" w:cs="宋体"/>
                <w:szCs w:val="21"/>
              </w:rPr>
              <w:t>）</w:t>
            </w:r>
          </w:p>
        </w:tc>
      </w:tr>
    </w:tbl>
    <w:p>
      <w:pPr>
        <w:spacing w:line="360" w:lineRule="auto"/>
        <w:jc w:val="center"/>
        <w:rPr>
          <w:b/>
          <w:szCs w:val="21"/>
        </w:rPr>
      </w:pPr>
    </w:p>
    <w:p>
      <w:pPr>
        <w:pStyle w:val="4"/>
      </w:pPr>
      <w:bookmarkStart w:id="18" w:name="_Toc356371433"/>
      <w:bookmarkStart w:id="19" w:name="_Toc16402"/>
      <w:bookmarkStart w:id="20" w:name="_Toc356371435"/>
      <w:bookmarkStart w:id="21" w:name="_Toc17416"/>
      <w:r>
        <w:t>二</w:t>
      </w:r>
      <w:r>
        <w:rPr>
          <w:rFonts w:hint="eastAsia"/>
        </w:rPr>
        <w:t>、</w:t>
      </w:r>
      <w:r>
        <w:t>投标须知</w:t>
      </w:r>
      <w:bookmarkEnd w:id="18"/>
      <w:bookmarkEnd w:id="19"/>
    </w:p>
    <w:p>
      <w:pPr>
        <w:pStyle w:val="5"/>
      </w:pPr>
      <w:bookmarkStart w:id="22" w:name="_Toc46418809"/>
      <w:r>
        <w:rPr>
          <w:rFonts w:hint="eastAsia"/>
        </w:rPr>
        <w:t>（一）</w:t>
      </w:r>
      <w:r>
        <w:t>总则</w:t>
      </w:r>
      <w:bookmarkEnd w:id="22"/>
    </w:p>
    <w:p>
      <w:pPr>
        <w:numPr>
          <w:ilvl w:val="1"/>
          <w:numId w:val="2"/>
        </w:numPr>
        <w:snapToGrid w:val="0"/>
        <w:spacing w:line="360" w:lineRule="auto"/>
        <w:ind w:firstLine="420" w:firstLineChars="200"/>
        <w:rPr>
          <w:rFonts w:ascii="宋体" w:hAnsi="宋体" w:cs="宋体"/>
          <w:b/>
          <w:szCs w:val="21"/>
        </w:rPr>
      </w:pPr>
      <w:r>
        <w:rPr>
          <w:rFonts w:hint="eastAsia" w:ascii="宋体" w:hAnsi="宋体" w:cs="宋体"/>
          <w:szCs w:val="21"/>
        </w:rPr>
        <w:t>适用范围</w:t>
      </w:r>
    </w:p>
    <w:p>
      <w:pPr>
        <w:tabs>
          <w:tab w:val="left" w:pos="0"/>
          <w:tab w:val="left" w:pos="900"/>
          <w:tab w:val="left" w:pos="7020"/>
          <w:tab w:val="left" w:pos="8460"/>
        </w:tabs>
        <w:snapToGrid w:val="0"/>
        <w:spacing w:line="360" w:lineRule="auto"/>
        <w:ind w:firstLine="420" w:firstLineChars="200"/>
        <w:rPr>
          <w:rFonts w:ascii="宋体" w:hAnsi="宋体" w:cs="宋体"/>
          <w:szCs w:val="21"/>
        </w:rPr>
      </w:pPr>
      <w:r>
        <w:rPr>
          <w:rFonts w:hint="eastAsia" w:ascii="宋体" w:hAnsi="宋体" w:cs="宋体"/>
          <w:szCs w:val="21"/>
        </w:rPr>
        <w:t>本招标文件仅适用于本次招标采购项目的招标、投标、评标、定标、验收、合同履约、付款等行为。</w:t>
      </w:r>
    </w:p>
    <w:p>
      <w:pPr>
        <w:numPr>
          <w:ilvl w:val="1"/>
          <w:numId w:val="2"/>
        </w:numPr>
        <w:snapToGrid w:val="0"/>
        <w:spacing w:line="360" w:lineRule="auto"/>
        <w:ind w:firstLine="420" w:firstLineChars="200"/>
        <w:rPr>
          <w:rFonts w:ascii="宋体" w:hAnsi="宋体" w:cs="宋体"/>
          <w:szCs w:val="21"/>
        </w:rPr>
      </w:pPr>
      <w:r>
        <w:rPr>
          <w:rFonts w:hint="eastAsia" w:ascii="宋体" w:hAnsi="宋体" w:cs="宋体"/>
          <w:szCs w:val="21"/>
        </w:rPr>
        <w:t>定义</w:t>
      </w:r>
    </w:p>
    <w:p>
      <w:pPr>
        <w:numPr>
          <w:ilvl w:val="2"/>
          <w:numId w:val="2"/>
        </w:numPr>
        <w:snapToGrid w:val="0"/>
        <w:spacing w:line="360" w:lineRule="auto"/>
        <w:ind w:firstLine="420" w:firstLineChars="200"/>
        <w:rPr>
          <w:rFonts w:ascii="宋体" w:hAnsi="宋体" w:cs="宋体"/>
          <w:szCs w:val="21"/>
        </w:rPr>
      </w:pPr>
      <w:r>
        <w:rPr>
          <w:rFonts w:hint="eastAsia" w:ascii="宋体" w:hAnsi="宋体" w:cs="宋体"/>
          <w:szCs w:val="21"/>
        </w:rPr>
        <w:t>“采购代理机构”系指组织本次招标的浙江中际工程项目管理有限公司。</w:t>
      </w:r>
    </w:p>
    <w:p>
      <w:pPr>
        <w:numPr>
          <w:ilvl w:val="2"/>
          <w:numId w:val="2"/>
        </w:numPr>
        <w:snapToGrid w:val="0"/>
        <w:spacing w:line="360" w:lineRule="auto"/>
        <w:ind w:firstLine="420" w:firstLineChars="200"/>
        <w:rPr>
          <w:rFonts w:ascii="宋体" w:hAnsi="宋体" w:cs="宋体"/>
          <w:szCs w:val="21"/>
        </w:rPr>
      </w:pPr>
      <w:r>
        <w:rPr>
          <w:rFonts w:hint="eastAsia" w:ascii="宋体" w:hAnsi="宋体" w:cs="宋体"/>
          <w:szCs w:val="21"/>
        </w:rPr>
        <w:t xml:space="preserve">“采购人”系指提出本次采购的委托单位：衢州市衢江区住房和城乡建设局。 </w:t>
      </w:r>
    </w:p>
    <w:p>
      <w:pPr>
        <w:numPr>
          <w:ilvl w:val="2"/>
          <w:numId w:val="2"/>
        </w:numPr>
        <w:snapToGrid w:val="0"/>
        <w:spacing w:line="360" w:lineRule="auto"/>
        <w:ind w:firstLine="420" w:firstLineChars="200"/>
        <w:rPr>
          <w:rFonts w:ascii="宋体" w:hAnsi="宋体" w:cs="宋体"/>
          <w:szCs w:val="21"/>
        </w:rPr>
      </w:pPr>
      <w:r>
        <w:rPr>
          <w:rFonts w:hint="eastAsia" w:ascii="宋体" w:hAnsi="宋体" w:cs="宋体"/>
          <w:szCs w:val="21"/>
        </w:rPr>
        <w:t>“投标人”系指向招标方提交投标文件的供应商。</w:t>
      </w:r>
    </w:p>
    <w:p>
      <w:pPr>
        <w:numPr>
          <w:ilvl w:val="2"/>
          <w:numId w:val="2"/>
        </w:numPr>
        <w:snapToGrid w:val="0"/>
        <w:spacing w:line="360" w:lineRule="auto"/>
        <w:ind w:firstLine="420" w:firstLineChars="200"/>
        <w:rPr>
          <w:rFonts w:ascii="宋体" w:hAnsi="宋体" w:cs="宋体"/>
          <w:szCs w:val="21"/>
        </w:rPr>
      </w:pPr>
      <w:r>
        <w:rPr>
          <w:rFonts w:hint="eastAsia" w:ascii="宋体" w:hAnsi="宋体" w:cs="宋体"/>
          <w:szCs w:val="21"/>
        </w:rPr>
        <w:t>“服务”系指根据本招标文件规定，中标人必须承担的各项事宜。</w:t>
      </w:r>
    </w:p>
    <w:p>
      <w:pPr>
        <w:numPr>
          <w:ilvl w:val="2"/>
          <w:numId w:val="2"/>
        </w:numPr>
        <w:snapToGrid w:val="0"/>
        <w:spacing w:line="360" w:lineRule="auto"/>
        <w:ind w:firstLine="420" w:firstLineChars="200"/>
        <w:rPr>
          <w:rFonts w:ascii="宋体" w:hAnsi="宋体" w:cs="宋体"/>
          <w:szCs w:val="21"/>
        </w:rPr>
      </w:pPr>
      <w:r>
        <w:rPr>
          <w:rFonts w:hint="eastAsia" w:ascii="宋体" w:hAnsi="宋体" w:cs="宋体"/>
          <w:szCs w:val="21"/>
        </w:rPr>
        <w:t>“▲”系指实质性要求条款。</w:t>
      </w:r>
    </w:p>
    <w:p>
      <w:pPr>
        <w:numPr>
          <w:ilvl w:val="1"/>
          <w:numId w:val="2"/>
        </w:numPr>
        <w:snapToGrid w:val="0"/>
        <w:spacing w:line="360" w:lineRule="auto"/>
        <w:ind w:firstLine="420" w:firstLineChars="200"/>
        <w:rPr>
          <w:rFonts w:ascii="宋体" w:hAnsi="宋体" w:cs="宋体"/>
          <w:szCs w:val="21"/>
        </w:rPr>
      </w:pPr>
      <w:r>
        <w:rPr>
          <w:rFonts w:hint="eastAsia" w:ascii="宋体" w:hAnsi="宋体" w:cs="宋体"/>
          <w:szCs w:val="21"/>
        </w:rPr>
        <w:t>投标费用</w:t>
      </w:r>
    </w:p>
    <w:p>
      <w:pPr>
        <w:tabs>
          <w:tab w:val="left" w:pos="0"/>
          <w:tab w:val="left" w:pos="900"/>
          <w:tab w:val="left" w:pos="7020"/>
          <w:tab w:val="left" w:pos="8460"/>
        </w:tabs>
        <w:snapToGrid w:val="0"/>
        <w:spacing w:line="360" w:lineRule="auto"/>
        <w:ind w:firstLine="420" w:firstLineChars="200"/>
        <w:rPr>
          <w:rFonts w:ascii="宋体" w:hAnsi="宋体" w:cs="宋体"/>
          <w:szCs w:val="21"/>
        </w:rPr>
      </w:pPr>
      <w:r>
        <w:rPr>
          <w:rFonts w:hint="eastAsia" w:ascii="宋体" w:hAnsi="宋体" w:cs="宋体"/>
          <w:szCs w:val="21"/>
        </w:rPr>
        <w:t>不论投标结果如何，投标人均应自行承担所有与投标有关的全部费用。</w:t>
      </w:r>
    </w:p>
    <w:p>
      <w:pPr>
        <w:numPr>
          <w:ilvl w:val="1"/>
          <w:numId w:val="2"/>
        </w:numPr>
        <w:snapToGrid w:val="0"/>
        <w:spacing w:line="360" w:lineRule="auto"/>
        <w:ind w:firstLine="420" w:firstLineChars="200"/>
        <w:rPr>
          <w:rFonts w:ascii="宋体" w:hAnsi="宋体" w:cs="宋体"/>
          <w:szCs w:val="21"/>
        </w:rPr>
      </w:pPr>
      <w:r>
        <w:rPr>
          <w:rFonts w:hint="eastAsia" w:ascii="宋体" w:hAnsi="宋体" w:cs="宋体"/>
          <w:szCs w:val="21"/>
        </w:rPr>
        <w:t>招标方式</w:t>
      </w:r>
    </w:p>
    <w:p>
      <w:pPr>
        <w:snapToGrid w:val="0"/>
        <w:spacing w:line="360" w:lineRule="auto"/>
        <w:ind w:firstLine="420" w:firstLineChars="200"/>
        <w:jc w:val="left"/>
        <w:rPr>
          <w:rFonts w:ascii="宋体" w:hAnsi="宋体" w:cs="宋体"/>
          <w:szCs w:val="21"/>
        </w:rPr>
      </w:pPr>
      <w:r>
        <w:rPr>
          <w:rFonts w:hint="eastAsia" w:ascii="宋体" w:hAnsi="宋体" w:cs="宋体"/>
          <w:szCs w:val="21"/>
        </w:rPr>
        <w:t>本次招标采用公开招标方式进行。</w:t>
      </w:r>
    </w:p>
    <w:p>
      <w:pPr>
        <w:numPr>
          <w:ilvl w:val="1"/>
          <w:numId w:val="2"/>
        </w:numPr>
        <w:snapToGrid w:val="0"/>
        <w:spacing w:line="360" w:lineRule="auto"/>
        <w:ind w:firstLine="420" w:firstLineChars="200"/>
        <w:rPr>
          <w:rFonts w:ascii="宋体" w:hAnsi="宋体" w:cs="宋体"/>
          <w:szCs w:val="21"/>
        </w:rPr>
      </w:pPr>
      <w:r>
        <w:rPr>
          <w:rFonts w:hint="eastAsia" w:ascii="宋体" w:hAnsi="宋体" w:cs="宋体"/>
          <w:szCs w:val="21"/>
        </w:rPr>
        <w:t>投标委托</w:t>
      </w:r>
    </w:p>
    <w:p>
      <w:pPr>
        <w:snapToGrid w:val="0"/>
        <w:spacing w:line="360" w:lineRule="auto"/>
        <w:ind w:firstLine="420" w:firstLineChars="200"/>
        <w:jc w:val="left"/>
        <w:rPr>
          <w:rFonts w:ascii="宋体" w:hAnsi="宋体" w:cs="宋体"/>
          <w:szCs w:val="21"/>
        </w:rPr>
      </w:pPr>
      <w:r>
        <w:rPr>
          <w:rFonts w:hint="eastAsia" w:ascii="宋体" w:hAnsi="宋体" w:cs="宋体"/>
          <w:szCs w:val="21"/>
        </w:rPr>
        <w:t>投标人代表须具有身份证明文件。</w:t>
      </w:r>
    </w:p>
    <w:p>
      <w:pPr>
        <w:numPr>
          <w:ilvl w:val="1"/>
          <w:numId w:val="2"/>
        </w:numPr>
        <w:snapToGrid w:val="0"/>
        <w:spacing w:line="360" w:lineRule="auto"/>
        <w:ind w:firstLine="420" w:firstLineChars="200"/>
        <w:rPr>
          <w:rFonts w:ascii="宋体" w:hAnsi="宋体" w:cs="宋体"/>
          <w:szCs w:val="21"/>
        </w:rPr>
      </w:pPr>
      <w:r>
        <w:rPr>
          <w:rFonts w:hint="eastAsia" w:ascii="宋体" w:hAnsi="宋体" w:cs="宋体"/>
          <w:szCs w:val="21"/>
        </w:rPr>
        <w:t>联合体投标</w:t>
      </w:r>
    </w:p>
    <w:p>
      <w:pPr>
        <w:snapToGrid w:val="0"/>
        <w:spacing w:line="360" w:lineRule="auto"/>
        <w:ind w:firstLine="420" w:firstLineChars="200"/>
        <w:jc w:val="left"/>
        <w:rPr>
          <w:rFonts w:ascii="宋体" w:hAnsi="宋体" w:cs="宋体"/>
          <w:szCs w:val="21"/>
        </w:rPr>
      </w:pPr>
      <w:r>
        <w:rPr>
          <w:rFonts w:hint="eastAsia" w:ascii="宋体" w:hAnsi="宋体" w:cs="宋体"/>
          <w:szCs w:val="21"/>
        </w:rPr>
        <w:t>本项目不接受联合体投标。</w:t>
      </w:r>
    </w:p>
    <w:p>
      <w:pPr>
        <w:numPr>
          <w:ilvl w:val="1"/>
          <w:numId w:val="2"/>
        </w:numPr>
        <w:snapToGrid w:val="0"/>
        <w:spacing w:line="360" w:lineRule="auto"/>
        <w:ind w:firstLine="420" w:firstLineChars="200"/>
        <w:rPr>
          <w:rFonts w:ascii="宋体" w:hAnsi="宋体" w:cs="宋体"/>
          <w:szCs w:val="21"/>
        </w:rPr>
      </w:pPr>
      <w:r>
        <w:rPr>
          <w:rFonts w:hint="eastAsia" w:ascii="宋体" w:hAnsi="宋体" w:cs="宋体"/>
          <w:szCs w:val="21"/>
        </w:rPr>
        <w:t>转包与分包</w:t>
      </w:r>
    </w:p>
    <w:p>
      <w:pPr>
        <w:snapToGrid w:val="0"/>
        <w:spacing w:line="360" w:lineRule="auto"/>
        <w:ind w:firstLine="420" w:firstLineChars="200"/>
        <w:rPr>
          <w:rFonts w:ascii="宋体" w:hAnsi="宋体" w:cs="宋体"/>
          <w:kern w:val="0"/>
          <w:szCs w:val="21"/>
        </w:rPr>
      </w:pPr>
      <w:r>
        <w:rPr>
          <w:rFonts w:hint="eastAsia" w:ascii="宋体" w:hAnsi="宋体" w:cs="宋体"/>
          <w:kern w:val="0"/>
          <w:szCs w:val="21"/>
        </w:rPr>
        <w:t>本项目不允许转包。分包须经采购人书面同意后方可实施。</w:t>
      </w:r>
    </w:p>
    <w:p>
      <w:pPr>
        <w:numPr>
          <w:ilvl w:val="1"/>
          <w:numId w:val="2"/>
        </w:numPr>
        <w:snapToGrid w:val="0"/>
        <w:spacing w:line="360" w:lineRule="auto"/>
        <w:ind w:firstLine="420" w:firstLineChars="200"/>
        <w:rPr>
          <w:rFonts w:ascii="宋体" w:hAnsi="宋体" w:cs="宋体"/>
          <w:szCs w:val="21"/>
        </w:rPr>
      </w:pPr>
      <w:r>
        <w:rPr>
          <w:rFonts w:hint="eastAsia" w:ascii="宋体" w:hAnsi="宋体" w:cs="宋体"/>
          <w:szCs w:val="21"/>
        </w:rPr>
        <w:t>特别说明：</w:t>
      </w:r>
    </w:p>
    <w:p>
      <w:pPr>
        <w:spacing w:line="360" w:lineRule="auto"/>
        <w:ind w:firstLine="420" w:firstLineChars="200"/>
        <w:rPr>
          <w:rFonts w:ascii="宋体" w:hAnsi="宋体" w:cs="宋体"/>
          <w:szCs w:val="21"/>
        </w:rPr>
      </w:pPr>
      <w:r>
        <w:rPr>
          <w:rFonts w:hint="eastAsia" w:ascii="宋体" w:hAnsi="宋体" w:cs="宋体"/>
          <w:szCs w:val="21"/>
        </w:rPr>
        <w:t>8.1采用最低评标价法的采购项目，提供相同品牌产品或同等规格服务的不同投标人参加同一合同项下投标的，以其中通过资格审查、符合性审查且报价最低的参加评标；报价相同的，由评标委员会采取随机抽取方式确定，其他投标无效。</w:t>
      </w:r>
    </w:p>
    <w:p>
      <w:pPr>
        <w:spacing w:line="360" w:lineRule="auto"/>
        <w:ind w:firstLine="420" w:firstLineChars="200"/>
        <w:rPr>
          <w:rFonts w:ascii="宋体" w:hAnsi="宋体" w:cs="宋体"/>
          <w:szCs w:val="21"/>
        </w:rPr>
      </w:pPr>
      <w:r>
        <w:rPr>
          <w:rFonts w:hint="eastAsia" w:ascii="宋体" w:hAnsi="宋体" w:cs="宋体"/>
          <w:szCs w:val="21"/>
        </w:rPr>
        <w:t>8.2使用综合评分法的采购项目，提供相同品牌产品或同等规格服务的且通过资格审查、符合性审查的不同投标人参加同一合同项下投标的，评审后得分最高的同品牌投标人或同等规格服务投标人获得中标人推荐资格；评审得分相同的，由评标委员会按照商务技术部分得分最高和次高的投标人获得中标人推荐资格，其他投标人不作为中标候选人。</w:t>
      </w:r>
    </w:p>
    <w:p>
      <w:pPr>
        <w:spacing w:line="360" w:lineRule="auto"/>
        <w:ind w:firstLine="420" w:firstLineChars="200"/>
        <w:rPr>
          <w:rFonts w:ascii="宋体" w:hAnsi="宋体" w:cs="宋体"/>
          <w:szCs w:val="21"/>
        </w:rPr>
      </w:pPr>
      <w:r>
        <w:rPr>
          <w:rFonts w:hint="eastAsia" w:ascii="宋体" w:hAnsi="宋体" w:cs="宋体"/>
          <w:szCs w:val="21"/>
        </w:rPr>
        <w:t>非单一产品采购项目，采购人应当根据采购项目技术构成、产品价格比重等合理确定核心产品，并在招标文件中载明。多家投标人提供的核心产品品牌相同或服务规格相同的，按前两款规定处理。</w:t>
      </w:r>
    </w:p>
    <w:p>
      <w:pPr>
        <w:snapToGrid w:val="0"/>
        <w:spacing w:line="360" w:lineRule="auto"/>
        <w:ind w:left="420" w:leftChars="200"/>
        <w:rPr>
          <w:rFonts w:ascii="宋体" w:hAnsi="宋体" w:cs="宋体"/>
          <w:szCs w:val="21"/>
        </w:rPr>
      </w:pPr>
      <w:r>
        <w:rPr>
          <w:rFonts w:hint="eastAsia" w:ascii="宋体" w:hAnsi="宋体" w:cs="宋体"/>
          <w:szCs w:val="21"/>
        </w:rPr>
        <w:t>8.3▲投标人投标所使用的资格、信誉、荣誉、业绩与企业认证必须为本法人所拥有。</w:t>
      </w:r>
    </w:p>
    <w:p>
      <w:pPr>
        <w:snapToGrid w:val="0"/>
        <w:spacing w:line="360" w:lineRule="auto"/>
        <w:ind w:left="420" w:leftChars="200"/>
        <w:rPr>
          <w:rFonts w:ascii="宋体" w:hAnsi="宋体" w:cs="宋体"/>
          <w:szCs w:val="21"/>
        </w:rPr>
      </w:pPr>
      <w:r>
        <w:rPr>
          <w:rFonts w:hint="eastAsia" w:ascii="宋体" w:hAnsi="宋体" w:cs="宋体"/>
          <w:szCs w:val="21"/>
        </w:rPr>
        <w:t>8.4▲投标人应仔细阅读招标文件的所有内容，按照招标文件的要求提交投标文件，并对所提供</w:t>
      </w:r>
    </w:p>
    <w:p>
      <w:pPr>
        <w:snapToGrid w:val="0"/>
        <w:spacing w:line="360" w:lineRule="auto"/>
        <w:rPr>
          <w:rFonts w:ascii="宋体" w:hAnsi="宋体" w:cs="宋体"/>
          <w:szCs w:val="21"/>
        </w:rPr>
      </w:pPr>
      <w:r>
        <w:rPr>
          <w:rFonts w:hint="eastAsia" w:ascii="宋体" w:hAnsi="宋体" w:cs="宋体"/>
          <w:szCs w:val="21"/>
        </w:rPr>
        <w:t>的全部资料的真实性承担法律责任。</w:t>
      </w:r>
    </w:p>
    <w:p>
      <w:pPr>
        <w:snapToGrid w:val="0"/>
        <w:spacing w:line="360" w:lineRule="auto"/>
        <w:ind w:left="420" w:leftChars="200"/>
        <w:rPr>
          <w:rFonts w:ascii="宋体" w:hAnsi="宋体" w:cs="宋体"/>
          <w:szCs w:val="21"/>
        </w:rPr>
      </w:pPr>
      <w:r>
        <w:rPr>
          <w:rFonts w:hint="eastAsia" w:ascii="宋体" w:hAnsi="宋体" w:cs="宋体"/>
          <w:szCs w:val="21"/>
        </w:rPr>
        <w:t>8.5▲投标人在投标活动中提供任何虚假材料，其投标无效，并报监管部门查处；中标后发现的，</w:t>
      </w:r>
    </w:p>
    <w:p>
      <w:pPr>
        <w:snapToGrid w:val="0"/>
        <w:spacing w:line="360" w:lineRule="auto"/>
        <w:rPr>
          <w:rFonts w:ascii="宋体" w:hAnsi="宋体" w:cs="宋体"/>
          <w:szCs w:val="21"/>
        </w:rPr>
      </w:pPr>
      <w:r>
        <w:rPr>
          <w:rFonts w:hint="eastAsia" w:ascii="宋体" w:hAnsi="宋体" w:cs="宋体"/>
          <w:szCs w:val="21"/>
        </w:rPr>
        <w:t>中标人须依照法律法规规定赔偿采购人，且民事赔偿并不免除违法投标人的行政与刑事责任。</w:t>
      </w:r>
    </w:p>
    <w:p>
      <w:pPr>
        <w:spacing w:line="360" w:lineRule="auto"/>
        <w:ind w:firstLine="420" w:firstLineChars="200"/>
        <w:rPr>
          <w:rFonts w:ascii="宋体" w:hAnsi="宋体" w:cs="宋体"/>
          <w:b/>
          <w:szCs w:val="21"/>
        </w:rPr>
      </w:pPr>
      <w:r>
        <w:rPr>
          <w:rFonts w:hint="eastAsia" w:ascii="宋体" w:hAnsi="宋体" w:cs="宋体"/>
          <w:szCs w:val="21"/>
        </w:rPr>
        <w:t>8.6</w:t>
      </w:r>
      <w:r>
        <w:rPr>
          <w:rFonts w:hint="eastAsia" w:ascii="宋体" w:hAnsi="宋体" w:cs="宋体"/>
          <w:b/>
          <w:szCs w:val="21"/>
        </w:rPr>
        <w:t>为确保在采购人所在地能够提供日常服务，如非本地投标人中标,在签订合同前, 应依法在衢州设立分公司或子公司（以在本地工商和税务部门登记为准）。</w:t>
      </w:r>
    </w:p>
    <w:p>
      <w:pPr>
        <w:spacing w:line="360" w:lineRule="auto"/>
        <w:ind w:firstLine="420" w:firstLineChars="200"/>
        <w:rPr>
          <w:rFonts w:ascii="宋体" w:hAnsi="宋体" w:cs="宋体"/>
          <w:szCs w:val="21"/>
        </w:rPr>
      </w:pPr>
      <w:r>
        <w:rPr>
          <w:rFonts w:hint="eastAsia" w:ascii="宋体" w:hAnsi="宋体" w:cs="宋体"/>
          <w:szCs w:val="21"/>
        </w:rPr>
        <w:t>8.7 投标人之间的利害关系</w:t>
      </w:r>
    </w:p>
    <w:p>
      <w:pPr>
        <w:spacing w:line="360" w:lineRule="auto"/>
        <w:ind w:firstLine="420" w:firstLineChars="200"/>
        <w:rPr>
          <w:rFonts w:ascii="宋体" w:hAnsi="宋体" w:cs="宋体"/>
          <w:szCs w:val="21"/>
        </w:rPr>
      </w:pPr>
      <w:r>
        <w:rPr>
          <w:rFonts w:hint="eastAsia" w:ascii="宋体" w:hAnsi="宋体" w:cs="宋体"/>
          <w:szCs w:val="21"/>
        </w:rPr>
        <w:t>A.法定代表人或负责人或实际控制人是夫妻关系；</w:t>
      </w:r>
    </w:p>
    <w:p>
      <w:pPr>
        <w:spacing w:line="360" w:lineRule="auto"/>
        <w:ind w:firstLine="420" w:firstLineChars="200"/>
        <w:rPr>
          <w:rFonts w:ascii="宋体" w:hAnsi="宋体" w:cs="宋体"/>
          <w:szCs w:val="21"/>
        </w:rPr>
      </w:pPr>
      <w:r>
        <w:rPr>
          <w:rFonts w:hint="eastAsia" w:ascii="宋体" w:hAnsi="宋体" w:cs="宋体"/>
          <w:szCs w:val="21"/>
        </w:rPr>
        <w:t>B.法定代表人或负责人或实际控制人是直系血亲关系；</w:t>
      </w:r>
    </w:p>
    <w:p>
      <w:pPr>
        <w:spacing w:line="360" w:lineRule="auto"/>
        <w:ind w:firstLine="420" w:firstLineChars="200"/>
        <w:rPr>
          <w:rFonts w:ascii="宋体" w:hAnsi="宋体" w:cs="宋体"/>
          <w:szCs w:val="21"/>
        </w:rPr>
      </w:pPr>
      <w:r>
        <w:rPr>
          <w:rFonts w:hint="eastAsia" w:ascii="宋体" w:hAnsi="宋体" w:cs="宋体"/>
          <w:szCs w:val="21"/>
        </w:rPr>
        <w:t>C.法定代表人或负责人或实际控制人存在三代以内旁系血亲关系；</w:t>
      </w:r>
    </w:p>
    <w:p>
      <w:pPr>
        <w:spacing w:line="360" w:lineRule="auto"/>
        <w:ind w:firstLine="420" w:firstLineChars="200"/>
        <w:rPr>
          <w:rFonts w:ascii="宋体" w:hAnsi="宋体" w:cs="宋体"/>
          <w:szCs w:val="21"/>
        </w:rPr>
      </w:pPr>
      <w:r>
        <w:rPr>
          <w:rFonts w:hint="eastAsia" w:ascii="宋体" w:hAnsi="宋体" w:cs="宋体"/>
          <w:szCs w:val="21"/>
        </w:rPr>
        <w:t>D.法定代表人或负责人或实际控制人存在近姻亲关系；</w:t>
      </w:r>
    </w:p>
    <w:p>
      <w:pPr>
        <w:spacing w:line="360" w:lineRule="auto"/>
        <w:ind w:firstLine="420" w:firstLineChars="200"/>
        <w:rPr>
          <w:rFonts w:ascii="宋体" w:hAnsi="宋体" w:cs="宋体"/>
          <w:szCs w:val="21"/>
        </w:rPr>
      </w:pPr>
      <w:r>
        <w:rPr>
          <w:rFonts w:hint="eastAsia" w:ascii="宋体" w:hAnsi="宋体" w:cs="宋体"/>
          <w:szCs w:val="21"/>
        </w:rPr>
        <w:t>E.法定代表人或负责人或实际控制人存在股份控制或实际控制关系；</w:t>
      </w:r>
    </w:p>
    <w:p>
      <w:pPr>
        <w:spacing w:line="360" w:lineRule="auto"/>
        <w:ind w:firstLine="420" w:firstLineChars="200"/>
        <w:rPr>
          <w:rFonts w:ascii="宋体" w:hAnsi="宋体" w:cs="宋体"/>
          <w:szCs w:val="21"/>
        </w:rPr>
      </w:pPr>
      <w:r>
        <w:rPr>
          <w:rFonts w:hint="eastAsia" w:ascii="宋体" w:hAnsi="宋体" w:cs="宋体"/>
          <w:szCs w:val="21"/>
        </w:rPr>
        <w:t>F.存在共同直接或间接投资设立子公司、联营企业和合营企业情况；</w:t>
      </w:r>
    </w:p>
    <w:p>
      <w:pPr>
        <w:spacing w:line="360" w:lineRule="auto"/>
        <w:ind w:firstLine="420" w:firstLineChars="200"/>
        <w:rPr>
          <w:rFonts w:ascii="宋体" w:hAnsi="宋体" w:cs="宋体"/>
          <w:szCs w:val="21"/>
        </w:rPr>
      </w:pPr>
      <w:r>
        <w:rPr>
          <w:rFonts w:hint="eastAsia" w:ascii="宋体" w:hAnsi="宋体" w:cs="宋体"/>
          <w:szCs w:val="21"/>
        </w:rPr>
        <w:t>G.存在分级代理或代销关系、同一生产制造商关系、管理关系、重要业务（占主营业务收入50%以上）或重要财务往来关系（如融资）等其他实质性控制关系；</w:t>
      </w:r>
    </w:p>
    <w:p>
      <w:pPr>
        <w:spacing w:line="360" w:lineRule="auto"/>
        <w:ind w:firstLine="420" w:firstLineChars="200"/>
        <w:rPr>
          <w:rFonts w:ascii="宋体" w:hAnsi="宋体" w:cs="宋体"/>
          <w:szCs w:val="21"/>
        </w:rPr>
      </w:pPr>
      <w:r>
        <w:rPr>
          <w:rFonts w:hint="eastAsia" w:ascii="宋体" w:hAnsi="宋体" w:cs="宋体"/>
          <w:szCs w:val="21"/>
        </w:rPr>
        <w:t>如供应商之间存在以上利害关系并且存在影响政府采购公平竞争的行为的相关供应商的投标均无效。</w:t>
      </w:r>
    </w:p>
    <w:p>
      <w:pPr>
        <w:spacing w:line="360" w:lineRule="auto"/>
        <w:ind w:firstLine="420" w:firstLineChars="200"/>
        <w:rPr>
          <w:rFonts w:ascii="宋体" w:hAnsi="宋体" w:cs="宋体"/>
          <w:szCs w:val="21"/>
        </w:rPr>
      </w:pPr>
      <w:r>
        <w:rPr>
          <w:rFonts w:hint="eastAsia" w:ascii="宋体" w:hAnsi="宋体" w:cs="宋体"/>
          <w:szCs w:val="21"/>
        </w:rPr>
        <w:t>9.关于中小企业、监狱和戒毒企业和残疾人福利性单位参与政府采购活动的规定</w:t>
      </w:r>
    </w:p>
    <w:p>
      <w:pPr>
        <w:spacing w:line="360" w:lineRule="auto"/>
        <w:ind w:firstLine="420" w:firstLineChars="200"/>
        <w:rPr>
          <w:rFonts w:ascii="宋体" w:hAnsi="宋体" w:cs="宋体"/>
          <w:szCs w:val="21"/>
        </w:rPr>
      </w:pPr>
      <w:r>
        <w:rPr>
          <w:rFonts w:hint="eastAsia" w:ascii="宋体" w:hAnsi="宋体" w:cs="宋体"/>
          <w:szCs w:val="21"/>
        </w:rPr>
        <w:t>9.1根据《中小企业划型标准规定》（工信部联企业[2011]300号）、《政府采购促进中小企业发展暂行办法》（财库[2011]181号）的有关规定，《政府采购促进中小企业发展暂行办法》所称中小企业（含中型、小型、微型企业，下同）应当同时符合以下条件：</w:t>
      </w:r>
    </w:p>
    <w:p>
      <w:pPr>
        <w:spacing w:line="360" w:lineRule="auto"/>
        <w:ind w:firstLine="420" w:firstLineChars="200"/>
        <w:rPr>
          <w:rFonts w:ascii="宋体" w:hAnsi="宋体" w:cs="宋体"/>
          <w:szCs w:val="21"/>
        </w:rPr>
      </w:pPr>
      <w:r>
        <w:rPr>
          <w:rFonts w:hint="eastAsia" w:ascii="宋体" w:hAnsi="宋体" w:cs="宋体"/>
          <w:szCs w:val="21"/>
        </w:rPr>
        <w:t>1）符合中小企业划分标准；</w:t>
      </w:r>
    </w:p>
    <w:p>
      <w:pPr>
        <w:spacing w:line="360" w:lineRule="auto"/>
        <w:ind w:firstLine="420" w:firstLineChars="200"/>
        <w:rPr>
          <w:rFonts w:ascii="宋体" w:hAnsi="宋体" w:cs="宋体"/>
          <w:szCs w:val="21"/>
        </w:rPr>
      </w:pPr>
      <w:r>
        <w:rPr>
          <w:rFonts w:hint="eastAsia" w:ascii="宋体" w:hAnsi="宋体" w:cs="宋体"/>
          <w:szCs w:val="21"/>
        </w:rPr>
        <w:t>2）提供本企业制造的货物、承担的工程或者服务，或者提供其他中小企业制造的货物。本项所称货物不包括使用大型企业注册商标的货物。</w:t>
      </w:r>
    </w:p>
    <w:p>
      <w:pPr>
        <w:spacing w:line="360" w:lineRule="auto"/>
        <w:ind w:firstLine="420" w:firstLineChars="200"/>
        <w:rPr>
          <w:rFonts w:ascii="宋体" w:hAnsi="宋体" w:cs="宋体"/>
          <w:szCs w:val="21"/>
        </w:rPr>
      </w:pPr>
      <w:r>
        <w:rPr>
          <w:rFonts w:hint="eastAsia" w:ascii="宋体" w:hAnsi="宋体" w:cs="宋体"/>
          <w:szCs w:val="21"/>
        </w:rPr>
        <w:t>本办法所称中小企业划分标准，是指国务院有关部门根据企业从业人员、营业收入、资产总额等指标制定的中小企业划型标准。</w:t>
      </w:r>
    </w:p>
    <w:p>
      <w:pPr>
        <w:spacing w:line="360" w:lineRule="auto"/>
        <w:ind w:firstLine="420" w:firstLineChars="200"/>
        <w:rPr>
          <w:rFonts w:ascii="宋体" w:hAnsi="宋体" w:cs="宋体"/>
          <w:szCs w:val="21"/>
        </w:rPr>
      </w:pPr>
      <w:r>
        <w:rPr>
          <w:rFonts w:hint="eastAsia" w:ascii="宋体" w:hAnsi="宋体" w:cs="宋体"/>
          <w:szCs w:val="21"/>
        </w:rPr>
        <w:t>小型、微型企业提供中型企业制造的货物的，视同为中型企业。</w:t>
      </w:r>
    </w:p>
    <w:p>
      <w:pPr>
        <w:spacing w:line="360" w:lineRule="auto"/>
        <w:ind w:firstLine="420" w:firstLineChars="200"/>
        <w:rPr>
          <w:rFonts w:ascii="宋体" w:hAnsi="宋体" w:cs="宋体"/>
          <w:szCs w:val="21"/>
        </w:rPr>
      </w:pPr>
      <w:r>
        <w:rPr>
          <w:rFonts w:hint="eastAsia" w:ascii="宋体" w:hAnsi="宋体" w:cs="宋体"/>
          <w:szCs w:val="21"/>
        </w:rPr>
        <w:t>9.2根据财政部《司法部关于政府采购支持监狱企业发展有关问题》的通知（财库〔2014〕68号）的有关规定，监狱和戒毒企业参与政府采购活动的视同小型、微型企业，享受评审中价格扣除政策。</w:t>
      </w:r>
    </w:p>
    <w:p>
      <w:pPr>
        <w:spacing w:line="360" w:lineRule="auto"/>
        <w:ind w:firstLine="420" w:firstLineChars="200"/>
        <w:rPr>
          <w:rFonts w:ascii="宋体" w:hAnsi="宋体" w:cs="宋体"/>
          <w:szCs w:val="21"/>
        </w:rPr>
      </w:pPr>
      <w:r>
        <w:rPr>
          <w:rFonts w:hint="eastAsia" w:ascii="宋体" w:hAnsi="宋体" w:cs="宋体"/>
          <w:szCs w:val="21"/>
        </w:rPr>
        <w:t>9.3根据财库[2017]141号的相关规定，在政府采购活动中，残疾人福利性单位视同小型、微型企业，享受评审中价格扣除政策。</w:t>
      </w:r>
    </w:p>
    <w:p>
      <w:pPr>
        <w:spacing w:line="360" w:lineRule="auto"/>
        <w:ind w:firstLine="420" w:firstLineChars="200"/>
        <w:rPr>
          <w:rFonts w:ascii="宋体" w:hAnsi="宋体" w:cs="宋体"/>
          <w:szCs w:val="21"/>
        </w:rPr>
      </w:pPr>
      <w:r>
        <w:rPr>
          <w:rFonts w:hint="eastAsia" w:ascii="宋体" w:hAnsi="宋体" w:cs="宋体"/>
          <w:szCs w:val="21"/>
        </w:rPr>
        <w:t>9.4小型、微型企业参加投标时，应提供《中小企业声明函》、国家企业信用信息公示系统—小微企业名录查询记录(提供网站截图复印件)；监狱和戒毒企业参加投标时应提供由省级以上监狱管理局、戒毒管理局（含新疆生产建设兵团）出具的属于监狱企业的证明文件；残疾人福利性单位参加投标时应提供残疾人福利性单位声明函。不提供以上材料的投标人将不享受评审中价格扣除优惠。</w:t>
      </w:r>
    </w:p>
    <w:p>
      <w:pPr>
        <w:pStyle w:val="5"/>
      </w:pPr>
      <w:bookmarkStart w:id="23" w:name="_Toc15235"/>
      <w:bookmarkStart w:id="24" w:name="_Toc46418810"/>
      <w:bookmarkStart w:id="25" w:name="_Toc356371434"/>
      <w:r>
        <w:rPr>
          <w:rFonts w:hint="eastAsia"/>
        </w:rPr>
        <w:t>（二）</w:t>
      </w:r>
      <w:r>
        <w:t>采购文件说明</w:t>
      </w:r>
      <w:bookmarkEnd w:id="23"/>
      <w:bookmarkEnd w:id="24"/>
      <w:bookmarkEnd w:id="25"/>
    </w:p>
    <w:p>
      <w:pPr>
        <w:snapToGrid w:val="0"/>
        <w:spacing w:line="360" w:lineRule="auto"/>
        <w:ind w:left="420"/>
        <w:rPr>
          <w:rFonts w:ascii="宋体" w:hAnsi="宋体" w:cs="宋体"/>
          <w:szCs w:val="21"/>
        </w:rPr>
      </w:pPr>
      <w:r>
        <w:rPr>
          <w:rFonts w:hint="eastAsia" w:ascii="宋体" w:hAnsi="宋体" w:cs="宋体"/>
          <w:szCs w:val="21"/>
        </w:rPr>
        <w:t>1.采购文件的组成</w:t>
      </w:r>
    </w:p>
    <w:p>
      <w:pPr>
        <w:snapToGrid w:val="0"/>
        <w:spacing w:line="360" w:lineRule="auto"/>
        <w:ind w:left="420"/>
        <w:rPr>
          <w:rFonts w:ascii="宋体" w:hAnsi="宋体" w:cs="宋体"/>
          <w:szCs w:val="21"/>
        </w:rPr>
      </w:pPr>
      <w:r>
        <w:rPr>
          <w:rFonts w:hint="eastAsia" w:ascii="宋体" w:hAnsi="宋体" w:cs="宋体"/>
          <w:szCs w:val="21"/>
        </w:rPr>
        <w:t>1.1招标公告；</w:t>
      </w:r>
    </w:p>
    <w:p>
      <w:pPr>
        <w:snapToGrid w:val="0"/>
        <w:spacing w:line="360" w:lineRule="auto"/>
        <w:ind w:left="420"/>
        <w:rPr>
          <w:rFonts w:ascii="宋体" w:hAnsi="宋体" w:cs="宋体"/>
          <w:szCs w:val="21"/>
        </w:rPr>
      </w:pPr>
      <w:r>
        <w:rPr>
          <w:rFonts w:hint="eastAsia" w:ascii="宋体" w:hAnsi="宋体" w:cs="宋体"/>
          <w:szCs w:val="21"/>
        </w:rPr>
        <w:t>1.2投标须知前附表及投标须知；</w:t>
      </w:r>
    </w:p>
    <w:p>
      <w:pPr>
        <w:snapToGrid w:val="0"/>
        <w:spacing w:line="360" w:lineRule="auto"/>
        <w:ind w:left="420"/>
        <w:rPr>
          <w:rFonts w:ascii="宋体" w:hAnsi="宋体" w:cs="宋体"/>
          <w:szCs w:val="21"/>
        </w:rPr>
      </w:pPr>
      <w:r>
        <w:rPr>
          <w:rFonts w:hint="eastAsia" w:ascii="宋体" w:hAnsi="宋体" w:cs="宋体"/>
          <w:szCs w:val="21"/>
        </w:rPr>
        <w:t>1.3招标内容及需求；</w:t>
      </w:r>
    </w:p>
    <w:p>
      <w:pPr>
        <w:snapToGrid w:val="0"/>
        <w:spacing w:line="360" w:lineRule="auto"/>
        <w:ind w:left="420"/>
        <w:rPr>
          <w:rFonts w:ascii="宋体" w:hAnsi="宋体" w:cs="宋体"/>
          <w:szCs w:val="21"/>
        </w:rPr>
      </w:pPr>
      <w:r>
        <w:rPr>
          <w:rFonts w:hint="eastAsia" w:ascii="宋体" w:hAnsi="宋体" w:cs="宋体"/>
          <w:szCs w:val="21"/>
        </w:rPr>
        <w:t>1.4合同文本；</w:t>
      </w:r>
    </w:p>
    <w:p>
      <w:pPr>
        <w:snapToGrid w:val="0"/>
        <w:spacing w:line="360" w:lineRule="auto"/>
        <w:ind w:left="420"/>
        <w:rPr>
          <w:rFonts w:ascii="宋体" w:hAnsi="宋体" w:cs="宋体"/>
          <w:szCs w:val="21"/>
        </w:rPr>
      </w:pPr>
      <w:r>
        <w:rPr>
          <w:rFonts w:hint="eastAsia" w:ascii="宋体" w:hAnsi="宋体" w:cs="宋体"/>
          <w:szCs w:val="21"/>
        </w:rPr>
        <w:t>1.5应提交的有关格式范例；</w:t>
      </w:r>
    </w:p>
    <w:p>
      <w:pPr>
        <w:snapToGrid w:val="0"/>
        <w:spacing w:line="360" w:lineRule="auto"/>
        <w:rPr>
          <w:rFonts w:ascii="宋体" w:hAnsi="宋体" w:cs="宋体"/>
          <w:szCs w:val="21"/>
        </w:rPr>
      </w:pPr>
      <w:r>
        <w:rPr>
          <w:rFonts w:hint="eastAsia" w:ascii="宋体" w:hAnsi="宋体" w:cs="宋体"/>
          <w:szCs w:val="21"/>
        </w:rPr>
        <w:t xml:space="preserve">    1.6评标办法及开标程序。</w:t>
      </w:r>
    </w:p>
    <w:p>
      <w:pPr>
        <w:snapToGrid w:val="0"/>
        <w:spacing w:line="360" w:lineRule="auto"/>
        <w:ind w:left="420"/>
        <w:rPr>
          <w:rFonts w:ascii="宋体" w:hAnsi="宋体" w:cs="宋体"/>
          <w:szCs w:val="21"/>
        </w:rPr>
      </w:pPr>
      <w:r>
        <w:rPr>
          <w:rFonts w:hint="eastAsia" w:ascii="宋体" w:hAnsi="宋体" w:cs="宋体"/>
          <w:szCs w:val="21"/>
        </w:rPr>
        <w:t>2.招标文件的澄清及修改</w:t>
      </w:r>
    </w:p>
    <w:p>
      <w:pPr>
        <w:snapToGrid w:val="0"/>
        <w:spacing w:line="360" w:lineRule="auto"/>
        <w:ind w:left="420"/>
        <w:rPr>
          <w:rFonts w:ascii="宋体" w:hAnsi="宋体" w:cs="宋体"/>
          <w:szCs w:val="21"/>
        </w:rPr>
      </w:pPr>
      <w:r>
        <w:rPr>
          <w:rFonts w:hint="eastAsia" w:ascii="宋体" w:hAnsi="宋体" w:cs="宋体"/>
          <w:szCs w:val="21"/>
        </w:rPr>
        <w:t>2.1采购人可对已发出的招标文件进行必要的澄清或修改，如澄清或修改的内容可能影响投标文</w:t>
      </w:r>
    </w:p>
    <w:p>
      <w:pPr>
        <w:snapToGrid w:val="0"/>
        <w:spacing w:line="360" w:lineRule="auto"/>
        <w:rPr>
          <w:rFonts w:ascii="宋体" w:hAnsi="宋体" w:cs="宋体"/>
          <w:szCs w:val="21"/>
        </w:rPr>
      </w:pPr>
      <w:r>
        <w:rPr>
          <w:rFonts w:hint="eastAsia" w:ascii="宋体" w:hAnsi="宋体" w:cs="宋体"/>
          <w:szCs w:val="21"/>
        </w:rPr>
        <w:t>件编制的，采购人应当在投标截止时间至少15日前，在采购公告原发布媒体上发布更正公告，更正内容作为招标文件的组成部分；不足15日的，采购人将顺延提交投标文件的截止时间。如澄清或修改的内容不影响投标文件编制的，采购人将不延长提交投标文件的截止时间。</w:t>
      </w:r>
    </w:p>
    <w:p>
      <w:pPr>
        <w:snapToGrid w:val="0"/>
        <w:spacing w:line="360" w:lineRule="auto"/>
        <w:ind w:left="420"/>
        <w:rPr>
          <w:rFonts w:ascii="宋体" w:hAnsi="宋体" w:cs="宋体"/>
          <w:szCs w:val="21"/>
        </w:rPr>
      </w:pPr>
      <w:r>
        <w:rPr>
          <w:rFonts w:hint="eastAsia" w:ascii="宋体" w:hAnsi="宋体" w:cs="宋体"/>
          <w:szCs w:val="21"/>
        </w:rPr>
        <w:t>2.2投标人对招标文件有异议的，应当在知道或者应知其权益受到损害之日起七个工作日内以书</w:t>
      </w:r>
    </w:p>
    <w:p>
      <w:pPr>
        <w:snapToGrid w:val="0"/>
        <w:spacing w:line="360" w:lineRule="auto"/>
        <w:rPr>
          <w:rFonts w:ascii="宋体" w:hAnsi="宋体" w:cs="宋体"/>
          <w:szCs w:val="21"/>
        </w:rPr>
      </w:pPr>
      <w:r>
        <w:rPr>
          <w:rFonts w:hint="eastAsia" w:ascii="宋体" w:hAnsi="宋体" w:cs="宋体"/>
          <w:szCs w:val="21"/>
        </w:rPr>
        <w:t>面形式向采购人提出，否则采购人将不予受理。采购人将在收到异议之日起3日内作出答复，并在本采购信息发布媒体上发布变更公告，公告内容作为招标文件的构成部分。</w:t>
      </w:r>
    </w:p>
    <w:p>
      <w:pPr>
        <w:pStyle w:val="5"/>
      </w:pPr>
      <w:bookmarkStart w:id="26" w:name="_Toc46418811"/>
      <w:r>
        <w:rPr>
          <w:rFonts w:hint="eastAsia"/>
        </w:rPr>
        <w:t>（三）</w:t>
      </w:r>
      <w:r>
        <w:t>投标文件的编制</w:t>
      </w:r>
      <w:bookmarkEnd w:id="20"/>
      <w:bookmarkEnd w:id="21"/>
      <w:bookmarkEnd w:id="26"/>
    </w:p>
    <w:p>
      <w:pPr>
        <w:snapToGrid w:val="0"/>
        <w:spacing w:line="360" w:lineRule="auto"/>
        <w:ind w:left="420"/>
        <w:rPr>
          <w:rFonts w:ascii="宋体" w:hAnsi="宋体" w:cs="宋体"/>
          <w:szCs w:val="21"/>
        </w:rPr>
      </w:pPr>
      <w:r>
        <w:rPr>
          <w:rFonts w:hint="eastAsia" w:ascii="宋体" w:hAnsi="宋体" w:cs="宋体"/>
          <w:szCs w:val="21"/>
        </w:rPr>
        <w:t>1.总体要求</w:t>
      </w:r>
    </w:p>
    <w:p>
      <w:pPr>
        <w:snapToGrid w:val="0"/>
        <w:spacing w:line="360" w:lineRule="auto"/>
        <w:ind w:left="567"/>
        <w:rPr>
          <w:rFonts w:ascii="宋体" w:hAnsi="宋体" w:cs="宋体"/>
          <w:szCs w:val="21"/>
        </w:rPr>
      </w:pPr>
      <w:r>
        <w:rPr>
          <w:rFonts w:hint="eastAsia" w:ascii="宋体" w:hAnsi="宋体" w:cs="宋体"/>
          <w:szCs w:val="21"/>
        </w:rPr>
        <w:t>1.1供应商应仔细阅读招标文件的所有内容，按本文件的要求提供投标文件，并保证所提供的</w:t>
      </w:r>
    </w:p>
    <w:p>
      <w:pPr>
        <w:snapToGrid w:val="0"/>
        <w:spacing w:line="360" w:lineRule="auto"/>
        <w:rPr>
          <w:rFonts w:ascii="宋体" w:hAnsi="宋体" w:cs="宋体"/>
          <w:szCs w:val="21"/>
        </w:rPr>
      </w:pPr>
      <w:r>
        <w:rPr>
          <w:rFonts w:hint="eastAsia" w:ascii="宋体" w:hAnsi="宋体" w:cs="宋体"/>
          <w:szCs w:val="21"/>
        </w:rPr>
        <w:t>全部资料的真实性，以使其投标文件对招标文件作出实质性响应，否则，投标文件可能视为无效投标文件。</w:t>
      </w:r>
    </w:p>
    <w:p>
      <w:pPr>
        <w:snapToGrid w:val="0"/>
        <w:spacing w:line="360" w:lineRule="auto"/>
        <w:ind w:left="420"/>
        <w:rPr>
          <w:rFonts w:ascii="宋体" w:hAnsi="宋体" w:cs="宋体"/>
          <w:szCs w:val="21"/>
        </w:rPr>
      </w:pPr>
      <w:r>
        <w:rPr>
          <w:rFonts w:hint="eastAsia" w:ascii="宋体" w:hAnsi="宋体" w:cs="宋体"/>
          <w:szCs w:val="21"/>
        </w:rPr>
        <w:t>1.2投标文件及供应商与采购有关的来往通知，函件和文件均应使用中文。</w:t>
      </w:r>
    </w:p>
    <w:p>
      <w:pPr>
        <w:snapToGrid w:val="0"/>
        <w:spacing w:line="360" w:lineRule="auto"/>
        <w:ind w:left="420"/>
        <w:rPr>
          <w:rFonts w:ascii="宋体" w:hAnsi="宋体" w:cs="宋体"/>
          <w:szCs w:val="21"/>
        </w:rPr>
      </w:pPr>
      <w:r>
        <w:rPr>
          <w:rFonts w:hint="eastAsia" w:ascii="宋体" w:hAnsi="宋体" w:cs="宋体"/>
          <w:szCs w:val="21"/>
        </w:rPr>
        <w:t>1.3供应商应按本文件中提供的文件格式、内容和要求制作投标文件。投标文件应装订成册。</w:t>
      </w:r>
    </w:p>
    <w:p>
      <w:pPr>
        <w:snapToGrid w:val="0"/>
        <w:spacing w:line="360" w:lineRule="auto"/>
        <w:ind w:left="420"/>
        <w:rPr>
          <w:rFonts w:ascii="宋体" w:hAnsi="宋体" w:cs="宋体"/>
          <w:szCs w:val="21"/>
        </w:rPr>
      </w:pPr>
      <w:r>
        <w:rPr>
          <w:rFonts w:hint="eastAsia" w:ascii="宋体" w:hAnsi="宋体" w:cs="宋体"/>
          <w:szCs w:val="21"/>
        </w:rPr>
        <w:t>2.投标文件的组成</w:t>
      </w:r>
    </w:p>
    <w:p>
      <w:pPr>
        <w:tabs>
          <w:tab w:val="left" w:pos="0"/>
          <w:tab w:val="left" w:pos="900"/>
          <w:tab w:val="left" w:pos="7020"/>
          <w:tab w:val="left" w:pos="8460"/>
        </w:tabs>
        <w:snapToGrid w:val="0"/>
        <w:spacing w:line="360" w:lineRule="auto"/>
        <w:ind w:firstLine="422" w:firstLineChars="200"/>
        <w:rPr>
          <w:rFonts w:ascii="宋体" w:hAnsi="宋体" w:cs="宋体"/>
          <w:b/>
          <w:szCs w:val="21"/>
        </w:rPr>
      </w:pPr>
      <w:r>
        <w:rPr>
          <w:rFonts w:hint="eastAsia" w:ascii="宋体" w:hAnsi="宋体" w:cs="宋体"/>
          <w:b/>
          <w:szCs w:val="21"/>
        </w:rPr>
        <w:t>▲</w:t>
      </w:r>
      <w:r>
        <w:rPr>
          <w:rFonts w:hint="eastAsia" w:ascii="宋体" w:hAnsi="宋体" w:cs="宋体"/>
          <w:szCs w:val="21"/>
        </w:rPr>
        <w:t>投标文件应分为【资格文件】、【商务技术文件】和【报价文件】。</w:t>
      </w:r>
    </w:p>
    <w:p>
      <w:pPr>
        <w:snapToGrid w:val="0"/>
        <w:spacing w:line="360" w:lineRule="auto"/>
        <w:ind w:left="420"/>
        <w:rPr>
          <w:rFonts w:ascii="宋体" w:hAnsi="宋体" w:cs="宋体"/>
          <w:szCs w:val="21"/>
        </w:rPr>
      </w:pPr>
      <w:r>
        <w:rPr>
          <w:rFonts w:hint="eastAsia" w:ascii="宋体" w:hAnsi="宋体" w:cs="宋体"/>
          <w:szCs w:val="21"/>
        </w:rPr>
        <w:t>2.1【资格文件】</w:t>
      </w:r>
    </w:p>
    <w:p>
      <w:pPr>
        <w:autoSpaceDE w:val="0"/>
        <w:autoSpaceDN w:val="0"/>
        <w:spacing w:line="360" w:lineRule="auto"/>
        <w:ind w:firstLine="371" w:firstLineChars="177"/>
        <w:rPr>
          <w:rFonts w:ascii="宋体" w:hAnsi="宋体" w:cs="宋体"/>
          <w:bCs/>
          <w:szCs w:val="21"/>
        </w:rPr>
      </w:pPr>
      <w:r>
        <w:rPr>
          <w:rFonts w:hint="eastAsia" w:ascii="宋体" w:hAnsi="宋体" w:cs="宋体"/>
          <w:bCs/>
          <w:szCs w:val="21"/>
        </w:rPr>
        <w:t>（1）有效期内</w:t>
      </w:r>
      <w:r>
        <w:rPr>
          <w:rFonts w:hint="eastAsia" w:ascii="宋体" w:hAnsi="宋体" w:cs="宋体"/>
          <w:bCs/>
          <w:szCs w:val="21"/>
          <w:lang w:val="zh-CN"/>
        </w:rPr>
        <w:t>营业执照扫描件</w:t>
      </w:r>
      <w:r>
        <w:rPr>
          <w:rFonts w:hint="eastAsia" w:ascii="宋体" w:hAnsi="宋体" w:cs="宋体"/>
          <w:bCs/>
          <w:szCs w:val="21"/>
        </w:rPr>
        <w:t>；</w:t>
      </w:r>
    </w:p>
    <w:p>
      <w:pPr>
        <w:autoSpaceDE w:val="0"/>
        <w:autoSpaceDN w:val="0"/>
        <w:adjustRightInd w:val="0"/>
        <w:spacing w:line="360" w:lineRule="auto"/>
        <w:ind w:firstLine="420" w:firstLineChars="200"/>
        <w:jc w:val="left"/>
        <w:rPr>
          <w:rFonts w:ascii="宋体" w:hAnsi="宋体" w:cs="宋体"/>
          <w:bCs/>
          <w:szCs w:val="21"/>
          <w:lang w:val="zh-CN"/>
        </w:rPr>
      </w:pPr>
      <w:r>
        <w:rPr>
          <w:rFonts w:hint="eastAsia" w:ascii="宋体" w:hAnsi="宋体" w:cs="宋体"/>
          <w:bCs/>
          <w:szCs w:val="21"/>
          <w:lang w:val="zh-CN"/>
        </w:rPr>
        <w:t>（2）投标函；</w:t>
      </w:r>
    </w:p>
    <w:p>
      <w:pPr>
        <w:tabs>
          <w:tab w:val="left" w:pos="720"/>
          <w:tab w:val="left" w:pos="5355"/>
        </w:tabs>
        <w:spacing w:line="360" w:lineRule="auto"/>
        <w:ind w:left="420" w:leftChars="200"/>
        <w:rPr>
          <w:rFonts w:ascii="宋体" w:hAnsi="宋体" w:cs="宋体"/>
          <w:bCs/>
          <w:szCs w:val="21"/>
          <w:lang w:val="zh-CN"/>
        </w:rPr>
      </w:pPr>
      <w:r>
        <w:rPr>
          <w:rFonts w:hint="eastAsia" w:ascii="宋体" w:hAnsi="宋体" w:cs="宋体"/>
          <w:bCs/>
          <w:szCs w:val="21"/>
        </w:rPr>
        <w:t>（3）</w:t>
      </w:r>
      <w:r>
        <w:rPr>
          <w:rFonts w:hint="eastAsia" w:ascii="宋体" w:hAnsi="宋体" w:cs="宋体"/>
          <w:bCs/>
          <w:szCs w:val="21"/>
          <w:lang w:val="zh-CN"/>
        </w:rPr>
        <w:t>法定代表人身份证明和本人身份证扫描件或法定代表人授权委托书和委托代理人身份证扫描件；</w:t>
      </w:r>
      <w:r>
        <w:rPr>
          <w:rFonts w:hint="eastAsia" w:ascii="宋体" w:hAnsi="宋体" w:cs="宋体"/>
          <w:bCs/>
          <w:szCs w:val="21"/>
        </w:rPr>
        <w:t>（电子标书内法定代表人授权委托书需签字的可线下签字后扫描件再将其放入线上投标文件内）</w:t>
      </w:r>
    </w:p>
    <w:p>
      <w:pPr>
        <w:autoSpaceDE w:val="0"/>
        <w:autoSpaceDN w:val="0"/>
        <w:adjustRightInd w:val="0"/>
        <w:spacing w:line="360" w:lineRule="auto"/>
        <w:ind w:firstLine="420" w:firstLineChars="200"/>
        <w:jc w:val="left"/>
        <w:rPr>
          <w:rFonts w:ascii="宋体" w:hAnsi="宋体" w:cs="宋体"/>
          <w:bCs/>
          <w:szCs w:val="21"/>
          <w:lang w:val="zh-CN"/>
        </w:rPr>
      </w:pPr>
      <w:r>
        <w:rPr>
          <w:rFonts w:hint="eastAsia" w:ascii="宋体" w:hAnsi="宋体" w:cs="宋体"/>
          <w:bCs/>
          <w:szCs w:val="21"/>
          <w:lang w:val="zh-CN"/>
        </w:rPr>
        <w:t>（</w:t>
      </w:r>
      <w:r>
        <w:rPr>
          <w:rFonts w:hint="eastAsia" w:ascii="宋体" w:hAnsi="宋体" w:cs="宋体"/>
          <w:bCs/>
          <w:szCs w:val="21"/>
        </w:rPr>
        <w:t>4</w:t>
      </w:r>
      <w:r>
        <w:rPr>
          <w:rFonts w:hint="eastAsia" w:ascii="宋体" w:hAnsi="宋体" w:cs="宋体"/>
          <w:bCs/>
          <w:szCs w:val="21"/>
          <w:lang w:val="zh-CN"/>
        </w:rPr>
        <w:t>）投标人资格声明（格式详见附件）；</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bCs/>
          <w:szCs w:val="21"/>
        </w:rPr>
        <w:t>（5）</w:t>
      </w:r>
      <w:r>
        <w:rPr>
          <w:rFonts w:hint="eastAsia" w:ascii="宋体" w:hAnsi="宋体" w:cs="宋体"/>
          <w:szCs w:val="21"/>
        </w:rPr>
        <w:t>提供财务报表或经审计的财务报告扫描件，新成立公司出具银行资信证明扫描件；</w:t>
      </w:r>
    </w:p>
    <w:p>
      <w:pPr>
        <w:tabs>
          <w:tab w:val="left" w:pos="720"/>
          <w:tab w:val="left" w:pos="5355"/>
        </w:tabs>
        <w:spacing w:line="360" w:lineRule="auto"/>
        <w:ind w:firstLine="420" w:firstLineChars="200"/>
        <w:rPr>
          <w:rFonts w:ascii="宋体" w:hAnsi="宋体" w:cs="宋体"/>
          <w:kern w:val="0"/>
          <w:szCs w:val="21"/>
        </w:rPr>
      </w:pPr>
      <w:r>
        <w:rPr>
          <w:rFonts w:hint="eastAsia" w:ascii="宋体" w:hAnsi="宋体" w:cs="宋体"/>
          <w:szCs w:val="21"/>
        </w:rPr>
        <w:t>（6）提供依法缴纳税收的证明或者《依法纳税或依法免税证明》（可以为税务机构官方网站查询结果）和社保费缴纳的证明（可以为税务或社保机构官方网站查询结果）扫描件；</w:t>
      </w:r>
    </w:p>
    <w:p>
      <w:pPr>
        <w:tabs>
          <w:tab w:val="left" w:pos="720"/>
          <w:tab w:val="left" w:pos="5355"/>
        </w:tabs>
        <w:spacing w:line="360" w:lineRule="auto"/>
        <w:ind w:left="420" w:leftChars="200"/>
        <w:rPr>
          <w:rFonts w:ascii="宋体" w:hAnsi="宋体" w:cs="宋体"/>
          <w:szCs w:val="21"/>
        </w:rPr>
      </w:pPr>
      <w:r>
        <w:rPr>
          <w:rFonts w:hint="eastAsia" w:ascii="宋体" w:hAnsi="宋体" w:cs="宋体"/>
          <w:szCs w:val="21"/>
        </w:rPr>
        <w:t>（7）具有履行合同所必须的设备和专业技术能力的承诺函【格式见附件】；</w:t>
      </w:r>
    </w:p>
    <w:p>
      <w:pPr>
        <w:spacing w:line="360" w:lineRule="auto"/>
        <w:ind w:firstLine="420" w:firstLineChars="200"/>
        <w:jc w:val="left"/>
        <w:rPr>
          <w:rFonts w:ascii="宋体" w:hAnsi="宋体" w:cs="宋体"/>
          <w:bCs/>
          <w:szCs w:val="21"/>
          <w:lang w:val="zh-CN"/>
        </w:rPr>
      </w:pPr>
      <w:r>
        <w:rPr>
          <w:rFonts w:hint="eastAsia" w:ascii="宋体" w:hAnsi="宋体" w:cs="宋体"/>
          <w:szCs w:val="21"/>
        </w:rPr>
        <w:t>（8）参加本次政府采购活动前三年内，在经营活动中无重大违法记录承诺函【格式见附件】；</w:t>
      </w:r>
    </w:p>
    <w:p>
      <w:pPr>
        <w:spacing w:line="360" w:lineRule="auto"/>
        <w:ind w:firstLine="420" w:firstLineChars="200"/>
        <w:rPr>
          <w:rFonts w:ascii="宋体" w:hAnsi="宋体" w:cs="宋体"/>
          <w:szCs w:val="21"/>
        </w:rPr>
      </w:pPr>
      <w:r>
        <w:rPr>
          <w:rFonts w:hint="eastAsia" w:ascii="宋体" w:hAnsi="宋体" w:cs="宋体"/>
          <w:szCs w:val="21"/>
        </w:rPr>
        <w:t>（9）投标人无不良信用记录的证明材料【1.提交投标文件（响应文件）截止时间前3年内的信用中国网站“失信被执行人”“重大税收违法案件当事人” 名单查询结果打印件（加盖投标人公章）；2.提交投标文件（响应文件）截止时间前3年内的中国政府采购网“政府采购严重违法失信行为记录名单”查询结果打印件（加盖投标人公章）】；</w:t>
      </w:r>
    </w:p>
    <w:p>
      <w:pPr>
        <w:autoSpaceDE w:val="0"/>
        <w:autoSpaceDN w:val="0"/>
        <w:spacing w:line="360" w:lineRule="auto"/>
        <w:ind w:firstLine="350" w:firstLineChars="167"/>
        <w:rPr>
          <w:rFonts w:ascii="宋体" w:hAnsi="宋体" w:cs="宋体"/>
          <w:szCs w:val="21"/>
        </w:rPr>
      </w:pPr>
      <w:r>
        <w:rPr>
          <w:rFonts w:hint="eastAsia" w:ascii="宋体" w:hAnsi="宋体" w:cs="宋体"/>
          <w:szCs w:val="21"/>
        </w:rPr>
        <w:t>（10）其他投标人认为需要的相关资料。</w:t>
      </w:r>
    </w:p>
    <w:p>
      <w:pPr>
        <w:spacing w:line="360" w:lineRule="auto"/>
        <w:ind w:left="-142" w:firstLine="491" w:firstLineChars="234"/>
        <w:rPr>
          <w:rFonts w:ascii="宋体" w:hAnsi="宋体" w:cs="宋体"/>
          <w:bCs/>
          <w:szCs w:val="21"/>
          <w:lang w:val="zh-CN"/>
        </w:rPr>
      </w:pPr>
      <w:r>
        <w:rPr>
          <w:rFonts w:hint="eastAsia" w:ascii="宋体" w:hAnsi="宋体" w:cs="宋体"/>
          <w:bCs/>
          <w:szCs w:val="21"/>
          <w:lang w:val="zh-CN"/>
        </w:rPr>
        <w:t>注：</w:t>
      </w:r>
      <w:r>
        <w:rPr>
          <w:rFonts w:hint="eastAsia" w:ascii="宋体" w:hAnsi="宋体" w:cs="宋体"/>
          <w:bCs/>
          <w:szCs w:val="21"/>
        </w:rPr>
        <w:t>资格文件</w:t>
      </w:r>
      <w:r>
        <w:rPr>
          <w:rFonts w:hint="eastAsia" w:ascii="宋体" w:hAnsi="宋体" w:cs="宋体"/>
          <w:bCs/>
          <w:szCs w:val="21"/>
          <w:lang w:val="zh-CN"/>
        </w:rPr>
        <w:t>中应包含以上所有内容，投标人提供资格审查资料不完整的，则资格审查不予通过。</w:t>
      </w:r>
    </w:p>
    <w:p>
      <w:pPr>
        <w:snapToGrid w:val="0"/>
        <w:spacing w:line="360" w:lineRule="auto"/>
        <w:ind w:firstLine="420" w:firstLineChars="200"/>
        <w:rPr>
          <w:rFonts w:ascii="宋体" w:hAnsi="宋体" w:cs="宋体"/>
          <w:szCs w:val="21"/>
        </w:rPr>
      </w:pPr>
      <w:r>
        <w:rPr>
          <w:rFonts w:hint="eastAsia" w:ascii="宋体" w:hAnsi="宋体" w:cs="宋体"/>
          <w:szCs w:val="21"/>
        </w:rPr>
        <w:t>2.2【商务技术文件】</w:t>
      </w:r>
    </w:p>
    <w:p>
      <w:pPr>
        <w:snapToGrid w:val="0"/>
        <w:spacing w:line="360" w:lineRule="auto"/>
        <w:ind w:firstLine="420" w:firstLineChars="200"/>
        <w:rPr>
          <w:rFonts w:ascii="宋体" w:hAnsi="宋体" w:cs="宋体"/>
          <w:szCs w:val="21"/>
        </w:rPr>
      </w:pPr>
      <w:r>
        <w:rPr>
          <w:rFonts w:hint="eastAsia" w:ascii="宋体" w:hAnsi="宋体" w:cs="宋体"/>
          <w:szCs w:val="21"/>
        </w:rPr>
        <w:t>（1） 自评表（格式见第五章）；</w:t>
      </w:r>
    </w:p>
    <w:p>
      <w:pPr>
        <w:snapToGrid w:val="0"/>
        <w:spacing w:line="360" w:lineRule="auto"/>
        <w:ind w:firstLine="420" w:firstLineChars="200"/>
        <w:rPr>
          <w:rFonts w:ascii="宋体" w:hAnsi="宋体" w:cs="宋体"/>
          <w:szCs w:val="21"/>
        </w:rPr>
      </w:pPr>
      <w:r>
        <w:rPr>
          <w:rFonts w:hint="eastAsia" w:ascii="宋体" w:hAnsi="宋体" w:cs="宋体"/>
          <w:szCs w:val="21"/>
        </w:rPr>
        <w:t>（2） 根据评分办法自行编制；</w:t>
      </w:r>
    </w:p>
    <w:p>
      <w:pPr>
        <w:snapToGrid w:val="0"/>
        <w:spacing w:line="360" w:lineRule="auto"/>
        <w:ind w:firstLine="420" w:firstLineChars="200"/>
        <w:rPr>
          <w:rFonts w:ascii="宋体" w:hAnsi="宋体" w:cs="宋体"/>
          <w:szCs w:val="21"/>
        </w:rPr>
      </w:pPr>
      <w:r>
        <w:rPr>
          <w:rFonts w:hint="eastAsia" w:ascii="宋体" w:hAnsi="宋体" w:cs="宋体"/>
          <w:szCs w:val="21"/>
        </w:rPr>
        <w:t>（3）投标人认为需要的其他商务技术资料。</w:t>
      </w:r>
    </w:p>
    <w:p>
      <w:pPr>
        <w:snapToGrid w:val="0"/>
        <w:spacing w:line="360" w:lineRule="auto"/>
        <w:ind w:left="210" w:leftChars="100" w:firstLine="210" w:firstLineChars="100"/>
        <w:rPr>
          <w:rFonts w:ascii="宋体" w:hAnsi="宋体" w:cs="宋体"/>
        </w:rPr>
      </w:pPr>
      <w:r>
        <w:rPr>
          <w:rFonts w:hint="eastAsia" w:ascii="宋体" w:hAnsi="宋体" w:cs="宋体"/>
          <w:szCs w:val="21"/>
        </w:rPr>
        <w:t>根据评标办法提供相应商务技术资料 （第五章有格式提供的可按格式编制，未提供格式的格式自拟）；</w:t>
      </w:r>
    </w:p>
    <w:p>
      <w:pPr>
        <w:snapToGrid w:val="0"/>
        <w:spacing w:line="360" w:lineRule="auto"/>
        <w:ind w:left="420"/>
        <w:rPr>
          <w:rFonts w:ascii="宋体" w:hAnsi="宋体" w:cs="宋体"/>
          <w:szCs w:val="21"/>
        </w:rPr>
      </w:pPr>
      <w:r>
        <w:rPr>
          <w:rFonts w:hint="eastAsia" w:ascii="宋体" w:hAnsi="宋体" w:cs="宋体"/>
          <w:szCs w:val="21"/>
        </w:rPr>
        <w:t>2.3【报价文件】</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（1）▲开标一览表； </w:t>
      </w:r>
    </w:p>
    <w:p>
      <w:pPr>
        <w:snapToGrid w:val="0"/>
        <w:spacing w:line="360" w:lineRule="auto"/>
        <w:ind w:firstLine="420" w:firstLineChars="200"/>
        <w:rPr>
          <w:rFonts w:ascii="宋体" w:hAnsi="宋体" w:cs="宋体"/>
          <w:szCs w:val="21"/>
        </w:rPr>
      </w:pPr>
      <w:r>
        <w:rPr>
          <w:rFonts w:hint="eastAsia" w:ascii="宋体" w:hAnsi="宋体" w:cs="宋体"/>
          <w:szCs w:val="21"/>
        </w:rPr>
        <w:t>（2）▲投标报价明细表；</w:t>
      </w:r>
    </w:p>
    <w:p>
      <w:pPr>
        <w:snapToGrid w:val="0"/>
        <w:spacing w:line="360" w:lineRule="auto"/>
        <w:ind w:firstLine="420" w:firstLineChars="200"/>
        <w:rPr>
          <w:rFonts w:ascii="宋体" w:hAnsi="宋体" w:cs="宋体"/>
          <w:szCs w:val="21"/>
        </w:rPr>
      </w:pPr>
      <w:r>
        <w:rPr>
          <w:rFonts w:hint="eastAsia" w:ascii="宋体" w:hAnsi="宋体" w:cs="宋体"/>
          <w:szCs w:val="21"/>
        </w:rPr>
        <w:t>（3）《中小企业声明函》、国家企业信用信息公示系统——小微企业名录查询记录，提供网站截图复印件（符合小微企业相关政策的投标人提供）；（如有）</w:t>
      </w:r>
    </w:p>
    <w:p>
      <w:pPr>
        <w:snapToGrid w:val="0"/>
        <w:spacing w:line="360" w:lineRule="auto"/>
        <w:ind w:firstLine="420" w:firstLineChars="200"/>
        <w:rPr>
          <w:rFonts w:ascii="宋体" w:hAnsi="宋体" w:cs="宋体"/>
          <w:szCs w:val="21"/>
        </w:rPr>
      </w:pPr>
      <w:r>
        <w:rPr>
          <w:rFonts w:hint="eastAsia" w:ascii="宋体" w:hAnsi="宋体" w:cs="宋体"/>
          <w:szCs w:val="21"/>
        </w:rPr>
        <w:t>（4）监狱企业声明函；（如有）</w:t>
      </w:r>
    </w:p>
    <w:p>
      <w:pPr>
        <w:snapToGrid w:val="0"/>
        <w:spacing w:line="360" w:lineRule="auto"/>
        <w:ind w:firstLine="420" w:firstLineChars="200"/>
        <w:rPr>
          <w:rFonts w:ascii="宋体" w:hAnsi="宋体" w:cs="宋体"/>
          <w:szCs w:val="21"/>
        </w:rPr>
      </w:pPr>
      <w:r>
        <w:rPr>
          <w:rFonts w:hint="eastAsia" w:ascii="宋体" w:hAnsi="宋体" w:cs="宋体"/>
          <w:szCs w:val="21"/>
        </w:rPr>
        <w:t>（5）残疾人福利性单位应提供残疾人福利性单位声明函；（如有）</w:t>
      </w:r>
    </w:p>
    <w:p>
      <w:pPr>
        <w:snapToGrid w:val="0"/>
        <w:spacing w:line="360" w:lineRule="auto"/>
        <w:ind w:firstLine="420" w:firstLineChars="200"/>
        <w:rPr>
          <w:rFonts w:ascii="宋体" w:hAnsi="宋体" w:cs="宋体"/>
          <w:szCs w:val="21"/>
        </w:rPr>
      </w:pPr>
      <w:r>
        <w:rPr>
          <w:rFonts w:hint="eastAsia" w:ascii="宋体" w:hAnsi="宋体" w:cs="宋体"/>
          <w:szCs w:val="21"/>
        </w:rPr>
        <w:t>（6）投标人认为需要提供的其他商务资料。</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3.投标文件内容填写说明 </w:t>
      </w:r>
    </w:p>
    <w:p>
      <w:pPr>
        <w:snapToGrid w:val="0"/>
        <w:spacing w:line="360" w:lineRule="auto"/>
        <w:ind w:left="420"/>
        <w:rPr>
          <w:rFonts w:ascii="宋体" w:hAnsi="宋体" w:cs="宋体"/>
          <w:szCs w:val="21"/>
        </w:rPr>
      </w:pPr>
      <w:r>
        <w:rPr>
          <w:rFonts w:hint="eastAsia" w:ascii="宋体" w:hAnsi="宋体" w:cs="宋体"/>
          <w:szCs w:val="21"/>
        </w:rPr>
        <w:t>3.1供应商应在认真阅读招标文件所有内容的基础上，按照招标文件的要求编制完整的投标文</w:t>
      </w:r>
    </w:p>
    <w:p>
      <w:pPr>
        <w:snapToGrid w:val="0"/>
        <w:spacing w:line="360" w:lineRule="auto"/>
        <w:rPr>
          <w:rFonts w:ascii="宋体" w:hAnsi="宋体" w:cs="宋体"/>
          <w:szCs w:val="21"/>
        </w:rPr>
      </w:pPr>
      <w:r>
        <w:rPr>
          <w:rFonts w:hint="eastAsia" w:ascii="宋体" w:hAnsi="宋体" w:cs="宋体"/>
          <w:szCs w:val="21"/>
        </w:rPr>
        <w:t>件。投标文件应按照招标文件中规定的统一格式填写，严格按照规定的顺序编制目录，混乱的编排导致投标文件被误读或采购人查找不到有效文件是供应商的风险。招标文件对投标文件格式有要求的应按格式逐项填写内容， 不准有空项；无相应内容可填的项应填写“无”、“未测试”、“没有相应指标”等明确的回答文字。</w:t>
      </w:r>
    </w:p>
    <w:p>
      <w:pPr>
        <w:snapToGrid w:val="0"/>
        <w:spacing w:line="360" w:lineRule="auto"/>
        <w:ind w:left="420"/>
        <w:rPr>
          <w:rFonts w:ascii="宋体" w:hAnsi="宋体" w:cs="宋体"/>
          <w:szCs w:val="21"/>
        </w:rPr>
      </w:pPr>
      <w:r>
        <w:rPr>
          <w:rFonts w:hint="eastAsia" w:ascii="宋体" w:hAnsi="宋体" w:cs="宋体"/>
          <w:szCs w:val="21"/>
        </w:rPr>
        <w:t>3.2供应商必须保证投标文件所提供的全部资料真实可靠，并接受采购人对其中任何资料进一步</w:t>
      </w:r>
    </w:p>
    <w:p>
      <w:pPr>
        <w:snapToGrid w:val="0"/>
        <w:spacing w:line="360" w:lineRule="auto"/>
        <w:rPr>
          <w:rFonts w:ascii="宋体" w:hAnsi="宋体" w:cs="宋体"/>
          <w:szCs w:val="21"/>
        </w:rPr>
      </w:pPr>
      <w:r>
        <w:rPr>
          <w:rFonts w:hint="eastAsia" w:ascii="宋体" w:hAnsi="宋体" w:cs="宋体"/>
          <w:szCs w:val="21"/>
        </w:rPr>
        <w:t>审查的要求。</w:t>
      </w:r>
    </w:p>
    <w:p>
      <w:pPr>
        <w:snapToGrid w:val="0"/>
        <w:spacing w:line="360" w:lineRule="auto"/>
        <w:ind w:left="420"/>
        <w:rPr>
          <w:rFonts w:ascii="宋体" w:hAnsi="宋体" w:cs="宋体"/>
          <w:szCs w:val="21"/>
        </w:rPr>
      </w:pPr>
      <w:r>
        <w:rPr>
          <w:rFonts w:hint="eastAsia" w:ascii="宋体" w:hAnsi="宋体" w:cs="宋体"/>
          <w:szCs w:val="21"/>
        </w:rPr>
        <w:t>3.3《开标一览表》为在开标仪式上唱标的内容，要求按格式填写、统一规范，不得自行增减内</w:t>
      </w:r>
    </w:p>
    <w:p>
      <w:pPr>
        <w:snapToGrid w:val="0"/>
        <w:spacing w:line="360" w:lineRule="auto"/>
        <w:rPr>
          <w:rFonts w:ascii="宋体" w:hAnsi="宋体" w:cs="宋体"/>
          <w:szCs w:val="21"/>
        </w:rPr>
      </w:pPr>
      <w:r>
        <w:rPr>
          <w:rFonts w:hint="eastAsia" w:ascii="宋体" w:hAnsi="宋体" w:cs="宋体"/>
          <w:szCs w:val="21"/>
        </w:rPr>
        <w:t>容。</w:t>
      </w:r>
    </w:p>
    <w:p>
      <w:pPr>
        <w:snapToGrid w:val="0"/>
        <w:spacing w:line="360" w:lineRule="auto"/>
        <w:ind w:left="420"/>
        <w:rPr>
          <w:rFonts w:ascii="宋体" w:hAnsi="宋体" w:cs="宋体"/>
          <w:szCs w:val="21"/>
        </w:rPr>
      </w:pPr>
      <w:r>
        <w:rPr>
          <w:rFonts w:hint="eastAsia" w:ascii="宋体" w:hAnsi="宋体" w:cs="宋体"/>
          <w:szCs w:val="21"/>
        </w:rPr>
        <w:t>3.4投标文件须对招标文件中的内容做出实质性的和完整的响应，否则其投标将被拒绝。如果投</w:t>
      </w:r>
    </w:p>
    <w:p>
      <w:pPr>
        <w:snapToGrid w:val="0"/>
        <w:spacing w:line="360" w:lineRule="auto"/>
        <w:rPr>
          <w:rFonts w:ascii="宋体" w:hAnsi="宋体" w:cs="宋体"/>
          <w:szCs w:val="21"/>
        </w:rPr>
      </w:pPr>
      <w:r>
        <w:rPr>
          <w:rFonts w:hint="eastAsia" w:ascii="宋体" w:hAnsi="宋体" w:cs="宋体"/>
          <w:szCs w:val="21"/>
        </w:rPr>
        <w:t>标文件填报的内容资料不详，或没有提供招标文件中所要求的全部资料及数据，将会导致投标被拒绝。</w:t>
      </w:r>
    </w:p>
    <w:p>
      <w:pPr>
        <w:snapToGrid w:val="0"/>
        <w:spacing w:line="360" w:lineRule="auto"/>
        <w:ind w:left="420"/>
        <w:rPr>
          <w:rFonts w:ascii="宋体" w:hAnsi="宋体" w:cs="宋体"/>
          <w:szCs w:val="21"/>
        </w:rPr>
      </w:pPr>
      <w:r>
        <w:rPr>
          <w:rFonts w:hint="eastAsia" w:ascii="宋体" w:hAnsi="宋体" w:cs="宋体"/>
          <w:szCs w:val="21"/>
        </w:rPr>
        <w:t>3.5供应商已明知采购期间或之后企业将发生兼并改制，或提供的产品将停产、淘汰，或必须有</w:t>
      </w:r>
    </w:p>
    <w:p>
      <w:pPr>
        <w:snapToGrid w:val="0"/>
        <w:spacing w:line="360" w:lineRule="auto"/>
        <w:rPr>
          <w:rFonts w:ascii="宋体" w:hAnsi="宋体" w:cs="宋体"/>
          <w:szCs w:val="21"/>
        </w:rPr>
      </w:pPr>
      <w:r>
        <w:rPr>
          <w:rFonts w:hint="eastAsia" w:ascii="宋体" w:hAnsi="宋体" w:cs="宋体"/>
          <w:szCs w:val="21"/>
        </w:rPr>
        <w:t>偿使用指定的第三方中间件和插件的，及其他应当告知采购人可能影响采购项目实施或损害采购人利益的信息，必须在投标文件中予以特别说明，否则，采购人可以拒绝其投标文件。</w:t>
      </w:r>
    </w:p>
    <w:p>
      <w:pPr>
        <w:snapToGrid w:val="0"/>
        <w:spacing w:line="360" w:lineRule="auto"/>
        <w:ind w:left="420"/>
        <w:rPr>
          <w:rFonts w:ascii="宋体" w:hAnsi="宋体" w:cs="宋体"/>
          <w:szCs w:val="21"/>
        </w:rPr>
      </w:pPr>
      <w:r>
        <w:rPr>
          <w:rFonts w:hint="eastAsia" w:ascii="宋体" w:hAnsi="宋体" w:cs="宋体"/>
          <w:szCs w:val="21"/>
        </w:rPr>
        <w:t>3.6投标文件不得涂改和增删，如有错漏必须修改，修改处须由法定代表人或授权委托人签字或</w:t>
      </w:r>
    </w:p>
    <w:p>
      <w:pPr>
        <w:snapToGrid w:val="0"/>
        <w:spacing w:line="360" w:lineRule="auto"/>
        <w:rPr>
          <w:rFonts w:ascii="宋体" w:hAnsi="宋体" w:cs="宋体"/>
          <w:szCs w:val="21"/>
        </w:rPr>
      </w:pPr>
      <w:r>
        <w:rPr>
          <w:rFonts w:hint="eastAsia" w:ascii="宋体" w:hAnsi="宋体" w:cs="宋体"/>
          <w:szCs w:val="21"/>
        </w:rPr>
        <w:t>盖章。</w:t>
      </w:r>
    </w:p>
    <w:p>
      <w:pPr>
        <w:snapToGrid w:val="0"/>
        <w:spacing w:line="360" w:lineRule="auto"/>
        <w:ind w:firstLine="420" w:firstLineChars="200"/>
        <w:rPr>
          <w:rFonts w:ascii="宋体" w:hAnsi="宋体" w:cs="宋体"/>
          <w:szCs w:val="21"/>
        </w:rPr>
      </w:pPr>
      <w:r>
        <w:rPr>
          <w:rFonts w:hint="eastAsia" w:ascii="宋体" w:hAnsi="宋体" w:cs="宋体"/>
          <w:szCs w:val="21"/>
        </w:rPr>
        <w:t>3.7由于字迹模糊或表达不清引起的后果由投标人负责。</w:t>
      </w:r>
    </w:p>
    <w:p>
      <w:pPr>
        <w:snapToGrid w:val="0"/>
        <w:spacing w:line="360" w:lineRule="auto"/>
        <w:ind w:left="420"/>
        <w:rPr>
          <w:rFonts w:ascii="宋体" w:hAnsi="宋体" w:cs="宋体"/>
          <w:szCs w:val="21"/>
        </w:rPr>
      </w:pPr>
      <w:r>
        <w:rPr>
          <w:rFonts w:hint="eastAsia" w:ascii="宋体" w:hAnsi="宋体" w:cs="宋体"/>
          <w:szCs w:val="21"/>
        </w:rPr>
        <w:t>4.投标报价</w:t>
      </w:r>
    </w:p>
    <w:p>
      <w:pPr>
        <w:spacing w:line="360" w:lineRule="auto"/>
        <w:ind w:firstLine="420" w:firstLineChars="200"/>
        <w:rPr>
          <w:rFonts w:ascii="宋体" w:hAnsi="宋体" w:cs="宋体"/>
          <w:b/>
          <w:bCs/>
          <w:szCs w:val="21"/>
        </w:rPr>
      </w:pPr>
      <w:r>
        <w:rPr>
          <w:rFonts w:hint="eastAsia" w:ascii="宋体" w:hAnsi="宋体" w:cs="宋体"/>
          <w:szCs w:val="21"/>
        </w:rPr>
        <w:t>4.1</w:t>
      </w:r>
      <w:r>
        <w:rPr>
          <w:rFonts w:hint="eastAsia" w:ascii="宋体" w:hAnsi="宋体" w:cs="宋体"/>
          <w:b/>
          <w:bCs/>
          <w:szCs w:val="21"/>
        </w:rPr>
        <w:t>本项目预算金额（最高限价）：</w:t>
      </w:r>
      <w:r>
        <w:rPr>
          <w:rFonts w:hint="eastAsia" w:ascii="宋体" w:hAnsi="宋体" w:cs="宋体"/>
          <w:b/>
          <w:bCs/>
          <w:szCs w:val="21"/>
          <w:u w:val="single"/>
        </w:rPr>
        <w:t>90万元</w:t>
      </w:r>
      <w:r>
        <w:rPr>
          <w:rFonts w:hint="eastAsia" w:ascii="宋体" w:hAnsi="宋体" w:cs="宋体"/>
          <w:b/>
          <w:bCs/>
          <w:szCs w:val="21"/>
        </w:rPr>
        <w:t>。</w:t>
      </w:r>
    </w:p>
    <w:p>
      <w:pPr>
        <w:snapToGrid w:val="0"/>
        <w:spacing w:line="360" w:lineRule="auto"/>
        <w:ind w:firstLine="420" w:firstLineChars="200"/>
        <w:rPr>
          <w:szCs w:val="21"/>
        </w:rPr>
      </w:pPr>
      <w:r>
        <w:rPr>
          <w:rFonts w:hint="eastAsia" w:ascii="宋体" w:hAnsi="宋体" w:cs="宋体"/>
          <w:szCs w:val="21"/>
        </w:rPr>
        <w:t>4.2本项目投标报价为两年承包总费用报价。</w:t>
      </w:r>
      <w:r>
        <w:rPr>
          <w:rFonts w:hAnsi="宋体"/>
          <w:szCs w:val="21"/>
        </w:rPr>
        <w:t>承包总价必须包括</w:t>
      </w:r>
      <w:r>
        <w:rPr>
          <w:rFonts w:hint="eastAsia" w:hAnsi="宋体"/>
          <w:szCs w:val="21"/>
        </w:rPr>
        <w:t>所有为本项目服务的人员费用</w:t>
      </w:r>
      <w:r>
        <w:rPr>
          <w:rFonts w:hAnsi="宋体"/>
          <w:szCs w:val="21"/>
        </w:rPr>
        <w:t>、税费、利润、完成合同所需的一切本身和不可或缺的所有工作开支、政策性文件规定即合同包含的所有风险、责任等各项全部费用，并承担一切风险责任。在合同服务期间内不得违反国家相关政策规定。</w:t>
      </w:r>
    </w:p>
    <w:p>
      <w:pPr>
        <w:snapToGrid w:val="0"/>
        <w:spacing w:line="360" w:lineRule="auto"/>
        <w:ind w:left="420"/>
        <w:rPr>
          <w:rFonts w:ascii="宋体" w:hAnsi="宋体" w:cs="宋体"/>
          <w:szCs w:val="21"/>
        </w:rPr>
      </w:pPr>
      <w:r>
        <w:rPr>
          <w:rFonts w:hint="eastAsia" w:ascii="宋体" w:hAnsi="宋体" w:cs="宋体"/>
          <w:szCs w:val="21"/>
        </w:rPr>
        <w:t>4.3投标人认为为完成本采购文件规定的项目承包内容所发生的直接成本、间接成本、利润、税</w:t>
      </w:r>
    </w:p>
    <w:p>
      <w:pPr>
        <w:snapToGrid w:val="0"/>
        <w:spacing w:line="360" w:lineRule="auto"/>
        <w:rPr>
          <w:rFonts w:ascii="宋体" w:hAnsi="宋体" w:cs="宋体"/>
          <w:szCs w:val="21"/>
        </w:rPr>
      </w:pPr>
      <w:r>
        <w:rPr>
          <w:rFonts w:hint="eastAsia" w:ascii="宋体" w:hAnsi="宋体" w:cs="宋体"/>
          <w:szCs w:val="21"/>
        </w:rPr>
        <w:t>金、政策性文件规定的费用、设备进出场费、原材料价格变化风险等一切费用均应计入投标报价，凡未列入的将被认为均已包含在投标总价中，今后不得以任何理由追加或调整。</w:t>
      </w:r>
    </w:p>
    <w:p>
      <w:pPr>
        <w:snapToGrid w:val="0"/>
        <w:spacing w:line="360" w:lineRule="auto"/>
        <w:ind w:firstLine="420" w:firstLineChars="200"/>
        <w:rPr>
          <w:rFonts w:ascii="宋体" w:hAnsi="宋体" w:cs="宋体"/>
          <w:szCs w:val="21"/>
        </w:rPr>
      </w:pPr>
      <w:r>
        <w:rPr>
          <w:rFonts w:hint="eastAsia" w:ascii="宋体" w:hAnsi="宋体" w:cs="宋体"/>
          <w:szCs w:val="21"/>
        </w:rPr>
        <w:t>4.4投标人必须按第五部分附件中的开标一览表、详细分项报价表[附分项报价详细构成及分析说明]内容填写单价、合价和总价，并由法定代表人或授权代表签署。</w:t>
      </w:r>
    </w:p>
    <w:p>
      <w:pPr>
        <w:snapToGrid w:val="0"/>
        <w:spacing w:line="360" w:lineRule="auto"/>
        <w:ind w:firstLine="420" w:firstLineChars="200"/>
        <w:rPr>
          <w:rFonts w:ascii="宋体" w:hAnsi="宋体" w:cs="宋体"/>
          <w:szCs w:val="21"/>
        </w:rPr>
      </w:pPr>
      <w:r>
        <w:rPr>
          <w:rFonts w:hint="eastAsia" w:ascii="宋体" w:hAnsi="宋体" w:cs="宋体"/>
          <w:szCs w:val="21"/>
        </w:rPr>
        <w:t>注：投标人应根据采购要求，详细说明所能提供的各项具体服务的分项报价内容，并提供报价详细构成及分析说明。</w:t>
      </w:r>
    </w:p>
    <w:p>
      <w:pPr>
        <w:snapToGrid w:val="0"/>
        <w:spacing w:line="360" w:lineRule="auto"/>
        <w:ind w:firstLine="420" w:firstLineChars="200"/>
        <w:rPr>
          <w:rFonts w:ascii="宋体" w:hAnsi="宋体" w:cs="宋体"/>
          <w:szCs w:val="21"/>
        </w:rPr>
      </w:pPr>
      <w:r>
        <w:rPr>
          <w:rFonts w:hint="eastAsia" w:ascii="宋体" w:hAnsi="宋体" w:cs="宋体"/>
          <w:szCs w:val="21"/>
        </w:rPr>
        <w:t>4.5开标一览表及详细分项报价表上的价格须以人民币报价，以其它货币报价的投标将不予接受。</w:t>
      </w:r>
    </w:p>
    <w:p>
      <w:pPr>
        <w:snapToGrid w:val="0"/>
        <w:spacing w:line="360" w:lineRule="auto"/>
        <w:ind w:left="420"/>
        <w:rPr>
          <w:rFonts w:ascii="宋体" w:hAnsi="宋体" w:cs="宋体"/>
          <w:szCs w:val="21"/>
        </w:rPr>
      </w:pPr>
      <w:r>
        <w:rPr>
          <w:rFonts w:hint="eastAsia" w:ascii="宋体" w:hAnsi="宋体" w:cs="宋体"/>
          <w:szCs w:val="21"/>
        </w:rPr>
        <w:t>4.6采购人不接受任何选择报价，只允许一个报价。</w:t>
      </w:r>
    </w:p>
    <w:p>
      <w:pPr>
        <w:snapToGrid w:val="0"/>
        <w:spacing w:line="360" w:lineRule="auto"/>
        <w:ind w:left="420"/>
        <w:rPr>
          <w:rFonts w:ascii="宋体" w:hAnsi="宋体" w:cs="宋体"/>
          <w:szCs w:val="21"/>
        </w:rPr>
      </w:pPr>
      <w:r>
        <w:rPr>
          <w:rFonts w:hint="eastAsia" w:ascii="宋体" w:hAnsi="宋体" w:cs="宋体"/>
          <w:szCs w:val="21"/>
        </w:rPr>
        <w:t>4.7采购人要求分类报价是为了方便评标，但在任何情况下不限制采购人以其认为最合适的条</w:t>
      </w:r>
    </w:p>
    <w:p>
      <w:pPr>
        <w:snapToGrid w:val="0"/>
        <w:spacing w:line="360" w:lineRule="auto"/>
        <w:rPr>
          <w:rFonts w:ascii="宋体" w:hAnsi="宋体" w:cs="宋体"/>
          <w:szCs w:val="21"/>
        </w:rPr>
      </w:pPr>
      <w:r>
        <w:rPr>
          <w:rFonts w:hint="eastAsia" w:ascii="宋体" w:hAnsi="宋体" w:cs="宋体"/>
          <w:szCs w:val="21"/>
        </w:rPr>
        <w:t>款、条件签订合同的权利。</w:t>
      </w:r>
    </w:p>
    <w:p>
      <w:pPr>
        <w:snapToGrid w:val="0"/>
        <w:spacing w:line="360" w:lineRule="auto"/>
        <w:ind w:firstLine="420" w:firstLineChars="200"/>
        <w:rPr>
          <w:rFonts w:ascii="宋体" w:hAnsi="宋体" w:cs="宋体"/>
          <w:szCs w:val="21"/>
        </w:rPr>
      </w:pPr>
      <w:r>
        <w:rPr>
          <w:rFonts w:hint="eastAsia" w:ascii="宋体" w:hAnsi="宋体" w:cs="宋体"/>
          <w:szCs w:val="21"/>
        </w:rPr>
        <w:t>4.8投标人所报的投标价在合同执行过程中是固定不变的，不得以任何理由予以变更。任何包含价格调整的要求，将被认为是非实质性响应投标而予以拒绝。</w:t>
      </w:r>
    </w:p>
    <w:p>
      <w:pPr>
        <w:snapToGrid w:val="0"/>
        <w:spacing w:line="360" w:lineRule="auto"/>
        <w:ind w:left="420"/>
        <w:rPr>
          <w:rFonts w:ascii="宋体" w:hAnsi="宋体" w:cs="宋体"/>
          <w:szCs w:val="21"/>
        </w:rPr>
      </w:pPr>
      <w:r>
        <w:rPr>
          <w:rFonts w:hint="eastAsia" w:ascii="宋体" w:hAnsi="宋体" w:cs="宋体"/>
          <w:szCs w:val="21"/>
        </w:rPr>
        <w:t>5.投标有效期</w:t>
      </w:r>
    </w:p>
    <w:p>
      <w:pPr>
        <w:snapToGrid w:val="0"/>
        <w:spacing w:line="360" w:lineRule="auto"/>
        <w:ind w:left="420"/>
        <w:rPr>
          <w:rFonts w:ascii="宋体" w:hAnsi="宋体" w:cs="宋体"/>
          <w:szCs w:val="21"/>
        </w:rPr>
      </w:pPr>
      <w:r>
        <w:rPr>
          <w:rFonts w:hint="eastAsia" w:ascii="宋体" w:hAnsi="宋体" w:cs="宋体"/>
          <w:szCs w:val="21"/>
        </w:rPr>
        <w:t>5.1▲投标文件从投标文件递交截止之日起，有效期为90天；</w:t>
      </w:r>
    </w:p>
    <w:p>
      <w:pPr>
        <w:snapToGrid w:val="0"/>
        <w:spacing w:line="360" w:lineRule="auto"/>
        <w:ind w:left="420"/>
        <w:rPr>
          <w:rFonts w:ascii="宋体" w:hAnsi="宋体" w:cs="宋体"/>
          <w:szCs w:val="21"/>
        </w:rPr>
      </w:pPr>
      <w:r>
        <w:rPr>
          <w:rFonts w:hint="eastAsia" w:ascii="宋体" w:hAnsi="宋体" w:cs="宋体"/>
          <w:szCs w:val="21"/>
        </w:rPr>
        <w:t>5.2特殊情况下，在原投标文件有效期截止之前，采购人可要求投标人同意延长投标文件有效期。</w:t>
      </w:r>
    </w:p>
    <w:p>
      <w:pPr>
        <w:snapToGrid w:val="0"/>
        <w:spacing w:line="360" w:lineRule="auto"/>
        <w:rPr>
          <w:rFonts w:ascii="宋体" w:hAnsi="宋体" w:cs="宋体"/>
          <w:szCs w:val="21"/>
        </w:rPr>
      </w:pPr>
      <w:r>
        <w:rPr>
          <w:rFonts w:hint="eastAsia" w:ascii="宋体" w:hAnsi="宋体" w:cs="宋体"/>
          <w:szCs w:val="21"/>
        </w:rPr>
        <w:t>这种要求与答复均应以书面形式提交。供应商可拒绝采购人的这种要求。接受延长投标文件有效期的投标人将不会被要求和允许修正投标文件。</w:t>
      </w:r>
    </w:p>
    <w:p>
      <w:pPr>
        <w:pStyle w:val="5"/>
        <w:adjustRightInd w:val="0"/>
        <w:snapToGrid w:val="0"/>
      </w:pPr>
      <w:bookmarkStart w:id="27" w:name="_Toc14685"/>
      <w:r>
        <w:rPr>
          <w:rFonts w:hint="eastAsia"/>
        </w:rPr>
        <w:t>（四）</w:t>
      </w:r>
      <w:r>
        <w:t>投标保证金</w:t>
      </w:r>
    </w:p>
    <w:p>
      <w:pPr>
        <w:pStyle w:val="8"/>
        <w:snapToGrid w:val="0"/>
        <w:spacing w:after="0"/>
        <w:rPr>
          <w:rFonts w:ascii="宋体" w:hAnsi="宋体" w:eastAsia="宋体"/>
          <w:sz w:val="21"/>
          <w:szCs w:val="21"/>
        </w:rPr>
      </w:pPr>
      <w:r>
        <w:rPr>
          <w:rFonts w:ascii="宋体" w:hAnsi="宋体" w:eastAsia="宋体"/>
          <w:sz w:val="21"/>
          <w:szCs w:val="21"/>
        </w:rPr>
        <w:t>本项目不收取投标保证金</w:t>
      </w:r>
      <w:r>
        <w:rPr>
          <w:rFonts w:hint="eastAsia" w:ascii="宋体" w:hAnsi="宋体" w:eastAsia="宋体"/>
          <w:sz w:val="21"/>
          <w:szCs w:val="21"/>
        </w:rPr>
        <w:t>。</w:t>
      </w:r>
    </w:p>
    <w:p>
      <w:pPr>
        <w:pStyle w:val="5"/>
        <w:adjustRightInd w:val="0"/>
        <w:snapToGrid w:val="0"/>
        <w:rPr>
          <w:b w:val="0"/>
          <w:szCs w:val="21"/>
        </w:rPr>
      </w:pPr>
      <w:r>
        <w:rPr>
          <w:rFonts w:hint="eastAsia"/>
        </w:rPr>
        <w:t>（五）</w:t>
      </w:r>
      <w:r>
        <w:t>投标文件的签署及规定</w:t>
      </w:r>
      <w:bookmarkEnd w:id="27"/>
      <w:bookmarkStart w:id="28" w:name="_Toc46418814"/>
      <w:bookmarkStart w:id="29" w:name="_Toc46418674"/>
    </w:p>
    <w:p>
      <w:pPr>
        <w:adjustRightInd w:val="0"/>
        <w:snapToGrid w:val="0"/>
        <w:spacing w:line="360" w:lineRule="auto"/>
        <w:ind w:firstLine="373" w:firstLineChars="177"/>
        <w:outlineLvl w:val="1"/>
        <w:rPr>
          <w:b/>
          <w:szCs w:val="21"/>
        </w:rPr>
      </w:pPr>
      <w:r>
        <w:rPr>
          <w:b/>
          <w:szCs w:val="21"/>
        </w:rPr>
        <w:t>1.</w:t>
      </w:r>
      <w:r>
        <w:rPr>
          <w:rFonts w:hAnsi="宋体"/>
          <w:b/>
          <w:szCs w:val="21"/>
        </w:rPr>
        <w:t>电子投标文件</w:t>
      </w:r>
      <w:bookmarkEnd w:id="28"/>
      <w:bookmarkEnd w:id="29"/>
    </w:p>
    <w:p>
      <w:pPr>
        <w:adjustRightInd w:val="0"/>
        <w:snapToGrid w:val="0"/>
        <w:spacing w:line="360" w:lineRule="auto"/>
        <w:ind w:firstLine="371" w:firstLineChars="177"/>
        <w:outlineLvl w:val="1"/>
        <w:rPr>
          <w:rFonts w:ascii="宋体" w:hAnsi="宋体" w:cs="宋体"/>
          <w:bCs/>
          <w:szCs w:val="21"/>
        </w:rPr>
      </w:pPr>
      <w:bookmarkStart w:id="30" w:name="_Toc46418815"/>
      <w:bookmarkStart w:id="31" w:name="_Toc46418675"/>
      <w:r>
        <w:rPr>
          <w:rFonts w:hint="eastAsia" w:ascii="宋体" w:hAnsi="宋体" w:cs="宋体"/>
          <w:bCs/>
          <w:szCs w:val="21"/>
        </w:rPr>
        <w:t>电子投标文件按政采云平台供应商项目采购-电子招投标操作指南（网址：https://help.zcygov.cn/web/site_2/2018/12-28/2573.html）及本招标文件规定的格式和顺序编制电子投标文件并进行关联定位。</w:t>
      </w:r>
      <w:bookmarkEnd w:id="30"/>
      <w:bookmarkEnd w:id="31"/>
    </w:p>
    <w:p>
      <w:pPr>
        <w:adjustRightInd w:val="0"/>
        <w:snapToGrid w:val="0"/>
        <w:spacing w:line="360" w:lineRule="auto"/>
        <w:ind w:firstLine="371" w:firstLineChars="177"/>
        <w:outlineLvl w:val="1"/>
        <w:rPr>
          <w:b/>
          <w:bCs/>
          <w:szCs w:val="21"/>
        </w:rPr>
      </w:pPr>
      <w:bookmarkStart w:id="32" w:name="_Toc46418676"/>
      <w:bookmarkStart w:id="33" w:name="_Toc46418816"/>
      <w:r>
        <w:rPr>
          <w:szCs w:val="21"/>
        </w:rPr>
        <w:t>2.</w:t>
      </w:r>
      <w:r>
        <w:rPr>
          <w:rFonts w:hAnsi="宋体"/>
          <w:b/>
          <w:bCs/>
          <w:szCs w:val="21"/>
        </w:rPr>
        <w:t>电子备份投标文件</w:t>
      </w:r>
      <w:bookmarkEnd w:id="32"/>
      <w:bookmarkEnd w:id="33"/>
    </w:p>
    <w:p>
      <w:pPr>
        <w:adjustRightInd w:val="0"/>
        <w:snapToGrid w:val="0"/>
        <w:spacing w:line="360" w:lineRule="auto"/>
        <w:ind w:firstLine="371" w:firstLineChars="177"/>
        <w:outlineLvl w:val="1"/>
        <w:rPr>
          <w:rFonts w:ascii="宋体" w:hAnsi="宋体" w:cs="宋体"/>
          <w:bCs/>
          <w:szCs w:val="21"/>
        </w:rPr>
      </w:pPr>
      <w:bookmarkStart w:id="34" w:name="_Toc46418817"/>
      <w:bookmarkStart w:id="35" w:name="_Toc46418677"/>
      <w:r>
        <w:rPr>
          <w:rFonts w:hint="eastAsia" w:ascii="宋体" w:hAnsi="宋体" w:cs="宋体"/>
          <w:bCs/>
          <w:szCs w:val="21"/>
        </w:rPr>
        <w:t>电子备份投标文件按政采云平台供应商项目采购-电子招投标操作指南（网址：https://help.zcygov.cn/web/site_2/2018/12-28/2573.html）中上传的电子投标文件格式的电子投标文件（pdf格式）。</w:t>
      </w:r>
      <w:bookmarkEnd w:id="34"/>
      <w:bookmarkEnd w:id="35"/>
    </w:p>
    <w:p>
      <w:pPr>
        <w:pStyle w:val="5"/>
        <w:adjustRightInd w:val="0"/>
        <w:snapToGrid w:val="0"/>
      </w:pPr>
      <w:bookmarkStart w:id="36" w:name="_Toc28256"/>
      <w:bookmarkStart w:id="37" w:name="_Toc356371437"/>
      <w:r>
        <w:t>（</w:t>
      </w:r>
      <w:r>
        <w:rPr>
          <w:rFonts w:hint="eastAsia"/>
        </w:rPr>
        <w:t>六</w:t>
      </w:r>
      <w:r>
        <w:t>）投标文件的递交</w:t>
      </w:r>
      <w:bookmarkEnd w:id="36"/>
      <w:bookmarkEnd w:id="37"/>
    </w:p>
    <w:p>
      <w:pPr>
        <w:adjustRightInd w:val="0"/>
        <w:snapToGrid w:val="0"/>
        <w:spacing w:line="360" w:lineRule="auto"/>
        <w:rPr>
          <w:rFonts w:ascii="宋体" w:hAnsi="宋体" w:cs="宋体"/>
          <w:szCs w:val="21"/>
        </w:rPr>
      </w:pPr>
      <w:r>
        <w:rPr>
          <w:rFonts w:hint="eastAsia" w:ascii="宋体" w:hAnsi="宋体" w:cs="宋体"/>
          <w:szCs w:val="21"/>
        </w:rPr>
        <w:t xml:space="preserve"> 1.递交投标文件截止期</w:t>
      </w:r>
    </w:p>
    <w:p>
      <w:pPr>
        <w:snapToGrid w:val="0"/>
        <w:spacing w:line="360" w:lineRule="auto"/>
        <w:ind w:firstLine="420" w:firstLineChars="200"/>
        <w:rPr>
          <w:rFonts w:ascii="宋体" w:hAnsi="宋体" w:cs="宋体"/>
          <w:szCs w:val="21"/>
        </w:rPr>
      </w:pPr>
      <w:r>
        <w:rPr>
          <w:rFonts w:hint="eastAsia" w:ascii="宋体" w:hAnsi="宋体" w:cs="宋体"/>
          <w:szCs w:val="21"/>
        </w:rPr>
        <w:t>1.1 投标供应商应在投标截止时间前将“电子加密投标文件”成功上传递交至“政府采购云平台”，否则投标无效。</w:t>
      </w:r>
    </w:p>
    <w:p>
      <w:pPr>
        <w:snapToGrid w:val="0"/>
        <w:spacing w:line="360" w:lineRule="auto"/>
        <w:ind w:left="420"/>
        <w:rPr>
          <w:rFonts w:ascii="宋体" w:hAnsi="宋体" w:cs="宋体"/>
          <w:szCs w:val="21"/>
        </w:rPr>
      </w:pPr>
      <w:r>
        <w:rPr>
          <w:rFonts w:hint="eastAsia" w:ascii="宋体" w:hAnsi="宋体" w:cs="宋体"/>
          <w:szCs w:val="21"/>
        </w:rPr>
        <w:t>2.投标文件的修改和撤销</w:t>
      </w:r>
    </w:p>
    <w:p>
      <w:pPr>
        <w:snapToGrid w:val="0"/>
        <w:spacing w:line="360" w:lineRule="auto"/>
        <w:ind w:left="420"/>
        <w:rPr>
          <w:rFonts w:ascii="宋体" w:hAnsi="宋体" w:cs="宋体"/>
          <w:szCs w:val="21"/>
        </w:rPr>
      </w:pPr>
      <w:r>
        <w:rPr>
          <w:rFonts w:hint="eastAsia" w:ascii="宋体" w:hAnsi="宋体" w:cs="宋体"/>
          <w:szCs w:val="21"/>
        </w:rPr>
        <w:t>2.1供应商应当在投标截止时间前完成投标文件的上传、递交，并可以补充、修改或者撤回投标</w:t>
      </w:r>
    </w:p>
    <w:p>
      <w:pPr>
        <w:snapToGrid w:val="0"/>
        <w:spacing w:line="360" w:lineRule="auto"/>
        <w:rPr>
          <w:rFonts w:ascii="宋体" w:hAnsi="宋体" w:cs="宋体"/>
          <w:szCs w:val="21"/>
        </w:rPr>
      </w:pPr>
      <w:r>
        <w:rPr>
          <w:rFonts w:hint="eastAsia" w:ascii="宋体" w:hAnsi="宋体" w:cs="宋体"/>
          <w:szCs w:val="21"/>
        </w:rPr>
        <w:t>文件。补充或者修改投标文件的，应当先行撤回原文件，补充、修改后重新上传、递交。投标截止时间前未完成上传、递交的，视为撤回投标文件。投标截止时间后递交的投标文件，“政府采购云平台”将予以拒收。</w:t>
      </w:r>
    </w:p>
    <w:p>
      <w:pPr>
        <w:snapToGrid w:val="0"/>
        <w:spacing w:line="360" w:lineRule="auto"/>
        <w:ind w:left="420"/>
        <w:rPr>
          <w:rFonts w:ascii="宋体" w:hAnsi="宋体" w:cs="宋体"/>
          <w:szCs w:val="21"/>
        </w:rPr>
      </w:pPr>
      <w:r>
        <w:rPr>
          <w:rFonts w:hint="eastAsia" w:ascii="宋体" w:hAnsi="宋体" w:cs="宋体"/>
          <w:szCs w:val="21"/>
        </w:rPr>
        <w:t>2.2在递交投标文件截止时间后，供应商不得对其投标文件做任何修改。</w:t>
      </w:r>
    </w:p>
    <w:p>
      <w:pPr>
        <w:snapToGrid w:val="0"/>
        <w:spacing w:line="360" w:lineRule="auto"/>
        <w:ind w:left="420"/>
        <w:rPr>
          <w:rFonts w:ascii="宋体" w:hAnsi="宋体" w:cs="宋体"/>
          <w:szCs w:val="21"/>
        </w:rPr>
      </w:pPr>
      <w:r>
        <w:rPr>
          <w:rFonts w:hint="eastAsia" w:ascii="宋体" w:hAnsi="宋体" w:cs="宋体"/>
          <w:szCs w:val="21"/>
        </w:rPr>
        <w:t>2.3递交投标文件截止时间后，供应商不得撤回其投标文件。</w:t>
      </w:r>
    </w:p>
    <w:p>
      <w:pPr>
        <w:pStyle w:val="5"/>
        <w:numPr>
          <w:ilvl w:val="0"/>
          <w:numId w:val="3"/>
        </w:numPr>
      </w:pPr>
      <w:bookmarkStart w:id="38" w:name="_Toc2881"/>
      <w:bookmarkStart w:id="39" w:name="_Toc356371438"/>
      <w:r>
        <w:t>投标无效的情形</w:t>
      </w:r>
      <w:bookmarkEnd w:id="38"/>
      <w:bookmarkEnd w:id="39"/>
    </w:p>
    <w:p>
      <w:pPr>
        <w:snapToGrid w:val="0"/>
        <w:spacing w:line="360" w:lineRule="auto"/>
        <w:ind w:firstLine="420" w:firstLineChars="200"/>
        <w:rPr>
          <w:rFonts w:ascii="宋体" w:hAnsi="宋体" w:cs="宋体"/>
          <w:szCs w:val="21"/>
        </w:rPr>
      </w:pPr>
      <w:bookmarkStart w:id="40" w:name="_Toc356371439"/>
      <w:r>
        <w:rPr>
          <w:rFonts w:hint="eastAsia" w:ascii="宋体" w:hAnsi="宋体" w:cs="宋体"/>
          <w:szCs w:val="21"/>
        </w:rPr>
        <w:t>1.实质上没有响应招标文件要求的投标将被视为无效投标。投标人不得通过修正或撤消不合要求的偏离或保留从而使其投标成为实质上响应的投标。如发生下列情况之一的，其投标视为无效：</w:t>
      </w:r>
    </w:p>
    <w:p>
      <w:pPr>
        <w:snapToGrid w:val="0"/>
        <w:spacing w:line="360" w:lineRule="auto"/>
        <w:ind w:left="420"/>
        <w:rPr>
          <w:rFonts w:ascii="宋体" w:hAnsi="宋体" w:cs="宋体"/>
          <w:szCs w:val="21"/>
        </w:rPr>
      </w:pPr>
      <w:r>
        <w:rPr>
          <w:rFonts w:hint="eastAsia" w:ascii="宋体" w:hAnsi="宋体" w:cs="宋体"/>
          <w:szCs w:val="21"/>
        </w:rPr>
        <w:t>1.1不具备招标文件规定资格要求；</w:t>
      </w:r>
    </w:p>
    <w:p>
      <w:pPr>
        <w:snapToGrid w:val="0"/>
        <w:spacing w:line="360" w:lineRule="auto"/>
        <w:ind w:left="420"/>
        <w:rPr>
          <w:rFonts w:ascii="宋体" w:hAnsi="宋体" w:cs="宋体"/>
          <w:szCs w:val="21"/>
        </w:rPr>
      </w:pPr>
      <w:r>
        <w:rPr>
          <w:rFonts w:hint="eastAsia" w:ascii="宋体" w:hAnsi="宋体" w:cs="宋体"/>
          <w:szCs w:val="21"/>
        </w:rPr>
        <w:t>1.2投标文件未按招标文件要求签署、盖章的，未有效授权的；</w:t>
      </w:r>
    </w:p>
    <w:p>
      <w:pPr>
        <w:snapToGrid w:val="0"/>
        <w:spacing w:line="360" w:lineRule="auto"/>
        <w:ind w:left="420"/>
        <w:rPr>
          <w:rFonts w:ascii="宋体" w:hAnsi="宋体" w:cs="宋体"/>
          <w:szCs w:val="21"/>
        </w:rPr>
      </w:pPr>
      <w:r>
        <w:rPr>
          <w:rFonts w:hint="eastAsia" w:ascii="宋体" w:hAnsi="宋体" w:cs="宋体"/>
          <w:szCs w:val="21"/>
        </w:rPr>
        <w:t>1.3招标文件中有▲处条款投标人未作实质性响应的；</w:t>
      </w:r>
    </w:p>
    <w:p>
      <w:pPr>
        <w:snapToGrid w:val="0"/>
        <w:spacing w:line="360" w:lineRule="auto"/>
        <w:ind w:left="420"/>
        <w:rPr>
          <w:rFonts w:ascii="宋体" w:hAnsi="宋体" w:cs="宋体"/>
          <w:szCs w:val="21"/>
        </w:rPr>
      </w:pPr>
      <w:r>
        <w:rPr>
          <w:rFonts w:hint="eastAsia" w:ascii="宋体" w:hAnsi="宋体" w:cs="宋体"/>
          <w:szCs w:val="21"/>
        </w:rPr>
        <w:t>1.4资格文件或商务技术文件中包含报价的；</w:t>
      </w:r>
    </w:p>
    <w:p>
      <w:pPr>
        <w:snapToGrid w:val="0"/>
        <w:spacing w:line="360" w:lineRule="auto"/>
        <w:ind w:left="420"/>
        <w:rPr>
          <w:rFonts w:ascii="宋体" w:hAnsi="宋体" w:cs="宋体"/>
          <w:szCs w:val="21"/>
        </w:rPr>
      </w:pPr>
      <w:r>
        <w:rPr>
          <w:rFonts w:hint="eastAsia" w:ascii="宋体" w:hAnsi="宋体" w:cs="宋体"/>
          <w:szCs w:val="21"/>
        </w:rPr>
        <w:t>1.5投标人的报价明显低于其他通过符合性审查投标人的报价，投标人不能证明其报价合理性，并在评标现场合理的时间内提供书面说明与相关证明材料的；</w:t>
      </w:r>
    </w:p>
    <w:p>
      <w:pPr>
        <w:snapToGrid w:val="0"/>
        <w:spacing w:line="360" w:lineRule="auto"/>
        <w:ind w:left="420"/>
        <w:rPr>
          <w:rFonts w:ascii="宋体" w:hAnsi="宋体" w:cs="宋体"/>
          <w:szCs w:val="21"/>
        </w:rPr>
      </w:pPr>
      <w:r>
        <w:rPr>
          <w:rFonts w:hint="eastAsia" w:ascii="宋体" w:hAnsi="宋体" w:cs="宋体"/>
          <w:szCs w:val="21"/>
        </w:rPr>
        <w:t>1.6标报价超过招标文件规定的预算金额或最高限价；</w:t>
      </w:r>
    </w:p>
    <w:p>
      <w:pPr>
        <w:snapToGrid w:val="0"/>
        <w:spacing w:line="360" w:lineRule="auto"/>
        <w:ind w:left="420"/>
        <w:rPr>
          <w:rFonts w:ascii="宋体" w:hAnsi="宋体" w:cs="宋体"/>
          <w:szCs w:val="21"/>
        </w:rPr>
      </w:pPr>
      <w:r>
        <w:rPr>
          <w:rFonts w:hint="eastAsia" w:ascii="宋体" w:hAnsi="宋体" w:cs="宋体"/>
          <w:szCs w:val="21"/>
        </w:rPr>
        <w:t>1.7投标文件关键内容字迹模糊、无法辨认的；</w:t>
      </w:r>
    </w:p>
    <w:p>
      <w:pPr>
        <w:snapToGrid w:val="0"/>
        <w:spacing w:line="360" w:lineRule="auto"/>
        <w:ind w:left="420"/>
        <w:rPr>
          <w:rFonts w:ascii="宋体" w:hAnsi="宋体" w:cs="宋体"/>
          <w:szCs w:val="21"/>
        </w:rPr>
      </w:pPr>
      <w:r>
        <w:rPr>
          <w:rFonts w:hint="eastAsia" w:ascii="宋体" w:hAnsi="宋体" w:cs="宋体"/>
          <w:szCs w:val="21"/>
        </w:rPr>
        <w:t>1.8投标文件含有采购人不能接受的附件条件的；</w:t>
      </w:r>
    </w:p>
    <w:p>
      <w:pPr>
        <w:snapToGrid w:val="0"/>
        <w:spacing w:line="360" w:lineRule="auto"/>
        <w:ind w:left="420"/>
        <w:rPr>
          <w:rFonts w:ascii="宋体" w:hAnsi="宋体" w:cs="宋体"/>
          <w:szCs w:val="21"/>
        </w:rPr>
      </w:pPr>
      <w:r>
        <w:rPr>
          <w:rFonts w:hint="eastAsia" w:ascii="宋体" w:hAnsi="宋体" w:cs="宋体"/>
          <w:szCs w:val="21"/>
        </w:rPr>
        <w:t>1.9报价超出招标文件中规定的预算金额或者最高限价的；</w:t>
      </w:r>
    </w:p>
    <w:p>
      <w:pPr>
        <w:snapToGrid w:val="0"/>
        <w:spacing w:line="360" w:lineRule="auto"/>
        <w:ind w:left="420"/>
        <w:rPr>
          <w:rFonts w:ascii="宋体" w:hAnsi="宋体" w:cs="宋体"/>
          <w:szCs w:val="21"/>
        </w:rPr>
      </w:pPr>
      <w:r>
        <w:rPr>
          <w:rFonts w:hint="eastAsia" w:ascii="宋体" w:hAnsi="宋体" w:cs="宋体"/>
          <w:szCs w:val="21"/>
        </w:rPr>
        <w:t>1.10提供虚假材料谋取中标的；</w:t>
      </w:r>
    </w:p>
    <w:p>
      <w:pPr>
        <w:snapToGrid w:val="0"/>
        <w:spacing w:line="360" w:lineRule="auto"/>
        <w:ind w:left="420"/>
        <w:rPr>
          <w:rFonts w:ascii="宋体" w:hAnsi="宋体" w:cs="宋体"/>
          <w:szCs w:val="21"/>
        </w:rPr>
      </w:pPr>
      <w:r>
        <w:rPr>
          <w:rFonts w:hint="eastAsia" w:ascii="宋体" w:hAnsi="宋体" w:cs="宋体"/>
          <w:szCs w:val="21"/>
        </w:rPr>
        <w:t>1.11投标人串通投标的；</w:t>
      </w:r>
    </w:p>
    <w:p>
      <w:pPr>
        <w:snapToGrid w:val="0"/>
        <w:spacing w:line="360" w:lineRule="auto"/>
        <w:ind w:left="420"/>
        <w:rPr>
          <w:rFonts w:ascii="宋体" w:hAnsi="宋体" w:cs="宋体"/>
          <w:szCs w:val="21"/>
        </w:rPr>
      </w:pPr>
      <w:r>
        <w:rPr>
          <w:rFonts w:hint="eastAsia" w:ascii="宋体" w:hAnsi="宋体" w:cs="宋体"/>
          <w:szCs w:val="21"/>
        </w:rPr>
        <w:t>1.12电子投标文件解密失败的，且未在规定时间内提交电子备份投标文件的；</w:t>
      </w:r>
    </w:p>
    <w:p>
      <w:pPr>
        <w:snapToGrid w:val="0"/>
        <w:spacing w:line="360" w:lineRule="auto"/>
        <w:ind w:left="420"/>
        <w:rPr>
          <w:rFonts w:ascii="宋体" w:hAnsi="宋体" w:cs="宋体"/>
          <w:szCs w:val="21"/>
        </w:rPr>
      </w:pPr>
      <w:r>
        <w:rPr>
          <w:rFonts w:hint="eastAsia" w:ascii="宋体" w:hAnsi="宋体" w:cs="宋体"/>
          <w:szCs w:val="21"/>
        </w:rPr>
        <w:t>1.13仅提交“备份投标文件”的；</w:t>
      </w:r>
    </w:p>
    <w:p>
      <w:pPr>
        <w:snapToGrid w:val="0"/>
        <w:spacing w:line="360" w:lineRule="auto"/>
        <w:ind w:left="420"/>
        <w:rPr>
          <w:rFonts w:ascii="宋体" w:hAnsi="宋体" w:cs="宋体"/>
          <w:szCs w:val="21"/>
        </w:rPr>
      </w:pPr>
      <w:r>
        <w:rPr>
          <w:rFonts w:hint="eastAsia" w:ascii="宋体" w:hAnsi="宋体" w:cs="宋体"/>
          <w:szCs w:val="21"/>
        </w:rPr>
        <w:t>1.14电子投标文件未按规定要求提供电子签章的；</w:t>
      </w:r>
    </w:p>
    <w:p>
      <w:pPr>
        <w:snapToGrid w:val="0"/>
        <w:spacing w:line="360" w:lineRule="auto"/>
        <w:ind w:left="420"/>
        <w:rPr>
          <w:rFonts w:ascii="宋体" w:hAnsi="宋体" w:cs="宋体"/>
          <w:szCs w:val="21"/>
        </w:rPr>
      </w:pPr>
      <w:r>
        <w:rPr>
          <w:rFonts w:hint="eastAsia" w:ascii="宋体" w:hAnsi="宋体" w:cs="宋体"/>
          <w:szCs w:val="21"/>
        </w:rPr>
        <w:t>1.15电子备份投标文件启用后，未按规定要求提供电子签章的；</w:t>
      </w:r>
    </w:p>
    <w:p>
      <w:pPr>
        <w:snapToGrid w:val="0"/>
        <w:spacing w:line="360" w:lineRule="auto"/>
        <w:ind w:left="420"/>
        <w:rPr>
          <w:rFonts w:ascii="宋体" w:hAnsi="宋体" w:cs="宋体"/>
          <w:szCs w:val="21"/>
        </w:rPr>
      </w:pPr>
      <w:r>
        <w:rPr>
          <w:rFonts w:hint="eastAsia" w:ascii="宋体" w:hAnsi="宋体" w:cs="宋体"/>
          <w:szCs w:val="21"/>
        </w:rPr>
        <w:t>1.16不符合法律、法规和招标文件规定的其他实质性要求的。</w:t>
      </w:r>
    </w:p>
    <w:p>
      <w:pPr>
        <w:pStyle w:val="5"/>
      </w:pPr>
      <w:bookmarkStart w:id="41" w:name="串通投标的情形"/>
      <w:r>
        <w:rPr>
          <w:rFonts w:hint="eastAsia"/>
        </w:rPr>
        <w:t>（八）</w:t>
      </w:r>
      <w:r>
        <w:t>串通投标的情形</w:t>
      </w:r>
    </w:p>
    <w:bookmarkEnd w:id="41"/>
    <w:p>
      <w:pPr>
        <w:pStyle w:val="49"/>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pStyle w:val="49"/>
        <w:numPr>
          <w:ilvl w:val="1"/>
          <w:numId w:val="2"/>
        </w:numPr>
        <w:snapToGrid w:val="0"/>
        <w:spacing w:line="360" w:lineRule="auto"/>
        <w:ind w:firstLine="560"/>
        <w:rPr>
          <w:rFonts w:ascii="Times New Roman" w:hAnsi="Times New Roman" w:eastAsia="宋体"/>
          <w:bCs/>
          <w:vanish/>
          <w:szCs w:val="28"/>
        </w:rPr>
      </w:pPr>
    </w:p>
    <w:p>
      <w:pPr>
        <w:snapToGrid w:val="0"/>
        <w:spacing w:line="360" w:lineRule="auto"/>
        <w:ind w:firstLine="420" w:firstLineChars="200"/>
        <w:rPr>
          <w:rFonts w:ascii="宋体" w:hAnsi="宋体" w:cs="宋体"/>
          <w:szCs w:val="21"/>
        </w:rPr>
      </w:pPr>
      <w:r>
        <w:rPr>
          <w:rFonts w:hint="eastAsia" w:ascii="宋体" w:hAnsi="宋体" w:cs="宋体"/>
          <w:szCs w:val="21"/>
        </w:rPr>
        <w:t>1.不同投标人的投标文件由同一单位或者个人编制；</w:t>
      </w:r>
    </w:p>
    <w:p>
      <w:pPr>
        <w:snapToGrid w:val="0"/>
        <w:spacing w:line="360" w:lineRule="auto"/>
        <w:ind w:firstLine="420" w:firstLineChars="200"/>
        <w:rPr>
          <w:rFonts w:ascii="宋体" w:hAnsi="宋体" w:cs="宋体"/>
          <w:szCs w:val="21"/>
        </w:rPr>
      </w:pPr>
      <w:r>
        <w:rPr>
          <w:rFonts w:hint="eastAsia" w:ascii="宋体" w:hAnsi="宋体" w:cs="宋体"/>
          <w:szCs w:val="21"/>
        </w:rPr>
        <w:t>2.不同投标人委托同一单位或者个人办理投标事宜；</w:t>
      </w:r>
    </w:p>
    <w:p>
      <w:pPr>
        <w:snapToGrid w:val="0"/>
        <w:spacing w:line="360" w:lineRule="auto"/>
        <w:ind w:firstLine="420" w:firstLineChars="200"/>
        <w:rPr>
          <w:rFonts w:ascii="宋体" w:hAnsi="宋体" w:cs="宋体"/>
          <w:szCs w:val="21"/>
        </w:rPr>
      </w:pPr>
      <w:r>
        <w:rPr>
          <w:rFonts w:hint="eastAsia" w:ascii="宋体" w:hAnsi="宋体" w:cs="宋体"/>
          <w:szCs w:val="21"/>
        </w:rPr>
        <w:t>3.不同投标人的投标文件载明的项目管理成员或者联系人员为同一人；</w:t>
      </w:r>
    </w:p>
    <w:p>
      <w:pPr>
        <w:snapToGrid w:val="0"/>
        <w:spacing w:line="360" w:lineRule="auto"/>
        <w:ind w:firstLine="420" w:firstLineChars="200"/>
        <w:rPr>
          <w:rFonts w:ascii="宋体" w:hAnsi="宋体" w:cs="宋体"/>
          <w:szCs w:val="21"/>
        </w:rPr>
      </w:pPr>
      <w:r>
        <w:rPr>
          <w:rFonts w:hint="eastAsia" w:ascii="宋体" w:hAnsi="宋体" w:cs="宋体"/>
          <w:szCs w:val="21"/>
        </w:rPr>
        <w:t>4.不同投标人的投标文件异常一致或者投标报价呈规律性差异；</w:t>
      </w:r>
    </w:p>
    <w:p>
      <w:pPr>
        <w:snapToGrid w:val="0"/>
        <w:spacing w:line="360" w:lineRule="auto"/>
        <w:ind w:firstLine="420" w:firstLineChars="200"/>
        <w:rPr>
          <w:rFonts w:ascii="宋体" w:hAnsi="宋体" w:cs="宋体"/>
          <w:szCs w:val="21"/>
        </w:rPr>
      </w:pPr>
      <w:r>
        <w:rPr>
          <w:rFonts w:hint="eastAsia" w:ascii="宋体" w:hAnsi="宋体" w:cs="宋体"/>
          <w:szCs w:val="21"/>
        </w:rPr>
        <w:t>5.不同投标人的投标文件相互混装；</w:t>
      </w:r>
    </w:p>
    <w:p>
      <w:pPr>
        <w:pStyle w:val="2"/>
        <w:rPr>
          <w:rFonts w:ascii="宋体" w:hAnsi="宋体" w:cs="宋体"/>
          <w:sz w:val="21"/>
          <w:szCs w:val="21"/>
        </w:rPr>
      </w:pPr>
      <w:r>
        <w:rPr>
          <w:rFonts w:hint="eastAsia" w:ascii="宋体" w:hAnsi="宋体" w:cs="宋体"/>
          <w:sz w:val="21"/>
          <w:szCs w:val="21"/>
        </w:rPr>
        <w:t>6.符合法律、法规和招标文件规定的其他要求的。</w:t>
      </w:r>
    </w:p>
    <w:p>
      <w:pPr>
        <w:pStyle w:val="5"/>
      </w:pPr>
      <w:bookmarkStart w:id="42" w:name="_Toc20496"/>
      <w:bookmarkStart w:id="43" w:name="_Toc359592368"/>
      <w:r>
        <w:rPr>
          <w:rFonts w:hint="eastAsia"/>
        </w:rPr>
        <w:t>（九）</w:t>
      </w:r>
      <w:r>
        <w:t>废标的情形</w:t>
      </w:r>
      <w:bookmarkEnd w:id="42"/>
      <w:bookmarkEnd w:id="43"/>
    </w:p>
    <w:p>
      <w:pPr>
        <w:snapToGrid w:val="0"/>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采购中，出现下列情形之一的，应予废标，废标后，采购人将废标理由通知所有投标人：</w:t>
      </w:r>
    </w:p>
    <w:p>
      <w:pPr>
        <w:snapToGrid w:val="0"/>
        <w:spacing w:line="360" w:lineRule="auto"/>
        <w:ind w:firstLine="420" w:firstLineChars="200"/>
        <w:rPr>
          <w:rFonts w:ascii="宋体" w:hAnsi="宋体" w:cs="宋体"/>
          <w:szCs w:val="21"/>
        </w:rPr>
      </w:pPr>
      <w:r>
        <w:rPr>
          <w:rFonts w:hint="eastAsia" w:ascii="宋体" w:hAnsi="宋体" w:cs="宋体"/>
          <w:szCs w:val="21"/>
        </w:rPr>
        <w:t>1.1</w:t>
      </w:r>
      <w:r>
        <w:rPr>
          <w:rFonts w:ascii="宋体" w:hAnsi="宋体" w:cs="宋体"/>
          <w:szCs w:val="21"/>
        </w:rPr>
        <w:t>符合专业条件的投标人或对招标文件作实质性响应的投标人不足三家的；</w:t>
      </w:r>
    </w:p>
    <w:p>
      <w:pPr>
        <w:snapToGrid w:val="0"/>
        <w:spacing w:line="360" w:lineRule="auto"/>
        <w:ind w:firstLine="420" w:firstLineChars="200"/>
        <w:rPr>
          <w:rFonts w:ascii="宋体" w:hAnsi="宋体" w:cs="宋体"/>
          <w:szCs w:val="21"/>
        </w:rPr>
      </w:pPr>
      <w:r>
        <w:rPr>
          <w:rFonts w:hint="eastAsia" w:ascii="宋体" w:hAnsi="宋体" w:cs="宋体"/>
          <w:szCs w:val="21"/>
        </w:rPr>
        <w:t>1.2</w:t>
      </w:r>
      <w:r>
        <w:rPr>
          <w:rFonts w:ascii="宋体" w:hAnsi="宋体" w:cs="宋体"/>
          <w:szCs w:val="21"/>
        </w:rPr>
        <w:t>出现影响采购公证的违法、违规行为的；</w:t>
      </w:r>
    </w:p>
    <w:p>
      <w:pPr>
        <w:snapToGrid w:val="0"/>
        <w:spacing w:line="360" w:lineRule="auto"/>
        <w:ind w:firstLine="420" w:firstLineChars="200"/>
        <w:rPr>
          <w:rFonts w:ascii="宋体" w:hAnsi="宋体" w:cs="宋体"/>
          <w:szCs w:val="21"/>
        </w:rPr>
      </w:pPr>
      <w:r>
        <w:rPr>
          <w:rFonts w:hint="eastAsia" w:ascii="宋体" w:hAnsi="宋体" w:cs="宋体"/>
          <w:szCs w:val="21"/>
        </w:rPr>
        <w:t>1.3</w:t>
      </w:r>
      <w:r>
        <w:rPr>
          <w:rFonts w:ascii="宋体" w:hAnsi="宋体" w:cs="宋体"/>
          <w:szCs w:val="21"/>
        </w:rPr>
        <w:t>投标人的报价均超过了采购预算（最高限价），采购人不能支付的；</w:t>
      </w:r>
    </w:p>
    <w:p>
      <w:pPr>
        <w:snapToGrid w:val="0"/>
        <w:spacing w:line="360" w:lineRule="auto"/>
        <w:ind w:firstLine="420" w:firstLineChars="200"/>
        <w:rPr>
          <w:rFonts w:ascii="宋体" w:hAnsi="宋体" w:cs="宋体"/>
          <w:szCs w:val="21"/>
        </w:rPr>
      </w:pPr>
      <w:r>
        <w:rPr>
          <w:rFonts w:hint="eastAsia" w:ascii="宋体" w:hAnsi="宋体" w:cs="宋体"/>
          <w:szCs w:val="21"/>
        </w:rPr>
        <w:t>1.4</w:t>
      </w:r>
      <w:r>
        <w:rPr>
          <w:rFonts w:ascii="宋体" w:hAnsi="宋体" w:cs="宋体"/>
          <w:szCs w:val="21"/>
        </w:rPr>
        <w:t>因重大变故，采购任务取消的。</w:t>
      </w:r>
    </w:p>
    <w:p>
      <w:pPr>
        <w:pStyle w:val="5"/>
      </w:pPr>
      <w:bookmarkStart w:id="44" w:name="_Toc446"/>
      <w:r>
        <w:rPr>
          <w:rFonts w:hint="eastAsia"/>
        </w:rPr>
        <w:t>（十）</w:t>
      </w:r>
      <w:r>
        <w:t>开标</w:t>
      </w:r>
      <w:bookmarkEnd w:id="40"/>
      <w:r>
        <w:t>和评标</w:t>
      </w:r>
      <w:bookmarkEnd w:id="44"/>
    </w:p>
    <w:p>
      <w:pPr>
        <w:snapToGrid w:val="0"/>
        <w:spacing w:line="360" w:lineRule="auto"/>
        <w:ind w:left="420"/>
        <w:rPr>
          <w:rFonts w:ascii="宋体" w:hAnsi="宋体" w:cs="宋体"/>
          <w:szCs w:val="21"/>
        </w:rPr>
      </w:pPr>
      <w:r>
        <w:rPr>
          <w:rFonts w:hint="eastAsia" w:ascii="宋体" w:hAnsi="宋体" w:cs="宋体"/>
          <w:szCs w:val="21"/>
        </w:rPr>
        <w:t>1.开标</w:t>
      </w:r>
    </w:p>
    <w:p>
      <w:pPr>
        <w:snapToGrid w:val="0"/>
        <w:spacing w:line="360" w:lineRule="auto"/>
        <w:ind w:left="420"/>
        <w:rPr>
          <w:rFonts w:ascii="宋体" w:hAnsi="宋体" w:cs="宋体"/>
          <w:szCs w:val="21"/>
        </w:rPr>
      </w:pPr>
      <w:r>
        <w:rPr>
          <w:rFonts w:hint="eastAsia" w:ascii="宋体" w:hAnsi="宋体" w:cs="宋体"/>
          <w:szCs w:val="21"/>
        </w:rPr>
        <w:t>1.1招标人在规定的日期、时间和地点组织招标会。</w:t>
      </w:r>
    </w:p>
    <w:p>
      <w:pPr>
        <w:snapToGrid w:val="0"/>
        <w:spacing w:line="360" w:lineRule="auto"/>
        <w:ind w:left="420"/>
        <w:rPr>
          <w:rFonts w:ascii="宋体" w:hAnsi="宋体" w:cs="宋体"/>
          <w:szCs w:val="21"/>
        </w:rPr>
      </w:pPr>
      <w:r>
        <w:rPr>
          <w:rFonts w:hint="eastAsia" w:ascii="宋体" w:hAnsi="宋体" w:cs="宋体"/>
          <w:szCs w:val="21"/>
        </w:rPr>
        <w:t>1.2投标截止时间后，投标人登录政采云平台，用“项目采购-开标评标”功能对电子投标文件</w:t>
      </w:r>
    </w:p>
    <w:p>
      <w:pPr>
        <w:snapToGrid w:val="0"/>
        <w:spacing w:line="360" w:lineRule="auto"/>
        <w:rPr>
          <w:rFonts w:ascii="宋体" w:hAnsi="宋体" w:cs="宋体"/>
          <w:szCs w:val="21"/>
        </w:rPr>
      </w:pPr>
      <w:r>
        <w:rPr>
          <w:rFonts w:hint="eastAsia" w:ascii="宋体" w:hAnsi="宋体" w:cs="宋体"/>
          <w:szCs w:val="21"/>
        </w:rPr>
        <w:t>进行在线解密。在线解密电子投标文件时间为开标时间起30分钟内。</w:t>
      </w:r>
    </w:p>
    <w:p>
      <w:pPr>
        <w:snapToGrid w:val="0"/>
        <w:spacing w:line="360" w:lineRule="auto"/>
        <w:ind w:left="420"/>
        <w:rPr>
          <w:rFonts w:ascii="宋体" w:hAnsi="宋体" w:cs="宋体"/>
          <w:szCs w:val="21"/>
        </w:rPr>
      </w:pPr>
      <w:r>
        <w:rPr>
          <w:rFonts w:hint="eastAsia" w:ascii="宋体" w:hAnsi="宋体" w:cs="宋体"/>
          <w:szCs w:val="21"/>
        </w:rPr>
        <w:t>1.3招标人或采购代理机构依法对投标人的资格进行审查 ，若资格审查不符合招标文件要求，</w:t>
      </w:r>
    </w:p>
    <w:p>
      <w:pPr>
        <w:snapToGrid w:val="0"/>
        <w:spacing w:line="360" w:lineRule="auto"/>
        <w:rPr>
          <w:rFonts w:ascii="宋体" w:hAnsi="宋体" w:cs="宋体"/>
          <w:szCs w:val="21"/>
        </w:rPr>
      </w:pPr>
      <w:r>
        <w:rPr>
          <w:rFonts w:hint="eastAsia" w:ascii="宋体" w:hAnsi="宋体" w:cs="宋体"/>
          <w:szCs w:val="21"/>
        </w:rPr>
        <w:t>即终止其参与投标资格。</w:t>
      </w:r>
    </w:p>
    <w:p>
      <w:pPr>
        <w:snapToGrid w:val="0"/>
        <w:spacing w:line="360" w:lineRule="auto"/>
        <w:ind w:left="420"/>
        <w:rPr>
          <w:rFonts w:ascii="宋体" w:hAnsi="宋体" w:cs="宋体"/>
          <w:szCs w:val="21"/>
        </w:rPr>
      </w:pPr>
      <w:bookmarkStart w:id="45" w:name="_Toc356371440"/>
      <w:r>
        <w:rPr>
          <w:rFonts w:hint="eastAsia" w:ascii="宋体" w:hAnsi="宋体" w:cs="宋体"/>
          <w:szCs w:val="21"/>
        </w:rPr>
        <w:t>2.评标委员会</w:t>
      </w:r>
    </w:p>
    <w:p>
      <w:pPr>
        <w:snapToGrid w:val="0"/>
        <w:spacing w:line="360" w:lineRule="auto"/>
        <w:ind w:left="420"/>
        <w:rPr>
          <w:rFonts w:ascii="宋体" w:hAnsi="宋体" w:cs="宋体"/>
          <w:szCs w:val="21"/>
        </w:rPr>
      </w:pPr>
      <w:r>
        <w:rPr>
          <w:rFonts w:hint="eastAsia" w:ascii="宋体" w:hAnsi="宋体" w:cs="宋体"/>
          <w:szCs w:val="21"/>
        </w:rPr>
        <w:t>2.1招标人和采购代理机构将根据招标采购货物的特点依法组建评标委员会，其成员由技术、经</w:t>
      </w:r>
    </w:p>
    <w:p>
      <w:pPr>
        <w:snapToGrid w:val="0"/>
        <w:spacing w:line="360" w:lineRule="auto"/>
        <w:rPr>
          <w:rFonts w:ascii="宋体" w:hAnsi="宋体" w:cs="宋体"/>
          <w:szCs w:val="21"/>
        </w:rPr>
      </w:pPr>
      <w:r>
        <w:rPr>
          <w:rFonts w:hint="eastAsia" w:ascii="宋体" w:hAnsi="宋体" w:cs="宋体"/>
          <w:szCs w:val="21"/>
        </w:rPr>
        <w:t>济等方面的专家和招标人代表组成。评标委员会对投标文件进行审查、询标、评议和推荐中标候选人。</w:t>
      </w:r>
    </w:p>
    <w:p>
      <w:pPr>
        <w:snapToGrid w:val="0"/>
        <w:spacing w:line="360" w:lineRule="auto"/>
        <w:ind w:left="420"/>
        <w:rPr>
          <w:rFonts w:ascii="宋体" w:hAnsi="宋体" w:cs="宋体"/>
          <w:szCs w:val="21"/>
        </w:rPr>
      </w:pPr>
      <w:r>
        <w:rPr>
          <w:rFonts w:hint="eastAsia" w:ascii="宋体" w:hAnsi="宋体" w:cs="宋体"/>
          <w:szCs w:val="21"/>
        </w:rPr>
        <w:t>2.2在评标期间，若有需要投标人应派代表在线参加询标。</w:t>
      </w:r>
    </w:p>
    <w:p>
      <w:pPr>
        <w:snapToGrid w:val="0"/>
        <w:spacing w:line="360" w:lineRule="auto"/>
        <w:ind w:left="420"/>
        <w:rPr>
          <w:rFonts w:ascii="宋体" w:hAnsi="宋体" w:cs="宋体"/>
          <w:szCs w:val="21"/>
        </w:rPr>
      </w:pPr>
      <w:r>
        <w:rPr>
          <w:rFonts w:hint="eastAsia" w:ascii="宋体" w:hAnsi="宋体" w:cs="宋体"/>
          <w:szCs w:val="21"/>
        </w:rPr>
        <w:t>3.对投标文件的审查和响应性的确定</w:t>
      </w:r>
    </w:p>
    <w:p>
      <w:pPr>
        <w:snapToGrid w:val="0"/>
        <w:spacing w:line="360" w:lineRule="auto"/>
        <w:ind w:left="420"/>
        <w:rPr>
          <w:rFonts w:ascii="宋体" w:hAnsi="宋体" w:cs="宋体"/>
          <w:szCs w:val="21"/>
        </w:rPr>
      </w:pPr>
      <w:r>
        <w:rPr>
          <w:rFonts w:hint="eastAsia" w:ascii="宋体" w:hAnsi="宋体" w:cs="宋体"/>
          <w:szCs w:val="21"/>
        </w:rPr>
        <w:t>3.1评标委员会将审查投标文件是否真实、完整，总体编排是否有序，文件签署是否正确，有无</w:t>
      </w:r>
    </w:p>
    <w:p>
      <w:pPr>
        <w:snapToGrid w:val="0"/>
        <w:spacing w:line="360" w:lineRule="auto"/>
        <w:rPr>
          <w:rFonts w:ascii="宋体" w:hAnsi="宋体" w:cs="宋体"/>
          <w:szCs w:val="21"/>
        </w:rPr>
      </w:pPr>
      <w:r>
        <w:rPr>
          <w:rFonts w:hint="eastAsia" w:ascii="宋体" w:hAnsi="宋体" w:cs="宋体"/>
          <w:szCs w:val="21"/>
        </w:rPr>
        <w:t>计算上的错误等。</w:t>
      </w:r>
    </w:p>
    <w:p>
      <w:pPr>
        <w:snapToGrid w:val="0"/>
        <w:spacing w:line="360" w:lineRule="auto"/>
        <w:ind w:left="420"/>
        <w:rPr>
          <w:rFonts w:ascii="宋体" w:hAnsi="宋体" w:cs="宋体"/>
          <w:szCs w:val="21"/>
        </w:rPr>
      </w:pPr>
      <w:r>
        <w:rPr>
          <w:rFonts w:hint="eastAsia" w:ascii="宋体" w:hAnsi="宋体" w:cs="宋体"/>
          <w:szCs w:val="21"/>
        </w:rPr>
        <w:t>4.算术错误将按以下方法更正:</w:t>
      </w:r>
    </w:p>
    <w:p>
      <w:pPr>
        <w:snapToGrid w:val="0"/>
        <w:spacing w:line="360" w:lineRule="auto"/>
        <w:ind w:left="420"/>
        <w:rPr>
          <w:rFonts w:ascii="宋体" w:hAnsi="宋体" w:cs="宋体"/>
          <w:szCs w:val="21"/>
        </w:rPr>
      </w:pPr>
      <w:r>
        <w:rPr>
          <w:rFonts w:hint="eastAsia" w:ascii="宋体" w:hAnsi="宋体" w:cs="宋体"/>
          <w:szCs w:val="21"/>
        </w:rPr>
        <w:t>4.1开标时，投标文件中开标一览表（报价表）内容与投标文件中明细表内容不一致的，以开标</w:t>
      </w:r>
    </w:p>
    <w:p>
      <w:pPr>
        <w:snapToGrid w:val="0"/>
        <w:spacing w:line="360" w:lineRule="auto"/>
        <w:rPr>
          <w:rFonts w:ascii="宋体" w:hAnsi="宋体" w:cs="宋体"/>
          <w:szCs w:val="21"/>
        </w:rPr>
      </w:pPr>
      <w:r>
        <w:rPr>
          <w:rFonts w:hint="eastAsia" w:ascii="宋体" w:hAnsi="宋体" w:cs="宋体"/>
          <w:szCs w:val="21"/>
        </w:rPr>
        <w:t>一览表（报价表）为准；</w:t>
      </w:r>
    </w:p>
    <w:p>
      <w:pPr>
        <w:snapToGrid w:val="0"/>
        <w:spacing w:line="360" w:lineRule="auto"/>
        <w:ind w:left="420"/>
        <w:rPr>
          <w:rFonts w:ascii="宋体" w:hAnsi="宋体" w:cs="宋体"/>
          <w:szCs w:val="21"/>
        </w:rPr>
      </w:pPr>
      <w:r>
        <w:rPr>
          <w:rFonts w:hint="eastAsia" w:ascii="宋体" w:hAnsi="宋体" w:cs="宋体"/>
          <w:szCs w:val="21"/>
        </w:rPr>
        <w:t>4.2投标文件的大写金额和小写金额不一致的，以大写金额为准；</w:t>
      </w:r>
    </w:p>
    <w:p>
      <w:pPr>
        <w:snapToGrid w:val="0"/>
        <w:spacing w:line="360" w:lineRule="auto"/>
        <w:ind w:left="420"/>
        <w:rPr>
          <w:rFonts w:ascii="宋体" w:hAnsi="宋体" w:cs="宋体"/>
          <w:szCs w:val="21"/>
        </w:rPr>
      </w:pPr>
      <w:r>
        <w:rPr>
          <w:rFonts w:hint="eastAsia" w:ascii="宋体" w:hAnsi="宋体" w:cs="宋体"/>
          <w:szCs w:val="21"/>
        </w:rPr>
        <w:t>4.3单价金额小数点或百分比有明显错位的，以开标一览表的总价为准，并修改单价；</w:t>
      </w:r>
    </w:p>
    <w:p>
      <w:pPr>
        <w:snapToGrid w:val="0"/>
        <w:spacing w:line="360" w:lineRule="auto"/>
        <w:ind w:left="420"/>
        <w:rPr>
          <w:rFonts w:ascii="宋体" w:hAnsi="宋体" w:cs="宋体"/>
          <w:szCs w:val="21"/>
        </w:rPr>
      </w:pPr>
      <w:r>
        <w:rPr>
          <w:rFonts w:hint="eastAsia" w:ascii="宋体" w:hAnsi="宋体" w:cs="宋体"/>
          <w:szCs w:val="21"/>
        </w:rPr>
        <w:t>4.4总价金额与按单价汇总金额不一致的，以单价金额计算结果为准；同时出现两种以上不一致</w:t>
      </w:r>
    </w:p>
    <w:p>
      <w:pPr>
        <w:snapToGrid w:val="0"/>
        <w:spacing w:line="360" w:lineRule="auto"/>
        <w:rPr>
          <w:rFonts w:ascii="宋体" w:hAnsi="宋体" w:cs="宋体"/>
          <w:szCs w:val="21"/>
        </w:rPr>
      </w:pPr>
      <w:r>
        <w:rPr>
          <w:rFonts w:hint="eastAsia" w:ascii="宋体" w:hAnsi="宋体" w:cs="宋体"/>
          <w:szCs w:val="21"/>
        </w:rPr>
        <w:t>的，按照前款规定的顺序修正，修正后的报价应经投标人书面（或通过“政府采购云平台”在线询标）确认，投标人不予确认的，其投标无效。</w:t>
      </w:r>
      <w:r>
        <w:rPr>
          <w:rFonts w:hint="eastAsia" w:ascii="宋体" w:hAnsi="宋体" w:cs="宋体"/>
          <w:kern w:val="0"/>
          <w:szCs w:val="21"/>
        </w:rPr>
        <w:t>投标投标人澄清、说明或补正时间为30分钟。</w:t>
      </w:r>
    </w:p>
    <w:p>
      <w:pPr>
        <w:snapToGrid w:val="0"/>
        <w:spacing w:line="360" w:lineRule="auto"/>
        <w:ind w:firstLine="420" w:firstLineChars="200"/>
        <w:rPr>
          <w:rFonts w:ascii="宋体" w:hAnsi="宋体" w:cs="宋体"/>
          <w:bCs/>
          <w:szCs w:val="21"/>
        </w:rPr>
      </w:pPr>
      <w:r>
        <w:rPr>
          <w:rFonts w:hint="eastAsia" w:ascii="宋体" w:hAnsi="宋体" w:cs="宋体"/>
          <w:bCs/>
          <w:szCs w:val="21"/>
        </w:rPr>
        <w:t>4.5对不同文字文本投标文件的解释发生异议的，以中文文本为准。</w:t>
      </w:r>
    </w:p>
    <w:p>
      <w:pPr>
        <w:snapToGrid w:val="0"/>
        <w:spacing w:line="360" w:lineRule="auto"/>
        <w:ind w:left="420"/>
        <w:rPr>
          <w:rFonts w:ascii="宋体" w:hAnsi="宋体" w:cs="宋体"/>
          <w:szCs w:val="21"/>
        </w:rPr>
      </w:pPr>
      <w:r>
        <w:rPr>
          <w:rFonts w:hint="eastAsia" w:ascii="宋体" w:hAnsi="宋体" w:cs="宋体"/>
          <w:szCs w:val="21"/>
        </w:rPr>
        <w:t>5.评标</w:t>
      </w:r>
    </w:p>
    <w:p>
      <w:pPr>
        <w:snapToGrid w:val="0"/>
        <w:spacing w:line="360" w:lineRule="auto"/>
        <w:ind w:left="420"/>
        <w:rPr>
          <w:rFonts w:ascii="宋体" w:hAnsi="宋体" w:cs="宋体"/>
          <w:szCs w:val="21"/>
        </w:rPr>
      </w:pPr>
      <w:r>
        <w:rPr>
          <w:rFonts w:hint="eastAsia" w:ascii="宋体" w:hAnsi="宋体" w:cs="宋体"/>
          <w:szCs w:val="21"/>
        </w:rPr>
        <w:t xml:space="preserve">5.1评定原则：根据符合采购需求、质量和服务等要求，综合评分确定中标人。 </w:t>
      </w:r>
    </w:p>
    <w:p>
      <w:pPr>
        <w:snapToGrid w:val="0"/>
        <w:spacing w:line="360" w:lineRule="auto"/>
        <w:ind w:left="420"/>
        <w:rPr>
          <w:rFonts w:ascii="宋体" w:hAnsi="宋体" w:cs="宋体"/>
          <w:szCs w:val="21"/>
        </w:rPr>
      </w:pPr>
      <w:r>
        <w:rPr>
          <w:rFonts w:hint="eastAsia" w:ascii="宋体" w:hAnsi="宋体" w:cs="宋体"/>
          <w:szCs w:val="21"/>
        </w:rPr>
        <w:t>5.2投标文件的澄清：在评标期间， 评标委员会可要求投标人对其投标文件中含义不明确、同</w:t>
      </w:r>
    </w:p>
    <w:p>
      <w:pPr>
        <w:snapToGrid w:val="0"/>
        <w:spacing w:line="360" w:lineRule="auto"/>
        <w:rPr>
          <w:rFonts w:ascii="宋体" w:hAnsi="宋体" w:cs="宋体"/>
          <w:szCs w:val="21"/>
        </w:rPr>
      </w:pPr>
      <w:r>
        <w:rPr>
          <w:rFonts w:hint="eastAsia" w:ascii="宋体" w:hAnsi="宋体" w:cs="宋体"/>
          <w:szCs w:val="21"/>
        </w:rPr>
        <w:t>类问题表述不一致或者有明显文字和计算错误的内容进行澄清，但不得寻求、提供或允许对投标价格等实质性内容做任何更改。有关澄清的要求和答复均应以书面形式（或通过“政府采购云平台”在线询标）提交。</w:t>
      </w:r>
    </w:p>
    <w:p>
      <w:pPr>
        <w:snapToGrid w:val="0"/>
        <w:spacing w:line="360" w:lineRule="auto"/>
        <w:ind w:left="420"/>
        <w:rPr>
          <w:rFonts w:ascii="宋体" w:hAnsi="宋体" w:cs="宋体"/>
          <w:szCs w:val="21"/>
        </w:rPr>
      </w:pPr>
      <w:r>
        <w:rPr>
          <w:rFonts w:hint="eastAsia" w:ascii="宋体" w:hAnsi="宋体" w:cs="宋体"/>
          <w:szCs w:val="21"/>
        </w:rPr>
        <w:t>5.3评标报告：评标委员会完成评定后，向招标人提交经各评标委员会成员签字的评定结果报告，</w:t>
      </w:r>
    </w:p>
    <w:p>
      <w:pPr>
        <w:snapToGrid w:val="0"/>
        <w:spacing w:line="360" w:lineRule="auto"/>
        <w:rPr>
          <w:rFonts w:ascii="宋体" w:hAnsi="宋体" w:cs="宋体"/>
          <w:szCs w:val="21"/>
        </w:rPr>
      </w:pPr>
      <w:r>
        <w:rPr>
          <w:rFonts w:hint="eastAsia" w:ascii="宋体" w:hAnsi="宋体" w:cs="宋体"/>
          <w:szCs w:val="21"/>
        </w:rPr>
        <w:t>并按评定办法推荐中标候选人。</w:t>
      </w:r>
    </w:p>
    <w:p>
      <w:pPr>
        <w:snapToGrid w:val="0"/>
        <w:spacing w:line="360" w:lineRule="auto"/>
        <w:ind w:left="420"/>
        <w:rPr>
          <w:rFonts w:ascii="宋体" w:hAnsi="宋体" w:cs="宋体"/>
          <w:szCs w:val="21"/>
        </w:rPr>
      </w:pPr>
      <w:r>
        <w:rPr>
          <w:rFonts w:hint="eastAsia" w:ascii="宋体" w:hAnsi="宋体" w:cs="宋体"/>
          <w:szCs w:val="21"/>
        </w:rPr>
        <w:t>6.保密</w:t>
      </w:r>
    </w:p>
    <w:p>
      <w:pPr>
        <w:snapToGrid w:val="0"/>
        <w:spacing w:line="360" w:lineRule="auto"/>
        <w:ind w:left="420"/>
        <w:rPr>
          <w:rFonts w:ascii="宋体" w:hAnsi="宋体" w:cs="宋体"/>
          <w:szCs w:val="21"/>
        </w:rPr>
      </w:pPr>
      <w:r>
        <w:rPr>
          <w:rFonts w:hint="eastAsia" w:ascii="宋体" w:hAnsi="宋体" w:cs="宋体"/>
          <w:szCs w:val="21"/>
        </w:rPr>
        <w:t>6.1公开开标后直到宣布授予中标人合同为止，凡属于审查、澄清、评估和比较投标的有关资料</w:t>
      </w:r>
    </w:p>
    <w:p>
      <w:pPr>
        <w:snapToGrid w:val="0"/>
        <w:spacing w:line="360" w:lineRule="auto"/>
        <w:rPr>
          <w:rFonts w:ascii="宋体" w:hAnsi="宋体" w:cs="宋体"/>
          <w:szCs w:val="21"/>
        </w:rPr>
      </w:pPr>
      <w:r>
        <w:rPr>
          <w:rFonts w:hint="eastAsia" w:ascii="宋体" w:hAnsi="宋体" w:cs="宋体"/>
          <w:szCs w:val="21"/>
        </w:rPr>
        <w:t>且与授予合同有关的信息都不得向任何投标人或与上述评标过程无关的人员透露。</w:t>
      </w:r>
    </w:p>
    <w:p>
      <w:pPr>
        <w:snapToGrid w:val="0"/>
        <w:spacing w:line="360" w:lineRule="auto"/>
        <w:ind w:left="420"/>
        <w:rPr>
          <w:rFonts w:ascii="宋体" w:hAnsi="宋体" w:cs="宋体"/>
          <w:szCs w:val="21"/>
        </w:rPr>
      </w:pPr>
      <w:r>
        <w:rPr>
          <w:rFonts w:hint="eastAsia" w:ascii="宋体" w:hAnsi="宋体" w:cs="宋体"/>
          <w:szCs w:val="21"/>
        </w:rPr>
        <w:t>6.2投标人对评标、比较或授予合同决定的过程施加影响的企图和行为，都可能导致其投标被拒</w:t>
      </w:r>
    </w:p>
    <w:p>
      <w:pPr>
        <w:snapToGrid w:val="0"/>
        <w:spacing w:line="360" w:lineRule="auto"/>
        <w:rPr>
          <w:rFonts w:ascii="宋体" w:hAnsi="宋体" w:cs="宋体"/>
          <w:szCs w:val="21"/>
        </w:rPr>
      </w:pPr>
      <w:r>
        <w:rPr>
          <w:rFonts w:hint="eastAsia" w:ascii="宋体" w:hAnsi="宋体" w:cs="宋体"/>
          <w:szCs w:val="21"/>
        </w:rPr>
        <w:t>绝。</w:t>
      </w:r>
    </w:p>
    <w:p>
      <w:pPr>
        <w:snapToGrid w:val="0"/>
        <w:spacing w:line="360" w:lineRule="auto"/>
        <w:ind w:left="420"/>
        <w:rPr>
          <w:rFonts w:ascii="宋体" w:hAnsi="宋体" w:cs="宋体"/>
          <w:szCs w:val="21"/>
        </w:rPr>
      </w:pPr>
      <w:r>
        <w:rPr>
          <w:rFonts w:hint="eastAsia" w:ascii="宋体" w:hAnsi="宋体" w:cs="宋体"/>
          <w:szCs w:val="21"/>
        </w:rPr>
        <w:t>6.3可中止电子交易活动的情形</w:t>
      </w:r>
    </w:p>
    <w:p>
      <w:pPr>
        <w:spacing w:line="360" w:lineRule="auto"/>
        <w:ind w:firstLine="422" w:firstLineChars="200"/>
        <w:rPr>
          <w:rFonts w:ascii="宋体" w:hAnsi="宋体" w:cs="宋体"/>
          <w:szCs w:val="16"/>
        </w:rPr>
      </w:pPr>
      <w:r>
        <w:rPr>
          <w:rFonts w:hint="eastAsia" w:ascii="宋体" w:hAnsi="宋体" w:cs="宋体"/>
          <w:b/>
          <w:szCs w:val="16"/>
        </w:rPr>
        <w:t>采购过程中出现以下情形，导致电子交易平台无法正常运行，或者无法保证电子交易的公平、公正和安全时，采购组织机构可中止电子交易活动：</w:t>
      </w:r>
    </w:p>
    <w:p>
      <w:pPr>
        <w:snapToGrid w:val="0"/>
        <w:spacing w:line="360" w:lineRule="auto"/>
        <w:ind w:firstLine="420" w:firstLineChars="200"/>
        <w:rPr>
          <w:rFonts w:ascii="宋体" w:hAnsi="宋体" w:cs="宋体"/>
          <w:szCs w:val="21"/>
        </w:rPr>
      </w:pPr>
      <w:r>
        <w:rPr>
          <w:rFonts w:hint="eastAsia" w:ascii="宋体" w:hAnsi="宋体" w:cs="宋体"/>
          <w:szCs w:val="21"/>
        </w:rPr>
        <w:t>6.3.1电子交易平台发生故障而无法登录访问的；</w:t>
      </w:r>
    </w:p>
    <w:p>
      <w:pPr>
        <w:snapToGrid w:val="0"/>
        <w:spacing w:line="360" w:lineRule="auto"/>
        <w:ind w:left="420"/>
        <w:rPr>
          <w:rFonts w:ascii="宋体" w:hAnsi="宋体" w:cs="宋体"/>
          <w:szCs w:val="21"/>
        </w:rPr>
      </w:pPr>
      <w:r>
        <w:rPr>
          <w:rFonts w:hint="eastAsia" w:ascii="宋体" w:hAnsi="宋体" w:cs="宋体"/>
          <w:szCs w:val="21"/>
        </w:rPr>
        <w:t>6.3.2电子交易平台应用或数据库出现错误，不能进行正常操作的；</w:t>
      </w:r>
    </w:p>
    <w:p>
      <w:pPr>
        <w:snapToGrid w:val="0"/>
        <w:spacing w:line="360" w:lineRule="auto"/>
        <w:ind w:left="420"/>
        <w:rPr>
          <w:rFonts w:ascii="宋体" w:hAnsi="宋体" w:cs="宋体"/>
          <w:szCs w:val="21"/>
        </w:rPr>
      </w:pPr>
      <w:r>
        <w:rPr>
          <w:rFonts w:hint="eastAsia" w:ascii="宋体" w:hAnsi="宋体" w:cs="宋体"/>
          <w:szCs w:val="21"/>
        </w:rPr>
        <w:t>6.3.3电子交易平台发现严重安全漏洞，有潜在泄密危险的；</w:t>
      </w:r>
    </w:p>
    <w:p>
      <w:pPr>
        <w:snapToGrid w:val="0"/>
        <w:spacing w:line="360" w:lineRule="auto"/>
        <w:ind w:left="420"/>
        <w:rPr>
          <w:rFonts w:ascii="宋体" w:hAnsi="宋体" w:cs="宋体"/>
          <w:szCs w:val="21"/>
        </w:rPr>
      </w:pPr>
      <w:r>
        <w:rPr>
          <w:rFonts w:hint="eastAsia" w:ascii="宋体" w:hAnsi="宋体" w:cs="宋体"/>
          <w:szCs w:val="21"/>
        </w:rPr>
        <w:t>6.3.4病毒发作导致不能进行正常操作的；</w:t>
      </w:r>
    </w:p>
    <w:p>
      <w:pPr>
        <w:snapToGrid w:val="0"/>
        <w:spacing w:line="360" w:lineRule="auto"/>
        <w:ind w:left="420"/>
        <w:rPr>
          <w:rFonts w:ascii="宋体" w:hAnsi="宋体" w:cs="宋体"/>
          <w:szCs w:val="21"/>
        </w:rPr>
      </w:pPr>
      <w:r>
        <w:rPr>
          <w:rFonts w:hint="eastAsia" w:ascii="宋体" w:hAnsi="宋体" w:cs="宋体"/>
          <w:szCs w:val="21"/>
        </w:rPr>
        <w:t>6.3.5其他无法保证电子交易的公平、公正和安全的情况。</w:t>
      </w:r>
    </w:p>
    <w:p>
      <w:pPr>
        <w:spacing w:line="360" w:lineRule="auto"/>
        <w:ind w:firstLine="422" w:firstLineChars="200"/>
        <w:rPr>
          <w:rFonts w:ascii="宋体" w:hAnsi="宋体" w:cs="宋体"/>
          <w:szCs w:val="21"/>
        </w:rPr>
      </w:pPr>
      <w:r>
        <w:rPr>
          <w:rFonts w:hint="eastAsia" w:ascii="宋体" w:hAnsi="宋体" w:cs="宋体"/>
          <w:b/>
          <w:szCs w:val="21"/>
        </w:rPr>
        <w:t>出现前款规定情形，不影响采购公平、公正性的，采购组织机构可以待上述情形消除后继续组织电子交易活动；影响或可能影响采购公平、公正性的，应当重新采购。</w:t>
      </w:r>
    </w:p>
    <w:p>
      <w:pPr>
        <w:pStyle w:val="5"/>
      </w:pPr>
      <w:r>
        <w:rPr>
          <w:rFonts w:hint="eastAsia"/>
        </w:rPr>
        <w:t>（十一）</w:t>
      </w:r>
      <w:r>
        <w:t>定标</w:t>
      </w:r>
    </w:p>
    <w:bookmarkEnd w:id="45"/>
    <w:p>
      <w:pPr>
        <w:snapToGrid w:val="0"/>
        <w:spacing w:line="360" w:lineRule="auto"/>
        <w:ind w:left="420"/>
        <w:rPr>
          <w:rFonts w:ascii="宋体" w:hAnsi="宋体" w:cs="宋体"/>
          <w:szCs w:val="21"/>
        </w:rPr>
      </w:pPr>
      <w:r>
        <w:rPr>
          <w:rFonts w:hint="eastAsia" w:ascii="宋体" w:hAnsi="宋体" w:cs="宋体"/>
          <w:szCs w:val="21"/>
        </w:rPr>
        <w:t>1.中标通知和合同授予</w:t>
      </w:r>
    </w:p>
    <w:p>
      <w:pPr>
        <w:snapToGrid w:val="0"/>
        <w:spacing w:line="360" w:lineRule="auto"/>
        <w:ind w:left="567"/>
        <w:rPr>
          <w:rFonts w:ascii="宋体" w:hAnsi="宋体" w:cs="宋体"/>
          <w:szCs w:val="21"/>
        </w:rPr>
      </w:pPr>
      <w:r>
        <w:rPr>
          <w:rFonts w:hint="eastAsia" w:ascii="宋体" w:hAnsi="宋体" w:cs="宋体"/>
          <w:szCs w:val="21"/>
        </w:rPr>
        <w:t>1.1中标通知书：评定结果经公示1个工作日，采购代理机构将以书面形式发出《中标通知书》。</w:t>
      </w:r>
    </w:p>
    <w:p>
      <w:pPr>
        <w:snapToGrid w:val="0"/>
        <w:spacing w:line="360" w:lineRule="auto"/>
        <w:rPr>
          <w:rFonts w:ascii="宋体" w:hAnsi="宋体" w:cs="宋体"/>
          <w:szCs w:val="21"/>
        </w:rPr>
      </w:pPr>
      <w:r>
        <w:rPr>
          <w:rFonts w:hint="eastAsia" w:ascii="宋体" w:hAnsi="宋体" w:cs="宋体"/>
          <w:szCs w:val="21"/>
        </w:rPr>
        <w:t>《中标通知书》一经发出即发生法律效力。采购人无义务向未中标供应商解释落选原因，不退回投标文件。《中标通知书》将作为签订合同的依据。</w:t>
      </w:r>
    </w:p>
    <w:p>
      <w:pPr>
        <w:snapToGrid w:val="0"/>
        <w:spacing w:line="360" w:lineRule="auto"/>
        <w:ind w:left="420"/>
        <w:rPr>
          <w:rFonts w:ascii="宋体" w:hAnsi="宋体" w:cs="宋体"/>
          <w:szCs w:val="21"/>
        </w:rPr>
      </w:pPr>
      <w:r>
        <w:rPr>
          <w:rFonts w:hint="eastAsia" w:ascii="宋体" w:hAnsi="宋体" w:cs="宋体"/>
          <w:szCs w:val="21"/>
        </w:rPr>
        <w:t>1.2签订合同：中标人按《中标通知书》指定的时间、地点与甲方直接签订合同。在有合理证据</w:t>
      </w:r>
    </w:p>
    <w:p>
      <w:pPr>
        <w:snapToGrid w:val="0"/>
        <w:spacing w:line="360" w:lineRule="auto"/>
        <w:rPr>
          <w:rFonts w:ascii="宋体" w:hAnsi="宋体" w:cs="宋体"/>
          <w:szCs w:val="21"/>
        </w:rPr>
      </w:pPr>
      <w:r>
        <w:rPr>
          <w:rFonts w:hint="eastAsia" w:ascii="宋体" w:hAnsi="宋体" w:cs="宋体"/>
          <w:szCs w:val="21"/>
        </w:rPr>
        <w:t>证明供应商在投标过程中承诺的内容不能实质响应的，采购人有权拒签合同。</w:t>
      </w:r>
    </w:p>
    <w:p>
      <w:pPr>
        <w:snapToGrid w:val="0"/>
        <w:spacing w:line="360" w:lineRule="auto"/>
        <w:ind w:left="420"/>
        <w:rPr>
          <w:rFonts w:ascii="宋体" w:hAnsi="宋体" w:cs="宋体"/>
          <w:szCs w:val="21"/>
        </w:rPr>
      </w:pPr>
      <w:r>
        <w:rPr>
          <w:rFonts w:hint="eastAsia" w:ascii="宋体" w:hAnsi="宋体" w:cs="宋体"/>
          <w:szCs w:val="21"/>
        </w:rPr>
        <w:t>1.3招标文件、澄清文件、投标文件等，均为签订合同的依据。中标人接到中标通知书后在规定</w:t>
      </w:r>
    </w:p>
    <w:p>
      <w:pPr>
        <w:snapToGrid w:val="0"/>
        <w:spacing w:line="360" w:lineRule="auto"/>
        <w:rPr>
          <w:rFonts w:ascii="宋体" w:hAnsi="宋体" w:cs="宋体"/>
          <w:szCs w:val="21"/>
        </w:rPr>
      </w:pPr>
      <w:r>
        <w:rPr>
          <w:rFonts w:hint="eastAsia" w:ascii="宋体" w:hAnsi="宋体" w:cs="宋体"/>
          <w:szCs w:val="21"/>
        </w:rPr>
        <w:t>的时间内与采购人签定合同。</w:t>
      </w:r>
    </w:p>
    <w:p>
      <w:pPr>
        <w:snapToGrid w:val="0"/>
        <w:spacing w:line="360" w:lineRule="auto"/>
        <w:ind w:left="420"/>
        <w:rPr>
          <w:rFonts w:ascii="宋体" w:hAnsi="宋体" w:cs="宋体"/>
          <w:szCs w:val="21"/>
        </w:rPr>
      </w:pPr>
      <w:r>
        <w:rPr>
          <w:rFonts w:hint="eastAsia" w:ascii="宋体" w:hAnsi="宋体" w:cs="宋体"/>
          <w:szCs w:val="21"/>
        </w:rPr>
        <w:t>1.4中标人不遵守投标文件的要约、承诺，擅自修改投标文件的内容或在接到中标通知书规定的</w:t>
      </w:r>
    </w:p>
    <w:p>
      <w:pPr>
        <w:snapToGrid w:val="0"/>
        <w:spacing w:line="360" w:lineRule="auto"/>
        <w:rPr>
          <w:rFonts w:ascii="宋体" w:hAnsi="宋体" w:cs="宋体"/>
          <w:szCs w:val="21"/>
        </w:rPr>
      </w:pPr>
      <w:r>
        <w:rPr>
          <w:rFonts w:hint="eastAsia" w:ascii="宋体" w:hAnsi="宋体" w:cs="宋体"/>
          <w:szCs w:val="21"/>
        </w:rPr>
        <w:t>时间内，借故拖延、拒签合同者，采购人将取消该供应商的中标资格。</w:t>
      </w:r>
    </w:p>
    <w:p>
      <w:pPr>
        <w:snapToGrid w:val="0"/>
        <w:spacing w:line="360" w:lineRule="auto"/>
        <w:ind w:left="420"/>
        <w:rPr>
          <w:rFonts w:ascii="宋体" w:hAnsi="宋体" w:cs="宋体"/>
          <w:szCs w:val="21"/>
        </w:rPr>
      </w:pPr>
      <w:r>
        <w:rPr>
          <w:rFonts w:hint="eastAsia" w:ascii="宋体" w:hAnsi="宋体" w:cs="宋体"/>
          <w:szCs w:val="21"/>
        </w:rPr>
        <w:t>1.5中标人因自身原因放弃中标或因不可抗力不能履行合同的；经质疑，采购人审查确定因中标</w:t>
      </w:r>
    </w:p>
    <w:p>
      <w:pPr>
        <w:snapToGrid w:val="0"/>
        <w:spacing w:line="360" w:lineRule="auto"/>
        <w:rPr>
          <w:rFonts w:ascii="宋体" w:hAnsi="宋体" w:cs="宋体"/>
          <w:szCs w:val="21"/>
        </w:rPr>
      </w:pPr>
      <w:r>
        <w:rPr>
          <w:rFonts w:hint="eastAsia" w:ascii="宋体" w:hAnsi="宋体" w:cs="宋体"/>
          <w:szCs w:val="21"/>
        </w:rPr>
        <w:t>人在本次招标活动中存在违规行为或其他原因使质疑成立的；采购人可以与综合得分排名第二的中标候选人依次签订合同，也可重新组织招标。</w:t>
      </w:r>
    </w:p>
    <w:p>
      <w:pPr>
        <w:snapToGrid w:val="0"/>
        <w:spacing w:line="360" w:lineRule="auto"/>
        <w:ind w:left="420"/>
        <w:rPr>
          <w:rFonts w:ascii="宋体" w:hAnsi="宋体" w:cs="宋体"/>
          <w:szCs w:val="21"/>
        </w:rPr>
      </w:pPr>
      <w:r>
        <w:rPr>
          <w:rFonts w:hint="eastAsia" w:ascii="宋体" w:hAnsi="宋体" w:cs="宋体"/>
          <w:szCs w:val="21"/>
        </w:rPr>
        <w:t>1.6签约后即为招标结束。投标文件一律不退。</w:t>
      </w:r>
    </w:p>
    <w:p>
      <w:pPr>
        <w:pStyle w:val="5"/>
      </w:pPr>
      <w:bookmarkStart w:id="46" w:name="质疑与投诉"/>
      <w:bookmarkStart w:id="47" w:name="_Toc356371441"/>
      <w:bookmarkStart w:id="48" w:name="_Toc10212"/>
      <w:r>
        <w:rPr>
          <w:rFonts w:hint="eastAsia"/>
        </w:rPr>
        <w:t>（十二）</w:t>
      </w:r>
      <w:r>
        <w:t>质疑与投诉</w:t>
      </w:r>
      <w:bookmarkEnd w:id="46"/>
    </w:p>
    <w:p>
      <w:pPr>
        <w:snapToGrid w:val="0"/>
        <w:spacing w:line="360" w:lineRule="auto"/>
        <w:ind w:firstLine="420" w:firstLineChars="200"/>
        <w:rPr>
          <w:rFonts w:ascii="宋体" w:hAnsi="宋体" w:cs="宋体"/>
          <w:szCs w:val="21"/>
        </w:rPr>
      </w:pPr>
      <w:r>
        <w:rPr>
          <w:rFonts w:hint="eastAsia" w:ascii="宋体" w:hAnsi="宋体" w:cs="宋体"/>
          <w:szCs w:val="21"/>
          <w:lang w:val="zh-CN"/>
        </w:rPr>
        <w:t>1.根据《中华人民共和国政府采购法》、《中华人民共和国政府采购法实施条例》、</w:t>
      </w:r>
      <w:r>
        <w:rPr>
          <w:rFonts w:hint="eastAsia" w:ascii="宋体" w:hAnsi="宋体" w:cs="宋体"/>
          <w:szCs w:val="21"/>
        </w:rPr>
        <w:t>《政府采</w:t>
      </w:r>
    </w:p>
    <w:p>
      <w:pPr>
        <w:snapToGrid w:val="0"/>
        <w:spacing w:line="360" w:lineRule="auto"/>
        <w:rPr>
          <w:rFonts w:ascii="宋体" w:hAnsi="宋体" w:cs="宋体"/>
          <w:szCs w:val="21"/>
        </w:rPr>
      </w:pPr>
      <w:r>
        <w:rPr>
          <w:rFonts w:hint="eastAsia" w:ascii="宋体" w:hAnsi="宋体" w:cs="宋体"/>
          <w:szCs w:val="21"/>
        </w:rPr>
        <w:t>购质疑和投诉办法》</w:t>
      </w:r>
      <w:r>
        <w:rPr>
          <w:rFonts w:hint="eastAsia" w:ascii="宋体" w:hAnsi="宋体" w:cs="宋体"/>
          <w:szCs w:val="21"/>
          <w:lang w:val="zh-CN"/>
        </w:rPr>
        <w:t>(</w:t>
      </w:r>
      <w:r>
        <w:rPr>
          <w:rFonts w:hint="eastAsia" w:ascii="宋体" w:hAnsi="宋体" w:cs="宋体"/>
          <w:szCs w:val="21"/>
        </w:rPr>
        <w:t>财政部令第94号</w:t>
      </w:r>
      <w:r>
        <w:rPr>
          <w:rFonts w:hint="eastAsia" w:ascii="宋体" w:hAnsi="宋体" w:cs="宋体"/>
          <w:szCs w:val="21"/>
          <w:lang w:val="zh-CN"/>
        </w:rPr>
        <w:t>)，政府采购供应商可以依法提起质疑和投诉。</w:t>
      </w:r>
    </w:p>
    <w:p>
      <w:pPr>
        <w:snapToGrid w:val="0"/>
        <w:spacing w:line="360" w:lineRule="auto"/>
        <w:ind w:left="420"/>
        <w:rPr>
          <w:rFonts w:ascii="宋体" w:hAnsi="宋体" w:cs="宋体"/>
          <w:szCs w:val="21"/>
        </w:rPr>
      </w:pPr>
      <w:r>
        <w:rPr>
          <w:rFonts w:hint="eastAsia" w:ascii="宋体" w:hAnsi="宋体" w:cs="宋体"/>
          <w:szCs w:val="21"/>
        </w:rPr>
        <w:t>2.供应商询问</w:t>
      </w:r>
    </w:p>
    <w:p>
      <w:pPr>
        <w:snapToGrid w:val="0"/>
        <w:spacing w:line="360" w:lineRule="auto"/>
        <w:ind w:firstLine="420" w:firstLineChars="200"/>
        <w:rPr>
          <w:rFonts w:ascii="宋体" w:hAnsi="宋体" w:cs="宋体"/>
          <w:szCs w:val="21"/>
        </w:rPr>
      </w:pPr>
      <w:r>
        <w:rPr>
          <w:rFonts w:hint="eastAsia" w:ascii="宋体" w:hAnsi="宋体" w:cs="宋体"/>
          <w:szCs w:val="21"/>
          <w:lang w:val="zh-CN"/>
        </w:rPr>
        <w:t>供应商对政府采购活动事项有疑问的，可以向采购机构提出询问，采购机构在3个工作日内作出答复，但答复的内容不得涉及商业秘密。</w:t>
      </w:r>
    </w:p>
    <w:p>
      <w:pPr>
        <w:snapToGrid w:val="0"/>
        <w:spacing w:line="360" w:lineRule="auto"/>
        <w:ind w:left="420"/>
        <w:rPr>
          <w:rFonts w:ascii="宋体" w:hAnsi="宋体" w:cs="宋体"/>
          <w:szCs w:val="21"/>
        </w:rPr>
      </w:pPr>
      <w:r>
        <w:rPr>
          <w:rFonts w:hint="eastAsia" w:ascii="宋体" w:hAnsi="宋体" w:cs="宋体"/>
          <w:szCs w:val="21"/>
        </w:rPr>
        <w:t>3.供应商质疑</w:t>
      </w:r>
    </w:p>
    <w:p>
      <w:pPr>
        <w:snapToGrid w:val="0"/>
        <w:spacing w:line="360" w:lineRule="auto"/>
        <w:ind w:firstLine="420" w:firstLineChars="200"/>
        <w:rPr>
          <w:rFonts w:ascii="宋体" w:hAnsi="宋体" w:cs="宋体"/>
          <w:szCs w:val="21"/>
        </w:rPr>
      </w:pPr>
      <w:r>
        <w:rPr>
          <w:rFonts w:hint="eastAsia" w:ascii="宋体" w:hAnsi="宋体" w:cs="宋体"/>
          <w:szCs w:val="21"/>
        </w:rPr>
        <w:t>供应商认为招标文件、采购过程和中标、成交结果使自己的权益受到损害的，可以在知道或者应知其权益受到损害之日起七个工作日内，以书面形式向采购机构提出质疑。</w:t>
      </w:r>
    </w:p>
    <w:p>
      <w:pPr>
        <w:snapToGrid w:val="0"/>
        <w:spacing w:line="360" w:lineRule="auto"/>
        <w:ind w:firstLine="420" w:firstLineChars="200"/>
        <w:rPr>
          <w:rFonts w:ascii="宋体" w:hAnsi="宋体" w:cs="宋体"/>
          <w:szCs w:val="21"/>
        </w:rPr>
      </w:pPr>
      <w:r>
        <w:rPr>
          <w:rFonts w:hint="eastAsia" w:ascii="宋体" w:hAnsi="宋体" w:cs="宋体"/>
          <w:szCs w:val="21"/>
        </w:rPr>
        <w:t>政府采购法第五十二条规定的供应商应知其权益受到损害之日，是指：</w:t>
      </w:r>
    </w:p>
    <w:p>
      <w:pPr>
        <w:snapToGrid w:val="0"/>
        <w:spacing w:line="360" w:lineRule="auto"/>
        <w:ind w:left="567"/>
        <w:rPr>
          <w:rFonts w:ascii="宋体" w:hAnsi="宋体" w:cs="宋体"/>
          <w:szCs w:val="21"/>
        </w:rPr>
      </w:pPr>
      <w:r>
        <w:rPr>
          <w:rFonts w:hint="eastAsia" w:ascii="宋体" w:hAnsi="宋体" w:cs="宋体"/>
          <w:szCs w:val="21"/>
        </w:rPr>
        <w:t>3.1对采购文件提出质疑的，应当在获取采购文件或者采购文件公告期限届满之日起7个工作</w:t>
      </w:r>
    </w:p>
    <w:p>
      <w:pPr>
        <w:snapToGrid w:val="0"/>
        <w:spacing w:line="360" w:lineRule="auto"/>
        <w:rPr>
          <w:rFonts w:ascii="宋体" w:hAnsi="宋体" w:cs="宋体"/>
          <w:szCs w:val="21"/>
        </w:rPr>
      </w:pPr>
      <w:r>
        <w:rPr>
          <w:rFonts w:hint="eastAsia" w:ascii="宋体" w:hAnsi="宋体" w:cs="宋体"/>
          <w:szCs w:val="21"/>
        </w:rPr>
        <w:t>日内提出。</w:t>
      </w:r>
    </w:p>
    <w:p>
      <w:pPr>
        <w:snapToGrid w:val="0"/>
        <w:spacing w:line="360" w:lineRule="auto"/>
        <w:ind w:left="567"/>
        <w:rPr>
          <w:rFonts w:ascii="宋体" w:hAnsi="宋体" w:cs="宋体"/>
          <w:szCs w:val="21"/>
        </w:rPr>
      </w:pPr>
      <w:r>
        <w:rPr>
          <w:rFonts w:hint="eastAsia" w:ascii="宋体" w:hAnsi="宋体" w:cs="宋体"/>
          <w:szCs w:val="21"/>
        </w:rPr>
        <w:t>3.2对采购过程提出质疑的，为各采购程序环节结束之日；</w:t>
      </w:r>
    </w:p>
    <w:p>
      <w:pPr>
        <w:snapToGrid w:val="0"/>
        <w:spacing w:line="360" w:lineRule="auto"/>
        <w:ind w:left="567"/>
        <w:rPr>
          <w:rFonts w:ascii="宋体" w:hAnsi="宋体" w:cs="宋体"/>
          <w:szCs w:val="21"/>
        </w:rPr>
      </w:pPr>
      <w:r>
        <w:rPr>
          <w:rFonts w:hint="eastAsia" w:ascii="宋体" w:hAnsi="宋体" w:cs="宋体"/>
          <w:szCs w:val="21"/>
        </w:rPr>
        <w:t>3.3对中标结果提出质疑的，为中标结果公告期限届满之日。</w:t>
      </w:r>
    </w:p>
    <w:p>
      <w:pPr>
        <w:snapToGrid w:val="0"/>
        <w:spacing w:line="360" w:lineRule="auto"/>
        <w:ind w:left="567"/>
        <w:rPr>
          <w:rFonts w:ascii="宋体" w:hAnsi="宋体" w:cs="宋体"/>
          <w:szCs w:val="21"/>
        </w:rPr>
      </w:pPr>
      <w:r>
        <w:rPr>
          <w:rFonts w:hint="eastAsia" w:ascii="宋体" w:hAnsi="宋体" w:cs="宋体"/>
          <w:szCs w:val="21"/>
        </w:rPr>
        <w:t>3.4供应商质疑应当有明确的请求和必要的证明材料。供应商提交的质疑书需一式三份，由法</w:t>
      </w:r>
    </w:p>
    <w:p>
      <w:pPr>
        <w:snapToGrid w:val="0"/>
        <w:spacing w:line="360" w:lineRule="auto"/>
        <w:rPr>
          <w:rFonts w:ascii="宋体" w:hAnsi="宋体" w:cs="宋体"/>
          <w:szCs w:val="21"/>
        </w:rPr>
      </w:pPr>
      <w:r>
        <w:rPr>
          <w:rFonts w:hint="eastAsia" w:ascii="宋体" w:hAnsi="宋体" w:cs="宋体"/>
          <w:szCs w:val="21"/>
        </w:rPr>
        <w:t>定代表人签字（或盖章）并加盖单位公章。质疑书格式范本详见http://www.qzggzy.com/zlxz/008003/008003001/20180209/e5393fa3-0afe-40b9-9b38-ba76c4c906be.html。</w:t>
      </w:r>
    </w:p>
    <w:p>
      <w:pPr>
        <w:snapToGrid w:val="0"/>
        <w:spacing w:line="360" w:lineRule="auto"/>
        <w:ind w:left="420"/>
        <w:rPr>
          <w:rFonts w:ascii="宋体" w:hAnsi="宋体" w:cs="宋体"/>
          <w:szCs w:val="21"/>
        </w:rPr>
      </w:pPr>
      <w:r>
        <w:rPr>
          <w:rFonts w:hint="eastAsia" w:ascii="宋体" w:hAnsi="宋体" w:cs="宋体"/>
          <w:szCs w:val="21"/>
        </w:rPr>
        <w:t>3.5采购机构应当在收到供应商的书面质疑后七个工作日内作出答复，并以书面形式通知质疑供</w:t>
      </w:r>
    </w:p>
    <w:p>
      <w:pPr>
        <w:snapToGrid w:val="0"/>
        <w:spacing w:line="360" w:lineRule="auto"/>
        <w:rPr>
          <w:rFonts w:ascii="宋体" w:hAnsi="宋体" w:cs="宋体"/>
          <w:szCs w:val="21"/>
        </w:rPr>
      </w:pPr>
      <w:r>
        <w:rPr>
          <w:rFonts w:hint="eastAsia" w:ascii="宋体" w:hAnsi="宋体" w:cs="宋体"/>
          <w:szCs w:val="21"/>
        </w:rPr>
        <w:t>应商和其他与质疑处理结果有利害关系的政府采购当事人，但答复的内容不得涉及商业秘密。</w:t>
      </w:r>
    </w:p>
    <w:p>
      <w:pPr>
        <w:snapToGrid w:val="0"/>
        <w:spacing w:line="360" w:lineRule="auto"/>
        <w:ind w:left="420"/>
        <w:rPr>
          <w:rFonts w:ascii="宋体" w:hAnsi="宋体" w:cs="宋体"/>
          <w:szCs w:val="21"/>
        </w:rPr>
      </w:pPr>
      <w:r>
        <w:rPr>
          <w:rFonts w:hint="eastAsia" w:ascii="宋体" w:hAnsi="宋体" w:cs="宋体"/>
          <w:szCs w:val="21"/>
        </w:rPr>
        <w:t>4.供应商投诉</w:t>
      </w:r>
    </w:p>
    <w:p>
      <w:pPr>
        <w:snapToGrid w:val="0"/>
        <w:spacing w:line="360" w:lineRule="auto"/>
        <w:ind w:left="420"/>
        <w:rPr>
          <w:rFonts w:ascii="宋体" w:hAnsi="宋体" w:cs="宋体"/>
          <w:szCs w:val="21"/>
        </w:rPr>
      </w:pPr>
      <w:r>
        <w:rPr>
          <w:rFonts w:hint="eastAsia" w:ascii="宋体" w:hAnsi="宋体" w:cs="宋体"/>
          <w:szCs w:val="21"/>
        </w:rPr>
        <w:t>5.质疑供应商对采购机构的答复不满意或者采购机构未在规定的时间内作出答复的，可以在答</w:t>
      </w:r>
    </w:p>
    <w:p>
      <w:pPr>
        <w:snapToGrid w:val="0"/>
        <w:spacing w:line="360" w:lineRule="auto"/>
        <w:rPr>
          <w:rFonts w:ascii="宋体" w:hAnsi="宋体" w:cs="宋体"/>
          <w:szCs w:val="21"/>
        </w:rPr>
      </w:pPr>
      <w:r>
        <w:rPr>
          <w:rFonts w:hint="eastAsia" w:ascii="宋体" w:hAnsi="宋体" w:cs="宋体"/>
          <w:szCs w:val="21"/>
        </w:rPr>
        <w:t>复期满后十五个工作日内向同级政府采购监督管理部门提出投诉。</w:t>
      </w:r>
    </w:p>
    <w:p>
      <w:pPr>
        <w:pStyle w:val="5"/>
      </w:pPr>
      <w:r>
        <w:rPr>
          <w:rFonts w:hint="eastAsia"/>
        </w:rPr>
        <w:t>（十三）</w:t>
      </w:r>
      <w:r>
        <w:t>法律责任</w:t>
      </w:r>
      <w:bookmarkEnd w:id="47"/>
      <w:bookmarkEnd w:id="48"/>
    </w:p>
    <w:p>
      <w:pPr>
        <w:snapToGrid w:val="0"/>
        <w:spacing w:line="360" w:lineRule="auto"/>
        <w:ind w:firstLine="420" w:firstLineChars="200"/>
        <w:rPr>
          <w:rFonts w:hAnsi="宋体"/>
          <w:szCs w:val="21"/>
        </w:rPr>
      </w:pPr>
      <w:r>
        <w:rPr>
          <w:rFonts w:hint="eastAsia" w:hAnsi="宋体"/>
          <w:szCs w:val="21"/>
        </w:rPr>
        <w:t>1.</w:t>
      </w:r>
      <w:r>
        <w:rPr>
          <w:rFonts w:hAnsi="宋体"/>
          <w:szCs w:val="21"/>
        </w:rPr>
        <w:t>投标人有下列情形之一的，处以政府采购项目中标金额千分之五以上千分之十以下的罚款，列</w:t>
      </w:r>
    </w:p>
    <w:p>
      <w:pPr>
        <w:snapToGrid w:val="0"/>
        <w:spacing w:line="360" w:lineRule="auto"/>
        <w:rPr>
          <w:szCs w:val="21"/>
        </w:rPr>
      </w:pPr>
      <w:r>
        <w:rPr>
          <w:rFonts w:hAnsi="宋体"/>
          <w:szCs w:val="21"/>
        </w:rPr>
        <w:t>入不良行为记录名单，在一至三年内禁止参加政府采购活动，并予以公告，有违法所得的，并处没收违法所得，情节严重的，由工商行政管理机关吊销营业执照；构成犯罪的，依法追究刑事责任：</w:t>
      </w:r>
    </w:p>
    <w:p>
      <w:pPr>
        <w:snapToGrid w:val="0"/>
        <w:spacing w:line="360" w:lineRule="auto"/>
        <w:ind w:left="420"/>
        <w:rPr>
          <w:szCs w:val="21"/>
        </w:rPr>
      </w:pPr>
      <w:r>
        <w:rPr>
          <w:rFonts w:hint="eastAsia" w:hAnsi="宋体"/>
          <w:szCs w:val="21"/>
        </w:rPr>
        <w:t>1.1</w:t>
      </w:r>
      <w:r>
        <w:rPr>
          <w:rFonts w:hAnsi="宋体"/>
          <w:szCs w:val="21"/>
        </w:rPr>
        <w:t>提供虚假材料谋取中标的；</w:t>
      </w:r>
    </w:p>
    <w:p>
      <w:pPr>
        <w:snapToGrid w:val="0"/>
        <w:spacing w:line="360" w:lineRule="auto"/>
        <w:ind w:left="420"/>
        <w:rPr>
          <w:szCs w:val="21"/>
        </w:rPr>
      </w:pPr>
      <w:r>
        <w:rPr>
          <w:rFonts w:hint="eastAsia" w:hAnsi="宋体"/>
          <w:szCs w:val="21"/>
        </w:rPr>
        <w:t>1.2</w:t>
      </w:r>
      <w:r>
        <w:rPr>
          <w:rFonts w:hAnsi="宋体"/>
          <w:szCs w:val="21"/>
        </w:rPr>
        <w:t>采取不正当手段诋毁、排挤其他投标人的；</w:t>
      </w:r>
    </w:p>
    <w:p>
      <w:pPr>
        <w:snapToGrid w:val="0"/>
        <w:spacing w:line="360" w:lineRule="auto"/>
        <w:ind w:left="420"/>
        <w:rPr>
          <w:szCs w:val="21"/>
        </w:rPr>
      </w:pPr>
      <w:r>
        <w:rPr>
          <w:rFonts w:hint="eastAsia" w:hAnsi="宋体"/>
          <w:szCs w:val="21"/>
        </w:rPr>
        <w:t>1.3</w:t>
      </w:r>
      <w:r>
        <w:rPr>
          <w:rFonts w:hAnsi="宋体"/>
          <w:szCs w:val="21"/>
        </w:rPr>
        <w:t>与采购人、采购代理机构、其他投标人恶意串通的；</w:t>
      </w:r>
    </w:p>
    <w:p>
      <w:pPr>
        <w:snapToGrid w:val="0"/>
        <w:spacing w:line="360" w:lineRule="auto"/>
        <w:ind w:left="420"/>
        <w:rPr>
          <w:szCs w:val="21"/>
        </w:rPr>
      </w:pPr>
      <w:r>
        <w:rPr>
          <w:rFonts w:hint="eastAsia" w:hAnsi="宋体"/>
          <w:szCs w:val="21"/>
        </w:rPr>
        <w:t>1.4</w:t>
      </w:r>
      <w:r>
        <w:rPr>
          <w:rFonts w:hAnsi="宋体"/>
          <w:szCs w:val="21"/>
        </w:rPr>
        <w:t>向采购人、采购代理机构行贿或者提供其他不正当利益的；</w:t>
      </w:r>
    </w:p>
    <w:p>
      <w:pPr>
        <w:snapToGrid w:val="0"/>
        <w:spacing w:line="360" w:lineRule="auto"/>
        <w:ind w:left="420"/>
        <w:rPr>
          <w:rFonts w:hAnsi="宋体"/>
          <w:szCs w:val="21"/>
        </w:rPr>
      </w:pPr>
      <w:r>
        <w:rPr>
          <w:rFonts w:hint="eastAsia" w:hAnsi="宋体"/>
          <w:szCs w:val="21"/>
        </w:rPr>
        <w:t>1.5</w:t>
      </w:r>
      <w:r>
        <w:rPr>
          <w:rFonts w:hAnsi="宋体"/>
          <w:szCs w:val="21"/>
        </w:rPr>
        <w:t>在招标过程中与采购人进行协商谈判、不按照招标文件和中标人的投标文件订立合同，或者</w:t>
      </w:r>
    </w:p>
    <w:p>
      <w:pPr>
        <w:snapToGrid w:val="0"/>
        <w:spacing w:line="360" w:lineRule="auto"/>
        <w:rPr>
          <w:szCs w:val="21"/>
        </w:rPr>
      </w:pPr>
      <w:r>
        <w:rPr>
          <w:rFonts w:hAnsi="宋体"/>
          <w:szCs w:val="21"/>
        </w:rPr>
        <w:t>与采购人另行订立背离合同实质性内容的协议的；</w:t>
      </w:r>
    </w:p>
    <w:p>
      <w:pPr>
        <w:snapToGrid w:val="0"/>
        <w:spacing w:line="360" w:lineRule="auto"/>
        <w:ind w:left="420"/>
        <w:rPr>
          <w:szCs w:val="21"/>
        </w:rPr>
      </w:pPr>
      <w:r>
        <w:rPr>
          <w:rFonts w:hint="eastAsia" w:hAnsi="宋体"/>
          <w:szCs w:val="21"/>
        </w:rPr>
        <w:t>1.6</w:t>
      </w:r>
      <w:r>
        <w:rPr>
          <w:rFonts w:hAnsi="宋体"/>
          <w:szCs w:val="21"/>
        </w:rPr>
        <w:t>拒绝有关部门监督检查或者提供虚假情况的。</w:t>
      </w:r>
    </w:p>
    <w:p>
      <w:pPr>
        <w:pStyle w:val="5"/>
      </w:pPr>
      <w:r>
        <w:rPr>
          <w:rFonts w:hint="eastAsia"/>
        </w:rPr>
        <w:t>（十四）</w:t>
      </w:r>
      <w:r>
        <w:t>代理服务费</w:t>
      </w:r>
    </w:p>
    <w:p>
      <w:pPr>
        <w:numPr>
          <w:ilvl w:val="0"/>
          <w:numId w:val="4"/>
        </w:numPr>
        <w:snapToGrid w:val="0"/>
        <w:spacing w:line="360" w:lineRule="auto"/>
        <w:rPr>
          <w:rFonts w:ascii="宋体" w:hAnsi="宋体" w:cs="宋体"/>
          <w:szCs w:val="21"/>
        </w:rPr>
      </w:pPr>
      <w:r>
        <w:rPr>
          <w:rFonts w:hint="eastAsia" w:ascii="宋体" w:hAnsi="宋体" w:cs="宋体"/>
          <w:szCs w:val="21"/>
        </w:rPr>
        <w:t>招标代理服务费由中标单位支付，由招标代理人在发中标通知书时按中标金额向中标单位一</w:t>
      </w:r>
    </w:p>
    <w:p>
      <w:pPr>
        <w:snapToGrid w:val="0"/>
        <w:spacing w:line="360" w:lineRule="auto"/>
        <w:rPr>
          <w:rFonts w:ascii="宋体" w:hAnsi="宋体" w:cs="宋体"/>
          <w:szCs w:val="21"/>
        </w:rPr>
      </w:pPr>
      <w:r>
        <w:rPr>
          <w:rFonts w:hint="eastAsia" w:ascii="宋体" w:hAnsi="宋体" w:cs="宋体"/>
          <w:szCs w:val="21"/>
        </w:rPr>
        <w:t xml:space="preserve">次性收取。  </w:t>
      </w:r>
    </w:p>
    <w:p>
      <w:pPr>
        <w:snapToGrid w:val="0"/>
        <w:spacing w:line="360" w:lineRule="auto"/>
        <w:ind w:left="420"/>
        <w:rPr>
          <w:rFonts w:ascii="宋体" w:hAnsi="宋体" w:cs="宋体"/>
          <w:szCs w:val="21"/>
        </w:rPr>
      </w:pPr>
      <w:r>
        <w:rPr>
          <w:rFonts w:hint="eastAsia" w:ascii="宋体" w:hAnsi="宋体" w:cs="宋体"/>
          <w:szCs w:val="21"/>
        </w:rPr>
        <w:t>2按中标价为基数，招标代理服务收费标准按国家发展计划委员会计价格[2002]1980号文件收</w:t>
      </w:r>
    </w:p>
    <w:p>
      <w:pPr>
        <w:snapToGrid w:val="0"/>
        <w:spacing w:line="360" w:lineRule="auto"/>
        <w:rPr>
          <w:rFonts w:ascii="宋体" w:hAnsi="宋体" w:cs="宋体"/>
          <w:szCs w:val="21"/>
        </w:rPr>
      </w:pPr>
      <w:r>
        <w:rPr>
          <w:rFonts w:hint="eastAsia" w:ascii="宋体" w:hAnsi="宋体" w:cs="宋体"/>
          <w:szCs w:val="21"/>
        </w:rPr>
        <w:t>取，按差额定率累进法计算。</w:t>
      </w:r>
    </w:p>
    <w:p>
      <w:pPr>
        <w:snapToGrid w:val="0"/>
        <w:spacing w:line="360" w:lineRule="auto"/>
        <w:ind w:firstLine="420" w:firstLineChars="200"/>
        <w:rPr>
          <w:rFonts w:ascii="宋体" w:hAnsi="宋体" w:cs="宋体"/>
          <w:szCs w:val="21"/>
        </w:rPr>
      </w:pPr>
      <w:r>
        <w:rPr>
          <w:rFonts w:hint="eastAsia" w:ascii="宋体" w:hAnsi="宋体" w:cs="宋体"/>
          <w:szCs w:val="21"/>
        </w:rPr>
        <w:t>招标代理服务收费标准</w:t>
      </w:r>
    </w:p>
    <w:tbl>
      <w:tblPr>
        <w:tblStyle w:val="18"/>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5"/>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4805" w:type="dxa"/>
            <w:tcBorders>
              <w:tl2br w:val="single" w:color="auto" w:sz="4" w:space="0"/>
            </w:tcBorders>
          </w:tcPr>
          <w:p>
            <w:pPr>
              <w:snapToGrid w:val="0"/>
              <w:spacing w:line="360" w:lineRule="auto"/>
              <w:ind w:firstLine="3780" w:firstLineChars="1800"/>
              <w:rPr>
                <w:rFonts w:ascii="宋体" w:hAnsi="宋体" w:cs="宋体"/>
                <w:szCs w:val="21"/>
              </w:rPr>
            </w:pPr>
            <w:r>
              <w:rPr>
                <w:rFonts w:hint="eastAsia" w:ascii="宋体" w:hAnsi="宋体" w:cs="宋体"/>
                <w:szCs w:val="21"/>
              </w:rPr>
              <w:t xml:space="preserve">费率                  </w:t>
            </w:r>
          </w:p>
          <w:p>
            <w:pPr>
              <w:snapToGrid w:val="0"/>
              <w:spacing w:line="360" w:lineRule="auto"/>
              <w:ind w:firstLine="420" w:firstLineChars="200"/>
              <w:rPr>
                <w:rFonts w:ascii="宋体" w:hAnsi="宋体" w:cs="宋体"/>
                <w:szCs w:val="21"/>
              </w:rPr>
            </w:pPr>
            <w:r>
              <w:rPr>
                <w:rFonts w:hint="eastAsia" w:ascii="宋体" w:hAnsi="宋体" w:cs="宋体"/>
                <w:szCs w:val="21"/>
              </w:rPr>
              <w:t>中标金额（万元）</w:t>
            </w:r>
          </w:p>
        </w:tc>
        <w:tc>
          <w:tcPr>
            <w:tcW w:w="3397" w:type="dxa"/>
            <w:vAlign w:val="center"/>
          </w:tcPr>
          <w:p>
            <w:pPr>
              <w:snapToGrid w:val="0"/>
              <w:spacing w:line="360" w:lineRule="auto"/>
              <w:ind w:firstLine="420" w:firstLineChars="200"/>
              <w:rPr>
                <w:rFonts w:ascii="宋体" w:hAnsi="宋体" w:cs="宋体"/>
                <w:szCs w:val="21"/>
              </w:rPr>
            </w:pPr>
            <w:r>
              <w:rPr>
                <w:rFonts w:hint="eastAsia" w:ascii="宋体" w:hAnsi="宋体" w:cs="宋体"/>
                <w:szCs w:val="21"/>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805" w:type="dxa"/>
          </w:tcPr>
          <w:p>
            <w:pPr>
              <w:snapToGrid w:val="0"/>
              <w:spacing w:line="360" w:lineRule="auto"/>
              <w:ind w:firstLine="420" w:firstLineChars="200"/>
              <w:rPr>
                <w:rFonts w:ascii="宋体" w:hAnsi="宋体" w:cs="宋体"/>
                <w:szCs w:val="21"/>
              </w:rPr>
            </w:pPr>
            <w:r>
              <w:rPr>
                <w:rFonts w:hint="eastAsia" w:ascii="宋体" w:hAnsi="宋体" w:cs="宋体"/>
                <w:szCs w:val="21"/>
              </w:rPr>
              <w:t>100以下</w:t>
            </w:r>
          </w:p>
        </w:tc>
        <w:tc>
          <w:tcPr>
            <w:tcW w:w="3397" w:type="dxa"/>
            <w:vAlign w:val="center"/>
          </w:tcPr>
          <w:p>
            <w:pPr>
              <w:snapToGrid w:val="0"/>
              <w:spacing w:line="360" w:lineRule="auto"/>
              <w:ind w:firstLine="420" w:firstLineChars="200"/>
              <w:rPr>
                <w:rFonts w:ascii="宋体" w:hAnsi="宋体" w:cs="宋体"/>
                <w:szCs w:val="21"/>
              </w:rPr>
            </w:pPr>
            <w:r>
              <w:rPr>
                <w:rFonts w:hint="eastAsia"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5" w:type="dxa"/>
          </w:tcPr>
          <w:p>
            <w:pPr>
              <w:snapToGrid w:val="0"/>
              <w:spacing w:line="360" w:lineRule="auto"/>
              <w:ind w:firstLine="420" w:firstLineChars="200"/>
              <w:rPr>
                <w:rFonts w:ascii="宋体" w:hAnsi="宋体" w:cs="宋体"/>
                <w:szCs w:val="21"/>
              </w:rPr>
            </w:pPr>
            <w:r>
              <w:rPr>
                <w:rFonts w:hint="eastAsia" w:ascii="宋体" w:hAnsi="宋体" w:cs="宋体"/>
                <w:szCs w:val="21"/>
              </w:rPr>
              <w:t>100-500</w:t>
            </w:r>
          </w:p>
        </w:tc>
        <w:tc>
          <w:tcPr>
            <w:tcW w:w="3397" w:type="dxa"/>
            <w:vAlign w:val="center"/>
          </w:tcPr>
          <w:p>
            <w:pPr>
              <w:snapToGrid w:val="0"/>
              <w:spacing w:line="360" w:lineRule="auto"/>
              <w:ind w:firstLine="420" w:firstLineChars="200"/>
              <w:rPr>
                <w:rFonts w:ascii="宋体" w:hAnsi="宋体" w:cs="宋体"/>
                <w:szCs w:val="21"/>
              </w:rPr>
            </w:pPr>
            <w:r>
              <w:rPr>
                <w:rFonts w:hint="eastAsia" w:ascii="宋体" w:hAnsi="宋体" w:cs="宋体"/>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4805" w:type="dxa"/>
          </w:tcPr>
          <w:p>
            <w:pPr>
              <w:snapToGrid w:val="0"/>
              <w:spacing w:line="360" w:lineRule="auto"/>
              <w:ind w:firstLine="420" w:firstLineChars="200"/>
              <w:rPr>
                <w:rFonts w:ascii="宋体" w:hAnsi="宋体" w:cs="宋体"/>
                <w:szCs w:val="21"/>
              </w:rPr>
            </w:pPr>
            <w:r>
              <w:rPr>
                <w:rFonts w:hint="eastAsia" w:ascii="宋体" w:hAnsi="宋体" w:cs="宋体"/>
                <w:szCs w:val="21"/>
              </w:rPr>
              <w:t>500-1000</w:t>
            </w:r>
          </w:p>
        </w:tc>
        <w:tc>
          <w:tcPr>
            <w:tcW w:w="3397" w:type="dxa"/>
            <w:vAlign w:val="center"/>
          </w:tcPr>
          <w:p>
            <w:pPr>
              <w:snapToGrid w:val="0"/>
              <w:spacing w:line="360" w:lineRule="auto"/>
              <w:ind w:firstLine="420" w:firstLineChars="200"/>
              <w:rPr>
                <w:rFonts w:ascii="宋体" w:hAnsi="宋体" w:cs="宋体"/>
                <w:szCs w:val="21"/>
              </w:rPr>
            </w:pPr>
            <w:r>
              <w:rPr>
                <w:rFonts w:hint="eastAsia" w:ascii="宋体" w:hAnsi="宋体" w:cs="宋体"/>
                <w:szCs w:val="21"/>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4805" w:type="dxa"/>
          </w:tcPr>
          <w:p>
            <w:pPr>
              <w:snapToGrid w:val="0"/>
              <w:spacing w:line="360" w:lineRule="auto"/>
              <w:ind w:firstLine="420" w:firstLineChars="200"/>
              <w:rPr>
                <w:rFonts w:ascii="宋体" w:hAnsi="宋体" w:cs="宋体"/>
                <w:szCs w:val="21"/>
              </w:rPr>
            </w:pPr>
            <w:r>
              <w:rPr>
                <w:rFonts w:hint="eastAsia" w:ascii="宋体" w:hAnsi="宋体" w:cs="宋体"/>
                <w:szCs w:val="21"/>
              </w:rPr>
              <w:t>1000-5000</w:t>
            </w:r>
          </w:p>
        </w:tc>
        <w:tc>
          <w:tcPr>
            <w:tcW w:w="3397" w:type="dxa"/>
            <w:vAlign w:val="center"/>
          </w:tcPr>
          <w:p>
            <w:pPr>
              <w:snapToGrid w:val="0"/>
              <w:spacing w:line="360" w:lineRule="auto"/>
              <w:ind w:firstLine="420" w:firstLineChars="200"/>
              <w:rPr>
                <w:rFonts w:ascii="宋体" w:hAnsi="宋体" w:cs="宋体"/>
                <w:szCs w:val="21"/>
              </w:rPr>
            </w:pPr>
            <w:r>
              <w:rPr>
                <w:rFonts w:hint="eastAsia" w:ascii="宋体" w:hAnsi="宋体" w:cs="宋体"/>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4805" w:type="dxa"/>
          </w:tcPr>
          <w:p>
            <w:pPr>
              <w:snapToGrid w:val="0"/>
              <w:spacing w:line="360" w:lineRule="auto"/>
              <w:ind w:firstLine="420" w:firstLineChars="200"/>
              <w:rPr>
                <w:rFonts w:ascii="宋体" w:hAnsi="宋体" w:cs="宋体"/>
                <w:szCs w:val="21"/>
              </w:rPr>
            </w:pPr>
            <w:r>
              <w:rPr>
                <w:rFonts w:hint="eastAsia" w:ascii="宋体" w:hAnsi="宋体" w:cs="宋体"/>
                <w:szCs w:val="21"/>
              </w:rPr>
              <w:t>5000-10000</w:t>
            </w:r>
          </w:p>
        </w:tc>
        <w:tc>
          <w:tcPr>
            <w:tcW w:w="3397" w:type="dxa"/>
            <w:vAlign w:val="center"/>
          </w:tcPr>
          <w:p>
            <w:pPr>
              <w:snapToGrid w:val="0"/>
              <w:spacing w:line="360" w:lineRule="auto"/>
              <w:ind w:firstLine="420" w:firstLineChars="200"/>
              <w:rPr>
                <w:rFonts w:ascii="宋体" w:hAnsi="宋体" w:cs="宋体"/>
                <w:szCs w:val="21"/>
              </w:rPr>
            </w:pPr>
            <w:r>
              <w:rPr>
                <w:rFonts w:hint="eastAsia" w:ascii="宋体" w:hAnsi="宋体" w:cs="宋体"/>
                <w:szCs w:val="21"/>
              </w:rPr>
              <w:t>0.1%</w:t>
            </w:r>
          </w:p>
        </w:tc>
      </w:tr>
    </w:tbl>
    <w:p>
      <w:pPr>
        <w:snapToGrid w:val="0"/>
        <w:spacing w:line="360" w:lineRule="auto"/>
        <w:ind w:left="420"/>
        <w:rPr>
          <w:rFonts w:ascii="宋体" w:hAnsi="宋体" w:cs="宋体"/>
          <w:szCs w:val="21"/>
        </w:rPr>
      </w:pPr>
      <w:r>
        <w:rPr>
          <w:rFonts w:hint="eastAsia" w:ascii="宋体" w:hAnsi="宋体" w:cs="宋体"/>
          <w:szCs w:val="21"/>
        </w:rPr>
        <w:t>3.其他相关费用按实收取。</w:t>
      </w:r>
    </w:p>
    <w:p>
      <w:pPr>
        <w:snapToGrid w:val="0"/>
        <w:spacing w:line="360" w:lineRule="auto"/>
        <w:ind w:left="420"/>
        <w:rPr>
          <w:rFonts w:ascii="宋体" w:hAnsi="宋体" w:cs="宋体"/>
          <w:szCs w:val="21"/>
        </w:rPr>
      </w:pPr>
      <w:r>
        <w:rPr>
          <w:rFonts w:hint="eastAsia" w:ascii="宋体" w:hAnsi="宋体" w:cs="宋体"/>
          <w:szCs w:val="21"/>
        </w:rPr>
        <w:t>4.服务费以人民币元收取。</w:t>
      </w:r>
    </w:p>
    <w:p>
      <w:pPr>
        <w:pStyle w:val="5"/>
      </w:pPr>
      <w:bookmarkStart w:id="49" w:name="_Toc14136"/>
      <w:bookmarkStart w:id="50" w:name="_Toc356371442"/>
      <w:r>
        <w:rPr>
          <w:rFonts w:hint="eastAsia"/>
        </w:rPr>
        <w:t>（十五）</w:t>
      </w:r>
      <w:r>
        <w:t>其他</w:t>
      </w:r>
      <w:bookmarkEnd w:id="49"/>
      <w:bookmarkEnd w:id="50"/>
    </w:p>
    <w:p>
      <w:pPr>
        <w:snapToGrid w:val="0"/>
        <w:spacing w:line="360" w:lineRule="auto"/>
        <w:ind w:left="420"/>
        <w:rPr>
          <w:szCs w:val="21"/>
        </w:rPr>
      </w:pPr>
      <w:r>
        <w:rPr>
          <w:rFonts w:hint="eastAsia" w:hAnsi="宋体"/>
          <w:szCs w:val="21"/>
        </w:rPr>
        <w:t>1.</w:t>
      </w:r>
      <w:r>
        <w:rPr>
          <w:rFonts w:hAnsi="宋体"/>
          <w:szCs w:val="21"/>
        </w:rPr>
        <w:t>解释权：本招标文件是依据《政府采购法》及有关规定编制的，解释权属采购人。</w:t>
      </w:r>
    </w:p>
    <w:p>
      <w:pPr>
        <w:pStyle w:val="3"/>
        <w:spacing w:before="240" w:after="240"/>
      </w:pPr>
      <w:r>
        <w:br w:type="page"/>
      </w:r>
      <w:bookmarkStart w:id="51" w:name="_Toc49416241"/>
      <w:r>
        <w:rPr>
          <w:rFonts w:hint="eastAsia"/>
        </w:rPr>
        <w:t>第三章 招标内容及需求</w:t>
      </w:r>
      <w:bookmarkEnd w:id="51"/>
    </w:p>
    <w:p>
      <w:pPr>
        <w:spacing w:line="360" w:lineRule="auto"/>
        <w:rPr>
          <w:b/>
        </w:rPr>
      </w:pPr>
      <w:r>
        <w:rPr>
          <w:rFonts w:hint="eastAsia"/>
          <w:b/>
        </w:rPr>
        <w:t>一、说明</w:t>
      </w:r>
    </w:p>
    <w:p>
      <w:pPr>
        <w:spacing w:line="360" w:lineRule="auto"/>
        <w:ind w:firstLine="420" w:firstLineChars="200"/>
      </w:pPr>
      <w:r>
        <w:rPr>
          <w:rFonts w:hint="eastAsia"/>
        </w:rPr>
        <w:t>本次采购的承包项目为衢江区白蚁新建预防和回访复查，服务期两年（具体以合同签订时间为准），采购内容为新建房屋白蚁预防施工（安装监测装置）、监测装置检查维护、合同期内的老旧房屋白蚁治理、经白蚁预防（药物屏障处理）房屋回访复查等。</w:t>
      </w:r>
    </w:p>
    <w:p>
      <w:pPr>
        <w:spacing w:line="360" w:lineRule="auto"/>
        <w:rPr>
          <w:b/>
        </w:rPr>
      </w:pPr>
      <w:r>
        <w:rPr>
          <w:rFonts w:hint="eastAsia"/>
          <w:b/>
        </w:rPr>
        <w:t>二、采购明细</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819"/>
        <w:gridCol w:w="18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commentRangeStart w:id="0"/>
            <w:r>
              <w:rPr>
                <w:rFonts w:hint="eastAsia" w:ascii="宋体" w:hAnsi="宋体"/>
                <w:sz w:val="24"/>
                <w:szCs w:val="24"/>
              </w:rPr>
              <w:t>序号</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项目名称</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ascii="宋体" w:hAnsi="宋体"/>
                <w:sz w:val="24"/>
                <w:szCs w:val="24"/>
              </w:rPr>
              <w:t>1</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合同期内老旧房屋白蚁治理(面积低于100m</w:t>
            </w:r>
            <w:r>
              <w:rPr>
                <w:rFonts w:hint="eastAsia" w:ascii="宋体" w:hAnsi="宋体"/>
                <w:sz w:val="24"/>
                <w:szCs w:val="24"/>
                <w:vertAlign w:val="superscript"/>
              </w:rPr>
              <w:t>2</w:t>
            </w:r>
            <w:r>
              <w:rPr>
                <w:rFonts w:hint="eastAsia" w:ascii="宋体" w:hAnsi="宋体"/>
                <w:sz w:val="24"/>
                <w:szCs w:val="24"/>
              </w:rPr>
              <w:t>按100m</w:t>
            </w:r>
            <w:r>
              <w:rPr>
                <w:rFonts w:hint="eastAsia" w:ascii="宋体" w:hAnsi="宋体"/>
                <w:sz w:val="24"/>
                <w:szCs w:val="24"/>
                <w:vertAlign w:val="superscript"/>
              </w:rPr>
              <w:t>2</w:t>
            </w:r>
            <w:r>
              <w:rPr>
                <w:rFonts w:hint="eastAsia" w:ascii="宋体" w:hAnsi="宋体"/>
                <w:sz w:val="24"/>
                <w:szCs w:val="24"/>
              </w:rPr>
              <w:t>计；1000m</w:t>
            </w:r>
            <w:r>
              <w:rPr>
                <w:rFonts w:hint="eastAsia" w:ascii="宋体" w:hAnsi="宋体"/>
                <w:sz w:val="24"/>
                <w:szCs w:val="24"/>
                <w:vertAlign w:val="superscript"/>
              </w:rPr>
              <w:t>2</w:t>
            </w:r>
            <w:r>
              <w:rPr>
                <w:rFonts w:hint="eastAsia" w:ascii="宋体" w:hAnsi="宋体"/>
                <w:sz w:val="24"/>
                <w:szCs w:val="24"/>
              </w:rPr>
              <w:t>以上按1000m</w:t>
            </w:r>
            <w:r>
              <w:rPr>
                <w:rFonts w:hint="eastAsia" w:ascii="宋体" w:hAnsi="宋体"/>
                <w:sz w:val="24"/>
                <w:szCs w:val="24"/>
                <w:vertAlign w:val="superscript"/>
              </w:rPr>
              <w:t>2</w:t>
            </w:r>
            <w:r>
              <w:rPr>
                <w:rFonts w:hint="eastAsia" w:ascii="宋体" w:hAnsi="宋体"/>
                <w:sz w:val="24"/>
                <w:szCs w:val="24"/>
              </w:rPr>
              <w:t>计算)</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30000㎡</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ascii="宋体" w:hAnsi="宋体"/>
                <w:sz w:val="24"/>
                <w:szCs w:val="24"/>
              </w:rPr>
              <w:t>2</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经白蚁预防（药物屏障处理）房屋回访复查</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200万平方米</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3</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新建房屋白蚁预防施工（安装监测装置）</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5400套</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4</w:t>
            </w:r>
          </w:p>
        </w:tc>
        <w:tc>
          <w:tcPr>
            <w:tcW w:w="48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监测装置检查维护</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5300套</w:t>
            </w:r>
          </w:p>
          <w:commentRangeEnd w:id="0"/>
          <w:p>
            <w:r>
              <w:commentReference w:id="0"/>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p>
        </w:tc>
      </w:tr>
    </w:tbl>
    <w:p>
      <w:pPr>
        <w:spacing w:line="360" w:lineRule="auto"/>
        <w:ind w:firstLine="420" w:firstLineChars="200"/>
      </w:pPr>
    </w:p>
    <w:p>
      <w:pPr>
        <w:spacing w:line="360" w:lineRule="auto"/>
        <w:ind w:firstLine="420" w:firstLineChars="200"/>
      </w:pPr>
      <w:r>
        <w:rPr>
          <w:rFonts w:hint="eastAsia"/>
        </w:rPr>
        <w:t>1、服务期限：2年，具体以签订合同时间为准。</w:t>
      </w:r>
    </w:p>
    <w:p>
      <w:pPr>
        <w:spacing w:line="360" w:lineRule="auto"/>
        <w:ind w:firstLine="420" w:firstLineChars="200"/>
      </w:pPr>
      <w:r>
        <w:rPr>
          <w:rFonts w:hint="eastAsia"/>
        </w:rPr>
        <w:t>▲2、监测装置要求：监测装置应选用通过浙江省白蚁防治中心和浙江省建设科技推广中心评议认定的产品：如（1）绿如蓝牌地下型白蚁监测控制装置；(2)网罗牌地下型系列白蚁监测控制装置；(3)DEKAN智能型白蚁监测控制系统；（4）乐安居红外型白蚁监测控制装置等。除以上推荐品牌外，其他能满足本项目技术需求的产品亦可参加投标。监测装置产品应在商务标中响应，中标后未经采购方许可不得变更产品。</w:t>
      </w:r>
    </w:p>
    <w:p>
      <w:pPr>
        <w:spacing w:line="360" w:lineRule="auto"/>
        <w:ind w:firstLine="420" w:firstLineChars="200"/>
      </w:pPr>
      <w:r>
        <w:rPr>
          <w:rFonts w:hint="eastAsia"/>
        </w:rPr>
        <w:t>推荐品牌以外的监测装置应提供：产品样本、注册商标证书复印件、产品研究开发总结报告（需包含专利情况）、产品现行执行标准(企业标准)及指导工程应用的技术规程、有效期内法定检测机构出具的产品抽样检验报告复印件(需含第三方检测机构出具的关于监测控制系统外壳耐久度的报告)、白蚁综合治理示范工程应用实例（附相关照片）等，否则按未响应监测装置要求作无效标处理。</w:t>
      </w:r>
    </w:p>
    <w:p>
      <w:pPr>
        <w:spacing w:line="360" w:lineRule="auto"/>
        <w:ind w:firstLine="420" w:firstLineChars="200"/>
      </w:pPr>
      <w:r>
        <w:rPr>
          <w:rFonts w:hint="eastAsia"/>
        </w:rPr>
        <w:t>3、白蚁预防药物要求：白蚁预防药物应选用取得“农药三证”并标注 “可适用于木材、建筑物及周边土壤防治白蚁”的产品，可选用以下产品：如（1）15%联苯菊酯悬浮剂；（2）7.5%联苯菊酯水乳剂；（3）20%吡虫啉悬浮剂；（4）2.5%氟虫腈悬浮剂等。如选其他药物需提供相关证明：“农药三证”并标注 “可适用于木材、建筑物及周边土壤防治白蚁”。白蚁预防药物产品应在商务标中响应，中标后未经采购方许可不得变更产品。</w:t>
      </w:r>
    </w:p>
    <w:p>
      <w:pPr>
        <w:spacing w:line="360" w:lineRule="auto"/>
        <w:rPr>
          <w:b/>
        </w:rPr>
      </w:pPr>
      <w:r>
        <w:rPr>
          <w:rFonts w:hint="eastAsia"/>
          <w:b/>
        </w:rPr>
        <w:t>三、工作范围和内容</w:t>
      </w:r>
    </w:p>
    <w:p>
      <w:pPr>
        <w:spacing w:line="360" w:lineRule="auto"/>
        <w:ind w:firstLine="420" w:firstLineChars="200"/>
      </w:pPr>
      <w:r>
        <w:rPr>
          <w:rFonts w:hint="eastAsia"/>
        </w:rPr>
        <w:t>1、采购内容为新建房屋白蚁预防施工（安装监测装置）、监测装置检查维护、合同期内的老旧房屋白蚁治理、经白蚁预防（药物屏障处理）房屋回访复查等。</w:t>
      </w:r>
    </w:p>
    <w:p>
      <w:pPr>
        <w:spacing w:line="360" w:lineRule="auto"/>
        <w:ind w:firstLine="420" w:firstLineChars="200"/>
      </w:pPr>
      <w:r>
        <w:rPr>
          <w:rFonts w:hint="eastAsia"/>
        </w:rPr>
        <w:t>2、应急性或上级交办的白蚁防治事件处理和其他工作。</w:t>
      </w:r>
    </w:p>
    <w:p>
      <w:pPr>
        <w:spacing w:line="360" w:lineRule="auto"/>
        <w:ind w:firstLine="420" w:firstLineChars="200"/>
      </w:pPr>
      <w:r>
        <w:rPr>
          <w:rFonts w:hint="eastAsia"/>
        </w:rPr>
        <w:t>3、来电来人业务接待、登记，业务数据统计工作等。</w:t>
      </w:r>
    </w:p>
    <w:p>
      <w:pPr>
        <w:spacing w:line="360" w:lineRule="auto"/>
        <w:rPr>
          <w:b/>
        </w:rPr>
      </w:pPr>
      <w:r>
        <w:rPr>
          <w:rFonts w:hint="eastAsia"/>
          <w:b/>
        </w:rPr>
        <w:t>四、施工技术依据</w:t>
      </w:r>
    </w:p>
    <w:p>
      <w:pPr>
        <w:spacing w:line="360" w:lineRule="auto"/>
        <w:ind w:firstLine="420" w:firstLineChars="200"/>
      </w:pPr>
      <w:r>
        <w:rPr>
          <w:rFonts w:hint="eastAsia"/>
        </w:rPr>
        <w:t>1、ＤＢ33/1017－2004《房屋白蚁预防技术规程》 、ＤＢ33/T 1108-2014 《房屋白蚁监测控制技术规程》。</w:t>
      </w:r>
    </w:p>
    <w:p>
      <w:pPr>
        <w:spacing w:line="360" w:lineRule="auto"/>
      </w:pPr>
      <w:r>
        <w:rPr>
          <w:rFonts w:hint="eastAsia"/>
        </w:rPr>
        <w:t>主要技术指标为：</w:t>
      </w:r>
    </w:p>
    <w:p>
      <w:pPr>
        <w:spacing w:line="360" w:lineRule="auto"/>
        <w:ind w:firstLine="420" w:firstLineChars="200"/>
      </w:pPr>
      <w:r>
        <w:rPr>
          <w:rFonts w:hint="eastAsia"/>
        </w:rPr>
        <w:t>监测装置安装间距，房屋四周为3-5米，特殊情况协商确定，施工方案由衢州市衢江区住房和城乡建设局审定后方可实施；</w:t>
      </w:r>
    </w:p>
    <w:p>
      <w:pPr>
        <w:spacing w:line="360" w:lineRule="auto"/>
        <w:ind w:firstLine="420" w:firstLineChars="200"/>
      </w:pPr>
      <w:r>
        <w:rPr>
          <w:rFonts w:hint="eastAsia"/>
        </w:rPr>
        <w:t>监测装置维护周期：每年上半年、下半年各1次，特殊情况协商确定；</w:t>
      </w:r>
    </w:p>
    <w:p>
      <w:pPr>
        <w:spacing w:line="360" w:lineRule="auto"/>
        <w:ind w:firstLine="420" w:firstLineChars="200"/>
      </w:pPr>
      <w:r>
        <w:rPr>
          <w:rFonts w:hint="eastAsia"/>
        </w:rPr>
        <w:t>药物屏障处理，每平方米地坪喷施3升合格药剂，特殊情况协商确定，施工方案由衢州市衢江区住房和城乡建设局审定后方可实施。</w:t>
      </w:r>
    </w:p>
    <w:p>
      <w:pPr>
        <w:spacing w:line="360" w:lineRule="auto"/>
        <w:ind w:firstLine="420" w:firstLineChars="200"/>
      </w:pPr>
      <w:r>
        <w:rPr>
          <w:rFonts w:hint="eastAsia"/>
        </w:rPr>
        <w:t>2、衢州市衢江区住房和城乡建设局有关白蚁防治施工的规章制度。</w:t>
      </w:r>
    </w:p>
    <w:p>
      <w:pPr>
        <w:spacing w:line="360" w:lineRule="auto"/>
        <w:rPr>
          <w:b/>
        </w:rPr>
      </w:pPr>
      <w:r>
        <w:rPr>
          <w:rFonts w:hint="eastAsia"/>
          <w:b/>
        </w:rPr>
        <w:t>五、工作质量检查考核</w:t>
      </w:r>
    </w:p>
    <w:p>
      <w:pPr>
        <w:spacing w:line="360" w:lineRule="auto"/>
        <w:ind w:firstLine="420" w:firstLineChars="200"/>
      </w:pPr>
      <w:r>
        <w:rPr>
          <w:rFonts w:hint="eastAsia"/>
        </w:rPr>
        <w:t>（一）新建房屋白蚁预防施工业务</w:t>
      </w:r>
    </w:p>
    <w:p>
      <w:pPr>
        <w:spacing w:line="360" w:lineRule="auto"/>
        <w:ind w:firstLine="420" w:firstLineChars="200"/>
      </w:pPr>
      <w:r>
        <w:rPr>
          <w:rFonts w:hint="eastAsia"/>
        </w:rPr>
        <w:t>1、中标单位工作职责：收到新建预防受理登记单后5个工作日内现场勘察工地，取得施工图纸，编制初步施工方案，并按照施工方案进行白蚁预防施工，规范填写相关表格，工程完工后，按规定移交完整的项目档案。</w:t>
      </w:r>
    </w:p>
    <w:p>
      <w:pPr>
        <w:spacing w:line="360" w:lineRule="auto"/>
        <w:ind w:firstLine="420" w:firstLineChars="200"/>
      </w:pPr>
      <w:r>
        <w:rPr>
          <w:rFonts w:hint="eastAsia"/>
        </w:rPr>
        <w:t>2、采取每年度一次对中标单位工作内容及工作范围是否按规定要求操作进行酌情考核。</w:t>
      </w:r>
    </w:p>
    <w:p>
      <w:pPr>
        <w:spacing w:line="360" w:lineRule="auto"/>
        <w:ind w:firstLine="420" w:firstLineChars="200"/>
      </w:pPr>
      <w:r>
        <w:rPr>
          <w:rFonts w:hint="eastAsia"/>
        </w:rPr>
        <w:t>3、考核验收按照ＤＢ33/1017－2004《房屋白蚁预防技术规程》、相关规章制度、白蚁预防施工方案等要求，对中标单位进行不定时的工作质量检查。</w:t>
      </w:r>
    </w:p>
    <w:p>
      <w:pPr>
        <w:spacing w:line="360" w:lineRule="auto"/>
        <w:ind w:firstLine="420" w:firstLineChars="200"/>
      </w:pPr>
      <w:r>
        <w:rPr>
          <w:rFonts w:hint="eastAsia"/>
        </w:rPr>
        <w:t>4、白蚁预防施工项目完工后，按白蚁预防施工方案逐个项目验收；药土屏障色谱检测应达到相关标准。</w:t>
      </w:r>
    </w:p>
    <w:p>
      <w:pPr>
        <w:spacing w:line="360" w:lineRule="auto"/>
        <w:ind w:firstLine="420" w:firstLineChars="200"/>
      </w:pPr>
      <w:r>
        <w:rPr>
          <w:rFonts w:hint="eastAsia"/>
        </w:rPr>
        <w:t>5、造成预防工程漏防的，中标单位应及时上报衢州市衢江区住房和城乡建设局，并根据实际情况及时采取补防措施，采购人将查明责任：如果是中标单位联系协调不到位造成漏防并无法补防的，该项目施工费不结算外，将按该项目的施工总费用进行扣罚；如果是建设单位配合不到位造成漏防无法补防的，按漏防部分工程量，在该项目中所占的比例部分施工费扣除。</w:t>
      </w:r>
    </w:p>
    <w:p>
      <w:pPr>
        <w:spacing w:line="360" w:lineRule="auto"/>
        <w:ind w:firstLine="420" w:firstLineChars="200"/>
      </w:pPr>
      <w:r>
        <w:rPr>
          <w:rFonts w:hint="eastAsia"/>
        </w:rPr>
        <w:t>（二）老旧房屋白蚁治理业务</w:t>
      </w:r>
    </w:p>
    <w:p>
      <w:pPr>
        <w:spacing w:line="360" w:lineRule="auto"/>
        <w:ind w:firstLine="420" w:firstLineChars="200"/>
      </w:pPr>
      <w:r>
        <w:rPr>
          <w:rFonts w:hint="eastAsia"/>
        </w:rPr>
        <w:t>1、白蚁灭治业务登记受理后必须在3个工作日内完成服务。</w:t>
      </w:r>
    </w:p>
    <w:p>
      <w:pPr>
        <w:spacing w:line="360" w:lineRule="auto"/>
        <w:ind w:firstLine="420" w:firstLineChars="200"/>
      </w:pPr>
      <w:r>
        <w:rPr>
          <w:rFonts w:hint="eastAsia"/>
        </w:rPr>
        <w:t>2、由衢州市衢江区住房和城乡建设局交办的白蚁灭治项目不得向业主收取白蚁治理费用。</w:t>
      </w:r>
    </w:p>
    <w:p>
      <w:pPr>
        <w:spacing w:line="360" w:lineRule="auto"/>
        <w:ind w:firstLine="420" w:firstLineChars="200"/>
      </w:pPr>
      <w:r>
        <w:rPr>
          <w:rFonts w:hint="eastAsia"/>
        </w:rPr>
        <w:t>（三）房屋回访复查业务</w:t>
      </w:r>
    </w:p>
    <w:p>
      <w:pPr>
        <w:spacing w:line="360" w:lineRule="auto"/>
        <w:ind w:firstLine="420" w:firstLineChars="200"/>
      </w:pPr>
      <w:r>
        <w:rPr>
          <w:rFonts w:hint="eastAsia"/>
        </w:rPr>
        <w:t>根据全国白蚁防治中心《关于认真做好房屋白蚁预防工程回访复查工作的意见》（全蚁〔2012〕30号）文件规定执行。</w:t>
      </w:r>
    </w:p>
    <w:p>
      <w:pPr>
        <w:spacing w:line="360" w:lineRule="auto"/>
        <w:ind w:firstLine="420" w:firstLineChars="200"/>
      </w:pPr>
      <w:r>
        <w:rPr>
          <w:rFonts w:hint="eastAsia"/>
        </w:rPr>
        <w:t>（四）监测装置检查维护业务</w:t>
      </w:r>
    </w:p>
    <w:p>
      <w:pPr>
        <w:spacing w:line="360" w:lineRule="auto"/>
        <w:ind w:firstLine="420" w:firstLineChars="200"/>
      </w:pPr>
      <w:r>
        <w:rPr>
          <w:rFonts w:hint="eastAsia"/>
        </w:rPr>
        <w:t>根据ＤＢ33/T 1108-2014 《房屋白蚁监测控制技术规程》、衢州市衢江区住房和城乡建设局相关规章制度执行。</w:t>
      </w:r>
    </w:p>
    <w:p>
      <w:pPr>
        <w:spacing w:line="360" w:lineRule="auto"/>
        <w:ind w:firstLine="420" w:firstLineChars="200"/>
      </w:pPr>
      <w:r>
        <w:rPr>
          <w:rFonts w:hint="eastAsia"/>
        </w:rPr>
        <w:t>（五）安全生产</w:t>
      </w:r>
    </w:p>
    <w:p>
      <w:pPr>
        <w:spacing w:line="360" w:lineRule="auto"/>
        <w:ind w:firstLine="420" w:firstLineChars="200"/>
      </w:pPr>
      <w:r>
        <w:rPr>
          <w:rFonts w:hint="eastAsia"/>
        </w:rPr>
        <w:t>1、不发生药物渗漏、环境污染、人身安全等安全生产事故。</w:t>
      </w:r>
    </w:p>
    <w:p>
      <w:pPr>
        <w:spacing w:line="360" w:lineRule="auto"/>
        <w:ind w:firstLine="420" w:firstLineChars="200"/>
      </w:pPr>
      <w:r>
        <w:rPr>
          <w:rFonts w:hint="eastAsia"/>
        </w:rPr>
        <w:t>2、安全生产事故责任由中标单位全部自负。</w:t>
      </w:r>
    </w:p>
    <w:p>
      <w:pPr>
        <w:spacing w:line="360" w:lineRule="auto"/>
        <w:ind w:firstLine="420" w:firstLineChars="200"/>
      </w:pPr>
      <w:r>
        <w:rPr>
          <w:rFonts w:hint="eastAsia"/>
        </w:rPr>
        <w:t>3、保证服务质量和工作效能，做到文明、及时、主动服务。</w:t>
      </w:r>
    </w:p>
    <w:p>
      <w:pPr>
        <w:spacing w:line="360" w:lineRule="auto"/>
        <w:rPr>
          <w:b/>
        </w:rPr>
      </w:pPr>
      <w:r>
        <w:rPr>
          <w:rFonts w:hint="eastAsia"/>
          <w:b/>
        </w:rPr>
        <w:t>六、处罚规定</w:t>
      </w:r>
    </w:p>
    <w:p>
      <w:pPr>
        <w:spacing w:line="360" w:lineRule="auto"/>
        <w:ind w:firstLine="420" w:firstLineChars="200"/>
      </w:pPr>
      <w:r>
        <w:rPr>
          <w:rFonts w:hint="eastAsia"/>
        </w:rPr>
        <w:t>1、如按规定要求未完成业务的，每个项目罚款50-200元。</w:t>
      </w:r>
    </w:p>
    <w:p>
      <w:pPr>
        <w:spacing w:line="360" w:lineRule="auto"/>
        <w:ind w:firstLine="420" w:firstLineChars="200"/>
      </w:pPr>
      <w:r>
        <w:rPr>
          <w:rFonts w:hint="eastAsia"/>
        </w:rPr>
        <w:t>2、由于中标单位工作失误，造成客户不满意或投诉的，每次罚款500-2000元。</w:t>
      </w:r>
    </w:p>
    <w:p>
      <w:pPr>
        <w:spacing w:line="360" w:lineRule="auto"/>
        <w:ind w:firstLine="420" w:firstLineChars="200"/>
      </w:pPr>
      <w:r>
        <w:rPr>
          <w:rFonts w:hint="eastAsia"/>
        </w:rPr>
        <w:t>3、由于中标单位工作失误，造成客户投诉或发生较大责任事故，导致采购人受上级部门问责或处分的，扣罚50000元，并中止合同，取消下一轮投标入围资格。</w:t>
      </w:r>
    </w:p>
    <w:p>
      <w:pPr>
        <w:spacing w:line="360" w:lineRule="auto"/>
        <w:rPr>
          <w:b/>
        </w:rPr>
      </w:pPr>
      <w:r>
        <w:rPr>
          <w:rFonts w:hint="eastAsia"/>
          <w:b/>
        </w:rPr>
        <w:t>七、中标单位违反以下规定之一的，采购人有权利终止合同</w:t>
      </w:r>
    </w:p>
    <w:p>
      <w:pPr>
        <w:spacing w:line="360" w:lineRule="auto"/>
        <w:ind w:firstLine="420" w:firstLineChars="200"/>
      </w:pPr>
      <w:r>
        <w:rPr>
          <w:rFonts w:hint="eastAsia"/>
        </w:rPr>
        <w:t>1、发现投标时提供虚假投标文件资料的。</w:t>
      </w:r>
    </w:p>
    <w:p>
      <w:pPr>
        <w:spacing w:line="360" w:lineRule="auto"/>
        <w:ind w:firstLine="420" w:firstLineChars="200"/>
      </w:pPr>
      <w:r>
        <w:rPr>
          <w:rFonts w:hint="eastAsia"/>
        </w:rPr>
        <w:t>2、中标单位未按规定要求配备人员、设备的。</w:t>
      </w:r>
    </w:p>
    <w:p>
      <w:pPr>
        <w:spacing w:line="360" w:lineRule="auto"/>
        <w:ind w:firstLine="420" w:firstLineChars="200"/>
      </w:pPr>
      <w:r>
        <w:rPr>
          <w:rFonts w:hint="eastAsia"/>
        </w:rPr>
        <w:t>3、对工作质量检查考核中存在问题，采购人书面通知责令限期整改，而中标单位达不到整改要求的。</w:t>
      </w:r>
    </w:p>
    <w:p>
      <w:pPr>
        <w:spacing w:line="360" w:lineRule="auto"/>
        <w:ind w:firstLine="420" w:firstLineChars="200"/>
      </w:pPr>
      <w:r>
        <w:rPr>
          <w:rFonts w:hint="eastAsia"/>
        </w:rPr>
        <w:t>4、由于中标单位工作失误，造成客户投诉或发生较大责任事故，导致采购人受上级部门问责或处分的。</w:t>
      </w:r>
    </w:p>
    <w:p>
      <w:pPr>
        <w:spacing w:line="360" w:lineRule="auto"/>
        <w:rPr>
          <w:b/>
        </w:rPr>
      </w:pPr>
      <w:r>
        <w:rPr>
          <w:rFonts w:hint="eastAsia"/>
          <w:b/>
        </w:rPr>
        <w:t>八、商务技术要求</w:t>
      </w:r>
    </w:p>
    <w:p>
      <w:pPr>
        <w:spacing w:line="360" w:lineRule="auto"/>
        <w:ind w:firstLine="420" w:firstLineChars="200"/>
      </w:pPr>
      <w:r>
        <w:rPr>
          <w:rFonts w:hint="eastAsia"/>
        </w:rPr>
        <w:t>（一）▲中标单位配备要求</w:t>
      </w:r>
    </w:p>
    <w:p>
      <w:pPr>
        <w:spacing w:line="360" w:lineRule="auto"/>
        <w:ind w:firstLine="420" w:firstLineChars="200"/>
      </w:pPr>
      <w:r>
        <w:rPr>
          <w:rFonts w:hint="eastAsia"/>
        </w:rPr>
        <w:t>1、场地要求：中标单位在签订合同后一个月内须安置好在衢州的办公地点及场所，并提供详细信息（地址、人员名单、联系电话）。</w:t>
      </w:r>
    </w:p>
    <w:p>
      <w:pPr>
        <w:spacing w:line="360" w:lineRule="auto"/>
        <w:ind w:firstLine="420" w:firstLineChars="200"/>
      </w:pPr>
      <w:r>
        <w:rPr>
          <w:rFonts w:hint="eastAsia"/>
        </w:rPr>
        <w:t>2、备案要求：中标</w:t>
      </w:r>
      <w:r>
        <w:rPr>
          <w:rFonts w:hint="eastAsia"/>
          <w:lang w:eastAsia="zh-CN"/>
        </w:rPr>
        <w:t>人</w:t>
      </w:r>
      <w:r>
        <w:rPr>
          <w:rFonts w:hint="eastAsia"/>
        </w:rPr>
        <w:t>在公示期开始一个月内必须在衢州市房地产管理处通过备案。否则采购人有权取消其中标资格，由第二中标候选人为中标人，也可以重新招标。</w:t>
      </w:r>
    </w:p>
    <w:p>
      <w:pPr>
        <w:spacing w:line="360" w:lineRule="auto"/>
        <w:ind w:firstLine="420" w:firstLineChars="200"/>
      </w:pPr>
      <w:r>
        <w:rPr>
          <w:rFonts w:hint="eastAsia"/>
        </w:rPr>
        <w:t>3、人员要求：（1）项目经理（技术负责人）月均出勤22天以上；</w:t>
      </w:r>
    </w:p>
    <w:p>
      <w:pPr>
        <w:spacing w:line="360" w:lineRule="auto"/>
        <w:ind w:firstLine="420" w:firstLineChars="200"/>
      </w:pPr>
      <w:r>
        <w:rPr>
          <w:rFonts w:hint="eastAsia"/>
        </w:rPr>
        <w:t>（2）施工员月均出勤22天以上；</w:t>
      </w:r>
    </w:p>
    <w:p>
      <w:pPr>
        <w:spacing w:line="360" w:lineRule="auto"/>
        <w:ind w:firstLine="420" w:firstLineChars="200"/>
      </w:pPr>
      <w:r>
        <w:rPr>
          <w:rFonts w:hint="eastAsia"/>
        </w:rPr>
        <w:t>（3）资料员1名（可兼职）；</w:t>
      </w:r>
    </w:p>
    <w:p>
      <w:pPr>
        <w:spacing w:line="360" w:lineRule="auto"/>
        <w:ind w:firstLine="420" w:firstLineChars="200"/>
      </w:pPr>
      <w:r>
        <w:rPr>
          <w:rFonts w:hint="eastAsia"/>
        </w:rPr>
        <w:t>（4）配置有白蚁防治施工机械设备与保障质量安全的技术装备，有环境安全的药物专储仓库。</w:t>
      </w:r>
    </w:p>
    <w:p>
      <w:pPr>
        <w:spacing w:line="360" w:lineRule="auto"/>
        <w:ind w:firstLine="420" w:firstLineChars="200"/>
      </w:pPr>
      <w:r>
        <w:rPr>
          <w:rFonts w:hint="eastAsia"/>
        </w:rPr>
        <w:t>（5）本项目组人员依《工伤意外保险条列》规定均要求参加工伤意外保险。</w:t>
      </w:r>
    </w:p>
    <w:p>
      <w:pPr>
        <w:spacing w:line="360" w:lineRule="auto"/>
        <w:ind w:firstLine="420" w:firstLineChars="200"/>
      </w:pPr>
      <w:r>
        <w:rPr>
          <w:rFonts w:hint="eastAsia"/>
        </w:rPr>
        <w:t>3、机械设备要求：中标单位拟投入本项目的白蚁防治、回访复查专用汽车不少于1辆，驾驶员1名，以及配备必要的白蚁防治设备、工具、药物、安全、统一工作服、劳保用品。</w:t>
      </w:r>
    </w:p>
    <w:p>
      <w:pPr>
        <w:spacing w:line="360" w:lineRule="auto"/>
        <w:rPr>
          <w:b/>
        </w:rPr>
      </w:pPr>
      <w:r>
        <w:rPr>
          <w:rFonts w:hint="eastAsia"/>
          <w:b/>
        </w:rPr>
        <w:t>九、结算和付款方式</w:t>
      </w:r>
    </w:p>
    <w:p>
      <w:pPr>
        <w:spacing w:line="360" w:lineRule="auto"/>
        <w:ind w:firstLine="420" w:firstLineChars="200"/>
      </w:pPr>
      <w:r>
        <w:rPr>
          <w:rFonts w:hint="eastAsia"/>
        </w:rPr>
        <w:t>1、房屋白蚁预防项目施工费用按中标单价，每个项目完工验收后，按月或按季度结算，费用凭白蚁预防工程竣工验收单结算。</w:t>
      </w:r>
    </w:p>
    <w:p>
      <w:pPr>
        <w:spacing w:line="360" w:lineRule="auto"/>
        <w:ind w:firstLine="420" w:firstLineChars="200"/>
      </w:pPr>
      <w:r>
        <w:rPr>
          <w:rFonts w:hint="eastAsia"/>
        </w:rPr>
        <w:t>2、采购内容表中数量为预估数量，结算按照实际发生项目的数量结合中标单价计算。最终结算总金额超出合同总价的按照合同总价计算，低于合同总价的按照实际发生数量计算。</w:t>
      </w:r>
    </w:p>
    <w:p>
      <w:pPr>
        <w:spacing w:line="360" w:lineRule="auto"/>
        <w:rPr>
          <w:b/>
        </w:rPr>
      </w:pPr>
      <w:r>
        <w:rPr>
          <w:rFonts w:hint="eastAsia"/>
          <w:b/>
        </w:rPr>
        <w:t>十、其它要求：</w:t>
      </w:r>
    </w:p>
    <w:p>
      <w:pPr>
        <w:spacing w:line="360" w:lineRule="auto"/>
        <w:ind w:firstLine="420" w:firstLineChars="200"/>
      </w:pPr>
      <w:r>
        <w:rPr>
          <w:rFonts w:hint="eastAsia"/>
        </w:rPr>
        <w:t>中标单位必须在施工时采取安全保障措施，保证安全施工。施工过程中产生的安全事故及责任均由中标单位自行承担。</w:t>
      </w:r>
    </w:p>
    <w:p>
      <w:r>
        <w:br w:type="page"/>
      </w:r>
    </w:p>
    <w:p>
      <w:pPr>
        <w:pStyle w:val="3"/>
        <w:spacing w:before="240" w:after="240"/>
      </w:pPr>
      <w:bookmarkStart w:id="52" w:name="_Toc49416242"/>
      <w:r>
        <w:rPr>
          <w:rFonts w:hint="eastAsia"/>
        </w:rPr>
        <w:t>第四章 合同主要条款</w:t>
      </w:r>
      <w:bookmarkEnd w:id="52"/>
    </w:p>
    <w:p>
      <w:pPr>
        <w:spacing w:line="400" w:lineRule="exact"/>
        <w:ind w:left="420" w:leftChars="200"/>
        <w:rPr>
          <w:szCs w:val="21"/>
        </w:rPr>
      </w:pPr>
      <w:r>
        <w:rPr>
          <w:rFonts w:hint="eastAsia" w:hAnsi="宋体"/>
          <w:szCs w:val="21"/>
        </w:rPr>
        <w:t>发包人</w:t>
      </w:r>
      <w:r>
        <w:rPr>
          <w:rFonts w:hAnsi="宋体"/>
          <w:szCs w:val="21"/>
        </w:rPr>
        <w:t>：</w:t>
      </w:r>
      <w:r>
        <w:rPr>
          <w:szCs w:val="21"/>
          <w:u w:val="single"/>
        </w:rPr>
        <w:t xml:space="preserve">                        </w:t>
      </w:r>
      <w:r>
        <w:rPr>
          <w:rFonts w:hint="eastAsia"/>
          <w:szCs w:val="21"/>
          <w:u w:val="single"/>
        </w:rPr>
        <w:t xml:space="preserve">       </w:t>
      </w:r>
      <w:r>
        <w:rPr>
          <w:szCs w:val="21"/>
          <w:u w:val="single"/>
        </w:rPr>
        <w:t xml:space="preserve">     </w:t>
      </w:r>
    </w:p>
    <w:p>
      <w:pPr>
        <w:spacing w:line="400" w:lineRule="exact"/>
        <w:ind w:left="420" w:leftChars="200"/>
        <w:rPr>
          <w:b/>
          <w:bCs/>
          <w:szCs w:val="21"/>
        </w:rPr>
      </w:pPr>
      <w:r>
        <w:rPr>
          <w:rFonts w:hint="eastAsia" w:hAnsi="宋体"/>
          <w:szCs w:val="21"/>
        </w:rPr>
        <w:t>承包人</w:t>
      </w:r>
      <w:r>
        <w:rPr>
          <w:rFonts w:hAnsi="宋体"/>
          <w:szCs w:val="21"/>
        </w:rPr>
        <w:t>：</w:t>
      </w:r>
      <w:r>
        <w:rPr>
          <w:szCs w:val="21"/>
          <w:u w:val="single"/>
        </w:rPr>
        <w:t xml:space="preserve">                                    </w:t>
      </w:r>
    </w:p>
    <w:p>
      <w:pPr>
        <w:numPr>
          <w:ilvl w:val="0"/>
          <w:numId w:val="5"/>
        </w:numPr>
        <w:spacing w:line="480" w:lineRule="exact"/>
        <w:ind w:firstLine="422"/>
      </w:pPr>
      <w:r>
        <w:rPr>
          <w:rFonts w:hint="eastAsia"/>
        </w:rPr>
        <w:t>甲、乙双方根据</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日衢州市</w:t>
      </w:r>
      <w:r>
        <w:rPr>
          <w:rFonts w:hint="eastAsia"/>
          <w:u w:val="single"/>
        </w:rPr>
        <w:t xml:space="preserve">                                </w:t>
      </w:r>
      <w:r>
        <w:rPr>
          <w:rFonts w:hint="eastAsia"/>
        </w:rPr>
        <w:t>项目(采购编号：</w:t>
      </w:r>
      <w:r>
        <w:rPr>
          <w:rFonts w:hint="eastAsia"/>
          <w:u w:val="single"/>
        </w:rPr>
        <w:t xml:space="preserve">           </w:t>
      </w:r>
      <w:r>
        <w:rPr>
          <w:rFonts w:hint="eastAsia"/>
        </w:rPr>
        <w:t>)采购结果和采购文件的要求，并经双方协商一致，订立本采购合同。</w:t>
      </w:r>
    </w:p>
    <w:p>
      <w:pPr>
        <w:spacing w:line="360" w:lineRule="auto"/>
        <w:ind w:firstLine="422" w:firstLineChars="200"/>
        <w:outlineLvl w:val="0"/>
        <w:rPr>
          <w:b/>
        </w:rPr>
      </w:pPr>
      <w:bookmarkStart w:id="53" w:name="_Toc49416243"/>
      <w:bookmarkStart w:id="54" w:name="_Toc46418831"/>
      <w:r>
        <w:rPr>
          <w:rFonts w:hint="eastAsia"/>
          <w:b/>
        </w:rPr>
        <w:t>二、承包期限</w:t>
      </w:r>
      <w:bookmarkEnd w:id="53"/>
      <w:bookmarkEnd w:id="54"/>
    </w:p>
    <w:p>
      <w:pPr>
        <w:spacing w:line="360" w:lineRule="auto"/>
        <w:ind w:firstLine="420" w:firstLineChars="200"/>
        <w:rPr>
          <w:rFonts w:ascii="宋体" w:hAnsi="宋体" w:cs="宋体"/>
        </w:rPr>
      </w:pPr>
      <w:r>
        <w:rPr>
          <w:rFonts w:hint="eastAsia" w:ascii="宋体" w:hAnsi="宋体" w:cs="宋体"/>
        </w:rPr>
        <w:t>1、本承包期限为</w:t>
      </w:r>
      <w:r>
        <w:rPr>
          <w:rFonts w:hint="eastAsia" w:ascii="宋体" w:hAnsi="宋体" w:cs="宋体"/>
          <w:u w:val="single"/>
        </w:rPr>
        <w:t>两年</w:t>
      </w:r>
      <w:r>
        <w:rPr>
          <w:rFonts w:hint="eastAsia" w:ascii="宋体" w:hAnsi="宋体" w:cs="宋体"/>
        </w:rPr>
        <w:t>，从   年   月   日 至   年  月  日止；</w:t>
      </w:r>
    </w:p>
    <w:p>
      <w:pPr>
        <w:spacing w:line="360" w:lineRule="auto"/>
        <w:ind w:firstLine="420" w:firstLineChars="200"/>
        <w:rPr>
          <w:rFonts w:ascii="宋体" w:hAnsi="宋体" w:cs="宋体"/>
        </w:rPr>
      </w:pPr>
      <w:r>
        <w:rPr>
          <w:rFonts w:hint="eastAsia" w:ascii="宋体" w:hAnsi="宋体" w:cs="宋体"/>
        </w:rPr>
        <w:t>2、承包期完毕后，由甲方重新招标或可按考核标准进行续签。</w:t>
      </w:r>
    </w:p>
    <w:p>
      <w:pPr>
        <w:spacing w:line="360" w:lineRule="auto"/>
        <w:ind w:firstLine="422" w:firstLineChars="200"/>
        <w:outlineLvl w:val="0"/>
        <w:rPr>
          <w:rFonts w:ascii="宋体" w:hAnsi="宋体" w:cs="宋体"/>
          <w:b/>
        </w:rPr>
      </w:pPr>
      <w:bookmarkStart w:id="55" w:name="_Toc46418832"/>
      <w:bookmarkStart w:id="56" w:name="_Toc49416244"/>
      <w:r>
        <w:rPr>
          <w:rFonts w:hint="eastAsia" w:ascii="宋体" w:hAnsi="宋体" w:cs="宋体"/>
          <w:b/>
        </w:rPr>
        <w:t>三、合同价款</w:t>
      </w:r>
      <w:bookmarkEnd w:id="55"/>
      <w:bookmarkEnd w:id="56"/>
    </w:p>
    <w:p>
      <w:pPr>
        <w:spacing w:line="360" w:lineRule="auto"/>
        <w:ind w:firstLine="420" w:firstLineChars="200"/>
        <w:rPr>
          <w:rFonts w:ascii="宋体" w:hAnsi="宋体" w:cs="宋体"/>
        </w:rPr>
      </w:pPr>
      <w:r>
        <w:rPr>
          <w:rFonts w:hint="eastAsia" w:ascii="宋体" w:hAnsi="宋体" w:cs="宋体"/>
        </w:rPr>
        <w:t>（一）本项目合同总价款为</w:t>
      </w:r>
      <w:r>
        <w:rPr>
          <w:rFonts w:hint="eastAsia" w:ascii="宋体" w:hAnsi="宋体" w:cs="宋体"/>
          <w:spacing w:val="5"/>
        </w:rPr>
        <w:t>人民币大写</w:t>
      </w:r>
      <w:r>
        <w:rPr>
          <w:rFonts w:hint="eastAsia" w:ascii="宋体" w:hAnsi="宋体" w:cs="宋体"/>
          <w:spacing w:val="5"/>
          <w:u w:val="single"/>
        </w:rPr>
        <w:t xml:space="preserve">      </w:t>
      </w:r>
      <w:r>
        <w:rPr>
          <w:rFonts w:hint="eastAsia" w:ascii="宋体" w:hAnsi="宋体" w:cs="宋体"/>
          <w:spacing w:val="5"/>
        </w:rPr>
        <w:t xml:space="preserve"> </w:t>
      </w:r>
      <w:r>
        <w:rPr>
          <w:rFonts w:hint="eastAsia" w:ascii="宋体" w:hAnsi="宋体" w:cs="宋体"/>
        </w:rPr>
        <w:t>元（小写</w:t>
      </w:r>
      <w:r>
        <w:rPr>
          <w:rFonts w:hint="eastAsia" w:ascii="宋体" w:hAnsi="宋体" w:cs="宋体"/>
          <w:u w:val="single"/>
        </w:rPr>
        <w:t xml:space="preserve">      </w:t>
      </w:r>
      <w:r>
        <w:rPr>
          <w:rFonts w:hint="eastAsia" w:ascii="宋体" w:hAnsi="宋体" w:cs="宋体"/>
        </w:rPr>
        <w:t>元）。</w:t>
      </w:r>
    </w:p>
    <w:p>
      <w:pPr>
        <w:spacing w:line="340" w:lineRule="exact"/>
        <w:ind w:firstLine="420" w:firstLineChars="200"/>
        <w:rPr>
          <w:rFonts w:ascii="宋体" w:hAnsi="宋体" w:cs="宋体"/>
        </w:rPr>
      </w:pPr>
      <w:r>
        <w:rPr>
          <w:rFonts w:hint="eastAsia" w:ascii="宋体" w:hAnsi="宋体" w:cs="宋体"/>
        </w:rPr>
        <w:t>（二）支付方式：</w:t>
      </w:r>
    </w:p>
    <w:p>
      <w:pPr>
        <w:spacing w:line="340" w:lineRule="exact"/>
        <w:ind w:firstLine="420" w:firstLineChars="200"/>
        <w:outlineLvl w:val="0"/>
        <w:rPr>
          <w:rFonts w:ascii="宋体" w:hAnsi="宋体" w:cs="宋体"/>
        </w:rPr>
      </w:pPr>
      <w:bookmarkStart w:id="57" w:name="_Toc49416245"/>
      <w:bookmarkStart w:id="58" w:name="_Toc46418833"/>
      <w:r>
        <w:rPr>
          <w:rFonts w:hint="eastAsia" w:ascii="宋体" w:hAnsi="宋体" w:cs="宋体"/>
        </w:rPr>
        <w:t>1、房屋白蚁预防项目施工费用按中标单价，每个项目完工验收后，按月或按季度结算；由考核验收结果引起的经济和扣罚直接在当月核拨的经费中扣除；施工费凭白蚁预防工程竣工验收单结算。</w:t>
      </w:r>
      <w:bookmarkEnd w:id="57"/>
      <w:bookmarkEnd w:id="58"/>
    </w:p>
    <w:p>
      <w:pPr>
        <w:spacing w:line="340" w:lineRule="exact"/>
        <w:ind w:firstLine="420" w:firstLineChars="200"/>
        <w:outlineLvl w:val="0"/>
        <w:rPr>
          <w:rFonts w:ascii="宋体" w:hAnsi="宋体" w:cs="宋体"/>
        </w:rPr>
      </w:pPr>
      <w:r>
        <w:rPr>
          <w:rFonts w:hint="eastAsia" w:ascii="宋体" w:hAnsi="宋体" w:cs="宋体"/>
        </w:rPr>
        <w:t>2、采购内容表中数量为预估数量，结算按照实际发生项目的数量结合中标单价计算。结算总金额超出合同总价的按照合同总价计算，低于合同总价的按照实际发生数量计算。</w:t>
      </w:r>
    </w:p>
    <w:p>
      <w:pPr>
        <w:spacing w:line="360" w:lineRule="auto"/>
        <w:ind w:firstLine="422" w:firstLineChars="200"/>
        <w:outlineLvl w:val="0"/>
        <w:rPr>
          <w:rFonts w:ascii="宋体" w:hAnsi="宋体" w:cs="宋体"/>
          <w:b/>
        </w:rPr>
      </w:pPr>
      <w:bookmarkStart w:id="59" w:name="_Toc49416246"/>
      <w:r>
        <w:rPr>
          <w:rFonts w:hint="eastAsia" w:ascii="宋体" w:hAnsi="宋体" w:cs="宋体"/>
          <w:b/>
        </w:rPr>
        <w:t>四、采购内容</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296"/>
        <w:gridCol w:w="1731"/>
        <w:gridCol w:w="221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序号</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采购内容</w:t>
            </w:r>
          </w:p>
        </w:tc>
        <w:tc>
          <w:tcPr>
            <w:tcW w:w="17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数量</w:t>
            </w:r>
          </w:p>
        </w:tc>
        <w:tc>
          <w:tcPr>
            <w:tcW w:w="22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单价</w:t>
            </w: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品牌</w:t>
            </w:r>
          </w:p>
          <w:p>
            <w:pPr>
              <w:adjustRightInd w:val="0"/>
              <w:snapToGrid w:val="0"/>
              <w:jc w:val="center"/>
              <w:rPr>
                <w:rFonts w:ascii="宋体" w:hAnsi="宋体"/>
                <w:sz w:val="24"/>
                <w:szCs w:val="24"/>
              </w:rPr>
            </w:pPr>
            <w:r>
              <w:rPr>
                <w:rFonts w:hint="eastAsia" w:ascii="宋体" w:hAnsi="宋体"/>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1</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老旧房屋白蚁治理</w:t>
            </w:r>
          </w:p>
        </w:tc>
        <w:tc>
          <w:tcPr>
            <w:tcW w:w="17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30000㎡</w:t>
            </w:r>
          </w:p>
        </w:tc>
        <w:tc>
          <w:tcPr>
            <w:tcW w:w="22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元/m2</w:t>
            </w: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2</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经白蚁预防（药物屏障处理）房屋回访复查</w:t>
            </w:r>
          </w:p>
        </w:tc>
        <w:tc>
          <w:tcPr>
            <w:tcW w:w="17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200万平方米</w:t>
            </w:r>
          </w:p>
        </w:tc>
        <w:tc>
          <w:tcPr>
            <w:tcW w:w="22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元/平方米</w:t>
            </w: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3</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新建房屋白蚁预防施工（安装监测装置）</w:t>
            </w:r>
          </w:p>
        </w:tc>
        <w:tc>
          <w:tcPr>
            <w:tcW w:w="17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5400套</w:t>
            </w:r>
          </w:p>
        </w:tc>
        <w:tc>
          <w:tcPr>
            <w:tcW w:w="22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元/套</w:t>
            </w: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4</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监测装置检查维护</w:t>
            </w:r>
          </w:p>
        </w:tc>
        <w:tc>
          <w:tcPr>
            <w:tcW w:w="17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5300套</w:t>
            </w:r>
          </w:p>
        </w:tc>
        <w:tc>
          <w:tcPr>
            <w:tcW w:w="22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元/套</w:t>
            </w:r>
          </w:p>
        </w:tc>
        <w:tc>
          <w:tcPr>
            <w:tcW w:w="11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p>
        </w:tc>
      </w:tr>
    </w:tbl>
    <w:p>
      <w:pPr>
        <w:pStyle w:val="2"/>
      </w:pPr>
    </w:p>
    <w:p>
      <w:pPr>
        <w:spacing w:line="360" w:lineRule="auto"/>
        <w:ind w:firstLine="422" w:firstLineChars="200"/>
        <w:outlineLvl w:val="0"/>
        <w:rPr>
          <w:rFonts w:ascii="宋体" w:hAnsi="宋体" w:cs="宋体"/>
          <w:b/>
        </w:rPr>
      </w:pPr>
      <w:r>
        <w:rPr>
          <w:rFonts w:hint="eastAsia" w:ascii="宋体" w:hAnsi="宋体" w:cs="宋体"/>
          <w:b/>
        </w:rPr>
        <w:t>五、双方职责</w:t>
      </w:r>
      <w:bookmarkEnd w:id="59"/>
    </w:p>
    <w:p>
      <w:pPr>
        <w:spacing w:line="340" w:lineRule="exact"/>
        <w:ind w:left="20" w:firstLine="420" w:firstLineChars="200"/>
        <w:rPr>
          <w:rFonts w:ascii="宋体" w:hAnsi="宋体" w:cs="宋体"/>
          <w:szCs w:val="21"/>
        </w:rPr>
      </w:pPr>
      <w:r>
        <w:rPr>
          <w:rFonts w:hint="eastAsia" w:ascii="宋体" w:hAnsi="宋体" w:cs="宋体"/>
          <w:szCs w:val="21"/>
        </w:rPr>
        <w:t>（一）甲方职责</w:t>
      </w:r>
    </w:p>
    <w:p>
      <w:pPr>
        <w:spacing w:line="340" w:lineRule="exact"/>
        <w:ind w:left="20" w:firstLine="420" w:firstLineChars="200"/>
        <w:rPr>
          <w:rFonts w:ascii="宋体" w:hAnsi="宋体" w:cs="宋体"/>
          <w:szCs w:val="21"/>
        </w:rPr>
      </w:pPr>
      <w:r>
        <w:rPr>
          <w:rFonts w:hint="eastAsia" w:ascii="宋体" w:hAnsi="宋体" w:cs="宋体"/>
          <w:szCs w:val="21"/>
        </w:rPr>
        <w:t>1、对乙方白蚁预防施工及回访复查服务项目进行监督和考核检查；</w:t>
      </w:r>
    </w:p>
    <w:p>
      <w:pPr>
        <w:spacing w:line="340" w:lineRule="exact"/>
        <w:ind w:left="20" w:firstLine="420" w:firstLineChars="200"/>
        <w:rPr>
          <w:rFonts w:ascii="宋体" w:hAnsi="宋体" w:cs="宋体"/>
          <w:szCs w:val="21"/>
        </w:rPr>
      </w:pPr>
      <w:r>
        <w:rPr>
          <w:rFonts w:hint="eastAsia" w:ascii="宋体" w:hAnsi="宋体" w:cs="宋体"/>
          <w:szCs w:val="21"/>
        </w:rPr>
        <w:t>2、按规定核拨给乙方服务费。</w:t>
      </w:r>
    </w:p>
    <w:p>
      <w:pPr>
        <w:spacing w:line="340" w:lineRule="exact"/>
        <w:ind w:left="20" w:firstLine="420" w:firstLineChars="200"/>
        <w:rPr>
          <w:rFonts w:ascii="宋体" w:hAnsi="宋体" w:cs="宋体"/>
          <w:szCs w:val="21"/>
        </w:rPr>
      </w:pPr>
      <w:r>
        <w:rPr>
          <w:rFonts w:hint="eastAsia" w:ascii="宋体" w:hAnsi="宋体" w:cs="宋体"/>
          <w:szCs w:val="21"/>
        </w:rPr>
        <w:t>（二）乙方职责</w:t>
      </w:r>
    </w:p>
    <w:p>
      <w:pPr>
        <w:spacing w:line="340" w:lineRule="exact"/>
        <w:ind w:left="20" w:firstLine="420" w:firstLineChars="200"/>
        <w:rPr>
          <w:rFonts w:ascii="宋体" w:hAnsi="宋体" w:cs="宋体"/>
          <w:szCs w:val="21"/>
        </w:rPr>
      </w:pPr>
      <w:r>
        <w:rPr>
          <w:rFonts w:hint="eastAsia" w:ascii="宋体" w:hAnsi="宋体" w:cs="宋体"/>
          <w:szCs w:val="21"/>
        </w:rPr>
        <w:t>按本项目采购文件第二章、第三章及《投标文件》执行。</w:t>
      </w:r>
    </w:p>
    <w:p>
      <w:pPr>
        <w:adjustRightInd w:val="0"/>
        <w:snapToGrid w:val="0"/>
        <w:ind w:firstLine="422" w:firstLineChars="200"/>
        <w:outlineLvl w:val="0"/>
        <w:rPr>
          <w:rFonts w:ascii="宋体" w:hAnsi="宋体" w:cs="宋体"/>
          <w:b/>
        </w:rPr>
      </w:pPr>
      <w:bookmarkStart w:id="60" w:name="_Toc49416247"/>
      <w:r>
        <w:rPr>
          <w:rFonts w:hint="eastAsia" w:ascii="宋体" w:hAnsi="宋体" w:cs="宋体"/>
          <w:b/>
        </w:rPr>
        <w:t>六、项目服务要求</w:t>
      </w:r>
      <w:bookmarkEnd w:id="60"/>
    </w:p>
    <w:p>
      <w:pPr>
        <w:adjustRightInd w:val="0"/>
        <w:snapToGrid w:val="0"/>
        <w:ind w:firstLine="420" w:firstLineChars="200"/>
        <w:rPr>
          <w:rFonts w:ascii="宋体" w:hAnsi="宋体" w:cs="宋体"/>
          <w:szCs w:val="21"/>
        </w:rPr>
      </w:pPr>
      <w:r>
        <w:rPr>
          <w:rFonts w:hint="eastAsia" w:ascii="宋体" w:hAnsi="宋体" w:cs="宋体"/>
          <w:szCs w:val="21"/>
        </w:rPr>
        <w:t>参照本项目采购文件第二章、第三章及《投标文件》执行。</w:t>
      </w:r>
    </w:p>
    <w:p>
      <w:pPr>
        <w:spacing w:line="340" w:lineRule="exact"/>
        <w:ind w:left="20" w:firstLine="420" w:firstLineChars="200"/>
        <w:rPr>
          <w:rFonts w:ascii="宋体" w:hAnsi="宋体" w:cs="宋体"/>
          <w:szCs w:val="21"/>
        </w:rPr>
      </w:pPr>
      <w:r>
        <w:rPr>
          <w:rFonts w:hint="eastAsia" w:ascii="宋体" w:hAnsi="宋体" w:cs="宋体"/>
          <w:szCs w:val="21"/>
        </w:rPr>
        <w:t>七、因服务的质量问题发生争议，由衢江区政府有关部门或其指定的技术单位进行质量鉴定，该鉴定结论是终局的，甲乙双方应当接受。</w:t>
      </w:r>
    </w:p>
    <w:p>
      <w:pPr>
        <w:spacing w:line="340" w:lineRule="exact"/>
        <w:ind w:left="20" w:firstLine="420" w:firstLineChars="200"/>
        <w:rPr>
          <w:rFonts w:ascii="宋体" w:hAnsi="宋体" w:cs="宋体"/>
          <w:szCs w:val="21"/>
        </w:rPr>
      </w:pPr>
      <w:r>
        <w:rPr>
          <w:rFonts w:hint="eastAsia" w:ascii="宋体" w:hAnsi="宋体" w:cs="宋体"/>
          <w:szCs w:val="21"/>
        </w:rPr>
        <w:t>八、本合同项目所在地为衢江区，本合同发生争议产生的诉讼，可向应向项目所在地有管辖权的法院提起诉讼或向衢江区仲裁委员会仲裁。</w:t>
      </w:r>
    </w:p>
    <w:p>
      <w:pPr>
        <w:autoSpaceDE w:val="0"/>
        <w:autoSpaceDN w:val="0"/>
        <w:adjustRightInd w:val="0"/>
        <w:spacing w:line="340" w:lineRule="exact"/>
        <w:ind w:firstLine="413" w:firstLineChars="196"/>
        <w:rPr>
          <w:rFonts w:ascii="宋体" w:hAnsi="宋体" w:cs="宋体"/>
          <w:szCs w:val="21"/>
        </w:rPr>
      </w:pPr>
      <w:r>
        <w:rPr>
          <w:rFonts w:hint="eastAsia" w:ascii="宋体" w:hAnsi="宋体" w:cs="宋体"/>
          <w:b/>
          <w:bCs/>
          <w:szCs w:val="21"/>
        </w:rPr>
        <w:t>九、其他事项</w:t>
      </w:r>
      <w:r>
        <w:rPr>
          <w:rFonts w:hint="eastAsia" w:ascii="宋体" w:hAnsi="宋体" w:cs="宋体"/>
          <w:szCs w:val="21"/>
        </w:rPr>
        <w:t>：</w:t>
      </w:r>
    </w:p>
    <w:p>
      <w:pPr>
        <w:spacing w:line="340" w:lineRule="exact"/>
        <w:ind w:left="20" w:firstLine="420" w:firstLineChars="200"/>
        <w:rPr>
          <w:rFonts w:ascii="宋体" w:hAnsi="宋体" w:cs="宋体"/>
          <w:szCs w:val="21"/>
        </w:rPr>
      </w:pPr>
      <w:r>
        <w:rPr>
          <w:rFonts w:hint="eastAsia" w:ascii="宋体" w:hAnsi="宋体" w:cs="宋体"/>
          <w:szCs w:val="21"/>
        </w:rPr>
        <w:t>1、乙方在合同有效期内，必须确保所有工作人员的安全，其产生的安全问题,由乙方自行负责。</w:t>
      </w:r>
    </w:p>
    <w:p>
      <w:pPr>
        <w:spacing w:line="340" w:lineRule="exact"/>
        <w:ind w:left="20" w:firstLine="420" w:firstLineChars="200"/>
        <w:rPr>
          <w:rFonts w:ascii="宋体" w:hAnsi="宋体" w:cs="宋体"/>
          <w:szCs w:val="21"/>
        </w:rPr>
      </w:pPr>
      <w:r>
        <w:rPr>
          <w:rFonts w:hint="eastAsia" w:ascii="宋体" w:hAnsi="宋体" w:cs="宋体"/>
          <w:szCs w:val="21"/>
        </w:rPr>
        <w:t>2、乙方所聘管理人员及保洁人员在作业时应严格遵守劳动纪律，遵守安全操作规程，确保安全。发生各种意外事故均由乙方依照法律法规妥善处理，甲方对此不承担任何法律责任。</w:t>
      </w:r>
    </w:p>
    <w:p>
      <w:pPr>
        <w:spacing w:line="340" w:lineRule="exact"/>
        <w:ind w:left="20" w:firstLine="420" w:firstLineChars="200"/>
        <w:rPr>
          <w:rFonts w:ascii="宋体" w:hAnsi="宋体" w:cs="宋体"/>
          <w:szCs w:val="21"/>
        </w:rPr>
      </w:pPr>
      <w:r>
        <w:rPr>
          <w:rFonts w:hint="eastAsia" w:ascii="宋体" w:hAnsi="宋体" w:cs="宋体"/>
          <w:szCs w:val="21"/>
        </w:rPr>
        <w:t>4、招标文件、投标人的投标文件以及相关补充文件、澄清文件、特殊承诺等是本合同不可分割的部分。</w:t>
      </w:r>
    </w:p>
    <w:p>
      <w:pPr>
        <w:spacing w:line="340" w:lineRule="exact"/>
        <w:ind w:left="20" w:firstLine="420" w:firstLineChars="200"/>
        <w:rPr>
          <w:rFonts w:ascii="宋体" w:hAnsi="宋体" w:cs="宋体"/>
          <w:szCs w:val="21"/>
        </w:rPr>
      </w:pPr>
      <w:r>
        <w:rPr>
          <w:rFonts w:hint="eastAsia" w:ascii="宋体" w:hAnsi="宋体" w:cs="宋体"/>
          <w:szCs w:val="21"/>
        </w:rPr>
        <w:t>5、本合同中未尽事宜，经双方协商可另附条款，效力等同于本合同。</w:t>
      </w:r>
    </w:p>
    <w:p>
      <w:pPr>
        <w:autoSpaceDE w:val="0"/>
        <w:autoSpaceDN w:val="0"/>
        <w:adjustRightInd w:val="0"/>
        <w:spacing w:line="340" w:lineRule="exact"/>
        <w:ind w:firstLine="420" w:firstLineChars="200"/>
        <w:rPr>
          <w:rFonts w:ascii="宋体" w:hAnsi="宋体" w:cs="宋体"/>
          <w:szCs w:val="21"/>
          <w:lang w:val="zh-CN"/>
        </w:rPr>
      </w:pPr>
      <w:r>
        <w:rPr>
          <w:rFonts w:hint="eastAsia" w:ascii="宋体" w:hAnsi="宋体" w:cs="宋体"/>
          <w:szCs w:val="21"/>
        </w:rPr>
        <w:t>6、合同有效期内，乙方及其工作人员与其他单位或个人发生债权纠纷等，与甲方无关。</w:t>
      </w:r>
    </w:p>
    <w:p>
      <w:pPr>
        <w:spacing w:line="340" w:lineRule="exact"/>
        <w:ind w:firstLine="310" w:firstLineChars="147"/>
        <w:rPr>
          <w:rFonts w:ascii="宋体" w:hAnsi="宋体" w:cs="宋体"/>
          <w:b/>
          <w:bCs/>
          <w:szCs w:val="21"/>
        </w:rPr>
      </w:pPr>
      <w:r>
        <w:rPr>
          <w:rFonts w:hint="eastAsia" w:ascii="宋体" w:hAnsi="宋体" w:cs="宋体"/>
          <w:b/>
          <w:bCs/>
          <w:szCs w:val="21"/>
        </w:rPr>
        <w:t>十、 本合同一式陆份，甲方肆份，乙方两份，双方签字并盖章时生效。</w:t>
      </w:r>
    </w:p>
    <w:p>
      <w:pPr>
        <w:pStyle w:val="43"/>
      </w:pPr>
    </w:p>
    <w:p>
      <w:pPr>
        <w:spacing w:line="340" w:lineRule="exact"/>
        <w:rPr>
          <w:rFonts w:ascii="宋体" w:hAnsi="宋体" w:cs="宋体"/>
          <w:b/>
          <w:szCs w:val="21"/>
        </w:rPr>
      </w:pPr>
      <w:r>
        <w:rPr>
          <w:rFonts w:hint="eastAsia" w:ascii="宋体" w:hAnsi="宋体" w:cs="宋体"/>
          <w:szCs w:val="21"/>
        </w:rPr>
        <w:t xml:space="preserve">甲     方（公章）：                                     乙     方（公章）：                       </w:t>
      </w:r>
    </w:p>
    <w:p>
      <w:pPr>
        <w:spacing w:line="340" w:lineRule="exact"/>
        <w:rPr>
          <w:rFonts w:ascii="宋体" w:hAnsi="宋体" w:cs="宋体"/>
          <w:szCs w:val="21"/>
        </w:rPr>
      </w:pPr>
      <w:r>
        <w:rPr>
          <w:rFonts w:hint="eastAsia" w:ascii="宋体" w:hAnsi="宋体" w:cs="宋体"/>
          <w:szCs w:val="21"/>
        </w:rPr>
        <w:t>法定代表人：                                           法定代表人：</w:t>
      </w:r>
    </w:p>
    <w:p>
      <w:pPr>
        <w:pStyle w:val="8"/>
        <w:spacing w:line="340" w:lineRule="exact"/>
        <w:ind w:firstLine="0"/>
        <w:rPr>
          <w:rFonts w:ascii="宋体" w:hAnsi="宋体" w:eastAsia="宋体" w:cs="宋体"/>
          <w:sz w:val="21"/>
          <w:szCs w:val="21"/>
        </w:rPr>
      </w:pPr>
      <w:r>
        <w:rPr>
          <w:rFonts w:hint="eastAsia" w:ascii="宋体" w:hAnsi="宋体" w:eastAsia="宋体" w:cs="宋体"/>
          <w:sz w:val="21"/>
          <w:szCs w:val="21"/>
        </w:rPr>
        <w:t>地      址：                                           地      址：</w:t>
      </w:r>
    </w:p>
    <w:p>
      <w:pPr>
        <w:spacing w:line="340" w:lineRule="exact"/>
        <w:rPr>
          <w:rFonts w:ascii="宋体" w:hAnsi="宋体" w:cs="宋体"/>
          <w:szCs w:val="21"/>
        </w:rPr>
      </w:pPr>
      <w:r>
        <w:rPr>
          <w:rFonts w:hint="eastAsia" w:ascii="宋体" w:hAnsi="宋体" w:cs="宋体"/>
          <w:szCs w:val="21"/>
        </w:rPr>
        <w:t>电      话：                                           电      话：</w:t>
      </w:r>
    </w:p>
    <w:p>
      <w:pPr>
        <w:pStyle w:val="8"/>
        <w:spacing w:line="340" w:lineRule="exact"/>
        <w:ind w:firstLine="0"/>
        <w:rPr>
          <w:rFonts w:ascii="宋体" w:hAnsi="宋体" w:eastAsia="宋体" w:cs="宋体"/>
          <w:sz w:val="21"/>
          <w:szCs w:val="21"/>
        </w:rPr>
      </w:pPr>
      <w:r>
        <w:rPr>
          <w:rFonts w:hint="eastAsia" w:ascii="宋体" w:hAnsi="宋体" w:eastAsia="宋体" w:cs="宋体"/>
          <w:sz w:val="21"/>
          <w:szCs w:val="21"/>
        </w:rPr>
        <w:t>开户银行：                                             开户银行：</w:t>
      </w:r>
    </w:p>
    <w:p>
      <w:pPr>
        <w:pStyle w:val="8"/>
        <w:spacing w:line="340" w:lineRule="exact"/>
        <w:ind w:firstLine="0"/>
        <w:rPr>
          <w:rFonts w:ascii="宋体" w:hAnsi="宋体" w:eastAsia="宋体" w:cs="宋体"/>
          <w:sz w:val="21"/>
          <w:szCs w:val="21"/>
        </w:rPr>
      </w:pPr>
      <w:r>
        <w:rPr>
          <w:rFonts w:hint="eastAsia" w:ascii="宋体" w:hAnsi="宋体" w:eastAsia="宋体" w:cs="宋体"/>
          <w:sz w:val="21"/>
          <w:szCs w:val="21"/>
        </w:rPr>
        <w:t>账      号：                                           账      号：</w:t>
      </w:r>
    </w:p>
    <w:p>
      <w:pPr>
        <w:spacing w:line="340" w:lineRule="exact"/>
        <w:rPr>
          <w:rFonts w:ascii="宋体" w:hAnsi="宋体" w:cs="宋体"/>
          <w:szCs w:val="21"/>
        </w:rPr>
      </w:pPr>
      <w:r>
        <w:rPr>
          <w:rFonts w:hint="eastAsia" w:ascii="宋体" w:hAnsi="宋体" w:cs="宋体"/>
          <w:szCs w:val="21"/>
        </w:rPr>
        <w:t>签订地点：                                             签订时间：    年   月  日</w:t>
      </w:r>
    </w:p>
    <w:p>
      <w:pPr>
        <w:spacing w:line="340" w:lineRule="exact"/>
      </w:pPr>
    </w:p>
    <w:p/>
    <w:p/>
    <w:p/>
    <w:p/>
    <w:p/>
    <w:p/>
    <w:p/>
    <w:p/>
    <w:p/>
    <w:p/>
    <w:p/>
    <w:p>
      <w:pPr>
        <w:pStyle w:val="3"/>
        <w:spacing w:before="240" w:after="240"/>
      </w:pPr>
      <w:r>
        <w:br w:type="page"/>
      </w:r>
      <w:bookmarkStart w:id="61" w:name="_Toc49416248"/>
      <w:r>
        <w:rPr>
          <w:rFonts w:hint="eastAsia"/>
        </w:rPr>
        <w:t>第五章  应提交的有关格式范例</w:t>
      </w:r>
      <w:bookmarkEnd w:id="61"/>
    </w:p>
    <w:p>
      <w:pPr>
        <w:rPr>
          <w:rStyle w:val="29"/>
          <w:rFonts w:ascii="Times New Roman" w:eastAsia="宋体"/>
          <w:sz w:val="21"/>
          <w:szCs w:val="21"/>
        </w:rPr>
      </w:pPr>
      <w:bookmarkStart w:id="62" w:name="_Toc13045"/>
    </w:p>
    <w:p>
      <w:pPr>
        <w:snapToGrid w:val="0"/>
        <w:spacing w:line="360" w:lineRule="auto"/>
        <w:jc w:val="center"/>
        <w:outlineLvl w:val="1"/>
        <w:rPr>
          <w:b/>
          <w:sz w:val="28"/>
          <w:szCs w:val="28"/>
        </w:rPr>
      </w:pPr>
      <w:bookmarkStart w:id="63" w:name="_Toc46418839"/>
      <w:r>
        <w:rPr>
          <w:rStyle w:val="29"/>
          <w:rFonts w:ascii="Times New Roman" w:eastAsia="宋体"/>
          <w:sz w:val="21"/>
          <w:szCs w:val="21"/>
        </w:rPr>
        <w:t>一、投标文件封面</w:t>
      </w:r>
      <w:bookmarkEnd w:id="62"/>
      <w:bookmarkEnd w:id="63"/>
      <w:r>
        <w:rPr>
          <w:sz w:val="28"/>
          <w:szCs w:val="28"/>
        </w:rPr>
        <w:t xml:space="preserve">  </w:t>
      </w:r>
    </w:p>
    <w:p>
      <w:pPr>
        <w:ind w:left="-59" w:leftChars="-85" w:hanging="119" w:hangingChars="57"/>
        <w:rPr>
          <w:rFonts w:ascii="宋体" w:hAnsi="宋体"/>
          <w:b/>
          <w:bCs/>
          <w:sz w:val="28"/>
          <w:szCs w:val="28"/>
        </w:rPr>
      </w:pPr>
      <w:r>
        <w:rPr>
          <w:rFonts w:hint="eastAsia" w:ascii="宋体" w:hAnsi="宋体"/>
          <w:bCs/>
          <w:szCs w:val="21"/>
        </w:rPr>
        <w:t xml:space="preserve">                                                              </w:t>
      </w:r>
      <w:r>
        <w:rPr>
          <w:rFonts w:hint="eastAsia" w:ascii="宋体" w:hAnsi="宋体"/>
          <w:bCs/>
          <w:sz w:val="28"/>
          <w:szCs w:val="28"/>
        </w:rPr>
        <w:t xml:space="preserve">  </w:t>
      </w:r>
    </w:p>
    <w:p>
      <w:pPr>
        <w:pStyle w:val="2"/>
      </w:pPr>
    </w:p>
    <w:p>
      <w:pPr>
        <w:ind w:left="-59" w:leftChars="-85" w:hanging="119" w:hangingChars="57"/>
        <w:rPr>
          <w:rFonts w:ascii="宋体" w:hAnsi="宋体"/>
          <w:bCs/>
          <w:szCs w:val="21"/>
        </w:rPr>
      </w:pPr>
    </w:p>
    <w:p>
      <w:pPr>
        <w:pStyle w:val="10"/>
        <w:snapToGrid w:val="0"/>
        <w:spacing w:before="120" w:after="120" w:line="800" w:lineRule="exact"/>
        <w:jc w:val="center"/>
        <w:rPr>
          <w:rFonts w:hAnsi="宋体"/>
          <w:b/>
          <w:bCs/>
          <w:w w:val="90"/>
          <w:sz w:val="44"/>
          <w:szCs w:val="44"/>
        </w:rPr>
      </w:pPr>
      <w:r>
        <w:rPr>
          <w:rFonts w:hint="eastAsia" w:hAnsi="宋体"/>
          <w:b/>
          <w:bCs/>
          <w:w w:val="90"/>
          <w:sz w:val="44"/>
          <w:szCs w:val="44"/>
        </w:rPr>
        <w:t>衢江区住建局2021-2022年度白蚁新建预防与回访复查项目（二次）</w:t>
      </w:r>
    </w:p>
    <w:p>
      <w:pPr>
        <w:ind w:left="5" w:leftChars="-85" w:hanging="183" w:hangingChars="57"/>
        <w:jc w:val="center"/>
        <w:rPr>
          <w:rFonts w:ascii="宋体" w:hAnsi="宋体"/>
          <w:b/>
          <w:bCs/>
          <w:sz w:val="32"/>
        </w:rPr>
      </w:pPr>
    </w:p>
    <w:p>
      <w:pPr>
        <w:ind w:left="5" w:leftChars="-85" w:hanging="183" w:hangingChars="57"/>
        <w:jc w:val="center"/>
        <w:rPr>
          <w:rFonts w:ascii="宋体" w:hAnsi="宋体"/>
          <w:b/>
          <w:bCs/>
          <w:sz w:val="32"/>
        </w:rPr>
      </w:pPr>
      <w:r>
        <w:rPr>
          <w:rFonts w:hint="eastAsia" w:ascii="宋体" w:hAnsi="宋体"/>
          <w:b/>
          <w:bCs/>
          <w:sz w:val="32"/>
        </w:rPr>
        <w:t>（项目编号：zjzj202008-22-2）</w:t>
      </w:r>
    </w:p>
    <w:p>
      <w:pPr>
        <w:ind w:left="-59" w:leftChars="-85" w:hanging="119" w:hangingChars="57"/>
        <w:jc w:val="center"/>
        <w:rPr>
          <w:rFonts w:ascii="宋体" w:hAnsi="宋体"/>
          <w:bCs/>
          <w:szCs w:val="21"/>
        </w:rPr>
      </w:pPr>
    </w:p>
    <w:p>
      <w:pPr>
        <w:ind w:left="5" w:leftChars="-85" w:hanging="183" w:hangingChars="57"/>
        <w:jc w:val="center"/>
        <w:rPr>
          <w:rFonts w:ascii="宋体" w:hAnsi="宋体"/>
          <w:b/>
          <w:bCs/>
          <w:sz w:val="32"/>
        </w:rPr>
      </w:pPr>
    </w:p>
    <w:p>
      <w:pPr>
        <w:ind w:left="303" w:leftChars="-85" w:hanging="481" w:hangingChars="57"/>
        <w:jc w:val="center"/>
        <w:rPr>
          <w:rFonts w:ascii="宋体" w:hAnsi="宋体"/>
          <w:b/>
          <w:bCs/>
          <w:sz w:val="84"/>
          <w:szCs w:val="84"/>
        </w:rPr>
      </w:pPr>
      <w:r>
        <w:rPr>
          <w:rFonts w:hint="eastAsia" w:ascii="宋体" w:hAnsi="宋体"/>
          <w:b/>
          <w:bCs/>
          <w:sz w:val="84"/>
          <w:szCs w:val="84"/>
        </w:rPr>
        <w:t>投 标 文 件</w:t>
      </w:r>
    </w:p>
    <w:p>
      <w:pPr>
        <w:ind w:left="-58" w:leftChars="-85" w:hanging="120" w:hangingChars="57"/>
        <w:jc w:val="center"/>
        <w:rPr>
          <w:rFonts w:ascii="宋体" w:hAnsi="宋体"/>
          <w:b/>
          <w:bCs/>
          <w:szCs w:val="21"/>
        </w:rPr>
      </w:pPr>
    </w:p>
    <w:p>
      <w:pPr>
        <w:ind w:left="5" w:leftChars="-85" w:hanging="183" w:hangingChars="57"/>
        <w:jc w:val="center"/>
        <w:rPr>
          <w:rFonts w:ascii="宋体" w:hAnsi="宋体"/>
          <w:b/>
          <w:bCs/>
          <w:sz w:val="32"/>
        </w:rPr>
      </w:pPr>
      <w:r>
        <w:rPr>
          <w:rFonts w:ascii="宋体" w:hAnsi="宋体"/>
          <w:b/>
          <w:bCs/>
          <w:sz w:val="32"/>
        </w:rPr>
        <w:t>资格文件</w:t>
      </w:r>
    </w:p>
    <w:p>
      <w:pPr>
        <w:spacing w:line="800" w:lineRule="exact"/>
        <w:ind w:left="4" w:leftChars="-85" w:hanging="182" w:hangingChars="57"/>
        <w:jc w:val="center"/>
        <w:rPr>
          <w:rFonts w:ascii="宋体" w:hAnsi="宋体"/>
          <w:bCs/>
          <w:sz w:val="32"/>
        </w:rPr>
      </w:pPr>
    </w:p>
    <w:p>
      <w:pPr>
        <w:spacing w:line="360" w:lineRule="auto"/>
        <w:ind w:left="4" w:leftChars="-85" w:hanging="182" w:hangingChars="57"/>
        <w:jc w:val="center"/>
        <w:rPr>
          <w:rFonts w:ascii="宋体" w:hAnsi="宋体"/>
          <w:bCs/>
          <w:sz w:val="32"/>
        </w:rPr>
      </w:pPr>
      <w:r>
        <w:rPr>
          <w:rFonts w:hint="eastAsia" w:ascii="宋体" w:hAnsi="宋体"/>
          <w:bCs/>
          <w:sz w:val="32"/>
        </w:rPr>
        <w:t>投标人名称：</w:t>
      </w:r>
      <w:r>
        <w:rPr>
          <w:rFonts w:hint="eastAsia" w:ascii="宋体" w:hAnsi="宋体"/>
          <w:bCs/>
          <w:sz w:val="32"/>
          <w:u w:val="single"/>
        </w:rPr>
        <w:t xml:space="preserve">                     </w:t>
      </w:r>
      <w:r>
        <w:rPr>
          <w:rFonts w:hint="eastAsia" w:ascii="宋体" w:hAnsi="宋体"/>
          <w:bCs/>
          <w:sz w:val="32"/>
        </w:rPr>
        <w:t>（加盖公章）</w:t>
      </w:r>
    </w:p>
    <w:p>
      <w:pPr>
        <w:spacing w:line="360" w:lineRule="auto"/>
        <w:ind w:left="4" w:leftChars="-85" w:hanging="182" w:hangingChars="57"/>
        <w:jc w:val="center"/>
        <w:rPr>
          <w:rFonts w:ascii="宋体" w:hAnsi="宋体"/>
          <w:bCs/>
          <w:sz w:val="32"/>
        </w:rPr>
      </w:pPr>
    </w:p>
    <w:p>
      <w:pPr>
        <w:spacing w:line="360" w:lineRule="auto"/>
        <w:ind w:left="4" w:leftChars="-85" w:hanging="182" w:hangingChars="57"/>
        <w:rPr>
          <w:rFonts w:ascii="宋体" w:hAnsi="宋体"/>
          <w:bCs/>
          <w:sz w:val="32"/>
        </w:rPr>
      </w:pPr>
      <w:r>
        <w:rPr>
          <w:rFonts w:hint="eastAsia" w:ascii="宋体" w:hAnsi="宋体"/>
          <w:bCs/>
          <w:sz w:val="32"/>
        </w:rPr>
        <w:t xml:space="preserve">      投标代表人：</w:t>
      </w:r>
      <w:r>
        <w:rPr>
          <w:rFonts w:hint="eastAsia" w:ascii="宋体" w:hAnsi="宋体"/>
          <w:bCs/>
          <w:sz w:val="32"/>
          <w:u w:val="single"/>
        </w:rPr>
        <w:t xml:space="preserve">                     </w:t>
      </w:r>
      <w:r>
        <w:rPr>
          <w:rFonts w:hint="eastAsia" w:ascii="宋体" w:hAnsi="宋体"/>
          <w:bCs/>
          <w:sz w:val="32"/>
        </w:rPr>
        <w:t>（签字或盖章）</w:t>
      </w:r>
    </w:p>
    <w:p>
      <w:pPr>
        <w:pStyle w:val="8"/>
        <w:ind w:firstLine="736" w:firstLineChars="230"/>
        <w:rPr>
          <w:rFonts w:ascii="宋体" w:hAnsi="宋体" w:eastAsia="宋体"/>
          <w:sz w:val="32"/>
          <w:szCs w:val="32"/>
        </w:rPr>
      </w:pPr>
    </w:p>
    <w:p>
      <w:pPr>
        <w:pStyle w:val="8"/>
        <w:ind w:firstLine="736" w:firstLineChars="230"/>
        <w:rPr>
          <w:rFonts w:ascii="宋体" w:hAnsi="宋体" w:eastAsia="宋体"/>
          <w:sz w:val="32"/>
          <w:szCs w:val="32"/>
        </w:rPr>
      </w:pPr>
      <w:r>
        <w:rPr>
          <w:rFonts w:ascii="宋体" w:hAnsi="宋体" w:eastAsia="宋体"/>
          <w:sz w:val="32"/>
          <w:szCs w:val="32"/>
        </w:rPr>
        <w:t xml:space="preserve">日 </w:t>
      </w:r>
      <w:r>
        <w:rPr>
          <w:rFonts w:hint="eastAsia" w:ascii="宋体" w:hAnsi="宋体" w:eastAsia="宋体"/>
          <w:sz w:val="32"/>
          <w:szCs w:val="32"/>
        </w:rPr>
        <w:t xml:space="preserve">      </w:t>
      </w:r>
      <w:r>
        <w:rPr>
          <w:rFonts w:ascii="宋体" w:hAnsi="宋体" w:eastAsia="宋体"/>
          <w:sz w:val="32"/>
          <w:szCs w:val="32"/>
        </w:rPr>
        <w:t>期：</w:t>
      </w:r>
      <w:r>
        <w:rPr>
          <w:rFonts w:ascii="宋体" w:hAnsi="宋体" w:eastAsia="宋体"/>
          <w:sz w:val="32"/>
          <w:szCs w:val="32"/>
          <w:u w:val="single"/>
        </w:rPr>
        <w:t xml:space="preserve">    </w:t>
      </w:r>
      <w:r>
        <w:rPr>
          <w:rFonts w:hint="eastAsia" w:ascii="宋体" w:hAnsi="宋体" w:eastAsia="宋体"/>
          <w:sz w:val="32"/>
          <w:szCs w:val="32"/>
          <w:u w:val="single"/>
        </w:rPr>
        <w:t xml:space="preserve">    </w:t>
      </w:r>
      <w:r>
        <w:rPr>
          <w:rFonts w:ascii="宋体" w:hAnsi="宋体" w:eastAsia="宋体"/>
          <w:sz w:val="32"/>
          <w:szCs w:val="32"/>
          <w:u w:val="single"/>
        </w:rPr>
        <w:t xml:space="preserve"> </w:t>
      </w:r>
      <w:r>
        <w:rPr>
          <w:rFonts w:ascii="宋体" w:hAnsi="宋体" w:eastAsia="宋体"/>
          <w:sz w:val="32"/>
          <w:szCs w:val="32"/>
        </w:rPr>
        <w:t>年</w:t>
      </w:r>
      <w:r>
        <w:rPr>
          <w:rFonts w:ascii="宋体" w:hAnsi="宋体" w:eastAsia="宋体"/>
          <w:sz w:val="32"/>
          <w:szCs w:val="32"/>
          <w:u w:val="single"/>
        </w:rPr>
        <w:t xml:space="preserve">   </w:t>
      </w:r>
      <w:r>
        <w:rPr>
          <w:rFonts w:hint="eastAsia" w:ascii="宋体" w:hAnsi="宋体" w:eastAsia="宋体"/>
          <w:sz w:val="32"/>
          <w:szCs w:val="32"/>
          <w:u w:val="single"/>
        </w:rPr>
        <w:t xml:space="preserve">   </w:t>
      </w:r>
      <w:r>
        <w:rPr>
          <w:rFonts w:ascii="宋体" w:hAnsi="宋体" w:eastAsia="宋体"/>
          <w:sz w:val="32"/>
          <w:szCs w:val="32"/>
          <w:u w:val="single"/>
        </w:rPr>
        <w:t xml:space="preserve"> </w:t>
      </w:r>
      <w:r>
        <w:rPr>
          <w:rFonts w:hint="eastAsia" w:ascii="宋体" w:hAnsi="宋体" w:eastAsia="宋体"/>
          <w:sz w:val="32"/>
          <w:szCs w:val="32"/>
          <w:u w:val="single"/>
        </w:rPr>
        <w:t xml:space="preserve"> </w:t>
      </w:r>
      <w:r>
        <w:rPr>
          <w:rFonts w:ascii="宋体" w:hAnsi="宋体" w:eastAsia="宋体"/>
          <w:sz w:val="32"/>
          <w:szCs w:val="32"/>
        </w:rPr>
        <w:t xml:space="preserve">月 </w:t>
      </w:r>
      <w:r>
        <w:rPr>
          <w:rFonts w:ascii="宋体" w:hAnsi="宋体" w:eastAsia="宋体"/>
          <w:sz w:val="32"/>
          <w:szCs w:val="32"/>
          <w:u w:val="single"/>
        </w:rPr>
        <w:t xml:space="preserve"> </w:t>
      </w:r>
      <w:r>
        <w:rPr>
          <w:rFonts w:hint="eastAsia" w:ascii="宋体" w:hAnsi="宋体" w:eastAsia="宋体"/>
          <w:sz w:val="32"/>
          <w:szCs w:val="32"/>
          <w:u w:val="single"/>
        </w:rPr>
        <w:t xml:space="preserve">   </w:t>
      </w:r>
      <w:r>
        <w:rPr>
          <w:rFonts w:ascii="宋体" w:hAnsi="宋体" w:eastAsia="宋体"/>
          <w:sz w:val="32"/>
          <w:szCs w:val="32"/>
          <w:u w:val="single"/>
        </w:rPr>
        <w:t xml:space="preserve">   </w:t>
      </w:r>
      <w:r>
        <w:rPr>
          <w:rFonts w:ascii="宋体" w:hAnsi="宋体" w:eastAsia="宋体"/>
          <w:sz w:val="32"/>
          <w:szCs w:val="32"/>
        </w:rPr>
        <w:t xml:space="preserve">日      </w:t>
      </w:r>
    </w:p>
    <w:p>
      <w:pPr>
        <w:spacing w:line="360" w:lineRule="auto"/>
        <w:ind w:firstLine="280" w:firstLineChars="100"/>
        <w:rPr>
          <w:sz w:val="28"/>
          <w:szCs w:val="28"/>
        </w:rPr>
      </w:pPr>
      <w:r>
        <w:rPr>
          <w:sz w:val="28"/>
          <w:szCs w:val="28"/>
        </w:rPr>
        <w:t xml:space="preserve"> </w:t>
      </w:r>
    </w:p>
    <w:p>
      <w:pPr>
        <w:jc w:val="center"/>
        <w:outlineLvl w:val="0"/>
        <w:rPr>
          <w:b/>
          <w:bCs/>
          <w:kern w:val="44"/>
          <w:sz w:val="36"/>
          <w:szCs w:val="36"/>
        </w:rPr>
      </w:pPr>
      <w:r>
        <w:rPr>
          <w:rStyle w:val="29"/>
          <w:rFonts w:ascii="Times New Roman" w:hAnsi="Times New Roman" w:eastAsia="宋体"/>
          <w:szCs w:val="28"/>
        </w:rPr>
        <w:br w:type="page"/>
      </w:r>
      <w:bookmarkStart w:id="64" w:name="_Toc23243"/>
    </w:p>
    <w:p>
      <w:pPr>
        <w:pStyle w:val="14"/>
        <w:ind w:firstLine="413" w:firstLineChars="196"/>
        <w:outlineLvl w:val="1"/>
        <w:rPr>
          <w:rFonts w:ascii="宋体" w:hAnsi="宋体" w:eastAsia="宋体"/>
          <w:b/>
          <w:sz w:val="21"/>
          <w:szCs w:val="21"/>
        </w:rPr>
      </w:pPr>
      <w:bookmarkStart w:id="65" w:name="_Toc46418840"/>
      <w:r>
        <w:rPr>
          <w:rFonts w:hint="eastAsia" w:ascii="宋体" w:hAnsi="宋体" w:eastAsia="宋体"/>
          <w:b/>
          <w:sz w:val="21"/>
          <w:szCs w:val="21"/>
        </w:rPr>
        <w:t>二</w:t>
      </w:r>
      <w:r>
        <w:rPr>
          <w:rFonts w:ascii="宋体" w:hAnsi="宋体" w:eastAsia="宋体"/>
          <w:b/>
          <w:sz w:val="21"/>
          <w:szCs w:val="21"/>
        </w:rPr>
        <w:t>、资格文件部分格式</w:t>
      </w:r>
      <w:r>
        <w:rPr>
          <w:rFonts w:hint="eastAsia" w:ascii="宋体" w:hAnsi="宋体" w:eastAsia="宋体"/>
          <w:b/>
          <w:sz w:val="21"/>
          <w:szCs w:val="21"/>
        </w:rPr>
        <w:t>目录</w:t>
      </w:r>
      <w:bookmarkEnd w:id="65"/>
    </w:p>
    <w:p>
      <w:pPr>
        <w:tabs>
          <w:tab w:val="left" w:pos="720"/>
          <w:tab w:val="left" w:pos="5355"/>
        </w:tabs>
        <w:spacing w:line="440" w:lineRule="exact"/>
        <w:ind w:firstLine="420" w:firstLineChars="200"/>
        <w:rPr>
          <w:szCs w:val="21"/>
        </w:rPr>
      </w:pPr>
      <w:r>
        <w:rPr>
          <w:rFonts w:hint="eastAsia"/>
          <w:szCs w:val="21"/>
        </w:rPr>
        <w:t>1</w:t>
      </w:r>
      <w:r>
        <w:rPr>
          <w:szCs w:val="21"/>
        </w:rPr>
        <w:t>、营业执照扫描件；</w:t>
      </w:r>
    </w:p>
    <w:p>
      <w:pPr>
        <w:tabs>
          <w:tab w:val="left" w:pos="720"/>
          <w:tab w:val="left" w:pos="5355"/>
        </w:tabs>
        <w:spacing w:line="440" w:lineRule="exact"/>
        <w:ind w:firstLine="420" w:firstLineChars="200"/>
        <w:rPr>
          <w:szCs w:val="21"/>
        </w:rPr>
      </w:pPr>
      <w:r>
        <w:rPr>
          <w:rFonts w:hint="eastAsia"/>
          <w:szCs w:val="21"/>
        </w:rPr>
        <w:t>2</w:t>
      </w:r>
      <w:r>
        <w:rPr>
          <w:szCs w:val="21"/>
        </w:rPr>
        <w:t>、投标函</w:t>
      </w:r>
      <w:r>
        <w:rPr>
          <w:rFonts w:hint="eastAsia"/>
          <w:szCs w:val="21"/>
        </w:rPr>
        <w:t>；</w:t>
      </w:r>
    </w:p>
    <w:p>
      <w:pPr>
        <w:tabs>
          <w:tab w:val="left" w:pos="720"/>
          <w:tab w:val="left" w:pos="5355"/>
        </w:tabs>
        <w:spacing w:line="440" w:lineRule="exact"/>
        <w:ind w:firstLine="420" w:firstLineChars="200"/>
        <w:rPr>
          <w:szCs w:val="21"/>
        </w:rPr>
      </w:pPr>
      <w:r>
        <w:rPr>
          <w:rFonts w:hint="eastAsia"/>
          <w:szCs w:val="21"/>
        </w:rPr>
        <w:t>3</w:t>
      </w:r>
      <w:r>
        <w:rPr>
          <w:szCs w:val="21"/>
        </w:rPr>
        <w:t>、法定代表人授权书和法定代表人证明书；（见格式）</w:t>
      </w:r>
    </w:p>
    <w:p>
      <w:pPr>
        <w:tabs>
          <w:tab w:val="left" w:pos="720"/>
          <w:tab w:val="left" w:pos="5355"/>
        </w:tabs>
        <w:spacing w:line="440" w:lineRule="exact"/>
        <w:ind w:firstLine="420" w:firstLineChars="200"/>
        <w:rPr>
          <w:szCs w:val="21"/>
        </w:rPr>
      </w:pPr>
      <w:r>
        <w:rPr>
          <w:rFonts w:hint="eastAsia"/>
          <w:szCs w:val="21"/>
        </w:rPr>
        <w:t>4</w:t>
      </w:r>
      <w:r>
        <w:rPr>
          <w:szCs w:val="21"/>
        </w:rPr>
        <w:t>、资格声明书；（见格式）</w:t>
      </w:r>
    </w:p>
    <w:p>
      <w:pPr>
        <w:tabs>
          <w:tab w:val="left" w:pos="720"/>
          <w:tab w:val="left" w:pos="5355"/>
        </w:tabs>
        <w:spacing w:line="440" w:lineRule="exact"/>
        <w:ind w:firstLine="420" w:firstLineChars="200"/>
        <w:rPr>
          <w:szCs w:val="21"/>
        </w:rPr>
      </w:pPr>
      <w:r>
        <w:rPr>
          <w:rFonts w:hint="eastAsia"/>
          <w:szCs w:val="21"/>
        </w:rPr>
        <w:t>5</w:t>
      </w:r>
      <w:r>
        <w:rPr>
          <w:szCs w:val="21"/>
        </w:rPr>
        <w:t>、提供财务报表或经审计的财务报告扫描件，新成立公司出具银行资信证明扫描件；</w:t>
      </w:r>
    </w:p>
    <w:p>
      <w:pPr>
        <w:tabs>
          <w:tab w:val="left" w:pos="720"/>
          <w:tab w:val="left" w:pos="5355"/>
        </w:tabs>
        <w:spacing w:line="440" w:lineRule="exact"/>
        <w:ind w:firstLine="420" w:firstLineChars="200"/>
        <w:rPr>
          <w:szCs w:val="21"/>
        </w:rPr>
      </w:pPr>
      <w:r>
        <w:rPr>
          <w:rFonts w:hint="eastAsia"/>
          <w:szCs w:val="21"/>
        </w:rPr>
        <w:t>6</w:t>
      </w:r>
      <w:r>
        <w:rPr>
          <w:szCs w:val="21"/>
        </w:rPr>
        <w:t>、提供依法缴纳税收的证明或者《依法纳税或依法免税证明》（可以为税务机构官方网站查询结果）和社保费缴纳的证明（可以为税务或社保机构官方网站查询结果）</w:t>
      </w:r>
      <w:r>
        <w:rPr>
          <w:rFonts w:hint="eastAsia"/>
          <w:szCs w:val="21"/>
        </w:rPr>
        <w:t>复印件</w:t>
      </w:r>
      <w:r>
        <w:rPr>
          <w:szCs w:val="21"/>
        </w:rPr>
        <w:t>；</w:t>
      </w:r>
    </w:p>
    <w:p>
      <w:pPr>
        <w:tabs>
          <w:tab w:val="left" w:pos="720"/>
          <w:tab w:val="left" w:pos="5355"/>
        </w:tabs>
        <w:spacing w:line="440" w:lineRule="exact"/>
        <w:ind w:firstLine="420" w:firstLineChars="200"/>
        <w:rPr>
          <w:szCs w:val="21"/>
        </w:rPr>
      </w:pPr>
      <w:r>
        <w:rPr>
          <w:rFonts w:hint="eastAsia"/>
          <w:szCs w:val="21"/>
        </w:rPr>
        <w:t>7</w:t>
      </w:r>
      <w:r>
        <w:rPr>
          <w:szCs w:val="21"/>
        </w:rPr>
        <w:t>、具有履行合同所必须的设备和专业技术能力的承诺函；（见格式）</w:t>
      </w:r>
    </w:p>
    <w:p>
      <w:pPr>
        <w:tabs>
          <w:tab w:val="left" w:pos="720"/>
          <w:tab w:val="left" w:pos="5355"/>
        </w:tabs>
        <w:spacing w:line="440" w:lineRule="exact"/>
        <w:ind w:firstLine="420" w:firstLineChars="200"/>
        <w:rPr>
          <w:szCs w:val="21"/>
        </w:rPr>
      </w:pPr>
      <w:r>
        <w:rPr>
          <w:rFonts w:hint="eastAsia"/>
          <w:szCs w:val="21"/>
        </w:rPr>
        <w:t>8</w:t>
      </w:r>
      <w:r>
        <w:rPr>
          <w:szCs w:val="21"/>
        </w:rPr>
        <w:t>、</w:t>
      </w:r>
      <w:r>
        <w:rPr>
          <w:rFonts w:hint="eastAsia"/>
          <w:szCs w:val="21"/>
        </w:rPr>
        <w:t>无重大违法记录承诺函；</w:t>
      </w:r>
      <w:r>
        <w:rPr>
          <w:szCs w:val="21"/>
        </w:rPr>
        <w:t xml:space="preserve"> （见格式）</w:t>
      </w:r>
    </w:p>
    <w:p>
      <w:pPr>
        <w:tabs>
          <w:tab w:val="left" w:pos="720"/>
          <w:tab w:val="left" w:pos="5355"/>
        </w:tabs>
        <w:spacing w:line="440" w:lineRule="exact"/>
        <w:ind w:firstLine="420" w:firstLineChars="200"/>
        <w:rPr>
          <w:szCs w:val="21"/>
        </w:rPr>
      </w:pPr>
      <w:r>
        <w:rPr>
          <w:rFonts w:hint="eastAsia"/>
          <w:szCs w:val="21"/>
        </w:rPr>
        <w:t>9</w:t>
      </w:r>
      <w:r>
        <w:rPr>
          <w:szCs w:val="21"/>
        </w:rPr>
        <w:t>、信用记录；信用信息查询记录和证据以网页截图打印；</w:t>
      </w:r>
    </w:p>
    <w:p>
      <w:pPr>
        <w:tabs>
          <w:tab w:val="left" w:pos="720"/>
          <w:tab w:val="left" w:pos="5355"/>
        </w:tabs>
        <w:spacing w:line="440" w:lineRule="exact"/>
        <w:ind w:firstLine="420" w:firstLineChars="200"/>
        <w:rPr>
          <w:szCs w:val="21"/>
        </w:rPr>
      </w:pPr>
      <w:r>
        <w:rPr>
          <w:rFonts w:hint="eastAsia"/>
          <w:szCs w:val="21"/>
        </w:rPr>
        <w:t>10</w:t>
      </w:r>
      <w:r>
        <w:rPr>
          <w:szCs w:val="21"/>
        </w:rPr>
        <w:t>、投标人认为需要的其他资料</w:t>
      </w:r>
      <w:r>
        <w:rPr>
          <w:rFonts w:hint="eastAsia"/>
          <w:szCs w:val="21"/>
        </w:rPr>
        <w:t>。</w:t>
      </w:r>
    </w:p>
    <w:p>
      <w:pPr>
        <w:pStyle w:val="8"/>
        <w:ind w:firstLine="316" w:firstLineChars="150"/>
        <w:rPr>
          <w:rFonts w:ascii="宋体" w:hAnsi="宋体" w:eastAsia="宋体"/>
          <w:b/>
          <w:sz w:val="21"/>
          <w:szCs w:val="21"/>
        </w:rPr>
      </w:pPr>
    </w:p>
    <w:p/>
    <w:p>
      <w:pPr>
        <w:rPr>
          <w:rStyle w:val="29"/>
          <w:rFonts w:ascii="Times New Roman" w:hAnsi="Times New Roman" w:eastAsia="宋体"/>
          <w:szCs w:val="28"/>
        </w:rPr>
      </w:pPr>
    </w:p>
    <w:p>
      <w:pPr>
        <w:rPr>
          <w:rStyle w:val="29"/>
          <w:rFonts w:ascii="Times New Roman" w:hAnsi="Times New Roman" w:eastAsia="宋体"/>
          <w:szCs w:val="28"/>
        </w:rPr>
      </w:pPr>
    </w:p>
    <w:p>
      <w:pPr>
        <w:rPr>
          <w:rStyle w:val="29"/>
          <w:rFonts w:ascii="Times New Roman" w:hAnsi="Times New Roman" w:eastAsia="宋体"/>
          <w:szCs w:val="28"/>
        </w:rPr>
      </w:pPr>
    </w:p>
    <w:p>
      <w:pPr>
        <w:rPr>
          <w:rStyle w:val="29"/>
          <w:rFonts w:ascii="Times New Roman" w:hAnsi="Times New Roman" w:eastAsia="宋体"/>
          <w:szCs w:val="28"/>
        </w:rPr>
      </w:pPr>
    </w:p>
    <w:p>
      <w:pPr>
        <w:rPr>
          <w:rStyle w:val="29"/>
          <w:rFonts w:ascii="Times New Roman" w:hAnsi="Times New Roman" w:eastAsia="宋体"/>
          <w:szCs w:val="28"/>
        </w:rPr>
      </w:pPr>
    </w:p>
    <w:p>
      <w:pPr>
        <w:rPr>
          <w:rStyle w:val="29"/>
          <w:rFonts w:ascii="Times New Roman" w:hAnsi="Times New Roman" w:eastAsia="宋体"/>
          <w:szCs w:val="28"/>
        </w:rPr>
      </w:pPr>
    </w:p>
    <w:p>
      <w:pPr>
        <w:rPr>
          <w:rStyle w:val="29"/>
          <w:rFonts w:ascii="Times New Roman" w:hAnsi="Times New Roman" w:eastAsia="宋体"/>
          <w:szCs w:val="28"/>
        </w:rPr>
      </w:pPr>
    </w:p>
    <w:p>
      <w:pPr>
        <w:rPr>
          <w:rStyle w:val="29"/>
          <w:rFonts w:ascii="Times New Roman" w:hAnsi="Times New Roman" w:eastAsia="宋体"/>
          <w:szCs w:val="28"/>
        </w:rPr>
      </w:pPr>
    </w:p>
    <w:p>
      <w:pPr>
        <w:rPr>
          <w:rStyle w:val="29"/>
          <w:rFonts w:ascii="Times New Roman" w:hAnsi="Times New Roman" w:eastAsia="宋体"/>
          <w:szCs w:val="28"/>
        </w:rPr>
      </w:pPr>
    </w:p>
    <w:p>
      <w:pPr>
        <w:rPr>
          <w:rStyle w:val="29"/>
          <w:rFonts w:ascii="Times New Roman" w:hAnsi="Times New Roman" w:eastAsia="宋体"/>
          <w:szCs w:val="28"/>
        </w:rPr>
      </w:pPr>
    </w:p>
    <w:p>
      <w:pPr>
        <w:rPr>
          <w:rStyle w:val="29"/>
          <w:rFonts w:ascii="Times New Roman" w:hAnsi="Times New Roman" w:eastAsia="宋体"/>
          <w:szCs w:val="28"/>
        </w:rPr>
      </w:pPr>
    </w:p>
    <w:p/>
    <w:p>
      <w:r>
        <w:t xml:space="preserve">        </w:t>
      </w:r>
    </w:p>
    <w:p>
      <w:pPr>
        <w:tabs>
          <w:tab w:val="left" w:pos="720"/>
          <w:tab w:val="left" w:pos="5355"/>
        </w:tabs>
        <w:spacing w:line="440" w:lineRule="exact"/>
        <w:rPr>
          <w:szCs w:val="21"/>
        </w:rPr>
      </w:pPr>
    </w:p>
    <w:p>
      <w:pPr>
        <w:tabs>
          <w:tab w:val="left" w:pos="720"/>
          <w:tab w:val="left" w:pos="5355"/>
        </w:tabs>
        <w:spacing w:line="440" w:lineRule="exact"/>
        <w:rPr>
          <w:szCs w:val="21"/>
        </w:rPr>
      </w:pPr>
    </w:p>
    <w:p>
      <w:pPr>
        <w:snapToGrid w:val="0"/>
        <w:spacing w:line="360" w:lineRule="auto"/>
        <w:jc w:val="center"/>
        <w:outlineLvl w:val="1"/>
        <w:rPr>
          <w:rStyle w:val="29"/>
          <w:rFonts w:ascii="Times New Roman" w:eastAsia="宋体"/>
          <w:sz w:val="21"/>
          <w:szCs w:val="21"/>
        </w:rPr>
      </w:pPr>
      <w:r>
        <w:rPr>
          <w:rFonts w:hAnsi="宋体"/>
          <w:szCs w:val="21"/>
        </w:rPr>
        <w:br w:type="page"/>
      </w:r>
      <w:r>
        <w:rPr>
          <w:rStyle w:val="29"/>
          <w:rFonts w:hint="eastAsia" w:ascii="Times New Roman" w:eastAsia="宋体"/>
          <w:sz w:val="21"/>
          <w:szCs w:val="21"/>
        </w:rPr>
        <w:t>三</w:t>
      </w:r>
      <w:r>
        <w:rPr>
          <w:rStyle w:val="29"/>
          <w:rFonts w:ascii="Times New Roman" w:eastAsia="宋体"/>
          <w:sz w:val="21"/>
          <w:szCs w:val="21"/>
        </w:rPr>
        <w:t xml:space="preserve"> 、资格文件</w:t>
      </w:r>
    </w:p>
    <w:p>
      <w:pPr>
        <w:tabs>
          <w:tab w:val="left" w:pos="720"/>
          <w:tab w:val="left" w:pos="5355"/>
        </w:tabs>
        <w:spacing w:line="440" w:lineRule="exact"/>
        <w:rPr>
          <w:szCs w:val="21"/>
        </w:rPr>
      </w:pPr>
    </w:p>
    <w:p>
      <w:pPr>
        <w:spacing w:line="312" w:lineRule="auto"/>
        <w:jc w:val="center"/>
        <w:rPr>
          <w:rStyle w:val="29"/>
          <w:rFonts w:ascii="Times New Roman" w:hAnsi="Times New Roman"/>
          <w:sz w:val="21"/>
          <w:szCs w:val="21"/>
        </w:rPr>
      </w:pPr>
      <w:r>
        <w:rPr>
          <w:rStyle w:val="29"/>
          <w:rFonts w:ascii="Times New Roman" w:hAnsi="Times New Roman"/>
          <w:sz w:val="21"/>
          <w:szCs w:val="21"/>
        </w:rPr>
        <w:t>1、营业执照扫描件；</w:t>
      </w:r>
    </w:p>
    <w:p>
      <w:pPr>
        <w:pStyle w:val="8"/>
        <w:ind w:firstLine="0"/>
        <w:rPr>
          <w:rStyle w:val="29"/>
          <w:rFonts w:ascii="Times New Roman" w:hAnsi="Times New Roman" w:eastAsia="宋体"/>
          <w:b/>
          <w:bCs/>
          <w:szCs w:val="28"/>
        </w:rPr>
      </w:pPr>
    </w:p>
    <w:p/>
    <w:bookmarkEnd w:id="64"/>
    <w:p>
      <w:pPr>
        <w:spacing w:line="312" w:lineRule="auto"/>
        <w:jc w:val="center"/>
        <w:rPr>
          <w:rStyle w:val="29"/>
          <w:rFonts w:ascii="Times New Roman" w:hAnsi="Times New Roman" w:eastAsia="宋体"/>
          <w:bCs w:val="0"/>
          <w:sz w:val="21"/>
          <w:szCs w:val="21"/>
        </w:rPr>
      </w:pPr>
      <w:bookmarkStart w:id="66" w:name="_Toc46418841"/>
      <w:r>
        <w:rPr>
          <w:rStyle w:val="29"/>
          <w:rFonts w:ascii="Times New Roman" w:hAnsi="Times New Roman"/>
          <w:bCs w:val="0"/>
          <w:sz w:val="21"/>
          <w:szCs w:val="21"/>
        </w:rPr>
        <w:t>2</w:t>
      </w:r>
      <w:r>
        <w:rPr>
          <w:rStyle w:val="29"/>
          <w:rFonts w:ascii="Times New Roman"/>
          <w:bCs w:val="0"/>
          <w:sz w:val="21"/>
          <w:szCs w:val="21"/>
        </w:rPr>
        <w:t>、</w:t>
      </w:r>
      <w:r>
        <w:rPr>
          <w:rStyle w:val="29"/>
          <w:rFonts w:ascii="Times New Roman" w:hAnsi="Times New Roman" w:eastAsia="宋体"/>
          <w:bCs w:val="0"/>
          <w:sz w:val="21"/>
          <w:szCs w:val="21"/>
        </w:rPr>
        <w:t xml:space="preserve"> </w:t>
      </w:r>
      <w:r>
        <w:rPr>
          <w:rStyle w:val="29"/>
          <w:rFonts w:ascii="Times New Roman" w:eastAsia="宋体"/>
          <w:bCs w:val="0"/>
          <w:sz w:val="21"/>
          <w:szCs w:val="21"/>
        </w:rPr>
        <w:t>投标函</w:t>
      </w:r>
      <w:bookmarkEnd w:id="66"/>
    </w:p>
    <w:p>
      <w:pPr>
        <w:spacing w:line="312" w:lineRule="auto"/>
        <w:ind w:firstLine="3920"/>
        <w:rPr>
          <w:szCs w:val="21"/>
        </w:rPr>
      </w:pPr>
    </w:p>
    <w:p>
      <w:pPr>
        <w:snapToGrid w:val="0"/>
        <w:spacing w:line="312" w:lineRule="auto"/>
        <w:rPr>
          <w:szCs w:val="21"/>
        </w:rPr>
      </w:pPr>
      <w:r>
        <w:rPr>
          <w:rFonts w:hAnsi="宋体"/>
          <w:szCs w:val="21"/>
        </w:rPr>
        <w:t>致：</w:t>
      </w:r>
      <w:r>
        <w:rPr>
          <w:szCs w:val="21"/>
        </w:rPr>
        <w:t xml:space="preserve"> </w:t>
      </w:r>
      <w:r>
        <w:rPr>
          <w:szCs w:val="21"/>
          <w:u w:val="single"/>
        </w:rPr>
        <w:t xml:space="preserve">               </w:t>
      </w:r>
      <w:r>
        <w:rPr>
          <w:rFonts w:hAnsi="宋体"/>
          <w:szCs w:val="21"/>
        </w:rPr>
        <w:t>（采购人名称）：</w:t>
      </w:r>
    </w:p>
    <w:p>
      <w:pPr>
        <w:snapToGrid w:val="0"/>
        <w:spacing w:line="312" w:lineRule="auto"/>
        <w:ind w:firstLine="480"/>
        <w:rPr>
          <w:szCs w:val="21"/>
        </w:rPr>
      </w:pPr>
      <w:r>
        <w:rPr>
          <w:rFonts w:hAnsi="宋体"/>
          <w:szCs w:val="21"/>
        </w:rPr>
        <w:t>根据贵方为</w:t>
      </w:r>
      <w:r>
        <w:rPr>
          <w:szCs w:val="21"/>
          <w:u w:val="single"/>
        </w:rPr>
        <w:t xml:space="preserve">                             </w:t>
      </w:r>
      <w:r>
        <w:rPr>
          <w:rFonts w:hAnsi="宋体"/>
          <w:szCs w:val="21"/>
        </w:rPr>
        <w:t>项目的招标公告（项目编号：</w:t>
      </w:r>
      <w:r>
        <w:rPr>
          <w:szCs w:val="21"/>
          <w:u w:val="single"/>
        </w:rPr>
        <w:t xml:space="preserve">             </w:t>
      </w:r>
      <w:r>
        <w:rPr>
          <w:rFonts w:hAnsi="宋体"/>
          <w:szCs w:val="21"/>
        </w:rPr>
        <w:t>），签字代表</w:t>
      </w:r>
      <w:r>
        <w:rPr>
          <w:szCs w:val="21"/>
        </w:rPr>
        <w:t xml:space="preserve"> </w:t>
      </w:r>
      <w:r>
        <w:rPr>
          <w:szCs w:val="21"/>
          <w:u w:val="single"/>
        </w:rPr>
        <w:t xml:space="preserve">            </w:t>
      </w:r>
      <w:r>
        <w:rPr>
          <w:rFonts w:hAnsi="宋体"/>
          <w:szCs w:val="21"/>
        </w:rPr>
        <w:t>（全名）经正式授权并代表投标人</w:t>
      </w:r>
      <w:r>
        <w:rPr>
          <w:szCs w:val="21"/>
        </w:rPr>
        <w:t xml:space="preserve"> </w:t>
      </w:r>
      <w:r>
        <w:rPr>
          <w:szCs w:val="21"/>
          <w:u w:val="single"/>
        </w:rPr>
        <w:t xml:space="preserve">                          </w:t>
      </w:r>
      <w:r>
        <w:rPr>
          <w:rFonts w:hAnsi="宋体"/>
          <w:szCs w:val="21"/>
        </w:rPr>
        <w:t>（投标人名称）提交资格文件、商务技术文件、报价文件。</w:t>
      </w:r>
    </w:p>
    <w:p>
      <w:pPr>
        <w:snapToGrid w:val="0"/>
        <w:spacing w:line="312" w:lineRule="auto"/>
        <w:ind w:firstLine="420" w:firstLineChars="200"/>
        <w:rPr>
          <w:szCs w:val="21"/>
        </w:rPr>
      </w:pPr>
      <w:r>
        <w:rPr>
          <w:rFonts w:hAnsi="宋体"/>
          <w:szCs w:val="21"/>
        </w:rPr>
        <w:t>据此函，签字代表宣布同意如下：</w:t>
      </w:r>
    </w:p>
    <w:p>
      <w:pPr>
        <w:pStyle w:val="10"/>
        <w:spacing w:line="312" w:lineRule="auto"/>
        <w:ind w:firstLine="420" w:firstLineChars="200"/>
        <w:rPr>
          <w:rFonts w:ascii="Times New Roman" w:hAnsi="Times New Roman"/>
          <w:szCs w:val="21"/>
        </w:rPr>
      </w:pPr>
      <w:r>
        <w:rPr>
          <w:rFonts w:ascii="Times New Roman" w:hAnsi="Times New Roman"/>
          <w:szCs w:val="21"/>
        </w:rPr>
        <w:t xml:space="preserve">1. </w:t>
      </w:r>
      <w:r>
        <w:rPr>
          <w:rFonts w:ascii="Times New Roman" w:hAnsi="宋体"/>
          <w:szCs w:val="21"/>
        </w:rPr>
        <w:t>我方向贵方提交的所有投标文件、资料都是准确的和真实的。</w:t>
      </w:r>
    </w:p>
    <w:p>
      <w:pPr>
        <w:snapToGrid w:val="0"/>
        <w:spacing w:line="312" w:lineRule="auto"/>
        <w:ind w:firstLine="420" w:firstLineChars="200"/>
        <w:rPr>
          <w:szCs w:val="21"/>
        </w:rPr>
      </w:pPr>
      <w:r>
        <w:rPr>
          <w:szCs w:val="21"/>
        </w:rPr>
        <w:t>2.</w:t>
      </w:r>
      <w:r>
        <w:rPr>
          <w:rFonts w:hAnsi="宋体"/>
          <w:szCs w:val="21"/>
        </w:rPr>
        <w:t>我方已详细审查全部</w:t>
      </w:r>
      <w:r>
        <w:rPr>
          <w:szCs w:val="21"/>
        </w:rPr>
        <w:t>“</w:t>
      </w:r>
      <w:r>
        <w:rPr>
          <w:rFonts w:hAnsi="宋体"/>
          <w:szCs w:val="21"/>
        </w:rPr>
        <w:t>招标文件</w:t>
      </w:r>
      <w:r>
        <w:rPr>
          <w:szCs w:val="21"/>
        </w:rPr>
        <w:t>”</w:t>
      </w:r>
      <w:r>
        <w:rPr>
          <w:rFonts w:hAnsi="宋体"/>
          <w:szCs w:val="21"/>
        </w:rPr>
        <w:t>，包括修改文件（如有的话）以及全部参考资料和有关附件，已经了解我方对于招标文件、采购过程、采购结果有依法进行询问、质疑、投诉的权利及相关渠道和要求。</w:t>
      </w:r>
    </w:p>
    <w:p>
      <w:pPr>
        <w:snapToGrid w:val="0"/>
        <w:spacing w:line="312" w:lineRule="auto"/>
        <w:ind w:firstLine="420" w:firstLineChars="200"/>
        <w:rPr>
          <w:szCs w:val="21"/>
        </w:rPr>
      </w:pPr>
      <w:r>
        <w:rPr>
          <w:szCs w:val="21"/>
        </w:rPr>
        <w:t xml:space="preserve">3. </w:t>
      </w:r>
      <w:r>
        <w:rPr>
          <w:rFonts w:hAnsi="宋体"/>
          <w:szCs w:val="21"/>
        </w:rPr>
        <w:t>我方在投标之前已经与贵方进行了充分的沟通，完全理解并接受招标文件的各项规定和要求，对招标文件的合理性、合法性不再有异议。</w:t>
      </w:r>
    </w:p>
    <w:p>
      <w:pPr>
        <w:snapToGrid w:val="0"/>
        <w:spacing w:line="312" w:lineRule="auto"/>
        <w:ind w:firstLine="420" w:firstLineChars="200"/>
        <w:rPr>
          <w:szCs w:val="21"/>
        </w:rPr>
      </w:pPr>
      <w:r>
        <w:rPr>
          <w:szCs w:val="21"/>
        </w:rPr>
        <w:t>4.</w:t>
      </w:r>
      <w:r>
        <w:rPr>
          <w:rFonts w:hAnsi="宋体"/>
          <w:szCs w:val="21"/>
        </w:rPr>
        <w:t>本投标有效期自开标日起</w:t>
      </w:r>
      <w:r>
        <w:rPr>
          <w:szCs w:val="21"/>
          <w:u w:val="single"/>
        </w:rPr>
        <w:t xml:space="preserve">     </w:t>
      </w:r>
      <w:r>
        <w:rPr>
          <w:rFonts w:hAnsi="宋体"/>
          <w:szCs w:val="21"/>
        </w:rPr>
        <w:t>日。</w:t>
      </w:r>
    </w:p>
    <w:p>
      <w:pPr>
        <w:snapToGrid w:val="0"/>
        <w:spacing w:line="312" w:lineRule="auto"/>
        <w:ind w:firstLine="420" w:firstLineChars="200"/>
        <w:rPr>
          <w:szCs w:val="21"/>
        </w:rPr>
      </w:pPr>
      <w:r>
        <w:rPr>
          <w:szCs w:val="21"/>
        </w:rPr>
        <w:t>5.</w:t>
      </w:r>
      <w:r>
        <w:rPr>
          <w:rFonts w:hAnsi="宋体"/>
          <w:szCs w:val="21"/>
        </w:rPr>
        <w:t>如中标，本投标文件至本项目合同履行完毕止均保持有效，本投标人将按</w:t>
      </w:r>
      <w:r>
        <w:rPr>
          <w:szCs w:val="21"/>
        </w:rPr>
        <w:t>“</w:t>
      </w:r>
      <w:r>
        <w:rPr>
          <w:rFonts w:hAnsi="宋体"/>
          <w:szCs w:val="21"/>
        </w:rPr>
        <w:t>招标文件</w:t>
      </w:r>
      <w:r>
        <w:rPr>
          <w:szCs w:val="21"/>
        </w:rPr>
        <w:t>”</w:t>
      </w:r>
      <w:r>
        <w:rPr>
          <w:rFonts w:hAnsi="宋体"/>
          <w:szCs w:val="21"/>
        </w:rPr>
        <w:t>及政府采购法律、法规的规定履行合同责任和义务。</w:t>
      </w:r>
    </w:p>
    <w:p>
      <w:pPr>
        <w:snapToGrid w:val="0"/>
        <w:spacing w:line="312" w:lineRule="auto"/>
        <w:ind w:firstLine="420" w:firstLineChars="200"/>
        <w:rPr>
          <w:szCs w:val="21"/>
        </w:rPr>
      </w:pPr>
      <w:r>
        <w:rPr>
          <w:szCs w:val="21"/>
        </w:rPr>
        <w:t>6.</w:t>
      </w:r>
      <w:r>
        <w:rPr>
          <w:rFonts w:hAnsi="宋体"/>
          <w:szCs w:val="21"/>
        </w:rPr>
        <w:t>我方同意按照贵方要求提供与投标有关的一切数据或资料。</w:t>
      </w:r>
    </w:p>
    <w:p>
      <w:pPr>
        <w:snapToGrid w:val="0"/>
        <w:spacing w:line="312" w:lineRule="auto"/>
        <w:ind w:firstLine="420" w:firstLineChars="200"/>
        <w:rPr>
          <w:szCs w:val="21"/>
        </w:rPr>
      </w:pPr>
      <w:r>
        <w:rPr>
          <w:szCs w:val="21"/>
        </w:rPr>
        <w:t>7.</w:t>
      </w:r>
      <w:r>
        <w:rPr>
          <w:rFonts w:hAnsi="宋体"/>
          <w:szCs w:val="21"/>
        </w:rPr>
        <w:t>与本投标有关的一切正式往来信函请寄：</w:t>
      </w:r>
    </w:p>
    <w:p>
      <w:pPr>
        <w:snapToGrid w:val="0"/>
        <w:spacing w:line="312" w:lineRule="auto"/>
        <w:rPr>
          <w:szCs w:val="21"/>
        </w:rPr>
      </w:pPr>
      <w:r>
        <w:rPr>
          <w:rFonts w:hAnsi="宋体"/>
          <w:szCs w:val="21"/>
        </w:rPr>
        <w:t>地址：</w:t>
      </w:r>
      <w:r>
        <w:rPr>
          <w:szCs w:val="21"/>
          <w:u w:val="single"/>
        </w:rPr>
        <w:t xml:space="preserve">                    </w:t>
      </w:r>
      <w:r>
        <w:rPr>
          <w:szCs w:val="21"/>
        </w:rPr>
        <w:t xml:space="preserve">    </w:t>
      </w:r>
      <w:r>
        <w:rPr>
          <w:rFonts w:hAnsi="宋体"/>
          <w:szCs w:val="21"/>
        </w:rPr>
        <w:t>邮编：</w:t>
      </w:r>
      <w:r>
        <w:rPr>
          <w:szCs w:val="21"/>
          <w:u w:val="single"/>
        </w:rPr>
        <w:t xml:space="preserve">        </w:t>
      </w:r>
      <w:r>
        <w:rPr>
          <w:szCs w:val="21"/>
        </w:rPr>
        <w:t xml:space="preserve">   </w:t>
      </w:r>
      <w:r>
        <w:rPr>
          <w:rFonts w:hAnsi="宋体"/>
          <w:szCs w:val="21"/>
        </w:rPr>
        <w:t>电话：</w:t>
      </w:r>
      <w:r>
        <w:rPr>
          <w:szCs w:val="21"/>
          <w:u w:val="single"/>
        </w:rPr>
        <w:t xml:space="preserve">             </w:t>
      </w:r>
    </w:p>
    <w:p>
      <w:pPr>
        <w:snapToGrid w:val="0"/>
        <w:spacing w:line="312" w:lineRule="auto"/>
        <w:rPr>
          <w:szCs w:val="21"/>
        </w:rPr>
      </w:pPr>
      <w:r>
        <w:rPr>
          <w:rFonts w:hAnsi="宋体"/>
          <w:szCs w:val="21"/>
        </w:rPr>
        <w:t>传真：</w:t>
      </w:r>
      <w:r>
        <w:rPr>
          <w:szCs w:val="21"/>
          <w:u w:val="single"/>
        </w:rPr>
        <w:t xml:space="preserve">             </w:t>
      </w:r>
      <w:r>
        <w:rPr>
          <w:szCs w:val="21"/>
        </w:rPr>
        <w:t xml:space="preserve"> </w:t>
      </w:r>
      <w:r>
        <w:rPr>
          <w:rFonts w:hAnsi="宋体"/>
          <w:szCs w:val="21"/>
        </w:rPr>
        <w:t>投标人代表姓名：</w:t>
      </w:r>
      <w:r>
        <w:rPr>
          <w:szCs w:val="21"/>
          <w:u w:val="single"/>
        </w:rPr>
        <w:t xml:space="preserve">          </w:t>
      </w:r>
      <w:r>
        <w:rPr>
          <w:szCs w:val="21"/>
        </w:rPr>
        <w:t xml:space="preserve"> </w:t>
      </w:r>
      <w:r>
        <w:rPr>
          <w:rFonts w:hAnsi="宋体"/>
          <w:szCs w:val="21"/>
        </w:rPr>
        <w:t>职务：</w:t>
      </w:r>
      <w:r>
        <w:rPr>
          <w:szCs w:val="21"/>
          <w:u w:val="single"/>
        </w:rPr>
        <w:t xml:space="preserve">             </w:t>
      </w:r>
    </w:p>
    <w:p>
      <w:pPr>
        <w:snapToGrid w:val="0"/>
        <w:spacing w:line="312" w:lineRule="auto"/>
        <w:rPr>
          <w:szCs w:val="21"/>
        </w:rPr>
      </w:pPr>
      <w:r>
        <w:rPr>
          <w:rFonts w:hAnsi="宋体"/>
          <w:szCs w:val="21"/>
        </w:rPr>
        <w:t>投标人名称</w:t>
      </w:r>
      <w:r>
        <w:rPr>
          <w:szCs w:val="21"/>
        </w:rPr>
        <w:t>(   ):</w:t>
      </w:r>
      <w:r>
        <w:rPr>
          <w:szCs w:val="21"/>
          <w:u w:val="single"/>
        </w:rPr>
        <w:t xml:space="preserve">                                    </w:t>
      </w:r>
    </w:p>
    <w:p>
      <w:pPr>
        <w:snapToGrid w:val="0"/>
        <w:spacing w:line="312" w:lineRule="auto"/>
        <w:rPr>
          <w:szCs w:val="21"/>
        </w:rPr>
      </w:pPr>
      <w:r>
        <w:rPr>
          <w:rFonts w:hAnsi="宋体"/>
          <w:szCs w:val="21"/>
        </w:rPr>
        <w:t>开户银行：</w:t>
      </w:r>
      <w:r>
        <w:rPr>
          <w:szCs w:val="21"/>
          <w:u w:val="single"/>
        </w:rPr>
        <w:t xml:space="preserve">                      </w:t>
      </w:r>
      <w:r>
        <w:rPr>
          <w:szCs w:val="21"/>
        </w:rPr>
        <w:t xml:space="preserve">   </w:t>
      </w:r>
      <w:r>
        <w:rPr>
          <w:rFonts w:hAnsi="宋体"/>
          <w:szCs w:val="21"/>
        </w:rPr>
        <w:t>银行帐号：</w:t>
      </w:r>
      <w:r>
        <w:rPr>
          <w:szCs w:val="21"/>
          <w:u w:val="single"/>
        </w:rPr>
        <w:t xml:space="preserve">                    </w:t>
      </w:r>
      <w:r>
        <w:rPr>
          <w:szCs w:val="21"/>
        </w:rPr>
        <w:t xml:space="preserve"> </w:t>
      </w:r>
    </w:p>
    <w:p>
      <w:pPr>
        <w:snapToGrid w:val="0"/>
        <w:spacing w:line="312" w:lineRule="auto"/>
        <w:rPr>
          <w:szCs w:val="21"/>
        </w:rPr>
      </w:pPr>
      <w:r>
        <w:rPr>
          <w:rFonts w:hAnsi="宋体"/>
          <w:szCs w:val="21"/>
        </w:rPr>
        <w:t>授权代表人签字</w:t>
      </w:r>
      <w:r>
        <w:rPr>
          <w:szCs w:val="21"/>
        </w:rPr>
        <w:t>:</w:t>
      </w:r>
      <w:r>
        <w:rPr>
          <w:szCs w:val="21"/>
          <w:u w:val="single"/>
        </w:rPr>
        <w:t xml:space="preserve">           </w:t>
      </w:r>
    </w:p>
    <w:p>
      <w:pPr>
        <w:snapToGrid w:val="0"/>
        <w:spacing w:line="312" w:lineRule="auto"/>
        <w:rPr>
          <w:szCs w:val="21"/>
        </w:rPr>
      </w:pPr>
      <w:r>
        <w:rPr>
          <w:rFonts w:hAnsi="宋体"/>
          <w:szCs w:val="21"/>
        </w:rPr>
        <w:t>日期</w:t>
      </w:r>
      <w:r>
        <w:rPr>
          <w:szCs w:val="21"/>
        </w:rPr>
        <w:t>:</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w:t>
      </w:r>
    </w:p>
    <w:p>
      <w:pPr>
        <w:spacing w:line="312" w:lineRule="auto"/>
        <w:ind w:firstLine="420" w:firstLineChars="200"/>
        <w:rPr>
          <w:szCs w:val="21"/>
        </w:rPr>
        <w:sectPr>
          <w:headerReference r:id="rId8" w:type="first"/>
          <w:footerReference r:id="rId10" w:type="first"/>
          <w:headerReference r:id="rId7" w:type="even"/>
          <w:footerReference r:id="rId9" w:type="even"/>
          <w:pgSz w:w="11906" w:h="16838"/>
          <w:pgMar w:top="1389" w:right="1247" w:bottom="1389" w:left="1247" w:header="851" w:footer="992" w:gutter="284"/>
          <w:cols w:space="720" w:num="1"/>
          <w:docGrid w:linePitch="312" w:charSpace="0"/>
        </w:sectPr>
      </w:pPr>
    </w:p>
    <w:p>
      <w:pPr>
        <w:spacing w:line="312" w:lineRule="auto"/>
        <w:jc w:val="center"/>
        <w:rPr>
          <w:rStyle w:val="29"/>
          <w:rFonts w:ascii="Times New Roman" w:hAnsi="Times New Roman"/>
          <w:bCs w:val="0"/>
          <w:sz w:val="21"/>
          <w:szCs w:val="21"/>
        </w:rPr>
      </w:pPr>
      <w:r>
        <w:rPr>
          <w:rStyle w:val="29"/>
          <w:rFonts w:ascii="Times New Roman" w:hAnsi="Times New Roman"/>
          <w:bCs w:val="0"/>
          <w:sz w:val="21"/>
          <w:szCs w:val="21"/>
        </w:rPr>
        <w:t>3、 法定代表人授权书</w:t>
      </w:r>
    </w:p>
    <w:p>
      <w:pPr>
        <w:spacing w:line="312" w:lineRule="auto"/>
        <w:rPr>
          <w:szCs w:val="21"/>
        </w:rPr>
      </w:pPr>
    </w:p>
    <w:p>
      <w:pPr>
        <w:spacing w:line="312" w:lineRule="auto"/>
        <w:rPr>
          <w:szCs w:val="21"/>
        </w:rPr>
      </w:pPr>
      <w:r>
        <w:rPr>
          <w:rFonts w:hAnsi="宋体"/>
          <w:szCs w:val="21"/>
        </w:rPr>
        <w:t>浙江中际工程项目管理有限公司：</w:t>
      </w:r>
    </w:p>
    <w:p>
      <w:pPr>
        <w:spacing w:line="312" w:lineRule="auto"/>
        <w:ind w:firstLine="420" w:firstLineChars="200"/>
        <w:rPr>
          <w:szCs w:val="21"/>
        </w:rPr>
      </w:pPr>
      <w:r>
        <w:rPr>
          <w:szCs w:val="21"/>
          <w:u w:val="single"/>
        </w:rPr>
        <w:t xml:space="preserve">                     </w:t>
      </w:r>
      <w:r>
        <w:rPr>
          <w:rFonts w:hAnsi="宋体"/>
          <w:szCs w:val="21"/>
        </w:rPr>
        <w:t>（投标人全称）法定代表人授权</w:t>
      </w:r>
      <w:r>
        <w:rPr>
          <w:szCs w:val="21"/>
          <w:u w:val="single"/>
        </w:rPr>
        <w:t xml:space="preserve">     </w:t>
      </w:r>
      <w:r>
        <w:rPr>
          <w:rFonts w:hAnsi="宋体"/>
          <w:szCs w:val="21"/>
        </w:rPr>
        <w:t>（全权代表姓名）为全权代表，参加贵方组织的</w:t>
      </w:r>
      <w:r>
        <w:rPr>
          <w:szCs w:val="21"/>
          <w:u w:val="single"/>
        </w:rPr>
        <w:t xml:space="preserve">               </w:t>
      </w:r>
      <w:r>
        <w:rPr>
          <w:rFonts w:hAnsi="宋体"/>
          <w:szCs w:val="21"/>
        </w:rPr>
        <w:t>项目（项目编号：</w:t>
      </w:r>
      <w:r>
        <w:rPr>
          <w:rFonts w:hint="eastAsia" w:hAnsi="宋体"/>
          <w:szCs w:val="21"/>
          <w:u w:val="single"/>
        </w:rPr>
        <w:t xml:space="preserve">       </w:t>
      </w:r>
      <w:r>
        <w:rPr>
          <w:rFonts w:hAnsi="宋体"/>
          <w:szCs w:val="21"/>
        </w:rPr>
        <w:t>），并全权处理采购活动中的一切事宜。</w:t>
      </w:r>
    </w:p>
    <w:p>
      <w:pPr>
        <w:spacing w:before="120" w:beforeLines="50" w:after="120" w:afterLines="50" w:line="312" w:lineRule="auto"/>
        <w:rPr>
          <w:szCs w:val="21"/>
        </w:rPr>
      </w:pPr>
    </w:p>
    <w:p>
      <w:pPr>
        <w:spacing w:before="120" w:beforeLines="50" w:after="120" w:afterLines="50" w:line="312" w:lineRule="auto"/>
        <w:rPr>
          <w:szCs w:val="21"/>
        </w:rPr>
      </w:pPr>
      <w:r>
        <w:rPr>
          <w:rFonts w:hAnsi="宋体"/>
          <w:szCs w:val="21"/>
        </w:rPr>
        <w:t>法定代表人签字或盖章：</w:t>
      </w:r>
    </w:p>
    <w:p>
      <w:pPr>
        <w:spacing w:before="120" w:beforeLines="50" w:after="120" w:afterLines="50" w:line="312" w:lineRule="auto"/>
        <w:rPr>
          <w:szCs w:val="21"/>
        </w:rPr>
      </w:pPr>
      <w:r>
        <w:rPr>
          <w:rFonts w:hAnsi="宋体"/>
          <w:szCs w:val="21"/>
        </w:rPr>
        <w:t>投标人全称</w:t>
      </w:r>
      <w:r>
        <w:rPr>
          <w:rFonts w:hAnsi="宋体"/>
          <w:b/>
          <w:bCs/>
          <w:szCs w:val="21"/>
        </w:rPr>
        <w:t>（</w:t>
      </w:r>
      <w:r>
        <w:rPr>
          <w:b/>
          <w:szCs w:val="21"/>
        </w:rPr>
        <w:t xml:space="preserve"> CA</w:t>
      </w:r>
      <w:r>
        <w:rPr>
          <w:rFonts w:hAnsi="宋体"/>
          <w:b/>
          <w:szCs w:val="21"/>
        </w:rPr>
        <w:t>签章</w:t>
      </w:r>
      <w:r>
        <w:rPr>
          <w:b/>
          <w:szCs w:val="21"/>
        </w:rPr>
        <w:t xml:space="preserve"> </w:t>
      </w:r>
      <w:r>
        <w:rPr>
          <w:rFonts w:hAnsi="宋体"/>
          <w:b/>
          <w:bCs/>
          <w:szCs w:val="21"/>
        </w:rPr>
        <w:t>）</w:t>
      </w:r>
      <w:r>
        <w:rPr>
          <w:rFonts w:hAnsi="宋体"/>
          <w:szCs w:val="21"/>
        </w:rPr>
        <w:t>：</w:t>
      </w:r>
    </w:p>
    <w:p>
      <w:pPr>
        <w:spacing w:before="120" w:beforeLines="50" w:after="120" w:afterLines="50" w:line="312" w:lineRule="auto"/>
        <w:rPr>
          <w:rFonts w:hAnsi="宋体"/>
          <w:szCs w:val="21"/>
        </w:rPr>
      </w:pPr>
      <w:r>
        <w:rPr>
          <w:rFonts w:hAnsi="宋体"/>
          <w:szCs w:val="21"/>
        </w:rPr>
        <w:t>日</w:t>
      </w:r>
      <w:r>
        <w:rPr>
          <w:szCs w:val="21"/>
        </w:rPr>
        <w:t xml:space="preserve">  </w:t>
      </w:r>
      <w:r>
        <w:rPr>
          <w:rFonts w:hAnsi="宋体"/>
          <w:szCs w:val="21"/>
        </w:rPr>
        <w:t>期：</w:t>
      </w:r>
    </w:p>
    <w:p>
      <w:pPr>
        <w:spacing w:line="312" w:lineRule="auto"/>
        <w:rPr>
          <w:szCs w:val="21"/>
        </w:rPr>
      </w:pPr>
      <w:r>
        <w:rPr>
          <w:rFonts w:hAnsi="宋体"/>
          <w:szCs w:val="21"/>
        </w:rPr>
        <w:t>附：</w:t>
      </w:r>
    </w:p>
    <w:p>
      <w:pPr>
        <w:spacing w:line="312" w:lineRule="auto"/>
        <w:rPr>
          <w:szCs w:val="21"/>
        </w:rPr>
      </w:pPr>
      <w:r>
        <w:rPr>
          <w:rFonts w:hAnsi="宋体"/>
          <w:szCs w:val="21"/>
        </w:rPr>
        <w:t>授权代表人姓名：</w:t>
      </w:r>
      <w:r>
        <w:rPr>
          <w:szCs w:val="21"/>
        </w:rPr>
        <w:t xml:space="preserve">             </w:t>
      </w:r>
      <w:r>
        <w:rPr>
          <w:rFonts w:hAnsi="宋体"/>
          <w:szCs w:val="21"/>
        </w:rPr>
        <w:t>性别：</w:t>
      </w:r>
    </w:p>
    <w:p>
      <w:pPr>
        <w:spacing w:line="312" w:lineRule="auto"/>
        <w:rPr>
          <w:szCs w:val="21"/>
        </w:rPr>
      </w:pPr>
      <w:r>
        <w:rPr>
          <w:rFonts w:hAnsi="宋体"/>
          <w:szCs w:val="21"/>
        </w:rPr>
        <w:t>职务：</w:t>
      </w:r>
      <w:r>
        <w:rPr>
          <w:szCs w:val="21"/>
        </w:rPr>
        <w:t xml:space="preserve">                       </w:t>
      </w:r>
      <w:r>
        <w:rPr>
          <w:rFonts w:hAnsi="宋体"/>
          <w:szCs w:val="21"/>
        </w:rPr>
        <w:t>职称：</w:t>
      </w:r>
    </w:p>
    <w:p>
      <w:pPr>
        <w:spacing w:line="312" w:lineRule="auto"/>
        <w:rPr>
          <w:szCs w:val="21"/>
        </w:rPr>
      </w:pPr>
      <w:r>
        <w:rPr>
          <w:rFonts w:hAnsi="宋体"/>
          <w:szCs w:val="21"/>
        </w:rPr>
        <w:t>详细通讯地址：</w:t>
      </w:r>
    </w:p>
    <w:p>
      <w:pPr>
        <w:spacing w:line="312" w:lineRule="auto"/>
        <w:rPr>
          <w:szCs w:val="21"/>
        </w:rPr>
      </w:pPr>
      <w:r>
        <w:rPr>
          <w:rFonts w:hAnsi="宋体"/>
          <w:szCs w:val="21"/>
        </w:rPr>
        <w:t>电话：</w:t>
      </w:r>
      <w:r>
        <w:rPr>
          <w:szCs w:val="21"/>
        </w:rPr>
        <w:t xml:space="preserve">                       </w:t>
      </w:r>
      <w:r>
        <w:rPr>
          <w:rFonts w:hAnsi="宋体"/>
          <w:szCs w:val="21"/>
        </w:rPr>
        <w:t>传真：</w:t>
      </w:r>
    </w:p>
    <w:p>
      <w:pPr>
        <w:spacing w:line="312" w:lineRule="auto"/>
        <w:rPr>
          <w:szCs w:val="21"/>
        </w:rPr>
      </w:pPr>
      <w:r>
        <w:rPr>
          <w:rFonts w:hAnsi="宋体"/>
          <w:szCs w:val="21"/>
        </w:rPr>
        <w:t>移动电话：</w:t>
      </w:r>
    </w:p>
    <w:p>
      <w:pPr>
        <w:spacing w:line="312" w:lineRule="auto"/>
        <w:rPr>
          <w:b/>
          <w:szCs w:val="21"/>
        </w:rPr>
      </w:pPr>
      <w:r>
        <w:rPr>
          <w:rFonts w:hAnsi="宋体"/>
          <w:szCs w:val="21"/>
        </w:rPr>
        <w:t>邮政编码：</w:t>
      </w:r>
    </w:p>
    <w:p>
      <w:pPr>
        <w:spacing w:line="312" w:lineRule="auto"/>
        <w:rPr>
          <w:rFonts w:hAnsi="宋体"/>
          <w:szCs w:val="21"/>
        </w:rPr>
      </w:pPr>
      <w:r>
        <w:rPr>
          <w:rFonts w:hint="eastAsia" w:hAnsi="宋体"/>
          <w:szCs w:val="21"/>
        </w:rPr>
        <w:t>授权代表人身份证正</w:t>
      </w:r>
      <w:r>
        <w:rPr>
          <w:rFonts w:hAnsi="宋体"/>
          <w:szCs w:val="21"/>
        </w:rPr>
        <w:t>、反面</w:t>
      </w:r>
      <w:r>
        <w:rPr>
          <w:rFonts w:hint="eastAsia" w:hAnsi="宋体"/>
          <w:szCs w:val="21"/>
        </w:rPr>
        <w:t>扫描件：</w:t>
      </w:r>
    </w:p>
    <w:tbl>
      <w:tblPr>
        <w:tblStyle w:val="18"/>
        <w:tblW w:w="0" w:type="auto"/>
        <w:tblInd w:w="-590" w:type="dxa"/>
        <w:tblLayout w:type="fixed"/>
        <w:tblCellMar>
          <w:top w:w="0" w:type="dxa"/>
          <w:left w:w="108" w:type="dxa"/>
          <w:bottom w:w="0" w:type="dxa"/>
          <w:right w:w="108" w:type="dxa"/>
        </w:tblCellMar>
      </w:tblPr>
      <w:tblGrid>
        <w:gridCol w:w="5120"/>
        <w:gridCol w:w="4530"/>
      </w:tblGrid>
      <w:tr>
        <w:tblPrEx>
          <w:tblCellMar>
            <w:top w:w="0" w:type="dxa"/>
            <w:left w:w="108" w:type="dxa"/>
            <w:bottom w:w="0" w:type="dxa"/>
            <w:right w:w="108" w:type="dxa"/>
          </w:tblCellMar>
        </w:tblPrEx>
        <w:trPr>
          <w:trHeight w:val="2733" w:hRule="atLeast"/>
        </w:trPr>
        <w:tc>
          <w:tcPr>
            <w:tcW w:w="5120" w:type="dxa"/>
          </w:tcPr>
          <w:p>
            <w:pPr>
              <w:pStyle w:val="34"/>
              <w:snapToGrid w:val="0"/>
              <w:spacing w:line="360" w:lineRule="auto"/>
              <w:rPr>
                <w:rFonts w:ascii="仿宋_GB2312" w:eastAsia="仿宋_GB2312"/>
                <w:spacing w:val="20"/>
                <w:sz w:val="24"/>
              </w:rPr>
            </w:pPr>
          </w:p>
        </w:tc>
        <w:tc>
          <w:tcPr>
            <w:tcW w:w="4530" w:type="dxa"/>
          </w:tcPr>
          <w:p>
            <w:pPr>
              <w:pStyle w:val="34"/>
              <w:snapToGrid w:val="0"/>
              <w:spacing w:line="360" w:lineRule="auto"/>
              <w:rPr>
                <w:rFonts w:ascii="仿宋_GB2312" w:eastAsia="仿宋_GB2312"/>
                <w:spacing w:val="20"/>
                <w:sz w:val="24"/>
              </w:rPr>
            </w:pPr>
          </w:p>
          <w:p>
            <w:pPr>
              <w:pStyle w:val="34"/>
              <w:snapToGrid w:val="0"/>
              <w:spacing w:line="360" w:lineRule="auto"/>
              <w:rPr>
                <w:rFonts w:ascii="仿宋_GB2312" w:eastAsia="仿宋_GB2312"/>
                <w:spacing w:val="20"/>
                <w:sz w:val="24"/>
                <w:u w:val="single"/>
              </w:rPr>
            </w:pPr>
          </w:p>
        </w:tc>
      </w:tr>
    </w:tbl>
    <w:p>
      <w:pPr>
        <w:spacing w:line="312" w:lineRule="auto"/>
        <w:jc w:val="center"/>
        <w:rPr>
          <w:rFonts w:hAnsi="宋体"/>
          <w:b/>
          <w:szCs w:val="21"/>
        </w:rPr>
      </w:pPr>
    </w:p>
    <w:p>
      <w:pPr>
        <w:spacing w:line="312" w:lineRule="auto"/>
        <w:jc w:val="center"/>
        <w:rPr>
          <w:rFonts w:hAnsi="宋体"/>
          <w:b/>
          <w:szCs w:val="21"/>
        </w:rPr>
      </w:pPr>
    </w:p>
    <w:p>
      <w:pPr>
        <w:spacing w:line="312" w:lineRule="auto"/>
        <w:jc w:val="center"/>
        <w:rPr>
          <w:rFonts w:hAnsi="宋体"/>
          <w:b/>
          <w:szCs w:val="21"/>
        </w:rPr>
      </w:pPr>
    </w:p>
    <w:p>
      <w:pPr>
        <w:spacing w:line="312" w:lineRule="auto"/>
        <w:jc w:val="center"/>
        <w:rPr>
          <w:rFonts w:hAnsi="宋体"/>
          <w:b/>
          <w:szCs w:val="21"/>
        </w:rPr>
      </w:pPr>
    </w:p>
    <w:p>
      <w:pPr>
        <w:spacing w:line="312" w:lineRule="auto"/>
        <w:jc w:val="center"/>
        <w:rPr>
          <w:rFonts w:hAnsi="宋体"/>
          <w:b/>
          <w:szCs w:val="21"/>
        </w:rPr>
      </w:pPr>
    </w:p>
    <w:p>
      <w:pPr>
        <w:spacing w:line="312" w:lineRule="auto"/>
        <w:jc w:val="center"/>
        <w:rPr>
          <w:rFonts w:hAnsi="宋体"/>
          <w:b/>
          <w:szCs w:val="21"/>
        </w:rPr>
      </w:pPr>
    </w:p>
    <w:p>
      <w:pPr>
        <w:spacing w:line="312" w:lineRule="auto"/>
        <w:jc w:val="center"/>
        <w:rPr>
          <w:rFonts w:hAnsi="宋体"/>
          <w:b/>
          <w:szCs w:val="21"/>
        </w:rPr>
      </w:pPr>
    </w:p>
    <w:p>
      <w:pPr>
        <w:spacing w:line="312" w:lineRule="auto"/>
        <w:jc w:val="center"/>
        <w:rPr>
          <w:rFonts w:hAnsi="宋体"/>
          <w:b/>
          <w:szCs w:val="21"/>
        </w:rPr>
      </w:pPr>
    </w:p>
    <w:p>
      <w:pPr>
        <w:spacing w:line="312" w:lineRule="auto"/>
        <w:jc w:val="center"/>
        <w:rPr>
          <w:rFonts w:hAnsi="宋体"/>
          <w:b/>
          <w:szCs w:val="21"/>
        </w:rPr>
      </w:pPr>
    </w:p>
    <w:p>
      <w:pPr>
        <w:spacing w:line="312" w:lineRule="auto"/>
        <w:jc w:val="center"/>
        <w:rPr>
          <w:rFonts w:hAnsi="宋体"/>
          <w:b/>
          <w:szCs w:val="21"/>
        </w:rPr>
      </w:pPr>
    </w:p>
    <w:p>
      <w:pPr>
        <w:spacing w:line="312" w:lineRule="auto"/>
        <w:jc w:val="center"/>
        <w:rPr>
          <w:rFonts w:hAnsi="宋体"/>
          <w:b/>
          <w:szCs w:val="21"/>
        </w:rPr>
      </w:pPr>
    </w:p>
    <w:p>
      <w:pPr>
        <w:spacing w:line="312" w:lineRule="auto"/>
        <w:jc w:val="center"/>
        <w:rPr>
          <w:rFonts w:hAnsi="宋体"/>
          <w:b/>
          <w:szCs w:val="21"/>
        </w:rPr>
      </w:pPr>
    </w:p>
    <w:p>
      <w:pPr>
        <w:spacing w:line="312" w:lineRule="auto"/>
        <w:jc w:val="center"/>
        <w:rPr>
          <w:rFonts w:hAnsi="宋体"/>
          <w:b/>
          <w:szCs w:val="21"/>
        </w:rPr>
      </w:pPr>
    </w:p>
    <w:p>
      <w:pPr>
        <w:spacing w:line="312" w:lineRule="auto"/>
        <w:jc w:val="center"/>
        <w:rPr>
          <w:rFonts w:hAnsi="宋体"/>
          <w:b/>
          <w:szCs w:val="21"/>
        </w:rPr>
      </w:pPr>
    </w:p>
    <w:p>
      <w:pPr>
        <w:spacing w:line="312" w:lineRule="auto"/>
        <w:jc w:val="center"/>
        <w:rPr>
          <w:rFonts w:hAnsi="宋体"/>
          <w:b/>
          <w:szCs w:val="21"/>
        </w:rPr>
      </w:pPr>
    </w:p>
    <w:p>
      <w:pPr>
        <w:spacing w:line="312" w:lineRule="auto"/>
        <w:jc w:val="center"/>
        <w:rPr>
          <w:rFonts w:hAnsi="宋体"/>
          <w:b/>
          <w:szCs w:val="21"/>
        </w:rPr>
      </w:pPr>
    </w:p>
    <w:p>
      <w:pPr>
        <w:spacing w:line="312" w:lineRule="auto"/>
        <w:jc w:val="center"/>
        <w:rPr>
          <w:b/>
          <w:szCs w:val="21"/>
        </w:rPr>
      </w:pPr>
      <w:r>
        <w:rPr>
          <w:rFonts w:hAnsi="宋体"/>
          <w:b/>
          <w:szCs w:val="21"/>
        </w:rPr>
        <w:t>法定代表人身份证明</w:t>
      </w:r>
    </w:p>
    <w:p>
      <w:pPr>
        <w:spacing w:line="312" w:lineRule="auto"/>
        <w:rPr>
          <w:szCs w:val="21"/>
        </w:rPr>
      </w:pPr>
      <w:r>
        <w:rPr>
          <w:rFonts w:hAnsi="宋体"/>
          <w:szCs w:val="21"/>
        </w:rPr>
        <w:t>投</w:t>
      </w:r>
      <w:r>
        <w:rPr>
          <w:szCs w:val="21"/>
        </w:rPr>
        <w:t xml:space="preserve"> </w:t>
      </w:r>
      <w:r>
        <w:rPr>
          <w:rFonts w:hAnsi="宋体"/>
          <w:szCs w:val="21"/>
        </w:rPr>
        <w:t>标</w:t>
      </w:r>
      <w:r>
        <w:rPr>
          <w:szCs w:val="21"/>
        </w:rPr>
        <w:t xml:space="preserve"> </w:t>
      </w:r>
      <w:r>
        <w:rPr>
          <w:rFonts w:hAnsi="宋体"/>
          <w:szCs w:val="21"/>
        </w:rPr>
        <w:t>人：</w:t>
      </w:r>
      <w:r>
        <w:rPr>
          <w:szCs w:val="21"/>
          <w:u w:val="single"/>
        </w:rPr>
        <w:t xml:space="preserve">                                                        </w:t>
      </w:r>
    </w:p>
    <w:p>
      <w:pPr>
        <w:spacing w:line="312" w:lineRule="auto"/>
        <w:rPr>
          <w:szCs w:val="21"/>
        </w:rPr>
      </w:pPr>
      <w:r>
        <w:rPr>
          <w:rFonts w:hAnsi="宋体"/>
          <w:szCs w:val="21"/>
        </w:rPr>
        <w:t>地</w:t>
      </w:r>
      <w:r>
        <w:rPr>
          <w:szCs w:val="21"/>
        </w:rPr>
        <w:t xml:space="preserve">    </w:t>
      </w:r>
      <w:r>
        <w:rPr>
          <w:rFonts w:hAnsi="宋体"/>
          <w:szCs w:val="21"/>
        </w:rPr>
        <w:t>址：</w:t>
      </w:r>
      <w:r>
        <w:rPr>
          <w:szCs w:val="21"/>
          <w:u w:val="single"/>
        </w:rPr>
        <w:t xml:space="preserve">                                                        </w:t>
      </w:r>
    </w:p>
    <w:p>
      <w:pPr>
        <w:spacing w:line="312" w:lineRule="auto"/>
        <w:rPr>
          <w:szCs w:val="21"/>
        </w:rPr>
      </w:pPr>
      <w:r>
        <w:rPr>
          <w:rFonts w:hAnsi="宋体"/>
          <w:szCs w:val="21"/>
        </w:rPr>
        <w:t>成立时间：</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w:t>
      </w:r>
    </w:p>
    <w:p>
      <w:pPr>
        <w:spacing w:line="312" w:lineRule="auto"/>
        <w:rPr>
          <w:szCs w:val="21"/>
        </w:rPr>
      </w:pPr>
      <w:r>
        <w:rPr>
          <w:rFonts w:hAnsi="宋体"/>
          <w:szCs w:val="21"/>
        </w:rPr>
        <w:t>姓</w:t>
      </w:r>
      <w:r>
        <w:rPr>
          <w:szCs w:val="21"/>
        </w:rPr>
        <w:t xml:space="preserve">    </w:t>
      </w:r>
      <w:r>
        <w:rPr>
          <w:rFonts w:hAnsi="宋体"/>
          <w:szCs w:val="21"/>
        </w:rPr>
        <w:t>名：</w:t>
      </w:r>
      <w:r>
        <w:rPr>
          <w:szCs w:val="21"/>
          <w:u w:val="single"/>
        </w:rPr>
        <w:t xml:space="preserve">                          </w:t>
      </w:r>
      <w:r>
        <w:rPr>
          <w:rFonts w:hAnsi="宋体"/>
          <w:szCs w:val="21"/>
        </w:rPr>
        <w:t>性</w:t>
      </w:r>
      <w:r>
        <w:rPr>
          <w:szCs w:val="21"/>
        </w:rPr>
        <w:t xml:space="preserve">     </w:t>
      </w:r>
      <w:r>
        <w:rPr>
          <w:rFonts w:hAnsi="宋体"/>
          <w:szCs w:val="21"/>
        </w:rPr>
        <w:t>别：</w:t>
      </w:r>
      <w:r>
        <w:rPr>
          <w:szCs w:val="21"/>
          <w:u w:val="single"/>
        </w:rPr>
        <w:t xml:space="preserve">                </w:t>
      </w:r>
    </w:p>
    <w:p>
      <w:pPr>
        <w:spacing w:line="312" w:lineRule="auto"/>
        <w:rPr>
          <w:szCs w:val="21"/>
        </w:rPr>
      </w:pPr>
      <w:r>
        <w:rPr>
          <w:rFonts w:hAnsi="宋体"/>
          <w:szCs w:val="21"/>
        </w:rPr>
        <w:t>年</w:t>
      </w:r>
      <w:r>
        <w:rPr>
          <w:szCs w:val="21"/>
        </w:rPr>
        <w:t xml:space="preserve">    </w:t>
      </w:r>
      <w:r>
        <w:rPr>
          <w:rFonts w:hAnsi="宋体"/>
          <w:szCs w:val="21"/>
        </w:rPr>
        <w:t>龄：</w:t>
      </w:r>
      <w:r>
        <w:rPr>
          <w:szCs w:val="21"/>
          <w:u w:val="single"/>
        </w:rPr>
        <w:t xml:space="preserve">                          </w:t>
      </w:r>
      <w:r>
        <w:rPr>
          <w:rFonts w:hAnsi="宋体"/>
          <w:szCs w:val="21"/>
        </w:rPr>
        <w:t>职</w:t>
      </w:r>
      <w:r>
        <w:rPr>
          <w:szCs w:val="21"/>
        </w:rPr>
        <w:t xml:space="preserve">     </w:t>
      </w:r>
      <w:r>
        <w:rPr>
          <w:rFonts w:hAnsi="宋体"/>
          <w:szCs w:val="21"/>
        </w:rPr>
        <w:t>务：</w:t>
      </w:r>
      <w:r>
        <w:rPr>
          <w:szCs w:val="21"/>
          <w:u w:val="single"/>
        </w:rPr>
        <w:t xml:space="preserve">                </w:t>
      </w:r>
    </w:p>
    <w:p>
      <w:pPr>
        <w:spacing w:line="312" w:lineRule="auto"/>
        <w:rPr>
          <w:szCs w:val="21"/>
        </w:rPr>
      </w:pPr>
      <w:r>
        <w:rPr>
          <w:rFonts w:hAnsi="宋体"/>
          <w:szCs w:val="21"/>
        </w:rPr>
        <w:t>系</w:t>
      </w:r>
      <w:r>
        <w:rPr>
          <w:szCs w:val="21"/>
          <w:u w:val="single"/>
        </w:rPr>
        <w:t xml:space="preserve">                                                 </w:t>
      </w:r>
      <w:r>
        <w:rPr>
          <w:rFonts w:hAnsi="宋体"/>
          <w:szCs w:val="21"/>
        </w:rPr>
        <w:t>（投标人名称）的法定代表人。</w:t>
      </w:r>
    </w:p>
    <w:p>
      <w:pPr>
        <w:spacing w:line="312" w:lineRule="auto"/>
        <w:rPr>
          <w:szCs w:val="21"/>
        </w:rPr>
      </w:pPr>
      <w:r>
        <w:rPr>
          <w:rFonts w:hAnsi="宋体"/>
          <w:szCs w:val="21"/>
        </w:rPr>
        <w:t>特此证明。</w:t>
      </w:r>
    </w:p>
    <w:p>
      <w:pPr>
        <w:spacing w:line="312" w:lineRule="auto"/>
        <w:rPr>
          <w:szCs w:val="21"/>
        </w:rPr>
      </w:pPr>
    </w:p>
    <w:p>
      <w:pPr>
        <w:spacing w:line="312" w:lineRule="auto"/>
        <w:rPr>
          <w:szCs w:val="21"/>
        </w:rPr>
      </w:pPr>
    </w:p>
    <w:p>
      <w:pPr>
        <w:spacing w:line="312" w:lineRule="auto"/>
        <w:rPr>
          <w:rFonts w:hAnsi="宋体"/>
          <w:b/>
          <w:bCs/>
          <w:szCs w:val="21"/>
        </w:rPr>
      </w:pPr>
      <w:r>
        <w:rPr>
          <w:rFonts w:hAnsi="宋体"/>
          <w:szCs w:val="21"/>
        </w:rPr>
        <w:t>投标人：</w:t>
      </w:r>
      <w:r>
        <w:rPr>
          <w:szCs w:val="21"/>
          <w:u w:val="single"/>
        </w:rPr>
        <w:t xml:space="preserve">                          </w:t>
      </w:r>
      <w:r>
        <w:rPr>
          <w:rFonts w:hAnsi="宋体"/>
          <w:b/>
          <w:bCs/>
          <w:szCs w:val="21"/>
        </w:rPr>
        <w:t>（</w:t>
      </w:r>
      <w:r>
        <w:rPr>
          <w:b/>
          <w:szCs w:val="21"/>
        </w:rPr>
        <w:t xml:space="preserve"> CA</w:t>
      </w:r>
      <w:r>
        <w:rPr>
          <w:rFonts w:hAnsi="宋体"/>
          <w:b/>
          <w:szCs w:val="21"/>
        </w:rPr>
        <w:t>签章</w:t>
      </w:r>
      <w:r>
        <w:rPr>
          <w:b/>
          <w:szCs w:val="21"/>
        </w:rPr>
        <w:t xml:space="preserve"> </w:t>
      </w:r>
      <w:r>
        <w:rPr>
          <w:rFonts w:hAnsi="宋体"/>
          <w:b/>
          <w:bCs/>
          <w:szCs w:val="21"/>
        </w:rPr>
        <w:t>）</w:t>
      </w:r>
    </w:p>
    <w:p>
      <w:pPr>
        <w:spacing w:line="312" w:lineRule="auto"/>
        <w:rPr>
          <w:rFonts w:hAnsi="宋体"/>
          <w:b/>
          <w:bCs/>
          <w:szCs w:val="21"/>
        </w:rPr>
      </w:pPr>
    </w:p>
    <w:p>
      <w:pPr>
        <w:spacing w:line="312" w:lineRule="auto"/>
        <w:rPr>
          <w:rFonts w:hAnsi="宋体"/>
          <w:szCs w:val="21"/>
        </w:rPr>
      </w:pPr>
      <w:r>
        <w:rPr>
          <w:rFonts w:hAnsi="宋体"/>
          <w:szCs w:val="21"/>
        </w:rPr>
        <w:t>日期：</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w:t>
      </w:r>
    </w:p>
    <w:p>
      <w:pPr>
        <w:spacing w:line="312" w:lineRule="auto"/>
        <w:rPr>
          <w:rFonts w:hAnsi="宋体"/>
          <w:szCs w:val="21"/>
        </w:rPr>
      </w:pPr>
    </w:p>
    <w:p>
      <w:pPr>
        <w:spacing w:line="312" w:lineRule="auto"/>
        <w:rPr>
          <w:rFonts w:hAnsi="宋体"/>
          <w:szCs w:val="21"/>
        </w:rPr>
      </w:pPr>
      <w:r>
        <w:rPr>
          <w:rFonts w:hint="eastAsia" w:hAnsi="宋体"/>
          <w:szCs w:val="21"/>
        </w:rPr>
        <w:t>附法定代表人身份正</w:t>
      </w:r>
      <w:r>
        <w:rPr>
          <w:rFonts w:hAnsi="宋体"/>
          <w:szCs w:val="21"/>
        </w:rPr>
        <w:t>、反面</w:t>
      </w:r>
      <w:r>
        <w:rPr>
          <w:rFonts w:hint="eastAsia" w:hAnsi="宋体"/>
          <w:szCs w:val="21"/>
        </w:rPr>
        <w:t>扫描件：</w:t>
      </w:r>
    </w:p>
    <w:tbl>
      <w:tblPr>
        <w:tblStyle w:val="18"/>
        <w:tblW w:w="0" w:type="auto"/>
        <w:tblInd w:w="-144" w:type="dxa"/>
        <w:tblLayout w:type="fixed"/>
        <w:tblCellMar>
          <w:top w:w="0" w:type="dxa"/>
          <w:left w:w="108" w:type="dxa"/>
          <w:bottom w:w="0" w:type="dxa"/>
          <w:right w:w="108" w:type="dxa"/>
        </w:tblCellMar>
      </w:tblPr>
      <w:tblGrid>
        <w:gridCol w:w="4674"/>
        <w:gridCol w:w="4530"/>
      </w:tblGrid>
      <w:tr>
        <w:tblPrEx>
          <w:tblCellMar>
            <w:top w:w="0" w:type="dxa"/>
            <w:left w:w="108" w:type="dxa"/>
            <w:bottom w:w="0" w:type="dxa"/>
            <w:right w:w="108" w:type="dxa"/>
          </w:tblCellMar>
        </w:tblPrEx>
        <w:trPr>
          <w:trHeight w:val="2733" w:hRule="atLeast"/>
        </w:trPr>
        <w:tc>
          <w:tcPr>
            <w:tcW w:w="4674" w:type="dxa"/>
          </w:tcPr>
          <w:p>
            <w:pPr>
              <w:pStyle w:val="34"/>
              <w:snapToGrid w:val="0"/>
              <w:spacing w:line="360" w:lineRule="auto"/>
              <w:rPr>
                <w:rFonts w:ascii="仿宋_GB2312" w:eastAsia="仿宋_GB2312"/>
                <w:spacing w:val="20"/>
                <w:sz w:val="24"/>
              </w:rPr>
            </w:pPr>
            <w:r>
              <w:rPr>
                <w:rFonts w:hint="eastAsia" w:ascii="仿宋_GB2312" w:eastAsia="仿宋_GB2312"/>
                <w:spacing w:val="20"/>
                <w:sz w:val="24"/>
              </w:rPr>
              <w:t xml:space="preserve"> </w:t>
            </w:r>
          </w:p>
        </w:tc>
        <w:tc>
          <w:tcPr>
            <w:tcW w:w="4530" w:type="dxa"/>
          </w:tcPr>
          <w:p>
            <w:pPr>
              <w:pStyle w:val="34"/>
              <w:snapToGrid w:val="0"/>
              <w:spacing w:line="360" w:lineRule="auto"/>
              <w:rPr>
                <w:rFonts w:ascii="仿宋_GB2312" w:eastAsia="仿宋_GB2312"/>
                <w:spacing w:val="20"/>
                <w:sz w:val="24"/>
                <w:u w:val="single"/>
              </w:rPr>
            </w:pPr>
          </w:p>
        </w:tc>
      </w:tr>
    </w:tbl>
    <w:p>
      <w:pPr>
        <w:spacing w:line="312" w:lineRule="auto"/>
        <w:rPr>
          <w:szCs w:val="21"/>
        </w:rPr>
      </w:pPr>
      <w:r>
        <w:rPr>
          <w:szCs w:val="21"/>
        </w:rPr>
        <w:br w:type="page"/>
      </w:r>
      <w:r>
        <w:rPr>
          <w:szCs w:val="21"/>
        </w:rPr>
        <w:t xml:space="preserve">                             </w:t>
      </w:r>
      <w:r>
        <w:rPr>
          <w:b/>
          <w:bCs/>
          <w:szCs w:val="21"/>
        </w:rPr>
        <w:t>4</w:t>
      </w:r>
      <w:r>
        <w:rPr>
          <w:rFonts w:hAnsi="宋体"/>
          <w:b/>
          <w:bCs/>
          <w:szCs w:val="21"/>
        </w:rPr>
        <w:t>、</w:t>
      </w:r>
      <w:r>
        <w:rPr>
          <w:b/>
          <w:bCs/>
          <w:szCs w:val="21"/>
        </w:rPr>
        <w:t xml:space="preserve"> </w:t>
      </w:r>
      <w:r>
        <w:rPr>
          <w:rFonts w:hAnsi="宋体"/>
          <w:b/>
          <w:bCs/>
          <w:szCs w:val="21"/>
        </w:rPr>
        <w:t>资格声明</w:t>
      </w:r>
    </w:p>
    <w:p>
      <w:pPr>
        <w:tabs>
          <w:tab w:val="left" w:pos="1824"/>
        </w:tabs>
        <w:autoSpaceDE w:val="0"/>
        <w:autoSpaceDN w:val="0"/>
        <w:adjustRightInd w:val="0"/>
        <w:spacing w:line="312" w:lineRule="auto"/>
        <w:ind w:left="1822" w:leftChars="100" w:hanging="1612" w:hangingChars="768"/>
        <w:rPr>
          <w:szCs w:val="21"/>
        </w:rPr>
      </w:pPr>
      <w:r>
        <w:rPr>
          <w:szCs w:val="21"/>
          <w:lang w:val="zh-CN"/>
        </w:rPr>
        <w:t>1</w:t>
      </w:r>
      <w:r>
        <w:rPr>
          <w:szCs w:val="21"/>
        </w:rPr>
        <w:t>.</w:t>
      </w:r>
      <w:r>
        <w:rPr>
          <w:rFonts w:hAnsi="宋体"/>
          <w:szCs w:val="21"/>
          <w:lang w:val="zh-CN"/>
        </w:rPr>
        <w:t>基本情况</w:t>
      </w:r>
    </w:p>
    <w:p>
      <w:pPr>
        <w:tabs>
          <w:tab w:val="left" w:pos="840"/>
        </w:tabs>
        <w:autoSpaceDE w:val="0"/>
        <w:autoSpaceDN w:val="0"/>
        <w:adjustRightInd w:val="0"/>
        <w:spacing w:line="312" w:lineRule="auto"/>
        <w:ind w:left="840" w:hanging="360"/>
        <w:rPr>
          <w:szCs w:val="21"/>
        </w:rPr>
      </w:pPr>
      <w:r>
        <w:rPr>
          <w:rFonts w:hAnsi="宋体"/>
          <w:szCs w:val="21"/>
          <w:lang w:val="zh-CN"/>
        </w:rPr>
        <w:t>供应商名称：</w:t>
      </w:r>
      <w:r>
        <w:rPr>
          <w:szCs w:val="21"/>
          <w:u w:val="single"/>
          <w:lang w:val="zh-CN"/>
        </w:rPr>
        <w:t xml:space="preserve">                   </w:t>
      </w:r>
    </w:p>
    <w:p>
      <w:pPr>
        <w:tabs>
          <w:tab w:val="left" w:pos="840"/>
        </w:tabs>
        <w:autoSpaceDE w:val="0"/>
        <w:autoSpaceDN w:val="0"/>
        <w:adjustRightInd w:val="0"/>
        <w:spacing w:line="312" w:lineRule="auto"/>
        <w:ind w:left="840" w:hanging="360"/>
        <w:rPr>
          <w:szCs w:val="21"/>
        </w:rPr>
      </w:pPr>
      <w:r>
        <w:rPr>
          <w:rFonts w:hAnsi="宋体"/>
          <w:szCs w:val="21"/>
          <w:lang w:val="zh-CN"/>
        </w:rPr>
        <w:t>地</w:t>
      </w:r>
      <w:r>
        <w:rPr>
          <w:szCs w:val="21"/>
          <w:lang w:val="zh-CN"/>
        </w:rPr>
        <w:t xml:space="preserve">   </w:t>
      </w:r>
      <w:r>
        <w:rPr>
          <w:rFonts w:hAnsi="宋体"/>
          <w:szCs w:val="21"/>
          <w:lang w:val="zh-CN"/>
        </w:rPr>
        <w:t>址：</w:t>
      </w:r>
      <w:r>
        <w:rPr>
          <w:szCs w:val="21"/>
          <w:u w:val="single"/>
          <w:lang w:val="zh-CN"/>
        </w:rPr>
        <w:t xml:space="preserve">             </w:t>
      </w:r>
      <w:r>
        <w:rPr>
          <w:rFonts w:hAnsi="宋体"/>
          <w:szCs w:val="21"/>
          <w:lang w:val="zh-CN"/>
        </w:rPr>
        <w:t>电</w:t>
      </w:r>
      <w:r>
        <w:rPr>
          <w:szCs w:val="21"/>
          <w:lang w:val="zh-CN"/>
        </w:rPr>
        <w:t xml:space="preserve">  </w:t>
      </w:r>
      <w:r>
        <w:rPr>
          <w:rFonts w:hAnsi="宋体"/>
          <w:szCs w:val="21"/>
          <w:lang w:val="zh-CN"/>
        </w:rPr>
        <w:t>话：</w:t>
      </w:r>
      <w:r>
        <w:rPr>
          <w:szCs w:val="21"/>
          <w:u w:val="single"/>
          <w:lang w:val="zh-CN"/>
        </w:rPr>
        <w:t xml:space="preserve">             </w:t>
      </w:r>
    </w:p>
    <w:p>
      <w:pPr>
        <w:tabs>
          <w:tab w:val="left" w:pos="840"/>
        </w:tabs>
        <w:autoSpaceDE w:val="0"/>
        <w:autoSpaceDN w:val="0"/>
        <w:adjustRightInd w:val="0"/>
        <w:spacing w:line="312" w:lineRule="auto"/>
        <w:ind w:left="840" w:hanging="360"/>
        <w:rPr>
          <w:szCs w:val="21"/>
        </w:rPr>
      </w:pPr>
      <w:r>
        <w:rPr>
          <w:rFonts w:hAnsi="宋体"/>
          <w:szCs w:val="21"/>
          <w:lang w:val="zh-CN"/>
        </w:rPr>
        <w:t>成立和注册日期：</w:t>
      </w:r>
      <w:r>
        <w:rPr>
          <w:szCs w:val="21"/>
          <w:u w:val="single"/>
          <w:lang w:val="zh-CN"/>
        </w:rPr>
        <w:t xml:space="preserve">             </w:t>
      </w:r>
      <w:r>
        <w:rPr>
          <w:rFonts w:hAnsi="宋体"/>
          <w:szCs w:val="21"/>
          <w:u w:val="single"/>
          <w:lang w:val="zh-CN"/>
        </w:rPr>
        <w:t>　</w:t>
      </w:r>
    </w:p>
    <w:p>
      <w:pPr>
        <w:tabs>
          <w:tab w:val="left" w:pos="840"/>
        </w:tabs>
        <w:autoSpaceDE w:val="0"/>
        <w:autoSpaceDN w:val="0"/>
        <w:adjustRightInd w:val="0"/>
        <w:spacing w:line="312" w:lineRule="auto"/>
        <w:ind w:left="840" w:hanging="360"/>
        <w:rPr>
          <w:szCs w:val="21"/>
        </w:rPr>
      </w:pPr>
      <w:r>
        <w:rPr>
          <w:rFonts w:hAnsi="宋体"/>
          <w:szCs w:val="21"/>
          <w:lang w:val="zh-CN"/>
        </w:rPr>
        <w:t>主管部门：</w:t>
      </w:r>
      <w:r>
        <w:rPr>
          <w:szCs w:val="21"/>
          <w:u w:val="single"/>
          <w:lang w:val="zh-CN"/>
        </w:rPr>
        <w:t xml:space="preserve">                   </w:t>
      </w:r>
      <w:r>
        <w:rPr>
          <w:rFonts w:hAnsi="宋体"/>
          <w:szCs w:val="21"/>
          <w:u w:val="single"/>
          <w:lang w:val="zh-CN"/>
        </w:rPr>
        <w:t>　</w:t>
      </w:r>
    </w:p>
    <w:p>
      <w:pPr>
        <w:tabs>
          <w:tab w:val="left" w:pos="840"/>
        </w:tabs>
        <w:autoSpaceDE w:val="0"/>
        <w:autoSpaceDN w:val="0"/>
        <w:adjustRightInd w:val="0"/>
        <w:spacing w:line="312" w:lineRule="auto"/>
        <w:ind w:left="840" w:hanging="360"/>
        <w:rPr>
          <w:szCs w:val="21"/>
        </w:rPr>
      </w:pPr>
      <w:r>
        <w:rPr>
          <w:rFonts w:hAnsi="宋体"/>
          <w:szCs w:val="21"/>
          <w:lang w:val="zh-CN"/>
        </w:rPr>
        <w:t>公司性质：</w:t>
      </w:r>
      <w:r>
        <w:rPr>
          <w:szCs w:val="21"/>
          <w:u w:val="single"/>
          <w:lang w:val="zh-CN"/>
        </w:rPr>
        <w:t xml:space="preserve">                  </w:t>
      </w:r>
      <w:r>
        <w:rPr>
          <w:rFonts w:hAnsi="宋体"/>
          <w:szCs w:val="21"/>
          <w:u w:val="single"/>
          <w:lang w:val="zh-CN"/>
        </w:rPr>
        <w:t>　</w:t>
      </w:r>
      <w:r>
        <w:rPr>
          <w:szCs w:val="21"/>
          <w:u w:val="single"/>
          <w:lang w:val="zh-CN"/>
        </w:rPr>
        <w:t xml:space="preserve"> </w:t>
      </w:r>
    </w:p>
    <w:p>
      <w:pPr>
        <w:tabs>
          <w:tab w:val="left" w:pos="840"/>
        </w:tabs>
        <w:autoSpaceDE w:val="0"/>
        <w:autoSpaceDN w:val="0"/>
        <w:adjustRightInd w:val="0"/>
        <w:spacing w:line="312" w:lineRule="auto"/>
        <w:ind w:left="840" w:hanging="360"/>
        <w:rPr>
          <w:szCs w:val="21"/>
        </w:rPr>
      </w:pPr>
      <w:r>
        <w:rPr>
          <w:rFonts w:hAnsi="宋体"/>
          <w:szCs w:val="21"/>
          <w:lang w:val="zh-CN"/>
        </w:rPr>
        <w:t>主要负责人：</w:t>
      </w:r>
      <w:r>
        <w:rPr>
          <w:szCs w:val="21"/>
          <w:u w:val="single"/>
          <w:lang w:val="zh-CN"/>
        </w:rPr>
        <w:t xml:space="preserve">             </w:t>
      </w:r>
      <w:r>
        <w:rPr>
          <w:rFonts w:hAnsi="宋体"/>
          <w:szCs w:val="21"/>
          <w:u w:val="single"/>
          <w:lang w:val="zh-CN"/>
        </w:rPr>
        <w:t>　　　</w:t>
      </w:r>
    </w:p>
    <w:p>
      <w:pPr>
        <w:tabs>
          <w:tab w:val="left" w:pos="840"/>
        </w:tabs>
        <w:autoSpaceDE w:val="0"/>
        <w:autoSpaceDN w:val="0"/>
        <w:adjustRightInd w:val="0"/>
        <w:spacing w:line="312" w:lineRule="auto"/>
        <w:ind w:left="840" w:hanging="360"/>
        <w:rPr>
          <w:szCs w:val="21"/>
          <w:lang w:val="zh-CN"/>
        </w:rPr>
      </w:pPr>
      <w:r>
        <w:rPr>
          <w:rFonts w:hAnsi="宋体"/>
          <w:szCs w:val="21"/>
          <w:lang w:val="zh-CN"/>
        </w:rPr>
        <w:t>职工人数：</w:t>
      </w:r>
      <w:r>
        <w:rPr>
          <w:szCs w:val="21"/>
          <w:u w:val="single"/>
          <w:lang w:val="zh-CN"/>
        </w:rPr>
        <w:t xml:space="preserve">              </w:t>
      </w:r>
      <w:r>
        <w:rPr>
          <w:szCs w:val="21"/>
          <w:lang w:val="zh-CN"/>
        </w:rPr>
        <w:t>(</w:t>
      </w:r>
      <w:r>
        <w:rPr>
          <w:rFonts w:hAnsi="宋体"/>
          <w:szCs w:val="21"/>
          <w:lang w:val="zh-CN"/>
        </w:rPr>
        <w:t>其中</w:t>
      </w:r>
      <w:r>
        <w:rPr>
          <w:szCs w:val="21"/>
          <w:lang w:val="zh-CN"/>
        </w:rPr>
        <w:t>:</w:t>
      </w:r>
      <w:r>
        <w:rPr>
          <w:rFonts w:hAnsi="宋体"/>
          <w:szCs w:val="21"/>
          <w:lang w:val="zh-CN"/>
        </w:rPr>
        <w:t>技术人员</w:t>
      </w:r>
      <w:r>
        <w:rPr>
          <w:szCs w:val="21"/>
          <w:u w:val="single"/>
          <w:lang w:val="zh-CN"/>
        </w:rPr>
        <w:t xml:space="preserve">          </w:t>
      </w:r>
      <w:r>
        <w:rPr>
          <w:szCs w:val="21"/>
          <w:lang w:val="zh-CN"/>
        </w:rPr>
        <w:t>)</w:t>
      </w:r>
    </w:p>
    <w:p>
      <w:pPr>
        <w:tabs>
          <w:tab w:val="left" w:pos="840"/>
        </w:tabs>
        <w:autoSpaceDE w:val="0"/>
        <w:autoSpaceDN w:val="0"/>
        <w:adjustRightInd w:val="0"/>
        <w:spacing w:line="312" w:lineRule="auto"/>
        <w:ind w:left="840" w:hanging="360"/>
        <w:rPr>
          <w:szCs w:val="21"/>
        </w:rPr>
      </w:pPr>
      <w:r>
        <w:rPr>
          <w:rFonts w:hAnsi="宋体"/>
          <w:szCs w:val="21"/>
          <w:lang w:val="zh-CN"/>
        </w:rPr>
        <w:t>最近公司</w:t>
      </w:r>
      <w:r>
        <w:rPr>
          <w:szCs w:val="21"/>
          <w:lang w:val="zh-CN"/>
        </w:rPr>
        <w:t>(</w:t>
      </w:r>
      <w:r>
        <w:rPr>
          <w:rFonts w:hAnsi="宋体"/>
          <w:szCs w:val="21"/>
          <w:lang w:val="zh-CN"/>
        </w:rPr>
        <w:t>企业</w:t>
      </w:r>
      <w:r>
        <w:rPr>
          <w:szCs w:val="21"/>
          <w:lang w:val="zh-CN"/>
        </w:rPr>
        <w:t>)</w:t>
      </w:r>
      <w:r>
        <w:rPr>
          <w:rFonts w:hAnsi="宋体"/>
          <w:szCs w:val="21"/>
          <w:lang w:val="zh-CN"/>
        </w:rPr>
        <w:t>的主要财务情况（到</w:t>
      </w:r>
      <w:r>
        <w:rPr>
          <w:b/>
          <w:bCs/>
          <w:szCs w:val="21"/>
          <w:lang w:val="zh-CN"/>
        </w:rPr>
        <w:t>201</w:t>
      </w:r>
      <w:r>
        <w:rPr>
          <w:b/>
          <w:bCs/>
          <w:szCs w:val="21"/>
        </w:rPr>
        <w:t>9</w:t>
      </w:r>
      <w:r>
        <w:rPr>
          <w:rFonts w:hAnsi="宋体"/>
          <w:b/>
          <w:bCs/>
          <w:szCs w:val="21"/>
          <w:lang w:val="zh-CN"/>
        </w:rPr>
        <w:t>年</w:t>
      </w:r>
      <w:r>
        <w:rPr>
          <w:b/>
          <w:bCs/>
          <w:szCs w:val="21"/>
          <w:lang w:val="zh-CN"/>
        </w:rPr>
        <w:t>12</w:t>
      </w:r>
      <w:r>
        <w:rPr>
          <w:rFonts w:hAnsi="宋体"/>
          <w:b/>
          <w:bCs/>
          <w:szCs w:val="21"/>
          <w:lang w:val="zh-CN"/>
        </w:rPr>
        <w:t>月</w:t>
      </w:r>
      <w:r>
        <w:rPr>
          <w:b/>
          <w:bCs/>
          <w:szCs w:val="21"/>
          <w:lang w:val="zh-CN"/>
        </w:rPr>
        <w:t>31</w:t>
      </w:r>
      <w:r>
        <w:rPr>
          <w:rFonts w:hAnsi="宋体"/>
          <w:b/>
          <w:bCs/>
          <w:szCs w:val="21"/>
          <w:lang w:val="zh-CN"/>
        </w:rPr>
        <w:t>日</w:t>
      </w:r>
      <w:r>
        <w:rPr>
          <w:rFonts w:hAnsi="宋体"/>
          <w:szCs w:val="21"/>
          <w:lang w:val="zh-CN"/>
        </w:rPr>
        <w:t>止）</w:t>
      </w:r>
    </w:p>
    <w:p>
      <w:pPr>
        <w:tabs>
          <w:tab w:val="left" w:pos="840"/>
        </w:tabs>
        <w:autoSpaceDE w:val="0"/>
        <w:autoSpaceDN w:val="0"/>
        <w:adjustRightInd w:val="0"/>
        <w:spacing w:line="312" w:lineRule="auto"/>
        <w:ind w:left="840" w:hanging="360"/>
        <w:rPr>
          <w:szCs w:val="21"/>
        </w:rPr>
      </w:pPr>
      <w:r>
        <w:rPr>
          <w:rFonts w:hAnsi="宋体"/>
          <w:szCs w:val="21"/>
          <w:lang w:val="zh-CN"/>
        </w:rPr>
        <w:t>注册资金：</w:t>
      </w:r>
      <w:r>
        <w:rPr>
          <w:szCs w:val="21"/>
          <w:u w:val="single"/>
          <w:lang w:val="zh-CN"/>
        </w:rPr>
        <w:t xml:space="preserve">             </w:t>
      </w:r>
    </w:p>
    <w:p>
      <w:pPr>
        <w:tabs>
          <w:tab w:val="left" w:pos="840"/>
        </w:tabs>
        <w:autoSpaceDE w:val="0"/>
        <w:autoSpaceDN w:val="0"/>
        <w:adjustRightInd w:val="0"/>
        <w:spacing w:line="312" w:lineRule="auto"/>
        <w:ind w:left="840" w:hanging="360"/>
        <w:rPr>
          <w:szCs w:val="21"/>
          <w:lang w:val="zh-CN"/>
        </w:rPr>
      </w:pPr>
      <w:r>
        <w:rPr>
          <w:rFonts w:hAnsi="宋体"/>
          <w:szCs w:val="21"/>
          <w:lang w:val="zh-CN"/>
        </w:rPr>
        <w:t>固定资产：</w:t>
      </w:r>
      <w:r>
        <w:rPr>
          <w:szCs w:val="21"/>
          <w:u w:val="single"/>
          <w:lang w:val="zh-CN"/>
        </w:rPr>
        <w:t xml:space="preserve">             </w:t>
      </w:r>
      <w:r>
        <w:rPr>
          <w:szCs w:val="21"/>
          <w:lang w:val="zh-CN"/>
        </w:rPr>
        <w:t xml:space="preserve">    </w:t>
      </w:r>
    </w:p>
    <w:p>
      <w:pPr>
        <w:autoSpaceDE w:val="0"/>
        <w:autoSpaceDN w:val="0"/>
        <w:adjustRightInd w:val="0"/>
        <w:spacing w:line="312" w:lineRule="auto"/>
        <w:ind w:left="480"/>
        <w:rPr>
          <w:szCs w:val="21"/>
          <w:u w:val="single"/>
          <w:lang w:val="zh-CN"/>
        </w:rPr>
      </w:pPr>
      <w:r>
        <w:rPr>
          <w:szCs w:val="21"/>
          <w:lang w:val="zh-CN"/>
        </w:rPr>
        <w:t xml:space="preserve">   </w:t>
      </w:r>
      <w:r>
        <w:rPr>
          <w:rFonts w:hAnsi="宋体"/>
          <w:szCs w:val="21"/>
          <w:lang w:val="zh-CN"/>
        </w:rPr>
        <w:t>原值：</w:t>
      </w:r>
      <w:r>
        <w:rPr>
          <w:szCs w:val="21"/>
          <w:u w:val="single"/>
          <w:lang w:val="zh-CN"/>
        </w:rPr>
        <w:t xml:space="preserve">                 </w:t>
      </w:r>
    </w:p>
    <w:p>
      <w:pPr>
        <w:autoSpaceDE w:val="0"/>
        <w:autoSpaceDN w:val="0"/>
        <w:adjustRightInd w:val="0"/>
        <w:spacing w:line="312" w:lineRule="auto"/>
        <w:ind w:left="480"/>
        <w:rPr>
          <w:szCs w:val="21"/>
        </w:rPr>
      </w:pPr>
      <w:r>
        <w:rPr>
          <w:szCs w:val="21"/>
          <w:lang w:val="zh-CN"/>
        </w:rPr>
        <w:t xml:space="preserve">   </w:t>
      </w:r>
      <w:r>
        <w:rPr>
          <w:rFonts w:hAnsi="宋体"/>
          <w:szCs w:val="21"/>
          <w:lang w:val="zh-CN"/>
        </w:rPr>
        <w:t>净值：</w:t>
      </w:r>
      <w:r>
        <w:rPr>
          <w:szCs w:val="21"/>
          <w:u w:val="single"/>
          <w:lang w:val="zh-CN"/>
        </w:rPr>
        <w:t xml:space="preserve">                 </w:t>
      </w:r>
    </w:p>
    <w:p>
      <w:pPr>
        <w:tabs>
          <w:tab w:val="left" w:pos="840"/>
        </w:tabs>
        <w:autoSpaceDE w:val="0"/>
        <w:autoSpaceDN w:val="0"/>
        <w:adjustRightInd w:val="0"/>
        <w:spacing w:line="312" w:lineRule="auto"/>
        <w:ind w:left="840" w:hanging="360"/>
        <w:rPr>
          <w:szCs w:val="21"/>
        </w:rPr>
      </w:pPr>
      <w:r>
        <w:rPr>
          <w:rFonts w:hAnsi="宋体"/>
          <w:szCs w:val="21"/>
          <w:lang w:val="zh-CN"/>
        </w:rPr>
        <w:t>流动资产：</w:t>
      </w:r>
      <w:r>
        <w:rPr>
          <w:szCs w:val="21"/>
          <w:u w:val="single"/>
          <w:lang w:val="zh-CN"/>
        </w:rPr>
        <w:t xml:space="preserve">             </w:t>
      </w:r>
    </w:p>
    <w:p>
      <w:pPr>
        <w:tabs>
          <w:tab w:val="left" w:pos="840"/>
        </w:tabs>
        <w:autoSpaceDE w:val="0"/>
        <w:autoSpaceDN w:val="0"/>
        <w:adjustRightInd w:val="0"/>
        <w:spacing w:line="312" w:lineRule="auto"/>
        <w:ind w:left="840" w:hanging="360"/>
        <w:rPr>
          <w:szCs w:val="21"/>
        </w:rPr>
      </w:pPr>
      <w:r>
        <w:rPr>
          <w:rFonts w:hAnsi="宋体"/>
          <w:szCs w:val="21"/>
          <w:lang w:val="zh-CN"/>
        </w:rPr>
        <w:t>长期负债：</w:t>
      </w:r>
      <w:r>
        <w:rPr>
          <w:szCs w:val="21"/>
          <w:u w:val="single"/>
          <w:lang w:val="zh-CN"/>
        </w:rPr>
        <w:t xml:space="preserve">             </w:t>
      </w:r>
    </w:p>
    <w:p>
      <w:pPr>
        <w:tabs>
          <w:tab w:val="left" w:pos="840"/>
        </w:tabs>
        <w:autoSpaceDE w:val="0"/>
        <w:autoSpaceDN w:val="0"/>
        <w:adjustRightInd w:val="0"/>
        <w:spacing w:line="312" w:lineRule="auto"/>
        <w:ind w:left="840" w:hanging="360"/>
        <w:rPr>
          <w:szCs w:val="21"/>
        </w:rPr>
      </w:pPr>
      <w:r>
        <w:rPr>
          <w:rFonts w:hAnsi="宋体"/>
          <w:szCs w:val="21"/>
          <w:lang w:val="zh-CN"/>
        </w:rPr>
        <w:t>短期负债：</w:t>
      </w:r>
      <w:r>
        <w:rPr>
          <w:szCs w:val="21"/>
          <w:u w:val="single"/>
          <w:lang w:val="zh-CN"/>
        </w:rPr>
        <w:t xml:space="preserve">             </w:t>
      </w:r>
    </w:p>
    <w:p>
      <w:pPr>
        <w:tabs>
          <w:tab w:val="left" w:pos="840"/>
        </w:tabs>
        <w:autoSpaceDE w:val="0"/>
        <w:autoSpaceDN w:val="0"/>
        <w:adjustRightInd w:val="0"/>
        <w:spacing w:line="312" w:lineRule="auto"/>
        <w:ind w:left="840" w:hanging="360"/>
        <w:rPr>
          <w:szCs w:val="21"/>
        </w:rPr>
      </w:pPr>
      <w:r>
        <w:rPr>
          <w:rFonts w:hAnsi="宋体"/>
          <w:szCs w:val="21"/>
          <w:lang w:val="zh-CN"/>
        </w:rPr>
        <w:t>营业收入</w:t>
      </w:r>
      <w:r>
        <w:rPr>
          <w:szCs w:val="21"/>
          <w:lang w:val="zh-CN"/>
        </w:rPr>
        <w:t>/</w:t>
      </w:r>
      <w:r>
        <w:rPr>
          <w:rFonts w:hAnsi="宋体"/>
          <w:szCs w:val="21"/>
          <w:lang w:val="zh-CN"/>
        </w:rPr>
        <w:t>主营业务收入：</w:t>
      </w:r>
      <w:r>
        <w:rPr>
          <w:szCs w:val="21"/>
          <w:u w:val="single"/>
          <w:lang w:val="zh-CN"/>
        </w:rPr>
        <w:t xml:space="preserve">                   </w:t>
      </w:r>
    </w:p>
    <w:p>
      <w:pPr>
        <w:tabs>
          <w:tab w:val="left" w:pos="840"/>
        </w:tabs>
        <w:autoSpaceDE w:val="0"/>
        <w:autoSpaceDN w:val="0"/>
        <w:adjustRightInd w:val="0"/>
        <w:spacing w:line="312" w:lineRule="auto"/>
        <w:ind w:left="840" w:hanging="360"/>
        <w:rPr>
          <w:szCs w:val="21"/>
        </w:rPr>
      </w:pPr>
      <w:r>
        <w:rPr>
          <w:rFonts w:hAnsi="宋体"/>
          <w:szCs w:val="21"/>
          <w:lang w:val="zh-CN"/>
        </w:rPr>
        <w:t>利润：</w:t>
      </w:r>
      <w:r>
        <w:rPr>
          <w:szCs w:val="21"/>
          <w:u w:val="single"/>
          <w:lang w:val="zh-CN"/>
        </w:rPr>
        <w:t xml:space="preserve">                         </w:t>
      </w:r>
    </w:p>
    <w:p>
      <w:pPr>
        <w:autoSpaceDE w:val="0"/>
        <w:autoSpaceDN w:val="0"/>
        <w:adjustRightInd w:val="0"/>
        <w:spacing w:line="312" w:lineRule="auto"/>
        <w:rPr>
          <w:szCs w:val="21"/>
        </w:rPr>
      </w:pPr>
      <w:r>
        <w:rPr>
          <w:szCs w:val="21"/>
          <w:lang w:val="zh-CN"/>
        </w:rPr>
        <w:t xml:space="preserve">  2</w:t>
      </w:r>
      <w:r>
        <w:rPr>
          <w:szCs w:val="21"/>
        </w:rPr>
        <w:t>.</w:t>
      </w:r>
      <w:r>
        <w:rPr>
          <w:rFonts w:hAnsi="宋体"/>
          <w:szCs w:val="21"/>
          <w:lang w:val="zh-CN"/>
        </w:rPr>
        <w:t>最近二年的年度总营业额：</w:t>
      </w:r>
    </w:p>
    <w:p>
      <w:pPr>
        <w:autoSpaceDE w:val="0"/>
        <w:autoSpaceDN w:val="0"/>
        <w:adjustRightInd w:val="0"/>
        <w:spacing w:line="312" w:lineRule="auto"/>
        <w:rPr>
          <w:szCs w:val="21"/>
          <w:u w:val="single"/>
        </w:rPr>
      </w:pPr>
      <w:r>
        <w:rPr>
          <w:szCs w:val="21"/>
          <w:lang w:val="zh-CN"/>
        </w:rPr>
        <w:t xml:space="preserve">    </w:t>
      </w:r>
      <w:r>
        <w:rPr>
          <w:rFonts w:hAnsi="宋体"/>
          <w:szCs w:val="21"/>
          <w:lang w:val="zh-CN"/>
        </w:rPr>
        <w:t>年</w:t>
      </w:r>
      <w:r>
        <w:rPr>
          <w:szCs w:val="21"/>
          <w:lang w:val="zh-CN"/>
        </w:rPr>
        <w:t xml:space="preserve">   </w:t>
      </w:r>
      <w:r>
        <w:rPr>
          <w:rFonts w:hAnsi="宋体"/>
          <w:szCs w:val="21"/>
          <w:lang w:val="zh-CN"/>
        </w:rPr>
        <w:t>份</w:t>
      </w:r>
      <w:r>
        <w:rPr>
          <w:szCs w:val="21"/>
          <w:lang w:val="zh-CN"/>
        </w:rPr>
        <w:t xml:space="preserve">    </w:t>
      </w:r>
      <w:r>
        <w:rPr>
          <w:rFonts w:hAnsi="宋体"/>
          <w:szCs w:val="21"/>
          <w:lang w:val="zh-CN"/>
        </w:rPr>
        <w:t>总</w:t>
      </w:r>
      <w:r>
        <w:rPr>
          <w:szCs w:val="21"/>
          <w:lang w:val="zh-CN"/>
        </w:rPr>
        <w:t xml:space="preserve">  </w:t>
      </w:r>
      <w:r>
        <w:rPr>
          <w:rFonts w:hAnsi="宋体"/>
          <w:szCs w:val="21"/>
          <w:lang w:val="zh-CN"/>
        </w:rPr>
        <w:t>额</w:t>
      </w:r>
    </w:p>
    <w:p>
      <w:pPr>
        <w:autoSpaceDE w:val="0"/>
        <w:autoSpaceDN w:val="0"/>
        <w:adjustRightInd w:val="0"/>
        <w:spacing w:line="312" w:lineRule="auto"/>
        <w:ind w:firstLine="480"/>
        <w:rPr>
          <w:szCs w:val="21"/>
          <w:u w:val="single"/>
          <w:lang w:val="zh-CN"/>
        </w:rPr>
      </w:pPr>
      <w:r>
        <w:rPr>
          <w:szCs w:val="21"/>
          <w:u w:val="single"/>
          <w:lang w:val="zh-CN"/>
        </w:rPr>
        <w:t>201</w:t>
      </w:r>
      <w:r>
        <w:rPr>
          <w:szCs w:val="21"/>
          <w:u w:val="single"/>
        </w:rPr>
        <w:t>8</w:t>
      </w:r>
      <w:r>
        <w:rPr>
          <w:rFonts w:hAnsi="宋体"/>
          <w:szCs w:val="21"/>
          <w:u w:val="single"/>
          <w:lang w:val="zh-CN"/>
        </w:rPr>
        <w:t>年</w:t>
      </w:r>
      <w:r>
        <w:rPr>
          <w:szCs w:val="21"/>
          <w:lang w:val="zh-CN"/>
        </w:rPr>
        <w:t xml:space="preserve">    </w:t>
      </w:r>
      <w:r>
        <w:rPr>
          <w:szCs w:val="21"/>
          <w:u w:val="single"/>
          <w:lang w:val="zh-CN"/>
        </w:rPr>
        <w:t xml:space="preserve">       </w:t>
      </w:r>
    </w:p>
    <w:p>
      <w:pPr>
        <w:autoSpaceDE w:val="0"/>
        <w:autoSpaceDN w:val="0"/>
        <w:adjustRightInd w:val="0"/>
        <w:spacing w:line="312" w:lineRule="auto"/>
        <w:ind w:firstLine="480"/>
        <w:rPr>
          <w:szCs w:val="21"/>
          <w:u w:val="single"/>
          <w:lang w:val="zh-CN"/>
        </w:rPr>
      </w:pPr>
      <w:r>
        <w:rPr>
          <w:szCs w:val="21"/>
          <w:u w:val="single"/>
          <w:lang w:val="zh-CN"/>
        </w:rPr>
        <w:t>201</w:t>
      </w:r>
      <w:r>
        <w:rPr>
          <w:szCs w:val="21"/>
          <w:u w:val="single"/>
        </w:rPr>
        <w:t>9</w:t>
      </w:r>
      <w:r>
        <w:rPr>
          <w:rFonts w:hAnsi="宋体"/>
          <w:szCs w:val="21"/>
          <w:u w:val="single"/>
          <w:lang w:val="zh-CN"/>
        </w:rPr>
        <w:t>年</w:t>
      </w:r>
      <w:r>
        <w:rPr>
          <w:szCs w:val="21"/>
          <w:lang w:val="zh-CN"/>
        </w:rPr>
        <w:t xml:space="preserve">    </w:t>
      </w:r>
      <w:r>
        <w:rPr>
          <w:szCs w:val="21"/>
          <w:u w:val="single"/>
          <w:lang w:val="zh-CN"/>
        </w:rPr>
        <w:t xml:space="preserve">       </w:t>
      </w:r>
    </w:p>
    <w:p>
      <w:pPr>
        <w:autoSpaceDE w:val="0"/>
        <w:autoSpaceDN w:val="0"/>
        <w:adjustRightInd w:val="0"/>
        <w:spacing w:line="312" w:lineRule="auto"/>
        <w:ind w:firstLine="240"/>
        <w:rPr>
          <w:szCs w:val="21"/>
        </w:rPr>
      </w:pPr>
      <w:r>
        <w:rPr>
          <w:szCs w:val="21"/>
          <w:lang w:val="zh-CN"/>
        </w:rPr>
        <w:t>3</w:t>
      </w:r>
      <w:r>
        <w:rPr>
          <w:szCs w:val="21"/>
        </w:rPr>
        <w:t>.</w:t>
      </w:r>
      <w:r>
        <w:rPr>
          <w:rFonts w:hAnsi="宋体"/>
          <w:szCs w:val="21"/>
          <w:lang w:val="zh-CN"/>
        </w:rPr>
        <w:t>最近二年与其他客户签订的较大项目合同：</w:t>
      </w:r>
    </w:p>
    <w:p>
      <w:pPr>
        <w:autoSpaceDE w:val="0"/>
        <w:autoSpaceDN w:val="0"/>
        <w:adjustRightInd w:val="0"/>
        <w:spacing w:line="312" w:lineRule="auto"/>
        <w:rPr>
          <w:szCs w:val="21"/>
          <w:u w:val="single"/>
        </w:rPr>
      </w:pPr>
      <w:r>
        <w:rPr>
          <w:rFonts w:hAnsi="宋体"/>
          <w:szCs w:val="21"/>
          <w:lang w:val="zh-CN"/>
        </w:rPr>
        <w:t>项目名称</w:t>
      </w:r>
      <w:r>
        <w:rPr>
          <w:szCs w:val="21"/>
          <w:lang w:val="zh-CN"/>
        </w:rPr>
        <w:t xml:space="preserve">      </w:t>
      </w:r>
      <w:r>
        <w:rPr>
          <w:rFonts w:hAnsi="宋体"/>
          <w:szCs w:val="21"/>
          <w:lang w:val="zh-CN"/>
        </w:rPr>
        <w:t>地</w:t>
      </w:r>
      <w:r>
        <w:rPr>
          <w:szCs w:val="21"/>
          <w:lang w:val="zh-CN"/>
        </w:rPr>
        <w:t xml:space="preserve">   </w:t>
      </w:r>
      <w:r>
        <w:rPr>
          <w:rFonts w:hAnsi="宋体"/>
          <w:szCs w:val="21"/>
          <w:lang w:val="zh-CN"/>
        </w:rPr>
        <w:t>址</w:t>
      </w:r>
      <w:r>
        <w:rPr>
          <w:szCs w:val="21"/>
          <w:lang w:val="zh-CN"/>
        </w:rPr>
        <w:t xml:space="preserve">    </w:t>
      </w:r>
      <w:r>
        <w:rPr>
          <w:rFonts w:hAnsi="宋体"/>
          <w:szCs w:val="21"/>
          <w:lang w:val="zh-CN"/>
        </w:rPr>
        <w:t>　时</w:t>
      </w:r>
      <w:r>
        <w:rPr>
          <w:szCs w:val="21"/>
          <w:lang w:val="zh-CN"/>
        </w:rPr>
        <w:t xml:space="preserve">  </w:t>
      </w:r>
      <w:r>
        <w:rPr>
          <w:rFonts w:hAnsi="宋体"/>
          <w:szCs w:val="21"/>
          <w:lang w:val="zh-CN"/>
        </w:rPr>
        <w:t>间</w:t>
      </w:r>
      <w:r>
        <w:rPr>
          <w:szCs w:val="21"/>
          <w:lang w:val="zh-CN"/>
        </w:rPr>
        <w:t xml:space="preserve">  </w:t>
      </w:r>
      <w:r>
        <w:rPr>
          <w:rFonts w:hAnsi="宋体"/>
          <w:szCs w:val="21"/>
          <w:lang w:val="zh-CN"/>
        </w:rPr>
        <w:t>　金额</w:t>
      </w:r>
      <w:r>
        <w:rPr>
          <w:szCs w:val="21"/>
          <w:lang w:val="zh-CN"/>
        </w:rPr>
        <w:t>(</w:t>
      </w:r>
      <w:r>
        <w:rPr>
          <w:rFonts w:hAnsi="宋体"/>
          <w:szCs w:val="21"/>
          <w:lang w:val="zh-CN"/>
        </w:rPr>
        <w:t>人民币元</w:t>
      </w:r>
      <w:r>
        <w:rPr>
          <w:szCs w:val="21"/>
          <w:lang w:val="zh-CN"/>
        </w:rPr>
        <w:t>)</w:t>
      </w:r>
      <w:r>
        <w:rPr>
          <w:szCs w:val="21"/>
        </w:rPr>
        <w:br w:type="textWrapping"/>
      </w:r>
      <w:r>
        <w:rPr>
          <w:szCs w:val="21"/>
          <w:u w:val="single"/>
          <w:lang w:val="zh-CN"/>
        </w:rPr>
        <w:t xml:space="preserve">          </w:t>
      </w:r>
      <w:r>
        <w:rPr>
          <w:szCs w:val="21"/>
          <w:lang w:val="zh-CN"/>
        </w:rPr>
        <w:t xml:space="preserve">   </w:t>
      </w:r>
      <w:r>
        <w:rPr>
          <w:szCs w:val="21"/>
          <w:u w:val="single"/>
          <w:lang w:val="zh-CN"/>
        </w:rPr>
        <w:t xml:space="preserve">          </w:t>
      </w:r>
      <w:r>
        <w:rPr>
          <w:szCs w:val="21"/>
          <w:lang w:val="zh-CN"/>
        </w:rPr>
        <w:t xml:space="preserve">  </w:t>
      </w:r>
      <w:r>
        <w:rPr>
          <w:rFonts w:hAnsi="宋体"/>
          <w:szCs w:val="21"/>
          <w:lang w:val="zh-CN"/>
        </w:rPr>
        <w:t>　</w:t>
      </w:r>
      <w:r>
        <w:rPr>
          <w:szCs w:val="21"/>
          <w:lang w:val="zh-CN"/>
        </w:rPr>
        <w:t xml:space="preserve"> </w:t>
      </w:r>
      <w:r>
        <w:rPr>
          <w:szCs w:val="21"/>
          <w:u w:val="single"/>
          <w:lang w:val="zh-CN"/>
        </w:rPr>
        <w:t xml:space="preserve">       </w:t>
      </w:r>
      <w:r>
        <w:rPr>
          <w:szCs w:val="21"/>
          <w:lang w:val="zh-CN"/>
        </w:rPr>
        <w:t xml:space="preserve">  </w:t>
      </w:r>
      <w:r>
        <w:rPr>
          <w:rFonts w:hAnsi="宋体"/>
          <w:szCs w:val="21"/>
          <w:lang w:val="zh-CN"/>
        </w:rPr>
        <w:t>　</w:t>
      </w:r>
      <w:r>
        <w:rPr>
          <w:szCs w:val="21"/>
          <w:u w:val="single"/>
          <w:lang w:val="zh-CN"/>
        </w:rPr>
        <w:t xml:space="preserve">             </w:t>
      </w:r>
      <w:r>
        <w:rPr>
          <w:rFonts w:hAnsi="宋体"/>
          <w:szCs w:val="21"/>
          <w:u w:val="single"/>
          <w:lang w:val="zh-CN"/>
        </w:rPr>
        <w:t>　</w:t>
      </w:r>
    </w:p>
    <w:p>
      <w:pPr>
        <w:autoSpaceDE w:val="0"/>
        <w:autoSpaceDN w:val="0"/>
        <w:adjustRightInd w:val="0"/>
        <w:spacing w:line="312" w:lineRule="auto"/>
        <w:ind w:firstLine="240"/>
        <w:rPr>
          <w:szCs w:val="21"/>
          <w:u w:val="single"/>
          <w:lang w:val="zh-CN"/>
        </w:rPr>
      </w:pPr>
      <w:r>
        <w:rPr>
          <w:szCs w:val="21"/>
          <w:lang w:val="zh-CN"/>
        </w:rPr>
        <w:t>4</w:t>
      </w:r>
      <w:r>
        <w:rPr>
          <w:szCs w:val="21"/>
        </w:rPr>
        <w:t>.</w:t>
      </w:r>
      <w:r>
        <w:rPr>
          <w:rFonts w:hAnsi="宋体"/>
          <w:szCs w:val="21"/>
          <w:lang w:val="zh-CN"/>
        </w:rPr>
        <w:t>供应商最近二年法律纠纷情况</w:t>
      </w:r>
      <w:r>
        <w:rPr>
          <w:szCs w:val="21"/>
        </w:rPr>
        <w:br w:type="textWrapping"/>
      </w:r>
      <w:r>
        <w:rPr>
          <w:rFonts w:hAnsi="宋体"/>
          <w:szCs w:val="21"/>
          <w:lang w:val="zh-CN"/>
        </w:rPr>
        <w:t>时间</w:t>
      </w:r>
      <w:r>
        <w:rPr>
          <w:szCs w:val="21"/>
          <w:lang w:val="zh-CN"/>
        </w:rPr>
        <w:t xml:space="preserve">     </w:t>
      </w:r>
      <w:r>
        <w:rPr>
          <w:rFonts w:hAnsi="宋体"/>
          <w:szCs w:val="21"/>
          <w:lang w:val="zh-CN"/>
        </w:rPr>
        <w:t>案由</w:t>
      </w:r>
      <w:r>
        <w:rPr>
          <w:szCs w:val="21"/>
          <w:lang w:val="zh-CN"/>
        </w:rPr>
        <w:t xml:space="preserve">    </w:t>
      </w:r>
      <w:r>
        <w:rPr>
          <w:rFonts w:hAnsi="宋体"/>
          <w:szCs w:val="21"/>
          <w:lang w:val="zh-CN"/>
        </w:rPr>
        <w:t>涉及金额</w:t>
      </w:r>
      <w:r>
        <w:rPr>
          <w:szCs w:val="21"/>
          <w:lang w:val="zh-CN"/>
        </w:rPr>
        <w:t xml:space="preserve">     </w:t>
      </w:r>
      <w:r>
        <w:rPr>
          <w:rFonts w:hAnsi="宋体"/>
          <w:szCs w:val="21"/>
          <w:lang w:val="zh-CN"/>
        </w:rPr>
        <w:t>目前办理情况</w:t>
      </w:r>
      <w:r>
        <w:rPr>
          <w:szCs w:val="21"/>
        </w:rPr>
        <w:br w:type="textWrapping"/>
      </w:r>
      <w:r>
        <w:rPr>
          <w:szCs w:val="21"/>
          <w:u w:val="single"/>
          <w:lang w:val="zh-CN"/>
        </w:rPr>
        <w:t xml:space="preserve">     </w:t>
      </w:r>
      <w:r>
        <w:rPr>
          <w:szCs w:val="21"/>
          <w:lang w:val="zh-CN"/>
        </w:rPr>
        <w:t xml:space="preserve">   </w:t>
      </w:r>
      <w:r>
        <w:rPr>
          <w:szCs w:val="21"/>
          <w:u w:val="single"/>
          <w:lang w:val="zh-CN"/>
        </w:rPr>
        <w:t xml:space="preserve">       </w:t>
      </w:r>
      <w:r>
        <w:rPr>
          <w:szCs w:val="21"/>
          <w:lang w:val="zh-CN"/>
        </w:rPr>
        <w:t xml:space="preserve">   </w:t>
      </w:r>
      <w:r>
        <w:rPr>
          <w:szCs w:val="21"/>
          <w:u w:val="single"/>
          <w:lang w:val="zh-CN"/>
        </w:rPr>
        <w:t xml:space="preserve">        </w:t>
      </w:r>
      <w:r>
        <w:rPr>
          <w:szCs w:val="21"/>
          <w:lang w:val="zh-CN"/>
        </w:rPr>
        <w:t xml:space="preserve">   </w:t>
      </w:r>
      <w:r>
        <w:rPr>
          <w:szCs w:val="21"/>
          <w:u w:val="single"/>
          <w:lang w:val="zh-CN"/>
        </w:rPr>
        <w:t xml:space="preserve">                </w:t>
      </w:r>
    </w:p>
    <w:p>
      <w:pPr>
        <w:autoSpaceDE w:val="0"/>
        <w:autoSpaceDN w:val="0"/>
        <w:adjustRightInd w:val="0"/>
        <w:spacing w:line="312" w:lineRule="auto"/>
        <w:ind w:firstLine="240"/>
        <w:rPr>
          <w:szCs w:val="21"/>
        </w:rPr>
      </w:pPr>
      <w:r>
        <w:rPr>
          <w:szCs w:val="21"/>
          <w:lang w:val="zh-CN"/>
        </w:rPr>
        <w:t>5</w:t>
      </w:r>
      <w:r>
        <w:rPr>
          <w:szCs w:val="21"/>
        </w:rPr>
        <w:t>.</w:t>
      </w:r>
      <w:r>
        <w:rPr>
          <w:rFonts w:hAnsi="宋体"/>
          <w:szCs w:val="21"/>
          <w:lang w:val="zh-CN"/>
        </w:rPr>
        <w:t>有关银行的名称和地址：</w:t>
      </w:r>
      <w:r>
        <w:rPr>
          <w:szCs w:val="21"/>
          <w:u w:val="single"/>
          <w:lang w:val="zh-CN"/>
        </w:rPr>
        <w:t xml:space="preserve">                  </w:t>
      </w:r>
    </w:p>
    <w:p>
      <w:pPr>
        <w:autoSpaceDE w:val="0"/>
        <w:autoSpaceDN w:val="0"/>
        <w:adjustRightInd w:val="0"/>
        <w:spacing w:line="312" w:lineRule="auto"/>
        <w:ind w:firstLine="240"/>
        <w:rPr>
          <w:szCs w:val="21"/>
        </w:rPr>
      </w:pPr>
      <w:r>
        <w:rPr>
          <w:szCs w:val="21"/>
          <w:lang w:val="zh-CN"/>
        </w:rPr>
        <w:t>6</w:t>
      </w:r>
      <w:r>
        <w:rPr>
          <w:szCs w:val="21"/>
        </w:rPr>
        <w:t>.</w:t>
      </w:r>
      <w:r>
        <w:rPr>
          <w:rFonts w:hAnsi="宋体"/>
          <w:szCs w:val="21"/>
          <w:lang w:val="zh-CN"/>
        </w:rPr>
        <w:t>其他情况：</w:t>
      </w:r>
      <w:r>
        <w:rPr>
          <w:szCs w:val="21"/>
          <w:u w:val="single"/>
          <w:lang w:val="zh-CN"/>
        </w:rPr>
        <w:t xml:space="preserve">                              </w:t>
      </w:r>
    </w:p>
    <w:p>
      <w:pPr>
        <w:autoSpaceDE w:val="0"/>
        <w:autoSpaceDN w:val="0"/>
        <w:adjustRightInd w:val="0"/>
        <w:spacing w:line="312" w:lineRule="auto"/>
        <w:ind w:firstLine="480"/>
        <w:rPr>
          <w:szCs w:val="21"/>
        </w:rPr>
      </w:pPr>
      <w:r>
        <w:rPr>
          <w:rFonts w:hAnsi="宋体"/>
          <w:szCs w:val="21"/>
          <w:lang w:val="zh-CN"/>
        </w:rPr>
        <w:t>就我们所知，兹证明上述声明是真实的、正确的，并提供了全部能提供资料和数据，我们同意遵照贵方要求出示此证明文件。</w:t>
      </w:r>
    </w:p>
    <w:p>
      <w:pPr>
        <w:autoSpaceDE w:val="0"/>
        <w:autoSpaceDN w:val="0"/>
        <w:adjustRightInd w:val="0"/>
        <w:spacing w:line="312" w:lineRule="auto"/>
        <w:ind w:firstLine="480"/>
        <w:rPr>
          <w:szCs w:val="21"/>
        </w:rPr>
      </w:pPr>
      <w:r>
        <w:rPr>
          <w:rFonts w:hAnsi="宋体"/>
          <w:szCs w:val="21"/>
          <w:lang w:val="zh-CN"/>
        </w:rPr>
        <w:t>日</w:t>
      </w:r>
      <w:r>
        <w:rPr>
          <w:szCs w:val="21"/>
        </w:rPr>
        <w:t xml:space="preserve">    </w:t>
      </w:r>
      <w:r>
        <w:rPr>
          <w:rFonts w:hAnsi="宋体"/>
          <w:szCs w:val="21"/>
          <w:lang w:val="zh-CN"/>
        </w:rPr>
        <w:t>期</w:t>
      </w:r>
      <w:r>
        <w:rPr>
          <w:rFonts w:hAnsi="宋体"/>
          <w:szCs w:val="21"/>
        </w:rPr>
        <w:t>：</w:t>
      </w:r>
      <w:r>
        <w:rPr>
          <w:szCs w:val="21"/>
          <w:u w:val="single"/>
        </w:rPr>
        <w:t xml:space="preserve">                             </w:t>
      </w:r>
    </w:p>
    <w:p>
      <w:pPr>
        <w:autoSpaceDE w:val="0"/>
        <w:autoSpaceDN w:val="0"/>
        <w:adjustRightInd w:val="0"/>
        <w:spacing w:line="312" w:lineRule="auto"/>
        <w:ind w:firstLine="480"/>
        <w:rPr>
          <w:szCs w:val="21"/>
        </w:rPr>
      </w:pPr>
      <w:r>
        <w:rPr>
          <w:rFonts w:hAnsi="宋体"/>
          <w:szCs w:val="21"/>
          <w:lang w:val="zh-CN"/>
        </w:rPr>
        <w:t>授权代表人签字：</w:t>
      </w:r>
      <w:r>
        <w:rPr>
          <w:szCs w:val="21"/>
          <w:u w:val="single"/>
          <w:lang w:val="zh-CN"/>
        </w:rPr>
        <w:t xml:space="preserve">                         </w:t>
      </w:r>
    </w:p>
    <w:p>
      <w:pPr>
        <w:autoSpaceDE w:val="0"/>
        <w:autoSpaceDN w:val="0"/>
        <w:adjustRightInd w:val="0"/>
        <w:spacing w:line="312" w:lineRule="auto"/>
        <w:ind w:firstLine="480"/>
        <w:rPr>
          <w:szCs w:val="21"/>
        </w:rPr>
      </w:pPr>
      <w:r>
        <w:rPr>
          <w:rFonts w:hAnsi="宋体"/>
          <w:szCs w:val="21"/>
          <w:lang w:val="zh-CN"/>
        </w:rPr>
        <w:t>授权代表人的印刷字体姓名：</w:t>
      </w:r>
      <w:r>
        <w:rPr>
          <w:szCs w:val="21"/>
          <w:u w:val="single"/>
          <w:lang w:val="zh-CN"/>
        </w:rPr>
        <w:t xml:space="preserve">               </w:t>
      </w:r>
    </w:p>
    <w:p>
      <w:pPr>
        <w:autoSpaceDE w:val="0"/>
        <w:autoSpaceDN w:val="0"/>
        <w:adjustRightInd w:val="0"/>
        <w:spacing w:line="312" w:lineRule="auto"/>
        <w:ind w:firstLine="480"/>
        <w:rPr>
          <w:szCs w:val="21"/>
        </w:rPr>
      </w:pPr>
      <w:r>
        <w:rPr>
          <w:rFonts w:hAnsi="宋体"/>
          <w:szCs w:val="21"/>
          <w:lang w:val="zh-CN"/>
        </w:rPr>
        <w:t>授权代表人的职务：</w:t>
      </w:r>
      <w:r>
        <w:rPr>
          <w:szCs w:val="21"/>
          <w:u w:val="single"/>
          <w:lang w:val="zh-CN"/>
        </w:rPr>
        <w:t xml:space="preserve">              </w:t>
      </w:r>
    </w:p>
    <w:p>
      <w:pPr>
        <w:autoSpaceDE w:val="0"/>
        <w:autoSpaceDN w:val="0"/>
        <w:adjustRightInd w:val="0"/>
        <w:spacing w:line="312" w:lineRule="auto"/>
        <w:ind w:firstLine="480"/>
        <w:rPr>
          <w:szCs w:val="21"/>
        </w:rPr>
      </w:pPr>
      <w:r>
        <w:rPr>
          <w:rFonts w:hAnsi="宋体"/>
          <w:szCs w:val="21"/>
          <w:lang w:val="zh-CN"/>
        </w:rPr>
        <w:t>电话号和传真号：</w:t>
      </w:r>
      <w:r>
        <w:rPr>
          <w:szCs w:val="21"/>
          <w:u w:val="single"/>
          <w:lang w:val="zh-CN"/>
        </w:rPr>
        <w:t xml:space="preserve">              </w:t>
      </w:r>
    </w:p>
    <w:p>
      <w:pPr>
        <w:autoSpaceDE w:val="0"/>
        <w:autoSpaceDN w:val="0"/>
        <w:adjustRightInd w:val="0"/>
        <w:spacing w:line="312" w:lineRule="auto"/>
        <w:ind w:firstLine="480"/>
        <w:rPr>
          <w:szCs w:val="21"/>
        </w:rPr>
      </w:pPr>
      <w:r>
        <w:rPr>
          <w:rFonts w:hAnsi="宋体"/>
          <w:b/>
          <w:bCs/>
          <w:szCs w:val="21"/>
        </w:rPr>
        <w:t>投标供应商（</w:t>
      </w:r>
      <w:r>
        <w:rPr>
          <w:b/>
          <w:szCs w:val="21"/>
        </w:rPr>
        <w:t xml:space="preserve"> CA</w:t>
      </w:r>
      <w:r>
        <w:rPr>
          <w:rFonts w:hAnsi="宋体"/>
          <w:b/>
          <w:szCs w:val="21"/>
        </w:rPr>
        <w:t>签章</w:t>
      </w:r>
      <w:r>
        <w:rPr>
          <w:b/>
          <w:szCs w:val="21"/>
        </w:rPr>
        <w:t xml:space="preserve"> </w:t>
      </w:r>
      <w:r>
        <w:rPr>
          <w:rFonts w:hAnsi="宋体"/>
          <w:b/>
          <w:bCs/>
          <w:szCs w:val="21"/>
        </w:rPr>
        <w:t>）</w:t>
      </w:r>
      <w:r>
        <w:rPr>
          <w:rFonts w:hAnsi="宋体"/>
          <w:szCs w:val="21"/>
        </w:rPr>
        <w:t>：</w:t>
      </w:r>
      <w:r>
        <w:rPr>
          <w:szCs w:val="21"/>
          <w:u w:val="single"/>
        </w:rPr>
        <w:t xml:space="preserve">                   </w:t>
      </w:r>
    </w:p>
    <w:p>
      <w:pPr>
        <w:tabs>
          <w:tab w:val="left" w:pos="720"/>
          <w:tab w:val="left" w:pos="5355"/>
        </w:tabs>
        <w:spacing w:line="440" w:lineRule="exact"/>
        <w:ind w:firstLine="480" w:firstLineChars="200"/>
        <w:rPr>
          <w:sz w:val="24"/>
        </w:rPr>
      </w:pPr>
    </w:p>
    <w:p>
      <w:pPr>
        <w:tabs>
          <w:tab w:val="left" w:pos="720"/>
          <w:tab w:val="left" w:pos="5355"/>
        </w:tabs>
        <w:spacing w:line="440" w:lineRule="exact"/>
        <w:ind w:firstLine="480" w:firstLineChars="200"/>
        <w:rPr>
          <w:szCs w:val="21"/>
        </w:rPr>
      </w:pPr>
      <w:r>
        <w:rPr>
          <w:sz w:val="24"/>
        </w:rPr>
        <w:t>5</w:t>
      </w:r>
      <w:r>
        <w:rPr>
          <w:rFonts w:hAnsi="宋体"/>
          <w:sz w:val="24"/>
        </w:rPr>
        <w:t>、</w:t>
      </w:r>
      <w:r>
        <w:rPr>
          <w:szCs w:val="21"/>
        </w:rPr>
        <w:t>提供财务报表或经审计的财务报告扫描件，新成立公司出具银行资信证明扫描件；</w:t>
      </w:r>
    </w:p>
    <w:p>
      <w:pPr>
        <w:spacing w:line="440" w:lineRule="exact"/>
        <w:ind w:firstLine="422" w:firstLineChars="200"/>
        <w:rPr>
          <w:b/>
          <w:bCs/>
          <w:szCs w:val="21"/>
        </w:rPr>
      </w:pPr>
      <w:r>
        <w:rPr>
          <w:b/>
          <w:bCs/>
          <w:szCs w:val="21"/>
        </w:rPr>
        <w:t>6</w:t>
      </w:r>
      <w:r>
        <w:rPr>
          <w:rFonts w:hAnsi="宋体"/>
          <w:b/>
          <w:bCs/>
          <w:szCs w:val="21"/>
        </w:rPr>
        <w:t>、提供依法缴纳税收的证明或者《依法纳税或依法免税证明》（可以为税务机构官方网站查询结果）和社保费缴纳的证明（可以为税务或社保机构官方网站查询结果）扫描件；</w:t>
      </w:r>
    </w:p>
    <w:p>
      <w:pPr>
        <w:ind w:left="1200" w:firstLine="2891" w:firstLineChars="1200"/>
        <w:rPr>
          <w:rStyle w:val="29"/>
          <w:rFonts w:ascii="Times New Roman" w:hAnsi="Times New Roman"/>
          <w:sz w:val="24"/>
        </w:rPr>
      </w:pPr>
    </w:p>
    <w:p>
      <w:pPr>
        <w:ind w:left="1200" w:firstLine="2891" w:firstLineChars="1200"/>
        <w:rPr>
          <w:rStyle w:val="29"/>
          <w:rFonts w:ascii="Times New Roman" w:hAnsi="Times New Roman"/>
          <w:sz w:val="24"/>
        </w:rPr>
      </w:pPr>
    </w:p>
    <w:p>
      <w:pPr>
        <w:spacing w:line="460" w:lineRule="exact"/>
        <w:ind w:firstLine="1476" w:firstLineChars="700"/>
        <w:rPr>
          <w:b/>
          <w:szCs w:val="21"/>
        </w:rPr>
      </w:pPr>
    </w:p>
    <w:p>
      <w:pPr>
        <w:spacing w:line="460" w:lineRule="exact"/>
        <w:ind w:firstLine="1476" w:firstLineChars="700"/>
        <w:rPr>
          <w:b/>
          <w:szCs w:val="21"/>
        </w:rPr>
      </w:pPr>
      <w:r>
        <w:rPr>
          <w:b/>
          <w:szCs w:val="21"/>
        </w:rPr>
        <w:t>7</w:t>
      </w:r>
      <w:r>
        <w:rPr>
          <w:rFonts w:hAnsi="宋体"/>
          <w:b/>
          <w:szCs w:val="21"/>
        </w:rPr>
        <w:t>、</w:t>
      </w:r>
      <w:r>
        <w:rPr>
          <w:b/>
          <w:szCs w:val="21"/>
        </w:rPr>
        <w:t xml:space="preserve"> </w:t>
      </w:r>
      <w:r>
        <w:rPr>
          <w:rFonts w:hAnsi="宋体"/>
          <w:b/>
          <w:szCs w:val="21"/>
        </w:rPr>
        <w:t>具有履行合同所必需的设备和专业技术能力的承诺函</w:t>
      </w:r>
    </w:p>
    <w:p>
      <w:pPr>
        <w:spacing w:line="460" w:lineRule="exact"/>
        <w:jc w:val="center"/>
        <w:rPr>
          <w:b/>
          <w:szCs w:val="21"/>
        </w:rPr>
      </w:pPr>
    </w:p>
    <w:p>
      <w:pPr>
        <w:pStyle w:val="7"/>
        <w:tabs>
          <w:tab w:val="left" w:pos="3659"/>
        </w:tabs>
        <w:spacing w:line="360" w:lineRule="auto"/>
        <w:jc w:val="left"/>
        <w:rPr>
          <w:sz w:val="21"/>
        </w:rPr>
      </w:pPr>
      <w:r>
        <w:rPr>
          <w:sz w:val="21"/>
          <w:u w:val="single"/>
        </w:rPr>
        <w:t xml:space="preserve">（招标人名称）     </w:t>
      </w:r>
      <w:r>
        <w:rPr>
          <w:sz w:val="21"/>
        </w:rPr>
        <w:t>：</w:t>
      </w:r>
    </w:p>
    <w:p>
      <w:pPr>
        <w:pStyle w:val="45"/>
        <w:spacing w:line="360" w:lineRule="auto"/>
        <w:rPr>
          <w:szCs w:val="21"/>
        </w:rPr>
      </w:pPr>
    </w:p>
    <w:p>
      <w:pPr>
        <w:spacing w:line="360" w:lineRule="auto"/>
        <w:ind w:firstLine="412" w:firstLineChars="200"/>
        <w:jc w:val="left"/>
        <w:rPr>
          <w:spacing w:val="-8"/>
          <w:szCs w:val="21"/>
        </w:rPr>
      </w:pPr>
      <w:r>
        <w:rPr>
          <w:rFonts w:hAnsi="宋体"/>
          <w:spacing w:val="-2"/>
          <w:szCs w:val="21"/>
        </w:rPr>
        <w:t>根据贵方</w:t>
      </w:r>
      <w:r>
        <w:rPr>
          <w:spacing w:val="-2"/>
          <w:szCs w:val="21"/>
          <w:u w:val="single"/>
        </w:rPr>
        <w:t xml:space="preserve">        </w:t>
      </w:r>
      <w:r>
        <w:rPr>
          <w:rFonts w:hAnsi="宋体"/>
          <w:spacing w:val="-3"/>
          <w:szCs w:val="21"/>
          <w:u w:val="single"/>
        </w:rPr>
        <w:t>项目</w:t>
      </w:r>
      <w:r>
        <w:rPr>
          <w:rFonts w:hAnsi="宋体"/>
          <w:spacing w:val="-6"/>
          <w:szCs w:val="21"/>
          <w:u w:val="single"/>
        </w:rPr>
        <w:t>（</w:t>
      </w:r>
      <w:r>
        <w:rPr>
          <w:rFonts w:hAnsi="宋体"/>
          <w:spacing w:val="-2"/>
          <w:szCs w:val="21"/>
          <w:u w:val="single"/>
        </w:rPr>
        <w:t>项目编号：</w:t>
      </w:r>
      <w:r>
        <w:rPr>
          <w:spacing w:val="-2"/>
          <w:szCs w:val="21"/>
          <w:u w:val="single"/>
        </w:rPr>
        <w:t xml:space="preserve">     </w:t>
      </w:r>
      <w:r>
        <w:rPr>
          <w:rFonts w:hAnsi="宋体"/>
          <w:spacing w:val="-3"/>
          <w:szCs w:val="21"/>
          <w:u w:val="single"/>
        </w:rPr>
        <w:t>）</w:t>
      </w:r>
      <w:r>
        <w:rPr>
          <w:rFonts w:hAnsi="宋体"/>
          <w:spacing w:val="-3"/>
          <w:szCs w:val="21"/>
        </w:rPr>
        <w:t>招标文件要求，我公司在完全理解招标文件技术要求、商务条款</w:t>
      </w:r>
      <w:r>
        <w:rPr>
          <w:rFonts w:hAnsi="宋体"/>
          <w:spacing w:val="-6"/>
          <w:szCs w:val="21"/>
        </w:rPr>
        <w:t>及其他内容的基础上，决定参与该项目的投标活动。并承诺，我公司具有履行合同所必需的设备和专业技术能力，符合政府采购法第二十二条第三款规定的资格条件</w:t>
      </w:r>
      <w:r>
        <w:rPr>
          <w:rFonts w:hAnsi="宋体"/>
          <w:spacing w:val="-8"/>
          <w:szCs w:val="21"/>
        </w:rPr>
        <w:t>。</w:t>
      </w:r>
    </w:p>
    <w:p>
      <w:pPr>
        <w:spacing w:line="360" w:lineRule="auto"/>
        <w:ind w:firstLine="388" w:firstLineChars="200"/>
        <w:jc w:val="left"/>
        <w:rPr>
          <w:spacing w:val="-3"/>
          <w:szCs w:val="21"/>
        </w:rPr>
      </w:pPr>
      <w:r>
        <w:rPr>
          <w:rFonts w:hAnsi="宋体"/>
          <w:spacing w:val="-8"/>
          <w:szCs w:val="21"/>
        </w:rPr>
        <w:t>本公司对上述承诺的真实性负责，如有虚假，我公司同意按我方提供虚假材料谋取中标</w:t>
      </w:r>
      <w:r>
        <w:rPr>
          <w:rFonts w:hAnsi="宋体"/>
          <w:szCs w:val="21"/>
        </w:rPr>
        <w:t>（成交）</w:t>
      </w:r>
      <w:r>
        <w:rPr>
          <w:rFonts w:hAnsi="宋体"/>
          <w:spacing w:val="-3"/>
          <w:szCs w:val="21"/>
        </w:rPr>
        <w:t>处理，并依法承担相应法律责任。</w:t>
      </w:r>
    </w:p>
    <w:p>
      <w:pPr>
        <w:spacing w:line="360" w:lineRule="auto"/>
        <w:ind w:firstLine="388" w:firstLineChars="200"/>
        <w:jc w:val="left"/>
        <w:rPr>
          <w:spacing w:val="-8"/>
          <w:szCs w:val="21"/>
        </w:rPr>
      </w:pPr>
      <w:r>
        <w:rPr>
          <w:rFonts w:hAnsi="宋体"/>
          <w:spacing w:val="-8"/>
          <w:szCs w:val="21"/>
        </w:rPr>
        <w:t>特此承诺。</w:t>
      </w:r>
    </w:p>
    <w:p>
      <w:pPr>
        <w:spacing w:line="360" w:lineRule="auto"/>
        <w:ind w:firstLine="388" w:firstLineChars="200"/>
        <w:jc w:val="left"/>
        <w:rPr>
          <w:spacing w:val="-8"/>
          <w:szCs w:val="21"/>
        </w:rPr>
      </w:pPr>
    </w:p>
    <w:p>
      <w:pPr>
        <w:spacing w:line="440" w:lineRule="exact"/>
        <w:ind w:firstLine="632" w:firstLineChars="300"/>
        <w:jc w:val="left"/>
        <w:rPr>
          <w:b/>
          <w:bCs/>
          <w:szCs w:val="21"/>
          <w:u w:val="single"/>
        </w:rPr>
      </w:pPr>
      <w:r>
        <w:rPr>
          <w:rFonts w:hAnsi="宋体"/>
          <w:b/>
          <w:bCs/>
          <w:szCs w:val="21"/>
        </w:rPr>
        <w:t>投标供应商（</w:t>
      </w:r>
      <w:r>
        <w:rPr>
          <w:b/>
          <w:szCs w:val="21"/>
        </w:rPr>
        <w:t xml:space="preserve"> CA</w:t>
      </w:r>
      <w:r>
        <w:rPr>
          <w:rFonts w:hAnsi="宋体"/>
          <w:b/>
          <w:szCs w:val="21"/>
        </w:rPr>
        <w:t>签章</w:t>
      </w:r>
      <w:r>
        <w:rPr>
          <w:b/>
          <w:szCs w:val="21"/>
        </w:rPr>
        <w:t xml:space="preserve"> </w:t>
      </w:r>
      <w:r>
        <w:rPr>
          <w:rFonts w:hAnsi="宋体"/>
          <w:b/>
          <w:bCs/>
          <w:szCs w:val="21"/>
        </w:rPr>
        <w:t>）：</w:t>
      </w:r>
      <w:r>
        <w:rPr>
          <w:b/>
          <w:bCs/>
          <w:szCs w:val="21"/>
          <w:u w:val="single"/>
        </w:rPr>
        <w:t xml:space="preserve">                               </w:t>
      </w:r>
    </w:p>
    <w:p>
      <w:pPr>
        <w:spacing w:line="440" w:lineRule="exact"/>
        <w:jc w:val="left"/>
        <w:rPr>
          <w:b/>
          <w:bCs/>
          <w:szCs w:val="21"/>
        </w:rPr>
      </w:pPr>
    </w:p>
    <w:p>
      <w:pPr>
        <w:spacing w:line="440" w:lineRule="exact"/>
        <w:ind w:firstLine="632" w:firstLineChars="300"/>
        <w:jc w:val="left"/>
        <w:rPr>
          <w:b/>
          <w:bCs/>
          <w:szCs w:val="21"/>
        </w:rPr>
      </w:pPr>
      <w:r>
        <w:rPr>
          <w:rFonts w:hAnsi="宋体"/>
          <w:b/>
          <w:bCs/>
          <w:szCs w:val="21"/>
        </w:rPr>
        <w:t>法定代表人或授权代表（签字或盖章）：</w:t>
      </w:r>
      <w:r>
        <w:rPr>
          <w:b/>
          <w:bCs/>
          <w:szCs w:val="21"/>
          <w:u w:val="single"/>
        </w:rPr>
        <w:t xml:space="preserve">                 </w:t>
      </w:r>
    </w:p>
    <w:p>
      <w:pPr>
        <w:widowControl/>
        <w:spacing w:line="360" w:lineRule="auto"/>
        <w:rPr>
          <w:b/>
          <w:bCs/>
          <w:szCs w:val="21"/>
        </w:rPr>
      </w:pPr>
    </w:p>
    <w:p>
      <w:r>
        <w:rPr>
          <w:rFonts w:hAnsi="宋体"/>
          <w:b/>
          <w:bCs/>
        </w:rPr>
        <w:t>日</w:t>
      </w:r>
      <w:r>
        <w:rPr>
          <w:b/>
          <w:bCs/>
        </w:rPr>
        <w:t xml:space="preserve">   </w:t>
      </w:r>
      <w:r>
        <w:rPr>
          <w:rFonts w:hAnsi="宋体"/>
          <w:b/>
          <w:bCs/>
        </w:rPr>
        <w:t>期：</w:t>
      </w:r>
      <w:r>
        <w:rPr>
          <w:b/>
          <w:bCs/>
        </w:rPr>
        <w:t xml:space="preserve">    </w:t>
      </w:r>
      <w:r>
        <w:t xml:space="preserve">        </w:t>
      </w:r>
    </w:p>
    <w:p>
      <w:pPr>
        <w:rPr>
          <w:b/>
          <w:kern w:val="0"/>
        </w:rPr>
      </w:pPr>
    </w:p>
    <w:p>
      <w:pPr>
        <w:rPr>
          <w:rStyle w:val="29"/>
          <w:rFonts w:ascii="Times New Roman" w:hAnsi="Times New Roman"/>
          <w:sz w:val="24"/>
        </w:rPr>
      </w:pPr>
    </w:p>
    <w:p>
      <w:pPr>
        <w:rPr>
          <w:rStyle w:val="29"/>
          <w:rFonts w:ascii="Times New Roman" w:hAnsi="Times New Roman"/>
          <w:sz w:val="24"/>
        </w:rPr>
      </w:pPr>
    </w:p>
    <w:p>
      <w:pPr>
        <w:rPr>
          <w:rStyle w:val="29"/>
          <w:rFonts w:ascii="Times New Roman" w:hAnsi="Times New Roman"/>
          <w:sz w:val="24"/>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sz w:val="24"/>
        </w:rPr>
      </w:pPr>
    </w:p>
    <w:p>
      <w:pPr>
        <w:rPr>
          <w:rStyle w:val="29"/>
          <w:rFonts w:ascii="Times New Roman" w:hAnsi="Times New Roman"/>
          <w:sz w:val="24"/>
        </w:rPr>
      </w:pPr>
    </w:p>
    <w:p>
      <w:pPr>
        <w:ind w:left="1200" w:firstLine="2891" w:firstLineChars="1200"/>
        <w:rPr>
          <w:rStyle w:val="29"/>
          <w:rFonts w:ascii="Times New Roman" w:hAnsi="Times New Roman"/>
          <w:sz w:val="24"/>
        </w:rPr>
      </w:pPr>
      <w:bookmarkStart w:id="67" w:name="_Toc46418842"/>
      <w:r>
        <w:rPr>
          <w:rStyle w:val="29"/>
          <w:rFonts w:ascii="Times New Roman" w:hAnsi="Times New Roman"/>
          <w:sz w:val="24"/>
        </w:rPr>
        <w:br w:type="page"/>
      </w:r>
      <w:r>
        <w:rPr>
          <w:rStyle w:val="29"/>
          <w:rFonts w:ascii="Times New Roman" w:hAnsi="Times New Roman"/>
          <w:sz w:val="24"/>
        </w:rPr>
        <w:t>8</w:t>
      </w:r>
      <w:r>
        <w:rPr>
          <w:rStyle w:val="29"/>
          <w:rFonts w:ascii="Times New Roman"/>
          <w:sz w:val="24"/>
        </w:rPr>
        <w:t>、书面声明</w:t>
      </w:r>
      <w:bookmarkEnd w:id="67"/>
    </w:p>
    <w:p>
      <w:pPr>
        <w:rPr>
          <w:bCs/>
          <w:sz w:val="24"/>
        </w:rPr>
      </w:pPr>
    </w:p>
    <w:p>
      <w:pPr>
        <w:autoSpaceDE w:val="0"/>
        <w:autoSpaceDN w:val="0"/>
        <w:adjustRightInd w:val="0"/>
        <w:ind w:firstLine="720" w:firstLineChars="300"/>
        <w:rPr>
          <w:sz w:val="24"/>
        </w:rPr>
      </w:pPr>
      <w:r>
        <w:rPr>
          <w:rFonts w:hAnsi="宋体"/>
          <w:sz w:val="24"/>
          <w:u w:val="single"/>
        </w:rPr>
        <w:t>（采购人名称）</w:t>
      </w:r>
      <w:r>
        <w:rPr>
          <w:sz w:val="24"/>
          <w:u w:val="single"/>
        </w:rPr>
        <w:t xml:space="preserve">      </w:t>
      </w:r>
      <w:r>
        <w:rPr>
          <w:rFonts w:hAnsi="宋体"/>
          <w:sz w:val="24"/>
        </w:rPr>
        <w:t>：</w:t>
      </w:r>
    </w:p>
    <w:p>
      <w:pPr>
        <w:autoSpaceDE w:val="0"/>
        <w:autoSpaceDN w:val="0"/>
        <w:adjustRightInd w:val="0"/>
        <w:rPr>
          <w:sz w:val="24"/>
        </w:rPr>
      </w:pPr>
      <w:r>
        <w:rPr>
          <w:sz w:val="24"/>
        </w:rPr>
        <w:t xml:space="preserve">            </w:t>
      </w:r>
    </w:p>
    <w:p>
      <w:pPr>
        <w:spacing w:line="360" w:lineRule="auto"/>
        <w:ind w:firstLine="444" w:firstLineChars="200"/>
        <w:jc w:val="left"/>
        <w:rPr>
          <w:rFonts w:hAnsi="宋体"/>
          <w:spacing w:val="-3"/>
          <w:szCs w:val="21"/>
        </w:rPr>
      </w:pPr>
      <w:r>
        <w:rPr>
          <w:rFonts w:hint="eastAsia" w:ascii="宋体" w:hAnsi="宋体" w:cs="宋体"/>
          <w:spacing w:val="6"/>
          <w:szCs w:val="21"/>
        </w:rPr>
        <w:t xml:space="preserve"> 我方参与的</w:t>
      </w:r>
      <w:r>
        <w:rPr>
          <w:rFonts w:hint="eastAsia" w:ascii="宋体" w:hAnsi="宋体" w:cs="宋体"/>
          <w:spacing w:val="6"/>
          <w:szCs w:val="21"/>
          <w:u w:val="single"/>
        </w:rPr>
        <w:t xml:space="preserve">     （项目名称）（项目编号）    </w:t>
      </w:r>
      <w:r>
        <w:rPr>
          <w:rFonts w:hint="eastAsia" w:ascii="宋体" w:hAnsi="宋体" w:cs="宋体"/>
          <w:spacing w:val="6"/>
          <w:szCs w:val="21"/>
        </w:rPr>
        <w:t>的投标活动，我方郑重声</w:t>
      </w:r>
      <w:r>
        <w:rPr>
          <w:rFonts w:hint="eastAsia" w:ascii="宋体" w:hAnsi="宋体" w:cs="宋体"/>
          <w:spacing w:val="-3"/>
          <w:szCs w:val="21"/>
        </w:rPr>
        <w:t>明，</w:t>
      </w:r>
      <w:r>
        <w:rPr>
          <w:rFonts w:hint="eastAsia" w:hAnsi="宋体"/>
          <w:spacing w:val="-3"/>
          <w:szCs w:val="21"/>
        </w:rPr>
        <w:t>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pPr>
        <w:spacing w:line="360" w:lineRule="auto"/>
        <w:ind w:firstLine="408" w:firstLineChars="200"/>
        <w:jc w:val="left"/>
        <w:rPr>
          <w:sz w:val="24"/>
        </w:rPr>
      </w:pPr>
      <w:r>
        <w:rPr>
          <w:rFonts w:hint="eastAsia" w:hAnsi="宋体"/>
          <w:spacing w:val="-3"/>
          <w:szCs w:val="21"/>
        </w:rPr>
        <w:tab/>
      </w:r>
      <w:r>
        <w:rPr>
          <w:rFonts w:hint="eastAsia" w:hAnsi="宋体"/>
          <w:spacing w:val="-3"/>
          <w:szCs w:val="21"/>
        </w:rPr>
        <w:t>特此声明。</w:t>
      </w:r>
    </w:p>
    <w:p>
      <w:pPr>
        <w:autoSpaceDE w:val="0"/>
        <w:autoSpaceDN w:val="0"/>
        <w:adjustRightInd w:val="0"/>
        <w:rPr>
          <w:sz w:val="24"/>
        </w:rPr>
      </w:pPr>
      <w:r>
        <w:rPr>
          <w:sz w:val="24"/>
        </w:rPr>
        <w:t xml:space="preserve">             </w:t>
      </w:r>
    </w:p>
    <w:p>
      <w:pPr>
        <w:autoSpaceDE w:val="0"/>
        <w:autoSpaceDN w:val="0"/>
        <w:adjustRightInd w:val="0"/>
        <w:rPr>
          <w:sz w:val="24"/>
        </w:rPr>
      </w:pPr>
      <w:r>
        <w:rPr>
          <w:sz w:val="24"/>
        </w:rPr>
        <w:t xml:space="preserve">                                     </w:t>
      </w:r>
    </w:p>
    <w:p>
      <w:pPr>
        <w:autoSpaceDE w:val="0"/>
        <w:autoSpaceDN w:val="0"/>
        <w:adjustRightInd w:val="0"/>
        <w:ind w:firstLine="4080" w:firstLineChars="1700"/>
        <w:rPr>
          <w:sz w:val="24"/>
        </w:rPr>
      </w:pPr>
      <w:r>
        <w:rPr>
          <w:rFonts w:hAnsi="宋体"/>
          <w:sz w:val="24"/>
        </w:rPr>
        <w:t>投标单位（</w:t>
      </w:r>
      <w:r>
        <w:rPr>
          <w:sz w:val="24"/>
        </w:rPr>
        <w:t xml:space="preserve"> CA</w:t>
      </w:r>
      <w:r>
        <w:rPr>
          <w:rFonts w:hAnsi="宋体"/>
          <w:sz w:val="24"/>
        </w:rPr>
        <w:t>签章</w:t>
      </w:r>
      <w:r>
        <w:rPr>
          <w:sz w:val="24"/>
        </w:rPr>
        <w:t xml:space="preserve"> </w:t>
      </w:r>
      <w:r>
        <w:rPr>
          <w:rFonts w:hAnsi="宋体"/>
          <w:sz w:val="24"/>
        </w:rPr>
        <w:t>）：</w:t>
      </w:r>
    </w:p>
    <w:p>
      <w:pPr>
        <w:autoSpaceDE w:val="0"/>
        <w:autoSpaceDN w:val="0"/>
        <w:adjustRightInd w:val="0"/>
        <w:rPr>
          <w:sz w:val="24"/>
        </w:rPr>
      </w:pPr>
      <w:r>
        <w:rPr>
          <w:sz w:val="24"/>
        </w:rPr>
        <w:t xml:space="preserve">                                      </w:t>
      </w:r>
    </w:p>
    <w:p>
      <w:pPr>
        <w:autoSpaceDE w:val="0"/>
        <w:autoSpaceDN w:val="0"/>
        <w:adjustRightInd w:val="0"/>
        <w:ind w:firstLine="4320" w:firstLineChars="1800"/>
        <w:rPr>
          <w:sz w:val="24"/>
        </w:rPr>
      </w:pPr>
      <w:r>
        <w:rPr>
          <w:sz w:val="24"/>
        </w:rPr>
        <w:t xml:space="preserve"> </w:t>
      </w:r>
      <w:r>
        <w:rPr>
          <w:rFonts w:hAnsi="宋体"/>
          <w:sz w:val="24"/>
        </w:rPr>
        <w:t>日期：</w:t>
      </w:r>
    </w:p>
    <w:p>
      <w:pPr>
        <w:rPr>
          <w:bCs/>
          <w:sz w:val="24"/>
        </w:rPr>
      </w:pPr>
    </w:p>
    <w:p>
      <w:pPr>
        <w:pStyle w:val="43"/>
        <w:rPr>
          <w:bCs/>
          <w:sz w:val="24"/>
        </w:rPr>
      </w:pPr>
    </w:p>
    <w:p>
      <w:pPr>
        <w:pStyle w:val="7"/>
        <w:rPr>
          <w:bCs w:val="0"/>
          <w:sz w:val="24"/>
        </w:rPr>
      </w:pPr>
    </w:p>
    <w:p>
      <w:pPr>
        <w:pStyle w:val="8"/>
        <w:rPr>
          <w:bCs/>
        </w:rPr>
      </w:pPr>
    </w:p>
    <w:p>
      <w:pPr>
        <w:rPr>
          <w:bCs/>
          <w:sz w:val="24"/>
        </w:rPr>
      </w:pPr>
    </w:p>
    <w:p>
      <w:pPr>
        <w:pStyle w:val="43"/>
        <w:rPr>
          <w:bCs/>
          <w:sz w:val="24"/>
        </w:rPr>
      </w:pPr>
    </w:p>
    <w:p>
      <w:pPr>
        <w:pStyle w:val="7"/>
        <w:rPr>
          <w:bCs w:val="0"/>
          <w:sz w:val="24"/>
        </w:rPr>
      </w:pPr>
    </w:p>
    <w:p>
      <w:pPr>
        <w:pStyle w:val="8"/>
        <w:rPr>
          <w:bCs/>
        </w:rPr>
      </w:pPr>
    </w:p>
    <w:p>
      <w:pPr>
        <w:rPr>
          <w:bCs/>
          <w:sz w:val="24"/>
        </w:rPr>
      </w:pPr>
    </w:p>
    <w:p>
      <w:pPr>
        <w:pStyle w:val="43"/>
        <w:rPr>
          <w:bCs/>
          <w:sz w:val="24"/>
        </w:rPr>
      </w:pPr>
    </w:p>
    <w:p>
      <w:pPr>
        <w:pStyle w:val="7"/>
        <w:rPr>
          <w:bCs w:val="0"/>
          <w:sz w:val="24"/>
        </w:rPr>
      </w:pPr>
    </w:p>
    <w:p>
      <w:pPr>
        <w:pStyle w:val="8"/>
        <w:rPr>
          <w:bCs/>
        </w:rPr>
      </w:pPr>
    </w:p>
    <w:p>
      <w:pPr>
        <w:rPr>
          <w:bCs/>
          <w:sz w:val="24"/>
        </w:rPr>
      </w:pPr>
    </w:p>
    <w:p>
      <w:pPr>
        <w:pStyle w:val="43"/>
        <w:rPr>
          <w:bCs/>
          <w:sz w:val="24"/>
        </w:rPr>
      </w:pPr>
    </w:p>
    <w:p>
      <w:pPr>
        <w:pStyle w:val="7"/>
        <w:rPr>
          <w:bCs w:val="0"/>
          <w:sz w:val="24"/>
        </w:rPr>
      </w:pPr>
    </w:p>
    <w:p>
      <w:pPr>
        <w:pStyle w:val="8"/>
        <w:rPr>
          <w:bCs/>
        </w:rPr>
      </w:pPr>
    </w:p>
    <w:p>
      <w:pPr>
        <w:rPr>
          <w:bCs/>
          <w:sz w:val="24"/>
        </w:rPr>
      </w:pPr>
    </w:p>
    <w:p>
      <w:pPr>
        <w:pStyle w:val="43"/>
        <w:rPr>
          <w:bCs/>
          <w:sz w:val="24"/>
        </w:rPr>
      </w:pPr>
    </w:p>
    <w:p>
      <w:pPr>
        <w:pStyle w:val="7"/>
      </w:pPr>
    </w:p>
    <w:p>
      <w:pPr>
        <w:spacing w:line="340" w:lineRule="exact"/>
        <w:ind w:left="211" w:hanging="211" w:hangingChars="100"/>
        <w:rPr>
          <w:b/>
          <w:szCs w:val="21"/>
        </w:rPr>
      </w:pPr>
    </w:p>
    <w:p>
      <w:pPr>
        <w:spacing w:line="340" w:lineRule="exact"/>
        <w:ind w:left="211" w:hanging="211" w:hangingChars="100"/>
        <w:rPr>
          <w:b/>
          <w:szCs w:val="21"/>
        </w:rPr>
      </w:pPr>
      <w:r>
        <w:rPr>
          <w:b/>
          <w:szCs w:val="21"/>
        </w:rPr>
        <w:br w:type="page"/>
      </w:r>
      <w:r>
        <w:rPr>
          <w:b/>
          <w:szCs w:val="21"/>
        </w:rPr>
        <w:t>9</w:t>
      </w:r>
      <w:r>
        <w:rPr>
          <w:rFonts w:hAnsi="宋体"/>
          <w:b/>
          <w:szCs w:val="21"/>
        </w:rPr>
        <w:t>、</w:t>
      </w:r>
      <w:r>
        <w:rPr>
          <w:b/>
          <w:szCs w:val="21"/>
        </w:rPr>
        <w:t xml:space="preserve"> </w:t>
      </w:r>
      <w:r>
        <w:rPr>
          <w:rFonts w:hAnsi="宋体"/>
          <w:b/>
          <w:szCs w:val="21"/>
        </w:rPr>
        <w:t>信用记录：信用信息查询记录和证据以网页截图打印加盖</w:t>
      </w:r>
      <w:r>
        <w:rPr>
          <w:b/>
          <w:szCs w:val="21"/>
        </w:rPr>
        <w:t xml:space="preserve"> CA</w:t>
      </w:r>
      <w:r>
        <w:rPr>
          <w:rFonts w:hAnsi="宋体"/>
          <w:b/>
          <w:szCs w:val="21"/>
        </w:rPr>
        <w:t>签章</w:t>
      </w:r>
      <w:r>
        <w:rPr>
          <w:b/>
          <w:szCs w:val="21"/>
        </w:rPr>
        <w:t xml:space="preserve"> </w:t>
      </w:r>
      <w:r>
        <w:rPr>
          <w:rFonts w:hAnsi="宋体"/>
          <w:b/>
          <w:szCs w:val="21"/>
        </w:rPr>
        <w:t>。</w:t>
      </w:r>
    </w:p>
    <w:p>
      <w:pPr>
        <w:rPr>
          <w:b/>
          <w:szCs w:val="21"/>
        </w:rPr>
      </w:pPr>
    </w:p>
    <w:p>
      <w:pPr>
        <w:rPr>
          <w:b/>
          <w:szCs w:val="21"/>
        </w:rPr>
      </w:pPr>
      <w:r>
        <w:drawing>
          <wp:inline distT="0" distB="0" distL="0" distR="0">
            <wp:extent cx="6038850" cy="162877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038850" cy="1628775"/>
                    </a:xfrm>
                    <a:prstGeom prst="rect">
                      <a:avLst/>
                    </a:prstGeom>
                    <a:noFill/>
                    <a:ln>
                      <a:noFill/>
                    </a:ln>
                  </pic:spPr>
                </pic:pic>
              </a:graphicData>
            </a:graphic>
          </wp:inline>
        </w:drawing>
      </w:r>
    </w:p>
    <w:p>
      <w:pPr>
        <w:rPr>
          <w:b/>
          <w:szCs w:val="21"/>
        </w:rPr>
      </w:pPr>
    </w:p>
    <w:p>
      <w:pPr>
        <w:rPr>
          <w:b/>
          <w:szCs w:val="21"/>
        </w:rPr>
      </w:pPr>
      <w:r>
        <w:drawing>
          <wp:inline distT="0" distB="0" distL="0" distR="0">
            <wp:extent cx="6115050" cy="2266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15050" cy="2266950"/>
                    </a:xfrm>
                    <a:prstGeom prst="rect">
                      <a:avLst/>
                    </a:prstGeom>
                    <a:noFill/>
                    <a:ln>
                      <a:noFill/>
                    </a:ln>
                  </pic:spPr>
                </pic:pic>
              </a:graphicData>
            </a:graphic>
          </wp:inline>
        </w:drawing>
      </w:r>
    </w:p>
    <w:p>
      <w:pPr>
        <w:rPr>
          <w:b/>
          <w:szCs w:val="21"/>
        </w:rPr>
      </w:pPr>
    </w:p>
    <w:p>
      <w:pPr>
        <w:rPr>
          <w:b/>
          <w:szCs w:val="21"/>
        </w:rPr>
      </w:pPr>
    </w:p>
    <w:p>
      <w:pPr>
        <w:autoSpaceDE w:val="0"/>
        <w:autoSpaceDN w:val="0"/>
        <w:adjustRightInd w:val="0"/>
        <w:ind w:firstLine="4560" w:firstLineChars="1900"/>
        <w:rPr>
          <w:sz w:val="24"/>
        </w:rPr>
      </w:pPr>
      <w:r>
        <w:rPr>
          <w:rFonts w:hAnsi="宋体"/>
          <w:sz w:val="24"/>
        </w:rPr>
        <w:t>投标单位（</w:t>
      </w:r>
      <w:r>
        <w:rPr>
          <w:sz w:val="24"/>
        </w:rPr>
        <w:t xml:space="preserve"> CA</w:t>
      </w:r>
      <w:r>
        <w:rPr>
          <w:rFonts w:hAnsi="宋体"/>
          <w:sz w:val="24"/>
        </w:rPr>
        <w:t>签章</w:t>
      </w:r>
      <w:r>
        <w:rPr>
          <w:sz w:val="24"/>
        </w:rPr>
        <w:t xml:space="preserve"> </w:t>
      </w:r>
      <w:r>
        <w:rPr>
          <w:rFonts w:hAnsi="宋体"/>
          <w:sz w:val="24"/>
        </w:rPr>
        <w:t>）：</w:t>
      </w:r>
    </w:p>
    <w:p>
      <w:pPr>
        <w:autoSpaceDE w:val="0"/>
        <w:autoSpaceDN w:val="0"/>
        <w:adjustRightInd w:val="0"/>
        <w:rPr>
          <w:sz w:val="24"/>
        </w:rPr>
      </w:pPr>
      <w:r>
        <w:rPr>
          <w:sz w:val="24"/>
        </w:rPr>
        <w:t xml:space="preserve">                                      </w:t>
      </w:r>
    </w:p>
    <w:p>
      <w:pPr>
        <w:autoSpaceDE w:val="0"/>
        <w:autoSpaceDN w:val="0"/>
        <w:adjustRightInd w:val="0"/>
        <w:ind w:firstLine="4320" w:firstLineChars="1800"/>
        <w:rPr>
          <w:sz w:val="24"/>
        </w:rPr>
      </w:pPr>
      <w:r>
        <w:rPr>
          <w:sz w:val="24"/>
        </w:rPr>
        <w:t xml:space="preserve"> </w:t>
      </w:r>
      <w:r>
        <w:rPr>
          <w:rFonts w:hint="eastAsia"/>
          <w:sz w:val="24"/>
        </w:rPr>
        <w:t xml:space="preserve"> </w:t>
      </w:r>
      <w:r>
        <w:rPr>
          <w:rFonts w:hAnsi="宋体"/>
          <w:sz w:val="24"/>
        </w:rPr>
        <w:t>日期：</w:t>
      </w:r>
    </w:p>
    <w:p>
      <w:pPr>
        <w:rPr>
          <w:b/>
          <w:szCs w:val="21"/>
        </w:rPr>
      </w:pPr>
    </w:p>
    <w:p>
      <w:pPr>
        <w:rPr>
          <w:b/>
          <w:szCs w:val="21"/>
        </w:rPr>
      </w:pPr>
    </w:p>
    <w:p>
      <w:pPr>
        <w:rPr>
          <w:b/>
          <w:szCs w:val="21"/>
        </w:rPr>
      </w:pPr>
    </w:p>
    <w:p>
      <w:pPr>
        <w:rPr>
          <w:szCs w:val="21"/>
        </w:rPr>
      </w:pPr>
      <w:r>
        <w:rPr>
          <w:b/>
          <w:szCs w:val="21"/>
        </w:rPr>
        <w:t>10</w:t>
      </w:r>
      <w:r>
        <w:rPr>
          <w:rFonts w:hAnsi="宋体"/>
          <w:b/>
          <w:szCs w:val="21"/>
        </w:rPr>
        <w:t>、投标人认为需要提交的其他相关材料</w:t>
      </w:r>
    </w:p>
    <w:p>
      <w:pPr>
        <w:spacing w:line="440" w:lineRule="exact"/>
        <w:rPr>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rPr>
          <w:rStyle w:val="29"/>
          <w:rFonts w:ascii="Times New Roman" w:hAnsi="Times New Roman" w:eastAsia="宋体"/>
          <w:sz w:val="21"/>
          <w:szCs w:val="21"/>
        </w:rPr>
      </w:pPr>
    </w:p>
    <w:p>
      <w:pPr>
        <w:snapToGrid w:val="0"/>
        <w:spacing w:line="360" w:lineRule="auto"/>
        <w:jc w:val="center"/>
        <w:outlineLvl w:val="1"/>
        <w:rPr>
          <w:b/>
          <w:sz w:val="28"/>
          <w:szCs w:val="28"/>
        </w:rPr>
      </w:pPr>
      <w:bookmarkStart w:id="68" w:name="_Toc46418843"/>
      <w:r>
        <w:rPr>
          <w:rStyle w:val="29"/>
          <w:rFonts w:ascii="Times New Roman" w:eastAsia="宋体"/>
          <w:sz w:val="21"/>
          <w:szCs w:val="21"/>
        </w:rPr>
        <w:br w:type="page"/>
      </w:r>
      <w:r>
        <w:rPr>
          <w:rStyle w:val="29"/>
          <w:rFonts w:hint="eastAsia" w:ascii="Times New Roman" w:eastAsia="宋体"/>
          <w:sz w:val="21"/>
          <w:szCs w:val="21"/>
        </w:rPr>
        <w:t>四</w:t>
      </w:r>
      <w:r>
        <w:rPr>
          <w:rStyle w:val="29"/>
          <w:rFonts w:ascii="Times New Roman" w:eastAsia="宋体"/>
          <w:sz w:val="21"/>
          <w:szCs w:val="21"/>
        </w:rPr>
        <w:t>、</w:t>
      </w:r>
      <w:r>
        <w:rPr>
          <w:rStyle w:val="29"/>
          <w:rFonts w:hint="eastAsia" w:ascii="Times New Roman" w:eastAsia="宋体"/>
          <w:sz w:val="21"/>
          <w:szCs w:val="21"/>
        </w:rPr>
        <w:t>商务技术文件</w:t>
      </w:r>
      <w:r>
        <w:rPr>
          <w:rStyle w:val="29"/>
          <w:rFonts w:ascii="Times New Roman" w:eastAsia="宋体"/>
          <w:sz w:val="21"/>
          <w:szCs w:val="21"/>
        </w:rPr>
        <w:t>封面</w:t>
      </w:r>
      <w:bookmarkEnd w:id="68"/>
      <w:r>
        <w:rPr>
          <w:sz w:val="28"/>
          <w:szCs w:val="28"/>
        </w:rPr>
        <w:t xml:space="preserve">  </w:t>
      </w:r>
    </w:p>
    <w:p>
      <w:pPr>
        <w:ind w:left="-59" w:leftChars="-85" w:hanging="119" w:hangingChars="57"/>
        <w:rPr>
          <w:rFonts w:ascii="宋体" w:hAnsi="宋体"/>
          <w:b/>
          <w:bCs/>
          <w:sz w:val="28"/>
          <w:szCs w:val="28"/>
        </w:rPr>
      </w:pPr>
      <w:r>
        <w:rPr>
          <w:rFonts w:hint="eastAsia" w:ascii="宋体" w:hAnsi="宋体"/>
          <w:bCs/>
          <w:szCs w:val="21"/>
        </w:rPr>
        <w:t xml:space="preserve">                                                              </w:t>
      </w:r>
      <w:r>
        <w:rPr>
          <w:rFonts w:hint="eastAsia" w:ascii="宋体" w:hAnsi="宋体"/>
          <w:bCs/>
          <w:sz w:val="28"/>
          <w:szCs w:val="28"/>
        </w:rPr>
        <w:t xml:space="preserve"> </w:t>
      </w:r>
    </w:p>
    <w:p>
      <w:pPr>
        <w:pStyle w:val="2"/>
      </w:pPr>
    </w:p>
    <w:p>
      <w:pPr>
        <w:ind w:left="-59" w:leftChars="-85" w:hanging="119" w:hangingChars="57"/>
        <w:rPr>
          <w:rFonts w:ascii="宋体" w:hAnsi="宋体"/>
          <w:bCs/>
          <w:szCs w:val="21"/>
        </w:rPr>
      </w:pPr>
    </w:p>
    <w:p>
      <w:pPr>
        <w:pStyle w:val="10"/>
        <w:snapToGrid w:val="0"/>
        <w:spacing w:before="120" w:after="120" w:line="800" w:lineRule="exact"/>
        <w:jc w:val="center"/>
        <w:rPr>
          <w:rFonts w:hAnsi="宋体"/>
          <w:b/>
          <w:bCs/>
          <w:w w:val="90"/>
          <w:sz w:val="44"/>
          <w:szCs w:val="44"/>
        </w:rPr>
      </w:pPr>
      <w:r>
        <w:rPr>
          <w:rFonts w:hint="eastAsia" w:hAnsi="宋体"/>
          <w:b/>
          <w:bCs/>
          <w:w w:val="90"/>
          <w:sz w:val="44"/>
          <w:szCs w:val="44"/>
        </w:rPr>
        <w:t>衢江区住建局2021-2022年度白蚁新建预防与回访复查项目（二次）</w:t>
      </w:r>
    </w:p>
    <w:p>
      <w:pPr>
        <w:ind w:left="5" w:leftChars="-85" w:hanging="183" w:hangingChars="57"/>
        <w:jc w:val="center"/>
        <w:rPr>
          <w:rFonts w:ascii="宋体" w:hAnsi="宋体"/>
          <w:b/>
          <w:bCs/>
          <w:sz w:val="32"/>
        </w:rPr>
      </w:pPr>
    </w:p>
    <w:p>
      <w:pPr>
        <w:ind w:left="5" w:leftChars="-85" w:hanging="183" w:hangingChars="57"/>
        <w:jc w:val="center"/>
        <w:rPr>
          <w:rFonts w:ascii="宋体" w:hAnsi="宋体"/>
          <w:b/>
          <w:bCs/>
          <w:sz w:val="32"/>
        </w:rPr>
      </w:pPr>
      <w:r>
        <w:rPr>
          <w:rFonts w:hint="eastAsia" w:ascii="宋体" w:hAnsi="宋体"/>
          <w:b/>
          <w:bCs/>
          <w:sz w:val="32"/>
        </w:rPr>
        <w:t>（项目编号：zjzj202008-22-2）</w:t>
      </w:r>
    </w:p>
    <w:p>
      <w:pPr>
        <w:ind w:left="-59" w:leftChars="-85" w:hanging="119" w:hangingChars="57"/>
        <w:jc w:val="center"/>
        <w:rPr>
          <w:rFonts w:ascii="宋体" w:hAnsi="宋体"/>
          <w:bCs/>
          <w:szCs w:val="21"/>
        </w:rPr>
      </w:pPr>
    </w:p>
    <w:p>
      <w:pPr>
        <w:ind w:left="5" w:leftChars="-85" w:hanging="183" w:hangingChars="57"/>
        <w:jc w:val="center"/>
        <w:rPr>
          <w:rFonts w:ascii="宋体" w:hAnsi="宋体"/>
          <w:b/>
          <w:bCs/>
          <w:sz w:val="32"/>
        </w:rPr>
      </w:pPr>
    </w:p>
    <w:p>
      <w:pPr>
        <w:ind w:left="5" w:leftChars="-85" w:hanging="183" w:hangingChars="57"/>
        <w:jc w:val="center"/>
        <w:rPr>
          <w:rFonts w:ascii="宋体" w:hAnsi="宋体"/>
          <w:b/>
          <w:bCs/>
          <w:sz w:val="32"/>
        </w:rPr>
      </w:pPr>
    </w:p>
    <w:p>
      <w:pPr>
        <w:ind w:left="5" w:leftChars="-85" w:hanging="183" w:hangingChars="57"/>
        <w:jc w:val="center"/>
        <w:rPr>
          <w:rFonts w:ascii="宋体" w:hAnsi="宋体"/>
          <w:b/>
          <w:bCs/>
          <w:sz w:val="32"/>
        </w:rPr>
      </w:pPr>
    </w:p>
    <w:p>
      <w:pPr>
        <w:ind w:left="303" w:leftChars="-85" w:hanging="481" w:hangingChars="57"/>
        <w:jc w:val="center"/>
        <w:rPr>
          <w:rFonts w:ascii="宋体" w:hAnsi="宋体"/>
          <w:b/>
          <w:bCs/>
          <w:sz w:val="84"/>
          <w:szCs w:val="84"/>
        </w:rPr>
      </w:pPr>
      <w:r>
        <w:rPr>
          <w:rFonts w:hint="eastAsia" w:ascii="宋体" w:hAnsi="宋体"/>
          <w:b/>
          <w:bCs/>
          <w:sz w:val="84"/>
          <w:szCs w:val="84"/>
        </w:rPr>
        <w:t>投 标 文 件</w:t>
      </w:r>
    </w:p>
    <w:p>
      <w:pPr>
        <w:ind w:left="-58" w:leftChars="-85" w:hanging="120" w:hangingChars="57"/>
        <w:jc w:val="center"/>
        <w:rPr>
          <w:rFonts w:ascii="宋体" w:hAnsi="宋体"/>
          <w:b/>
          <w:bCs/>
          <w:szCs w:val="21"/>
        </w:rPr>
      </w:pPr>
    </w:p>
    <w:p>
      <w:pPr>
        <w:ind w:left="5" w:leftChars="-85" w:hanging="183" w:hangingChars="57"/>
        <w:jc w:val="center"/>
        <w:rPr>
          <w:rFonts w:ascii="宋体" w:hAnsi="宋体"/>
          <w:b/>
          <w:bCs/>
          <w:sz w:val="32"/>
        </w:rPr>
      </w:pPr>
      <w:r>
        <w:rPr>
          <w:rFonts w:hint="eastAsia" w:ascii="宋体" w:hAnsi="宋体"/>
          <w:b/>
          <w:bCs/>
          <w:sz w:val="32"/>
        </w:rPr>
        <w:t xml:space="preserve">商务技术文件 </w:t>
      </w:r>
    </w:p>
    <w:p>
      <w:pPr>
        <w:spacing w:line="800" w:lineRule="exact"/>
        <w:ind w:left="4" w:leftChars="-85" w:hanging="182" w:hangingChars="57"/>
        <w:jc w:val="center"/>
        <w:rPr>
          <w:rFonts w:ascii="宋体" w:hAnsi="宋体"/>
          <w:bCs/>
          <w:sz w:val="32"/>
        </w:rPr>
      </w:pPr>
    </w:p>
    <w:p>
      <w:pPr>
        <w:spacing w:line="360" w:lineRule="auto"/>
        <w:ind w:left="4" w:leftChars="-85" w:hanging="182" w:hangingChars="57"/>
        <w:jc w:val="center"/>
        <w:rPr>
          <w:rFonts w:ascii="宋体" w:hAnsi="宋体"/>
          <w:bCs/>
          <w:sz w:val="32"/>
        </w:rPr>
      </w:pPr>
      <w:r>
        <w:rPr>
          <w:rFonts w:hint="eastAsia" w:ascii="宋体" w:hAnsi="宋体"/>
          <w:bCs/>
          <w:sz w:val="32"/>
        </w:rPr>
        <w:t>投标人名称：</w:t>
      </w:r>
      <w:r>
        <w:rPr>
          <w:rFonts w:hint="eastAsia" w:ascii="宋体" w:hAnsi="宋体"/>
          <w:bCs/>
          <w:sz w:val="32"/>
          <w:u w:val="single"/>
        </w:rPr>
        <w:t xml:space="preserve">                     </w:t>
      </w:r>
      <w:r>
        <w:rPr>
          <w:rFonts w:hint="eastAsia" w:ascii="宋体" w:hAnsi="宋体"/>
          <w:bCs/>
          <w:sz w:val="32"/>
        </w:rPr>
        <w:t>（加盖公章）</w:t>
      </w:r>
    </w:p>
    <w:p>
      <w:pPr>
        <w:spacing w:line="360" w:lineRule="auto"/>
        <w:ind w:left="4" w:leftChars="-85" w:hanging="182" w:hangingChars="57"/>
        <w:jc w:val="center"/>
        <w:rPr>
          <w:rFonts w:ascii="宋体" w:hAnsi="宋体"/>
          <w:bCs/>
          <w:sz w:val="32"/>
        </w:rPr>
      </w:pPr>
    </w:p>
    <w:p>
      <w:pPr>
        <w:spacing w:line="360" w:lineRule="auto"/>
        <w:ind w:left="4" w:leftChars="-85" w:hanging="182" w:hangingChars="57"/>
        <w:rPr>
          <w:rFonts w:ascii="宋体" w:hAnsi="宋体"/>
          <w:bCs/>
          <w:sz w:val="32"/>
        </w:rPr>
      </w:pPr>
      <w:r>
        <w:rPr>
          <w:rFonts w:hint="eastAsia" w:ascii="宋体" w:hAnsi="宋体"/>
          <w:bCs/>
          <w:sz w:val="32"/>
        </w:rPr>
        <w:t xml:space="preserve">      投标代表人：</w:t>
      </w:r>
      <w:r>
        <w:rPr>
          <w:rFonts w:hint="eastAsia" w:ascii="宋体" w:hAnsi="宋体"/>
          <w:bCs/>
          <w:sz w:val="32"/>
          <w:u w:val="single"/>
        </w:rPr>
        <w:t xml:space="preserve">                     </w:t>
      </w:r>
      <w:r>
        <w:rPr>
          <w:rFonts w:hint="eastAsia" w:ascii="宋体" w:hAnsi="宋体"/>
          <w:bCs/>
          <w:sz w:val="32"/>
        </w:rPr>
        <w:t>（签    字）</w:t>
      </w:r>
    </w:p>
    <w:p>
      <w:pPr>
        <w:pStyle w:val="8"/>
        <w:ind w:firstLine="736" w:firstLineChars="230"/>
        <w:rPr>
          <w:rFonts w:ascii="宋体" w:hAnsi="宋体" w:eastAsia="宋体"/>
          <w:sz w:val="32"/>
          <w:szCs w:val="32"/>
        </w:rPr>
      </w:pPr>
    </w:p>
    <w:p>
      <w:pPr>
        <w:pStyle w:val="8"/>
        <w:ind w:firstLine="736" w:firstLineChars="230"/>
        <w:rPr>
          <w:rFonts w:ascii="宋体" w:hAnsi="宋体" w:eastAsia="宋体"/>
          <w:sz w:val="32"/>
          <w:szCs w:val="32"/>
        </w:rPr>
      </w:pPr>
      <w:r>
        <w:rPr>
          <w:rFonts w:ascii="宋体" w:hAnsi="宋体" w:eastAsia="宋体"/>
          <w:sz w:val="32"/>
          <w:szCs w:val="32"/>
        </w:rPr>
        <w:t xml:space="preserve">日 </w:t>
      </w:r>
      <w:r>
        <w:rPr>
          <w:rFonts w:hint="eastAsia" w:ascii="宋体" w:hAnsi="宋体" w:eastAsia="宋体"/>
          <w:sz w:val="32"/>
          <w:szCs w:val="32"/>
        </w:rPr>
        <w:t xml:space="preserve">      </w:t>
      </w:r>
      <w:r>
        <w:rPr>
          <w:rFonts w:ascii="宋体" w:hAnsi="宋体" w:eastAsia="宋体"/>
          <w:sz w:val="32"/>
          <w:szCs w:val="32"/>
        </w:rPr>
        <w:t>期：</w:t>
      </w:r>
      <w:r>
        <w:rPr>
          <w:rFonts w:ascii="宋体" w:hAnsi="宋体" w:eastAsia="宋体"/>
          <w:sz w:val="32"/>
          <w:szCs w:val="32"/>
          <w:u w:val="single"/>
        </w:rPr>
        <w:t xml:space="preserve">    </w:t>
      </w:r>
      <w:r>
        <w:rPr>
          <w:rFonts w:hint="eastAsia" w:ascii="宋体" w:hAnsi="宋体" w:eastAsia="宋体"/>
          <w:sz w:val="32"/>
          <w:szCs w:val="32"/>
          <w:u w:val="single"/>
        </w:rPr>
        <w:t xml:space="preserve">    </w:t>
      </w:r>
      <w:r>
        <w:rPr>
          <w:rFonts w:ascii="宋体" w:hAnsi="宋体" w:eastAsia="宋体"/>
          <w:sz w:val="32"/>
          <w:szCs w:val="32"/>
          <w:u w:val="single"/>
        </w:rPr>
        <w:t xml:space="preserve"> </w:t>
      </w:r>
      <w:r>
        <w:rPr>
          <w:rFonts w:ascii="宋体" w:hAnsi="宋体" w:eastAsia="宋体"/>
          <w:sz w:val="32"/>
          <w:szCs w:val="32"/>
        </w:rPr>
        <w:t>年</w:t>
      </w:r>
      <w:r>
        <w:rPr>
          <w:rFonts w:ascii="宋体" w:hAnsi="宋体" w:eastAsia="宋体"/>
          <w:sz w:val="32"/>
          <w:szCs w:val="32"/>
          <w:u w:val="single"/>
        </w:rPr>
        <w:t xml:space="preserve">   </w:t>
      </w:r>
      <w:r>
        <w:rPr>
          <w:rFonts w:hint="eastAsia" w:ascii="宋体" w:hAnsi="宋体" w:eastAsia="宋体"/>
          <w:sz w:val="32"/>
          <w:szCs w:val="32"/>
          <w:u w:val="single"/>
        </w:rPr>
        <w:t xml:space="preserve">   </w:t>
      </w:r>
      <w:r>
        <w:rPr>
          <w:rFonts w:ascii="宋体" w:hAnsi="宋体" w:eastAsia="宋体"/>
          <w:sz w:val="32"/>
          <w:szCs w:val="32"/>
          <w:u w:val="single"/>
        </w:rPr>
        <w:t xml:space="preserve"> </w:t>
      </w:r>
      <w:r>
        <w:rPr>
          <w:rFonts w:hint="eastAsia" w:ascii="宋体" w:hAnsi="宋体" w:eastAsia="宋体"/>
          <w:sz w:val="32"/>
          <w:szCs w:val="32"/>
          <w:u w:val="single"/>
        </w:rPr>
        <w:t xml:space="preserve"> </w:t>
      </w:r>
      <w:r>
        <w:rPr>
          <w:rFonts w:ascii="宋体" w:hAnsi="宋体" w:eastAsia="宋体"/>
          <w:sz w:val="32"/>
          <w:szCs w:val="32"/>
        </w:rPr>
        <w:t xml:space="preserve">月 </w:t>
      </w:r>
      <w:r>
        <w:rPr>
          <w:rFonts w:ascii="宋体" w:hAnsi="宋体" w:eastAsia="宋体"/>
          <w:sz w:val="32"/>
          <w:szCs w:val="32"/>
          <w:u w:val="single"/>
        </w:rPr>
        <w:t xml:space="preserve"> </w:t>
      </w:r>
      <w:r>
        <w:rPr>
          <w:rFonts w:hint="eastAsia" w:ascii="宋体" w:hAnsi="宋体" w:eastAsia="宋体"/>
          <w:sz w:val="32"/>
          <w:szCs w:val="32"/>
          <w:u w:val="single"/>
        </w:rPr>
        <w:t xml:space="preserve">   </w:t>
      </w:r>
      <w:r>
        <w:rPr>
          <w:rFonts w:ascii="宋体" w:hAnsi="宋体" w:eastAsia="宋体"/>
          <w:sz w:val="32"/>
          <w:szCs w:val="32"/>
          <w:u w:val="single"/>
        </w:rPr>
        <w:t xml:space="preserve">   </w:t>
      </w:r>
      <w:r>
        <w:rPr>
          <w:rFonts w:ascii="宋体" w:hAnsi="宋体" w:eastAsia="宋体"/>
          <w:sz w:val="32"/>
          <w:szCs w:val="32"/>
        </w:rPr>
        <w:t xml:space="preserve">日      </w:t>
      </w:r>
    </w:p>
    <w:p>
      <w:pPr>
        <w:spacing w:line="360" w:lineRule="auto"/>
        <w:ind w:firstLine="280" w:firstLineChars="100"/>
        <w:rPr>
          <w:sz w:val="28"/>
          <w:szCs w:val="28"/>
        </w:rPr>
      </w:pPr>
      <w:r>
        <w:rPr>
          <w:sz w:val="28"/>
          <w:szCs w:val="28"/>
        </w:rPr>
        <w:t xml:space="preserve"> </w:t>
      </w:r>
    </w:p>
    <w:p>
      <w:pPr>
        <w:snapToGrid w:val="0"/>
        <w:spacing w:line="360" w:lineRule="auto"/>
        <w:jc w:val="center"/>
        <w:outlineLvl w:val="1"/>
        <w:rPr>
          <w:rStyle w:val="29"/>
          <w:rFonts w:ascii="Times New Roman" w:eastAsia="宋体"/>
          <w:sz w:val="21"/>
          <w:szCs w:val="21"/>
        </w:rPr>
      </w:pPr>
      <w:r>
        <w:rPr>
          <w:rStyle w:val="29"/>
          <w:rFonts w:ascii="Times New Roman" w:hAnsi="Times New Roman" w:eastAsia="宋体"/>
          <w:szCs w:val="28"/>
        </w:rPr>
        <w:br w:type="page"/>
      </w:r>
    </w:p>
    <w:p>
      <w:pPr>
        <w:snapToGrid w:val="0"/>
        <w:spacing w:line="360" w:lineRule="auto"/>
        <w:jc w:val="center"/>
        <w:outlineLvl w:val="1"/>
        <w:rPr>
          <w:rStyle w:val="29"/>
          <w:rFonts w:ascii="Times New Roman" w:eastAsia="宋体"/>
          <w:sz w:val="21"/>
          <w:szCs w:val="21"/>
        </w:rPr>
      </w:pPr>
      <w:r>
        <w:rPr>
          <w:rStyle w:val="29"/>
          <w:rFonts w:hint="eastAsia" w:ascii="Times New Roman" w:eastAsia="宋体"/>
          <w:sz w:val="21"/>
          <w:szCs w:val="21"/>
        </w:rPr>
        <w:t>五</w:t>
      </w:r>
      <w:r>
        <w:rPr>
          <w:rStyle w:val="29"/>
          <w:rFonts w:ascii="Times New Roman" w:eastAsia="宋体"/>
          <w:sz w:val="21"/>
          <w:szCs w:val="21"/>
        </w:rPr>
        <w:t>、商务</w:t>
      </w:r>
      <w:r>
        <w:rPr>
          <w:rStyle w:val="29"/>
          <w:rFonts w:hint="eastAsia" w:ascii="Times New Roman" w:eastAsia="宋体"/>
          <w:sz w:val="21"/>
          <w:szCs w:val="21"/>
        </w:rPr>
        <w:t>技术</w:t>
      </w:r>
      <w:r>
        <w:rPr>
          <w:rStyle w:val="29"/>
          <w:rFonts w:ascii="Times New Roman" w:eastAsia="宋体"/>
          <w:sz w:val="21"/>
          <w:szCs w:val="21"/>
        </w:rPr>
        <w:t>文件</w:t>
      </w:r>
      <w:r>
        <w:rPr>
          <w:rStyle w:val="29"/>
          <w:rFonts w:hint="eastAsia" w:ascii="Times New Roman" w:eastAsia="宋体"/>
          <w:sz w:val="21"/>
          <w:szCs w:val="21"/>
        </w:rPr>
        <w:t>目录</w:t>
      </w:r>
    </w:p>
    <w:p>
      <w:pPr>
        <w:pStyle w:val="32"/>
        <w:spacing w:line="312" w:lineRule="auto"/>
        <w:ind w:firstLine="422" w:firstLineChars="200"/>
        <w:rPr>
          <w:rFonts w:ascii="Times New Roman" w:eastAsia="宋体"/>
          <w:b/>
          <w:bCs/>
          <w:sz w:val="21"/>
          <w:szCs w:val="21"/>
        </w:rPr>
      </w:pPr>
      <w:r>
        <w:rPr>
          <w:rFonts w:hint="eastAsia" w:ascii="Times New Roman" w:eastAsia="宋体"/>
          <w:b/>
          <w:bCs/>
          <w:sz w:val="21"/>
          <w:szCs w:val="21"/>
        </w:rPr>
        <w:t>1、</w:t>
      </w:r>
      <w:r>
        <w:rPr>
          <w:rFonts w:ascii="Times New Roman" w:eastAsia="宋体"/>
          <w:b/>
          <w:bCs/>
          <w:sz w:val="21"/>
          <w:szCs w:val="21"/>
        </w:rPr>
        <w:t>自评表</w:t>
      </w:r>
      <w:r>
        <w:rPr>
          <w:rFonts w:hint="eastAsia" w:ascii="Times New Roman" w:eastAsia="宋体"/>
          <w:b/>
          <w:bCs/>
          <w:sz w:val="21"/>
          <w:szCs w:val="21"/>
        </w:rPr>
        <w:t>（见格式）；</w:t>
      </w:r>
    </w:p>
    <w:p>
      <w:pPr>
        <w:pStyle w:val="32"/>
        <w:spacing w:line="312" w:lineRule="auto"/>
        <w:ind w:firstLine="422" w:firstLineChars="200"/>
        <w:rPr>
          <w:rFonts w:ascii="Times New Roman" w:eastAsia="宋体"/>
          <w:b/>
          <w:bCs/>
          <w:sz w:val="21"/>
          <w:szCs w:val="21"/>
        </w:rPr>
      </w:pPr>
      <w:r>
        <w:rPr>
          <w:rFonts w:hint="eastAsia" w:ascii="Times New Roman" w:eastAsia="宋体"/>
          <w:b/>
          <w:bCs/>
          <w:sz w:val="21"/>
          <w:szCs w:val="21"/>
        </w:rPr>
        <w:t>2、具体内容投标人可参考评分细则自行编制。（第五章有格式提供的可按格式编制，未提供格式的格式自拟）；</w:t>
      </w:r>
    </w:p>
    <w:p>
      <w:pPr>
        <w:pStyle w:val="32"/>
        <w:spacing w:line="312" w:lineRule="auto"/>
        <w:ind w:firstLine="422" w:firstLineChars="200"/>
        <w:rPr>
          <w:rFonts w:ascii="Times New Roman" w:eastAsia="宋体"/>
          <w:b/>
          <w:bCs/>
          <w:sz w:val="21"/>
          <w:szCs w:val="21"/>
        </w:rPr>
      </w:pPr>
      <w:r>
        <w:rPr>
          <w:rFonts w:hint="eastAsia" w:ascii="Times New Roman" w:eastAsia="宋体"/>
          <w:b/>
          <w:bCs/>
          <w:sz w:val="21"/>
          <w:szCs w:val="21"/>
        </w:rPr>
        <w:t>3、投标人</w:t>
      </w:r>
      <w:r>
        <w:rPr>
          <w:rFonts w:ascii="Times New Roman" w:eastAsia="宋体"/>
          <w:b/>
          <w:bCs/>
          <w:sz w:val="21"/>
          <w:szCs w:val="21"/>
        </w:rPr>
        <w:t>认为需要提供的其他商务技术资料</w:t>
      </w:r>
      <w:r>
        <w:rPr>
          <w:rFonts w:hint="eastAsia" w:ascii="Times New Roman" w:eastAsia="宋体"/>
          <w:b/>
          <w:bCs/>
          <w:sz w:val="21"/>
          <w:szCs w:val="21"/>
        </w:rPr>
        <w:t>。</w:t>
      </w: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rPr>
          <w:rStyle w:val="29"/>
          <w:rFonts w:ascii="Times New Roman" w:eastAsia="宋体"/>
          <w:sz w:val="21"/>
          <w:szCs w:val="21"/>
        </w:rPr>
      </w:pPr>
    </w:p>
    <w:p>
      <w:pPr>
        <w:pStyle w:val="32"/>
        <w:spacing w:line="312" w:lineRule="auto"/>
        <w:ind w:firstLine="0" w:firstLineChars="0"/>
        <w:jc w:val="center"/>
        <w:outlineLvl w:val="1"/>
        <w:rPr>
          <w:rStyle w:val="29"/>
          <w:rFonts w:ascii="Times New Roman" w:hAnsi="Times New Roman" w:eastAsia="宋体"/>
          <w:sz w:val="21"/>
          <w:szCs w:val="21"/>
        </w:rPr>
      </w:pPr>
      <w:bookmarkStart w:id="69" w:name="_Toc46418844"/>
      <w:r>
        <w:rPr>
          <w:rStyle w:val="29"/>
          <w:rFonts w:ascii="Times New Roman" w:eastAsia="宋体"/>
          <w:sz w:val="21"/>
          <w:szCs w:val="21"/>
        </w:rPr>
        <w:br w:type="page"/>
      </w:r>
      <w:r>
        <w:rPr>
          <w:rStyle w:val="29"/>
          <w:rFonts w:ascii="Times New Roman" w:eastAsia="宋体"/>
          <w:sz w:val="21"/>
          <w:szCs w:val="21"/>
        </w:rPr>
        <w:t>六</w:t>
      </w:r>
      <w:r>
        <w:rPr>
          <w:rStyle w:val="29"/>
          <w:rFonts w:hint="eastAsia" w:ascii="Times New Roman" w:eastAsia="宋体"/>
          <w:sz w:val="21"/>
          <w:szCs w:val="21"/>
        </w:rPr>
        <w:t>、</w:t>
      </w:r>
      <w:r>
        <w:rPr>
          <w:rStyle w:val="29"/>
          <w:rFonts w:ascii="Times New Roman" w:eastAsia="宋体"/>
          <w:sz w:val="21"/>
          <w:szCs w:val="21"/>
        </w:rPr>
        <w:t>商务技术文件</w:t>
      </w:r>
      <w:bookmarkEnd w:id="69"/>
    </w:p>
    <w:p>
      <w:pPr>
        <w:pStyle w:val="32"/>
        <w:spacing w:line="312" w:lineRule="auto"/>
        <w:ind w:firstLine="0" w:firstLineChars="0"/>
        <w:jc w:val="center"/>
        <w:rPr>
          <w:szCs w:val="21"/>
        </w:rPr>
      </w:pPr>
      <w:r>
        <w:rPr>
          <w:rFonts w:ascii="Times New Roman" w:hAnsi="Times New Roman" w:eastAsia="宋体"/>
          <w:b/>
          <w:bCs/>
          <w:sz w:val="21"/>
          <w:szCs w:val="21"/>
        </w:rPr>
        <w:t>1</w:t>
      </w:r>
      <w:r>
        <w:rPr>
          <w:rFonts w:hint="eastAsia" w:ascii="Times New Roman" w:hAnsi="Times New Roman" w:eastAsia="宋体"/>
          <w:b/>
          <w:bCs/>
          <w:sz w:val="21"/>
          <w:szCs w:val="21"/>
        </w:rPr>
        <w:t>、</w:t>
      </w:r>
      <w:r>
        <w:rPr>
          <w:rFonts w:ascii="Times New Roman" w:hAnsi="Times New Roman" w:eastAsia="宋体"/>
          <w:b/>
          <w:bCs/>
          <w:sz w:val="21"/>
          <w:szCs w:val="21"/>
        </w:rPr>
        <w:t xml:space="preserve"> </w:t>
      </w:r>
      <w:r>
        <w:rPr>
          <w:rFonts w:ascii="Times New Roman" w:eastAsia="宋体"/>
          <w:b/>
          <w:bCs/>
          <w:sz w:val="21"/>
          <w:szCs w:val="21"/>
        </w:rPr>
        <w:t>自评表</w:t>
      </w:r>
    </w:p>
    <w:tbl>
      <w:tblPr>
        <w:tblStyle w:val="18"/>
        <w:tblW w:w="0" w:type="auto"/>
        <w:tblInd w:w="0" w:type="dxa"/>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Layout w:type="fixed"/>
        <w:tblCellMar>
          <w:top w:w="0" w:type="dxa"/>
          <w:left w:w="108" w:type="dxa"/>
          <w:bottom w:w="0" w:type="dxa"/>
          <w:right w:w="108" w:type="dxa"/>
        </w:tblCellMar>
      </w:tblPr>
      <w:tblGrid>
        <w:gridCol w:w="1266"/>
        <w:gridCol w:w="4857"/>
        <w:gridCol w:w="1909"/>
        <w:gridCol w:w="1406"/>
      </w:tblGrid>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12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12" w:lineRule="auto"/>
              <w:jc w:val="center"/>
              <w:rPr>
                <w:b/>
                <w:bCs/>
                <w:szCs w:val="21"/>
              </w:rPr>
            </w:pPr>
            <w:r>
              <w:rPr>
                <w:rFonts w:hAnsi="宋体"/>
                <w:b/>
                <w:bCs/>
                <w:szCs w:val="21"/>
              </w:rPr>
              <w:t>评分项</w:t>
            </w:r>
          </w:p>
        </w:tc>
        <w:tc>
          <w:tcPr>
            <w:tcW w:w="4857"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b/>
                <w:bCs/>
                <w:szCs w:val="21"/>
              </w:rPr>
            </w:pPr>
            <w:r>
              <w:rPr>
                <w:rFonts w:hAnsi="宋体"/>
                <w:b/>
                <w:bCs/>
                <w:szCs w:val="21"/>
              </w:rPr>
              <w:t>细则</w:t>
            </w:r>
          </w:p>
        </w:tc>
        <w:tc>
          <w:tcPr>
            <w:tcW w:w="1909"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b/>
                <w:bCs/>
                <w:szCs w:val="21"/>
              </w:rPr>
            </w:pPr>
            <w:r>
              <w:rPr>
                <w:rFonts w:hAnsi="宋体"/>
                <w:b/>
                <w:bCs/>
                <w:szCs w:val="21"/>
              </w:rPr>
              <w:t>自评分</w:t>
            </w:r>
          </w:p>
        </w:tc>
        <w:tc>
          <w:tcPr>
            <w:tcW w:w="140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b/>
                <w:bCs/>
                <w:szCs w:val="21"/>
              </w:rPr>
            </w:pPr>
            <w:r>
              <w:rPr>
                <w:rFonts w:hAnsi="宋体"/>
                <w:b/>
                <w:bCs/>
                <w:szCs w:val="21"/>
              </w:rPr>
              <w:t>页码</w:t>
            </w: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2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12" w:lineRule="auto"/>
              <w:rPr>
                <w:b/>
                <w:bCs/>
                <w:szCs w:val="21"/>
              </w:rPr>
            </w:pPr>
          </w:p>
        </w:tc>
        <w:tc>
          <w:tcPr>
            <w:tcW w:w="4857" w:type="dxa"/>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b/>
                <w:bCs/>
                <w:szCs w:val="21"/>
              </w:rPr>
            </w:pPr>
          </w:p>
        </w:tc>
        <w:tc>
          <w:tcPr>
            <w:tcW w:w="19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szCs w:val="21"/>
              </w:rPr>
            </w:pPr>
          </w:p>
        </w:tc>
        <w:tc>
          <w:tcPr>
            <w:tcW w:w="1406" w:type="dxa"/>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szCs w:val="21"/>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266"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12" w:lineRule="auto"/>
              <w:rPr>
                <w:b/>
                <w:bCs/>
                <w:szCs w:val="21"/>
              </w:rPr>
            </w:pPr>
          </w:p>
        </w:tc>
        <w:tc>
          <w:tcPr>
            <w:tcW w:w="4857" w:type="dxa"/>
            <w:tcBorders>
              <w:top w:val="single" w:color="auto" w:sz="4" w:space="0"/>
              <w:left w:val="single" w:color="auto" w:sz="4" w:space="0"/>
              <w:right w:val="single" w:color="auto" w:sz="4" w:space="0"/>
            </w:tcBorders>
            <w:vAlign w:val="center"/>
          </w:tcPr>
          <w:p>
            <w:pPr>
              <w:snapToGrid w:val="0"/>
              <w:spacing w:line="312" w:lineRule="auto"/>
              <w:jc w:val="left"/>
              <w:rPr>
                <w:b/>
                <w:bCs/>
                <w:szCs w:val="21"/>
              </w:rPr>
            </w:pPr>
          </w:p>
        </w:tc>
        <w:tc>
          <w:tcPr>
            <w:tcW w:w="1909" w:type="dxa"/>
            <w:tcBorders>
              <w:top w:val="single" w:color="auto" w:sz="4" w:space="0"/>
              <w:left w:val="single" w:color="auto" w:sz="4" w:space="0"/>
              <w:right w:val="single" w:color="auto" w:sz="4" w:space="0"/>
            </w:tcBorders>
            <w:vAlign w:val="center"/>
          </w:tcPr>
          <w:p>
            <w:pPr>
              <w:snapToGrid w:val="0"/>
              <w:spacing w:line="312" w:lineRule="auto"/>
              <w:jc w:val="left"/>
              <w:rPr>
                <w:szCs w:val="21"/>
              </w:rPr>
            </w:pPr>
          </w:p>
        </w:tc>
        <w:tc>
          <w:tcPr>
            <w:tcW w:w="1406" w:type="dxa"/>
            <w:tcBorders>
              <w:top w:val="single" w:color="auto" w:sz="4" w:space="0"/>
              <w:left w:val="single" w:color="auto" w:sz="4" w:space="0"/>
              <w:right w:val="single" w:color="auto" w:sz="4" w:space="0"/>
            </w:tcBorders>
            <w:vAlign w:val="center"/>
          </w:tcPr>
          <w:p>
            <w:pPr>
              <w:snapToGrid w:val="0"/>
              <w:spacing w:line="312" w:lineRule="auto"/>
              <w:jc w:val="left"/>
              <w:rPr>
                <w:szCs w:val="21"/>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266" w:type="dxa"/>
            <w:tcBorders>
              <w:top w:val="single" w:color="auto" w:sz="4" w:space="0"/>
              <w:left w:val="single" w:color="auto" w:sz="4" w:space="0"/>
              <w:right w:val="single" w:color="auto" w:sz="4" w:space="0"/>
            </w:tcBorders>
            <w:vAlign w:val="center"/>
          </w:tcPr>
          <w:p>
            <w:pPr>
              <w:snapToGrid w:val="0"/>
              <w:jc w:val="left"/>
              <w:rPr>
                <w:b/>
                <w:bCs/>
                <w:szCs w:val="21"/>
              </w:rPr>
            </w:pPr>
          </w:p>
        </w:tc>
        <w:tc>
          <w:tcPr>
            <w:tcW w:w="4857" w:type="dxa"/>
            <w:tcBorders>
              <w:top w:val="single" w:color="auto" w:sz="4" w:space="0"/>
              <w:left w:val="single" w:color="auto" w:sz="4" w:space="0"/>
              <w:right w:val="single" w:color="auto" w:sz="4" w:space="0"/>
            </w:tcBorders>
            <w:vAlign w:val="center"/>
          </w:tcPr>
          <w:p>
            <w:pPr>
              <w:snapToGrid w:val="0"/>
              <w:spacing w:line="312" w:lineRule="auto"/>
              <w:jc w:val="left"/>
              <w:rPr>
                <w:b/>
                <w:bCs/>
                <w:szCs w:val="21"/>
              </w:rPr>
            </w:pPr>
          </w:p>
        </w:tc>
        <w:tc>
          <w:tcPr>
            <w:tcW w:w="1909" w:type="dxa"/>
            <w:tcBorders>
              <w:top w:val="single" w:color="auto" w:sz="4" w:space="0"/>
              <w:left w:val="single" w:color="auto" w:sz="4" w:space="0"/>
              <w:right w:val="single" w:color="auto" w:sz="4" w:space="0"/>
            </w:tcBorders>
            <w:vAlign w:val="center"/>
          </w:tcPr>
          <w:p>
            <w:pPr>
              <w:snapToGrid w:val="0"/>
              <w:spacing w:line="312" w:lineRule="auto"/>
              <w:jc w:val="left"/>
              <w:rPr>
                <w:szCs w:val="21"/>
              </w:rPr>
            </w:pPr>
          </w:p>
        </w:tc>
        <w:tc>
          <w:tcPr>
            <w:tcW w:w="1406" w:type="dxa"/>
            <w:tcBorders>
              <w:top w:val="single" w:color="auto" w:sz="4" w:space="0"/>
              <w:left w:val="single" w:color="auto" w:sz="4" w:space="0"/>
              <w:right w:val="single" w:color="auto" w:sz="4" w:space="0"/>
            </w:tcBorders>
            <w:vAlign w:val="center"/>
          </w:tcPr>
          <w:p>
            <w:pPr>
              <w:snapToGrid w:val="0"/>
              <w:spacing w:line="312" w:lineRule="auto"/>
              <w:jc w:val="left"/>
              <w:rPr>
                <w:szCs w:val="21"/>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266" w:type="dxa"/>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b/>
                <w:bCs/>
                <w:szCs w:val="21"/>
              </w:rPr>
            </w:pPr>
          </w:p>
        </w:tc>
        <w:tc>
          <w:tcPr>
            <w:tcW w:w="4857" w:type="dxa"/>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b/>
                <w:bCs/>
                <w:szCs w:val="21"/>
              </w:rPr>
            </w:pPr>
          </w:p>
        </w:tc>
        <w:tc>
          <w:tcPr>
            <w:tcW w:w="1909" w:type="dxa"/>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szCs w:val="21"/>
              </w:rPr>
            </w:pPr>
          </w:p>
        </w:tc>
        <w:tc>
          <w:tcPr>
            <w:tcW w:w="1406" w:type="dxa"/>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szCs w:val="21"/>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6" w:type="dxa"/>
            <w:tcBorders>
              <w:top w:val="single" w:color="auto" w:sz="4" w:space="0"/>
              <w:left w:val="single" w:color="auto" w:sz="4" w:space="0"/>
              <w:bottom w:val="single" w:color="auto" w:sz="4" w:space="0"/>
              <w:right w:val="single" w:color="auto" w:sz="4" w:space="0"/>
            </w:tcBorders>
            <w:vAlign w:val="center"/>
          </w:tcPr>
          <w:p>
            <w:pPr>
              <w:widowControl/>
              <w:snapToGrid w:val="0"/>
              <w:spacing w:line="312" w:lineRule="auto"/>
              <w:jc w:val="left"/>
              <w:rPr>
                <w:b/>
                <w:bCs/>
                <w:szCs w:val="21"/>
              </w:rPr>
            </w:pPr>
          </w:p>
        </w:tc>
        <w:tc>
          <w:tcPr>
            <w:tcW w:w="4857" w:type="dxa"/>
            <w:tcBorders>
              <w:top w:val="single" w:color="auto" w:sz="4" w:space="0"/>
              <w:left w:val="single" w:color="auto" w:sz="4" w:space="0"/>
              <w:bottom w:val="single" w:color="auto" w:sz="4" w:space="0"/>
              <w:right w:val="single" w:color="auto" w:sz="4" w:space="0"/>
            </w:tcBorders>
          </w:tcPr>
          <w:p>
            <w:pPr>
              <w:widowControl/>
              <w:snapToGrid w:val="0"/>
              <w:spacing w:line="312" w:lineRule="auto"/>
              <w:jc w:val="left"/>
              <w:rPr>
                <w:b/>
                <w:bCs/>
                <w:szCs w:val="21"/>
              </w:rPr>
            </w:pPr>
          </w:p>
        </w:tc>
        <w:tc>
          <w:tcPr>
            <w:tcW w:w="1909" w:type="dxa"/>
            <w:tcBorders>
              <w:top w:val="single" w:color="auto" w:sz="4" w:space="0"/>
              <w:left w:val="single" w:color="auto" w:sz="4" w:space="0"/>
              <w:bottom w:val="single" w:color="auto" w:sz="4" w:space="0"/>
              <w:right w:val="single" w:color="auto" w:sz="4" w:space="0"/>
            </w:tcBorders>
          </w:tcPr>
          <w:p>
            <w:pPr>
              <w:widowControl/>
              <w:snapToGrid w:val="0"/>
              <w:spacing w:line="312" w:lineRule="auto"/>
              <w:jc w:val="left"/>
              <w:rPr>
                <w:szCs w:val="21"/>
              </w:rPr>
            </w:pPr>
          </w:p>
        </w:tc>
        <w:tc>
          <w:tcPr>
            <w:tcW w:w="1406" w:type="dxa"/>
            <w:tcBorders>
              <w:top w:val="single" w:color="auto" w:sz="4" w:space="0"/>
              <w:left w:val="single" w:color="auto" w:sz="4" w:space="0"/>
              <w:bottom w:val="single" w:color="auto" w:sz="4" w:space="0"/>
              <w:right w:val="single" w:color="auto" w:sz="4" w:space="0"/>
            </w:tcBorders>
          </w:tcPr>
          <w:p>
            <w:pPr>
              <w:widowControl/>
              <w:snapToGrid w:val="0"/>
              <w:spacing w:line="312" w:lineRule="auto"/>
              <w:jc w:val="left"/>
              <w:rPr>
                <w:szCs w:val="21"/>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rPr>
                <w:b/>
                <w:bCs/>
                <w:szCs w:val="21"/>
              </w:rPr>
            </w:pPr>
          </w:p>
        </w:tc>
        <w:tc>
          <w:tcPr>
            <w:tcW w:w="4857" w:type="dxa"/>
            <w:tcBorders>
              <w:top w:val="single" w:color="auto" w:sz="4" w:space="0"/>
              <w:left w:val="single" w:color="auto" w:sz="4" w:space="0"/>
              <w:bottom w:val="single" w:color="auto" w:sz="4" w:space="0"/>
              <w:right w:val="single" w:color="auto" w:sz="4" w:space="0"/>
            </w:tcBorders>
          </w:tcPr>
          <w:p>
            <w:pPr>
              <w:spacing w:line="320" w:lineRule="exact"/>
              <w:rPr>
                <w:b/>
                <w:bCs/>
                <w:szCs w:val="21"/>
              </w:rPr>
            </w:pPr>
          </w:p>
        </w:tc>
        <w:tc>
          <w:tcPr>
            <w:tcW w:w="1909" w:type="dxa"/>
            <w:tcBorders>
              <w:top w:val="single" w:color="auto" w:sz="4" w:space="0"/>
              <w:left w:val="single" w:color="auto" w:sz="4" w:space="0"/>
              <w:bottom w:val="single" w:color="auto" w:sz="4" w:space="0"/>
              <w:right w:val="single" w:color="auto" w:sz="4" w:space="0"/>
            </w:tcBorders>
          </w:tcPr>
          <w:p>
            <w:pPr>
              <w:spacing w:line="320" w:lineRule="exact"/>
              <w:rPr>
                <w:b/>
                <w:bCs/>
                <w:szCs w:val="21"/>
              </w:rPr>
            </w:pPr>
          </w:p>
        </w:tc>
        <w:tc>
          <w:tcPr>
            <w:tcW w:w="1406" w:type="dxa"/>
            <w:tcBorders>
              <w:top w:val="single" w:color="auto" w:sz="4" w:space="0"/>
              <w:left w:val="single" w:color="auto" w:sz="4" w:space="0"/>
              <w:bottom w:val="single" w:color="auto" w:sz="4" w:space="0"/>
              <w:right w:val="single" w:color="auto" w:sz="4" w:space="0"/>
            </w:tcBorders>
          </w:tcPr>
          <w:p>
            <w:pPr>
              <w:spacing w:line="320" w:lineRule="exact"/>
              <w:rPr>
                <w:b/>
                <w:bCs/>
                <w:szCs w:val="21"/>
              </w:rPr>
            </w:pPr>
          </w:p>
        </w:tc>
      </w:tr>
      <w:tr>
        <w:tblPrEx>
          <w:tblBorders>
            <w:top w:val="single" w:color="808080" w:sz="4" w:space="0"/>
            <w:left w:val="single" w:color="808080" w:sz="4" w:space="0"/>
            <w:bottom w:val="single" w:color="808080" w:sz="4" w:space="0"/>
            <w:right w:val="single" w:color="808080" w:sz="6"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rPr>
                <w:b/>
                <w:bCs/>
                <w:szCs w:val="21"/>
              </w:rPr>
            </w:pPr>
          </w:p>
        </w:tc>
        <w:tc>
          <w:tcPr>
            <w:tcW w:w="4857" w:type="dxa"/>
            <w:tcBorders>
              <w:top w:val="single" w:color="auto" w:sz="4" w:space="0"/>
              <w:left w:val="single" w:color="auto" w:sz="4" w:space="0"/>
              <w:bottom w:val="single" w:color="auto" w:sz="4" w:space="0"/>
              <w:right w:val="single" w:color="auto" w:sz="4" w:space="0"/>
            </w:tcBorders>
          </w:tcPr>
          <w:p>
            <w:pPr>
              <w:spacing w:line="320" w:lineRule="exact"/>
              <w:rPr>
                <w:b/>
                <w:bCs/>
                <w:szCs w:val="21"/>
              </w:rPr>
            </w:pPr>
          </w:p>
        </w:tc>
        <w:tc>
          <w:tcPr>
            <w:tcW w:w="1909" w:type="dxa"/>
            <w:tcBorders>
              <w:top w:val="single" w:color="auto" w:sz="4" w:space="0"/>
              <w:left w:val="single" w:color="auto" w:sz="4" w:space="0"/>
              <w:bottom w:val="single" w:color="auto" w:sz="4" w:space="0"/>
              <w:right w:val="single" w:color="auto" w:sz="4" w:space="0"/>
            </w:tcBorders>
          </w:tcPr>
          <w:p>
            <w:pPr>
              <w:spacing w:line="320" w:lineRule="exact"/>
              <w:rPr>
                <w:b/>
                <w:bCs/>
                <w:szCs w:val="21"/>
              </w:rPr>
            </w:pPr>
          </w:p>
        </w:tc>
        <w:tc>
          <w:tcPr>
            <w:tcW w:w="1406" w:type="dxa"/>
            <w:tcBorders>
              <w:top w:val="single" w:color="auto" w:sz="4" w:space="0"/>
              <w:left w:val="single" w:color="auto" w:sz="4" w:space="0"/>
              <w:bottom w:val="single" w:color="auto" w:sz="4" w:space="0"/>
              <w:right w:val="single" w:color="auto" w:sz="4" w:space="0"/>
            </w:tcBorders>
          </w:tcPr>
          <w:p>
            <w:pPr>
              <w:spacing w:line="320" w:lineRule="exact"/>
              <w:rPr>
                <w:b/>
                <w:bCs/>
                <w:szCs w:val="21"/>
              </w:rPr>
            </w:pPr>
          </w:p>
        </w:tc>
      </w:tr>
    </w:tbl>
    <w:p>
      <w:pPr>
        <w:spacing w:line="320" w:lineRule="exact"/>
        <w:rPr>
          <w:b/>
          <w:bCs/>
          <w:szCs w:val="21"/>
        </w:rPr>
      </w:pPr>
    </w:p>
    <w:p>
      <w:pPr>
        <w:snapToGrid w:val="0"/>
        <w:spacing w:line="312" w:lineRule="auto"/>
        <w:rPr>
          <w:szCs w:val="21"/>
        </w:rPr>
      </w:pPr>
      <w:r>
        <w:rPr>
          <w:rFonts w:hAnsi="宋体"/>
          <w:szCs w:val="21"/>
        </w:rPr>
        <w:t>投标人（盖章）：</w:t>
      </w:r>
    </w:p>
    <w:p>
      <w:pPr>
        <w:snapToGrid w:val="0"/>
        <w:spacing w:line="312" w:lineRule="auto"/>
        <w:rPr>
          <w:szCs w:val="21"/>
        </w:rPr>
      </w:pPr>
      <w:r>
        <w:rPr>
          <w:rFonts w:hAnsi="宋体"/>
          <w:szCs w:val="21"/>
        </w:rPr>
        <w:t>法定代表人或授权代表人（签字或盖章）：</w:t>
      </w:r>
      <w:r>
        <w:rPr>
          <w:szCs w:val="21"/>
        </w:rPr>
        <w:t xml:space="preserve">                                   </w:t>
      </w:r>
    </w:p>
    <w:p>
      <w:pPr>
        <w:snapToGrid w:val="0"/>
        <w:spacing w:line="312" w:lineRule="auto"/>
        <w:rPr>
          <w:szCs w:val="21"/>
        </w:rPr>
      </w:pPr>
      <w:r>
        <w:rPr>
          <w:rFonts w:hAnsi="宋体"/>
          <w:szCs w:val="21"/>
        </w:rPr>
        <w:t>日期：</w:t>
      </w:r>
    </w:p>
    <w:p>
      <w:pPr>
        <w:pStyle w:val="32"/>
        <w:spacing w:line="312" w:lineRule="auto"/>
        <w:ind w:firstLine="0" w:firstLineChars="0"/>
        <w:jc w:val="center"/>
        <w:rPr>
          <w:rFonts w:ascii="Times New Roman" w:hAnsi="Times New Roman" w:eastAsia="宋体"/>
          <w:sz w:val="21"/>
          <w:szCs w:val="21"/>
        </w:rPr>
      </w:pPr>
    </w:p>
    <w:p>
      <w:pPr>
        <w:pStyle w:val="32"/>
        <w:spacing w:line="312" w:lineRule="auto"/>
        <w:ind w:firstLine="0" w:firstLineChars="0"/>
        <w:jc w:val="center"/>
        <w:rPr>
          <w:rFonts w:ascii="Times New Roman" w:hAnsi="Times New Roman" w:eastAsia="宋体"/>
          <w:sz w:val="21"/>
          <w:szCs w:val="21"/>
        </w:rPr>
      </w:pPr>
    </w:p>
    <w:p>
      <w:pPr>
        <w:pStyle w:val="32"/>
        <w:spacing w:line="312" w:lineRule="auto"/>
        <w:ind w:firstLine="0" w:firstLineChars="0"/>
        <w:jc w:val="center"/>
        <w:rPr>
          <w:rFonts w:ascii="Times New Roman" w:hAnsi="Times New Roman" w:eastAsia="宋体"/>
          <w:sz w:val="21"/>
          <w:szCs w:val="21"/>
        </w:rPr>
      </w:pPr>
    </w:p>
    <w:p>
      <w:pPr>
        <w:spacing w:line="400" w:lineRule="exact"/>
        <w:jc w:val="center"/>
        <w:rPr>
          <w:rFonts w:hAnsi="Arial"/>
          <w:b/>
          <w:bCs/>
          <w:iCs/>
          <w:sz w:val="30"/>
          <w:szCs w:val="30"/>
        </w:rPr>
      </w:pPr>
      <w:r>
        <w:rPr>
          <w:b/>
          <w:bCs/>
          <w:iCs/>
          <w:sz w:val="30"/>
          <w:szCs w:val="30"/>
        </w:rPr>
        <w:br w:type="page"/>
      </w:r>
      <w:r>
        <w:rPr>
          <w:b/>
          <w:bCs/>
          <w:iCs/>
          <w:sz w:val="30"/>
          <w:szCs w:val="30"/>
        </w:rPr>
        <w:t>2</w:t>
      </w:r>
      <w:r>
        <w:rPr>
          <w:rFonts w:hAnsi="Arial"/>
          <w:b/>
          <w:bCs/>
          <w:iCs/>
          <w:sz w:val="30"/>
          <w:szCs w:val="30"/>
        </w:rPr>
        <w:t>、</w:t>
      </w:r>
      <w:r>
        <w:rPr>
          <w:b/>
          <w:bCs/>
          <w:iCs/>
          <w:sz w:val="30"/>
          <w:szCs w:val="30"/>
        </w:rPr>
        <w:t>2017</w:t>
      </w:r>
      <w:r>
        <w:rPr>
          <w:rFonts w:hAnsi="Arial"/>
          <w:b/>
          <w:bCs/>
          <w:iCs/>
          <w:sz w:val="30"/>
          <w:szCs w:val="30"/>
        </w:rPr>
        <w:t>年</w:t>
      </w:r>
      <w:r>
        <w:rPr>
          <w:b/>
          <w:bCs/>
          <w:iCs/>
          <w:sz w:val="30"/>
          <w:szCs w:val="30"/>
        </w:rPr>
        <w:t>1</w:t>
      </w:r>
      <w:r>
        <w:rPr>
          <w:rFonts w:hAnsi="Arial"/>
          <w:b/>
          <w:bCs/>
          <w:iCs/>
          <w:sz w:val="30"/>
          <w:szCs w:val="30"/>
        </w:rPr>
        <w:t>月</w:t>
      </w:r>
      <w:r>
        <w:rPr>
          <w:b/>
          <w:bCs/>
          <w:iCs/>
          <w:sz w:val="30"/>
          <w:szCs w:val="30"/>
        </w:rPr>
        <w:t>1</w:t>
      </w:r>
      <w:r>
        <w:rPr>
          <w:rFonts w:hAnsi="Arial"/>
          <w:b/>
          <w:bCs/>
          <w:iCs/>
          <w:sz w:val="30"/>
          <w:szCs w:val="30"/>
        </w:rPr>
        <w:t>日</w:t>
      </w:r>
      <w:r>
        <w:rPr>
          <w:rFonts w:hint="eastAsia" w:hAnsi="Arial"/>
          <w:b/>
          <w:bCs/>
          <w:iCs/>
          <w:sz w:val="30"/>
          <w:szCs w:val="30"/>
        </w:rPr>
        <w:t>以来</w:t>
      </w:r>
      <w:r>
        <w:rPr>
          <w:rFonts w:hAnsi="Arial"/>
          <w:b/>
          <w:bCs/>
          <w:iCs/>
          <w:sz w:val="30"/>
          <w:szCs w:val="30"/>
        </w:rPr>
        <w:t>项目</w:t>
      </w:r>
      <w:r>
        <w:rPr>
          <w:rFonts w:hint="eastAsia" w:hAnsi="Arial"/>
          <w:b/>
          <w:bCs/>
          <w:iCs/>
          <w:sz w:val="30"/>
          <w:szCs w:val="30"/>
        </w:rPr>
        <w:t>类似经验情况</w:t>
      </w:r>
      <w:r>
        <w:rPr>
          <w:rFonts w:hAnsi="Arial"/>
          <w:b/>
          <w:bCs/>
          <w:iCs/>
          <w:sz w:val="30"/>
          <w:szCs w:val="30"/>
        </w:rPr>
        <w:t>表</w:t>
      </w:r>
    </w:p>
    <w:p>
      <w:pPr>
        <w:spacing w:line="400" w:lineRule="exact"/>
        <w:jc w:val="center"/>
        <w:rPr>
          <w:b/>
          <w:bCs/>
          <w:iCs/>
          <w:sz w:val="30"/>
          <w:szCs w:val="30"/>
        </w:rPr>
      </w:pPr>
    </w:p>
    <w:p>
      <w:pPr>
        <w:spacing w:line="400" w:lineRule="atLeast"/>
        <w:rPr>
          <w:sz w:val="24"/>
        </w:rPr>
      </w:pPr>
    </w:p>
    <w:tbl>
      <w:tblPr>
        <w:tblStyle w:val="18"/>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2499"/>
        <w:gridCol w:w="1787"/>
        <w:gridCol w:w="1267"/>
        <w:gridCol w:w="207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Borders>
              <w:top w:val="double" w:color="auto" w:sz="4" w:space="0"/>
              <w:bottom w:val="double" w:color="auto" w:sz="4" w:space="0"/>
            </w:tcBorders>
          </w:tcPr>
          <w:p>
            <w:pPr>
              <w:spacing w:line="400" w:lineRule="atLeast"/>
              <w:jc w:val="center"/>
              <w:rPr>
                <w:szCs w:val="21"/>
              </w:rPr>
            </w:pPr>
            <w:r>
              <w:rPr>
                <w:rFonts w:hint="eastAsia" w:hAnsi="Arial"/>
                <w:szCs w:val="21"/>
              </w:rPr>
              <w:t>项目名称</w:t>
            </w:r>
          </w:p>
        </w:tc>
        <w:tc>
          <w:tcPr>
            <w:tcW w:w="2499" w:type="dxa"/>
            <w:tcBorders>
              <w:top w:val="double" w:color="auto" w:sz="4" w:space="0"/>
              <w:bottom w:val="double" w:color="auto" w:sz="4" w:space="0"/>
            </w:tcBorders>
          </w:tcPr>
          <w:p>
            <w:pPr>
              <w:spacing w:line="400" w:lineRule="atLeast"/>
              <w:jc w:val="center"/>
              <w:rPr>
                <w:szCs w:val="21"/>
              </w:rPr>
            </w:pPr>
            <w:r>
              <w:rPr>
                <w:rFonts w:hint="eastAsia"/>
                <w:szCs w:val="21"/>
              </w:rPr>
              <w:t>合同签订时间</w:t>
            </w:r>
          </w:p>
        </w:tc>
        <w:tc>
          <w:tcPr>
            <w:tcW w:w="1787" w:type="dxa"/>
            <w:tcBorders>
              <w:top w:val="double" w:color="auto" w:sz="4" w:space="0"/>
              <w:bottom w:val="double" w:color="auto" w:sz="4" w:space="0"/>
            </w:tcBorders>
          </w:tcPr>
          <w:p>
            <w:pPr>
              <w:spacing w:line="400" w:lineRule="atLeast"/>
              <w:jc w:val="center"/>
              <w:rPr>
                <w:szCs w:val="21"/>
              </w:rPr>
            </w:pPr>
            <w:r>
              <w:rPr>
                <w:rFonts w:hAnsi="Arial"/>
                <w:szCs w:val="21"/>
              </w:rPr>
              <w:t>合同金额</w:t>
            </w:r>
          </w:p>
        </w:tc>
        <w:tc>
          <w:tcPr>
            <w:tcW w:w="1267" w:type="dxa"/>
            <w:tcBorders>
              <w:top w:val="double" w:color="auto" w:sz="4" w:space="0"/>
              <w:bottom w:val="double" w:color="auto" w:sz="4" w:space="0"/>
            </w:tcBorders>
          </w:tcPr>
          <w:p>
            <w:pPr>
              <w:spacing w:line="400" w:lineRule="atLeast"/>
              <w:jc w:val="center"/>
              <w:rPr>
                <w:szCs w:val="21"/>
              </w:rPr>
            </w:pPr>
            <w:r>
              <w:rPr>
                <w:rFonts w:hAnsi="Arial"/>
                <w:szCs w:val="21"/>
              </w:rPr>
              <w:t>业主电话</w:t>
            </w:r>
          </w:p>
        </w:tc>
        <w:tc>
          <w:tcPr>
            <w:tcW w:w="2074" w:type="dxa"/>
            <w:tcBorders>
              <w:top w:val="double" w:color="auto" w:sz="4" w:space="0"/>
              <w:bottom w:val="double" w:color="auto" w:sz="4" w:space="0"/>
            </w:tcBorders>
          </w:tcPr>
          <w:p>
            <w:pPr>
              <w:spacing w:line="400" w:lineRule="atLeast"/>
              <w:jc w:val="center"/>
              <w:rPr>
                <w:szCs w:val="21"/>
              </w:rPr>
            </w:pPr>
            <w:r>
              <w:rPr>
                <w:rFonts w:hAnsi="Arial"/>
                <w:szCs w:val="21"/>
              </w:rPr>
              <w:t>项目负责人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Borders>
              <w:top w:val="double" w:color="auto" w:sz="4" w:space="0"/>
            </w:tcBorders>
          </w:tcPr>
          <w:p>
            <w:pPr>
              <w:spacing w:line="400" w:lineRule="atLeast"/>
              <w:ind w:firstLine="210" w:firstLineChars="100"/>
              <w:rPr>
                <w:szCs w:val="21"/>
                <w:highlight w:val="yellow"/>
              </w:rPr>
            </w:pPr>
          </w:p>
        </w:tc>
        <w:tc>
          <w:tcPr>
            <w:tcW w:w="2499" w:type="dxa"/>
            <w:tcBorders>
              <w:top w:val="double" w:color="auto" w:sz="4" w:space="0"/>
            </w:tcBorders>
          </w:tcPr>
          <w:p>
            <w:pPr>
              <w:spacing w:line="400" w:lineRule="atLeast"/>
              <w:jc w:val="center"/>
              <w:rPr>
                <w:szCs w:val="21"/>
                <w:highlight w:val="yellow"/>
              </w:rPr>
            </w:pPr>
          </w:p>
        </w:tc>
        <w:tc>
          <w:tcPr>
            <w:tcW w:w="1787" w:type="dxa"/>
            <w:tcBorders>
              <w:top w:val="double" w:color="auto" w:sz="4" w:space="0"/>
            </w:tcBorders>
          </w:tcPr>
          <w:p>
            <w:pPr>
              <w:spacing w:line="400" w:lineRule="atLeast"/>
              <w:jc w:val="center"/>
              <w:rPr>
                <w:szCs w:val="21"/>
                <w:highlight w:val="yellow"/>
              </w:rPr>
            </w:pPr>
          </w:p>
        </w:tc>
        <w:tc>
          <w:tcPr>
            <w:tcW w:w="1267" w:type="dxa"/>
            <w:tcBorders>
              <w:top w:val="double" w:color="auto" w:sz="4" w:space="0"/>
            </w:tcBorders>
          </w:tcPr>
          <w:p>
            <w:pPr>
              <w:spacing w:line="400" w:lineRule="atLeast"/>
              <w:jc w:val="center"/>
              <w:rPr>
                <w:szCs w:val="21"/>
                <w:highlight w:val="yellow"/>
              </w:rPr>
            </w:pPr>
          </w:p>
        </w:tc>
        <w:tc>
          <w:tcPr>
            <w:tcW w:w="2074" w:type="dxa"/>
            <w:tcBorders>
              <w:top w:val="double" w:color="auto" w:sz="4" w:space="0"/>
            </w:tcBorders>
          </w:tcPr>
          <w:p>
            <w:pPr>
              <w:spacing w:line="400" w:lineRule="atLeast"/>
              <w:jc w:val="center"/>
              <w:rPr>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Pr>
          <w:p>
            <w:pPr>
              <w:spacing w:line="400" w:lineRule="atLeast"/>
              <w:jc w:val="center"/>
              <w:rPr>
                <w:szCs w:val="21"/>
                <w:highlight w:val="yellow"/>
              </w:rPr>
            </w:pPr>
          </w:p>
        </w:tc>
        <w:tc>
          <w:tcPr>
            <w:tcW w:w="2499" w:type="dxa"/>
          </w:tcPr>
          <w:p>
            <w:pPr>
              <w:spacing w:line="400" w:lineRule="atLeast"/>
              <w:jc w:val="center"/>
              <w:rPr>
                <w:szCs w:val="21"/>
                <w:highlight w:val="yellow"/>
              </w:rPr>
            </w:pPr>
          </w:p>
        </w:tc>
        <w:tc>
          <w:tcPr>
            <w:tcW w:w="1787" w:type="dxa"/>
          </w:tcPr>
          <w:p>
            <w:pPr>
              <w:spacing w:line="400" w:lineRule="atLeast"/>
              <w:jc w:val="center"/>
              <w:rPr>
                <w:szCs w:val="21"/>
                <w:highlight w:val="yellow"/>
              </w:rPr>
            </w:pPr>
          </w:p>
        </w:tc>
        <w:tc>
          <w:tcPr>
            <w:tcW w:w="1267" w:type="dxa"/>
          </w:tcPr>
          <w:p>
            <w:pPr>
              <w:spacing w:line="400" w:lineRule="atLeast"/>
              <w:jc w:val="center"/>
              <w:rPr>
                <w:szCs w:val="21"/>
                <w:highlight w:val="yellow"/>
              </w:rPr>
            </w:pPr>
          </w:p>
        </w:tc>
        <w:tc>
          <w:tcPr>
            <w:tcW w:w="2074" w:type="dxa"/>
          </w:tcPr>
          <w:p>
            <w:pPr>
              <w:spacing w:line="400" w:lineRule="atLeast"/>
              <w:jc w:val="center"/>
              <w:rPr>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Pr>
          <w:p>
            <w:pPr>
              <w:spacing w:line="400" w:lineRule="atLeast"/>
              <w:jc w:val="center"/>
              <w:rPr>
                <w:szCs w:val="21"/>
                <w:highlight w:val="yellow"/>
              </w:rPr>
            </w:pPr>
          </w:p>
        </w:tc>
        <w:tc>
          <w:tcPr>
            <w:tcW w:w="2499" w:type="dxa"/>
          </w:tcPr>
          <w:p>
            <w:pPr>
              <w:spacing w:line="400" w:lineRule="atLeast"/>
              <w:jc w:val="center"/>
              <w:rPr>
                <w:szCs w:val="21"/>
                <w:highlight w:val="yellow"/>
              </w:rPr>
            </w:pPr>
          </w:p>
        </w:tc>
        <w:tc>
          <w:tcPr>
            <w:tcW w:w="1787" w:type="dxa"/>
          </w:tcPr>
          <w:p>
            <w:pPr>
              <w:spacing w:line="400" w:lineRule="atLeast"/>
              <w:jc w:val="center"/>
              <w:rPr>
                <w:szCs w:val="21"/>
                <w:highlight w:val="yellow"/>
              </w:rPr>
            </w:pPr>
          </w:p>
        </w:tc>
        <w:tc>
          <w:tcPr>
            <w:tcW w:w="1267" w:type="dxa"/>
          </w:tcPr>
          <w:p>
            <w:pPr>
              <w:spacing w:line="400" w:lineRule="atLeast"/>
              <w:jc w:val="center"/>
              <w:rPr>
                <w:szCs w:val="21"/>
                <w:highlight w:val="yellow"/>
              </w:rPr>
            </w:pPr>
          </w:p>
        </w:tc>
        <w:tc>
          <w:tcPr>
            <w:tcW w:w="2074" w:type="dxa"/>
          </w:tcPr>
          <w:p>
            <w:pPr>
              <w:spacing w:line="400" w:lineRule="atLeast"/>
              <w:jc w:val="center"/>
              <w:rPr>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Pr>
          <w:p>
            <w:pPr>
              <w:spacing w:line="400" w:lineRule="atLeast"/>
              <w:jc w:val="center"/>
              <w:rPr>
                <w:szCs w:val="21"/>
                <w:highlight w:val="yellow"/>
              </w:rPr>
            </w:pPr>
          </w:p>
        </w:tc>
        <w:tc>
          <w:tcPr>
            <w:tcW w:w="2499" w:type="dxa"/>
          </w:tcPr>
          <w:p>
            <w:pPr>
              <w:spacing w:line="400" w:lineRule="atLeast"/>
              <w:jc w:val="center"/>
              <w:rPr>
                <w:szCs w:val="21"/>
                <w:highlight w:val="yellow"/>
              </w:rPr>
            </w:pPr>
          </w:p>
        </w:tc>
        <w:tc>
          <w:tcPr>
            <w:tcW w:w="1787" w:type="dxa"/>
          </w:tcPr>
          <w:p>
            <w:pPr>
              <w:spacing w:line="400" w:lineRule="atLeast"/>
              <w:jc w:val="center"/>
              <w:rPr>
                <w:szCs w:val="21"/>
                <w:highlight w:val="yellow"/>
              </w:rPr>
            </w:pPr>
          </w:p>
        </w:tc>
        <w:tc>
          <w:tcPr>
            <w:tcW w:w="1267" w:type="dxa"/>
          </w:tcPr>
          <w:p>
            <w:pPr>
              <w:spacing w:line="400" w:lineRule="atLeast"/>
              <w:jc w:val="center"/>
              <w:rPr>
                <w:szCs w:val="21"/>
                <w:highlight w:val="yellow"/>
              </w:rPr>
            </w:pPr>
          </w:p>
        </w:tc>
        <w:tc>
          <w:tcPr>
            <w:tcW w:w="2074" w:type="dxa"/>
          </w:tcPr>
          <w:p>
            <w:pPr>
              <w:spacing w:line="400" w:lineRule="atLeast"/>
              <w:jc w:val="center"/>
              <w:rPr>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Pr>
          <w:p>
            <w:pPr>
              <w:spacing w:line="400" w:lineRule="atLeast"/>
              <w:jc w:val="center"/>
              <w:rPr>
                <w:szCs w:val="21"/>
                <w:highlight w:val="yellow"/>
              </w:rPr>
            </w:pPr>
          </w:p>
        </w:tc>
        <w:tc>
          <w:tcPr>
            <w:tcW w:w="2499" w:type="dxa"/>
          </w:tcPr>
          <w:p>
            <w:pPr>
              <w:spacing w:line="400" w:lineRule="atLeast"/>
              <w:jc w:val="center"/>
              <w:rPr>
                <w:szCs w:val="21"/>
                <w:highlight w:val="yellow"/>
              </w:rPr>
            </w:pPr>
          </w:p>
        </w:tc>
        <w:tc>
          <w:tcPr>
            <w:tcW w:w="1787" w:type="dxa"/>
          </w:tcPr>
          <w:p>
            <w:pPr>
              <w:spacing w:line="400" w:lineRule="atLeast"/>
              <w:jc w:val="center"/>
              <w:rPr>
                <w:szCs w:val="21"/>
                <w:highlight w:val="yellow"/>
              </w:rPr>
            </w:pPr>
          </w:p>
        </w:tc>
        <w:tc>
          <w:tcPr>
            <w:tcW w:w="1267" w:type="dxa"/>
          </w:tcPr>
          <w:p>
            <w:pPr>
              <w:spacing w:line="400" w:lineRule="atLeast"/>
              <w:jc w:val="center"/>
              <w:rPr>
                <w:szCs w:val="21"/>
                <w:highlight w:val="yellow"/>
              </w:rPr>
            </w:pPr>
          </w:p>
        </w:tc>
        <w:tc>
          <w:tcPr>
            <w:tcW w:w="2074" w:type="dxa"/>
          </w:tcPr>
          <w:p>
            <w:pPr>
              <w:spacing w:line="400" w:lineRule="atLeast"/>
              <w:jc w:val="center"/>
              <w:rPr>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Pr>
          <w:p>
            <w:pPr>
              <w:spacing w:line="400" w:lineRule="atLeast"/>
              <w:jc w:val="center"/>
              <w:rPr>
                <w:szCs w:val="21"/>
                <w:highlight w:val="yellow"/>
              </w:rPr>
            </w:pPr>
          </w:p>
        </w:tc>
        <w:tc>
          <w:tcPr>
            <w:tcW w:w="2499" w:type="dxa"/>
          </w:tcPr>
          <w:p>
            <w:pPr>
              <w:spacing w:line="400" w:lineRule="atLeast"/>
              <w:jc w:val="center"/>
              <w:rPr>
                <w:szCs w:val="21"/>
                <w:highlight w:val="yellow"/>
              </w:rPr>
            </w:pPr>
          </w:p>
        </w:tc>
        <w:tc>
          <w:tcPr>
            <w:tcW w:w="1787" w:type="dxa"/>
          </w:tcPr>
          <w:p>
            <w:pPr>
              <w:spacing w:line="400" w:lineRule="atLeast"/>
              <w:jc w:val="center"/>
              <w:rPr>
                <w:szCs w:val="21"/>
                <w:highlight w:val="yellow"/>
              </w:rPr>
            </w:pPr>
          </w:p>
        </w:tc>
        <w:tc>
          <w:tcPr>
            <w:tcW w:w="1267" w:type="dxa"/>
          </w:tcPr>
          <w:p>
            <w:pPr>
              <w:spacing w:line="400" w:lineRule="atLeast"/>
              <w:jc w:val="center"/>
              <w:rPr>
                <w:szCs w:val="21"/>
                <w:highlight w:val="yellow"/>
              </w:rPr>
            </w:pPr>
          </w:p>
        </w:tc>
        <w:tc>
          <w:tcPr>
            <w:tcW w:w="2074" w:type="dxa"/>
          </w:tcPr>
          <w:p>
            <w:pPr>
              <w:spacing w:line="400" w:lineRule="atLeast"/>
              <w:jc w:val="center"/>
              <w:rPr>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Pr>
          <w:p>
            <w:pPr>
              <w:spacing w:line="400" w:lineRule="atLeast"/>
              <w:jc w:val="center"/>
              <w:rPr>
                <w:szCs w:val="21"/>
                <w:highlight w:val="yellow"/>
              </w:rPr>
            </w:pPr>
          </w:p>
        </w:tc>
        <w:tc>
          <w:tcPr>
            <w:tcW w:w="2499" w:type="dxa"/>
          </w:tcPr>
          <w:p>
            <w:pPr>
              <w:spacing w:line="400" w:lineRule="atLeast"/>
              <w:jc w:val="center"/>
              <w:rPr>
                <w:szCs w:val="21"/>
                <w:highlight w:val="yellow"/>
              </w:rPr>
            </w:pPr>
          </w:p>
        </w:tc>
        <w:tc>
          <w:tcPr>
            <w:tcW w:w="1787" w:type="dxa"/>
          </w:tcPr>
          <w:p>
            <w:pPr>
              <w:spacing w:line="400" w:lineRule="atLeast"/>
              <w:jc w:val="center"/>
              <w:rPr>
                <w:szCs w:val="21"/>
                <w:highlight w:val="yellow"/>
              </w:rPr>
            </w:pPr>
          </w:p>
        </w:tc>
        <w:tc>
          <w:tcPr>
            <w:tcW w:w="1267" w:type="dxa"/>
          </w:tcPr>
          <w:p>
            <w:pPr>
              <w:spacing w:line="400" w:lineRule="atLeast"/>
              <w:jc w:val="center"/>
              <w:rPr>
                <w:szCs w:val="21"/>
                <w:highlight w:val="yellow"/>
              </w:rPr>
            </w:pPr>
          </w:p>
        </w:tc>
        <w:tc>
          <w:tcPr>
            <w:tcW w:w="2074" w:type="dxa"/>
          </w:tcPr>
          <w:p>
            <w:pPr>
              <w:spacing w:line="400" w:lineRule="atLeast"/>
              <w:jc w:val="center"/>
              <w:rPr>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Pr>
          <w:p>
            <w:pPr>
              <w:spacing w:line="400" w:lineRule="atLeast"/>
              <w:jc w:val="center"/>
              <w:rPr>
                <w:szCs w:val="21"/>
                <w:highlight w:val="yellow"/>
              </w:rPr>
            </w:pPr>
          </w:p>
        </w:tc>
        <w:tc>
          <w:tcPr>
            <w:tcW w:w="2499" w:type="dxa"/>
          </w:tcPr>
          <w:p>
            <w:pPr>
              <w:spacing w:line="400" w:lineRule="atLeast"/>
              <w:jc w:val="center"/>
              <w:rPr>
                <w:szCs w:val="21"/>
                <w:highlight w:val="yellow"/>
              </w:rPr>
            </w:pPr>
          </w:p>
        </w:tc>
        <w:tc>
          <w:tcPr>
            <w:tcW w:w="1787" w:type="dxa"/>
          </w:tcPr>
          <w:p>
            <w:pPr>
              <w:spacing w:line="400" w:lineRule="atLeast"/>
              <w:jc w:val="center"/>
              <w:rPr>
                <w:szCs w:val="21"/>
                <w:highlight w:val="yellow"/>
              </w:rPr>
            </w:pPr>
          </w:p>
        </w:tc>
        <w:tc>
          <w:tcPr>
            <w:tcW w:w="1267" w:type="dxa"/>
          </w:tcPr>
          <w:p>
            <w:pPr>
              <w:spacing w:line="400" w:lineRule="atLeast"/>
              <w:jc w:val="center"/>
              <w:rPr>
                <w:szCs w:val="21"/>
                <w:highlight w:val="yellow"/>
              </w:rPr>
            </w:pPr>
          </w:p>
        </w:tc>
        <w:tc>
          <w:tcPr>
            <w:tcW w:w="2074" w:type="dxa"/>
          </w:tcPr>
          <w:p>
            <w:pPr>
              <w:spacing w:line="400" w:lineRule="atLeast"/>
              <w:jc w:val="center"/>
              <w:rPr>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Pr>
          <w:p>
            <w:pPr>
              <w:spacing w:line="400" w:lineRule="atLeast"/>
              <w:jc w:val="center"/>
              <w:rPr>
                <w:szCs w:val="21"/>
                <w:highlight w:val="yellow"/>
              </w:rPr>
            </w:pPr>
          </w:p>
        </w:tc>
        <w:tc>
          <w:tcPr>
            <w:tcW w:w="2499" w:type="dxa"/>
          </w:tcPr>
          <w:p>
            <w:pPr>
              <w:spacing w:line="400" w:lineRule="atLeast"/>
              <w:jc w:val="center"/>
              <w:rPr>
                <w:szCs w:val="21"/>
                <w:highlight w:val="yellow"/>
              </w:rPr>
            </w:pPr>
          </w:p>
        </w:tc>
        <w:tc>
          <w:tcPr>
            <w:tcW w:w="1787" w:type="dxa"/>
          </w:tcPr>
          <w:p>
            <w:pPr>
              <w:spacing w:line="400" w:lineRule="atLeast"/>
              <w:jc w:val="center"/>
              <w:rPr>
                <w:szCs w:val="21"/>
                <w:highlight w:val="yellow"/>
              </w:rPr>
            </w:pPr>
          </w:p>
        </w:tc>
        <w:tc>
          <w:tcPr>
            <w:tcW w:w="1267" w:type="dxa"/>
          </w:tcPr>
          <w:p>
            <w:pPr>
              <w:spacing w:line="400" w:lineRule="atLeast"/>
              <w:jc w:val="center"/>
              <w:rPr>
                <w:szCs w:val="21"/>
                <w:highlight w:val="yellow"/>
              </w:rPr>
            </w:pPr>
          </w:p>
        </w:tc>
        <w:tc>
          <w:tcPr>
            <w:tcW w:w="2074" w:type="dxa"/>
          </w:tcPr>
          <w:p>
            <w:pPr>
              <w:spacing w:line="400" w:lineRule="atLeast"/>
              <w:jc w:val="center"/>
              <w:rPr>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Pr>
          <w:p>
            <w:pPr>
              <w:spacing w:line="400" w:lineRule="atLeast"/>
              <w:jc w:val="center"/>
              <w:rPr>
                <w:szCs w:val="21"/>
                <w:highlight w:val="yellow"/>
              </w:rPr>
            </w:pPr>
          </w:p>
        </w:tc>
        <w:tc>
          <w:tcPr>
            <w:tcW w:w="2499" w:type="dxa"/>
          </w:tcPr>
          <w:p>
            <w:pPr>
              <w:spacing w:line="400" w:lineRule="atLeast"/>
              <w:jc w:val="center"/>
              <w:rPr>
                <w:szCs w:val="21"/>
                <w:highlight w:val="yellow"/>
              </w:rPr>
            </w:pPr>
          </w:p>
        </w:tc>
        <w:tc>
          <w:tcPr>
            <w:tcW w:w="1787" w:type="dxa"/>
          </w:tcPr>
          <w:p>
            <w:pPr>
              <w:spacing w:line="400" w:lineRule="atLeast"/>
              <w:jc w:val="center"/>
              <w:rPr>
                <w:szCs w:val="21"/>
                <w:highlight w:val="yellow"/>
              </w:rPr>
            </w:pPr>
          </w:p>
        </w:tc>
        <w:tc>
          <w:tcPr>
            <w:tcW w:w="1267" w:type="dxa"/>
          </w:tcPr>
          <w:p>
            <w:pPr>
              <w:spacing w:line="400" w:lineRule="atLeast"/>
              <w:jc w:val="center"/>
              <w:rPr>
                <w:szCs w:val="21"/>
                <w:highlight w:val="yellow"/>
              </w:rPr>
            </w:pPr>
          </w:p>
        </w:tc>
        <w:tc>
          <w:tcPr>
            <w:tcW w:w="2074" w:type="dxa"/>
          </w:tcPr>
          <w:p>
            <w:pPr>
              <w:spacing w:line="400" w:lineRule="atLeast"/>
              <w:jc w:val="center"/>
              <w:rPr>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Pr>
          <w:p>
            <w:pPr>
              <w:spacing w:line="400" w:lineRule="atLeast"/>
              <w:jc w:val="center"/>
              <w:rPr>
                <w:szCs w:val="21"/>
                <w:highlight w:val="yellow"/>
              </w:rPr>
            </w:pPr>
          </w:p>
        </w:tc>
        <w:tc>
          <w:tcPr>
            <w:tcW w:w="2499" w:type="dxa"/>
          </w:tcPr>
          <w:p>
            <w:pPr>
              <w:spacing w:line="400" w:lineRule="atLeast"/>
              <w:jc w:val="center"/>
              <w:rPr>
                <w:szCs w:val="21"/>
                <w:highlight w:val="yellow"/>
              </w:rPr>
            </w:pPr>
          </w:p>
        </w:tc>
        <w:tc>
          <w:tcPr>
            <w:tcW w:w="1787" w:type="dxa"/>
          </w:tcPr>
          <w:p>
            <w:pPr>
              <w:spacing w:line="400" w:lineRule="atLeast"/>
              <w:jc w:val="center"/>
              <w:rPr>
                <w:szCs w:val="21"/>
                <w:highlight w:val="yellow"/>
              </w:rPr>
            </w:pPr>
          </w:p>
        </w:tc>
        <w:tc>
          <w:tcPr>
            <w:tcW w:w="1267" w:type="dxa"/>
          </w:tcPr>
          <w:p>
            <w:pPr>
              <w:spacing w:line="400" w:lineRule="atLeast"/>
              <w:jc w:val="center"/>
              <w:rPr>
                <w:szCs w:val="21"/>
                <w:highlight w:val="yellow"/>
              </w:rPr>
            </w:pPr>
          </w:p>
        </w:tc>
        <w:tc>
          <w:tcPr>
            <w:tcW w:w="2074" w:type="dxa"/>
          </w:tcPr>
          <w:p>
            <w:pPr>
              <w:spacing w:line="400" w:lineRule="atLeast"/>
              <w:jc w:val="center"/>
              <w:rPr>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Pr>
          <w:p>
            <w:pPr>
              <w:spacing w:line="400" w:lineRule="atLeast"/>
              <w:jc w:val="center"/>
              <w:rPr>
                <w:szCs w:val="21"/>
                <w:highlight w:val="yellow"/>
              </w:rPr>
            </w:pPr>
          </w:p>
        </w:tc>
        <w:tc>
          <w:tcPr>
            <w:tcW w:w="2499" w:type="dxa"/>
          </w:tcPr>
          <w:p>
            <w:pPr>
              <w:spacing w:line="400" w:lineRule="atLeast"/>
              <w:jc w:val="center"/>
              <w:rPr>
                <w:szCs w:val="21"/>
                <w:highlight w:val="yellow"/>
              </w:rPr>
            </w:pPr>
          </w:p>
        </w:tc>
        <w:tc>
          <w:tcPr>
            <w:tcW w:w="1787" w:type="dxa"/>
          </w:tcPr>
          <w:p>
            <w:pPr>
              <w:spacing w:line="400" w:lineRule="atLeast"/>
              <w:jc w:val="center"/>
              <w:rPr>
                <w:szCs w:val="21"/>
                <w:highlight w:val="yellow"/>
              </w:rPr>
            </w:pPr>
          </w:p>
        </w:tc>
        <w:tc>
          <w:tcPr>
            <w:tcW w:w="1267" w:type="dxa"/>
          </w:tcPr>
          <w:p>
            <w:pPr>
              <w:spacing w:line="400" w:lineRule="atLeast"/>
              <w:jc w:val="center"/>
              <w:rPr>
                <w:szCs w:val="21"/>
                <w:highlight w:val="yellow"/>
              </w:rPr>
            </w:pPr>
          </w:p>
        </w:tc>
        <w:tc>
          <w:tcPr>
            <w:tcW w:w="2074" w:type="dxa"/>
          </w:tcPr>
          <w:p>
            <w:pPr>
              <w:spacing w:line="400" w:lineRule="atLeast"/>
              <w:jc w:val="center"/>
              <w:rPr>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Pr>
          <w:p>
            <w:pPr>
              <w:spacing w:line="400" w:lineRule="atLeast"/>
              <w:jc w:val="center"/>
              <w:rPr>
                <w:szCs w:val="21"/>
                <w:highlight w:val="yellow"/>
              </w:rPr>
            </w:pPr>
          </w:p>
        </w:tc>
        <w:tc>
          <w:tcPr>
            <w:tcW w:w="2499" w:type="dxa"/>
          </w:tcPr>
          <w:p>
            <w:pPr>
              <w:spacing w:line="400" w:lineRule="atLeast"/>
              <w:jc w:val="center"/>
              <w:rPr>
                <w:szCs w:val="21"/>
                <w:highlight w:val="yellow"/>
              </w:rPr>
            </w:pPr>
          </w:p>
        </w:tc>
        <w:tc>
          <w:tcPr>
            <w:tcW w:w="1787" w:type="dxa"/>
          </w:tcPr>
          <w:p>
            <w:pPr>
              <w:spacing w:line="400" w:lineRule="atLeast"/>
              <w:jc w:val="center"/>
              <w:rPr>
                <w:szCs w:val="21"/>
                <w:highlight w:val="yellow"/>
              </w:rPr>
            </w:pPr>
          </w:p>
        </w:tc>
        <w:tc>
          <w:tcPr>
            <w:tcW w:w="1267" w:type="dxa"/>
          </w:tcPr>
          <w:p>
            <w:pPr>
              <w:spacing w:line="400" w:lineRule="atLeast"/>
              <w:jc w:val="center"/>
              <w:rPr>
                <w:szCs w:val="21"/>
                <w:highlight w:val="yellow"/>
              </w:rPr>
            </w:pPr>
          </w:p>
        </w:tc>
        <w:tc>
          <w:tcPr>
            <w:tcW w:w="2074" w:type="dxa"/>
          </w:tcPr>
          <w:p>
            <w:pPr>
              <w:spacing w:line="400" w:lineRule="atLeast"/>
              <w:jc w:val="center"/>
              <w:rPr>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Pr>
          <w:p>
            <w:pPr>
              <w:spacing w:line="400" w:lineRule="atLeast"/>
              <w:jc w:val="center"/>
              <w:rPr>
                <w:szCs w:val="21"/>
                <w:highlight w:val="yellow"/>
              </w:rPr>
            </w:pPr>
          </w:p>
        </w:tc>
        <w:tc>
          <w:tcPr>
            <w:tcW w:w="2499" w:type="dxa"/>
          </w:tcPr>
          <w:p>
            <w:pPr>
              <w:spacing w:line="400" w:lineRule="atLeast"/>
              <w:jc w:val="center"/>
              <w:rPr>
                <w:szCs w:val="21"/>
                <w:highlight w:val="yellow"/>
              </w:rPr>
            </w:pPr>
          </w:p>
        </w:tc>
        <w:tc>
          <w:tcPr>
            <w:tcW w:w="1787" w:type="dxa"/>
          </w:tcPr>
          <w:p>
            <w:pPr>
              <w:spacing w:line="400" w:lineRule="atLeast"/>
              <w:jc w:val="center"/>
              <w:rPr>
                <w:szCs w:val="21"/>
                <w:highlight w:val="yellow"/>
              </w:rPr>
            </w:pPr>
          </w:p>
        </w:tc>
        <w:tc>
          <w:tcPr>
            <w:tcW w:w="1267" w:type="dxa"/>
          </w:tcPr>
          <w:p>
            <w:pPr>
              <w:spacing w:line="400" w:lineRule="atLeast"/>
              <w:jc w:val="center"/>
              <w:rPr>
                <w:szCs w:val="21"/>
                <w:highlight w:val="yellow"/>
              </w:rPr>
            </w:pPr>
          </w:p>
        </w:tc>
        <w:tc>
          <w:tcPr>
            <w:tcW w:w="2074" w:type="dxa"/>
          </w:tcPr>
          <w:p>
            <w:pPr>
              <w:spacing w:line="400" w:lineRule="atLeast"/>
              <w:jc w:val="center"/>
              <w:rPr>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Pr>
          <w:p>
            <w:pPr>
              <w:spacing w:line="400" w:lineRule="atLeast"/>
              <w:jc w:val="center"/>
              <w:rPr>
                <w:szCs w:val="21"/>
                <w:highlight w:val="yellow"/>
              </w:rPr>
            </w:pPr>
          </w:p>
        </w:tc>
        <w:tc>
          <w:tcPr>
            <w:tcW w:w="2499" w:type="dxa"/>
          </w:tcPr>
          <w:p>
            <w:pPr>
              <w:spacing w:line="400" w:lineRule="atLeast"/>
              <w:jc w:val="center"/>
              <w:rPr>
                <w:szCs w:val="21"/>
                <w:highlight w:val="yellow"/>
              </w:rPr>
            </w:pPr>
          </w:p>
        </w:tc>
        <w:tc>
          <w:tcPr>
            <w:tcW w:w="1787" w:type="dxa"/>
          </w:tcPr>
          <w:p>
            <w:pPr>
              <w:spacing w:line="400" w:lineRule="atLeast"/>
              <w:jc w:val="center"/>
              <w:rPr>
                <w:szCs w:val="21"/>
                <w:highlight w:val="yellow"/>
              </w:rPr>
            </w:pPr>
          </w:p>
        </w:tc>
        <w:tc>
          <w:tcPr>
            <w:tcW w:w="1267" w:type="dxa"/>
          </w:tcPr>
          <w:p>
            <w:pPr>
              <w:spacing w:line="400" w:lineRule="atLeast"/>
              <w:jc w:val="center"/>
              <w:rPr>
                <w:szCs w:val="21"/>
                <w:highlight w:val="yellow"/>
              </w:rPr>
            </w:pPr>
          </w:p>
        </w:tc>
        <w:tc>
          <w:tcPr>
            <w:tcW w:w="2074" w:type="dxa"/>
          </w:tcPr>
          <w:p>
            <w:pPr>
              <w:spacing w:line="400" w:lineRule="atLeast"/>
              <w:jc w:val="center"/>
              <w:rPr>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Pr>
          <w:p>
            <w:pPr>
              <w:spacing w:line="400" w:lineRule="atLeast"/>
              <w:jc w:val="center"/>
              <w:rPr>
                <w:szCs w:val="21"/>
                <w:highlight w:val="yellow"/>
              </w:rPr>
            </w:pPr>
          </w:p>
        </w:tc>
        <w:tc>
          <w:tcPr>
            <w:tcW w:w="2499" w:type="dxa"/>
          </w:tcPr>
          <w:p>
            <w:pPr>
              <w:spacing w:line="400" w:lineRule="atLeast"/>
              <w:jc w:val="center"/>
              <w:rPr>
                <w:szCs w:val="21"/>
                <w:highlight w:val="yellow"/>
              </w:rPr>
            </w:pPr>
          </w:p>
        </w:tc>
        <w:tc>
          <w:tcPr>
            <w:tcW w:w="1787" w:type="dxa"/>
          </w:tcPr>
          <w:p>
            <w:pPr>
              <w:spacing w:line="400" w:lineRule="atLeast"/>
              <w:jc w:val="center"/>
              <w:rPr>
                <w:szCs w:val="21"/>
                <w:highlight w:val="yellow"/>
              </w:rPr>
            </w:pPr>
          </w:p>
        </w:tc>
        <w:tc>
          <w:tcPr>
            <w:tcW w:w="1267" w:type="dxa"/>
          </w:tcPr>
          <w:p>
            <w:pPr>
              <w:spacing w:line="400" w:lineRule="atLeast"/>
              <w:jc w:val="center"/>
              <w:rPr>
                <w:szCs w:val="21"/>
                <w:highlight w:val="yellow"/>
              </w:rPr>
            </w:pPr>
          </w:p>
        </w:tc>
        <w:tc>
          <w:tcPr>
            <w:tcW w:w="2074" w:type="dxa"/>
          </w:tcPr>
          <w:p>
            <w:pPr>
              <w:spacing w:line="400" w:lineRule="atLeast"/>
              <w:jc w:val="center"/>
              <w:rPr>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Pr>
          <w:p>
            <w:pPr>
              <w:spacing w:line="400" w:lineRule="atLeast"/>
              <w:jc w:val="center"/>
              <w:rPr>
                <w:szCs w:val="21"/>
                <w:highlight w:val="yellow"/>
              </w:rPr>
            </w:pPr>
          </w:p>
        </w:tc>
        <w:tc>
          <w:tcPr>
            <w:tcW w:w="2499" w:type="dxa"/>
          </w:tcPr>
          <w:p>
            <w:pPr>
              <w:spacing w:line="400" w:lineRule="atLeast"/>
              <w:jc w:val="center"/>
              <w:rPr>
                <w:szCs w:val="21"/>
                <w:highlight w:val="yellow"/>
              </w:rPr>
            </w:pPr>
          </w:p>
        </w:tc>
        <w:tc>
          <w:tcPr>
            <w:tcW w:w="1787" w:type="dxa"/>
          </w:tcPr>
          <w:p>
            <w:pPr>
              <w:spacing w:line="400" w:lineRule="atLeast"/>
              <w:jc w:val="center"/>
              <w:rPr>
                <w:szCs w:val="21"/>
                <w:highlight w:val="yellow"/>
              </w:rPr>
            </w:pPr>
          </w:p>
        </w:tc>
        <w:tc>
          <w:tcPr>
            <w:tcW w:w="1267" w:type="dxa"/>
          </w:tcPr>
          <w:p>
            <w:pPr>
              <w:spacing w:line="400" w:lineRule="atLeast"/>
              <w:jc w:val="center"/>
              <w:rPr>
                <w:szCs w:val="21"/>
                <w:highlight w:val="yellow"/>
              </w:rPr>
            </w:pPr>
          </w:p>
        </w:tc>
        <w:tc>
          <w:tcPr>
            <w:tcW w:w="2074" w:type="dxa"/>
          </w:tcPr>
          <w:p>
            <w:pPr>
              <w:spacing w:line="400" w:lineRule="atLeast"/>
              <w:jc w:val="center"/>
              <w:rPr>
                <w:szCs w:val="21"/>
                <w:highlight w:val="yellow"/>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17" w:type="dxa"/>
          </w:tcPr>
          <w:p>
            <w:pPr>
              <w:spacing w:line="400" w:lineRule="atLeast"/>
              <w:jc w:val="center"/>
              <w:rPr>
                <w:szCs w:val="21"/>
                <w:highlight w:val="yellow"/>
              </w:rPr>
            </w:pPr>
          </w:p>
        </w:tc>
        <w:tc>
          <w:tcPr>
            <w:tcW w:w="2499" w:type="dxa"/>
          </w:tcPr>
          <w:p>
            <w:pPr>
              <w:spacing w:line="400" w:lineRule="atLeast"/>
              <w:jc w:val="center"/>
              <w:rPr>
                <w:szCs w:val="21"/>
                <w:highlight w:val="yellow"/>
              </w:rPr>
            </w:pPr>
          </w:p>
        </w:tc>
        <w:tc>
          <w:tcPr>
            <w:tcW w:w="1787" w:type="dxa"/>
          </w:tcPr>
          <w:p>
            <w:pPr>
              <w:spacing w:line="400" w:lineRule="atLeast"/>
              <w:jc w:val="center"/>
              <w:rPr>
                <w:szCs w:val="21"/>
                <w:highlight w:val="yellow"/>
              </w:rPr>
            </w:pPr>
          </w:p>
        </w:tc>
        <w:tc>
          <w:tcPr>
            <w:tcW w:w="1267" w:type="dxa"/>
          </w:tcPr>
          <w:p>
            <w:pPr>
              <w:spacing w:line="400" w:lineRule="atLeast"/>
              <w:jc w:val="center"/>
              <w:rPr>
                <w:szCs w:val="21"/>
                <w:highlight w:val="yellow"/>
              </w:rPr>
            </w:pPr>
          </w:p>
        </w:tc>
        <w:tc>
          <w:tcPr>
            <w:tcW w:w="2074" w:type="dxa"/>
          </w:tcPr>
          <w:p>
            <w:pPr>
              <w:spacing w:line="400" w:lineRule="atLeast"/>
              <w:jc w:val="center"/>
              <w:rPr>
                <w:szCs w:val="21"/>
                <w:highlight w:val="yellow"/>
              </w:rPr>
            </w:pPr>
          </w:p>
        </w:tc>
      </w:tr>
    </w:tbl>
    <w:p>
      <w:pPr>
        <w:adjustRightInd w:val="0"/>
        <w:snapToGrid w:val="0"/>
        <w:spacing w:line="400" w:lineRule="atLeast"/>
        <w:ind w:firstLine="422" w:firstLineChars="200"/>
        <w:rPr>
          <w:b/>
          <w:lang w:val="zh-CN"/>
        </w:rPr>
      </w:pPr>
      <w:r>
        <w:rPr>
          <w:rFonts w:hAnsi="Arial"/>
          <w:b/>
          <w:lang w:val="zh-CN"/>
        </w:rPr>
        <w:t>注：</w:t>
      </w:r>
      <w:r>
        <w:rPr>
          <w:b/>
          <w:lang w:val="zh-CN"/>
        </w:rPr>
        <w:t xml:space="preserve"> </w:t>
      </w:r>
      <w:r>
        <w:rPr>
          <w:rFonts w:hint="eastAsia"/>
          <w:b/>
          <w:lang w:val="zh-CN"/>
        </w:rPr>
        <w:t>1</w:t>
      </w:r>
      <w:r>
        <w:rPr>
          <w:rFonts w:hAnsi="Arial"/>
          <w:b/>
          <w:lang w:val="zh-CN"/>
        </w:rPr>
        <w:t>、以上业绩必须提供</w:t>
      </w:r>
      <w:r>
        <w:rPr>
          <w:rFonts w:ascii="宋体" w:hAnsi="宋体"/>
          <w:b/>
          <w:szCs w:val="21"/>
        </w:rPr>
        <w:t>合同</w:t>
      </w:r>
      <w:r>
        <w:rPr>
          <w:rFonts w:hint="eastAsia" w:ascii="宋体" w:hAnsi="宋体"/>
          <w:b/>
          <w:szCs w:val="21"/>
        </w:rPr>
        <w:t>扫描件加盖投标人公章，</w:t>
      </w:r>
      <w:r>
        <w:rPr>
          <w:rFonts w:ascii="宋体" w:hAnsi="宋体"/>
          <w:b/>
          <w:bCs/>
          <w:szCs w:val="21"/>
        </w:rPr>
        <w:t>否则不得分。</w:t>
      </w:r>
    </w:p>
    <w:p>
      <w:pPr>
        <w:spacing w:line="400" w:lineRule="exact"/>
        <w:rPr>
          <w:rFonts w:hAnsi="Arial"/>
          <w:szCs w:val="21"/>
        </w:rPr>
      </w:pPr>
    </w:p>
    <w:p>
      <w:pPr>
        <w:spacing w:line="400" w:lineRule="exact"/>
        <w:rPr>
          <w:rFonts w:hAnsi="Arial"/>
          <w:szCs w:val="21"/>
        </w:rPr>
      </w:pPr>
      <w:r>
        <w:rPr>
          <w:rFonts w:hAnsi="Arial"/>
          <w:szCs w:val="21"/>
        </w:rPr>
        <w:t>投标人全称（盖章）</w:t>
      </w:r>
    </w:p>
    <w:p>
      <w:pPr>
        <w:spacing w:line="400" w:lineRule="exact"/>
        <w:rPr>
          <w:szCs w:val="21"/>
        </w:rPr>
      </w:pPr>
      <w:r>
        <w:rPr>
          <w:rFonts w:hAnsi="Arial"/>
          <w:szCs w:val="21"/>
        </w:rPr>
        <w:t>全权代表签字：</w:t>
      </w:r>
    </w:p>
    <w:p>
      <w:pPr>
        <w:spacing w:line="400" w:lineRule="exact"/>
        <w:rPr>
          <w:szCs w:val="21"/>
        </w:rPr>
      </w:pPr>
      <w:r>
        <w:rPr>
          <w:rFonts w:hAnsi="Arial"/>
          <w:szCs w:val="21"/>
        </w:rPr>
        <w:t>日期：</w:t>
      </w:r>
    </w:p>
    <w:p>
      <w:pPr>
        <w:rPr>
          <w:szCs w:val="21"/>
        </w:rPr>
      </w:pPr>
    </w:p>
    <w:p>
      <w:pPr>
        <w:rPr>
          <w:szCs w:val="21"/>
        </w:rPr>
      </w:pPr>
    </w:p>
    <w:p>
      <w:pPr>
        <w:rPr>
          <w:szCs w:val="21"/>
        </w:rPr>
      </w:pPr>
    </w:p>
    <w:p>
      <w:pPr>
        <w:rPr>
          <w:szCs w:val="21"/>
        </w:rPr>
      </w:pPr>
    </w:p>
    <w:p>
      <w:pPr>
        <w:pStyle w:val="32"/>
        <w:spacing w:line="312" w:lineRule="auto"/>
        <w:ind w:firstLine="0" w:firstLineChars="0"/>
        <w:jc w:val="center"/>
        <w:rPr>
          <w:rFonts w:ascii="Times New Roman" w:hAnsi="Times New Roman" w:eastAsia="宋体"/>
          <w:sz w:val="21"/>
          <w:szCs w:val="21"/>
        </w:rPr>
      </w:pPr>
    </w:p>
    <w:p>
      <w:pPr>
        <w:pStyle w:val="32"/>
        <w:spacing w:line="312" w:lineRule="auto"/>
        <w:ind w:firstLine="0" w:firstLineChars="0"/>
        <w:jc w:val="center"/>
        <w:rPr>
          <w:rFonts w:ascii="Times New Roman" w:hAnsi="Times New Roman" w:eastAsia="宋体"/>
          <w:sz w:val="21"/>
          <w:szCs w:val="21"/>
        </w:rPr>
      </w:pPr>
    </w:p>
    <w:p>
      <w:pPr>
        <w:spacing w:line="400" w:lineRule="exact"/>
        <w:jc w:val="center"/>
        <w:rPr>
          <w:b/>
          <w:bCs/>
          <w:iCs/>
          <w:sz w:val="30"/>
          <w:szCs w:val="30"/>
        </w:rPr>
      </w:pPr>
      <w:r>
        <w:rPr>
          <w:rFonts w:hAnsi="Arial"/>
          <w:b/>
          <w:bCs/>
          <w:iCs/>
          <w:sz w:val="32"/>
          <w:szCs w:val="32"/>
        </w:rPr>
        <w:br w:type="page"/>
      </w:r>
      <w:r>
        <w:rPr>
          <w:rFonts w:hint="eastAsia"/>
          <w:b/>
          <w:bCs/>
          <w:iCs/>
          <w:sz w:val="30"/>
          <w:szCs w:val="30"/>
        </w:rPr>
        <w:t>3</w:t>
      </w:r>
      <w:r>
        <w:rPr>
          <w:b/>
          <w:bCs/>
          <w:iCs/>
          <w:sz w:val="30"/>
          <w:szCs w:val="30"/>
        </w:rPr>
        <w:t>、</w:t>
      </w:r>
      <w:r>
        <w:rPr>
          <w:rFonts w:hint="eastAsia"/>
          <w:b/>
          <w:bCs/>
          <w:iCs/>
          <w:sz w:val="30"/>
          <w:szCs w:val="30"/>
        </w:rPr>
        <w:t>项目组人员情况表</w:t>
      </w:r>
    </w:p>
    <w:p>
      <w:pPr>
        <w:spacing w:line="360" w:lineRule="auto"/>
        <w:rPr>
          <w:rFonts w:ascii="宋体" w:hAnsi="宋体"/>
          <w:sz w:val="24"/>
        </w:rPr>
      </w:pPr>
      <w:r>
        <w:rPr>
          <w:rFonts w:hint="eastAsia" w:ascii="宋体" w:hAnsi="宋体"/>
          <w:sz w:val="24"/>
        </w:rPr>
        <w:t xml:space="preserve">项目名称 ：衢江区住建局2021-2022年度白蚁新建预防与回访复查项目（二次） </w:t>
      </w:r>
    </w:p>
    <w:p>
      <w:pPr>
        <w:spacing w:line="360" w:lineRule="auto"/>
        <w:rPr>
          <w:rFonts w:ascii="宋体" w:hAnsi="宋体"/>
          <w:sz w:val="24"/>
        </w:rPr>
      </w:pPr>
      <w:r>
        <w:rPr>
          <w:rFonts w:hint="eastAsia" w:ascii="宋体" w:hAnsi="宋体"/>
          <w:sz w:val="24"/>
        </w:rPr>
        <w:t>项目编号：zjzj202008-22-2</w:t>
      </w:r>
    </w:p>
    <w:tbl>
      <w:tblPr>
        <w:tblStyle w:val="18"/>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401"/>
        <w:gridCol w:w="1266"/>
        <w:gridCol w:w="1316"/>
        <w:gridCol w:w="1278"/>
        <w:gridCol w:w="114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8" w:type="dxa"/>
            <w:vAlign w:val="center"/>
          </w:tcPr>
          <w:p>
            <w:pPr>
              <w:jc w:val="center"/>
              <w:rPr>
                <w:rFonts w:ascii="宋体" w:hAnsi="宋体"/>
                <w:sz w:val="24"/>
              </w:rPr>
            </w:pPr>
            <w:r>
              <w:rPr>
                <w:rFonts w:hint="eastAsia" w:ascii="宋体" w:hAnsi="宋体"/>
                <w:sz w:val="24"/>
              </w:rPr>
              <w:t>序号</w:t>
            </w:r>
          </w:p>
        </w:tc>
        <w:tc>
          <w:tcPr>
            <w:tcW w:w="1401" w:type="dxa"/>
            <w:vAlign w:val="center"/>
          </w:tcPr>
          <w:p>
            <w:pPr>
              <w:jc w:val="center"/>
              <w:rPr>
                <w:rFonts w:ascii="宋体" w:hAnsi="宋体"/>
                <w:sz w:val="24"/>
              </w:rPr>
            </w:pPr>
            <w:r>
              <w:rPr>
                <w:rFonts w:hint="eastAsia" w:ascii="宋体" w:hAnsi="宋体"/>
                <w:sz w:val="24"/>
              </w:rPr>
              <w:t>姓名</w:t>
            </w:r>
          </w:p>
        </w:tc>
        <w:tc>
          <w:tcPr>
            <w:tcW w:w="1266" w:type="dxa"/>
            <w:vAlign w:val="center"/>
          </w:tcPr>
          <w:p>
            <w:pPr>
              <w:jc w:val="center"/>
              <w:rPr>
                <w:rFonts w:ascii="宋体" w:hAnsi="宋体"/>
                <w:sz w:val="24"/>
              </w:rPr>
            </w:pPr>
            <w:r>
              <w:rPr>
                <w:rFonts w:hint="eastAsia" w:ascii="宋体" w:hAnsi="宋体"/>
                <w:sz w:val="24"/>
              </w:rPr>
              <w:t>性别</w:t>
            </w:r>
          </w:p>
        </w:tc>
        <w:tc>
          <w:tcPr>
            <w:tcW w:w="1316" w:type="dxa"/>
            <w:vAlign w:val="center"/>
          </w:tcPr>
          <w:p>
            <w:pPr>
              <w:jc w:val="center"/>
              <w:rPr>
                <w:rFonts w:ascii="宋体" w:hAnsi="宋体"/>
                <w:sz w:val="24"/>
              </w:rPr>
            </w:pPr>
            <w:r>
              <w:rPr>
                <w:rFonts w:hint="eastAsia" w:ascii="宋体" w:hAnsi="宋体"/>
                <w:sz w:val="24"/>
              </w:rPr>
              <w:t>年龄</w:t>
            </w:r>
          </w:p>
        </w:tc>
        <w:tc>
          <w:tcPr>
            <w:tcW w:w="1278" w:type="dxa"/>
            <w:vAlign w:val="center"/>
          </w:tcPr>
          <w:p>
            <w:pPr>
              <w:jc w:val="center"/>
              <w:rPr>
                <w:rFonts w:ascii="宋体" w:hAnsi="宋体"/>
                <w:sz w:val="24"/>
              </w:rPr>
            </w:pPr>
            <w:r>
              <w:rPr>
                <w:rFonts w:hint="eastAsia" w:ascii="宋体" w:hAnsi="宋体"/>
                <w:sz w:val="24"/>
              </w:rPr>
              <w:t>学历</w:t>
            </w:r>
          </w:p>
        </w:tc>
        <w:tc>
          <w:tcPr>
            <w:tcW w:w="1149" w:type="dxa"/>
            <w:vAlign w:val="center"/>
          </w:tcPr>
          <w:p>
            <w:pPr>
              <w:jc w:val="center"/>
              <w:rPr>
                <w:rFonts w:ascii="宋体" w:hAnsi="宋体"/>
                <w:sz w:val="24"/>
              </w:rPr>
            </w:pPr>
            <w:r>
              <w:rPr>
                <w:rFonts w:hint="eastAsia" w:ascii="宋体" w:hAnsi="宋体"/>
                <w:sz w:val="24"/>
              </w:rPr>
              <w:t>职称或资格</w:t>
            </w:r>
          </w:p>
        </w:tc>
        <w:tc>
          <w:tcPr>
            <w:tcW w:w="1559" w:type="dxa"/>
            <w:vAlign w:val="center"/>
          </w:tcPr>
          <w:p>
            <w:pPr>
              <w:jc w:val="center"/>
              <w:rPr>
                <w:rFonts w:ascii="宋体" w:hAnsi="宋体"/>
                <w:sz w:val="24"/>
              </w:rPr>
            </w:pPr>
            <w:r>
              <w:rPr>
                <w:rFonts w:hint="eastAsia" w:ascii="宋体" w:hAnsi="宋体"/>
                <w:sz w:val="24"/>
              </w:rPr>
              <w:t>本项目中的职责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858"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266"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278" w:type="dxa"/>
            <w:vAlign w:val="center"/>
          </w:tcPr>
          <w:p>
            <w:pPr>
              <w:jc w:val="center"/>
              <w:rPr>
                <w:rFonts w:ascii="宋体" w:hAnsi="宋体"/>
                <w:sz w:val="24"/>
              </w:rPr>
            </w:pPr>
          </w:p>
        </w:tc>
        <w:tc>
          <w:tcPr>
            <w:tcW w:w="1149" w:type="dxa"/>
            <w:vAlign w:val="center"/>
          </w:tcPr>
          <w:p>
            <w:pPr>
              <w:jc w:val="center"/>
              <w:rPr>
                <w:rFonts w:ascii="宋体" w:hAnsi="宋体"/>
                <w:sz w:val="24"/>
              </w:rPr>
            </w:pPr>
          </w:p>
        </w:tc>
        <w:tc>
          <w:tcPr>
            <w:tcW w:w="155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858"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266"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278" w:type="dxa"/>
            <w:vAlign w:val="center"/>
          </w:tcPr>
          <w:p>
            <w:pPr>
              <w:jc w:val="center"/>
              <w:rPr>
                <w:rFonts w:ascii="宋体" w:hAnsi="宋体"/>
                <w:sz w:val="24"/>
              </w:rPr>
            </w:pPr>
          </w:p>
        </w:tc>
        <w:tc>
          <w:tcPr>
            <w:tcW w:w="1149" w:type="dxa"/>
            <w:vAlign w:val="center"/>
          </w:tcPr>
          <w:p>
            <w:pPr>
              <w:jc w:val="center"/>
              <w:rPr>
                <w:rFonts w:ascii="宋体" w:hAnsi="宋体"/>
                <w:sz w:val="24"/>
              </w:rPr>
            </w:pPr>
          </w:p>
        </w:tc>
        <w:tc>
          <w:tcPr>
            <w:tcW w:w="155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858"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266"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278" w:type="dxa"/>
            <w:vAlign w:val="center"/>
          </w:tcPr>
          <w:p>
            <w:pPr>
              <w:jc w:val="center"/>
              <w:rPr>
                <w:rFonts w:ascii="宋体" w:hAnsi="宋体"/>
                <w:sz w:val="24"/>
              </w:rPr>
            </w:pPr>
          </w:p>
        </w:tc>
        <w:tc>
          <w:tcPr>
            <w:tcW w:w="1149" w:type="dxa"/>
            <w:vAlign w:val="center"/>
          </w:tcPr>
          <w:p>
            <w:pPr>
              <w:jc w:val="center"/>
              <w:rPr>
                <w:rFonts w:ascii="宋体" w:hAnsi="宋体"/>
                <w:sz w:val="24"/>
              </w:rPr>
            </w:pPr>
          </w:p>
        </w:tc>
        <w:tc>
          <w:tcPr>
            <w:tcW w:w="155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858"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266"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278" w:type="dxa"/>
            <w:vAlign w:val="center"/>
          </w:tcPr>
          <w:p>
            <w:pPr>
              <w:jc w:val="center"/>
              <w:rPr>
                <w:rFonts w:ascii="宋体" w:hAnsi="宋体"/>
                <w:sz w:val="24"/>
              </w:rPr>
            </w:pPr>
          </w:p>
        </w:tc>
        <w:tc>
          <w:tcPr>
            <w:tcW w:w="1149" w:type="dxa"/>
            <w:vAlign w:val="center"/>
          </w:tcPr>
          <w:p>
            <w:pPr>
              <w:jc w:val="center"/>
              <w:rPr>
                <w:rFonts w:ascii="宋体" w:hAnsi="宋体"/>
                <w:sz w:val="24"/>
              </w:rPr>
            </w:pPr>
          </w:p>
        </w:tc>
        <w:tc>
          <w:tcPr>
            <w:tcW w:w="155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858"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266"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278" w:type="dxa"/>
            <w:vAlign w:val="center"/>
          </w:tcPr>
          <w:p>
            <w:pPr>
              <w:jc w:val="center"/>
              <w:rPr>
                <w:rFonts w:ascii="宋体" w:hAnsi="宋体"/>
                <w:sz w:val="24"/>
              </w:rPr>
            </w:pPr>
          </w:p>
        </w:tc>
        <w:tc>
          <w:tcPr>
            <w:tcW w:w="1149" w:type="dxa"/>
            <w:vAlign w:val="center"/>
          </w:tcPr>
          <w:p>
            <w:pPr>
              <w:jc w:val="center"/>
              <w:rPr>
                <w:rFonts w:ascii="宋体" w:hAnsi="宋体"/>
                <w:sz w:val="24"/>
              </w:rPr>
            </w:pPr>
          </w:p>
        </w:tc>
        <w:tc>
          <w:tcPr>
            <w:tcW w:w="155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858"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266"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278" w:type="dxa"/>
            <w:vAlign w:val="center"/>
          </w:tcPr>
          <w:p>
            <w:pPr>
              <w:jc w:val="center"/>
              <w:rPr>
                <w:rFonts w:ascii="宋体" w:hAnsi="宋体"/>
                <w:sz w:val="24"/>
              </w:rPr>
            </w:pPr>
          </w:p>
        </w:tc>
        <w:tc>
          <w:tcPr>
            <w:tcW w:w="1149" w:type="dxa"/>
            <w:vAlign w:val="center"/>
          </w:tcPr>
          <w:p>
            <w:pPr>
              <w:jc w:val="center"/>
              <w:rPr>
                <w:rFonts w:ascii="宋体" w:hAnsi="宋体"/>
                <w:sz w:val="24"/>
              </w:rPr>
            </w:pPr>
          </w:p>
        </w:tc>
        <w:tc>
          <w:tcPr>
            <w:tcW w:w="155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858"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266"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278" w:type="dxa"/>
            <w:vAlign w:val="center"/>
          </w:tcPr>
          <w:p>
            <w:pPr>
              <w:jc w:val="center"/>
              <w:rPr>
                <w:rFonts w:ascii="宋体" w:hAnsi="宋体"/>
                <w:sz w:val="24"/>
              </w:rPr>
            </w:pPr>
          </w:p>
        </w:tc>
        <w:tc>
          <w:tcPr>
            <w:tcW w:w="1149" w:type="dxa"/>
            <w:vAlign w:val="center"/>
          </w:tcPr>
          <w:p>
            <w:pPr>
              <w:jc w:val="center"/>
              <w:rPr>
                <w:rFonts w:ascii="宋体" w:hAnsi="宋体"/>
                <w:sz w:val="24"/>
              </w:rPr>
            </w:pPr>
          </w:p>
        </w:tc>
        <w:tc>
          <w:tcPr>
            <w:tcW w:w="155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858"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266"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278" w:type="dxa"/>
            <w:vAlign w:val="center"/>
          </w:tcPr>
          <w:p>
            <w:pPr>
              <w:jc w:val="center"/>
              <w:rPr>
                <w:rFonts w:ascii="宋体" w:hAnsi="宋体"/>
                <w:sz w:val="24"/>
              </w:rPr>
            </w:pPr>
          </w:p>
        </w:tc>
        <w:tc>
          <w:tcPr>
            <w:tcW w:w="1149" w:type="dxa"/>
            <w:vAlign w:val="center"/>
          </w:tcPr>
          <w:p>
            <w:pPr>
              <w:jc w:val="center"/>
              <w:rPr>
                <w:rFonts w:ascii="宋体" w:hAnsi="宋体"/>
                <w:sz w:val="24"/>
              </w:rPr>
            </w:pPr>
          </w:p>
        </w:tc>
        <w:tc>
          <w:tcPr>
            <w:tcW w:w="155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858"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266" w:type="dxa"/>
            <w:vAlign w:val="center"/>
          </w:tcPr>
          <w:p>
            <w:pPr>
              <w:jc w:val="center"/>
              <w:rPr>
                <w:rFonts w:ascii="宋体" w:hAnsi="宋体"/>
                <w:sz w:val="24"/>
              </w:rPr>
            </w:pPr>
          </w:p>
        </w:tc>
        <w:tc>
          <w:tcPr>
            <w:tcW w:w="1316" w:type="dxa"/>
            <w:vAlign w:val="center"/>
          </w:tcPr>
          <w:p>
            <w:pPr>
              <w:jc w:val="center"/>
              <w:rPr>
                <w:rFonts w:ascii="宋体" w:hAnsi="宋体"/>
                <w:sz w:val="24"/>
              </w:rPr>
            </w:pPr>
          </w:p>
        </w:tc>
        <w:tc>
          <w:tcPr>
            <w:tcW w:w="1278" w:type="dxa"/>
            <w:vAlign w:val="center"/>
          </w:tcPr>
          <w:p>
            <w:pPr>
              <w:jc w:val="center"/>
              <w:rPr>
                <w:rFonts w:ascii="宋体" w:hAnsi="宋体"/>
                <w:sz w:val="24"/>
              </w:rPr>
            </w:pPr>
          </w:p>
        </w:tc>
        <w:tc>
          <w:tcPr>
            <w:tcW w:w="1149" w:type="dxa"/>
            <w:vAlign w:val="center"/>
          </w:tcPr>
          <w:p>
            <w:pPr>
              <w:jc w:val="center"/>
              <w:rPr>
                <w:rFonts w:ascii="宋体" w:hAnsi="宋体"/>
                <w:sz w:val="24"/>
              </w:rPr>
            </w:pPr>
          </w:p>
        </w:tc>
        <w:tc>
          <w:tcPr>
            <w:tcW w:w="155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2259" w:type="dxa"/>
            <w:gridSpan w:val="2"/>
            <w:vAlign w:val="center"/>
          </w:tcPr>
          <w:p>
            <w:pPr>
              <w:ind w:firstLine="720" w:firstLineChars="300"/>
              <w:rPr>
                <w:rFonts w:ascii="宋体" w:hAnsi="宋体"/>
                <w:sz w:val="24"/>
              </w:rPr>
            </w:pPr>
            <w:r>
              <w:rPr>
                <w:rFonts w:hint="eastAsia" w:ascii="宋体" w:hAnsi="宋体"/>
                <w:sz w:val="24"/>
              </w:rPr>
              <w:t>合计人数</w:t>
            </w:r>
          </w:p>
        </w:tc>
        <w:tc>
          <w:tcPr>
            <w:tcW w:w="6568" w:type="dxa"/>
            <w:gridSpan w:val="5"/>
            <w:vAlign w:val="center"/>
          </w:tcPr>
          <w:p>
            <w:pPr>
              <w:jc w:val="center"/>
              <w:rPr>
                <w:rFonts w:ascii="宋体" w:hAnsi="宋体"/>
                <w:sz w:val="24"/>
              </w:rPr>
            </w:pPr>
          </w:p>
        </w:tc>
      </w:tr>
    </w:tbl>
    <w:p>
      <w:pPr>
        <w:spacing w:line="400" w:lineRule="exact"/>
        <w:rPr>
          <w:b/>
          <w:szCs w:val="21"/>
        </w:rPr>
      </w:pPr>
      <w:r>
        <w:rPr>
          <w:rFonts w:hAnsi="Arial"/>
          <w:lang w:val="zh-CN"/>
        </w:rPr>
        <w:t>注：</w:t>
      </w:r>
      <w:r>
        <w:rPr>
          <w:rFonts w:hint="eastAsia" w:hAnsi="Arial"/>
          <w:lang w:val="zh-CN"/>
        </w:rPr>
        <w:t>上表所有人员证书、身份证、近3个月社保附后，并加盖单位公章，未提供不得分。</w:t>
      </w:r>
      <w:r>
        <w:rPr>
          <w:rFonts w:hint="eastAsia"/>
          <w:b/>
          <w:szCs w:val="21"/>
        </w:rPr>
        <w:t xml:space="preserve">                                         </w:t>
      </w:r>
    </w:p>
    <w:p>
      <w:pPr>
        <w:spacing w:line="400" w:lineRule="exact"/>
        <w:ind w:firstLine="5250" w:firstLineChars="2500"/>
        <w:rPr>
          <w:rFonts w:hAnsi="Arial"/>
          <w:szCs w:val="21"/>
        </w:rPr>
      </w:pPr>
    </w:p>
    <w:p>
      <w:pPr>
        <w:spacing w:line="400" w:lineRule="exact"/>
        <w:ind w:firstLine="5250" w:firstLineChars="2500"/>
        <w:rPr>
          <w:rFonts w:hAnsi="Arial"/>
          <w:szCs w:val="21"/>
        </w:rPr>
      </w:pPr>
    </w:p>
    <w:p>
      <w:pPr>
        <w:spacing w:line="400" w:lineRule="exact"/>
        <w:ind w:firstLine="5250" w:firstLineChars="2500"/>
        <w:rPr>
          <w:szCs w:val="21"/>
        </w:rPr>
      </w:pPr>
      <w:r>
        <w:rPr>
          <w:rFonts w:hAnsi="Arial"/>
          <w:szCs w:val="21"/>
        </w:rPr>
        <w:t>投标人全称（盖章）</w:t>
      </w:r>
    </w:p>
    <w:p>
      <w:pPr>
        <w:spacing w:line="400" w:lineRule="exact"/>
        <w:ind w:firstLine="5250" w:firstLineChars="2500"/>
        <w:rPr>
          <w:szCs w:val="21"/>
        </w:rPr>
      </w:pPr>
      <w:r>
        <w:rPr>
          <w:rFonts w:hAnsi="Arial"/>
          <w:szCs w:val="21"/>
        </w:rPr>
        <w:t>全权代表签字：</w:t>
      </w:r>
    </w:p>
    <w:p>
      <w:pPr>
        <w:spacing w:line="400" w:lineRule="exact"/>
        <w:ind w:firstLine="5250" w:firstLineChars="2500"/>
        <w:rPr>
          <w:szCs w:val="21"/>
        </w:rPr>
      </w:pPr>
      <w:r>
        <w:rPr>
          <w:rFonts w:hAnsi="Arial"/>
          <w:szCs w:val="21"/>
        </w:rPr>
        <w:t>日期：</w:t>
      </w:r>
    </w:p>
    <w:p>
      <w:pPr>
        <w:pStyle w:val="8"/>
        <w:sectPr>
          <w:pgSz w:w="11906" w:h="16838"/>
          <w:pgMar w:top="1389" w:right="1531" w:bottom="1089" w:left="1531" w:header="851" w:footer="851" w:gutter="0"/>
          <w:cols w:space="720" w:num="1"/>
          <w:titlePg/>
          <w:docGrid w:linePitch="312" w:charSpace="0"/>
        </w:sectPr>
      </w:pPr>
    </w:p>
    <w:p>
      <w:pPr>
        <w:snapToGrid w:val="0"/>
        <w:spacing w:line="312" w:lineRule="auto"/>
        <w:ind w:firstLine="3373" w:firstLineChars="1600"/>
        <w:outlineLvl w:val="1"/>
        <w:rPr>
          <w:sz w:val="28"/>
          <w:szCs w:val="28"/>
        </w:rPr>
      </w:pPr>
      <w:bookmarkStart w:id="70" w:name="_Toc46418845"/>
      <w:bookmarkStart w:id="71" w:name="_Toc439660041"/>
      <w:bookmarkStart w:id="72" w:name="_Toc16387"/>
      <w:r>
        <w:rPr>
          <w:rStyle w:val="29"/>
          <w:rFonts w:hint="eastAsia" w:ascii="Times New Roman" w:eastAsia="宋体"/>
          <w:sz w:val="21"/>
          <w:szCs w:val="21"/>
        </w:rPr>
        <w:t>七、</w:t>
      </w:r>
      <w:r>
        <w:rPr>
          <w:rStyle w:val="29"/>
          <w:rFonts w:hint="eastAsia"/>
          <w:sz w:val="21"/>
          <w:szCs w:val="21"/>
        </w:rPr>
        <w:t xml:space="preserve"> </w:t>
      </w:r>
      <w:r>
        <w:rPr>
          <w:rStyle w:val="29"/>
          <w:rFonts w:hint="eastAsia" w:ascii="Times New Roman" w:eastAsia="宋体"/>
          <w:sz w:val="21"/>
          <w:szCs w:val="21"/>
        </w:rPr>
        <w:t>报价文件</w:t>
      </w:r>
      <w:r>
        <w:rPr>
          <w:rStyle w:val="29"/>
          <w:rFonts w:ascii="Times New Roman" w:eastAsia="宋体"/>
          <w:sz w:val="21"/>
          <w:szCs w:val="21"/>
        </w:rPr>
        <w:t>封面</w:t>
      </w:r>
      <w:bookmarkEnd w:id="70"/>
      <w:r>
        <w:rPr>
          <w:sz w:val="28"/>
          <w:szCs w:val="28"/>
        </w:rPr>
        <w:t xml:space="preserve">  </w:t>
      </w:r>
    </w:p>
    <w:p>
      <w:pPr>
        <w:pStyle w:val="2"/>
      </w:pPr>
    </w:p>
    <w:p/>
    <w:bookmarkEnd w:id="71"/>
    <w:bookmarkEnd w:id="72"/>
    <w:p>
      <w:pPr>
        <w:pStyle w:val="10"/>
        <w:snapToGrid w:val="0"/>
        <w:spacing w:before="120" w:after="120" w:line="800" w:lineRule="exact"/>
        <w:jc w:val="center"/>
        <w:rPr>
          <w:rFonts w:hAnsi="宋体"/>
          <w:b/>
          <w:bCs/>
          <w:w w:val="90"/>
          <w:sz w:val="44"/>
          <w:szCs w:val="44"/>
        </w:rPr>
      </w:pPr>
      <w:r>
        <w:rPr>
          <w:rFonts w:hint="eastAsia" w:hAnsi="宋体"/>
          <w:b/>
          <w:bCs/>
          <w:w w:val="90"/>
          <w:sz w:val="44"/>
          <w:szCs w:val="44"/>
        </w:rPr>
        <w:t>衢江区住建局2021-2022年度白蚁新建预防与回访复查项目（二次）</w:t>
      </w:r>
    </w:p>
    <w:p>
      <w:pPr>
        <w:ind w:left="5" w:leftChars="-85" w:hanging="183" w:hangingChars="57"/>
        <w:jc w:val="center"/>
        <w:rPr>
          <w:rFonts w:ascii="宋体" w:hAnsi="宋体"/>
          <w:b/>
          <w:bCs/>
          <w:sz w:val="32"/>
        </w:rPr>
      </w:pPr>
    </w:p>
    <w:p>
      <w:pPr>
        <w:ind w:left="5" w:leftChars="-85" w:hanging="183" w:hangingChars="57"/>
        <w:jc w:val="center"/>
        <w:rPr>
          <w:rFonts w:ascii="宋体" w:hAnsi="宋体"/>
          <w:b/>
          <w:bCs/>
          <w:sz w:val="32"/>
        </w:rPr>
      </w:pPr>
      <w:r>
        <w:rPr>
          <w:rFonts w:hint="eastAsia" w:ascii="宋体" w:hAnsi="宋体"/>
          <w:b/>
          <w:bCs/>
          <w:sz w:val="32"/>
        </w:rPr>
        <w:t>（项目编号：zjzj202008-22-2）</w:t>
      </w:r>
    </w:p>
    <w:p>
      <w:pPr>
        <w:ind w:left="-59" w:leftChars="-85" w:hanging="119" w:hangingChars="57"/>
        <w:jc w:val="center"/>
        <w:rPr>
          <w:rFonts w:ascii="宋体" w:hAnsi="宋体"/>
          <w:bCs/>
          <w:szCs w:val="21"/>
        </w:rPr>
      </w:pPr>
    </w:p>
    <w:p>
      <w:pPr>
        <w:ind w:left="5" w:leftChars="-85" w:hanging="183" w:hangingChars="57"/>
        <w:jc w:val="center"/>
        <w:rPr>
          <w:rFonts w:ascii="宋体" w:hAnsi="宋体"/>
          <w:b/>
          <w:bCs/>
          <w:sz w:val="32"/>
        </w:rPr>
      </w:pPr>
    </w:p>
    <w:p>
      <w:pPr>
        <w:ind w:left="5" w:leftChars="-85" w:hanging="183" w:hangingChars="57"/>
        <w:jc w:val="center"/>
        <w:rPr>
          <w:rFonts w:ascii="宋体" w:hAnsi="宋体"/>
          <w:b/>
          <w:bCs/>
          <w:sz w:val="32"/>
        </w:rPr>
      </w:pPr>
    </w:p>
    <w:p>
      <w:pPr>
        <w:ind w:left="5" w:leftChars="-85" w:hanging="183" w:hangingChars="57"/>
        <w:jc w:val="center"/>
        <w:rPr>
          <w:rFonts w:ascii="宋体" w:hAnsi="宋体"/>
          <w:b/>
          <w:bCs/>
          <w:sz w:val="32"/>
        </w:rPr>
      </w:pPr>
    </w:p>
    <w:p>
      <w:pPr>
        <w:ind w:left="303" w:leftChars="-85" w:hanging="481" w:hangingChars="57"/>
        <w:jc w:val="center"/>
        <w:rPr>
          <w:rFonts w:ascii="宋体" w:hAnsi="宋体"/>
          <w:b/>
          <w:bCs/>
          <w:sz w:val="84"/>
          <w:szCs w:val="84"/>
        </w:rPr>
      </w:pPr>
      <w:r>
        <w:rPr>
          <w:rFonts w:hint="eastAsia" w:ascii="宋体" w:hAnsi="宋体"/>
          <w:b/>
          <w:bCs/>
          <w:sz w:val="84"/>
          <w:szCs w:val="84"/>
        </w:rPr>
        <w:t>投 标 文 件</w:t>
      </w:r>
    </w:p>
    <w:p>
      <w:pPr>
        <w:ind w:left="-58" w:leftChars="-85" w:hanging="120" w:hangingChars="57"/>
        <w:jc w:val="center"/>
        <w:rPr>
          <w:rFonts w:ascii="宋体" w:hAnsi="宋体"/>
          <w:b/>
          <w:bCs/>
          <w:szCs w:val="21"/>
        </w:rPr>
      </w:pPr>
    </w:p>
    <w:p>
      <w:pPr>
        <w:ind w:left="5" w:leftChars="-85" w:hanging="183" w:hangingChars="57"/>
        <w:jc w:val="center"/>
        <w:rPr>
          <w:rFonts w:ascii="宋体" w:hAnsi="宋体"/>
          <w:b/>
          <w:bCs/>
          <w:sz w:val="32"/>
        </w:rPr>
      </w:pPr>
      <w:r>
        <w:rPr>
          <w:rFonts w:hint="eastAsia" w:ascii="宋体" w:hAnsi="宋体"/>
          <w:b/>
          <w:bCs/>
          <w:sz w:val="32"/>
        </w:rPr>
        <w:t xml:space="preserve">报价文件 </w:t>
      </w:r>
    </w:p>
    <w:p>
      <w:pPr>
        <w:spacing w:line="800" w:lineRule="exact"/>
        <w:ind w:left="4" w:leftChars="-85" w:hanging="182" w:hangingChars="57"/>
        <w:jc w:val="center"/>
        <w:rPr>
          <w:rFonts w:ascii="宋体" w:hAnsi="宋体"/>
          <w:bCs/>
          <w:sz w:val="32"/>
        </w:rPr>
      </w:pPr>
    </w:p>
    <w:p>
      <w:pPr>
        <w:spacing w:line="360" w:lineRule="auto"/>
        <w:ind w:left="4" w:leftChars="-85" w:hanging="182" w:hangingChars="57"/>
        <w:jc w:val="center"/>
        <w:rPr>
          <w:rFonts w:ascii="宋体" w:hAnsi="宋体"/>
          <w:bCs/>
          <w:sz w:val="32"/>
        </w:rPr>
      </w:pPr>
      <w:r>
        <w:rPr>
          <w:rFonts w:hint="eastAsia" w:ascii="宋体" w:hAnsi="宋体"/>
          <w:bCs/>
          <w:sz w:val="32"/>
        </w:rPr>
        <w:t>投标人名称：</w:t>
      </w:r>
      <w:r>
        <w:rPr>
          <w:rFonts w:hint="eastAsia" w:ascii="宋体" w:hAnsi="宋体"/>
          <w:bCs/>
          <w:sz w:val="32"/>
          <w:u w:val="single"/>
        </w:rPr>
        <w:t xml:space="preserve">                     </w:t>
      </w:r>
      <w:r>
        <w:rPr>
          <w:rFonts w:hint="eastAsia" w:ascii="宋体" w:hAnsi="宋体"/>
          <w:bCs/>
          <w:sz w:val="32"/>
        </w:rPr>
        <w:t>（加盖公章）</w:t>
      </w:r>
    </w:p>
    <w:p>
      <w:pPr>
        <w:spacing w:line="360" w:lineRule="auto"/>
        <w:ind w:left="4" w:leftChars="-85" w:hanging="182" w:hangingChars="57"/>
        <w:jc w:val="center"/>
        <w:rPr>
          <w:rFonts w:ascii="宋体" w:hAnsi="宋体"/>
          <w:bCs/>
          <w:sz w:val="32"/>
        </w:rPr>
      </w:pPr>
    </w:p>
    <w:p>
      <w:pPr>
        <w:spacing w:line="360" w:lineRule="auto"/>
        <w:ind w:left="4" w:leftChars="-85" w:hanging="182" w:hangingChars="57"/>
        <w:rPr>
          <w:rFonts w:ascii="宋体" w:hAnsi="宋体"/>
          <w:bCs/>
          <w:sz w:val="32"/>
        </w:rPr>
      </w:pPr>
      <w:r>
        <w:rPr>
          <w:rFonts w:hint="eastAsia" w:ascii="宋体" w:hAnsi="宋体"/>
          <w:bCs/>
          <w:sz w:val="32"/>
        </w:rPr>
        <w:t xml:space="preserve">        法定代表人：</w:t>
      </w:r>
      <w:r>
        <w:rPr>
          <w:rFonts w:hint="eastAsia" w:ascii="宋体" w:hAnsi="宋体"/>
          <w:bCs/>
          <w:sz w:val="32"/>
          <w:u w:val="single"/>
        </w:rPr>
        <w:t xml:space="preserve">                     </w:t>
      </w:r>
      <w:r>
        <w:rPr>
          <w:rFonts w:hint="eastAsia" w:ascii="宋体" w:hAnsi="宋体"/>
          <w:bCs/>
          <w:sz w:val="32"/>
        </w:rPr>
        <w:t>（签字或盖章）</w:t>
      </w:r>
    </w:p>
    <w:p>
      <w:pPr>
        <w:pStyle w:val="8"/>
        <w:ind w:firstLine="736" w:firstLineChars="230"/>
        <w:rPr>
          <w:rFonts w:ascii="宋体" w:hAnsi="宋体" w:eastAsia="宋体"/>
          <w:sz w:val="32"/>
          <w:szCs w:val="32"/>
        </w:rPr>
      </w:pPr>
    </w:p>
    <w:p>
      <w:pPr>
        <w:pStyle w:val="8"/>
        <w:ind w:firstLine="1052" w:firstLineChars="329"/>
        <w:rPr>
          <w:rFonts w:ascii="宋体" w:hAnsi="宋体" w:eastAsia="宋体"/>
          <w:sz w:val="32"/>
          <w:szCs w:val="32"/>
        </w:rPr>
      </w:pPr>
      <w:r>
        <w:rPr>
          <w:rFonts w:ascii="宋体" w:hAnsi="宋体" w:eastAsia="宋体"/>
          <w:sz w:val="32"/>
          <w:szCs w:val="32"/>
        </w:rPr>
        <w:t xml:space="preserve">日 </w:t>
      </w:r>
      <w:r>
        <w:rPr>
          <w:rFonts w:hint="eastAsia" w:ascii="宋体" w:hAnsi="宋体" w:eastAsia="宋体"/>
          <w:sz w:val="32"/>
          <w:szCs w:val="32"/>
        </w:rPr>
        <w:t xml:space="preserve">      </w:t>
      </w:r>
      <w:r>
        <w:rPr>
          <w:rFonts w:ascii="宋体" w:hAnsi="宋体" w:eastAsia="宋体"/>
          <w:sz w:val="32"/>
          <w:szCs w:val="32"/>
        </w:rPr>
        <w:t>期：</w:t>
      </w:r>
      <w:r>
        <w:rPr>
          <w:rFonts w:ascii="宋体" w:hAnsi="宋体" w:eastAsia="宋体"/>
          <w:sz w:val="32"/>
          <w:szCs w:val="32"/>
          <w:u w:val="single"/>
        </w:rPr>
        <w:t xml:space="preserve">    </w:t>
      </w:r>
      <w:r>
        <w:rPr>
          <w:rFonts w:hint="eastAsia" w:ascii="宋体" w:hAnsi="宋体" w:eastAsia="宋体"/>
          <w:sz w:val="32"/>
          <w:szCs w:val="32"/>
          <w:u w:val="single"/>
        </w:rPr>
        <w:t xml:space="preserve">    </w:t>
      </w:r>
      <w:r>
        <w:rPr>
          <w:rFonts w:ascii="宋体" w:hAnsi="宋体" w:eastAsia="宋体"/>
          <w:sz w:val="32"/>
          <w:szCs w:val="32"/>
          <w:u w:val="single"/>
        </w:rPr>
        <w:t xml:space="preserve"> </w:t>
      </w:r>
      <w:r>
        <w:rPr>
          <w:rFonts w:ascii="宋体" w:hAnsi="宋体" w:eastAsia="宋体"/>
          <w:sz w:val="32"/>
          <w:szCs w:val="32"/>
        </w:rPr>
        <w:t>年</w:t>
      </w:r>
      <w:r>
        <w:rPr>
          <w:rFonts w:ascii="宋体" w:hAnsi="宋体" w:eastAsia="宋体"/>
          <w:sz w:val="32"/>
          <w:szCs w:val="32"/>
          <w:u w:val="single"/>
        </w:rPr>
        <w:t xml:space="preserve">   </w:t>
      </w:r>
      <w:r>
        <w:rPr>
          <w:rFonts w:hint="eastAsia" w:ascii="宋体" w:hAnsi="宋体" w:eastAsia="宋体"/>
          <w:sz w:val="32"/>
          <w:szCs w:val="32"/>
          <w:u w:val="single"/>
        </w:rPr>
        <w:t xml:space="preserve">   </w:t>
      </w:r>
      <w:r>
        <w:rPr>
          <w:rFonts w:ascii="宋体" w:hAnsi="宋体" w:eastAsia="宋体"/>
          <w:sz w:val="32"/>
          <w:szCs w:val="32"/>
          <w:u w:val="single"/>
        </w:rPr>
        <w:t xml:space="preserve"> </w:t>
      </w:r>
      <w:r>
        <w:rPr>
          <w:rFonts w:hint="eastAsia" w:ascii="宋体" w:hAnsi="宋体" w:eastAsia="宋体"/>
          <w:sz w:val="32"/>
          <w:szCs w:val="32"/>
          <w:u w:val="single"/>
        </w:rPr>
        <w:t xml:space="preserve"> </w:t>
      </w:r>
      <w:r>
        <w:rPr>
          <w:rFonts w:ascii="宋体" w:hAnsi="宋体" w:eastAsia="宋体"/>
          <w:sz w:val="32"/>
          <w:szCs w:val="32"/>
        </w:rPr>
        <w:t xml:space="preserve">月 </w:t>
      </w:r>
      <w:r>
        <w:rPr>
          <w:rFonts w:ascii="宋体" w:hAnsi="宋体" w:eastAsia="宋体"/>
          <w:sz w:val="32"/>
          <w:szCs w:val="32"/>
          <w:u w:val="single"/>
        </w:rPr>
        <w:t xml:space="preserve"> </w:t>
      </w:r>
      <w:r>
        <w:rPr>
          <w:rFonts w:hint="eastAsia" w:ascii="宋体" w:hAnsi="宋体" w:eastAsia="宋体"/>
          <w:sz w:val="32"/>
          <w:szCs w:val="32"/>
          <w:u w:val="single"/>
        </w:rPr>
        <w:t xml:space="preserve">   </w:t>
      </w:r>
      <w:r>
        <w:rPr>
          <w:rFonts w:ascii="宋体" w:hAnsi="宋体" w:eastAsia="宋体"/>
          <w:sz w:val="32"/>
          <w:szCs w:val="32"/>
          <w:u w:val="single"/>
        </w:rPr>
        <w:t xml:space="preserve">   </w:t>
      </w:r>
      <w:r>
        <w:rPr>
          <w:rFonts w:ascii="宋体" w:hAnsi="宋体" w:eastAsia="宋体"/>
          <w:sz w:val="32"/>
          <w:szCs w:val="32"/>
        </w:rPr>
        <w:t xml:space="preserve">日      </w:t>
      </w:r>
    </w:p>
    <w:p>
      <w:r>
        <w:t xml:space="preserve"> </w:t>
      </w:r>
    </w:p>
    <w:p>
      <w:pPr>
        <w:rPr>
          <w:rStyle w:val="29"/>
          <w:rFonts w:ascii="Times New Roman" w:hAnsi="Times New Roman" w:eastAsia="宋体"/>
          <w:szCs w:val="28"/>
        </w:rPr>
      </w:pPr>
    </w:p>
    <w:p>
      <w:pPr>
        <w:snapToGrid w:val="0"/>
        <w:spacing w:line="312" w:lineRule="auto"/>
        <w:ind w:firstLine="4498" w:firstLineChars="1600"/>
        <w:outlineLvl w:val="1"/>
        <w:rPr>
          <w:rStyle w:val="29"/>
          <w:rFonts w:ascii="Times New Roman" w:hAnsi="Times New Roman" w:eastAsia="宋体"/>
          <w:szCs w:val="28"/>
        </w:rPr>
      </w:pPr>
    </w:p>
    <w:p>
      <w:pPr>
        <w:snapToGrid w:val="0"/>
        <w:spacing w:line="312" w:lineRule="auto"/>
        <w:ind w:firstLine="3373" w:firstLineChars="1600"/>
        <w:outlineLvl w:val="1"/>
        <w:rPr>
          <w:rStyle w:val="29"/>
          <w:rFonts w:ascii="Times New Roman" w:eastAsia="宋体"/>
          <w:sz w:val="21"/>
          <w:szCs w:val="21"/>
        </w:rPr>
      </w:pPr>
      <w:r>
        <w:rPr>
          <w:rStyle w:val="29"/>
          <w:rFonts w:ascii="Times New Roman" w:eastAsia="宋体"/>
          <w:bCs w:val="0"/>
          <w:sz w:val="21"/>
          <w:szCs w:val="21"/>
        </w:rPr>
        <w:t>八</w:t>
      </w:r>
      <w:r>
        <w:rPr>
          <w:rStyle w:val="29"/>
          <w:rFonts w:ascii="Times New Roman" w:eastAsia="宋体"/>
          <w:sz w:val="21"/>
          <w:szCs w:val="21"/>
        </w:rPr>
        <w:t>、报价文件</w:t>
      </w:r>
      <w:r>
        <w:rPr>
          <w:rStyle w:val="29"/>
          <w:rFonts w:hint="eastAsia" w:ascii="Times New Roman" w:eastAsia="宋体"/>
          <w:sz w:val="21"/>
          <w:szCs w:val="21"/>
        </w:rPr>
        <w:t>目录</w:t>
      </w:r>
    </w:p>
    <w:p>
      <w:pPr>
        <w:snapToGrid w:val="0"/>
        <w:spacing w:line="312" w:lineRule="auto"/>
        <w:ind w:firstLine="315" w:firstLineChars="150"/>
        <w:outlineLvl w:val="1"/>
        <w:rPr>
          <w:szCs w:val="21"/>
        </w:rPr>
      </w:pPr>
      <w:bookmarkStart w:id="73" w:name="_Toc46418846"/>
      <w:r>
        <w:rPr>
          <w:szCs w:val="21"/>
        </w:rPr>
        <w:t>1</w:t>
      </w:r>
      <w:r>
        <w:rPr>
          <w:rFonts w:hAnsi="宋体"/>
          <w:szCs w:val="21"/>
        </w:rPr>
        <w:t>、</w:t>
      </w:r>
      <w:r>
        <w:rPr>
          <w:szCs w:val="21"/>
        </w:rPr>
        <w:t>▲</w:t>
      </w:r>
      <w:r>
        <w:rPr>
          <w:rFonts w:hAnsi="宋体"/>
          <w:szCs w:val="21"/>
        </w:rPr>
        <w:t>开标一览表；</w:t>
      </w:r>
      <w:bookmarkEnd w:id="73"/>
      <w:r>
        <w:rPr>
          <w:szCs w:val="21"/>
        </w:rPr>
        <w:t xml:space="preserve"> </w:t>
      </w:r>
    </w:p>
    <w:p>
      <w:pPr>
        <w:snapToGrid w:val="0"/>
        <w:spacing w:line="312" w:lineRule="auto"/>
        <w:ind w:firstLine="315" w:firstLineChars="150"/>
        <w:outlineLvl w:val="1"/>
        <w:rPr>
          <w:rFonts w:hAnsi="宋体"/>
          <w:szCs w:val="21"/>
        </w:rPr>
      </w:pPr>
      <w:bookmarkStart w:id="74" w:name="_Toc46418847"/>
      <w:r>
        <w:rPr>
          <w:szCs w:val="21"/>
        </w:rPr>
        <w:t>2</w:t>
      </w:r>
      <w:r>
        <w:rPr>
          <w:rFonts w:hAnsi="宋体"/>
          <w:szCs w:val="21"/>
        </w:rPr>
        <w:t>、</w:t>
      </w:r>
      <w:r>
        <w:rPr>
          <w:szCs w:val="21"/>
        </w:rPr>
        <w:t>▲</w:t>
      </w:r>
      <w:r>
        <w:rPr>
          <w:rFonts w:hAnsi="宋体"/>
          <w:szCs w:val="21"/>
        </w:rPr>
        <w:t>投标报价明细表</w:t>
      </w:r>
      <w:bookmarkEnd w:id="74"/>
      <w:r>
        <w:rPr>
          <w:rFonts w:hint="eastAsia" w:hAnsi="宋体"/>
          <w:szCs w:val="21"/>
        </w:rPr>
        <w:t>；</w:t>
      </w:r>
    </w:p>
    <w:p>
      <w:pPr>
        <w:snapToGrid w:val="0"/>
        <w:spacing w:line="312" w:lineRule="auto"/>
        <w:ind w:firstLine="315" w:firstLineChars="150"/>
        <w:outlineLvl w:val="1"/>
        <w:rPr>
          <w:szCs w:val="21"/>
        </w:rPr>
      </w:pPr>
      <w:bookmarkStart w:id="75" w:name="_Toc46418848"/>
      <w:r>
        <w:rPr>
          <w:rFonts w:hint="eastAsia"/>
          <w:szCs w:val="21"/>
        </w:rPr>
        <w:t>3、小微企业声明函</w:t>
      </w:r>
      <w:bookmarkEnd w:id="75"/>
      <w:r>
        <w:rPr>
          <w:rFonts w:hint="eastAsia"/>
          <w:szCs w:val="21"/>
        </w:rPr>
        <w:t>。</w:t>
      </w:r>
    </w:p>
    <w:p>
      <w:pPr>
        <w:rPr>
          <w:rStyle w:val="29"/>
          <w:rFonts w:ascii="Times New Roman" w:hAnsi="Times New Roman" w:eastAsia="宋体"/>
          <w:szCs w:val="28"/>
        </w:rPr>
      </w:pPr>
    </w:p>
    <w:p>
      <w:pPr>
        <w:rPr>
          <w:rStyle w:val="29"/>
          <w:rFonts w:ascii="Times New Roman" w:hAnsi="Times New Roman" w:eastAsia="宋体"/>
          <w:szCs w:val="28"/>
        </w:rPr>
      </w:pPr>
    </w:p>
    <w:p>
      <w:pPr>
        <w:rPr>
          <w:rStyle w:val="29"/>
          <w:rFonts w:ascii="Times New Roman" w:hAnsi="Times New Roman" w:eastAsia="宋体"/>
          <w:szCs w:val="28"/>
        </w:rPr>
      </w:pPr>
    </w:p>
    <w:p>
      <w:pPr>
        <w:rPr>
          <w:rStyle w:val="29"/>
          <w:rFonts w:ascii="Times New Roman" w:hAnsi="Times New Roman" w:eastAsia="宋体"/>
          <w:szCs w:val="28"/>
        </w:rPr>
      </w:pPr>
    </w:p>
    <w:p>
      <w:pPr>
        <w:rPr>
          <w:rStyle w:val="29"/>
          <w:rFonts w:ascii="Times New Roman" w:hAnsi="Times New Roman" w:eastAsia="宋体"/>
          <w:szCs w:val="28"/>
        </w:rPr>
      </w:pPr>
    </w:p>
    <w:p>
      <w:pPr>
        <w:rPr>
          <w:rStyle w:val="29"/>
          <w:rFonts w:ascii="Times New Roman" w:hAnsi="Times New Roman" w:eastAsia="宋体"/>
          <w:szCs w:val="28"/>
        </w:rPr>
      </w:pPr>
    </w:p>
    <w:p>
      <w:pPr>
        <w:rPr>
          <w:rStyle w:val="29"/>
          <w:rFonts w:ascii="Times New Roman" w:hAnsi="Times New Roman" w:eastAsia="宋体"/>
          <w:szCs w:val="28"/>
        </w:rPr>
      </w:pPr>
    </w:p>
    <w:p>
      <w:pPr>
        <w:rPr>
          <w:rStyle w:val="29"/>
          <w:rFonts w:ascii="Times New Roman" w:hAnsi="Times New Roman" w:eastAsia="宋体"/>
          <w:szCs w:val="28"/>
        </w:rPr>
      </w:pPr>
    </w:p>
    <w:p>
      <w:pPr>
        <w:rPr>
          <w:rStyle w:val="29"/>
          <w:rFonts w:ascii="Times New Roman" w:hAnsi="Times New Roman" w:eastAsia="宋体"/>
          <w:szCs w:val="28"/>
        </w:rPr>
      </w:pPr>
    </w:p>
    <w:p>
      <w:pPr>
        <w:pStyle w:val="8"/>
        <w:rPr>
          <w:rStyle w:val="29"/>
          <w:rFonts w:ascii="Times New Roman" w:hAnsi="Times New Roman" w:eastAsia="宋体"/>
          <w:b/>
          <w:bCs/>
          <w:szCs w:val="28"/>
        </w:rPr>
      </w:pPr>
    </w:p>
    <w:p>
      <w:pPr>
        <w:rPr>
          <w:rStyle w:val="29"/>
          <w:rFonts w:ascii="Times New Roman" w:hAnsi="Times New Roman" w:eastAsia="宋体"/>
          <w:szCs w:val="28"/>
        </w:rPr>
      </w:pPr>
    </w:p>
    <w:p>
      <w:pPr>
        <w:pStyle w:val="8"/>
        <w:rPr>
          <w:rStyle w:val="29"/>
          <w:rFonts w:ascii="Times New Roman" w:hAnsi="Times New Roman" w:eastAsia="宋体"/>
          <w:b/>
          <w:bCs/>
          <w:szCs w:val="28"/>
        </w:rPr>
      </w:pPr>
    </w:p>
    <w:p>
      <w:pPr>
        <w:rPr>
          <w:rStyle w:val="29"/>
          <w:rFonts w:ascii="Times New Roman" w:hAnsi="Times New Roman" w:eastAsia="宋体"/>
          <w:szCs w:val="28"/>
        </w:rPr>
      </w:pPr>
    </w:p>
    <w:p>
      <w:pPr>
        <w:pStyle w:val="8"/>
        <w:rPr>
          <w:rStyle w:val="29"/>
          <w:rFonts w:ascii="Times New Roman" w:hAnsi="Times New Roman" w:eastAsia="宋体"/>
          <w:b/>
          <w:bCs/>
          <w:szCs w:val="28"/>
        </w:rPr>
      </w:pPr>
    </w:p>
    <w:p>
      <w:pPr>
        <w:rPr>
          <w:rStyle w:val="29"/>
          <w:rFonts w:ascii="Times New Roman" w:hAnsi="Times New Roman" w:eastAsia="宋体"/>
          <w:szCs w:val="28"/>
        </w:rPr>
      </w:pPr>
    </w:p>
    <w:p>
      <w:pPr>
        <w:pStyle w:val="8"/>
        <w:rPr>
          <w:rStyle w:val="29"/>
          <w:rFonts w:ascii="Times New Roman" w:hAnsi="Times New Roman" w:eastAsia="宋体"/>
          <w:b/>
          <w:bCs/>
          <w:szCs w:val="28"/>
        </w:rPr>
      </w:pPr>
    </w:p>
    <w:p>
      <w:pPr>
        <w:rPr>
          <w:rStyle w:val="29"/>
          <w:rFonts w:ascii="Times New Roman" w:hAnsi="Times New Roman" w:eastAsia="宋体"/>
          <w:szCs w:val="28"/>
        </w:rPr>
      </w:pPr>
    </w:p>
    <w:p>
      <w:pPr>
        <w:pStyle w:val="8"/>
        <w:rPr>
          <w:rStyle w:val="29"/>
          <w:rFonts w:ascii="Times New Roman" w:hAnsi="Times New Roman" w:eastAsia="宋体"/>
          <w:b/>
          <w:bCs/>
          <w:szCs w:val="28"/>
        </w:rPr>
      </w:pPr>
    </w:p>
    <w:p>
      <w:pPr>
        <w:snapToGrid w:val="0"/>
        <w:spacing w:line="312" w:lineRule="auto"/>
        <w:ind w:firstLine="3795" w:firstLineChars="1800"/>
        <w:outlineLvl w:val="1"/>
        <w:rPr>
          <w:rFonts w:hAnsi="宋体"/>
          <w:b/>
          <w:szCs w:val="21"/>
        </w:rPr>
      </w:pPr>
      <w:bookmarkStart w:id="76" w:name="_Toc46418849"/>
      <w:r>
        <w:rPr>
          <w:rFonts w:hAnsi="宋体"/>
          <w:b/>
          <w:szCs w:val="21"/>
        </w:rPr>
        <w:br w:type="page"/>
      </w:r>
      <w:r>
        <w:rPr>
          <w:rFonts w:hAnsi="宋体"/>
          <w:b/>
          <w:szCs w:val="21"/>
        </w:rPr>
        <w:t>九</w:t>
      </w:r>
      <w:r>
        <w:rPr>
          <w:rFonts w:hint="eastAsia" w:hAnsi="宋体"/>
          <w:b/>
          <w:szCs w:val="21"/>
        </w:rPr>
        <w:t>、</w:t>
      </w:r>
      <w:r>
        <w:rPr>
          <w:rFonts w:hAnsi="宋体"/>
          <w:b/>
          <w:szCs w:val="21"/>
        </w:rPr>
        <w:t>报价文件</w:t>
      </w:r>
    </w:p>
    <w:p>
      <w:pPr>
        <w:snapToGrid w:val="0"/>
        <w:spacing w:line="312" w:lineRule="auto"/>
        <w:ind w:firstLine="3795" w:firstLineChars="1800"/>
        <w:outlineLvl w:val="1"/>
        <w:rPr>
          <w:rFonts w:hAnsi="宋体"/>
          <w:b/>
          <w:szCs w:val="21"/>
        </w:rPr>
      </w:pPr>
      <w:r>
        <w:rPr>
          <w:rFonts w:hint="eastAsia" w:hAnsi="宋体"/>
          <w:b/>
          <w:szCs w:val="21"/>
        </w:rPr>
        <w:t>1、</w:t>
      </w:r>
      <w:r>
        <w:rPr>
          <w:rFonts w:hAnsi="宋体"/>
          <w:b/>
          <w:szCs w:val="21"/>
        </w:rPr>
        <w:t>开标一览表</w:t>
      </w:r>
      <w:bookmarkEnd w:id="76"/>
      <w:r>
        <w:rPr>
          <w:rFonts w:hint="eastAsia" w:hAnsi="宋体"/>
          <w:b/>
          <w:szCs w:val="21"/>
        </w:rPr>
        <w:t xml:space="preserve">        </w:t>
      </w:r>
    </w:p>
    <w:p>
      <w:pPr>
        <w:snapToGrid w:val="0"/>
        <w:spacing w:line="312" w:lineRule="auto"/>
        <w:outlineLvl w:val="1"/>
        <w:rPr>
          <w:rFonts w:hint="eastAsia" w:hAnsi="宋体"/>
          <w:b/>
          <w:szCs w:val="21"/>
        </w:rPr>
      </w:pPr>
      <w:bookmarkStart w:id="77" w:name="_Toc46418850"/>
      <w:r>
        <w:rPr>
          <w:rFonts w:hint="eastAsia" w:hAnsi="宋体"/>
          <w:b/>
          <w:szCs w:val="21"/>
        </w:rPr>
        <w:t>项目名称：衢江区住建局2021-2022年度白蚁新建预防与回访复查项目（二次）</w:t>
      </w:r>
    </w:p>
    <w:p>
      <w:pPr>
        <w:snapToGrid w:val="0"/>
        <w:spacing w:line="312" w:lineRule="auto"/>
        <w:outlineLvl w:val="1"/>
        <w:rPr>
          <w:rFonts w:hAnsi="宋体"/>
          <w:b/>
          <w:szCs w:val="21"/>
        </w:rPr>
      </w:pPr>
      <w:r>
        <w:rPr>
          <w:rFonts w:hint="eastAsia" w:hAnsi="宋体"/>
          <w:b/>
          <w:szCs w:val="21"/>
        </w:rPr>
        <w:t>项目编号：zjzj202008-22-2                                单位：人民币元</w:t>
      </w:r>
      <w:bookmarkEnd w:id="77"/>
    </w:p>
    <w:tbl>
      <w:tblPr>
        <w:tblStyle w:val="18"/>
        <w:tblW w:w="9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374"/>
        <w:gridCol w:w="3113"/>
        <w:gridCol w:w="1417"/>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742" w:type="dxa"/>
            <w:vAlign w:val="center"/>
          </w:tcPr>
          <w:p>
            <w:pPr>
              <w:spacing w:line="400" w:lineRule="exact"/>
              <w:jc w:val="center"/>
              <w:rPr>
                <w:rFonts w:ascii="宋体"/>
                <w:sz w:val="22"/>
                <w:szCs w:val="22"/>
              </w:rPr>
            </w:pPr>
            <w:r>
              <w:rPr>
                <w:rFonts w:hint="eastAsia" w:ascii="宋体" w:hAnsi="宋体"/>
                <w:sz w:val="22"/>
                <w:szCs w:val="22"/>
              </w:rPr>
              <w:t>序号</w:t>
            </w:r>
          </w:p>
        </w:tc>
        <w:tc>
          <w:tcPr>
            <w:tcW w:w="2374" w:type="dxa"/>
            <w:vAlign w:val="center"/>
          </w:tcPr>
          <w:p>
            <w:pPr>
              <w:spacing w:line="400" w:lineRule="exact"/>
              <w:jc w:val="center"/>
              <w:rPr>
                <w:rFonts w:ascii="宋体"/>
                <w:sz w:val="22"/>
                <w:szCs w:val="22"/>
              </w:rPr>
            </w:pPr>
            <w:r>
              <w:rPr>
                <w:rFonts w:hint="eastAsia" w:ascii="宋体" w:hAnsi="宋体"/>
                <w:sz w:val="22"/>
                <w:szCs w:val="22"/>
              </w:rPr>
              <w:t>采购内容</w:t>
            </w:r>
          </w:p>
        </w:tc>
        <w:tc>
          <w:tcPr>
            <w:tcW w:w="3113" w:type="dxa"/>
            <w:vAlign w:val="center"/>
          </w:tcPr>
          <w:p>
            <w:pPr>
              <w:snapToGrid w:val="0"/>
              <w:spacing w:line="400" w:lineRule="exact"/>
              <w:ind w:right="-827" w:rightChars="-394" w:firstLine="880" w:firstLineChars="400"/>
              <w:rPr>
                <w:rFonts w:ascii="宋体"/>
                <w:sz w:val="22"/>
                <w:szCs w:val="22"/>
              </w:rPr>
            </w:pPr>
            <w:r>
              <w:rPr>
                <w:rFonts w:hint="eastAsia" w:ascii="宋体" w:hAnsi="宋体"/>
                <w:sz w:val="22"/>
                <w:szCs w:val="22"/>
              </w:rPr>
              <w:t>投标报价（元）</w:t>
            </w:r>
          </w:p>
        </w:tc>
        <w:tc>
          <w:tcPr>
            <w:tcW w:w="1417" w:type="dxa"/>
            <w:vAlign w:val="center"/>
          </w:tcPr>
          <w:p>
            <w:pPr>
              <w:snapToGrid w:val="0"/>
              <w:spacing w:line="400" w:lineRule="exact"/>
              <w:jc w:val="center"/>
              <w:rPr>
                <w:rFonts w:ascii="宋体"/>
                <w:bCs/>
                <w:sz w:val="22"/>
                <w:szCs w:val="22"/>
              </w:rPr>
            </w:pPr>
            <w:r>
              <w:rPr>
                <w:rFonts w:hint="eastAsia" w:ascii="宋体" w:hAnsi="宋体" w:cs="宋体"/>
                <w:bCs/>
                <w:sz w:val="22"/>
                <w:szCs w:val="22"/>
                <w:lang w:val="en-GB"/>
              </w:rPr>
              <w:t>服务期</w:t>
            </w:r>
          </w:p>
        </w:tc>
        <w:tc>
          <w:tcPr>
            <w:tcW w:w="2060" w:type="dxa"/>
            <w:vAlign w:val="center"/>
          </w:tcPr>
          <w:p>
            <w:pPr>
              <w:snapToGrid w:val="0"/>
              <w:spacing w:line="400" w:lineRule="exact"/>
              <w:jc w:val="center"/>
              <w:rPr>
                <w:rFonts w:ascii="宋体" w:cs="宋体"/>
                <w:bCs/>
                <w:sz w:val="22"/>
                <w:szCs w:val="22"/>
                <w:lang w:val="en-GB"/>
              </w:rPr>
            </w:pPr>
            <w:r>
              <w:rPr>
                <w:rFonts w:hint="eastAsia" w:ascii="宋体" w:hAnsi="宋体" w:cs="宋体"/>
                <w:bCs/>
                <w:sz w:val="22"/>
                <w:szCs w:val="22"/>
                <w:lang w:val="en-GB"/>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742" w:type="dxa"/>
            <w:vAlign w:val="center"/>
          </w:tcPr>
          <w:p>
            <w:pPr>
              <w:spacing w:line="400" w:lineRule="exact"/>
              <w:jc w:val="center"/>
              <w:rPr>
                <w:rFonts w:ascii="宋体"/>
                <w:sz w:val="22"/>
                <w:szCs w:val="22"/>
              </w:rPr>
            </w:pPr>
            <w:r>
              <w:rPr>
                <w:rFonts w:ascii="宋体" w:hAnsi="宋体"/>
                <w:sz w:val="22"/>
                <w:szCs w:val="22"/>
              </w:rPr>
              <w:t>1</w:t>
            </w:r>
          </w:p>
        </w:tc>
        <w:tc>
          <w:tcPr>
            <w:tcW w:w="2374" w:type="dxa"/>
            <w:vAlign w:val="center"/>
          </w:tcPr>
          <w:p>
            <w:pPr>
              <w:jc w:val="center"/>
              <w:rPr>
                <w:rFonts w:ascii="宋体"/>
                <w:sz w:val="22"/>
                <w:szCs w:val="22"/>
              </w:rPr>
            </w:pPr>
            <w:r>
              <w:rPr>
                <w:rFonts w:hint="eastAsia" w:ascii="宋体"/>
                <w:bCs/>
                <w:szCs w:val="21"/>
              </w:rPr>
              <w:t>衢江区住建局2021-2022年度白蚁新建预防与回访复查项目（二次）</w:t>
            </w:r>
          </w:p>
        </w:tc>
        <w:tc>
          <w:tcPr>
            <w:tcW w:w="3113" w:type="dxa"/>
            <w:vAlign w:val="center"/>
          </w:tcPr>
          <w:p>
            <w:pPr>
              <w:snapToGrid w:val="0"/>
              <w:spacing w:line="400" w:lineRule="exact"/>
              <w:rPr>
                <w:rFonts w:ascii="宋体" w:hAnsi="宋体"/>
                <w:sz w:val="22"/>
                <w:szCs w:val="22"/>
              </w:rPr>
            </w:pPr>
            <w:r>
              <w:rPr>
                <w:rFonts w:hint="eastAsia" w:ascii="宋体" w:hAnsi="宋体"/>
                <w:sz w:val="22"/>
                <w:szCs w:val="22"/>
              </w:rPr>
              <w:t>小写：¥</w:t>
            </w:r>
            <w:r>
              <w:rPr>
                <w:rFonts w:hint="eastAsia" w:ascii="宋体" w:hAnsi="宋体"/>
                <w:sz w:val="22"/>
                <w:szCs w:val="22"/>
                <w:u w:val="single"/>
              </w:rPr>
              <w:t xml:space="preserve">        </w:t>
            </w:r>
            <w:r>
              <w:rPr>
                <w:rFonts w:hint="eastAsia" w:ascii="宋体" w:hAnsi="宋体"/>
                <w:sz w:val="22"/>
                <w:szCs w:val="22"/>
              </w:rPr>
              <w:t>元,</w:t>
            </w:r>
          </w:p>
          <w:p>
            <w:pPr>
              <w:snapToGrid w:val="0"/>
              <w:spacing w:line="400" w:lineRule="exact"/>
              <w:rPr>
                <w:rFonts w:ascii="宋体"/>
                <w:sz w:val="22"/>
                <w:szCs w:val="22"/>
              </w:rPr>
            </w:pPr>
            <w:r>
              <w:rPr>
                <w:rFonts w:hint="eastAsia" w:ascii="宋体" w:hAnsi="宋体"/>
                <w:sz w:val="22"/>
                <w:szCs w:val="22"/>
              </w:rPr>
              <w:t>大写：</w:t>
            </w:r>
            <w:r>
              <w:rPr>
                <w:rFonts w:hint="eastAsia" w:ascii="宋体" w:hAnsi="宋体"/>
                <w:sz w:val="22"/>
                <w:szCs w:val="22"/>
                <w:u w:val="single"/>
              </w:rPr>
              <w:t xml:space="preserve">        </w:t>
            </w:r>
          </w:p>
        </w:tc>
        <w:tc>
          <w:tcPr>
            <w:tcW w:w="1417" w:type="dxa"/>
            <w:vAlign w:val="center"/>
          </w:tcPr>
          <w:p>
            <w:pPr>
              <w:widowControl/>
              <w:jc w:val="center"/>
              <w:rPr>
                <w:rFonts w:ascii="宋体"/>
                <w:sz w:val="22"/>
                <w:szCs w:val="22"/>
              </w:rPr>
            </w:pPr>
            <w:r>
              <w:rPr>
                <w:rFonts w:hint="eastAsia" w:ascii="宋体" w:hAnsi="宋体"/>
                <w:szCs w:val="21"/>
              </w:rPr>
              <w:t>服务期2年</w:t>
            </w:r>
          </w:p>
        </w:tc>
        <w:tc>
          <w:tcPr>
            <w:tcW w:w="2060" w:type="dxa"/>
            <w:vAlign w:val="center"/>
          </w:tcPr>
          <w:p>
            <w:pPr>
              <w:widowControl/>
              <w:rPr>
                <w:rFonts w:ascii="宋体"/>
                <w:sz w:val="22"/>
                <w:szCs w:val="22"/>
              </w:rPr>
            </w:pPr>
          </w:p>
        </w:tc>
      </w:tr>
    </w:tbl>
    <w:p>
      <w:pPr>
        <w:spacing w:line="360" w:lineRule="exact"/>
        <w:ind w:firstLine="422" w:firstLineChars="200"/>
        <w:rPr>
          <w:b/>
          <w:szCs w:val="21"/>
        </w:rPr>
      </w:pPr>
      <w:r>
        <w:rPr>
          <w:rFonts w:hAnsi="宋体"/>
          <w:b/>
          <w:szCs w:val="21"/>
        </w:rPr>
        <w:t>注：</w:t>
      </w:r>
    </w:p>
    <w:p>
      <w:pPr>
        <w:spacing w:line="360" w:lineRule="auto"/>
        <w:ind w:firstLine="422" w:firstLineChars="200"/>
        <w:rPr>
          <w:b/>
          <w:szCs w:val="21"/>
        </w:rPr>
      </w:pPr>
      <w:r>
        <w:rPr>
          <w:rFonts w:hint="eastAsia"/>
          <w:b/>
          <w:szCs w:val="21"/>
        </w:rPr>
        <w:t>1</w:t>
      </w:r>
      <w:r>
        <w:rPr>
          <w:b/>
          <w:szCs w:val="21"/>
        </w:rPr>
        <w:t>.</w:t>
      </w:r>
      <w:r>
        <w:rPr>
          <w:rFonts w:hAnsi="宋体"/>
          <w:b/>
          <w:szCs w:val="21"/>
        </w:rPr>
        <w:t>此表不得自行增减内容，不提供此表格将被视为没有实质性响应采购文件</w:t>
      </w:r>
      <w:r>
        <w:rPr>
          <w:b/>
          <w:szCs w:val="21"/>
        </w:rPr>
        <w:t>,</w:t>
      </w:r>
      <w:r>
        <w:rPr>
          <w:rFonts w:hAnsi="宋体"/>
          <w:b/>
          <w:szCs w:val="21"/>
        </w:rPr>
        <w:t>其投标文件将被拒绝。</w:t>
      </w:r>
    </w:p>
    <w:p>
      <w:pPr>
        <w:spacing w:line="500" w:lineRule="exact"/>
        <w:ind w:firstLine="4809" w:firstLineChars="2290"/>
        <w:rPr>
          <w:szCs w:val="21"/>
        </w:rPr>
      </w:pPr>
    </w:p>
    <w:p>
      <w:pPr>
        <w:spacing w:line="500" w:lineRule="exact"/>
        <w:ind w:firstLine="4809" w:firstLineChars="2290"/>
        <w:rPr>
          <w:szCs w:val="21"/>
        </w:rPr>
      </w:pPr>
    </w:p>
    <w:p>
      <w:pPr>
        <w:spacing w:line="500" w:lineRule="exact"/>
        <w:ind w:firstLine="4620" w:firstLineChars="2200"/>
        <w:rPr>
          <w:szCs w:val="21"/>
        </w:rPr>
      </w:pPr>
      <w:r>
        <w:rPr>
          <w:rFonts w:hAnsi="宋体"/>
          <w:szCs w:val="21"/>
        </w:rPr>
        <w:t>投标人全称（盖章）：</w:t>
      </w:r>
    </w:p>
    <w:p>
      <w:pPr>
        <w:spacing w:line="460" w:lineRule="exact"/>
        <w:ind w:firstLine="4620" w:firstLineChars="2200"/>
        <w:rPr>
          <w:szCs w:val="21"/>
        </w:rPr>
      </w:pPr>
      <w:r>
        <w:rPr>
          <w:rFonts w:hAnsi="宋体"/>
          <w:szCs w:val="21"/>
        </w:rPr>
        <w:t>法定代表人或授权代表人（签字或盖章）：</w:t>
      </w:r>
      <w:r>
        <w:rPr>
          <w:szCs w:val="21"/>
        </w:rPr>
        <w:t xml:space="preserve"> </w:t>
      </w:r>
    </w:p>
    <w:p>
      <w:pPr>
        <w:spacing w:line="460" w:lineRule="exact"/>
        <w:ind w:firstLine="4819" w:firstLineChars="2295"/>
        <w:rPr>
          <w:szCs w:val="21"/>
        </w:rPr>
      </w:pPr>
      <w:r>
        <w:rPr>
          <w:rFonts w:hAnsi="宋体"/>
          <w:szCs w:val="21"/>
        </w:rPr>
        <w:t>日期：</w:t>
      </w:r>
      <w:r>
        <w:rPr>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p>
      <w:pPr>
        <w:widowControl/>
        <w:jc w:val="left"/>
        <w:rPr>
          <w:b/>
          <w:szCs w:val="21"/>
        </w:rPr>
      </w:pPr>
    </w:p>
    <w:p>
      <w:pPr>
        <w:pStyle w:val="7"/>
        <w:rPr>
          <w:szCs w:val="21"/>
        </w:rPr>
      </w:pPr>
    </w:p>
    <w:p>
      <w:pPr>
        <w:pStyle w:val="8"/>
        <w:rPr>
          <w:rFonts w:ascii="Times New Roman" w:hAnsi="Times New Roman"/>
          <w:b/>
          <w:bCs/>
          <w:szCs w:val="21"/>
        </w:rPr>
      </w:pPr>
    </w:p>
    <w:p>
      <w:pPr>
        <w:rPr>
          <w:b/>
          <w:bCs/>
          <w:szCs w:val="21"/>
        </w:rPr>
      </w:pPr>
    </w:p>
    <w:p>
      <w:pPr>
        <w:pStyle w:val="2"/>
        <w:rPr>
          <w:b/>
          <w:bCs/>
          <w:szCs w:val="21"/>
        </w:rPr>
      </w:pPr>
    </w:p>
    <w:p>
      <w:pPr>
        <w:rPr>
          <w:b/>
          <w:bCs/>
          <w:szCs w:val="21"/>
        </w:rPr>
      </w:pPr>
    </w:p>
    <w:p>
      <w:pPr>
        <w:pStyle w:val="2"/>
        <w:rPr>
          <w:b/>
          <w:bCs/>
          <w:szCs w:val="21"/>
        </w:rPr>
      </w:pPr>
    </w:p>
    <w:p>
      <w:pPr>
        <w:rPr>
          <w:b/>
          <w:bCs/>
          <w:szCs w:val="21"/>
        </w:rPr>
      </w:pPr>
    </w:p>
    <w:p>
      <w:pPr>
        <w:pStyle w:val="2"/>
        <w:rPr>
          <w:b/>
          <w:bCs/>
          <w:szCs w:val="21"/>
        </w:rPr>
      </w:pPr>
    </w:p>
    <w:p/>
    <w:p/>
    <w:p/>
    <w:p>
      <w:pPr>
        <w:pStyle w:val="8"/>
        <w:numPr>
          <w:ilvl w:val="0"/>
          <w:numId w:val="1"/>
        </w:numPr>
        <w:ind w:firstLine="0"/>
        <w:jc w:val="center"/>
        <w:rPr>
          <w:rFonts w:ascii="宋体" w:hAnsi="宋体" w:eastAsia="宋体"/>
          <w:b/>
          <w:sz w:val="21"/>
          <w:szCs w:val="21"/>
        </w:rPr>
      </w:pPr>
      <w:r>
        <w:rPr>
          <w:rFonts w:ascii="宋体" w:hAnsi="宋体" w:eastAsia="宋体"/>
          <w:b/>
          <w:sz w:val="21"/>
          <w:szCs w:val="21"/>
        </w:rPr>
        <w:br w:type="page"/>
      </w:r>
      <w:r>
        <w:rPr>
          <w:rFonts w:ascii="宋体" w:hAnsi="宋体" w:eastAsia="宋体"/>
          <w:b/>
          <w:sz w:val="21"/>
          <w:szCs w:val="21"/>
        </w:rPr>
        <w:t>投标报价明细表</w:t>
      </w:r>
    </w:p>
    <w:p>
      <w:pPr>
        <w:rPr>
          <w:rFonts w:hint="eastAsia"/>
        </w:rPr>
      </w:pPr>
      <w:r>
        <w:rPr>
          <w:rFonts w:hint="eastAsia"/>
        </w:rPr>
        <w:t>项目名称：</w:t>
      </w:r>
      <w:r>
        <w:rPr>
          <w:rFonts w:hint="eastAsia" w:ascii="宋体"/>
          <w:bCs/>
          <w:szCs w:val="21"/>
        </w:rPr>
        <w:t>衢江区住建局2021-2022年度白蚁新建预防与回访复查项目（二次）</w:t>
      </w:r>
      <w:r>
        <w:rPr>
          <w:rFonts w:hint="eastAsia"/>
        </w:rPr>
        <w:t xml:space="preserve">     </w:t>
      </w:r>
    </w:p>
    <w:p>
      <w:r>
        <w:rPr>
          <w:rFonts w:hint="eastAsia"/>
        </w:rPr>
        <w:t>项目编号：</w:t>
      </w:r>
      <w:r>
        <w:rPr>
          <w:rFonts w:hint="eastAsia" w:hAnsi="宋体"/>
          <w:b/>
          <w:szCs w:val="21"/>
        </w:rPr>
        <w:t xml:space="preserve">zjzj202008-22-2 </w:t>
      </w:r>
    </w:p>
    <w:tbl>
      <w:tblPr>
        <w:tblStyle w:val="18"/>
        <w:tblW w:w="8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722"/>
        <w:gridCol w:w="1559"/>
        <w:gridCol w:w="2287"/>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8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序号</w:t>
            </w:r>
          </w:p>
        </w:tc>
        <w:tc>
          <w:tcPr>
            <w:tcW w:w="272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采购内容</w:t>
            </w:r>
          </w:p>
        </w:tc>
        <w:tc>
          <w:tcPr>
            <w:tcW w:w="5320" w:type="dxa"/>
            <w:gridSpan w:val="3"/>
            <w:tcBorders>
              <w:top w:val="single" w:color="auto" w:sz="4" w:space="0"/>
              <w:left w:val="single" w:color="auto" w:sz="4" w:space="0"/>
              <w:bottom w:val="single" w:color="auto" w:sz="4" w:space="0"/>
              <w:right w:val="single" w:color="auto" w:sz="4" w:space="0"/>
            </w:tcBorders>
          </w:tcPr>
          <w:p>
            <w:pPr>
              <w:snapToGrid w:val="0"/>
              <w:spacing w:line="540" w:lineRule="exact"/>
              <w:jc w:val="center"/>
              <w:rPr>
                <w:rFonts w:ascii="宋体" w:hAnsi="宋体"/>
                <w:sz w:val="24"/>
                <w:szCs w:val="24"/>
              </w:rPr>
            </w:pPr>
            <w:r>
              <w:rPr>
                <w:rFonts w:hint="eastAsia" w:ascii="宋体" w:hAnsi="宋体"/>
                <w:sz w:val="24"/>
                <w:szCs w:val="24"/>
              </w:rPr>
              <w:t>投标报价(人民币)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78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p>
        </w:tc>
        <w:tc>
          <w:tcPr>
            <w:tcW w:w="2722"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数量</w:t>
            </w:r>
          </w:p>
        </w:tc>
        <w:tc>
          <w:tcPr>
            <w:tcW w:w="2287"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单价</w:t>
            </w:r>
          </w:p>
        </w:tc>
        <w:tc>
          <w:tcPr>
            <w:tcW w:w="1474"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1</w:t>
            </w:r>
          </w:p>
        </w:tc>
        <w:tc>
          <w:tcPr>
            <w:tcW w:w="2722"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老旧房屋白蚁治理</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30000㎡</w:t>
            </w:r>
          </w:p>
        </w:tc>
        <w:tc>
          <w:tcPr>
            <w:tcW w:w="2287"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元/</w:t>
            </w:r>
            <w:r>
              <w:rPr>
                <w:rFonts w:hint="eastAsia" w:ascii="宋体" w:hAnsi="宋体" w:cs="宋体"/>
                <w:sz w:val="24"/>
                <w:szCs w:val="24"/>
              </w:rPr>
              <w:t>㎡</w:t>
            </w:r>
          </w:p>
        </w:tc>
        <w:tc>
          <w:tcPr>
            <w:tcW w:w="1474"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2</w:t>
            </w:r>
          </w:p>
        </w:tc>
        <w:tc>
          <w:tcPr>
            <w:tcW w:w="2722"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经白蚁预防（药物屏障处理）房屋回访复查</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200万㎡</w:t>
            </w:r>
          </w:p>
        </w:tc>
        <w:tc>
          <w:tcPr>
            <w:tcW w:w="2287"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元/㎡</w:t>
            </w:r>
          </w:p>
        </w:tc>
        <w:tc>
          <w:tcPr>
            <w:tcW w:w="1474"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3</w:t>
            </w:r>
          </w:p>
        </w:tc>
        <w:tc>
          <w:tcPr>
            <w:tcW w:w="2722"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新建房屋白蚁预防施工（安装监测装置）</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5400套</w:t>
            </w:r>
          </w:p>
        </w:tc>
        <w:tc>
          <w:tcPr>
            <w:tcW w:w="2287"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元/套</w:t>
            </w:r>
          </w:p>
        </w:tc>
        <w:tc>
          <w:tcPr>
            <w:tcW w:w="1474"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4</w:t>
            </w:r>
          </w:p>
        </w:tc>
        <w:tc>
          <w:tcPr>
            <w:tcW w:w="2722"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监测装置检查维护</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5300套</w:t>
            </w:r>
          </w:p>
        </w:tc>
        <w:tc>
          <w:tcPr>
            <w:tcW w:w="2287"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元/套</w:t>
            </w:r>
          </w:p>
        </w:tc>
        <w:tc>
          <w:tcPr>
            <w:tcW w:w="1474"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5</w:t>
            </w:r>
          </w:p>
        </w:tc>
        <w:tc>
          <w:tcPr>
            <w:tcW w:w="2722"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合计投标总价</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w:t>
            </w:r>
          </w:p>
        </w:tc>
        <w:tc>
          <w:tcPr>
            <w:tcW w:w="2287"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w:t>
            </w:r>
          </w:p>
        </w:tc>
        <w:tc>
          <w:tcPr>
            <w:tcW w:w="1474" w:type="dxa"/>
            <w:tcBorders>
              <w:top w:val="single" w:color="auto" w:sz="4" w:space="0"/>
              <w:left w:val="single" w:color="auto" w:sz="4" w:space="0"/>
              <w:bottom w:val="single" w:color="auto" w:sz="4" w:space="0"/>
              <w:right w:val="single" w:color="auto" w:sz="4" w:space="0"/>
            </w:tcBorders>
            <w:vAlign w:val="center"/>
          </w:tcPr>
          <w:p>
            <w:pPr>
              <w:snapToGrid w:val="0"/>
              <w:spacing w:line="540" w:lineRule="exact"/>
              <w:jc w:val="center"/>
              <w:rPr>
                <w:rFonts w:ascii="宋体" w:hAnsi="宋体"/>
                <w:sz w:val="24"/>
                <w:szCs w:val="24"/>
              </w:rPr>
            </w:pPr>
          </w:p>
        </w:tc>
      </w:tr>
    </w:tbl>
    <w:p>
      <w:pPr>
        <w:pStyle w:val="2"/>
        <w:rPr>
          <w:rFonts w:ascii="宋体" w:hAnsi="宋体"/>
          <w:sz w:val="24"/>
          <w:lang w:bidi="ar"/>
        </w:rPr>
      </w:pPr>
      <w:r>
        <w:rPr>
          <w:rFonts w:hint="eastAsia" w:ascii="宋体" w:hAnsi="宋体"/>
          <w:sz w:val="24"/>
          <w:lang w:bidi="ar"/>
        </w:rPr>
        <w:t>工程费按上列采购内容的实际工作量（数量）乘以上列投标报价的单价结算。</w:t>
      </w:r>
    </w:p>
    <w:p>
      <w:pPr>
        <w:pStyle w:val="2"/>
        <w:rPr>
          <w:rFonts w:ascii="宋体" w:hAnsi="宋体"/>
          <w:sz w:val="24"/>
          <w:u w:val="single"/>
          <w:lang w:bidi="ar"/>
        </w:rPr>
      </w:pPr>
      <w:r>
        <w:rPr>
          <w:rFonts w:hint="eastAsia" w:ascii="宋体" w:hAnsi="宋体"/>
          <w:sz w:val="24"/>
          <w:lang w:bidi="ar"/>
        </w:rPr>
        <w:t xml:space="preserve">2、选用的监测装置产品： </w:t>
      </w:r>
      <w:r>
        <w:rPr>
          <w:rFonts w:hint="eastAsia" w:ascii="宋体" w:hAnsi="宋体"/>
          <w:sz w:val="24"/>
          <w:u w:val="single"/>
          <w:lang w:bidi="ar"/>
        </w:rPr>
        <w:t xml:space="preserve">                        </w:t>
      </w:r>
    </w:p>
    <w:p>
      <w:pPr>
        <w:pStyle w:val="2"/>
        <w:rPr>
          <w:rFonts w:ascii="宋体" w:hAnsi="宋体"/>
          <w:sz w:val="24"/>
          <w:lang w:bidi="ar"/>
        </w:rPr>
      </w:pPr>
      <w:r>
        <w:rPr>
          <w:rFonts w:hint="eastAsia" w:ascii="宋体" w:hAnsi="宋体"/>
          <w:sz w:val="24"/>
          <w:lang w:bidi="ar"/>
        </w:rPr>
        <w:t>3、选用的白蚁预防药物产品：</w:t>
      </w:r>
      <w:r>
        <w:rPr>
          <w:rFonts w:hint="eastAsia" w:ascii="宋体" w:hAnsi="宋体"/>
          <w:sz w:val="24"/>
          <w:u w:val="single"/>
          <w:lang w:bidi="ar"/>
        </w:rPr>
        <w:t xml:space="preserve">                        </w:t>
      </w:r>
    </w:p>
    <w:p>
      <w:pPr>
        <w:rPr>
          <w:rFonts w:ascii="宋体" w:hAnsi="宋体"/>
          <w:kern w:val="0"/>
          <w:szCs w:val="21"/>
          <w:lang w:bidi="ar"/>
        </w:rPr>
      </w:pPr>
      <w:r>
        <w:rPr>
          <w:rFonts w:hint="eastAsia" w:ascii="宋体" w:hAnsi="宋体"/>
          <w:kern w:val="0"/>
          <w:szCs w:val="21"/>
          <w:lang w:bidi="ar"/>
        </w:rPr>
        <w:t>注：</w:t>
      </w:r>
    </w:p>
    <w:p>
      <w:pPr>
        <w:rPr>
          <w:rFonts w:ascii="宋体" w:hAnsi="宋体"/>
          <w:szCs w:val="21"/>
        </w:rPr>
      </w:pPr>
      <w:r>
        <w:rPr>
          <w:rFonts w:hint="eastAsia" w:ascii="宋体" w:hAnsi="宋体"/>
          <w:kern w:val="0"/>
          <w:szCs w:val="21"/>
          <w:lang w:bidi="ar"/>
        </w:rPr>
        <w:t>1、</w:t>
      </w:r>
      <w:r>
        <w:rPr>
          <w:rFonts w:ascii="宋体" w:hAnsi="宋体"/>
          <w:szCs w:val="21"/>
        </w:rPr>
        <w:t>招标文件中所包含的工作内容未在报价表中体现的均视为投标人统筹含在投标总价中。</w:t>
      </w:r>
    </w:p>
    <w:p>
      <w:pPr>
        <w:pStyle w:val="8"/>
        <w:ind w:firstLine="0"/>
        <w:rPr>
          <w:rFonts w:ascii="宋体" w:hAnsi="宋体" w:eastAsia="宋体"/>
          <w:sz w:val="21"/>
          <w:szCs w:val="21"/>
        </w:rPr>
      </w:pPr>
      <w:r>
        <w:rPr>
          <w:rFonts w:hint="eastAsia" w:ascii="宋体" w:hAnsi="宋体" w:eastAsia="宋体"/>
          <w:sz w:val="21"/>
          <w:szCs w:val="21"/>
        </w:rPr>
        <w:t>2、</w:t>
      </w:r>
      <w:r>
        <w:rPr>
          <w:rFonts w:hint="eastAsia" w:ascii="宋体" w:hAnsi="宋体" w:eastAsia="宋体"/>
          <w:sz w:val="21"/>
          <w:szCs w:val="21"/>
          <w:lang w:bidi="ar"/>
        </w:rPr>
        <w:t>投标总价</w:t>
      </w:r>
      <w:r>
        <w:rPr>
          <w:rFonts w:ascii="宋体" w:hAnsi="宋体" w:eastAsia="宋体"/>
          <w:sz w:val="21"/>
          <w:szCs w:val="21"/>
          <w:lang w:bidi="ar"/>
        </w:rPr>
        <w:t>应与“开标一览表”中投标报价相一致</w:t>
      </w:r>
    </w:p>
    <w:tbl>
      <w:tblPr>
        <w:tblStyle w:val="18"/>
        <w:tblW w:w="0" w:type="auto"/>
        <w:jc w:val="center"/>
        <w:tblLayout w:type="fixed"/>
        <w:tblCellMar>
          <w:top w:w="15" w:type="dxa"/>
          <w:left w:w="15" w:type="dxa"/>
          <w:bottom w:w="15" w:type="dxa"/>
          <w:right w:w="15" w:type="dxa"/>
        </w:tblCellMar>
      </w:tblPr>
      <w:tblGrid>
        <w:gridCol w:w="10226"/>
      </w:tblGrid>
      <w:tr>
        <w:tblPrEx>
          <w:tblCellMar>
            <w:top w:w="15" w:type="dxa"/>
            <w:left w:w="15" w:type="dxa"/>
            <w:bottom w:w="15" w:type="dxa"/>
            <w:right w:w="15" w:type="dxa"/>
          </w:tblCellMar>
        </w:tblPrEx>
        <w:trPr>
          <w:trHeight w:val="513" w:hRule="atLeast"/>
          <w:jc w:val="center"/>
        </w:trPr>
        <w:tc>
          <w:tcPr>
            <w:tcW w:w="10226" w:type="dxa"/>
            <w:vAlign w:val="bottom"/>
          </w:tcPr>
          <w:p>
            <w:pPr>
              <w:spacing w:line="280" w:lineRule="exact"/>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投标人全称（盖章）：</w:t>
            </w:r>
          </w:p>
        </w:tc>
      </w:tr>
      <w:tr>
        <w:tblPrEx>
          <w:tblCellMar>
            <w:top w:w="15" w:type="dxa"/>
            <w:left w:w="15" w:type="dxa"/>
            <w:bottom w:w="15" w:type="dxa"/>
            <w:right w:w="15" w:type="dxa"/>
          </w:tblCellMar>
        </w:tblPrEx>
        <w:trPr>
          <w:trHeight w:val="495" w:hRule="atLeast"/>
          <w:jc w:val="center"/>
        </w:trPr>
        <w:tc>
          <w:tcPr>
            <w:tcW w:w="10226" w:type="dxa"/>
            <w:vAlign w:val="bottom"/>
          </w:tcPr>
          <w:p>
            <w:pPr>
              <w:spacing w:line="280" w:lineRule="exact"/>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法定代表人或授权代表人（签字</w:t>
            </w:r>
            <w:r>
              <w:rPr>
                <w:rFonts w:hint="eastAsia" w:ascii="宋体" w:hAnsi="宋体"/>
                <w:szCs w:val="21"/>
              </w:rPr>
              <w:t>或盖章</w:t>
            </w:r>
            <w:r>
              <w:rPr>
                <w:rFonts w:ascii="宋体" w:hAnsi="宋体"/>
                <w:szCs w:val="21"/>
              </w:rPr>
              <w:t>）：</w:t>
            </w:r>
          </w:p>
        </w:tc>
      </w:tr>
    </w:tbl>
    <w:p/>
    <w:tbl>
      <w:tblPr>
        <w:tblStyle w:val="18"/>
        <w:tblW w:w="0" w:type="auto"/>
        <w:jc w:val="center"/>
        <w:tblLayout w:type="fixed"/>
        <w:tblCellMar>
          <w:top w:w="15" w:type="dxa"/>
          <w:left w:w="15" w:type="dxa"/>
          <w:bottom w:w="15" w:type="dxa"/>
          <w:right w:w="15" w:type="dxa"/>
        </w:tblCellMar>
      </w:tblPr>
      <w:tblGrid>
        <w:gridCol w:w="10216"/>
      </w:tblGrid>
      <w:tr>
        <w:tblPrEx>
          <w:tblCellMar>
            <w:top w:w="15" w:type="dxa"/>
            <w:left w:w="15" w:type="dxa"/>
            <w:bottom w:w="15" w:type="dxa"/>
            <w:right w:w="15" w:type="dxa"/>
          </w:tblCellMar>
        </w:tblPrEx>
        <w:trPr>
          <w:trHeight w:val="495" w:hRule="atLeast"/>
          <w:jc w:val="center"/>
        </w:trPr>
        <w:tc>
          <w:tcPr>
            <w:tcW w:w="10216" w:type="dxa"/>
            <w:vAlign w:val="bottom"/>
          </w:tcPr>
          <w:p>
            <w:r>
              <w:t xml:space="preserve">                   </w:t>
            </w:r>
            <w:r>
              <w:rPr>
                <w:rFonts w:hint="eastAsia"/>
              </w:rPr>
              <w:t xml:space="preserve">                             </w:t>
            </w:r>
            <w:r>
              <w:t>日期：    年    月    日</w:t>
            </w:r>
          </w:p>
          <w:p/>
          <w:p/>
          <w:p/>
          <w:p>
            <w:pPr>
              <w:pStyle w:val="2"/>
            </w:pPr>
          </w:p>
        </w:tc>
      </w:tr>
    </w:tbl>
    <w:p>
      <w:pPr>
        <w:pStyle w:val="3"/>
        <w:spacing w:before="312" w:after="312"/>
      </w:pPr>
      <w:bookmarkStart w:id="78" w:name="_Toc316887628"/>
      <w:bookmarkStart w:id="79" w:name="_Toc322352986"/>
      <w:bookmarkStart w:id="80" w:name="_Toc350256317"/>
      <w:bookmarkStart w:id="81" w:name="_Toc354401539"/>
      <w:bookmarkStart w:id="82" w:name="_Toc49416249"/>
      <w:bookmarkStart w:id="83" w:name="_Toc8789"/>
      <w:r>
        <w:br w:type="page"/>
      </w:r>
      <w:r>
        <w:rPr>
          <w:rFonts w:hint="eastAsia"/>
        </w:rPr>
        <w:t>第六章  评标办法及开标程序</w:t>
      </w:r>
      <w:bookmarkEnd w:id="78"/>
      <w:bookmarkEnd w:id="79"/>
      <w:bookmarkEnd w:id="80"/>
      <w:bookmarkEnd w:id="81"/>
      <w:bookmarkEnd w:id="82"/>
      <w:bookmarkEnd w:id="83"/>
    </w:p>
    <w:p>
      <w:pPr>
        <w:pStyle w:val="4"/>
        <w:jc w:val="both"/>
        <w:rPr>
          <w:lang w:val="zh-CN"/>
        </w:rPr>
      </w:pPr>
      <w:bookmarkStart w:id="84" w:name="_Toc28916"/>
      <w:r>
        <w:rPr>
          <w:lang w:val="zh-CN"/>
        </w:rPr>
        <w:t>一、评标委员会的组成</w:t>
      </w:r>
      <w:bookmarkEnd w:id="84"/>
    </w:p>
    <w:p>
      <w:pPr>
        <w:autoSpaceDE w:val="0"/>
        <w:autoSpaceDN w:val="0"/>
        <w:adjustRightInd w:val="0"/>
        <w:snapToGrid w:val="0"/>
        <w:spacing w:line="312" w:lineRule="auto"/>
        <w:ind w:firstLine="420" w:firstLineChars="200"/>
        <w:rPr>
          <w:szCs w:val="21"/>
        </w:rPr>
      </w:pPr>
      <w:r>
        <w:rPr>
          <w:szCs w:val="21"/>
        </w:rPr>
        <w:t>1.评标委员会由</w:t>
      </w:r>
      <w:r>
        <w:rPr>
          <w:rFonts w:hint="eastAsia"/>
          <w:szCs w:val="21"/>
        </w:rPr>
        <w:t>5</w:t>
      </w:r>
      <w:r>
        <w:rPr>
          <w:szCs w:val="21"/>
        </w:rPr>
        <w:t>人组成，由采购人依法组建</w:t>
      </w:r>
      <w:r>
        <w:rPr>
          <w:rFonts w:hint="eastAsia"/>
          <w:szCs w:val="21"/>
        </w:rPr>
        <w:t>，</w:t>
      </w:r>
      <w:r>
        <w:rPr>
          <w:szCs w:val="21"/>
        </w:rPr>
        <w:t>其中评标专家的人数不少于总人数的</w:t>
      </w:r>
      <w:r>
        <w:rPr>
          <w:rFonts w:hint="eastAsia"/>
          <w:szCs w:val="21"/>
        </w:rPr>
        <w:t>2/3</w:t>
      </w:r>
      <w:r>
        <w:rPr>
          <w:szCs w:val="21"/>
        </w:rPr>
        <w:t>。</w:t>
      </w:r>
    </w:p>
    <w:p>
      <w:pPr>
        <w:autoSpaceDE w:val="0"/>
        <w:autoSpaceDN w:val="0"/>
        <w:adjustRightInd w:val="0"/>
        <w:snapToGrid w:val="0"/>
        <w:spacing w:line="312" w:lineRule="auto"/>
        <w:ind w:firstLine="420" w:firstLineChars="200"/>
        <w:rPr>
          <w:szCs w:val="21"/>
        </w:rPr>
      </w:pPr>
      <w:r>
        <w:rPr>
          <w:szCs w:val="21"/>
        </w:rPr>
        <w:t>2.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pPr>
        <w:pStyle w:val="4"/>
        <w:jc w:val="both"/>
        <w:rPr>
          <w:lang w:val="zh-CN"/>
        </w:rPr>
      </w:pPr>
      <w:bookmarkStart w:id="85" w:name="_Toc3720"/>
      <w:bookmarkStart w:id="86" w:name="_Toc49416250"/>
      <w:r>
        <w:rPr>
          <w:lang w:val="zh-CN"/>
        </w:rPr>
        <w:t>二、评标原则</w:t>
      </w:r>
      <w:bookmarkEnd w:id="85"/>
      <w:bookmarkEnd w:id="86"/>
    </w:p>
    <w:p>
      <w:pPr>
        <w:snapToGrid w:val="0"/>
        <w:spacing w:line="312" w:lineRule="auto"/>
        <w:ind w:firstLine="420" w:firstLineChars="200"/>
        <w:rPr>
          <w:szCs w:val="21"/>
        </w:rPr>
      </w:pPr>
      <w:r>
        <w:rPr>
          <w:rFonts w:hint="eastAsia"/>
          <w:szCs w:val="21"/>
        </w:rPr>
        <w:t>1</w:t>
      </w:r>
      <w:r>
        <w:rPr>
          <w:szCs w:val="21"/>
        </w:rPr>
        <w:t>.投标人得分由</w:t>
      </w:r>
      <w:r>
        <w:rPr>
          <w:rFonts w:hint="eastAsia"/>
          <w:szCs w:val="21"/>
        </w:rPr>
        <w:t>投标价格得分</w:t>
      </w:r>
      <w:r>
        <w:rPr>
          <w:szCs w:val="21"/>
        </w:rPr>
        <w:t>和商务技术</w:t>
      </w:r>
      <w:r>
        <w:rPr>
          <w:rFonts w:hint="eastAsia"/>
          <w:szCs w:val="21"/>
        </w:rPr>
        <w:t>得</w:t>
      </w:r>
      <w:r>
        <w:rPr>
          <w:szCs w:val="21"/>
        </w:rPr>
        <w:t>分合计组成，满分为100分。</w:t>
      </w:r>
    </w:p>
    <w:p>
      <w:pPr>
        <w:snapToGrid w:val="0"/>
        <w:spacing w:line="312" w:lineRule="auto"/>
        <w:ind w:firstLine="420" w:firstLineChars="200"/>
        <w:rPr>
          <w:szCs w:val="21"/>
        </w:rPr>
      </w:pPr>
      <w:r>
        <w:rPr>
          <w:rFonts w:hint="eastAsia"/>
          <w:szCs w:val="21"/>
        </w:rPr>
        <w:t>2</w:t>
      </w:r>
      <w:r>
        <w:rPr>
          <w:szCs w:val="21"/>
        </w:rPr>
        <w:t>.</w:t>
      </w:r>
      <w:r>
        <w:rPr>
          <w:rFonts w:hint="eastAsia"/>
          <w:szCs w:val="21"/>
        </w:rPr>
        <w:t>投标价格得分</w:t>
      </w:r>
      <w:r>
        <w:rPr>
          <w:szCs w:val="21"/>
        </w:rPr>
        <w:t>和商务技术</w:t>
      </w:r>
      <w:r>
        <w:rPr>
          <w:rFonts w:hint="eastAsia"/>
          <w:szCs w:val="21"/>
        </w:rPr>
        <w:t>得</w:t>
      </w:r>
      <w:r>
        <w:rPr>
          <w:szCs w:val="21"/>
        </w:rPr>
        <w:t>分合计得分最高者为第一中标候选人，排名第二的为第二中标候选人</w:t>
      </w:r>
      <w:r>
        <w:rPr>
          <w:rFonts w:hint="eastAsia"/>
          <w:szCs w:val="21"/>
        </w:rPr>
        <w:t>。</w:t>
      </w:r>
      <w:r>
        <w:rPr>
          <w:szCs w:val="21"/>
        </w:rPr>
        <w:t>总分相同时，价格低者优先，</w:t>
      </w:r>
      <w:r>
        <w:rPr>
          <w:szCs w:val="21"/>
          <w:lang w:val="zh-CN"/>
        </w:rPr>
        <w:t>若总得分与报价均相同时，由采购人当场随机抽签选定中标候选人</w:t>
      </w:r>
      <w:r>
        <w:rPr>
          <w:szCs w:val="21"/>
        </w:rPr>
        <w:t>。</w:t>
      </w:r>
    </w:p>
    <w:p>
      <w:pPr>
        <w:snapToGrid w:val="0"/>
        <w:spacing w:line="312" w:lineRule="auto"/>
        <w:ind w:firstLine="420" w:firstLineChars="200"/>
        <w:rPr>
          <w:szCs w:val="21"/>
        </w:rPr>
      </w:pPr>
      <w:r>
        <w:rPr>
          <w:rFonts w:hint="eastAsia"/>
          <w:szCs w:val="21"/>
        </w:rPr>
        <w:t>3</w:t>
      </w:r>
      <w:r>
        <w:rPr>
          <w:szCs w:val="21"/>
        </w:rPr>
        <w:t>.评标委员会根据招标文件和投标文件，结合商务技术评分细则对各投标人的商务技术文件进行评审。评标委员会各成员所评分值的算术平均值即为各投标人的商务技术分值（计算时四舍五入保留二位小数）。</w:t>
      </w:r>
    </w:p>
    <w:p>
      <w:pPr>
        <w:autoSpaceDE w:val="0"/>
        <w:autoSpaceDN w:val="0"/>
        <w:adjustRightInd w:val="0"/>
        <w:snapToGrid w:val="0"/>
        <w:spacing w:line="312" w:lineRule="auto"/>
        <w:ind w:firstLine="420" w:firstLineChars="200"/>
        <w:rPr>
          <w:szCs w:val="21"/>
        </w:rPr>
      </w:pPr>
      <w:r>
        <w:rPr>
          <w:rFonts w:hint="eastAsia"/>
          <w:szCs w:val="21"/>
        </w:rPr>
        <w:t>4</w:t>
      </w:r>
      <w:r>
        <w:rPr>
          <w:szCs w:val="21"/>
        </w:rPr>
        <w:t>. 中标结果经采购人确认并经公示1个工作日</w:t>
      </w:r>
      <w:r>
        <w:rPr>
          <w:rFonts w:hint="eastAsia"/>
          <w:szCs w:val="21"/>
        </w:rPr>
        <w:t>及</w:t>
      </w:r>
      <w:r>
        <w:rPr>
          <w:szCs w:val="21"/>
        </w:rPr>
        <w:t>采购代理机构发出《中标通知书》。</w:t>
      </w:r>
    </w:p>
    <w:p>
      <w:pPr>
        <w:pStyle w:val="4"/>
        <w:jc w:val="both"/>
        <w:rPr>
          <w:lang w:val="zh-CN"/>
        </w:rPr>
      </w:pPr>
      <w:bookmarkStart w:id="87" w:name="_Toc6886"/>
      <w:r>
        <w:rPr>
          <w:lang w:val="zh-CN"/>
        </w:rPr>
        <w:t>三、注意事项</w:t>
      </w:r>
      <w:bookmarkEnd w:id="87"/>
    </w:p>
    <w:p>
      <w:pPr>
        <w:snapToGrid w:val="0"/>
        <w:spacing w:line="312" w:lineRule="auto"/>
        <w:ind w:firstLine="420" w:firstLineChars="200"/>
        <w:rPr>
          <w:szCs w:val="21"/>
        </w:rPr>
      </w:pPr>
      <w:r>
        <w:rPr>
          <w:rFonts w:hint="eastAsia"/>
          <w:szCs w:val="21"/>
        </w:rPr>
        <w:t>1</w:t>
      </w:r>
      <w:r>
        <w:rPr>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同时采购代理机构应将该情况报同级财政部门，并视情将其列入不良供应商名单。</w:t>
      </w:r>
    </w:p>
    <w:p>
      <w:pPr>
        <w:pStyle w:val="4"/>
        <w:jc w:val="both"/>
        <w:rPr>
          <w:lang w:val="zh-CN"/>
        </w:rPr>
      </w:pPr>
      <w:bookmarkStart w:id="88" w:name="_Toc554"/>
      <w:r>
        <w:rPr>
          <w:lang w:val="zh-CN"/>
        </w:rPr>
        <w:t>四、评分标准</w:t>
      </w:r>
      <w:bookmarkEnd w:id="88"/>
    </w:p>
    <w:tbl>
      <w:tblPr>
        <w:tblStyle w:val="18"/>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795"/>
        <w:gridCol w:w="22"/>
        <w:gridCol w:w="1099"/>
        <w:gridCol w:w="13"/>
        <w:gridCol w:w="553"/>
        <w:gridCol w:w="14"/>
        <w:gridCol w:w="6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pacing w:val="4"/>
                <w:szCs w:val="21"/>
              </w:rPr>
            </w:pPr>
            <w:r>
              <w:rPr>
                <w:rFonts w:hint="eastAsia" w:ascii="宋体" w:hAnsi="宋体" w:cs="宋体"/>
                <w:b/>
                <w:color w:val="auto"/>
                <w:spacing w:val="4"/>
                <w:szCs w:val="21"/>
              </w:rPr>
              <w:t>类别</w:t>
            </w:r>
          </w:p>
        </w:tc>
        <w:tc>
          <w:tcPr>
            <w:tcW w:w="191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pacing w:val="4"/>
                <w:szCs w:val="21"/>
              </w:rPr>
            </w:pPr>
            <w:r>
              <w:rPr>
                <w:rFonts w:hint="eastAsia" w:ascii="宋体" w:hAnsi="宋体" w:cs="宋体"/>
                <w:b/>
                <w:color w:val="auto"/>
                <w:spacing w:val="4"/>
                <w:szCs w:val="21"/>
              </w:rPr>
              <w:t>评审项目</w:t>
            </w:r>
          </w:p>
        </w:tc>
        <w:tc>
          <w:tcPr>
            <w:tcW w:w="56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pacing w:val="4"/>
                <w:szCs w:val="21"/>
              </w:rPr>
            </w:pPr>
            <w:r>
              <w:rPr>
                <w:rFonts w:hint="eastAsia" w:ascii="宋体" w:hAnsi="宋体" w:cs="宋体"/>
                <w:b/>
                <w:color w:val="auto"/>
                <w:spacing w:val="4"/>
                <w:szCs w:val="21"/>
              </w:rPr>
              <w:t>分值</w:t>
            </w:r>
          </w:p>
        </w:tc>
        <w:tc>
          <w:tcPr>
            <w:tcW w:w="62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b/>
                <w:color w:val="auto"/>
                <w:spacing w:val="4"/>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9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价格得分</w:t>
            </w:r>
          </w:p>
          <w:p>
            <w:pPr>
              <w:adjustRightInd w:val="0"/>
              <w:snapToGrid w:val="0"/>
              <w:rPr>
                <w:rFonts w:ascii="宋体" w:hAnsi="宋体" w:cs="宋体"/>
                <w:color w:val="auto"/>
                <w:szCs w:val="21"/>
              </w:rPr>
            </w:pPr>
            <w:r>
              <w:rPr>
                <w:rFonts w:hint="eastAsia" w:ascii="宋体" w:hAnsi="宋体" w:cs="宋体"/>
                <w:color w:val="auto"/>
                <w:szCs w:val="21"/>
              </w:rPr>
              <w:t>（20分）</w:t>
            </w:r>
          </w:p>
        </w:tc>
        <w:tc>
          <w:tcPr>
            <w:tcW w:w="191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投标报价</w:t>
            </w:r>
          </w:p>
        </w:tc>
        <w:tc>
          <w:tcPr>
            <w:tcW w:w="56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20</w:t>
            </w:r>
          </w:p>
        </w:tc>
        <w:tc>
          <w:tcPr>
            <w:tcW w:w="6284" w:type="dxa"/>
            <w:gridSpan w:val="2"/>
            <w:tcBorders>
              <w:top w:val="single" w:color="auto" w:sz="4" w:space="0"/>
              <w:left w:val="single" w:color="auto" w:sz="4" w:space="0"/>
              <w:bottom w:val="single" w:color="auto" w:sz="4" w:space="0"/>
              <w:right w:val="single" w:color="auto" w:sz="4" w:space="0"/>
            </w:tcBorders>
          </w:tcPr>
          <w:p>
            <w:pPr>
              <w:adjustRightInd w:val="0"/>
              <w:snapToGrid w:val="0"/>
              <w:jc w:val="left"/>
              <w:rPr>
                <w:rFonts w:ascii="宋体" w:hAnsi="宋体" w:cs="宋体"/>
                <w:color w:val="auto"/>
                <w:szCs w:val="21"/>
              </w:rPr>
            </w:pPr>
            <w:r>
              <w:rPr>
                <w:rFonts w:hint="eastAsia" w:ascii="宋体" w:hAnsi="宋体" w:cs="宋体"/>
                <w:color w:val="auto"/>
                <w:szCs w:val="21"/>
              </w:rPr>
              <w:t>按满足采购文件要求且有效投标价格最低的投标报价作为评标基准价，其价格分为满分；其他投标人的价格分按以下公式计算：</w:t>
            </w:r>
          </w:p>
          <w:p>
            <w:pPr>
              <w:adjustRightInd w:val="0"/>
              <w:snapToGrid w:val="0"/>
              <w:jc w:val="left"/>
              <w:rPr>
                <w:rFonts w:ascii="宋体" w:hAnsi="宋体" w:cs="宋体"/>
                <w:color w:val="auto"/>
                <w:szCs w:val="21"/>
              </w:rPr>
            </w:pPr>
            <w:r>
              <w:rPr>
                <w:rFonts w:hint="eastAsia" w:ascii="宋体" w:hAnsi="宋体" w:cs="宋体"/>
                <w:color w:val="auto"/>
                <w:szCs w:val="21"/>
              </w:rPr>
              <w:t>投标报价得分＝（评标基准价/投标报价）×20分</w:t>
            </w:r>
          </w:p>
          <w:p>
            <w:pPr>
              <w:pStyle w:val="2"/>
              <w:adjustRightInd w:val="0"/>
              <w:snapToGrid w:val="0"/>
              <w:spacing w:line="240" w:lineRule="auto"/>
              <w:ind w:firstLine="0"/>
              <w:rPr>
                <w:b/>
                <w:color w:val="auto"/>
              </w:rPr>
            </w:pPr>
            <w:r>
              <w:rPr>
                <w:rFonts w:hint="eastAsia" w:ascii="宋体" w:hAnsi="宋体" w:cs="宋体"/>
                <w:b/>
                <w:color w:val="auto"/>
                <w:sz w:val="21"/>
                <w:szCs w:val="21"/>
              </w:rPr>
              <w:t>注：投标单位应根据国家的有关规定和新建房屋白蚁预防施工、白蚁治理、回访复查等工作要求，并结合企业的实际情况进行投标报价。投标单位的投标报价为完成本采购文件规定的各项工作内容和要求的单价，包括人员费用、器械费用、药物费用、监测装置费用、合理利润、税金、政策性文件规定及合同包含的所有风险、责任等各项应有费用，如有漏项，视同已包含在其总项目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83"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商务技术评分（80分）</w:t>
            </w:r>
          </w:p>
        </w:tc>
        <w:tc>
          <w:tcPr>
            <w:tcW w:w="817" w:type="dxa"/>
            <w:gridSpan w:val="2"/>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投标单位能力</w:t>
            </w:r>
          </w:p>
          <w:p>
            <w:pPr>
              <w:pStyle w:val="2"/>
              <w:ind w:firstLine="0"/>
              <w:rPr>
                <w:color w:val="auto"/>
              </w:rPr>
            </w:pPr>
            <w:r>
              <w:rPr>
                <w:rFonts w:hint="eastAsia" w:ascii="宋体" w:hAnsi="宋体" w:cs="宋体"/>
                <w:color w:val="auto"/>
                <w:sz w:val="21"/>
                <w:szCs w:val="21"/>
              </w:rPr>
              <w:t>（40分）</w:t>
            </w:r>
          </w:p>
        </w:tc>
        <w:tc>
          <w:tcPr>
            <w:tcW w:w="1099"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规模实力</w:t>
            </w:r>
          </w:p>
        </w:tc>
        <w:tc>
          <w:tcPr>
            <w:tcW w:w="566" w:type="dxa"/>
            <w:gridSpan w:val="2"/>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0-3</w:t>
            </w:r>
          </w:p>
        </w:tc>
        <w:tc>
          <w:tcPr>
            <w:tcW w:w="6284" w:type="dxa"/>
            <w:gridSpan w:val="2"/>
            <w:tcBorders>
              <w:top w:val="single" w:color="auto" w:sz="4" w:space="0"/>
              <w:left w:val="single" w:color="auto" w:sz="4" w:space="0"/>
              <w:bottom w:val="single" w:color="auto" w:sz="4" w:space="0"/>
              <w:right w:val="single" w:color="auto" w:sz="4" w:space="0"/>
            </w:tcBorders>
          </w:tcPr>
          <w:p>
            <w:pPr>
              <w:adjustRightInd w:val="0"/>
              <w:snapToGrid w:val="0"/>
              <w:jc w:val="left"/>
              <w:rPr>
                <w:rFonts w:ascii="宋体" w:hAnsi="宋体" w:cs="宋体"/>
                <w:b/>
                <w:color w:val="auto"/>
                <w:szCs w:val="21"/>
              </w:rPr>
            </w:pPr>
            <w:r>
              <w:rPr>
                <w:rFonts w:hint="eastAsia" w:ascii="宋体" w:hAnsi="宋体" w:cs="宋体"/>
                <w:color w:val="auto"/>
                <w:szCs w:val="21"/>
              </w:rPr>
              <w:t>根据投标人的信誉、知名度、市场形象、招标单位满意度、用户反馈等综合情况，专家横向比较打分，上述各项中有欠缺的或者投标人存在未结纠纷（诉讼）的，每项扣0.5分，扣完该项得分为止；在政府采购活动中有不诚信记录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983"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p>
        </w:tc>
        <w:tc>
          <w:tcPr>
            <w:tcW w:w="1099"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企业服</w:t>
            </w:r>
          </w:p>
          <w:p>
            <w:pPr>
              <w:adjustRightInd w:val="0"/>
              <w:snapToGrid w:val="0"/>
              <w:jc w:val="center"/>
              <w:rPr>
                <w:rFonts w:ascii="宋体" w:hAnsi="宋体" w:cs="宋体"/>
                <w:color w:val="auto"/>
                <w:szCs w:val="21"/>
              </w:rPr>
            </w:pPr>
            <w:r>
              <w:rPr>
                <w:rFonts w:hint="eastAsia" w:ascii="宋体" w:hAnsi="宋体" w:cs="宋体"/>
                <w:bCs/>
                <w:color w:val="auto"/>
                <w:szCs w:val="21"/>
              </w:rPr>
              <w:t>务能力</w:t>
            </w:r>
          </w:p>
        </w:tc>
        <w:tc>
          <w:tcPr>
            <w:tcW w:w="566" w:type="dxa"/>
            <w:gridSpan w:val="2"/>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0-6</w:t>
            </w:r>
          </w:p>
        </w:tc>
        <w:tc>
          <w:tcPr>
            <w:tcW w:w="6284" w:type="dxa"/>
            <w:gridSpan w:val="2"/>
            <w:tcBorders>
              <w:top w:val="single" w:color="auto" w:sz="4" w:space="0"/>
              <w:left w:val="single" w:color="auto" w:sz="4" w:space="0"/>
              <w:right w:val="single" w:color="auto" w:sz="4" w:space="0"/>
            </w:tcBorders>
          </w:tcPr>
          <w:p>
            <w:pPr>
              <w:adjustRightInd w:val="0"/>
              <w:snapToGrid w:val="0"/>
              <w:jc w:val="left"/>
              <w:rPr>
                <w:rFonts w:ascii="宋体" w:hAnsi="宋体" w:cs="宋体"/>
                <w:color w:val="auto"/>
                <w:szCs w:val="21"/>
              </w:rPr>
            </w:pPr>
            <w:r>
              <w:rPr>
                <w:rFonts w:hint="eastAsia" w:ascii="宋体" w:hAnsi="宋体" w:cs="宋体"/>
                <w:color w:val="auto"/>
                <w:szCs w:val="21"/>
              </w:rPr>
              <w:t>1、投标人的白蚁防治项目（技术）有通过省级及以上评（鉴）定，并推广的，每个得2分；</w:t>
            </w:r>
          </w:p>
          <w:p>
            <w:pPr>
              <w:adjustRightInd w:val="0"/>
              <w:snapToGrid w:val="0"/>
              <w:jc w:val="left"/>
              <w:rPr>
                <w:rFonts w:ascii="宋体" w:hAnsi="宋体" w:cs="宋体"/>
                <w:b/>
                <w:color w:val="auto"/>
                <w:szCs w:val="21"/>
              </w:rPr>
            </w:pPr>
            <w:r>
              <w:rPr>
                <w:rFonts w:hint="eastAsia" w:ascii="宋体" w:hAnsi="宋体" w:cs="宋体"/>
                <w:color w:val="auto"/>
                <w:szCs w:val="21"/>
              </w:rPr>
              <w:t>2、投标人承担过省级示范项目的，每个得2分。</w:t>
            </w:r>
          </w:p>
          <w:p>
            <w:pPr>
              <w:pStyle w:val="2"/>
              <w:spacing w:line="240" w:lineRule="auto"/>
              <w:ind w:firstLine="0"/>
              <w:rPr>
                <w:rFonts w:ascii="宋体" w:hAnsi="宋体" w:cs="宋体"/>
                <w:b/>
                <w:color w:val="auto"/>
                <w:sz w:val="21"/>
                <w:szCs w:val="21"/>
              </w:rPr>
            </w:pPr>
            <w:r>
              <w:rPr>
                <w:rFonts w:hint="eastAsia" w:ascii="宋体" w:hAnsi="宋体" w:cs="宋体"/>
                <w:b/>
                <w:color w:val="auto"/>
                <w:sz w:val="21"/>
                <w:szCs w:val="21"/>
              </w:rPr>
              <w:t>合计最高得6分，标书内附相关证明扫描件加盖投标人公章，否则不得分。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83"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p>
        </w:tc>
        <w:tc>
          <w:tcPr>
            <w:tcW w:w="1099"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企业荣誉</w:t>
            </w:r>
          </w:p>
        </w:tc>
        <w:tc>
          <w:tcPr>
            <w:tcW w:w="566" w:type="dxa"/>
            <w:gridSpan w:val="2"/>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0-4</w:t>
            </w:r>
          </w:p>
        </w:tc>
        <w:tc>
          <w:tcPr>
            <w:tcW w:w="6284" w:type="dxa"/>
            <w:gridSpan w:val="2"/>
            <w:tcBorders>
              <w:top w:val="single" w:color="auto" w:sz="4" w:space="0"/>
              <w:left w:val="single" w:color="auto" w:sz="4" w:space="0"/>
              <w:right w:val="single" w:color="auto" w:sz="4" w:space="0"/>
            </w:tcBorders>
          </w:tcPr>
          <w:p>
            <w:pPr>
              <w:adjustRightInd w:val="0"/>
              <w:snapToGrid w:val="0"/>
              <w:jc w:val="left"/>
              <w:rPr>
                <w:rFonts w:ascii="宋体" w:hAnsi="宋体" w:cs="宋体"/>
                <w:bCs/>
                <w:color w:val="auto"/>
                <w:szCs w:val="21"/>
              </w:rPr>
            </w:pPr>
            <w:r>
              <w:rPr>
                <w:rFonts w:hint="eastAsia" w:ascii="宋体" w:hAnsi="宋体" w:cs="宋体"/>
                <w:bCs/>
                <w:color w:val="auto"/>
                <w:szCs w:val="21"/>
              </w:rPr>
              <w:t>获省、市及</w:t>
            </w:r>
            <w:r>
              <w:rPr>
                <w:rFonts w:hint="eastAsia" w:ascii="宋体" w:hAnsi="宋体" w:cs="宋体"/>
                <w:bCs/>
                <w:color w:val="auto"/>
                <w:szCs w:val="21"/>
                <w:lang w:val="en-US" w:eastAsia="zh-CN"/>
              </w:rPr>
              <w:t>以上白蚁防治类</w:t>
            </w:r>
            <w:r>
              <w:rPr>
                <w:rFonts w:hint="eastAsia" w:ascii="宋体" w:hAnsi="宋体" w:cs="宋体"/>
                <w:bCs/>
                <w:color w:val="auto"/>
                <w:szCs w:val="21"/>
              </w:rPr>
              <w:t>先进单位、先进个人，凭相关证书复印件，每项得2分，最高4分。</w:t>
            </w:r>
          </w:p>
          <w:p>
            <w:pPr>
              <w:pStyle w:val="2"/>
              <w:adjustRightInd w:val="0"/>
              <w:snapToGrid w:val="0"/>
              <w:spacing w:line="240" w:lineRule="auto"/>
              <w:ind w:firstLine="0"/>
              <w:rPr>
                <w:rFonts w:ascii="宋体" w:hAnsi="宋体" w:cs="宋体"/>
                <w:b/>
                <w:bCs/>
                <w:color w:val="auto"/>
                <w:sz w:val="21"/>
                <w:szCs w:val="21"/>
              </w:rPr>
            </w:pPr>
            <w:r>
              <w:rPr>
                <w:rFonts w:hint="eastAsia" w:ascii="宋体" w:hAnsi="宋体" w:cs="宋体"/>
                <w:b/>
                <w:bCs/>
                <w:color w:val="auto"/>
                <w:sz w:val="21"/>
                <w:szCs w:val="21"/>
              </w:rPr>
              <w:t>标书内附相关证书扫描件加盖投标人公章，否则不得分。如为个人证书，则还需提供单位近3个月社保证明扫描件加盖投标人公章，否则不得分。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83"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p>
        </w:tc>
        <w:tc>
          <w:tcPr>
            <w:tcW w:w="1099"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项目组人员</w:t>
            </w:r>
          </w:p>
        </w:tc>
        <w:tc>
          <w:tcPr>
            <w:tcW w:w="566" w:type="dxa"/>
            <w:gridSpan w:val="2"/>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0-7</w:t>
            </w:r>
          </w:p>
        </w:tc>
        <w:tc>
          <w:tcPr>
            <w:tcW w:w="6284" w:type="dxa"/>
            <w:gridSpan w:val="2"/>
            <w:tcBorders>
              <w:top w:val="single" w:color="auto" w:sz="4" w:space="0"/>
              <w:left w:val="single" w:color="auto" w:sz="4" w:space="0"/>
              <w:bottom w:val="single" w:color="auto" w:sz="4" w:space="0"/>
              <w:right w:val="single" w:color="auto" w:sz="4" w:space="0"/>
            </w:tcBorders>
          </w:tcPr>
          <w:p>
            <w:pPr>
              <w:adjustRightInd w:val="0"/>
              <w:snapToGrid w:val="0"/>
              <w:jc w:val="left"/>
              <w:rPr>
                <w:rFonts w:ascii="宋体" w:hAnsi="宋体" w:cs="宋体"/>
                <w:bCs/>
                <w:color w:val="auto"/>
                <w:szCs w:val="21"/>
              </w:rPr>
            </w:pPr>
            <w:r>
              <w:rPr>
                <w:rFonts w:hint="eastAsia" w:ascii="宋体" w:hAnsi="宋体" w:cs="宋体"/>
                <w:bCs/>
                <w:color w:val="auto"/>
                <w:szCs w:val="21"/>
              </w:rPr>
              <w:t>1、2017年1月1日以来，拟派项目负责人承担过同类项目的，每个得1分，最多得3分；</w:t>
            </w:r>
          </w:p>
          <w:p>
            <w:pPr>
              <w:adjustRightInd w:val="0"/>
              <w:snapToGrid w:val="0"/>
              <w:jc w:val="left"/>
              <w:rPr>
                <w:rFonts w:ascii="宋体" w:hAnsi="宋体" w:cs="宋体"/>
                <w:bCs/>
                <w:color w:val="auto"/>
                <w:szCs w:val="21"/>
              </w:rPr>
            </w:pPr>
            <w:r>
              <w:rPr>
                <w:rFonts w:hint="eastAsia" w:ascii="宋体" w:hAnsi="宋体" w:cs="宋体"/>
                <w:bCs/>
                <w:color w:val="auto"/>
                <w:szCs w:val="21"/>
              </w:rPr>
              <w:t>2、拟派项目负责人具有白蚁防治专业高级技工或助理工程师资格证书的得1分；具有白蚁防治专业技师或工程师资格证书的得2分；具有白蚁防治专业高级技师或高级工程师资格证书的得4分；本项评审不累计加分，按高计取，最高4分。</w:t>
            </w:r>
          </w:p>
          <w:p>
            <w:pPr>
              <w:adjustRightInd w:val="0"/>
              <w:snapToGrid w:val="0"/>
              <w:jc w:val="left"/>
              <w:rPr>
                <w:rFonts w:ascii="宋体" w:hAnsi="宋体" w:cs="宋体"/>
                <w:bCs/>
                <w:color w:val="auto"/>
                <w:szCs w:val="21"/>
              </w:rPr>
            </w:pPr>
            <w:r>
              <w:rPr>
                <w:rFonts w:hint="eastAsia" w:ascii="宋体" w:hAnsi="宋体" w:cs="宋体"/>
                <w:b/>
                <w:color w:val="auto"/>
                <w:szCs w:val="21"/>
              </w:rPr>
              <w:t>标书内附证书、近3个月社保证明扫描件加盖投标人公章，否则不得分。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83"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p>
        </w:tc>
        <w:tc>
          <w:tcPr>
            <w:tcW w:w="1099" w:type="dxa"/>
            <w:vMerge w:val="continue"/>
            <w:tcBorders>
              <w:left w:val="single" w:color="auto" w:sz="4" w:space="0"/>
              <w:right w:val="single" w:color="auto" w:sz="4" w:space="0"/>
            </w:tcBorders>
            <w:vAlign w:val="center"/>
          </w:tcPr>
          <w:p>
            <w:pPr>
              <w:adjustRightInd w:val="0"/>
              <w:snapToGrid w:val="0"/>
              <w:jc w:val="center"/>
              <w:rPr>
                <w:rFonts w:ascii="宋体" w:hAnsi="宋体" w:cs="宋体"/>
                <w:bCs/>
                <w:color w:val="auto"/>
                <w:szCs w:val="21"/>
              </w:rPr>
            </w:pPr>
          </w:p>
        </w:tc>
        <w:tc>
          <w:tcPr>
            <w:tcW w:w="566" w:type="dxa"/>
            <w:gridSpan w:val="2"/>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0-5</w:t>
            </w:r>
          </w:p>
        </w:tc>
        <w:tc>
          <w:tcPr>
            <w:tcW w:w="62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color w:val="auto"/>
              </w:rPr>
            </w:pPr>
            <w:r>
              <w:rPr>
                <w:rFonts w:hint="eastAsia"/>
                <w:bCs/>
                <w:color w:val="auto"/>
              </w:rPr>
              <w:t>1、拟派施工人员具有白蚁防治职业资格证书或者岗位证书的每人的1分，本项最高3分。</w:t>
            </w:r>
          </w:p>
          <w:p>
            <w:pPr>
              <w:adjustRightInd w:val="0"/>
              <w:snapToGrid w:val="0"/>
              <w:jc w:val="left"/>
              <w:rPr>
                <w:rStyle w:val="30"/>
                <w:rFonts w:hint="default" w:ascii="Times New Roman" w:hAnsi="Times New Roman" w:cs="Times New Roman"/>
                <w:bCs/>
                <w:color w:val="auto"/>
                <w:sz w:val="21"/>
              </w:rPr>
            </w:pPr>
            <w:r>
              <w:rPr>
                <w:rFonts w:hint="eastAsia"/>
                <w:bCs/>
                <w:color w:val="auto"/>
              </w:rPr>
              <w:t>2、拟派施工人员具有全国中心组织的白蚁防治技术培训班学习教育证书或者技术应</w:t>
            </w:r>
            <w:r>
              <w:rPr>
                <w:rStyle w:val="30"/>
                <w:rFonts w:hint="default"/>
                <w:color w:val="auto"/>
                <w:sz w:val="21"/>
                <w:szCs w:val="21"/>
                <w:lang w:bidi="ar"/>
              </w:rPr>
              <w:t>用培训班学习教育证书的每人的0.5分，本项最高2分。</w:t>
            </w:r>
          </w:p>
          <w:p>
            <w:pPr>
              <w:adjustRightInd w:val="0"/>
              <w:snapToGrid w:val="0"/>
              <w:rPr>
                <w:rFonts w:ascii="宋体" w:hAnsi="宋体" w:cs="宋体"/>
                <w:b/>
                <w:bCs/>
                <w:color w:val="auto"/>
                <w:szCs w:val="21"/>
              </w:rPr>
            </w:pPr>
            <w:r>
              <w:rPr>
                <w:rFonts w:hint="eastAsia" w:ascii="宋体" w:hAnsi="宋体" w:cs="宋体"/>
                <w:b/>
                <w:color w:val="auto"/>
                <w:szCs w:val="21"/>
              </w:rPr>
              <w:t>标书内附证书、近3个月社保证明扫描件加盖投标人公章，否则不得分。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83"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p>
        </w:tc>
        <w:tc>
          <w:tcPr>
            <w:tcW w:w="1099" w:type="dxa"/>
            <w:vMerge w:val="continue"/>
            <w:tcBorders>
              <w:left w:val="single" w:color="auto" w:sz="4" w:space="0"/>
              <w:right w:val="single" w:color="auto" w:sz="4" w:space="0"/>
            </w:tcBorders>
            <w:vAlign w:val="center"/>
          </w:tcPr>
          <w:p>
            <w:pPr>
              <w:adjustRightInd w:val="0"/>
              <w:snapToGrid w:val="0"/>
              <w:jc w:val="center"/>
              <w:rPr>
                <w:rFonts w:ascii="宋体" w:hAnsi="宋体" w:cs="宋体"/>
                <w:bCs/>
                <w:color w:val="auto"/>
                <w:szCs w:val="21"/>
              </w:rPr>
            </w:pPr>
          </w:p>
        </w:tc>
        <w:tc>
          <w:tcPr>
            <w:tcW w:w="566" w:type="dxa"/>
            <w:gridSpan w:val="2"/>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0-1</w:t>
            </w:r>
          </w:p>
        </w:tc>
        <w:tc>
          <w:tcPr>
            <w:tcW w:w="62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Style w:val="30"/>
                <w:rFonts w:hint="default" w:ascii="Times New Roman" w:hAnsi="Times New Roman" w:cs="Times New Roman"/>
                <w:bCs/>
                <w:color w:val="auto"/>
                <w:sz w:val="21"/>
              </w:rPr>
            </w:pPr>
            <w:r>
              <w:rPr>
                <w:rFonts w:hint="eastAsia"/>
                <w:bCs/>
                <w:color w:val="auto"/>
              </w:rPr>
              <w:t>资料员：具有熟练运用制图软件能力且有相关证书的得1分</w:t>
            </w:r>
            <w:r>
              <w:rPr>
                <w:rStyle w:val="30"/>
                <w:rFonts w:hint="default"/>
                <w:color w:val="auto"/>
                <w:sz w:val="21"/>
                <w:szCs w:val="21"/>
                <w:lang w:bidi="ar"/>
              </w:rPr>
              <w:t>，本项最高1分。</w:t>
            </w:r>
          </w:p>
          <w:p>
            <w:pPr>
              <w:adjustRightInd w:val="0"/>
              <w:snapToGrid w:val="0"/>
              <w:jc w:val="left"/>
              <w:rPr>
                <w:bCs/>
                <w:color w:val="auto"/>
              </w:rPr>
            </w:pPr>
            <w:r>
              <w:rPr>
                <w:rFonts w:hint="eastAsia" w:ascii="宋体" w:hAnsi="宋体" w:cs="宋体"/>
                <w:b/>
                <w:color w:val="auto"/>
                <w:szCs w:val="21"/>
              </w:rPr>
              <w:t>标书内附证书、近3个月社保证明扫描件加盖投标人公章，否则不得分。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983" w:type="dxa"/>
            <w:vMerge w:val="continue"/>
            <w:tcBorders>
              <w:left w:val="single" w:color="auto" w:sz="4" w:space="0"/>
              <w:right w:val="single" w:color="auto" w:sz="4" w:space="0"/>
            </w:tcBorders>
            <w:vAlign w:val="center"/>
          </w:tcPr>
          <w:p>
            <w:pPr>
              <w:tabs>
                <w:tab w:val="left" w:pos="207"/>
                <w:tab w:val="center" w:pos="380"/>
              </w:tabs>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p>
        </w:tc>
        <w:tc>
          <w:tcPr>
            <w:tcW w:w="1099"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企业投</w:t>
            </w:r>
          </w:p>
          <w:p>
            <w:pPr>
              <w:adjustRightInd w:val="0"/>
              <w:snapToGrid w:val="0"/>
              <w:jc w:val="center"/>
              <w:rPr>
                <w:rFonts w:ascii="宋体" w:hAnsi="宋体" w:cs="宋体"/>
                <w:color w:val="auto"/>
                <w:szCs w:val="21"/>
              </w:rPr>
            </w:pPr>
            <w:r>
              <w:rPr>
                <w:rFonts w:hint="eastAsia" w:ascii="宋体" w:hAnsi="宋体" w:cs="宋体"/>
                <w:color w:val="auto"/>
                <w:szCs w:val="21"/>
              </w:rPr>
              <w:t>入设备</w:t>
            </w:r>
          </w:p>
        </w:tc>
        <w:tc>
          <w:tcPr>
            <w:tcW w:w="566" w:type="dxa"/>
            <w:gridSpan w:val="2"/>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0-2</w:t>
            </w:r>
          </w:p>
        </w:tc>
        <w:tc>
          <w:tcPr>
            <w:tcW w:w="62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bCs/>
                <w:color w:val="auto"/>
              </w:rPr>
            </w:pPr>
            <w:r>
              <w:rPr>
                <w:rFonts w:hint="eastAsia"/>
                <w:bCs/>
                <w:color w:val="auto"/>
              </w:rPr>
              <w:t>投标人针对本项目招标需求拟投入的专用交通工具，每具有 1 辆机动车得 1分，最高得 2 分。</w:t>
            </w:r>
          </w:p>
          <w:p>
            <w:pPr>
              <w:adjustRightInd w:val="0"/>
              <w:snapToGrid w:val="0"/>
              <w:rPr>
                <w:rFonts w:ascii="宋体" w:hAnsi="宋体" w:cs="宋体"/>
                <w:color w:val="auto"/>
                <w:szCs w:val="21"/>
              </w:rPr>
            </w:pPr>
            <w:r>
              <w:rPr>
                <w:rFonts w:hint="eastAsia" w:ascii="宋体" w:hAnsi="宋体" w:cs="宋体"/>
                <w:b/>
                <w:bCs/>
                <w:color w:val="auto"/>
                <w:szCs w:val="21"/>
              </w:rPr>
              <w:t>标书内附购车发票、行驶证、车辆登记证、车辆保险单</w:t>
            </w:r>
            <w:r>
              <w:rPr>
                <w:rFonts w:hint="eastAsia" w:ascii="宋体" w:hAnsi="宋体" w:cs="宋体"/>
                <w:b/>
                <w:color w:val="auto"/>
                <w:szCs w:val="21"/>
              </w:rPr>
              <w:t>扫描件加盖投标人公章，</w:t>
            </w:r>
            <w:r>
              <w:rPr>
                <w:rFonts w:hint="eastAsia" w:ascii="宋体" w:hAnsi="宋体" w:cs="宋体"/>
                <w:b/>
                <w:bCs/>
                <w:color w:val="auto"/>
                <w:szCs w:val="21"/>
              </w:rPr>
              <w:t>车辆必须在年检有效期内且登记所有权与投标人一致，否则不得分。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983" w:type="dxa"/>
            <w:vMerge w:val="continue"/>
            <w:tcBorders>
              <w:left w:val="single" w:color="auto" w:sz="4" w:space="0"/>
              <w:right w:val="single" w:color="auto" w:sz="4" w:space="0"/>
            </w:tcBorders>
            <w:vAlign w:val="center"/>
          </w:tcPr>
          <w:p>
            <w:pPr>
              <w:tabs>
                <w:tab w:val="left" w:pos="207"/>
                <w:tab w:val="center" w:pos="380"/>
              </w:tabs>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p>
        </w:tc>
        <w:tc>
          <w:tcPr>
            <w:tcW w:w="1099"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p>
        </w:tc>
        <w:tc>
          <w:tcPr>
            <w:tcW w:w="566" w:type="dxa"/>
            <w:gridSpan w:val="2"/>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0-6</w:t>
            </w:r>
          </w:p>
        </w:tc>
        <w:tc>
          <w:tcPr>
            <w:tcW w:w="62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bCs/>
                <w:color w:val="auto"/>
              </w:rPr>
            </w:pPr>
            <w:r>
              <w:rPr>
                <w:rFonts w:hint="eastAsia"/>
                <w:bCs/>
                <w:color w:val="auto"/>
              </w:rPr>
              <w:t>投标人配置有白蚁防治施工机械设备与保障质量安全的技术装备，有环境安全的药物专储仓库。（根据各投标人提供的设备、装备表及图片横向比较打分）</w:t>
            </w:r>
          </w:p>
          <w:p>
            <w:pPr>
              <w:pStyle w:val="2"/>
              <w:spacing w:line="240" w:lineRule="auto"/>
              <w:ind w:firstLine="0"/>
              <w:rPr>
                <w:color w:val="auto"/>
              </w:rPr>
            </w:pPr>
            <w:r>
              <w:rPr>
                <w:rFonts w:hint="eastAsia" w:ascii="宋体" w:hAnsi="宋体" w:cs="宋体"/>
                <w:b/>
                <w:bCs/>
                <w:color w:val="auto"/>
                <w:sz w:val="21"/>
                <w:szCs w:val="21"/>
              </w:rPr>
              <w:t>要求提供各项设备、装备及仓库图片且图片上需能体现出改设备、装备及仓库属于投标人所有，否则不得分。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83" w:type="dxa"/>
            <w:vMerge w:val="continue"/>
            <w:tcBorders>
              <w:left w:val="single" w:color="auto" w:sz="4" w:space="0"/>
              <w:right w:val="single" w:color="auto" w:sz="4" w:space="0"/>
            </w:tcBorders>
            <w:vAlign w:val="center"/>
          </w:tcPr>
          <w:p>
            <w:pPr>
              <w:tabs>
                <w:tab w:val="left" w:pos="207"/>
                <w:tab w:val="center" w:pos="380"/>
              </w:tabs>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p>
        </w:tc>
        <w:tc>
          <w:tcPr>
            <w:tcW w:w="1099" w:type="dxa"/>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类似工</w:t>
            </w:r>
          </w:p>
          <w:p>
            <w:pPr>
              <w:adjustRightInd w:val="0"/>
              <w:snapToGrid w:val="0"/>
              <w:jc w:val="center"/>
              <w:rPr>
                <w:rFonts w:ascii="宋体" w:hAnsi="宋体" w:cs="宋体"/>
                <w:color w:val="auto"/>
                <w:szCs w:val="21"/>
              </w:rPr>
            </w:pPr>
            <w:r>
              <w:rPr>
                <w:rFonts w:hint="eastAsia" w:ascii="宋体" w:hAnsi="宋体" w:cs="宋体"/>
                <w:color w:val="auto"/>
                <w:szCs w:val="21"/>
              </w:rPr>
              <w:t>作经验</w:t>
            </w:r>
          </w:p>
        </w:tc>
        <w:tc>
          <w:tcPr>
            <w:tcW w:w="566" w:type="dxa"/>
            <w:gridSpan w:val="2"/>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bCs/>
                <w:color w:val="auto"/>
                <w:szCs w:val="21"/>
              </w:rPr>
              <w:t>0-6</w:t>
            </w:r>
          </w:p>
        </w:tc>
        <w:tc>
          <w:tcPr>
            <w:tcW w:w="6284" w:type="dxa"/>
            <w:gridSpan w:val="2"/>
            <w:tcBorders>
              <w:top w:val="single" w:color="auto" w:sz="4" w:space="0"/>
              <w:left w:val="single" w:color="auto" w:sz="4" w:space="0"/>
              <w:right w:val="single" w:color="auto" w:sz="4" w:space="0"/>
            </w:tcBorders>
            <w:vAlign w:val="center"/>
          </w:tcPr>
          <w:p>
            <w:pPr>
              <w:pStyle w:val="12"/>
              <w:adjustRightInd w:val="0"/>
              <w:rPr>
                <w:color w:val="auto"/>
                <w:sz w:val="21"/>
                <w:szCs w:val="22"/>
              </w:rPr>
            </w:pPr>
            <w:r>
              <w:rPr>
                <w:rFonts w:hint="eastAsia"/>
                <w:color w:val="auto"/>
                <w:sz w:val="21"/>
                <w:szCs w:val="20"/>
              </w:rPr>
              <w:t>2017年1月1日以来有同类业绩</w:t>
            </w:r>
            <w:r>
              <w:rPr>
                <w:rFonts w:hint="eastAsia"/>
                <w:color w:val="auto"/>
                <w:sz w:val="21"/>
                <w:szCs w:val="20"/>
                <w:lang w:eastAsia="zh-CN"/>
              </w:rPr>
              <w:t>（</w:t>
            </w:r>
            <w:r>
              <w:rPr>
                <w:rFonts w:hint="eastAsia"/>
                <w:color w:val="auto"/>
                <w:sz w:val="21"/>
                <w:szCs w:val="20"/>
                <w:lang w:val="en-US" w:eastAsia="zh-CN"/>
              </w:rPr>
              <w:t>房屋新建预防与回访复查</w:t>
            </w:r>
            <w:r>
              <w:rPr>
                <w:rFonts w:hint="eastAsia"/>
                <w:color w:val="auto"/>
                <w:sz w:val="21"/>
                <w:szCs w:val="20"/>
                <w:lang w:eastAsia="zh-CN"/>
              </w:rPr>
              <w:t>）</w:t>
            </w:r>
            <w:r>
              <w:rPr>
                <w:rFonts w:hint="eastAsia"/>
                <w:color w:val="auto"/>
                <w:sz w:val="21"/>
                <w:szCs w:val="20"/>
              </w:rPr>
              <w:t>的每个得2分，最多得6分。</w:t>
            </w:r>
          </w:p>
          <w:p>
            <w:pPr>
              <w:pStyle w:val="12"/>
              <w:adjustRightInd w:val="0"/>
              <w:rPr>
                <w:rFonts w:ascii="宋体" w:hAnsi="宋体" w:cs="宋体"/>
                <w:b/>
                <w:color w:val="auto"/>
                <w:sz w:val="21"/>
                <w:szCs w:val="21"/>
              </w:rPr>
            </w:pPr>
            <w:r>
              <w:rPr>
                <w:rFonts w:hint="eastAsia" w:ascii="宋体" w:hAnsi="宋体"/>
                <w:b/>
                <w:color w:val="auto"/>
                <w:sz w:val="21"/>
                <w:szCs w:val="21"/>
              </w:rPr>
              <w:t>标书内附</w:t>
            </w:r>
            <w:r>
              <w:rPr>
                <w:rFonts w:ascii="宋体" w:hAnsi="宋体"/>
                <w:b/>
                <w:color w:val="auto"/>
                <w:sz w:val="21"/>
                <w:szCs w:val="21"/>
              </w:rPr>
              <w:t>合同</w:t>
            </w:r>
            <w:r>
              <w:rPr>
                <w:rFonts w:hint="eastAsia" w:ascii="宋体" w:hAnsi="宋体"/>
                <w:b/>
                <w:color w:val="auto"/>
                <w:sz w:val="21"/>
                <w:szCs w:val="21"/>
              </w:rPr>
              <w:t>扫描件加盖投标人公章，</w:t>
            </w:r>
            <w:r>
              <w:rPr>
                <w:rFonts w:ascii="宋体" w:hAnsi="宋体"/>
                <w:b/>
                <w:bCs/>
                <w:color w:val="auto"/>
                <w:sz w:val="21"/>
                <w:szCs w:val="21"/>
              </w:rPr>
              <w:t>否则不得分</w:t>
            </w:r>
            <w:r>
              <w:rPr>
                <w:rFonts w:hint="eastAsia" w:ascii="宋体" w:hAnsi="宋体" w:cs="宋体"/>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83" w:type="dxa"/>
            <w:vMerge w:val="continue"/>
            <w:tcBorders>
              <w:left w:val="single" w:color="auto" w:sz="4" w:space="0"/>
              <w:right w:val="single" w:color="auto" w:sz="4" w:space="0"/>
            </w:tcBorders>
            <w:vAlign w:val="center"/>
          </w:tcPr>
          <w:p>
            <w:pPr>
              <w:tabs>
                <w:tab w:val="left" w:pos="207"/>
                <w:tab w:val="center" w:pos="380"/>
              </w:tabs>
              <w:adjustRightInd w:val="0"/>
              <w:snapToGrid w:val="0"/>
              <w:jc w:val="center"/>
              <w:rPr>
                <w:rFonts w:ascii="宋体" w:hAnsi="宋体" w:cs="宋体"/>
                <w:color w:val="auto"/>
                <w:szCs w:val="21"/>
              </w:rPr>
            </w:pPr>
          </w:p>
        </w:tc>
        <w:tc>
          <w:tcPr>
            <w:tcW w:w="817" w:type="dxa"/>
            <w:gridSpan w:val="2"/>
            <w:vMerge w:val="restart"/>
            <w:tcBorders>
              <w:left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cs="宋体"/>
                <w:color w:val="auto"/>
                <w:szCs w:val="21"/>
              </w:rPr>
              <w:t>技术方案</w:t>
            </w:r>
          </w:p>
          <w:p>
            <w:pPr>
              <w:adjustRightInd w:val="0"/>
              <w:snapToGrid w:val="0"/>
              <w:jc w:val="center"/>
              <w:rPr>
                <w:rFonts w:ascii="宋体" w:hAnsi="宋体" w:cs="宋体"/>
                <w:color w:val="auto"/>
                <w:szCs w:val="21"/>
              </w:rPr>
            </w:pPr>
            <w:r>
              <w:rPr>
                <w:rFonts w:hint="eastAsia" w:ascii="宋体" w:hAnsi="宋体" w:cs="宋体"/>
                <w:color w:val="auto"/>
                <w:szCs w:val="21"/>
              </w:rPr>
              <w:t>（39分）</w:t>
            </w:r>
          </w:p>
        </w:tc>
        <w:tc>
          <w:tcPr>
            <w:tcW w:w="1099" w:type="dxa"/>
            <w:vMerge w:val="restart"/>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施工方案</w:t>
            </w:r>
          </w:p>
          <w:p>
            <w:pPr>
              <w:adjustRightInd w:val="0"/>
              <w:snapToGrid w:val="0"/>
              <w:jc w:val="center"/>
              <w:rPr>
                <w:rFonts w:ascii="宋体" w:hAnsi="宋体" w:cs="宋体"/>
                <w:color w:val="auto"/>
                <w:szCs w:val="21"/>
              </w:rPr>
            </w:pPr>
            <w:r>
              <w:rPr>
                <w:rFonts w:hint="eastAsia" w:ascii="宋体" w:hAnsi="宋体" w:cs="宋体"/>
                <w:color w:val="auto"/>
                <w:szCs w:val="21"/>
              </w:rPr>
              <w:t>及措施</w:t>
            </w:r>
          </w:p>
        </w:tc>
        <w:tc>
          <w:tcPr>
            <w:tcW w:w="580" w:type="dxa"/>
            <w:gridSpan w:val="3"/>
            <w:tcBorders>
              <w:left w:val="single" w:color="auto" w:sz="4" w:space="0"/>
              <w:right w:val="single" w:color="auto" w:sz="4" w:space="0"/>
            </w:tcBorders>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0-4</w:t>
            </w:r>
          </w:p>
        </w:tc>
        <w:tc>
          <w:tcPr>
            <w:tcW w:w="6270" w:type="dxa"/>
            <w:tcBorders>
              <w:left w:val="single" w:color="auto" w:sz="4" w:space="0"/>
              <w:right w:val="single" w:color="auto" w:sz="4" w:space="0"/>
            </w:tcBorders>
            <w:vAlign w:val="center"/>
          </w:tcPr>
          <w:p>
            <w:pPr>
              <w:adjustRightInd w:val="0"/>
              <w:snapToGrid w:val="0"/>
              <w:rPr>
                <w:rFonts w:ascii="宋体" w:hAnsi="宋体" w:cs="宋体"/>
                <w:bCs/>
                <w:color w:val="auto"/>
                <w:szCs w:val="21"/>
              </w:rPr>
            </w:pPr>
            <w:r>
              <w:rPr>
                <w:rFonts w:hint="eastAsia" w:ascii="宋体" w:hAnsi="宋体" w:cs="宋体"/>
                <w:bCs/>
                <w:color w:val="auto"/>
                <w:szCs w:val="21"/>
              </w:rPr>
              <w:t>投标人提供的白蚁治理的技术方案和措施科学、合理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3" w:type="dxa"/>
            <w:vMerge w:val="continue"/>
            <w:tcBorders>
              <w:left w:val="single" w:color="auto" w:sz="4" w:space="0"/>
              <w:right w:val="single" w:color="auto" w:sz="4" w:space="0"/>
            </w:tcBorders>
            <w:vAlign w:val="center"/>
          </w:tcPr>
          <w:p>
            <w:pPr>
              <w:tabs>
                <w:tab w:val="left" w:pos="207"/>
                <w:tab w:val="center" w:pos="380"/>
              </w:tabs>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rPr>
                <w:rFonts w:ascii="宋体" w:hAnsi="宋体" w:cs="宋体"/>
                <w:color w:val="auto"/>
                <w:szCs w:val="21"/>
              </w:rPr>
            </w:pPr>
          </w:p>
        </w:tc>
        <w:tc>
          <w:tcPr>
            <w:tcW w:w="1099"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 w:val="24"/>
                <w:szCs w:val="24"/>
              </w:rPr>
            </w:pPr>
          </w:p>
        </w:tc>
        <w:tc>
          <w:tcPr>
            <w:tcW w:w="580" w:type="dxa"/>
            <w:gridSpan w:val="3"/>
            <w:tcBorders>
              <w:left w:val="single" w:color="auto" w:sz="4" w:space="0"/>
              <w:right w:val="single" w:color="auto" w:sz="4" w:space="0"/>
            </w:tcBorders>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0-4</w:t>
            </w:r>
          </w:p>
        </w:tc>
        <w:tc>
          <w:tcPr>
            <w:tcW w:w="6270" w:type="dxa"/>
            <w:tcBorders>
              <w:left w:val="single" w:color="auto" w:sz="4" w:space="0"/>
              <w:right w:val="single" w:color="auto" w:sz="4" w:space="0"/>
            </w:tcBorders>
            <w:vAlign w:val="center"/>
          </w:tcPr>
          <w:p>
            <w:pPr>
              <w:pStyle w:val="17"/>
              <w:adjustRightInd w:val="0"/>
              <w:snapToGrid w:val="0"/>
              <w:spacing w:after="0"/>
              <w:ind w:left="0" w:leftChars="0" w:firstLine="0"/>
              <w:rPr>
                <w:rFonts w:ascii="宋体" w:hAnsi="宋体"/>
                <w:bCs/>
                <w:color w:val="auto"/>
              </w:rPr>
            </w:pPr>
            <w:bookmarkStart w:id="99" w:name="_GoBack"/>
            <w:r>
              <w:rPr>
                <w:rFonts w:hint="eastAsia" w:ascii="宋体" w:hAnsi="宋体"/>
                <w:bCs/>
                <w:color w:val="auto"/>
              </w:rPr>
              <w:t>项目实施方案完善，措施符合项目要求。</w:t>
            </w:r>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983" w:type="dxa"/>
            <w:vMerge w:val="continue"/>
            <w:tcBorders>
              <w:left w:val="single" w:color="auto" w:sz="4" w:space="0"/>
              <w:right w:val="single" w:color="auto" w:sz="4" w:space="0"/>
            </w:tcBorders>
            <w:vAlign w:val="center"/>
          </w:tcPr>
          <w:p>
            <w:pPr>
              <w:tabs>
                <w:tab w:val="left" w:pos="207"/>
                <w:tab w:val="center" w:pos="380"/>
              </w:tabs>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rPr>
                <w:rFonts w:ascii="宋体" w:hAnsi="宋体" w:cs="宋体"/>
                <w:color w:val="auto"/>
                <w:szCs w:val="21"/>
              </w:rPr>
            </w:pPr>
          </w:p>
        </w:tc>
        <w:tc>
          <w:tcPr>
            <w:tcW w:w="1099"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 w:val="24"/>
                <w:szCs w:val="24"/>
              </w:rPr>
            </w:pPr>
          </w:p>
        </w:tc>
        <w:tc>
          <w:tcPr>
            <w:tcW w:w="580" w:type="dxa"/>
            <w:gridSpan w:val="3"/>
            <w:tcBorders>
              <w:left w:val="single" w:color="auto" w:sz="4" w:space="0"/>
              <w:right w:val="single" w:color="auto" w:sz="4" w:space="0"/>
            </w:tcBorders>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0-4</w:t>
            </w:r>
          </w:p>
        </w:tc>
        <w:tc>
          <w:tcPr>
            <w:tcW w:w="6270" w:type="dxa"/>
            <w:tcBorders>
              <w:left w:val="single" w:color="auto" w:sz="4" w:space="0"/>
              <w:right w:val="single" w:color="auto" w:sz="4" w:space="0"/>
            </w:tcBorders>
            <w:vAlign w:val="center"/>
          </w:tcPr>
          <w:p>
            <w:pPr>
              <w:pStyle w:val="17"/>
              <w:adjustRightInd w:val="0"/>
              <w:snapToGrid w:val="0"/>
              <w:spacing w:after="0"/>
              <w:ind w:left="0" w:leftChars="0" w:firstLine="0"/>
              <w:rPr>
                <w:rFonts w:ascii="宋体" w:hAnsi="宋体"/>
                <w:bCs/>
                <w:color w:val="auto"/>
              </w:rPr>
            </w:pPr>
            <w:r>
              <w:rPr>
                <w:rFonts w:hint="eastAsia" w:ascii="宋体" w:hAnsi="宋体"/>
                <w:bCs/>
                <w:color w:val="auto"/>
              </w:rPr>
              <w:t>对本项目重点难点分析和理解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83" w:type="dxa"/>
            <w:vMerge w:val="continue"/>
            <w:tcBorders>
              <w:left w:val="single" w:color="auto" w:sz="4" w:space="0"/>
              <w:right w:val="single" w:color="auto" w:sz="4" w:space="0"/>
            </w:tcBorders>
            <w:vAlign w:val="center"/>
          </w:tcPr>
          <w:p>
            <w:pPr>
              <w:tabs>
                <w:tab w:val="left" w:pos="207"/>
                <w:tab w:val="center" w:pos="380"/>
              </w:tabs>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rPr>
                <w:rFonts w:ascii="宋体" w:hAnsi="宋体" w:cs="宋体"/>
                <w:color w:val="auto"/>
                <w:szCs w:val="21"/>
              </w:rPr>
            </w:pPr>
          </w:p>
        </w:tc>
        <w:tc>
          <w:tcPr>
            <w:tcW w:w="1099"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 w:val="24"/>
                <w:szCs w:val="24"/>
              </w:rPr>
            </w:pPr>
          </w:p>
        </w:tc>
        <w:tc>
          <w:tcPr>
            <w:tcW w:w="580" w:type="dxa"/>
            <w:gridSpan w:val="3"/>
            <w:tcBorders>
              <w:left w:val="single" w:color="auto" w:sz="4" w:space="0"/>
              <w:right w:val="single" w:color="auto" w:sz="4" w:space="0"/>
            </w:tcBorders>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0-3</w:t>
            </w:r>
          </w:p>
        </w:tc>
        <w:tc>
          <w:tcPr>
            <w:tcW w:w="6270" w:type="dxa"/>
            <w:tcBorders>
              <w:left w:val="single" w:color="auto" w:sz="4" w:space="0"/>
              <w:right w:val="single" w:color="auto" w:sz="4" w:space="0"/>
            </w:tcBorders>
            <w:vAlign w:val="center"/>
          </w:tcPr>
          <w:p>
            <w:pPr>
              <w:pStyle w:val="17"/>
              <w:adjustRightInd w:val="0"/>
              <w:snapToGrid w:val="0"/>
              <w:spacing w:after="0"/>
              <w:ind w:left="0" w:leftChars="0" w:firstLine="0"/>
              <w:rPr>
                <w:rFonts w:ascii="宋体" w:hAnsi="宋体"/>
                <w:bCs/>
                <w:color w:val="auto"/>
              </w:rPr>
            </w:pPr>
            <w:r>
              <w:rPr>
                <w:rFonts w:hint="eastAsia" w:ascii="宋体" w:hAnsi="宋体"/>
                <w:bCs/>
                <w:color w:val="auto"/>
              </w:rPr>
              <w:t>质量保证措施有效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983" w:type="dxa"/>
            <w:vMerge w:val="continue"/>
            <w:tcBorders>
              <w:left w:val="single" w:color="auto" w:sz="4" w:space="0"/>
              <w:right w:val="single" w:color="auto" w:sz="4" w:space="0"/>
            </w:tcBorders>
            <w:vAlign w:val="center"/>
          </w:tcPr>
          <w:p>
            <w:pPr>
              <w:tabs>
                <w:tab w:val="left" w:pos="207"/>
                <w:tab w:val="center" w:pos="380"/>
              </w:tabs>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rPr>
                <w:rFonts w:ascii="宋体" w:hAnsi="宋体" w:cs="宋体"/>
                <w:color w:val="auto"/>
                <w:szCs w:val="21"/>
              </w:rPr>
            </w:pPr>
          </w:p>
        </w:tc>
        <w:tc>
          <w:tcPr>
            <w:tcW w:w="1099"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 w:val="24"/>
                <w:szCs w:val="24"/>
              </w:rPr>
            </w:pPr>
          </w:p>
        </w:tc>
        <w:tc>
          <w:tcPr>
            <w:tcW w:w="580" w:type="dxa"/>
            <w:gridSpan w:val="3"/>
            <w:tcBorders>
              <w:left w:val="single" w:color="auto" w:sz="4" w:space="0"/>
              <w:right w:val="single" w:color="auto" w:sz="4" w:space="0"/>
            </w:tcBorders>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0-3</w:t>
            </w:r>
          </w:p>
        </w:tc>
        <w:tc>
          <w:tcPr>
            <w:tcW w:w="6270" w:type="dxa"/>
            <w:tcBorders>
              <w:left w:val="single" w:color="auto" w:sz="4" w:space="0"/>
              <w:right w:val="single" w:color="auto" w:sz="4" w:space="0"/>
            </w:tcBorders>
            <w:vAlign w:val="center"/>
          </w:tcPr>
          <w:p>
            <w:pPr>
              <w:pStyle w:val="17"/>
              <w:adjustRightInd w:val="0"/>
              <w:snapToGrid w:val="0"/>
              <w:spacing w:after="0"/>
              <w:ind w:left="0" w:leftChars="0" w:firstLine="0"/>
              <w:rPr>
                <w:rFonts w:ascii="宋体" w:hAnsi="宋体"/>
                <w:bCs/>
                <w:color w:val="auto"/>
              </w:rPr>
            </w:pPr>
            <w:r>
              <w:rPr>
                <w:rFonts w:hint="eastAsia" w:ascii="宋体" w:hAnsi="宋体"/>
                <w:bCs/>
                <w:color w:val="auto"/>
              </w:rPr>
              <w:t>项目管理计划，项目工期、时间安排科学合理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83" w:type="dxa"/>
            <w:vMerge w:val="continue"/>
            <w:tcBorders>
              <w:left w:val="single" w:color="auto" w:sz="4" w:space="0"/>
              <w:right w:val="single" w:color="auto" w:sz="4" w:space="0"/>
            </w:tcBorders>
            <w:vAlign w:val="center"/>
          </w:tcPr>
          <w:p>
            <w:pPr>
              <w:tabs>
                <w:tab w:val="left" w:pos="207"/>
                <w:tab w:val="center" w:pos="380"/>
              </w:tabs>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rPr>
                <w:rFonts w:ascii="宋体" w:hAnsi="宋体" w:cs="宋体"/>
                <w:color w:val="auto"/>
                <w:szCs w:val="21"/>
              </w:rPr>
            </w:pPr>
          </w:p>
        </w:tc>
        <w:tc>
          <w:tcPr>
            <w:tcW w:w="1099"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 w:val="24"/>
                <w:szCs w:val="24"/>
              </w:rPr>
            </w:pPr>
          </w:p>
        </w:tc>
        <w:tc>
          <w:tcPr>
            <w:tcW w:w="580" w:type="dxa"/>
            <w:gridSpan w:val="3"/>
            <w:tcBorders>
              <w:left w:val="single" w:color="auto" w:sz="4" w:space="0"/>
              <w:right w:val="single" w:color="auto" w:sz="4" w:space="0"/>
            </w:tcBorders>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0-3</w:t>
            </w:r>
          </w:p>
        </w:tc>
        <w:tc>
          <w:tcPr>
            <w:tcW w:w="6270" w:type="dxa"/>
            <w:tcBorders>
              <w:left w:val="single" w:color="auto" w:sz="4" w:space="0"/>
              <w:right w:val="single" w:color="auto" w:sz="4" w:space="0"/>
            </w:tcBorders>
            <w:vAlign w:val="center"/>
          </w:tcPr>
          <w:p>
            <w:pPr>
              <w:pStyle w:val="17"/>
              <w:adjustRightInd w:val="0"/>
              <w:snapToGrid w:val="0"/>
              <w:spacing w:after="0"/>
              <w:ind w:left="0" w:leftChars="0" w:firstLine="0"/>
              <w:rPr>
                <w:rFonts w:ascii="宋体" w:hAnsi="宋体"/>
                <w:bCs/>
                <w:color w:val="auto"/>
              </w:rPr>
            </w:pPr>
            <w:r>
              <w:rPr>
                <w:rFonts w:hint="eastAsia" w:ascii="宋体" w:hAnsi="宋体"/>
                <w:bCs/>
                <w:color w:val="auto"/>
              </w:rPr>
              <w:t>项目组织合理、人力资源的安排是否充足合理。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83" w:type="dxa"/>
            <w:vMerge w:val="continue"/>
            <w:tcBorders>
              <w:left w:val="single" w:color="auto" w:sz="4" w:space="0"/>
              <w:right w:val="single" w:color="auto" w:sz="4" w:space="0"/>
            </w:tcBorders>
            <w:vAlign w:val="center"/>
          </w:tcPr>
          <w:p>
            <w:pPr>
              <w:tabs>
                <w:tab w:val="left" w:pos="207"/>
                <w:tab w:val="center" w:pos="380"/>
              </w:tabs>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rPr>
                <w:rFonts w:ascii="宋体" w:hAnsi="宋体" w:cs="宋体"/>
                <w:color w:val="auto"/>
                <w:szCs w:val="21"/>
              </w:rPr>
            </w:pPr>
          </w:p>
        </w:tc>
        <w:tc>
          <w:tcPr>
            <w:tcW w:w="1099"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 w:val="24"/>
                <w:szCs w:val="24"/>
              </w:rPr>
            </w:pPr>
          </w:p>
        </w:tc>
        <w:tc>
          <w:tcPr>
            <w:tcW w:w="580" w:type="dxa"/>
            <w:gridSpan w:val="3"/>
            <w:tcBorders>
              <w:left w:val="single" w:color="auto" w:sz="4" w:space="0"/>
              <w:right w:val="single" w:color="auto" w:sz="4" w:space="0"/>
            </w:tcBorders>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0-3</w:t>
            </w:r>
          </w:p>
        </w:tc>
        <w:tc>
          <w:tcPr>
            <w:tcW w:w="6270" w:type="dxa"/>
            <w:tcBorders>
              <w:left w:val="single" w:color="auto" w:sz="4" w:space="0"/>
              <w:right w:val="single" w:color="auto" w:sz="4" w:space="0"/>
            </w:tcBorders>
            <w:vAlign w:val="center"/>
          </w:tcPr>
          <w:p>
            <w:pPr>
              <w:pStyle w:val="17"/>
              <w:adjustRightInd w:val="0"/>
              <w:snapToGrid w:val="0"/>
              <w:spacing w:after="0"/>
              <w:ind w:left="0" w:leftChars="0" w:firstLine="0"/>
              <w:rPr>
                <w:rFonts w:ascii="宋体" w:hAnsi="宋体"/>
                <w:bCs/>
                <w:color w:val="auto"/>
              </w:rPr>
            </w:pPr>
            <w:r>
              <w:rPr>
                <w:rFonts w:hint="eastAsia" w:ascii="宋体" w:hAnsi="宋体"/>
                <w:bCs/>
                <w:color w:val="auto"/>
              </w:rPr>
              <w:t>项目培训方案可操作性强，安排合理。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83" w:type="dxa"/>
            <w:vMerge w:val="continue"/>
            <w:tcBorders>
              <w:left w:val="single" w:color="auto" w:sz="4" w:space="0"/>
              <w:right w:val="single" w:color="auto" w:sz="4" w:space="0"/>
            </w:tcBorders>
            <w:vAlign w:val="center"/>
          </w:tcPr>
          <w:p>
            <w:pPr>
              <w:tabs>
                <w:tab w:val="left" w:pos="207"/>
                <w:tab w:val="center" w:pos="380"/>
              </w:tabs>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rPr>
                <w:rFonts w:ascii="宋体" w:hAnsi="宋体" w:cs="宋体"/>
                <w:color w:val="auto"/>
                <w:szCs w:val="21"/>
              </w:rPr>
            </w:pPr>
          </w:p>
        </w:tc>
        <w:tc>
          <w:tcPr>
            <w:tcW w:w="1099"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 w:val="24"/>
                <w:szCs w:val="24"/>
              </w:rPr>
            </w:pPr>
          </w:p>
        </w:tc>
        <w:tc>
          <w:tcPr>
            <w:tcW w:w="580" w:type="dxa"/>
            <w:gridSpan w:val="3"/>
            <w:tcBorders>
              <w:left w:val="single" w:color="auto" w:sz="4" w:space="0"/>
              <w:right w:val="single" w:color="auto" w:sz="4" w:space="0"/>
            </w:tcBorders>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0-3</w:t>
            </w:r>
          </w:p>
        </w:tc>
        <w:tc>
          <w:tcPr>
            <w:tcW w:w="6270" w:type="dxa"/>
            <w:tcBorders>
              <w:left w:val="single" w:color="auto" w:sz="4" w:space="0"/>
              <w:right w:val="single" w:color="auto" w:sz="4" w:space="0"/>
            </w:tcBorders>
            <w:vAlign w:val="center"/>
          </w:tcPr>
          <w:p>
            <w:pPr>
              <w:pStyle w:val="17"/>
              <w:adjustRightInd w:val="0"/>
              <w:snapToGrid w:val="0"/>
              <w:spacing w:after="0"/>
              <w:ind w:left="0" w:leftChars="0" w:firstLine="0"/>
              <w:rPr>
                <w:rFonts w:ascii="宋体" w:hAnsi="宋体"/>
                <w:bCs/>
                <w:color w:val="auto"/>
              </w:rPr>
            </w:pPr>
            <w:r>
              <w:rPr>
                <w:rFonts w:hint="eastAsia" w:ascii="宋体" w:hAnsi="宋体"/>
                <w:bCs/>
                <w:color w:val="auto"/>
              </w:rPr>
              <w:t>应急保证措施针对性强、可靠。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983" w:type="dxa"/>
            <w:vMerge w:val="continue"/>
            <w:tcBorders>
              <w:left w:val="single" w:color="auto" w:sz="4" w:space="0"/>
              <w:right w:val="single" w:color="auto" w:sz="4" w:space="0"/>
            </w:tcBorders>
            <w:vAlign w:val="center"/>
          </w:tcPr>
          <w:p>
            <w:pPr>
              <w:tabs>
                <w:tab w:val="left" w:pos="207"/>
                <w:tab w:val="center" w:pos="380"/>
              </w:tabs>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rPr>
                <w:rFonts w:ascii="宋体" w:hAnsi="宋体" w:cs="宋体"/>
                <w:color w:val="auto"/>
                <w:szCs w:val="21"/>
              </w:rPr>
            </w:pPr>
          </w:p>
        </w:tc>
        <w:tc>
          <w:tcPr>
            <w:tcW w:w="1099"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 w:val="24"/>
                <w:szCs w:val="24"/>
              </w:rPr>
            </w:pPr>
          </w:p>
        </w:tc>
        <w:tc>
          <w:tcPr>
            <w:tcW w:w="580" w:type="dxa"/>
            <w:gridSpan w:val="3"/>
            <w:tcBorders>
              <w:left w:val="single" w:color="auto" w:sz="4" w:space="0"/>
              <w:right w:val="single" w:color="auto" w:sz="4" w:space="0"/>
            </w:tcBorders>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0-3</w:t>
            </w:r>
          </w:p>
        </w:tc>
        <w:tc>
          <w:tcPr>
            <w:tcW w:w="6270" w:type="dxa"/>
            <w:tcBorders>
              <w:left w:val="single" w:color="auto" w:sz="4" w:space="0"/>
              <w:right w:val="single" w:color="auto" w:sz="4" w:space="0"/>
            </w:tcBorders>
            <w:vAlign w:val="center"/>
          </w:tcPr>
          <w:p>
            <w:pPr>
              <w:pStyle w:val="17"/>
              <w:adjustRightInd w:val="0"/>
              <w:snapToGrid w:val="0"/>
              <w:spacing w:after="0"/>
              <w:ind w:left="0" w:leftChars="0" w:firstLine="0"/>
              <w:rPr>
                <w:rFonts w:ascii="宋体" w:hAnsi="宋体"/>
                <w:bCs/>
                <w:color w:val="auto"/>
              </w:rPr>
            </w:pPr>
            <w:r>
              <w:rPr>
                <w:rFonts w:hint="eastAsia" w:ascii="宋体" w:hAnsi="宋体"/>
                <w:bCs/>
                <w:color w:val="auto"/>
              </w:rPr>
              <w:t>安全、文明生产、环境保护及其保证措施明确，能落实到人并切实落实到岗位。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83" w:type="dxa"/>
            <w:vMerge w:val="continue"/>
            <w:tcBorders>
              <w:left w:val="single" w:color="auto" w:sz="4" w:space="0"/>
              <w:right w:val="single" w:color="auto" w:sz="4" w:space="0"/>
            </w:tcBorders>
            <w:vAlign w:val="center"/>
          </w:tcPr>
          <w:p>
            <w:pPr>
              <w:tabs>
                <w:tab w:val="left" w:pos="207"/>
                <w:tab w:val="center" w:pos="380"/>
              </w:tabs>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rPr>
                <w:rFonts w:ascii="宋体" w:hAnsi="宋体" w:cs="宋体"/>
                <w:color w:val="auto"/>
                <w:szCs w:val="21"/>
              </w:rPr>
            </w:pPr>
          </w:p>
        </w:tc>
        <w:tc>
          <w:tcPr>
            <w:tcW w:w="1099" w:type="dxa"/>
            <w:vMerge w:val="restart"/>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售后服务</w:t>
            </w:r>
          </w:p>
        </w:tc>
        <w:tc>
          <w:tcPr>
            <w:tcW w:w="566" w:type="dxa"/>
            <w:gridSpan w:val="2"/>
            <w:tcBorders>
              <w:left w:val="single" w:color="auto" w:sz="4" w:space="0"/>
              <w:right w:val="single" w:color="auto" w:sz="4" w:space="0"/>
            </w:tcBorders>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0-2</w:t>
            </w:r>
          </w:p>
        </w:tc>
        <w:tc>
          <w:tcPr>
            <w:tcW w:w="6284" w:type="dxa"/>
            <w:gridSpan w:val="2"/>
            <w:tcBorders>
              <w:top w:val="single" w:color="auto" w:sz="4" w:space="0"/>
              <w:left w:val="single" w:color="auto" w:sz="4" w:space="0"/>
              <w:right w:val="single" w:color="auto" w:sz="4" w:space="0"/>
            </w:tcBorders>
            <w:vAlign w:val="center"/>
          </w:tcPr>
          <w:p>
            <w:pPr>
              <w:adjustRightInd w:val="0"/>
              <w:snapToGrid w:val="0"/>
              <w:rPr>
                <w:rFonts w:ascii="宋体" w:hAnsi="宋体" w:cs="宋体"/>
                <w:color w:val="auto"/>
                <w:kern w:val="0"/>
                <w:szCs w:val="21"/>
              </w:rPr>
            </w:pPr>
            <w:r>
              <w:rPr>
                <w:rFonts w:hint="eastAsia" w:ascii="宋体" w:hAnsi="宋体" w:cs="宋体"/>
                <w:color w:val="auto"/>
                <w:kern w:val="0"/>
                <w:szCs w:val="21"/>
              </w:rPr>
              <w:t>投标人承诺在中标公示期开始一个月内在衢州市衢江区注册或设立分支机构或已经在衢州市衢江区注册或设立分支机构的，得2分。</w:t>
            </w:r>
          </w:p>
          <w:p>
            <w:pPr>
              <w:adjustRightInd w:val="0"/>
              <w:snapToGrid w:val="0"/>
              <w:rPr>
                <w:rFonts w:ascii="宋体" w:hAnsi="宋体" w:cs="宋体"/>
                <w:color w:val="auto"/>
                <w:szCs w:val="21"/>
              </w:rPr>
            </w:pPr>
            <w:r>
              <w:rPr>
                <w:rFonts w:hint="eastAsia" w:ascii="宋体" w:hAnsi="宋体" w:cs="宋体"/>
                <w:b/>
                <w:color w:val="auto"/>
                <w:kern w:val="0"/>
                <w:szCs w:val="21"/>
              </w:rPr>
              <w:t>承诺函自拟，如已有分公司或分支机构的，须提供相关证明文件扫描件加盖投标人公章，未提供不得分。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83" w:type="dxa"/>
            <w:vMerge w:val="continue"/>
            <w:tcBorders>
              <w:left w:val="single" w:color="auto" w:sz="4" w:space="0"/>
              <w:right w:val="single" w:color="auto" w:sz="4" w:space="0"/>
            </w:tcBorders>
            <w:vAlign w:val="center"/>
          </w:tcPr>
          <w:p>
            <w:pPr>
              <w:tabs>
                <w:tab w:val="left" w:pos="207"/>
                <w:tab w:val="center" w:pos="380"/>
              </w:tabs>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rPr>
                <w:rFonts w:ascii="宋体" w:hAnsi="宋体" w:cs="宋体"/>
                <w:color w:val="auto"/>
                <w:szCs w:val="21"/>
              </w:rPr>
            </w:pPr>
          </w:p>
        </w:tc>
        <w:tc>
          <w:tcPr>
            <w:tcW w:w="1099"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p>
        </w:tc>
        <w:tc>
          <w:tcPr>
            <w:tcW w:w="566" w:type="dxa"/>
            <w:gridSpan w:val="2"/>
            <w:tcBorders>
              <w:left w:val="single" w:color="auto" w:sz="4" w:space="0"/>
              <w:right w:val="single" w:color="auto" w:sz="4" w:space="0"/>
            </w:tcBorders>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0-4</w:t>
            </w:r>
          </w:p>
        </w:tc>
        <w:tc>
          <w:tcPr>
            <w:tcW w:w="6284" w:type="dxa"/>
            <w:gridSpan w:val="2"/>
            <w:tcBorders>
              <w:top w:val="single" w:color="auto" w:sz="4" w:space="0"/>
              <w:left w:val="single" w:color="auto" w:sz="4" w:space="0"/>
              <w:right w:val="single" w:color="auto" w:sz="4" w:space="0"/>
            </w:tcBorders>
            <w:vAlign w:val="center"/>
          </w:tcPr>
          <w:p>
            <w:pPr>
              <w:adjustRightInd w:val="0"/>
              <w:snapToGrid w:val="0"/>
              <w:rPr>
                <w:rFonts w:ascii="宋体" w:hAnsi="宋体" w:cs="宋体"/>
                <w:color w:val="auto"/>
                <w:kern w:val="0"/>
                <w:szCs w:val="21"/>
              </w:rPr>
            </w:pPr>
            <w:r>
              <w:rPr>
                <w:rFonts w:hint="eastAsia" w:ascii="宋体" w:hAnsi="宋体" w:cs="宋体"/>
                <w:color w:val="auto"/>
                <w:kern w:val="0"/>
                <w:szCs w:val="21"/>
              </w:rPr>
              <w:t>售后服务方案：根据投标人的售后服务及拟提供的其他优惠服务及承诺评价，以及服务响应时间的承诺，横向比较。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83" w:type="dxa"/>
            <w:vMerge w:val="continue"/>
            <w:tcBorders>
              <w:left w:val="single" w:color="auto" w:sz="4" w:space="0"/>
              <w:right w:val="single" w:color="auto" w:sz="4" w:space="0"/>
            </w:tcBorders>
            <w:vAlign w:val="center"/>
          </w:tcPr>
          <w:p>
            <w:pPr>
              <w:tabs>
                <w:tab w:val="left" w:pos="207"/>
                <w:tab w:val="center" w:pos="380"/>
              </w:tabs>
              <w:adjustRightInd w:val="0"/>
              <w:snapToGrid w:val="0"/>
              <w:jc w:val="center"/>
              <w:rPr>
                <w:rFonts w:ascii="宋体" w:hAnsi="宋体" w:cs="宋体"/>
                <w:color w:val="auto"/>
                <w:szCs w:val="21"/>
              </w:rPr>
            </w:pPr>
          </w:p>
        </w:tc>
        <w:tc>
          <w:tcPr>
            <w:tcW w:w="817" w:type="dxa"/>
            <w:gridSpan w:val="2"/>
            <w:vMerge w:val="continue"/>
            <w:tcBorders>
              <w:left w:val="single" w:color="auto" w:sz="4" w:space="0"/>
              <w:right w:val="single" w:color="auto" w:sz="4" w:space="0"/>
            </w:tcBorders>
            <w:vAlign w:val="center"/>
          </w:tcPr>
          <w:p>
            <w:pPr>
              <w:adjustRightInd w:val="0"/>
              <w:snapToGrid w:val="0"/>
              <w:rPr>
                <w:rFonts w:ascii="宋体" w:hAnsi="宋体" w:cs="宋体"/>
                <w:color w:val="auto"/>
                <w:szCs w:val="21"/>
              </w:rPr>
            </w:pPr>
          </w:p>
        </w:tc>
        <w:tc>
          <w:tcPr>
            <w:tcW w:w="1099" w:type="dxa"/>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合理化建议</w:t>
            </w:r>
          </w:p>
        </w:tc>
        <w:tc>
          <w:tcPr>
            <w:tcW w:w="566" w:type="dxa"/>
            <w:gridSpan w:val="2"/>
            <w:tcBorders>
              <w:left w:val="single" w:color="auto" w:sz="4" w:space="0"/>
              <w:right w:val="single" w:color="auto" w:sz="4" w:space="0"/>
            </w:tcBorders>
            <w:vAlign w:val="center"/>
          </w:tcPr>
          <w:p>
            <w:pPr>
              <w:adjustRightInd w:val="0"/>
              <w:snapToGrid w:val="0"/>
              <w:jc w:val="center"/>
              <w:rPr>
                <w:rFonts w:ascii="宋体" w:hAnsi="宋体" w:cs="宋体"/>
                <w:bCs/>
                <w:color w:val="auto"/>
                <w:szCs w:val="21"/>
              </w:rPr>
            </w:pPr>
            <w:r>
              <w:rPr>
                <w:rFonts w:hint="eastAsia" w:ascii="宋体" w:hAnsi="宋体" w:cs="宋体"/>
                <w:bCs/>
                <w:color w:val="auto"/>
                <w:szCs w:val="21"/>
              </w:rPr>
              <w:t>0-3</w:t>
            </w:r>
          </w:p>
        </w:tc>
        <w:tc>
          <w:tcPr>
            <w:tcW w:w="6284" w:type="dxa"/>
            <w:gridSpan w:val="2"/>
            <w:tcBorders>
              <w:top w:val="single" w:color="auto" w:sz="4" w:space="0"/>
              <w:left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cs="宋体"/>
                <w:color w:val="auto"/>
                <w:kern w:val="0"/>
                <w:szCs w:val="21"/>
              </w:rPr>
              <w:t>投标人对本项目提出的合理化建议，建议可行性及合理性评价。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83" w:type="dxa"/>
            <w:vMerge w:val="continue"/>
            <w:tcBorders>
              <w:left w:val="single" w:color="auto" w:sz="4" w:space="0"/>
              <w:right w:val="single" w:color="auto" w:sz="4" w:space="0"/>
            </w:tcBorders>
            <w:vAlign w:val="center"/>
          </w:tcPr>
          <w:p>
            <w:pPr>
              <w:adjustRightInd w:val="0"/>
              <w:snapToGrid w:val="0"/>
              <w:jc w:val="center"/>
              <w:rPr>
                <w:rFonts w:ascii="宋体" w:hAnsi="宋体" w:cs="宋体"/>
                <w:color w:val="auto"/>
                <w:spacing w:val="4"/>
                <w:szCs w:val="21"/>
              </w:rPr>
            </w:pPr>
          </w:p>
        </w:tc>
        <w:tc>
          <w:tcPr>
            <w:tcW w:w="795" w:type="dxa"/>
            <w:tcBorders>
              <w:left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cs="宋体"/>
                <w:color w:val="auto"/>
                <w:spacing w:val="4"/>
                <w:szCs w:val="21"/>
              </w:rPr>
              <w:t>政策加分</w:t>
            </w:r>
          </w:p>
        </w:tc>
        <w:tc>
          <w:tcPr>
            <w:tcW w:w="1134" w:type="dxa"/>
            <w:gridSpan w:val="3"/>
            <w:tcBorders>
              <w:left w:val="single" w:color="auto" w:sz="4" w:space="0"/>
              <w:right w:val="single" w:color="auto" w:sz="4" w:space="0"/>
            </w:tcBorders>
            <w:vAlign w:val="center"/>
          </w:tcPr>
          <w:p>
            <w:pPr>
              <w:adjustRightInd w:val="0"/>
              <w:snapToGrid w:val="0"/>
              <w:jc w:val="center"/>
              <w:rPr>
                <w:rFonts w:ascii="宋体" w:hAnsi="宋体" w:cs="宋体"/>
                <w:color w:val="auto"/>
                <w:szCs w:val="21"/>
              </w:rPr>
            </w:pPr>
            <w:r>
              <w:rPr>
                <w:rFonts w:hint="eastAsia" w:ascii="宋体" w:hAnsi="宋体" w:cs="宋体"/>
                <w:color w:val="auto"/>
                <w:szCs w:val="21"/>
              </w:rPr>
              <w:t>0-1分</w:t>
            </w:r>
          </w:p>
        </w:tc>
        <w:tc>
          <w:tcPr>
            <w:tcW w:w="6837" w:type="dxa"/>
            <w:gridSpan w:val="3"/>
            <w:tcBorders>
              <w:left w:val="single" w:color="auto" w:sz="4" w:space="0"/>
              <w:right w:val="single" w:color="auto" w:sz="4" w:space="0"/>
            </w:tcBorders>
            <w:vAlign w:val="center"/>
          </w:tcPr>
          <w:p>
            <w:pPr>
              <w:widowControl/>
              <w:adjustRightInd w:val="0"/>
              <w:snapToGrid w:val="0"/>
              <w:jc w:val="left"/>
              <w:rPr>
                <w:rFonts w:ascii="宋体" w:hAnsi="宋体" w:cs="宋体"/>
                <w:color w:val="auto"/>
                <w:szCs w:val="21"/>
              </w:rPr>
            </w:pPr>
            <w:r>
              <w:rPr>
                <w:rFonts w:ascii="宋体" w:hAnsi="宋体" w:cs="宋体"/>
                <w:color w:val="auto"/>
                <w:szCs w:val="21"/>
              </w:rPr>
              <w:t>投标核心产品（监控装置）均属于《节能产品政府采购品目清单》范围的且具有国家确定的认证机构出具的、处于有效期之内的节能产品认证证书的得0.5分；</w:t>
            </w:r>
          </w:p>
          <w:p>
            <w:pPr>
              <w:widowControl/>
              <w:adjustRightInd w:val="0"/>
              <w:snapToGrid w:val="0"/>
              <w:jc w:val="left"/>
              <w:rPr>
                <w:rFonts w:ascii="宋体" w:hAnsi="宋体" w:cs="宋体"/>
                <w:color w:val="auto"/>
                <w:szCs w:val="21"/>
              </w:rPr>
            </w:pPr>
            <w:r>
              <w:rPr>
                <w:rFonts w:ascii="宋体" w:hAnsi="宋体" w:cs="宋体"/>
                <w:color w:val="auto"/>
                <w:szCs w:val="21"/>
              </w:rPr>
              <w:t>投标核心产品（监控装置）均属于《环境标志产品政府采购品目清单》范围的且具有国家确定的认证机构出具的、处于有效期之内的环境标志产品认证证书的得0.5分。</w:t>
            </w:r>
          </w:p>
          <w:p>
            <w:pPr>
              <w:widowControl/>
              <w:adjustRightInd w:val="0"/>
              <w:snapToGrid w:val="0"/>
              <w:jc w:val="left"/>
              <w:rPr>
                <w:rFonts w:ascii="宋体" w:hAnsi="宋体" w:cs="宋体"/>
                <w:color w:val="auto"/>
                <w:szCs w:val="21"/>
              </w:rPr>
            </w:pPr>
            <w:r>
              <w:rPr>
                <w:rFonts w:ascii="宋体" w:hAnsi="宋体" w:cs="宋体"/>
                <w:color w:val="auto"/>
                <w:szCs w:val="21"/>
              </w:rPr>
              <w:t>注：投标文件中必须同时提供以下资料：</w:t>
            </w:r>
          </w:p>
          <w:p>
            <w:pPr>
              <w:widowControl/>
              <w:adjustRightInd w:val="0"/>
              <w:snapToGrid w:val="0"/>
              <w:jc w:val="left"/>
              <w:rPr>
                <w:rFonts w:ascii="宋体" w:hAnsi="宋体" w:cs="宋体"/>
                <w:color w:val="auto"/>
                <w:szCs w:val="21"/>
              </w:rPr>
            </w:pPr>
            <w:r>
              <w:rPr>
                <w:rFonts w:ascii="宋体" w:hAnsi="宋体" w:cs="宋体"/>
                <w:color w:val="auto"/>
                <w:szCs w:val="21"/>
              </w:rPr>
              <w:t>（1）提供政府采购品目清单相关内容页（并对相关内容作圈记），采购品目清单详见《关于印发环境标志产品政府采购品目清单的通知》（财库〔2019〕18号）和《关于印发节能产品政府采购品目清单的通知》（财库〔2019〕19号）。</w:t>
            </w:r>
          </w:p>
          <w:p>
            <w:pPr>
              <w:adjustRightInd w:val="0"/>
              <w:snapToGrid w:val="0"/>
              <w:rPr>
                <w:rFonts w:ascii="宋体" w:hAnsi="宋体" w:cs="宋体"/>
                <w:color w:val="auto"/>
                <w:szCs w:val="21"/>
              </w:rPr>
            </w:pPr>
            <w:r>
              <w:rPr>
                <w:rFonts w:ascii="宋体" w:hAnsi="宋体" w:cs="宋体"/>
                <w:color w:val="auto"/>
                <w:szCs w:val="21"/>
              </w:rPr>
              <w:t>（2）《市场监管总局关于发布参与实施政府采购节能产品、环境标志产品认证机构名录的公告》中的认证机构出具的、处于有效期之内的节能产品/环境标志产品认证证书复印件并加盖公章。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83" w:type="dxa"/>
            <w:tcBorders>
              <w:left w:val="single" w:color="auto" w:sz="4" w:space="0"/>
              <w:right w:val="single" w:color="auto" w:sz="4" w:space="0"/>
            </w:tcBorders>
            <w:vAlign w:val="center"/>
          </w:tcPr>
          <w:p>
            <w:pPr>
              <w:adjustRightInd w:val="0"/>
              <w:snapToGrid w:val="0"/>
              <w:rPr>
                <w:rFonts w:ascii="宋体" w:hAnsi="宋体" w:cs="宋体"/>
                <w:color w:val="auto"/>
                <w:spacing w:val="4"/>
                <w:szCs w:val="21"/>
              </w:rPr>
            </w:pPr>
            <w:r>
              <w:rPr>
                <w:rFonts w:hint="eastAsia" w:ascii="宋体" w:hAnsi="宋体" w:cs="宋体"/>
                <w:color w:val="auto"/>
                <w:spacing w:val="4"/>
                <w:szCs w:val="21"/>
              </w:rPr>
              <w:t>总得分</w:t>
            </w:r>
          </w:p>
        </w:tc>
        <w:tc>
          <w:tcPr>
            <w:tcW w:w="8766" w:type="dxa"/>
            <w:gridSpan w:val="7"/>
            <w:tcBorders>
              <w:left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cs="宋体"/>
                <w:color w:val="auto"/>
                <w:szCs w:val="21"/>
              </w:rPr>
              <w:t>商务技术分+价格分=100分</w:t>
            </w:r>
          </w:p>
        </w:tc>
      </w:tr>
    </w:tbl>
    <w:p>
      <w:pPr>
        <w:rPr>
          <w:lang w:val="zh-CN"/>
        </w:rPr>
      </w:pPr>
      <w:bookmarkStart w:id="89" w:name="_Toc356371476"/>
      <w:bookmarkStart w:id="90" w:name="_Toc13363"/>
    </w:p>
    <w:p>
      <w:pPr>
        <w:pStyle w:val="4"/>
        <w:jc w:val="both"/>
        <w:rPr>
          <w:lang w:val="zh-CN"/>
        </w:rPr>
      </w:pPr>
      <w:r>
        <w:rPr>
          <w:lang w:val="zh-CN"/>
        </w:rPr>
        <w:t>五、开评标程序</w:t>
      </w:r>
      <w:bookmarkEnd w:id="89"/>
      <w:bookmarkEnd w:id="90"/>
    </w:p>
    <w:p>
      <w:pPr>
        <w:spacing w:line="360" w:lineRule="auto"/>
        <w:ind w:firstLine="420" w:firstLineChars="200"/>
        <w:rPr>
          <w:rFonts w:ascii="宋体" w:hAnsi="宋体"/>
          <w:szCs w:val="21"/>
        </w:rPr>
      </w:pPr>
      <w:bookmarkStart w:id="91" w:name="_Toc31486"/>
      <w:r>
        <w:rPr>
          <w:rFonts w:hint="eastAsia" w:ascii="宋体" w:hAnsi="宋体"/>
          <w:szCs w:val="21"/>
        </w:rPr>
        <w:t>1</w:t>
      </w:r>
      <w:r>
        <w:rPr>
          <w:rFonts w:ascii="宋体" w:hAnsi="宋体"/>
          <w:szCs w:val="21"/>
        </w:rPr>
        <w:t>.采购组织机构将按照招标文件规定的时间通过“政府采购云平台”组织开标、开启投标文件，所有投标人均应当准时在线参加。</w:t>
      </w:r>
      <w:r>
        <w:rPr>
          <w:rFonts w:ascii="宋体" w:hAnsi="宋体"/>
          <w:kern w:val="0"/>
          <w:szCs w:val="21"/>
        </w:rPr>
        <w:t>投标人如不参加开标大会的，视同认可开标结果，事后不得对采购相关人员、开标过程和开标结果提出异议，同时投标投标人因未在线参加开标而导致投标文件无法按时解密等一切后果由投标人自己承担。</w:t>
      </w:r>
    </w:p>
    <w:p>
      <w:pPr>
        <w:adjustRightInd w:val="0"/>
        <w:snapToGrid w:val="0"/>
        <w:spacing w:line="360" w:lineRule="auto"/>
        <w:ind w:firstLine="420" w:firstLineChars="200"/>
        <w:rPr>
          <w:rFonts w:ascii="宋体" w:hAnsi="宋体"/>
          <w:szCs w:val="21"/>
        </w:rPr>
      </w:pPr>
      <w:r>
        <w:rPr>
          <w:rFonts w:hint="eastAsia" w:ascii="宋体" w:hAnsi="宋体"/>
          <w:szCs w:val="21"/>
        </w:rPr>
        <w:t>2</w:t>
      </w:r>
      <w:r>
        <w:rPr>
          <w:rFonts w:ascii="宋体" w:hAnsi="宋体"/>
          <w:szCs w:val="21"/>
        </w:rPr>
        <w:t>.</w:t>
      </w:r>
      <w:r>
        <w:rPr>
          <w:rFonts w:ascii="宋体" w:hAnsi="宋体"/>
          <w:kern w:val="0"/>
          <w:szCs w:val="21"/>
        </w:rPr>
        <w:t>向各投标投标人发出电子加密投标文件【开始解密】通知，由投标人按招标文件规定的时间内自行进行投标文件解密。投标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r>
        <w:rPr>
          <w:rFonts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3</w:t>
      </w:r>
      <w:r>
        <w:rPr>
          <w:rFonts w:ascii="宋体" w:hAnsi="宋体"/>
          <w:szCs w:val="21"/>
        </w:rPr>
        <w:t>.</w:t>
      </w:r>
      <w:r>
        <w:rPr>
          <w:rFonts w:ascii="宋体" w:hAnsi="宋体"/>
          <w:kern w:val="0"/>
          <w:szCs w:val="21"/>
        </w:rPr>
        <w:t>投标文件解密结束</w:t>
      </w:r>
      <w:r>
        <w:rPr>
          <w:rFonts w:ascii="宋体" w:hAnsi="宋体"/>
          <w:szCs w:val="21"/>
        </w:rPr>
        <w:t>，招标人和采购代理机构依法对投标人的资格进行审查。</w:t>
      </w:r>
    </w:p>
    <w:p>
      <w:pPr>
        <w:adjustRightInd w:val="0"/>
        <w:snapToGrid w:val="0"/>
        <w:spacing w:line="360" w:lineRule="auto"/>
        <w:ind w:firstLine="420" w:firstLineChars="200"/>
        <w:rPr>
          <w:rFonts w:ascii="宋体" w:hAnsi="宋体"/>
          <w:szCs w:val="21"/>
        </w:rPr>
      </w:pPr>
      <w:r>
        <w:rPr>
          <w:rFonts w:hint="eastAsia" w:ascii="宋体" w:hAnsi="宋体"/>
          <w:szCs w:val="21"/>
        </w:rPr>
        <w:t>4</w:t>
      </w:r>
      <w:r>
        <w:rPr>
          <w:rFonts w:ascii="宋体" w:hAnsi="宋体"/>
          <w:szCs w:val="21"/>
        </w:rPr>
        <w:t>.</w:t>
      </w:r>
      <w:r>
        <w:rPr>
          <w:rFonts w:ascii="宋体" w:hAnsi="宋体"/>
          <w:kern w:val="0"/>
          <w:szCs w:val="21"/>
        </w:rPr>
        <w:t>开启资格审查通过的投标投标人的商务技术文件进入符合性审查、商务技术评审</w:t>
      </w:r>
      <w:r>
        <w:rPr>
          <w:rFonts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5</w:t>
      </w:r>
      <w:r>
        <w:rPr>
          <w:rFonts w:ascii="宋体" w:hAnsi="宋体"/>
          <w:szCs w:val="21"/>
        </w:rPr>
        <w:t>.</w:t>
      </w:r>
      <w:r>
        <w:rPr>
          <w:rFonts w:ascii="宋体" w:hAnsi="宋体"/>
          <w:kern w:val="0"/>
          <w:szCs w:val="21"/>
        </w:rPr>
        <w:t>通过政采云平台公布符合性审查、商务技术评审无效投标人名称及理由；公布经商务技术评审后有效投标投标人的名单，同时公布其商务技术部分得分情况</w:t>
      </w:r>
      <w:r>
        <w:rPr>
          <w:rFonts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6</w:t>
      </w:r>
      <w:r>
        <w:rPr>
          <w:rFonts w:ascii="宋体" w:hAnsi="宋体"/>
          <w:szCs w:val="21"/>
        </w:rPr>
        <w:t>.</w:t>
      </w:r>
      <w:r>
        <w:rPr>
          <w:rFonts w:ascii="宋体" w:hAnsi="宋体"/>
          <w:kern w:val="0"/>
          <w:szCs w:val="21"/>
        </w:rPr>
        <w:t>开启符合性审查、商务技术评审有效投标投标人的《报价文件》，通过政采云平台公布开标一览表有关内容，投标人通过政采云平台签字确认（不予确认的应说明理由，否则视为无异议）。唱标结束后，由评标委员会对报价的合理性、准确性等进行审查核实</w:t>
      </w:r>
      <w:r>
        <w:rPr>
          <w:rFonts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7</w:t>
      </w:r>
      <w:r>
        <w:rPr>
          <w:rFonts w:ascii="宋体" w:hAnsi="宋体"/>
          <w:szCs w:val="21"/>
        </w:rPr>
        <w:t>.在</w:t>
      </w:r>
      <w:r>
        <w:rPr>
          <w:rFonts w:ascii="宋体" w:hAnsi="宋体"/>
          <w:kern w:val="0"/>
          <w:szCs w:val="21"/>
        </w:rPr>
        <w:t>政采云平台</w:t>
      </w:r>
      <w:r>
        <w:rPr>
          <w:rFonts w:ascii="宋体" w:hAnsi="宋体"/>
          <w:szCs w:val="21"/>
        </w:rPr>
        <w:t>公布评审结果。</w:t>
      </w:r>
    </w:p>
    <w:p>
      <w:pPr>
        <w:adjustRightInd w:val="0"/>
        <w:snapToGrid w:val="0"/>
        <w:spacing w:line="360" w:lineRule="auto"/>
        <w:ind w:firstLine="420" w:firstLineChars="200"/>
        <w:rPr>
          <w:rFonts w:ascii="宋体" w:hAnsi="宋体"/>
          <w:szCs w:val="21"/>
        </w:rPr>
      </w:pPr>
      <w:r>
        <w:rPr>
          <w:rFonts w:hint="eastAsia" w:ascii="宋体" w:hAnsi="宋体"/>
          <w:szCs w:val="21"/>
        </w:rPr>
        <w:t>8</w:t>
      </w:r>
      <w:r>
        <w:rPr>
          <w:rFonts w:ascii="宋体" w:hAnsi="宋体"/>
          <w:szCs w:val="21"/>
        </w:rPr>
        <w:t>.开标会结束。</w:t>
      </w:r>
    </w:p>
    <w:p>
      <w:pPr>
        <w:adjustRightInd w:val="0"/>
        <w:snapToGrid w:val="0"/>
        <w:spacing w:line="360" w:lineRule="auto"/>
        <w:ind w:firstLine="420" w:firstLineChars="200"/>
        <w:rPr>
          <w:rFonts w:ascii="宋体" w:hAnsi="宋体"/>
          <w:szCs w:val="21"/>
        </w:rPr>
      </w:pPr>
      <w:r>
        <w:rPr>
          <w:rFonts w:ascii="宋体" w:hAnsi="宋体"/>
          <w:szCs w:val="21"/>
        </w:rPr>
        <w:t>注：如</w:t>
      </w:r>
      <w:r>
        <w:rPr>
          <w:rFonts w:ascii="宋体" w:hAnsi="宋体"/>
          <w:kern w:val="0"/>
          <w:szCs w:val="21"/>
        </w:rPr>
        <w:t>政采云系统对开评标程序有变动的，以变动后的开评标程序为准。</w:t>
      </w:r>
    </w:p>
    <w:p>
      <w:pPr>
        <w:autoSpaceDE w:val="0"/>
        <w:autoSpaceDN w:val="0"/>
        <w:adjustRightInd w:val="0"/>
        <w:snapToGrid w:val="0"/>
        <w:spacing w:line="360" w:lineRule="auto"/>
        <w:ind w:left="567"/>
        <w:rPr>
          <w:rFonts w:ascii="宋体" w:hAnsi="宋体"/>
          <w:szCs w:val="21"/>
        </w:rPr>
      </w:pPr>
    </w:p>
    <w:p>
      <w:pPr>
        <w:pStyle w:val="3"/>
        <w:spacing w:before="312" w:after="312"/>
      </w:pPr>
      <w:bookmarkStart w:id="92" w:name="_Toc49416251"/>
      <w:r>
        <w:br w:type="page"/>
      </w:r>
      <w:r>
        <w:rPr>
          <w:rFonts w:hint="eastAsia"/>
        </w:rPr>
        <w:t>第七章  政府采购政策功能相关说明</w:t>
      </w:r>
      <w:bookmarkEnd w:id="91"/>
      <w:bookmarkEnd w:id="92"/>
    </w:p>
    <w:p>
      <w:pPr>
        <w:pStyle w:val="4"/>
      </w:pPr>
      <w:bookmarkStart w:id="93" w:name="_Toc46418858"/>
      <w:bookmarkStart w:id="94" w:name="_Toc6437"/>
      <w:r>
        <w:t>一、小、微企业（含监狱企业、残疾人福利性单位）扶持政策说明</w:t>
      </w:r>
      <w:bookmarkEnd w:id="93"/>
      <w:bookmarkEnd w:id="94"/>
    </w:p>
    <w:p>
      <w:pPr>
        <w:spacing w:line="360" w:lineRule="auto"/>
        <w:ind w:firstLine="420" w:firstLineChars="200"/>
        <w:jc w:val="left"/>
        <w:rPr>
          <w:rFonts w:ascii="宋体" w:hAnsi="宋体"/>
          <w:szCs w:val="21"/>
        </w:rPr>
      </w:pPr>
      <w:r>
        <w:rPr>
          <w:rFonts w:ascii="宋体" w:hAnsi="宋体"/>
          <w:szCs w:val="21"/>
        </w:rPr>
        <w:t>1.文件依据</w:t>
      </w:r>
    </w:p>
    <w:p>
      <w:pPr>
        <w:spacing w:line="360" w:lineRule="auto"/>
        <w:ind w:firstLine="420" w:firstLineChars="200"/>
        <w:jc w:val="left"/>
        <w:rPr>
          <w:rFonts w:ascii="宋体" w:hAnsi="宋体"/>
          <w:szCs w:val="21"/>
        </w:rPr>
      </w:pPr>
      <w:r>
        <w:rPr>
          <w:rFonts w:ascii="宋体" w:hAnsi="宋体"/>
          <w:szCs w:val="21"/>
        </w:rPr>
        <w:t>1.1关于印发《政府采购促进中小企业发展暂行办法》的通知（财库[2011]181号）</w:t>
      </w:r>
    </w:p>
    <w:p>
      <w:pPr>
        <w:spacing w:line="360" w:lineRule="auto"/>
        <w:ind w:firstLine="420" w:firstLineChars="200"/>
        <w:jc w:val="left"/>
        <w:rPr>
          <w:rFonts w:ascii="宋体" w:hAnsi="宋体"/>
          <w:szCs w:val="21"/>
        </w:rPr>
      </w:pPr>
      <w:r>
        <w:rPr>
          <w:rFonts w:ascii="宋体" w:hAnsi="宋体"/>
          <w:szCs w:val="21"/>
        </w:rPr>
        <w:t>1.2浙江省财政厅转发财政部 工业和信息化部关于印发《政府采购促进中小企业发展暂行办法》的通知（浙财采监[2012]11号）</w:t>
      </w:r>
    </w:p>
    <w:p>
      <w:pPr>
        <w:spacing w:line="360" w:lineRule="auto"/>
        <w:ind w:firstLine="420" w:firstLineChars="200"/>
        <w:jc w:val="left"/>
        <w:rPr>
          <w:rFonts w:ascii="宋体" w:hAnsi="宋体"/>
          <w:szCs w:val="21"/>
        </w:rPr>
      </w:pPr>
      <w:r>
        <w:rPr>
          <w:rFonts w:ascii="宋体" w:hAnsi="宋体"/>
          <w:szCs w:val="21"/>
        </w:rPr>
        <w:t>1.3浙江省省财政厅《关于开展政府采购供应商网上注册登记和诚信管理工作的通知》（浙财采监〔2010〕8号)</w:t>
      </w:r>
    </w:p>
    <w:p>
      <w:pPr>
        <w:spacing w:line="360" w:lineRule="auto"/>
        <w:ind w:firstLine="420" w:firstLineChars="200"/>
        <w:jc w:val="left"/>
        <w:rPr>
          <w:rFonts w:ascii="宋体" w:hAnsi="宋体"/>
          <w:szCs w:val="21"/>
        </w:rPr>
      </w:pPr>
      <w:r>
        <w:rPr>
          <w:rFonts w:ascii="宋体" w:hAnsi="宋体"/>
          <w:szCs w:val="21"/>
        </w:rPr>
        <w:t>1.4《工业和信息化部、国家统计局、国家发展和改革委员会、财政部关于印发中小企业划型标准规定的通知》（工信部联企业[2011]300号）</w:t>
      </w:r>
    </w:p>
    <w:p>
      <w:pPr>
        <w:spacing w:line="360" w:lineRule="auto"/>
        <w:ind w:firstLine="420" w:firstLineChars="200"/>
        <w:jc w:val="left"/>
        <w:rPr>
          <w:rFonts w:ascii="宋体" w:hAnsi="宋体"/>
          <w:szCs w:val="21"/>
        </w:rPr>
      </w:pPr>
      <w:r>
        <w:rPr>
          <w:rFonts w:ascii="宋体" w:hAnsi="宋体"/>
          <w:szCs w:val="21"/>
        </w:rPr>
        <w:t>1.5财政部、司法部《关于政府采购支持监狱企业发展有关问题的通知》（财库〔2014〕68号）</w:t>
      </w:r>
    </w:p>
    <w:p>
      <w:pPr>
        <w:spacing w:line="360" w:lineRule="auto"/>
        <w:ind w:firstLine="420" w:firstLineChars="200"/>
        <w:jc w:val="left"/>
        <w:rPr>
          <w:rFonts w:ascii="宋体" w:hAnsi="宋体"/>
          <w:szCs w:val="21"/>
        </w:rPr>
      </w:pPr>
      <w:r>
        <w:rPr>
          <w:rFonts w:ascii="宋体" w:hAnsi="宋体"/>
          <w:szCs w:val="21"/>
        </w:rPr>
        <w:t>1.6《财政部 民政部 中国残疾人联合会关于促进残疾人就业政府采购政策的通知》（财库〔2018〕 141号）</w:t>
      </w:r>
    </w:p>
    <w:p>
      <w:pPr>
        <w:spacing w:line="360" w:lineRule="auto"/>
        <w:ind w:firstLine="420" w:firstLineChars="200"/>
        <w:jc w:val="left"/>
        <w:rPr>
          <w:rFonts w:ascii="宋体" w:hAnsi="宋体"/>
          <w:szCs w:val="21"/>
        </w:rPr>
      </w:pPr>
      <w:r>
        <w:rPr>
          <w:rFonts w:ascii="宋体" w:hAnsi="宋体"/>
          <w:szCs w:val="21"/>
        </w:rPr>
        <w:t>2.享受小微企业价格折扣应具备的条件与价格折扣比例</w:t>
      </w:r>
    </w:p>
    <w:p>
      <w:pPr>
        <w:spacing w:line="360" w:lineRule="auto"/>
        <w:ind w:left="420" w:leftChars="200"/>
        <w:jc w:val="left"/>
        <w:rPr>
          <w:rFonts w:ascii="宋体" w:hAnsi="宋体"/>
          <w:szCs w:val="21"/>
        </w:rPr>
      </w:pPr>
      <w:r>
        <w:rPr>
          <w:rFonts w:ascii="宋体" w:hAnsi="宋体"/>
          <w:szCs w:val="21"/>
        </w:rPr>
        <w:t>2.1符合中小企业划分标准；</w:t>
      </w:r>
      <w:r>
        <w:rPr>
          <w:rFonts w:ascii="宋体" w:hAnsi="宋体"/>
          <w:szCs w:val="21"/>
        </w:rPr>
        <w:br w:type="textWrapping"/>
      </w:r>
      <w:r>
        <w:rPr>
          <w:rFonts w:ascii="宋体" w:hAnsi="宋体"/>
          <w:szCs w:val="21"/>
        </w:rPr>
        <w:t>2.2提供本企业制造的货物、承担的工程或者服务，或者提供其他中小企业制造的货物。</w:t>
      </w:r>
    </w:p>
    <w:p>
      <w:pPr>
        <w:spacing w:line="360" w:lineRule="auto"/>
        <w:jc w:val="left"/>
        <w:rPr>
          <w:rFonts w:ascii="宋体" w:hAnsi="宋体"/>
          <w:szCs w:val="21"/>
        </w:rPr>
      </w:pPr>
      <w:r>
        <w:rPr>
          <w:rFonts w:ascii="宋体" w:hAnsi="宋体"/>
          <w:szCs w:val="21"/>
        </w:rPr>
        <w:t>本项所称货物不包括使用大型企业注册商标的货物。</w:t>
      </w:r>
      <w:r>
        <w:rPr>
          <w:rFonts w:ascii="宋体" w:hAnsi="宋体"/>
          <w:szCs w:val="21"/>
        </w:rPr>
        <w:br w:type="textWrapping"/>
      </w:r>
      <w:r>
        <w:rPr>
          <w:rFonts w:ascii="宋体" w:hAnsi="宋体"/>
          <w:szCs w:val="21"/>
        </w:rPr>
        <w:t xml:space="preserve">  </w:t>
      </w:r>
      <w:r>
        <w:rPr>
          <w:rFonts w:hint="eastAsia" w:ascii="宋体" w:hAnsi="宋体"/>
          <w:szCs w:val="21"/>
        </w:rPr>
        <w:t xml:space="preserve">  </w:t>
      </w:r>
      <w:r>
        <w:rPr>
          <w:rFonts w:ascii="宋体" w:hAnsi="宋体"/>
          <w:szCs w:val="21"/>
        </w:rPr>
        <w:t>中小企业划分标准，是指国务院有关部门根据企业从业人员、营业收入、资产总额等指标制定的中小企业划型标准。</w:t>
      </w:r>
      <w:r>
        <w:rPr>
          <w:rFonts w:ascii="宋体" w:hAnsi="宋体"/>
          <w:szCs w:val="21"/>
        </w:rPr>
        <w:br w:type="textWrapping"/>
      </w:r>
      <w:r>
        <w:rPr>
          <w:rFonts w:ascii="宋体" w:hAnsi="宋体"/>
          <w:szCs w:val="21"/>
        </w:rPr>
        <w:t> </w:t>
      </w:r>
      <w:r>
        <w:rPr>
          <w:rFonts w:hint="eastAsia" w:ascii="宋体" w:hAnsi="宋体"/>
          <w:szCs w:val="21"/>
        </w:rPr>
        <w:t xml:space="preserve">  </w:t>
      </w:r>
      <w:r>
        <w:rPr>
          <w:rFonts w:ascii="宋体" w:hAnsi="宋体"/>
          <w:szCs w:val="21"/>
        </w:rPr>
        <w:t> 小型、微型企业提供中型企业制造的货物的，视同为中型企业。</w:t>
      </w:r>
    </w:p>
    <w:p>
      <w:pPr>
        <w:spacing w:line="360" w:lineRule="auto"/>
        <w:ind w:firstLine="420" w:firstLineChars="200"/>
        <w:jc w:val="left"/>
        <w:rPr>
          <w:rFonts w:ascii="宋体" w:hAnsi="宋体"/>
          <w:szCs w:val="21"/>
        </w:rPr>
      </w:pPr>
      <w:r>
        <w:rPr>
          <w:rFonts w:ascii="宋体" w:hAnsi="宋体"/>
          <w:szCs w:val="21"/>
        </w:rPr>
        <w:t>2.3本项目对小型和微型企业产品的价格给予6%的扣除，用扣除后的价格参与评审。</w:t>
      </w:r>
    </w:p>
    <w:p>
      <w:pPr>
        <w:spacing w:line="360" w:lineRule="auto"/>
        <w:ind w:firstLine="420" w:firstLineChars="200"/>
        <w:jc w:val="left"/>
        <w:rPr>
          <w:rFonts w:ascii="宋体" w:hAnsi="宋体"/>
          <w:szCs w:val="21"/>
        </w:rPr>
      </w:pPr>
      <w:r>
        <w:rPr>
          <w:rFonts w:ascii="宋体" w:hAnsi="宋体"/>
          <w:szCs w:val="21"/>
        </w:rPr>
        <w:t>3.享受小微企业价格折扣应提供以下证明材料（投标文件报价文件中）：</w:t>
      </w:r>
    </w:p>
    <w:p>
      <w:pPr>
        <w:snapToGrid w:val="0"/>
        <w:spacing w:line="360" w:lineRule="auto"/>
        <w:ind w:firstLine="420" w:firstLineChars="200"/>
        <w:rPr>
          <w:rFonts w:ascii="宋体" w:hAnsi="宋体"/>
          <w:szCs w:val="21"/>
        </w:rPr>
      </w:pPr>
      <w:r>
        <w:rPr>
          <w:rFonts w:ascii="宋体" w:hAnsi="宋体"/>
          <w:szCs w:val="21"/>
        </w:rPr>
        <w:t>3.1</w:t>
      </w:r>
      <w:r>
        <w:rPr>
          <w:rFonts w:hint="eastAsia" w:ascii="宋体" w:hAnsi="宋体"/>
          <w:szCs w:val="21"/>
        </w:rPr>
        <w:t xml:space="preserve"> 小微企业声明函</w:t>
      </w:r>
    </w:p>
    <w:p>
      <w:pPr>
        <w:snapToGrid w:val="0"/>
        <w:spacing w:line="360" w:lineRule="auto"/>
        <w:ind w:firstLine="420" w:firstLineChars="200"/>
        <w:rPr>
          <w:rFonts w:ascii="宋体" w:hAnsi="宋体"/>
          <w:szCs w:val="21"/>
        </w:rPr>
      </w:pPr>
      <w:r>
        <w:rPr>
          <w:rFonts w:hint="eastAsia" w:ascii="宋体" w:hAnsi="宋体"/>
          <w:szCs w:val="21"/>
        </w:rPr>
        <w:t>3.2</w:t>
      </w:r>
      <w:r>
        <w:rPr>
          <w:rFonts w:ascii="宋体" w:hAnsi="宋体"/>
          <w:szCs w:val="21"/>
        </w:rPr>
        <w:t>《中小企业声明函》、国家企业信用信息公示系统——小微企业名录查询记录，提供网站截图复印件（符合小微企业相关政策的投标人提供）；</w:t>
      </w:r>
    </w:p>
    <w:p>
      <w:pPr>
        <w:spacing w:line="360" w:lineRule="auto"/>
        <w:ind w:firstLine="420" w:firstLineChars="200"/>
        <w:jc w:val="left"/>
        <w:rPr>
          <w:rFonts w:ascii="宋体" w:hAnsi="宋体"/>
          <w:szCs w:val="21"/>
        </w:rPr>
      </w:pPr>
      <w:r>
        <w:rPr>
          <w:rFonts w:ascii="宋体" w:hAnsi="宋体"/>
          <w:szCs w:val="21"/>
        </w:rPr>
        <w:t>4.享受监狱企业价格折扣应提供以下证明材料（投标文件报价文件中，不提供的不享受价格折扣）：</w:t>
      </w:r>
    </w:p>
    <w:p>
      <w:pPr>
        <w:spacing w:line="360" w:lineRule="auto"/>
        <w:ind w:firstLine="420" w:firstLineChars="200"/>
        <w:jc w:val="left"/>
        <w:rPr>
          <w:rFonts w:ascii="宋体" w:hAnsi="宋体"/>
          <w:szCs w:val="21"/>
        </w:rPr>
      </w:pPr>
      <w:r>
        <w:rPr>
          <w:rFonts w:ascii="宋体" w:hAnsi="宋体"/>
          <w:szCs w:val="21"/>
        </w:rPr>
        <w:t>4.1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spacing w:line="360" w:lineRule="auto"/>
        <w:ind w:firstLine="420" w:firstLineChars="200"/>
        <w:jc w:val="left"/>
        <w:rPr>
          <w:rFonts w:ascii="宋体" w:hAnsi="宋体"/>
          <w:szCs w:val="21"/>
        </w:rPr>
      </w:pPr>
      <w:r>
        <w:rPr>
          <w:rFonts w:ascii="宋体" w:hAnsi="宋体"/>
          <w:szCs w:val="21"/>
        </w:rPr>
        <w:t>5.在政府采购活动中，残疾人福利性单位视同小型、微型企业，享受评审中价格扣除政策。享受残疾人福利性单位价格折扣应提供以下证明材料（投标文件报价文件中，不提供的不享受价格折扣）：</w:t>
      </w:r>
    </w:p>
    <w:p>
      <w:pPr>
        <w:spacing w:line="360" w:lineRule="auto"/>
        <w:ind w:firstLine="420" w:firstLineChars="200"/>
        <w:jc w:val="left"/>
        <w:rPr>
          <w:rFonts w:ascii="宋体" w:hAnsi="宋体"/>
          <w:szCs w:val="21"/>
        </w:rPr>
      </w:pPr>
      <w:r>
        <w:rPr>
          <w:rFonts w:ascii="宋体" w:hAnsi="宋体"/>
          <w:szCs w:val="21"/>
        </w:rPr>
        <w:t>5.1残疾人福利性单位声明函；</w:t>
      </w:r>
    </w:p>
    <w:p>
      <w:pPr>
        <w:spacing w:line="360" w:lineRule="auto"/>
        <w:ind w:firstLine="420" w:firstLineChars="200"/>
        <w:jc w:val="left"/>
        <w:rPr>
          <w:rFonts w:ascii="宋体" w:hAnsi="宋体"/>
          <w:szCs w:val="21"/>
        </w:rPr>
      </w:pPr>
      <w:r>
        <w:rPr>
          <w:rFonts w:ascii="宋体" w:hAnsi="宋体"/>
          <w:szCs w:val="21"/>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312" w:lineRule="auto"/>
        <w:rPr>
          <w:szCs w:val="21"/>
        </w:rPr>
      </w:pPr>
    </w:p>
    <w:p>
      <w:pPr>
        <w:spacing w:line="360" w:lineRule="auto"/>
        <w:rPr>
          <w:szCs w:val="21"/>
        </w:rPr>
      </w:pPr>
      <w:r>
        <w:rPr>
          <w:szCs w:val="21"/>
        </w:rPr>
        <w:br w:type="page"/>
      </w:r>
      <w:r>
        <w:rPr>
          <w:szCs w:val="21"/>
        </w:rPr>
        <w:t>附件1：</w:t>
      </w:r>
    </w:p>
    <w:p>
      <w:pPr>
        <w:spacing w:line="360" w:lineRule="auto"/>
        <w:jc w:val="center"/>
        <w:outlineLvl w:val="1"/>
        <w:rPr>
          <w:rFonts w:ascii="方正小标宋简体" w:eastAsia="方正小标宋简体"/>
          <w:sz w:val="32"/>
          <w:szCs w:val="32"/>
        </w:rPr>
      </w:pPr>
      <w:bookmarkStart w:id="95" w:name="_Toc22203"/>
      <w:bookmarkStart w:id="96" w:name="_Toc46418859"/>
      <w:r>
        <w:rPr>
          <w:rFonts w:hint="eastAsia" w:ascii="方正小标宋简体" w:eastAsia="方正小标宋简体"/>
          <w:sz w:val="32"/>
          <w:szCs w:val="32"/>
        </w:rPr>
        <w:t>小微企业声明函</w:t>
      </w:r>
      <w:bookmarkEnd w:id="95"/>
      <w:bookmarkEnd w:id="96"/>
    </w:p>
    <w:p>
      <w:pPr>
        <w:spacing w:before="312" w:beforeLines="100" w:line="360" w:lineRule="auto"/>
        <w:ind w:firstLine="420" w:firstLineChars="200"/>
        <w:rPr>
          <w:szCs w:val="21"/>
        </w:rPr>
      </w:pPr>
      <w:r>
        <w:rPr>
          <w:szCs w:val="21"/>
        </w:rPr>
        <w:t>本公司郑重声明，根据《政府采购促进中小企业发展暂行办法》（财库[2011]181号）的规定，本公司为______（请填写：中型、小型、微型）企业。即，本公司同时满足以下条件：</w:t>
      </w:r>
      <w:r>
        <w:rPr>
          <w:szCs w:val="21"/>
        </w:rPr>
        <w:br w:type="textWrapping"/>
      </w:r>
      <w:r>
        <w:rPr>
          <w:szCs w:val="21"/>
        </w:rPr>
        <w:t>   </w:t>
      </w:r>
      <w:r>
        <w:rPr>
          <w:rFonts w:hint="eastAsia"/>
          <w:szCs w:val="21"/>
        </w:rPr>
        <w:t xml:space="preserve"> </w:t>
      </w:r>
      <w:r>
        <w:rPr>
          <w:szCs w:val="21"/>
        </w:rPr>
        <w:t xml:space="preserve"> 1.根据《工业和信息化部、国家统计局、国家发展和改革委员会、财政部关于印发中小企业划型标准规定的通知》（工信部联企业[2011]300号）规定的划分标准，本公司为______（请填写：中型、小型、微型）企业。</w:t>
      </w:r>
      <w:r>
        <w:rPr>
          <w:szCs w:val="21"/>
        </w:rPr>
        <w:br w:type="textWrapping"/>
      </w:r>
      <w:r>
        <w:rPr>
          <w:szCs w:val="21"/>
        </w:rPr>
        <w:t xml:space="preserve">    </w:t>
      </w:r>
      <w:r>
        <w:rPr>
          <w:rFonts w:hint="eastAsia"/>
          <w:szCs w:val="21"/>
        </w:rPr>
        <w:t xml:space="preserve"> </w:t>
      </w:r>
      <w:r>
        <w:rPr>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r>
        <w:rPr>
          <w:szCs w:val="21"/>
        </w:rPr>
        <w:br w:type="textWrapping"/>
      </w:r>
      <w:r>
        <w:rPr>
          <w:szCs w:val="21"/>
        </w:rPr>
        <w:t>    本公司对上述声明的真实性负责。如有虚假，将依法承担相应责任。</w:t>
      </w:r>
    </w:p>
    <w:p>
      <w:pPr>
        <w:spacing w:before="312" w:beforeLines="100" w:line="360" w:lineRule="auto"/>
        <w:ind w:firstLine="420" w:firstLineChars="200"/>
        <w:rPr>
          <w:szCs w:val="21"/>
        </w:rPr>
      </w:pPr>
    </w:p>
    <w:p>
      <w:pPr>
        <w:tabs>
          <w:tab w:val="left" w:pos="4860"/>
        </w:tabs>
        <w:spacing w:line="360" w:lineRule="auto"/>
        <w:ind w:right="1560" w:firstLine="3552" w:firstLineChars="1600"/>
        <w:jc w:val="left"/>
        <w:rPr>
          <w:spacing w:val="6"/>
          <w:szCs w:val="21"/>
        </w:rPr>
      </w:pPr>
      <w:r>
        <w:rPr>
          <w:spacing w:val="6"/>
          <w:szCs w:val="21"/>
        </w:rPr>
        <w:t xml:space="preserve"> 单位名称（盖章）：</w:t>
      </w:r>
    </w:p>
    <w:p>
      <w:pPr>
        <w:spacing w:before="312" w:beforeLines="100" w:line="360" w:lineRule="auto"/>
        <w:jc w:val="center"/>
        <w:outlineLvl w:val="1"/>
        <w:rPr>
          <w:szCs w:val="21"/>
        </w:rPr>
      </w:pPr>
      <w:bookmarkStart w:id="97" w:name="_Toc46418860"/>
      <w:bookmarkStart w:id="98" w:name="_Toc14855"/>
      <w:r>
        <w:rPr>
          <w:spacing w:val="6"/>
          <w:szCs w:val="21"/>
        </w:rPr>
        <w:t>日  期：</w:t>
      </w:r>
      <w:bookmarkEnd w:id="97"/>
      <w:bookmarkEnd w:id="98"/>
    </w:p>
    <w:p>
      <w:pPr>
        <w:spacing w:line="360" w:lineRule="auto"/>
        <w:rPr>
          <w:szCs w:val="21"/>
        </w:rPr>
      </w:pPr>
      <w:r>
        <w:rPr>
          <w:szCs w:val="21"/>
        </w:rPr>
        <w:t>注：1.本函为小微企业提供。</w:t>
      </w:r>
    </w:p>
    <w:p>
      <w:pPr>
        <w:numPr>
          <w:ilvl w:val="1"/>
          <w:numId w:val="2"/>
        </w:numPr>
        <w:spacing w:line="360" w:lineRule="auto"/>
        <w:ind w:firstLine="420" w:firstLineChars="200"/>
        <w:rPr>
          <w:szCs w:val="21"/>
        </w:rPr>
      </w:pPr>
      <w:r>
        <w:rPr>
          <w:szCs w:val="21"/>
        </w:rPr>
        <w:t>须提供“国家企业信用信息公示系统——小微企业名录(网址：</w:t>
      </w:r>
      <w:r>
        <w:fldChar w:fldCharType="begin"/>
      </w:r>
      <w:r>
        <w:instrText xml:space="preserve"> HYPERLINK "http://xwqy.gsxt.gov.cn/)" </w:instrText>
      </w:r>
      <w:r>
        <w:fldChar w:fldCharType="separate"/>
      </w:r>
      <w:r>
        <w:rPr>
          <w:rStyle w:val="22"/>
          <w:color w:val="auto"/>
          <w:szCs w:val="21"/>
        </w:rPr>
        <w:t>http://xwqy.gsxt.gov.cn/)”页面查询结果，提供网站截图复印件，未提供者不能享受小微企业优惠政策。</w:t>
      </w:r>
      <w:r>
        <w:rPr>
          <w:rStyle w:val="22"/>
          <w:color w:val="auto"/>
          <w:szCs w:val="21"/>
        </w:rPr>
        <w:fldChar w:fldCharType="end"/>
      </w:r>
    </w:p>
    <w:p>
      <w:pPr>
        <w:snapToGrid w:val="0"/>
        <w:spacing w:line="312" w:lineRule="auto"/>
        <w:rPr>
          <w:rStyle w:val="28"/>
          <w:rFonts w:ascii="宋体"/>
        </w:rPr>
      </w:pPr>
    </w:p>
    <w:p>
      <w:pPr>
        <w:snapToGrid w:val="0"/>
        <w:jc w:val="center"/>
        <w:rPr>
          <w:rStyle w:val="28"/>
          <w:rFonts w:ascii="黑体" w:hAnsi="黑体" w:eastAsia="黑体"/>
          <w:sz w:val="36"/>
          <w:szCs w:val="36"/>
        </w:rPr>
      </w:pPr>
    </w:p>
    <w:p>
      <w:pPr>
        <w:snapToGrid w:val="0"/>
        <w:jc w:val="center"/>
        <w:rPr>
          <w:rStyle w:val="28"/>
          <w:rFonts w:ascii="黑体" w:hAnsi="黑体" w:eastAsia="黑体"/>
          <w:sz w:val="36"/>
          <w:szCs w:val="36"/>
          <w:lang w:val="zh-CN"/>
        </w:rPr>
      </w:pPr>
      <w:r>
        <w:rPr>
          <w:rStyle w:val="28"/>
          <w:rFonts w:ascii="黑体" w:hAnsi="黑体" w:eastAsia="黑体" w:cs="黑体"/>
          <w:sz w:val="36"/>
          <w:szCs w:val="36"/>
        </w:rPr>
        <w:br w:type="page"/>
      </w:r>
      <w:r>
        <w:rPr>
          <w:rStyle w:val="28"/>
          <w:rFonts w:hint="eastAsia" w:ascii="黑体" w:hAnsi="黑体" w:eastAsia="黑体" w:cs="黑体"/>
          <w:sz w:val="36"/>
          <w:szCs w:val="36"/>
          <w:lang w:val="zh-CN"/>
        </w:rPr>
        <w:t>监狱企业声明函</w:t>
      </w:r>
    </w:p>
    <w:p>
      <w:pPr>
        <w:snapToGrid w:val="0"/>
        <w:spacing w:after="438"/>
        <w:jc w:val="center"/>
        <w:rPr>
          <w:rStyle w:val="28"/>
          <w:sz w:val="24"/>
          <w:szCs w:val="24"/>
          <w:lang w:val="zh-CN"/>
        </w:rPr>
      </w:pPr>
      <w:r>
        <w:rPr>
          <w:rStyle w:val="28"/>
          <w:rFonts w:hint="eastAsia" w:cs="宋体"/>
          <w:sz w:val="24"/>
          <w:szCs w:val="24"/>
          <w:lang w:val="zh-CN"/>
        </w:rPr>
        <w:t>【非监狱企业不需提供】</w:t>
      </w:r>
    </w:p>
    <w:p>
      <w:pPr>
        <w:snapToGrid w:val="0"/>
        <w:spacing w:line="312" w:lineRule="auto"/>
        <w:ind w:firstLine="420" w:firstLineChars="200"/>
        <w:jc w:val="left"/>
        <w:rPr>
          <w:rStyle w:val="28"/>
          <w:rFonts w:ascii="宋体"/>
        </w:rPr>
      </w:pPr>
      <w:r>
        <w:rPr>
          <w:rStyle w:val="28"/>
          <w:rFonts w:hint="eastAsia" w:ascii="宋体" w:hAnsi="宋体" w:cs="宋体"/>
        </w:rPr>
        <w:t>本企业郑重声明，根据《关于政府采购支持监狱企业发展有关问题的通知》（财库</w:t>
      </w:r>
      <w:r>
        <w:rPr>
          <w:rStyle w:val="28"/>
          <w:rFonts w:ascii="宋体" w:hAnsi="宋体" w:cs="宋体"/>
        </w:rPr>
        <w:t>[2014]68</w:t>
      </w:r>
      <w:r>
        <w:rPr>
          <w:rStyle w:val="28"/>
          <w:rFonts w:hint="eastAsia" w:ascii="宋体" w:hAnsi="宋体" w:cs="宋体"/>
        </w:rPr>
        <w:t>号）的规定，本企业为</w:t>
      </w:r>
      <w:r>
        <w:rPr>
          <w:rStyle w:val="28"/>
          <w:rFonts w:hint="eastAsia" w:ascii="宋体" w:hAnsi="宋体" w:cs="宋体"/>
          <w:u w:val="single"/>
        </w:rPr>
        <w:t>监狱企业</w:t>
      </w:r>
      <w:r>
        <w:rPr>
          <w:rStyle w:val="28"/>
          <w:rFonts w:hint="eastAsia" w:ascii="宋体" w:hAnsi="宋体" w:cs="宋体"/>
        </w:rPr>
        <w:t>。</w:t>
      </w:r>
    </w:p>
    <w:p>
      <w:pPr>
        <w:snapToGrid w:val="0"/>
        <w:spacing w:line="312" w:lineRule="auto"/>
        <w:ind w:firstLine="420" w:firstLineChars="200"/>
        <w:jc w:val="left"/>
        <w:rPr>
          <w:rStyle w:val="28"/>
          <w:rFonts w:ascii="宋体" w:hAnsi="宋体" w:cs="宋体"/>
        </w:rPr>
      </w:pPr>
    </w:p>
    <w:p>
      <w:pPr>
        <w:snapToGrid w:val="0"/>
        <w:spacing w:line="312" w:lineRule="auto"/>
        <w:ind w:firstLine="420" w:firstLineChars="200"/>
        <w:jc w:val="left"/>
        <w:rPr>
          <w:rStyle w:val="28"/>
          <w:rFonts w:ascii="宋体"/>
        </w:rPr>
      </w:pPr>
      <w:r>
        <w:rPr>
          <w:rStyle w:val="28"/>
          <w:rFonts w:hint="eastAsia" w:ascii="宋体" w:hAnsi="宋体" w:cs="宋体"/>
        </w:rPr>
        <w:t>根据上述标准，我企业属于</w:t>
      </w:r>
      <w:r>
        <w:rPr>
          <w:rStyle w:val="28"/>
          <w:rFonts w:hint="eastAsia" w:ascii="宋体" w:hAnsi="宋体" w:cs="宋体"/>
          <w:u w:val="single"/>
        </w:rPr>
        <w:t>监狱企业</w:t>
      </w:r>
      <w:r>
        <w:rPr>
          <w:rStyle w:val="28"/>
          <w:rFonts w:hint="eastAsia" w:ascii="宋体" w:hAnsi="宋体" w:cs="宋体"/>
        </w:rPr>
        <w:t>的理由为：</w:t>
      </w:r>
    </w:p>
    <w:p>
      <w:pPr>
        <w:snapToGrid w:val="0"/>
        <w:spacing w:line="312" w:lineRule="auto"/>
        <w:ind w:firstLine="420" w:firstLineChars="200"/>
        <w:rPr>
          <w:rStyle w:val="28"/>
          <w:rFonts w:ascii="宋体" w:hAnsi="宋体" w:cs="宋体"/>
        </w:rPr>
      </w:pPr>
    </w:p>
    <w:p>
      <w:pPr>
        <w:snapToGrid w:val="0"/>
        <w:spacing w:line="312" w:lineRule="auto"/>
        <w:ind w:firstLine="420" w:firstLineChars="200"/>
        <w:rPr>
          <w:rStyle w:val="28"/>
          <w:rFonts w:ascii="宋体"/>
        </w:rPr>
      </w:pPr>
      <w:r>
        <w:rPr>
          <w:rStyle w:val="28"/>
          <w:rFonts w:hint="eastAsia" w:ascii="宋体" w:hAnsi="宋体" w:cs="宋体"/>
        </w:rPr>
        <w:t>本企业为参加（项目名称：</w:t>
      </w:r>
      <w:r>
        <w:rPr>
          <w:rStyle w:val="28"/>
          <w:rFonts w:ascii="宋体" w:hAnsi="宋体" w:cs="宋体"/>
          <w:u w:val="single"/>
        </w:rPr>
        <w:t xml:space="preserve">              </w:t>
      </w:r>
      <w:r>
        <w:rPr>
          <w:rStyle w:val="28"/>
          <w:rFonts w:hint="eastAsia" w:ascii="宋体" w:hAnsi="宋体" w:cs="宋体"/>
        </w:rPr>
        <w:t>）（项目编号：</w:t>
      </w:r>
      <w:r>
        <w:rPr>
          <w:rStyle w:val="28"/>
          <w:rFonts w:ascii="宋体" w:hAnsi="宋体" w:cs="宋体"/>
          <w:u w:val="single"/>
        </w:rPr>
        <w:t xml:space="preserve">             </w:t>
      </w:r>
      <w:r>
        <w:rPr>
          <w:rStyle w:val="28"/>
          <w:rFonts w:hint="eastAsia" w:ascii="宋体" w:hAnsi="宋体" w:cs="宋体"/>
        </w:rPr>
        <w:t>）采购活动提供本企业的产品。</w:t>
      </w:r>
    </w:p>
    <w:p>
      <w:pPr>
        <w:snapToGrid w:val="0"/>
        <w:spacing w:line="312" w:lineRule="auto"/>
        <w:ind w:firstLine="420" w:firstLineChars="200"/>
        <w:rPr>
          <w:rStyle w:val="28"/>
          <w:rFonts w:ascii="宋体" w:hAnsi="宋体" w:cs="宋体"/>
        </w:rPr>
      </w:pPr>
    </w:p>
    <w:p>
      <w:pPr>
        <w:snapToGrid w:val="0"/>
        <w:spacing w:line="312" w:lineRule="auto"/>
        <w:ind w:firstLine="420" w:firstLineChars="200"/>
        <w:rPr>
          <w:rStyle w:val="28"/>
          <w:rFonts w:ascii="宋体"/>
        </w:rPr>
      </w:pPr>
      <w:r>
        <w:rPr>
          <w:rStyle w:val="28"/>
          <w:rFonts w:hint="eastAsia" w:ascii="宋体" w:hAnsi="宋体" w:cs="宋体"/>
        </w:rPr>
        <w:t>本企业对上述声明的真实性负责。如有虚假，将依法承担相应责任。</w:t>
      </w:r>
    </w:p>
    <w:p>
      <w:pPr>
        <w:snapToGrid w:val="0"/>
        <w:spacing w:line="312" w:lineRule="auto"/>
        <w:jc w:val="center"/>
        <w:rPr>
          <w:rStyle w:val="28"/>
          <w:sz w:val="24"/>
          <w:szCs w:val="24"/>
        </w:rPr>
      </w:pPr>
    </w:p>
    <w:p>
      <w:pPr>
        <w:snapToGrid w:val="0"/>
        <w:spacing w:line="312" w:lineRule="auto"/>
        <w:jc w:val="center"/>
        <w:rPr>
          <w:rStyle w:val="28"/>
          <w:sz w:val="24"/>
          <w:szCs w:val="24"/>
        </w:rPr>
      </w:pPr>
    </w:p>
    <w:p>
      <w:pPr>
        <w:snapToGrid w:val="0"/>
        <w:spacing w:line="312" w:lineRule="auto"/>
        <w:jc w:val="center"/>
        <w:rPr>
          <w:rStyle w:val="28"/>
          <w:sz w:val="24"/>
          <w:szCs w:val="24"/>
        </w:rPr>
      </w:pPr>
    </w:p>
    <w:p>
      <w:pPr>
        <w:snapToGrid w:val="0"/>
        <w:spacing w:line="312" w:lineRule="auto"/>
        <w:jc w:val="center"/>
        <w:rPr>
          <w:rStyle w:val="28"/>
          <w:sz w:val="24"/>
          <w:szCs w:val="24"/>
        </w:rPr>
      </w:pPr>
    </w:p>
    <w:p>
      <w:pPr>
        <w:snapToGrid w:val="0"/>
        <w:spacing w:line="312" w:lineRule="auto"/>
        <w:jc w:val="center"/>
        <w:rPr>
          <w:rStyle w:val="28"/>
          <w:sz w:val="24"/>
          <w:szCs w:val="24"/>
        </w:rPr>
      </w:pPr>
    </w:p>
    <w:p>
      <w:pPr>
        <w:snapToGrid w:val="0"/>
        <w:spacing w:line="312" w:lineRule="auto"/>
        <w:jc w:val="center"/>
        <w:rPr>
          <w:rStyle w:val="28"/>
          <w:sz w:val="24"/>
          <w:szCs w:val="24"/>
        </w:rPr>
      </w:pPr>
    </w:p>
    <w:p>
      <w:pPr>
        <w:spacing w:line="460" w:lineRule="exact"/>
        <w:ind w:firstLine="3570" w:firstLineChars="1700"/>
        <w:rPr>
          <w:rFonts w:ascii="宋体"/>
        </w:rPr>
      </w:pPr>
      <w:r>
        <w:rPr>
          <w:rFonts w:hint="eastAsia" w:ascii="宋体" w:hAnsi="宋体" w:cs="宋体"/>
        </w:rPr>
        <w:t>供应商全称：（公章）</w:t>
      </w:r>
    </w:p>
    <w:p>
      <w:pPr>
        <w:snapToGrid w:val="0"/>
        <w:spacing w:before="50" w:after="50" w:line="540" w:lineRule="exact"/>
        <w:ind w:firstLine="3465" w:firstLineChars="1650"/>
        <w:jc w:val="left"/>
        <w:rPr>
          <w:rFonts w:ascii="宋体"/>
        </w:rPr>
      </w:pPr>
      <w:r>
        <w:rPr>
          <w:rFonts w:hint="eastAsia" w:ascii="宋体" w:hAnsi="宋体" w:cs="宋体"/>
        </w:rPr>
        <w:t>法定代表人或授权委托人（签字或盖章）：</w:t>
      </w:r>
    </w:p>
    <w:p>
      <w:pPr>
        <w:snapToGrid w:val="0"/>
        <w:spacing w:before="50" w:after="50" w:line="540" w:lineRule="exact"/>
        <w:ind w:firstLine="3570" w:firstLineChars="1700"/>
        <w:jc w:val="left"/>
        <w:rPr>
          <w:rFonts w:ascii="宋体"/>
        </w:rPr>
      </w:pPr>
      <w:r>
        <w:rPr>
          <w:rFonts w:hint="eastAsia" w:ascii="宋体" w:hAnsi="宋体" w:cs="宋体"/>
        </w:rPr>
        <w:t>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p>
    <w:p>
      <w:pPr>
        <w:snapToGrid w:val="0"/>
        <w:spacing w:line="312" w:lineRule="auto"/>
        <w:jc w:val="center"/>
        <w:rPr>
          <w:rStyle w:val="28"/>
          <w:sz w:val="24"/>
          <w:szCs w:val="24"/>
        </w:rPr>
      </w:pPr>
    </w:p>
    <w:p>
      <w:pPr>
        <w:pStyle w:val="41"/>
        <w:ind w:left="0" w:leftChars="0" w:firstLine="0"/>
        <w:rPr>
          <w:rStyle w:val="28"/>
          <w:rFonts w:hAnsi="宋体"/>
          <w:sz w:val="24"/>
          <w:szCs w:val="24"/>
        </w:rPr>
      </w:pPr>
    </w:p>
    <w:p>
      <w:pPr>
        <w:snapToGrid w:val="0"/>
        <w:spacing w:line="312" w:lineRule="auto"/>
        <w:jc w:val="center"/>
        <w:rPr>
          <w:rStyle w:val="28"/>
          <w:sz w:val="24"/>
          <w:szCs w:val="24"/>
        </w:rPr>
      </w:pPr>
    </w:p>
    <w:p>
      <w:pPr>
        <w:snapToGrid w:val="0"/>
        <w:spacing w:line="312" w:lineRule="auto"/>
        <w:jc w:val="center"/>
        <w:rPr>
          <w:rStyle w:val="28"/>
          <w:sz w:val="24"/>
          <w:szCs w:val="24"/>
        </w:rPr>
      </w:pPr>
    </w:p>
    <w:p>
      <w:pPr>
        <w:snapToGrid w:val="0"/>
        <w:spacing w:line="312" w:lineRule="auto"/>
        <w:rPr>
          <w:rStyle w:val="28"/>
          <w:rFonts w:ascii="楷体" w:hAnsi="楷体" w:eastAsia="楷体"/>
          <w:sz w:val="24"/>
          <w:szCs w:val="24"/>
        </w:rPr>
      </w:pPr>
      <w:r>
        <w:rPr>
          <w:rStyle w:val="28"/>
          <w:rFonts w:hint="eastAsia" w:ascii="楷体" w:hAnsi="楷体" w:eastAsia="楷体" w:cs="楷体"/>
          <w:sz w:val="24"/>
          <w:szCs w:val="24"/>
        </w:rPr>
        <w:t>注：供应商为监狱企业的提供此函。</w:t>
      </w:r>
    </w:p>
    <w:p>
      <w:pPr>
        <w:snapToGrid w:val="0"/>
        <w:spacing w:line="312" w:lineRule="auto"/>
        <w:jc w:val="center"/>
        <w:rPr>
          <w:rStyle w:val="28"/>
          <w:rFonts w:ascii="黑体" w:hAnsi="黑体" w:eastAsia="黑体"/>
          <w:sz w:val="36"/>
          <w:szCs w:val="36"/>
          <w:lang w:val="zh-CN"/>
        </w:rPr>
      </w:pPr>
      <w:r>
        <w:rPr>
          <w:rStyle w:val="28"/>
          <w:rFonts w:hint="eastAsia" w:ascii="楷体" w:hAnsi="楷体" w:eastAsia="楷体" w:cs="楷体"/>
          <w:sz w:val="24"/>
          <w:szCs w:val="24"/>
        </w:rPr>
        <w:t>监狱企业参加政府采购活动时，应当提供由省级以上监狱管理局、戒毒管理局（含新疆生产建设兵团）出具的属于监狱企业的证明文件。</w:t>
      </w:r>
      <w:r>
        <w:rPr>
          <w:rStyle w:val="28"/>
          <w:sz w:val="24"/>
          <w:szCs w:val="24"/>
        </w:rPr>
        <w:br w:type="page"/>
      </w:r>
      <w:r>
        <w:rPr>
          <w:rStyle w:val="28"/>
          <w:rFonts w:hint="eastAsia" w:ascii="黑体" w:hAnsi="黑体" w:eastAsia="黑体" w:cs="黑体"/>
          <w:sz w:val="36"/>
          <w:szCs w:val="36"/>
          <w:lang w:val="zh-CN"/>
        </w:rPr>
        <w:t>残疾人福利性单位声明函</w:t>
      </w:r>
    </w:p>
    <w:p>
      <w:pPr>
        <w:snapToGrid w:val="0"/>
        <w:spacing w:after="438"/>
        <w:jc w:val="center"/>
        <w:rPr>
          <w:rStyle w:val="28"/>
          <w:sz w:val="24"/>
          <w:szCs w:val="24"/>
          <w:lang w:val="zh-CN"/>
        </w:rPr>
      </w:pPr>
      <w:r>
        <w:rPr>
          <w:rStyle w:val="28"/>
          <w:rFonts w:hint="eastAsia" w:cs="宋体"/>
          <w:sz w:val="24"/>
          <w:szCs w:val="24"/>
          <w:lang w:val="zh-CN"/>
        </w:rPr>
        <w:t>【非残疾人福利性单位不需提供】</w:t>
      </w:r>
    </w:p>
    <w:p>
      <w:pPr>
        <w:snapToGrid w:val="0"/>
        <w:spacing w:line="312" w:lineRule="auto"/>
        <w:ind w:firstLine="444" w:firstLineChars="200"/>
        <w:rPr>
          <w:rStyle w:val="28"/>
          <w:rFonts w:ascii="宋体"/>
          <w:spacing w:val="6"/>
        </w:rPr>
      </w:pPr>
      <w:r>
        <w:rPr>
          <w:rStyle w:val="28"/>
          <w:rFonts w:hint="eastAsia" w:ascii="宋体" w:hAnsi="宋体" w:cs="宋体"/>
          <w:spacing w:val="6"/>
        </w:rPr>
        <w:t>本单位郑重声明，根据《财政部民政部中国残疾人联合会关于促进残疾人就业政府采购政策的通知》（财库</w:t>
      </w:r>
      <w:r>
        <w:rPr>
          <w:rStyle w:val="28"/>
          <w:rFonts w:hint="eastAsia" w:ascii="宋体" w:hAnsi="宋体" w:cs="宋体"/>
        </w:rPr>
        <w:t>〔</w:t>
      </w:r>
      <w:r>
        <w:rPr>
          <w:rStyle w:val="28"/>
          <w:rFonts w:ascii="宋体" w:hAnsi="宋体" w:cs="宋体"/>
        </w:rPr>
        <w:t>2017</w:t>
      </w:r>
      <w:r>
        <w:rPr>
          <w:rStyle w:val="28"/>
          <w:rFonts w:hint="eastAsia" w:ascii="宋体" w:hAnsi="宋体" w:cs="宋体"/>
        </w:rPr>
        <w:t>〕</w:t>
      </w:r>
      <w:r>
        <w:rPr>
          <w:rStyle w:val="28"/>
          <w:rFonts w:ascii="宋体" w:hAnsi="宋体" w:cs="宋体"/>
        </w:rPr>
        <w:t>141</w:t>
      </w:r>
      <w:r>
        <w:rPr>
          <w:rStyle w:val="28"/>
          <w:rFonts w:hint="eastAsia" w:ascii="宋体" w:hAnsi="宋体" w:cs="宋体"/>
          <w:spacing w:val="6"/>
        </w:rPr>
        <w:t>号）的规定，本单位为符合条件的残疾人福利性单位，且本单位参加</w:t>
      </w:r>
      <w:r>
        <w:rPr>
          <w:rStyle w:val="28"/>
          <w:rFonts w:hint="eastAsia" w:ascii="宋体" w:hAnsi="宋体" w:cs="宋体"/>
          <w:spacing w:val="6"/>
          <w:u w:val="single"/>
        </w:rPr>
        <w:t>（采购人名称）</w:t>
      </w:r>
      <w:r>
        <w:rPr>
          <w:rStyle w:val="28"/>
          <w:rFonts w:hint="eastAsia" w:ascii="宋体" w:hAnsi="宋体" w:cs="宋体"/>
          <w:spacing w:val="6"/>
        </w:rPr>
        <w:t>单位的</w:t>
      </w:r>
      <w:r>
        <w:rPr>
          <w:rStyle w:val="28"/>
          <w:rFonts w:hint="eastAsia" w:ascii="宋体" w:hAnsi="宋体" w:cs="宋体"/>
          <w:spacing w:val="6"/>
          <w:u w:val="single"/>
        </w:rPr>
        <w:t>（项目名称）</w:t>
      </w:r>
      <w:r>
        <w:rPr>
          <w:rStyle w:val="28"/>
          <w:rFonts w:hint="eastAsia" w:ascii="宋体" w:hAnsi="宋体" w:cs="宋体"/>
          <w:spacing w:val="6"/>
        </w:rPr>
        <w:t>项目采购活动提供本单位制造的产品（由本单位承担工程</w:t>
      </w:r>
      <w:r>
        <w:rPr>
          <w:rStyle w:val="28"/>
          <w:rFonts w:ascii="宋体" w:hAnsi="宋体" w:cs="宋体"/>
          <w:spacing w:val="6"/>
        </w:rPr>
        <w:t>/</w:t>
      </w:r>
      <w:r>
        <w:rPr>
          <w:rStyle w:val="28"/>
          <w:rFonts w:hint="eastAsia" w:ascii="宋体" w:hAnsi="宋体" w:cs="宋体"/>
          <w:spacing w:val="6"/>
        </w:rPr>
        <w:t>提供服务），或者提供其他残疾人福利性单位制造的产品（不包括使用非残疾人福利性单位注册商标的产品）。</w:t>
      </w:r>
    </w:p>
    <w:p>
      <w:pPr>
        <w:snapToGrid w:val="0"/>
        <w:spacing w:line="312" w:lineRule="auto"/>
        <w:ind w:firstLine="444" w:firstLineChars="200"/>
        <w:rPr>
          <w:rStyle w:val="28"/>
          <w:rFonts w:ascii="宋体"/>
          <w:spacing w:val="6"/>
        </w:rPr>
      </w:pPr>
      <w:r>
        <w:rPr>
          <w:rStyle w:val="28"/>
          <w:rFonts w:hint="eastAsia" w:ascii="宋体" w:hAnsi="宋体" w:cs="宋体"/>
          <w:spacing w:val="6"/>
        </w:rPr>
        <w:t>本单位对上述声明的真实性负责。如有虚假，将依法承担相应责任。</w:t>
      </w:r>
    </w:p>
    <w:p>
      <w:pPr>
        <w:snapToGrid w:val="0"/>
        <w:spacing w:line="312" w:lineRule="auto"/>
        <w:jc w:val="left"/>
        <w:rPr>
          <w:rStyle w:val="28"/>
          <w:rFonts w:ascii="宋体"/>
        </w:rPr>
      </w:pPr>
    </w:p>
    <w:p>
      <w:pPr>
        <w:snapToGrid w:val="0"/>
        <w:spacing w:line="312" w:lineRule="auto"/>
        <w:jc w:val="left"/>
        <w:rPr>
          <w:rStyle w:val="28"/>
          <w:sz w:val="24"/>
          <w:szCs w:val="24"/>
        </w:rPr>
      </w:pPr>
    </w:p>
    <w:p>
      <w:pPr>
        <w:snapToGrid w:val="0"/>
        <w:spacing w:line="312" w:lineRule="auto"/>
        <w:jc w:val="left"/>
        <w:rPr>
          <w:rStyle w:val="28"/>
          <w:sz w:val="24"/>
          <w:szCs w:val="24"/>
        </w:rPr>
      </w:pPr>
    </w:p>
    <w:p>
      <w:pPr>
        <w:spacing w:line="460" w:lineRule="exact"/>
        <w:ind w:firstLine="3570" w:firstLineChars="1700"/>
        <w:rPr>
          <w:rFonts w:ascii="宋体"/>
        </w:rPr>
      </w:pPr>
      <w:r>
        <w:rPr>
          <w:rFonts w:hint="eastAsia" w:ascii="宋体" w:hAnsi="宋体" w:cs="宋体"/>
        </w:rPr>
        <w:t>供应商全称：（公章）</w:t>
      </w:r>
    </w:p>
    <w:p>
      <w:pPr>
        <w:snapToGrid w:val="0"/>
        <w:spacing w:before="50" w:after="50" w:line="540" w:lineRule="exact"/>
        <w:ind w:firstLine="3465" w:firstLineChars="1650"/>
        <w:jc w:val="left"/>
        <w:rPr>
          <w:rFonts w:ascii="宋体"/>
        </w:rPr>
      </w:pPr>
      <w:r>
        <w:rPr>
          <w:rFonts w:hint="eastAsia" w:ascii="宋体" w:hAnsi="宋体" w:cs="宋体"/>
        </w:rPr>
        <w:t>法定代表人或授权委托人（签字或盖章）：</w:t>
      </w:r>
    </w:p>
    <w:p>
      <w:pPr>
        <w:snapToGrid w:val="0"/>
        <w:spacing w:before="50" w:after="50" w:line="540" w:lineRule="exact"/>
        <w:ind w:firstLine="3570" w:firstLineChars="1700"/>
        <w:jc w:val="left"/>
        <w:rPr>
          <w:rFonts w:ascii="宋体"/>
        </w:rPr>
      </w:pPr>
      <w:r>
        <w:rPr>
          <w:rFonts w:hint="eastAsia" w:ascii="宋体" w:hAnsi="宋体" w:cs="宋体"/>
        </w:rPr>
        <w:t>日期：</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p>
    <w:p>
      <w:pPr>
        <w:snapToGrid w:val="0"/>
        <w:spacing w:line="312" w:lineRule="auto"/>
        <w:jc w:val="left"/>
        <w:rPr>
          <w:rStyle w:val="28"/>
          <w:sz w:val="24"/>
          <w:szCs w:val="24"/>
        </w:rPr>
      </w:pPr>
    </w:p>
    <w:p>
      <w:pPr>
        <w:pStyle w:val="37"/>
        <w:tabs>
          <w:tab w:val="left" w:pos="420"/>
        </w:tabs>
        <w:snapToGrid w:val="0"/>
        <w:spacing w:line="312" w:lineRule="auto"/>
        <w:rPr>
          <w:rStyle w:val="28"/>
          <w:rFonts w:hAnsi="宋体"/>
          <w:sz w:val="24"/>
          <w:szCs w:val="24"/>
        </w:rPr>
      </w:pPr>
    </w:p>
    <w:p>
      <w:pPr>
        <w:pStyle w:val="37"/>
        <w:tabs>
          <w:tab w:val="left" w:pos="420"/>
        </w:tabs>
        <w:snapToGrid w:val="0"/>
        <w:spacing w:line="312" w:lineRule="auto"/>
      </w:pPr>
      <w:r>
        <w:rPr>
          <w:rStyle w:val="28"/>
          <w:rFonts w:hint="eastAsia" w:ascii="楷体" w:hAnsi="楷体" w:eastAsia="楷体" w:cs="楷体"/>
          <w:sz w:val="24"/>
          <w:szCs w:val="24"/>
        </w:rPr>
        <w:t>注：供应商为残疾人福利性单位的提供此函</w:t>
      </w:r>
    </w:p>
    <w:sectPr>
      <w:headerReference r:id="rId11" w:type="default"/>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0-09-15T11:54:00Z" w:initials="L">
    <w:p w14:paraId="6E025BB4">
      <w:pPr>
        <w:pStyle w:val="6"/>
      </w:pPr>
      <w:r>
        <w:rPr>
          <w:rFonts w:hint="eastAsia"/>
        </w:rPr>
        <w:t>这个数量原来是按照40万的预算来的！现在45万，合同期是两年，应当适当增加或者重新注明一下！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E025BB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31140" cy="131445"/>
              <wp:effectExtent l="0" t="0" r="0" b="19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31140" cy="131445"/>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top:0pt;height:10.35pt;width:18.2pt;mso-position-horizontal:center;mso-position-horizontal-relative:margin;z-index:251658240;mso-width-relative:page;mso-height-relative:page;" filled="f" stroked="f" coordsize="21600,21600" o:gfxdata="UEsDBAoAAAAAAIdO4kAAAAAAAAAAAAAAAAAEAAAAZHJzL1BLAwQUAAAACACHTuJAAgbZxNEAAAAD&#10;AQAADwAAAGRycy9kb3ducmV2LnhtbE2PsU7EMBBEeyT+wVokGsTZDihAyOYKBA0dBw2dL16SCHsd&#10;xb4k3NdjaKBZaTSjmbf1dvVOzDTFITCC3igQxG2wA3cIb69Pl7cgYjJsjQtMCF8UYducntSmsmHh&#10;F5p3qRO5hGNlEPqUxkrK2PbkTdyEkTh7H2HyJmU5ddJOZsnl3slCqVJ6M3Be6M1IDz21n7uDRyjX&#10;x/Hi+Y6K5di6md+PWifSiOdnWt2DSLSmvzD84Gd0aDLTPhzYRuEQ8iPp92bvqrwGsUco1A3Ippb/&#10;2ZtvUEsDBBQAAAAIAIdO4kDSv2G2CQIAAAQEAAAOAAAAZHJzL2Uyb0RvYy54bWytU82O0zAQviPx&#10;DpbvNE23IBQ1XS1bFSEtP9LCA7iO01jEHjN2m5QHgDfgtBfuPFefg7HTlGW57IGLNbbH33zfN+PF&#10;ZW9atlfoNdiS55MpZ8pKqLTdlvzTx/Wzl5z5IGwlWrCq5Afl+eXy6ZNF5wo1gwbaSiEjEOuLzpW8&#10;CcEVWeZlo4zwE3DK0mUNaESgLW6zCkVH6KbNZtPpi6wDrByCVN7T6Wq45CdEfAwg1LWWagVyZ5QN&#10;AyqqVgSS5BvtPF8mtnWtZHhf114F1paclIa0UhGKN3HNlgtRbFG4RssTBfEYCg80GaEtFT1DrUQQ&#10;bIf6HyijJYKHOkwkmGwQkhwhFfn0gTe3jXAqaSGrvTub7v8frHy3/4BMVzQJnFlhqOHHH9+Pd7+O&#10;P7+xPNrTOV9Q1q2jvNC/gj6mRqne3YD87JmF60bYrbpChK5RoiJ66WV27+mA4yPIpnsLFdURuwAJ&#10;qK/RREBygxE6teZwbo3qA5N0OLvI8zndSLrKL/L5/HnklolifOzQh9cKDItByZE6n8DF/saHIXVM&#10;ibUsrHXbpu639q8DwowniXzkOzAP/aY/mbGB6kAyEIZhoq9EQQP4lbOOBqnk/stOoOKsfWPJijh1&#10;Y4BjsBkDYSU9LXngbAivwzCdO4d62xDyaPYV2bXWSUr0dWBx4knDkcw4DXKcvvv7lPXn8y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IG2cTRAAAAAwEAAA8AAAAAAAAAAQAgAAAAIgAAAGRycy9k&#10;b3ducmV2LnhtbFBLAQIUABQAAAAIAIdO4kDSv2G2CQIAAAQEAAAOAAAAAAAAAAEAIAAAACABAABk&#10;cnMvZTJvRG9jLnhtbFBLBQYAAAAABgAGAFkBAACbBQ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chineseCounting"/>
      <w:suff w:val="nothing"/>
      <w:lvlText w:val="%1、"/>
      <w:lvlJc w:val="left"/>
    </w:lvl>
  </w:abstractNum>
  <w:abstractNum w:abstractNumId="1">
    <w:nsid w:val="125E0AA1"/>
    <w:multiLevelType w:val="singleLevel"/>
    <w:tmpl w:val="125E0AA1"/>
    <w:lvl w:ilvl="0" w:tentative="0">
      <w:start w:val="1"/>
      <w:numFmt w:val="decimal"/>
      <w:suff w:val="nothing"/>
      <w:lvlText w:val="%1、"/>
      <w:lvlJc w:val="left"/>
    </w:lvl>
  </w:abstractNum>
  <w:abstractNum w:abstractNumId="2">
    <w:nsid w:val="1F4131A0"/>
    <w:multiLevelType w:val="multilevel"/>
    <w:tmpl w:val="1F4131A0"/>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4DEF1625"/>
    <w:multiLevelType w:val="multilevel"/>
    <w:tmpl w:val="4DEF162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D6F3CB6"/>
    <w:multiLevelType w:val="multilevel"/>
    <w:tmpl w:val="5D6F3CB6"/>
    <w:lvl w:ilvl="0" w:tentative="0">
      <w:start w:val="7"/>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B6"/>
    <w:rsid w:val="00001AEB"/>
    <w:rsid w:val="00001D9C"/>
    <w:rsid w:val="00003DAB"/>
    <w:rsid w:val="000047BE"/>
    <w:rsid w:val="00007001"/>
    <w:rsid w:val="00013FEF"/>
    <w:rsid w:val="00014850"/>
    <w:rsid w:val="000178D6"/>
    <w:rsid w:val="00027CE7"/>
    <w:rsid w:val="00030C2F"/>
    <w:rsid w:val="00032F1B"/>
    <w:rsid w:val="000331A1"/>
    <w:rsid w:val="00035C94"/>
    <w:rsid w:val="00036ABF"/>
    <w:rsid w:val="00050FC9"/>
    <w:rsid w:val="000523BC"/>
    <w:rsid w:val="00052D8D"/>
    <w:rsid w:val="000547E5"/>
    <w:rsid w:val="00056B69"/>
    <w:rsid w:val="00061EA1"/>
    <w:rsid w:val="00062D93"/>
    <w:rsid w:val="00063977"/>
    <w:rsid w:val="00067300"/>
    <w:rsid w:val="00070929"/>
    <w:rsid w:val="0007174D"/>
    <w:rsid w:val="00077E15"/>
    <w:rsid w:val="00080660"/>
    <w:rsid w:val="00080C36"/>
    <w:rsid w:val="00082AD3"/>
    <w:rsid w:val="00085D3F"/>
    <w:rsid w:val="000916D5"/>
    <w:rsid w:val="00093616"/>
    <w:rsid w:val="0009509F"/>
    <w:rsid w:val="00095AD3"/>
    <w:rsid w:val="000A136F"/>
    <w:rsid w:val="000A15C1"/>
    <w:rsid w:val="000A51D4"/>
    <w:rsid w:val="000A6B2A"/>
    <w:rsid w:val="000A72D7"/>
    <w:rsid w:val="000B2A76"/>
    <w:rsid w:val="000B454E"/>
    <w:rsid w:val="000B48A4"/>
    <w:rsid w:val="000B5430"/>
    <w:rsid w:val="000B59E2"/>
    <w:rsid w:val="000B70F3"/>
    <w:rsid w:val="000C0CA6"/>
    <w:rsid w:val="000C2A88"/>
    <w:rsid w:val="000C32DE"/>
    <w:rsid w:val="000C3ABE"/>
    <w:rsid w:val="000C4579"/>
    <w:rsid w:val="000D3269"/>
    <w:rsid w:val="000D55D6"/>
    <w:rsid w:val="000D7532"/>
    <w:rsid w:val="000E1E26"/>
    <w:rsid w:val="000E1E28"/>
    <w:rsid w:val="000E4E4B"/>
    <w:rsid w:val="000F2150"/>
    <w:rsid w:val="000F4C8F"/>
    <w:rsid w:val="00100BFE"/>
    <w:rsid w:val="00102E2C"/>
    <w:rsid w:val="00103A21"/>
    <w:rsid w:val="00104B3C"/>
    <w:rsid w:val="0011201D"/>
    <w:rsid w:val="00113B72"/>
    <w:rsid w:val="001144D7"/>
    <w:rsid w:val="001164EA"/>
    <w:rsid w:val="00122D62"/>
    <w:rsid w:val="00122F8A"/>
    <w:rsid w:val="00125C44"/>
    <w:rsid w:val="00125FF5"/>
    <w:rsid w:val="00131B91"/>
    <w:rsid w:val="00136AA6"/>
    <w:rsid w:val="0014159B"/>
    <w:rsid w:val="001526E9"/>
    <w:rsid w:val="00162BA9"/>
    <w:rsid w:val="00165ED8"/>
    <w:rsid w:val="00170895"/>
    <w:rsid w:val="00177AA6"/>
    <w:rsid w:val="00182ADC"/>
    <w:rsid w:val="001846A7"/>
    <w:rsid w:val="0018545C"/>
    <w:rsid w:val="001904CB"/>
    <w:rsid w:val="00191697"/>
    <w:rsid w:val="0019314D"/>
    <w:rsid w:val="00194039"/>
    <w:rsid w:val="00195914"/>
    <w:rsid w:val="00196F0D"/>
    <w:rsid w:val="001A3188"/>
    <w:rsid w:val="001A37BE"/>
    <w:rsid w:val="001C2383"/>
    <w:rsid w:val="001C2411"/>
    <w:rsid w:val="001C5F6F"/>
    <w:rsid w:val="001D13AD"/>
    <w:rsid w:val="001D2076"/>
    <w:rsid w:val="001D2319"/>
    <w:rsid w:val="001D5DA7"/>
    <w:rsid w:val="001E1000"/>
    <w:rsid w:val="001E1109"/>
    <w:rsid w:val="001E1689"/>
    <w:rsid w:val="001E695D"/>
    <w:rsid w:val="001F0DB1"/>
    <w:rsid w:val="001F2957"/>
    <w:rsid w:val="001F3494"/>
    <w:rsid w:val="001F4B58"/>
    <w:rsid w:val="001F658A"/>
    <w:rsid w:val="001F66E8"/>
    <w:rsid w:val="00205D57"/>
    <w:rsid w:val="00206923"/>
    <w:rsid w:val="00206E64"/>
    <w:rsid w:val="002127E5"/>
    <w:rsid w:val="002203EB"/>
    <w:rsid w:val="002220A9"/>
    <w:rsid w:val="002239DF"/>
    <w:rsid w:val="00231CD3"/>
    <w:rsid w:val="00236C1C"/>
    <w:rsid w:val="00237BFC"/>
    <w:rsid w:val="0024495F"/>
    <w:rsid w:val="002475E6"/>
    <w:rsid w:val="00247A09"/>
    <w:rsid w:val="002537E4"/>
    <w:rsid w:val="00254BA1"/>
    <w:rsid w:val="00256A29"/>
    <w:rsid w:val="00257786"/>
    <w:rsid w:val="00260DC6"/>
    <w:rsid w:val="002648D0"/>
    <w:rsid w:val="00264E01"/>
    <w:rsid w:val="002661F4"/>
    <w:rsid w:val="002752CF"/>
    <w:rsid w:val="002767A7"/>
    <w:rsid w:val="00276FDB"/>
    <w:rsid w:val="00277832"/>
    <w:rsid w:val="00283423"/>
    <w:rsid w:val="002848AF"/>
    <w:rsid w:val="002909BB"/>
    <w:rsid w:val="00291251"/>
    <w:rsid w:val="002917EE"/>
    <w:rsid w:val="00292FF4"/>
    <w:rsid w:val="00293DCB"/>
    <w:rsid w:val="0029585F"/>
    <w:rsid w:val="00295944"/>
    <w:rsid w:val="002A1083"/>
    <w:rsid w:val="002A265F"/>
    <w:rsid w:val="002A2D78"/>
    <w:rsid w:val="002A4E71"/>
    <w:rsid w:val="002A7096"/>
    <w:rsid w:val="002B04FD"/>
    <w:rsid w:val="002B070D"/>
    <w:rsid w:val="002B1155"/>
    <w:rsid w:val="002B1DAD"/>
    <w:rsid w:val="002B242C"/>
    <w:rsid w:val="002B5A29"/>
    <w:rsid w:val="002B779E"/>
    <w:rsid w:val="002B787A"/>
    <w:rsid w:val="002C1D58"/>
    <w:rsid w:val="002C5D91"/>
    <w:rsid w:val="002C71EF"/>
    <w:rsid w:val="002C7262"/>
    <w:rsid w:val="002D2D14"/>
    <w:rsid w:val="002D3040"/>
    <w:rsid w:val="002D4D6E"/>
    <w:rsid w:val="002D53FB"/>
    <w:rsid w:val="002D5D34"/>
    <w:rsid w:val="002E3019"/>
    <w:rsid w:val="002F1E5D"/>
    <w:rsid w:val="002F2D7E"/>
    <w:rsid w:val="002F3C7D"/>
    <w:rsid w:val="0030049C"/>
    <w:rsid w:val="0030145C"/>
    <w:rsid w:val="003018F8"/>
    <w:rsid w:val="00301CE8"/>
    <w:rsid w:val="00303857"/>
    <w:rsid w:val="00305CF6"/>
    <w:rsid w:val="00310D65"/>
    <w:rsid w:val="003124D4"/>
    <w:rsid w:val="00313676"/>
    <w:rsid w:val="00313683"/>
    <w:rsid w:val="0031794E"/>
    <w:rsid w:val="003231D3"/>
    <w:rsid w:val="00325F78"/>
    <w:rsid w:val="00327521"/>
    <w:rsid w:val="00330197"/>
    <w:rsid w:val="00331E5A"/>
    <w:rsid w:val="0033447D"/>
    <w:rsid w:val="0033601A"/>
    <w:rsid w:val="003420A7"/>
    <w:rsid w:val="003429CD"/>
    <w:rsid w:val="00345873"/>
    <w:rsid w:val="0034754B"/>
    <w:rsid w:val="00350D6F"/>
    <w:rsid w:val="003533A0"/>
    <w:rsid w:val="00353449"/>
    <w:rsid w:val="00356991"/>
    <w:rsid w:val="003574E0"/>
    <w:rsid w:val="0036735A"/>
    <w:rsid w:val="0037099D"/>
    <w:rsid w:val="00372EBC"/>
    <w:rsid w:val="00374AD8"/>
    <w:rsid w:val="00381925"/>
    <w:rsid w:val="0038513C"/>
    <w:rsid w:val="00387800"/>
    <w:rsid w:val="00393549"/>
    <w:rsid w:val="003970C9"/>
    <w:rsid w:val="00397365"/>
    <w:rsid w:val="00397DF0"/>
    <w:rsid w:val="003A1456"/>
    <w:rsid w:val="003A399A"/>
    <w:rsid w:val="003A4E20"/>
    <w:rsid w:val="003A53AE"/>
    <w:rsid w:val="003A56EC"/>
    <w:rsid w:val="003A6116"/>
    <w:rsid w:val="003A666D"/>
    <w:rsid w:val="003A71D7"/>
    <w:rsid w:val="003B0729"/>
    <w:rsid w:val="003B444A"/>
    <w:rsid w:val="003C0ECF"/>
    <w:rsid w:val="003C162F"/>
    <w:rsid w:val="003C2D78"/>
    <w:rsid w:val="003C5906"/>
    <w:rsid w:val="003C7926"/>
    <w:rsid w:val="003D1947"/>
    <w:rsid w:val="003D59C1"/>
    <w:rsid w:val="003D5A17"/>
    <w:rsid w:val="003D7C45"/>
    <w:rsid w:val="003D7E1F"/>
    <w:rsid w:val="003E252B"/>
    <w:rsid w:val="003E3125"/>
    <w:rsid w:val="003F0100"/>
    <w:rsid w:val="003F04AB"/>
    <w:rsid w:val="003F1BD7"/>
    <w:rsid w:val="003F4A5E"/>
    <w:rsid w:val="003F5740"/>
    <w:rsid w:val="003F63A7"/>
    <w:rsid w:val="00403503"/>
    <w:rsid w:val="00406084"/>
    <w:rsid w:val="00416B8F"/>
    <w:rsid w:val="004176C6"/>
    <w:rsid w:val="0041795D"/>
    <w:rsid w:val="00417E75"/>
    <w:rsid w:val="00420638"/>
    <w:rsid w:val="004210C6"/>
    <w:rsid w:val="00423FDC"/>
    <w:rsid w:val="004246B9"/>
    <w:rsid w:val="004267F8"/>
    <w:rsid w:val="00427D19"/>
    <w:rsid w:val="0043046C"/>
    <w:rsid w:val="00431B1B"/>
    <w:rsid w:val="004421EE"/>
    <w:rsid w:val="00443499"/>
    <w:rsid w:val="00445E4F"/>
    <w:rsid w:val="00446323"/>
    <w:rsid w:val="004549A4"/>
    <w:rsid w:val="00457F6B"/>
    <w:rsid w:val="004617D3"/>
    <w:rsid w:val="004714EB"/>
    <w:rsid w:val="004724B3"/>
    <w:rsid w:val="004746CD"/>
    <w:rsid w:val="004804C9"/>
    <w:rsid w:val="00481527"/>
    <w:rsid w:val="00481D28"/>
    <w:rsid w:val="00482BED"/>
    <w:rsid w:val="004844B9"/>
    <w:rsid w:val="00486C17"/>
    <w:rsid w:val="00486F7C"/>
    <w:rsid w:val="004900B0"/>
    <w:rsid w:val="00497816"/>
    <w:rsid w:val="004A001E"/>
    <w:rsid w:val="004A3040"/>
    <w:rsid w:val="004A34EE"/>
    <w:rsid w:val="004B0E6C"/>
    <w:rsid w:val="004B33D1"/>
    <w:rsid w:val="004B38BF"/>
    <w:rsid w:val="004B57D9"/>
    <w:rsid w:val="004B7DF9"/>
    <w:rsid w:val="004C047D"/>
    <w:rsid w:val="004C07D3"/>
    <w:rsid w:val="004C5BA5"/>
    <w:rsid w:val="004C5F26"/>
    <w:rsid w:val="004D0E8B"/>
    <w:rsid w:val="004D2F78"/>
    <w:rsid w:val="004D35AD"/>
    <w:rsid w:val="004E09A9"/>
    <w:rsid w:val="004E1DD5"/>
    <w:rsid w:val="004E3EC6"/>
    <w:rsid w:val="004F01A4"/>
    <w:rsid w:val="004F18E1"/>
    <w:rsid w:val="004F1A52"/>
    <w:rsid w:val="004F3140"/>
    <w:rsid w:val="004F3C4B"/>
    <w:rsid w:val="004F4137"/>
    <w:rsid w:val="004F42D8"/>
    <w:rsid w:val="004F49B5"/>
    <w:rsid w:val="004F6F83"/>
    <w:rsid w:val="004F7293"/>
    <w:rsid w:val="004F7547"/>
    <w:rsid w:val="00504E74"/>
    <w:rsid w:val="005054C6"/>
    <w:rsid w:val="00506C96"/>
    <w:rsid w:val="005108F5"/>
    <w:rsid w:val="005124C2"/>
    <w:rsid w:val="0051282B"/>
    <w:rsid w:val="00512CCD"/>
    <w:rsid w:val="00514361"/>
    <w:rsid w:val="00525659"/>
    <w:rsid w:val="00530832"/>
    <w:rsid w:val="005315DE"/>
    <w:rsid w:val="00533317"/>
    <w:rsid w:val="00533348"/>
    <w:rsid w:val="00537BCE"/>
    <w:rsid w:val="0054146B"/>
    <w:rsid w:val="0054293C"/>
    <w:rsid w:val="00543F70"/>
    <w:rsid w:val="0054500E"/>
    <w:rsid w:val="00546D4C"/>
    <w:rsid w:val="00550A46"/>
    <w:rsid w:val="005526BA"/>
    <w:rsid w:val="00555982"/>
    <w:rsid w:val="005600E8"/>
    <w:rsid w:val="0056245D"/>
    <w:rsid w:val="00562876"/>
    <w:rsid w:val="0056569E"/>
    <w:rsid w:val="00570862"/>
    <w:rsid w:val="005726E6"/>
    <w:rsid w:val="00575456"/>
    <w:rsid w:val="00577893"/>
    <w:rsid w:val="00577AF7"/>
    <w:rsid w:val="005825A1"/>
    <w:rsid w:val="005916FD"/>
    <w:rsid w:val="005950B7"/>
    <w:rsid w:val="005A3246"/>
    <w:rsid w:val="005A4774"/>
    <w:rsid w:val="005A5883"/>
    <w:rsid w:val="005A65DF"/>
    <w:rsid w:val="005A7957"/>
    <w:rsid w:val="005B187A"/>
    <w:rsid w:val="005B1C93"/>
    <w:rsid w:val="005B28DF"/>
    <w:rsid w:val="005C0CC0"/>
    <w:rsid w:val="005C11F3"/>
    <w:rsid w:val="005C1727"/>
    <w:rsid w:val="005C3DDD"/>
    <w:rsid w:val="005C7838"/>
    <w:rsid w:val="005D0454"/>
    <w:rsid w:val="005E29CC"/>
    <w:rsid w:val="005E4A6F"/>
    <w:rsid w:val="005E5C47"/>
    <w:rsid w:val="005E79C9"/>
    <w:rsid w:val="005F566F"/>
    <w:rsid w:val="005F5A9F"/>
    <w:rsid w:val="00603EE4"/>
    <w:rsid w:val="00604E9C"/>
    <w:rsid w:val="006051B6"/>
    <w:rsid w:val="0061450F"/>
    <w:rsid w:val="00616561"/>
    <w:rsid w:val="0062269D"/>
    <w:rsid w:val="0062305B"/>
    <w:rsid w:val="0062359B"/>
    <w:rsid w:val="006255B0"/>
    <w:rsid w:val="00625EEB"/>
    <w:rsid w:val="00626CF1"/>
    <w:rsid w:val="00627341"/>
    <w:rsid w:val="00631BDF"/>
    <w:rsid w:val="00634730"/>
    <w:rsid w:val="00637830"/>
    <w:rsid w:val="00640A38"/>
    <w:rsid w:val="00647342"/>
    <w:rsid w:val="00647D7E"/>
    <w:rsid w:val="00657112"/>
    <w:rsid w:val="0066154B"/>
    <w:rsid w:val="00665C26"/>
    <w:rsid w:val="006670EA"/>
    <w:rsid w:val="00667CD7"/>
    <w:rsid w:val="00671669"/>
    <w:rsid w:val="00674DED"/>
    <w:rsid w:val="00683F08"/>
    <w:rsid w:val="006855F7"/>
    <w:rsid w:val="006874FF"/>
    <w:rsid w:val="00690799"/>
    <w:rsid w:val="006926B7"/>
    <w:rsid w:val="00693EC8"/>
    <w:rsid w:val="00695B74"/>
    <w:rsid w:val="006A20E9"/>
    <w:rsid w:val="006A47A6"/>
    <w:rsid w:val="006A662D"/>
    <w:rsid w:val="006A6CDC"/>
    <w:rsid w:val="006B703A"/>
    <w:rsid w:val="006C171F"/>
    <w:rsid w:val="006C33A2"/>
    <w:rsid w:val="006C3D70"/>
    <w:rsid w:val="006C5B03"/>
    <w:rsid w:val="006C6EFC"/>
    <w:rsid w:val="006D2BC8"/>
    <w:rsid w:val="006D5199"/>
    <w:rsid w:val="006D6959"/>
    <w:rsid w:val="006E2FD8"/>
    <w:rsid w:val="006E46C5"/>
    <w:rsid w:val="006F1370"/>
    <w:rsid w:val="006F298D"/>
    <w:rsid w:val="006F3B67"/>
    <w:rsid w:val="006F6ED3"/>
    <w:rsid w:val="006F7543"/>
    <w:rsid w:val="006F7DE1"/>
    <w:rsid w:val="00700406"/>
    <w:rsid w:val="007024C3"/>
    <w:rsid w:val="00704902"/>
    <w:rsid w:val="00706B7F"/>
    <w:rsid w:val="00710C38"/>
    <w:rsid w:val="007157BD"/>
    <w:rsid w:val="00720687"/>
    <w:rsid w:val="0073545D"/>
    <w:rsid w:val="00735A60"/>
    <w:rsid w:val="007367F9"/>
    <w:rsid w:val="00743D1D"/>
    <w:rsid w:val="00744FA2"/>
    <w:rsid w:val="00745976"/>
    <w:rsid w:val="00747D6E"/>
    <w:rsid w:val="00754221"/>
    <w:rsid w:val="00756714"/>
    <w:rsid w:val="0075702C"/>
    <w:rsid w:val="00757DDE"/>
    <w:rsid w:val="0076408E"/>
    <w:rsid w:val="00764845"/>
    <w:rsid w:val="007649B0"/>
    <w:rsid w:val="00764C6A"/>
    <w:rsid w:val="00772C11"/>
    <w:rsid w:val="0077470C"/>
    <w:rsid w:val="007754AD"/>
    <w:rsid w:val="00776321"/>
    <w:rsid w:val="00776522"/>
    <w:rsid w:val="00777591"/>
    <w:rsid w:val="007803E9"/>
    <w:rsid w:val="007814D7"/>
    <w:rsid w:val="00782D07"/>
    <w:rsid w:val="0078326B"/>
    <w:rsid w:val="00785F8B"/>
    <w:rsid w:val="00786553"/>
    <w:rsid w:val="00790564"/>
    <w:rsid w:val="00792B99"/>
    <w:rsid w:val="00792CD9"/>
    <w:rsid w:val="00793D59"/>
    <w:rsid w:val="0079633C"/>
    <w:rsid w:val="00796C4B"/>
    <w:rsid w:val="00796D45"/>
    <w:rsid w:val="00797CE7"/>
    <w:rsid w:val="007A01F4"/>
    <w:rsid w:val="007A04E0"/>
    <w:rsid w:val="007A069D"/>
    <w:rsid w:val="007A1FA2"/>
    <w:rsid w:val="007A4F96"/>
    <w:rsid w:val="007A5B43"/>
    <w:rsid w:val="007A6C97"/>
    <w:rsid w:val="007A6EE4"/>
    <w:rsid w:val="007B1DCF"/>
    <w:rsid w:val="007B31BE"/>
    <w:rsid w:val="007B6AC3"/>
    <w:rsid w:val="007C43A5"/>
    <w:rsid w:val="007C43E2"/>
    <w:rsid w:val="007C71B6"/>
    <w:rsid w:val="007D0392"/>
    <w:rsid w:val="007D7025"/>
    <w:rsid w:val="007D71E7"/>
    <w:rsid w:val="007E0275"/>
    <w:rsid w:val="007E3F2D"/>
    <w:rsid w:val="007E48BC"/>
    <w:rsid w:val="007E5B7D"/>
    <w:rsid w:val="007E7AA5"/>
    <w:rsid w:val="007F015F"/>
    <w:rsid w:val="007F079E"/>
    <w:rsid w:val="007F332B"/>
    <w:rsid w:val="007F474A"/>
    <w:rsid w:val="0080071A"/>
    <w:rsid w:val="0080429E"/>
    <w:rsid w:val="008045FE"/>
    <w:rsid w:val="0080657E"/>
    <w:rsid w:val="00810B51"/>
    <w:rsid w:val="00815153"/>
    <w:rsid w:val="0081744F"/>
    <w:rsid w:val="00817FC8"/>
    <w:rsid w:val="00821ECA"/>
    <w:rsid w:val="00822580"/>
    <w:rsid w:val="00825E02"/>
    <w:rsid w:val="00827A71"/>
    <w:rsid w:val="00827C10"/>
    <w:rsid w:val="00827EC9"/>
    <w:rsid w:val="00837384"/>
    <w:rsid w:val="00837FA3"/>
    <w:rsid w:val="00845FCD"/>
    <w:rsid w:val="00846202"/>
    <w:rsid w:val="00846682"/>
    <w:rsid w:val="0085427A"/>
    <w:rsid w:val="00855992"/>
    <w:rsid w:val="00860A40"/>
    <w:rsid w:val="008622A1"/>
    <w:rsid w:val="0086359A"/>
    <w:rsid w:val="00863E4B"/>
    <w:rsid w:val="00864BD0"/>
    <w:rsid w:val="008662BA"/>
    <w:rsid w:val="00870959"/>
    <w:rsid w:val="00870C8C"/>
    <w:rsid w:val="008718CD"/>
    <w:rsid w:val="00872D03"/>
    <w:rsid w:val="008735D2"/>
    <w:rsid w:val="008765A5"/>
    <w:rsid w:val="00880398"/>
    <w:rsid w:val="00881CF3"/>
    <w:rsid w:val="00881D65"/>
    <w:rsid w:val="00883383"/>
    <w:rsid w:val="008834F8"/>
    <w:rsid w:val="008861B4"/>
    <w:rsid w:val="00891EF5"/>
    <w:rsid w:val="008A1602"/>
    <w:rsid w:val="008A1D12"/>
    <w:rsid w:val="008A2436"/>
    <w:rsid w:val="008A4B77"/>
    <w:rsid w:val="008A7237"/>
    <w:rsid w:val="008A7A53"/>
    <w:rsid w:val="008B1A7E"/>
    <w:rsid w:val="008B31A7"/>
    <w:rsid w:val="008B37EF"/>
    <w:rsid w:val="008B43EE"/>
    <w:rsid w:val="008B43F5"/>
    <w:rsid w:val="008B4A3A"/>
    <w:rsid w:val="008B523E"/>
    <w:rsid w:val="008B598B"/>
    <w:rsid w:val="008B6442"/>
    <w:rsid w:val="008B7B74"/>
    <w:rsid w:val="008B7BF3"/>
    <w:rsid w:val="008C0C22"/>
    <w:rsid w:val="008C488D"/>
    <w:rsid w:val="008C725D"/>
    <w:rsid w:val="008D3448"/>
    <w:rsid w:val="008D3A26"/>
    <w:rsid w:val="008D3FE7"/>
    <w:rsid w:val="008E2F87"/>
    <w:rsid w:val="008E5706"/>
    <w:rsid w:val="008F1C06"/>
    <w:rsid w:val="009000F4"/>
    <w:rsid w:val="009004C0"/>
    <w:rsid w:val="009048CF"/>
    <w:rsid w:val="00905AB9"/>
    <w:rsid w:val="00911524"/>
    <w:rsid w:val="00912106"/>
    <w:rsid w:val="00915D5E"/>
    <w:rsid w:val="00915D74"/>
    <w:rsid w:val="0092461B"/>
    <w:rsid w:val="00926726"/>
    <w:rsid w:val="00927E21"/>
    <w:rsid w:val="00935E57"/>
    <w:rsid w:val="00944CDC"/>
    <w:rsid w:val="00947E8E"/>
    <w:rsid w:val="0095061A"/>
    <w:rsid w:val="009522D1"/>
    <w:rsid w:val="00954297"/>
    <w:rsid w:val="009550A4"/>
    <w:rsid w:val="00956803"/>
    <w:rsid w:val="00960057"/>
    <w:rsid w:val="00961C90"/>
    <w:rsid w:val="00962635"/>
    <w:rsid w:val="0096336C"/>
    <w:rsid w:val="009666F4"/>
    <w:rsid w:val="00967558"/>
    <w:rsid w:val="00973B95"/>
    <w:rsid w:val="009747D5"/>
    <w:rsid w:val="00974B6B"/>
    <w:rsid w:val="009753A3"/>
    <w:rsid w:val="00980DEF"/>
    <w:rsid w:val="009825AC"/>
    <w:rsid w:val="00985CEA"/>
    <w:rsid w:val="0099052F"/>
    <w:rsid w:val="009930FF"/>
    <w:rsid w:val="00993D36"/>
    <w:rsid w:val="00997D29"/>
    <w:rsid w:val="009A2569"/>
    <w:rsid w:val="009A3894"/>
    <w:rsid w:val="009A4541"/>
    <w:rsid w:val="009A49AA"/>
    <w:rsid w:val="009A6BB7"/>
    <w:rsid w:val="009B3369"/>
    <w:rsid w:val="009B6152"/>
    <w:rsid w:val="009C03C3"/>
    <w:rsid w:val="009C1216"/>
    <w:rsid w:val="009C4DB6"/>
    <w:rsid w:val="009C63BB"/>
    <w:rsid w:val="009D0E16"/>
    <w:rsid w:val="009D359F"/>
    <w:rsid w:val="009D60A8"/>
    <w:rsid w:val="009E0B19"/>
    <w:rsid w:val="009E1883"/>
    <w:rsid w:val="009E2468"/>
    <w:rsid w:val="009E688A"/>
    <w:rsid w:val="009E7F41"/>
    <w:rsid w:val="009F11C6"/>
    <w:rsid w:val="009F3D05"/>
    <w:rsid w:val="009F4EF2"/>
    <w:rsid w:val="009F5307"/>
    <w:rsid w:val="009F543B"/>
    <w:rsid w:val="00A00B11"/>
    <w:rsid w:val="00A016D4"/>
    <w:rsid w:val="00A033F7"/>
    <w:rsid w:val="00A03FC5"/>
    <w:rsid w:val="00A04460"/>
    <w:rsid w:val="00A07268"/>
    <w:rsid w:val="00A14166"/>
    <w:rsid w:val="00A1704A"/>
    <w:rsid w:val="00A22CE1"/>
    <w:rsid w:val="00A22E40"/>
    <w:rsid w:val="00A23C2A"/>
    <w:rsid w:val="00A249E6"/>
    <w:rsid w:val="00A27455"/>
    <w:rsid w:val="00A3081D"/>
    <w:rsid w:val="00A30CCC"/>
    <w:rsid w:val="00A314BB"/>
    <w:rsid w:val="00A362B5"/>
    <w:rsid w:val="00A36A26"/>
    <w:rsid w:val="00A44B93"/>
    <w:rsid w:val="00A4664F"/>
    <w:rsid w:val="00A46E1F"/>
    <w:rsid w:val="00A47127"/>
    <w:rsid w:val="00A50877"/>
    <w:rsid w:val="00A556CF"/>
    <w:rsid w:val="00A55CA9"/>
    <w:rsid w:val="00A62431"/>
    <w:rsid w:val="00A67E9F"/>
    <w:rsid w:val="00A76590"/>
    <w:rsid w:val="00A7772D"/>
    <w:rsid w:val="00A82DEF"/>
    <w:rsid w:val="00A9172B"/>
    <w:rsid w:val="00A95D5A"/>
    <w:rsid w:val="00A973AE"/>
    <w:rsid w:val="00AA1471"/>
    <w:rsid w:val="00AA1C71"/>
    <w:rsid w:val="00AA201A"/>
    <w:rsid w:val="00AA26DC"/>
    <w:rsid w:val="00AA69DB"/>
    <w:rsid w:val="00AB28F4"/>
    <w:rsid w:val="00AB322F"/>
    <w:rsid w:val="00AB70F6"/>
    <w:rsid w:val="00AB7DD3"/>
    <w:rsid w:val="00AC3E38"/>
    <w:rsid w:val="00AC7DC2"/>
    <w:rsid w:val="00AD13C3"/>
    <w:rsid w:val="00AD3337"/>
    <w:rsid w:val="00AD4E61"/>
    <w:rsid w:val="00AD6782"/>
    <w:rsid w:val="00AE1AD9"/>
    <w:rsid w:val="00AE2633"/>
    <w:rsid w:val="00AE4447"/>
    <w:rsid w:val="00AF1EA2"/>
    <w:rsid w:val="00AF2850"/>
    <w:rsid w:val="00AF2DB4"/>
    <w:rsid w:val="00AF3446"/>
    <w:rsid w:val="00AF396D"/>
    <w:rsid w:val="00B02510"/>
    <w:rsid w:val="00B02F5F"/>
    <w:rsid w:val="00B030F2"/>
    <w:rsid w:val="00B03DE2"/>
    <w:rsid w:val="00B11A52"/>
    <w:rsid w:val="00B11DAE"/>
    <w:rsid w:val="00B16FC1"/>
    <w:rsid w:val="00B20A6D"/>
    <w:rsid w:val="00B2110E"/>
    <w:rsid w:val="00B22C95"/>
    <w:rsid w:val="00B2318C"/>
    <w:rsid w:val="00B231D1"/>
    <w:rsid w:val="00B24769"/>
    <w:rsid w:val="00B2639E"/>
    <w:rsid w:val="00B266E6"/>
    <w:rsid w:val="00B30719"/>
    <w:rsid w:val="00B3086C"/>
    <w:rsid w:val="00B32AA9"/>
    <w:rsid w:val="00B32D34"/>
    <w:rsid w:val="00B33235"/>
    <w:rsid w:val="00B35808"/>
    <w:rsid w:val="00B368F3"/>
    <w:rsid w:val="00B3715B"/>
    <w:rsid w:val="00B41061"/>
    <w:rsid w:val="00B42218"/>
    <w:rsid w:val="00B453A6"/>
    <w:rsid w:val="00B45594"/>
    <w:rsid w:val="00B462B4"/>
    <w:rsid w:val="00B478B7"/>
    <w:rsid w:val="00B50FA8"/>
    <w:rsid w:val="00B51425"/>
    <w:rsid w:val="00B55708"/>
    <w:rsid w:val="00B57544"/>
    <w:rsid w:val="00B6506B"/>
    <w:rsid w:val="00B74079"/>
    <w:rsid w:val="00B746BC"/>
    <w:rsid w:val="00B751FC"/>
    <w:rsid w:val="00B8280A"/>
    <w:rsid w:val="00B844DE"/>
    <w:rsid w:val="00B85BDD"/>
    <w:rsid w:val="00B85BFB"/>
    <w:rsid w:val="00B928FC"/>
    <w:rsid w:val="00B94F81"/>
    <w:rsid w:val="00B96010"/>
    <w:rsid w:val="00B97F44"/>
    <w:rsid w:val="00BA151C"/>
    <w:rsid w:val="00BA4E59"/>
    <w:rsid w:val="00BB0D93"/>
    <w:rsid w:val="00BB6F38"/>
    <w:rsid w:val="00BC2981"/>
    <w:rsid w:val="00BC2DAD"/>
    <w:rsid w:val="00BC3316"/>
    <w:rsid w:val="00BC3634"/>
    <w:rsid w:val="00BC4AEE"/>
    <w:rsid w:val="00BC658C"/>
    <w:rsid w:val="00BC6E4B"/>
    <w:rsid w:val="00BD3F9A"/>
    <w:rsid w:val="00BD5824"/>
    <w:rsid w:val="00BD7FF7"/>
    <w:rsid w:val="00BE21D8"/>
    <w:rsid w:val="00BE5915"/>
    <w:rsid w:val="00BE6BB9"/>
    <w:rsid w:val="00BF1BDF"/>
    <w:rsid w:val="00BF27B5"/>
    <w:rsid w:val="00BF27D4"/>
    <w:rsid w:val="00BF4999"/>
    <w:rsid w:val="00BF61E3"/>
    <w:rsid w:val="00BF7BA7"/>
    <w:rsid w:val="00C0293A"/>
    <w:rsid w:val="00C02BF4"/>
    <w:rsid w:val="00C034DC"/>
    <w:rsid w:val="00C05D4E"/>
    <w:rsid w:val="00C06A0E"/>
    <w:rsid w:val="00C07FCC"/>
    <w:rsid w:val="00C105B5"/>
    <w:rsid w:val="00C16C4D"/>
    <w:rsid w:val="00C17EEA"/>
    <w:rsid w:val="00C2008C"/>
    <w:rsid w:val="00C20F2F"/>
    <w:rsid w:val="00C23B83"/>
    <w:rsid w:val="00C27FDE"/>
    <w:rsid w:val="00C31274"/>
    <w:rsid w:val="00C33E27"/>
    <w:rsid w:val="00C35641"/>
    <w:rsid w:val="00C370B4"/>
    <w:rsid w:val="00C436A6"/>
    <w:rsid w:val="00C445E7"/>
    <w:rsid w:val="00C47398"/>
    <w:rsid w:val="00C47FB1"/>
    <w:rsid w:val="00C510F9"/>
    <w:rsid w:val="00C529E0"/>
    <w:rsid w:val="00C52AAA"/>
    <w:rsid w:val="00C60AC8"/>
    <w:rsid w:val="00C61744"/>
    <w:rsid w:val="00C63FC4"/>
    <w:rsid w:val="00C64B76"/>
    <w:rsid w:val="00C6581C"/>
    <w:rsid w:val="00C71B95"/>
    <w:rsid w:val="00C71EAA"/>
    <w:rsid w:val="00C77F34"/>
    <w:rsid w:val="00C80210"/>
    <w:rsid w:val="00C81807"/>
    <w:rsid w:val="00C84060"/>
    <w:rsid w:val="00C85FED"/>
    <w:rsid w:val="00C864FB"/>
    <w:rsid w:val="00C92673"/>
    <w:rsid w:val="00C92EBC"/>
    <w:rsid w:val="00C940EA"/>
    <w:rsid w:val="00C94F5E"/>
    <w:rsid w:val="00C956B1"/>
    <w:rsid w:val="00C95955"/>
    <w:rsid w:val="00C97DA7"/>
    <w:rsid w:val="00CA0F9F"/>
    <w:rsid w:val="00CA2E1B"/>
    <w:rsid w:val="00CA3EA1"/>
    <w:rsid w:val="00CA43F8"/>
    <w:rsid w:val="00CA6985"/>
    <w:rsid w:val="00CB06EA"/>
    <w:rsid w:val="00CB4DDC"/>
    <w:rsid w:val="00CB4EA3"/>
    <w:rsid w:val="00CB7026"/>
    <w:rsid w:val="00CC12BA"/>
    <w:rsid w:val="00CD4070"/>
    <w:rsid w:val="00CD5BCC"/>
    <w:rsid w:val="00CE1148"/>
    <w:rsid w:val="00CE3F9F"/>
    <w:rsid w:val="00CE733F"/>
    <w:rsid w:val="00CF23D8"/>
    <w:rsid w:val="00CF26F3"/>
    <w:rsid w:val="00D00BC9"/>
    <w:rsid w:val="00D032A6"/>
    <w:rsid w:val="00D07AF1"/>
    <w:rsid w:val="00D12A2E"/>
    <w:rsid w:val="00D13041"/>
    <w:rsid w:val="00D15265"/>
    <w:rsid w:val="00D15518"/>
    <w:rsid w:val="00D16A1A"/>
    <w:rsid w:val="00D22D45"/>
    <w:rsid w:val="00D262A5"/>
    <w:rsid w:val="00D30E0B"/>
    <w:rsid w:val="00D31E87"/>
    <w:rsid w:val="00D33CBB"/>
    <w:rsid w:val="00D36227"/>
    <w:rsid w:val="00D41D79"/>
    <w:rsid w:val="00D502AF"/>
    <w:rsid w:val="00D519CF"/>
    <w:rsid w:val="00D530E8"/>
    <w:rsid w:val="00D53330"/>
    <w:rsid w:val="00D56E0F"/>
    <w:rsid w:val="00D57058"/>
    <w:rsid w:val="00D575EB"/>
    <w:rsid w:val="00D60612"/>
    <w:rsid w:val="00D60856"/>
    <w:rsid w:val="00D630C8"/>
    <w:rsid w:val="00D662B1"/>
    <w:rsid w:val="00D66C47"/>
    <w:rsid w:val="00D72967"/>
    <w:rsid w:val="00D8138D"/>
    <w:rsid w:val="00D82F04"/>
    <w:rsid w:val="00D87D77"/>
    <w:rsid w:val="00D94E11"/>
    <w:rsid w:val="00D96264"/>
    <w:rsid w:val="00DA2C65"/>
    <w:rsid w:val="00DA6C1F"/>
    <w:rsid w:val="00DA70B6"/>
    <w:rsid w:val="00DB0047"/>
    <w:rsid w:val="00DB1EE4"/>
    <w:rsid w:val="00DB290F"/>
    <w:rsid w:val="00DB4518"/>
    <w:rsid w:val="00DB65BC"/>
    <w:rsid w:val="00DB6DE7"/>
    <w:rsid w:val="00DC0EEA"/>
    <w:rsid w:val="00DC25D6"/>
    <w:rsid w:val="00DC71CF"/>
    <w:rsid w:val="00DD126B"/>
    <w:rsid w:val="00DD499F"/>
    <w:rsid w:val="00DE5053"/>
    <w:rsid w:val="00DF38E2"/>
    <w:rsid w:val="00DF686F"/>
    <w:rsid w:val="00E00ABC"/>
    <w:rsid w:val="00E04283"/>
    <w:rsid w:val="00E051D5"/>
    <w:rsid w:val="00E07563"/>
    <w:rsid w:val="00E07B0F"/>
    <w:rsid w:val="00E12566"/>
    <w:rsid w:val="00E12973"/>
    <w:rsid w:val="00E14DF8"/>
    <w:rsid w:val="00E1668A"/>
    <w:rsid w:val="00E16D45"/>
    <w:rsid w:val="00E170C7"/>
    <w:rsid w:val="00E20B14"/>
    <w:rsid w:val="00E20EC9"/>
    <w:rsid w:val="00E23194"/>
    <w:rsid w:val="00E24917"/>
    <w:rsid w:val="00E31B8D"/>
    <w:rsid w:val="00E335A6"/>
    <w:rsid w:val="00E35B5C"/>
    <w:rsid w:val="00E46C63"/>
    <w:rsid w:val="00E51A05"/>
    <w:rsid w:val="00E53E37"/>
    <w:rsid w:val="00E61802"/>
    <w:rsid w:val="00E744B6"/>
    <w:rsid w:val="00E8286C"/>
    <w:rsid w:val="00E837AA"/>
    <w:rsid w:val="00E83D4E"/>
    <w:rsid w:val="00E83EFE"/>
    <w:rsid w:val="00E85A54"/>
    <w:rsid w:val="00E862E3"/>
    <w:rsid w:val="00E87A05"/>
    <w:rsid w:val="00E918AD"/>
    <w:rsid w:val="00E92E82"/>
    <w:rsid w:val="00E973C3"/>
    <w:rsid w:val="00EA0631"/>
    <w:rsid w:val="00EA45F6"/>
    <w:rsid w:val="00EA5F9C"/>
    <w:rsid w:val="00EA68C2"/>
    <w:rsid w:val="00EA68EA"/>
    <w:rsid w:val="00EA6BD6"/>
    <w:rsid w:val="00EB18DA"/>
    <w:rsid w:val="00EB316E"/>
    <w:rsid w:val="00EB5774"/>
    <w:rsid w:val="00EB6060"/>
    <w:rsid w:val="00EB7FEA"/>
    <w:rsid w:val="00EC3109"/>
    <w:rsid w:val="00EC3943"/>
    <w:rsid w:val="00EC5DBE"/>
    <w:rsid w:val="00ED2FCD"/>
    <w:rsid w:val="00ED7427"/>
    <w:rsid w:val="00ED76B8"/>
    <w:rsid w:val="00EE08DD"/>
    <w:rsid w:val="00EE24A2"/>
    <w:rsid w:val="00EE28B3"/>
    <w:rsid w:val="00EE75A3"/>
    <w:rsid w:val="00EF0B6B"/>
    <w:rsid w:val="00EF1C9A"/>
    <w:rsid w:val="00EF57E7"/>
    <w:rsid w:val="00EF6B79"/>
    <w:rsid w:val="00F107C5"/>
    <w:rsid w:val="00F13F1F"/>
    <w:rsid w:val="00F15DA7"/>
    <w:rsid w:val="00F170EB"/>
    <w:rsid w:val="00F17278"/>
    <w:rsid w:val="00F2506C"/>
    <w:rsid w:val="00F3040B"/>
    <w:rsid w:val="00F3060D"/>
    <w:rsid w:val="00F43A4C"/>
    <w:rsid w:val="00F513FB"/>
    <w:rsid w:val="00F51A15"/>
    <w:rsid w:val="00F527CB"/>
    <w:rsid w:val="00F5303D"/>
    <w:rsid w:val="00F54271"/>
    <w:rsid w:val="00F54A65"/>
    <w:rsid w:val="00F552B9"/>
    <w:rsid w:val="00F5562A"/>
    <w:rsid w:val="00F60C88"/>
    <w:rsid w:val="00F6117E"/>
    <w:rsid w:val="00F61B03"/>
    <w:rsid w:val="00F639F7"/>
    <w:rsid w:val="00F6629D"/>
    <w:rsid w:val="00F66886"/>
    <w:rsid w:val="00F66E11"/>
    <w:rsid w:val="00F67DF2"/>
    <w:rsid w:val="00F70BD1"/>
    <w:rsid w:val="00F71110"/>
    <w:rsid w:val="00F7277D"/>
    <w:rsid w:val="00F76A78"/>
    <w:rsid w:val="00F76E60"/>
    <w:rsid w:val="00F77016"/>
    <w:rsid w:val="00F77147"/>
    <w:rsid w:val="00F81AB8"/>
    <w:rsid w:val="00F82A66"/>
    <w:rsid w:val="00F875B1"/>
    <w:rsid w:val="00F87672"/>
    <w:rsid w:val="00F90BBA"/>
    <w:rsid w:val="00F92BDC"/>
    <w:rsid w:val="00F949C3"/>
    <w:rsid w:val="00F95142"/>
    <w:rsid w:val="00F97675"/>
    <w:rsid w:val="00F97D3B"/>
    <w:rsid w:val="00FA018A"/>
    <w:rsid w:val="00FA0EDB"/>
    <w:rsid w:val="00FA1C66"/>
    <w:rsid w:val="00FA25DF"/>
    <w:rsid w:val="00FA569F"/>
    <w:rsid w:val="00FB0A79"/>
    <w:rsid w:val="00FB1FE1"/>
    <w:rsid w:val="00FB235E"/>
    <w:rsid w:val="00FB2DCC"/>
    <w:rsid w:val="00FB6D41"/>
    <w:rsid w:val="00FC3549"/>
    <w:rsid w:val="00FC677F"/>
    <w:rsid w:val="00FC75F3"/>
    <w:rsid w:val="00FD001E"/>
    <w:rsid w:val="00FD2092"/>
    <w:rsid w:val="00FD607C"/>
    <w:rsid w:val="00FE1C6B"/>
    <w:rsid w:val="00FE2F66"/>
    <w:rsid w:val="00FE392F"/>
    <w:rsid w:val="00FF1A41"/>
    <w:rsid w:val="00FF2461"/>
    <w:rsid w:val="00FF3347"/>
    <w:rsid w:val="00FF46AE"/>
    <w:rsid w:val="00FF49B7"/>
    <w:rsid w:val="00FF6304"/>
    <w:rsid w:val="00FF6E2F"/>
    <w:rsid w:val="00FF723C"/>
    <w:rsid w:val="028B7AFF"/>
    <w:rsid w:val="03E50C31"/>
    <w:rsid w:val="06F17DEB"/>
    <w:rsid w:val="07823FFB"/>
    <w:rsid w:val="0B706B34"/>
    <w:rsid w:val="0E98683F"/>
    <w:rsid w:val="0F2A45E4"/>
    <w:rsid w:val="129B65AB"/>
    <w:rsid w:val="16E57627"/>
    <w:rsid w:val="171E507D"/>
    <w:rsid w:val="1F4B16D1"/>
    <w:rsid w:val="210B34D2"/>
    <w:rsid w:val="2205229F"/>
    <w:rsid w:val="22BC55F5"/>
    <w:rsid w:val="287318D0"/>
    <w:rsid w:val="29A0613B"/>
    <w:rsid w:val="301216F7"/>
    <w:rsid w:val="32452F38"/>
    <w:rsid w:val="34980AC7"/>
    <w:rsid w:val="3541363B"/>
    <w:rsid w:val="36B96F2F"/>
    <w:rsid w:val="36FB6A82"/>
    <w:rsid w:val="3848560F"/>
    <w:rsid w:val="3D295FE5"/>
    <w:rsid w:val="410F1B3D"/>
    <w:rsid w:val="43B139C2"/>
    <w:rsid w:val="43CA79EB"/>
    <w:rsid w:val="458B6353"/>
    <w:rsid w:val="46D04D7E"/>
    <w:rsid w:val="472432F4"/>
    <w:rsid w:val="47D86C72"/>
    <w:rsid w:val="48802F01"/>
    <w:rsid w:val="48A539BB"/>
    <w:rsid w:val="4B444390"/>
    <w:rsid w:val="50BB496F"/>
    <w:rsid w:val="50FF6284"/>
    <w:rsid w:val="540B3D6D"/>
    <w:rsid w:val="55497FD5"/>
    <w:rsid w:val="558427E3"/>
    <w:rsid w:val="57B96ED5"/>
    <w:rsid w:val="59C430EC"/>
    <w:rsid w:val="5D9352E9"/>
    <w:rsid w:val="5F414C5C"/>
    <w:rsid w:val="600B3E4B"/>
    <w:rsid w:val="625A3557"/>
    <w:rsid w:val="62CB4857"/>
    <w:rsid w:val="62F21550"/>
    <w:rsid w:val="64245A81"/>
    <w:rsid w:val="68876684"/>
    <w:rsid w:val="698622EE"/>
    <w:rsid w:val="6C1A539F"/>
    <w:rsid w:val="6D3F354E"/>
    <w:rsid w:val="72162543"/>
    <w:rsid w:val="74DC172B"/>
    <w:rsid w:val="755A3FDB"/>
    <w:rsid w:val="75945FEA"/>
    <w:rsid w:val="775F29A2"/>
    <w:rsid w:val="77645268"/>
    <w:rsid w:val="77885166"/>
    <w:rsid w:val="78DA3249"/>
    <w:rsid w:val="79122487"/>
    <w:rsid w:val="79AE25B3"/>
    <w:rsid w:val="7A59228E"/>
    <w:rsid w:val="7BC43A9F"/>
    <w:rsid w:val="7E4A2E5F"/>
    <w:rsid w:val="7E8314C3"/>
    <w:rsid w:val="7F234ADF"/>
    <w:rsid w:val="7F885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100" w:beforeLines="100" w:after="100" w:afterLines="100" w:line="360" w:lineRule="auto"/>
      <w:jc w:val="center"/>
      <w:outlineLvl w:val="0"/>
    </w:pPr>
    <w:rPr>
      <w:rFonts w:eastAsia="黑体"/>
      <w:b/>
      <w:bCs/>
      <w:kern w:val="44"/>
      <w:sz w:val="32"/>
      <w:szCs w:val="44"/>
    </w:rPr>
  </w:style>
  <w:style w:type="paragraph" w:styleId="4">
    <w:name w:val="heading 2"/>
    <w:basedOn w:val="1"/>
    <w:next w:val="1"/>
    <w:link w:val="29"/>
    <w:qFormat/>
    <w:uiPriority w:val="0"/>
    <w:pPr>
      <w:keepNext/>
      <w:keepLines/>
      <w:jc w:val="center"/>
      <w:outlineLvl w:val="1"/>
    </w:pPr>
    <w:rPr>
      <w:rFonts w:ascii="Arial" w:hAnsi="Arial" w:eastAsia="黑体"/>
      <w:b/>
      <w:bCs/>
      <w:sz w:val="28"/>
      <w:szCs w:val="32"/>
    </w:rPr>
  </w:style>
  <w:style w:type="paragraph" w:styleId="5">
    <w:name w:val="heading 3"/>
    <w:basedOn w:val="1"/>
    <w:next w:val="1"/>
    <w:link w:val="26"/>
    <w:qFormat/>
    <w:uiPriority w:val="0"/>
    <w:pPr>
      <w:keepNext/>
      <w:keepLines/>
      <w:jc w:val="left"/>
      <w:outlineLvl w:val="2"/>
    </w:pPr>
    <w:rPr>
      <w:b/>
      <w:bCs/>
      <w:sz w:val="28"/>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spacing w:line="360" w:lineRule="auto"/>
      <w:ind w:firstLine="435"/>
    </w:pPr>
    <w:rPr>
      <w:sz w:val="28"/>
      <w:szCs w:val="24"/>
    </w:rPr>
  </w:style>
  <w:style w:type="paragraph" w:styleId="6">
    <w:name w:val="annotation text"/>
    <w:basedOn w:val="1"/>
    <w:qFormat/>
    <w:uiPriority w:val="0"/>
    <w:pPr>
      <w:jc w:val="left"/>
    </w:pPr>
  </w:style>
  <w:style w:type="paragraph" w:styleId="7">
    <w:name w:val="Body Text"/>
    <w:basedOn w:val="1"/>
    <w:next w:val="8"/>
    <w:qFormat/>
    <w:uiPriority w:val="0"/>
    <w:rPr>
      <w:rFonts w:eastAsia="黑体"/>
      <w:b/>
      <w:bCs/>
      <w:spacing w:val="20"/>
      <w:kern w:val="52"/>
      <w:sz w:val="56"/>
      <w:szCs w:val="24"/>
    </w:rPr>
  </w:style>
  <w:style w:type="paragraph" w:styleId="8">
    <w:name w:val="Body Text First Indent"/>
    <w:basedOn w:val="7"/>
    <w:next w:val="1"/>
    <w:qFormat/>
    <w:uiPriority w:val="0"/>
    <w:pPr>
      <w:adjustRightInd w:val="0"/>
      <w:spacing w:after="120" w:line="360" w:lineRule="auto"/>
      <w:ind w:firstLine="420"/>
      <w:textAlignment w:val="baseline"/>
    </w:pPr>
    <w:rPr>
      <w:rFonts w:ascii="Calibri" w:hAnsi="Calibri" w:eastAsia="楷体_GB2312"/>
      <w:b w:val="0"/>
      <w:bCs w:val="0"/>
      <w:spacing w:val="0"/>
      <w:kern w:val="0"/>
      <w:sz w:val="24"/>
      <w:szCs w:val="20"/>
    </w:rPr>
  </w:style>
  <w:style w:type="paragraph" w:styleId="9">
    <w:name w:val="toc 3"/>
    <w:basedOn w:val="1"/>
    <w:next w:val="1"/>
    <w:qFormat/>
    <w:uiPriority w:val="39"/>
    <w:pPr>
      <w:tabs>
        <w:tab w:val="right" w:leader="dot" w:pos="9118"/>
      </w:tabs>
      <w:spacing w:line="360" w:lineRule="auto"/>
      <w:ind w:left="840" w:leftChars="400"/>
    </w:pPr>
  </w:style>
  <w:style w:type="paragraph" w:styleId="10">
    <w:name w:val="Plain Text"/>
    <w:basedOn w:val="1"/>
    <w:link w:val="25"/>
    <w:qFormat/>
    <w:uiPriority w:val="0"/>
    <w:rPr>
      <w:rFonts w:ascii="宋体" w:hAnsi="Courier New"/>
    </w:rPr>
  </w:style>
  <w:style w:type="paragraph" w:styleId="11">
    <w:name w:val="Balloon Text"/>
    <w:basedOn w:val="1"/>
    <w:link w:val="24"/>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39"/>
    <w:pPr>
      <w:spacing w:line="360" w:lineRule="auto"/>
    </w:pPr>
    <w:rPr>
      <w:rFonts w:eastAsia="仿宋_GB2312"/>
      <w:sz w:val="32"/>
    </w:rPr>
  </w:style>
  <w:style w:type="paragraph" w:styleId="15">
    <w:name w:val="toc 2"/>
    <w:basedOn w:val="1"/>
    <w:next w:val="1"/>
    <w:qFormat/>
    <w:uiPriority w:val="39"/>
    <w:pPr>
      <w:ind w:left="420" w:leftChars="200"/>
    </w:pPr>
  </w:style>
  <w:style w:type="paragraph" w:styleId="16">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7">
    <w:name w:val="Body Text First Indent 2"/>
    <w:basedOn w:val="2"/>
    <w:link w:val="27"/>
    <w:qFormat/>
    <w:uiPriority w:val="0"/>
    <w:pPr>
      <w:tabs>
        <w:tab w:val="left" w:pos="900"/>
      </w:tabs>
      <w:spacing w:after="120" w:line="240" w:lineRule="auto"/>
      <w:ind w:left="420" w:leftChars="200" w:firstLine="420"/>
    </w:pPr>
    <w:rPr>
      <w:rFonts w:cs="宋体"/>
      <w:sz w:val="21"/>
      <w:szCs w:val="21"/>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character" w:styleId="23">
    <w:name w:val="annotation reference"/>
    <w:basedOn w:val="20"/>
    <w:qFormat/>
    <w:uiPriority w:val="0"/>
    <w:rPr>
      <w:sz w:val="21"/>
      <w:szCs w:val="21"/>
    </w:rPr>
  </w:style>
  <w:style w:type="character" w:customStyle="1" w:styleId="24">
    <w:name w:val="批注框文本 Char"/>
    <w:link w:val="11"/>
    <w:qFormat/>
    <w:uiPriority w:val="0"/>
    <w:rPr>
      <w:kern w:val="2"/>
      <w:sz w:val="18"/>
      <w:szCs w:val="18"/>
    </w:rPr>
  </w:style>
  <w:style w:type="character" w:customStyle="1" w:styleId="25">
    <w:name w:val="纯文本 Char"/>
    <w:link w:val="10"/>
    <w:qFormat/>
    <w:uiPriority w:val="0"/>
    <w:rPr>
      <w:rFonts w:ascii="宋体" w:hAnsi="Courier New" w:eastAsia="宋体"/>
      <w:kern w:val="2"/>
      <w:sz w:val="21"/>
      <w:lang w:val="en-US" w:eastAsia="zh-CN" w:bidi="ar-SA"/>
    </w:rPr>
  </w:style>
  <w:style w:type="character" w:customStyle="1" w:styleId="26">
    <w:name w:val="标题 3 Char"/>
    <w:link w:val="5"/>
    <w:qFormat/>
    <w:uiPriority w:val="0"/>
    <w:rPr>
      <w:b/>
      <w:bCs/>
      <w:kern w:val="2"/>
      <w:sz w:val="28"/>
      <w:szCs w:val="32"/>
    </w:rPr>
  </w:style>
  <w:style w:type="character" w:customStyle="1" w:styleId="27">
    <w:name w:val="正文首行缩进 2 Char"/>
    <w:link w:val="17"/>
    <w:qFormat/>
    <w:uiPriority w:val="0"/>
    <w:rPr>
      <w:rFonts w:cs="宋体"/>
      <w:kern w:val="2"/>
      <w:sz w:val="21"/>
      <w:szCs w:val="21"/>
    </w:rPr>
  </w:style>
  <w:style w:type="character" w:customStyle="1" w:styleId="28">
    <w:name w:val="NormalCharacter"/>
    <w:semiHidden/>
    <w:qFormat/>
    <w:uiPriority w:val="99"/>
  </w:style>
  <w:style w:type="character" w:customStyle="1" w:styleId="29">
    <w:name w:val="标题 2 Char"/>
    <w:link w:val="4"/>
    <w:qFormat/>
    <w:uiPriority w:val="0"/>
    <w:rPr>
      <w:rFonts w:ascii="Arial" w:hAnsi="Arial" w:eastAsia="黑体"/>
      <w:b/>
      <w:bCs/>
      <w:kern w:val="2"/>
      <w:sz w:val="28"/>
      <w:szCs w:val="32"/>
    </w:rPr>
  </w:style>
  <w:style w:type="character" w:customStyle="1" w:styleId="30">
    <w:name w:val="font11"/>
    <w:qFormat/>
    <w:uiPriority w:val="0"/>
    <w:rPr>
      <w:rFonts w:hint="eastAsia" w:ascii="宋体" w:hAnsi="宋体" w:eastAsia="宋体" w:cs="宋体"/>
      <w:color w:val="000000"/>
      <w:sz w:val="20"/>
      <w:szCs w:val="20"/>
      <w:u w:val="none"/>
    </w:rPr>
  </w:style>
  <w:style w:type="paragraph" w:customStyle="1" w:styleId="31">
    <w:name w:val="_Style 1"/>
    <w:basedOn w:val="1"/>
    <w:qFormat/>
    <w:uiPriority w:val="0"/>
    <w:rPr>
      <w:szCs w:val="24"/>
    </w:rPr>
  </w:style>
  <w:style w:type="paragraph" w:customStyle="1" w:styleId="32">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33">
    <w:name w:val="*正文"/>
    <w:basedOn w:val="1"/>
    <w:qFormat/>
    <w:uiPriority w:val="0"/>
    <w:pPr>
      <w:spacing w:line="360" w:lineRule="auto"/>
      <w:ind w:firstLine="200" w:firstLineChars="200"/>
    </w:pPr>
    <w:rPr>
      <w:rFonts w:ascii="宋体" w:hAnsi="宋体" w:cs="仿宋_GB2312"/>
      <w:sz w:val="22"/>
      <w:szCs w:val="24"/>
    </w:rPr>
  </w:style>
  <w:style w:type="paragraph" w:customStyle="1" w:styleId="3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6">
    <w:name w:val="段"/>
    <w:next w:val="1"/>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37">
    <w:name w:val="PlainText"/>
    <w:basedOn w:val="1"/>
    <w:next w:val="38"/>
    <w:qFormat/>
    <w:uiPriority w:val="99"/>
    <w:rPr>
      <w:rFonts w:hAnsi="Courier New"/>
      <w:sz w:val="20"/>
    </w:rPr>
  </w:style>
  <w:style w:type="paragraph" w:customStyle="1" w:styleId="38">
    <w:name w:val="BodyText"/>
    <w:basedOn w:val="1"/>
    <w:next w:val="1"/>
    <w:qFormat/>
    <w:uiPriority w:val="99"/>
    <w:pPr>
      <w:ind w:right="-533"/>
    </w:pPr>
    <w:rPr>
      <w:rFonts w:ascii="仿宋_GB2312" w:eastAsia="仿宋_GB2312" w:cs="仿宋_GB2312"/>
      <w:b/>
      <w:bCs/>
      <w:sz w:val="36"/>
      <w:szCs w:val="36"/>
    </w:rPr>
  </w:style>
  <w:style w:type="paragraph" w:customStyle="1" w:styleId="39">
    <w:name w:val="BodyTextIndent"/>
    <w:basedOn w:val="1"/>
    <w:qFormat/>
    <w:uiPriority w:val="99"/>
    <w:pPr>
      <w:snapToGrid w:val="0"/>
      <w:spacing w:line="500" w:lineRule="atLeast"/>
      <w:ind w:left="-525" w:firstLine="525"/>
    </w:pPr>
    <w:rPr>
      <w:sz w:val="24"/>
      <w:szCs w:val="24"/>
    </w:rPr>
  </w:style>
  <w:style w:type="paragraph" w:customStyle="1" w:styleId="40">
    <w:name w:val="_Style 2"/>
    <w:basedOn w:val="1"/>
    <w:qFormat/>
    <w:uiPriority w:val="0"/>
    <w:pPr>
      <w:ind w:firstLine="420" w:firstLineChars="200"/>
    </w:pPr>
    <w:rPr>
      <w:rFonts w:ascii="Calibri" w:hAnsi="Calibri"/>
      <w:szCs w:val="22"/>
    </w:rPr>
  </w:style>
  <w:style w:type="paragraph" w:customStyle="1" w:styleId="41">
    <w:name w:val="BodyText1I2"/>
    <w:basedOn w:val="39"/>
    <w:qFormat/>
    <w:uiPriority w:val="99"/>
    <w:pPr>
      <w:spacing w:after="120" w:line="240" w:lineRule="auto"/>
      <w:ind w:left="420" w:leftChars="200" w:firstLine="420"/>
    </w:pPr>
    <w:rPr>
      <w:sz w:val="21"/>
      <w:szCs w:val="21"/>
    </w:rPr>
  </w:style>
  <w:style w:type="paragraph" w:customStyle="1" w:styleId="42">
    <w:name w:val="[Normal]"/>
    <w:qFormat/>
    <w:uiPriority w:val="0"/>
    <w:rPr>
      <w:rFonts w:ascii="宋体" w:hAnsi="宋体" w:eastAsia="宋体" w:cs="Times New Roman"/>
      <w:sz w:val="24"/>
      <w:szCs w:val="22"/>
      <w:lang w:val="zh-CN" w:eastAsia="zh-CN" w:bidi="ar-SA"/>
    </w:rPr>
  </w:style>
  <w:style w:type="paragraph" w:customStyle="1" w:styleId="43">
    <w:name w:val="表格文字"/>
    <w:basedOn w:val="1"/>
    <w:next w:val="7"/>
    <w:qFormat/>
    <w:uiPriority w:val="99"/>
    <w:pPr>
      <w:widowControl/>
      <w:adjustRightInd w:val="0"/>
      <w:snapToGrid w:val="0"/>
      <w:spacing w:after="200" w:line="420" w:lineRule="atLeast"/>
      <w:jc w:val="left"/>
      <w:textAlignment w:val="baseline"/>
    </w:pPr>
    <w:rPr>
      <w:rFonts w:ascii="Tahoma" w:hAnsi="Tahoma" w:eastAsia="微软雅黑" w:cs="Tahoma"/>
      <w:kern w:val="0"/>
      <w:sz w:val="22"/>
      <w:szCs w:val="22"/>
    </w:rPr>
  </w:style>
  <w:style w:type="paragraph" w:customStyle="1" w:styleId="44">
    <w:name w:val="样式1"/>
    <w:basedOn w:val="4"/>
    <w:qFormat/>
    <w:uiPriority w:val="0"/>
    <w:pPr>
      <w:spacing w:line="415" w:lineRule="auto"/>
    </w:pPr>
    <w:rPr>
      <w:rFonts w:ascii="宋体" w:hAnsi="宋体"/>
      <w:sz w:val="36"/>
      <w:szCs w:val="36"/>
    </w:rPr>
  </w:style>
  <w:style w:type="paragraph" w:customStyle="1" w:styleId="45">
    <w:name w:val="Fließtext"/>
    <w:basedOn w:val="1"/>
    <w:qFormat/>
    <w:uiPriority w:val="0"/>
    <w:pPr>
      <w:overflowPunct w:val="0"/>
      <w:autoSpaceDE w:val="0"/>
      <w:autoSpaceDN w:val="0"/>
      <w:adjustRightInd w:val="0"/>
      <w:textAlignment w:val="baseline"/>
    </w:pPr>
    <w:rPr>
      <w:kern w:val="28"/>
    </w:rPr>
  </w:style>
  <w:style w:type="paragraph" w:customStyle="1" w:styleId="46">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WPSOffice手动目录 1"/>
    <w:qFormat/>
    <w:uiPriority w:val="0"/>
    <w:rPr>
      <w:rFonts w:ascii="Times New Roman" w:hAnsi="Times New Roman" w:eastAsia="宋体" w:cs="Times New Roman"/>
      <w:lang w:val="en-US" w:eastAsia="zh-CN" w:bidi="ar-SA"/>
    </w:rPr>
  </w:style>
  <w:style w:type="paragraph" w:customStyle="1" w:styleId="49">
    <w:name w:val="列出段落1"/>
    <w:basedOn w:val="1"/>
    <w:qFormat/>
    <w:uiPriority w:val="34"/>
    <w:pPr>
      <w:ind w:firstLine="420" w:firstLineChars="200"/>
    </w:pPr>
    <w:rPr>
      <w:rFonts w:ascii="Calibri" w:hAnsi="Calibri" w:eastAsia="仿宋_GB2312"/>
      <w:sz w:val="2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4905</Words>
  <Characters>27960</Characters>
  <Lines>233</Lines>
  <Paragraphs>65</Paragraphs>
  <TotalTime>275</TotalTime>
  <ScaleCrop>false</ScaleCrop>
  <LinksUpToDate>false</LinksUpToDate>
  <CharactersWithSpaces>32800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2020-12-02T08:47:00Z</dcterms:created>
  <dc:creator>Administrator</dc:creator>
  <cp:lastModifiedBy>木子</cp:lastModifiedBy>
  <cp:lastPrinted>2020-12-28T03:17:00Z</cp:lastPrinted>
  <dcterms:modified xsi:type="dcterms:W3CDTF">2020-12-28T03:48:22Z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